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25CD0">
      <w:pPr>
        <w:shd w:val="clear"/>
        <w:spacing w:line="960" w:lineRule="auto"/>
        <w:rPr>
          <w:rFonts w:hint="eastAsia" w:ascii="宋体" w:hAnsi="宋体" w:eastAsia="宋体" w:cs="宋体"/>
          <w:color w:val="auto"/>
          <w:highlight w:val="none"/>
        </w:rPr>
      </w:pPr>
    </w:p>
    <w:p w14:paraId="26BD7D93">
      <w:pPr>
        <w:shd w:val="clear"/>
        <w:spacing w:line="960" w:lineRule="auto"/>
        <w:rPr>
          <w:rFonts w:hint="eastAsia" w:ascii="宋体" w:hAnsi="宋体" w:eastAsia="宋体" w:cs="宋体"/>
          <w:color w:val="auto"/>
          <w:highlight w:val="none"/>
        </w:rPr>
      </w:pPr>
    </w:p>
    <w:p w14:paraId="29225777">
      <w:pPr>
        <w:shd w:val="clear"/>
        <w:jc w:val="center"/>
        <w:rPr>
          <w:rFonts w:hint="eastAsia" w:ascii="宋体" w:hAnsi="宋体" w:eastAsia="宋体" w:cs="宋体"/>
          <w:b/>
          <w:color w:val="auto"/>
          <w:sz w:val="44"/>
          <w:szCs w:val="44"/>
          <w:highlight w:val="none"/>
        </w:rPr>
      </w:pPr>
      <w:bookmarkStart w:id="0" w:name="_Toc493928401"/>
      <w:bookmarkStart w:id="1" w:name="_Toc493956011"/>
      <w:r>
        <w:rPr>
          <w:rFonts w:hint="eastAsia" w:ascii="宋体" w:hAnsi="宋体" w:eastAsia="宋体" w:cs="宋体"/>
          <w:color w:val="auto"/>
          <w:sz w:val="72"/>
          <w:szCs w:val="72"/>
          <w:highlight w:val="none"/>
          <w:lang w:eastAsia="zh-CN"/>
        </w:rPr>
        <w:t>公开</w:t>
      </w:r>
      <w:r>
        <w:rPr>
          <w:rFonts w:hint="eastAsia" w:ascii="宋体" w:hAnsi="宋体" w:eastAsia="宋体" w:cs="宋体"/>
          <w:color w:val="auto"/>
          <w:sz w:val="72"/>
          <w:szCs w:val="72"/>
          <w:highlight w:val="none"/>
        </w:rPr>
        <w:t>招标文件</w:t>
      </w:r>
      <w:bookmarkEnd w:id="0"/>
      <w:bookmarkEnd w:id="1"/>
      <w:r>
        <w:rPr>
          <w:rFonts w:hint="eastAsia" w:ascii="宋体" w:hAnsi="宋体" w:eastAsia="宋体" w:cs="宋体"/>
          <w:b/>
          <w:color w:val="auto"/>
          <w:sz w:val="44"/>
          <w:szCs w:val="44"/>
          <w:highlight w:val="none"/>
        </w:rPr>
        <w:t xml:space="preserve"> </w:t>
      </w:r>
    </w:p>
    <w:p w14:paraId="765F01BA">
      <w:pPr>
        <w:shd w:val="clear"/>
        <w:jc w:val="center"/>
        <w:rPr>
          <w:rFonts w:hint="eastAsia" w:ascii="宋体" w:hAnsi="宋体" w:eastAsia="宋体" w:cs="宋体"/>
          <w:color w:val="auto"/>
          <w:sz w:val="72"/>
          <w:szCs w:val="72"/>
          <w:highlight w:val="none"/>
        </w:rPr>
      </w:pPr>
      <w:r>
        <w:rPr>
          <w:rFonts w:hint="eastAsia" w:ascii="宋体" w:hAnsi="宋体" w:eastAsia="宋体" w:cs="宋体"/>
          <w:b/>
          <w:color w:val="auto"/>
          <w:sz w:val="44"/>
          <w:szCs w:val="44"/>
          <w:highlight w:val="none"/>
        </w:rPr>
        <w:t>（电子招投标）</w:t>
      </w:r>
    </w:p>
    <w:p w14:paraId="492F5C72">
      <w:pPr>
        <w:shd w:val="clear"/>
        <w:jc w:val="center"/>
        <w:rPr>
          <w:rFonts w:hint="eastAsia" w:ascii="宋体" w:hAnsi="宋体" w:eastAsia="宋体" w:cs="宋体"/>
          <w:color w:val="auto"/>
          <w:sz w:val="36"/>
          <w:szCs w:val="36"/>
          <w:highlight w:val="none"/>
        </w:rPr>
      </w:pPr>
    </w:p>
    <w:p w14:paraId="06C054B9">
      <w:pPr>
        <w:shd w:val="clear"/>
        <w:spacing w:line="480" w:lineRule="auto"/>
        <w:rPr>
          <w:rFonts w:hint="eastAsia" w:ascii="宋体" w:hAnsi="宋体" w:eastAsia="宋体" w:cs="宋体"/>
          <w:color w:val="auto"/>
          <w:highlight w:val="none"/>
        </w:rPr>
      </w:pPr>
    </w:p>
    <w:p w14:paraId="2C7A25E9">
      <w:pPr>
        <w:shd w:val="clear"/>
        <w:spacing w:line="480" w:lineRule="auto"/>
        <w:rPr>
          <w:rFonts w:hint="eastAsia" w:ascii="宋体" w:hAnsi="宋体" w:eastAsia="宋体" w:cs="宋体"/>
          <w:color w:val="auto"/>
          <w:highlight w:val="none"/>
        </w:rPr>
      </w:pPr>
    </w:p>
    <w:p w14:paraId="3B31B1D0">
      <w:pPr>
        <w:shd w:val="clear"/>
        <w:spacing w:line="480" w:lineRule="auto"/>
        <w:rPr>
          <w:rFonts w:hint="eastAsia" w:ascii="宋体" w:hAnsi="宋体" w:eastAsia="宋体" w:cs="宋体"/>
          <w:color w:val="auto"/>
          <w:highlight w:val="none"/>
        </w:rPr>
      </w:pPr>
    </w:p>
    <w:p w14:paraId="3D2D858C">
      <w:pPr>
        <w:shd w:val="clear"/>
        <w:spacing w:line="480" w:lineRule="auto"/>
        <w:rPr>
          <w:rFonts w:hint="eastAsia" w:ascii="宋体" w:hAnsi="宋体" w:eastAsia="宋体" w:cs="宋体"/>
          <w:color w:val="auto"/>
          <w:highlight w:val="none"/>
        </w:rPr>
      </w:pPr>
    </w:p>
    <w:tbl>
      <w:tblPr>
        <w:tblStyle w:val="45"/>
        <w:tblW w:w="7453" w:type="dxa"/>
        <w:jc w:val="center"/>
        <w:tblLayout w:type="fixed"/>
        <w:tblCellMar>
          <w:top w:w="0" w:type="dxa"/>
          <w:left w:w="108" w:type="dxa"/>
          <w:bottom w:w="0" w:type="dxa"/>
          <w:right w:w="108" w:type="dxa"/>
        </w:tblCellMar>
      </w:tblPr>
      <w:tblGrid>
        <w:gridCol w:w="2311"/>
        <w:gridCol w:w="5142"/>
      </w:tblGrid>
      <w:tr w14:paraId="4B8DFB54">
        <w:tblPrEx>
          <w:tblCellMar>
            <w:top w:w="0" w:type="dxa"/>
            <w:left w:w="108" w:type="dxa"/>
            <w:bottom w:w="0" w:type="dxa"/>
            <w:right w:w="108" w:type="dxa"/>
          </w:tblCellMar>
        </w:tblPrEx>
        <w:trPr>
          <w:trHeight w:val="737" w:hRule="atLeast"/>
          <w:jc w:val="center"/>
        </w:trPr>
        <w:tc>
          <w:tcPr>
            <w:tcW w:w="2311" w:type="dxa"/>
            <w:noWrap w:val="0"/>
            <w:vAlign w:val="center"/>
          </w:tcPr>
          <w:p w14:paraId="2AC8089C">
            <w:pPr>
              <w:shd w:val="clear"/>
              <w:ind w:right="-109" w:rightChars="-52"/>
              <w:jc w:val="distribute"/>
              <w:rPr>
                <w:rFonts w:hint="eastAsia" w:ascii="宋体" w:hAnsi="宋体" w:eastAsia="宋体" w:cs="宋体"/>
                <w:color w:val="auto"/>
                <w:sz w:val="32"/>
                <w:szCs w:val="32"/>
                <w:highlight w:val="none"/>
              </w:rPr>
            </w:pPr>
            <w:bookmarkStart w:id="2" w:name="_Toc493928402"/>
            <w:bookmarkStart w:id="3" w:name="_Toc493956012"/>
            <w:r>
              <w:rPr>
                <w:rFonts w:hint="eastAsia" w:ascii="宋体" w:hAnsi="宋体" w:eastAsia="宋体" w:cs="宋体"/>
                <w:color w:val="auto"/>
                <w:sz w:val="32"/>
                <w:szCs w:val="32"/>
                <w:highlight w:val="none"/>
              </w:rPr>
              <w:t>项目编号：</w:t>
            </w:r>
            <w:bookmarkEnd w:id="2"/>
            <w:bookmarkEnd w:id="3"/>
          </w:p>
        </w:tc>
        <w:tc>
          <w:tcPr>
            <w:tcW w:w="5142" w:type="dxa"/>
            <w:noWrap w:val="0"/>
            <w:vAlign w:val="center"/>
          </w:tcPr>
          <w:p w14:paraId="2836871F">
            <w:pPr>
              <w:shd w:val="clear"/>
              <w:ind w:left="-103" w:leftChars="-4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浙鼎峰招[2025]137号</w:t>
            </w:r>
          </w:p>
        </w:tc>
      </w:tr>
      <w:tr w14:paraId="39129EAB">
        <w:tblPrEx>
          <w:tblCellMar>
            <w:top w:w="0" w:type="dxa"/>
            <w:left w:w="108" w:type="dxa"/>
            <w:bottom w:w="0" w:type="dxa"/>
            <w:right w:w="108" w:type="dxa"/>
          </w:tblCellMar>
        </w:tblPrEx>
        <w:trPr>
          <w:trHeight w:val="737" w:hRule="atLeast"/>
          <w:jc w:val="center"/>
        </w:trPr>
        <w:tc>
          <w:tcPr>
            <w:tcW w:w="2311" w:type="dxa"/>
            <w:noWrap w:val="0"/>
            <w:vAlign w:val="center"/>
          </w:tcPr>
          <w:p w14:paraId="1D1908A9">
            <w:pPr>
              <w:shd w:val="clear"/>
              <w:ind w:right="-109" w:rightChars="-52"/>
              <w:jc w:val="distribute"/>
              <w:rPr>
                <w:rFonts w:hint="eastAsia" w:ascii="宋体" w:hAnsi="宋体" w:eastAsia="宋体" w:cs="宋体"/>
                <w:color w:val="auto"/>
                <w:sz w:val="32"/>
                <w:szCs w:val="32"/>
                <w:highlight w:val="none"/>
              </w:rPr>
            </w:pPr>
            <w:bookmarkStart w:id="4" w:name="_Toc493956014"/>
            <w:bookmarkStart w:id="5" w:name="_Toc493928404"/>
            <w:r>
              <w:rPr>
                <w:rFonts w:hint="eastAsia" w:ascii="宋体" w:hAnsi="宋体" w:eastAsia="宋体" w:cs="宋体"/>
                <w:color w:val="auto"/>
                <w:sz w:val="32"/>
                <w:szCs w:val="32"/>
                <w:highlight w:val="none"/>
              </w:rPr>
              <w:t>项目名称：</w:t>
            </w:r>
            <w:bookmarkEnd w:id="4"/>
            <w:bookmarkEnd w:id="5"/>
          </w:p>
        </w:tc>
        <w:tc>
          <w:tcPr>
            <w:tcW w:w="5142" w:type="dxa"/>
            <w:noWrap w:val="0"/>
            <w:vAlign w:val="center"/>
          </w:tcPr>
          <w:p w14:paraId="734C34CD">
            <w:pPr>
              <w:shd w:val="clear"/>
              <w:ind w:left="-103" w:leftChars="-49"/>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丽水市机动车驾驶员考试中心新能源考训车采购项目</w:t>
            </w:r>
          </w:p>
        </w:tc>
      </w:tr>
      <w:tr w14:paraId="133B43A9">
        <w:tblPrEx>
          <w:tblCellMar>
            <w:top w:w="0" w:type="dxa"/>
            <w:left w:w="108" w:type="dxa"/>
            <w:bottom w:w="0" w:type="dxa"/>
            <w:right w:w="108" w:type="dxa"/>
          </w:tblCellMar>
        </w:tblPrEx>
        <w:trPr>
          <w:trHeight w:val="737" w:hRule="atLeast"/>
          <w:jc w:val="center"/>
        </w:trPr>
        <w:tc>
          <w:tcPr>
            <w:tcW w:w="2311" w:type="dxa"/>
            <w:noWrap w:val="0"/>
            <w:vAlign w:val="center"/>
          </w:tcPr>
          <w:p w14:paraId="26DE8FCC">
            <w:pPr>
              <w:shd w:val="clear"/>
              <w:ind w:right="-109" w:rightChars="-52"/>
              <w:jc w:val="distribute"/>
              <w:rPr>
                <w:rFonts w:hint="eastAsia" w:ascii="宋体" w:hAnsi="宋体" w:eastAsia="宋体" w:cs="宋体"/>
                <w:color w:val="auto"/>
                <w:sz w:val="32"/>
                <w:szCs w:val="32"/>
                <w:highlight w:val="none"/>
              </w:rPr>
            </w:pPr>
            <w:bookmarkStart w:id="6" w:name="_Toc493928406"/>
            <w:bookmarkStart w:id="7" w:name="_Toc493956016"/>
            <w:r>
              <w:rPr>
                <w:rFonts w:hint="eastAsia" w:ascii="宋体" w:hAnsi="宋体" w:eastAsia="宋体" w:cs="宋体"/>
                <w:color w:val="auto"/>
                <w:sz w:val="32"/>
                <w:szCs w:val="32"/>
                <w:highlight w:val="none"/>
              </w:rPr>
              <w:t>采 购 人：</w:t>
            </w:r>
            <w:bookmarkEnd w:id="6"/>
            <w:bookmarkEnd w:id="7"/>
          </w:p>
        </w:tc>
        <w:tc>
          <w:tcPr>
            <w:tcW w:w="5142" w:type="dxa"/>
            <w:noWrap w:val="0"/>
            <w:vAlign w:val="center"/>
          </w:tcPr>
          <w:p w14:paraId="0F7749B3">
            <w:pPr>
              <w:shd w:val="clear"/>
              <w:ind w:left="-103" w:leftChars="-49"/>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丽水市机动车驾驶员考试中心</w:t>
            </w:r>
          </w:p>
        </w:tc>
      </w:tr>
      <w:tr w14:paraId="236CCA3F">
        <w:tblPrEx>
          <w:tblCellMar>
            <w:top w:w="0" w:type="dxa"/>
            <w:left w:w="108" w:type="dxa"/>
            <w:bottom w:w="0" w:type="dxa"/>
            <w:right w:w="108" w:type="dxa"/>
          </w:tblCellMar>
        </w:tblPrEx>
        <w:trPr>
          <w:trHeight w:val="737" w:hRule="atLeast"/>
          <w:jc w:val="center"/>
        </w:trPr>
        <w:tc>
          <w:tcPr>
            <w:tcW w:w="2311" w:type="dxa"/>
            <w:noWrap w:val="0"/>
            <w:vAlign w:val="center"/>
          </w:tcPr>
          <w:p w14:paraId="35CAF6C7">
            <w:pPr>
              <w:shd w:val="clear"/>
              <w:ind w:right="-109" w:rightChars="-52"/>
              <w:jc w:val="distribute"/>
              <w:rPr>
                <w:rFonts w:hint="eastAsia" w:ascii="宋体" w:hAnsi="宋体" w:eastAsia="宋体" w:cs="宋体"/>
                <w:color w:val="auto"/>
                <w:sz w:val="32"/>
                <w:szCs w:val="32"/>
                <w:highlight w:val="none"/>
              </w:rPr>
            </w:pPr>
          </w:p>
        </w:tc>
        <w:tc>
          <w:tcPr>
            <w:tcW w:w="5142" w:type="dxa"/>
            <w:noWrap w:val="0"/>
            <w:vAlign w:val="center"/>
          </w:tcPr>
          <w:p w14:paraId="2305CEF1">
            <w:pPr>
              <w:shd w:val="clear"/>
              <w:ind w:left="-103" w:leftChars="-49"/>
              <w:jc w:val="left"/>
              <w:rPr>
                <w:rFonts w:hint="eastAsia" w:ascii="宋体" w:hAnsi="宋体" w:eastAsia="宋体" w:cs="宋体"/>
                <w:color w:val="auto"/>
                <w:sz w:val="32"/>
                <w:szCs w:val="32"/>
                <w:highlight w:val="none"/>
              </w:rPr>
            </w:pPr>
          </w:p>
        </w:tc>
      </w:tr>
      <w:tr w14:paraId="0485FB75">
        <w:tblPrEx>
          <w:tblCellMar>
            <w:top w:w="0" w:type="dxa"/>
            <w:left w:w="108" w:type="dxa"/>
            <w:bottom w:w="0" w:type="dxa"/>
            <w:right w:w="108" w:type="dxa"/>
          </w:tblCellMar>
        </w:tblPrEx>
        <w:trPr>
          <w:trHeight w:val="737" w:hRule="atLeast"/>
          <w:jc w:val="center"/>
        </w:trPr>
        <w:tc>
          <w:tcPr>
            <w:tcW w:w="2311" w:type="dxa"/>
            <w:noWrap w:val="0"/>
            <w:vAlign w:val="center"/>
          </w:tcPr>
          <w:p w14:paraId="7B723425">
            <w:pPr>
              <w:shd w:val="clear"/>
              <w:ind w:right="-109" w:rightChars="-52"/>
              <w:jc w:val="distribute"/>
              <w:rPr>
                <w:rFonts w:hint="eastAsia" w:ascii="宋体" w:hAnsi="宋体" w:eastAsia="宋体" w:cs="宋体"/>
                <w:color w:val="auto"/>
                <w:sz w:val="32"/>
                <w:szCs w:val="32"/>
                <w:highlight w:val="none"/>
              </w:rPr>
            </w:pPr>
          </w:p>
        </w:tc>
        <w:tc>
          <w:tcPr>
            <w:tcW w:w="5142" w:type="dxa"/>
            <w:noWrap w:val="0"/>
            <w:vAlign w:val="center"/>
          </w:tcPr>
          <w:p w14:paraId="2414C9E1">
            <w:pPr>
              <w:shd w:val="clear"/>
              <w:ind w:left="-103" w:leftChars="-49"/>
              <w:jc w:val="left"/>
              <w:rPr>
                <w:rFonts w:hint="eastAsia" w:ascii="宋体" w:hAnsi="宋体" w:eastAsia="宋体" w:cs="宋体"/>
                <w:color w:val="auto"/>
                <w:sz w:val="32"/>
                <w:szCs w:val="32"/>
                <w:highlight w:val="none"/>
              </w:rPr>
            </w:pPr>
          </w:p>
        </w:tc>
      </w:tr>
      <w:tr w14:paraId="6A89B753">
        <w:tblPrEx>
          <w:tblCellMar>
            <w:top w:w="0" w:type="dxa"/>
            <w:left w:w="108" w:type="dxa"/>
            <w:bottom w:w="0" w:type="dxa"/>
            <w:right w:w="108" w:type="dxa"/>
          </w:tblCellMar>
        </w:tblPrEx>
        <w:trPr>
          <w:trHeight w:val="737" w:hRule="atLeast"/>
          <w:jc w:val="center"/>
        </w:trPr>
        <w:tc>
          <w:tcPr>
            <w:tcW w:w="2311" w:type="dxa"/>
            <w:noWrap w:val="0"/>
            <w:vAlign w:val="center"/>
          </w:tcPr>
          <w:p w14:paraId="01FF02F0">
            <w:pPr>
              <w:shd w:val="clear"/>
              <w:ind w:right="-109" w:rightChars="-52"/>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w:t>
            </w:r>
          </w:p>
        </w:tc>
        <w:tc>
          <w:tcPr>
            <w:tcW w:w="5142" w:type="dxa"/>
            <w:noWrap w:val="0"/>
            <w:vAlign w:val="center"/>
          </w:tcPr>
          <w:p w14:paraId="19170C39">
            <w:pPr>
              <w:shd w:val="clear"/>
              <w:ind w:left="-103" w:leftChars="-49"/>
              <w:jc w:val="left"/>
              <w:rPr>
                <w:rFonts w:hint="eastAsia"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eastAsia="zh-CN"/>
              </w:rPr>
              <w:t>浙江鼎峰工程咨询有限公司</w:t>
            </w:r>
          </w:p>
        </w:tc>
      </w:tr>
      <w:tr w14:paraId="31CB5E24">
        <w:tblPrEx>
          <w:tblCellMar>
            <w:top w:w="0" w:type="dxa"/>
            <w:left w:w="108" w:type="dxa"/>
            <w:bottom w:w="0" w:type="dxa"/>
            <w:right w:w="108" w:type="dxa"/>
          </w:tblCellMar>
        </w:tblPrEx>
        <w:trPr>
          <w:trHeight w:val="737" w:hRule="atLeast"/>
          <w:jc w:val="center"/>
        </w:trPr>
        <w:tc>
          <w:tcPr>
            <w:tcW w:w="2311" w:type="dxa"/>
            <w:noWrap w:val="0"/>
            <w:vAlign w:val="center"/>
          </w:tcPr>
          <w:p w14:paraId="4EDDCE4A">
            <w:pPr>
              <w:shd w:val="clear"/>
              <w:ind w:right="-109" w:rightChars="-52"/>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tc>
        <w:tc>
          <w:tcPr>
            <w:tcW w:w="5142" w:type="dxa"/>
            <w:noWrap w:val="0"/>
            <w:vAlign w:val="center"/>
          </w:tcPr>
          <w:p w14:paraId="4624DB7A">
            <w:pPr>
              <w:shd w:val="clear"/>
              <w:ind w:left="-103" w:leftChars="-49"/>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丽水市庆春街979号</w:t>
            </w:r>
          </w:p>
        </w:tc>
      </w:tr>
      <w:tr w14:paraId="0D30D111">
        <w:tblPrEx>
          <w:tblCellMar>
            <w:top w:w="0" w:type="dxa"/>
            <w:left w:w="108" w:type="dxa"/>
            <w:bottom w:w="0" w:type="dxa"/>
            <w:right w:w="108" w:type="dxa"/>
          </w:tblCellMar>
        </w:tblPrEx>
        <w:trPr>
          <w:trHeight w:val="737" w:hRule="atLeast"/>
          <w:jc w:val="center"/>
        </w:trPr>
        <w:tc>
          <w:tcPr>
            <w:tcW w:w="2311" w:type="dxa"/>
            <w:noWrap w:val="0"/>
            <w:vAlign w:val="center"/>
          </w:tcPr>
          <w:p w14:paraId="1A276A17">
            <w:pPr>
              <w:shd w:val="clear"/>
              <w:ind w:right="-84" w:rightChars="-40"/>
              <w:rPr>
                <w:rFonts w:hint="eastAsia" w:ascii="宋体" w:hAnsi="宋体" w:eastAsia="宋体" w:cs="宋体"/>
                <w:color w:val="auto"/>
                <w:sz w:val="32"/>
                <w:szCs w:val="32"/>
                <w:highlight w:val="none"/>
              </w:rPr>
            </w:pPr>
          </w:p>
        </w:tc>
        <w:tc>
          <w:tcPr>
            <w:tcW w:w="5142" w:type="dxa"/>
            <w:noWrap w:val="0"/>
            <w:vAlign w:val="center"/>
          </w:tcPr>
          <w:p w14:paraId="79CA4727">
            <w:pPr>
              <w:shd w:val="clear"/>
              <w:ind w:left="-103" w:leftChars="-49"/>
              <w:rPr>
                <w:rFonts w:hint="eastAsia" w:ascii="宋体" w:hAnsi="宋体" w:eastAsia="宋体" w:cs="宋体"/>
                <w:color w:val="auto"/>
                <w:sz w:val="32"/>
                <w:szCs w:val="32"/>
                <w:highlight w:val="none"/>
              </w:rPr>
            </w:pPr>
          </w:p>
        </w:tc>
      </w:tr>
      <w:tr w14:paraId="76E5ECF4">
        <w:tblPrEx>
          <w:tblCellMar>
            <w:top w:w="0" w:type="dxa"/>
            <w:left w:w="108" w:type="dxa"/>
            <w:bottom w:w="0" w:type="dxa"/>
            <w:right w:w="108" w:type="dxa"/>
          </w:tblCellMar>
        </w:tblPrEx>
        <w:trPr>
          <w:trHeight w:val="737" w:hRule="atLeast"/>
          <w:jc w:val="center"/>
        </w:trPr>
        <w:tc>
          <w:tcPr>
            <w:tcW w:w="7453" w:type="dxa"/>
            <w:gridSpan w:val="2"/>
            <w:noWrap w:val="0"/>
            <w:vAlign w:val="center"/>
          </w:tcPr>
          <w:p w14:paraId="593A315F">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2025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月</w:t>
            </w:r>
          </w:p>
        </w:tc>
      </w:tr>
    </w:tbl>
    <w:p w14:paraId="276CAFA1">
      <w:pPr>
        <w:shd w:val="clear"/>
        <w:spacing w:line="480" w:lineRule="auto"/>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1418" w:right="1418" w:bottom="1418" w:left="1418" w:header="851" w:footer="851" w:gutter="0"/>
          <w:pgNumType w:fmt="decimal"/>
          <w:cols w:space="720" w:num="1"/>
          <w:titlePg/>
          <w:docGrid w:linePitch="312" w:charSpace="0"/>
        </w:sectPr>
      </w:pPr>
    </w:p>
    <w:p w14:paraId="430AF63A">
      <w:pPr>
        <w:pStyle w:val="42"/>
        <w:shd w:val="clear"/>
        <w:spacing w:after="240"/>
        <w:rPr>
          <w:rFonts w:hint="eastAsia" w:ascii="宋体" w:hAnsi="宋体" w:eastAsia="宋体" w:cs="宋体"/>
          <w:color w:val="auto"/>
          <w:highlight w:val="none"/>
        </w:rPr>
      </w:pPr>
      <w:bookmarkStart w:id="8" w:name="_Toc531358958"/>
      <w:bookmarkStart w:id="9" w:name="_Toc530551803"/>
      <w:bookmarkStart w:id="10" w:name="_Toc1245"/>
      <w:bookmarkStart w:id="11" w:name="_Toc535"/>
      <w:bookmarkStart w:id="12" w:name="_Toc25687"/>
      <w:bookmarkStart w:id="13" w:name="_Toc25846"/>
      <w:bookmarkStart w:id="14" w:name="_Toc97212953"/>
      <w:bookmarkStart w:id="15" w:name="_Toc3802"/>
      <w:r>
        <w:rPr>
          <w:rFonts w:hint="eastAsia" w:ascii="宋体" w:hAnsi="宋体" w:eastAsia="宋体" w:cs="宋体"/>
          <w:color w:val="auto"/>
          <w:highlight w:val="none"/>
        </w:rPr>
        <w:t>目  录</w:t>
      </w:r>
      <w:bookmarkEnd w:id="8"/>
      <w:bookmarkEnd w:id="9"/>
      <w:bookmarkEnd w:id="10"/>
      <w:bookmarkEnd w:id="11"/>
      <w:bookmarkEnd w:id="12"/>
      <w:bookmarkEnd w:id="13"/>
      <w:bookmarkEnd w:id="14"/>
      <w:bookmarkEnd w:id="15"/>
      <w:bookmarkStart w:id="16" w:name="_Toc69635410"/>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p>
    <w:p w14:paraId="2018CACD">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_Toc5120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4C12EA8">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_Toc14105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 xml:space="preserve">第二章  </w:t>
      </w:r>
      <w:r>
        <w:rPr>
          <w:rFonts w:hint="eastAsia" w:ascii="宋体" w:hAnsi="宋体" w:eastAsia="宋体" w:cs="宋体"/>
          <w:color w:val="auto"/>
          <w:szCs w:val="36"/>
          <w:highlight w:val="none"/>
          <w:lang w:val="en-US" w:eastAsia="zh-CN"/>
        </w:rPr>
        <w:t>采购</w:t>
      </w:r>
      <w:r>
        <w:rPr>
          <w:rFonts w:hint="eastAsia" w:ascii="宋体" w:hAnsi="宋体" w:eastAsia="宋体" w:cs="宋体"/>
          <w:color w:val="auto"/>
          <w:szCs w:val="36"/>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53E0BCA">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_Toc18782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6AA2A3D">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_Toc9810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投标人须知前附表（一）</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_Toc9810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8CD9737">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投标人须知前附表（二）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654D676">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_Toc22265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一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_Toc22265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D1AA56B">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_Toc13723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1.1     适用范围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540EA54">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1.2     定义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66B4FE7">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_Toc4144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1.3     投标人应具备资格条件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9C8FF2A">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_Toc26010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1.4     联合体投标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E870E61">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_Toc5935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1.5     投标文件的语言及计量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_Toc5935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609595A">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_Toc26978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1.6     投标费用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5F8809A">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_Toc2209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1.7     现场踏勘</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05D8085">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_Toc18766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1.8     答疑会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68BC964">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_Toc19512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1.9     分包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_Toc19512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D05B646">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_Toc21526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1.10    保密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78E9880">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_Toc11351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1.11    政府采购政策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5E4CB4F">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_Toc12023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1.12    相同品牌产品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C94497B">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_Toc13343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1.13    信用信息记录查询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_Toc13343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6081B06">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 xml:space="preserve">1.14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询问、</w:t>
      </w:r>
      <w:r>
        <w:rPr>
          <w:rFonts w:hint="eastAsia" w:ascii="宋体" w:hAnsi="宋体" w:eastAsia="宋体" w:cs="宋体"/>
          <w:color w:val="auto"/>
          <w:highlight w:val="none"/>
        </w:rPr>
        <w:t>质疑和投诉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49FE3EC">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_Toc15213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1.15    特别声明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D209019">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_Toc11118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9985EA2">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_Toc17984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2.1     招标文件的组成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_Toc17984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FED04E4">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_Toc5371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2.2     招标文件的澄清、修改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48F2D9D">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_Toc27680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三    投标文件</w:t>
      </w:r>
      <w:r>
        <w:rPr>
          <w:rFonts w:hint="eastAsia" w:ascii="宋体" w:hAnsi="宋体" w:eastAsia="宋体" w:cs="宋体"/>
          <w:color w:val="auto"/>
          <w:szCs w:val="30"/>
          <w:highlight w:val="none"/>
          <w:lang w:val="en-US" w:eastAsia="zh-CN"/>
        </w:rPr>
        <w:t>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_Toc27680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52C56AD">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_Toc31201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投标文件组成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E5A0704">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_Toc26303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lang w:val="en-US" w:eastAsia="zh-CN"/>
        </w:rPr>
        <w:t>3.2     投标文件形式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D2790E8">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_Toc14010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四    投标文件编制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_Toc14010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D14A314">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_Toc23239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4.1     投标文件编制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_Toc23239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51F95ED">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_Toc22936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4.2     投标报价要求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78539C8">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_Toc26474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4.3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_Toc26474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221161B">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_Toc32148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4.4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0827A25">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_Toc8420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4.5     投标文件份数及签署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0B2A0F0">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_Toc22400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五    投标文件提交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_Toc22400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3FC94C9">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_Toc7221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5.1     投标文件导入和加密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9799B18">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_Toc30184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5.2     投标文件提交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AF4E8CA">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_Toc3335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5.3     投标文件修改和撤回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_Toc3335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B281DEF">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_Toc18421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5.4     备份投标文件的提交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8755549">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_Toc3959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六    开标、资格审查、评标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8127CF7">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_Toc9346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6.1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CCD9869">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_Toc25950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6.2     资格审查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29DCB15">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_Toc6850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6.3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942C856">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_Toc27358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6.4     投标文件的澄清、说明或补正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_Toc27358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600D903">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_Toc24869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6.5     报价错误修正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302FF56">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_Toc25646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6.6     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D9CC0B8">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_Toc7267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七    </w:t>
      </w:r>
      <w:r>
        <w:rPr>
          <w:rFonts w:hint="eastAsia" w:ascii="宋体" w:hAnsi="宋体" w:eastAsia="宋体" w:cs="宋体"/>
          <w:color w:val="auto"/>
          <w:szCs w:val="24"/>
          <w:highlight w:val="none"/>
        </w:rPr>
        <w:t>▲</w:t>
      </w:r>
      <w:r>
        <w:rPr>
          <w:rFonts w:hint="eastAsia" w:ascii="宋体" w:hAnsi="宋体" w:eastAsia="宋体" w:cs="宋体"/>
          <w:color w:val="auto"/>
          <w:szCs w:val="30"/>
          <w:highlight w:val="none"/>
        </w:rPr>
        <w:t>投标无效的情形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89F8980">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_Toc5893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八    中标和合同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D71432C">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_Toc18384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8.1     中标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C93118E">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_Toc29709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8.2     中标公告和中标通知书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_Toc29709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401EDD3">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_Toc4458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8.3     履约保证金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_Toc4458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0BC9D5F">
      <w:pPr>
        <w:pStyle w:val="25"/>
        <w:keepNext w:val="0"/>
        <w:keepLines w:val="0"/>
        <w:pageBreakBefore w:val="0"/>
        <w:widowControl w:val="0"/>
        <w:shd w:val="clear"/>
        <w:tabs>
          <w:tab w:val="right" w:leader="dot" w:pos="907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_Toc31048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8.4     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CCBE71F">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_Toc20288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九    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CA1CBBD">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_Toc21361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 xml:space="preserve">第四章  </w:t>
      </w:r>
      <w:r>
        <w:rPr>
          <w:rFonts w:hint="eastAsia" w:ascii="宋体" w:hAnsi="宋体" w:eastAsia="宋体" w:cs="宋体"/>
          <w:color w:val="auto"/>
          <w:szCs w:val="36"/>
          <w:highlight w:val="none"/>
          <w:lang w:val="en-US" w:eastAsia="zh-CN"/>
        </w:rPr>
        <w:t>拟签订的合同文本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F8B5526">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第五章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5A656B2">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_Toc19706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44"/>
          <w:highlight w:val="none"/>
        </w:rPr>
        <w:t xml:space="preserve">一  </w:t>
      </w:r>
      <w:r>
        <w:rPr>
          <w:rFonts w:hint="eastAsia" w:ascii="宋体" w:hAnsi="宋体" w:eastAsia="宋体" w:cs="宋体"/>
          <w:bCs/>
          <w:color w:val="auto"/>
          <w:szCs w:val="44"/>
          <w:highlight w:val="none"/>
          <w:lang w:val="en-US" w:eastAsia="zh-CN"/>
        </w:rPr>
        <w:t>资格文件</w:t>
      </w:r>
      <w:r>
        <w:rPr>
          <w:rFonts w:hint="eastAsia" w:ascii="宋体" w:hAnsi="宋体" w:eastAsia="宋体" w:cs="宋体"/>
          <w:color w:val="auto"/>
          <w:szCs w:val="44"/>
          <w:highlight w:val="none"/>
        </w:rPr>
        <w:t>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173188F">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_Toc14254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44"/>
          <w:highlight w:val="none"/>
        </w:rPr>
        <w:t xml:space="preserve">二  </w:t>
      </w:r>
      <w:r>
        <w:rPr>
          <w:rFonts w:hint="eastAsia" w:ascii="宋体" w:hAnsi="宋体" w:eastAsia="宋体" w:cs="宋体"/>
          <w:color w:val="auto"/>
          <w:szCs w:val="44"/>
          <w:highlight w:val="none"/>
          <w:lang w:eastAsia="zh-CN"/>
        </w:rPr>
        <w:t>商务技术文件</w:t>
      </w:r>
      <w:r>
        <w:rPr>
          <w:rFonts w:hint="eastAsia" w:ascii="宋体" w:hAnsi="宋体" w:eastAsia="宋体" w:cs="宋体"/>
          <w:color w:val="auto"/>
          <w:szCs w:val="44"/>
          <w:highlight w:val="none"/>
        </w:rPr>
        <w:t>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A04997E">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_Toc4580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44"/>
          <w:highlight w:val="none"/>
        </w:rPr>
        <w:t>三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_Toc4580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164177C">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_Toc15268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6"/>
          <w:highlight w:val="none"/>
        </w:rPr>
        <w:t>第六章  评标办法和</w:t>
      </w:r>
      <w:r>
        <w:rPr>
          <w:rFonts w:hint="eastAsia" w:ascii="宋体" w:hAnsi="宋体" w:eastAsia="宋体" w:cs="宋体"/>
          <w:color w:val="auto"/>
          <w:szCs w:val="36"/>
          <w:highlight w:val="none"/>
          <w:lang w:eastAsia="zh-CN"/>
        </w:rPr>
        <w:t>评标</w:t>
      </w:r>
      <w:r>
        <w:rPr>
          <w:rFonts w:hint="eastAsia" w:ascii="宋体" w:hAnsi="宋体" w:eastAsia="宋体" w:cs="宋体"/>
          <w:color w:val="auto"/>
          <w:szCs w:val="36"/>
          <w:highlight w:val="none"/>
        </w:rPr>
        <w:t>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C786265">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_Toc17552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一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8542B0D">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_Toc5793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二    </w:t>
      </w:r>
      <w:r>
        <w:rPr>
          <w:rFonts w:hint="eastAsia" w:ascii="宋体" w:hAnsi="宋体" w:eastAsia="宋体" w:cs="宋体"/>
          <w:color w:val="auto"/>
          <w:szCs w:val="30"/>
          <w:highlight w:val="none"/>
          <w:lang w:eastAsia="zh-CN"/>
        </w:rPr>
        <w:t>评标</w:t>
      </w:r>
      <w:r>
        <w:rPr>
          <w:rFonts w:hint="eastAsia" w:ascii="宋体" w:hAnsi="宋体" w:eastAsia="宋体" w:cs="宋体"/>
          <w:color w:val="auto"/>
          <w:szCs w:val="30"/>
          <w:highlight w:val="none"/>
        </w:rPr>
        <w:t>一般规定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8381364">
      <w:pPr>
        <w:pStyle w:val="33"/>
        <w:keepNext w:val="0"/>
        <w:keepLines w:val="0"/>
        <w:pageBreakBefore w:val="0"/>
        <w:widowControl w:val="0"/>
        <w:shd w:val="clear"/>
        <w:tabs>
          <w:tab w:val="right" w:leader="dot" w:pos="9070"/>
          <w:tab w:val="clear" w:pos="9060"/>
        </w:tabs>
        <w:kinsoku/>
        <w:wordWrap/>
        <w:overflowPunct/>
        <w:topLinePunct w:val="0"/>
        <w:autoSpaceDE/>
        <w:autoSpaceDN/>
        <w:bidi w:val="0"/>
        <w:adjustRightInd/>
        <w:snapToGrid/>
        <w:spacing w:before="0" w:after="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_Toc5408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三    </w:t>
      </w:r>
      <w:r>
        <w:rPr>
          <w:rFonts w:hint="eastAsia" w:ascii="宋体" w:hAnsi="宋体" w:eastAsia="宋体" w:cs="宋体"/>
          <w:color w:val="auto"/>
          <w:szCs w:val="30"/>
          <w:highlight w:val="none"/>
          <w:lang w:eastAsia="zh-CN"/>
        </w:rPr>
        <w:t>评标</w:t>
      </w:r>
      <w:r>
        <w:rPr>
          <w:rFonts w:hint="eastAsia" w:ascii="宋体" w:hAnsi="宋体" w:eastAsia="宋体" w:cs="宋体"/>
          <w:color w:val="auto"/>
          <w:szCs w:val="30"/>
          <w:highlight w:val="none"/>
        </w:rPr>
        <w:t>内容及标准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7BFE33B">
      <w:pPr>
        <w:shd w:val="clear"/>
        <w:rPr>
          <w:rFonts w:hint="eastAsia" w:ascii="宋体" w:hAnsi="宋体" w:eastAsia="宋体" w:cs="宋体"/>
          <w:color w:val="auto"/>
          <w:szCs w:val="24"/>
          <w:highlight w:val="none"/>
        </w:rPr>
      </w:pPr>
    </w:p>
    <w:p w14:paraId="4A5DEA1D">
      <w:pPr>
        <w:pStyle w:val="53"/>
        <w:shd w:val="clear"/>
        <w:rPr>
          <w:rFonts w:hint="eastAsia" w:ascii="宋体" w:hAnsi="宋体" w:eastAsia="宋体" w:cs="宋体"/>
          <w:color w:val="auto"/>
          <w:szCs w:val="24"/>
          <w:highlight w:val="none"/>
        </w:rPr>
      </w:pPr>
    </w:p>
    <w:p w14:paraId="503B5718">
      <w:pPr>
        <w:pStyle w:val="53"/>
        <w:shd w:val="clear"/>
        <w:rPr>
          <w:rFonts w:hint="eastAsia" w:ascii="宋体" w:hAnsi="宋体" w:eastAsia="宋体" w:cs="宋体"/>
          <w:color w:val="auto"/>
          <w:szCs w:val="24"/>
          <w:highlight w:val="none"/>
        </w:rPr>
      </w:pPr>
    </w:p>
    <w:p w14:paraId="4C561861">
      <w:pPr>
        <w:pStyle w:val="53"/>
        <w:shd w:val="clear"/>
        <w:rPr>
          <w:rFonts w:hint="eastAsia" w:ascii="宋体" w:hAnsi="宋体" w:eastAsia="宋体" w:cs="宋体"/>
          <w:color w:val="auto"/>
          <w:szCs w:val="24"/>
          <w:highlight w:val="none"/>
        </w:rPr>
      </w:pPr>
    </w:p>
    <w:p w14:paraId="0CE06375">
      <w:pPr>
        <w:pStyle w:val="53"/>
        <w:shd w:val="clear"/>
        <w:rPr>
          <w:rFonts w:hint="eastAsia" w:ascii="宋体" w:hAnsi="宋体" w:eastAsia="宋体" w:cs="宋体"/>
          <w:color w:val="auto"/>
          <w:szCs w:val="24"/>
          <w:highlight w:val="none"/>
        </w:rPr>
      </w:pPr>
    </w:p>
    <w:p w14:paraId="649350D6">
      <w:pPr>
        <w:pStyle w:val="53"/>
        <w:shd w:val="clear"/>
        <w:rPr>
          <w:rFonts w:hint="eastAsia" w:ascii="宋体" w:hAnsi="宋体" w:eastAsia="宋体" w:cs="宋体"/>
          <w:color w:val="auto"/>
          <w:szCs w:val="24"/>
          <w:highlight w:val="none"/>
        </w:rPr>
      </w:pPr>
    </w:p>
    <w:p w14:paraId="168E4675">
      <w:pPr>
        <w:pStyle w:val="53"/>
        <w:shd w:val="clear"/>
        <w:rPr>
          <w:rFonts w:hint="eastAsia" w:ascii="宋体" w:hAnsi="宋体" w:eastAsia="宋体" w:cs="宋体"/>
          <w:color w:val="auto"/>
          <w:szCs w:val="24"/>
          <w:highlight w:val="none"/>
        </w:rPr>
      </w:pPr>
    </w:p>
    <w:p w14:paraId="525F8351">
      <w:pPr>
        <w:pStyle w:val="53"/>
        <w:shd w:val="clear"/>
        <w:rPr>
          <w:rFonts w:hint="eastAsia" w:ascii="宋体" w:hAnsi="宋体" w:eastAsia="宋体" w:cs="宋体"/>
          <w:color w:val="auto"/>
          <w:szCs w:val="24"/>
          <w:highlight w:val="none"/>
        </w:rPr>
      </w:pPr>
    </w:p>
    <w:p w14:paraId="4C023A67">
      <w:pPr>
        <w:pStyle w:val="53"/>
        <w:shd w:val="clear"/>
        <w:rPr>
          <w:rFonts w:hint="eastAsia" w:ascii="宋体" w:hAnsi="宋体" w:eastAsia="宋体" w:cs="宋体"/>
          <w:color w:val="auto"/>
          <w:szCs w:val="24"/>
          <w:highlight w:val="none"/>
        </w:rPr>
      </w:pPr>
    </w:p>
    <w:p w14:paraId="16E60840">
      <w:pPr>
        <w:pStyle w:val="53"/>
        <w:shd w:val="clear"/>
        <w:rPr>
          <w:rFonts w:hint="eastAsia" w:ascii="宋体" w:hAnsi="宋体" w:eastAsia="宋体" w:cs="宋体"/>
          <w:color w:val="auto"/>
          <w:szCs w:val="24"/>
          <w:highlight w:val="none"/>
        </w:rPr>
      </w:pPr>
    </w:p>
    <w:p w14:paraId="2E537F05">
      <w:pPr>
        <w:pStyle w:val="53"/>
        <w:shd w:val="clear"/>
        <w:rPr>
          <w:rFonts w:hint="eastAsia" w:ascii="宋体" w:hAnsi="宋体" w:eastAsia="宋体" w:cs="宋体"/>
          <w:color w:val="auto"/>
          <w:szCs w:val="24"/>
          <w:highlight w:val="none"/>
        </w:rPr>
      </w:pPr>
    </w:p>
    <w:p w14:paraId="5358EEAF">
      <w:pPr>
        <w:pStyle w:val="53"/>
        <w:shd w:val="clear"/>
        <w:rPr>
          <w:rFonts w:hint="eastAsia" w:ascii="宋体" w:hAnsi="宋体" w:eastAsia="宋体" w:cs="宋体"/>
          <w:color w:val="auto"/>
          <w:szCs w:val="24"/>
          <w:highlight w:val="none"/>
        </w:rPr>
      </w:pPr>
    </w:p>
    <w:p w14:paraId="3711EA4C">
      <w:pPr>
        <w:pStyle w:val="53"/>
        <w:shd w:val="clear"/>
        <w:rPr>
          <w:rFonts w:hint="eastAsia" w:ascii="宋体" w:hAnsi="宋体" w:eastAsia="宋体" w:cs="宋体"/>
          <w:color w:val="auto"/>
          <w:szCs w:val="24"/>
          <w:highlight w:val="none"/>
        </w:rPr>
      </w:pPr>
    </w:p>
    <w:p w14:paraId="022159DA">
      <w:pPr>
        <w:pStyle w:val="53"/>
        <w:shd w:val="clear"/>
        <w:rPr>
          <w:rFonts w:hint="eastAsia" w:ascii="宋体" w:hAnsi="宋体" w:eastAsia="宋体" w:cs="宋体"/>
          <w:color w:val="auto"/>
          <w:szCs w:val="24"/>
          <w:highlight w:val="none"/>
        </w:rPr>
      </w:pPr>
    </w:p>
    <w:p w14:paraId="42BA6FF0">
      <w:pPr>
        <w:pStyle w:val="53"/>
        <w:shd w:val="clear"/>
        <w:rPr>
          <w:rFonts w:hint="eastAsia" w:ascii="宋体" w:hAnsi="宋体" w:eastAsia="宋体" w:cs="宋体"/>
          <w:color w:val="auto"/>
          <w:szCs w:val="24"/>
          <w:highlight w:val="none"/>
        </w:rPr>
      </w:pPr>
    </w:p>
    <w:p w14:paraId="6247EF5B">
      <w:pPr>
        <w:pStyle w:val="53"/>
        <w:shd w:val="clear"/>
        <w:rPr>
          <w:rFonts w:hint="eastAsia" w:ascii="宋体" w:hAnsi="宋体" w:eastAsia="宋体" w:cs="宋体"/>
          <w:color w:val="auto"/>
          <w:szCs w:val="24"/>
          <w:highlight w:val="none"/>
        </w:rPr>
      </w:pPr>
    </w:p>
    <w:p w14:paraId="0FCC636B">
      <w:pPr>
        <w:pStyle w:val="53"/>
        <w:shd w:val="clear"/>
        <w:rPr>
          <w:rFonts w:hint="eastAsia" w:ascii="宋体" w:hAnsi="宋体" w:eastAsia="宋体" w:cs="宋体"/>
          <w:color w:val="auto"/>
          <w:szCs w:val="24"/>
          <w:highlight w:val="none"/>
        </w:rPr>
      </w:pPr>
    </w:p>
    <w:p w14:paraId="03B76BF3">
      <w:pPr>
        <w:pStyle w:val="53"/>
        <w:shd w:val="clear"/>
        <w:rPr>
          <w:rFonts w:hint="eastAsia" w:ascii="宋体" w:hAnsi="宋体" w:eastAsia="宋体" w:cs="宋体"/>
          <w:color w:val="auto"/>
          <w:szCs w:val="24"/>
          <w:highlight w:val="none"/>
        </w:rPr>
      </w:pPr>
    </w:p>
    <w:p w14:paraId="7FD33A41">
      <w:pPr>
        <w:pStyle w:val="53"/>
        <w:shd w:val="clear"/>
        <w:rPr>
          <w:rFonts w:hint="eastAsia" w:ascii="宋体" w:hAnsi="宋体" w:eastAsia="宋体" w:cs="宋体"/>
          <w:color w:val="auto"/>
          <w:szCs w:val="24"/>
          <w:highlight w:val="none"/>
        </w:rPr>
      </w:pPr>
    </w:p>
    <w:p w14:paraId="66B2668E">
      <w:pPr>
        <w:pStyle w:val="53"/>
        <w:shd w:val="clear"/>
        <w:rPr>
          <w:rFonts w:hint="eastAsia" w:ascii="宋体" w:hAnsi="宋体" w:eastAsia="宋体" w:cs="宋体"/>
          <w:color w:val="auto"/>
          <w:szCs w:val="24"/>
          <w:highlight w:val="none"/>
        </w:rPr>
      </w:pPr>
    </w:p>
    <w:p w14:paraId="2CD4AD42">
      <w:pPr>
        <w:pStyle w:val="53"/>
        <w:shd w:val="clear"/>
        <w:rPr>
          <w:rFonts w:hint="eastAsia" w:ascii="宋体" w:hAnsi="宋体" w:eastAsia="宋体" w:cs="宋体"/>
          <w:color w:val="auto"/>
          <w:szCs w:val="24"/>
          <w:highlight w:val="none"/>
        </w:rPr>
      </w:pPr>
    </w:p>
    <w:p w14:paraId="7B49E599">
      <w:pPr>
        <w:pStyle w:val="53"/>
        <w:shd w:val="clear"/>
        <w:rPr>
          <w:rFonts w:hint="eastAsia" w:ascii="宋体" w:hAnsi="宋体" w:eastAsia="宋体" w:cs="宋体"/>
          <w:color w:val="auto"/>
          <w:szCs w:val="24"/>
          <w:highlight w:val="none"/>
        </w:rPr>
      </w:pPr>
    </w:p>
    <w:p w14:paraId="5836889A">
      <w:pPr>
        <w:pStyle w:val="53"/>
        <w:shd w:val="clear"/>
        <w:rPr>
          <w:rFonts w:hint="eastAsia" w:ascii="宋体" w:hAnsi="宋体" w:eastAsia="宋体" w:cs="宋体"/>
          <w:color w:val="auto"/>
          <w:szCs w:val="24"/>
          <w:highlight w:val="none"/>
        </w:rPr>
      </w:pPr>
    </w:p>
    <w:p w14:paraId="49D27AB8">
      <w:pPr>
        <w:pStyle w:val="53"/>
        <w:shd w:val="clear"/>
        <w:rPr>
          <w:rFonts w:hint="eastAsia" w:ascii="宋体" w:hAnsi="宋体" w:eastAsia="宋体" w:cs="宋体"/>
          <w:color w:val="auto"/>
          <w:szCs w:val="24"/>
          <w:highlight w:val="none"/>
        </w:rPr>
      </w:pPr>
    </w:p>
    <w:p w14:paraId="3016AF4C">
      <w:pPr>
        <w:shd w:val="clear"/>
        <w:spacing w:line="300" w:lineRule="exact"/>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end"/>
      </w:r>
    </w:p>
    <w:bookmarkEnd w:id="16"/>
    <w:p w14:paraId="5E4548FC">
      <w:pPr>
        <w:bidi w:val="0"/>
        <w:rPr>
          <w:rFonts w:hint="eastAsia" w:ascii="宋体" w:hAnsi="宋体" w:eastAsia="宋体" w:cs="宋体"/>
          <w:color w:val="auto"/>
          <w:highlight w:val="none"/>
        </w:rPr>
        <w:sectPr>
          <w:pgSz w:w="11906" w:h="16838"/>
          <w:pgMar w:top="1418" w:right="1418" w:bottom="1418" w:left="1418" w:header="851" w:footer="851" w:gutter="0"/>
          <w:pgNumType w:fmt="decimal" w:start="1"/>
          <w:cols w:space="720" w:num="1"/>
          <w:docGrid w:linePitch="312" w:charSpace="0"/>
        </w:sectPr>
      </w:pPr>
    </w:p>
    <w:p w14:paraId="630501DB">
      <w:pPr>
        <w:pStyle w:val="42"/>
        <w:shd w:val="clear"/>
        <w:spacing w:before="0" w:after="0" w:line="360" w:lineRule="auto"/>
        <w:rPr>
          <w:rFonts w:hint="eastAsia" w:ascii="宋体" w:hAnsi="宋体" w:eastAsia="宋体" w:cs="宋体"/>
          <w:color w:val="auto"/>
          <w:sz w:val="36"/>
          <w:szCs w:val="36"/>
          <w:highlight w:val="none"/>
        </w:rPr>
      </w:pPr>
      <w:bookmarkStart w:id="17" w:name="_Toc493956018"/>
      <w:bookmarkStart w:id="18" w:name="_Toc531358959"/>
      <w:bookmarkStart w:id="19" w:name="_Toc8694"/>
      <w:bookmarkStart w:id="20" w:name="_Toc21809"/>
      <w:bookmarkStart w:id="21" w:name="_Toc15688"/>
      <w:bookmarkStart w:id="22" w:name="_Toc530551804"/>
      <w:bookmarkStart w:id="23" w:name="_Toc5120"/>
      <w:bookmarkStart w:id="24" w:name="_Toc1527"/>
      <w:bookmarkStart w:id="25" w:name="_Toc97212954"/>
      <w:r>
        <w:rPr>
          <w:rFonts w:hint="eastAsia" w:ascii="宋体" w:hAnsi="宋体" w:eastAsia="宋体" w:cs="宋体"/>
          <w:color w:val="auto"/>
          <w:sz w:val="36"/>
          <w:szCs w:val="36"/>
          <w:highlight w:val="none"/>
        </w:rPr>
        <w:t xml:space="preserve">第一章  </w:t>
      </w:r>
      <w:bookmarkEnd w:id="17"/>
      <w:r>
        <w:rPr>
          <w:rFonts w:hint="eastAsia" w:ascii="宋体" w:hAnsi="宋体" w:eastAsia="宋体" w:cs="宋体"/>
          <w:color w:val="auto"/>
          <w:sz w:val="36"/>
          <w:szCs w:val="36"/>
          <w:highlight w:val="none"/>
        </w:rPr>
        <w:t>招标公告</w:t>
      </w:r>
      <w:bookmarkEnd w:id="18"/>
      <w:bookmarkEnd w:id="19"/>
      <w:bookmarkEnd w:id="20"/>
      <w:bookmarkEnd w:id="21"/>
      <w:bookmarkEnd w:id="22"/>
      <w:bookmarkEnd w:id="23"/>
      <w:bookmarkEnd w:id="24"/>
      <w:bookmarkEnd w:id="25"/>
    </w:p>
    <w:p w14:paraId="6276EDE8">
      <w:pPr>
        <w:pBdr>
          <w:top w:val="single" w:color="auto" w:sz="4" w:space="1"/>
          <w:left w:val="single" w:color="auto" w:sz="4" w:space="4"/>
          <w:bottom w:val="single" w:color="auto" w:sz="4" w:space="1"/>
          <w:right w:val="single" w:color="auto" w:sz="4" w:space="2"/>
        </w:pBdr>
        <w:shd w:val="clear"/>
        <w:wordWrap w:val="0"/>
        <w:spacing w:line="440" w:lineRule="exact"/>
        <w:rPr>
          <w:rFonts w:hint="eastAsia" w:ascii="宋体" w:hAnsi="宋体" w:eastAsia="宋体" w:cs="宋体"/>
          <w:color w:val="auto"/>
          <w:sz w:val="24"/>
          <w:szCs w:val="24"/>
          <w:highlight w:val="none"/>
        </w:rPr>
      </w:pPr>
      <w:bookmarkStart w:id="26" w:name="_Toc28359002"/>
      <w:bookmarkStart w:id="27" w:name="_Toc28359079"/>
      <w:bookmarkStart w:id="28" w:name="_Toc35393790"/>
      <w:bookmarkStart w:id="29" w:name="_Toc35393621"/>
      <w:bookmarkStart w:id="30" w:name="_Hlk24379207"/>
      <w:bookmarkStart w:id="31" w:name="EBf1e27c6183244f4a8f3fc355defd653e"/>
      <w:r>
        <w:rPr>
          <w:rFonts w:hint="eastAsia" w:ascii="宋体" w:hAnsi="宋体" w:eastAsia="宋体" w:cs="宋体"/>
          <w:color w:val="auto"/>
          <w:sz w:val="24"/>
          <w:szCs w:val="24"/>
          <w:highlight w:val="none"/>
        </w:rPr>
        <w:t>项目概况：</w:t>
      </w:r>
    </w:p>
    <w:p w14:paraId="1252EBD3">
      <w:pPr>
        <w:pBdr>
          <w:top w:val="single" w:color="auto" w:sz="4" w:space="1"/>
          <w:left w:val="single" w:color="auto" w:sz="4" w:space="4"/>
          <w:bottom w:val="single" w:color="auto" w:sz="4" w:space="1"/>
          <w:right w:val="single" w:color="auto" w:sz="4" w:space="2"/>
        </w:pBdr>
        <w:shd w:val="clea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丽水市机动车驾驶员考试中心新能源考训车采购项目</w:t>
      </w:r>
      <w:r>
        <w:rPr>
          <w:rFonts w:hint="eastAsia" w:ascii="宋体" w:hAnsi="宋体" w:eastAsia="宋体" w:cs="宋体"/>
          <w:color w:val="auto"/>
          <w:sz w:val="24"/>
          <w:szCs w:val="24"/>
          <w:highlight w:val="none"/>
        </w:rPr>
        <w:t>的潜在供应商应在浙江政府采购网（</w:t>
      </w:r>
      <w:r>
        <w:rPr>
          <w:rStyle w:val="51"/>
          <w:rFonts w:hint="eastAsia" w:ascii="宋体" w:hAnsi="宋体" w:eastAsia="宋体" w:cs="宋体"/>
          <w:b/>
          <w:color w:val="auto"/>
          <w:sz w:val="24"/>
          <w:szCs w:val="24"/>
          <w:highlight w:val="none"/>
        </w:rPr>
        <w:t>zfcg.czt.zj.gov.cn</w:t>
      </w:r>
      <w:r>
        <w:rPr>
          <w:rFonts w:hint="eastAsia" w:ascii="宋体" w:hAnsi="宋体" w:eastAsia="宋体" w:cs="宋体"/>
          <w:color w:val="auto"/>
          <w:sz w:val="24"/>
          <w:szCs w:val="24"/>
          <w:highlight w:val="none"/>
        </w:rPr>
        <w:t>）采购公告附件中自行获取采购文件，并于</w:t>
      </w:r>
      <w:r>
        <w:rPr>
          <w:rFonts w:hint="eastAsia" w:ascii="宋体" w:hAnsi="宋体" w:eastAsia="宋体" w:cs="宋体"/>
          <w:b/>
          <w:bCs w:val="0"/>
          <w:snapToGrid w:val="0"/>
          <w:color w:val="auto"/>
          <w:sz w:val="24"/>
          <w:szCs w:val="24"/>
          <w:highlight w:val="none"/>
          <w:u w:val="single"/>
          <w:lang w:eastAsia="zh-CN"/>
        </w:rPr>
        <w:t>2025年</w:t>
      </w:r>
      <w:r>
        <w:rPr>
          <w:rFonts w:hint="eastAsia" w:ascii="宋体" w:hAnsi="宋体" w:cs="宋体"/>
          <w:b/>
          <w:bCs w:val="0"/>
          <w:snapToGrid w:val="0"/>
          <w:color w:val="auto"/>
          <w:sz w:val="24"/>
          <w:szCs w:val="24"/>
          <w:highlight w:val="none"/>
          <w:u w:val="single"/>
          <w:lang w:val="en-US" w:eastAsia="zh-CN"/>
        </w:rPr>
        <w:t>08</w:t>
      </w:r>
      <w:r>
        <w:rPr>
          <w:rFonts w:hint="eastAsia" w:ascii="宋体" w:hAnsi="宋体" w:eastAsia="宋体" w:cs="宋体"/>
          <w:b/>
          <w:bCs w:val="0"/>
          <w:snapToGrid w:val="0"/>
          <w:color w:val="auto"/>
          <w:sz w:val="24"/>
          <w:szCs w:val="24"/>
          <w:highlight w:val="none"/>
          <w:u w:val="single"/>
          <w:lang w:eastAsia="zh-CN"/>
        </w:rPr>
        <w:t>月</w:t>
      </w:r>
      <w:r>
        <w:rPr>
          <w:rFonts w:hint="eastAsia" w:ascii="宋体" w:hAnsi="宋体" w:cs="宋体"/>
          <w:b/>
          <w:bCs w:val="0"/>
          <w:snapToGrid w:val="0"/>
          <w:color w:val="auto"/>
          <w:sz w:val="24"/>
          <w:szCs w:val="24"/>
          <w:highlight w:val="none"/>
          <w:u w:val="single"/>
          <w:lang w:val="en-US" w:eastAsia="zh-CN"/>
        </w:rPr>
        <w:t>08</w:t>
      </w:r>
      <w:r>
        <w:rPr>
          <w:rFonts w:hint="eastAsia" w:ascii="宋体" w:hAnsi="宋体" w:eastAsia="宋体" w:cs="宋体"/>
          <w:b/>
          <w:bCs w:val="0"/>
          <w:snapToGrid w:val="0"/>
          <w:color w:val="auto"/>
          <w:sz w:val="24"/>
          <w:szCs w:val="24"/>
          <w:highlight w:val="none"/>
          <w:u w:val="single"/>
          <w:lang w:eastAsia="zh-CN"/>
        </w:rPr>
        <w:t>日09:00</w:t>
      </w:r>
      <w:r>
        <w:rPr>
          <w:rFonts w:hint="eastAsia" w:ascii="宋体" w:hAnsi="宋体" w:eastAsia="宋体" w:cs="宋体"/>
          <w:bCs/>
          <w:color w:val="auto"/>
          <w:sz w:val="24"/>
          <w:szCs w:val="24"/>
          <w:highlight w:val="none"/>
        </w:rPr>
        <w:t>（北京时间）前提交（上传）响应文件。</w:t>
      </w:r>
    </w:p>
    <w:p w14:paraId="67E5E2A8">
      <w:pPr>
        <w:shd w:val="clear"/>
        <w:wordWrap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bookmarkEnd w:id="26"/>
      <w:bookmarkEnd w:id="27"/>
      <w:bookmarkEnd w:id="28"/>
      <w:bookmarkEnd w:id="29"/>
    </w:p>
    <w:bookmarkEnd w:id="30"/>
    <w:p w14:paraId="4089A4C5">
      <w:pPr>
        <w:shd w:val="clear"/>
        <w:wordWrap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bCs/>
          <w:snapToGrid w:val="0"/>
          <w:color w:val="auto"/>
          <w:sz w:val="24"/>
          <w:szCs w:val="24"/>
          <w:highlight w:val="none"/>
          <w:lang w:eastAsia="zh-CN"/>
        </w:rPr>
        <w:t>浙鼎峰招[2025]137号</w:t>
      </w:r>
    </w:p>
    <w:p w14:paraId="0AFFA6B5">
      <w:pPr>
        <w:shd w:val="clear"/>
        <w:wordWrap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丽水市机动车驾驶员考试中心新能源考训车采购项目</w:t>
      </w:r>
    </w:p>
    <w:p w14:paraId="41124467">
      <w:pPr>
        <w:shd w:val="clear"/>
        <w:wordWrap w:val="0"/>
        <w:spacing w:line="440" w:lineRule="exact"/>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采购方式：公开招标</w:t>
      </w:r>
    </w:p>
    <w:p w14:paraId="4D2E974F">
      <w:pPr>
        <w:shd w:val="clear"/>
        <w:wordWrap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1140000</w:t>
      </w:r>
    </w:p>
    <w:p w14:paraId="134E0C95">
      <w:pPr>
        <w:shd w:val="clear"/>
        <w:wordWrap w:val="0"/>
        <w:spacing w:line="440" w:lineRule="exact"/>
        <w:ind w:firstLine="480"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1080000</w:t>
      </w:r>
    </w:p>
    <w:p w14:paraId="68F01992">
      <w:pPr>
        <w:shd w:val="clea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采购需求：见招标文件第二章</w:t>
      </w:r>
    </w:p>
    <w:p w14:paraId="2E4138F0">
      <w:pPr>
        <w:shd w:val="clea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简要规格描述或项目基本概况介绍、用途：见招标文件第二章</w:t>
      </w:r>
    </w:p>
    <w:p w14:paraId="5933556B">
      <w:pPr>
        <w:shd w:val="clear"/>
        <w:wordWrap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eastAsia="宋体" w:cs="宋体"/>
          <w:bCs/>
          <w:snapToGrid w:val="0"/>
          <w:color w:val="auto"/>
          <w:sz w:val="24"/>
          <w:szCs w:val="24"/>
          <w:highlight w:val="none"/>
          <w:lang w:val="en-US" w:eastAsia="zh-CN"/>
        </w:rPr>
        <w:t>/</w:t>
      </w:r>
    </w:p>
    <w:p w14:paraId="09BDC130">
      <w:pPr>
        <w:shd w:val="clear"/>
        <w:wordWrap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合同履行期限：见招标文件第二章</w:t>
      </w:r>
    </w:p>
    <w:p w14:paraId="316EDA0C">
      <w:pPr>
        <w:shd w:val="clear"/>
        <w:wordWrap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sym w:font="Wingdings" w:char="00FE"/>
      </w:r>
      <w:r>
        <w:rPr>
          <w:rFonts w:hint="eastAsia" w:ascii="宋体" w:hAnsi="宋体" w:eastAsia="宋体" w:cs="宋体"/>
          <w:b w:val="0"/>
          <w:bCs w:val="0"/>
          <w:color w:val="auto"/>
          <w:sz w:val="24"/>
          <w:szCs w:val="24"/>
          <w:highlight w:val="none"/>
        </w:rPr>
        <w:t>是</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sym w:font="Wingdings" w:char="00A8"/>
      </w:r>
      <w:r>
        <w:rPr>
          <w:rFonts w:hint="eastAsia" w:ascii="宋体" w:hAnsi="宋体" w:eastAsia="宋体" w:cs="宋体"/>
          <w:b w:val="0"/>
          <w:bCs w:val="0"/>
          <w:color w:val="auto"/>
          <w:sz w:val="24"/>
          <w:szCs w:val="24"/>
          <w:highlight w:val="none"/>
          <w:lang w:val="en-US" w:eastAsia="zh-CN"/>
        </w:rPr>
        <w:t>否</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接受联合体投标。</w:t>
      </w:r>
    </w:p>
    <w:p w14:paraId="59FBDA89">
      <w:pPr>
        <w:shd w:val="clear"/>
        <w:wordWrap w:val="0"/>
        <w:spacing w:line="440" w:lineRule="exact"/>
        <w:jc w:val="left"/>
        <w:rPr>
          <w:rFonts w:hint="eastAsia" w:ascii="宋体" w:hAnsi="宋体" w:eastAsia="宋体" w:cs="宋体"/>
          <w:b/>
          <w:color w:val="auto"/>
          <w:sz w:val="24"/>
          <w:szCs w:val="24"/>
          <w:highlight w:val="none"/>
        </w:rPr>
      </w:pPr>
      <w:bookmarkStart w:id="32" w:name="_Toc28359003"/>
      <w:bookmarkStart w:id="33" w:name="_Toc35393791"/>
      <w:bookmarkStart w:id="34" w:name="_Toc35393622"/>
      <w:bookmarkStart w:id="35" w:name="_Toc28359080"/>
      <w:r>
        <w:rPr>
          <w:rFonts w:hint="eastAsia" w:ascii="宋体" w:hAnsi="宋体" w:eastAsia="宋体" w:cs="宋体"/>
          <w:b/>
          <w:color w:val="auto"/>
          <w:sz w:val="24"/>
          <w:szCs w:val="24"/>
          <w:highlight w:val="none"/>
        </w:rPr>
        <w:t>二、申请人的资格要求</w:t>
      </w:r>
      <w:bookmarkEnd w:id="32"/>
      <w:bookmarkEnd w:id="33"/>
      <w:bookmarkEnd w:id="34"/>
      <w:bookmarkEnd w:id="35"/>
    </w:p>
    <w:p w14:paraId="73536157">
      <w:pPr>
        <w:shd w:val="clear"/>
        <w:wordWrap w:val="0"/>
        <w:spacing w:line="440" w:lineRule="exact"/>
        <w:ind w:firstLine="480" w:firstLineChars="200"/>
        <w:rPr>
          <w:rFonts w:hint="eastAsia" w:ascii="宋体" w:hAnsi="宋体" w:eastAsia="宋体" w:cs="宋体"/>
          <w:color w:val="auto"/>
          <w:sz w:val="24"/>
          <w:szCs w:val="24"/>
          <w:highlight w:val="none"/>
        </w:rPr>
      </w:pPr>
      <w:bookmarkStart w:id="36" w:name="_Toc28359004"/>
      <w:bookmarkStart w:id="37" w:name="_Toc28359081"/>
      <w:bookmarkStart w:id="38" w:name="_Toc35393623"/>
      <w:bookmarkStart w:id="39" w:name="_Toc35393792"/>
      <w:r>
        <w:rPr>
          <w:rFonts w:hint="eastAsia" w:ascii="宋体" w:hAnsi="宋体" w:eastAsia="宋体" w:cs="宋体"/>
          <w:color w:val="auto"/>
          <w:sz w:val="24"/>
          <w:szCs w:val="24"/>
          <w:highlight w:val="none"/>
        </w:rPr>
        <w:t>1. 满足《中华人民共和国政府采购法》第二十二条规定；未被“信用中国”网站（</w:t>
      </w:r>
      <w:r>
        <w:rPr>
          <w:rFonts w:hint="eastAsia" w:ascii="宋体" w:hAnsi="宋体" w:eastAsia="宋体" w:cs="宋体"/>
          <w:b/>
          <w:color w:val="auto"/>
          <w:sz w:val="24"/>
          <w:szCs w:val="24"/>
          <w:highlight w:val="none"/>
          <w:u w:val="single"/>
        </w:rPr>
        <w:t>www.creditchina.gov.cn</w:t>
      </w:r>
      <w:r>
        <w:rPr>
          <w:rFonts w:hint="eastAsia" w:ascii="宋体" w:hAnsi="宋体" w:eastAsia="宋体" w:cs="宋体"/>
          <w:color w:val="auto"/>
          <w:sz w:val="24"/>
          <w:szCs w:val="24"/>
          <w:highlight w:val="none"/>
        </w:rPr>
        <w:t>）、中国政府采购网（</w:t>
      </w:r>
      <w:r>
        <w:rPr>
          <w:rFonts w:hint="eastAsia" w:ascii="宋体" w:hAnsi="宋体" w:eastAsia="宋体" w:cs="宋体"/>
          <w:b/>
          <w:color w:val="auto"/>
          <w:sz w:val="24"/>
          <w:szCs w:val="24"/>
          <w:highlight w:val="none"/>
          <w:u w:val="single"/>
        </w:rPr>
        <w:t>www.ccgp.gov.cn</w:t>
      </w:r>
      <w:r>
        <w:rPr>
          <w:rFonts w:hint="eastAsia" w:ascii="宋体" w:hAnsi="宋体" w:eastAsia="宋体" w:cs="宋体"/>
          <w:color w:val="auto"/>
          <w:sz w:val="24"/>
          <w:szCs w:val="24"/>
          <w:highlight w:val="none"/>
        </w:rPr>
        <w:t>）列入失信被执行人、重大税收违法当事人名单、政府采购严重违法失信行为记录名单；</w:t>
      </w:r>
    </w:p>
    <w:p w14:paraId="3892FCA3">
      <w:pPr>
        <w:shd w:val="clear"/>
        <w:tabs>
          <w:tab w:val="left" w:pos="208"/>
        </w:tabs>
        <w:wordWrap w:val="0"/>
        <w:spacing w:line="440" w:lineRule="exact"/>
        <w:ind w:firstLine="480" w:firstLineChars="200"/>
        <w:rPr>
          <w:rFonts w:hint="eastAsia" w:ascii="宋体" w:hAnsi="宋体" w:eastAsia="宋体" w:cs="宋体"/>
          <w:color w:val="auto"/>
          <w:spacing w:val="8"/>
          <w:kern w:val="0"/>
          <w:sz w:val="24"/>
          <w:highlight w:val="none"/>
          <w:lang w:eastAsia="zh-CN"/>
        </w:rPr>
      </w:pPr>
      <w:r>
        <w:rPr>
          <w:rFonts w:hint="eastAsia" w:ascii="宋体" w:hAnsi="宋体" w:eastAsia="宋体" w:cs="宋体"/>
          <w:color w:val="auto"/>
          <w:sz w:val="24"/>
          <w:szCs w:val="24"/>
          <w:highlight w:val="none"/>
        </w:rPr>
        <w:t>2. 落实政府采购政策需满足的资格要求：</w:t>
      </w:r>
      <w:r>
        <w:rPr>
          <w:rFonts w:hint="eastAsia" w:ascii="宋体" w:hAnsi="宋体" w:eastAsia="宋体" w:cs="宋体"/>
          <w:b/>
          <w:bCs/>
          <w:color w:val="auto"/>
          <w:sz w:val="24"/>
          <w:szCs w:val="24"/>
          <w:highlight w:val="none"/>
          <w:lang w:val="en-US" w:eastAsia="zh-CN"/>
        </w:rPr>
        <w:t>无</w:t>
      </w:r>
      <w:r>
        <w:rPr>
          <w:rFonts w:hint="eastAsia" w:ascii="宋体" w:hAnsi="宋体" w:eastAsia="宋体" w:cs="宋体"/>
          <w:color w:val="auto"/>
          <w:sz w:val="24"/>
          <w:highlight w:val="none"/>
        </w:rPr>
        <w:t>；</w:t>
      </w:r>
    </w:p>
    <w:p w14:paraId="36944374">
      <w:pPr>
        <w:numPr>
          <w:ilvl w:val="0"/>
          <w:numId w:val="0"/>
        </w:numPr>
        <w:shd w:val="clear"/>
        <w:wordWrap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bCs/>
          <w:snapToGrid w:val="0"/>
          <w:color w:val="auto"/>
          <w:kern w:val="2"/>
          <w:sz w:val="24"/>
          <w:szCs w:val="24"/>
          <w:highlight w:val="none"/>
          <w:lang w:val="en-US" w:eastAsia="zh-CN" w:bidi="ar-SA"/>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b/>
          <w:bCs/>
          <w:color w:val="auto"/>
          <w:sz w:val="24"/>
          <w:szCs w:val="24"/>
          <w:highlight w:val="none"/>
          <w:lang w:val="en-US" w:eastAsia="zh-CN"/>
        </w:rPr>
        <w:t>无</w:t>
      </w:r>
      <w:r>
        <w:rPr>
          <w:rFonts w:hint="eastAsia" w:ascii="宋体" w:hAnsi="宋体" w:eastAsia="宋体" w:cs="宋体"/>
          <w:color w:val="auto"/>
          <w:sz w:val="24"/>
          <w:szCs w:val="24"/>
          <w:highlight w:val="none"/>
        </w:rPr>
        <w:t>。</w:t>
      </w:r>
    </w:p>
    <w:bookmarkEnd w:id="36"/>
    <w:bookmarkEnd w:id="37"/>
    <w:bookmarkEnd w:id="38"/>
    <w:bookmarkEnd w:id="39"/>
    <w:p w14:paraId="76B54750">
      <w:pPr>
        <w:shd w:val="clear"/>
        <w:wordWrap w:val="0"/>
        <w:spacing w:line="440" w:lineRule="exact"/>
        <w:ind w:firstLine="241" w:firstLineChars="1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p>
    <w:p w14:paraId="4D421F8F">
      <w:pPr>
        <w:shd w:val="clea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至</w:t>
      </w:r>
      <w:r>
        <w:rPr>
          <w:rFonts w:hint="eastAsia" w:ascii="宋体" w:hAnsi="宋体" w:eastAsia="宋体" w:cs="宋体"/>
          <w:b/>
          <w:bCs w:val="0"/>
          <w:snapToGrid w:val="0"/>
          <w:color w:val="auto"/>
          <w:sz w:val="24"/>
          <w:szCs w:val="24"/>
          <w:highlight w:val="none"/>
          <w:u w:val="single"/>
          <w:lang w:eastAsia="zh-CN"/>
        </w:rPr>
        <w:t>2025年</w:t>
      </w:r>
      <w:r>
        <w:rPr>
          <w:rFonts w:hint="eastAsia" w:ascii="宋体" w:hAnsi="宋体" w:cs="宋体"/>
          <w:b/>
          <w:bCs w:val="0"/>
          <w:snapToGrid w:val="0"/>
          <w:color w:val="auto"/>
          <w:sz w:val="24"/>
          <w:szCs w:val="24"/>
          <w:highlight w:val="none"/>
          <w:u w:val="single"/>
          <w:lang w:val="en-US" w:eastAsia="zh-CN"/>
        </w:rPr>
        <w:t>08</w:t>
      </w:r>
      <w:r>
        <w:rPr>
          <w:rFonts w:hint="eastAsia" w:ascii="宋体" w:hAnsi="宋体" w:eastAsia="宋体" w:cs="宋体"/>
          <w:b/>
          <w:bCs w:val="0"/>
          <w:snapToGrid w:val="0"/>
          <w:color w:val="auto"/>
          <w:sz w:val="24"/>
          <w:szCs w:val="24"/>
          <w:highlight w:val="none"/>
          <w:u w:val="single"/>
          <w:lang w:eastAsia="zh-CN"/>
        </w:rPr>
        <w:t>月</w:t>
      </w:r>
      <w:r>
        <w:rPr>
          <w:rFonts w:hint="eastAsia" w:ascii="宋体" w:hAnsi="宋体" w:cs="宋体"/>
          <w:b/>
          <w:bCs w:val="0"/>
          <w:snapToGrid w:val="0"/>
          <w:color w:val="auto"/>
          <w:sz w:val="24"/>
          <w:szCs w:val="24"/>
          <w:highlight w:val="none"/>
          <w:u w:val="single"/>
          <w:lang w:val="en-US" w:eastAsia="zh-CN"/>
        </w:rPr>
        <w:t>08</w:t>
      </w:r>
      <w:r>
        <w:rPr>
          <w:rFonts w:hint="eastAsia" w:ascii="宋体" w:hAnsi="宋体" w:eastAsia="宋体" w:cs="宋体"/>
          <w:b/>
          <w:bCs w:val="0"/>
          <w:snapToGrid w:val="0"/>
          <w:color w:val="auto"/>
          <w:sz w:val="24"/>
          <w:szCs w:val="24"/>
          <w:highlight w:val="none"/>
          <w:u w:val="single"/>
          <w:lang w:eastAsia="zh-CN"/>
        </w:rPr>
        <w:t>日</w:t>
      </w:r>
      <w:r>
        <w:rPr>
          <w:rFonts w:hint="eastAsia" w:ascii="宋体" w:hAnsi="宋体" w:eastAsia="宋体" w:cs="宋体"/>
          <w:color w:val="auto"/>
          <w:sz w:val="24"/>
          <w:szCs w:val="24"/>
          <w:highlight w:val="none"/>
        </w:rPr>
        <w:t>，每天上午</w:t>
      </w:r>
      <w:r>
        <w:rPr>
          <w:rFonts w:hint="eastAsia" w:ascii="宋体" w:hAnsi="宋体" w:eastAsia="宋体" w:cs="宋体"/>
          <w:bCs/>
          <w:snapToGrid w:val="0"/>
          <w:color w:val="auto"/>
          <w:sz w:val="24"/>
          <w:szCs w:val="24"/>
          <w:highlight w:val="none"/>
        </w:rPr>
        <w:t>00:00至12:00</w:t>
      </w:r>
      <w:r>
        <w:rPr>
          <w:rFonts w:hint="eastAsia" w:ascii="宋体" w:hAnsi="宋体" w:eastAsia="宋体" w:cs="宋体"/>
          <w:color w:val="auto"/>
          <w:sz w:val="24"/>
          <w:szCs w:val="24"/>
          <w:highlight w:val="none"/>
        </w:rPr>
        <w:t>，下午</w:t>
      </w:r>
      <w:r>
        <w:rPr>
          <w:rFonts w:hint="eastAsia" w:ascii="宋体" w:hAnsi="宋体" w:eastAsia="宋体" w:cs="宋体"/>
          <w:bCs/>
          <w:snapToGrid w:val="0"/>
          <w:color w:val="auto"/>
          <w:sz w:val="24"/>
          <w:szCs w:val="24"/>
          <w:highlight w:val="none"/>
        </w:rPr>
        <w:t>12:00至23:59（</w:t>
      </w:r>
      <w:r>
        <w:rPr>
          <w:rFonts w:hint="eastAsia" w:ascii="宋体" w:hAnsi="宋体" w:eastAsia="宋体" w:cs="宋体"/>
          <w:color w:val="auto"/>
          <w:sz w:val="24"/>
          <w:szCs w:val="24"/>
          <w:highlight w:val="none"/>
        </w:rPr>
        <w:t>北京时间，线上获取法定节假日均可，线下获取文件法定节假日除外）</w:t>
      </w:r>
    </w:p>
    <w:p w14:paraId="64F48C7A">
      <w:pPr>
        <w:shd w:val="clea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地点（网址）：浙江政府采购网（</w:t>
      </w:r>
      <w:r>
        <w:rPr>
          <w:rFonts w:hint="eastAsia" w:ascii="宋体" w:hAnsi="宋体" w:eastAsia="宋体" w:cs="宋体"/>
          <w:color w:val="auto"/>
          <w:sz w:val="24"/>
          <w:highlight w:val="none"/>
        </w:rPr>
        <w:t>zfcg.czt.zj.gov.cn</w:t>
      </w:r>
      <w:r>
        <w:rPr>
          <w:rFonts w:hint="eastAsia" w:ascii="宋体" w:hAnsi="宋体" w:eastAsia="宋体" w:cs="宋体"/>
          <w:color w:val="auto"/>
          <w:sz w:val="24"/>
          <w:szCs w:val="24"/>
          <w:highlight w:val="none"/>
        </w:rPr>
        <w:t>）公告附件</w:t>
      </w:r>
    </w:p>
    <w:p w14:paraId="5212507A">
      <w:pPr>
        <w:shd w:val="clear"/>
        <w:wordWrap w:val="0"/>
        <w:spacing w:line="440" w:lineRule="exact"/>
        <w:ind w:firstLine="480" w:firstLineChars="200"/>
        <w:rPr>
          <w:rFonts w:hint="eastAsia" w:ascii="宋体" w:hAnsi="宋体" w:eastAsia="宋体" w:cs="宋体"/>
          <w:bCs/>
          <w:strike/>
          <w:snapToGrid w:val="0"/>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14:paraId="4C708B33">
      <w:pPr>
        <w:shd w:val="clea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28A4BE04">
      <w:pPr>
        <w:shd w:val="clear"/>
        <w:wordWrap w:val="0"/>
        <w:spacing w:line="440" w:lineRule="exact"/>
        <w:rPr>
          <w:rFonts w:hint="eastAsia" w:ascii="宋体" w:hAnsi="宋体" w:eastAsia="宋体" w:cs="宋体"/>
          <w:b/>
          <w:color w:val="auto"/>
          <w:sz w:val="24"/>
          <w:szCs w:val="24"/>
          <w:highlight w:val="none"/>
        </w:rPr>
      </w:pPr>
      <w:bookmarkStart w:id="40" w:name="_Toc28359084"/>
      <w:bookmarkStart w:id="41" w:name="_Toc35393625"/>
      <w:bookmarkStart w:id="42" w:name="_Toc35393794"/>
      <w:bookmarkStart w:id="43" w:name="_Toc28359007"/>
      <w:r>
        <w:rPr>
          <w:rFonts w:hint="eastAsia" w:ascii="宋体" w:hAnsi="宋体" w:eastAsia="宋体" w:cs="宋体"/>
          <w:b/>
          <w:color w:val="auto"/>
          <w:sz w:val="24"/>
          <w:szCs w:val="24"/>
          <w:highlight w:val="none"/>
        </w:rPr>
        <w:t>四、提交投标文件截止时间、开标时间和地点</w:t>
      </w:r>
    </w:p>
    <w:p w14:paraId="14DA7DC5">
      <w:pPr>
        <w:shd w:val="clear"/>
        <w:wordWrap w:val="0"/>
        <w:spacing w:line="44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提交投标文件截止时间：</w:t>
      </w:r>
      <w:r>
        <w:rPr>
          <w:rFonts w:hint="eastAsia" w:ascii="宋体" w:hAnsi="宋体" w:eastAsia="宋体" w:cs="宋体"/>
          <w:b/>
          <w:bCs w:val="0"/>
          <w:snapToGrid w:val="0"/>
          <w:color w:val="auto"/>
          <w:sz w:val="24"/>
          <w:szCs w:val="24"/>
          <w:highlight w:val="none"/>
          <w:u w:val="single"/>
          <w:lang w:eastAsia="zh-CN"/>
        </w:rPr>
        <w:t>2025年</w:t>
      </w:r>
      <w:r>
        <w:rPr>
          <w:rFonts w:hint="eastAsia" w:ascii="宋体" w:hAnsi="宋体" w:eastAsia="宋体" w:cs="宋体"/>
          <w:b/>
          <w:bCs w:val="0"/>
          <w:snapToGrid w:val="0"/>
          <w:color w:val="auto"/>
          <w:sz w:val="24"/>
          <w:szCs w:val="24"/>
          <w:highlight w:val="none"/>
          <w:u w:val="single"/>
          <w:lang w:val="en-US" w:eastAsia="zh-CN"/>
        </w:rPr>
        <w:t>08</w:t>
      </w:r>
      <w:r>
        <w:rPr>
          <w:rFonts w:hint="eastAsia" w:ascii="宋体" w:hAnsi="宋体" w:eastAsia="宋体" w:cs="宋体"/>
          <w:b/>
          <w:bCs w:val="0"/>
          <w:snapToGrid w:val="0"/>
          <w:color w:val="auto"/>
          <w:sz w:val="24"/>
          <w:szCs w:val="24"/>
          <w:highlight w:val="none"/>
          <w:u w:val="single"/>
          <w:lang w:eastAsia="zh-CN"/>
        </w:rPr>
        <w:t>月</w:t>
      </w:r>
      <w:r>
        <w:rPr>
          <w:rFonts w:hint="eastAsia" w:ascii="宋体" w:hAnsi="宋体" w:eastAsia="宋体" w:cs="宋体"/>
          <w:b/>
          <w:bCs w:val="0"/>
          <w:snapToGrid w:val="0"/>
          <w:color w:val="auto"/>
          <w:sz w:val="24"/>
          <w:szCs w:val="24"/>
          <w:highlight w:val="none"/>
          <w:u w:val="single"/>
          <w:lang w:val="en-US" w:eastAsia="zh-CN"/>
        </w:rPr>
        <w:t>08</w:t>
      </w:r>
      <w:r>
        <w:rPr>
          <w:rFonts w:hint="eastAsia" w:ascii="宋体" w:hAnsi="宋体" w:eastAsia="宋体" w:cs="宋体"/>
          <w:b/>
          <w:bCs w:val="0"/>
          <w:snapToGrid w:val="0"/>
          <w:color w:val="auto"/>
          <w:sz w:val="24"/>
          <w:szCs w:val="24"/>
          <w:highlight w:val="none"/>
          <w:u w:val="single"/>
          <w:lang w:eastAsia="zh-CN"/>
        </w:rPr>
        <w:t>日09:00</w:t>
      </w:r>
      <w:r>
        <w:rPr>
          <w:rFonts w:hint="eastAsia" w:ascii="宋体" w:hAnsi="宋体" w:eastAsia="宋体" w:cs="宋体"/>
          <w:bCs/>
          <w:color w:val="auto"/>
          <w:sz w:val="24"/>
          <w:szCs w:val="24"/>
          <w:highlight w:val="none"/>
        </w:rPr>
        <w:t>（北京时间）</w:t>
      </w:r>
    </w:p>
    <w:p w14:paraId="5B1032D4">
      <w:pPr>
        <w:shd w:val="clear"/>
        <w:wordWrap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p>
    <w:p w14:paraId="3F7ED693">
      <w:pPr>
        <w:keepNext w:val="0"/>
        <w:keepLines w:val="0"/>
        <w:pageBreakBefore w:val="0"/>
        <w:widowControl w:val="0"/>
        <w:shd w:val="clear"/>
        <w:kinsoku/>
        <w:wordWrap w:val="0"/>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电子加密投标文件：在“</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”上传提交，“电子加密投标文件”成功上传提交后，投标人自行打印投标文件接收回执；</w:t>
      </w:r>
    </w:p>
    <w:p w14:paraId="132ED176">
      <w:pPr>
        <w:keepNext w:val="0"/>
        <w:keepLines w:val="0"/>
        <w:pageBreakBefore w:val="0"/>
        <w:widowControl w:val="0"/>
        <w:shd w:val="clear"/>
        <w:kinsoku/>
        <w:wordWrap w:val="0"/>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备份投标文件：投标人自行确定是否提交；若提交请将备份投标文件以电子邮件的形式发送至（</w:t>
      </w:r>
      <w:r>
        <w:rPr>
          <w:rFonts w:hint="eastAsia" w:ascii="宋体" w:hAnsi="宋体" w:eastAsia="宋体" w:cs="宋体"/>
          <w:color w:val="auto"/>
          <w:sz w:val="24"/>
          <w:szCs w:val="24"/>
          <w:highlight w:val="none"/>
          <w:lang w:eastAsia="zh-CN"/>
        </w:rPr>
        <w:t>312740844@qq.com</w:t>
      </w:r>
      <w:r>
        <w:rPr>
          <w:rFonts w:hint="eastAsia" w:ascii="宋体" w:hAnsi="宋体" w:eastAsia="宋体" w:cs="宋体"/>
          <w:color w:val="auto"/>
          <w:sz w:val="24"/>
          <w:szCs w:val="24"/>
          <w:highlight w:val="none"/>
        </w:rPr>
        <w:t>），备份投标文件在“电子加密投标文件”在线解密失败后启用，否则不予以启用；未在规定时间内发送备份投标文件造成的响应无效或失败由供应商自行承当。</w:t>
      </w:r>
    </w:p>
    <w:p w14:paraId="206C0DAA">
      <w:pPr>
        <w:keepNext w:val="0"/>
        <w:keepLines w:val="0"/>
        <w:pageBreakBefore w:val="0"/>
        <w:widowControl w:val="0"/>
        <w:shd w:val="clear"/>
        <w:kinsoku/>
        <w:wordWrap w:val="0"/>
        <w:overflowPunct/>
        <w:topLinePunct w:val="0"/>
        <w:autoSpaceDE/>
        <w:autoSpaceDN/>
        <w:bidi w:val="0"/>
        <w:adjustRightInd/>
        <w:spacing w:line="4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 开标时间：</w:t>
      </w:r>
      <w:r>
        <w:rPr>
          <w:rFonts w:hint="eastAsia" w:ascii="宋体" w:hAnsi="宋体" w:eastAsia="宋体" w:cs="宋体"/>
          <w:b/>
          <w:bCs w:val="0"/>
          <w:snapToGrid w:val="0"/>
          <w:color w:val="auto"/>
          <w:sz w:val="24"/>
          <w:szCs w:val="24"/>
          <w:highlight w:val="none"/>
          <w:u w:val="single"/>
          <w:lang w:eastAsia="zh-CN"/>
        </w:rPr>
        <w:t>2025年</w:t>
      </w:r>
      <w:r>
        <w:rPr>
          <w:rFonts w:hint="eastAsia" w:ascii="宋体" w:hAnsi="宋体" w:eastAsia="宋体" w:cs="宋体"/>
          <w:b/>
          <w:bCs w:val="0"/>
          <w:snapToGrid w:val="0"/>
          <w:color w:val="auto"/>
          <w:sz w:val="24"/>
          <w:szCs w:val="24"/>
          <w:highlight w:val="none"/>
          <w:u w:val="single"/>
          <w:lang w:val="en-US" w:eastAsia="zh-CN"/>
        </w:rPr>
        <w:t>08</w:t>
      </w:r>
      <w:r>
        <w:rPr>
          <w:rFonts w:hint="eastAsia" w:ascii="宋体" w:hAnsi="宋体" w:eastAsia="宋体" w:cs="宋体"/>
          <w:b/>
          <w:bCs w:val="0"/>
          <w:snapToGrid w:val="0"/>
          <w:color w:val="auto"/>
          <w:sz w:val="24"/>
          <w:szCs w:val="24"/>
          <w:highlight w:val="none"/>
          <w:u w:val="single"/>
          <w:lang w:eastAsia="zh-CN"/>
        </w:rPr>
        <w:t>月</w:t>
      </w:r>
      <w:r>
        <w:rPr>
          <w:rFonts w:hint="eastAsia" w:ascii="宋体" w:hAnsi="宋体" w:eastAsia="宋体" w:cs="宋体"/>
          <w:b/>
          <w:bCs w:val="0"/>
          <w:snapToGrid w:val="0"/>
          <w:color w:val="auto"/>
          <w:sz w:val="24"/>
          <w:szCs w:val="24"/>
          <w:highlight w:val="none"/>
          <w:u w:val="single"/>
          <w:lang w:val="en-US" w:eastAsia="zh-CN"/>
        </w:rPr>
        <w:t>08</w:t>
      </w:r>
      <w:r>
        <w:rPr>
          <w:rFonts w:hint="eastAsia" w:ascii="宋体" w:hAnsi="宋体" w:eastAsia="宋体" w:cs="宋体"/>
          <w:b/>
          <w:bCs w:val="0"/>
          <w:snapToGrid w:val="0"/>
          <w:color w:val="auto"/>
          <w:sz w:val="24"/>
          <w:szCs w:val="24"/>
          <w:highlight w:val="none"/>
          <w:u w:val="single"/>
          <w:lang w:eastAsia="zh-CN"/>
        </w:rPr>
        <w:t>日09:00</w:t>
      </w:r>
      <w:r>
        <w:rPr>
          <w:rFonts w:hint="eastAsia" w:ascii="宋体" w:hAnsi="宋体" w:eastAsia="宋体" w:cs="宋体"/>
          <w:bCs/>
          <w:color w:val="auto"/>
          <w:sz w:val="24"/>
          <w:szCs w:val="24"/>
          <w:highlight w:val="none"/>
        </w:rPr>
        <w:t>（北京时间）</w:t>
      </w:r>
    </w:p>
    <w:p w14:paraId="655F77A9">
      <w:pPr>
        <w:keepNext w:val="0"/>
        <w:keepLines w:val="0"/>
        <w:pageBreakBefore w:val="0"/>
        <w:widowControl w:val="0"/>
        <w:shd w:val="clear"/>
        <w:kinsoku/>
        <w:wordWrap w:val="0"/>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4. 开标地点（网址）：浙江政府采购网—用户入驻/登录—用户登录—项目采购—开标评标—进入开标大厅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丽水市人民街615号商会大厦5楼</w:t>
      </w:r>
      <w:r>
        <w:rPr>
          <w:rFonts w:hint="eastAsia" w:ascii="宋体" w:hAnsi="宋体" w:eastAsia="宋体" w:cs="宋体"/>
          <w:bCs/>
          <w:color w:val="auto"/>
          <w:sz w:val="24"/>
          <w:szCs w:val="24"/>
          <w:highlight w:val="none"/>
          <w:lang w:eastAsia="zh-CN"/>
        </w:rPr>
        <w:t>）。</w:t>
      </w:r>
    </w:p>
    <w:p w14:paraId="0CDEAA2B">
      <w:pPr>
        <w:keepNext w:val="0"/>
        <w:keepLines w:val="0"/>
        <w:pageBreakBefore w:val="0"/>
        <w:widowControl w:val="0"/>
        <w:shd w:val="clear"/>
        <w:kinsoku/>
        <w:wordWrap w:val="0"/>
        <w:overflowPunct/>
        <w:topLinePunct w:val="0"/>
        <w:autoSpaceDE/>
        <w:autoSpaceDN/>
        <w:bidi w:val="0"/>
        <w:adjustRightInd/>
        <w:spacing w:line="42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bookmarkEnd w:id="40"/>
      <w:bookmarkEnd w:id="41"/>
      <w:bookmarkEnd w:id="42"/>
      <w:bookmarkEnd w:id="43"/>
    </w:p>
    <w:p w14:paraId="2B4AEA78">
      <w:pPr>
        <w:keepNext w:val="0"/>
        <w:keepLines w:val="0"/>
        <w:pageBreakBefore w:val="0"/>
        <w:widowControl w:val="0"/>
        <w:shd w:val="clear"/>
        <w:kinsoku/>
        <w:wordWrap w:val="0"/>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bCs/>
          <w:snapToGrid w:val="0"/>
          <w:color w:val="auto"/>
          <w:sz w:val="24"/>
          <w:szCs w:val="24"/>
          <w:highlight w:val="none"/>
        </w:rPr>
        <w:t>5</w:t>
      </w:r>
      <w:r>
        <w:rPr>
          <w:rFonts w:hint="eastAsia" w:ascii="宋体" w:hAnsi="宋体" w:eastAsia="宋体" w:cs="宋体"/>
          <w:color w:val="auto"/>
          <w:kern w:val="0"/>
          <w:sz w:val="24"/>
          <w:szCs w:val="24"/>
          <w:highlight w:val="none"/>
        </w:rPr>
        <w:t>个工作日。</w:t>
      </w:r>
    </w:p>
    <w:p w14:paraId="3580D73F">
      <w:pPr>
        <w:keepNext w:val="0"/>
        <w:keepLines w:val="0"/>
        <w:pageBreakBefore w:val="0"/>
        <w:widowControl w:val="0"/>
        <w:shd w:val="clear"/>
        <w:kinsoku/>
        <w:wordWrap w:val="0"/>
        <w:overflowPunct/>
        <w:topLinePunct w:val="0"/>
        <w:autoSpaceDE/>
        <w:autoSpaceDN/>
        <w:bidi w:val="0"/>
        <w:adjustRightInd/>
        <w:spacing w:line="420" w:lineRule="exact"/>
        <w:jc w:val="left"/>
        <w:textAlignment w:val="auto"/>
        <w:rPr>
          <w:rFonts w:hint="eastAsia" w:ascii="宋体" w:hAnsi="宋体" w:eastAsia="宋体" w:cs="宋体"/>
          <w:b/>
          <w:color w:val="auto"/>
          <w:sz w:val="24"/>
          <w:szCs w:val="24"/>
          <w:highlight w:val="none"/>
        </w:rPr>
      </w:pPr>
      <w:bookmarkStart w:id="44" w:name="_Toc35393626"/>
      <w:bookmarkStart w:id="45" w:name="_Toc35393795"/>
      <w:r>
        <w:rPr>
          <w:rFonts w:hint="eastAsia" w:ascii="宋体" w:hAnsi="宋体" w:eastAsia="宋体" w:cs="宋体"/>
          <w:b/>
          <w:color w:val="auto"/>
          <w:sz w:val="24"/>
          <w:szCs w:val="24"/>
          <w:highlight w:val="none"/>
        </w:rPr>
        <w:t>六、其他补充事宜</w:t>
      </w:r>
      <w:bookmarkEnd w:id="44"/>
      <w:bookmarkEnd w:id="45"/>
    </w:p>
    <w:p w14:paraId="32F499B5">
      <w:pPr>
        <w:keepNext w:val="0"/>
        <w:keepLines w:val="0"/>
        <w:pageBreakBefore w:val="0"/>
        <w:widowControl w:val="0"/>
        <w:shd w:val="clear"/>
        <w:kinsoku/>
        <w:wordWrap w:val="0"/>
        <w:overflowPunct/>
        <w:topLinePunct w:val="0"/>
        <w:autoSpaceDE/>
        <w:autoSpaceDN/>
        <w:bidi w:val="0"/>
        <w:adjustRightInd/>
        <w:snapToGrid w:val="0"/>
        <w:spacing w:line="420" w:lineRule="exact"/>
        <w:ind w:firstLine="5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8CFFC2F">
      <w:pPr>
        <w:keepNext w:val="0"/>
        <w:keepLines w:val="0"/>
        <w:pageBreakBefore w:val="0"/>
        <w:widowControl w:val="0"/>
        <w:shd w:val="clear"/>
        <w:kinsoku/>
        <w:wordWrap w:val="0"/>
        <w:overflowPunct/>
        <w:topLinePunct w:val="0"/>
        <w:autoSpaceDE/>
        <w:autoSpaceDN/>
        <w:bidi w:val="0"/>
        <w:adjustRightInd/>
        <w:snapToGrid w:val="0"/>
        <w:spacing w:line="420" w:lineRule="exact"/>
        <w:ind w:firstLine="5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A6200E">
      <w:pPr>
        <w:keepNext w:val="0"/>
        <w:keepLines w:val="0"/>
        <w:pageBreakBefore w:val="0"/>
        <w:widowControl w:val="0"/>
        <w:shd w:val="clear"/>
        <w:kinsoku/>
        <w:wordWrap w:val="0"/>
        <w:overflowPunct/>
        <w:topLinePunct w:val="0"/>
        <w:autoSpaceDE/>
        <w:autoSpaceDN/>
        <w:bidi w:val="0"/>
        <w:adjustRightInd/>
        <w:snapToGrid w:val="0"/>
        <w:spacing w:line="420" w:lineRule="exact"/>
        <w:ind w:firstLine="5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C2C85C">
      <w:pPr>
        <w:keepNext w:val="0"/>
        <w:keepLines w:val="0"/>
        <w:pageBreakBefore w:val="0"/>
        <w:widowControl w:val="0"/>
        <w:shd w:val="clear"/>
        <w:kinsoku/>
        <w:wordWrap w:val="0"/>
        <w:overflowPunct/>
        <w:topLinePunct w:val="0"/>
        <w:autoSpaceDE/>
        <w:autoSpaceDN/>
        <w:bidi w:val="0"/>
        <w:adjustRightInd/>
        <w:snapToGrid w:val="0"/>
        <w:spacing w:line="420" w:lineRule="exact"/>
        <w:ind w:firstLine="510" w:firstLineChars="0"/>
        <w:textAlignment w:val="auto"/>
        <w:rPr>
          <w:rFonts w:hint="eastAsia" w:ascii="宋体" w:hAnsi="宋体" w:eastAsia="宋体" w:cs="宋体"/>
          <w:bCs/>
          <w:strike w:val="0"/>
          <w:snapToGrid w:val="0"/>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r>
        <w:rPr>
          <w:rFonts w:hint="eastAsia" w:ascii="宋体" w:hAnsi="宋体" w:eastAsia="宋体" w:cs="宋体"/>
          <w:bCs/>
          <w:strike w:val="0"/>
          <w:snapToGrid w:val="0"/>
          <w:color w:val="auto"/>
          <w:sz w:val="24"/>
          <w:szCs w:val="24"/>
          <w:highlight w:val="none"/>
        </w:rPr>
        <w:t>本项目采用“电子交易/不见面开评标”，</w:t>
      </w:r>
      <w:r>
        <w:rPr>
          <w:rFonts w:hint="eastAsia" w:ascii="宋体" w:hAnsi="宋体" w:eastAsia="宋体" w:cs="宋体"/>
          <w:b w:val="0"/>
          <w:bCs/>
          <w:snapToGrid w:val="0"/>
          <w:color w:val="auto"/>
          <w:sz w:val="24"/>
          <w:szCs w:val="24"/>
          <w:highlight w:val="none"/>
        </w:rPr>
        <w:t>投标人无须派人员到现场出席开标会议。具体操作指南：见政采云平台“服务中心-帮助文档-项目采购-操作流程-电子招投标-政府采购项目电子交易管理操作指南-供应商”。</w:t>
      </w:r>
    </w:p>
    <w:p w14:paraId="461816CE">
      <w:pPr>
        <w:keepNext w:val="0"/>
        <w:keepLines w:val="0"/>
        <w:pageBreakBefore w:val="0"/>
        <w:widowControl w:val="0"/>
        <w:shd w:val="clear"/>
        <w:kinsoku/>
        <w:wordWrap w:val="0"/>
        <w:overflowPunct/>
        <w:topLinePunct w:val="0"/>
        <w:autoSpaceDE/>
        <w:autoSpaceDN/>
        <w:bidi w:val="0"/>
        <w:adjustRightInd/>
        <w:spacing w:line="420" w:lineRule="exact"/>
        <w:jc w:val="left"/>
        <w:textAlignment w:val="auto"/>
        <w:rPr>
          <w:rFonts w:hint="eastAsia" w:ascii="宋体" w:hAnsi="宋体" w:eastAsia="宋体" w:cs="宋体"/>
          <w:b/>
          <w:color w:val="auto"/>
          <w:sz w:val="24"/>
          <w:szCs w:val="24"/>
          <w:highlight w:val="none"/>
        </w:rPr>
      </w:pPr>
      <w:bookmarkStart w:id="46" w:name="_Toc35393627"/>
      <w:bookmarkStart w:id="47" w:name="_Toc28359008"/>
      <w:bookmarkStart w:id="48" w:name="_Toc35393796"/>
      <w:bookmarkStart w:id="49" w:name="_Toc28359085"/>
      <w:r>
        <w:rPr>
          <w:rFonts w:hint="eastAsia" w:ascii="宋体" w:hAnsi="宋体" w:eastAsia="宋体" w:cs="宋体"/>
          <w:b/>
          <w:color w:val="auto"/>
          <w:sz w:val="24"/>
          <w:szCs w:val="24"/>
          <w:highlight w:val="none"/>
        </w:rPr>
        <w:t>七、</w:t>
      </w:r>
      <w:bookmarkEnd w:id="46"/>
      <w:bookmarkEnd w:id="47"/>
      <w:bookmarkEnd w:id="48"/>
      <w:bookmarkEnd w:id="49"/>
      <w:r>
        <w:rPr>
          <w:rFonts w:hint="eastAsia" w:ascii="宋体" w:hAnsi="宋体" w:eastAsia="宋体" w:cs="宋体"/>
          <w:b/>
          <w:color w:val="auto"/>
          <w:sz w:val="24"/>
          <w:szCs w:val="24"/>
          <w:highlight w:val="none"/>
          <w:lang w:val="en-US" w:eastAsia="zh-CN"/>
        </w:rPr>
        <w:t>凡</w:t>
      </w:r>
      <w:r>
        <w:rPr>
          <w:rFonts w:hint="eastAsia" w:ascii="宋体" w:hAnsi="宋体" w:eastAsia="宋体" w:cs="宋体"/>
          <w:b/>
          <w:bCs/>
          <w:color w:val="auto"/>
          <w:sz w:val="24"/>
          <w:szCs w:val="24"/>
          <w:highlight w:val="none"/>
        </w:rPr>
        <w:t>对本次</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提出询问、质疑、投诉，请按以下方式联系</w:t>
      </w:r>
    </w:p>
    <w:p w14:paraId="62C65B00">
      <w:pPr>
        <w:keepNext w:val="0"/>
        <w:keepLines w:val="0"/>
        <w:pageBreakBefore w:val="0"/>
        <w:widowControl w:val="0"/>
        <w:shd w:val="clear"/>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采购人信息</w:t>
      </w:r>
    </w:p>
    <w:p w14:paraId="690CE42D">
      <w:pPr>
        <w:keepNext w:val="0"/>
        <w:keepLines w:val="0"/>
        <w:pageBreakBefore w:val="0"/>
        <w:widowControl w:val="0"/>
        <w:shd w:val="clear"/>
        <w:kinsoku/>
        <w:wordWrap w:val="0"/>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丽水市机动车驾驶员考试中心</w:t>
      </w:r>
    </w:p>
    <w:p w14:paraId="1CCFC762">
      <w:pPr>
        <w:keepNext w:val="0"/>
        <w:keepLines w:val="0"/>
        <w:pageBreakBefore w:val="0"/>
        <w:widowControl w:val="0"/>
        <w:shd w:val="clear"/>
        <w:kinsoku/>
        <w:wordWrap w:val="0"/>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 xml:space="preserve"> 丽水市莲都区凤鸣村188号</w:t>
      </w:r>
    </w:p>
    <w:p w14:paraId="71E1D043">
      <w:pPr>
        <w:keepNext w:val="0"/>
        <w:keepLines w:val="0"/>
        <w:pageBreakBefore w:val="0"/>
        <w:widowControl w:val="0"/>
        <w:shd w:val="clear"/>
        <w:kinsoku/>
        <w:wordWrap w:val="0"/>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黄碧勇</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0578-2358818</w:t>
      </w:r>
    </w:p>
    <w:p w14:paraId="3C99932C">
      <w:pPr>
        <w:keepNext w:val="0"/>
        <w:keepLines w:val="0"/>
        <w:pageBreakBefore w:val="0"/>
        <w:widowControl w:val="0"/>
        <w:shd w:val="clear"/>
        <w:kinsoku/>
        <w:wordWrap w:val="0"/>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 xml:space="preserve">王  勇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0578-2358818</w:t>
      </w:r>
    </w:p>
    <w:p w14:paraId="01675992">
      <w:pPr>
        <w:keepNext w:val="0"/>
        <w:keepLines w:val="0"/>
        <w:pageBreakBefore w:val="0"/>
        <w:widowControl w:val="0"/>
        <w:shd w:val="clear"/>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采购代理机构信息</w:t>
      </w:r>
    </w:p>
    <w:p w14:paraId="38069826">
      <w:pPr>
        <w:keepNext w:val="0"/>
        <w:keepLines w:val="0"/>
        <w:pageBreakBefore w:val="0"/>
        <w:widowControl w:val="0"/>
        <w:shd w:val="clear"/>
        <w:kinsoku/>
        <w:wordWrap w:val="0"/>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 浙江鼎峰工程咨询有限公司</w:t>
      </w:r>
    </w:p>
    <w:p w14:paraId="37ED11CC">
      <w:pPr>
        <w:keepNext w:val="0"/>
        <w:keepLines w:val="0"/>
        <w:pageBreakBefore w:val="0"/>
        <w:widowControl w:val="0"/>
        <w:shd w:val="clear"/>
        <w:kinsoku/>
        <w:wordWrap w:val="0"/>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址：丽水市庆春街979号</w:t>
      </w:r>
    </w:p>
    <w:p w14:paraId="2E76CFE6">
      <w:pPr>
        <w:keepNext w:val="0"/>
        <w:keepLines w:val="0"/>
        <w:pageBreakBefore w:val="0"/>
        <w:widowControl w:val="0"/>
        <w:shd w:val="clear"/>
        <w:kinsoku/>
        <w:wordWrap w:val="0"/>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bCs/>
          <w:snapToGrid w:val="0"/>
          <w:color w:val="auto"/>
          <w:sz w:val="24"/>
          <w:szCs w:val="24"/>
          <w:highlight w:val="none"/>
        </w:rPr>
        <w:t>传  真：0578-2531111</w:t>
      </w:r>
    </w:p>
    <w:p w14:paraId="0D4832C5">
      <w:pPr>
        <w:keepNext w:val="0"/>
        <w:keepLines w:val="0"/>
        <w:pageBreakBefore w:val="0"/>
        <w:widowControl w:val="0"/>
        <w:shd w:val="clear"/>
        <w:kinsoku/>
        <w:wordWrap w:val="0"/>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项目联系人（询问）：蓝浩   项目联系方式（询问）：0578-2571155</w:t>
      </w:r>
    </w:p>
    <w:p w14:paraId="67CDD8B7">
      <w:pPr>
        <w:keepNext w:val="0"/>
        <w:keepLines w:val="0"/>
        <w:pageBreakBefore w:val="0"/>
        <w:widowControl w:val="0"/>
        <w:shd w:val="clear"/>
        <w:kinsoku/>
        <w:wordWrap w:val="0"/>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napToGrid w:val="0"/>
          <w:color w:val="auto"/>
          <w:sz w:val="24"/>
          <w:szCs w:val="24"/>
          <w:highlight w:val="none"/>
        </w:rPr>
        <w:t>质疑联系人：林秋丽         质疑联系方式：0578-</w:t>
      </w:r>
      <w:r>
        <w:rPr>
          <w:rFonts w:hint="eastAsia" w:ascii="宋体" w:hAnsi="宋体" w:eastAsia="宋体" w:cs="宋体"/>
          <w:bCs/>
          <w:snapToGrid w:val="0"/>
          <w:color w:val="auto"/>
          <w:sz w:val="24"/>
          <w:szCs w:val="24"/>
          <w:highlight w:val="none"/>
          <w:lang w:val="en-US" w:eastAsia="zh-CN"/>
        </w:rPr>
        <w:t>2082121</w:t>
      </w:r>
    </w:p>
    <w:p w14:paraId="4652E49B">
      <w:pPr>
        <w:keepNext w:val="0"/>
        <w:keepLines w:val="0"/>
        <w:pageBreakBefore w:val="0"/>
        <w:widowControl w:val="0"/>
        <w:shd w:val="clear"/>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同级政府采购监督管理部门</w:t>
      </w:r>
    </w:p>
    <w:p w14:paraId="156F3A31">
      <w:pPr>
        <w:wordWrap w:val="0"/>
        <w:snapToGrid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称：丽水市财政局政府采购监管处</w:t>
      </w:r>
    </w:p>
    <w:p w14:paraId="43621347">
      <w:pPr>
        <w:wordWrap w:val="0"/>
        <w:snapToGrid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址：丽水市莲都区北苑路190号（丽水市财政局）</w:t>
      </w:r>
    </w:p>
    <w:p w14:paraId="02E87BCC">
      <w:pPr>
        <w:wordWrap w:val="0"/>
        <w:snapToGrid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真：0578-2669165</w:t>
      </w:r>
    </w:p>
    <w:p w14:paraId="098E0D57">
      <w:pPr>
        <w:wordWrap w:val="0"/>
        <w:snapToGrid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吴先生、叶先生</w:t>
      </w:r>
      <w:r>
        <w:rPr>
          <w:rFonts w:hint="eastAsia" w:ascii="宋体" w:hAnsi="宋体" w:eastAsia="宋体" w:cs="宋体"/>
          <w:color w:val="auto"/>
          <w:sz w:val="24"/>
          <w:szCs w:val="24"/>
          <w:highlight w:val="none"/>
        </w:rPr>
        <w:t xml:space="preserve">    </w:t>
      </w:r>
    </w:p>
    <w:p w14:paraId="7D8AE53C">
      <w:pPr>
        <w:wordWrap w:val="0"/>
        <w:snapToGrid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监督投诉电话：0578-2669165</w:t>
      </w:r>
    </w:p>
    <w:p w14:paraId="2D5C4B99">
      <w:pPr>
        <w:keepNext w:val="0"/>
        <w:keepLines w:val="0"/>
        <w:pageBreakBefore w:val="0"/>
        <w:widowControl w:val="0"/>
        <w:shd w:val="clear"/>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w:t>
      </w:r>
      <w:r>
        <w:rPr>
          <w:rFonts w:hint="eastAsia" w:ascii="宋体" w:hAnsi="宋体" w:eastAsia="宋体" w:cs="宋体"/>
          <w:color w:val="auto"/>
          <w:sz w:val="24"/>
          <w:highlight w:val="none"/>
        </w:rPr>
        <w:t>zfcg.czt.zj.gov.cn</w:t>
      </w:r>
      <w:r>
        <w:rPr>
          <w:rFonts w:hint="eastAsia" w:ascii="宋体" w:hAnsi="宋体" w:eastAsia="宋体" w:cs="宋体"/>
          <w:color w:val="auto"/>
          <w:sz w:val="24"/>
          <w:szCs w:val="24"/>
          <w:highlight w:val="none"/>
        </w:rPr>
        <w:t>），点击右侧咨询小采，获取采小蜜智能服务管家帮助，或拨打政采云服务热线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szCs w:val="24"/>
          <w:highlight w:val="none"/>
        </w:rPr>
        <w:t>获取热线服务帮助。</w:t>
      </w:r>
    </w:p>
    <w:p w14:paraId="519A2874">
      <w:pPr>
        <w:keepNext w:val="0"/>
        <w:keepLines w:val="0"/>
        <w:pageBreakBefore w:val="0"/>
        <w:widowControl w:val="0"/>
        <w:shd w:val="clear"/>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36"/>
          <w:szCs w:val="36"/>
          <w:highlight w:val="none"/>
        </w:rPr>
        <w:sectPr>
          <w:footerReference r:id="rId7" w:type="default"/>
          <w:type w:val="continuous"/>
          <w:pgSz w:w="11906" w:h="16838"/>
          <w:pgMar w:top="1418" w:right="1418" w:bottom="1418" w:left="1418" w:header="851" w:footer="851" w:gutter="0"/>
          <w:pgNumType w:fmt="decimal"/>
          <w:cols w:space="720" w:num="1"/>
          <w:titlePg/>
          <w:docGrid w:linePitch="312" w:charSpace="0"/>
        </w:sectPr>
      </w:pPr>
      <w:r>
        <w:rPr>
          <w:rFonts w:hint="eastAsia" w:ascii="宋体" w:hAnsi="宋体" w:eastAsia="宋体" w:cs="宋体"/>
          <w:color w:val="auto"/>
          <w:sz w:val="24"/>
          <w:szCs w:val="24"/>
          <w:highlight w:val="none"/>
        </w:rPr>
        <w:t>CA问题联系电话（人工）：汇信CA 400-888-4636；天谷CA 400-087-8198。</w:t>
      </w:r>
      <w:bookmarkEnd w:id="31"/>
      <w:bookmarkStart w:id="50" w:name="_Toc531358960"/>
      <w:bookmarkStart w:id="51" w:name="_Toc493956019"/>
      <w:bookmarkStart w:id="52" w:name="_Toc530551805"/>
    </w:p>
    <w:p w14:paraId="44C65BA5">
      <w:pPr>
        <w:pStyle w:val="42"/>
        <w:shd w:val="clear"/>
        <w:spacing w:before="0" w:after="0" w:line="360" w:lineRule="auto"/>
        <w:jc w:val="center"/>
        <w:rPr>
          <w:rFonts w:hint="eastAsia" w:ascii="宋体" w:hAnsi="宋体" w:eastAsia="宋体" w:cs="宋体"/>
          <w:color w:val="auto"/>
          <w:sz w:val="36"/>
          <w:szCs w:val="36"/>
          <w:highlight w:val="none"/>
        </w:rPr>
      </w:pPr>
      <w:bookmarkStart w:id="53" w:name="_Toc29386"/>
      <w:bookmarkStart w:id="54" w:name="_Toc4284"/>
      <w:bookmarkStart w:id="55" w:name="_Toc97212955"/>
      <w:bookmarkStart w:id="56" w:name="_Toc14105"/>
      <w:bookmarkStart w:id="57" w:name="_Toc26228"/>
      <w:bookmarkStart w:id="58" w:name="_Toc22099"/>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 xml:space="preserve">第二章  </w:t>
      </w:r>
      <w:r>
        <w:rPr>
          <w:rFonts w:hint="eastAsia" w:ascii="宋体" w:hAnsi="宋体" w:eastAsia="宋体" w:cs="宋体"/>
          <w:color w:val="auto"/>
          <w:sz w:val="36"/>
          <w:szCs w:val="36"/>
          <w:highlight w:val="none"/>
          <w:lang w:val="en-US" w:eastAsia="zh-CN"/>
        </w:rPr>
        <w:t>采购</w:t>
      </w:r>
      <w:r>
        <w:rPr>
          <w:rFonts w:hint="eastAsia" w:ascii="宋体" w:hAnsi="宋体" w:eastAsia="宋体" w:cs="宋体"/>
          <w:color w:val="auto"/>
          <w:sz w:val="36"/>
          <w:szCs w:val="36"/>
          <w:highlight w:val="none"/>
        </w:rPr>
        <w:t>需求</w:t>
      </w:r>
      <w:bookmarkEnd w:id="50"/>
      <w:bookmarkEnd w:id="51"/>
      <w:bookmarkEnd w:id="52"/>
      <w:bookmarkEnd w:id="53"/>
      <w:bookmarkEnd w:id="54"/>
      <w:bookmarkEnd w:id="55"/>
      <w:bookmarkEnd w:id="56"/>
      <w:bookmarkEnd w:id="57"/>
      <w:bookmarkEnd w:id="58"/>
    </w:p>
    <w:p w14:paraId="7833A994">
      <w:pPr>
        <w:spacing w:before="120" w:after="120"/>
        <w:jc w:val="left"/>
        <w:outlineLvl w:val="1"/>
        <w:rPr>
          <w:rFonts w:hint="eastAsia" w:ascii="宋体" w:hAnsi="宋体" w:eastAsia="宋体" w:cs="宋体"/>
          <w:b/>
          <w:bCs/>
          <w:color w:val="auto"/>
          <w:sz w:val="30"/>
          <w:szCs w:val="30"/>
          <w:highlight w:val="none"/>
        </w:rPr>
      </w:pPr>
      <w:bookmarkStart w:id="59" w:name="_Toc493957132"/>
      <w:bookmarkStart w:id="60" w:name="_Toc493956020"/>
      <w:bookmarkStart w:id="61" w:name="_Toc104821790"/>
      <w:bookmarkStart w:id="62" w:name="_Toc486423870"/>
      <w:r>
        <w:rPr>
          <w:rFonts w:hint="eastAsia" w:ascii="宋体" w:hAnsi="宋体" w:eastAsia="宋体" w:cs="宋体"/>
          <w:b/>
          <w:bCs/>
          <w:color w:val="auto"/>
          <w:sz w:val="30"/>
          <w:szCs w:val="30"/>
          <w:highlight w:val="none"/>
        </w:rPr>
        <w:t>一 、产地要求</w:t>
      </w:r>
      <w:bookmarkEnd w:id="59"/>
      <w:bookmarkEnd w:id="60"/>
      <w:bookmarkEnd w:id="61"/>
      <w:bookmarkEnd w:id="62"/>
    </w:p>
    <w:p w14:paraId="78DBC82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根据法律法规，本项目采购产品须为中华人民共和国境内（不含港、澳、台）生产或组装。</w:t>
      </w:r>
    </w:p>
    <w:p w14:paraId="7B42E17F">
      <w:pPr>
        <w:spacing w:before="120" w:after="120"/>
        <w:jc w:val="left"/>
        <w:outlineLvl w:val="1"/>
        <w:rPr>
          <w:rFonts w:hint="eastAsia" w:ascii="宋体" w:hAnsi="宋体" w:eastAsia="宋体" w:cs="宋体"/>
          <w:b/>
          <w:bCs/>
          <w:color w:val="auto"/>
          <w:sz w:val="30"/>
          <w:szCs w:val="30"/>
          <w:highlight w:val="none"/>
          <w:lang w:val="en-US" w:eastAsia="zh-CN"/>
        </w:rPr>
      </w:pPr>
      <w:bookmarkStart w:id="63" w:name="_Toc104821791"/>
      <w:bookmarkStart w:id="64" w:name="_Toc486423871"/>
      <w:bookmarkStart w:id="65" w:name="_Toc493956021"/>
      <w:bookmarkStart w:id="66" w:name="_Toc493957133"/>
      <w:r>
        <w:rPr>
          <w:rFonts w:hint="eastAsia" w:ascii="宋体" w:hAnsi="宋体" w:eastAsia="宋体" w:cs="宋体"/>
          <w:b/>
          <w:bCs/>
          <w:color w:val="auto"/>
          <w:sz w:val="30"/>
          <w:szCs w:val="30"/>
          <w:highlight w:val="none"/>
          <w:lang w:val="en-US" w:eastAsia="zh-CN"/>
        </w:rPr>
        <w:t>二、</w:t>
      </w:r>
      <w:r>
        <w:rPr>
          <w:rFonts w:hint="eastAsia" w:ascii="宋体" w:hAnsi="宋体" w:eastAsia="宋体" w:cs="宋体"/>
          <w:b/>
          <w:bCs/>
          <w:color w:val="auto"/>
          <w:sz w:val="30"/>
          <w:szCs w:val="30"/>
          <w:highlight w:val="none"/>
        </w:rPr>
        <w:t>采购内容及</w:t>
      </w:r>
      <w:bookmarkEnd w:id="63"/>
      <w:bookmarkEnd w:id="64"/>
      <w:bookmarkEnd w:id="65"/>
      <w:bookmarkEnd w:id="66"/>
      <w:r>
        <w:rPr>
          <w:rFonts w:hint="eastAsia" w:ascii="宋体" w:hAnsi="宋体" w:eastAsia="宋体" w:cs="宋体"/>
          <w:b/>
          <w:bCs/>
          <w:color w:val="auto"/>
          <w:sz w:val="30"/>
          <w:szCs w:val="30"/>
          <w:highlight w:val="none"/>
          <w:lang w:val="en-US" w:eastAsia="zh-CN"/>
        </w:rPr>
        <w:t>技术参数</w:t>
      </w:r>
    </w:p>
    <w:p w14:paraId="49819ADE">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2.1.采购内容</w:t>
      </w:r>
    </w:p>
    <w:tbl>
      <w:tblPr>
        <w:tblStyle w:val="45"/>
        <w:tblW w:w="4940" w:type="pct"/>
        <w:tblInd w:w="108" w:type="dxa"/>
        <w:tblLayout w:type="autofit"/>
        <w:tblCellMar>
          <w:top w:w="0" w:type="dxa"/>
          <w:left w:w="108" w:type="dxa"/>
          <w:bottom w:w="0" w:type="dxa"/>
          <w:right w:w="108" w:type="dxa"/>
        </w:tblCellMar>
      </w:tblPr>
      <w:tblGrid>
        <w:gridCol w:w="760"/>
        <w:gridCol w:w="3402"/>
        <w:gridCol w:w="2135"/>
        <w:gridCol w:w="2161"/>
        <w:gridCol w:w="1278"/>
      </w:tblGrid>
      <w:tr w14:paraId="3E187101">
        <w:tblPrEx>
          <w:tblCellMar>
            <w:top w:w="0" w:type="dxa"/>
            <w:left w:w="108" w:type="dxa"/>
            <w:bottom w:w="0" w:type="dxa"/>
            <w:right w:w="108" w:type="dxa"/>
          </w:tblCellMar>
        </w:tblPrEx>
        <w:trPr>
          <w:trHeight w:val="605"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963D5F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746" w:type="pct"/>
            <w:tcBorders>
              <w:top w:val="single" w:color="000000" w:sz="4" w:space="0"/>
              <w:left w:val="single" w:color="000000" w:sz="4" w:space="0"/>
              <w:bottom w:val="single" w:color="000000" w:sz="4" w:space="0"/>
              <w:right w:val="single" w:color="000000" w:sz="4" w:space="0"/>
            </w:tcBorders>
            <w:vAlign w:val="center"/>
          </w:tcPr>
          <w:p w14:paraId="7ECDF5B5">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项目名称</w:t>
            </w:r>
          </w:p>
        </w:tc>
        <w:tc>
          <w:tcPr>
            <w:tcW w:w="1096" w:type="pct"/>
            <w:tcBorders>
              <w:top w:val="single" w:color="000000" w:sz="4" w:space="0"/>
              <w:left w:val="single" w:color="000000" w:sz="4" w:space="0"/>
              <w:bottom w:val="single" w:color="000000" w:sz="4" w:space="0"/>
              <w:right w:val="single" w:color="000000" w:sz="4" w:space="0"/>
            </w:tcBorders>
            <w:vAlign w:val="center"/>
          </w:tcPr>
          <w:p w14:paraId="2E58459F">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1109" w:type="pct"/>
            <w:tcBorders>
              <w:top w:val="single" w:color="000000" w:sz="4" w:space="0"/>
              <w:left w:val="single" w:color="000000" w:sz="4" w:space="0"/>
              <w:bottom w:val="single" w:color="000000" w:sz="4" w:space="0"/>
              <w:right w:val="single" w:color="000000" w:sz="4" w:space="0"/>
            </w:tcBorders>
            <w:vAlign w:val="center"/>
          </w:tcPr>
          <w:p w14:paraId="41BCB0B4">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c>
          <w:tcPr>
            <w:tcW w:w="656" w:type="pct"/>
            <w:tcBorders>
              <w:top w:val="single" w:color="000000" w:sz="4" w:space="0"/>
              <w:left w:val="single" w:color="000000" w:sz="4" w:space="0"/>
              <w:bottom w:val="single" w:color="000000" w:sz="4" w:space="0"/>
              <w:right w:val="single" w:color="000000" w:sz="4" w:space="0"/>
            </w:tcBorders>
            <w:vAlign w:val="center"/>
          </w:tcPr>
          <w:p w14:paraId="5C98F7D9">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备注</w:t>
            </w:r>
          </w:p>
        </w:tc>
      </w:tr>
      <w:tr w14:paraId="733CEDC0">
        <w:tblPrEx>
          <w:tblCellMar>
            <w:top w:w="0" w:type="dxa"/>
            <w:left w:w="108" w:type="dxa"/>
            <w:bottom w:w="0" w:type="dxa"/>
            <w:right w:w="108" w:type="dxa"/>
          </w:tblCellMar>
        </w:tblPrEx>
        <w:trPr>
          <w:trHeight w:val="54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9F03797">
            <w:pPr>
              <w:widowControl/>
              <w:jc w:val="center"/>
              <w:textAlignment w:val="center"/>
              <w:rPr>
                <w:rFonts w:hint="eastAsia" w:ascii="宋体" w:hAnsi="宋体" w:eastAsia="宋体" w:cs="宋体"/>
                <w:spacing w:val="-5"/>
                <w:sz w:val="24"/>
                <w:szCs w:val="24"/>
              </w:rPr>
            </w:pPr>
            <w:r>
              <w:rPr>
                <w:rFonts w:hint="eastAsia" w:ascii="宋体" w:hAnsi="宋体" w:eastAsia="宋体" w:cs="宋体"/>
                <w:spacing w:val="-5"/>
                <w:sz w:val="24"/>
                <w:szCs w:val="24"/>
              </w:rPr>
              <w:t>1</w:t>
            </w:r>
          </w:p>
        </w:tc>
        <w:tc>
          <w:tcPr>
            <w:tcW w:w="1746" w:type="pct"/>
            <w:tcBorders>
              <w:top w:val="single" w:color="000000" w:sz="4" w:space="0"/>
              <w:left w:val="single" w:color="000000" w:sz="4" w:space="0"/>
              <w:bottom w:val="single" w:color="000000" w:sz="4" w:space="0"/>
              <w:right w:val="single" w:color="000000" w:sz="4" w:space="0"/>
            </w:tcBorders>
            <w:vAlign w:val="center"/>
          </w:tcPr>
          <w:p w14:paraId="3A0DD8DD">
            <w:pPr>
              <w:widowControl/>
              <w:jc w:val="center"/>
              <w:textAlignment w:val="center"/>
              <w:rPr>
                <w:rFonts w:hint="eastAsia" w:ascii="宋体" w:hAnsi="宋体" w:eastAsia="宋体" w:cs="宋体"/>
                <w:spacing w:val="-5"/>
                <w:sz w:val="24"/>
                <w:szCs w:val="24"/>
              </w:rPr>
            </w:pPr>
            <w:r>
              <w:rPr>
                <w:rFonts w:hint="eastAsia" w:ascii="宋体" w:hAnsi="宋体" w:eastAsia="宋体" w:cs="宋体"/>
                <w:sz w:val="24"/>
                <w:szCs w:val="24"/>
              </w:rPr>
              <w:t>★</w:t>
            </w:r>
            <w:r>
              <w:rPr>
                <w:rFonts w:hint="eastAsia" w:ascii="宋体" w:hAnsi="宋体" w:eastAsia="宋体" w:cs="宋体"/>
                <w:spacing w:val="-5"/>
                <w:sz w:val="24"/>
                <w:szCs w:val="24"/>
              </w:rPr>
              <w:t>新能源车</w:t>
            </w:r>
          </w:p>
        </w:tc>
        <w:tc>
          <w:tcPr>
            <w:tcW w:w="1096" w:type="pct"/>
            <w:tcBorders>
              <w:top w:val="single" w:color="000000" w:sz="4" w:space="0"/>
              <w:left w:val="single" w:color="000000" w:sz="4" w:space="0"/>
              <w:bottom w:val="single" w:color="000000" w:sz="4" w:space="0"/>
              <w:right w:val="single" w:color="000000" w:sz="4" w:space="0"/>
            </w:tcBorders>
            <w:vAlign w:val="center"/>
          </w:tcPr>
          <w:p w14:paraId="7069A605">
            <w:pPr>
              <w:widowControl/>
              <w:jc w:val="center"/>
              <w:textAlignment w:val="center"/>
              <w:rPr>
                <w:rFonts w:hint="eastAsia" w:ascii="宋体" w:hAnsi="宋体" w:eastAsia="宋体" w:cs="宋体"/>
                <w:spacing w:val="-5"/>
                <w:sz w:val="24"/>
                <w:szCs w:val="24"/>
              </w:rPr>
            </w:pPr>
            <w:r>
              <w:rPr>
                <w:rFonts w:hint="eastAsia" w:ascii="宋体" w:hAnsi="宋体" w:eastAsia="宋体" w:cs="宋体"/>
                <w:spacing w:val="-5"/>
                <w:sz w:val="24"/>
                <w:szCs w:val="24"/>
              </w:rPr>
              <w:t>辆</w:t>
            </w:r>
          </w:p>
        </w:tc>
        <w:tc>
          <w:tcPr>
            <w:tcW w:w="1109" w:type="pct"/>
            <w:tcBorders>
              <w:top w:val="single" w:color="000000" w:sz="4" w:space="0"/>
              <w:left w:val="single" w:color="000000" w:sz="4" w:space="0"/>
              <w:bottom w:val="single" w:color="000000" w:sz="4" w:space="0"/>
              <w:right w:val="single" w:color="000000" w:sz="4" w:space="0"/>
            </w:tcBorders>
            <w:vAlign w:val="center"/>
          </w:tcPr>
          <w:p w14:paraId="05673E11">
            <w:pPr>
              <w:widowControl/>
              <w:jc w:val="center"/>
              <w:textAlignment w:val="center"/>
              <w:rPr>
                <w:rFonts w:hint="eastAsia" w:ascii="宋体" w:hAnsi="宋体" w:eastAsia="宋体" w:cs="宋体"/>
                <w:spacing w:val="-5"/>
                <w:sz w:val="24"/>
                <w:szCs w:val="24"/>
              </w:rPr>
            </w:pPr>
            <w:r>
              <w:rPr>
                <w:rFonts w:hint="eastAsia" w:ascii="宋体" w:hAnsi="宋体" w:eastAsia="宋体" w:cs="宋体"/>
                <w:spacing w:val="-5"/>
                <w:sz w:val="24"/>
                <w:szCs w:val="24"/>
              </w:rPr>
              <w:t>10</w:t>
            </w:r>
          </w:p>
        </w:tc>
        <w:tc>
          <w:tcPr>
            <w:tcW w:w="656" w:type="pct"/>
            <w:tcBorders>
              <w:top w:val="single" w:color="000000" w:sz="4" w:space="0"/>
              <w:left w:val="single" w:color="000000" w:sz="4" w:space="0"/>
              <w:bottom w:val="single" w:color="000000" w:sz="4" w:space="0"/>
              <w:right w:val="single" w:color="000000" w:sz="4" w:space="0"/>
            </w:tcBorders>
            <w:noWrap/>
            <w:vAlign w:val="center"/>
          </w:tcPr>
          <w:p w14:paraId="3A4A1E57">
            <w:pPr>
              <w:rPr>
                <w:rFonts w:hint="eastAsia" w:ascii="宋体" w:hAnsi="宋体" w:eastAsia="宋体" w:cs="宋体"/>
                <w:spacing w:val="-5"/>
                <w:sz w:val="24"/>
                <w:szCs w:val="24"/>
              </w:rPr>
            </w:pPr>
          </w:p>
        </w:tc>
      </w:tr>
      <w:tr w14:paraId="36AC52E8">
        <w:tblPrEx>
          <w:tblCellMar>
            <w:top w:w="0" w:type="dxa"/>
            <w:left w:w="108" w:type="dxa"/>
            <w:bottom w:w="0" w:type="dxa"/>
            <w:right w:w="108" w:type="dxa"/>
          </w:tblCellMar>
        </w:tblPrEx>
        <w:trPr>
          <w:trHeight w:val="55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1BD8A14E">
            <w:pPr>
              <w:widowControl/>
              <w:jc w:val="center"/>
              <w:textAlignment w:val="center"/>
              <w:rPr>
                <w:rFonts w:hint="eastAsia" w:ascii="宋体" w:hAnsi="宋体" w:eastAsia="宋体" w:cs="宋体"/>
                <w:spacing w:val="-5"/>
                <w:sz w:val="24"/>
                <w:szCs w:val="24"/>
              </w:rPr>
            </w:pPr>
            <w:r>
              <w:rPr>
                <w:rFonts w:hint="eastAsia" w:ascii="宋体" w:hAnsi="宋体" w:eastAsia="宋体" w:cs="宋体"/>
                <w:spacing w:val="-5"/>
                <w:sz w:val="24"/>
                <w:szCs w:val="24"/>
              </w:rPr>
              <w:t>2</w:t>
            </w:r>
          </w:p>
        </w:tc>
        <w:tc>
          <w:tcPr>
            <w:tcW w:w="1746" w:type="pct"/>
            <w:tcBorders>
              <w:top w:val="single" w:color="000000" w:sz="4" w:space="0"/>
              <w:left w:val="single" w:color="000000" w:sz="4" w:space="0"/>
              <w:bottom w:val="single" w:color="000000" w:sz="4" w:space="0"/>
              <w:right w:val="single" w:color="000000" w:sz="4" w:space="0"/>
            </w:tcBorders>
            <w:vAlign w:val="center"/>
          </w:tcPr>
          <w:p w14:paraId="72241616">
            <w:pPr>
              <w:widowControl/>
              <w:jc w:val="center"/>
              <w:textAlignment w:val="center"/>
              <w:rPr>
                <w:rFonts w:hint="eastAsia" w:ascii="宋体" w:hAnsi="宋体" w:eastAsia="宋体" w:cs="宋体"/>
                <w:spacing w:val="-5"/>
                <w:sz w:val="24"/>
                <w:szCs w:val="24"/>
              </w:rPr>
            </w:pPr>
            <w:r>
              <w:rPr>
                <w:rFonts w:hint="eastAsia" w:ascii="宋体" w:hAnsi="宋体" w:eastAsia="宋体" w:cs="宋体"/>
                <w:spacing w:val="-5"/>
                <w:sz w:val="24"/>
                <w:szCs w:val="24"/>
              </w:rPr>
              <w:t>充电桩</w:t>
            </w:r>
          </w:p>
        </w:tc>
        <w:tc>
          <w:tcPr>
            <w:tcW w:w="1096" w:type="pct"/>
            <w:tcBorders>
              <w:top w:val="single" w:color="000000" w:sz="4" w:space="0"/>
              <w:left w:val="single" w:color="000000" w:sz="4" w:space="0"/>
              <w:bottom w:val="single" w:color="000000" w:sz="4" w:space="0"/>
              <w:right w:val="single" w:color="000000" w:sz="4" w:space="0"/>
            </w:tcBorders>
            <w:vAlign w:val="center"/>
          </w:tcPr>
          <w:p w14:paraId="2D94DE04">
            <w:pPr>
              <w:widowControl/>
              <w:jc w:val="center"/>
              <w:textAlignment w:val="center"/>
              <w:rPr>
                <w:rFonts w:hint="eastAsia" w:ascii="宋体" w:hAnsi="宋体" w:eastAsia="宋体" w:cs="宋体"/>
                <w:spacing w:val="-5"/>
                <w:sz w:val="24"/>
                <w:szCs w:val="24"/>
              </w:rPr>
            </w:pPr>
            <w:r>
              <w:rPr>
                <w:rFonts w:hint="eastAsia" w:ascii="宋体" w:hAnsi="宋体" w:eastAsia="宋体" w:cs="宋体"/>
                <w:spacing w:val="-5"/>
                <w:sz w:val="24"/>
                <w:szCs w:val="24"/>
              </w:rPr>
              <w:t>个</w:t>
            </w:r>
          </w:p>
        </w:tc>
        <w:tc>
          <w:tcPr>
            <w:tcW w:w="1109" w:type="pct"/>
            <w:tcBorders>
              <w:top w:val="single" w:color="000000" w:sz="4" w:space="0"/>
              <w:left w:val="single" w:color="000000" w:sz="4" w:space="0"/>
              <w:bottom w:val="single" w:color="000000" w:sz="4" w:space="0"/>
              <w:right w:val="single" w:color="000000" w:sz="4" w:space="0"/>
            </w:tcBorders>
            <w:vAlign w:val="center"/>
          </w:tcPr>
          <w:p w14:paraId="0F8DC205">
            <w:pPr>
              <w:widowControl/>
              <w:jc w:val="center"/>
              <w:textAlignment w:val="center"/>
              <w:rPr>
                <w:rFonts w:hint="eastAsia" w:ascii="宋体" w:hAnsi="宋体" w:eastAsia="宋体" w:cs="宋体"/>
                <w:spacing w:val="-5"/>
                <w:sz w:val="24"/>
                <w:szCs w:val="24"/>
              </w:rPr>
            </w:pPr>
            <w:r>
              <w:rPr>
                <w:rFonts w:hint="eastAsia" w:ascii="宋体" w:hAnsi="宋体" w:eastAsia="宋体" w:cs="宋体"/>
                <w:spacing w:val="-5"/>
                <w:sz w:val="24"/>
                <w:szCs w:val="24"/>
              </w:rPr>
              <w:t>10</w:t>
            </w:r>
          </w:p>
        </w:tc>
        <w:tc>
          <w:tcPr>
            <w:tcW w:w="656" w:type="pct"/>
            <w:tcBorders>
              <w:top w:val="single" w:color="000000" w:sz="4" w:space="0"/>
              <w:left w:val="single" w:color="000000" w:sz="4" w:space="0"/>
              <w:bottom w:val="single" w:color="000000" w:sz="4" w:space="0"/>
              <w:right w:val="single" w:color="000000" w:sz="4" w:space="0"/>
            </w:tcBorders>
            <w:noWrap/>
            <w:vAlign w:val="center"/>
          </w:tcPr>
          <w:p w14:paraId="32B5C607">
            <w:pPr>
              <w:rPr>
                <w:rFonts w:hint="eastAsia" w:ascii="宋体" w:hAnsi="宋体" w:eastAsia="宋体" w:cs="宋体"/>
                <w:spacing w:val="-5"/>
                <w:sz w:val="24"/>
                <w:szCs w:val="24"/>
                <w:lang w:val="en-US" w:eastAsia="zh-CN"/>
              </w:rPr>
            </w:pPr>
          </w:p>
        </w:tc>
      </w:tr>
    </w:tbl>
    <w:p w14:paraId="2283C436">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2.2.技术参数</w:t>
      </w:r>
    </w:p>
    <w:tbl>
      <w:tblPr>
        <w:tblStyle w:val="45"/>
        <w:tblW w:w="9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0"/>
      </w:tblGrid>
      <w:tr w14:paraId="3F92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7" w:hRule="atLeast"/>
          <w:jc w:val="center"/>
        </w:trPr>
        <w:tc>
          <w:tcPr>
            <w:tcW w:w="9760" w:type="dxa"/>
            <w:vAlign w:val="center"/>
          </w:tcPr>
          <w:p w14:paraId="66E7222F">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本次招标的标的为国产新能源汽车[▲车牌号必须能上绿牌，在工信部公告须为纯电动教练车（需提供工信部公告或车辆合格证扫描件）]，具体技术参数要求如下：</w:t>
            </w:r>
          </w:p>
          <w:p w14:paraId="7B170A59">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1.最大功率：≥</w:t>
            </w:r>
            <w:r>
              <w:rPr>
                <w:rFonts w:hint="eastAsia" w:ascii="宋体" w:hAnsi="宋体" w:eastAsia="宋体" w:cs="宋体"/>
                <w:color w:val="auto"/>
                <w:sz w:val="24"/>
                <w:szCs w:val="24"/>
                <w:highlight w:val="none"/>
                <w:lang w:val="en-US" w:eastAsia="zh-CN"/>
              </w:rPr>
              <w:t>70kw；（需提供相关证明材料）</w:t>
            </w:r>
          </w:p>
          <w:p w14:paraId="6A7B1ED2">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.最大扭矩: ≥</w:t>
            </w:r>
            <w:r>
              <w:rPr>
                <w:rFonts w:hint="eastAsia" w:ascii="宋体" w:hAnsi="宋体" w:eastAsia="宋体" w:cs="宋体"/>
                <w:color w:val="auto"/>
                <w:sz w:val="24"/>
                <w:szCs w:val="24"/>
                <w:highlight w:val="none"/>
                <w:lang w:val="en-US" w:eastAsia="zh-CN"/>
              </w:rPr>
              <w:t>180</w:t>
            </w:r>
            <w:r>
              <w:rPr>
                <w:rFonts w:hint="eastAsia" w:ascii="宋体" w:hAnsi="宋体" w:eastAsia="宋体" w:cs="宋体"/>
                <w:color w:val="auto"/>
                <w:sz w:val="24"/>
                <w:szCs w:val="24"/>
                <w:highlight w:val="none"/>
              </w:rPr>
              <w:t>Nm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p>
          <w:p w14:paraId="374306B1">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、车身结构：四门五座三厢轿车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p>
          <w:p w14:paraId="549B6C58">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.外观尺寸：</w:t>
            </w:r>
            <w:r>
              <w:rPr>
                <w:rFonts w:hint="eastAsia" w:ascii="宋体" w:hAnsi="宋体" w:eastAsia="宋体" w:cs="宋体"/>
                <w:color w:val="auto"/>
                <w:sz w:val="24"/>
                <w:szCs w:val="24"/>
                <w:highlight w:val="none"/>
                <w:lang w:val="en-US" w:eastAsia="zh-CN"/>
              </w:rPr>
              <w:t>4440</w:t>
            </w:r>
            <w:r>
              <w:rPr>
                <w:rFonts w:hint="eastAsia" w:ascii="宋体" w:hAnsi="宋体" w:eastAsia="宋体" w:cs="宋体"/>
                <w:color w:val="auto"/>
                <w:sz w:val="24"/>
                <w:szCs w:val="24"/>
                <w:highlight w:val="none"/>
              </w:rPr>
              <w:t>mm≤长度≤</w:t>
            </w:r>
            <w:r>
              <w:rPr>
                <w:rFonts w:hint="eastAsia" w:ascii="宋体" w:hAnsi="宋体" w:eastAsia="宋体" w:cs="宋体"/>
                <w:color w:val="auto"/>
                <w:sz w:val="24"/>
                <w:szCs w:val="24"/>
                <w:highlight w:val="none"/>
                <w:lang w:val="en-US" w:eastAsia="zh-CN"/>
              </w:rPr>
              <w:t>4650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1700</w:t>
            </w:r>
            <w:r>
              <w:rPr>
                <w:rFonts w:hint="eastAsia" w:ascii="宋体" w:hAnsi="宋体" w:eastAsia="宋体" w:cs="宋体"/>
                <w:color w:val="auto"/>
                <w:sz w:val="24"/>
                <w:szCs w:val="24"/>
                <w:highlight w:val="none"/>
              </w:rPr>
              <w:t>mm≤宽度≤</w:t>
            </w:r>
            <w:r>
              <w:rPr>
                <w:rFonts w:hint="eastAsia" w:ascii="宋体" w:hAnsi="宋体" w:eastAsia="宋体" w:cs="宋体"/>
                <w:color w:val="auto"/>
                <w:sz w:val="24"/>
                <w:szCs w:val="24"/>
                <w:highlight w:val="none"/>
                <w:lang w:val="en-US" w:eastAsia="zh-CN"/>
              </w:rPr>
              <w:t>1850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1450</w:t>
            </w:r>
            <w:r>
              <w:rPr>
                <w:rFonts w:hint="eastAsia" w:ascii="宋体" w:hAnsi="宋体" w:eastAsia="宋体" w:cs="宋体"/>
                <w:color w:val="auto"/>
                <w:sz w:val="24"/>
                <w:szCs w:val="24"/>
                <w:highlight w:val="none"/>
              </w:rPr>
              <w:t>mm≤高度≤</w:t>
            </w:r>
            <w:r>
              <w:rPr>
                <w:rFonts w:hint="eastAsia" w:ascii="宋体" w:hAnsi="宋体" w:eastAsia="宋体" w:cs="宋体"/>
                <w:color w:val="auto"/>
                <w:sz w:val="24"/>
                <w:szCs w:val="24"/>
                <w:highlight w:val="none"/>
                <w:lang w:val="en-US" w:eastAsia="zh-CN"/>
              </w:rPr>
              <w:t>1570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（需提供相关证明材料）</w:t>
            </w:r>
          </w:p>
          <w:p w14:paraId="5BD56010">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轴距(mm)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2600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≤轴 距≤</w:t>
            </w:r>
            <w:r>
              <w:rPr>
                <w:rFonts w:hint="eastAsia" w:ascii="宋体" w:hAnsi="宋体" w:eastAsia="宋体" w:cs="宋体"/>
                <w:color w:val="auto"/>
                <w:sz w:val="24"/>
                <w:szCs w:val="24"/>
                <w:highlight w:val="none"/>
                <w:lang w:val="en-US" w:eastAsia="zh-CN"/>
              </w:rPr>
              <w:t>2700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p>
          <w:p w14:paraId="37F0C9D1">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CLTC纯电动里程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KM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p>
          <w:p w14:paraId="15EEE4E5">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0%～80%直冲电量时间：≤</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分钟；</w:t>
            </w:r>
            <w:r>
              <w:rPr>
                <w:rFonts w:hint="eastAsia" w:ascii="宋体" w:hAnsi="宋体" w:eastAsia="宋体" w:cs="宋体"/>
                <w:color w:val="auto"/>
                <w:sz w:val="24"/>
                <w:szCs w:val="24"/>
                <w:highlight w:val="none"/>
                <w:lang w:val="en-US" w:eastAsia="zh-CN"/>
              </w:rPr>
              <w:t>（需提供相关证明材料）</w:t>
            </w:r>
          </w:p>
          <w:p w14:paraId="11E606D6">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.驱动系统：前置前驱；</w:t>
            </w:r>
            <w:r>
              <w:rPr>
                <w:rFonts w:hint="eastAsia" w:ascii="宋体" w:hAnsi="宋体" w:eastAsia="宋体" w:cs="宋体"/>
                <w:color w:val="auto"/>
                <w:sz w:val="24"/>
                <w:szCs w:val="24"/>
                <w:highlight w:val="none"/>
                <w:lang w:val="en-US" w:eastAsia="zh-CN"/>
              </w:rPr>
              <w:t>（需提供相关证明材料）</w:t>
            </w:r>
          </w:p>
          <w:p w14:paraId="27A99E10">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变速箱型式</w:t>
            </w:r>
            <w:r>
              <w:rPr>
                <w:rFonts w:hint="eastAsia" w:ascii="宋体" w:hAnsi="宋体" w:eastAsia="宋体" w:cs="宋体"/>
                <w:color w:val="auto"/>
                <w:sz w:val="24"/>
                <w:szCs w:val="24"/>
                <w:highlight w:val="none"/>
                <w:lang w:eastAsia="zh-CN"/>
              </w:rPr>
              <w:t>：自动变速箱；</w:t>
            </w:r>
            <w:r>
              <w:rPr>
                <w:rFonts w:hint="eastAsia" w:ascii="宋体" w:hAnsi="宋体" w:eastAsia="宋体" w:cs="宋体"/>
                <w:color w:val="auto"/>
                <w:sz w:val="24"/>
                <w:szCs w:val="24"/>
                <w:highlight w:val="none"/>
                <w:lang w:val="en-US" w:eastAsia="zh-CN"/>
              </w:rPr>
              <w:t>（需提供相关证明材料）</w:t>
            </w:r>
          </w:p>
          <w:p w14:paraId="4A8788FA">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前制动器类型：盘式</w:t>
            </w:r>
            <w:r>
              <w:rPr>
                <w:rFonts w:hint="eastAsia" w:ascii="宋体" w:hAnsi="宋体" w:eastAsia="宋体" w:cs="宋体"/>
                <w:color w:val="auto"/>
                <w:sz w:val="24"/>
                <w:szCs w:val="24"/>
                <w:highlight w:val="none"/>
                <w:lang w:val="en-US" w:eastAsia="zh-CN"/>
              </w:rPr>
              <w:t>或鼓</w:t>
            </w:r>
            <w:r>
              <w:rPr>
                <w:rFonts w:hint="eastAsia" w:ascii="宋体" w:hAnsi="宋体" w:eastAsia="宋体" w:cs="宋体"/>
                <w:color w:val="auto"/>
                <w:sz w:val="24"/>
                <w:szCs w:val="24"/>
                <w:highlight w:val="none"/>
                <w:lang w:eastAsia="zh-CN"/>
              </w:rPr>
              <w:t>式；</w:t>
            </w:r>
            <w:r>
              <w:rPr>
                <w:rFonts w:hint="eastAsia" w:ascii="宋体" w:hAnsi="宋体" w:eastAsia="宋体" w:cs="宋体"/>
                <w:color w:val="auto"/>
                <w:sz w:val="24"/>
                <w:szCs w:val="24"/>
                <w:highlight w:val="none"/>
                <w:lang w:val="en-US" w:eastAsia="zh-CN"/>
              </w:rPr>
              <w:t>（需提供相关证明材料）</w:t>
            </w:r>
          </w:p>
          <w:p w14:paraId="51080929">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后制动器类型：盘式</w:t>
            </w:r>
            <w:r>
              <w:rPr>
                <w:rFonts w:hint="eastAsia" w:ascii="宋体" w:hAnsi="宋体" w:eastAsia="宋体" w:cs="宋体"/>
                <w:color w:val="auto"/>
                <w:sz w:val="24"/>
                <w:szCs w:val="24"/>
                <w:highlight w:val="none"/>
                <w:lang w:val="en-US" w:eastAsia="zh-CN"/>
              </w:rPr>
              <w:t>或鼓</w:t>
            </w:r>
            <w:r>
              <w:rPr>
                <w:rFonts w:hint="eastAsia" w:ascii="宋体" w:hAnsi="宋体" w:eastAsia="宋体" w:cs="宋体"/>
                <w:color w:val="auto"/>
                <w:sz w:val="24"/>
                <w:szCs w:val="24"/>
                <w:highlight w:val="none"/>
                <w:lang w:eastAsia="zh-CN"/>
              </w:rPr>
              <w:t>式；</w:t>
            </w:r>
            <w:r>
              <w:rPr>
                <w:rFonts w:hint="eastAsia" w:ascii="宋体" w:hAnsi="宋体" w:eastAsia="宋体" w:cs="宋体"/>
                <w:color w:val="auto"/>
                <w:sz w:val="24"/>
                <w:szCs w:val="24"/>
                <w:highlight w:val="none"/>
                <w:lang w:val="en-US" w:eastAsia="zh-CN"/>
              </w:rPr>
              <w:t>（需提供相关证明材料）</w:t>
            </w:r>
          </w:p>
          <w:p w14:paraId="1CC1F3F2">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驻车制动类型：</w:t>
            </w:r>
            <w:r>
              <w:rPr>
                <w:rFonts w:hint="eastAsia" w:ascii="宋体" w:hAnsi="宋体" w:eastAsia="宋体" w:cs="宋体"/>
                <w:color w:val="auto"/>
                <w:sz w:val="24"/>
                <w:szCs w:val="24"/>
                <w:highlight w:val="none"/>
                <w:lang w:val="en-US" w:eastAsia="zh-CN"/>
              </w:rPr>
              <w:t>机械手刹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（需提供相关证明材料）</w:t>
            </w:r>
          </w:p>
          <w:p w14:paraId="7C470410">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13.安全配置：ABS防抱死、车身稳定控制；（需提供相关证明材料）</w:t>
            </w:r>
          </w:p>
          <w:p w14:paraId="584CDC9E">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.电池类型：电池为三元锂电池或磷酸铁锂电池；</w:t>
            </w:r>
            <w:r>
              <w:rPr>
                <w:rFonts w:hint="eastAsia" w:ascii="宋体" w:hAnsi="宋体" w:eastAsia="宋体" w:cs="宋体"/>
                <w:color w:val="auto"/>
                <w:sz w:val="24"/>
                <w:szCs w:val="24"/>
                <w:highlight w:val="none"/>
                <w:lang w:val="en-US" w:eastAsia="zh-CN"/>
              </w:rPr>
              <w:t>（需提供相关证明材料）</w:t>
            </w:r>
          </w:p>
          <w:p w14:paraId="30FB8F21">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15.纯电车电池容量≥38</w:t>
            </w:r>
            <w:r>
              <w:rPr>
                <w:rFonts w:hint="eastAsia" w:ascii="宋体" w:hAnsi="宋体" w:eastAsia="宋体" w:cs="宋体"/>
                <w:color w:val="auto"/>
                <w:sz w:val="24"/>
                <w:szCs w:val="24"/>
                <w:highlight w:val="none"/>
                <w:lang w:eastAsia="zh-CN"/>
              </w:rPr>
              <w:t>kWh</w:t>
            </w:r>
            <w:r>
              <w:rPr>
                <w:rFonts w:hint="eastAsia" w:ascii="宋体" w:hAnsi="宋体" w:eastAsia="宋体" w:cs="宋体"/>
                <w:color w:val="auto"/>
                <w:sz w:val="24"/>
                <w:szCs w:val="24"/>
                <w:highlight w:val="none"/>
                <w:lang w:val="en-US" w:eastAsia="zh-CN"/>
              </w:rPr>
              <w:t>；（需提供相关证明材料）</w:t>
            </w:r>
          </w:p>
          <w:p w14:paraId="61338BFF">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16.轮毂≥16英寸；（需提供相关证明材料）</w:t>
            </w:r>
          </w:p>
          <w:p w14:paraId="1EE61CED">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空调类型：手动</w:t>
            </w:r>
            <w:r>
              <w:rPr>
                <w:rFonts w:hint="eastAsia" w:ascii="宋体" w:hAnsi="宋体" w:eastAsia="宋体" w:cs="宋体"/>
                <w:color w:val="auto"/>
                <w:sz w:val="24"/>
                <w:szCs w:val="24"/>
                <w:highlight w:val="none"/>
                <w:lang w:val="en-US" w:eastAsia="zh-CN"/>
              </w:rPr>
              <w:t>或自动</w:t>
            </w:r>
            <w:r>
              <w:rPr>
                <w:rFonts w:hint="eastAsia" w:ascii="宋体" w:hAnsi="宋体" w:eastAsia="宋体" w:cs="宋体"/>
                <w:color w:val="auto"/>
                <w:sz w:val="24"/>
                <w:szCs w:val="24"/>
                <w:highlight w:val="none"/>
                <w:lang w:eastAsia="zh-CN"/>
              </w:rPr>
              <w:t>空调；</w:t>
            </w:r>
            <w:r>
              <w:rPr>
                <w:rFonts w:hint="eastAsia" w:ascii="宋体" w:hAnsi="宋体" w:eastAsia="宋体" w:cs="宋体"/>
                <w:color w:val="auto"/>
                <w:sz w:val="24"/>
                <w:szCs w:val="24"/>
                <w:highlight w:val="none"/>
                <w:lang w:val="en-US" w:eastAsia="zh-CN"/>
              </w:rPr>
              <w:t>（需提供相关证明材料）</w:t>
            </w:r>
          </w:p>
          <w:p w14:paraId="0AAAF46C">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▲18.车身颜色：白色；（需提供相关证明材料）</w:t>
            </w:r>
          </w:p>
          <w:p w14:paraId="2DDB4D86">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19.所投车辆原车出厂时副驾驶设置副制动装置及副喇叭（需提供车辆实车照片佐证）；</w:t>
            </w:r>
          </w:p>
          <w:p w14:paraId="332533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kern w:val="2"/>
                <w:sz w:val="24"/>
                <w:szCs w:val="24"/>
                <w:highlight w:val="none"/>
                <w:lang w:val="en-US" w:eastAsia="zh-CN" w:bidi="ar-SA"/>
              </w:rPr>
              <w:t>纯电车百公里耗电量(kwh/100km)：</w:t>
            </w:r>
            <w:r>
              <w:rPr>
                <w:rFonts w:hint="eastAsia" w:ascii="宋体" w:hAnsi="宋体" w:eastAsia="宋体" w:cs="宋体"/>
                <w:b/>
                <w:bCs/>
                <w:color w:val="auto"/>
                <w:kern w:val="2"/>
                <w:sz w:val="24"/>
                <w:szCs w:val="24"/>
                <w:highlight w:val="none"/>
                <w:lang w:val="en-US" w:eastAsia="zh-CN" w:bidi="ar-SA"/>
              </w:rPr>
              <w:t>≤11.5</w:t>
            </w:r>
            <w:r>
              <w:rPr>
                <w:rFonts w:hint="eastAsia" w:ascii="宋体" w:hAnsi="宋体" w:eastAsia="宋体" w:cs="宋体"/>
                <w:color w:val="auto"/>
                <w:kern w:val="2"/>
                <w:sz w:val="24"/>
                <w:szCs w:val="24"/>
                <w:highlight w:val="none"/>
                <w:lang w:val="en-US" w:eastAsia="zh-CN" w:bidi="ar-SA"/>
              </w:rPr>
              <w:t>（需提供工信部道路机动车辆生产企业及产品的批次信息和新能源汽车推广应用推荐车型目录的参数页）；</w:t>
            </w:r>
          </w:p>
          <w:p w14:paraId="707F2AEF">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.底盘转向助力类型：电动助力；</w:t>
            </w:r>
            <w:r>
              <w:rPr>
                <w:rFonts w:hint="eastAsia" w:ascii="宋体" w:hAnsi="宋体" w:eastAsia="宋体" w:cs="宋体"/>
                <w:color w:val="auto"/>
                <w:sz w:val="24"/>
                <w:szCs w:val="24"/>
                <w:highlight w:val="none"/>
                <w:lang w:val="en-US" w:eastAsia="zh-CN"/>
              </w:rPr>
              <w:t>（需提供相关证明材料）</w:t>
            </w:r>
          </w:p>
          <w:p w14:paraId="7428665C">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.电机型式：永磁同步</w:t>
            </w:r>
            <w:r>
              <w:rPr>
                <w:rFonts w:hint="eastAsia" w:ascii="宋体" w:hAnsi="宋体" w:eastAsia="宋体" w:cs="宋体"/>
                <w:color w:val="auto"/>
                <w:sz w:val="24"/>
                <w:szCs w:val="24"/>
                <w:highlight w:val="none"/>
                <w:lang w:val="en-US" w:eastAsia="zh-CN"/>
              </w:rPr>
              <w:t>电机；（需提供相关证明材料）</w:t>
            </w:r>
          </w:p>
          <w:p w14:paraId="226E3A6A">
            <w:pPr>
              <w:pStyle w:val="20"/>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pacing w:val="-5"/>
                <w:sz w:val="24"/>
                <w:szCs w:val="24"/>
                <w:highlight w:val="none"/>
              </w:rPr>
              <w:t>充电桩</w:t>
            </w:r>
            <w:r>
              <w:rPr>
                <w:rFonts w:hint="eastAsia" w:ascii="宋体" w:hAnsi="宋体" w:eastAsia="宋体" w:cs="宋体"/>
                <w:color w:val="auto"/>
                <w:spacing w:val="-5"/>
                <w:sz w:val="24"/>
                <w:szCs w:val="24"/>
                <w:highlight w:val="none"/>
                <w:lang w:val="en-US" w:eastAsia="zh-CN"/>
              </w:rPr>
              <w:t>功率:</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lang w:val="en-US" w:eastAsia="zh-CN"/>
              </w:rPr>
              <w:t>7千瓦（kW）；</w:t>
            </w:r>
            <w:r>
              <w:rPr>
                <w:rFonts w:hint="eastAsia" w:ascii="宋体" w:hAnsi="宋体" w:eastAsia="宋体" w:cs="宋体"/>
                <w:color w:val="auto"/>
                <w:sz w:val="24"/>
                <w:szCs w:val="24"/>
                <w:highlight w:val="none"/>
                <w:lang w:val="en-US" w:eastAsia="zh-CN"/>
              </w:rPr>
              <w:t>（需提供相关证明材料）</w:t>
            </w:r>
          </w:p>
          <w:p w14:paraId="5B6D744E">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.其他：车辆全车贴膜、全车全包脚垫、辅助后视镜、全车皮质坐垫套、充电桩及安装相对应的辅材等。</w:t>
            </w:r>
          </w:p>
        </w:tc>
      </w:tr>
    </w:tbl>
    <w:p w14:paraId="09217761">
      <w:pPr>
        <w:bidi w:val="0"/>
        <w:rPr>
          <w:rFonts w:hint="eastAsia" w:ascii="宋体" w:hAnsi="宋体" w:eastAsia="宋体" w:cs="宋体"/>
        </w:rPr>
      </w:pPr>
      <w:bookmarkStart w:id="67" w:name="_Toc409683143"/>
    </w:p>
    <w:p w14:paraId="75BECBAD">
      <w:pPr>
        <w:spacing w:before="120" w:after="120"/>
        <w:jc w:val="left"/>
        <w:outlineLvl w:val="1"/>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三、商务要求</w:t>
      </w:r>
    </w:p>
    <w:tbl>
      <w:tblPr>
        <w:tblStyle w:val="45"/>
        <w:tblW w:w="95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1"/>
        <w:gridCol w:w="1548"/>
        <w:gridCol w:w="7290"/>
      </w:tblGrid>
      <w:tr w14:paraId="3349C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16DEB7D">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48" w:type="dxa"/>
            <w:tcBorders>
              <w:top w:val="single" w:color="auto" w:sz="4" w:space="0"/>
              <w:left w:val="single" w:color="auto" w:sz="4" w:space="0"/>
              <w:bottom w:val="single" w:color="auto" w:sz="4" w:space="0"/>
              <w:right w:val="single" w:color="auto" w:sz="4" w:space="0"/>
            </w:tcBorders>
            <w:vAlign w:val="center"/>
          </w:tcPr>
          <w:p w14:paraId="4FE9017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7290" w:type="dxa"/>
            <w:tcBorders>
              <w:top w:val="single" w:color="auto" w:sz="4" w:space="0"/>
              <w:left w:val="single" w:color="auto" w:sz="4" w:space="0"/>
              <w:bottom w:val="single" w:color="auto" w:sz="4" w:space="0"/>
              <w:right w:val="single" w:color="auto" w:sz="4" w:space="0"/>
            </w:tcBorders>
            <w:vAlign w:val="center"/>
          </w:tcPr>
          <w:p w14:paraId="64013D9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    求</w:t>
            </w:r>
          </w:p>
        </w:tc>
      </w:tr>
      <w:tr w14:paraId="23C4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9E65FA9">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48" w:type="dxa"/>
            <w:tcBorders>
              <w:top w:val="single" w:color="auto" w:sz="4" w:space="0"/>
              <w:left w:val="single" w:color="auto" w:sz="4" w:space="0"/>
              <w:bottom w:val="single" w:color="auto" w:sz="4" w:space="0"/>
              <w:right w:val="single" w:color="auto" w:sz="4" w:space="0"/>
            </w:tcBorders>
            <w:vAlign w:val="center"/>
          </w:tcPr>
          <w:p w14:paraId="354435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7290" w:type="dxa"/>
            <w:tcBorders>
              <w:top w:val="single" w:color="auto" w:sz="4" w:space="0"/>
              <w:left w:val="single" w:color="auto" w:sz="4" w:space="0"/>
              <w:bottom w:val="single" w:color="auto" w:sz="4" w:space="0"/>
              <w:right w:val="single" w:color="auto" w:sz="4" w:space="0"/>
            </w:tcBorders>
            <w:vAlign w:val="center"/>
          </w:tcPr>
          <w:p w14:paraId="0168B3C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符合国家相关规定质量验收合格标准，满足采购人的使用需求。必须是公安部（车管所）可上牌车辆。</w:t>
            </w:r>
          </w:p>
        </w:tc>
      </w:tr>
      <w:tr w14:paraId="52240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35C639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48" w:type="dxa"/>
            <w:tcBorders>
              <w:top w:val="single" w:color="auto" w:sz="4" w:space="0"/>
              <w:left w:val="single" w:color="auto" w:sz="4" w:space="0"/>
              <w:bottom w:val="single" w:color="auto" w:sz="4" w:space="0"/>
              <w:right w:val="single" w:color="auto" w:sz="4" w:space="0"/>
            </w:tcBorders>
            <w:vAlign w:val="center"/>
          </w:tcPr>
          <w:p w14:paraId="747E4E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7290" w:type="dxa"/>
            <w:tcBorders>
              <w:top w:val="single" w:color="auto" w:sz="4" w:space="0"/>
              <w:left w:val="single" w:color="auto" w:sz="4" w:space="0"/>
              <w:bottom w:val="single" w:color="auto" w:sz="4" w:space="0"/>
              <w:right w:val="single" w:color="auto" w:sz="4" w:space="0"/>
            </w:tcBorders>
            <w:vAlign w:val="center"/>
          </w:tcPr>
          <w:p w14:paraId="081CAC1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签订合同后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天日内交货完成；</w:t>
            </w:r>
          </w:p>
        </w:tc>
      </w:tr>
      <w:tr w14:paraId="0A595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95DC0E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8" w:type="dxa"/>
            <w:tcBorders>
              <w:top w:val="single" w:color="auto" w:sz="4" w:space="0"/>
              <w:left w:val="single" w:color="auto" w:sz="4" w:space="0"/>
              <w:bottom w:val="single" w:color="auto" w:sz="4" w:space="0"/>
              <w:right w:val="single" w:color="auto" w:sz="4" w:space="0"/>
            </w:tcBorders>
            <w:vAlign w:val="center"/>
          </w:tcPr>
          <w:p w14:paraId="2F0799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7290" w:type="dxa"/>
            <w:tcBorders>
              <w:top w:val="single" w:color="auto" w:sz="4" w:space="0"/>
              <w:left w:val="single" w:color="auto" w:sz="4" w:space="0"/>
              <w:bottom w:val="single" w:color="auto" w:sz="4" w:space="0"/>
              <w:right w:val="single" w:color="auto" w:sz="4" w:space="0"/>
            </w:tcBorders>
            <w:vAlign w:val="center"/>
          </w:tcPr>
          <w:p w14:paraId="5EA2AAE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整车及易损件质保时间大于等于五年或行驶里程大于等于十万公里，其中新能源车辆核心零部件（</w:t>
            </w:r>
            <w:r>
              <w:rPr>
                <w:rFonts w:hint="eastAsia" w:ascii="宋体" w:hAnsi="宋体" w:eastAsia="宋体" w:cs="宋体"/>
                <w:b/>
                <w:bCs/>
                <w:color w:val="auto"/>
                <w:sz w:val="24"/>
                <w:szCs w:val="24"/>
                <w:highlight w:val="none"/>
                <w:lang w:val="en-US" w:eastAsia="zh-CN"/>
              </w:rPr>
              <w:t>动力电池、驱动电机、电机控制器</w:t>
            </w:r>
            <w:r>
              <w:rPr>
                <w:rFonts w:hint="eastAsia" w:ascii="宋体" w:hAnsi="宋体" w:eastAsia="宋体" w:cs="宋体"/>
                <w:color w:val="auto"/>
                <w:sz w:val="24"/>
                <w:szCs w:val="24"/>
                <w:highlight w:val="none"/>
                <w:lang w:val="en-US" w:eastAsia="zh-CN"/>
              </w:rPr>
              <w:t>）质保期要大于等于八年或行驶里程大于等于十五万公里，时间数和里程数两者以先到达者为准。质保期从最终验收合格之日起计算。质保期内负责上门保修服务。</w:t>
            </w:r>
          </w:p>
        </w:tc>
      </w:tr>
      <w:tr w14:paraId="4BD1B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208F49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180E3C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质量保证</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14:paraId="60564A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（1）中标人确保提供的货物完全是崭新产品。所提供货物质量必须符合国家相关标准，必须满足本次采购的要求，若所供货物经产品质量检测机构检测认定质量不合格，造成的损失和后果由该中标人负全责。</w:t>
            </w:r>
          </w:p>
          <w:p w14:paraId="186B0DF3">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）属于国家强制性产品认证范围的产品，必须获得国家法定认证机构颁发的“CCC”认证证书。</w:t>
            </w:r>
          </w:p>
          <w:p w14:paraId="1B0734AD">
            <w:pPr>
              <w:pStyle w:val="21"/>
              <w:keepNext w:val="0"/>
              <w:keepLines w:val="0"/>
              <w:pageBreakBefore w:val="0"/>
              <w:tabs>
                <w:tab w:val="left" w:pos="208"/>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确保车辆需能满足考试中心相关驾培改造要求（包括但不限于主驾驶设置油门限位器装置等），相关费用已经包含在总价中。</w:t>
            </w:r>
          </w:p>
          <w:p w14:paraId="55D1071A">
            <w:pPr>
              <w:pStyle w:val="21"/>
              <w:keepNext w:val="0"/>
              <w:keepLines w:val="0"/>
              <w:pageBreakBefore w:val="0"/>
              <w:tabs>
                <w:tab w:val="left" w:pos="208"/>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（4）如车型停产或换代，质保期内中标人必须持续提供维修服务，全力确保车辆故障能够得到妥善处理。</w:t>
            </w:r>
          </w:p>
          <w:p w14:paraId="5B2C824E">
            <w:pPr>
              <w:pStyle w:val="21"/>
              <w:keepNext w:val="0"/>
              <w:keepLines w:val="0"/>
              <w:pageBreakBefore w:val="0"/>
              <w:tabs>
                <w:tab w:val="left" w:pos="208"/>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（5）车型能兼容目前在用的所有考试设备及系统，符合公安部、交通部国家标准。</w:t>
            </w:r>
          </w:p>
          <w:p w14:paraId="45D07D13">
            <w:pPr>
              <w:pStyle w:val="21"/>
              <w:keepNext w:val="0"/>
              <w:keepLines w:val="0"/>
              <w:pageBreakBefore w:val="0"/>
              <w:tabs>
                <w:tab w:val="left" w:pos="208"/>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（6）承诺每辆车免费配置安装、加装220V交流充电器，直至使用单位可以正常使用。</w:t>
            </w:r>
          </w:p>
          <w:p w14:paraId="5CD5F80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）质保期内中标人须免费负责修理和替换任何由于配件自身的质量问题造成的损坏。</w:t>
            </w:r>
          </w:p>
        </w:tc>
      </w:tr>
      <w:tr w14:paraId="4D8CA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5A25C36">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548" w:type="dxa"/>
            <w:tcBorders>
              <w:top w:val="single" w:color="auto" w:sz="4" w:space="0"/>
              <w:left w:val="single" w:color="auto" w:sz="4" w:space="0"/>
              <w:bottom w:val="single" w:color="auto" w:sz="4" w:space="0"/>
              <w:right w:val="single" w:color="auto" w:sz="4" w:space="0"/>
            </w:tcBorders>
            <w:vAlign w:val="center"/>
          </w:tcPr>
          <w:p w14:paraId="2BB4103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售后服务响应时间</w:t>
            </w:r>
          </w:p>
        </w:tc>
        <w:tc>
          <w:tcPr>
            <w:tcW w:w="7290" w:type="dxa"/>
            <w:tcBorders>
              <w:top w:val="single" w:color="auto" w:sz="4" w:space="0"/>
              <w:left w:val="single" w:color="auto" w:sz="4" w:space="0"/>
              <w:bottom w:val="single" w:color="auto" w:sz="4" w:space="0"/>
              <w:right w:val="single" w:color="auto" w:sz="4" w:space="0"/>
            </w:tcBorders>
          </w:tcPr>
          <w:p w14:paraId="6EB42E54">
            <w:pPr>
              <w:pStyle w:val="21"/>
              <w:keepNext w:val="0"/>
              <w:keepLines w:val="0"/>
              <w:pageBreakBefore w:val="0"/>
              <w:kinsoku/>
              <w:wordWrap/>
              <w:overflowPunct/>
              <w:topLinePunct w:val="0"/>
              <w:autoSpaceDE/>
              <w:autoSpaceDN/>
              <w:bidi w:val="0"/>
              <w:adjustRightInd/>
              <w:spacing w:after="0" w:line="40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rPr>
              <w:t>提供7x24小时电话响应技术支持，一旦发生质量问题，</w:t>
            </w:r>
            <w:r>
              <w:rPr>
                <w:rFonts w:hint="eastAsia" w:ascii="宋体" w:hAnsi="宋体" w:eastAsia="宋体" w:cs="宋体"/>
                <w:color w:val="auto"/>
                <w:sz w:val="24"/>
                <w:szCs w:val="24"/>
                <w:highlight w:val="none"/>
              </w:rPr>
              <w:t>中标人</w:t>
            </w:r>
            <w:r>
              <w:rPr>
                <w:rFonts w:hint="eastAsia" w:ascii="宋体" w:hAnsi="宋体" w:eastAsia="宋体" w:cs="宋体"/>
                <w:color w:val="auto"/>
                <w:kern w:val="0"/>
                <w:sz w:val="24"/>
                <w:szCs w:val="24"/>
                <w:highlight w:val="none"/>
              </w:rPr>
              <w:t>保证在接到通知后30分钟内作出响应，24小时内到现场进行维修、更换或退货，费用由</w:t>
            </w: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负责。若短期无法修复的，应及时提供相应备用设备并负责安装调试。如</w:t>
            </w:r>
            <w:r>
              <w:rPr>
                <w:rFonts w:hint="eastAsia" w:ascii="宋体" w:hAnsi="宋体" w:eastAsia="宋体" w:cs="宋体"/>
                <w:color w:val="auto"/>
                <w:sz w:val="24"/>
                <w:szCs w:val="24"/>
                <w:highlight w:val="none"/>
              </w:rPr>
              <w:t>中标人</w:t>
            </w:r>
            <w:r>
              <w:rPr>
                <w:rFonts w:hint="eastAsia" w:ascii="宋体" w:hAnsi="宋体" w:eastAsia="宋体" w:cs="宋体"/>
                <w:color w:val="auto"/>
                <w:kern w:val="0"/>
                <w:sz w:val="24"/>
                <w:szCs w:val="24"/>
                <w:highlight w:val="none"/>
              </w:rPr>
              <w:t>在接到通知的24小时内没有答复或处理问题，则视为卖方承认质量问题并承担由此而发生的一切费用。保修期间产品的一切质量问题，更换部件及产品本身质量原因造成的直接经济损失应全部由</w:t>
            </w:r>
            <w:r>
              <w:rPr>
                <w:rFonts w:hint="eastAsia" w:ascii="宋体" w:hAnsi="宋体" w:eastAsia="宋体" w:cs="宋体"/>
                <w:color w:val="auto"/>
                <w:sz w:val="24"/>
                <w:szCs w:val="24"/>
                <w:highlight w:val="none"/>
              </w:rPr>
              <w:t>中标人</w:t>
            </w:r>
            <w:r>
              <w:rPr>
                <w:rFonts w:hint="eastAsia" w:ascii="宋体" w:hAnsi="宋体" w:eastAsia="宋体" w:cs="宋体"/>
                <w:color w:val="auto"/>
                <w:kern w:val="0"/>
                <w:sz w:val="24"/>
                <w:szCs w:val="24"/>
                <w:highlight w:val="none"/>
              </w:rPr>
              <w:t>自行负责，更换时间不得超过48小时</w:t>
            </w:r>
            <w:r>
              <w:rPr>
                <w:rFonts w:hint="eastAsia" w:ascii="宋体" w:hAnsi="宋体" w:eastAsia="宋体" w:cs="宋体"/>
                <w:i w:val="0"/>
                <w:iCs w:val="0"/>
                <w:caps w:val="0"/>
                <w:color w:val="auto"/>
                <w:spacing w:val="0"/>
                <w:sz w:val="24"/>
                <w:szCs w:val="24"/>
                <w:highlight w:val="none"/>
                <w:lang w:val="en-US" w:eastAsia="zh-CN"/>
              </w:rPr>
              <w:t>。承诺在中标后在莲都区设置售后服务点。</w:t>
            </w:r>
          </w:p>
        </w:tc>
      </w:tr>
      <w:tr w14:paraId="21868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3DE839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548" w:type="dxa"/>
            <w:tcBorders>
              <w:top w:val="single" w:color="auto" w:sz="4" w:space="0"/>
              <w:left w:val="single" w:color="auto" w:sz="4" w:space="0"/>
              <w:bottom w:val="single" w:color="auto" w:sz="4" w:space="0"/>
              <w:right w:val="single" w:color="auto" w:sz="4" w:space="0"/>
            </w:tcBorders>
            <w:vAlign w:val="center"/>
          </w:tcPr>
          <w:p w14:paraId="6A19854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货物交付</w:t>
            </w:r>
          </w:p>
        </w:tc>
        <w:tc>
          <w:tcPr>
            <w:tcW w:w="7290" w:type="dxa"/>
            <w:tcBorders>
              <w:top w:val="single" w:color="auto" w:sz="4" w:space="0"/>
              <w:left w:val="single" w:color="auto" w:sz="4" w:space="0"/>
              <w:bottom w:val="single" w:color="auto" w:sz="4" w:space="0"/>
              <w:right w:val="single" w:color="auto" w:sz="4" w:space="0"/>
            </w:tcBorders>
            <w:vAlign w:val="center"/>
          </w:tcPr>
          <w:p w14:paraId="50759578">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r>
              <w:rPr>
                <w:rFonts w:hint="eastAsia" w:ascii="宋体" w:hAnsi="宋体" w:eastAsia="宋体" w:cs="宋体"/>
                <w:color w:val="auto"/>
                <w:sz w:val="24"/>
                <w:szCs w:val="24"/>
                <w:highlight w:val="none"/>
                <w:lang w:val="en-US" w:eastAsia="zh-CN"/>
              </w:rPr>
              <w:t>交货，</w:t>
            </w:r>
            <w:r>
              <w:rPr>
                <w:rFonts w:hint="eastAsia" w:ascii="宋体" w:hAnsi="宋体" w:eastAsia="宋体" w:cs="宋体"/>
                <w:color w:val="auto"/>
                <w:sz w:val="24"/>
                <w:szCs w:val="24"/>
                <w:highlight w:val="none"/>
              </w:rPr>
              <w:t>交付货物清单、产品合格证、保修书、使用说明等相应证件及技术资料。</w:t>
            </w:r>
          </w:p>
        </w:tc>
      </w:tr>
      <w:tr w14:paraId="17A96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442B70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548" w:type="dxa"/>
            <w:tcBorders>
              <w:top w:val="single" w:color="auto" w:sz="4" w:space="0"/>
              <w:left w:val="single" w:color="auto" w:sz="4" w:space="0"/>
              <w:bottom w:val="single" w:color="auto" w:sz="4" w:space="0"/>
              <w:right w:val="single" w:color="auto" w:sz="4" w:space="0"/>
            </w:tcBorders>
            <w:vAlign w:val="center"/>
          </w:tcPr>
          <w:p w14:paraId="05AD657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技术培训</w:t>
            </w:r>
          </w:p>
        </w:tc>
        <w:tc>
          <w:tcPr>
            <w:tcW w:w="7290" w:type="dxa"/>
            <w:tcBorders>
              <w:top w:val="single" w:color="auto" w:sz="4" w:space="0"/>
              <w:left w:val="single" w:color="auto" w:sz="4" w:space="0"/>
              <w:bottom w:val="single" w:color="auto" w:sz="4" w:space="0"/>
              <w:right w:val="single" w:color="auto" w:sz="4" w:space="0"/>
            </w:tcBorders>
            <w:vAlign w:val="center"/>
          </w:tcPr>
          <w:p w14:paraId="7C7292CC">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根据采购人提出的车辆操作等相关问题，进行为期至少1天的定制化培训，解决培训人员的理论与操作问题，掌握基本使用技能。</w:t>
            </w:r>
            <w:r>
              <w:rPr>
                <w:rFonts w:hint="eastAsia" w:ascii="宋体" w:hAnsi="宋体" w:eastAsia="宋体" w:cs="宋体"/>
                <w:color w:val="auto"/>
                <w:sz w:val="24"/>
                <w:szCs w:val="24"/>
                <w:highlight w:val="none"/>
              </w:rPr>
              <w:t>培训地点：采购人要求地点，相关费用已含在投标报价中。</w:t>
            </w:r>
          </w:p>
        </w:tc>
      </w:tr>
      <w:tr w14:paraId="78311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95A1B7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548" w:type="dxa"/>
            <w:tcBorders>
              <w:top w:val="single" w:color="auto" w:sz="4" w:space="0"/>
              <w:left w:val="single" w:color="auto" w:sz="4" w:space="0"/>
              <w:bottom w:val="single" w:color="auto" w:sz="4" w:space="0"/>
              <w:right w:val="single" w:color="auto" w:sz="4" w:space="0"/>
            </w:tcBorders>
            <w:vAlign w:val="center"/>
          </w:tcPr>
          <w:p w14:paraId="27C3E37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付款方式与其它</w:t>
            </w:r>
          </w:p>
        </w:tc>
        <w:tc>
          <w:tcPr>
            <w:tcW w:w="7290" w:type="dxa"/>
            <w:tcBorders>
              <w:top w:val="single" w:color="auto" w:sz="4" w:space="0"/>
              <w:left w:val="single" w:color="auto" w:sz="4" w:space="0"/>
              <w:bottom w:val="single" w:color="auto" w:sz="4" w:space="0"/>
              <w:right w:val="single" w:color="auto" w:sz="4" w:space="0"/>
            </w:tcBorders>
            <w:vAlign w:val="center"/>
          </w:tcPr>
          <w:p w14:paraId="6AF5F099">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（1）在合同签订后7个工作日内支付合同金额的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0%预付款；</w:t>
            </w:r>
          </w:p>
          <w:p w14:paraId="625548CA">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（2）所有货物全部到货（清点完毕），经调试并经</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验收合格后7个工作日内支付剩余合同价款。</w:t>
            </w:r>
          </w:p>
        </w:tc>
      </w:tr>
    </w:tbl>
    <w:p w14:paraId="42DDC2C1">
      <w:pPr>
        <w:bidi w:val="0"/>
        <w:rPr>
          <w:rFonts w:hint="eastAsia" w:ascii="宋体" w:hAnsi="宋体" w:eastAsia="宋体" w:cs="宋体"/>
        </w:rPr>
      </w:pPr>
    </w:p>
    <w:p w14:paraId="4CD55448">
      <w:pPr>
        <w:bidi w:val="0"/>
        <w:rPr>
          <w:rFonts w:hint="eastAsia" w:ascii="宋体" w:hAnsi="宋体" w:eastAsia="宋体" w:cs="宋体"/>
        </w:rPr>
      </w:pPr>
    </w:p>
    <w:p w14:paraId="794967DB">
      <w:pPr>
        <w:bidi w:val="0"/>
        <w:rPr>
          <w:rFonts w:hint="eastAsia" w:ascii="宋体" w:hAnsi="宋体" w:eastAsia="宋体" w:cs="宋体"/>
        </w:rPr>
      </w:pPr>
    </w:p>
    <w:p w14:paraId="74D95FC6">
      <w:pPr>
        <w:bidi w:val="0"/>
        <w:rPr>
          <w:rFonts w:hint="eastAsia" w:ascii="宋体" w:hAnsi="宋体" w:eastAsia="宋体" w:cs="宋体"/>
          <w:color w:val="auto"/>
          <w:sz w:val="84"/>
          <w:szCs w:val="84"/>
          <w:highlight w:val="none"/>
          <w:lang w:val="en-US" w:eastAsia="zh-CN"/>
        </w:rPr>
        <w:sectPr>
          <w:pgSz w:w="11906" w:h="16838"/>
          <w:pgMar w:top="1134" w:right="1134" w:bottom="1134" w:left="1134" w:header="851" w:footer="850" w:gutter="0"/>
          <w:pgNumType w:fmt="decimal"/>
          <w:cols w:space="0" w:num="1"/>
          <w:rtlGutter w:val="0"/>
          <w:docGrid w:linePitch="312" w:charSpace="0"/>
        </w:sectPr>
      </w:pPr>
    </w:p>
    <w:p w14:paraId="6ED1642D">
      <w:pPr>
        <w:pStyle w:val="42"/>
        <w:shd w:val="clear"/>
        <w:spacing w:before="0" w:after="0" w:line="360" w:lineRule="auto"/>
        <w:rPr>
          <w:rFonts w:hint="eastAsia" w:ascii="宋体" w:hAnsi="宋体" w:eastAsia="宋体" w:cs="宋体"/>
          <w:color w:val="auto"/>
          <w:sz w:val="36"/>
          <w:szCs w:val="36"/>
          <w:highlight w:val="none"/>
        </w:rPr>
      </w:pPr>
      <w:bookmarkStart w:id="68" w:name="_Toc22074"/>
      <w:bookmarkStart w:id="69" w:name="_Toc530551819"/>
      <w:bookmarkStart w:id="70" w:name="_Toc493956031"/>
      <w:bookmarkStart w:id="71" w:name="_Toc23846"/>
      <w:bookmarkStart w:id="72" w:name="_Toc531358974"/>
      <w:bookmarkStart w:id="73" w:name="_Toc18782"/>
      <w:bookmarkStart w:id="74" w:name="_Toc14186"/>
      <w:bookmarkStart w:id="75" w:name="_Toc97212956"/>
      <w:bookmarkStart w:id="76" w:name="_Toc19470"/>
      <w:r>
        <w:rPr>
          <w:rFonts w:hint="eastAsia" w:ascii="宋体" w:hAnsi="宋体" w:eastAsia="宋体" w:cs="宋体"/>
          <w:color w:val="auto"/>
          <w:sz w:val="36"/>
          <w:szCs w:val="36"/>
          <w:highlight w:val="none"/>
        </w:rPr>
        <w:t>第三章  投标人须知</w:t>
      </w:r>
      <w:bookmarkEnd w:id="67"/>
      <w:bookmarkEnd w:id="68"/>
      <w:bookmarkEnd w:id="69"/>
      <w:bookmarkEnd w:id="70"/>
      <w:bookmarkEnd w:id="71"/>
      <w:bookmarkEnd w:id="72"/>
      <w:bookmarkEnd w:id="73"/>
      <w:bookmarkEnd w:id="74"/>
      <w:bookmarkEnd w:id="75"/>
      <w:bookmarkEnd w:id="76"/>
    </w:p>
    <w:p w14:paraId="3FB54CEE">
      <w:pPr>
        <w:pStyle w:val="42"/>
        <w:shd w:val="clear"/>
        <w:spacing w:after="240"/>
        <w:jc w:val="left"/>
        <w:outlineLvl w:val="1"/>
        <w:rPr>
          <w:rFonts w:hint="eastAsia" w:ascii="宋体" w:hAnsi="宋体" w:eastAsia="宋体" w:cs="宋体"/>
          <w:color w:val="auto"/>
          <w:sz w:val="30"/>
          <w:szCs w:val="30"/>
          <w:highlight w:val="none"/>
        </w:rPr>
      </w:pPr>
      <w:bookmarkStart w:id="77" w:name="_Toc531358975"/>
      <w:bookmarkStart w:id="78" w:name="_Toc530551820"/>
      <w:bookmarkStart w:id="79" w:name="_Toc486423882"/>
      <w:bookmarkStart w:id="80" w:name="_Toc493956032"/>
      <w:bookmarkStart w:id="81" w:name="_Toc25318"/>
      <w:bookmarkStart w:id="82" w:name="_Toc97212957"/>
      <w:bookmarkStart w:id="83" w:name="_Toc8672"/>
      <w:bookmarkStart w:id="84" w:name="_Toc23246"/>
      <w:bookmarkStart w:id="85" w:name="_Toc9810"/>
      <w:bookmarkStart w:id="86" w:name="_Toc23327"/>
      <w:bookmarkStart w:id="87" w:name="EB4c7125c6dc654ed08b5f32dccfe34746"/>
      <w:bookmarkStart w:id="88" w:name="_Toc493956033"/>
      <w:r>
        <w:rPr>
          <w:rFonts w:hint="eastAsia" w:ascii="宋体" w:hAnsi="宋体" w:eastAsia="宋体" w:cs="宋体"/>
          <w:color w:val="auto"/>
          <w:sz w:val="30"/>
          <w:szCs w:val="30"/>
          <w:highlight w:val="none"/>
        </w:rPr>
        <w:t>投标人须知前附表</w:t>
      </w:r>
      <w:bookmarkEnd w:id="77"/>
      <w:bookmarkEnd w:id="78"/>
      <w:bookmarkEnd w:id="79"/>
      <w:bookmarkEnd w:id="80"/>
      <w:r>
        <w:rPr>
          <w:rFonts w:hint="eastAsia" w:ascii="宋体" w:hAnsi="宋体" w:eastAsia="宋体" w:cs="宋体"/>
          <w:color w:val="auto"/>
          <w:sz w:val="30"/>
          <w:szCs w:val="30"/>
          <w:highlight w:val="none"/>
        </w:rPr>
        <w:t>（一）</w:t>
      </w:r>
      <w:bookmarkEnd w:id="81"/>
      <w:bookmarkEnd w:id="82"/>
      <w:bookmarkEnd w:id="83"/>
      <w:bookmarkEnd w:id="84"/>
      <w:bookmarkEnd w:id="85"/>
      <w:bookmarkEnd w:id="86"/>
    </w:p>
    <w:tbl>
      <w:tblPr>
        <w:tblStyle w:val="45"/>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6"/>
        <w:gridCol w:w="6769"/>
      </w:tblGrid>
      <w:tr w14:paraId="219D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06" w:type="dxa"/>
            <w:noWrap w:val="0"/>
            <w:vAlign w:val="center"/>
          </w:tcPr>
          <w:p w14:paraId="44C4AA3E">
            <w:pPr>
              <w:shd w:val="clear"/>
              <w:ind w:right="-86" w:rightChars="-41"/>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序号</w:t>
            </w:r>
          </w:p>
        </w:tc>
        <w:tc>
          <w:tcPr>
            <w:tcW w:w="1676" w:type="dxa"/>
            <w:noWrap w:val="0"/>
            <w:vAlign w:val="center"/>
          </w:tcPr>
          <w:p w14:paraId="7F8AC8D7">
            <w:pPr>
              <w:shd w:val="clear"/>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事项</w:t>
            </w:r>
          </w:p>
        </w:tc>
        <w:tc>
          <w:tcPr>
            <w:tcW w:w="6769" w:type="dxa"/>
            <w:noWrap w:val="0"/>
            <w:vAlign w:val="center"/>
          </w:tcPr>
          <w:p w14:paraId="6A48C378">
            <w:pPr>
              <w:shd w:val="clea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本项目的特别规定</w:t>
            </w:r>
          </w:p>
        </w:tc>
      </w:tr>
      <w:tr w14:paraId="3F83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5BEF5906">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w:t>
            </w:r>
          </w:p>
        </w:tc>
        <w:tc>
          <w:tcPr>
            <w:tcW w:w="1676" w:type="dxa"/>
            <w:noWrap w:val="0"/>
            <w:vAlign w:val="center"/>
          </w:tcPr>
          <w:p w14:paraId="1F6FDEF7">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w:t>
            </w:r>
          </w:p>
        </w:tc>
        <w:tc>
          <w:tcPr>
            <w:tcW w:w="6769" w:type="dxa"/>
            <w:noWrap w:val="0"/>
            <w:vAlign w:val="center"/>
          </w:tcPr>
          <w:p w14:paraId="7ACB3120">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见第一章招标公告</w:t>
            </w:r>
          </w:p>
        </w:tc>
      </w:tr>
      <w:tr w14:paraId="0C1A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3B985ABE">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2</w:t>
            </w:r>
          </w:p>
        </w:tc>
        <w:tc>
          <w:tcPr>
            <w:tcW w:w="1676" w:type="dxa"/>
            <w:noWrap w:val="0"/>
            <w:vAlign w:val="center"/>
          </w:tcPr>
          <w:p w14:paraId="6D9FD443">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w:t>
            </w:r>
          </w:p>
        </w:tc>
        <w:tc>
          <w:tcPr>
            <w:tcW w:w="6769" w:type="dxa"/>
            <w:noWrap w:val="0"/>
            <w:vAlign w:val="center"/>
          </w:tcPr>
          <w:p w14:paraId="4033C61A">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见第一章招标公告</w:t>
            </w:r>
          </w:p>
        </w:tc>
      </w:tr>
      <w:tr w14:paraId="4368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3B5C784C">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3</w:t>
            </w:r>
          </w:p>
        </w:tc>
        <w:tc>
          <w:tcPr>
            <w:tcW w:w="1676" w:type="dxa"/>
            <w:noWrap w:val="0"/>
            <w:vAlign w:val="center"/>
          </w:tcPr>
          <w:p w14:paraId="431964FC">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联合体投标</w:t>
            </w:r>
          </w:p>
        </w:tc>
        <w:tc>
          <w:tcPr>
            <w:tcW w:w="6769" w:type="dxa"/>
            <w:noWrap w:val="0"/>
            <w:vAlign w:val="center"/>
          </w:tcPr>
          <w:p w14:paraId="2ADFEC94">
            <w:pPr>
              <w:shd w:val="clea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 xml:space="preserve"> 不接受；</w:t>
            </w:r>
          </w:p>
          <w:p w14:paraId="5ADF305C">
            <w:pPr>
              <w:shd w:val="clea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接受。</w:t>
            </w:r>
          </w:p>
        </w:tc>
      </w:tr>
      <w:tr w14:paraId="09E4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4835544E">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4</w:t>
            </w:r>
          </w:p>
        </w:tc>
        <w:tc>
          <w:tcPr>
            <w:tcW w:w="1676" w:type="dxa"/>
            <w:noWrap w:val="0"/>
            <w:vAlign w:val="center"/>
          </w:tcPr>
          <w:p w14:paraId="79A67AEF">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现场踏勘</w:t>
            </w:r>
          </w:p>
        </w:tc>
        <w:tc>
          <w:tcPr>
            <w:tcW w:w="6769" w:type="dxa"/>
            <w:noWrap w:val="0"/>
            <w:vAlign w:val="center"/>
          </w:tcPr>
          <w:p w14:paraId="6B54A534">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 xml:space="preserve"> 不组织。</w:t>
            </w:r>
          </w:p>
          <w:p w14:paraId="3CA63F51">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组织，见第二章招标需求。     </w:t>
            </w:r>
          </w:p>
        </w:tc>
      </w:tr>
      <w:tr w14:paraId="4357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130EAB66">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5</w:t>
            </w:r>
          </w:p>
        </w:tc>
        <w:tc>
          <w:tcPr>
            <w:tcW w:w="1676" w:type="dxa"/>
            <w:noWrap w:val="0"/>
            <w:vAlign w:val="center"/>
          </w:tcPr>
          <w:p w14:paraId="2ED902D7">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答疑会</w:t>
            </w:r>
          </w:p>
        </w:tc>
        <w:tc>
          <w:tcPr>
            <w:tcW w:w="6769" w:type="dxa"/>
            <w:noWrap w:val="0"/>
            <w:vAlign w:val="center"/>
          </w:tcPr>
          <w:p w14:paraId="725BB3CA">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 xml:space="preserve"> 不召开；</w:t>
            </w:r>
          </w:p>
          <w:p w14:paraId="493BC2F5">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召开。时间：   年  月  日  时  分；地点： </w:t>
            </w:r>
          </w:p>
        </w:tc>
      </w:tr>
      <w:tr w14:paraId="0B3C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257D7989">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6</w:t>
            </w:r>
          </w:p>
        </w:tc>
        <w:tc>
          <w:tcPr>
            <w:tcW w:w="1676" w:type="dxa"/>
            <w:noWrap w:val="0"/>
            <w:vAlign w:val="center"/>
          </w:tcPr>
          <w:p w14:paraId="0AF71665">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分包</w:t>
            </w:r>
          </w:p>
        </w:tc>
        <w:tc>
          <w:tcPr>
            <w:tcW w:w="6769" w:type="dxa"/>
            <w:noWrap w:val="0"/>
            <w:vAlign w:val="center"/>
          </w:tcPr>
          <w:p w14:paraId="05F808DC">
            <w:pPr>
              <w:shd w:val="clear"/>
              <w:ind w:left="-113" w:leftChars="-54" w:right="-107" w:rightChars="-51" w:firstLine="120" w:firstLine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1.不允许。</w:t>
            </w:r>
          </w:p>
          <w:p w14:paraId="7BA988AC">
            <w:pPr>
              <w:shd w:val="clear"/>
              <w:ind w:left="-113" w:leftChars="-54" w:right="-107" w:rightChars="-51" w:firstLine="120" w:firstLine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2.允许，</w:t>
            </w:r>
            <w:r>
              <w:rPr>
                <w:rFonts w:hint="eastAsia" w:ascii="宋体" w:hAnsi="宋体" w:eastAsia="宋体" w:cs="宋体"/>
                <w:bCs/>
                <w:color w:val="auto"/>
                <w:sz w:val="24"/>
                <w:szCs w:val="24"/>
                <w:highlight w:val="none"/>
                <w:lang w:eastAsia="zh-CN"/>
              </w:rPr>
              <w:t>同意</w:t>
            </w:r>
            <w:r>
              <w:rPr>
                <w:rFonts w:hint="eastAsia" w:ascii="宋体" w:hAnsi="宋体" w:eastAsia="宋体" w:cs="宋体"/>
                <w:color w:val="auto"/>
                <w:sz w:val="24"/>
                <w:highlight w:val="none"/>
              </w:rPr>
              <w:t>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tc>
      </w:tr>
      <w:tr w14:paraId="63E3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4358FF5C">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7</w:t>
            </w:r>
          </w:p>
        </w:tc>
        <w:tc>
          <w:tcPr>
            <w:tcW w:w="1676" w:type="dxa"/>
            <w:noWrap w:val="0"/>
            <w:vAlign w:val="center"/>
          </w:tcPr>
          <w:p w14:paraId="02B30EBB">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节能环保产品认证</w:t>
            </w:r>
          </w:p>
        </w:tc>
        <w:tc>
          <w:tcPr>
            <w:tcW w:w="6769" w:type="dxa"/>
            <w:noWrap w:val="0"/>
            <w:vAlign w:val="center"/>
          </w:tcPr>
          <w:p w14:paraId="0DD3F6DA">
            <w:pPr>
              <w:shd w:val="clear"/>
              <w:rPr>
                <w:rFonts w:hint="eastAsia" w:ascii="宋体" w:hAnsi="宋体" w:eastAsia="宋体" w:cs="宋体"/>
                <w:bCs/>
                <w:color w:val="auto"/>
                <w:sz w:val="24"/>
                <w:szCs w:val="24"/>
                <w:highlight w:val="none"/>
              </w:rPr>
            </w:pPr>
            <w:r>
              <w:rPr>
                <w:rFonts w:hint="eastAsia" w:ascii="宋体" w:hAnsi="宋体" w:eastAsia="宋体" w:cs="宋体"/>
                <w:bCs/>
                <w:snapToGrid w:val="0"/>
                <w:color w:val="auto"/>
                <w:sz w:val="24"/>
                <w:szCs w:val="24"/>
                <w:highlight w:val="none"/>
                <w:lang w:val="en-US" w:eastAsia="zh-CN"/>
              </w:rPr>
              <w:t>不</w:t>
            </w:r>
            <w:r>
              <w:rPr>
                <w:rFonts w:hint="eastAsia" w:ascii="宋体" w:hAnsi="宋体" w:eastAsia="宋体" w:cs="宋体"/>
                <w:bCs/>
                <w:snapToGrid w:val="0"/>
                <w:color w:val="auto"/>
                <w:sz w:val="24"/>
                <w:szCs w:val="24"/>
                <w:highlight w:val="none"/>
              </w:rPr>
              <w:t>提供。</w:t>
            </w:r>
          </w:p>
        </w:tc>
      </w:tr>
      <w:tr w14:paraId="31DD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1FAECE8B">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8</w:t>
            </w:r>
          </w:p>
        </w:tc>
        <w:tc>
          <w:tcPr>
            <w:tcW w:w="1676" w:type="dxa"/>
            <w:noWrap w:val="0"/>
            <w:vAlign w:val="center"/>
          </w:tcPr>
          <w:p w14:paraId="5B5484B3">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小型、微型企业的价格扣除</w:t>
            </w:r>
          </w:p>
        </w:tc>
        <w:tc>
          <w:tcPr>
            <w:tcW w:w="6769" w:type="dxa"/>
            <w:noWrap w:val="0"/>
            <w:vAlign w:val="center"/>
          </w:tcPr>
          <w:p w14:paraId="670716D1">
            <w:pPr>
              <w:keepNext w:val="0"/>
              <w:keepLines w:val="0"/>
              <w:pageBreakBefore w:val="0"/>
              <w:widowControl w:val="0"/>
              <w:kinsoku/>
              <w:wordWrap/>
              <w:overflowPunct/>
              <w:topLinePunct w:val="0"/>
              <w:autoSpaceDE/>
              <w:autoSpaceDN/>
              <w:bidi w:val="0"/>
              <w:adjustRightInd/>
              <w:snapToGrid/>
              <w:spacing w:line="300" w:lineRule="exact"/>
              <w:ind w:left="-88" w:leftChars="-42" w:right="-113" w:rightChars="-54" w:firstLine="120" w:firstLineChars="50"/>
              <w:textAlignment w:val="auto"/>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val="en-US" w:eastAsia="zh-CN"/>
              </w:rPr>
              <w:t>1.</w:t>
            </w:r>
            <w:r>
              <w:rPr>
                <w:rFonts w:hint="eastAsia" w:ascii="宋体" w:hAnsi="宋体" w:eastAsia="宋体" w:cs="宋体"/>
                <w:bCs/>
                <w:snapToGrid w:val="0"/>
                <w:color w:val="auto"/>
                <w:sz w:val="24"/>
                <w:szCs w:val="24"/>
                <w:highlight w:val="none"/>
              </w:rPr>
              <w:t>本项目</w:t>
            </w:r>
            <w:r>
              <w:rPr>
                <w:rFonts w:hint="eastAsia" w:ascii="宋体" w:hAnsi="宋体" w:eastAsia="宋体" w:cs="宋体"/>
                <w:b/>
                <w:bCs w:val="0"/>
                <w:snapToGrid w:val="0"/>
                <w:color w:val="auto"/>
                <w:sz w:val="24"/>
                <w:szCs w:val="24"/>
                <w:highlight w:val="none"/>
                <w:u w:val="single"/>
              </w:rPr>
              <w:t xml:space="preserve"> 非 </w:t>
            </w:r>
            <w:r>
              <w:rPr>
                <w:rFonts w:hint="eastAsia" w:ascii="宋体" w:hAnsi="宋体" w:eastAsia="宋体" w:cs="宋体"/>
                <w:bCs/>
                <w:snapToGrid w:val="0"/>
                <w:color w:val="auto"/>
                <w:sz w:val="24"/>
                <w:szCs w:val="24"/>
                <w:highlight w:val="none"/>
              </w:rPr>
              <w:t>专门面向中小企业采购项目</w:t>
            </w:r>
            <w:r>
              <w:rPr>
                <w:rFonts w:hint="eastAsia" w:ascii="宋体" w:hAnsi="宋体" w:eastAsia="宋体" w:cs="宋体"/>
                <w:bCs/>
                <w:snapToGrid w:val="0"/>
                <w:color w:val="auto"/>
                <w:sz w:val="24"/>
                <w:szCs w:val="24"/>
                <w:highlight w:val="none"/>
                <w:lang w:eastAsia="zh-CN"/>
              </w:rPr>
              <w:t>；</w:t>
            </w:r>
          </w:p>
          <w:p w14:paraId="199CE853">
            <w:pPr>
              <w:keepNext w:val="0"/>
              <w:keepLines w:val="0"/>
              <w:pageBreakBefore w:val="0"/>
              <w:widowControl w:val="0"/>
              <w:kinsoku/>
              <w:wordWrap/>
              <w:overflowPunct/>
              <w:topLinePunct w:val="0"/>
              <w:autoSpaceDE/>
              <w:autoSpaceDN/>
              <w:bidi w:val="0"/>
              <w:adjustRightInd/>
              <w:snapToGrid/>
              <w:spacing w:line="300" w:lineRule="exact"/>
              <w:ind w:left="-88" w:leftChars="-42" w:right="-113" w:rightChars="-54" w:firstLine="120" w:firstLineChars="50"/>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val="en-US" w:eastAsia="zh-CN"/>
              </w:rPr>
              <w:t>2</w:t>
            </w:r>
            <w:r>
              <w:rPr>
                <w:rFonts w:hint="eastAsia" w:ascii="宋体" w:hAnsi="宋体" w:eastAsia="宋体" w:cs="宋体"/>
                <w:bCs/>
                <w:snapToGrid w:val="0"/>
                <w:color w:val="auto"/>
                <w:sz w:val="24"/>
                <w:szCs w:val="24"/>
                <w:highlight w:val="none"/>
              </w:rPr>
              <w:t>.对小型和微型企业</w:t>
            </w:r>
            <w:r>
              <w:rPr>
                <w:rFonts w:hint="eastAsia" w:ascii="宋体" w:hAnsi="宋体" w:eastAsia="宋体" w:cs="宋体"/>
                <w:bCs/>
                <w:snapToGrid w:val="0"/>
                <w:color w:val="auto"/>
                <w:sz w:val="24"/>
                <w:szCs w:val="24"/>
                <w:highlight w:val="none"/>
                <w:lang w:val="en-US" w:eastAsia="zh-CN"/>
              </w:rPr>
              <w:t>制造产品</w:t>
            </w:r>
            <w:r>
              <w:rPr>
                <w:rFonts w:hint="eastAsia" w:ascii="宋体" w:hAnsi="宋体" w:eastAsia="宋体" w:cs="宋体"/>
                <w:bCs/>
                <w:snapToGrid w:val="0"/>
                <w:color w:val="auto"/>
                <w:sz w:val="24"/>
                <w:szCs w:val="24"/>
                <w:highlight w:val="none"/>
              </w:rPr>
              <w:t>给予</w:t>
            </w:r>
            <w:r>
              <w:rPr>
                <w:rFonts w:hint="eastAsia" w:ascii="宋体" w:hAnsi="宋体" w:eastAsia="宋体" w:cs="宋体"/>
                <w:b/>
                <w:bCs w:val="0"/>
                <w:snapToGrid w:val="0"/>
                <w:color w:val="auto"/>
                <w:sz w:val="24"/>
                <w:szCs w:val="24"/>
                <w:highlight w:val="none"/>
                <w:u w:val="single"/>
                <w:lang w:val="en-US" w:eastAsia="zh-CN"/>
              </w:rPr>
              <w:t>10</w:t>
            </w:r>
            <w:r>
              <w:rPr>
                <w:rFonts w:hint="eastAsia" w:ascii="宋体" w:hAnsi="宋体" w:eastAsia="宋体" w:cs="宋体"/>
                <w:b/>
                <w:bCs w:val="0"/>
                <w:snapToGrid w:val="0"/>
                <w:color w:val="auto"/>
                <w:sz w:val="24"/>
                <w:szCs w:val="24"/>
                <w:highlight w:val="none"/>
                <w:u w:val="single"/>
              </w:rPr>
              <w:t>%</w:t>
            </w:r>
            <w:r>
              <w:rPr>
                <w:rFonts w:hint="eastAsia" w:ascii="宋体" w:hAnsi="宋体" w:eastAsia="宋体" w:cs="宋体"/>
                <w:bCs/>
                <w:snapToGrid w:val="0"/>
                <w:color w:val="auto"/>
                <w:sz w:val="24"/>
                <w:szCs w:val="24"/>
                <w:highlight w:val="none"/>
              </w:rPr>
              <w:t>的价格扣除；</w:t>
            </w:r>
          </w:p>
          <w:p w14:paraId="62B5E242">
            <w:pPr>
              <w:keepNext w:val="0"/>
              <w:keepLines w:val="0"/>
              <w:pageBreakBefore w:val="0"/>
              <w:widowControl w:val="0"/>
              <w:kinsoku/>
              <w:wordWrap/>
              <w:overflowPunct/>
              <w:topLinePunct w:val="0"/>
              <w:autoSpaceDE/>
              <w:autoSpaceDN/>
              <w:bidi w:val="0"/>
              <w:adjustRightInd/>
              <w:snapToGrid/>
              <w:spacing w:line="300" w:lineRule="exact"/>
              <w:ind w:left="17" w:leftChars="8" w:right="-113" w:rightChars="-54"/>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val="en-US" w:eastAsia="zh-CN"/>
              </w:rPr>
              <w:t>3</w:t>
            </w:r>
            <w:r>
              <w:rPr>
                <w:rFonts w:hint="eastAsia" w:ascii="宋体" w:hAnsi="宋体" w:eastAsia="宋体" w:cs="宋体"/>
                <w:bCs/>
                <w:snapToGrid w:val="0"/>
                <w:color w:val="auto"/>
                <w:sz w:val="24"/>
                <w:szCs w:val="24"/>
                <w:highlight w:val="none"/>
              </w:rPr>
              <w:t>.小型、微型企业的协议合同金额占到联合协议合同总金额30%以上的，给予联合体</w:t>
            </w:r>
            <w:r>
              <w:rPr>
                <w:rFonts w:hint="eastAsia" w:ascii="宋体" w:hAnsi="宋体" w:eastAsia="宋体" w:cs="宋体"/>
                <w:b/>
                <w:bCs w:val="0"/>
                <w:snapToGrid w:val="0"/>
                <w:color w:val="auto"/>
                <w:sz w:val="24"/>
                <w:szCs w:val="24"/>
                <w:highlight w:val="none"/>
                <w:u w:val="single"/>
                <w:lang w:val="en-US" w:eastAsia="zh-CN"/>
              </w:rPr>
              <w:t>4</w:t>
            </w:r>
            <w:r>
              <w:rPr>
                <w:rFonts w:hint="eastAsia" w:ascii="宋体" w:hAnsi="宋体" w:eastAsia="宋体" w:cs="宋体"/>
                <w:b/>
                <w:bCs w:val="0"/>
                <w:snapToGrid w:val="0"/>
                <w:color w:val="auto"/>
                <w:sz w:val="24"/>
                <w:szCs w:val="24"/>
                <w:highlight w:val="none"/>
                <w:u w:val="single"/>
              </w:rPr>
              <w:t>%</w:t>
            </w:r>
            <w:r>
              <w:rPr>
                <w:rFonts w:hint="eastAsia" w:ascii="宋体" w:hAnsi="宋体" w:eastAsia="宋体" w:cs="宋体"/>
                <w:bCs/>
                <w:snapToGrid w:val="0"/>
                <w:color w:val="auto"/>
                <w:sz w:val="24"/>
                <w:szCs w:val="24"/>
                <w:highlight w:val="none"/>
              </w:rPr>
              <w:t>的价格扣除；</w:t>
            </w:r>
          </w:p>
          <w:p w14:paraId="5BB81B19">
            <w:pPr>
              <w:shd w:val="clear"/>
              <w:snapToGrid w:val="0"/>
              <w:spacing w:line="240" w:lineRule="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val="en-US" w:eastAsia="zh-CN"/>
              </w:rPr>
              <w:t>2</w:t>
            </w:r>
            <w:r>
              <w:rPr>
                <w:rFonts w:hint="eastAsia" w:ascii="宋体" w:hAnsi="宋体" w:eastAsia="宋体" w:cs="宋体"/>
                <w:bCs/>
                <w:snapToGrid w:val="0"/>
                <w:color w:val="auto"/>
                <w:sz w:val="24"/>
                <w:szCs w:val="24"/>
                <w:highlight w:val="none"/>
              </w:rPr>
              <w:t>. 本项目所属行业：</w:t>
            </w:r>
            <w:r>
              <w:rPr>
                <w:rFonts w:hint="eastAsia" w:ascii="宋体" w:hAnsi="宋体" w:eastAsia="宋体" w:cs="宋体"/>
                <w:color w:val="auto"/>
                <w:kern w:val="2"/>
                <w:sz w:val="24"/>
                <w:szCs w:val="24"/>
                <w:highlight w:val="none"/>
              </w:rPr>
              <w:t>属于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b/>
                <w:bCs w:val="0"/>
                <w:snapToGrid w:val="0"/>
                <w:color w:val="auto"/>
                <w:sz w:val="24"/>
                <w:szCs w:val="24"/>
                <w:highlight w:val="none"/>
                <w:u w:val="single"/>
                <w:lang w:val="en-US" w:eastAsia="zh-CN"/>
              </w:rPr>
              <w:t xml:space="preserve">工业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行业</w:t>
            </w:r>
            <w:r>
              <w:rPr>
                <w:rFonts w:hint="eastAsia" w:ascii="宋体" w:hAnsi="宋体" w:eastAsia="宋体" w:cs="宋体"/>
                <w:bCs w:val="0"/>
                <w:snapToGrid/>
                <w:color w:val="auto"/>
                <w:sz w:val="24"/>
                <w:szCs w:val="24"/>
                <w:highlight w:val="none"/>
              </w:rPr>
              <w:t>；</w:t>
            </w:r>
          </w:p>
        </w:tc>
      </w:tr>
      <w:tr w14:paraId="6588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098AD45C">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9</w:t>
            </w:r>
          </w:p>
        </w:tc>
        <w:tc>
          <w:tcPr>
            <w:tcW w:w="1676" w:type="dxa"/>
            <w:noWrap w:val="0"/>
            <w:vAlign w:val="center"/>
          </w:tcPr>
          <w:p w14:paraId="710D9EAA">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核心产品</w:t>
            </w:r>
          </w:p>
        </w:tc>
        <w:tc>
          <w:tcPr>
            <w:tcW w:w="6769" w:type="dxa"/>
            <w:noWrap w:val="0"/>
            <w:vAlign w:val="center"/>
          </w:tcPr>
          <w:p w14:paraId="6F2E4D54">
            <w:pPr>
              <w:shd w:val="clear"/>
              <w:ind w:left="-88" w:leftChars="-42" w:right="-113" w:rightChars="-54" w:firstLine="120" w:firstLineChars="50"/>
              <w:rPr>
                <w:rFonts w:hint="eastAsia" w:ascii="宋体" w:hAnsi="宋体" w:eastAsia="宋体" w:cs="宋体"/>
                <w:bCs/>
                <w:snapToGrid w:val="0"/>
                <w:color w:val="auto"/>
                <w:sz w:val="24"/>
                <w:szCs w:val="24"/>
                <w:highlight w:val="none"/>
              </w:rPr>
            </w:pPr>
            <w:r>
              <w:rPr>
                <w:rFonts w:hint="eastAsia" w:ascii="宋体" w:hAnsi="宋体" w:eastAsia="宋体" w:cs="宋体"/>
                <w:bCs/>
                <w:strike w:val="0"/>
                <w:snapToGrid w:val="0"/>
                <w:color w:val="auto"/>
                <w:sz w:val="24"/>
                <w:szCs w:val="24"/>
                <w:highlight w:val="none"/>
              </w:rPr>
              <w:t>“★”</w:t>
            </w:r>
            <w:r>
              <w:rPr>
                <w:rFonts w:hint="eastAsia" w:ascii="宋体" w:hAnsi="宋体" w:eastAsia="宋体" w:cs="宋体"/>
                <w:bCs/>
                <w:strike w:val="0"/>
                <w:snapToGrid w:val="0"/>
                <w:color w:val="auto"/>
                <w:sz w:val="24"/>
                <w:szCs w:val="24"/>
                <w:highlight w:val="none"/>
                <w:lang w:eastAsia="zh-CN"/>
              </w:rPr>
              <w:t>标注的产品</w:t>
            </w:r>
          </w:p>
        </w:tc>
      </w:tr>
      <w:tr w14:paraId="5C91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3BFA7665">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10</w:t>
            </w:r>
          </w:p>
        </w:tc>
        <w:tc>
          <w:tcPr>
            <w:tcW w:w="1676" w:type="dxa"/>
            <w:noWrap w:val="0"/>
            <w:vAlign w:val="center"/>
          </w:tcPr>
          <w:p w14:paraId="6E8F4AF1">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质疑联系人</w:t>
            </w:r>
          </w:p>
        </w:tc>
        <w:tc>
          <w:tcPr>
            <w:tcW w:w="6769" w:type="dxa"/>
            <w:noWrap w:val="0"/>
            <w:vAlign w:val="center"/>
          </w:tcPr>
          <w:p w14:paraId="610DF60A">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采购需求、供应商资格条件及</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办法质疑：</w:t>
            </w:r>
          </w:p>
          <w:p w14:paraId="696F1D1B">
            <w:pPr>
              <w:shd w:val="clea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单  位：</w:t>
            </w:r>
            <w:r>
              <w:rPr>
                <w:rFonts w:hint="eastAsia" w:ascii="宋体" w:hAnsi="宋体" w:eastAsia="宋体" w:cs="宋体"/>
                <w:color w:val="auto"/>
                <w:sz w:val="24"/>
                <w:szCs w:val="24"/>
                <w:highlight w:val="none"/>
                <w:lang w:val="en-US" w:eastAsia="zh-CN"/>
              </w:rPr>
              <w:t>丽水市机动车驾驶员考试中心</w:t>
            </w:r>
          </w:p>
          <w:p w14:paraId="71C82D44">
            <w:pPr>
              <w:shd w:val="clea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联系人：王  勇              联系电话：0578-2358818     </w:t>
            </w:r>
          </w:p>
          <w:p w14:paraId="6D19F199">
            <w:pPr>
              <w:shd w:val="clea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其他事项质疑：</w:t>
            </w:r>
          </w:p>
          <w:p w14:paraId="62E7C2DB">
            <w:pPr>
              <w:shd w:val="clea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单  位：浙江鼎峰工程咨询有限公司  </w:t>
            </w:r>
          </w:p>
          <w:p w14:paraId="49A303F0">
            <w:pPr>
              <w:shd w:val="clea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联系人：林秋丽           联系电话：0578-2082121</w:t>
            </w:r>
            <w:r>
              <w:rPr>
                <w:rFonts w:hint="eastAsia" w:ascii="宋体" w:hAnsi="宋体" w:eastAsia="宋体" w:cs="宋体"/>
                <w:bCs/>
                <w:color w:val="auto"/>
                <w:sz w:val="24"/>
                <w:szCs w:val="24"/>
                <w:highlight w:val="none"/>
              </w:rPr>
              <w:t xml:space="preserve">  </w:t>
            </w:r>
          </w:p>
          <w:p w14:paraId="7D4F2918">
            <w:pPr>
              <w:shd w:val="clear"/>
              <w:ind w:firstLine="360" w:firstLineChars="1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传真：0578-</w:t>
            </w:r>
            <w:r>
              <w:rPr>
                <w:rFonts w:hint="eastAsia" w:ascii="宋体" w:hAnsi="宋体" w:eastAsia="宋体" w:cs="宋体"/>
                <w:color w:val="auto"/>
                <w:sz w:val="24"/>
                <w:szCs w:val="24"/>
                <w:highlight w:val="none"/>
                <w:lang w:val="en-US" w:eastAsia="zh-CN"/>
              </w:rPr>
              <w:t>2531111</w:t>
            </w:r>
            <w:r>
              <w:rPr>
                <w:rFonts w:hint="eastAsia" w:ascii="宋体" w:hAnsi="宋体" w:eastAsia="宋体" w:cs="宋体"/>
                <w:color w:val="auto"/>
                <w:sz w:val="24"/>
                <w:szCs w:val="24"/>
                <w:highlight w:val="none"/>
              </w:rPr>
              <w:t xml:space="preserve">  </w:t>
            </w:r>
          </w:p>
        </w:tc>
      </w:tr>
      <w:tr w14:paraId="1BAA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25743865">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11</w:t>
            </w:r>
          </w:p>
        </w:tc>
        <w:tc>
          <w:tcPr>
            <w:tcW w:w="1676" w:type="dxa"/>
            <w:noWrap w:val="0"/>
            <w:vAlign w:val="center"/>
          </w:tcPr>
          <w:p w14:paraId="7B01FF2B">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同级政府采购监督管理部门</w:t>
            </w:r>
          </w:p>
        </w:tc>
        <w:tc>
          <w:tcPr>
            <w:tcW w:w="6769" w:type="dxa"/>
            <w:noWrap w:val="0"/>
            <w:vAlign w:val="center"/>
          </w:tcPr>
          <w:p w14:paraId="63C1D613">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见第一章招标公告</w:t>
            </w:r>
          </w:p>
        </w:tc>
      </w:tr>
      <w:tr w14:paraId="3826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23C0A0A6">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12</w:t>
            </w:r>
          </w:p>
        </w:tc>
        <w:tc>
          <w:tcPr>
            <w:tcW w:w="1676" w:type="dxa"/>
            <w:noWrap w:val="0"/>
            <w:vAlign w:val="center"/>
          </w:tcPr>
          <w:p w14:paraId="2F8B860B">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澄清、修改发布网址</w:t>
            </w:r>
          </w:p>
        </w:tc>
        <w:tc>
          <w:tcPr>
            <w:tcW w:w="6769" w:type="dxa"/>
            <w:noWrap w:val="0"/>
            <w:vAlign w:val="center"/>
          </w:tcPr>
          <w:p w14:paraId="3D1278F0">
            <w:pPr>
              <w:shd w:val="clea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浙江政府采购网（</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"http://www.zjzfcg.gov.cn"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zfcg.czt.zj.gov.cn</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w:t>
            </w:r>
          </w:p>
        </w:tc>
      </w:tr>
      <w:tr w14:paraId="75D7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609703F4">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13</w:t>
            </w:r>
          </w:p>
        </w:tc>
        <w:tc>
          <w:tcPr>
            <w:tcW w:w="1676" w:type="dxa"/>
            <w:noWrap w:val="0"/>
            <w:vAlign w:val="center"/>
          </w:tcPr>
          <w:p w14:paraId="753352E8">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投标文件组成</w:t>
            </w:r>
          </w:p>
        </w:tc>
        <w:tc>
          <w:tcPr>
            <w:tcW w:w="6769" w:type="dxa"/>
            <w:noWrap w:val="0"/>
            <w:vAlign w:val="center"/>
          </w:tcPr>
          <w:p w14:paraId="66C2BA6C">
            <w:pPr>
              <w:shd w:val="clear"/>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投标文件由</w:t>
            </w:r>
            <w:r>
              <w:rPr>
                <w:rFonts w:hint="eastAsia" w:ascii="宋体" w:hAnsi="宋体" w:eastAsia="宋体" w:cs="宋体"/>
                <w:bCs/>
                <w:color w:val="auto"/>
                <w:sz w:val="24"/>
                <w:szCs w:val="24"/>
                <w:highlight w:val="none"/>
                <w:u w:val="none"/>
                <w:lang w:val="en-US" w:eastAsia="zh-CN"/>
              </w:rPr>
              <w:t>资格文件</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商务技术文件</w:t>
            </w:r>
            <w:r>
              <w:rPr>
                <w:rFonts w:hint="eastAsia" w:ascii="宋体" w:hAnsi="宋体" w:eastAsia="宋体" w:cs="宋体"/>
                <w:bCs/>
                <w:color w:val="auto"/>
                <w:sz w:val="24"/>
                <w:szCs w:val="24"/>
                <w:highlight w:val="none"/>
              </w:rPr>
              <w:t>、报价文件组成。</w:t>
            </w:r>
            <w:r>
              <w:rPr>
                <w:rFonts w:hint="eastAsia" w:ascii="宋体" w:hAnsi="宋体" w:eastAsia="宋体" w:cs="宋体"/>
                <w:bCs/>
                <w:color w:val="auto"/>
                <w:sz w:val="24"/>
                <w:szCs w:val="24"/>
                <w:highlight w:val="none"/>
                <w:lang w:eastAsia="zh-CN"/>
              </w:rPr>
              <w:t>见第五章</w:t>
            </w:r>
            <w:r>
              <w:rPr>
                <w:rFonts w:hint="eastAsia" w:ascii="宋体" w:hAnsi="宋体" w:eastAsia="宋体" w:cs="宋体"/>
                <w:bCs/>
                <w:color w:val="auto"/>
                <w:sz w:val="24"/>
                <w:szCs w:val="24"/>
                <w:highlight w:val="none"/>
                <w:lang w:val="en-US" w:eastAsia="zh-CN"/>
              </w:rPr>
              <w:t xml:space="preserve"> 投标文件格式</w:t>
            </w:r>
          </w:p>
        </w:tc>
      </w:tr>
      <w:tr w14:paraId="180C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44D80D32">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14</w:t>
            </w:r>
          </w:p>
        </w:tc>
        <w:tc>
          <w:tcPr>
            <w:tcW w:w="1676" w:type="dxa"/>
            <w:noWrap w:val="0"/>
            <w:vAlign w:val="center"/>
          </w:tcPr>
          <w:p w14:paraId="3A891311">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w:t>
            </w:r>
          </w:p>
        </w:tc>
        <w:tc>
          <w:tcPr>
            <w:tcW w:w="6769" w:type="dxa"/>
            <w:noWrap w:val="0"/>
            <w:vAlign w:val="center"/>
          </w:tcPr>
          <w:p w14:paraId="47FCF1D6">
            <w:pPr>
              <w:shd w:val="clear"/>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w:t>
            </w:r>
          </w:p>
        </w:tc>
      </w:tr>
      <w:tr w14:paraId="01CA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7764262B">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15</w:t>
            </w:r>
          </w:p>
        </w:tc>
        <w:tc>
          <w:tcPr>
            <w:tcW w:w="1676" w:type="dxa"/>
            <w:noWrap w:val="0"/>
            <w:vAlign w:val="center"/>
          </w:tcPr>
          <w:p w14:paraId="5AB970E5">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投标文件份数</w:t>
            </w:r>
          </w:p>
        </w:tc>
        <w:tc>
          <w:tcPr>
            <w:tcW w:w="6769" w:type="dxa"/>
            <w:noWrap w:val="0"/>
            <w:vAlign w:val="center"/>
          </w:tcPr>
          <w:p w14:paraId="486E45DE">
            <w:pPr>
              <w:shd w:val="clear"/>
              <w:wordWrap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1.电子加密投标文件：</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在线提交、上传一份；</w:t>
            </w:r>
          </w:p>
          <w:p w14:paraId="08EADC97">
            <w:pPr>
              <w:shd w:val="clear"/>
              <w:tabs>
                <w:tab w:val="left" w:pos="208"/>
              </w:tabs>
              <w:wordWrap/>
              <w:ind w:left="0" w:firstLine="0" w:firstLineChars="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 xml:space="preserve">2. </w:t>
            </w:r>
            <w:r>
              <w:rPr>
                <w:rFonts w:hint="eastAsia" w:ascii="宋体" w:hAnsi="宋体" w:eastAsia="宋体" w:cs="宋体"/>
                <w:color w:val="auto"/>
                <w:sz w:val="24"/>
                <w:szCs w:val="24"/>
                <w:highlight w:val="none"/>
              </w:rPr>
              <w:t>备份投标文件：</w:t>
            </w:r>
            <w:r>
              <w:rPr>
                <w:rFonts w:hint="eastAsia" w:ascii="宋体" w:hAnsi="宋体" w:eastAsia="宋体" w:cs="宋体"/>
                <w:strike w:val="0"/>
                <w:color w:val="auto"/>
                <w:sz w:val="24"/>
                <w:szCs w:val="24"/>
                <w:highlight w:val="none"/>
                <w:lang w:eastAsia="zh-CN"/>
              </w:rPr>
              <w:t>如有需要可</w:t>
            </w:r>
            <w:r>
              <w:rPr>
                <w:rFonts w:hint="eastAsia" w:ascii="宋体" w:hAnsi="宋体" w:eastAsia="宋体" w:cs="宋体"/>
                <w:strike w:val="0"/>
                <w:dstrike w:val="0"/>
                <w:color w:val="auto"/>
                <w:sz w:val="24"/>
                <w:szCs w:val="24"/>
                <w:highlight w:val="none"/>
                <w:lang w:eastAsia="zh-CN"/>
              </w:rPr>
              <w:t>按</w:t>
            </w:r>
            <w:r>
              <w:rPr>
                <w:rFonts w:hint="eastAsia" w:ascii="宋体" w:hAnsi="宋体" w:eastAsia="宋体" w:cs="宋体"/>
                <w:strike w:val="0"/>
                <w:dstrike w:val="0"/>
                <w:color w:val="auto"/>
                <w:sz w:val="24"/>
                <w:szCs w:val="24"/>
                <w:highlight w:val="none"/>
                <w:lang w:val="en-US" w:eastAsia="zh-CN"/>
              </w:rPr>
              <w:t>要求</w:t>
            </w:r>
            <w:r>
              <w:rPr>
                <w:rFonts w:hint="eastAsia" w:ascii="宋体" w:hAnsi="宋体" w:eastAsia="宋体" w:cs="宋体"/>
                <w:strike w:val="0"/>
                <w:color w:val="auto"/>
                <w:sz w:val="24"/>
                <w:szCs w:val="24"/>
                <w:highlight w:val="none"/>
                <w:lang w:eastAsia="zh-CN"/>
              </w:rPr>
              <w:t>提交一份备份投标文件；</w:t>
            </w:r>
          </w:p>
          <w:p w14:paraId="446A23EF">
            <w:pPr>
              <w:shd w:val="clear"/>
              <w:wordWrap w:val="0"/>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注：投标人在线解密失败后，启用备份投标文件，否则不启用备份投标文件。</w:t>
            </w:r>
          </w:p>
        </w:tc>
      </w:tr>
      <w:tr w14:paraId="4A76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3D71B891">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16</w:t>
            </w:r>
          </w:p>
        </w:tc>
        <w:tc>
          <w:tcPr>
            <w:tcW w:w="1676" w:type="dxa"/>
            <w:noWrap w:val="0"/>
            <w:vAlign w:val="center"/>
          </w:tcPr>
          <w:p w14:paraId="6486AA00">
            <w:pPr>
              <w:shd w:val="clear"/>
              <w:ind w:left="-44" w:leftChars="-53" w:right="-65" w:rightChars="-31" w:hanging="67" w:hangingChars="28"/>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样品</w:t>
            </w:r>
          </w:p>
        </w:tc>
        <w:tc>
          <w:tcPr>
            <w:tcW w:w="6769" w:type="dxa"/>
            <w:noWrap w:val="0"/>
            <w:vAlign w:val="center"/>
          </w:tcPr>
          <w:p w14:paraId="63DD3D10">
            <w:pPr>
              <w:shd w:val="clea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不要求提供。</w:t>
            </w:r>
          </w:p>
        </w:tc>
      </w:tr>
      <w:tr w14:paraId="2804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31E33CC8">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17</w:t>
            </w:r>
          </w:p>
        </w:tc>
        <w:tc>
          <w:tcPr>
            <w:tcW w:w="1676" w:type="dxa"/>
            <w:noWrap w:val="0"/>
            <w:vAlign w:val="center"/>
          </w:tcPr>
          <w:p w14:paraId="6F8AE8EC">
            <w:pPr>
              <w:shd w:val="clear"/>
              <w:ind w:left="-44" w:leftChars="-53" w:right="-65" w:rightChars="-31" w:hanging="67" w:hangingChars="28"/>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演示或讲解</w:t>
            </w:r>
          </w:p>
        </w:tc>
        <w:tc>
          <w:tcPr>
            <w:tcW w:w="6769" w:type="dxa"/>
            <w:noWrap w:val="0"/>
            <w:vAlign w:val="center"/>
          </w:tcPr>
          <w:p w14:paraId="6890A4A6">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5637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54E8D908">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18</w:t>
            </w:r>
          </w:p>
        </w:tc>
        <w:tc>
          <w:tcPr>
            <w:tcW w:w="1676" w:type="dxa"/>
            <w:noWrap w:val="0"/>
            <w:vAlign w:val="center"/>
          </w:tcPr>
          <w:p w14:paraId="3F7111DA">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评标方法</w:t>
            </w:r>
          </w:p>
        </w:tc>
        <w:tc>
          <w:tcPr>
            <w:tcW w:w="6769" w:type="dxa"/>
            <w:noWrap w:val="0"/>
            <w:vAlign w:val="center"/>
          </w:tcPr>
          <w:p w14:paraId="7089AB08">
            <w:pPr>
              <w:shd w:val="clea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综合评分法</w:t>
            </w:r>
            <w:r>
              <w:rPr>
                <w:rFonts w:hint="eastAsia" w:ascii="宋体" w:hAnsi="宋体" w:eastAsia="宋体" w:cs="宋体"/>
                <w:color w:val="auto"/>
                <w:sz w:val="24"/>
                <w:szCs w:val="24"/>
                <w:highlight w:val="none"/>
                <w:lang w:eastAsia="zh-CN"/>
              </w:rPr>
              <w:t>。</w:t>
            </w:r>
          </w:p>
        </w:tc>
      </w:tr>
      <w:tr w14:paraId="5889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20495D29">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19</w:t>
            </w:r>
          </w:p>
        </w:tc>
        <w:tc>
          <w:tcPr>
            <w:tcW w:w="1676" w:type="dxa"/>
            <w:noWrap w:val="0"/>
            <w:vAlign w:val="center"/>
          </w:tcPr>
          <w:p w14:paraId="31D736B3">
            <w:pPr>
              <w:shd w:val="clear"/>
              <w:ind w:left="-44" w:leftChars="-53" w:right="-65" w:rightChars="-31" w:hanging="67" w:hangingChars="28"/>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非实质性条款负偏离项数</w:t>
            </w:r>
          </w:p>
        </w:tc>
        <w:tc>
          <w:tcPr>
            <w:tcW w:w="6769" w:type="dxa"/>
            <w:noWrap w:val="0"/>
            <w:vAlign w:val="center"/>
          </w:tcPr>
          <w:p w14:paraId="4DC2B84F">
            <w:pPr>
              <w:shd w:val="clear"/>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非实质性条款负偏离</w:t>
            </w:r>
            <w:r>
              <w:rPr>
                <w:rFonts w:hint="eastAsia" w:ascii="宋体" w:hAnsi="宋体" w:eastAsia="宋体" w:cs="宋体"/>
                <w:b/>
                <w:bCs w:val="0"/>
                <w:color w:val="auto"/>
                <w:sz w:val="24"/>
                <w:szCs w:val="24"/>
                <w:highlight w:val="none"/>
                <w:u w:val="single"/>
                <w:lang w:val="en-US" w:eastAsia="zh-CN"/>
              </w:rPr>
              <w:t>10</w:t>
            </w:r>
            <w:r>
              <w:rPr>
                <w:rFonts w:hint="eastAsia" w:ascii="宋体" w:hAnsi="宋体" w:eastAsia="宋体" w:cs="宋体"/>
                <w:b/>
                <w:bCs w:val="0"/>
                <w:color w:val="auto"/>
                <w:sz w:val="24"/>
                <w:szCs w:val="24"/>
                <w:highlight w:val="none"/>
                <w:u w:val="none"/>
                <w:lang w:val="en-US" w:eastAsia="zh-CN"/>
              </w:rPr>
              <w:t>项以上（不含）的，作无效投标处理。</w:t>
            </w:r>
          </w:p>
        </w:tc>
      </w:tr>
      <w:tr w14:paraId="14F0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6314D8E8">
            <w:pPr>
              <w:shd w:val="clear"/>
              <w:ind w:left="-88" w:leftChars="-42" w:right="-113" w:rightChars="-54"/>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1676" w:type="dxa"/>
            <w:noWrap w:val="0"/>
            <w:vAlign w:val="center"/>
          </w:tcPr>
          <w:p w14:paraId="1B056C29">
            <w:pPr>
              <w:shd w:val="clear"/>
              <w:ind w:left="-44" w:leftChars="-53" w:right="-65" w:rightChars="-31" w:hanging="67" w:hangingChars="28"/>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中标公告发布网址</w:t>
            </w:r>
          </w:p>
        </w:tc>
        <w:tc>
          <w:tcPr>
            <w:tcW w:w="6769" w:type="dxa"/>
            <w:noWrap w:val="0"/>
            <w:vAlign w:val="center"/>
          </w:tcPr>
          <w:p w14:paraId="7A3B9754">
            <w:pPr>
              <w:shd w:val="clea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浙江政府采购网（</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HYPERLINK "http://zfcg.czt.zj.gov.cn/"</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zfcg.czt.zj.gov.cn</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w:t>
            </w:r>
          </w:p>
        </w:tc>
      </w:tr>
      <w:tr w14:paraId="7A11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64E4ED3A">
            <w:pPr>
              <w:shd w:val="clear"/>
              <w:ind w:left="-88" w:leftChars="-42" w:right="-113" w:rightChars="-54"/>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21</w:t>
            </w:r>
          </w:p>
        </w:tc>
        <w:tc>
          <w:tcPr>
            <w:tcW w:w="1676" w:type="dxa"/>
            <w:noWrap w:val="0"/>
            <w:vAlign w:val="center"/>
          </w:tcPr>
          <w:p w14:paraId="77EBC8E1">
            <w:pPr>
              <w:shd w:val="clear"/>
              <w:ind w:left="-44" w:leftChars="-53" w:right="-65" w:rightChars="-31" w:hanging="67" w:hangingChars="28"/>
              <w:jc w:val="center"/>
              <w:rPr>
                <w:rFonts w:hint="eastAsia" w:ascii="宋体" w:hAnsi="宋体" w:eastAsia="宋体" w:cs="宋体"/>
                <w:bCs/>
                <w:color w:val="auto"/>
                <w:sz w:val="24"/>
                <w:szCs w:val="24"/>
                <w:highlight w:val="none"/>
              </w:rPr>
            </w:pPr>
            <w:r>
              <w:rPr>
                <w:rFonts w:hint="eastAsia" w:ascii="宋体" w:hAnsi="宋体" w:eastAsia="宋体" w:cs="宋体"/>
                <w:bCs w:val="0"/>
                <w:color w:val="auto"/>
                <w:sz w:val="24"/>
                <w:szCs w:val="24"/>
                <w:highlight w:val="none"/>
              </w:rPr>
              <w:t>履约保证金</w:t>
            </w:r>
          </w:p>
        </w:tc>
        <w:tc>
          <w:tcPr>
            <w:tcW w:w="6769" w:type="dxa"/>
            <w:noWrap w:val="0"/>
            <w:vAlign w:val="center"/>
          </w:tcPr>
          <w:p w14:paraId="4863A3FF">
            <w:pPr>
              <w:shd w:val="clear"/>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政府采购合同金额的1%（不得超过成交金额的1%）</w:t>
            </w:r>
          </w:p>
          <w:p w14:paraId="6CE63D3A">
            <w:pPr>
              <w:shd w:val="clear"/>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缴纳方式：电汇、转账、银行或保险公司出具履约保函</w:t>
            </w:r>
          </w:p>
          <w:p w14:paraId="5E67BDAC">
            <w:pPr>
              <w:shd w:val="clear"/>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缴纳时间：合同签订后7个工作日内缴纳</w:t>
            </w:r>
          </w:p>
          <w:p w14:paraId="20F024E5">
            <w:pPr>
              <w:shd w:val="clear"/>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退还时间：项目验收合格后，7个工作日内一次性无息退还。</w:t>
            </w:r>
          </w:p>
          <w:p w14:paraId="2231AC1A">
            <w:pPr>
              <w:shd w:val="clea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none"/>
                <w:lang w:val="en-US" w:eastAsia="zh-CN"/>
              </w:rPr>
              <w:t>履约保函：以各银行或保险公司出具的为准。</w:t>
            </w:r>
          </w:p>
        </w:tc>
      </w:tr>
    </w:tbl>
    <w:p w14:paraId="72322AE4">
      <w:pPr>
        <w:shd w:val="clear"/>
        <w:rPr>
          <w:rFonts w:hint="eastAsia" w:ascii="宋体" w:hAnsi="宋体" w:eastAsia="宋体" w:cs="宋体"/>
          <w:color w:val="auto"/>
          <w:highlight w:val="none"/>
        </w:rPr>
      </w:pPr>
    </w:p>
    <w:p w14:paraId="060F675E">
      <w:pPr>
        <w:pStyle w:val="42"/>
        <w:shd w:val="clear"/>
        <w:spacing w:after="240"/>
        <w:outlineLvl w:val="1"/>
        <w:rPr>
          <w:rFonts w:hint="eastAsia" w:ascii="宋体" w:hAnsi="宋体" w:eastAsia="宋体" w:cs="宋体"/>
          <w:color w:val="auto"/>
          <w:sz w:val="30"/>
          <w:szCs w:val="30"/>
          <w:highlight w:val="none"/>
        </w:rPr>
        <w:sectPr>
          <w:headerReference r:id="rId8" w:type="first"/>
          <w:pgSz w:w="11906" w:h="16838"/>
          <w:pgMar w:top="1418" w:right="1418" w:bottom="1418" w:left="1418" w:header="851" w:footer="851" w:gutter="0"/>
          <w:pgNumType w:fmt="decimal"/>
          <w:cols w:space="720" w:num="1"/>
          <w:docGrid w:linePitch="312" w:charSpace="0"/>
        </w:sectPr>
      </w:pPr>
    </w:p>
    <w:p w14:paraId="41BBA09F">
      <w:pPr>
        <w:pStyle w:val="42"/>
        <w:shd w:val="clear"/>
        <w:spacing w:after="240"/>
        <w:jc w:val="left"/>
        <w:outlineLvl w:val="1"/>
        <w:rPr>
          <w:rFonts w:hint="eastAsia" w:ascii="宋体" w:hAnsi="宋体" w:eastAsia="宋体" w:cs="宋体"/>
          <w:color w:val="auto"/>
          <w:sz w:val="30"/>
          <w:szCs w:val="30"/>
          <w:highlight w:val="none"/>
        </w:rPr>
      </w:pPr>
      <w:bookmarkStart w:id="89" w:name="_Toc97212958"/>
      <w:bookmarkStart w:id="90" w:name="_Toc20734"/>
      <w:bookmarkStart w:id="91" w:name="_Toc221"/>
      <w:bookmarkStart w:id="92" w:name="_Toc16897"/>
      <w:bookmarkStart w:id="93" w:name="_Toc19441"/>
      <w:bookmarkStart w:id="94" w:name="_Toc6413"/>
      <w:r>
        <w:rPr>
          <w:rFonts w:hint="eastAsia" w:ascii="宋体" w:hAnsi="宋体" w:eastAsia="宋体" w:cs="宋体"/>
          <w:color w:val="auto"/>
          <w:sz w:val="30"/>
          <w:szCs w:val="30"/>
          <w:highlight w:val="none"/>
        </w:rPr>
        <w:t>投标人须知前附表（二）</w:t>
      </w:r>
      <w:bookmarkEnd w:id="89"/>
      <w:bookmarkEnd w:id="90"/>
      <w:bookmarkEnd w:id="91"/>
      <w:bookmarkEnd w:id="92"/>
      <w:bookmarkEnd w:id="93"/>
      <w:bookmarkEnd w:id="94"/>
    </w:p>
    <w:p w14:paraId="104BCD68">
      <w:pPr>
        <w:shd w:val="clea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招标活动日程安排表</w:t>
      </w:r>
    </w:p>
    <w:tbl>
      <w:tblPr>
        <w:tblStyle w:val="4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5E48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34" w:type="dxa"/>
            <w:noWrap w:val="0"/>
            <w:vAlign w:val="center"/>
          </w:tcPr>
          <w:p w14:paraId="504144A7">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44" w:type="dxa"/>
            <w:noWrap w:val="0"/>
            <w:vAlign w:val="center"/>
          </w:tcPr>
          <w:p w14:paraId="17F5985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工作内容</w:t>
            </w:r>
          </w:p>
        </w:tc>
        <w:tc>
          <w:tcPr>
            <w:tcW w:w="3969" w:type="dxa"/>
            <w:noWrap w:val="0"/>
            <w:vAlign w:val="center"/>
          </w:tcPr>
          <w:p w14:paraId="177EA91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时间安排</w:t>
            </w:r>
          </w:p>
        </w:tc>
        <w:tc>
          <w:tcPr>
            <w:tcW w:w="2715" w:type="dxa"/>
            <w:noWrap w:val="0"/>
            <w:vAlign w:val="center"/>
          </w:tcPr>
          <w:p w14:paraId="3CCD2BE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F4B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62DC0D28">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44" w:type="dxa"/>
            <w:noWrap w:val="0"/>
            <w:vAlign w:val="center"/>
          </w:tcPr>
          <w:p w14:paraId="5C6D38C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发布招标公告</w:t>
            </w:r>
          </w:p>
        </w:tc>
        <w:tc>
          <w:tcPr>
            <w:tcW w:w="3969" w:type="dxa"/>
            <w:noWrap w:val="0"/>
            <w:vAlign w:val="center"/>
          </w:tcPr>
          <w:p w14:paraId="32A475A1">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rPr>
              <w:t>日</w:t>
            </w:r>
          </w:p>
        </w:tc>
        <w:tc>
          <w:tcPr>
            <w:tcW w:w="2715" w:type="dxa"/>
            <w:noWrap w:val="0"/>
            <w:vAlign w:val="center"/>
          </w:tcPr>
          <w:p w14:paraId="4B9C7240">
            <w:pPr>
              <w:shd w:val="clear"/>
              <w:wordWrap w:val="0"/>
              <w:jc w:val="lef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浙江政府采购网（</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"http://www.zjzfcg.gov.cn"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zfcg.czt.zj.gov.cn</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w:t>
            </w:r>
          </w:p>
        </w:tc>
      </w:tr>
      <w:tr w14:paraId="36C0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F64B1D8">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44" w:type="dxa"/>
            <w:noWrap w:val="0"/>
            <w:vAlign w:val="center"/>
          </w:tcPr>
          <w:p w14:paraId="7B7F86D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发放招标文件</w:t>
            </w:r>
          </w:p>
        </w:tc>
        <w:tc>
          <w:tcPr>
            <w:tcW w:w="3969" w:type="dxa"/>
            <w:noWrap w:val="0"/>
            <w:vAlign w:val="center"/>
          </w:tcPr>
          <w:p w14:paraId="7366788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rPr>
              <w:t>日起</w:t>
            </w:r>
          </w:p>
        </w:tc>
        <w:tc>
          <w:tcPr>
            <w:tcW w:w="2715" w:type="dxa"/>
            <w:noWrap w:val="0"/>
            <w:vAlign w:val="center"/>
          </w:tcPr>
          <w:p w14:paraId="54C9CE5A">
            <w:pPr>
              <w:shd w:val="clear"/>
              <w:tabs>
                <w:tab w:val="left" w:pos="2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获取方式：招标公告附件自行下载</w:t>
            </w:r>
          </w:p>
        </w:tc>
      </w:tr>
      <w:tr w14:paraId="5CDA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FCA8665">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44" w:type="dxa"/>
            <w:noWrap w:val="0"/>
            <w:vAlign w:val="center"/>
          </w:tcPr>
          <w:p w14:paraId="1E0DCC2F">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现场踏勘和地点</w:t>
            </w:r>
          </w:p>
        </w:tc>
        <w:tc>
          <w:tcPr>
            <w:tcW w:w="3969" w:type="dxa"/>
            <w:noWrap w:val="0"/>
            <w:vAlign w:val="center"/>
          </w:tcPr>
          <w:p w14:paraId="118EC8B7">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无</w:t>
            </w:r>
          </w:p>
          <w:p w14:paraId="705AAE58">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F0A3"/>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日XX时，</w:t>
            </w:r>
          </w:p>
          <w:p w14:paraId="052288D8">
            <w:pPr>
              <w:shd w:val="clea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 </w:t>
            </w:r>
          </w:p>
        </w:tc>
        <w:tc>
          <w:tcPr>
            <w:tcW w:w="2715" w:type="dxa"/>
            <w:noWrap w:val="0"/>
            <w:vAlign w:val="center"/>
          </w:tcPr>
          <w:p w14:paraId="00447C9E">
            <w:pPr>
              <w:shd w:val="clear"/>
              <w:rPr>
                <w:rFonts w:hint="eastAsia" w:ascii="宋体" w:hAnsi="宋体" w:eastAsia="宋体" w:cs="宋体"/>
                <w:color w:val="auto"/>
                <w:sz w:val="24"/>
                <w:szCs w:val="24"/>
                <w:highlight w:val="none"/>
              </w:rPr>
            </w:pPr>
          </w:p>
        </w:tc>
      </w:tr>
      <w:tr w14:paraId="4BE7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127C152D">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44" w:type="dxa"/>
            <w:noWrap w:val="0"/>
            <w:vAlign w:val="center"/>
          </w:tcPr>
          <w:p w14:paraId="0144E05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更正公告</w:t>
            </w:r>
          </w:p>
        </w:tc>
        <w:tc>
          <w:tcPr>
            <w:tcW w:w="3969" w:type="dxa"/>
            <w:noWrap w:val="0"/>
            <w:vAlign w:val="center"/>
          </w:tcPr>
          <w:p w14:paraId="2477DD2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投标文件截止时间</w:t>
            </w:r>
            <w:r>
              <w:rPr>
                <w:rFonts w:hint="eastAsia" w:ascii="宋体" w:hAnsi="宋体" w:eastAsia="宋体" w:cs="宋体"/>
                <w:color w:val="auto"/>
                <w:sz w:val="24"/>
                <w:szCs w:val="24"/>
                <w:highlight w:val="none"/>
                <w:lang w:eastAsia="zh-CN"/>
              </w:rPr>
              <w:t>前</w:t>
            </w:r>
          </w:p>
        </w:tc>
        <w:tc>
          <w:tcPr>
            <w:tcW w:w="2715" w:type="dxa"/>
            <w:noWrap w:val="0"/>
            <w:vAlign w:val="center"/>
          </w:tcPr>
          <w:p w14:paraId="5415D1AF">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澄清或修改内容获取方式：更正公告</w:t>
            </w:r>
          </w:p>
        </w:tc>
      </w:tr>
      <w:tr w14:paraId="3623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E710B31">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44" w:type="dxa"/>
            <w:noWrap w:val="0"/>
            <w:vAlign w:val="center"/>
          </w:tcPr>
          <w:p w14:paraId="1B41BB70">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p>
        </w:tc>
        <w:tc>
          <w:tcPr>
            <w:tcW w:w="3969" w:type="dxa"/>
            <w:noWrap w:val="0"/>
            <w:vAlign w:val="center"/>
          </w:tcPr>
          <w:p w14:paraId="313FE9E9">
            <w:pPr>
              <w:shd w:val="clear"/>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见第一章招标公告</w:t>
            </w:r>
          </w:p>
        </w:tc>
        <w:tc>
          <w:tcPr>
            <w:tcW w:w="2715" w:type="dxa"/>
            <w:noWrap w:val="0"/>
            <w:vAlign w:val="center"/>
          </w:tcPr>
          <w:p w14:paraId="2183DFD8">
            <w:pPr>
              <w:shd w:val="clear"/>
              <w:rPr>
                <w:rFonts w:hint="eastAsia" w:ascii="宋体" w:hAnsi="宋体" w:eastAsia="宋体" w:cs="宋体"/>
                <w:color w:val="auto"/>
                <w:sz w:val="24"/>
                <w:szCs w:val="24"/>
                <w:highlight w:val="none"/>
              </w:rPr>
            </w:pPr>
          </w:p>
        </w:tc>
      </w:tr>
      <w:tr w14:paraId="205C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noWrap w:val="0"/>
            <w:vAlign w:val="center"/>
          </w:tcPr>
          <w:p w14:paraId="5F114599">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44" w:type="dxa"/>
            <w:tcBorders>
              <w:bottom w:val="single" w:color="auto" w:sz="4" w:space="0"/>
            </w:tcBorders>
            <w:noWrap w:val="0"/>
            <w:vAlign w:val="center"/>
          </w:tcPr>
          <w:p w14:paraId="65F7333C">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地点</w:t>
            </w:r>
          </w:p>
        </w:tc>
        <w:tc>
          <w:tcPr>
            <w:tcW w:w="3969" w:type="dxa"/>
            <w:tcBorders>
              <w:bottom w:val="single" w:color="auto" w:sz="4" w:space="0"/>
            </w:tcBorders>
            <w:noWrap w:val="0"/>
            <w:vAlign w:val="center"/>
          </w:tcPr>
          <w:p w14:paraId="48DF23DF">
            <w:pPr>
              <w:shd w:val="clear"/>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见第一章招标公告</w:t>
            </w:r>
          </w:p>
        </w:tc>
        <w:tc>
          <w:tcPr>
            <w:tcW w:w="2715" w:type="dxa"/>
            <w:tcBorders>
              <w:bottom w:val="single" w:color="auto" w:sz="4" w:space="0"/>
            </w:tcBorders>
            <w:noWrap w:val="0"/>
            <w:vAlign w:val="center"/>
          </w:tcPr>
          <w:p w14:paraId="7A6F5619">
            <w:pPr>
              <w:shd w:val="clear"/>
              <w:rPr>
                <w:rFonts w:hint="eastAsia" w:ascii="宋体" w:hAnsi="宋体" w:eastAsia="宋体" w:cs="宋体"/>
                <w:color w:val="auto"/>
                <w:sz w:val="24"/>
                <w:szCs w:val="24"/>
                <w:highlight w:val="none"/>
              </w:rPr>
            </w:pPr>
          </w:p>
        </w:tc>
      </w:tr>
      <w:tr w14:paraId="1B45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17E2D4AB">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37A5BF9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中标公告及中标通知书</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4511C2C0">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064FB52D">
            <w:pPr>
              <w:shd w:val="clear"/>
              <w:rPr>
                <w:rFonts w:hint="eastAsia" w:ascii="宋体" w:hAnsi="宋体" w:eastAsia="宋体" w:cs="宋体"/>
                <w:color w:val="auto"/>
                <w:sz w:val="24"/>
                <w:szCs w:val="24"/>
                <w:highlight w:val="none"/>
              </w:rPr>
            </w:pPr>
          </w:p>
        </w:tc>
      </w:tr>
      <w:tr w14:paraId="2E2B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1FD1520">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35D4EC7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质疑期限</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3B57089D">
            <w:pPr>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认为采购文件、采购过程和中标结果使自己的权益受到损害的，可以在知道或者应知其权益受到损害之日起</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提出</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4A287332">
            <w:pPr>
              <w:shd w:val="clear"/>
              <w:rPr>
                <w:rFonts w:hint="eastAsia" w:ascii="宋体" w:hAnsi="宋体" w:eastAsia="宋体" w:cs="宋体"/>
                <w:color w:val="auto"/>
                <w:sz w:val="24"/>
                <w:szCs w:val="24"/>
                <w:highlight w:val="none"/>
              </w:rPr>
            </w:pPr>
          </w:p>
        </w:tc>
      </w:tr>
      <w:tr w14:paraId="0485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3745E068">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24B5760F">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投诉期限</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0160908A">
            <w:pPr>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质疑答复期满后15个工作日内</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2E484EE3">
            <w:pPr>
              <w:shd w:val="clear"/>
              <w:rPr>
                <w:rFonts w:hint="eastAsia" w:ascii="宋体" w:hAnsi="宋体" w:eastAsia="宋体" w:cs="宋体"/>
                <w:color w:val="auto"/>
                <w:sz w:val="24"/>
                <w:szCs w:val="24"/>
                <w:highlight w:val="none"/>
              </w:rPr>
            </w:pPr>
          </w:p>
        </w:tc>
      </w:tr>
      <w:tr w14:paraId="5C71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5640D5D">
            <w:pPr>
              <w:shd w:val="clear"/>
              <w:ind w:left="-126" w:leftChars="-60" w:right="-99" w:rightChars="-4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05DE83D7">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70475F42">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采购人应自</w:t>
            </w:r>
            <w:r>
              <w:rPr>
                <w:rFonts w:hint="eastAsia" w:ascii="宋体" w:hAnsi="宋体" w:eastAsia="宋体" w:cs="宋体"/>
                <w:color w:val="auto"/>
                <w:sz w:val="24"/>
                <w:szCs w:val="24"/>
                <w:highlight w:val="none"/>
              </w:rPr>
              <w:t>中标通知书发出之日起</w:t>
            </w:r>
            <w:r>
              <w:rPr>
                <w:rFonts w:hint="eastAsia" w:ascii="宋体" w:hAnsi="宋体" w:eastAsia="宋体" w:cs="宋体"/>
                <w:color w:val="auto"/>
                <w:sz w:val="24"/>
                <w:szCs w:val="24"/>
                <w:highlight w:val="none"/>
                <w:u w:val="none"/>
              </w:rPr>
              <w:t>30</w:t>
            </w:r>
            <w:r>
              <w:rPr>
                <w:rFonts w:hint="eastAsia" w:ascii="宋体" w:hAnsi="宋体" w:eastAsia="宋体" w:cs="宋体"/>
                <w:color w:val="auto"/>
                <w:sz w:val="24"/>
                <w:szCs w:val="24"/>
                <w:highlight w:val="none"/>
              </w:rPr>
              <w:t>日内，</w:t>
            </w:r>
            <w:r>
              <w:rPr>
                <w:rFonts w:hint="eastAsia" w:ascii="宋体" w:hAnsi="宋体" w:eastAsia="宋体" w:cs="宋体"/>
                <w:color w:val="auto"/>
                <w:sz w:val="24"/>
                <w:highlight w:val="none"/>
              </w:rPr>
              <w:t>按照招标文件和中标人投标文件的规定，与中标人签订</w:t>
            </w:r>
            <w:r>
              <w:rPr>
                <w:rFonts w:hint="eastAsia" w:ascii="宋体" w:hAnsi="宋体" w:eastAsia="宋体" w:cs="宋体"/>
                <w:strike w:val="0"/>
                <w:color w:val="auto"/>
                <w:sz w:val="24"/>
                <w:highlight w:val="none"/>
              </w:rPr>
              <w:t>政府采购</w:t>
            </w:r>
            <w:r>
              <w:rPr>
                <w:rFonts w:hint="eastAsia" w:ascii="宋体" w:hAnsi="宋体" w:eastAsia="宋体" w:cs="宋体"/>
                <w:color w:val="auto"/>
                <w:sz w:val="24"/>
                <w:highlight w:val="none"/>
              </w:rPr>
              <w:t>合同。</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323DF041">
            <w:pPr>
              <w:shd w:val="clear"/>
              <w:rPr>
                <w:rFonts w:hint="eastAsia" w:ascii="宋体" w:hAnsi="宋体" w:eastAsia="宋体" w:cs="宋体"/>
                <w:color w:val="auto"/>
                <w:sz w:val="24"/>
                <w:szCs w:val="24"/>
                <w:highlight w:val="none"/>
              </w:rPr>
            </w:pPr>
          </w:p>
        </w:tc>
      </w:tr>
      <w:bookmarkEnd w:id="87"/>
    </w:tbl>
    <w:p w14:paraId="7AD9DBCC">
      <w:pPr>
        <w:pStyle w:val="42"/>
        <w:shd w:val="clear"/>
        <w:spacing w:beforeLines="100" w:after="240" w:afterLines="100"/>
        <w:jc w:val="left"/>
        <w:outlineLvl w:val="1"/>
        <w:rPr>
          <w:rFonts w:hint="eastAsia" w:ascii="宋体" w:hAnsi="宋体" w:eastAsia="宋体" w:cs="宋体"/>
          <w:color w:val="auto"/>
          <w:sz w:val="30"/>
          <w:szCs w:val="30"/>
          <w:highlight w:val="none"/>
        </w:rPr>
        <w:sectPr>
          <w:footerReference r:id="rId9" w:type="even"/>
          <w:pgSz w:w="11906" w:h="16838"/>
          <w:pgMar w:top="1440" w:right="1440" w:bottom="1440" w:left="1440" w:header="851" w:footer="851" w:gutter="0"/>
          <w:pgNumType w:fmt="decimal"/>
          <w:cols w:space="720" w:num="1"/>
          <w:docGrid w:linePitch="312" w:charSpace="0"/>
        </w:sectPr>
      </w:pPr>
      <w:bookmarkStart w:id="95" w:name="_Toc530551821"/>
      <w:bookmarkStart w:id="96" w:name="_Toc531358976"/>
    </w:p>
    <w:p w14:paraId="5B9F5796">
      <w:pPr>
        <w:pStyle w:val="42"/>
        <w:shd w:val="clear"/>
        <w:spacing w:beforeLines="100" w:after="240" w:afterLines="100"/>
        <w:jc w:val="left"/>
        <w:outlineLvl w:val="1"/>
        <w:rPr>
          <w:rFonts w:hint="eastAsia" w:ascii="宋体" w:hAnsi="宋体" w:eastAsia="宋体" w:cs="宋体"/>
          <w:color w:val="auto"/>
          <w:sz w:val="30"/>
          <w:szCs w:val="30"/>
          <w:highlight w:val="none"/>
        </w:rPr>
      </w:pPr>
      <w:bookmarkStart w:id="97" w:name="_Toc22265"/>
      <w:bookmarkStart w:id="98" w:name="_Toc1799"/>
      <w:bookmarkStart w:id="99" w:name="_Toc97212959"/>
      <w:bookmarkStart w:id="100" w:name="_Toc7731"/>
      <w:bookmarkStart w:id="101" w:name="_Toc22779"/>
      <w:bookmarkStart w:id="102" w:name="_Toc27029"/>
      <w:r>
        <w:rPr>
          <w:rFonts w:hint="eastAsia" w:ascii="宋体" w:hAnsi="宋体" w:eastAsia="宋体" w:cs="宋体"/>
          <w:color w:val="auto"/>
          <w:sz w:val="30"/>
          <w:szCs w:val="30"/>
          <w:highlight w:val="none"/>
        </w:rPr>
        <w:t>一    总则</w:t>
      </w:r>
      <w:bookmarkEnd w:id="88"/>
      <w:bookmarkEnd w:id="95"/>
      <w:bookmarkEnd w:id="96"/>
      <w:bookmarkEnd w:id="97"/>
      <w:bookmarkEnd w:id="98"/>
      <w:bookmarkEnd w:id="99"/>
      <w:bookmarkEnd w:id="100"/>
      <w:bookmarkEnd w:id="101"/>
      <w:bookmarkEnd w:id="102"/>
    </w:p>
    <w:p w14:paraId="36634472">
      <w:pPr>
        <w:pStyle w:val="229"/>
        <w:shd w:val="clear"/>
        <w:rPr>
          <w:rFonts w:hint="eastAsia" w:ascii="宋体" w:hAnsi="宋体" w:eastAsia="宋体" w:cs="宋体"/>
          <w:color w:val="auto"/>
          <w:highlight w:val="none"/>
        </w:rPr>
      </w:pPr>
      <w:bookmarkStart w:id="103" w:name="_Toc531358977"/>
      <w:bookmarkStart w:id="104" w:name="_Toc13723"/>
      <w:bookmarkStart w:id="105" w:name="_Toc530551822"/>
      <w:bookmarkStart w:id="106" w:name="_Toc13905"/>
      <w:bookmarkStart w:id="107" w:name="_Toc3424"/>
      <w:bookmarkStart w:id="108" w:name="_Toc97212960"/>
      <w:bookmarkStart w:id="109" w:name="_Toc26465"/>
      <w:bookmarkStart w:id="110" w:name="_Toc28554"/>
      <w:r>
        <w:rPr>
          <w:rFonts w:hint="eastAsia" w:ascii="宋体" w:hAnsi="宋体" w:eastAsia="宋体" w:cs="宋体"/>
          <w:color w:val="auto"/>
          <w:highlight w:val="none"/>
        </w:rPr>
        <w:t>1.1     适用范围</w:t>
      </w:r>
      <w:bookmarkEnd w:id="103"/>
      <w:bookmarkEnd w:id="104"/>
      <w:bookmarkEnd w:id="105"/>
      <w:bookmarkEnd w:id="106"/>
      <w:bookmarkEnd w:id="107"/>
      <w:bookmarkEnd w:id="108"/>
      <w:bookmarkEnd w:id="109"/>
      <w:bookmarkEnd w:id="110"/>
    </w:p>
    <w:p w14:paraId="167B0186">
      <w:pPr>
        <w:shd w:val="clear"/>
        <w:spacing w:line="360" w:lineRule="auto"/>
        <w:ind w:left="638" w:leftChars="304" w:firstLine="319" w:firstLine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法律、法规另有规定的，从其规定。</w:t>
      </w:r>
    </w:p>
    <w:p w14:paraId="771D249F">
      <w:pPr>
        <w:pStyle w:val="229"/>
        <w:shd w:val="clear"/>
        <w:rPr>
          <w:rFonts w:hint="eastAsia" w:ascii="宋体" w:hAnsi="宋体" w:eastAsia="宋体" w:cs="宋体"/>
          <w:color w:val="auto"/>
          <w:highlight w:val="none"/>
        </w:rPr>
      </w:pPr>
      <w:bookmarkStart w:id="111" w:name="_Toc32066"/>
      <w:bookmarkStart w:id="112" w:name="_Toc530551823"/>
      <w:bookmarkStart w:id="113" w:name="_Toc97212961"/>
      <w:bookmarkStart w:id="114" w:name="_Toc10006"/>
      <w:bookmarkStart w:id="115" w:name="_Toc73"/>
      <w:bookmarkStart w:id="116" w:name="_Toc11033"/>
      <w:bookmarkStart w:id="117" w:name="_Toc16460"/>
      <w:bookmarkStart w:id="118" w:name="_Toc531358978"/>
      <w:r>
        <w:rPr>
          <w:rFonts w:hint="eastAsia" w:ascii="宋体" w:hAnsi="宋体" w:eastAsia="宋体" w:cs="宋体"/>
          <w:color w:val="auto"/>
          <w:highlight w:val="none"/>
        </w:rPr>
        <w:t>1.2     定义</w:t>
      </w:r>
      <w:bookmarkEnd w:id="111"/>
      <w:bookmarkEnd w:id="112"/>
      <w:bookmarkEnd w:id="113"/>
      <w:bookmarkEnd w:id="114"/>
      <w:bookmarkEnd w:id="115"/>
      <w:bookmarkEnd w:id="116"/>
      <w:bookmarkEnd w:id="117"/>
      <w:bookmarkEnd w:id="118"/>
    </w:p>
    <w:p w14:paraId="0F5375D0">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1.2.1   “采购人”系指招标公告中载明的本项目的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w:t>
      </w:r>
    </w:p>
    <w:p w14:paraId="00ED8C29">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1.2.2   “采购代理机构”系指招标公告中载明的本项目的采购代理机构</w:t>
      </w:r>
      <w:r>
        <w:rPr>
          <w:rFonts w:hint="eastAsia" w:ascii="宋体" w:hAnsi="宋体" w:eastAsia="宋体" w:cs="宋体"/>
          <w:color w:val="auto"/>
          <w:sz w:val="24"/>
          <w:szCs w:val="24"/>
          <w:highlight w:val="none"/>
          <w:lang w:eastAsia="zh-CN"/>
        </w:rPr>
        <w:t>。</w:t>
      </w:r>
    </w:p>
    <w:p w14:paraId="4624765C">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1.2.3   “投标人”系指按照招标文件的规定</w:t>
      </w:r>
      <w:r>
        <w:rPr>
          <w:rFonts w:hint="eastAsia" w:ascii="宋体" w:hAnsi="宋体" w:eastAsia="宋体" w:cs="宋体"/>
          <w:color w:val="auto"/>
          <w:sz w:val="24"/>
          <w:szCs w:val="24"/>
          <w:highlight w:val="none"/>
          <w:lang w:eastAsia="zh-CN"/>
        </w:rPr>
        <w:t>响应招标，</w:t>
      </w:r>
      <w:r>
        <w:rPr>
          <w:rFonts w:hint="eastAsia" w:ascii="宋体" w:hAnsi="宋体" w:eastAsia="宋体" w:cs="宋体"/>
          <w:color w:val="auto"/>
          <w:sz w:val="24"/>
          <w:szCs w:val="24"/>
          <w:highlight w:val="none"/>
        </w:rPr>
        <w:t>参加并提交投标文件的法人、自然人或其他组织</w:t>
      </w:r>
      <w:r>
        <w:rPr>
          <w:rFonts w:hint="eastAsia" w:ascii="宋体" w:hAnsi="宋体" w:eastAsia="宋体" w:cs="宋体"/>
          <w:color w:val="auto"/>
          <w:sz w:val="24"/>
          <w:szCs w:val="24"/>
          <w:highlight w:val="none"/>
          <w:lang w:eastAsia="zh-CN"/>
        </w:rPr>
        <w:t>。</w:t>
      </w:r>
    </w:p>
    <w:p w14:paraId="78B14067">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1.2.4   “负责人”系指法人企业的法定代表人，或其他组织为法律、行政法规规定代表单位行使职权的主要负责人</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自然人本人</w:t>
      </w:r>
      <w:r>
        <w:rPr>
          <w:rFonts w:hint="eastAsia" w:ascii="宋体" w:hAnsi="宋体" w:eastAsia="宋体" w:cs="宋体"/>
          <w:color w:val="auto"/>
          <w:sz w:val="24"/>
          <w:szCs w:val="24"/>
          <w:highlight w:val="none"/>
          <w:lang w:eastAsia="zh-CN"/>
        </w:rPr>
        <w:t>。</w:t>
      </w:r>
    </w:p>
    <w:p w14:paraId="72286A30">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1.2.5   “投标人代表”系指负责人或其授权的委托代理人</w:t>
      </w:r>
      <w:r>
        <w:rPr>
          <w:rFonts w:hint="eastAsia" w:ascii="宋体" w:hAnsi="宋体" w:eastAsia="宋体" w:cs="宋体"/>
          <w:color w:val="auto"/>
          <w:sz w:val="24"/>
          <w:szCs w:val="24"/>
          <w:highlight w:val="none"/>
          <w:lang w:eastAsia="zh-CN"/>
        </w:rPr>
        <w:t>。</w:t>
      </w:r>
    </w:p>
    <w:p w14:paraId="60817223">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标有“</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”符号均属于“实质性条款”，不允许负偏离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rPr>
        <w:t>“●”为重要技术参数指标</w:t>
      </w:r>
      <w:r>
        <w:rPr>
          <w:rFonts w:hint="eastAsia" w:ascii="宋体" w:hAnsi="宋体" w:eastAsia="宋体" w:cs="宋体"/>
          <w:color w:val="auto"/>
          <w:sz w:val="24"/>
          <w:szCs w:val="24"/>
          <w:highlight w:val="none"/>
          <w:lang w:eastAsia="zh-CN"/>
        </w:rPr>
        <w:t>。</w:t>
      </w:r>
    </w:p>
    <w:p w14:paraId="1D9DE2FF">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标有“★”系指项目关键核心产品，作为判断同品牌产品的依据。</w:t>
      </w:r>
    </w:p>
    <w:p w14:paraId="5F4DDB63">
      <w:pPr>
        <w:shd w:val="clear"/>
        <w:spacing w:line="360" w:lineRule="auto"/>
        <w:ind w:left="960" w:hanging="960" w:hangingChars="4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1.2.8  “</w:t>
      </w:r>
      <w:r>
        <w:rPr>
          <w:rFonts w:hint="eastAsia" w:ascii="宋体" w:hAnsi="宋体" w:eastAsia="宋体" w:cs="宋体"/>
          <w:color w:val="auto"/>
          <w:sz w:val="24"/>
          <w:szCs w:val="24"/>
          <w:highlight w:val="none"/>
        </w:rPr>
        <w:t>电子交易平台”是指</w:t>
      </w:r>
      <w:r>
        <w:rPr>
          <w:rFonts w:hint="eastAsia" w:ascii="宋体" w:hAnsi="宋体" w:eastAsia="宋体" w:cs="宋体"/>
          <w:color w:val="auto"/>
          <w:sz w:val="24"/>
          <w:szCs w:val="24"/>
          <w:highlight w:val="none"/>
          <w:lang w:val="en-US" w:eastAsia="zh-CN"/>
        </w:rPr>
        <w:t>政</w:t>
      </w:r>
      <w:r>
        <w:rPr>
          <w:rFonts w:hint="eastAsia" w:ascii="宋体" w:hAnsi="宋体" w:eastAsia="宋体" w:cs="宋体"/>
          <w:color w:val="auto"/>
          <w:sz w:val="24"/>
          <w:szCs w:val="24"/>
          <w:highlight w:val="none"/>
        </w:rPr>
        <w:t>府采购活动所依托的政府采购云平台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简称政采云平台：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7975FA2">
      <w:pPr>
        <w:shd w:val="clear"/>
        <w:spacing w:line="360" w:lineRule="auto"/>
        <w:ind w:left="964" w:hanging="964" w:hangingChars="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 xml:space="preserve">  “电子投标文件”系指投标人通过“政采云</w:t>
      </w:r>
      <w:r>
        <w:rPr>
          <w:rFonts w:hint="eastAsia" w:ascii="宋体" w:hAnsi="宋体" w:eastAsia="宋体" w:cs="宋体"/>
          <w:b/>
          <w:color w:val="auto"/>
          <w:sz w:val="24"/>
          <w:szCs w:val="24"/>
          <w:highlight w:val="none"/>
          <w:lang w:eastAsia="zh-CN"/>
        </w:rPr>
        <w:t>平台</w:t>
      </w:r>
      <w:r>
        <w:rPr>
          <w:rFonts w:hint="eastAsia" w:ascii="宋体" w:hAnsi="宋体" w:eastAsia="宋体" w:cs="宋体"/>
          <w:b/>
          <w:color w:val="auto"/>
          <w:sz w:val="24"/>
          <w:szCs w:val="24"/>
          <w:highlight w:val="none"/>
        </w:rPr>
        <w:t>”编制的数据电文形式的“电子加密投标文件”。</w:t>
      </w:r>
    </w:p>
    <w:p w14:paraId="4A9B17E5">
      <w:pPr>
        <w:shd w:val="clear"/>
        <w:spacing w:line="360" w:lineRule="auto"/>
        <w:ind w:left="964" w:hanging="964" w:hangingChars="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 xml:space="preserve">  “备份投标文件”系指与“电子投标文件”同时生成的数据电文形式的电子文件。</w:t>
      </w:r>
    </w:p>
    <w:p w14:paraId="602DAF86">
      <w:pPr>
        <w:shd w:val="clear"/>
        <w:spacing w:line="360" w:lineRule="auto"/>
        <w:ind w:left="964" w:hanging="964" w:hangingChars="400"/>
        <w:rPr>
          <w:rFonts w:hint="eastAsia" w:ascii="宋体" w:hAnsi="宋体" w:eastAsia="宋体" w:cs="宋体"/>
          <w:color w:val="auto"/>
          <w:highlight w:val="none"/>
        </w:rPr>
      </w:pPr>
      <w:r>
        <w:rPr>
          <w:rFonts w:hint="eastAsia" w:ascii="宋体" w:hAnsi="宋体" w:eastAsia="宋体" w:cs="宋体"/>
          <w:b/>
          <w:color w:val="auto"/>
          <w:sz w:val="24"/>
          <w:szCs w:val="24"/>
          <w:highlight w:val="none"/>
          <w:lang w:val="en-US" w:eastAsia="zh-CN"/>
        </w:rPr>
        <w:t>1.2.11  “电子签名”</w:t>
      </w:r>
      <w:r>
        <w:rPr>
          <w:rFonts w:hint="eastAsia" w:ascii="宋体" w:hAnsi="宋体" w:eastAsia="宋体" w:cs="宋体"/>
          <w:b w:val="0"/>
          <w:bCs/>
          <w:color w:val="auto"/>
          <w:sz w:val="24"/>
          <w:szCs w:val="24"/>
          <w:highlight w:val="none"/>
          <w:lang w:val="en-US" w:eastAsia="zh-CN"/>
        </w:rPr>
        <w:t>系指数据电文中以电子形式所含、所附用于识别签名人身份并表明签名人认可其中内容的数据；“公章”系指单位法定名称章。</w:t>
      </w:r>
    </w:p>
    <w:p w14:paraId="5BD7A020">
      <w:pPr>
        <w:pStyle w:val="229"/>
        <w:shd w:val="clear"/>
        <w:rPr>
          <w:rFonts w:hint="eastAsia" w:ascii="宋体" w:hAnsi="宋体" w:eastAsia="宋体" w:cs="宋体"/>
          <w:color w:val="auto"/>
          <w:highlight w:val="none"/>
        </w:rPr>
      </w:pPr>
      <w:bookmarkStart w:id="119" w:name="_Toc530551825"/>
      <w:bookmarkStart w:id="120" w:name="_Toc1713"/>
      <w:bookmarkStart w:id="121" w:name="_Toc28832"/>
      <w:bookmarkStart w:id="122" w:name="_Toc4144"/>
      <w:bookmarkStart w:id="123" w:name="_Toc531358980"/>
      <w:bookmarkStart w:id="124" w:name="_Toc97212962"/>
      <w:bookmarkStart w:id="125" w:name="_Toc15091"/>
      <w:bookmarkStart w:id="126" w:name="_Toc6287"/>
      <w:r>
        <w:rPr>
          <w:rFonts w:hint="eastAsia" w:ascii="宋体" w:hAnsi="宋体" w:eastAsia="宋体" w:cs="宋体"/>
          <w:color w:val="auto"/>
          <w:highlight w:val="none"/>
        </w:rPr>
        <w:t>1.3     投标人应具备资格条件</w:t>
      </w:r>
      <w:bookmarkEnd w:id="119"/>
      <w:bookmarkEnd w:id="120"/>
      <w:bookmarkEnd w:id="121"/>
      <w:bookmarkEnd w:id="122"/>
      <w:bookmarkEnd w:id="123"/>
      <w:bookmarkEnd w:id="124"/>
      <w:bookmarkEnd w:id="125"/>
      <w:bookmarkEnd w:id="126"/>
    </w:p>
    <w:p w14:paraId="5A6DDDEE">
      <w:pPr>
        <w:shd w:val="clear"/>
        <w:spacing w:line="360" w:lineRule="auto"/>
        <w:ind w:left="960" w:hanging="960" w:hangingChars="400"/>
        <w:rPr>
          <w:rFonts w:hint="eastAsia" w:ascii="宋体" w:hAnsi="宋体" w:eastAsia="宋体" w:cs="宋体"/>
          <w:color w:val="auto"/>
          <w:sz w:val="24"/>
          <w:szCs w:val="24"/>
          <w:highlight w:val="none"/>
          <w:lang w:eastAsia="zh-CN"/>
        </w:rPr>
      </w:pPr>
      <w:bookmarkStart w:id="127" w:name="_Toc530551826"/>
      <w:r>
        <w:rPr>
          <w:rFonts w:hint="eastAsia" w:ascii="宋体" w:hAnsi="宋体" w:eastAsia="宋体" w:cs="宋体"/>
          <w:color w:val="auto"/>
          <w:sz w:val="24"/>
          <w:szCs w:val="24"/>
          <w:highlight w:val="none"/>
        </w:rPr>
        <w:t>1.3.1   符合本招标公告中载明</w:t>
      </w:r>
      <w:r>
        <w:rPr>
          <w:rFonts w:hint="eastAsia" w:ascii="宋体" w:hAnsi="宋体" w:eastAsia="宋体" w:cs="宋体"/>
          <w:color w:val="auto"/>
          <w:sz w:val="24"/>
          <w:szCs w:val="24"/>
          <w:highlight w:val="none"/>
          <w:lang w:eastAsia="zh-CN"/>
        </w:rPr>
        <w:t>“申请人的资格要求”</w:t>
      </w:r>
      <w:r>
        <w:rPr>
          <w:rFonts w:hint="eastAsia" w:ascii="宋体" w:hAnsi="宋体" w:eastAsia="宋体" w:cs="宋体"/>
          <w:color w:val="auto"/>
          <w:sz w:val="24"/>
          <w:szCs w:val="24"/>
          <w:highlight w:val="none"/>
        </w:rPr>
        <w:t>的规定</w:t>
      </w:r>
      <w:r>
        <w:rPr>
          <w:rFonts w:hint="eastAsia" w:ascii="宋体" w:hAnsi="宋体" w:eastAsia="宋体" w:cs="宋体"/>
          <w:color w:val="auto"/>
          <w:sz w:val="24"/>
          <w:szCs w:val="24"/>
          <w:highlight w:val="none"/>
          <w:lang w:eastAsia="zh-CN"/>
        </w:rPr>
        <w:t>。</w:t>
      </w:r>
    </w:p>
    <w:p w14:paraId="25617EAF">
      <w:pPr>
        <w:pStyle w:val="229"/>
        <w:shd w:val="clear"/>
        <w:rPr>
          <w:rFonts w:hint="eastAsia" w:ascii="宋体" w:hAnsi="宋体" w:eastAsia="宋体" w:cs="宋体"/>
          <w:color w:val="auto"/>
          <w:highlight w:val="none"/>
        </w:rPr>
      </w:pPr>
      <w:bookmarkStart w:id="128" w:name="_Toc97212963"/>
      <w:bookmarkStart w:id="129" w:name="_Toc2894"/>
      <w:bookmarkStart w:id="130" w:name="_Toc26010"/>
      <w:bookmarkStart w:id="131" w:name="_Toc25864"/>
      <w:bookmarkStart w:id="132" w:name="_Toc531358981"/>
      <w:bookmarkStart w:id="133" w:name="_Toc31118"/>
      <w:bookmarkStart w:id="134" w:name="_Toc5762"/>
      <w:r>
        <w:rPr>
          <w:rFonts w:hint="eastAsia" w:ascii="宋体" w:hAnsi="宋体" w:eastAsia="宋体" w:cs="宋体"/>
          <w:color w:val="auto"/>
          <w:highlight w:val="none"/>
        </w:rPr>
        <w:t>1.4     联合体投标</w:t>
      </w:r>
      <w:bookmarkEnd w:id="127"/>
      <w:bookmarkEnd w:id="128"/>
      <w:bookmarkEnd w:id="129"/>
      <w:bookmarkEnd w:id="130"/>
      <w:bookmarkEnd w:id="131"/>
      <w:bookmarkEnd w:id="132"/>
      <w:bookmarkEnd w:id="133"/>
      <w:bookmarkEnd w:id="134"/>
    </w:p>
    <w:p w14:paraId="7E0258B2">
      <w:pPr>
        <w:shd w:val="clear"/>
        <w:spacing w:line="360" w:lineRule="auto"/>
        <w:ind w:left="720" w:hanging="720" w:hanging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1.4.1   联合体：见投标人须知前附表（一）</w:t>
      </w:r>
      <w:r>
        <w:rPr>
          <w:rFonts w:hint="eastAsia" w:ascii="宋体" w:hAnsi="宋体" w:eastAsia="宋体" w:cs="宋体"/>
          <w:color w:val="auto"/>
          <w:sz w:val="24"/>
          <w:szCs w:val="24"/>
          <w:highlight w:val="none"/>
          <w:lang w:eastAsia="zh-CN"/>
        </w:rPr>
        <w:t>。</w:t>
      </w:r>
    </w:p>
    <w:p w14:paraId="4F3DB2A8">
      <w:pPr>
        <w:shd w:val="clear"/>
        <w:spacing w:line="360" w:lineRule="auto"/>
        <w:ind w:left="720" w:hanging="720" w:hanging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1.4.2   联合体各方均符合政府采购法第二十二条第一款规定</w:t>
      </w:r>
      <w:r>
        <w:rPr>
          <w:rFonts w:hint="eastAsia" w:ascii="宋体" w:hAnsi="宋体" w:eastAsia="宋体" w:cs="宋体"/>
          <w:color w:val="auto"/>
          <w:sz w:val="24"/>
          <w:szCs w:val="24"/>
          <w:highlight w:val="none"/>
          <w:lang w:eastAsia="zh-CN"/>
        </w:rPr>
        <w:t>。</w:t>
      </w:r>
    </w:p>
    <w:p w14:paraId="23BCDEDC">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1.4.3   联合体中至少有一方符合本文件规定的特定资质要求。但联合体中有同类资质的投标人按照联合体分工承担相同工作的，</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按照资质等级较低的投标人确定资质等级</w:t>
      </w:r>
      <w:r>
        <w:rPr>
          <w:rFonts w:hint="eastAsia" w:ascii="宋体" w:hAnsi="宋体" w:eastAsia="宋体" w:cs="宋体"/>
          <w:color w:val="auto"/>
          <w:sz w:val="24"/>
          <w:szCs w:val="24"/>
          <w:highlight w:val="none"/>
          <w:lang w:eastAsia="zh-CN"/>
        </w:rPr>
        <w:t>。</w:t>
      </w:r>
    </w:p>
    <w:p w14:paraId="36F95862">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1.4.4   以联合体形式参加政府采购活动的，联合体各方不得再单独参加或者与其他投标人另外组成联合体参加同一合同项下的政府采购活动</w:t>
      </w:r>
      <w:r>
        <w:rPr>
          <w:rFonts w:hint="eastAsia" w:ascii="宋体" w:hAnsi="宋体" w:eastAsia="宋体" w:cs="宋体"/>
          <w:color w:val="auto"/>
          <w:sz w:val="24"/>
          <w:szCs w:val="24"/>
          <w:highlight w:val="none"/>
          <w:lang w:eastAsia="zh-CN"/>
        </w:rPr>
        <w:t>。</w:t>
      </w:r>
    </w:p>
    <w:p w14:paraId="3D54893B">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联合体参与的，</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提供《联合体协议书》。</w:t>
      </w:r>
    </w:p>
    <w:p w14:paraId="6E19A30D">
      <w:pPr>
        <w:pStyle w:val="229"/>
        <w:shd w:val="clear"/>
        <w:rPr>
          <w:rFonts w:hint="eastAsia" w:ascii="宋体" w:hAnsi="宋体" w:eastAsia="宋体" w:cs="宋体"/>
          <w:color w:val="auto"/>
          <w:highlight w:val="none"/>
        </w:rPr>
      </w:pPr>
      <w:bookmarkStart w:id="135" w:name="_Toc28695"/>
      <w:bookmarkStart w:id="136" w:name="_Toc5935"/>
      <w:bookmarkStart w:id="137" w:name="_Toc28081"/>
      <w:bookmarkStart w:id="138" w:name="_Toc531358982"/>
      <w:bookmarkStart w:id="139" w:name="_Toc530551827"/>
      <w:bookmarkStart w:id="140" w:name="_Toc97212964"/>
      <w:bookmarkStart w:id="141" w:name="_Toc10645"/>
      <w:bookmarkStart w:id="142" w:name="_Toc13735"/>
      <w:r>
        <w:rPr>
          <w:rFonts w:hint="eastAsia" w:ascii="宋体" w:hAnsi="宋体" w:eastAsia="宋体" w:cs="宋体"/>
          <w:color w:val="auto"/>
          <w:highlight w:val="none"/>
        </w:rPr>
        <w:t>1.5     投标文件的语言及计量</w:t>
      </w:r>
      <w:bookmarkEnd w:id="135"/>
      <w:bookmarkEnd w:id="136"/>
      <w:bookmarkEnd w:id="137"/>
      <w:bookmarkEnd w:id="138"/>
      <w:bookmarkEnd w:id="139"/>
      <w:bookmarkEnd w:id="140"/>
      <w:bookmarkEnd w:id="141"/>
      <w:bookmarkEnd w:id="142"/>
    </w:p>
    <w:p w14:paraId="427FFCFF">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1.5.1   投标文件以及投标人、采购人与采购代理机构就有关投标事宜的所有来往函电，均应以简体中文书写，除签名、盖章、专用名称等特殊情形外</w:t>
      </w:r>
      <w:r>
        <w:rPr>
          <w:rFonts w:hint="eastAsia" w:ascii="宋体" w:hAnsi="宋体" w:eastAsia="宋体" w:cs="宋体"/>
          <w:color w:val="auto"/>
          <w:sz w:val="24"/>
          <w:szCs w:val="24"/>
          <w:highlight w:val="none"/>
          <w:lang w:eastAsia="zh-CN"/>
        </w:rPr>
        <w:t>。</w:t>
      </w:r>
    </w:p>
    <w:p w14:paraId="23C9CCCD">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1.5.2   投标资料提供外文证书或者外国语视听资料的，</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附有中文译本，由翻译机构盖章或者翻译人员签名</w:t>
      </w:r>
      <w:r>
        <w:rPr>
          <w:rFonts w:hint="eastAsia" w:ascii="宋体" w:hAnsi="宋体" w:eastAsia="宋体" w:cs="宋体"/>
          <w:color w:val="auto"/>
          <w:sz w:val="24"/>
          <w:szCs w:val="24"/>
          <w:highlight w:val="none"/>
          <w:lang w:eastAsia="zh-CN"/>
        </w:rPr>
        <w:t>。</w:t>
      </w:r>
    </w:p>
    <w:p w14:paraId="0663DC6C">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投标计量单位，招标文件已有明确规定的，使用招标文件规定的计量单位；招标文件没有规定的，</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采用中华人民共和国法定计量单位。</w:t>
      </w:r>
    </w:p>
    <w:p w14:paraId="51048F26">
      <w:pPr>
        <w:pStyle w:val="229"/>
        <w:shd w:val="clear"/>
        <w:rPr>
          <w:rFonts w:hint="eastAsia" w:ascii="宋体" w:hAnsi="宋体" w:eastAsia="宋体" w:cs="宋体"/>
          <w:color w:val="auto"/>
          <w:highlight w:val="none"/>
        </w:rPr>
      </w:pPr>
      <w:bookmarkStart w:id="143" w:name="_Toc531358983"/>
      <w:bookmarkStart w:id="144" w:name="_Toc27848"/>
      <w:bookmarkStart w:id="145" w:name="_Toc530551828"/>
      <w:bookmarkStart w:id="146" w:name="_Toc15549"/>
      <w:bookmarkStart w:id="147" w:name="_Toc26978"/>
      <w:bookmarkStart w:id="148" w:name="_Toc26046"/>
      <w:bookmarkStart w:id="149" w:name="_Toc97212965"/>
      <w:bookmarkStart w:id="150" w:name="_Toc18221"/>
      <w:r>
        <w:rPr>
          <w:rFonts w:hint="eastAsia" w:ascii="宋体" w:hAnsi="宋体" w:eastAsia="宋体" w:cs="宋体"/>
          <w:color w:val="auto"/>
          <w:highlight w:val="none"/>
        </w:rPr>
        <w:t>1.6     投标费用</w:t>
      </w:r>
      <w:bookmarkEnd w:id="143"/>
      <w:bookmarkEnd w:id="144"/>
      <w:bookmarkEnd w:id="145"/>
      <w:bookmarkEnd w:id="146"/>
      <w:bookmarkEnd w:id="147"/>
      <w:bookmarkEnd w:id="148"/>
      <w:bookmarkEnd w:id="149"/>
      <w:bookmarkEnd w:id="150"/>
    </w:p>
    <w:p w14:paraId="4691E7C9">
      <w:pPr>
        <w:shd w:val="clea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投标人自行承担与</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投标有关的</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（法律、法规有规定的除外）</w:t>
      </w:r>
      <w:r>
        <w:rPr>
          <w:rFonts w:hint="eastAsia" w:ascii="宋体" w:hAnsi="宋体" w:eastAsia="宋体" w:cs="宋体"/>
          <w:color w:val="auto"/>
          <w:sz w:val="24"/>
          <w:szCs w:val="24"/>
          <w:highlight w:val="none"/>
        </w:rPr>
        <w:t>。</w:t>
      </w:r>
    </w:p>
    <w:p w14:paraId="0ADC6E78">
      <w:pPr>
        <w:pStyle w:val="229"/>
        <w:shd w:val="clear"/>
        <w:rPr>
          <w:rFonts w:hint="eastAsia" w:ascii="宋体" w:hAnsi="宋体" w:eastAsia="宋体" w:cs="宋体"/>
          <w:color w:val="auto"/>
          <w:highlight w:val="none"/>
        </w:rPr>
      </w:pPr>
      <w:bookmarkStart w:id="151" w:name="_Toc530551829"/>
      <w:bookmarkStart w:id="152" w:name="_Toc18696"/>
      <w:bookmarkStart w:id="153" w:name="_Toc20946"/>
      <w:bookmarkStart w:id="154" w:name="_Toc531358984"/>
      <w:bookmarkStart w:id="155" w:name="_Toc97212966"/>
      <w:bookmarkStart w:id="156" w:name="_Toc2209"/>
      <w:bookmarkStart w:id="157" w:name="_Toc15174"/>
      <w:bookmarkStart w:id="158" w:name="_Toc22794"/>
      <w:r>
        <w:rPr>
          <w:rFonts w:hint="eastAsia" w:ascii="宋体" w:hAnsi="宋体" w:eastAsia="宋体" w:cs="宋体"/>
          <w:color w:val="auto"/>
          <w:highlight w:val="none"/>
        </w:rPr>
        <w:t>1.7     现场踏勘</w:t>
      </w:r>
      <w:bookmarkEnd w:id="151"/>
      <w:bookmarkEnd w:id="152"/>
      <w:bookmarkEnd w:id="153"/>
      <w:bookmarkEnd w:id="154"/>
      <w:bookmarkEnd w:id="155"/>
      <w:bookmarkEnd w:id="156"/>
      <w:bookmarkEnd w:id="157"/>
      <w:bookmarkEnd w:id="158"/>
    </w:p>
    <w:p w14:paraId="66AFE382">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1.7.1   </w:t>
      </w:r>
      <w:r>
        <w:rPr>
          <w:rFonts w:hint="eastAsia" w:ascii="宋体" w:hAnsi="宋体" w:eastAsia="宋体" w:cs="宋体"/>
          <w:color w:val="auto"/>
          <w:sz w:val="24"/>
          <w:szCs w:val="24"/>
          <w:highlight w:val="none"/>
          <w:lang w:eastAsia="zh-CN"/>
        </w:rPr>
        <w:t>现场踏勘：见</w:t>
      </w:r>
      <w:r>
        <w:rPr>
          <w:rFonts w:hint="eastAsia" w:ascii="宋体" w:hAnsi="宋体" w:eastAsia="宋体" w:cs="宋体"/>
          <w:color w:val="auto"/>
          <w:sz w:val="24"/>
          <w:szCs w:val="24"/>
          <w:highlight w:val="none"/>
        </w:rPr>
        <w:t>投标人须知前附表（一）</w:t>
      </w:r>
      <w:r>
        <w:rPr>
          <w:rFonts w:hint="eastAsia" w:ascii="宋体" w:hAnsi="宋体" w:eastAsia="宋体" w:cs="宋体"/>
          <w:color w:val="auto"/>
          <w:sz w:val="24"/>
          <w:szCs w:val="24"/>
          <w:highlight w:val="none"/>
          <w:lang w:eastAsia="zh-CN"/>
        </w:rPr>
        <w:t>。</w:t>
      </w:r>
    </w:p>
    <w:p w14:paraId="709FE722">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1.7.2   投标人踏勘现场发生的费用</w:t>
      </w:r>
      <w:r>
        <w:rPr>
          <w:rFonts w:hint="eastAsia" w:ascii="宋体" w:hAnsi="宋体" w:eastAsia="宋体" w:cs="宋体"/>
          <w:color w:val="auto"/>
          <w:sz w:val="24"/>
          <w:szCs w:val="24"/>
          <w:highlight w:val="none"/>
          <w:lang w:eastAsia="zh-CN"/>
        </w:rPr>
        <w:t>自行承担。</w:t>
      </w:r>
    </w:p>
    <w:p w14:paraId="09D04E63">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1.7.3   除</w:t>
      </w:r>
      <w:r>
        <w:rPr>
          <w:rFonts w:hint="eastAsia" w:ascii="宋体" w:hAnsi="宋体" w:eastAsia="宋体" w:cs="宋体"/>
          <w:strike w:val="0"/>
          <w:color w:val="auto"/>
          <w:sz w:val="24"/>
          <w:szCs w:val="24"/>
          <w:highlight w:val="none"/>
          <w:lang w:eastAsia="zh-CN"/>
        </w:rPr>
        <w:t>采购人</w:t>
      </w:r>
      <w:r>
        <w:rPr>
          <w:rFonts w:hint="eastAsia" w:ascii="宋体" w:hAnsi="宋体" w:eastAsia="宋体" w:cs="宋体"/>
          <w:color w:val="auto"/>
          <w:sz w:val="24"/>
          <w:szCs w:val="24"/>
          <w:highlight w:val="none"/>
        </w:rPr>
        <w:t>的原因外，投标人自行负责在踏勘现场中所发生的人员伤亡和财产损失</w:t>
      </w:r>
      <w:r>
        <w:rPr>
          <w:rFonts w:hint="eastAsia" w:ascii="宋体" w:hAnsi="宋体" w:eastAsia="宋体" w:cs="宋体"/>
          <w:color w:val="auto"/>
          <w:sz w:val="24"/>
          <w:szCs w:val="24"/>
          <w:highlight w:val="none"/>
          <w:lang w:eastAsia="zh-CN"/>
        </w:rPr>
        <w:t>。</w:t>
      </w:r>
    </w:p>
    <w:p w14:paraId="4DB8CF6F">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1.7.4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在现场踏勘中介绍的场地和相关的周边环境情况，供投标人在编制投标文件时参考，采购人不对投标人据此作出的判断和决策负责</w:t>
      </w:r>
      <w:r>
        <w:rPr>
          <w:rFonts w:hint="eastAsia" w:ascii="宋体" w:hAnsi="宋体" w:eastAsia="宋体" w:cs="宋体"/>
          <w:color w:val="auto"/>
          <w:sz w:val="24"/>
          <w:szCs w:val="24"/>
          <w:highlight w:val="none"/>
          <w:lang w:eastAsia="zh-CN"/>
        </w:rPr>
        <w:t>。</w:t>
      </w:r>
    </w:p>
    <w:p w14:paraId="13EC7144">
      <w:pPr>
        <w:pStyle w:val="229"/>
        <w:shd w:val="clear"/>
        <w:rPr>
          <w:rFonts w:hint="eastAsia" w:ascii="宋体" w:hAnsi="宋体" w:eastAsia="宋体" w:cs="宋体"/>
          <w:color w:val="auto"/>
          <w:highlight w:val="none"/>
        </w:rPr>
      </w:pPr>
      <w:bookmarkStart w:id="159" w:name="_Toc97212967"/>
      <w:bookmarkStart w:id="160" w:name="_Toc18766"/>
      <w:bookmarkStart w:id="161" w:name="_Toc24969"/>
      <w:bookmarkStart w:id="162" w:name="_Toc1136"/>
      <w:bookmarkStart w:id="163" w:name="_Toc531358985"/>
      <w:bookmarkStart w:id="164" w:name="_Toc31092"/>
      <w:bookmarkStart w:id="165" w:name="_Toc530551830"/>
      <w:bookmarkStart w:id="166" w:name="_Toc17428"/>
      <w:r>
        <w:rPr>
          <w:rFonts w:hint="eastAsia" w:ascii="宋体" w:hAnsi="宋体" w:eastAsia="宋体" w:cs="宋体"/>
          <w:color w:val="auto"/>
          <w:highlight w:val="none"/>
        </w:rPr>
        <w:t>1.8     答疑会</w:t>
      </w:r>
      <w:bookmarkEnd w:id="159"/>
      <w:bookmarkEnd w:id="160"/>
      <w:bookmarkEnd w:id="161"/>
      <w:bookmarkEnd w:id="162"/>
      <w:bookmarkEnd w:id="163"/>
      <w:bookmarkEnd w:id="164"/>
      <w:bookmarkEnd w:id="165"/>
      <w:bookmarkEnd w:id="166"/>
    </w:p>
    <w:p w14:paraId="2F14D6DD">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1.8.1   </w:t>
      </w:r>
      <w:r>
        <w:rPr>
          <w:rFonts w:hint="eastAsia" w:ascii="宋体" w:hAnsi="宋体" w:eastAsia="宋体" w:cs="宋体"/>
          <w:color w:val="auto"/>
          <w:sz w:val="24"/>
          <w:szCs w:val="24"/>
          <w:highlight w:val="none"/>
          <w:lang w:eastAsia="zh-CN"/>
        </w:rPr>
        <w:t>答疑会：见</w:t>
      </w:r>
      <w:r>
        <w:rPr>
          <w:rFonts w:hint="eastAsia" w:ascii="宋体" w:hAnsi="宋体" w:eastAsia="宋体" w:cs="宋体"/>
          <w:color w:val="auto"/>
          <w:sz w:val="24"/>
          <w:szCs w:val="24"/>
          <w:highlight w:val="none"/>
        </w:rPr>
        <w:t>投标人须知前附表（一）</w:t>
      </w:r>
      <w:r>
        <w:rPr>
          <w:rFonts w:hint="eastAsia" w:ascii="宋体" w:hAnsi="宋体" w:eastAsia="宋体" w:cs="宋体"/>
          <w:color w:val="auto"/>
          <w:sz w:val="24"/>
          <w:szCs w:val="24"/>
          <w:highlight w:val="none"/>
          <w:lang w:eastAsia="zh-CN"/>
        </w:rPr>
        <w:t>。</w:t>
      </w:r>
    </w:p>
    <w:p w14:paraId="1307FB5F">
      <w:pPr>
        <w:pStyle w:val="229"/>
        <w:shd w:val="clear"/>
        <w:rPr>
          <w:rFonts w:hint="eastAsia" w:ascii="宋体" w:hAnsi="宋体" w:eastAsia="宋体" w:cs="宋体"/>
          <w:color w:val="auto"/>
          <w:highlight w:val="none"/>
        </w:rPr>
      </w:pPr>
      <w:bookmarkStart w:id="167" w:name="_Toc97212968"/>
      <w:bookmarkStart w:id="168" w:name="_Toc1045"/>
      <w:bookmarkStart w:id="169" w:name="_Toc531358986"/>
      <w:bookmarkStart w:id="170" w:name="_Toc19512"/>
      <w:bookmarkStart w:id="171" w:name="_Toc21920"/>
      <w:bookmarkStart w:id="172" w:name="_Toc530551831"/>
      <w:bookmarkStart w:id="173" w:name="_Toc8841"/>
      <w:bookmarkStart w:id="174" w:name="_Toc1577"/>
      <w:r>
        <w:rPr>
          <w:rFonts w:hint="eastAsia" w:ascii="宋体" w:hAnsi="宋体" w:eastAsia="宋体" w:cs="宋体"/>
          <w:color w:val="auto"/>
          <w:highlight w:val="none"/>
        </w:rPr>
        <w:t>1.9     分包</w:t>
      </w:r>
      <w:bookmarkEnd w:id="167"/>
      <w:bookmarkEnd w:id="168"/>
      <w:bookmarkEnd w:id="169"/>
      <w:bookmarkEnd w:id="170"/>
      <w:bookmarkEnd w:id="171"/>
      <w:bookmarkEnd w:id="172"/>
      <w:bookmarkEnd w:id="173"/>
      <w:bookmarkEnd w:id="174"/>
    </w:p>
    <w:p w14:paraId="3FCC8301">
      <w:pPr>
        <w:shd w:val="clear"/>
        <w:spacing w:line="360" w:lineRule="auto"/>
        <w:ind w:left="720" w:hanging="720" w:hanging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1.9.1   分包：见投标人须知前附表（一）</w:t>
      </w:r>
      <w:r>
        <w:rPr>
          <w:rFonts w:hint="eastAsia" w:ascii="宋体" w:hAnsi="宋体" w:eastAsia="宋体" w:cs="宋体"/>
          <w:color w:val="auto"/>
          <w:sz w:val="24"/>
          <w:szCs w:val="24"/>
          <w:highlight w:val="none"/>
          <w:lang w:eastAsia="zh-CN"/>
        </w:rPr>
        <w:t>。</w:t>
      </w:r>
    </w:p>
    <w:p w14:paraId="2413733E">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投标人根据招标文件的规定和采购项目的实际情况，拟在中标后将中标项目的非主体、非关键性工作分包的，</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在投标文件中载明分包承担主体，分包承担主体</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具备相应资质条件且不得再次分包。</w:t>
      </w:r>
    </w:p>
    <w:p w14:paraId="3B4A1E00">
      <w:pPr>
        <w:pStyle w:val="20"/>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1.9.3   分包承担主体应符合《中华人民共和国政府采购法》第二十二条规定，并具</w:t>
      </w:r>
    </w:p>
    <w:p w14:paraId="2D39FCBE">
      <w:pPr>
        <w:pStyle w:val="20"/>
        <w:shd w:val="clear"/>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有良好信用记录。</w:t>
      </w:r>
    </w:p>
    <w:p w14:paraId="4007308A">
      <w:pPr>
        <w:pStyle w:val="229"/>
        <w:shd w:val="clear"/>
        <w:rPr>
          <w:rFonts w:hint="eastAsia" w:ascii="宋体" w:hAnsi="宋体" w:eastAsia="宋体" w:cs="宋体"/>
          <w:color w:val="auto"/>
          <w:highlight w:val="none"/>
        </w:rPr>
      </w:pPr>
      <w:bookmarkStart w:id="175" w:name="_Toc97212969"/>
      <w:bookmarkStart w:id="176" w:name="_Toc530551832"/>
      <w:bookmarkStart w:id="177" w:name="_Toc17341"/>
      <w:bookmarkStart w:id="178" w:name="_Toc14617"/>
      <w:bookmarkStart w:id="179" w:name="_Toc531358987"/>
      <w:bookmarkStart w:id="180" w:name="_Toc3651"/>
      <w:bookmarkStart w:id="181" w:name="_Toc21526"/>
      <w:bookmarkStart w:id="182" w:name="_Toc99"/>
      <w:r>
        <w:rPr>
          <w:rFonts w:hint="eastAsia" w:ascii="宋体" w:hAnsi="宋体" w:eastAsia="宋体" w:cs="宋体"/>
          <w:color w:val="auto"/>
          <w:highlight w:val="none"/>
        </w:rPr>
        <w:t>1.10    保密</w:t>
      </w:r>
      <w:bookmarkEnd w:id="175"/>
      <w:bookmarkEnd w:id="176"/>
      <w:bookmarkEnd w:id="177"/>
      <w:bookmarkEnd w:id="178"/>
      <w:bookmarkEnd w:id="179"/>
      <w:bookmarkEnd w:id="180"/>
      <w:bookmarkEnd w:id="181"/>
      <w:bookmarkEnd w:id="182"/>
    </w:p>
    <w:p w14:paraId="72FC2C2E">
      <w:pPr>
        <w:shd w:val="clear"/>
        <w:spacing w:line="360" w:lineRule="auto"/>
        <w:ind w:left="945" w:left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参与招标投标活动的各方当事人应对</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评标情况以及在评标过程中获悉的商业秘密、国家秘密</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负有保密</w:t>
      </w:r>
      <w:r>
        <w:rPr>
          <w:rFonts w:hint="eastAsia" w:ascii="宋体" w:hAnsi="宋体" w:eastAsia="宋体" w:cs="宋体"/>
          <w:color w:val="auto"/>
          <w:sz w:val="24"/>
          <w:szCs w:val="24"/>
          <w:highlight w:val="none"/>
          <w:lang w:eastAsia="zh-CN"/>
        </w:rPr>
        <w:t>义务</w:t>
      </w:r>
      <w:r>
        <w:rPr>
          <w:rFonts w:hint="eastAsia" w:ascii="宋体" w:hAnsi="宋体" w:eastAsia="宋体" w:cs="宋体"/>
          <w:color w:val="auto"/>
          <w:sz w:val="24"/>
          <w:szCs w:val="24"/>
          <w:highlight w:val="none"/>
        </w:rPr>
        <w:t>，违者应承担</w:t>
      </w:r>
      <w:r>
        <w:rPr>
          <w:rFonts w:hint="eastAsia" w:ascii="宋体" w:hAnsi="宋体" w:eastAsia="宋体" w:cs="宋体"/>
          <w:color w:val="auto"/>
          <w:sz w:val="24"/>
          <w:szCs w:val="24"/>
          <w:highlight w:val="none"/>
          <w:lang w:eastAsia="zh-CN"/>
        </w:rPr>
        <w:t>相应的</w:t>
      </w:r>
      <w:r>
        <w:rPr>
          <w:rFonts w:hint="eastAsia" w:ascii="宋体" w:hAnsi="宋体" w:eastAsia="宋体" w:cs="宋体"/>
          <w:color w:val="auto"/>
          <w:sz w:val="24"/>
          <w:szCs w:val="24"/>
          <w:highlight w:val="none"/>
        </w:rPr>
        <w:t>法律责任。</w:t>
      </w:r>
    </w:p>
    <w:p w14:paraId="57BD6B6E">
      <w:pPr>
        <w:pStyle w:val="229"/>
        <w:shd w:val="clear"/>
        <w:rPr>
          <w:rFonts w:hint="eastAsia" w:ascii="宋体" w:hAnsi="宋体" w:eastAsia="宋体" w:cs="宋体"/>
          <w:color w:val="auto"/>
          <w:highlight w:val="none"/>
        </w:rPr>
      </w:pPr>
      <w:bookmarkStart w:id="183" w:name="_Toc4901"/>
      <w:bookmarkStart w:id="184" w:name="_Toc3704"/>
      <w:bookmarkStart w:id="185" w:name="_Toc531358988"/>
      <w:bookmarkStart w:id="186" w:name="_Toc26709"/>
      <w:bookmarkStart w:id="187" w:name="_Toc11351"/>
      <w:bookmarkStart w:id="188" w:name="_Toc530551833"/>
      <w:bookmarkStart w:id="189" w:name="_Toc26742"/>
      <w:bookmarkStart w:id="190" w:name="_Toc97212970"/>
      <w:r>
        <w:rPr>
          <w:rFonts w:hint="eastAsia" w:ascii="宋体" w:hAnsi="宋体" w:eastAsia="宋体" w:cs="宋体"/>
          <w:color w:val="auto"/>
          <w:highlight w:val="none"/>
        </w:rPr>
        <w:t>1.11    政府采购政策</w:t>
      </w:r>
      <w:bookmarkEnd w:id="183"/>
      <w:bookmarkEnd w:id="184"/>
      <w:bookmarkEnd w:id="185"/>
      <w:bookmarkEnd w:id="186"/>
      <w:bookmarkEnd w:id="187"/>
      <w:bookmarkEnd w:id="188"/>
      <w:bookmarkEnd w:id="189"/>
      <w:bookmarkEnd w:id="190"/>
    </w:p>
    <w:p w14:paraId="5C364F4F">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1.11.1 </w:t>
      </w:r>
      <w:r>
        <w:rPr>
          <w:rFonts w:hint="eastAsia" w:ascii="宋体" w:hAnsi="宋体" w:eastAsia="宋体" w:cs="宋体"/>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不会对其加以限制，仍将按照公平竞争原则实施采购）；优先采购向我国企业转让技术、与我国企业签订消化吸收再创新方案的供应商的进口产品。</w:t>
      </w:r>
    </w:p>
    <w:p w14:paraId="397A665D">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1.11.2 </w:t>
      </w:r>
      <w:r>
        <w:rPr>
          <w:rFonts w:hint="eastAsia" w:ascii="宋体" w:hAnsi="宋体" w:eastAsia="宋体" w:cs="宋体"/>
          <w:color w:val="auto"/>
          <w:sz w:val="24"/>
          <w:szCs w:val="24"/>
          <w:highlight w:val="none"/>
        </w:rPr>
        <w:t xml:space="preserve"> 支持绿色发展</w:t>
      </w:r>
    </w:p>
    <w:p w14:paraId="1176A10D">
      <w:pPr>
        <w:shd w:val="clear"/>
        <w:spacing w:line="360" w:lineRule="auto"/>
        <w:ind w:left="960" w:hanging="960" w:hangingChars="4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1.11.2.1</w:t>
      </w: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4"/>
          <w:szCs w:val="24"/>
          <w:highlight w:val="none"/>
        </w:rPr>
        <w:t>。</w:t>
      </w:r>
    </w:p>
    <w:p w14:paraId="788DDA20">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1.11.2.2</w:t>
      </w:r>
      <w:r>
        <w:rPr>
          <w:rFonts w:hint="eastAsia" w:ascii="宋体" w:hAnsi="宋体" w:eastAsia="宋体" w:cs="宋体"/>
          <w:color w:val="auto"/>
          <w:sz w:val="24"/>
          <w:szCs w:val="24"/>
          <w:highlight w:val="none"/>
        </w:rPr>
        <w:t>修缮、装修类项目采购建材的，采购人应将绿色建筑和绿色建材性能、指标等作为实质性条件纳入招标文件和合同。</w:t>
      </w:r>
    </w:p>
    <w:p w14:paraId="370984E6">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1.11.2.3</w:t>
      </w:r>
      <w:r>
        <w:rPr>
          <w:rFonts w:hint="eastAsia" w:ascii="宋体" w:hAnsi="宋体" w:eastAsia="宋体" w:cs="宋体"/>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1B8F44D">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C3808CF">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.3支持中小企业发展</w:t>
      </w:r>
    </w:p>
    <w:p w14:paraId="2B479F59">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213D204">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3F9EB5F8">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4F0A5556">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8AC1EF">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.3.4符合《关于促进残疾人就业政府采购政策的通知》（财库〔2017〕141号）规定的条件并提供《残疾人福利性单位声明函》（附件1）的残疾人福利性单位视同小型、微型企业；</w:t>
      </w:r>
    </w:p>
    <w:p w14:paraId="5C7BCB92">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4A8646">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19E2A21">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.3.7中小企业享受扶持政策获得政府采购合同的，小微企业不得将合同分包给大中型企业，中型企业不得将合同分包给大型企业。</w:t>
      </w:r>
    </w:p>
    <w:p w14:paraId="65907272">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.4支持创新发展</w:t>
      </w:r>
    </w:p>
    <w:p w14:paraId="563078C7">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.4.1 采购人优先采购被认定为首台套产品和“制造精品”的自主创新产品。</w:t>
      </w:r>
    </w:p>
    <w:p w14:paraId="756A1B36">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.4.2对省级以上主管部门认定的首台套产品，自纳入《省推广应用指导目录》起三年内参加政府采购活动，视同已具备相应销售业绩，业绩分为满分，投标文件中提供相应的证明材料。</w:t>
      </w:r>
    </w:p>
    <w:p w14:paraId="03B8F7D5">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.5平等对待内外资企业和符合条件的破产重整企业</w:t>
      </w:r>
    </w:p>
    <w:p w14:paraId="3EC14558">
      <w:pPr>
        <w:shd w:val="clear"/>
        <w:spacing w:line="360" w:lineRule="auto"/>
        <w:ind w:left="958" w:leftChars="456"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p>
    <w:p w14:paraId="317F4E9D">
      <w:pPr>
        <w:pStyle w:val="229"/>
        <w:shd w:val="clear"/>
        <w:rPr>
          <w:rFonts w:hint="eastAsia" w:ascii="宋体" w:hAnsi="宋体" w:eastAsia="宋体" w:cs="宋体"/>
          <w:color w:val="auto"/>
          <w:highlight w:val="none"/>
        </w:rPr>
      </w:pPr>
      <w:bookmarkStart w:id="191" w:name="_Toc19158"/>
      <w:bookmarkStart w:id="192" w:name="_Toc12770"/>
      <w:bookmarkStart w:id="193" w:name="_Toc530551834"/>
      <w:bookmarkStart w:id="194" w:name="_Toc12023"/>
      <w:bookmarkStart w:id="195" w:name="_Toc531358989"/>
      <w:bookmarkStart w:id="196" w:name="_Toc29536"/>
      <w:bookmarkStart w:id="197" w:name="_Toc27783"/>
      <w:bookmarkStart w:id="198" w:name="_Toc97212971"/>
      <w:r>
        <w:rPr>
          <w:rFonts w:hint="eastAsia" w:ascii="宋体" w:hAnsi="宋体" w:eastAsia="宋体" w:cs="宋体"/>
          <w:color w:val="auto"/>
          <w:highlight w:val="none"/>
        </w:rPr>
        <w:t>1.12    相同品牌产品</w:t>
      </w:r>
      <w:bookmarkEnd w:id="191"/>
      <w:bookmarkEnd w:id="192"/>
      <w:bookmarkEnd w:id="193"/>
      <w:bookmarkEnd w:id="194"/>
      <w:bookmarkEnd w:id="195"/>
      <w:bookmarkEnd w:id="196"/>
      <w:bookmarkEnd w:id="197"/>
      <w:bookmarkEnd w:id="198"/>
    </w:p>
    <w:p w14:paraId="4ED9A869">
      <w:pPr>
        <w:shd w:val="clear"/>
        <w:spacing w:line="360" w:lineRule="auto"/>
        <w:ind w:left="638" w:leftChars="0" w:hanging="638" w:hangingChars="266"/>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1.12.1  采用最低评标价法的采购项目，提供相同品牌产品的不同投标人参加同一</w:t>
      </w:r>
      <w:r>
        <w:rPr>
          <w:rFonts w:hint="eastAsia" w:ascii="宋体" w:hAnsi="宋体" w:eastAsia="宋体" w:cs="宋体"/>
          <w:color w:val="auto"/>
          <w:sz w:val="24"/>
          <w:szCs w:val="24"/>
          <w:highlight w:val="none"/>
          <w:lang w:eastAsia="zh-CN"/>
        </w:rPr>
        <w:t>项目合同项下</w:t>
      </w:r>
      <w:r>
        <w:rPr>
          <w:rFonts w:hint="eastAsia" w:ascii="宋体" w:hAnsi="宋体" w:eastAsia="宋体" w:cs="宋体"/>
          <w:color w:val="auto"/>
          <w:sz w:val="24"/>
          <w:szCs w:val="24"/>
          <w:highlight w:val="none"/>
        </w:rPr>
        <w:t>投标的，以其中通过资格审查、符合性审查且报价最低的参加评标；报价相同的，</w:t>
      </w:r>
      <w:r>
        <w:rPr>
          <w:rFonts w:hint="eastAsia" w:ascii="宋体" w:hAnsi="宋体" w:eastAsia="宋体" w:cs="宋体"/>
          <w:color w:val="auto"/>
          <w:sz w:val="24"/>
          <w:highlight w:val="none"/>
          <w:lang w:eastAsia="zh-CN"/>
        </w:rPr>
        <w:t>采取</w:t>
      </w:r>
      <w:r>
        <w:rPr>
          <w:rFonts w:hint="eastAsia" w:ascii="宋体" w:hAnsi="宋体" w:eastAsia="宋体" w:cs="宋体"/>
          <w:color w:val="auto"/>
          <w:sz w:val="24"/>
          <w:highlight w:val="none"/>
        </w:rPr>
        <w:t>随机抽取方式确定一个参加评标的投标人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其他投标无效。</w:t>
      </w:r>
    </w:p>
    <w:p w14:paraId="670E41AF">
      <w:pPr>
        <w:shd w:val="clear"/>
        <w:spacing w:line="360" w:lineRule="auto"/>
        <w:ind w:left="718" w:leftChars="342" w:firstLine="324" w:firstLineChars="135"/>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w:t>
      </w:r>
      <w:r>
        <w:rPr>
          <w:rFonts w:hint="eastAsia" w:ascii="宋体" w:hAnsi="宋体" w:eastAsia="宋体" w:cs="宋体"/>
          <w:color w:val="auto"/>
          <w:sz w:val="24"/>
          <w:szCs w:val="24"/>
          <w:highlight w:val="none"/>
          <w:lang w:eastAsia="zh-CN"/>
        </w:rPr>
        <w:t>合同项下</w:t>
      </w:r>
      <w:r>
        <w:rPr>
          <w:rFonts w:hint="eastAsia" w:ascii="宋体" w:hAnsi="宋体" w:eastAsia="宋体" w:cs="宋体"/>
          <w:color w:val="auto"/>
          <w:sz w:val="24"/>
          <w:szCs w:val="24"/>
          <w:highlight w:val="none"/>
        </w:rPr>
        <w:t>投标的，按一家投标人计算，</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后得分最高的同品牌投标人获得中标人推荐资格；</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highlight w:val="none"/>
        </w:rPr>
        <w:t>得分相同</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，取报价最低者；均相同时，</w:t>
      </w:r>
      <w:r>
        <w:rPr>
          <w:rFonts w:hint="eastAsia" w:ascii="宋体" w:hAnsi="宋体" w:eastAsia="宋体" w:cs="宋体"/>
          <w:color w:val="auto"/>
          <w:sz w:val="24"/>
          <w:highlight w:val="none"/>
          <w:lang w:eastAsia="zh-CN"/>
        </w:rPr>
        <w:t>采取</w:t>
      </w:r>
      <w:r>
        <w:rPr>
          <w:rFonts w:hint="eastAsia" w:ascii="宋体" w:hAnsi="宋体" w:eastAsia="宋体" w:cs="宋体"/>
          <w:color w:val="auto"/>
          <w:sz w:val="24"/>
          <w:highlight w:val="none"/>
        </w:rPr>
        <w:t>随机抽取方式确定。其他同品牌投标人不作为中标候选人</w:t>
      </w:r>
      <w:r>
        <w:rPr>
          <w:rFonts w:hint="eastAsia" w:ascii="宋体" w:hAnsi="宋体" w:eastAsia="宋体" w:cs="宋体"/>
          <w:color w:val="auto"/>
          <w:sz w:val="24"/>
          <w:highlight w:val="none"/>
          <w:lang w:eastAsia="zh-CN"/>
        </w:rPr>
        <w:t>。</w:t>
      </w:r>
    </w:p>
    <w:p w14:paraId="44D349AE">
      <w:pPr>
        <w:shd w:val="clear"/>
        <w:spacing w:line="360" w:lineRule="auto"/>
        <w:ind w:left="718" w:leftChars="342" w:firstLine="561" w:firstLineChars="234"/>
        <w:rPr>
          <w:rFonts w:hint="eastAsia" w:ascii="宋体" w:hAnsi="宋体" w:eastAsia="宋体" w:cs="宋体"/>
          <w:color w:val="auto"/>
          <w:sz w:val="24"/>
          <w:highlight w:val="none"/>
        </w:rPr>
      </w:pPr>
      <w:r>
        <w:rPr>
          <w:rFonts w:hint="eastAsia" w:ascii="宋体" w:hAnsi="宋体" w:eastAsia="宋体" w:cs="宋体"/>
          <w:color w:val="auto"/>
          <w:sz w:val="24"/>
          <w:highlight w:val="none"/>
        </w:rPr>
        <w:t>非单一产品采购项目中，招标需求中标注“★”的核心产品，多家投标人提供的核心产品品牌均相同的，按前两款规定处理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8A94247">
      <w:pPr>
        <w:shd w:val="clear"/>
        <w:spacing w:line="360" w:lineRule="auto"/>
        <w:ind w:left="960" w:hanging="960" w:hangingChars="400"/>
        <w:rPr>
          <w:rFonts w:hint="eastAsia" w:ascii="宋体" w:hAnsi="宋体" w:eastAsia="宋体" w:cs="宋体"/>
          <w:strike w:val="0"/>
          <w:color w:val="auto"/>
          <w:sz w:val="24"/>
          <w:highlight w:val="none"/>
          <w:lang w:eastAsia="zh-CN"/>
        </w:rPr>
      </w:pPr>
      <w:r>
        <w:rPr>
          <w:rFonts w:hint="eastAsia" w:ascii="宋体" w:hAnsi="宋体" w:eastAsia="宋体" w:cs="宋体"/>
          <w:strike w:val="0"/>
          <w:color w:val="auto"/>
          <w:sz w:val="24"/>
          <w:highlight w:val="none"/>
        </w:rPr>
        <w:t>1.12.2  核心产品：见投标人须知前附表（一）</w:t>
      </w:r>
      <w:r>
        <w:rPr>
          <w:rFonts w:hint="eastAsia" w:ascii="宋体" w:hAnsi="宋体" w:eastAsia="宋体" w:cs="宋体"/>
          <w:strike w:val="0"/>
          <w:color w:val="auto"/>
          <w:sz w:val="24"/>
          <w:highlight w:val="none"/>
          <w:lang w:eastAsia="zh-CN"/>
        </w:rPr>
        <w:t>。</w:t>
      </w:r>
    </w:p>
    <w:p w14:paraId="7D296CF3">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1.12.3  因相同品牌产品原因造成</w:t>
      </w:r>
      <w:r>
        <w:rPr>
          <w:rFonts w:hint="eastAsia" w:ascii="宋体" w:hAnsi="宋体" w:eastAsia="宋体" w:cs="宋体"/>
          <w:color w:val="auto"/>
          <w:sz w:val="24"/>
          <w:szCs w:val="24"/>
          <w:highlight w:val="none"/>
          <w:lang w:eastAsia="zh-CN"/>
        </w:rPr>
        <w:t>实质性响应投标人</w:t>
      </w:r>
      <w:r>
        <w:rPr>
          <w:rFonts w:hint="eastAsia" w:ascii="宋体" w:hAnsi="宋体" w:eastAsia="宋体" w:cs="宋体"/>
          <w:color w:val="auto"/>
          <w:sz w:val="24"/>
          <w:highlight w:val="none"/>
        </w:rPr>
        <w:t>不足三家的，项目应予以废标处理。</w:t>
      </w:r>
    </w:p>
    <w:p w14:paraId="22CC25EA">
      <w:pPr>
        <w:pStyle w:val="229"/>
        <w:shd w:val="clear"/>
        <w:rPr>
          <w:rFonts w:hint="eastAsia" w:ascii="宋体" w:hAnsi="宋体" w:eastAsia="宋体" w:cs="宋体"/>
          <w:color w:val="auto"/>
          <w:highlight w:val="none"/>
        </w:rPr>
      </w:pPr>
      <w:bookmarkStart w:id="199" w:name="_Toc32616"/>
      <w:bookmarkStart w:id="200" w:name="_Toc2814"/>
      <w:bookmarkStart w:id="201" w:name="_Toc18144"/>
      <w:bookmarkStart w:id="202" w:name="_Toc13343"/>
      <w:bookmarkStart w:id="203" w:name="_Toc97212972"/>
      <w:bookmarkStart w:id="204" w:name="_Toc32571"/>
      <w:bookmarkStart w:id="205" w:name="_Toc530551835"/>
      <w:bookmarkStart w:id="206" w:name="_Toc531358990"/>
      <w:r>
        <w:rPr>
          <w:rFonts w:hint="eastAsia" w:ascii="宋体" w:hAnsi="宋体" w:eastAsia="宋体" w:cs="宋体"/>
          <w:color w:val="auto"/>
          <w:highlight w:val="none"/>
        </w:rPr>
        <w:t>1.13    信用信息记录查询</w:t>
      </w:r>
      <w:bookmarkEnd w:id="199"/>
      <w:bookmarkEnd w:id="200"/>
      <w:bookmarkEnd w:id="201"/>
      <w:bookmarkEnd w:id="202"/>
      <w:bookmarkEnd w:id="203"/>
      <w:bookmarkEnd w:id="204"/>
      <w:bookmarkEnd w:id="205"/>
      <w:bookmarkEnd w:id="206"/>
    </w:p>
    <w:p w14:paraId="00EB12A3">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1.13.1  查询</w:t>
      </w:r>
      <w:r>
        <w:rPr>
          <w:rFonts w:hint="eastAsia" w:ascii="宋体" w:hAnsi="宋体" w:eastAsia="宋体" w:cs="宋体"/>
          <w:color w:val="auto"/>
          <w:sz w:val="24"/>
          <w:szCs w:val="24"/>
          <w:highlight w:val="none"/>
          <w:lang w:eastAsia="zh-CN"/>
        </w:rPr>
        <w:t>网址</w:t>
      </w:r>
      <w:r>
        <w:rPr>
          <w:rFonts w:hint="eastAsia" w:ascii="宋体" w:hAnsi="宋体" w:eastAsia="宋体" w:cs="宋体"/>
          <w:color w:val="auto"/>
          <w:sz w:val="24"/>
          <w:szCs w:val="24"/>
          <w:highlight w:val="none"/>
        </w:rPr>
        <w:t>：信用中国网站（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"https://www.creditchina.gov.cn/" </w:instrText>
      </w:r>
      <w:r>
        <w:rPr>
          <w:rFonts w:hint="eastAsia" w:ascii="宋体" w:hAnsi="宋体" w:eastAsia="宋体" w:cs="宋体"/>
          <w:color w:val="auto"/>
          <w:sz w:val="24"/>
          <w:szCs w:val="24"/>
          <w:highlight w:val="none"/>
        </w:rPr>
        <w:fldChar w:fldCharType="separate"/>
      </w:r>
      <w:r>
        <w:rPr>
          <w:rStyle w:val="51"/>
          <w:rFonts w:hint="eastAsia" w:ascii="宋体" w:hAnsi="宋体" w:eastAsia="宋体" w:cs="宋体"/>
          <w:color w:val="auto"/>
          <w:sz w:val="24"/>
          <w:szCs w:val="24"/>
          <w:highlight w:val="none"/>
          <w:u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51"/>
          <w:rFonts w:hint="eastAsia" w:ascii="宋体" w:hAnsi="宋体" w:eastAsia="宋体" w:cs="宋体"/>
          <w:color w:val="auto"/>
          <w:sz w:val="24"/>
          <w:szCs w:val="24"/>
          <w:highlight w:val="none"/>
          <w:u w:val="none"/>
        </w:rPr>
        <w:t>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333BCEBC">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1.13.2  信用信息记录查询截止时间：同资格审查结束时间，网站显示的信用信息记录将作为投标人资格审查的依据</w:t>
      </w:r>
      <w:r>
        <w:rPr>
          <w:rFonts w:hint="eastAsia" w:ascii="宋体" w:hAnsi="宋体" w:eastAsia="宋体" w:cs="宋体"/>
          <w:color w:val="auto"/>
          <w:sz w:val="24"/>
          <w:szCs w:val="24"/>
          <w:highlight w:val="none"/>
          <w:lang w:eastAsia="zh-CN"/>
        </w:rPr>
        <w:t>。</w:t>
      </w:r>
    </w:p>
    <w:p w14:paraId="36709A10">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1.13.3  查询内容：列入失信被执行人、重大税收违法案件当事人名单、政府采购严重违法失信行为记录名单</w:t>
      </w:r>
      <w:r>
        <w:rPr>
          <w:rFonts w:hint="eastAsia" w:ascii="宋体" w:hAnsi="宋体" w:eastAsia="宋体" w:cs="宋体"/>
          <w:color w:val="auto"/>
          <w:sz w:val="24"/>
          <w:szCs w:val="24"/>
          <w:highlight w:val="none"/>
          <w:lang w:eastAsia="zh-CN"/>
        </w:rPr>
        <w:t>。</w:t>
      </w:r>
    </w:p>
    <w:p w14:paraId="495D81A0">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1.13.4  信用信息留存方式：信用信息查询记录和证据以网页页面打印（或截图）等方式进行留存</w:t>
      </w:r>
      <w:r>
        <w:rPr>
          <w:rFonts w:hint="eastAsia" w:ascii="宋体" w:hAnsi="宋体" w:eastAsia="宋体" w:cs="宋体"/>
          <w:color w:val="auto"/>
          <w:sz w:val="24"/>
          <w:szCs w:val="24"/>
          <w:highlight w:val="none"/>
          <w:lang w:eastAsia="zh-CN"/>
        </w:rPr>
        <w:t>。</w:t>
      </w:r>
    </w:p>
    <w:p w14:paraId="07D6EC06">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1.13.5  联合体成员存在不良信用记录的，视同联合体存在不良信用记录。</w:t>
      </w:r>
    </w:p>
    <w:p w14:paraId="085C89DC">
      <w:pPr>
        <w:pStyle w:val="229"/>
        <w:shd w:val="clear"/>
        <w:rPr>
          <w:rFonts w:hint="eastAsia" w:ascii="宋体" w:hAnsi="宋体" w:eastAsia="宋体" w:cs="宋体"/>
          <w:color w:val="auto"/>
          <w:highlight w:val="none"/>
        </w:rPr>
      </w:pPr>
      <w:bookmarkStart w:id="207" w:name="_Toc1070"/>
      <w:bookmarkStart w:id="208" w:name="_Toc97212973"/>
      <w:bookmarkStart w:id="209" w:name="_Toc530551836"/>
      <w:bookmarkStart w:id="210" w:name="_Toc12282"/>
      <w:bookmarkStart w:id="211" w:name="_Toc30377"/>
      <w:bookmarkStart w:id="212" w:name="_Toc26559"/>
      <w:bookmarkStart w:id="213" w:name="_Toc19509"/>
      <w:bookmarkStart w:id="214" w:name="_Toc531358991"/>
      <w:r>
        <w:rPr>
          <w:rFonts w:hint="eastAsia" w:ascii="宋体" w:hAnsi="宋体" w:eastAsia="宋体" w:cs="宋体"/>
          <w:color w:val="auto"/>
          <w:highlight w:val="none"/>
        </w:rPr>
        <w:t xml:space="preserve">1.14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询问、</w:t>
      </w:r>
      <w:r>
        <w:rPr>
          <w:rFonts w:hint="eastAsia" w:ascii="宋体" w:hAnsi="宋体" w:eastAsia="宋体" w:cs="宋体"/>
          <w:color w:val="auto"/>
          <w:highlight w:val="none"/>
        </w:rPr>
        <w:t>质疑和投诉</w:t>
      </w:r>
      <w:bookmarkEnd w:id="207"/>
      <w:bookmarkEnd w:id="208"/>
      <w:bookmarkEnd w:id="209"/>
      <w:bookmarkEnd w:id="210"/>
      <w:bookmarkEnd w:id="211"/>
      <w:bookmarkEnd w:id="212"/>
      <w:bookmarkEnd w:id="213"/>
      <w:bookmarkEnd w:id="214"/>
    </w:p>
    <w:p w14:paraId="128EDA67">
      <w:pPr>
        <w:pStyle w:val="229"/>
        <w:shd w:val="clear"/>
        <w:ind w:left="998" w:leftChars="475" w:firstLine="0" w:firstLineChars="0"/>
        <w:jc w:val="left"/>
        <w:outlineLvl w:val="9"/>
        <w:rPr>
          <w:rFonts w:hint="eastAsia" w:ascii="宋体" w:hAnsi="宋体" w:eastAsia="宋体" w:cs="宋体"/>
          <w:b w:val="0"/>
          <w:bCs w:val="0"/>
          <w:color w:val="auto"/>
          <w:szCs w:val="24"/>
          <w:highlight w:val="none"/>
        </w:rPr>
      </w:pPr>
      <w:bookmarkStart w:id="215" w:name="_Toc5536"/>
      <w:bookmarkStart w:id="216" w:name="_Toc4476"/>
      <w:bookmarkStart w:id="217" w:name="_Toc17187"/>
      <w:r>
        <w:rPr>
          <w:rFonts w:hint="eastAsia" w:ascii="宋体" w:hAnsi="宋体" w:eastAsia="宋体" w:cs="宋体"/>
          <w:b w:val="0"/>
          <w:bCs w:val="0"/>
          <w:color w:val="auto"/>
          <w:szCs w:val="24"/>
          <w:highlight w:val="none"/>
          <w:lang w:eastAsia="zh-CN"/>
        </w:rPr>
        <w:t>在线询问、质疑和投诉：</w:t>
      </w:r>
      <w:r>
        <w:rPr>
          <w:rFonts w:hint="eastAsia" w:ascii="宋体" w:hAnsi="宋体" w:eastAsia="宋体" w:cs="宋体"/>
          <w:b w:val="0"/>
          <w:bCs w:val="0"/>
          <w:color w:val="auto"/>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215"/>
      <w:bookmarkEnd w:id="216"/>
      <w:bookmarkEnd w:id="217"/>
    </w:p>
    <w:p w14:paraId="4B032434">
      <w:pPr>
        <w:shd w:val="clear"/>
        <w:spacing w:line="360" w:lineRule="auto"/>
        <w:ind w:left="960" w:hanging="960" w:hangingChars="4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1.14.1  </w:t>
      </w:r>
      <w:r>
        <w:rPr>
          <w:rFonts w:hint="eastAsia" w:ascii="宋体" w:hAnsi="宋体" w:eastAsia="宋体" w:cs="宋体"/>
          <w:color w:val="auto"/>
          <w:sz w:val="24"/>
          <w:highlight w:val="none"/>
          <w:lang w:val="en-US" w:eastAsia="zh-CN"/>
        </w:rPr>
        <w:t>供应商询问</w:t>
      </w:r>
    </w:p>
    <w:p w14:paraId="475E60D1">
      <w:pPr>
        <w:shd w:val="clear"/>
        <w:spacing w:line="360" w:lineRule="auto"/>
        <w:ind w:left="958" w:leftChars="456"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供应商对政府采购活动事项有疑问的，可以提出询问，采购人或者采购代理机构应在3个工作日内对供应商依法提出的询问作出答复，但答复的内容不得涉及商业秘密。供应商提出的询问超出采购人对采购代理机构委托授权范围的，采购代理机构应告知供应商向采购人提出。</w:t>
      </w:r>
    </w:p>
    <w:p w14:paraId="391F323D">
      <w:pPr>
        <w:shd w:val="clear"/>
        <w:spacing w:line="360" w:lineRule="auto"/>
        <w:ind w:left="960" w:hanging="960" w:hanging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1.14.2  </w:t>
      </w:r>
      <w:r>
        <w:rPr>
          <w:rFonts w:hint="eastAsia" w:ascii="宋体" w:hAnsi="宋体" w:eastAsia="宋体" w:cs="宋体"/>
          <w:color w:val="auto"/>
          <w:sz w:val="24"/>
          <w:highlight w:val="none"/>
          <w:lang w:val="en-US" w:eastAsia="zh-CN"/>
        </w:rPr>
        <w:t>供应商质疑</w:t>
      </w:r>
    </w:p>
    <w:p w14:paraId="7428DE7B">
      <w:pPr>
        <w:shd w:val="clear"/>
        <w:spacing w:line="360" w:lineRule="auto"/>
        <w:ind w:left="840" w:leftChars="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1.14.2.1</w:t>
      </w:r>
      <w:r>
        <w:rPr>
          <w:rFonts w:hint="eastAsia" w:ascii="宋体" w:hAnsi="宋体" w:eastAsia="宋体" w:cs="宋体"/>
          <w:color w:val="auto"/>
          <w:sz w:val="24"/>
          <w:highlight w:val="none"/>
        </w:rPr>
        <w:t>提出质疑的供应商应当是参与所质疑项目采购活动的供应商。潜在供应商已依法获取其可质疑的招标文件的，可以对该文件提出质疑。</w:t>
      </w:r>
    </w:p>
    <w:p w14:paraId="059E9D34">
      <w:pPr>
        <w:shd w:val="clear"/>
        <w:spacing w:line="360" w:lineRule="auto"/>
        <w:ind w:left="840" w:leftChars="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1.14.2.2</w:t>
      </w:r>
      <w:r>
        <w:rPr>
          <w:rFonts w:hint="eastAsia" w:ascii="宋体" w:hAnsi="宋体" w:eastAsia="宋体" w:cs="宋体"/>
          <w:color w:val="auto"/>
          <w:sz w:val="24"/>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68D4E8">
      <w:pPr>
        <w:shd w:val="clear"/>
        <w:spacing w:line="360" w:lineRule="auto"/>
        <w:ind w:left="958" w:leftChars="456"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对招标文件提出质疑的，质疑期限为供应商获得招标文件之日或者招标文件公告期限届满之日起计算。</w:t>
      </w:r>
    </w:p>
    <w:p w14:paraId="60FAA818">
      <w:pPr>
        <w:shd w:val="clear"/>
        <w:spacing w:line="360" w:lineRule="auto"/>
        <w:ind w:left="958" w:leftChars="456"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对采购过程提出质疑的，质疑期限为各采购程序环节结束之日起计算。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对采购结果提出质疑的，质疑期限自采购结果公告期限届满之日起计算。</w:t>
      </w:r>
    </w:p>
    <w:p w14:paraId="035521CF">
      <w:pPr>
        <w:shd w:val="clear"/>
        <w:spacing w:line="360" w:lineRule="auto"/>
        <w:ind w:left="840" w:leftChars="0" w:hanging="840" w:hangingChars="3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 xml:space="preserve"> 质疑主要内容应符合《政府采购质疑和投诉办法》（财政部94号令）等相关规定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质疑内容涉及保密事项，质疑人应提供有效的信息来源</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必要的证明材料</w:t>
      </w:r>
      <w:r>
        <w:rPr>
          <w:rFonts w:hint="eastAsia" w:ascii="宋体" w:hAnsi="宋体" w:eastAsia="宋体" w:cs="宋体"/>
          <w:color w:val="auto"/>
          <w:sz w:val="24"/>
          <w:highlight w:val="none"/>
          <w:lang w:eastAsia="zh-CN"/>
        </w:rPr>
        <w:t>。</w:t>
      </w:r>
    </w:p>
    <w:p w14:paraId="5E95C515">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 xml:space="preserve">  对同一采购程序环节的质疑，供应商须在法定质疑期内一次性提出</w:t>
      </w:r>
      <w:r>
        <w:rPr>
          <w:rFonts w:hint="eastAsia" w:ascii="宋体" w:hAnsi="宋体" w:eastAsia="宋体" w:cs="宋体"/>
          <w:color w:val="auto"/>
          <w:sz w:val="24"/>
          <w:highlight w:val="none"/>
          <w:lang w:eastAsia="zh-CN"/>
        </w:rPr>
        <w:t>。</w:t>
      </w:r>
    </w:p>
    <w:p w14:paraId="4886C20C">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lang w:val="en-US" w:eastAsia="zh-CN"/>
        </w:rPr>
        <w:t>2.5  质疑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可直接提交、传真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邮寄方式（一式三份以上）</w:t>
      </w:r>
      <w:r>
        <w:rPr>
          <w:rFonts w:hint="eastAsia" w:ascii="宋体" w:hAnsi="宋体" w:eastAsia="宋体" w:cs="宋体"/>
          <w:color w:val="auto"/>
          <w:sz w:val="24"/>
          <w:highlight w:val="none"/>
          <w:lang w:eastAsia="zh-CN"/>
        </w:rPr>
        <w:t>或通过政采云系统在线</w:t>
      </w:r>
      <w:r>
        <w:rPr>
          <w:rFonts w:hint="eastAsia" w:ascii="宋体" w:hAnsi="宋体" w:eastAsia="宋体" w:cs="宋体"/>
          <w:color w:val="auto"/>
          <w:sz w:val="24"/>
          <w:highlight w:val="none"/>
        </w:rPr>
        <w:t>提交质疑函。以其他方式提出的质疑，采购人或采购代理机构可不予接受、答复。</w:t>
      </w:r>
    </w:p>
    <w:p w14:paraId="1D61DE81">
      <w:pPr>
        <w:shd w:val="clear"/>
        <w:spacing w:line="360" w:lineRule="auto"/>
        <w:ind w:left="958" w:leftChars="456"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邮寄方式送达质疑函的，以采购人或采购代理机构实际收到邮件之日作为收到质疑的日期</w:t>
      </w:r>
      <w:r>
        <w:rPr>
          <w:rFonts w:hint="eastAsia" w:ascii="宋体" w:hAnsi="宋体" w:eastAsia="宋体" w:cs="宋体"/>
          <w:color w:val="auto"/>
          <w:sz w:val="24"/>
          <w:highlight w:val="none"/>
          <w:lang w:eastAsia="zh-CN"/>
        </w:rPr>
        <w:t>；</w:t>
      </w:r>
    </w:p>
    <w:p w14:paraId="4832BDD8">
      <w:pPr>
        <w:shd w:val="clear"/>
        <w:spacing w:line="360" w:lineRule="auto"/>
        <w:ind w:left="958" w:leftChars="456"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传真方式送达质疑函的，质疑人</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取得采购人或采购代理机构确认收到传真的意见，并及时将质疑函原件送达采购人或采购代理机构。采购人或采购代理机构以实际收到原件之日作为收到质疑的日期</w:t>
      </w:r>
      <w:r>
        <w:rPr>
          <w:rFonts w:hint="eastAsia" w:ascii="宋体" w:hAnsi="宋体" w:eastAsia="宋体" w:cs="宋体"/>
          <w:color w:val="auto"/>
          <w:sz w:val="24"/>
          <w:highlight w:val="none"/>
          <w:lang w:eastAsia="zh-CN"/>
        </w:rPr>
        <w:t>；</w:t>
      </w:r>
    </w:p>
    <w:p w14:paraId="17BB1420">
      <w:pPr>
        <w:shd w:val="clear"/>
        <w:spacing w:line="360" w:lineRule="auto"/>
        <w:ind w:left="958" w:leftChars="456"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（3）通过政采云系统在线提起质疑，路径为：政采云-项目采购-询问质疑投诉-质疑列表；</w:t>
      </w:r>
    </w:p>
    <w:p w14:paraId="0A355A50">
      <w:pPr>
        <w:shd w:val="clear"/>
        <w:spacing w:line="360" w:lineRule="auto"/>
        <w:ind w:left="1185" w:leftChars="450"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在质疑期限届满前，质疑函已经邮寄或传真成功的，质疑不视为过期。</w:t>
      </w:r>
    </w:p>
    <w:p w14:paraId="7A9788B6">
      <w:pPr>
        <w:shd w:val="clear"/>
        <w:spacing w:line="360" w:lineRule="auto"/>
        <w:ind w:left="960" w:hanging="960" w:hanging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 xml:space="preserve">  相关当事人提供外文</w:t>
      </w:r>
      <w:r>
        <w:rPr>
          <w:rFonts w:hint="eastAsia" w:ascii="宋体" w:hAnsi="宋体" w:eastAsia="宋体" w:cs="宋体"/>
          <w:strike w:val="0"/>
          <w:color w:val="auto"/>
          <w:sz w:val="24"/>
          <w:highlight w:val="none"/>
        </w:rPr>
        <w:t>书证或者外国语视听</w:t>
      </w:r>
      <w:r>
        <w:rPr>
          <w:rFonts w:hint="eastAsia" w:ascii="宋体" w:hAnsi="宋体" w:eastAsia="宋体" w:cs="宋体"/>
          <w:color w:val="auto"/>
          <w:sz w:val="24"/>
          <w:highlight w:val="none"/>
        </w:rPr>
        <w:t>资料的，</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附有中文译本，由翻译机构盖章或者翻译人员签名。</w:t>
      </w:r>
    </w:p>
    <w:p w14:paraId="20BD8AF2">
      <w:pPr>
        <w:shd w:val="clear"/>
        <w:spacing w:line="360" w:lineRule="auto"/>
        <w:ind w:left="955" w:leftChars="455" w:firstLine="0" w:firstLineChars="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相关当事人向财政部门提供的在中华人民共和国领域外形成的证据，</w:t>
      </w:r>
      <w:r>
        <w:rPr>
          <w:rFonts w:hint="eastAsia" w:ascii="宋体" w:hAnsi="宋体" w:eastAsia="宋体" w:cs="宋体"/>
          <w:strike w:val="0"/>
          <w:color w:val="auto"/>
          <w:sz w:val="24"/>
          <w:highlight w:val="none"/>
          <w:lang w:eastAsia="zh-CN"/>
        </w:rPr>
        <w:t>应</w:t>
      </w:r>
      <w:r>
        <w:rPr>
          <w:rFonts w:hint="eastAsia" w:ascii="宋体" w:hAnsi="宋体" w:eastAsia="宋体" w:cs="宋体"/>
          <w:strike w:val="0"/>
          <w:color w:val="auto"/>
          <w:sz w:val="24"/>
          <w:highlight w:val="none"/>
        </w:rPr>
        <w:t>说明来源，经所在国公证机关证明，并经中华人民共和国驻该国使领馆认证，或者履行中华人民共和国与证据所在国订立的有关条约中规定的证明手续。</w:t>
      </w:r>
    </w:p>
    <w:p w14:paraId="16FD154B">
      <w:pPr>
        <w:shd w:val="clear"/>
        <w:spacing w:line="360" w:lineRule="auto"/>
        <w:ind w:left="955" w:leftChars="455" w:firstLine="0" w:firstLineChars="0"/>
        <w:jc w:val="left"/>
        <w:rPr>
          <w:rFonts w:hint="eastAsia" w:ascii="宋体" w:hAnsi="宋体" w:eastAsia="宋体" w:cs="宋体"/>
          <w:color w:val="auto"/>
          <w:sz w:val="24"/>
          <w:highlight w:val="none"/>
        </w:rPr>
      </w:pPr>
      <w:r>
        <w:rPr>
          <w:rFonts w:hint="eastAsia" w:ascii="宋体" w:hAnsi="宋体" w:eastAsia="宋体" w:cs="宋体"/>
          <w:strike w:val="0"/>
          <w:color w:val="auto"/>
          <w:sz w:val="24"/>
          <w:highlight w:val="none"/>
        </w:rPr>
        <w:t>相关当事人提供的在香港特别行政区、澳门特别行政区和台湾地区内形成的证据，</w:t>
      </w:r>
      <w:r>
        <w:rPr>
          <w:rFonts w:hint="eastAsia" w:ascii="宋体" w:hAnsi="宋体" w:eastAsia="宋体" w:cs="宋体"/>
          <w:strike w:val="0"/>
          <w:color w:val="auto"/>
          <w:sz w:val="24"/>
          <w:highlight w:val="none"/>
          <w:lang w:eastAsia="zh-CN"/>
        </w:rPr>
        <w:t>应</w:t>
      </w:r>
      <w:r>
        <w:rPr>
          <w:rFonts w:hint="eastAsia" w:ascii="宋体" w:hAnsi="宋体" w:eastAsia="宋体" w:cs="宋体"/>
          <w:strike w:val="0"/>
          <w:color w:val="auto"/>
          <w:sz w:val="24"/>
          <w:highlight w:val="none"/>
        </w:rPr>
        <w:t>履行相关的证明手续；</w:t>
      </w:r>
    </w:p>
    <w:p w14:paraId="6C0F4029">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 xml:space="preserve">  采购人或者采购代理机构应当在收到供应商的书面质疑后七个工作日内作出答复，并以书面形式通知质疑供应商和其他与质疑处理结果有利害关系的政府采购当事人，但答复的内容不得涉及商业秘密。</w:t>
      </w:r>
    </w:p>
    <w:p w14:paraId="7C7CC228">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 xml:space="preserve">  质疑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捏造事实、提供虚假材料进行质疑的，采购人或采购代理机构报告同级政府采购监督管理部门，由同级政府采购监督管理部门审查，情况属实的，应列入不良行为记录，并在指定的媒体上公告</w:t>
      </w:r>
      <w:r>
        <w:rPr>
          <w:rFonts w:hint="eastAsia" w:ascii="宋体" w:hAnsi="宋体" w:eastAsia="宋体" w:cs="宋体"/>
          <w:color w:val="auto"/>
          <w:sz w:val="24"/>
          <w:highlight w:val="none"/>
          <w:lang w:eastAsia="zh-CN"/>
        </w:rPr>
        <w:t>。</w:t>
      </w:r>
    </w:p>
    <w:p w14:paraId="2B8195E9">
      <w:pPr>
        <w:shd w:val="clear"/>
        <w:spacing w:line="360" w:lineRule="auto"/>
        <w:ind w:left="960" w:hanging="960" w:hanging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lang w:val="en-US" w:eastAsia="zh-CN"/>
        </w:rPr>
        <w:t>3  供应商投诉</w:t>
      </w:r>
    </w:p>
    <w:p w14:paraId="314D4F13">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1.14.3.1</w:t>
      </w:r>
      <w:r>
        <w:rPr>
          <w:rFonts w:hint="eastAsia" w:ascii="宋体" w:hAnsi="宋体" w:eastAsia="宋体" w:cs="宋体"/>
          <w:color w:val="auto"/>
          <w:sz w:val="24"/>
          <w:highlight w:val="none"/>
        </w:rPr>
        <w:t xml:space="preserve"> 质疑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对采购人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采购代理机构的答复不满意或者采购人、采购代理机构未在规定时间内答复的，可以在答复期满后15个工作日内向同级政府采购监督管理部门提起投诉</w:t>
      </w:r>
      <w:r>
        <w:rPr>
          <w:rFonts w:hint="eastAsia" w:ascii="宋体" w:hAnsi="宋体" w:eastAsia="宋体" w:cs="宋体"/>
          <w:color w:val="auto"/>
          <w:sz w:val="24"/>
          <w:highlight w:val="none"/>
          <w:lang w:eastAsia="zh-CN"/>
        </w:rPr>
        <w:t>。</w:t>
      </w:r>
    </w:p>
    <w:p w14:paraId="70774628">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 xml:space="preserve"> 同级政府采购监督管理部门：见投标人须知前附表（一）</w:t>
      </w:r>
      <w:r>
        <w:rPr>
          <w:rFonts w:hint="eastAsia" w:ascii="宋体" w:hAnsi="宋体" w:eastAsia="宋体" w:cs="宋体"/>
          <w:color w:val="auto"/>
          <w:sz w:val="24"/>
          <w:highlight w:val="none"/>
          <w:lang w:eastAsia="zh-CN"/>
        </w:rPr>
        <w:t>。</w:t>
      </w:r>
    </w:p>
    <w:p w14:paraId="351CA360">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质疑函、投诉书范本在浙江政府采购网（zfcg.czt.zj.gov.cn）-下载专区中下载。</w:t>
      </w:r>
    </w:p>
    <w:p w14:paraId="7A9DC5F4">
      <w:pPr>
        <w:pStyle w:val="229"/>
        <w:shd w:val="clear"/>
        <w:rPr>
          <w:rFonts w:hint="eastAsia" w:ascii="宋体" w:hAnsi="宋体" w:eastAsia="宋体" w:cs="宋体"/>
          <w:color w:val="auto"/>
          <w:highlight w:val="none"/>
        </w:rPr>
      </w:pPr>
      <w:bookmarkStart w:id="218" w:name="_Toc26161"/>
      <w:bookmarkStart w:id="219" w:name="_Toc3504"/>
      <w:bookmarkStart w:id="220" w:name="_Toc97212974"/>
      <w:bookmarkStart w:id="221" w:name="_Toc15213"/>
      <w:bookmarkStart w:id="222" w:name="_Toc7535"/>
      <w:bookmarkStart w:id="223" w:name="_Toc530551837"/>
      <w:bookmarkStart w:id="224" w:name="_Toc531358992"/>
      <w:bookmarkStart w:id="225" w:name="_Toc12517"/>
      <w:r>
        <w:rPr>
          <w:rFonts w:hint="eastAsia" w:ascii="宋体" w:hAnsi="宋体" w:eastAsia="宋体" w:cs="宋体"/>
          <w:color w:val="auto"/>
          <w:highlight w:val="none"/>
        </w:rPr>
        <w:t>1.15    特别声明</w:t>
      </w:r>
      <w:bookmarkEnd w:id="218"/>
      <w:bookmarkEnd w:id="219"/>
      <w:bookmarkEnd w:id="220"/>
      <w:bookmarkEnd w:id="221"/>
      <w:bookmarkEnd w:id="222"/>
      <w:bookmarkEnd w:id="223"/>
      <w:bookmarkEnd w:id="224"/>
      <w:bookmarkEnd w:id="225"/>
    </w:p>
    <w:p w14:paraId="656F2D34">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1.15.1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w:t>
      </w:r>
      <w:r>
        <w:rPr>
          <w:rFonts w:hint="eastAsia" w:ascii="宋体" w:hAnsi="宋体" w:eastAsia="宋体" w:cs="宋体"/>
          <w:color w:val="auto"/>
          <w:sz w:val="24"/>
          <w:szCs w:val="24"/>
          <w:highlight w:val="none"/>
          <w:lang w:eastAsia="zh-CN"/>
        </w:rPr>
        <w:t>。</w:t>
      </w:r>
    </w:p>
    <w:p w14:paraId="37D43024">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1.15.2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为采购项目提供整体设计、规范编制或者项目管理、监理、检测等服务的供应商，不得再参加该采购项目的其他采购活动</w:t>
      </w:r>
      <w:r>
        <w:rPr>
          <w:rFonts w:hint="eastAsia" w:ascii="宋体" w:hAnsi="宋体" w:eastAsia="宋体" w:cs="宋体"/>
          <w:color w:val="auto"/>
          <w:sz w:val="24"/>
          <w:szCs w:val="24"/>
          <w:highlight w:val="none"/>
          <w:lang w:eastAsia="zh-CN"/>
        </w:rPr>
        <w:t>。</w:t>
      </w:r>
    </w:p>
    <w:p w14:paraId="2FA2665A">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1.15.3  </w:t>
      </w:r>
      <w:r>
        <w:rPr>
          <w:rFonts w:hint="eastAsia" w:ascii="宋体" w:hAnsi="宋体" w:eastAsia="宋体" w:cs="宋体"/>
          <w:color w:val="auto"/>
          <w:sz w:val="24"/>
          <w:szCs w:val="24"/>
          <w:highlight w:val="none"/>
          <w:lang w:eastAsia="zh-CN"/>
        </w:rPr>
        <w:t>公益一类事业单位、使用事业编制且由财政拨款保障的群团组织，不得参加本项目的政府采购活动。</w:t>
      </w:r>
    </w:p>
    <w:p w14:paraId="76153E50">
      <w:pPr>
        <w:shd w:val="clear"/>
        <w:spacing w:line="360" w:lineRule="auto"/>
        <w:ind w:left="960" w:hanging="960" w:hanging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1.15.4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56A42FB4">
      <w:pPr>
        <w:shd w:val="clear"/>
        <w:spacing w:line="360" w:lineRule="auto"/>
        <w:ind w:left="958" w:leftChars="456"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32F75082">
      <w:pPr>
        <w:pStyle w:val="42"/>
        <w:shd w:val="clear"/>
        <w:spacing w:beforeLines="100" w:after="240" w:afterLines="100"/>
        <w:jc w:val="left"/>
        <w:outlineLvl w:val="1"/>
        <w:rPr>
          <w:rFonts w:hint="eastAsia" w:ascii="宋体" w:hAnsi="宋体" w:eastAsia="宋体" w:cs="宋体"/>
          <w:color w:val="auto"/>
          <w:sz w:val="30"/>
          <w:szCs w:val="30"/>
          <w:highlight w:val="none"/>
        </w:rPr>
      </w:pPr>
      <w:bookmarkStart w:id="226" w:name="_Toc97212975"/>
      <w:bookmarkStart w:id="227" w:name="_Toc531358993"/>
      <w:bookmarkStart w:id="228" w:name="_Toc21053"/>
      <w:bookmarkStart w:id="229" w:name="_Toc27409"/>
      <w:bookmarkStart w:id="230" w:name="_Toc718"/>
      <w:bookmarkStart w:id="231" w:name="_Toc493956034"/>
      <w:bookmarkStart w:id="232" w:name="_Toc11118"/>
      <w:bookmarkStart w:id="233" w:name="_Toc18923"/>
      <w:bookmarkStart w:id="234" w:name="_Toc530551838"/>
      <w:r>
        <w:rPr>
          <w:rFonts w:hint="eastAsia" w:ascii="宋体" w:hAnsi="宋体" w:eastAsia="宋体" w:cs="宋体"/>
          <w:color w:val="auto"/>
          <w:sz w:val="30"/>
          <w:szCs w:val="30"/>
          <w:highlight w:val="none"/>
        </w:rPr>
        <w:t>二    招标文件</w:t>
      </w:r>
      <w:bookmarkEnd w:id="226"/>
      <w:bookmarkEnd w:id="227"/>
      <w:bookmarkEnd w:id="228"/>
      <w:bookmarkEnd w:id="229"/>
      <w:bookmarkEnd w:id="230"/>
      <w:bookmarkEnd w:id="231"/>
      <w:bookmarkEnd w:id="232"/>
      <w:bookmarkEnd w:id="233"/>
      <w:bookmarkEnd w:id="234"/>
    </w:p>
    <w:p w14:paraId="43D1FA54">
      <w:pPr>
        <w:pStyle w:val="229"/>
        <w:shd w:val="clear"/>
        <w:rPr>
          <w:rFonts w:hint="eastAsia" w:ascii="宋体" w:hAnsi="宋体" w:eastAsia="宋体" w:cs="宋体"/>
          <w:color w:val="auto"/>
          <w:highlight w:val="none"/>
        </w:rPr>
      </w:pPr>
      <w:bookmarkStart w:id="235" w:name="_Toc17984"/>
      <w:bookmarkStart w:id="236" w:name="_Toc531358994"/>
      <w:bookmarkStart w:id="237" w:name="_Toc32356"/>
      <w:bookmarkStart w:id="238" w:name="_Toc530551839"/>
      <w:bookmarkStart w:id="239" w:name="_Toc97212976"/>
      <w:bookmarkStart w:id="240" w:name="_Toc32252"/>
      <w:bookmarkStart w:id="241" w:name="_Toc10540"/>
      <w:bookmarkStart w:id="242" w:name="_Toc27201"/>
      <w:r>
        <w:rPr>
          <w:rFonts w:hint="eastAsia" w:ascii="宋体" w:hAnsi="宋体" w:eastAsia="宋体" w:cs="宋体"/>
          <w:color w:val="auto"/>
          <w:highlight w:val="none"/>
        </w:rPr>
        <w:t>2.1     招标文件的组成</w:t>
      </w:r>
      <w:bookmarkEnd w:id="235"/>
      <w:bookmarkEnd w:id="236"/>
      <w:bookmarkEnd w:id="237"/>
      <w:bookmarkEnd w:id="238"/>
      <w:bookmarkEnd w:id="239"/>
      <w:bookmarkEnd w:id="240"/>
      <w:bookmarkEnd w:id="241"/>
      <w:bookmarkEnd w:id="242"/>
    </w:p>
    <w:p w14:paraId="2A2624CE">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第一章  招标公告；</w:t>
      </w:r>
    </w:p>
    <w:p w14:paraId="6199C3BC">
      <w:pPr>
        <w:shd w:val="clear"/>
        <w:spacing w:line="360" w:lineRule="auto"/>
        <w:ind w:left="960" w:hanging="960" w:hangingChars="400"/>
        <w:rPr>
          <w:rFonts w:hint="eastAsia" w:ascii="宋体" w:hAnsi="宋体" w:eastAsia="宋体" w:cs="宋体"/>
          <w:color w:val="auto"/>
          <w:sz w:val="24"/>
          <w:szCs w:val="24"/>
          <w:highlight w:val="none"/>
        </w:rPr>
      </w:pPr>
      <w:bookmarkStart w:id="243" w:name="_Toc301187619"/>
      <w:r>
        <w:rPr>
          <w:rFonts w:hint="eastAsia" w:ascii="宋体" w:hAnsi="宋体" w:eastAsia="宋体" w:cs="宋体"/>
          <w:color w:val="auto"/>
          <w:sz w:val="24"/>
          <w:szCs w:val="24"/>
          <w:highlight w:val="none"/>
        </w:rPr>
        <w:t xml:space="preserve">2.1.2   第二章  </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w:t>
      </w:r>
      <w:bookmarkEnd w:id="243"/>
      <w:r>
        <w:rPr>
          <w:rFonts w:hint="eastAsia" w:ascii="宋体" w:hAnsi="宋体" w:eastAsia="宋体" w:cs="宋体"/>
          <w:color w:val="auto"/>
          <w:sz w:val="24"/>
          <w:szCs w:val="24"/>
          <w:highlight w:val="none"/>
        </w:rPr>
        <w:t>；</w:t>
      </w:r>
    </w:p>
    <w:p w14:paraId="63118485">
      <w:pPr>
        <w:shd w:val="clear"/>
        <w:spacing w:line="360" w:lineRule="auto"/>
        <w:ind w:left="960" w:hanging="960" w:hangingChars="400"/>
        <w:rPr>
          <w:rFonts w:hint="eastAsia" w:ascii="宋体" w:hAnsi="宋体" w:eastAsia="宋体" w:cs="宋体"/>
          <w:color w:val="auto"/>
          <w:sz w:val="24"/>
          <w:szCs w:val="24"/>
          <w:highlight w:val="none"/>
        </w:rPr>
      </w:pPr>
      <w:bookmarkStart w:id="244" w:name="_Toc301187620"/>
      <w:r>
        <w:rPr>
          <w:rFonts w:hint="eastAsia" w:ascii="宋体" w:hAnsi="宋体" w:eastAsia="宋体" w:cs="宋体"/>
          <w:color w:val="auto"/>
          <w:sz w:val="24"/>
          <w:szCs w:val="24"/>
          <w:highlight w:val="none"/>
        </w:rPr>
        <w:t>2.1.3   第三章  投标人须知</w:t>
      </w:r>
      <w:bookmarkEnd w:id="244"/>
      <w:r>
        <w:rPr>
          <w:rFonts w:hint="eastAsia" w:ascii="宋体" w:hAnsi="宋体" w:eastAsia="宋体" w:cs="宋体"/>
          <w:color w:val="auto"/>
          <w:sz w:val="24"/>
          <w:szCs w:val="24"/>
          <w:highlight w:val="none"/>
        </w:rPr>
        <w:t>；</w:t>
      </w:r>
    </w:p>
    <w:p w14:paraId="678F9386">
      <w:pPr>
        <w:shd w:val="clear"/>
        <w:spacing w:line="360" w:lineRule="auto"/>
        <w:ind w:left="960" w:hanging="960" w:hangingChars="400"/>
        <w:rPr>
          <w:rFonts w:hint="eastAsia" w:ascii="宋体" w:hAnsi="宋体" w:eastAsia="宋体" w:cs="宋体"/>
          <w:color w:val="auto"/>
          <w:sz w:val="24"/>
          <w:szCs w:val="24"/>
          <w:highlight w:val="none"/>
        </w:rPr>
      </w:pPr>
      <w:bookmarkStart w:id="245" w:name="_Toc301187621"/>
      <w:r>
        <w:rPr>
          <w:rFonts w:hint="eastAsia" w:ascii="宋体" w:hAnsi="宋体" w:eastAsia="宋体" w:cs="宋体"/>
          <w:color w:val="auto"/>
          <w:sz w:val="24"/>
          <w:szCs w:val="24"/>
          <w:highlight w:val="none"/>
        </w:rPr>
        <w:t>2.1.4   第四章  拟签订的合同文本；</w:t>
      </w:r>
    </w:p>
    <w:bookmarkEnd w:id="245"/>
    <w:p w14:paraId="28844A51">
      <w:pPr>
        <w:shd w:val="clear"/>
        <w:spacing w:line="360" w:lineRule="auto"/>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第五章  投标文件格式；</w:t>
      </w:r>
    </w:p>
    <w:p w14:paraId="48F109B2">
      <w:pPr>
        <w:shd w:val="clear"/>
        <w:spacing w:line="360" w:lineRule="auto"/>
        <w:ind w:left="960" w:hanging="960" w:hangingChars="400"/>
        <w:rPr>
          <w:rFonts w:hint="eastAsia" w:ascii="宋体" w:hAnsi="宋体" w:eastAsia="宋体" w:cs="宋体"/>
          <w:color w:val="auto"/>
          <w:sz w:val="24"/>
          <w:szCs w:val="24"/>
          <w:highlight w:val="none"/>
        </w:rPr>
      </w:pPr>
      <w:bookmarkStart w:id="246" w:name="_Toc301187623"/>
      <w:r>
        <w:rPr>
          <w:rFonts w:hint="eastAsia" w:ascii="宋体" w:hAnsi="宋体" w:eastAsia="宋体" w:cs="宋体"/>
          <w:color w:val="auto"/>
          <w:sz w:val="24"/>
          <w:szCs w:val="24"/>
          <w:highlight w:val="none"/>
        </w:rPr>
        <w:t>2.1.6   第六章  评标办法</w:t>
      </w:r>
      <w:r>
        <w:rPr>
          <w:rFonts w:hint="eastAsia" w:ascii="宋体" w:hAnsi="宋体" w:eastAsia="宋体" w:cs="宋体"/>
          <w:color w:val="auto"/>
          <w:sz w:val="24"/>
          <w:szCs w:val="24"/>
          <w:highlight w:val="none"/>
          <w:lang w:eastAsia="zh-CN"/>
        </w:rPr>
        <w:t>和评标</w:t>
      </w:r>
      <w:r>
        <w:rPr>
          <w:rFonts w:hint="eastAsia" w:ascii="宋体" w:hAnsi="宋体" w:eastAsia="宋体" w:cs="宋体"/>
          <w:color w:val="auto"/>
          <w:sz w:val="24"/>
          <w:szCs w:val="24"/>
          <w:highlight w:val="none"/>
        </w:rPr>
        <w:t>标准</w:t>
      </w:r>
      <w:bookmarkEnd w:id="246"/>
      <w:r>
        <w:rPr>
          <w:rFonts w:hint="eastAsia" w:ascii="宋体" w:hAnsi="宋体" w:eastAsia="宋体" w:cs="宋体"/>
          <w:color w:val="auto"/>
          <w:sz w:val="24"/>
          <w:szCs w:val="24"/>
          <w:highlight w:val="none"/>
        </w:rPr>
        <w:t>；</w:t>
      </w:r>
    </w:p>
    <w:p w14:paraId="489E31E8">
      <w:pPr>
        <w:shd w:val="clear"/>
        <w:spacing w:line="360" w:lineRule="auto"/>
        <w:ind w:left="960" w:hanging="960" w:hangingChars="400"/>
        <w:rPr>
          <w:rFonts w:hint="eastAsia" w:ascii="宋体" w:hAnsi="宋体" w:eastAsia="宋体" w:cs="宋体"/>
          <w:color w:val="auto"/>
          <w:sz w:val="24"/>
          <w:szCs w:val="24"/>
          <w:highlight w:val="none"/>
        </w:rPr>
      </w:pPr>
      <w:bookmarkStart w:id="247" w:name="_Toc301187624"/>
      <w:r>
        <w:rPr>
          <w:rFonts w:hint="eastAsia" w:ascii="宋体" w:hAnsi="宋体" w:eastAsia="宋体" w:cs="宋体"/>
          <w:color w:val="auto"/>
          <w:sz w:val="24"/>
          <w:szCs w:val="24"/>
          <w:highlight w:val="none"/>
        </w:rPr>
        <w:t>2.1.7   本项目招标文件的澄清、修改的内容</w:t>
      </w:r>
      <w:bookmarkEnd w:id="247"/>
      <w:r>
        <w:rPr>
          <w:rFonts w:hint="eastAsia" w:ascii="宋体" w:hAnsi="宋体" w:eastAsia="宋体" w:cs="宋体"/>
          <w:color w:val="auto"/>
          <w:sz w:val="24"/>
          <w:szCs w:val="24"/>
          <w:highlight w:val="none"/>
        </w:rPr>
        <w:t>。</w:t>
      </w:r>
    </w:p>
    <w:p w14:paraId="5C9EEF2F">
      <w:pPr>
        <w:pStyle w:val="229"/>
        <w:shd w:val="clear"/>
        <w:rPr>
          <w:rFonts w:hint="eastAsia" w:ascii="宋体" w:hAnsi="宋体" w:eastAsia="宋体" w:cs="宋体"/>
          <w:color w:val="auto"/>
          <w:highlight w:val="none"/>
        </w:rPr>
      </w:pPr>
      <w:bookmarkStart w:id="248" w:name="_Toc530551841"/>
      <w:bookmarkStart w:id="249" w:name="_Toc7978"/>
      <w:bookmarkStart w:id="250" w:name="_Toc97212977"/>
      <w:bookmarkStart w:id="251" w:name="_Toc26002"/>
      <w:bookmarkStart w:id="252" w:name="_Toc531358996"/>
      <w:bookmarkStart w:id="253" w:name="_Toc11420"/>
      <w:bookmarkStart w:id="254" w:name="_Toc5371"/>
      <w:bookmarkStart w:id="255" w:name="_Toc20273"/>
      <w:r>
        <w:rPr>
          <w:rFonts w:hint="eastAsia" w:ascii="宋体" w:hAnsi="宋体" w:eastAsia="宋体" w:cs="宋体"/>
          <w:color w:val="auto"/>
          <w:highlight w:val="none"/>
        </w:rPr>
        <w:t>2.2     招标文件的澄清、修改</w:t>
      </w:r>
      <w:bookmarkEnd w:id="248"/>
      <w:bookmarkEnd w:id="249"/>
      <w:bookmarkEnd w:id="250"/>
      <w:bookmarkEnd w:id="251"/>
      <w:bookmarkEnd w:id="252"/>
      <w:bookmarkEnd w:id="253"/>
      <w:bookmarkEnd w:id="254"/>
      <w:bookmarkEnd w:id="255"/>
    </w:p>
    <w:p w14:paraId="0F13D918">
      <w:pPr>
        <w:shd w:val="clear"/>
        <w:spacing w:line="360" w:lineRule="auto"/>
        <w:ind w:left="960" w:hanging="960" w:hangingChars="4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2.2.1   采购人或者采购代理机构可以对已发出的招标文件、资格预审文件、</w:t>
      </w:r>
      <w:r>
        <w:rPr>
          <w:rFonts w:hint="eastAsia" w:ascii="宋体" w:hAnsi="宋体" w:eastAsia="宋体" w:cs="宋体"/>
          <w:bCs/>
          <w:color w:val="auto"/>
          <w:sz w:val="24"/>
          <w:highlight w:val="none"/>
          <w:lang w:val="en-US" w:eastAsia="zh-CN"/>
        </w:rPr>
        <w:t>招标公告</w:t>
      </w:r>
      <w:r>
        <w:rPr>
          <w:rFonts w:hint="eastAsia" w:ascii="宋体" w:hAnsi="宋体" w:eastAsia="宋体" w:cs="宋体"/>
          <w:bCs/>
          <w:color w:val="auto"/>
          <w:sz w:val="24"/>
          <w:highlight w:val="none"/>
        </w:rPr>
        <w:t>书进行必要的澄清或者修改，但不得改变采购标的和资格条件。澄清或者修改的内容为招标文件、资格预审文件、</w:t>
      </w:r>
      <w:r>
        <w:rPr>
          <w:rFonts w:hint="eastAsia" w:ascii="宋体" w:hAnsi="宋体" w:eastAsia="宋体" w:cs="宋体"/>
          <w:bCs/>
          <w:color w:val="auto"/>
          <w:sz w:val="24"/>
          <w:highlight w:val="none"/>
          <w:lang w:val="en-US" w:eastAsia="zh-CN"/>
        </w:rPr>
        <w:t>招标公告</w:t>
      </w:r>
      <w:r>
        <w:rPr>
          <w:rFonts w:hint="eastAsia" w:ascii="宋体" w:hAnsi="宋体" w:eastAsia="宋体" w:cs="宋体"/>
          <w:bCs/>
          <w:color w:val="auto"/>
          <w:sz w:val="24"/>
          <w:highlight w:val="none"/>
        </w:rPr>
        <w:t>的组成部分。</w:t>
      </w:r>
    </w:p>
    <w:p w14:paraId="5CFA7B3E">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2.2.2   澄清或修改内容可能影响投标文件编制的，采购代理机构</w:t>
      </w:r>
      <w:r>
        <w:rPr>
          <w:rFonts w:hint="eastAsia" w:ascii="宋体" w:hAnsi="宋体" w:eastAsia="宋体" w:cs="宋体"/>
          <w:color w:val="auto"/>
          <w:sz w:val="24"/>
          <w:highlight w:val="none"/>
        </w:rPr>
        <w:t>在</w:t>
      </w: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highlight w:val="none"/>
        </w:rPr>
        <w:t>15日前，将以发布更正公告的形式通知潜在投标人。不足15日的，采购代理机构</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lang w:val="en-US" w:eastAsia="zh-CN"/>
        </w:rPr>
        <w:t>当</w:t>
      </w:r>
      <w:r>
        <w:rPr>
          <w:rFonts w:hint="eastAsia" w:ascii="宋体" w:hAnsi="宋体" w:eastAsia="宋体" w:cs="宋体"/>
          <w:color w:val="auto"/>
          <w:sz w:val="24"/>
          <w:highlight w:val="none"/>
        </w:rPr>
        <w:t>顺延</w:t>
      </w: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highlight w:val="none"/>
          <w:lang w:eastAsia="zh-CN"/>
        </w:rPr>
        <w:t>。</w:t>
      </w:r>
    </w:p>
    <w:p w14:paraId="13B4D849">
      <w:pPr>
        <w:shd w:val="clear"/>
        <w:spacing w:line="360" w:lineRule="auto"/>
        <w:ind w:left="960" w:hanging="96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澄清、修改等更正内容发布网址：见投标人须知前附表（一）</w:t>
      </w:r>
      <w:r>
        <w:rPr>
          <w:rFonts w:hint="eastAsia" w:ascii="宋体" w:hAnsi="宋体" w:eastAsia="宋体" w:cs="宋体"/>
          <w:color w:val="auto"/>
          <w:sz w:val="24"/>
          <w:szCs w:val="24"/>
          <w:highlight w:val="none"/>
          <w:lang w:eastAsia="zh-CN"/>
        </w:rPr>
        <w:t>。</w:t>
      </w:r>
    </w:p>
    <w:p w14:paraId="6552B7E7">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招标文件与澄清或修改文件就同一内容表述不一致</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，以最后发出的澄清或修改文件为准。</w:t>
      </w:r>
    </w:p>
    <w:p w14:paraId="70713A22">
      <w:pPr>
        <w:pStyle w:val="42"/>
        <w:shd w:val="clear"/>
        <w:spacing w:beforeLines="100" w:after="240" w:afterLines="100"/>
        <w:jc w:val="left"/>
        <w:outlineLvl w:val="1"/>
        <w:rPr>
          <w:rFonts w:hint="eastAsia" w:ascii="宋体" w:hAnsi="宋体" w:eastAsia="宋体" w:cs="宋体"/>
          <w:color w:val="auto"/>
          <w:sz w:val="30"/>
          <w:szCs w:val="30"/>
          <w:highlight w:val="none"/>
          <w:lang w:val="en-US" w:eastAsia="zh-CN"/>
        </w:rPr>
      </w:pPr>
      <w:bookmarkStart w:id="256" w:name="_Toc97212978"/>
      <w:bookmarkStart w:id="257" w:name="_Toc2497"/>
      <w:bookmarkStart w:id="258" w:name="_Toc530551842"/>
      <w:bookmarkStart w:id="259" w:name="_Toc21537"/>
      <w:bookmarkStart w:id="260" w:name="_Toc32301"/>
      <w:bookmarkStart w:id="261" w:name="_Toc531358997"/>
      <w:bookmarkStart w:id="262" w:name="_Toc32481"/>
      <w:bookmarkStart w:id="263" w:name="_Toc27680"/>
      <w:r>
        <w:rPr>
          <w:rFonts w:hint="eastAsia" w:ascii="宋体" w:hAnsi="宋体" w:eastAsia="宋体" w:cs="宋体"/>
          <w:color w:val="auto"/>
          <w:sz w:val="30"/>
          <w:szCs w:val="30"/>
          <w:highlight w:val="none"/>
        </w:rPr>
        <w:t>三    投标文件</w:t>
      </w:r>
      <w:bookmarkEnd w:id="256"/>
      <w:bookmarkEnd w:id="257"/>
      <w:bookmarkEnd w:id="258"/>
      <w:bookmarkEnd w:id="259"/>
      <w:bookmarkEnd w:id="260"/>
      <w:bookmarkEnd w:id="261"/>
      <w:bookmarkEnd w:id="262"/>
      <w:r>
        <w:rPr>
          <w:rFonts w:hint="eastAsia" w:ascii="宋体" w:hAnsi="宋体" w:eastAsia="宋体" w:cs="宋体"/>
          <w:color w:val="auto"/>
          <w:sz w:val="30"/>
          <w:szCs w:val="30"/>
          <w:highlight w:val="none"/>
          <w:lang w:val="en-US" w:eastAsia="zh-CN"/>
        </w:rPr>
        <w:t>组成</w:t>
      </w:r>
      <w:bookmarkEnd w:id="263"/>
    </w:p>
    <w:p w14:paraId="63B673D1">
      <w:pPr>
        <w:pStyle w:val="229"/>
        <w:shd w:val="clear"/>
        <w:rPr>
          <w:rFonts w:hint="eastAsia" w:ascii="宋体" w:hAnsi="宋体" w:eastAsia="宋体" w:cs="宋体"/>
          <w:color w:val="auto"/>
          <w:highlight w:val="none"/>
        </w:rPr>
      </w:pPr>
      <w:bookmarkStart w:id="264" w:name="_Toc31201"/>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投标文件组成</w:t>
      </w:r>
      <w:bookmarkEnd w:id="264"/>
    </w:p>
    <w:p w14:paraId="4A3E2D68">
      <w:pPr>
        <w:spacing w:line="360" w:lineRule="auto"/>
        <w:ind w:left="945" w:leftChars="450"/>
        <w:rPr>
          <w:rFonts w:hint="eastAsia" w:ascii="宋体" w:hAnsi="宋体" w:eastAsia="宋体" w:cs="宋体"/>
          <w:i w:val="0"/>
          <w:iCs w:val="0"/>
          <w:color w:val="auto"/>
          <w:sz w:val="24"/>
          <w:highlight w:val="none"/>
          <w:lang w:val="en-US" w:eastAsia="zh-CN"/>
        </w:rPr>
      </w:pPr>
      <w:r>
        <w:rPr>
          <w:rFonts w:hint="eastAsia" w:ascii="宋体" w:hAnsi="宋体" w:eastAsia="宋体" w:cs="宋体"/>
          <w:color w:val="auto"/>
          <w:sz w:val="24"/>
          <w:highlight w:val="none"/>
        </w:rPr>
        <w:t>投标文件由</w:t>
      </w:r>
      <w:r>
        <w:rPr>
          <w:rFonts w:hint="eastAsia" w:ascii="宋体" w:hAnsi="宋体" w:eastAsia="宋体" w:cs="宋体"/>
          <w:bCs w:val="0"/>
          <w:color w:val="auto"/>
          <w:sz w:val="24"/>
          <w:szCs w:val="22"/>
          <w:highlight w:val="none"/>
          <w:u w:val="none"/>
          <w:lang w:val="en-US" w:eastAsia="zh-CN"/>
        </w:rPr>
        <w:t>资格文件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商务技术文件、</w:t>
      </w:r>
      <w:r>
        <w:rPr>
          <w:rFonts w:hint="eastAsia" w:ascii="宋体" w:hAnsi="宋体" w:eastAsia="宋体" w:cs="宋体"/>
          <w:color w:val="auto"/>
          <w:sz w:val="24"/>
          <w:highlight w:val="none"/>
        </w:rPr>
        <w:t>报价文件三部分组成。</w:t>
      </w:r>
      <w:bookmarkStart w:id="265" w:name="_Toc21660"/>
      <w:r>
        <w:rPr>
          <w:rFonts w:hint="eastAsia" w:ascii="宋体" w:hAnsi="宋体" w:eastAsia="宋体" w:cs="宋体"/>
          <w:i w:val="0"/>
          <w:iCs w:val="0"/>
          <w:color w:val="auto"/>
          <w:sz w:val="24"/>
          <w:highlight w:val="none"/>
          <w:lang w:val="en-US" w:eastAsia="zh-CN"/>
        </w:rPr>
        <w:t>投标文件格式详见第五章</w:t>
      </w:r>
      <w:bookmarkEnd w:id="265"/>
      <w:r>
        <w:rPr>
          <w:rFonts w:hint="eastAsia" w:ascii="宋体" w:hAnsi="宋体" w:eastAsia="宋体" w:cs="宋体"/>
          <w:i w:val="0"/>
          <w:iCs w:val="0"/>
          <w:color w:val="auto"/>
          <w:sz w:val="24"/>
          <w:highlight w:val="none"/>
          <w:lang w:val="en-US" w:eastAsia="zh-CN"/>
        </w:rPr>
        <w:t>。</w:t>
      </w:r>
    </w:p>
    <w:p w14:paraId="0F40884B">
      <w:pPr>
        <w:shd w:val="clear"/>
        <w:spacing w:line="360" w:lineRule="auto"/>
        <w:ind w:left="0" w:leftChars="0"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54F0CB1C">
      <w:pPr>
        <w:shd w:val="clear"/>
        <w:spacing w:line="360" w:lineRule="auto"/>
        <w:ind w:left="0" w:leftChars="0" w:firstLine="964" w:firstLineChars="4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37DD5F1D">
      <w:pPr>
        <w:pStyle w:val="229"/>
        <w:shd w:val="clear"/>
        <w:rPr>
          <w:rFonts w:hint="eastAsia" w:ascii="宋体" w:hAnsi="宋体" w:eastAsia="宋体" w:cs="宋体"/>
          <w:b/>
          <w:bCs/>
          <w:color w:val="auto"/>
          <w:highlight w:val="none"/>
          <w:lang w:val="en-US" w:eastAsia="zh-CN"/>
        </w:rPr>
      </w:pPr>
      <w:bookmarkStart w:id="266" w:name="_Toc26303"/>
      <w:r>
        <w:rPr>
          <w:rFonts w:hint="eastAsia" w:ascii="宋体" w:hAnsi="宋体" w:eastAsia="宋体" w:cs="宋体"/>
          <w:b/>
          <w:bCs/>
          <w:color w:val="auto"/>
          <w:highlight w:val="none"/>
          <w:lang w:val="en-US" w:eastAsia="zh-CN"/>
        </w:rPr>
        <w:t>3.2    投标文件形式</w:t>
      </w:r>
      <w:bookmarkEnd w:id="266"/>
    </w:p>
    <w:p w14:paraId="2C824C2C">
      <w:pPr>
        <w:shd w:val="clear"/>
        <w:spacing w:line="360" w:lineRule="auto"/>
        <w:ind w:left="856" w:leftChars="0" w:hanging="856" w:hangingChars="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   </w:t>
      </w:r>
      <w:r>
        <w:rPr>
          <w:rFonts w:hint="eastAsia" w:ascii="宋体" w:hAnsi="宋体" w:eastAsia="宋体" w:cs="宋体"/>
          <w:color w:val="auto"/>
          <w:sz w:val="24"/>
          <w:szCs w:val="24"/>
          <w:highlight w:val="none"/>
          <w:lang w:eastAsia="zh-CN"/>
        </w:rPr>
        <w:t>投标文件以电子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文件形式提交。</w:t>
      </w:r>
      <w:r>
        <w:rPr>
          <w:rFonts w:hint="eastAsia" w:ascii="宋体" w:hAnsi="宋体" w:eastAsia="宋体" w:cs="宋体"/>
          <w:color w:val="auto"/>
          <w:sz w:val="24"/>
          <w:szCs w:val="24"/>
          <w:highlight w:val="none"/>
        </w:rPr>
        <w:t>包括“电子加密投标文件”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“备份投标文件”，</w:t>
      </w:r>
      <w:r>
        <w:rPr>
          <w:rFonts w:hint="eastAsia" w:ascii="宋体" w:hAnsi="宋体" w:eastAsia="宋体" w:cs="宋体"/>
          <w:color w:val="auto"/>
          <w:sz w:val="24"/>
          <w:szCs w:val="24"/>
          <w:highlight w:val="none"/>
          <w:lang w:eastAsia="zh-CN"/>
        </w:rPr>
        <w:t>两份文件</w:t>
      </w:r>
      <w:r>
        <w:rPr>
          <w:rFonts w:hint="eastAsia" w:ascii="宋体" w:hAnsi="宋体" w:eastAsia="宋体" w:cs="宋体"/>
          <w:color w:val="auto"/>
          <w:sz w:val="24"/>
          <w:szCs w:val="24"/>
          <w:highlight w:val="none"/>
        </w:rPr>
        <w:t>在投标文件编制完成后同时生成。</w:t>
      </w:r>
    </w:p>
    <w:p w14:paraId="019B3698">
      <w:pPr>
        <w:shd w:val="clear"/>
        <w:spacing w:line="360" w:lineRule="auto"/>
        <w:ind w:left="958" w:leftChars="342" w:hanging="240" w:hanging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“电子加密投标文件”和“备份投标文件”具有同等效力，数据电文内容应完全一致。</w:t>
      </w:r>
    </w:p>
    <w:p w14:paraId="6554C368">
      <w:pPr>
        <w:pStyle w:val="42"/>
        <w:shd w:val="clear"/>
        <w:spacing w:beforeLines="100" w:after="240" w:afterLines="100"/>
        <w:jc w:val="left"/>
        <w:outlineLvl w:val="1"/>
        <w:rPr>
          <w:rFonts w:hint="eastAsia" w:ascii="宋体" w:hAnsi="宋体" w:eastAsia="宋体" w:cs="宋体"/>
          <w:color w:val="auto"/>
          <w:sz w:val="30"/>
          <w:szCs w:val="30"/>
          <w:highlight w:val="none"/>
        </w:rPr>
      </w:pPr>
      <w:bookmarkStart w:id="267" w:name="_Toc31848"/>
      <w:bookmarkStart w:id="268" w:name="_Toc25792"/>
      <w:bookmarkStart w:id="269" w:name="_Toc531359002"/>
      <w:bookmarkStart w:id="270" w:name="_Toc21513"/>
      <w:bookmarkStart w:id="271" w:name="_Toc530551847"/>
      <w:bookmarkStart w:id="272" w:name="_Toc14010"/>
      <w:bookmarkStart w:id="273" w:name="_Toc25397"/>
      <w:bookmarkStart w:id="274" w:name="_Toc97212985"/>
      <w:r>
        <w:rPr>
          <w:rFonts w:hint="eastAsia" w:ascii="宋体" w:hAnsi="宋体" w:eastAsia="宋体" w:cs="宋体"/>
          <w:color w:val="auto"/>
          <w:sz w:val="30"/>
          <w:szCs w:val="30"/>
          <w:highlight w:val="none"/>
        </w:rPr>
        <w:t>四    投标文件编制</w:t>
      </w:r>
      <w:bookmarkEnd w:id="267"/>
      <w:bookmarkEnd w:id="268"/>
      <w:bookmarkEnd w:id="269"/>
      <w:bookmarkEnd w:id="270"/>
      <w:bookmarkEnd w:id="271"/>
      <w:bookmarkEnd w:id="272"/>
      <w:bookmarkEnd w:id="273"/>
      <w:bookmarkEnd w:id="274"/>
    </w:p>
    <w:p w14:paraId="7C2A2A1E">
      <w:pPr>
        <w:pStyle w:val="229"/>
        <w:shd w:val="clear"/>
        <w:rPr>
          <w:rFonts w:hint="eastAsia" w:ascii="宋体" w:hAnsi="宋体" w:eastAsia="宋体" w:cs="宋体"/>
          <w:color w:val="auto"/>
          <w:highlight w:val="none"/>
        </w:rPr>
      </w:pPr>
      <w:bookmarkStart w:id="275" w:name="_Toc97212986"/>
      <w:bookmarkStart w:id="276" w:name="_Toc23239"/>
      <w:bookmarkStart w:id="277" w:name="_Toc14611"/>
      <w:bookmarkStart w:id="278" w:name="_Toc28795"/>
      <w:bookmarkStart w:id="279" w:name="_Toc530551849"/>
      <w:bookmarkStart w:id="280" w:name="_Toc1275"/>
      <w:bookmarkStart w:id="281" w:name="_Toc531359004"/>
      <w:bookmarkStart w:id="282" w:name="_Toc17321"/>
      <w:r>
        <w:rPr>
          <w:rFonts w:hint="eastAsia" w:ascii="宋体" w:hAnsi="宋体" w:eastAsia="宋体" w:cs="宋体"/>
          <w:color w:val="auto"/>
          <w:highlight w:val="none"/>
        </w:rPr>
        <w:t>4.1     投标文件编制</w:t>
      </w:r>
      <w:bookmarkEnd w:id="275"/>
      <w:bookmarkEnd w:id="276"/>
      <w:bookmarkEnd w:id="277"/>
      <w:bookmarkEnd w:id="278"/>
      <w:bookmarkEnd w:id="279"/>
      <w:bookmarkEnd w:id="280"/>
      <w:bookmarkEnd w:id="281"/>
      <w:bookmarkEnd w:id="282"/>
    </w:p>
    <w:p w14:paraId="65E7AF0A">
      <w:pPr>
        <w:shd w:val="clear"/>
        <w:wordWrap w:val="0"/>
        <w:spacing w:line="360" w:lineRule="auto"/>
        <w:ind w:left="960" w:hanging="960" w:hangingChars="4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4.1.1   </w:t>
      </w:r>
      <w:r>
        <w:rPr>
          <w:rFonts w:hint="eastAsia" w:ascii="宋体" w:hAnsi="宋体" w:eastAsia="宋体" w:cs="宋体"/>
          <w:color w:val="auto"/>
          <w:sz w:val="24"/>
          <w:highlight w:val="none"/>
          <w:lang w:eastAsia="zh-CN"/>
        </w:rPr>
        <w:t>投标人按招标文件和政采云平台电子投标工具的要求编制电子投标文件，并进行关联定位。</w:t>
      </w:r>
    </w:p>
    <w:p w14:paraId="48E7A461">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4.1.2   ▲</w:t>
      </w:r>
      <w:r>
        <w:rPr>
          <w:rFonts w:hint="eastAsia" w:ascii="宋体" w:hAnsi="宋体" w:eastAsia="宋体" w:cs="宋体"/>
          <w:strike w:val="0"/>
          <w:color w:val="auto"/>
          <w:sz w:val="24"/>
          <w:highlight w:val="none"/>
          <w:lang w:eastAsia="zh-CN"/>
        </w:rPr>
        <w:t>投标人</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rPr>
        <w:t>参与多标项投标的，则按每个标项分别独立编制投标文件</w:t>
      </w:r>
      <w:r>
        <w:rPr>
          <w:rFonts w:hint="eastAsia" w:ascii="宋体" w:hAnsi="宋体" w:eastAsia="宋体" w:cs="宋体"/>
          <w:color w:val="auto"/>
          <w:sz w:val="24"/>
          <w:highlight w:val="none"/>
          <w:lang w:eastAsia="zh-CN"/>
        </w:rPr>
        <w:t>。</w:t>
      </w:r>
    </w:p>
    <w:p w14:paraId="18CBE2AC">
      <w:pPr>
        <w:shd w:val="clear"/>
        <w:wordWrap w:val="0"/>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4.1.3   投标人按招标文件的要求提供相关资料，并对招标文件中提出的所有内容要求给予明确响应，</w:t>
      </w:r>
      <w:r>
        <w:rPr>
          <w:rFonts w:hint="eastAsia" w:ascii="宋体" w:hAnsi="宋体" w:eastAsia="宋体" w:cs="宋体"/>
          <w:color w:val="auto"/>
          <w:sz w:val="24"/>
          <w:highlight w:val="none"/>
          <w:lang w:eastAsia="zh-CN"/>
        </w:rPr>
        <w:t>确保</w:t>
      </w:r>
      <w:r>
        <w:rPr>
          <w:rFonts w:hint="eastAsia" w:ascii="宋体" w:hAnsi="宋体" w:eastAsia="宋体" w:cs="宋体"/>
          <w:color w:val="auto"/>
          <w:sz w:val="24"/>
          <w:highlight w:val="none"/>
        </w:rPr>
        <w:t>投标文件</w:t>
      </w:r>
      <w:r>
        <w:rPr>
          <w:rFonts w:hint="eastAsia" w:ascii="宋体" w:hAnsi="宋体" w:eastAsia="宋体" w:cs="宋体"/>
          <w:color w:val="auto"/>
          <w:sz w:val="24"/>
          <w:highlight w:val="none"/>
          <w:lang w:eastAsia="zh-CN"/>
        </w:rPr>
        <w:t>真实和准确</w:t>
      </w:r>
      <w:r>
        <w:rPr>
          <w:rFonts w:hint="eastAsia" w:ascii="宋体" w:hAnsi="宋体" w:eastAsia="宋体" w:cs="宋体"/>
          <w:color w:val="auto"/>
          <w:sz w:val="24"/>
          <w:highlight w:val="none"/>
        </w:rPr>
        <w:t>。</w:t>
      </w:r>
    </w:p>
    <w:p w14:paraId="61E1F2A0">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4.1.4   投标文件编制时应有正确的索引目录及连续页码标注</w:t>
      </w:r>
      <w:r>
        <w:rPr>
          <w:rFonts w:hint="eastAsia" w:ascii="宋体" w:hAnsi="宋体" w:eastAsia="宋体" w:cs="宋体"/>
          <w:color w:val="auto"/>
          <w:sz w:val="24"/>
          <w:highlight w:val="none"/>
          <w:lang w:eastAsia="zh-CN"/>
        </w:rPr>
        <w:t>。</w:t>
      </w:r>
    </w:p>
    <w:p w14:paraId="1E2DB717">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4.1.5   投标文件</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清晰可辨，因模糊不清所引起的</w:t>
      </w:r>
      <w:r>
        <w:rPr>
          <w:rFonts w:hint="eastAsia" w:ascii="宋体" w:hAnsi="宋体" w:eastAsia="宋体" w:cs="宋体"/>
          <w:color w:val="auto"/>
          <w:sz w:val="24"/>
          <w:highlight w:val="none"/>
          <w:lang w:eastAsia="zh-CN"/>
        </w:rPr>
        <w:t>不利结果</w:t>
      </w:r>
      <w:r>
        <w:rPr>
          <w:rFonts w:hint="eastAsia" w:ascii="宋体" w:hAnsi="宋体" w:eastAsia="宋体" w:cs="宋体"/>
          <w:color w:val="auto"/>
          <w:sz w:val="24"/>
          <w:highlight w:val="none"/>
        </w:rPr>
        <w:t>由投标人自行</w:t>
      </w:r>
      <w:r>
        <w:rPr>
          <w:rFonts w:hint="eastAsia" w:ascii="宋体" w:hAnsi="宋体" w:eastAsia="宋体" w:cs="宋体"/>
          <w:color w:val="auto"/>
          <w:sz w:val="24"/>
          <w:highlight w:val="none"/>
          <w:lang w:eastAsia="zh-CN"/>
        </w:rPr>
        <w:t>承担</w:t>
      </w:r>
      <w:r>
        <w:rPr>
          <w:rFonts w:hint="eastAsia" w:ascii="宋体" w:hAnsi="宋体" w:eastAsia="宋体" w:cs="宋体"/>
          <w:color w:val="auto"/>
          <w:sz w:val="24"/>
          <w:highlight w:val="none"/>
        </w:rPr>
        <w:t>。</w:t>
      </w:r>
    </w:p>
    <w:p w14:paraId="450E32C1">
      <w:pPr>
        <w:pStyle w:val="229"/>
        <w:shd w:val="clear"/>
        <w:rPr>
          <w:rFonts w:hint="eastAsia" w:ascii="宋体" w:hAnsi="宋体" w:eastAsia="宋体" w:cs="宋体"/>
          <w:color w:val="auto"/>
          <w:highlight w:val="none"/>
        </w:rPr>
      </w:pPr>
      <w:bookmarkStart w:id="283" w:name="_Toc16312"/>
      <w:bookmarkStart w:id="284" w:name="_Toc6639"/>
      <w:bookmarkStart w:id="285" w:name="_Toc531359005"/>
      <w:bookmarkStart w:id="286" w:name="_Toc28928"/>
      <w:bookmarkStart w:id="287" w:name="_Toc16777"/>
      <w:bookmarkStart w:id="288" w:name="_Toc530551850"/>
      <w:bookmarkStart w:id="289" w:name="_Toc97212987"/>
      <w:bookmarkStart w:id="290" w:name="_Toc22936"/>
      <w:r>
        <w:rPr>
          <w:rFonts w:hint="eastAsia" w:ascii="宋体" w:hAnsi="宋体" w:eastAsia="宋体" w:cs="宋体"/>
          <w:color w:val="auto"/>
          <w:highlight w:val="none"/>
        </w:rPr>
        <w:t>4.2     投标报价要求</w:t>
      </w:r>
      <w:bookmarkEnd w:id="283"/>
      <w:bookmarkEnd w:id="284"/>
      <w:bookmarkEnd w:id="285"/>
      <w:bookmarkEnd w:id="286"/>
      <w:bookmarkEnd w:id="287"/>
      <w:bookmarkEnd w:id="288"/>
      <w:bookmarkEnd w:id="289"/>
      <w:bookmarkEnd w:id="290"/>
    </w:p>
    <w:p w14:paraId="4D38AF27">
      <w:pPr>
        <w:shd w:val="clear"/>
        <w:spacing w:line="360" w:lineRule="auto"/>
        <w:ind w:left="960" w:hanging="960" w:hangingChars="400"/>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4.2.1   ▲投标报价是履行合同的最终价格，</w:t>
      </w:r>
      <w:r>
        <w:rPr>
          <w:rFonts w:hint="eastAsia" w:ascii="宋体" w:hAnsi="宋体" w:eastAsia="宋体" w:cs="宋体"/>
          <w:bCs/>
          <w:color w:val="auto"/>
          <w:sz w:val="24"/>
          <w:highlight w:val="none"/>
          <w:lang w:eastAsia="zh-CN"/>
        </w:rPr>
        <w:t>是为实现</w:t>
      </w: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lang w:eastAsia="zh-CN"/>
        </w:rPr>
        <w:t>目标</w:t>
      </w:r>
      <w:r>
        <w:rPr>
          <w:rFonts w:hint="eastAsia" w:ascii="宋体" w:hAnsi="宋体" w:eastAsia="宋体" w:cs="宋体"/>
          <w:bCs/>
          <w:color w:val="auto"/>
          <w:sz w:val="24"/>
          <w:highlight w:val="none"/>
        </w:rPr>
        <w:t>所需的一切费用（含税费）</w:t>
      </w:r>
      <w:r>
        <w:rPr>
          <w:rFonts w:hint="eastAsia" w:ascii="宋体" w:hAnsi="宋体" w:eastAsia="宋体" w:cs="宋体"/>
          <w:bCs/>
          <w:color w:val="auto"/>
          <w:sz w:val="24"/>
          <w:highlight w:val="none"/>
          <w:lang w:eastAsia="zh-CN"/>
        </w:rPr>
        <w:t>。</w:t>
      </w:r>
      <w:r>
        <w:rPr>
          <w:rFonts w:hint="eastAsia" w:ascii="宋体" w:hAnsi="宋体" w:eastAsia="宋体" w:cs="宋体"/>
          <w:b/>
          <w:bCs w:val="0"/>
          <w:color w:val="auto"/>
          <w:sz w:val="24"/>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bCs/>
          <w:color w:val="auto"/>
          <w:sz w:val="24"/>
          <w:highlight w:val="none"/>
        </w:rPr>
        <w:t>投标文件中价格全部采用人民币报价。招标文件未列明，而投标人认为必需的费用也需列入报价。</w:t>
      </w:r>
    </w:p>
    <w:p w14:paraId="70D7A26D">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4.2.2   ▲投标文件只允许有一个报价，有选择的或有条件的报价将不予接受。</w:t>
      </w:r>
    </w:p>
    <w:p w14:paraId="3A217779">
      <w:pPr>
        <w:pStyle w:val="229"/>
        <w:shd w:val="clear"/>
        <w:rPr>
          <w:rFonts w:hint="eastAsia" w:ascii="宋体" w:hAnsi="宋体" w:eastAsia="宋体" w:cs="宋体"/>
          <w:color w:val="auto"/>
          <w:highlight w:val="none"/>
        </w:rPr>
      </w:pPr>
      <w:bookmarkStart w:id="291" w:name="_Toc18409"/>
      <w:bookmarkStart w:id="292" w:name="_Toc530551853"/>
      <w:bookmarkStart w:id="293" w:name="_Toc531359008"/>
      <w:bookmarkStart w:id="294" w:name="_Toc26474"/>
      <w:bookmarkStart w:id="295" w:name="_Toc6994"/>
      <w:bookmarkStart w:id="296" w:name="_Toc11575"/>
      <w:bookmarkStart w:id="297" w:name="_Toc97212988"/>
      <w:bookmarkStart w:id="298" w:name="_Toc15643"/>
      <w:r>
        <w:rPr>
          <w:rFonts w:hint="eastAsia" w:ascii="宋体" w:hAnsi="宋体" w:eastAsia="宋体" w:cs="宋体"/>
          <w:color w:val="auto"/>
          <w:highlight w:val="none"/>
        </w:rPr>
        <w:t>4.3     投标有效期</w:t>
      </w:r>
      <w:bookmarkEnd w:id="291"/>
      <w:bookmarkEnd w:id="292"/>
      <w:bookmarkEnd w:id="293"/>
      <w:bookmarkEnd w:id="294"/>
      <w:bookmarkEnd w:id="295"/>
      <w:bookmarkEnd w:id="296"/>
      <w:bookmarkEnd w:id="297"/>
      <w:bookmarkEnd w:id="298"/>
    </w:p>
    <w:p w14:paraId="14BDFB8D">
      <w:pPr>
        <w:shd w:val="clear"/>
        <w:spacing w:line="360" w:lineRule="auto"/>
        <w:ind w:left="960" w:hanging="960" w:hangingChars="400"/>
        <w:rPr>
          <w:rFonts w:hint="eastAsia" w:ascii="宋体" w:hAnsi="宋体" w:eastAsia="宋体" w:cs="宋体"/>
          <w:color w:val="auto"/>
          <w:sz w:val="24"/>
          <w:highlight w:val="none"/>
          <w:lang w:eastAsia="zh-CN"/>
        </w:rPr>
      </w:pPr>
      <w:bookmarkStart w:id="299" w:name="_Toc301187640"/>
      <w:r>
        <w:rPr>
          <w:rFonts w:hint="eastAsia" w:ascii="宋体" w:hAnsi="宋体" w:eastAsia="宋体" w:cs="宋体"/>
          <w:color w:val="auto"/>
          <w:sz w:val="24"/>
          <w:highlight w:val="none"/>
        </w:rPr>
        <w:t>4.3.1   ▲投标有效期：见投标人须知前附表（一）。投标有效期从提交投标文件的截止之日起算。投标文件中承诺的投标有效期</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不少于招标文件中载明的投标有效期</w:t>
      </w:r>
      <w:bookmarkEnd w:id="299"/>
      <w:r>
        <w:rPr>
          <w:rFonts w:hint="eastAsia" w:ascii="宋体" w:hAnsi="宋体" w:eastAsia="宋体" w:cs="宋体"/>
          <w:color w:val="auto"/>
          <w:sz w:val="24"/>
          <w:highlight w:val="none"/>
          <w:lang w:eastAsia="zh-CN"/>
        </w:rPr>
        <w:t>。</w:t>
      </w:r>
    </w:p>
    <w:p w14:paraId="33DF0EEF">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4.3.2   投标有效期结束前，采购人可与投标人协商延长投标有效期。</w:t>
      </w:r>
    </w:p>
    <w:p w14:paraId="126734BF">
      <w:pPr>
        <w:pStyle w:val="229"/>
        <w:shd w:val="clear"/>
        <w:rPr>
          <w:rFonts w:hint="eastAsia" w:ascii="宋体" w:hAnsi="宋体" w:eastAsia="宋体" w:cs="宋体"/>
          <w:color w:val="auto"/>
          <w:highlight w:val="none"/>
        </w:rPr>
      </w:pPr>
      <w:bookmarkStart w:id="300" w:name="_Toc27147"/>
      <w:bookmarkStart w:id="301" w:name="_Toc11700"/>
      <w:bookmarkStart w:id="302" w:name="_Toc24912"/>
      <w:bookmarkStart w:id="303" w:name="_Toc32148"/>
      <w:bookmarkStart w:id="304" w:name="_Toc97212989"/>
      <w:bookmarkStart w:id="305" w:name="_Toc20962"/>
      <w:bookmarkStart w:id="306" w:name="_Toc530551854"/>
      <w:bookmarkStart w:id="307" w:name="_Toc531359009"/>
      <w:r>
        <w:rPr>
          <w:rFonts w:hint="eastAsia" w:ascii="宋体" w:hAnsi="宋体" w:eastAsia="宋体" w:cs="宋体"/>
          <w:color w:val="auto"/>
          <w:highlight w:val="none"/>
        </w:rPr>
        <w:t>4.4     投标文件格式</w:t>
      </w:r>
      <w:bookmarkEnd w:id="300"/>
      <w:bookmarkEnd w:id="301"/>
      <w:bookmarkEnd w:id="302"/>
      <w:bookmarkEnd w:id="303"/>
      <w:bookmarkEnd w:id="304"/>
      <w:bookmarkEnd w:id="305"/>
      <w:bookmarkEnd w:id="306"/>
      <w:bookmarkEnd w:id="307"/>
    </w:p>
    <w:p w14:paraId="306DDF2E">
      <w:pPr>
        <w:shd w:val="clear"/>
        <w:spacing w:line="360" w:lineRule="auto"/>
        <w:ind w:left="945" w:left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投标文件格式见招标文件“第五章投标文件格式”，投标文件</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按照招标文件已提供的格式填写，无格式的可自行设计。</w:t>
      </w:r>
    </w:p>
    <w:p w14:paraId="5AF13004">
      <w:pPr>
        <w:pStyle w:val="229"/>
        <w:shd w:val="clear"/>
        <w:rPr>
          <w:rFonts w:hint="eastAsia" w:ascii="宋体" w:hAnsi="宋体" w:eastAsia="宋体" w:cs="宋体"/>
          <w:color w:val="auto"/>
          <w:highlight w:val="none"/>
        </w:rPr>
      </w:pPr>
      <w:bookmarkStart w:id="308" w:name="_Toc8420"/>
      <w:bookmarkStart w:id="309" w:name="_Toc3183"/>
      <w:bookmarkStart w:id="310" w:name="_Toc531359010"/>
      <w:bookmarkStart w:id="311" w:name="_Toc19054"/>
      <w:bookmarkStart w:id="312" w:name="_Toc530551855"/>
      <w:bookmarkStart w:id="313" w:name="_Toc24788"/>
      <w:bookmarkStart w:id="314" w:name="_Toc97212990"/>
      <w:bookmarkStart w:id="315" w:name="_Toc2077"/>
      <w:r>
        <w:rPr>
          <w:rFonts w:hint="eastAsia" w:ascii="宋体" w:hAnsi="宋体" w:eastAsia="宋体" w:cs="宋体"/>
          <w:color w:val="auto"/>
          <w:highlight w:val="none"/>
        </w:rPr>
        <w:t>4.5     投标文件份数及签署</w:t>
      </w:r>
      <w:bookmarkEnd w:id="308"/>
      <w:bookmarkEnd w:id="309"/>
      <w:bookmarkEnd w:id="310"/>
      <w:bookmarkEnd w:id="311"/>
      <w:bookmarkEnd w:id="312"/>
      <w:bookmarkEnd w:id="313"/>
      <w:bookmarkEnd w:id="314"/>
      <w:bookmarkEnd w:id="315"/>
    </w:p>
    <w:p w14:paraId="78BAFBCA">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4.5.1   投标文件份数：见投标人须知前附表（一）；</w:t>
      </w:r>
    </w:p>
    <w:p w14:paraId="5A0AB0DE">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4.5.2   投标文件中所须加盖公章部分均采用CA签章。</w:t>
      </w:r>
    </w:p>
    <w:p w14:paraId="6405042A">
      <w:pPr>
        <w:pStyle w:val="229"/>
        <w:shd w:val="clea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6</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eastAsia="zh-CN"/>
        </w:rPr>
        <w:t>注意事项</w:t>
      </w:r>
    </w:p>
    <w:p w14:paraId="00A5964F">
      <w:pPr>
        <w:shd w:val="clear"/>
        <w:spacing w:line="360" w:lineRule="auto"/>
        <w:ind w:left="960" w:hanging="960" w:hanging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4.6.1   </w:t>
      </w:r>
      <w:r>
        <w:rPr>
          <w:rFonts w:hint="eastAsia" w:ascii="宋体" w:hAnsi="宋体" w:eastAsia="宋体" w:cs="宋体"/>
          <w:color w:val="auto"/>
          <w:sz w:val="24"/>
          <w:highlight w:val="none"/>
          <w:lang w:val="zh-CN"/>
        </w:rPr>
        <w:t>投标人进行电子投标应</w:t>
      </w:r>
      <w:r>
        <w:rPr>
          <w:rFonts w:hint="eastAsia" w:ascii="宋体" w:hAnsi="宋体" w:eastAsia="宋体" w:cs="宋体"/>
          <w:color w:val="auto"/>
          <w:sz w:val="24"/>
          <w:highlight w:val="none"/>
          <w:lang w:val="en-US" w:eastAsia="zh-CN"/>
        </w:rPr>
        <w:t>提前注册浙江省政府采购网正式供应商，</w:t>
      </w:r>
      <w:r>
        <w:rPr>
          <w:rFonts w:hint="eastAsia" w:ascii="宋体" w:hAnsi="宋体" w:eastAsia="宋体" w:cs="宋体"/>
          <w:color w:val="auto"/>
          <w:sz w:val="24"/>
          <w:highlight w:val="none"/>
          <w:lang w:val="zh-CN"/>
        </w:rPr>
        <w:t>安装客户端软件—“政采云电子交易客户端”，并按照招标文件和电子交易平台的要求编制并加密投标文件。投标人未按规定加密的投标文件，电子交易平台将拒收并提示。</w:t>
      </w:r>
    </w:p>
    <w:p w14:paraId="34BE9EDA">
      <w:pPr>
        <w:shd w:val="clear"/>
        <w:spacing w:line="360" w:lineRule="auto"/>
        <w:ind w:left="960" w:hanging="960" w:hanging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4.6.2   </w:t>
      </w:r>
      <w:r>
        <w:rPr>
          <w:rFonts w:hint="eastAsia" w:ascii="宋体" w:hAnsi="宋体" w:eastAsia="宋体" w:cs="宋体"/>
          <w:color w:val="auto"/>
          <w:sz w:val="24"/>
          <w:highlight w:val="none"/>
          <w:lang w:val="zh-CN"/>
        </w:rPr>
        <w:t>使用“政采云电子交易客户端”需要提前申领CA数字证书，申领流程请自行前往“浙江政府采购网-下载专区-电子交易客户端-CA驱动和申领流程”进行查阅。</w:t>
      </w:r>
    </w:p>
    <w:p w14:paraId="563D7294">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4.6.3   </w:t>
      </w:r>
      <w:r>
        <w:rPr>
          <w:rFonts w:hint="eastAsia" w:ascii="宋体" w:hAnsi="宋体" w:eastAsia="宋体" w:cs="宋体"/>
          <w:color w:val="auto"/>
          <w:sz w:val="24"/>
          <w:highlight w:val="none"/>
        </w:rPr>
        <w:t>投标人在</w:t>
      </w:r>
      <w:r>
        <w:rPr>
          <w:rFonts w:hint="eastAsia" w:ascii="宋体" w:hAnsi="宋体" w:eastAsia="宋体" w:cs="宋体"/>
          <w:color w:val="auto"/>
          <w:sz w:val="24"/>
          <w:highlight w:val="none"/>
          <w:lang w:eastAsia="zh-CN"/>
        </w:rPr>
        <w:t>编制电子投标文件</w:t>
      </w:r>
      <w:r>
        <w:rPr>
          <w:rFonts w:hint="eastAsia" w:ascii="宋体" w:hAnsi="宋体" w:eastAsia="宋体" w:cs="宋体"/>
          <w:color w:val="auto"/>
          <w:sz w:val="24"/>
          <w:highlight w:val="none"/>
        </w:rPr>
        <w:t>过程中</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rPr>
        <w:t>遇到</w:t>
      </w:r>
      <w:r>
        <w:rPr>
          <w:rFonts w:hint="eastAsia" w:ascii="宋体" w:hAnsi="宋体" w:eastAsia="宋体" w:cs="宋体"/>
          <w:color w:val="auto"/>
          <w:sz w:val="24"/>
          <w:highlight w:val="none"/>
          <w:lang w:eastAsia="zh-CN"/>
        </w:rPr>
        <w:t>政采云</w:t>
      </w:r>
      <w:r>
        <w:rPr>
          <w:rFonts w:hint="eastAsia" w:ascii="宋体" w:hAnsi="宋体" w:eastAsia="宋体" w:cs="宋体"/>
          <w:color w:val="auto"/>
          <w:sz w:val="24"/>
          <w:highlight w:val="none"/>
        </w:rPr>
        <w:t>平台</w:t>
      </w:r>
      <w:r>
        <w:rPr>
          <w:rFonts w:hint="eastAsia" w:ascii="宋体" w:hAnsi="宋体" w:eastAsia="宋体" w:cs="宋体"/>
          <w:color w:val="auto"/>
          <w:sz w:val="24"/>
          <w:highlight w:val="none"/>
          <w:lang w:eastAsia="zh-CN"/>
        </w:rPr>
        <w:t>系统</w:t>
      </w:r>
      <w:r>
        <w:rPr>
          <w:rFonts w:hint="eastAsia" w:ascii="宋体" w:hAnsi="宋体" w:eastAsia="宋体" w:cs="宋体"/>
          <w:color w:val="auto"/>
          <w:sz w:val="24"/>
          <w:highlight w:val="none"/>
        </w:rPr>
        <w:t>使用问题</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，可致电</w:t>
      </w:r>
      <w:r>
        <w:rPr>
          <w:rFonts w:hint="eastAsia" w:ascii="宋体" w:hAnsi="宋体" w:eastAsia="宋体" w:cs="宋体"/>
          <w:color w:val="auto"/>
          <w:sz w:val="24"/>
          <w:highlight w:val="none"/>
          <w:lang w:eastAsia="zh-CN"/>
        </w:rPr>
        <w:t>政采云平台</w:t>
      </w:r>
      <w:r>
        <w:rPr>
          <w:rFonts w:hint="eastAsia" w:ascii="宋体" w:hAnsi="宋体" w:eastAsia="宋体" w:cs="宋体"/>
          <w:color w:val="auto"/>
          <w:sz w:val="24"/>
          <w:highlight w:val="none"/>
        </w:rPr>
        <w:t>技术支持热线，咨询</w:t>
      </w:r>
      <w:r>
        <w:rPr>
          <w:rFonts w:hint="eastAsia" w:ascii="宋体" w:hAnsi="宋体" w:eastAsia="宋体" w:cs="宋体"/>
          <w:color w:val="auto"/>
          <w:sz w:val="24"/>
          <w:highlight w:val="none"/>
          <w:lang w:eastAsia="zh-CN"/>
        </w:rPr>
        <w:t>电话</w:t>
      </w:r>
      <w:r>
        <w:rPr>
          <w:rFonts w:hint="eastAsia" w:ascii="宋体" w:hAnsi="宋体" w:eastAsia="宋体" w:cs="宋体"/>
          <w:color w:val="auto"/>
          <w:sz w:val="24"/>
          <w:highlight w:val="none"/>
        </w:rPr>
        <w:t>式：95763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或在线咨询</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咨询小采</w:t>
      </w:r>
      <w:r>
        <w:rPr>
          <w:rFonts w:hint="eastAsia" w:ascii="宋体" w:hAnsi="宋体" w:eastAsia="宋体" w:cs="宋体"/>
          <w:color w:val="auto"/>
          <w:sz w:val="24"/>
          <w:highlight w:val="none"/>
          <w:lang w:val="zh-CN"/>
        </w:rPr>
        <w:t>”。</w:t>
      </w:r>
    </w:p>
    <w:p w14:paraId="490C3B5C">
      <w:pPr>
        <w:pStyle w:val="42"/>
        <w:shd w:val="clear"/>
        <w:spacing w:beforeLines="100" w:after="240" w:afterLines="100"/>
        <w:jc w:val="left"/>
        <w:outlineLvl w:val="1"/>
        <w:rPr>
          <w:rFonts w:hint="eastAsia" w:ascii="宋体" w:hAnsi="宋体" w:eastAsia="宋体" w:cs="宋体"/>
          <w:color w:val="auto"/>
          <w:sz w:val="30"/>
          <w:szCs w:val="30"/>
          <w:highlight w:val="none"/>
        </w:rPr>
      </w:pPr>
      <w:bookmarkStart w:id="316" w:name="_Toc97212991"/>
      <w:bookmarkStart w:id="317" w:name="_Toc22400"/>
      <w:bookmarkStart w:id="318" w:name="_Toc16650"/>
      <w:bookmarkStart w:id="319" w:name="_Toc530551856"/>
      <w:bookmarkStart w:id="320" w:name="_Toc8421"/>
      <w:bookmarkStart w:id="321" w:name="_Toc17773"/>
      <w:bookmarkStart w:id="322" w:name="_Toc531359011"/>
      <w:bookmarkStart w:id="323" w:name="_Toc25169"/>
      <w:r>
        <w:rPr>
          <w:rFonts w:hint="eastAsia" w:ascii="宋体" w:hAnsi="宋体" w:eastAsia="宋体" w:cs="宋体"/>
          <w:color w:val="auto"/>
          <w:sz w:val="30"/>
          <w:szCs w:val="30"/>
          <w:highlight w:val="none"/>
        </w:rPr>
        <w:t>五    投标文件提交</w:t>
      </w:r>
      <w:bookmarkEnd w:id="316"/>
      <w:bookmarkEnd w:id="317"/>
      <w:bookmarkEnd w:id="318"/>
      <w:bookmarkEnd w:id="319"/>
      <w:bookmarkEnd w:id="320"/>
      <w:bookmarkEnd w:id="321"/>
      <w:bookmarkEnd w:id="322"/>
      <w:bookmarkEnd w:id="323"/>
    </w:p>
    <w:p w14:paraId="7552459C">
      <w:pPr>
        <w:pStyle w:val="229"/>
        <w:shd w:val="clear"/>
        <w:rPr>
          <w:rFonts w:hint="eastAsia" w:ascii="宋体" w:hAnsi="宋体" w:eastAsia="宋体" w:cs="宋体"/>
          <w:color w:val="auto"/>
          <w:highlight w:val="none"/>
        </w:rPr>
      </w:pPr>
      <w:bookmarkStart w:id="324" w:name="_Toc530551857"/>
      <w:bookmarkStart w:id="325" w:name="_Toc531359012"/>
      <w:bookmarkStart w:id="326" w:name="_Toc7221"/>
      <w:bookmarkStart w:id="327" w:name="_Toc18884"/>
      <w:bookmarkStart w:id="328" w:name="_Toc29007"/>
      <w:bookmarkStart w:id="329" w:name="_Toc8096"/>
      <w:bookmarkStart w:id="330" w:name="_Toc4800"/>
      <w:bookmarkStart w:id="331" w:name="_Toc97212992"/>
      <w:r>
        <w:rPr>
          <w:rFonts w:hint="eastAsia" w:ascii="宋体" w:hAnsi="宋体" w:eastAsia="宋体" w:cs="宋体"/>
          <w:color w:val="auto"/>
          <w:highlight w:val="none"/>
        </w:rPr>
        <w:t>5.1     投标文件导入</w:t>
      </w:r>
      <w:bookmarkEnd w:id="324"/>
      <w:bookmarkEnd w:id="325"/>
      <w:r>
        <w:rPr>
          <w:rFonts w:hint="eastAsia" w:ascii="宋体" w:hAnsi="宋体" w:eastAsia="宋体" w:cs="宋体"/>
          <w:color w:val="auto"/>
          <w:highlight w:val="none"/>
        </w:rPr>
        <w:t>和加密</w:t>
      </w:r>
      <w:bookmarkEnd w:id="326"/>
      <w:bookmarkEnd w:id="327"/>
      <w:bookmarkEnd w:id="328"/>
      <w:bookmarkEnd w:id="329"/>
      <w:bookmarkEnd w:id="330"/>
      <w:bookmarkEnd w:id="331"/>
    </w:p>
    <w:p w14:paraId="3BBE3368">
      <w:pPr>
        <w:shd w:val="clear"/>
        <w:wordWrap w:val="0"/>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5.1.1   投标人</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按照</w:t>
      </w:r>
      <w:r>
        <w:rPr>
          <w:rFonts w:hint="eastAsia" w:ascii="宋体" w:hAnsi="宋体" w:eastAsia="宋体" w:cs="宋体"/>
          <w:bCs w:val="0"/>
          <w:color w:val="auto"/>
          <w:sz w:val="24"/>
          <w:szCs w:val="22"/>
          <w:highlight w:val="none"/>
          <w:u w:val="none"/>
          <w:lang w:val="en-US" w:eastAsia="zh-CN"/>
        </w:rPr>
        <w:t>资格文件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商务技术文件</w:t>
      </w:r>
      <w:r>
        <w:rPr>
          <w:rFonts w:hint="eastAsia" w:ascii="宋体" w:hAnsi="宋体" w:eastAsia="宋体" w:cs="宋体"/>
          <w:color w:val="auto"/>
          <w:sz w:val="24"/>
          <w:highlight w:val="none"/>
        </w:rPr>
        <w:t>和报价文件</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分别导入相应位置，各文件之间不得导错位置</w:t>
      </w:r>
      <w:r>
        <w:rPr>
          <w:rFonts w:hint="eastAsia" w:ascii="宋体" w:hAnsi="宋体" w:eastAsia="宋体" w:cs="宋体"/>
          <w:color w:val="auto"/>
          <w:sz w:val="24"/>
          <w:highlight w:val="none"/>
          <w:lang w:eastAsia="zh-CN"/>
        </w:rPr>
        <w:t>。</w:t>
      </w:r>
    </w:p>
    <w:p w14:paraId="1C5BF8AF">
      <w:pPr>
        <w:shd w:val="clear"/>
        <w:wordWrap w:val="0"/>
        <w:spacing w:line="360" w:lineRule="auto"/>
        <w:ind w:left="960" w:hanging="960" w:hanging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5.1.2   </w:t>
      </w:r>
      <w:r>
        <w:rPr>
          <w:rFonts w:hint="eastAsia" w:ascii="宋体" w:hAnsi="宋体" w:eastAsia="宋体" w:cs="宋体"/>
          <w:color w:val="auto"/>
          <w:sz w:val="24"/>
          <w:highlight w:val="none"/>
          <w:lang w:eastAsia="zh-CN"/>
        </w:rPr>
        <w:t>投标人按照招标文件和政采云平台的要求编制并加密投标文件，并确认将投标文件提交至政采云平台。</w:t>
      </w:r>
    </w:p>
    <w:p w14:paraId="59598B13">
      <w:pPr>
        <w:pStyle w:val="229"/>
        <w:shd w:val="clear"/>
        <w:rPr>
          <w:rFonts w:hint="eastAsia" w:ascii="宋体" w:hAnsi="宋体" w:eastAsia="宋体" w:cs="宋体"/>
          <w:color w:val="auto"/>
          <w:highlight w:val="none"/>
        </w:rPr>
      </w:pPr>
      <w:bookmarkStart w:id="332" w:name="_Toc530551858"/>
      <w:bookmarkStart w:id="333" w:name="_Toc12009"/>
      <w:bookmarkStart w:id="334" w:name="_Toc30184"/>
      <w:bookmarkStart w:id="335" w:name="_Toc11228"/>
      <w:bookmarkStart w:id="336" w:name="_Toc3997"/>
      <w:bookmarkStart w:id="337" w:name="_Toc97212993"/>
      <w:bookmarkStart w:id="338" w:name="_Toc531359013"/>
      <w:bookmarkStart w:id="339" w:name="_Toc8870"/>
      <w:r>
        <w:rPr>
          <w:rFonts w:hint="eastAsia" w:ascii="宋体" w:hAnsi="宋体" w:eastAsia="宋体" w:cs="宋体"/>
          <w:color w:val="auto"/>
          <w:highlight w:val="none"/>
        </w:rPr>
        <w:t>5.2     投标文件提交</w:t>
      </w:r>
      <w:bookmarkEnd w:id="332"/>
      <w:bookmarkEnd w:id="333"/>
      <w:bookmarkEnd w:id="334"/>
      <w:bookmarkEnd w:id="335"/>
      <w:bookmarkEnd w:id="336"/>
      <w:bookmarkEnd w:id="337"/>
      <w:bookmarkEnd w:id="338"/>
      <w:bookmarkEnd w:id="339"/>
    </w:p>
    <w:p w14:paraId="6F145F85">
      <w:pPr>
        <w:shd w:val="clear"/>
        <w:spacing w:line="360" w:lineRule="auto"/>
        <w:ind w:left="960" w:hanging="960" w:hangingChars="400"/>
        <w:rPr>
          <w:rFonts w:hint="eastAsia" w:ascii="宋体" w:hAnsi="宋体" w:eastAsia="宋体" w:cs="宋体"/>
          <w:color w:val="auto"/>
          <w:sz w:val="24"/>
          <w:highlight w:val="none"/>
          <w:lang w:eastAsia="zh-CN"/>
        </w:rPr>
      </w:pPr>
      <w:bookmarkStart w:id="340" w:name="_Toc301187685"/>
      <w:r>
        <w:rPr>
          <w:rFonts w:hint="eastAsia" w:ascii="宋体" w:hAnsi="宋体" w:eastAsia="宋体" w:cs="宋体"/>
          <w:color w:val="auto"/>
          <w:sz w:val="24"/>
          <w:highlight w:val="none"/>
        </w:rPr>
        <w:t>5.2.1</w:t>
      </w:r>
      <w:bookmarkEnd w:id="340"/>
      <w:r>
        <w:rPr>
          <w:rFonts w:hint="eastAsia" w:ascii="宋体" w:hAnsi="宋体" w:eastAsia="宋体" w:cs="宋体"/>
          <w:color w:val="auto"/>
          <w:sz w:val="24"/>
          <w:highlight w:val="none"/>
        </w:rPr>
        <w:t xml:space="preserve">   提交投标文件截止时间：见第一章招标公告</w:t>
      </w:r>
      <w:r>
        <w:rPr>
          <w:rFonts w:hint="eastAsia" w:ascii="宋体" w:hAnsi="宋体" w:eastAsia="宋体" w:cs="宋体"/>
          <w:color w:val="auto"/>
          <w:sz w:val="24"/>
          <w:highlight w:val="none"/>
          <w:lang w:eastAsia="zh-CN"/>
        </w:rPr>
        <w:t>。</w:t>
      </w:r>
    </w:p>
    <w:p w14:paraId="2F658DB8">
      <w:pPr>
        <w:shd w:val="clear"/>
        <w:spacing w:line="360" w:lineRule="auto"/>
        <w:ind w:left="960" w:hanging="960" w:hangingChars="400"/>
        <w:rPr>
          <w:rFonts w:hint="eastAsia" w:ascii="宋体" w:hAnsi="宋体" w:eastAsia="宋体" w:cs="宋体"/>
          <w:color w:val="auto"/>
          <w:sz w:val="24"/>
          <w:highlight w:val="none"/>
          <w:lang w:eastAsia="zh-CN"/>
        </w:rPr>
      </w:pPr>
      <w:bookmarkStart w:id="341" w:name="_Toc301187686"/>
      <w:r>
        <w:rPr>
          <w:rFonts w:hint="eastAsia" w:ascii="宋体" w:hAnsi="宋体" w:eastAsia="宋体" w:cs="宋体"/>
          <w:color w:val="auto"/>
          <w:sz w:val="24"/>
          <w:highlight w:val="none"/>
        </w:rPr>
        <w:t xml:space="preserve">5.2.2   </w:t>
      </w:r>
      <w:bookmarkEnd w:id="341"/>
      <w:r>
        <w:rPr>
          <w:rFonts w:hint="eastAsia" w:ascii="宋体" w:hAnsi="宋体" w:eastAsia="宋体" w:cs="宋体"/>
          <w:color w:val="auto"/>
          <w:sz w:val="24"/>
          <w:highlight w:val="none"/>
        </w:rPr>
        <w:t>提交投标文件地点：见第一章招标公告</w:t>
      </w:r>
      <w:r>
        <w:rPr>
          <w:rFonts w:hint="eastAsia" w:ascii="宋体" w:hAnsi="宋体" w:eastAsia="宋体" w:cs="宋体"/>
          <w:color w:val="auto"/>
          <w:sz w:val="24"/>
          <w:highlight w:val="none"/>
          <w:lang w:eastAsia="zh-CN"/>
        </w:rPr>
        <w:t>。</w:t>
      </w:r>
    </w:p>
    <w:p w14:paraId="258F8322">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投标人所提交的投标文件</w:t>
      </w:r>
      <w:r>
        <w:rPr>
          <w:rFonts w:hint="eastAsia" w:ascii="宋体" w:hAnsi="宋体" w:eastAsia="宋体" w:cs="宋体"/>
          <w:color w:val="auto"/>
          <w:sz w:val="24"/>
          <w:highlight w:val="none"/>
          <w:lang w:eastAsia="zh-CN"/>
        </w:rPr>
        <w:t>将</w:t>
      </w:r>
      <w:r>
        <w:rPr>
          <w:rFonts w:hint="eastAsia" w:ascii="宋体" w:hAnsi="宋体" w:eastAsia="宋体" w:cs="宋体"/>
          <w:color w:val="auto"/>
          <w:sz w:val="24"/>
          <w:highlight w:val="none"/>
        </w:rPr>
        <w:t>不予退还。</w:t>
      </w:r>
    </w:p>
    <w:p w14:paraId="3FC984C7">
      <w:pPr>
        <w:pStyle w:val="229"/>
        <w:shd w:val="clear"/>
        <w:rPr>
          <w:rFonts w:hint="eastAsia" w:ascii="宋体" w:hAnsi="宋体" w:eastAsia="宋体" w:cs="宋体"/>
          <w:color w:val="auto"/>
          <w:highlight w:val="none"/>
        </w:rPr>
      </w:pPr>
      <w:bookmarkStart w:id="342" w:name="_Toc531359014"/>
      <w:bookmarkStart w:id="343" w:name="_Toc97212994"/>
      <w:bookmarkStart w:id="344" w:name="_Toc25946"/>
      <w:bookmarkStart w:id="345" w:name="_Toc3335"/>
      <w:bookmarkStart w:id="346" w:name="_Toc530551859"/>
      <w:bookmarkStart w:id="347" w:name="_Toc26927"/>
      <w:bookmarkStart w:id="348" w:name="_Toc14920"/>
      <w:bookmarkStart w:id="349" w:name="_Toc19130"/>
      <w:r>
        <w:rPr>
          <w:rFonts w:hint="eastAsia" w:ascii="宋体" w:hAnsi="宋体" w:eastAsia="宋体" w:cs="宋体"/>
          <w:color w:val="auto"/>
          <w:highlight w:val="none"/>
        </w:rPr>
        <w:t>5.3     投标文件修改和撤回</w:t>
      </w:r>
      <w:bookmarkEnd w:id="342"/>
      <w:bookmarkEnd w:id="343"/>
      <w:bookmarkEnd w:id="344"/>
      <w:bookmarkEnd w:id="345"/>
      <w:bookmarkEnd w:id="346"/>
      <w:bookmarkEnd w:id="347"/>
      <w:bookmarkEnd w:id="348"/>
      <w:bookmarkEnd w:id="349"/>
    </w:p>
    <w:p w14:paraId="1EFAE7A4">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5.3.1   在</w:t>
      </w: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highlight w:val="none"/>
        </w:rPr>
        <w:t>前，投标人可对已提交的</w:t>
      </w:r>
      <w:r>
        <w:rPr>
          <w:rFonts w:hint="eastAsia" w:ascii="宋体" w:hAnsi="宋体" w:eastAsia="宋体" w:cs="宋体"/>
          <w:color w:val="auto"/>
          <w:kern w:val="0"/>
          <w:sz w:val="24"/>
          <w:highlight w:val="none"/>
        </w:rPr>
        <w:t>投标文件</w:t>
      </w:r>
      <w:r>
        <w:rPr>
          <w:rFonts w:hint="eastAsia" w:ascii="宋体" w:hAnsi="宋体" w:eastAsia="宋体" w:cs="宋体"/>
          <w:color w:val="auto"/>
          <w:sz w:val="24"/>
          <w:highlight w:val="none"/>
        </w:rPr>
        <w:t>进行补充、修改或撤回。补充、修改投标文件的，</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先行撤回原文件，补充、修改后</w:t>
      </w:r>
      <w:r>
        <w:rPr>
          <w:rFonts w:hint="eastAsia" w:ascii="宋体" w:hAnsi="宋体" w:eastAsia="宋体" w:cs="宋体"/>
          <w:color w:val="auto"/>
          <w:sz w:val="24"/>
          <w:highlight w:val="none"/>
          <w:lang w:eastAsia="zh-CN"/>
        </w:rPr>
        <w:t>按要求</w:t>
      </w:r>
      <w:r>
        <w:rPr>
          <w:rFonts w:hint="eastAsia" w:ascii="宋体" w:hAnsi="宋体" w:eastAsia="宋体" w:cs="宋体"/>
          <w:color w:val="auto"/>
          <w:sz w:val="24"/>
          <w:highlight w:val="none"/>
        </w:rPr>
        <w:t>重新生成加密的投标文件并重新上传提交</w:t>
      </w:r>
      <w:r>
        <w:rPr>
          <w:rFonts w:hint="eastAsia" w:ascii="宋体" w:hAnsi="宋体" w:eastAsia="宋体" w:cs="宋体"/>
          <w:color w:val="auto"/>
          <w:sz w:val="24"/>
          <w:highlight w:val="none"/>
          <w:lang w:eastAsia="zh-CN"/>
        </w:rPr>
        <w:t>。</w:t>
      </w:r>
    </w:p>
    <w:p w14:paraId="094CB8C6">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5.3.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在</w:t>
      </w: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highlight w:val="none"/>
        </w:rPr>
        <w:t>后，投标人不得修改、撤回已提交的投标文件。</w:t>
      </w:r>
    </w:p>
    <w:p w14:paraId="4858314E">
      <w:pPr>
        <w:pStyle w:val="229"/>
        <w:shd w:val="clear"/>
        <w:rPr>
          <w:rFonts w:hint="eastAsia" w:ascii="宋体" w:hAnsi="宋体" w:eastAsia="宋体" w:cs="宋体"/>
          <w:color w:val="auto"/>
          <w:sz w:val="24"/>
          <w:highlight w:val="none"/>
          <w:lang w:val="en-US" w:eastAsia="zh-CN"/>
        </w:rPr>
      </w:pPr>
      <w:bookmarkStart w:id="350" w:name="_Toc18421"/>
      <w:r>
        <w:rPr>
          <w:rFonts w:hint="eastAsia" w:ascii="宋体" w:hAnsi="宋体" w:eastAsia="宋体" w:cs="宋体"/>
          <w:color w:val="auto"/>
          <w:sz w:val="24"/>
          <w:highlight w:val="none"/>
          <w:lang w:val="en-US" w:eastAsia="zh-CN"/>
        </w:rPr>
        <w:t>5.4     备份投标文件的提交</w:t>
      </w:r>
      <w:bookmarkEnd w:id="350"/>
    </w:p>
    <w:p w14:paraId="3B5A58EF">
      <w:pPr>
        <w:spacing w:line="360" w:lineRule="auto"/>
        <w:ind w:left="960" w:hanging="960" w:hanging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5.4.1   投标人在政采云平台上传提交投标文件后，还可以在投标截止时间前</w:t>
      </w:r>
      <w:r>
        <w:rPr>
          <w:rFonts w:hint="eastAsia" w:ascii="宋体" w:hAnsi="宋体" w:eastAsia="宋体" w:cs="宋体"/>
          <w:i w:val="0"/>
          <w:iCs w:val="0"/>
          <w:color w:val="auto"/>
          <w:sz w:val="24"/>
          <w:szCs w:val="24"/>
          <w:highlight w:val="none"/>
        </w:rPr>
        <w:t>按采购文件规定提交备份投标文件</w:t>
      </w:r>
      <w:r>
        <w:rPr>
          <w:rFonts w:hint="eastAsia" w:ascii="宋体" w:hAnsi="宋体" w:eastAsia="宋体" w:cs="宋体"/>
          <w:i w:val="0"/>
          <w:iCs w:val="0"/>
          <w:color w:val="auto"/>
          <w:sz w:val="24"/>
          <w:highlight w:val="none"/>
        </w:rPr>
        <w:t>1份，但采购人、采购代理机构不强制或变相强制投标人提交备份投标文件。</w:t>
      </w:r>
    </w:p>
    <w:p w14:paraId="61758509">
      <w:pPr>
        <w:spacing w:line="360" w:lineRule="auto"/>
        <w:ind w:left="960" w:hanging="960" w:hanging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5.4.2   </w:t>
      </w:r>
      <w:r>
        <w:rPr>
          <w:rFonts w:hint="eastAsia" w:ascii="宋体" w:hAnsi="宋体" w:eastAsia="宋体" w:cs="宋体"/>
          <w:i w:val="0"/>
          <w:iCs w:val="0"/>
          <w:color w:val="auto"/>
          <w:sz w:val="24"/>
          <w:szCs w:val="24"/>
          <w:highlight w:val="none"/>
        </w:rPr>
        <w:t>电子加密投标文件未按时解密或解密失败的，可启用备份投标文件，以备份投标文件为准。电子加密投标文件未按时解密，又未提交备份投标文件，视为投标文件撤回。</w:t>
      </w:r>
    </w:p>
    <w:p w14:paraId="74F348A2">
      <w:pPr>
        <w:spacing w:line="360" w:lineRule="auto"/>
        <w:ind w:left="960" w:hanging="960" w:hanging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5.4.3   备份投标文件须在“政采云投标客户端”制作生成，并</w:t>
      </w:r>
      <w:r>
        <w:rPr>
          <w:rFonts w:hint="eastAsia" w:ascii="宋体" w:hAnsi="宋体" w:eastAsia="宋体" w:cs="宋体"/>
          <w:i w:val="0"/>
          <w:iCs w:val="0"/>
          <w:color w:val="auto"/>
          <w:sz w:val="24"/>
          <w:szCs w:val="24"/>
          <w:highlight w:val="none"/>
        </w:rPr>
        <w:t>按采购文件规定提交</w:t>
      </w:r>
      <w:r>
        <w:rPr>
          <w:rFonts w:hint="eastAsia" w:ascii="宋体" w:hAnsi="宋体" w:eastAsia="宋体" w:cs="宋体"/>
          <w:i w:val="0"/>
          <w:iCs w:val="0"/>
          <w:color w:val="auto"/>
          <w:sz w:val="24"/>
          <w:highlight w:val="none"/>
        </w:rPr>
        <w:t>。</w:t>
      </w:r>
    </w:p>
    <w:p w14:paraId="05FE5C9C">
      <w:pPr>
        <w:spacing w:line="360" w:lineRule="auto"/>
        <w:ind w:left="960" w:hanging="960" w:hangingChars="4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5.4.4   投标人仅提交备份投标文件，未在政采云平台上传提交投标文件的，投标无效。</w:t>
      </w:r>
    </w:p>
    <w:p w14:paraId="2BD1CA76">
      <w:pPr>
        <w:pStyle w:val="42"/>
        <w:shd w:val="clear"/>
        <w:spacing w:beforeLines="100" w:after="240" w:afterLines="100"/>
        <w:jc w:val="left"/>
        <w:outlineLvl w:val="1"/>
        <w:rPr>
          <w:rFonts w:hint="eastAsia" w:ascii="宋体" w:hAnsi="宋体" w:eastAsia="宋体" w:cs="宋体"/>
          <w:color w:val="auto"/>
          <w:sz w:val="30"/>
          <w:szCs w:val="30"/>
          <w:highlight w:val="none"/>
        </w:rPr>
      </w:pPr>
      <w:bookmarkStart w:id="351" w:name="_Toc16190"/>
      <w:bookmarkStart w:id="352" w:name="_Toc22147"/>
      <w:bookmarkStart w:id="353" w:name="_Toc3959"/>
      <w:bookmarkStart w:id="354" w:name="_Toc531359017"/>
      <w:bookmarkStart w:id="355" w:name="_Toc29653"/>
      <w:bookmarkStart w:id="356" w:name="_Toc530551861"/>
      <w:bookmarkStart w:id="357" w:name="_Toc97212997"/>
      <w:bookmarkStart w:id="358" w:name="_Toc23217"/>
      <w:r>
        <w:rPr>
          <w:rFonts w:hint="eastAsia" w:ascii="宋体" w:hAnsi="宋体" w:eastAsia="宋体" w:cs="宋体"/>
          <w:color w:val="auto"/>
          <w:sz w:val="30"/>
          <w:szCs w:val="30"/>
          <w:highlight w:val="none"/>
        </w:rPr>
        <w:t>六    开标、资格审查、评标</w:t>
      </w:r>
      <w:bookmarkEnd w:id="351"/>
      <w:bookmarkEnd w:id="352"/>
      <w:bookmarkEnd w:id="353"/>
      <w:bookmarkEnd w:id="354"/>
      <w:bookmarkEnd w:id="355"/>
      <w:bookmarkEnd w:id="356"/>
      <w:bookmarkEnd w:id="357"/>
      <w:bookmarkEnd w:id="358"/>
    </w:p>
    <w:p w14:paraId="474EDDBD">
      <w:pPr>
        <w:pStyle w:val="229"/>
        <w:shd w:val="clear"/>
        <w:rPr>
          <w:rFonts w:hint="eastAsia" w:ascii="宋体" w:hAnsi="宋体" w:eastAsia="宋体" w:cs="宋体"/>
          <w:color w:val="auto"/>
          <w:highlight w:val="none"/>
        </w:rPr>
      </w:pPr>
      <w:bookmarkStart w:id="359" w:name="_Toc530551862"/>
      <w:bookmarkStart w:id="360" w:name="_Toc97212998"/>
      <w:bookmarkStart w:id="361" w:name="_Toc9346"/>
      <w:bookmarkStart w:id="362" w:name="_Toc4026"/>
      <w:bookmarkStart w:id="363" w:name="_Toc4747"/>
      <w:bookmarkStart w:id="364" w:name="_Toc8180"/>
      <w:bookmarkStart w:id="365" w:name="_Toc31645"/>
      <w:bookmarkStart w:id="366" w:name="_Toc531359018"/>
      <w:r>
        <w:rPr>
          <w:rFonts w:hint="eastAsia" w:ascii="宋体" w:hAnsi="宋体" w:eastAsia="宋体" w:cs="宋体"/>
          <w:color w:val="auto"/>
          <w:highlight w:val="none"/>
        </w:rPr>
        <w:t>6.1     开标</w:t>
      </w:r>
      <w:bookmarkEnd w:id="359"/>
      <w:bookmarkEnd w:id="360"/>
      <w:bookmarkEnd w:id="361"/>
      <w:bookmarkEnd w:id="362"/>
      <w:bookmarkEnd w:id="363"/>
      <w:bookmarkEnd w:id="364"/>
      <w:bookmarkEnd w:id="365"/>
      <w:bookmarkEnd w:id="366"/>
    </w:p>
    <w:p w14:paraId="2F1E45E9">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6.1.1   开标时间和地点：见投标人须知前附表（一）</w:t>
      </w:r>
      <w:r>
        <w:rPr>
          <w:rFonts w:hint="eastAsia" w:ascii="宋体" w:hAnsi="宋体" w:eastAsia="宋体" w:cs="宋体"/>
          <w:color w:val="auto"/>
          <w:sz w:val="24"/>
          <w:highlight w:val="none"/>
          <w:lang w:eastAsia="zh-CN"/>
        </w:rPr>
        <w:t>。</w:t>
      </w:r>
    </w:p>
    <w:p w14:paraId="1C3CBEAF">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6.1.2   </w:t>
      </w:r>
      <w:r>
        <w:rPr>
          <w:rFonts w:hint="eastAsia" w:ascii="宋体" w:hAnsi="宋体" w:eastAsia="宋体" w:cs="宋体"/>
          <w:color w:val="auto"/>
          <w:sz w:val="24"/>
          <w:highlight w:val="none"/>
          <w:lang w:eastAsia="zh-CN"/>
        </w:rPr>
        <w:t>所有</w:t>
      </w:r>
      <w:r>
        <w:rPr>
          <w:rFonts w:hint="eastAsia" w:ascii="宋体" w:hAnsi="宋体" w:eastAsia="宋体" w:cs="宋体"/>
          <w:color w:val="auto"/>
          <w:sz w:val="24"/>
          <w:highlight w:val="none"/>
        </w:rPr>
        <w:t>投标人应</w:t>
      </w:r>
      <w:r>
        <w:rPr>
          <w:rFonts w:hint="eastAsia" w:ascii="宋体" w:hAnsi="宋体" w:eastAsia="宋体" w:cs="宋体"/>
          <w:color w:val="auto"/>
          <w:sz w:val="24"/>
          <w:highlight w:val="none"/>
          <w:lang w:eastAsia="zh-CN"/>
        </w:rPr>
        <w:t>准时参加线上开标</w:t>
      </w:r>
      <w:r>
        <w:rPr>
          <w:rFonts w:hint="eastAsia" w:ascii="宋体" w:hAnsi="宋体" w:eastAsia="宋体" w:cs="宋体"/>
          <w:color w:val="auto"/>
          <w:sz w:val="24"/>
          <w:highlight w:val="none"/>
        </w:rPr>
        <w:t>，否则视同认可开标结果</w:t>
      </w:r>
      <w:r>
        <w:rPr>
          <w:rFonts w:hint="eastAsia" w:ascii="宋体" w:hAnsi="宋体" w:eastAsia="宋体" w:cs="宋体"/>
          <w:color w:val="auto"/>
          <w:sz w:val="24"/>
          <w:highlight w:val="none"/>
          <w:lang w:eastAsia="zh-CN"/>
        </w:rPr>
        <w:t>。</w:t>
      </w:r>
    </w:p>
    <w:p w14:paraId="0DDA0654">
      <w:pPr>
        <w:shd w:val="clear"/>
        <w:spacing w:line="360" w:lineRule="auto"/>
        <w:ind w:left="960" w:hanging="960" w:hanging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6.1.3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采购代理机构按招标文件规定的时间在政采云平台上组织开标。投标人不足</w:t>
      </w:r>
      <w:r>
        <w:rPr>
          <w:rFonts w:hint="eastAsia" w:ascii="宋体" w:hAnsi="宋体" w:eastAsia="宋体" w:cs="宋体"/>
          <w:color w:val="auto"/>
          <w:sz w:val="24"/>
          <w:highlight w:val="none"/>
          <w:lang w:val="en-US" w:eastAsia="zh-CN"/>
        </w:rPr>
        <w:t>三家的，不得开标。</w:t>
      </w:r>
    </w:p>
    <w:p w14:paraId="40ABAB5E">
      <w:pPr>
        <w:shd w:val="clear"/>
        <w:spacing w:line="360" w:lineRule="auto"/>
        <w:ind w:left="960" w:hanging="960" w:hanging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6.1.4   开标时，</w:t>
      </w:r>
      <w:r>
        <w:rPr>
          <w:rFonts w:hint="eastAsia" w:ascii="宋体" w:hAnsi="宋体" w:eastAsia="宋体" w:cs="宋体"/>
          <w:color w:val="auto"/>
          <w:sz w:val="24"/>
          <w:highlight w:val="none"/>
          <w:lang w:eastAsia="zh-CN"/>
        </w:rPr>
        <w:t>政采云平台</w:t>
      </w:r>
      <w:r>
        <w:rPr>
          <w:rFonts w:hint="eastAsia" w:ascii="宋体" w:hAnsi="宋体" w:eastAsia="宋体" w:cs="宋体"/>
          <w:color w:val="auto"/>
          <w:sz w:val="24"/>
          <w:highlight w:val="none"/>
          <w:lang w:val="en-US" w:eastAsia="zh-CN"/>
        </w:rPr>
        <w:t>按开标时间自动提取所有投标文件。采购代理机构依托</w:t>
      </w:r>
      <w:r>
        <w:rPr>
          <w:rFonts w:hint="eastAsia" w:ascii="宋体" w:hAnsi="宋体" w:eastAsia="宋体" w:cs="宋体"/>
          <w:color w:val="auto"/>
          <w:sz w:val="24"/>
          <w:highlight w:val="none"/>
          <w:lang w:eastAsia="zh-CN"/>
        </w:rPr>
        <w:t>政采云平台</w:t>
      </w:r>
      <w:r>
        <w:rPr>
          <w:rFonts w:hint="eastAsia" w:ascii="宋体" w:hAnsi="宋体" w:eastAsia="宋体" w:cs="宋体"/>
          <w:color w:val="auto"/>
          <w:sz w:val="24"/>
          <w:highlight w:val="none"/>
          <w:lang w:val="en-US" w:eastAsia="zh-CN"/>
        </w:rPr>
        <w:t>发起开始解密指令，投标人按照平台提示和招标文件的规定在半小时内完成在线解密。</w:t>
      </w:r>
    </w:p>
    <w:p w14:paraId="27F26B41">
      <w:pPr>
        <w:shd w:val="clear"/>
        <w:spacing w:line="360" w:lineRule="auto"/>
        <w:ind w:left="960" w:hanging="960" w:hanging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6.1.5</w:t>
      </w:r>
      <w:r>
        <w:rPr>
          <w:rFonts w:hint="eastAsia" w:ascii="宋体" w:hAnsi="宋体" w:eastAsia="宋体" w:cs="宋体"/>
          <w:color w:val="auto"/>
          <w:sz w:val="24"/>
          <w:szCs w:val="24"/>
          <w:highlight w:val="none"/>
        </w:rPr>
        <w:t xml:space="preserve">  ▲电子加密投标文件按时解密成功的，备份投标文件自动失效；电子加密投标文件</w:t>
      </w:r>
      <w:r>
        <w:rPr>
          <w:rFonts w:hint="eastAsia" w:ascii="宋体" w:hAnsi="宋体" w:eastAsia="宋体" w:cs="宋体"/>
          <w:color w:val="auto"/>
          <w:sz w:val="24"/>
          <w:szCs w:val="24"/>
          <w:highlight w:val="none"/>
          <w:lang w:eastAsia="zh-CN"/>
        </w:rPr>
        <w:t>未按时解密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按招标文件规定提交备份投标文件且有效的，以备份投标文件为准；电子加密投标文件</w:t>
      </w:r>
      <w:r>
        <w:rPr>
          <w:rFonts w:hint="eastAsia" w:ascii="宋体" w:hAnsi="宋体" w:eastAsia="宋体" w:cs="宋体"/>
          <w:color w:val="auto"/>
          <w:sz w:val="24"/>
          <w:szCs w:val="24"/>
          <w:highlight w:val="none"/>
          <w:lang w:eastAsia="zh-CN"/>
        </w:rPr>
        <w:t>未按时</w:t>
      </w:r>
      <w:r>
        <w:rPr>
          <w:rFonts w:hint="eastAsia" w:ascii="宋体" w:hAnsi="宋体" w:eastAsia="宋体" w:cs="宋体"/>
          <w:color w:val="auto"/>
          <w:sz w:val="24"/>
          <w:szCs w:val="24"/>
          <w:highlight w:val="none"/>
        </w:rPr>
        <w:t>解密，又未提交备份投标文件，</w:t>
      </w:r>
      <w:r>
        <w:rPr>
          <w:rFonts w:hint="eastAsia" w:ascii="宋体" w:hAnsi="宋体" w:eastAsia="宋体" w:cs="宋体"/>
          <w:color w:val="auto"/>
          <w:sz w:val="24"/>
          <w:szCs w:val="24"/>
          <w:highlight w:val="none"/>
          <w:lang w:eastAsia="zh-CN"/>
        </w:rPr>
        <w:t>视为投标文件撤回</w:t>
      </w:r>
      <w:r>
        <w:rPr>
          <w:rFonts w:hint="eastAsia" w:ascii="宋体" w:hAnsi="宋体" w:eastAsia="宋体" w:cs="宋体"/>
          <w:color w:val="auto"/>
          <w:sz w:val="24"/>
          <w:szCs w:val="24"/>
          <w:highlight w:val="none"/>
        </w:rPr>
        <w:t>。</w:t>
      </w:r>
    </w:p>
    <w:p w14:paraId="131F2D06">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6.1.6   主持人报价确认指令发出后5分钟内，投标人未按时签字确认的，视同已确认投标报价。</w:t>
      </w:r>
    </w:p>
    <w:p w14:paraId="2E7F3E69">
      <w:pPr>
        <w:pStyle w:val="229"/>
        <w:shd w:val="clear"/>
        <w:rPr>
          <w:rFonts w:hint="eastAsia" w:ascii="宋体" w:hAnsi="宋体" w:eastAsia="宋体" w:cs="宋体"/>
          <w:color w:val="auto"/>
          <w:highlight w:val="none"/>
        </w:rPr>
      </w:pPr>
      <w:bookmarkStart w:id="367" w:name="_Toc14270"/>
      <w:bookmarkStart w:id="368" w:name="_Toc12458"/>
      <w:bookmarkStart w:id="369" w:name="_Toc531359019"/>
      <w:bookmarkStart w:id="370" w:name="_Toc530551863"/>
      <w:bookmarkStart w:id="371" w:name="_Toc1412"/>
      <w:bookmarkStart w:id="372" w:name="_Toc97212999"/>
      <w:bookmarkStart w:id="373" w:name="_Toc25950"/>
      <w:bookmarkStart w:id="374" w:name="_Toc15865"/>
      <w:r>
        <w:rPr>
          <w:rFonts w:hint="eastAsia" w:ascii="宋体" w:hAnsi="宋体" w:eastAsia="宋体" w:cs="宋体"/>
          <w:color w:val="auto"/>
          <w:highlight w:val="none"/>
        </w:rPr>
        <w:t>6.2     资格审查</w:t>
      </w:r>
      <w:bookmarkEnd w:id="367"/>
      <w:bookmarkEnd w:id="368"/>
      <w:bookmarkEnd w:id="369"/>
      <w:bookmarkEnd w:id="370"/>
      <w:bookmarkEnd w:id="371"/>
      <w:bookmarkEnd w:id="372"/>
      <w:bookmarkEnd w:id="373"/>
      <w:bookmarkEnd w:id="374"/>
    </w:p>
    <w:p w14:paraId="1727C96B">
      <w:pPr>
        <w:shd w:val="clear"/>
        <w:spacing w:line="360" w:lineRule="auto"/>
        <w:ind w:left="960" w:leftChars="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6.2.1   资格审查：采购人或采购代理机构</w:t>
      </w:r>
      <w:r>
        <w:rPr>
          <w:rFonts w:hint="eastAsia" w:ascii="宋体" w:hAnsi="宋体" w:eastAsia="宋体" w:cs="宋体"/>
          <w:color w:val="auto"/>
          <w:sz w:val="24"/>
          <w:highlight w:val="none"/>
          <w:lang w:eastAsia="zh-CN"/>
        </w:rPr>
        <w:t>依据法律法规和招标文件的规定，对投标人的资格进行审查。</w:t>
      </w:r>
    </w:p>
    <w:p w14:paraId="0EA92395">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6.2.2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eastAsia="zh-CN"/>
        </w:rPr>
        <w:t>投标人未按招标文件要求提供</w:t>
      </w:r>
      <w:r>
        <w:rPr>
          <w:rFonts w:hint="eastAsia" w:ascii="宋体" w:hAnsi="宋体" w:eastAsia="宋体" w:cs="宋体"/>
          <w:color w:val="auto"/>
          <w:sz w:val="24"/>
          <w:highlight w:val="none"/>
          <w:lang w:val="en-US" w:eastAsia="zh-CN"/>
        </w:rPr>
        <w:t>完整</w:t>
      </w:r>
      <w:r>
        <w:rPr>
          <w:rFonts w:hint="eastAsia" w:ascii="宋体" w:hAnsi="宋体" w:eastAsia="宋体" w:cs="宋体"/>
          <w:color w:val="auto"/>
          <w:sz w:val="24"/>
          <w:highlight w:val="none"/>
          <w:lang w:eastAsia="zh-CN"/>
        </w:rPr>
        <w:t>有效资格证明材料的，其投标无效。</w:t>
      </w:r>
    </w:p>
    <w:p w14:paraId="6546BDA1">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6.2.3   经资格审查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合格投标人不足三家的，</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不得进入评标，并按相关规定重新组织采购。</w:t>
      </w:r>
    </w:p>
    <w:p w14:paraId="3F666FD9">
      <w:pPr>
        <w:shd w:val="clear"/>
        <w:spacing w:line="360" w:lineRule="auto"/>
        <w:ind w:left="960" w:hanging="960" w:hanging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6.2.4   信用信息查询</w:t>
      </w:r>
      <w:r>
        <w:rPr>
          <w:rFonts w:hint="eastAsia" w:ascii="宋体" w:hAnsi="宋体" w:eastAsia="宋体" w:cs="宋体"/>
          <w:b w:val="0"/>
          <w:color w:val="auto"/>
          <w:kern w:val="2"/>
          <w:sz w:val="24"/>
          <w:szCs w:val="22"/>
          <w:highlight w:val="none"/>
          <w:lang w:val="en-US" w:eastAsia="zh-CN"/>
        </w:rPr>
        <w:t>。</w:t>
      </w:r>
    </w:p>
    <w:p w14:paraId="270B3BB3">
      <w:pPr>
        <w:shd w:val="clear"/>
        <w:spacing w:line="360" w:lineRule="auto"/>
        <w:ind w:left="955" w:leftChars="455" w:firstLine="0" w:firstLineChars="0"/>
        <w:rPr>
          <w:rFonts w:hint="eastAsia" w:ascii="宋体" w:hAnsi="宋体" w:eastAsia="宋体" w:cs="宋体"/>
          <w:b w:val="0"/>
          <w:color w:val="auto"/>
          <w:kern w:val="2"/>
          <w:sz w:val="24"/>
          <w:szCs w:val="22"/>
          <w:highlight w:val="none"/>
          <w:lang w:val="en-US" w:eastAsia="zh-CN"/>
        </w:rPr>
      </w:pPr>
      <w:r>
        <w:rPr>
          <w:rFonts w:hint="eastAsia" w:ascii="宋体" w:hAnsi="宋体" w:eastAsia="宋体" w:cs="宋体"/>
          <w:b w:val="0"/>
          <w:color w:val="auto"/>
          <w:kern w:val="2"/>
          <w:sz w:val="24"/>
          <w:szCs w:val="22"/>
          <w:highlight w:val="none"/>
          <w:lang w:val="en-US" w:eastAsia="zh-CN"/>
        </w:rPr>
        <w:t>（1）</w:t>
      </w:r>
      <w:r>
        <w:rPr>
          <w:rFonts w:hint="eastAsia" w:ascii="宋体" w:hAnsi="宋体" w:eastAsia="宋体" w:cs="宋体"/>
          <w:color w:val="auto"/>
          <w:sz w:val="24"/>
          <w:highlight w:val="none"/>
          <w:lang w:val="en-US" w:eastAsia="zh-CN"/>
        </w:rPr>
        <w:t>信用信息查询渠道及截止时间：采购代理机构将在资格审查时通过“信用中国”网站(www.creditchina.gov.cn)、中国政府采购网(www.ccgp.gov.cn)渠道查询投标人接受资格审查时的信用记录；</w:t>
      </w:r>
    </w:p>
    <w:p w14:paraId="1CA73F53">
      <w:pPr>
        <w:shd w:val="clear"/>
        <w:spacing w:line="360" w:lineRule="auto"/>
        <w:ind w:left="955" w:leftChars="455" w:firstLine="0" w:firstLineChars="0"/>
        <w:rPr>
          <w:rFonts w:hint="eastAsia" w:ascii="宋体" w:hAnsi="宋体" w:eastAsia="宋体" w:cs="宋体"/>
          <w:b w:val="0"/>
          <w:strike w:val="0"/>
          <w:dstrike w:val="0"/>
          <w:color w:val="auto"/>
          <w:kern w:val="2"/>
          <w:sz w:val="24"/>
          <w:szCs w:val="22"/>
          <w:highlight w:val="none"/>
          <w:lang w:val="en-US" w:eastAsia="zh-CN"/>
        </w:rPr>
      </w:pPr>
      <w:r>
        <w:rPr>
          <w:rFonts w:hint="eastAsia" w:ascii="宋体" w:hAnsi="宋体" w:eastAsia="宋体" w:cs="宋体"/>
          <w:b w:val="0"/>
          <w:strike w:val="0"/>
          <w:dstrike w:val="0"/>
          <w:color w:val="auto"/>
          <w:kern w:val="2"/>
          <w:sz w:val="24"/>
          <w:szCs w:val="22"/>
          <w:highlight w:val="none"/>
          <w:lang w:val="en-US" w:eastAsia="zh-CN"/>
        </w:rPr>
        <w:t>（2）</w:t>
      </w:r>
      <w:r>
        <w:rPr>
          <w:rFonts w:hint="eastAsia" w:ascii="宋体" w:hAnsi="宋体" w:eastAsia="宋体" w:cs="宋体"/>
          <w:strike w:val="0"/>
          <w:dstrike w:val="0"/>
          <w:color w:val="auto"/>
          <w:sz w:val="24"/>
          <w:highlight w:val="none"/>
          <w:lang w:val="en-US" w:eastAsia="zh-CN"/>
        </w:rPr>
        <w:t>信用信息查询记录和证据留</w:t>
      </w:r>
      <w:r>
        <w:rPr>
          <w:rFonts w:hint="eastAsia" w:ascii="宋体" w:hAnsi="宋体" w:eastAsia="宋体" w:cs="宋体"/>
          <w:b w:val="0"/>
          <w:strike w:val="0"/>
          <w:dstrike w:val="0"/>
          <w:color w:val="auto"/>
          <w:kern w:val="2"/>
          <w:sz w:val="24"/>
          <w:szCs w:val="22"/>
          <w:highlight w:val="none"/>
          <w:lang w:val="en-US" w:eastAsia="zh-CN"/>
        </w:rPr>
        <w:t>存的具体方式：现场查询投标人的信用记录；</w:t>
      </w:r>
    </w:p>
    <w:p w14:paraId="4D7C06CB">
      <w:pPr>
        <w:shd w:val="clear"/>
        <w:spacing w:line="360" w:lineRule="auto"/>
        <w:ind w:left="955" w:leftChars="455" w:firstLine="0" w:firstLineChars="0"/>
        <w:rPr>
          <w:rFonts w:hint="eastAsia" w:ascii="宋体" w:hAnsi="宋体" w:eastAsia="宋体" w:cs="宋体"/>
          <w:b w:val="0"/>
          <w:color w:val="auto"/>
          <w:kern w:val="2"/>
          <w:sz w:val="24"/>
          <w:szCs w:val="22"/>
          <w:highlight w:val="none"/>
          <w:lang w:val="en-US" w:eastAsia="zh-CN"/>
        </w:rPr>
      </w:pPr>
      <w:bookmarkStart w:id="375" w:name="_Toc14799"/>
      <w:r>
        <w:rPr>
          <w:rFonts w:hint="eastAsia" w:ascii="宋体" w:hAnsi="宋体" w:eastAsia="宋体" w:cs="宋体"/>
          <w:b w:val="0"/>
          <w:color w:val="auto"/>
          <w:kern w:val="2"/>
          <w:sz w:val="24"/>
          <w:szCs w:val="22"/>
          <w:highlight w:val="none"/>
          <w:lang w:val="en-US" w:eastAsia="zh-CN"/>
        </w:rPr>
        <w:t>（3）信用信息的使用规则：经查询列入失信被执行人名单、重大税收违法案件当事人名单、政府采购严重违法失信行为记录名单的投标人将被拒绝参与政府采购活动。信息信息已修复的，按修复后的信息为准；</w:t>
      </w:r>
      <w:bookmarkEnd w:id="375"/>
    </w:p>
    <w:p w14:paraId="6DA80808">
      <w:pPr>
        <w:shd w:val="clear"/>
        <w:spacing w:line="360" w:lineRule="auto"/>
        <w:ind w:left="955" w:leftChars="455" w:firstLine="0" w:firstLineChars="0"/>
        <w:rPr>
          <w:rFonts w:hint="eastAsia" w:ascii="宋体" w:hAnsi="宋体" w:eastAsia="宋体" w:cs="宋体"/>
          <w:b w:val="0"/>
          <w:color w:val="auto"/>
          <w:kern w:val="2"/>
          <w:sz w:val="24"/>
          <w:szCs w:val="22"/>
          <w:highlight w:val="none"/>
          <w:lang w:val="en-US" w:eastAsia="zh-CN"/>
        </w:rPr>
      </w:pPr>
      <w:bookmarkStart w:id="376" w:name="_Toc6119"/>
      <w:r>
        <w:rPr>
          <w:rFonts w:hint="eastAsia" w:ascii="宋体" w:hAnsi="宋体" w:eastAsia="宋体" w:cs="宋体"/>
          <w:b w:val="0"/>
          <w:color w:val="auto"/>
          <w:kern w:val="2"/>
          <w:sz w:val="24"/>
          <w:szCs w:val="22"/>
          <w:highlight w:val="none"/>
          <w:lang w:val="en-US" w:eastAsia="zh-CN"/>
        </w:rPr>
        <w:t>（4）联合体信用信息查询：两个以上的自然人、法人或者其他组织组成一个联合体，以一个供应商的身份共同参加政府采购活动的，应对所有联合体成员进行信用记录查询。联合体成员任意一方存在不良信用记录的，视同联合体存在不良信用记录。</w:t>
      </w:r>
      <w:bookmarkEnd w:id="376"/>
    </w:p>
    <w:p w14:paraId="2CF97E5D">
      <w:pPr>
        <w:pStyle w:val="229"/>
        <w:shd w:val="clear"/>
        <w:rPr>
          <w:rFonts w:hint="eastAsia" w:ascii="宋体" w:hAnsi="宋体" w:eastAsia="宋体" w:cs="宋体"/>
          <w:color w:val="auto"/>
          <w:highlight w:val="none"/>
        </w:rPr>
      </w:pPr>
      <w:bookmarkStart w:id="377" w:name="_Toc6850"/>
      <w:bookmarkStart w:id="378" w:name="_Toc25617"/>
      <w:bookmarkStart w:id="379" w:name="_Toc531359020"/>
      <w:bookmarkStart w:id="380" w:name="_Toc1338"/>
      <w:bookmarkStart w:id="381" w:name="_Toc7288"/>
      <w:bookmarkStart w:id="382" w:name="_Toc12102"/>
      <w:bookmarkStart w:id="383" w:name="_Toc97213000"/>
      <w:r>
        <w:rPr>
          <w:rFonts w:hint="eastAsia" w:ascii="宋体" w:hAnsi="宋体" w:eastAsia="宋体" w:cs="宋体"/>
          <w:color w:val="auto"/>
          <w:highlight w:val="none"/>
        </w:rPr>
        <w:t>6.3     评标</w:t>
      </w:r>
      <w:bookmarkEnd w:id="377"/>
      <w:bookmarkEnd w:id="378"/>
      <w:bookmarkEnd w:id="379"/>
      <w:bookmarkEnd w:id="380"/>
      <w:bookmarkEnd w:id="381"/>
      <w:bookmarkEnd w:id="382"/>
      <w:bookmarkEnd w:id="383"/>
    </w:p>
    <w:p w14:paraId="35EBB92A">
      <w:pPr>
        <w:pStyle w:val="7"/>
        <w:shd w:val="clea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6.3.1   评标办法：见投标人须知前附表（一）</w:t>
      </w:r>
      <w:r>
        <w:rPr>
          <w:rFonts w:hint="eastAsia" w:ascii="宋体" w:hAnsi="宋体" w:eastAsia="宋体" w:cs="宋体"/>
          <w:color w:val="auto"/>
          <w:sz w:val="24"/>
          <w:highlight w:val="none"/>
          <w:lang w:eastAsia="zh-CN"/>
        </w:rPr>
        <w:t>。</w:t>
      </w:r>
    </w:p>
    <w:p w14:paraId="72C17D51">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6.3.2   评标委员会由</w:t>
      </w:r>
      <w:r>
        <w:rPr>
          <w:rFonts w:hint="eastAsia" w:ascii="宋体" w:hAnsi="宋体" w:eastAsia="宋体" w:cs="宋体"/>
          <w:color w:val="auto"/>
          <w:sz w:val="24"/>
          <w:highlight w:val="none"/>
          <w:lang w:val="en-US" w:eastAsia="zh-CN"/>
        </w:rPr>
        <w:t>采购人或</w:t>
      </w:r>
      <w:r>
        <w:rPr>
          <w:rFonts w:hint="eastAsia" w:ascii="宋体" w:hAnsi="宋体" w:eastAsia="宋体" w:cs="宋体"/>
          <w:color w:val="auto"/>
          <w:sz w:val="24"/>
          <w:highlight w:val="none"/>
        </w:rPr>
        <w:t>采购代理机构组建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评标委员会由采购人代表和</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专家组成，成员人数为5人以上单数，其中</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专家不少于成员总数的三分之二，</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专家按规定从</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专家库中随机抽取。如有特殊情况的，按相关规定组建评标委员会</w:t>
      </w:r>
      <w:r>
        <w:rPr>
          <w:rFonts w:hint="eastAsia" w:ascii="宋体" w:hAnsi="宋体" w:eastAsia="宋体" w:cs="宋体"/>
          <w:color w:val="auto"/>
          <w:sz w:val="24"/>
          <w:highlight w:val="none"/>
          <w:lang w:eastAsia="zh-CN"/>
        </w:rPr>
        <w:t>。</w:t>
      </w:r>
    </w:p>
    <w:p w14:paraId="3743155F">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6.3.3   评标由评标委员会负责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按照客观、公正、审慎的原则，根据招标文件确定评标程序、评标办法和</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标准独立</w:t>
      </w:r>
      <w:r>
        <w:rPr>
          <w:rFonts w:hint="eastAsia" w:ascii="宋体" w:hAnsi="宋体" w:eastAsia="宋体" w:cs="宋体"/>
          <w:color w:val="auto"/>
          <w:sz w:val="24"/>
          <w:highlight w:val="none"/>
          <w:lang w:val="en-US" w:eastAsia="zh-CN"/>
        </w:rPr>
        <w:t>评标</w:t>
      </w:r>
      <w:r>
        <w:rPr>
          <w:rFonts w:hint="eastAsia" w:ascii="宋体" w:hAnsi="宋体" w:eastAsia="宋体" w:cs="宋体"/>
          <w:color w:val="auto"/>
          <w:sz w:val="24"/>
          <w:highlight w:val="none"/>
          <w:lang w:eastAsia="zh-CN"/>
        </w:rPr>
        <w:t>。</w:t>
      </w:r>
    </w:p>
    <w:p w14:paraId="0C98BA5E">
      <w:pPr>
        <w:shd w:val="clea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6.3.4   评标程序：符合性审查、</w:t>
      </w:r>
      <w:r>
        <w:rPr>
          <w:rFonts w:hint="eastAsia" w:ascii="宋体" w:hAnsi="宋体" w:eastAsia="宋体" w:cs="宋体"/>
          <w:color w:val="auto"/>
          <w:sz w:val="24"/>
          <w:highlight w:val="none"/>
          <w:lang w:eastAsia="zh-CN"/>
        </w:rPr>
        <w:t>商务技术文件评标</w:t>
      </w:r>
      <w:r>
        <w:rPr>
          <w:rFonts w:hint="eastAsia" w:ascii="宋体" w:hAnsi="宋体" w:eastAsia="宋体" w:cs="宋体"/>
          <w:color w:val="auto"/>
          <w:sz w:val="24"/>
          <w:highlight w:val="none"/>
        </w:rPr>
        <w:t>、报价文件</w:t>
      </w:r>
      <w:r>
        <w:rPr>
          <w:rFonts w:hint="eastAsia" w:ascii="宋体" w:hAnsi="宋体" w:eastAsia="宋体" w:cs="宋体"/>
          <w:color w:val="auto"/>
          <w:sz w:val="24"/>
          <w:highlight w:val="none"/>
          <w:lang w:eastAsia="zh-CN"/>
        </w:rPr>
        <w:t>评标。</w:t>
      </w:r>
    </w:p>
    <w:p w14:paraId="30607258">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6.3.5   符合性审查</w:t>
      </w:r>
    </w:p>
    <w:p w14:paraId="15071454">
      <w:pPr>
        <w:shd w:val="clear"/>
        <w:spacing w:line="360" w:lineRule="auto"/>
        <w:ind w:left="1290" w:leftChars="500" w:hanging="240" w:hanging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评标委员会应当对符合资格的投标人的投标文件进行符合性审查，以确定其是否满足招标文件的实质性要求。不满足招标文件的实质性要求的，投标无效。</w:t>
      </w:r>
    </w:p>
    <w:p w14:paraId="254C77D0">
      <w:pPr>
        <w:shd w:val="clear"/>
        <w:spacing w:line="360" w:lineRule="auto"/>
        <w:ind w:left="1290" w:leftChars="500" w:hanging="240" w:hanging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通过符合性审查不足三家的，除采购任务取消情形外，按相关规定重新组织</w:t>
      </w:r>
      <w:r>
        <w:rPr>
          <w:rFonts w:hint="eastAsia" w:ascii="宋体" w:hAnsi="宋体" w:eastAsia="宋体" w:cs="宋体"/>
          <w:strike w:val="0"/>
          <w:color w:val="auto"/>
          <w:sz w:val="24"/>
          <w:highlight w:val="none"/>
          <w:lang w:eastAsia="zh-CN"/>
        </w:rPr>
        <w:t>采购</w:t>
      </w:r>
      <w:r>
        <w:rPr>
          <w:rFonts w:hint="eastAsia" w:ascii="宋体" w:hAnsi="宋体" w:eastAsia="宋体" w:cs="宋体"/>
          <w:color w:val="auto"/>
          <w:sz w:val="24"/>
          <w:highlight w:val="none"/>
        </w:rPr>
        <w:t>。</w:t>
      </w:r>
    </w:p>
    <w:p w14:paraId="5636F7D6">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6.3.6   </w:t>
      </w:r>
      <w:r>
        <w:rPr>
          <w:rFonts w:hint="eastAsia" w:ascii="宋体" w:hAnsi="宋体" w:eastAsia="宋体" w:cs="宋体"/>
          <w:color w:val="auto"/>
          <w:sz w:val="24"/>
          <w:highlight w:val="none"/>
          <w:lang w:eastAsia="zh-CN"/>
        </w:rPr>
        <w:t>商务技术文件评审</w:t>
      </w:r>
    </w:p>
    <w:p w14:paraId="2097D312">
      <w:pPr>
        <w:shd w:val="clear"/>
        <w:spacing w:line="360" w:lineRule="auto"/>
        <w:ind w:left="1050" w:leftChars="50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评标委员会应当按照招标文件中规定的评标方法和标准，对符合性审查合格的投标文件进行商务和技术评估，综合比较与评价。</w:t>
      </w:r>
      <w:r>
        <w:rPr>
          <w:rFonts w:hint="eastAsia" w:ascii="宋体" w:hAnsi="宋体" w:eastAsia="宋体" w:cs="宋体"/>
          <w:color w:val="auto"/>
          <w:sz w:val="24"/>
          <w:highlight w:val="none"/>
          <w:lang w:eastAsia="zh-CN"/>
        </w:rPr>
        <w:t>评审过程中，如有样品或演示环节要求的，</w:t>
      </w:r>
      <w:r>
        <w:rPr>
          <w:rFonts w:hint="eastAsia" w:ascii="宋体" w:hAnsi="宋体" w:eastAsia="宋体" w:cs="宋体"/>
          <w:color w:val="auto"/>
          <w:sz w:val="24"/>
          <w:highlight w:val="none"/>
          <w:lang w:val="en-US" w:eastAsia="zh-CN"/>
        </w:rPr>
        <w:t>应与</w:t>
      </w:r>
      <w:r>
        <w:rPr>
          <w:rFonts w:hint="eastAsia" w:ascii="宋体" w:hAnsi="宋体" w:eastAsia="宋体" w:cs="宋体"/>
          <w:color w:val="auto"/>
          <w:sz w:val="24"/>
          <w:highlight w:val="none"/>
          <w:lang w:eastAsia="zh-CN"/>
        </w:rPr>
        <w:t>商务技术文件评审同步进行，各投标人演示顺序由政采云系统自动生成。评标</w:t>
      </w:r>
      <w:r>
        <w:rPr>
          <w:rFonts w:hint="eastAsia" w:ascii="宋体" w:hAnsi="宋体" w:eastAsia="宋体" w:cs="宋体"/>
          <w:color w:val="auto"/>
          <w:sz w:val="24"/>
          <w:highlight w:val="none"/>
          <w:lang w:val="en-US" w:eastAsia="zh-CN"/>
        </w:rPr>
        <w:t>委</w:t>
      </w:r>
      <w:r>
        <w:rPr>
          <w:rFonts w:hint="eastAsia" w:ascii="宋体" w:hAnsi="宋体" w:eastAsia="宋体" w:cs="宋体"/>
          <w:color w:val="auto"/>
          <w:sz w:val="24"/>
          <w:highlight w:val="none"/>
          <w:lang w:eastAsia="zh-CN"/>
        </w:rPr>
        <w:t>员会成员根据澄清、演示、样品等情况按评标细则进行独立打分（联合体</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的，联合体各方的业绩等均予以认可）；</w:t>
      </w:r>
    </w:p>
    <w:p w14:paraId="70A1BAE0">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6.3.7   报价文件</w:t>
      </w:r>
      <w:r>
        <w:rPr>
          <w:rFonts w:hint="eastAsia" w:ascii="宋体" w:hAnsi="宋体" w:eastAsia="宋体" w:cs="宋体"/>
          <w:color w:val="auto"/>
          <w:sz w:val="24"/>
          <w:highlight w:val="none"/>
          <w:lang w:eastAsia="zh-CN"/>
        </w:rPr>
        <w:t>评审</w:t>
      </w:r>
    </w:p>
    <w:p w14:paraId="369574FB">
      <w:pPr>
        <w:shd w:val="clear"/>
        <w:spacing w:line="360" w:lineRule="auto"/>
        <w:ind w:left="1185" w:leftChars="450"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评标委员会依据招标文件的规定，对各投标报价的完整性、合理性进行审查；</w:t>
      </w:r>
    </w:p>
    <w:p w14:paraId="5E62F841">
      <w:pPr>
        <w:shd w:val="clear"/>
        <w:spacing w:line="360" w:lineRule="auto"/>
        <w:ind w:left="945" w:leftChars="4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报价修正；</w:t>
      </w:r>
    </w:p>
    <w:p w14:paraId="3FD5077A">
      <w:pPr>
        <w:shd w:val="clear"/>
        <w:spacing w:line="360" w:lineRule="auto"/>
        <w:ind w:left="945" w:leftChars="4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政府采购政策价格扣除；</w:t>
      </w:r>
    </w:p>
    <w:p w14:paraId="1C6BC7A3">
      <w:pPr>
        <w:shd w:val="clear"/>
        <w:spacing w:line="360" w:lineRule="auto"/>
        <w:ind w:left="945" w:leftChars="4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委员会根据投标人的报价和</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标准，计算各投标人的报价得分。</w:t>
      </w:r>
    </w:p>
    <w:p w14:paraId="70488172">
      <w:pPr>
        <w:pStyle w:val="229"/>
        <w:shd w:val="clear"/>
        <w:rPr>
          <w:rFonts w:hint="eastAsia" w:ascii="宋体" w:hAnsi="宋体" w:eastAsia="宋体" w:cs="宋体"/>
          <w:color w:val="auto"/>
          <w:highlight w:val="none"/>
        </w:rPr>
      </w:pPr>
      <w:bookmarkStart w:id="384" w:name="_Toc531359021"/>
      <w:bookmarkStart w:id="385" w:name="_Toc25557"/>
      <w:bookmarkStart w:id="386" w:name="_Toc27358"/>
      <w:bookmarkStart w:id="387" w:name="_Toc7273"/>
      <w:bookmarkStart w:id="388" w:name="_Toc17306"/>
      <w:bookmarkStart w:id="389" w:name="_Toc97213001"/>
      <w:bookmarkStart w:id="390" w:name="_Toc4440"/>
      <w:r>
        <w:rPr>
          <w:rFonts w:hint="eastAsia" w:ascii="宋体" w:hAnsi="宋体" w:eastAsia="宋体" w:cs="宋体"/>
          <w:color w:val="auto"/>
          <w:highlight w:val="none"/>
        </w:rPr>
        <w:t>6.4     投标文件的澄清、说明或补正</w:t>
      </w:r>
      <w:bookmarkEnd w:id="384"/>
      <w:bookmarkEnd w:id="385"/>
      <w:bookmarkEnd w:id="386"/>
      <w:bookmarkEnd w:id="387"/>
      <w:bookmarkEnd w:id="388"/>
      <w:bookmarkEnd w:id="389"/>
      <w:bookmarkEnd w:id="390"/>
    </w:p>
    <w:p w14:paraId="10246B52">
      <w:pPr>
        <w:shd w:val="clear"/>
        <w:spacing w:line="360" w:lineRule="auto"/>
        <w:ind w:left="1200" w:hanging="1200" w:hanging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6.4.1   </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⑴</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对投标文件中含义不明确、同类问题表述不一致或者有明显文字和计算错误的内容，</w:t>
      </w:r>
      <w:r>
        <w:rPr>
          <w:rFonts w:hint="eastAsia" w:ascii="宋体" w:hAnsi="宋体" w:eastAsia="宋体" w:cs="宋体"/>
          <w:b/>
          <w:color w:val="auto"/>
          <w:sz w:val="24"/>
          <w:highlight w:val="none"/>
        </w:rPr>
        <w:t>评标委员会</w:t>
      </w:r>
      <w:r>
        <w:rPr>
          <w:rFonts w:hint="eastAsia" w:ascii="宋体" w:hAnsi="宋体" w:eastAsia="宋体" w:cs="宋体"/>
          <w:b/>
          <w:color w:val="auto"/>
          <w:sz w:val="24"/>
          <w:highlight w:val="none"/>
          <w:lang w:val="en-US" w:eastAsia="zh-CN"/>
        </w:rPr>
        <w:t>可以</w:t>
      </w:r>
      <w:r>
        <w:rPr>
          <w:rFonts w:hint="eastAsia" w:ascii="宋体" w:hAnsi="宋体" w:eastAsia="宋体" w:cs="宋体"/>
          <w:b/>
          <w:color w:val="auto"/>
          <w:sz w:val="24"/>
          <w:highlight w:val="none"/>
        </w:rPr>
        <w:t>通过</w:t>
      </w:r>
      <w:r>
        <w:rPr>
          <w:rFonts w:hint="eastAsia" w:ascii="宋体" w:hAnsi="宋体" w:eastAsia="宋体" w:cs="宋体"/>
          <w:b/>
          <w:color w:val="auto"/>
          <w:sz w:val="24"/>
          <w:highlight w:val="none"/>
          <w:lang w:eastAsia="zh-CN"/>
        </w:rPr>
        <w:t>政采云平台</w:t>
      </w:r>
      <w:r>
        <w:rPr>
          <w:rFonts w:hint="eastAsia" w:ascii="宋体" w:hAnsi="宋体" w:eastAsia="宋体" w:cs="宋体"/>
          <w:b/>
          <w:color w:val="auto"/>
          <w:sz w:val="24"/>
          <w:highlight w:val="none"/>
        </w:rPr>
        <w:t>要求投标人作出必要的澄清、说明或者补正。电子投标文件的澄清、说明或者补正采用</w:t>
      </w:r>
      <w:r>
        <w:rPr>
          <w:rFonts w:hint="eastAsia" w:ascii="宋体" w:hAnsi="宋体" w:eastAsia="宋体" w:cs="宋体"/>
          <w:b/>
          <w:color w:val="auto"/>
          <w:sz w:val="24"/>
          <w:highlight w:val="none"/>
          <w:lang w:eastAsia="zh-CN"/>
        </w:rPr>
        <w:t>政采云平台</w:t>
      </w:r>
      <w:r>
        <w:rPr>
          <w:rFonts w:hint="eastAsia" w:ascii="宋体" w:hAnsi="宋体" w:eastAsia="宋体" w:cs="宋体"/>
          <w:b/>
          <w:color w:val="auto"/>
          <w:sz w:val="24"/>
          <w:highlight w:val="none"/>
        </w:rPr>
        <w:t>交换数据电文，投标人</w:t>
      </w:r>
      <w:r>
        <w:rPr>
          <w:rFonts w:hint="eastAsia" w:ascii="宋体" w:hAnsi="宋体" w:eastAsia="宋体" w:cs="宋体"/>
          <w:b/>
          <w:color w:val="auto"/>
          <w:sz w:val="24"/>
          <w:highlight w:val="none"/>
          <w:lang w:eastAsia="zh-CN"/>
        </w:rPr>
        <w:t>应在规定时间内</w:t>
      </w:r>
      <w:r>
        <w:rPr>
          <w:rFonts w:hint="eastAsia" w:ascii="宋体" w:hAnsi="宋体" w:eastAsia="宋体" w:cs="宋体"/>
          <w:b/>
          <w:color w:val="auto"/>
          <w:sz w:val="24"/>
          <w:highlight w:val="none"/>
        </w:rPr>
        <w:t>提交的澄清、说明或补正（投标人务必在线等待，留意手机短信，及时在线澄清、说明或补正）。</w:t>
      </w:r>
      <w:r>
        <w:rPr>
          <w:rFonts w:hint="eastAsia" w:ascii="宋体" w:hAnsi="宋体" w:eastAsia="宋体" w:cs="宋体"/>
          <w:color w:val="auto"/>
          <w:sz w:val="24"/>
          <w:highlight w:val="none"/>
        </w:rPr>
        <w:t>投标人的澄清、说明或者补正不得超出投标文件的范围或者改变投标文件的实质性内容；</w:t>
      </w:r>
    </w:p>
    <w:p w14:paraId="781C487F">
      <w:pPr>
        <w:shd w:val="clear"/>
        <w:spacing w:line="360" w:lineRule="auto"/>
        <w:ind w:left="840" w:leftChars="40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⑵</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投标人的的澄清、说明或补正将作为投标文件的一部分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8A6F060">
      <w:pPr>
        <w:shd w:val="clear"/>
        <w:spacing w:line="360" w:lineRule="auto"/>
        <w:ind w:left="960" w:hanging="960" w:hangingChars="400"/>
        <w:rPr>
          <w:rFonts w:hint="eastAsia" w:ascii="宋体" w:hAnsi="宋体" w:eastAsia="宋体" w:cs="宋体"/>
          <w:strike/>
          <w:color w:val="auto"/>
          <w:sz w:val="24"/>
          <w:highlight w:val="none"/>
          <w:lang w:eastAsia="zh-CN"/>
        </w:rPr>
      </w:pPr>
      <w:r>
        <w:rPr>
          <w:rFonts w:hint="eastAsia" w:ascii="宋体" w:hAnsi="宋体" w:eastAsia="宋体" w:cs="宋体"/>
          <w:color w:val="auto"/>
          <w:sz w:val="24"/>
          <w:highlight w:val="none"/>
        </w:rPr>
        <w:t>6.4.2   评标委员会认为投标人的报价明显低于其他通过符合性审查投标人的报价，有可能影响产品质量或者不能诚信履约的，</w:t>
      </w:r>
      <w:r>
        <w:rPr>
          <w:rFonts w:hint="eastAsia" w:ascii="宋体" w:hAnsi="宋体" w:eastAsia="宋体" w:cs="宋体"/>
          <w:color w:val="auto"/>
          <w:sz w:val="24"/>
          <w:highlight w:val="none"/>
          <w:lang w:eastAsia="zh-CN"/>
        </w:rPr>
        <w:t>有权要求投标人在</w:t>
      </w:r>
      <w:r>
        <w:rPr>
          <w:rFonts w:hint="eastAsia" w:ascii="宋体" w:hAnsi="宋体" w:eastAsia="宋体" w:cs="宋体"/>
          <w:color w:val="auto"/>
          <w:sz w:val="24"/>
          <w:highlight w:val="none"/>
        </w:rPr>
        <w:t>合理的时间内提供说明，必要时提交相关证明材料；投标人不能</w:t>
      </w:r>
      <w:r>
        <w:rPr>
          <w:rFonts w:hint="eastAsia" w:ascii="宋体" w:hAnsi="宋体" w:eastAsia="宋体" w:cs="宋体"/>
          <w:color w:val="auto"/>
          <w:sz w:val="24"/>
          <w:highlight w:val="none"/>
          <w:lang w:val="en-US" w:eastAsia="zh-CN"/>
        </w:rPr>
        <w:t>在规定时间内</w:t>
      </w:r>
      <w:r>
        <w:rPr>
          <w:rFonts w:hint="eastAsia" w:ascii="宋体" w:hAnsi="宋体" w:eastAsia="宋体" w:cs="宋体"/>
          <w:color w:val="auto"/>
          <w:sz w:val="24"/>
          <w:highlight w:val="none"/>
        </w:rPr>
        <w:t>证明其报价合理性的，评标委员会</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将其作为无效投标处理</w:t>
      </w:r>
      <w:r>
        <w:rPr>
          <w:rFonts w:hint="eastAsia" w:ascii="宋体" w:hAnsi="宋体" w:eastAsia="宋体" w:cs="宋体"/>
          <w:color w:val="auto"/>
          <w:sz w:val="24"/>
          <w:highlight w:val="none"/>
          <w:lang w:eastAsia="zh-CN"/>
        </w:rPr>
        <w:t>。</w:t>
      </w:r>
    </w:p>
    <w:p w14:paraId="123C667C">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6.4.3   不接受投标人主动对投标文件的澄清、说明或者补正。</w:t>
      </w:r>
    </w:p>
    <w:p w14:paraId="44D16FCC">
      <w:pPr>
        <w:pStyle w:val="229"/>
        <w:shd w:val="clear"/>
        <w:rPr>
          <w:rFonts w:hint="eastAsia" w:ascii="宋体" w:hAnsi="宋体" w:eastAsia="宋体" w:cs="宋体"/>
          <w:color w:val="auto"/>
          <w:highlight w:val="none"/>
        </w:rPr>
      </w:pPr>
      <w:bookmarkStart w:id="391" w:name="_Toc27621"/>
      <w:bookmarkStart w:id="392" w:name="_Toc1262"/>
      <w:bookmarkStart w:id="393" w:name="_Toc3281"/>
      <w:bookmarkStart w:id="394" w:name="_Toc24869"/>
      <w:bookmarkStart w:id="395" w:name="_Toc97213002"/>
      <w:bookmarkStart w:id="396" w:name="_Toc9181"/>
      <w:bookmarkStart w:id="397" w:name="_Toc531359022"/>
      <w:r>
        <w:rPr>
          <w:rFonts w:hint="eastAsia" w:ascii="宋体" w:hAnsi="宋体" w:eastAsia="宋体" w:cs="宋体"/>
          <w:color w:val="auto"/>
          <w:highlight w:val="none"/>
        </w:rPr>
        <w:t>6.5     报价错误修正</w:t>
      </w:r>
      <w:bookmarkEnd w:id="391"/>
      <w:bookmarkEnd w:id="392"/>
      <w:bookmarkEnd w:id="393"/>
      <w:bookmarkEnd w:id="394"/>
      <w:bookmarkEnd w:id="395"/>
      <w:bookmarkEnd w:id="396"/>
      <w:bookmarkEnd w:id="397"/>
    </w:p>
    <w:p w14:paraId="1E9608F8">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6.5.1   评标委员会对投标文件报价出现前后不一致的，按照</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规定修正：</w:t>
      </w:r>
    </w:p>
    <w:p w14:paraId="783609A4">
      <w:pPr>
        <w:shd w:val="clear"/>
        <w:spacing w:line="360" w:lineRule="auto"/>
        <w:ind w:left="1185" w:leftChars="450"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rPr>
        <w:t>报价文件</w:t>
      </w:r>
      <w:r>
        <w:rPr>
          <w:rFonts w:hint="eastAsia" w:ascii="宋体" w:hAnsi="宋体" w:eastAsia="宋体" w:cs="宋体"/>
          <w:bCs/>
          <w:color w:val="auto"/>
          <w:sz w:val="24"/>
          <w:highlight w:val="none"/>
        </w:rPr>
        <w:t>中开标一览表（报价表）内容与</w:t>
      </w:r>
      <w:r>
        <w:rPr>
          <w:rFonts w:hint="eastAsia" w:ascii="宋体" w:hAnsi="宋体" w:eastAsia="宋体" w:cs="宋体"/>
          <w:color w:val="auto"/>
          <w:kern w:val="0"/>
          <w:sz w:val="24"/>
          <w:highlight w:val="none"/>
        </w:rPr>
        <w:t>报价</w:t>
      </w:r>
      <w:r>
        <w:rPr>
          <w:rFonts w:hint="eastAsia" w:ascii="宋体" w:hAnsi="宋体" w:eastAsia="宋体" w:cs="宋体"/>
          <w:bCs/>
          <w:color w:val="auto"/>
          <w:sz w:val="24"/>
          <w:highlight w:val="none"/>
        </w:rPr>
        <w:t>明细表相应内容不一致的，以开标一览表（报价表）为准（政采云系统开启报价若与报价文件不一致以报价文件为准）；</w:t>
      </w:r>
    </w:p>
    <w:p w14:paraId="1CF4BA65">
      <w:pPr>
        <w:shd w:val="clear"/>
        <w:spacing w:line="360" w:lineRule="auto"/>
        <w:ind w:left="1185" w:leftChars="450" w:hanging="240" w:hangingChars="100"/>
        <w:rPr>
          <w:rFonts w:hint="eastAsia" w:ascii="宋体" w:hAnsi="宋体" w:eastAsia="宋体" w:cs="宋体"/>
          <w:bCs/>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rPr>
        <w:t>报价文件的大写金额和小写金额不一致的，以大写金额为准；</w:t>
      </w:r>
    </w:p>
    <w:p w14:paraId="4D17BC27">
      <w:pPr>
        <w:shd w:val="clear"/>
        <w:spacing w:line="360" w:lineRule="auto"/>
        <w:ind w:left="1185" w:leftChars="450" w:hanging="240" w:hanging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单价金额小数点或者百分比有明显错位的，以开标一览表（报价表）的总价为准，并修改单价；</w:t>
      </w:r>
    </w:p>
    <w:p w14:paraId="5191FE55">
      <w:pPr>
        <w:shd w:val="clear"/>
        <w:spacing w:line="360" w:lineRule="auto"/>
        <w:ind w:left="1185" w:leftChars="450" w:hanging="240" w:hanging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总价金额与按单价汇总金额不一致的，以单价金额计算结果为准；</w:t>
      </w:r>
    </w:p>
    <w:p w14:paraId="68BFD285">
      <w:pPr>
        <w:shd w:val="clear"/>
        <w:spacing w:line="360" w:lineRule="auto"/>
        <w:ind w:left="840" w:leftChars="400" w:firstLine="120" w:firstLineChars="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同时出现两种以上不一致的，按上述顺序修正；</w:t>
      </w:r>
    </w:p>
    <w:p w14:paraId="4687E3CE">
      <w:pPr>
        <w:shd w:val="clear"/>
        <w:spacing w:line="360" w:lineRule="auto"/>
        <w:ind w:left="1185" w:leftChars="450" w:hanging="240" w:hangingChars="100"/>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highlight w:val="none"/>
        </w:rPr>
        <w:t>修正错误</w:t>
      </w:r>
      <w:r>
        <w:rPr>
          <w:rFonts w:hint="eastAsia" w:ascii="宋体" w:hAnsi="宋体" w:eastAsia="宋体" w:cs="宋体"/>
          <w:color w:val="auto"/>
          <w:sz w:val="24"/>
          <w:highlight w:val="none"/>
          <w:lang w:eastAsia="zh-CN"/>
        </w:rPr>
        <w:t>后</w:t>
      </w:r>
      <w:r>
        <w:rPr>
          <w:rFonts w:hint="eastAsia" w:ascii="宋体" w:hAnsi="宋体" w:eastAsia="宋体" w:cs="宋体"/>
          <w:color w:val="auto"/>
          <w:sz w:val="24"/>
          <w:highlight w:val="none"/>
        </w:rPr>
        <w:t>的投标报价，经投标人确认后产生约束力。</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rPr>
        <w:t>投标人不接受修正后的投标报价，则其投标无效。</w:t>
      </w:r>
    </w:p>
    <w:p w14:paraId="5FA2D1F3">
      <w:pPr>
        <w:pStyle w:val="229"/>
        <w:shd w:val="clear"/>
        <w:rPr>
          <w:rFonts w:hint="eastAsia" w:ascii="宋体" w:hAnsi="宋体" w:eastAsia="宋体" w:cs="宋体"/>
          <w:color w:val="auto"/>
          <w:highlight w:val="none"/>
        </w:rPr>
      </w:pPr>
      <w:bookmarkStart w:id="398" w:name="_Toc97213003"/>
      <w:bookmarkStart w:id="399" w:name="_Toc29978"/>
      <w:bookmarkStart w:id="400" w:name="_Toc25646"/>
      <w:bookmarkStart w:id="401" w:name="_Toc31299"/>
      <w:bookmarkStart w:id="402" w:name="_Toc23987"/>
      <w:bookmarkStart w:id="403" w:name="_Toc531359024"/>
      <w:bookmarkStart w:id="404" w:name="_Toc19106"/>
      <w:r>
        <w:rPr>
          <w:rFonts w:hint="eastAsia" w:ascii="宋体" w:hAnsi="宋体" w:eastAsia="宋体" w:cs="宋体"/>
          <w:color w:val="auto"/>
          <w:highlight w:val="none"/>
        </w:rPr>
        <w:t>6.6     评标报告</w:t>
      </w:r>
      <w:bookmarkEnd w:id="398"/>
      <w:bookmarkEnd w:id="399"/>
      <w:bookmarkEnd w:id="400"/>
      <w:bookmarkEnd w:id="401"/>
      <w:bookmarkEnd w:id="402"/>
      <w:bookmarkEnd w:id="403"/>
      <w:bookmarkEnd w:id="404"/>
    </w:p>
    <w:p w14:paraId="71A95A56">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6.6.1   </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结果汇总，同品牌投标人的确定，投标人结果排序</w:t>
      </w:r>
      <w:r>
        <w:rPr>
          <w:rFonts w:hint="eastAsia" w:ascii="宋体" w:hAnsi="宋体" w:eastAsia="宋体" w:cs="宋体"/>
          <w:color w:val="auto"/>
          <w:sz w:val="24"/>
          <w:highlight w:val="none"/>
          <w:lang w:eastAsia="zh-CN"/>
        </w:rPr>
        <w:t>。</w:t>
      </w:r>
    </w:p>
    <w:p w14:paraId="4640066F">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6.6.2   评标委员会根据全体</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成员签字的原始</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记录和</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结果编写评标报告，并推荐中标候选人</w:t>
      </w:r>
      <w:r>
        <w:rPr>
          <w:rFonts w:hint="eastAsia" w:ascii="宋体" w:hAnsi="宋体" w:eastAsia="宋体" w:cs="宋体"/>
          <w:color w:val="auto"/>
          <w:sz w:val="24"/>
          <w:highlight w:val="none"/>
          <w:lang w:eastAsia="zh-CN"/>
        </w:rPr>
        <w:t>。</w:t>
      </w:r>
    </w:p>
    <w:p w14:paraId="394B5131">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6.6.3   评标报告由评标委员会成员签字确认生效，持不同意见的评标委员会成员</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在评标报告上签署不同意见及理由，否则视为同意评标报告</w:t>
      </w:r>
      <w:r>
        <w:rPr>
          <w:rFonts w:hint="eastAsia" w:ascii="宋体" w:hAnsi="宋体" w:eastAsia="宋体" w:cs="宋体"/>
          <w:color w:val="auto"/>
          <w:sz w:val="24"/>
          <w:highlight w:val="none"/>
          <w:lang w:eastAsia="zh-CN"/>
        </w:rPr>
        <w:t>。</w:t>
      </w:r>
    </w:p>
    <w:p w14:paraId="2CAF8703">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6.6.4   评标结束后，采购代理机构通过中标公告的形式宣布评标结果。</w:t>
      </w:r>
    </w:p>
    <w:p w14:paraId="0ED3B3DC">
      <w:pPr>
        <w:pStyle w:val="42"/>
        <w:shd w:val="clear"/>
        <w:spacing w:beforeLines="100" w:after="240" w:afterLines="100"/>
        <w:jc w:val="left"/>
        <w:outlineLvl w:val="1"/>
        <w:rPr>
          <w:rFonts w:hint="eastAsia" w:ascii="宋体" w:hAnsi="宋体" w:eastAsia="宋体" w:cs="宋体"/>
          <w:color w:val="auto"/>
          <w:sz w:val="30"/>
          <w:szCs w:val="30"/>
          <w:highlight w:val="none"/>
        </w:rPr>
      </w:pPr>
      <w:bookmarkStart w:id="405" w:name="_Toc7267"/>
      <w:bookmarkStart w:id="406" w:name="_Toc523398512"/>
      <w:bookmarkStart w:id="407" w:name="_Toc7874"/>
      <w:bookmarkStart w:id="408" w:name="_Toc5574"/>
      <w:bookmarkStart w:id="409" w:name="_Toc20785"/>
      <w:bookmarkStart w:id="410" w:name="_Toc97213004"/>
      <w:bookmarkStart w:id="411" w:name="_Toc531359025"/>
      <w:bookmarkStart w:id="412" w:name="_Toc31104"/>
      <w:r>
        <w:rPr>
          <w:rFonts w:hint="eastAsia" w:ascii="宋体" w:hAnsi="宋体" w:eastAsia="宋体" w:cs="宋体"/>
          <w:color w:val="auto"/>
          <w:sz w:val="30"/>
          <w:szCs w:val="30"/>
          <w:highlight w:val="none"/>
        </w:rPr>
        <w:t xml:space="preserve">七    </w:t>
      </w:r>
      <w:r>
        <w:rPr>
          <w:rFonts w:hint="eastAsia" w:ascii="宋体" w:hAnsi="宋体" w:eastAsia="宋体" w:cs="宋体"/>
          <w:color w:val="auto"/>
          <w:sz w:val="24"/>
          <w:szCs w:val="24"/>
          <w:highlight w:val="none"/>
        </w:rPr>
        <w:t>▲</w:t>
      </w:r>
      <w:r>
        <w:rPr>
          <w:rFonts w:hint="eastAsia" w:ascii="宋体" w:hAnsi="宋体" w:eastAsia="宋体" w:cs="宋体"/>
          <w:color w:val="auto"/>
          <w:sz w:val="30"/>
          <w:szCs w:val="30"/>
          <w:highlight w:val="none"/>
        </w:rPr>
        <w:t>投标无效的情形</w:t>
      </w:r>
      <w:bookmarkEnd w:id="405"/>
      <w:bookmarkEnd w:id="406"/>
      <w:bookmarkEnd w:id="407"/>
      <w:bookmarkEnd w:id="408"/>
      <w:bookmarkEnd w:id="409"/>
      <w:bookmarkEnd w:id="410"/>
      <w:bookmarkEnd w:id="411"/>
      <w:bookmarkEnd w:id="412"/>
    </w:p>
    <w:p w14:paraId="66CF4A76">
      <w:pPr>
        <w:shd w:val="clear"/>
        <w:spacing w:line="360" w:lineRule="auto"/>
        <w:ind w:left="960" w:hanging="964" w:hangingChars="400"/>
        <w:rPr>
          <w:rFonts w:hint="eastAsia" w:ascii="宋体" w:hAnsi="宋体" w:eastAsia="宋体" w:cs="宋体"/>
          <w:b/>
          <w:bCs/>
          <w:color w:val="auto"/>
          <w:sz w:val="24"/>
          <w:highlight w:val="none"/>
          <w:lang w:eastAsia="zh-CN"/>
        </w:rPr>
      </w:pPr>
      <w:bookmarkStart w:id="413" w:name="_Toc30756"/>
      <w:bookmarkStart w:id="414" w:name="_Toc97213005"/>
      <w:bookmarkStart w:id="415" w:name="_Toc25835"/>
      <w:bookmarkStart w:id="416" w:name="_Toc12129"/>
      <w:bookmarkStart w:id="417" w:name="_Toc19293"/>
      <w:r>
        <w:rPr>
          <w:rFonts w:hint="eastAsia" w:ascii="宋体" w:hAnsi="宋体" w:eastAsia="宋体" w:cs="宋体"/>
          <w:b/>
          <w:bCs/>
          <w:color w:val="auto"/>
          <w:sz w:val="24"/>
          <w:highlight w:val="none"/>
        </w:rPr>
        <w:t>7.1     如有以下情形之一的，其投标无效</w:t>
      </w:r>
      <w:bookmarkEnd w:id="413"/>
      <w:bookmarkEnd w:id="414"/>
      <w:bookmarkEnd w:id="415"/>
      <w:bookmarkEnd w:id="416"/>
      <w:r>
        <w:rPr>
          <w:rFonts w:hint="eastAsia" w:ascii="宋体" w:hAnsi="宋体" w:eastAsia="宋体" w:cs="宋体"/>
          <w:b/>
          <w:bCs/>
          <w:color w:val="auto"/>
          <w:sz w:val="24"/>
          <w:highlight w:val="none"/>
          <w:lang w:eastAsia="zh-CN"/>
        </w:rPr>
        <w:t>：</w:t>
      </w:r>
      <w:bookmarkEnd w:id="417"/>
    </w:p>
    <w:p w14:paraId="4F9A5B04">
      <w:pPr>
        <w:shd w:val="clear"/>
        <w:spacing w:line="360" w:lineRule="auto"/>
        <w:ind w:left="636" w:leftChars="303" w:firstLine="196" w:firstLineChars="82"/>
        <w:rPr>
          <w:rFonts w:hint="eastAsia" w:ascii="宋体" w:hAnsi="宋体" w:eastAsia="宋体" w:cs="宋体"/>
          <w:color w:val="auto"/>
          <w:sz w:val="24"/>
          <w:highlight w:val="none"/>
        </w:rPr>
      </w:pPr>
      <w:bookmarkStart w:id="418" w:name="_Toc301187772"/>
      <w:bookmarkStart w:id="419" w:name="_Toc17667"/>
      <w:bookmarkStart w:id="420" w:name="_Toc303756400"/>
      <w:bookmarkStart w:id="421" w:name="_Toc26534"/>
      <w:bookmarkStart w:id="422" w:name="_Toc97213011"/>
      <w:bookmarkStart w:id="423" w:name="_Toc515526193"/>
      <w:bookmarkStart w:id="424" w:name="_Toc531359026"/>
      <w:bookmarkStart w:id="425" w:name="_Toc359934597"/>
      <w:bookmarkStart w:id="426" w:name="_Toc4288"/>
      <w:bookmarkStart w:id="427" w:name="_Toc25520"/>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投标人仅提交备份投标文件，未在电子交易平台传输递交投标文件的，投标无效；</w:t>
      </w:r>
    </w:p>
    <w:p w14:paraId="2B941E8A">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含联合体成员、分包承接主体）</w:t>
      </w:r>
      <w:r>
        <w:rPr>
          <w:rFonts w:hint="eastAsia" w:ascii="宋体" w:hAnsi="宋体" w:eastAsia="宋体" w:cs="宋体"/>
          <w:color w:val="auto"/>
          <w:sz w:val="24"/>
          <w:highlight w:val="none"/>
        </w:rPr>
        <w:t>不具备招标文件中规定的资格要求的（投标人未提供有效的资格文件的，视为投标人不具备招标文件中规定的资格要求）；</w:t>
      </w:r>
    </w:p>
    <w:p w14:paraId="30B85511">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投标文件未按照招标文件要求签署、盖章的；</w:t>
      </w:r>
    </w:p>
    <w:p w14:paraId="134FCAF1">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投标文件含有采购人不能接受的附加条件的；</w:t>
      </w:r>
    </w:p>
    <w:p w14:paraId="740BBE7E">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投标文件中承诺的投标有效期少于招标文件中载明的投标有效期的；</w:t>
      </w:r>
    </w:p>
    <w:p w14:paraId="42AF2FE8">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投标文件出现不是唯一的、有选择性投标报价</w:t>
      </w:r>
      <w:r>
        <w:rPr>
          <w:rFonts w:hint="eastAsia" w:ascii="宋体" w:hAnsi="宋体" w:eastAsia="宋体" w:cs="宋体"/>
          <w:color w:val="auto"/>
          <w:sz w:val="24"/>
          <w:highlight w:val="none"/>
          <w:lang w:val="en-US" w:eastAsia="zh-CN"/>
        </w:rPr>
        <w:t>或投标方案，且未声明哪一份有效</w:t>
      </w:r>
      <w:r>
        <w:rPr>
          <w:rFonts w:hint="eastAsia" w:ascii="宋体" w:hAnsi="宋体" w:eastAsia="宋体" w:cs="宋体"/>
          <w:color w:val="auto"/>
          <w:sz w:val="24"/>
          <w:highlight w:val="none"/>
        </w:rPr>
        <w:t>的;</w:t>
      </w:r>
    </w:p>
    <w:p w14:paraId="5AF72EF6">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投标报价超过招标文件中规定的预算金额或者最高限价的;</w:t>
      </w:r>
    </w:p>
    <w:p w14:paraId="658A583C">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173DEC4B">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投标人对根据修正原则修正后的报价不确认的；</w:t>
      </w:r>
    </w:p>
    <w:p w14:paraId="5581E46A">
      <w:pPr>
        <w:shd w:val="clear"/>
        <w:spacing w:line="360" w:lineRule="auto"/>
        <w:ind w:left="636" w:leftChars="303" w:firstLine="196" w:firstLineChars="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10）评标委员会评定有非实质性条款负偏离超过招标文件规定项数的，项数要求见投标人须知前附表（一）；</w:t>
      </w:r>
    </w:p>
    <w:p w14:paraId="4FFA4476">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投标人提供虚假材料投标的；</w:t>
      </w:r>
    </w:p>
    <w:p w14:paraId="73BB5FD7">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投标人有恶意串通、妨碍其他投标人的竞争行为、损害采购人或者其他投标人的合法权益情形的；</w:t>
      </w:r>
    </w:p>
    <w:p w14:paraId="44089239">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 xml:space="preserve"> 投标文件不满足招标文件的其它实质性要求的；</w:t>
      </w:r>
    </w:p>
    <w:p w14:paraId="79EF42B7">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不同供应商IP地址相同的，供应商未作合理说明，或理由不充分的，作无效响应处理；</w:t>
      </w:r>
    </w:p>
    <w:p w14:paraId="3E190857">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参与同一个采购包（标段）的供应商存在下列情形之一且无法合理解释的，其投标（响应）文件无效：</w:t>
      </w:r>
      <w:r>
        <w:rPr>
          <w:rFonts w:hint="eastAsia" w:ascii="宋体" w:hAnsi="宋体" w:eastAsia="宋体" w:cs="宋体"/>
          <w:color w:val="auto"/>
          <w:sz w:val="24"/>
          <w:highlight w:val="none"/>
          <w:lang w:val="en-US" w:eastAsia="zh"/>
        </w:rPr>
        <w:t>1.</w:t>
      </w:r>
      <w:r>
        <w:rPr>
          <w:rFonts w:hint="eastAsia" w:ascii="宋体" w:hAnsi="宋体" w:eastAsia="宋体" w:cs="宋体"/>
          <w:color w:val="auto"/>
          <w:sz w:val="24"/>
          <w:highlight w:val="none"/>
          <w:lang w:val="en-US" w:eastAsia="zh-CN"/>
        </w:rPr>
        <w:t>不同供应商的电子投标（响应）文件上传计算机的网卡MAC地址或硬盘序列号等硬件信息相同的；</w:t>
      </w:r>
      <w:r>
        <w:rPr>
          <w:rFonts w:hint="eastAsia" w:ascii="宋体" w:hAnsi="宋体" w:eastAsia="宋体" w:cs="宋体"/>
          <w:color w:val="auto"/>
          <w:sz w:val="24"/>
          <w:highlight w:val="none"/>
          <w:lang w:val="en-US" w:eastAsia="zh"/>
        </w:rPr>
        <w:t>2.</w:t>
      </w:r>
      <w:r>
        <w:rPr>
          <w:rFonts w:hint="eastAsia" w:ascii="宋体" w:hAnsi="宋体" w:eastAsia="宋体" w:cs="宋体"/>
          <w:color w:val="auto"/>
          <w:sz w:val="24"/>
          <w:highlight w:val="none"/>
          <w:lang w:val="en-US" w:eastAsia="zh-CN"/>
        </w:rPr>
        <w:t>上传的电子投标（响应）文件若出现使用本项目其他投标（响应）供应商的数字证书加密的，或者加盖本项目其他投标（响应）供应商的电子印章的；</w:t>
      </w:r>
      <w:r>
        <w:rPr>
          <w:rFonts w:hint="eastAsia" w:ascii="宋体" w:hAnsi="宋体" w:eastAsia="宋体" w:cs="宋体"/>
          <w:color w:val="auto"/>
          <w:sz w:val="24"/>
          <w:highlight w:val="none"/>
          <w:lang w:val="en-US" w:eastAsia="zh"/>
        </w:rPr>
        <w:t>3.</w:t>
      </w:r>
      <w:r>
        <w:rPr>
          <w:rFonts w:hint="eastAsia" w:ascii="宋体" w:hAnsi="宋体" w:eastAsia="宋体" w:cs="宋体"/>
          <w:color w:val="auto"/>
          <w:sz w:val="24"/>
          <w:highlight w:val="none"/>
          <w:lang w:val="en-US" w:eastAsia="zh-CN"/>
        </w:rPr>
        <w:t>不同供应商的投标（响应）文件的内容存在</w:t>
      </w:r>
      <w:r>
        <w:rPr>
          <w:rFonts w:hint="eastAsia" w:ascii="宋体" w:hAnsi="宋体" w:eastAsia="宋体" w:cs="宋体"/>
          <w:color w:val="auto"/>
          <w:sz w:val="24"/>
          <w:highlight w:val="none"/>
          <w:lang w:val="en-US" w:eastAsia="zh"/>
        </w:rPr>
        <w:t>3</w:t>
      </w:r>
      <w:r>
        <w:rPr>
          <w:rFonts w:hint="eastAsia" w:ascii="宋体" w:hAnsi="宋体" w:eastAsia="宋体" w:cs="宋体"/>
          <w:color w:val="auto"/>
          <w:sz w:val="24"/>
          <w:highlight w:val="none"/>
          <w:lang w:val="en-US" w:eastAsia="zh-CN"/>
        </w:rPr>
        <w:t>处（含）以上错误一致的；4</w:t>
      </w:r>
      <w:r>
        <w:rPr>
          <w:rFonts w:hint="eastAsia" w:ascii="宋体" w:hAnsi="宋体" w:eastAsia="宋体" w:cs="宋体"/>
          <w:color w:val="auto"/>
          <w:sz w:val="24"/>
          <w:highlight w:val="none"/>
          <w:lang w:val="en-US" w:eastAsia="zh"/>
        </w:rPr>
        <w:t>.</w:t>
      </w:r>
      <w:r>
        <w:rPr>
          <w:rFonts w:hint="eastAsia" w:ascii="宋体" w:hAnsi="宋体" w:eastAsia="宋体" w:cs="宋体"/>
          <w:color w:val="auto"/>
          <w:sz w:val="24"/>
          <w:highlight w:val="none"/>
          <w:lang w:val="en-US" w:eastAsia="zh-CN"/>
        </w:rPr>
        <w:t>不同供应商联系人为同一人或不同联系人的联系电话一致的。</w:t>
      </w:r>
    </w:p>
    <w:p w14:paraId="767EDCF8">
      <w:pPr>
        <w:shd w:val="clear"/>
        <w:spacing w:line="360" w:lineRule="auto"/>
        <w:ind w:left="636" w:leftChars="303" w:firstLine="196" w:firstLineChars="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法律、法规、规章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规范性文件</w:t>
      </w:r>
      <w:r>
        <w:rPr>
          <w:rFonts w:hint="eastAsia" w:ascii="宋体" w:hAnsi="宋体" w:eastAsia="宋体" w:cs="宋体"/>
          <w:color w:val="auto"/>
          <w:sz w:val="24"/>
          <w:highlight w:val="none"/>
          <w:lang w:val="en-US" w:eastAsia="zh-CN"/>
        </w:rPr>
        <w:t>及招标文件等</w:t>
      </w:r>
      <w:r>
        <w:rPr>
          <w:rFonts w:hint="eastAsia" w:ascii="宋体" w:hAnsi="宋体" w:eastAsia="宋体" w:cs="宋体"/>
          <w:color w:val="auto"/>
          <w:sz w:val="24"/>
          <w:highlight w:val="none"/>
        </w:rPr>
        <w:t>规定的其他无效情形。</w:t>
      </w:r>
    </w:p>
    <w:p w14:paraId="7E301DD1">
      <w:pPr>
        <w:pStyle w:val="42"/>
        <w:shd w:val="clear"/>
        <w:spacing w:beforeLines="100" w:after="240" w:afterLines="100"/>
        <w:jc w:val="left"/>
        <w:outlineLvl w:val="1"/>
        <w:rPr>
          <w:rFonts w:hint="eastAsia" w:ascii="宋体" w:hAnsi="宋体" w:eastAsia="宋体" w:cs="宋体"/>
          <w:b/>
          <w:bCs/>
          <w:color w:val="auto"/>
          <w:sz w:val="30"/>
          <w:szCs w:val="30"/>
          <w:highlight w:val="none"/>
        </w:rPr>
      </w:pPr>
      <w:bookmarkStart w:id="428" w:name="_Toc5893"/>
      <w:r>
        <w:rPr>
          <w:rFonts w:hint="eastAsia" w:ascii="宋体" w:hAnsi="宋体" w:eastAsia="宋体" w:cs="宋体"/>
          <w:b/>
          <w:bCs/>
          <w:color w:val="auto"/>
          <w:sz w:val="30"/>
          <w:szCs w:val="30"/>
          <w:highlight w:val="none"/>
        </w:rPr>
        <w:t>八    中标和合同</w:t>
      </w:r>
      <w:bookmarkEnd w:id="418"/>
      <w:bookmarkEnd w:id="419"/>
      <w:bookmarkEnd w:id="420"/>
      <w:bookmarkEnd w:id="421"/>
      <w:bookmarkEnd w:id="422"/>
      <w:bookmarkEnd w:id="423"/>
      <w:bookmarkEnd w:id="424"/>
      <w:bookmarkEnd w:id="425"/>
      <w:bookmarkEnd w:id="426"/>
      <w:bookmarkEnd w:id="427"/>
      <w:bookmarkEnd w:id="428"/>
    </w:p>
    <w:p w14:paraId="285FECBD">
      <w:pPr>
        <w:pStyle w:val="229"/>
        <w:shd w:val="clear"/>
        <w:rPr>
          <w:rFonts w:hint="eastAsia" w:ascii="宋体" w:hAnsi="宋体" w:eastAsia="宋体" w:cs="宋体"/>
          <w:color w:val="auto"/>
          <w:highlight w:val="none"/>
        </w:rPr>
      </w:pPr>
      <w:bookmarkStart w:id="429" w:name="_Toc303756402"/>
      <w:bookmarkStart w:id="430" w:name="_Toc301187776"/>
      <w:bookmarkStart w:id="431" w:name="_Toc359934599"/>
      <w:bookmarkStart w:id="432" w:name="_Toc10097"/>
      <w:bookmarkStart w:id="433" w:name="_Toc97213012"/>
      <w:bookmarkStart w:id="434" w:name="_Toc20745"/>
      <w:bookmarkStart w:id="435" w:name="_Toc19508"/>
      <w:bookmarkStart w:id="436" w:name="_Toc531359027"/>
      <w:bookmarkStart w:id="437" w:name="_Toc18384"/>
      <w:bookmarkStart w:id="438" w:name="_Toc19603"/>
      <w:bookmarkStart w:id="439" w:name="_Toc515526194"/>
      <w:r>
        <w:rPr>
          <w:rFonts w:hint="eastAsia" w:ascii="宋体" w:hAnsi="宋体" w:eastAsia="宋体" w:cs="宋体"/>
          <w:color w:val="auto"/>
          <w:highlight w:val="none"/>
        </w:rPr>
        <w:t>8.1</w:t>
      </w:r>
      <w:bookmarkEnd w:id="429"/>
      <w:bookmarkEnd w:id="430"/>
      <w:bookmarkEnd w:id="431"/>
      <w:r>
        <w:rPr>
          <w:rFonts w:hint="eastAsia" w:ascii="宋体" w:hAnsi="宋体" w:eastAsia="宋体" w:cs="宋体"/>
          <w:color w:val="auto"/>
          <w:highlight w:val="none"/>
        </w:rPr>
        <w:t xml:space="preserve">     中标</w:t>
      </w:r>
      <w:bookmarkEnd w:id="432"/>
      <w:bookmarkEnd w:id="433"/>
      <w:bookmarkEnd w:id="434"/>
      <w:bookmarkEnd w:id="435"/>
      <w:bookmarkEnd w:id="436"/>
      <w:bookmarkEnd w:id="437"/>
      <w:bookmarkEnd w:id="438"/>
      <w:bookmarkEnd w:id="439"/>
    </w:p>
    <w:p w14:paraId="6663B839">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8.1.1   采购代理机构在评标结束后2个工作日内将评标报告提交采购人确认</w:t>
      </w:r>
      <w:r>
        <w:rPr>
          <w:rFonts w:hint="eastAsia" w:ascii="宋体" w:hAnsi="宋体" w:eastAsia="宋体" w:cs="宋体"/>
          <w:color w:val="auto"/>
          <w:sz w:val="24"/>
          <w:highlight w:val="none"/>
          <w:lang w:eastAsia="zh-CN"/>
        </w:rPr>
        <w:t>。</w:t>
      </w:r>
    </w:p>
    <w:p w14:paraId="2BB29BF3">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8.1.2   采购人</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自收到评标报告之日起5个工作日内，在评标报告确定的中标候选人名单中按顺序确定中标人</w:t>
      </w:r>
      <w:r>
        <w:rPr>
          <w:rFonts w:hint="eastAsia" w:ascii="宋体" w:hAnsi="宋体" w:eastAsia="宋体" w:cs="宋体"/>
          <w:color w:val="auto"/>
          <w:sz w:val="24"/>
          <w:highlight w:val="none"/>
          <w:lang w:eastAsia="zh-CN"/>
        </w:rPr>
        <w:t>。中标候选人并列的，由采购人或者采购人委托评标委员会按照招标文件规定的方式确定中标人；招标文件未规定的，采取随机抽取的方式确定。</w:t>
      </w:r>
    </w:p>
    <w:p w14:paraId="5964C056">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8.1.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中标人拒绝与采购人签订合同的，采购人可以按照评标报告推荐的中标人名单排序，确定下一候选人为中标人，也可以重新开展政府采购活动。</w:t>
      </w:r>
    </w:p>
    <w:p w14:paraId="7CC6FFE3">
      <w:pPr>
        <w:pStyle w:val="229"/>
        <w:shd w:val="clear"/>
        <w:rPr>
          <w:rFonts w:hint="eastAsia" w:ascii="宋体" w:hAnsi="宋体" w:eastAsia="宋体" w:cs="宋体"/>
          <w:color w:val="auto"/>
          <w:highlight w:val="none"/>
        </w:rPr>
      </w:pPr>
      <w:bookmarkStart w:id="440" w:name="_Toc29709"/>
      <w:bookmarkStart w:id="441" w:name="_Toc16529"/>
      <w:bookmarkStart w:id="442" w:name="_Toc25685"/>
      <w:bookmarkStart w:id="443" w:name="_Toc97213013"/>
      <w:bookmarkStart w:id="444" w:name="_Toc15890"/>
      <w:bookmarkStart w:id="445" w:name="_Toc531359028"/>
      <w:bookmarkStart w:id="446" w:name="_Toc25918"/>
      <w:r>
        <w:rPr>
          <w:rFonts w:hint="eastAsia" w:ascii="宋体" w:hAnsi="宋体" w:eastAsia="宋体" w:cs="宋体"/>
          <w:color w:val="auto"/>
          <w:highlight w:val="none"/>
        </w:rPr>
        <w:t>8.2     中标公告和中标通知书</w:t>
      </w:r>
      <w:bookmarkEnd w:id="440"/>
      <w:bookmarkEnd w:id="441"/>
      <w:bookmarkEnd w:id="442"/>
      <w:bookmarkEnd w:id="443"/>
      <w:bookmarkEnd w:id="444"/>
      <w:bookmarkEnd w:id="445"/>
      <w:bookmarkEnd w:id="446"/>
    </w:p>
    <w:p w14:paraId="711E38D2">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8.2.1   采购代理机构在投标人须知前附表（一）规定的网址发布中标结果</w:t>
      </w:r>
      <w:r>
        <w:rPr>
          <w:rFonts w:hint="eastAsia" w:ascii="宋体" w:hAnsi="宋体" w:eastAsia="宋体" w:cs="宋体"/>
          <w:color w:val="auto"/>
          <w:sz w:val="24"/>
          <w:highlight w:val="none"/>
          <w:lang w:eastAsia="zh-CN"/>
        </w:rPr>
        <w:t>。</w:t>
      </w:r>
    </w:p>
    <w:p w14:paraId="62F2865C">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8.2.2   中标结果公告内容包括采购人和采购代理机构的名称、地址、联系方式，项目名称和项目编号，中标人名称、地址和中标金额，主要中标标的的名称、规格型号、数量、单价、服务要求，中标公告期限以及</w:t>
      </w:r>
      <w:r>
        <w:rPr>
          <w:rFonts w:hint="eastAsia" w:ascii="宋体" w:hAnsi="宋体" w:eastAsia="宋体" w:cs="宋体"/>
          <w:color w:val="auto"/>
          <w:sz w:val="24"/>
          <w:highlight w:val="none"/>
          <w:lang w:eastAsia="zh-CN"/>
        </w:rPr>
        <w:t>评标</w:t>
      </w:r>
      <w:r>
        <w:rPr>
          <w:rFonts w:hint="eastAsia" w:ascii="宋体" w:hAnsi="宋体" w:eastAsia="宋体" w:cs="宋体"/>
          <w:color w:val="auto"/>
          <w:sz w:val="24"/>
          <w:highlight w:val="none"/>
        </w:rPr>
        <w:t>专家名单，但不包括国家秘密或商业秘密</w:t>
      </w:r>
      <w:r>
        <w:rPr>
          <w:rFonts w:hint="eastAsia" w:ascii="宋体" w:hAnsi="宋体" w:eastAsia="宋体" w:cs="宋体"/>
          <w:color w:val="auto"/>
          <w:sz w:val="24"/>
          <w:highlight w:val="none"/>
          <w:lang w:eastAsia="zh-CN"/>
        </w:rPr>
        <w:t>。</w:t>
      </w:r>
    </w:p>
    <w:p w14:paraId="0898CB08">
      <w:pPr>
        <w:shd w:val="clear"/>
        <w:spacing w:line="360" w:lineRule="auto"/>
        <w:ind w:left="960" w:hanging="960" w:hanging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8.2.3   </w:t>
      </w:r>
      <w:r>
        <w:rPr>
          <w:rFonts w:hint="eastAsia" w:ascii="宋体" w:hAnsi="宋体" w:eastAsia="宋体" w:cs="宋体"/>
          <w:strike w:val="0"/>
          <w:color w:val="auto"/>
          <w:sz w:val="24"/>
          <w:highlight w:val="none"/>
        </w:rPr>
        <w:t>中标公告期限为1个工作日</w:t>
      </w:r>
      <w:r>
        <w:rPr>
          <w:rFonts w:hint="eastAsia" w:ascii="宋体" w:hAnsi="宋体" w:eastAsia="宋体" w:cs="宋体"/>
          <w:strike w:val="0"/>
          <w:color w:val="auto"/>
          <w:sz w:val="24"/>
          <w:highlight w:val="none"/>
          <w:lang w:eastAsia="zh-CN"/>
        </w:rPr>
        <w:t>。</w:t>
      </w:r>
    </w:p>
    <w:p w14:paraId="1F1B2EC3">
      <w:pPr>
        <w:shd w:val="clear"/>
        <w:spacing w:line="360" w:lineRule="auto"/>
        <w:ind w:left="960" w:hanging="960" w:hanging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8.2.4   采购代理机构在中标结果公告中附中标通知书，视同向中标人发出中标通知书</w:t>
      </w:r>
      <w:r>
        <w:rPr>
          <w:rFonts w:hint="eastAsia" w:ascii="宋体" w:hAnsi="宋体" w:eastAsia="宋体" w:cs="宋体"/>
          <w:color w:val="auto"/>
          <w:sz w:val="24"/>
          <w:highlight w:val="none"/>
          <w:lang w:val="en-US" w:eastAsia="zh-CN"/>
        </w:rPr>
        <w:t>。</w:t>
      </w:r>
    </w:p>
    <w:p w14:paraId="44F3F071">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8.2.5   中标通知书发出后，采购人不得违法改变中标结果，中标人无正当理由不得放弃中标。</w:t>
      </w:r>
    </w:p>
    <w:p w14:paraId="466AF0D6">
      <w:pPr>
        <w:pStyle w:val="229"/>
        <w:shd w:val="clear"/>
        <w:rPr>
          <w:rFonts w:hint="eastAsia" w:ascii="宋体" w:hAnsi="宋体" w:eastAsia="宋体" w:cs="宋体"/>
          <w:color w:val="auto"/>
          <w:highlight w:val="none"/>
        </w:rPr>
      </w:pPr>
      <w:bookmarkStart w:id="447" w:name="_Toc3078"/>
      <w:bookmarkStart w:id="448" w:name="_Toc531359029"/>
      <w:bookmarkStart w:id="449" w:name="_Toc24370"/>
      <w:bookmarkStart w:id="450" w:name="_Toc4458"/>
      <w:bookmarkStart w:id="451" w:name="_Toc24543"/>
      <w:bookmarkStart w:id="452" w:name="_Toc29878"/>
      <w:bookmarkStart w:id="453" w:name="_Toc97213014"/>
      <w:r>
        <w:rPr>
          <w:rFonts w:hint="eastAsia" w:ascii="宋体" w:hAnsi="宋体" w:eastAsia="宋体" w:cs="宋体"/>
          <w:color w:val="auto"/>
          <w:highlight w:val="none"/>
        </w:rPr>
        <w:t>8.3     履约保证金</w:t>
      </w:r>
      <w:bookmarkEnd w:id="447"/>
      <w:bookmarkEnd w:id="448"/>
      <w:bookmarkEnd w:id="449"/>
      <w:bookmarkEnd w:id="450"/>
      <w:bookmarkEnd w:id="451"/>
      <w:bookmarkEnd w:id="452"/>
      <w:bookmarkEnd w:id="453"/>
    </w:p>
    <w:p w14:paraId="44FA41E0">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8.3.1   履约保证金：见投标人须知前附表（一）。</w:t>
      </w:r>
    </w:p>
    <w:p w14:paraId="1FF2984D">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8.3.2   验收合格的项目，采购人</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根据采购合同的约定及时向供应商支付采购资金、退还履约保证金。</w:t>
      </w:r>
    </w:p>
    <w:p w14:paraId="7E6744DA">
      <w:pPr>
        <w:pStyle w:val="229"/>
        <w:shd w:val="clear"/>
        <w:rPr>
          <w:rFonts w:hint="eastAsia" w:ascii="宋体" w:hAnsi="宋体" w:eastAsia="宋体" w:cs="宋体"/>
          <w:color w:val="auto"/>
          <w:highlight w:val="none"/>
        </w:rPr>
      </w:pPr>
      <w:bookmarkStart w:id="454" w:name="_Toc5774"/>
      <w:bookmarkStart w:id="455" w:name="_Toc97213015"/>
      <w:bookmarkStart w:id="456" w:name="_Toc31048"/>
      <w:bookmarkStart w:id="457" w:name="_Toc531359030"/>
      <w:bookmarkStart w:id="458" w:name="_Toc10253"/>
      <w:bookmarkStart w:id="459" w:name="_Toc5030"/>
      <w:bookmarkStart w:id="460" w:name="_Toc6434"/>
      <w:r>
        <w:rPr>
          <w:rFonts w:hint="eastAsia" w:ascii="宋体" w:hAnsi="宋体" w:eastAsia="宋体" w:cs="宋体"/>
          <w:color w:val="auto"/>
          <w:highlight w:val="none"/>
        </w:rPr>
        <w:t>8.4     合同</w:t>
      </w:r>
      <w:bookmarkEnd w:id="454"/>
      <w:bookmarkEnd w:id="455"/>
      <w:bookmarkEnd w:id="456"/>
      <w:bookmarkEnd w:id="457"/>
      <w:bookmarkEnd w:id="458"/>
      <w:bookmarkEnd w:id="459"/>
      <w:bookmarkEnd w:id="460"/>
    </w:p>
    <w:p w14:paraId="701A0D91">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8.4.1   采购人</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自中标通知书发出之日起30日内，按照招标文件和中标人投标文件的规定，与中标人签订书面合同。所签订的合同不得对招标文件确定的事项和中标人投标文件作实质性修改。</w:t>
      </w:r>
    </w:p>
    <w:p w14:paraId="43D94443">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8.4.2   询问或者质疑事项可能影响中标结果的，采购人</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暂停签订合同，已经签订合同的，</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中止履行合同。</w:t>
      </w:r>
    </w:p>
    <w:p w14:paraId="017E0147">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8.4.3   采购人</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自政府采购合同签订之日起2个工作日内，将政府采购合同在浙江省政府采购网（zfcg.czt.zj.gov.cn）上公告，但政府采购合同中涉及国家秘密、商业秘密的内容除外。</w:t>
      </w:r>
    </w:p>
    <w:p w14:paraId="3876B6A4">
      <w:pPr>
        <w:pStyle w:val="42"/>
        <w:shd w:val="clear"/>
        <w:spacing w:beforeLines="100" w:after="240" w:afterLines="100"/>
        <w:jc w:val="left"/>
        <w:outlineLvl w:val="1"/>
        <w:rPr>
          <w:rFonts w:hint="eastAsia" w:ascii="宋体" w:hAnsi="宋体" w:eastAsia="宋体" w:cs="宋体"/>
          <w:b/>
          <w:bCs/>
          <w:color w:val="auto"/>
          <w:sz w:val="30"/>
          <w:szCs w:val="30"/>
          <w:highlight w:val="none"/>
        </w:rPr>
      </w:pPr>
      <w:bookmarkStart w:id="461" w:name="_Toc25471"/>
      <w:bookmarkStart w:id="462" w:name="_Toc107820052"/>
      <w:bookmarkStart w:id="463" w:name="_Toc47756031"/>
      <w:bookmarkStart w:id="464" w:name="_Toc20288"/>
      <w:bookmarkStart w:id="465" w:name="_Toc20300"/>
      <w:bookmarkStart w:id="466" w:name="_Toc15813254"/>
      <w:bookmarkStart w:id="467" w:name="_Toc531359032"/>
      <w:bookmarkStart w:id="468" w:name="_Toc10865"/>
      <w:bookmarkStart w:id="469" w:name="_Toc15805937"/>
      <w:bookmarkStart w:id="470" w:name="_Toc45506731"/>
      <w:bookmarkStart w:id="471" w:name="_Toc30295"/>
      <w:bookmarkStart w:id="472" w:name="_Toc530551873"/>
      <w:bookmarkStart w:id="473" w:name="_Toc493956048"/>
      <w:bookmarkStart w:id="474" w:name="_Toc335664282"/>
      <w:bookmarkStart w:id="475" w:name="_Toc334087240"/>
      <w:bookmarkStart w:id="476" w:name="_Toc97213016"/>
      <w:r>
        <w:rPr>
          <w:rFonts w:hint="eastAsia" w:ascii="宋体" w:hAnsi="宋体" w:eastAsia="宋体" w:cs="宋体"/>
          <w:b/>
          <w:bCs/>
          <w:color w:val="auto"/>
          <w:sz w:val="30"/>
          <w:szCs w:val="30"/>
          <w:highlight w:val="none"/>
        </w:rPr>
        <w:t>九    其他事项</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Start w:id="477" w:name="_Toc16415"/>
      <w:bookmarkStart w:id="478" w:name="_Toc24514"/>
      <w:bookmarkStart w:id="479" w:name="_Toc15245"/>
    </w:p>
    <w:p w14:paraId="31D6C494">
      <w:pPr>
        <w:pStyle w:val="42"/>
        <w:shd w:val="clear"/>
        <w:spacing w:beforeLines="100" w:after="240" w:afterLines="100"/>
        <w:jc w:val="left"/>
        <w:outlineLvl w:val="1"/>
        <w:rPr>
          <w:rFonts w:hint="eastAsia" w:ascii="宋体" w:hAnsi="宋体" w:eastAsia="宋体" w:cs="宋体"/>
          <w:b/>
          <w:bCs/>
          <w:color w:val="auto"/>
          <w:kern w:val="2"/>
          <w:sz w:val="24"/>
          <w:szCs w:val="20"/>
          <w:highlight w:val="none"/>
          <w:lang w:val="en-US" w:eastAsia="zh-CN" w:bidi="ar-SA"/>
        </w:rPr>
      </w:pPr>
      <w:bookmarkStart w:id="480" w:name="_Toc31825"/>
      <w:r>
        <w:rPr>
          <w:rFonts w:hint="eastAsia" w:ascii="宋体" w:hAnsi="宋体" w:eastAsia="宋体" w:cs="宋体"/>
          <w:b/>
          <w:bCs/>
          <w:color w:val="auto"/>
          <w:kern w:val="2"/>
          <w:sz w:val="24"/>
          <w:szCs w:val="20"/>
          <w:highlight w:val="none"/>
          <w:lang w:val="en-US" w:eastAsia="zh-CN" w:bidi="ar-SA"/>
        </w:rPr>
        <w:t xml:space="preserve">9.1    </w:t>
      </w:r>
      <w:bookmarkEnd w:id="477"/>
      <w:bookmarkEnd w:id="478"/>
      <w:bookmarkEnd w:id="479"/>
      <w:r>
        <w:rPr>
          <w:rFonts w:hint="eastAsia" w:ascii="宋体" w:hAnsi="宋体" w:eastAsia="宋体" w:cs="宋体"/>
          <w:b/>
          <w:bCs/>
          <w:color w:val="auto"/>
          <w:kern w:val="2"/>
          <w:sz w:val="24"/>
          <w:szCs w:val="20"/>
          <w:highlight w:val="none"/>
          <w:lang w:val="en-US" w:eastAsia="zh-CN" w:bidi="ar-SA"/>
        </w:rPr>
        <w:t>废标</w:t>
      </w:r>
      <w:bookmarkEnd w:id="480"/>
    </w:p>
    <w:p w14:paraId="50C8E849">
      <w:pPr>
        <w:shd w:val="clear"/>
        <w:spacing w:line="360" w:lineRule="auto"/>
        <w:ind w:left="958" w:leftChars="456"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根据《中华人民共和国政府采购法》第三十六条之规定，在采购中，出现下列情形之一的，应予废标：</w:t>
      </w:r>
    </w:p>
    <w:p w14:paraId="2CB556C5">
      <w:pPr>
        <w:shd w:val="clear"/>
        <w:spacing w:line="360" w:lineRule="auto"/>
        <w:ind w:left="958" w:leftChars="456"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符合专业条件的供应商或者对招标文件作实质响应的供应商不足3家的；</w:t>
      </w:r>
    </w:p>
    <w:p w14:paraId="1942ACE8">
      <w:pPr>
        <w:shd w:val="clear"/>
        <w:spacing w:line="360" w:lineRule="auto"/>
        <w:ind w:left="958" w:leftChars="456"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出现影响采购公正的违法、违规行为的；</w:t>
      </w:r>
    </w:p>
    <w:p w14:paraId="2EE0B98E">
      <w:pPr>
        <w:shd w:val="clear"/>
        <w:spacing w:line="360" w:lineRule="auto"/>
        <w:ind w:left="958" w:leftChars="456"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投标人的报价均超过了采购预算，采购人不能支付的；</w:t>
      </w:r>
    </w:p>
    <w:p w14:paraId="3CD07142">
      <w:pPr>
        <w:shd w:val="clear"/>
        <w:spacing w:line="360" w:lineRule="auto"/>
        <w:ind w:left="958" w:leftChars="456"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因重大变故，采购任务取消的。</w:t>
      </w:r>
    </w:p>
    <w:p w14:paraId="57E328FB">
      <w:pPr>
        <w:shd w:val="clear"/>
        <w:spacing w:line="360" w:lineRule="auto"/>
        <w:ind w:left="958" w:leftChars="456"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废标后，采购代理机构应当将废标理由通知所有投标人。</w:t>
      </w:r>
    </w:p>
    <w:p w14:paraId="526E7491">
      <w:pPr>
        <w:pStyle w:val="42"/>
        <w:shd w:val="clear"/>
        <w:spacing w:beforeLines="100" w:after="240" w:afterLines="100"/>
        <w:jc w:val="left"/>
        <w:outlineLvl w:val="1"/>
        <w:rPr>
          <w:rFonts w:hint="eastAsia" w:ascii="宋体" w:hAnsi="宋体" w:eastAsia="宋体" w:cs="宋体"/>
          <w:b/>
          <w:bCs/>
          <w:color w:val="auto"/>
          <w:kern w:val="2"/>
          <w:sz w:val="24"/>
          <w:szCs w:val="20"/>
          <w:highlight w:val="none"/>
          <w:lang w:val="en-US" w:eastAsia="zh-CN" w:bidi="ar-SA"/>
        </w:rPr>
      </w:pPr>
      <w:bookmarkStart w:id="481" w:name="_Toc8481"/>
      <w:r>
        <w:rPr>
          <w:rFonts w:hint="eastAsia" w:ascii="宋体" w:hAnsi="宋体" w:eastAsia="宋体" w:cs="宋体"/>
          <w:b/>
          <w:bCs/>
          <w:color w:val="auto"/>
          <w:kern w:val="2"/>
          <w:sz w:val="24"/>
          <w:szCs w:val="20"/>
          <w:highlight w:val="none"/>
          <w:lang w:val="en-US" w:eastAsia="zh-CN" w:bidi="ar-SA"/>
        </w:rPr>
        <w:t>9.2    修改招标文件，重新组织采购活动</w:t>
      </w:r>
      <w:bookmarkEnd w:id="481"/>
    </w:p>
    <w:p w14:paraId="3AC16583">
      <w:pPr>
        <w:shd w:val="clear"/>
        <w:spacing w:line="360" w:lineRule="auto"/>
        <w:ind w:left="655" w:leftChars="312" w:firstLine="297" w:firstLineChars="124"/>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0786C3">
      <w:pPr>
        <w:pStyle w:val="42"/>
        <w:shd w:val="clear"/>
        <w:spacing w:beforeLines="100" w:after="240" w:afterLines="100"/>
        <w:jc w:val="left"/>
        <w:outlineLvl w:val="1"/>
        <w:rPr>
          <w:rFonts w:hint="eastAsia" w:ascii="宋体" w:hAnsi="宋体" w:eastAsia="宋体" w:cs="宋体"/>
          <w:b/>
          <w:bCs/>
          <w:color w:val="auto"/>
          <w:kern w:val="2"/>
          <w:sz w:val="24"/>
          <w:szCs w:val="20"/>
          <w:highlight w:val="none"/>
          <w:lang w:val="en-US" w:eastAsia="zh-CN" w:bidi="ar-SA"/>
        </w:rPr>
      </w:pPr>
      <w:bookmarkStart w:id="482" w:name="_Toc17367"/>
      <w:r>
        <w:rPr>
          <w:rFonts w:hint="eastAsia" w:ascii="宋体" w:hAnsi="宋体" w:eastAsia="宋体" w:cs="宋体"/>
          <w:b/>
          <w:bCs/>
          <w:color w:val="auto"/>
          <w:kern w:val="2"/>
          <w:sz w:val="24"/>
          <w:szCs w:val="20"/>
          <w:highlight w:val="none"/>
          <w:lang w:val="en-US" w:eastAsia="zh-CN" w:bidi="ar-SA"/>
        </w:rPr>
        <w:t>9.3    重新开展采购</w:t>
      </w:r>
      <w:bookmarkEnd w:id="482"/>
    </w:p>
    <w:p w14:paraId="2FB1CD70">
      <w:pPr>
        <w:numPr>
          <w:ilvl w:val="0"/>
          <w:numId w:val="0"/>
        </w:numPr>
        <w:shd w:val="clear"/>
        <w:spacing w:line="360" w:lineRule="auto"/>
        <w:ind w:leftChars="456"/>
        <w:rPr>
          <w:rFonts w:hint="eastAsia" w:ascii="宋体" w:hAnsi="宋体" w:eastAsia="宋体" w:cs="宋体"/>
          <w:color w:val="auto"/>
          <w:sz w:val="24"/>
          <w:highlight w:val="none"/>
        </w:rPr>
      </w:pPr>
      <w:r>
        <w:rPr>
          <w:rFonts w:hint="eastAsia" w:ascii="宋体" w:hAnsi="宋体" w:eastAsia="宋体" w:cs="宋体"/>
          <w:color w:val="auto"/>
          <w:sz w:val="24"/>
          <w:highlight w:val="none"/>
        </w:rPr>
        <w:t>有政府采购法第七十一条、第七十二条规定的违法行为之一，影响或者可能影响中标结果的，依照下列规定处理：</w:t>
      </w:r>
    </w:p>
    <w:p w14:paraId="1ED50684">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9.3.1   </w:t>
      </w:r>
      <w:r>
        <w:rPr>
          <w:rFonts w:hint="eastAsia" w:ascii="宋体" w:hAnsi="宋体" w:eastAsia="宋体" w:cs="宋体"/>
          <w:color w:val="auto"/>
          <w:sz w:val="24"/>
          <w:highlight w:val="none"/>
        </w:rPr>
        <w:t>未确定中标供应商的，终止本次政府采购活动，重新开展政府采购活动。</w:t>
      </w:r>
    </w:p>
    <w:p w14:paraId="71C29111">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9.3.2   </w:t>
      </w:r>
      <w:r>
        <w:rPr>
          <w:rFonts w:hint="eastAsia" w:ascii="宋体" w:hAnsi="宋体" w:eastAsia="宋体" w:cs="宋体"/>
          <w:color w:val="auto"/>
          <w:sz w:val="24"/>
          <w:highlight w:val="none"/>
        </w:rPr>
        <w:t>已确定中标供应商但尚未签订政府采购合同的，中标结果无效，从合格的中标候选人中另行确定中标供应商；没有合格的中标候选人的，重新开展政府采购活动。</w:t>
      </w:r>
    </w:p>
    <w:p w14:paraId="2B736D59">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9.3.3   </w:t>
      </w:r>
      <w:r>
        <w:rPr>
          <w:rFonts w:hint="eastAsia" w:ascii="宋体" w:hAnsi="宋体" w:eastAsia="宋体" w:cs="宋体"/>
          <w:color w:val="auto"/>
          <w:sz w:val="24"/>
          <w:highlight w:val="none"/>
        </w:rPr>
        <w:t>政府采购合同已签订但尚未履行的，撤销合同，从合格的中标候选人中另行确定中标供应商；没有合格的中标候选人的，重新开展政府采购活动。</w:t>
      </w:r>
    </w:p>
    <w:p w14:paraId="11DD4B20">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9.3.4   </w:t>
      </w:r>
      <w:r>
        <w:rPr>
          <w:rFonts w:hint="eastAsia" w:ascii="宋体" w:hAnsi="宋体" w:eastAsia="宋体" w:cs="宋体"/>
          <w:color w:val="auto"/>
          <w:sz w:val="24"/>
          <w:highlight w:val="none"/>
        </w:rPr>
        <w:t>政府采购合同已经履行，给采购人、供应商造成损失的，由责任人承担赔偿责任。</w:t>
      </w:r>
    </w:p>
    <w:p w14:paraId="2A606757">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9.3.5   </w:t>
      </w:r>
      <w:r>
        <w:rPr>
          <w:rFonts w:hint="eastAsia" w:ascii="宋体" w:hAnsi="宋体" w:eastAsia="宋体" w:cs="宋体"/>
          <w:color w:val="auto"/>
          <w:sz w:val="24"/>
          <w:highlight w:val="none"/>
        </w:rPr>
        <w:t>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cs="宋体"/>
          <w:color w:val="auto"/>
          <w:sz w:val="24"/>
          <w:highlight w:val="none"/>
          <w:lang w:val="en-US" w:eastAsia="zh-CN"/>
        </w:rPr>
        <w:t>9.3.1-9.3.4</w:t>
      </w:r>
      <w:r>
        <w:rPr>
          <w:rFonts w:hint="eastAsia" w:ascii="宋体" w:hAnsi="宋体" w:eastAsia="宋体" w:cs="宋体"/>
          <w:color w:val="auto"/>
          <w:sz w:val="24"/>
          <w:highlight w:val="none"/>
        </w:rPr>
        <w:t>规定处理。</w:t>
      </w:r>
    </w:p>
    <w:p w14:paraId="61B2720D">
      <w:pPr>
        <w:pStyle w:val="42"/>
        <w:shd w:val="clear"/>
        <w:spacing w:beforeLines="100" w:after="240" w:afterLines="100"/>
        <w:jc w:val="left"/>
        <w:outlineLvl w:val="1"/>
        <w:rPr>
          <w:rFonts w:hint="eastAsia" w:ascii="宋体" w:hAnsi="宋体" w:eastAsia="宋体" w:cs="宋体"/>
          <w:b/>
          <w:bCs/>
          <w:color w:val="auto"/>
          <w:kern w:val="2"/>
          <w:sz w:val="24"/>
          <w:szCs w:val="20"/>
          <w:highlight w:val="none"/>
          <w:lang w:val="en-US" w:eastAsia="zh-CN" w:bidi="ar-SA"/>
        </w:rPr>
      </w:pPr>
      <w:bookmarkStart w:id="483" w:name="_Toc10422"/>
      <w:r>
        <w:rPr>
          <w:rFonts w:hint="eastAsia" w:ascii="宋体" w:hAnsi="宋体" w:eastAsia="宋体" w:cs="宋体"/>
          <w:b/>
          <w:bCs/>
          <w:color w:val="auto"/>
          <w:kern w:val="2"/>
          <w:sz w:val="24"/>
          <w:szCs w:val="20"/>
          <w:highlight w:val="none"/>
          <w:lang w:val="en-US" w:eastAsia="zh-CN" w:bidi="ar-SA"/>
        </w:rPr>
        <w:t>9.4    电子交易活动的中止</w:t>
      </w:r>
      <w:bookmarkEnd w:id="483"/>
    </w:p>
    <w:p w14:paraId="2CA536FB">
      <w:pPr>
        <w:shd w:val="clear"/>
        <w:spacing w:line="360" w:lineRule="auto"/>
        <w:ind w:left="958" w:leftChars="456"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招标过程中出现以下情形，导致</w:t>
      </w:r>
      <w:r>
        <w:rPr>
          <w:rFonts w:hint="eastAsia" w:ascii="宋体" w:hAnsi="宋体" w:eastAsia="宋体" w:cs="宋体"/>
          <w:color w:val="auto"/>
          <w:sz w:val="24"/>
          <w:highlight w:val="none"/>
          <w:lang w:eastAsia="zh-CN"/>
        </w:rPr>
        <w:t>政采云平台</w:t>
      </w:r>
      <w:r>
        <w:rPr>
          <w:rFonts w:hint="eastAsia" w:ascii="宋体" w:hAnsi="宋体" w:eastAsia="宋体" w:cs="宋体"/>
          <w:color w:val="auto"/>
          <w:sz w:val="24"/>
          <w:highlight w:val="none"/>
        </w:rPr>
        <w:t>无法正常运行，或者无法保证电子交易公平、公正和安全时，采购代理机构将中止电子交易活动：</w:t>
      </w:r>
    </w:p>
    <w:p w14:paraId="0F3358E8">
      <w:pPr>
        <w:shd w:val="clear"/>
        <w:spacing w:line="360" w:lineRule="auto"/>
        <w:ind w:left="840" w:leftChars="400"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电子交易平台发生故障而无法登录访问的；</w:t>
      </w:r>
    </w:p>
    <w:p w14:paraId="754635CF">
      <w:pPr>
        <w:shd w:val="clear"/>
        <w:spacing w:line="360" w:lineRule="auto"/>
        <w:ind w:left="840" w:leftChars="400"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电子交易平台应用或数据库出现错误，不能进行正常操作的；</w:t>
      </w:r>
    </w:p>
    <w:p w14:paraId="5281969E">
      <w:pPr>
        <w:shd w:val="clear"/>
        <w:spacing w:line="360" w:lineRule="auto"/>
        <w:ind w:left="945" w:leftChars="4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电子交易平台发现严重安全漏洞，有潜在泄密危险的；</w:t>
      </w:r>
    </w:p>
    <w:p w14:paraId="6D27A14F">
      <w:pPr>
        <w:shd w:val="clear"/>
        <w:spacing w:line="360" w:lineRule="auto"/>
        <w:ind w:left="945" w:leftChars="4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病毒发作导致不能进行正常操作的； </w:t>
      </w:r>
    </w:p>
    <w:p w14:paraId="2D345E16">
      <w:pPr>
        <w:shd w:val="clear"/>
        <w:spacing w:line="360" w:lineRule="auto"/>
        <w:ind w:left="945" w:leftChars="4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其他无法保证电子交易的公平、公正和安全的情况</w:t>
      </w:r>
    </w:p>
    <w:p w14:paraId="47513E46">
      <w:pPr>
        <w:shd w:val="clear"/>
        <w:spacing w:line="360" w:lineRule="auto"/>
        <w:ind w:left="945" w:left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出现上述规定情形，不影响采购公平、公正性的，采购代理机构可以待上述情形消除后继续组织电子交易活动；影响或可能影响采购公平、公正性的，</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重新组织采购。</w:t>
      </w:r>
    </w:p>
    <w:p w14:paraId="446FD75E">
      <w:pPr>
        <w:pStyle w:val="42"/>
        <w:shd w:val="clear"/>
        <w:spacing w:beforeLines="100" w:after="240" w:afterLines="100"/>
        <w:jc w:val="left"/>
        <w:outlineLvl w:val="1"/>
        <w:rPr>
          <w:rFonts w:hint="eastAsia" w:ascii="宋体" w:hAnsi="宋体" w:eastAsia="宋体" w:cs="宋体"/>
          <w:b/>
          <w:bCs/>
          <w:color w:val="auto"/>
          <w:kern w:val="2"/>
          <w:sz w:val="24"/>
          <w:szCs w:val="20"/>
          <w:highlight w:val="none"/>
          <w:lang w:val="en-US" w:eastAsia="zh-CN" w:bidi="ar-SA"/>
        </w:rPr>
      </w:pPr>
      <w:bookmarkStart w:id="484" w:name="_Toc28402"/>
      <w:bookmarkStart w:id="485" w:name="_Toc26606"/>
      <w:bookmarkStart w:id="486" w:name="_Toc20936"/>
      <w:bookmarkStart w:id="487" w:name="_Toc32645"/>
      <w:r>
        <w:rPr>
          <w:rFonts w:hint="eastAsia" w:ascii="宋体" w:hAnsi="宋体" w:eastAsia="宋体" w:cs="宋体"/>
          <w:b/>
          <w:bCs/>
          <w:color w:val="auto"/>
          <w:kern w:val="2"/>
          <w:sz w:val="24"/>
          <w:szCs w:val="20"/>
          <w:highlight w:val="none"/>
          <w:lang w:val="en-US" w:eastAsia="zh-CN" w:bidi="ar-SA"/>
        </w:rPr>
        <w:t>9.5    解释权</w:t>
      </w:r>
      <w:bookmarkEnd w:id="484"/>
      <w:bookmarkEnd w:id="485"/>
      <w:bookmarkEnd w:id="486"/>
      <w:bookmarkEnd w:id="487"/>
      <w:r>
        <w:rPr>
          <w:rFonts w:hint="eastAsia" w:ascii="宋体" w:hAnsi="宋体" w:eastAsia="宋体" w:cs="宋体"/>
          <w:b/>
          <w:bCs/>
          <w:color w:val="auto"/>
          <w:kern w:val="2"/>
          <w:sz w:val="24"/>
          <w:szCs w:val="20"/>
          <w:highlight w:val="none"/>
          <w:lang w:val="en-US" w:eastAsia="zh-CN" w:bidi="ar-SA"/>
        </w:rPr>
        <w:t xml:space="preserve"> </w:t>
      </w:r>
    </w:p>
    <w:p w14:paraId="420C12B7">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   本招标文件解释权属采购代理机构；</w:t>
      </w:r>
    </w:p>
    <w:p w14:paraId="28844F59">
      <w:pPr>
        <w:shd w:val="clear"/>
        <w:spacing w:line="360" w:lineRule="auto"/>
        <w:ind w:left="960" w:hanging="960" w:hangingChars="400"/>
        <w:rPr>
          <w:rFonts w:hint="eastAsia" w:ascii="宋体" w:hAnsi="宋体" w:eastAsia="宋体" w:cs="宋体"/>
          <w:strike w:val="0"/>
          <w:color w:val="auto"/>
          <w:highlight w:val="none"/>
        </w:rPr>
      </w:pPr>
      <w:r>
        <w:rPr>
          <w:rFonts w:hint="eastAsia" w:ascii="宋体" w:hAnsi="宋体" w:eastAsia="宋体" w:cs="宋体"/>
          <w:strike w:val="0"/>
          <w:color w:val="auto"/>
          <w:sz w:val="24"/>
          <w:highlight w:val="none"/>
        </w:rPr>
        <w:t>9.</w:t>
      </w:r>
      <w:r>
        <w:rPr>
          <w:rFonts w:hint="eastAsia" w:ascii="宋体" w:hAnsi="宋体" w:eastAsia="宋体" w:cs="宋体"/>
          <w:strike w:val="0"/>
          <w:color w:val="auto"/>
          <w:sz w:val="24"/>
          <w:highlight w:val="none"/>
          <w:lang w:val="en-US" w:eastAsia="zh-CN"/>
        </w:rPr>
        <w:t>5</w:t>
      </w:r>
      <w:r>
        <w:rPr>
          <w:rFonts w:hint="eastAsia" w:ascii="宋体" w:hAnsi="宋体" w:eastAsia="宋体" w:cs="宋体"/>
          <w:strike w:val="0"/>
          <w:color w:val="auto"/>
          <w:sz w:val="24"/>
          <w:highlight w:val="none"/>
        </w:rPr>
        <w:t>.2   未尽事宜按</w:t>
      </w:r>
      <w:r>
        <w:rPr>
          <w:rFonts w:hint="eastAsia" w:ascii="宋体" w:hAnsi="宋体" w:eastAsia="宋体" w:cs="宋体"/>
          <w:strike w:val="0"/>
          <w:color w:val="auto"/>
          <w:sz w:val="24"/>
          <w:highlight w:val="none"/>
          <w:lang w:eastAsia="zh-CN"/>
        </w:rPr>
        <w:t>有关政府采购</w:t>
      </w:r>
      <w:r>
        <w:rPr>
          <w:rFonts w:hint="eastAsia" w:ascii="宋体" w:hAnsi="宋体" w:eastAsia="宋体" w:cs="宋体"/>
          <w:strike w:val="0"/>
          <w:color w:val="auto"/>
          <w:sz w:val="24"/>
          <w:highlight w:val="none"/>
        </w:rPr>
        <w:t>法律法规和规章制度的规定执行。</w:t>
      </w:r>
    </w:p>
    <w:p w14:paraId="125A59C9">
      <w:pPr>
        <w:shd w:val="clear"/>
        <w:spacing w:line="360" w:lineRule="auto"/>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9.6     </w:t>
      </w:r>
      <w:r>
        <w:rPr>
          <w:rFonts w:hint="eastAsia" w:ascii="宋体" w:hAnsi="宋体" w:eastAsia="宋体" w:cs="宋体"/>
          <w:color w:val="auto"/>
          <w:sz w:val="24"/>
          <w:highlight w:val="none"/>
        </w:rPr>
        <w:t>委托代理服务费</w:t>
      </w:r>
    </w:p>
    <w:p w14:paraId="2B302869">
      <w:pPr>
        <w:shd w:val="clear"/>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由中标人支付代理服务费</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费用按下表</w:t>
      </w:r>
      <w:r>
        <w:rPr>
          <w:rFonts w:hint="eastAsia" w:ascii="宋体" w:hAnsi="宋体" w:eastAsia="宋体" w:cs="宋体"/>
          <w:b/>
          <w:color w:val="auto"/>
          <w:sz w:val="24"/>
          <w:highlight w:val="none"/>
          <w:lang w:val="en-US" w:eastAsia="zh-CN"/>
        </w:rPr>
        <w:t>货物</w:t>
      </w:r>
      <w:r>
        <w:rPr>
          <w:rFonts w:hint="eastAsia" w:ascii="宋体" w:hAnsi="宋体" w:eastAsia="宋体" w:cs="宋体"/>
          <w:b/>
          <w:color w:val="auto"/>
          <w:sz w:val="24"/>
          <w:highlight w:val="none"/>
        </w:rPr>
        <w:t>类收费标准计取，</w:t>
      </w:r>
      <w:r>
        <w:rPr>
          <w:rFonts w:hint="eastAsia" w:ascii="宋体" w:hAnsi="宋体" w:eastAsia="宋体" w:cs="宋体"/>
          <w:b/>
          <w:bCs/>
          <w:color w:val="auto"/>
          <w:sz w:val="24"/>
          <w:highlight w:val="none"/>
        </w:rPr>
        <w:t>采用差额累计法计算，</w:t>
      </w:r>
      <w:r>
        <w:rPr>
          <w:rFonts w:hint="eastAsia" w:ascii="宋体" w:hAnsi="宋体" w:eastAsia="宋体" w:cs="宋体"/>
          <w:b/>
          <w:bCs/>
          <w:color w:val="auto"/>
          <w:sz w:val="24"/>
          <w:highlight w:val="none"/>
          <w:lang w:val="en-US" w:eastAsia="zh-CN"/>
        </w:rPr>
        <w:t>不足5000元按5000元计取，</w:t>
      </w:r>
      <w:r>
        <w:rPr>
          <w:rFonts w:hint="eastAsia" w:ascii="宋体" w:hAnsi="宋体" w:eastAsia="宋体" w:cs="宋体"/>
          <w:b/>
          <w:color w:val="auto"/>
          <w:sz w:val="24"/>
          <w:highlight w:val="none"/>
        </w:rPr>
        <w:t>中标人在中标公告发布之日起5个工作日内向代理机构一次性付清。</w:t>
      </w:r>
    </w:p>
    <w:tbl>
      <w:tblPr>
        <w:tblStyle w:val="45"/>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8"/>
        <w:gridCol w:w="3831"/>
      </w:tblGrid>
      <w:tr w14:paraId="1CF5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068" w:type="dxa"/>
            <w:tcBorders>
              <w:top w:val="single" w:color="auto" w:sz="4" w:space="0"/>
              <w:left w:val="single" w:color="auto" w:sz="4" w:space="0"/>
              <w:bottom w:val="single" w:color="auto" w:sz="4" w:space="0"/>
              <w:right w:val="single" w:color="auto" w:sz="4" w:space="0"/>
            </w:tcBorders>
            <w:noWrap w:val="0"/>
            <w:vAlign w:val="center"/>
          </w:tcPr>
          <w:p w14:paraId="0B012940">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中标金额（万元）</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1F0D28FF">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货物</w:t>
            </w:r>
            <w:r>
              <w:rPr>
                <w:rFonts w:hint="eastAsia" w:ascii="宋体" w:hAnsi="宋体" w:eastAsia="宋体" w:cs="宋体"/>
                <w:b/>
                <w:color w:val="auto"/>
                <w:sz w:val="24"/>
                <w:highlight w:val="none"/>
              </w:rPr>
              <w:t>招标</w:t>
            </w:r>
          </w:p>
        </w:tc>
      </w:tr>
      <w:tr w14:paraId="2477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068" w:type="dxa"/>
            <w:tcBorders>
              <w:top w:val="single" w:color="auto" w:sz="4" w:space="0"/>
              <w:left w:val="single" w:color="auto" w:sz="4" w:space="0"/>
              <w:bottom w:val="single" w:color="auto" w:sz="4" w:space="0"/>
              <w:right w:val="single" w:color="auto" w:sz="4" w:space="0"/>
            </w:tcBorders>
            <w:noWrap w:val="0"/>
            <w:vAlign w:val="center"/>
          </w:tcPr>
          <w:p w14:paraId="1173223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793887A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5E3D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8" w:type="dxa"/>
            <w:tcBorders>
              <w:top w:val="single" w:color="auto" w:sz="4" w:space="0"/>
              <w:left w:val="single" w:color="auto" w:sz="4" w:space="0"/>
              <w:bottom w:val="single" w:color="auto" w:sz="4" w:space="0"/>
              <w:right w:val="single" w:color="auto" w:sz="4" w:space="0"/>
            </w:tcBorders>
            <w:noWrap w:val="0"/>
            <w:vAlign w:val="center"/>
          </w:tcPr>
          <w:p w14:paraId="58A3DC6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2CC2FFD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w:t>
            </w:r>
          </w:p>
        </w:tc>
      </w:tr>
      <w:tr w14:paraId="425E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8" w:type="dxa"/>
            <w:tcBorders>
              <w:top w:val="single" w:color="auto" w:sz="4" w:space="0"/>
              <w:left w:val="single" w:color="auto" w:sz="4" w:space="0"/>
              <w:bottom w:val="single" w:color="auto" w:sz="4" w:space="0"/>
              <w:right w:val="single" w:color="auto" w:sz="4" w:space="0"/>
            </w:tcBorders>
            <w:noWrap w:val="0"/>
            <w:vAlign w:val="center"/>
          </w:tcPr>
          <w:p w14:paraId="07AFAE30">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500-1000</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3D9FB5F0">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0.8%</w:t>
            </w:r>
          </w:p>
        </w:tc>
      </w:tr>
      <w:tr w14:paraId="2334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8" w:type="dxa"/>
            <w:tcBorders>
              <w:top w:val="single" w:color="auto" w:sz="4" w:space="0"/>
              <w:left w:val="single" w:color="auto" w:sz="4" w:space="0"/>
              <w:bottom w:val="single" w:color="auto" w:sz="4" w:space="0"/>
              <w:right w:val="single" w:color="auto" w:sz="4" w:space="0"/>
            </w:tcBorders>
            <w:noWrap w:val="0"/>
            <w:vAlign w:val="center"/>
          </w:tcPr>
          <w:p w14:paraId="739C2D93">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1000-5000</w:t>
            </w:r>
          </w:p>
        </w:tc>
        <w:tc>
          <w:tcPr>
            <w:tcW w:w="3831" w:type="dxa"/>
            <w:tcBorders>
              <w:top w:val="single" w:color="auto" w:sz="4" w:space="0"/>
              <w:left w:val="single" w:color="auto" w:sz="4" w:space="0"/>
              <w:bottom w:val="single" w:color="auto" w:sz="4" w:space="0"/>
              <w:right w:val="single" w:color="auto" w:sz="4" w:space="0"/>
            </w:tcBorders>
            <w:noWrap w:val="0"/>
            <w:vAlign w:val="center"/>
          </w:tcPr>
          <w:p w14:paraId="4DF336DF">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0.5%</w:t>
            </w:r>
          </w:p>
        </w:tc>
      </w:tr>
    </w:tbl>
    <w:p w14:paraId="744FBFC2">
      <w:pPr>
        <w:pStyle w:val="269"/>
        <w:shd w:val="clear"/>
        <w:rPr>
          <w:rFonts w:hint="eastAsia" w:ascii="宋体" w:hAnsi="宋体" w:eastAsia="宋体" w:cs="宋体"/>
          <w:strike w:val="0"/>
          <w:color w:val="auto"/>
          <w:highlight w:val="none"/>
        </w:rPr>
        <w:sectPr>
          <w:pgSz w:w="11906" w:h="16838"/>
          <w:pgMar w:top="1418" w:right="1418" w:bottom="1418" w:left="1418" w:header="851" w:footer="851" w:gutter="0"/>
          <w:pgNumType w:fmt="decimal"/>
          <w:cols w:space="720" w:num="1"/>
          <w:docGrid w:linePitch="312" w:charSpace="0"/>
        </w:sectPr>
      </w:pPr>
    </w:p>
    <w:p w14:paraId="3D45B4A7">
      <w:pPr>
        <w:pStyle w:val="42"/>
        <w:numPr>
          <w:ilvl w:val="0"/>
          <w:numId w:val="1"/>
        </w:numPr>
        <w:shd w:val="clear"/>
        <w:spacing w:before="0" w:after="0" w:line="360" w:lineRule="auto"/>
        <w:rPr>
          <w:rFonts w:hint="eastAsia" w:ascii="宋体" w:hAnsi="宋体" w:eastAsia="宋体" w:cs="宋体"/>
          <w:color w:val="auto"/>
          <w:sz w:val="36"/>
          <w:szCs w:val="36"/>
          <w:highlight w:val="none"/>
          <w:lang w:val="en-US" w:eastAsia="zh-CN"/>
        </w:rPr>
      </w:pPr>
      <w:bookmarkStart w:id="488" w:name="_Toc11335"/>
      <w:bookmarkStart w:id="489" w:name="_Toc493956049"/>
      <w:bookmarkStart w:id="490" w:name="_Toc31109"/>
      <w:bookmarkStart w:id="491" w:name="_Toc97213018"/>
      <w:bookmarkStart w:id="492" w:name="_Toc8252"/>
      <w:bookmarkStart w:id="493" w:name="_Toc530551874"/>
      <w:bookmarkStart w:id="494" w:name="_Toc21361"/>
      <w:bookmarkStart w:id="495" w:name="_Toc531359036"/>
      <w:bookmarkStart w:id="496" w:name="_Toc18544"/>
      <w:r>
        <w:rPr>
          <w:rFonts w:hint="eastAsia" w:ascii="宋体" w:hAnsi="宋体" w:eastAsia="宋体" w:cs="宋体"/>
          <w:color w:val="auto"/>
          <w:sz w:val="36"/>
          <w:szCs w:val="36"/>
          <w:highlight w:val="none"/>
        </w:rPr>
        <w:t xml:space="preserve"> </w:t>
      </w:r>
      <w:r>
        <w:rPr>
          <w:rFonts w:hint="eastAsia" w:ascii="宋体" w:hAnsi="宋体" w:eastAsia="宋体" w:cs="宋体"/>
          <w:color w:val="auto"/>
          <w:sz w:val="36"/>
          <w:szCs w:val="36"/>
          <w:highlight w:val="none"/>
          <w:lang w:val="en-US" w:eastAsia="zh-CN"/>
        </w:rPr>
        <w:t>拟签订的合同文本</w:t>
      </w:r>
      <w:bookmarkEnd w:id="488"/>
      <w:bookmarkEnd w:id="489"/>
      <w:bookmarkEnd w:id="490"/>
      <w:bookmarkEnd w:id="491"/>
      <w:bookmarkEnd w:id="492"/>
      <w:bookmarkEnd w:id="493"/>
      <w:bookmarkEnd w:id="494"/>
      <w:bookmarkEnd w:id="495"/>
      <w:bookmarkEnd w:id="496"/>
    </w:p>
    <w:p w14:paraId="177B5041">
      <w:pPr>
        <w:numPr>
          <w:ilvl w:val="0"/>
          <w:numId w:val="0"/>
        </w:numPr>
        <w:rPr>
          <w:rFonts w:hint="eastAsia" w:ascii="宋体" w:hAnsi="宋体" w:eastAsia="宋体" w:cs="宋体"/>
          <w:color w:val="auto"/>
          <w:highlight w:val="none"/>
          <w:lang w:val="en-US"/>
        </w:rPr>
      </w:pPr>
    </w:p>
    <w:p w14:paraId="0B1597B4">
      <w:pPr>
        <w:widowControl/>
        <w:spacing w:line="360" w:lineRule="auto"/>
        <w:ind w:firstLine="5760" w:firstLineChars="2400"/>
        <w:rPr>
          <w:rFonts w:hint="eastAsia" w:ascii="宋体" w:hAnsi="宋体" w:eastAsia="宋体" w:cs="宋体"/>
          <w:color w:val="auto"/>
          <w:kern w:val="0"/>
          <w:sz w:val="24"/>
          <w:szCs w:val="24"/>
          <w:highlight w:val="none"/>
        </w:rPr>
      </w:pPr>
      <w:bookmarkStart w:id="497" w:name="_Toc530551875"/>
      <w:bookmarkStart w:id="498" w:name="_Toc493956050"/>
      <w:bookmarkStart w:id="499" w:name="_Toc97213019"/>
      <w:bookmarkStart w:id="500" w:name="_Toc531359037"/>
      <w:bookmarkStart w:id="501" w:name="_Toc6535"/>
      <w:bookmarkStart w:id="502" w:name="_Toc24980"/>
      <w:bookmarkStart w:id="503" w:name="_Toc2757"/>
      <w:bookmarkStart w:id="504" w:name="_Toc9523"/>
      <w:r>
        <w:rPr>
          <w:rFonts w:hint="eastAsia" w:ascii="宋体" w:hAnsi="宋体" w:eastAsia="宋体" w:cs="宋体"/>
          <w:color w:val="auto"/>
          <w:kern w:val="0"/>
          <w:sz w:val="24"/>
          <w:szCs w:val="24"/>
          <w:highlight w:val="none"/>
        </w:rPr>
        <w:t>合同编号：_________</w:t>
      </w:r>
    </w:p>
    <w:p w14:paraId="1508DA6B">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采购人：（以下称甲方）</w:t>
      </w:r>
      <w:r>
        <w:rPr>
          <w:rFonts w:hint="eastAsia" w:ascii="宋体" w:hAnsi="宋体" w:eastAsia="宋体" w:cs="宋体"/>
          <w:color w:val="auto"/>
          <w:kern w:val="0"/>
          <w:sz w:val="24"/>
          <w:szCs w:val="24"/>
          <w:highlight w:val="none"/>
          <w:u w:val="single"/>
        </w:rPr>
        <w:t xml:space="preserve">               </w:t>
      </w:r>
    </w:p>
    <w:p w14:paraId="2C8AFB3B">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中标人：（以下称乙方）</w:t>
      </w:r>
      <w:r>
        <w:rPr>
          <w:rFonts w:hint="eastAsia" w:ascii="宋体" w:hAnsi="宋体" w:eastAsia="宋体" w:cs="宋体"/>
          <w:color w:val="auto"/>
          <w:kern w:val="0"/>
          <w:sz w:val="24"/>
          <w:szCs w:val="24"/>
          <w:highlight w:val="none"/>
          <w:u w:val="single"/>
        </w:rPr>
        <w:t xml:space="preserve">               </w:t>
      </w:r>
    </w:p>
    <w:p w14:paraId="3EC0349F">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根据招标文件项目编号（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日开标会上，经评审委员会评定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(乙方)为中标人。甲乙双方依据《中华人民共和国政府采购法》、《中华人民共和国民法典》等相关法律法规和招标文件的要求，在平等自愿的基础上，同意按照下面的条款和条件，签署本合同。</w:t>
      </w:r>
    </w:p>
    <w:p w14:paraId="19B2D9C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第一条　合同标的</w:t>
      </w:r>
    </w:p>
    <w:p w14:paraId="40038844">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1.1乙方根据甲方需求提供下列货物：</w:t>
      </w:r>
      <w:r>
        <w:rPr>
          <w:rFonts w:hint="eastAsia" w:ascii="宋体" w:hAnsi="宋体" w:eastAsia="宋体" w:cs="宋体"/>
          <w:color w:val="auto"/>
          <w:kern w:val="0"/>
          <w:sz w:val="24"/>
          <w:szCs w:val="24"/>
          <w:highlight w:val="none"/>
          <w:u w:val="single"/>
        </w:rPr>
        <w:t xml:space="preserve">           </w:t>
      </w:r>
    </w:p>
    <w:p w14:paraId="402C934F">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1.2货物名称、规格及数量详见“货物一览表”。</w:t>
      </w:r>
    </w:p>
    <w:p w14:paraId="6E5E978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第二条　合同总价款</w:t>
      </w:r>
    </w:p>
    <w:p w14:paraId="1C7B2BC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2.1本合同项下货物总价款为人民币</w:t>
      </w:r>
      <w:r>
        <w:rPr>
          <w:rFonts w:hint="eastAsia" w:ascii="宋体" w:hAnsi="宋体" w:eastAsia="宋体" w:cs="宋体"/>
          <w:color w:val="auto"/>
          <w:kern w:val="0"/>
          <w:sz w:val="24"/>
          <w:szCs w:val="24"/>
          <w:highlight w:val="none"/>
          <w:u w:val="single"/>
        </w:rPr>
        <w:t xml:space="preserve">       （大写）（￥：）            </w:t>
      </w:r>
      <w:r>
        <w:rPr>
          <w:rFonts w:hint="eastAsia" w:ascii="宋体" w:hAnsi="宋体" w:eastAsia="宋体" w:cs="宋体"/>
          <w:color w:val="auto"/>
          <w:kern w:val="0"/>
          <w:sz w:val="24"/>
          <w:szCs w:val="24"/>
          <w:highlight w:val="none"/>
        </w:rPr>
        <w:t>，分项价款在“投标报价表”中有明确规定。</w:t>
      </w:r>
    </w:p>
    <w:p w14:paraId="1436A019">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2.2本合同总价款是货物设计、制造、包装、仓储、运输、安装及验收合格之前及保修期内备品备件发生的所有含税费用。</w:t>
      </w:r>
    </w:p>
    <w:p w14:paraId="51F4C8B8">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2.3本合同总价款还包含乙方应当提供的伴随服务/售后服务费用。</w:t>
      </w:r>
    </w:p>
    <w:p w14:paraId="62798612">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2.4本合同执行期间合同总价款不变。</w:t>
      </w:r>
    </w:p>
    <w:p w14:paraId="61F141E4">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2.5产品清单</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2"/>
        <w:gridCol w:w="1454"/>
        <w:gridCol w:w="810"/>
        <w:gridCol w:w="1315"/>
        <w:gridCol w:w="1700"/>
      </w:tblGrid>
      <w:tr w14:paraId="2DF4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14:paraId="03995D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92" w:type="dxa"/>
            <w:noWrap w:val="0"/>
            <w:vAlign w:val="center"/>
          </w:tcPr>
          <w:p w14:paraId="4CA40E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1454" w:type="dxa"/>
            <w:noWrap w:val="0"/>
            <w:vAlign w:val="center"/>
          </w:tcPr>
          <w:p w14:paraId="3869CA1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810" w:type="dxa"/>
            <w:noWrap w:val="0"/>
            <w:vAlign w:val="center"/>
          </w:tcPr>
          <w:p w14:paraId="5E9EACB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315" w:type="dxa"/>
            <w:noWrap w:val="0"/>
            <w:vAlign w:val="center"/>
          </w:tcPr>
          <w:p w14:paraId="03587A1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tc>
        <w:tc>
          <w:tcPr>
            <w:tcW w:w="1700" w:type="dxa"/>
            <w:noWrap w:val="0"/>
            <w:vAlign w:val="center"/>
          </w:tcPr>
          <w:p w14:paraId="0C7A32C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合价</w:t>
            </w:r>
          </w:p>
        </w:tc>
      </w:tr>
      <w:tr w14:paraId="21AC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14:paraId="13DC5F82">
            <w:pPr>
              <w:widowControl/>
              <w:jc w:val="center"/>
              <w:rPr>
                <w:rFonts w:hint="eastAsia" w:ascii="宋体" w:hAnsi="宋体" w:eastAsia="宋体" w:cs="宋体"/>
                <w:color w:val="auto"/>
                <w:kern w:val="0"/>
                <w:sz w:val="24"/>
                <w:szCs w:val="24"/>
                <w:highlight w:val="none"/>
              </w:rPr>
            </w:pPr>
          </w:p>
        </w:tc>
        <w:tc>
          <w:tcPr>
            <w:tcW w:w="2092" w:type="dxa"/>
            <w:noWrap w:val="0"/>
            <w:vAlign w:val="center"/>
          </w:tcPr>
          <w:p w14:paraId="121826F9">
            <w:pPr>
              <w:widowControl/>
              <w:jc w:val="center"/>
              <w:rPr>
                <w:rFonts w:hint="eastAsia" w:ascii="宋体" w:hAnsi="宋体" w:eastAsia="宋体" w:cs="宋体"/>
                <w:color w:val="auto"/>
                <w:kern w:val="0"/>
                <w:sz w:val="24"/>
                <w:szCs w:val="24"/>
                <w:highlight w:val="none"/>
              </w:rPr>
            </w:pPr>
          </w:p>
        </w:tc>
        <w:tc>
          <w:tcPr>
            <w:tcW w:w="1454" w:type="dxa"/>
            <w:noWrap w:val="0"/>
            <w:vAlign w:val="center"/>
          </w:tcPr>
          <w:p w14:paraId="2422DD44">
            <w:pPr>
              <w:widowControl/>
              <w:jc w:val="center"/>
              <w:rPr>
                <w:rFonts w:hint="eastAsia" w:ascii="宋体" w:hAnsi="宋体" w:eastAsia="宋体" w:cs="宋体"/>
                <w:color w:val="auto"/>
                <w:kern w:val="0"/>
                <w:sz w:val="24"/>
                <w:szCs w:val="24"/>
                <w:highlight w:val="none"/>
              </w:rPr>
            </w:pPr>
          </w:p>
        </w:tc>
        <w:tc>
          <w:tcPr>
            <w:tcW w:w="810" w:type="dxa"/>
            <w:noWrap w:val="0"/>
            <w:vAlign w:val="center"/>
          </w:tcPr>
          <w:p w14:paraId="3002A838">
            <w:pPr>
              <w:widowControl/>
              <w:jc w:val="center"/>
              <w:rPr>
                <w:rFonts w:hint="eastAsia" w:ascii="宋体" w:hAnsi="宋体" w:eastAsia="宋体" w:cs="宋体"/>
                <w:color w:val="auto"/>
                <w:kern w:val="0"/>
                <w:sz w:val="24"/>
                <w:szCs w:val="24"/>
                <w:highlight w:val="none"/>
              </w:rPr>
            </w:pPr>
          </w:p>
        </w:tc>
        <w:tc>
          <w:tcPr>
            <w:tcW w:w="1315" w:type="dxa"/>
            <w:noWrap w:val="0"/>
            <w:vAlign w:val="center"/>
          </w:tcPr>
          <w:p w14:paraId="1812E578">
            <w:pPr>
              <w:widowControl/>
              <w:jc w:val="center"/>
              <w:rPr>
                <w:rFonts w:hint="eastAsia" w:ascii="宋体" w:hAnsi="宋体" w:eastAsia="宋体" w:cs="宋体"/>
                <w:color w:val="auto"/>
                <w:kern w:val="0"/>
                <w:sz w:val="24"/>
                <w:szCs w:val="24"/>
                <w:highlight w:val="none"/>
              </w:rPr>
            </w:pPr>
          </w:p>
        </w:tc>
        <w:tc>
          <w:tcPr>
            <w:tcW w:w="1700" w:type="dxa"/>
            <w:noWrap w:val="0"/>
            <w:vAlign w:val="center"/>
          </w:tcPr>
          <w:p w14:paraId="292CC70C">
            <w:pPr>
              <w:widowControl/>
              <w:jc w:val="center"/>
              <w:rPr>
                <w:rFonts w:hint="eastAsia" w:ascii="宋体" w:hAnsi="宋体" w:eastAsia="宋体" w:cs="宋体"/>
                <w:color w:val="auto"/>
                <w:kern w:val="0"/>
                <w:sz w:val="24"/>
                <w:szCs w:val="24"/>
                <w:highlight w:val="none"/>
              </w:rPr>
            </w:pPr>
          </w:p>
        </w:tc>
      </w:tr>
      <w:tr w14:paraId="03B6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14:paraId="6DABE0BC">
            <w:pPr>
              <w:widowControl/>
              <w:jc w:val="center"/>
              <w:rPr>
                <w:rFonts w:hint="eastAsia" w:ascii="宋体" w:hAnsi="宋体" w:eastAsia="宋体" w:cs="宋体"/>
                <w:color w:val="auto"/>
                <w:kern w:val="0"/>
                <w:sz w:val="24"/>
                <w:szCs w:val="24"/>
                <w:highlight w:val="none"/>
              </w:rPr>
            </w:pPr>
          </w:p>
        </w:tc>
        <w:tc>
          <w:tcPr>
            <w:tcW w:w="2092" w:type="dxa"/>
            <w:noWrap w:val="0"/>
            <w:vAlign w:val="center"/>
          </w:tcPr>
          <w:p w14:paraId="5407BC4E">
            <w:pPr>
              <w:widowControl/>
              <w:jc w:val="center"/>
              <w:rPr>
                <w:rFonts w:hint="eastAsia" w:ascii="宋体" w:hAnsi="宋体" w:eastAsia="宋体" w:cs="宋体"/>
                <w:color w:val="auto"/>
                <w:kern w:val="0"/>
                <w:sz w:val="24"/>
                <w:szCs w:val="24"/>
                <w:highlight w:val="none"/>
              </w:rPr>
            </w:pPr>
          </w:p>
        </w:tc>
        <w:tc>
          <w:tcPr>
            <w:tcW w:w="1454" w:type="dxa"/>
            <w:noWrap w:val="0"/>
            <w:vAlign w:val="center"/>
          </w:tcPr>
          <w:p w14:paraId="2AF52F48">
            <w:pPr>
              <w:widowControl/>
              <w:jc w:val="center"/>
              <w:rPr>
                <w:rFonts w:hint="eastAsia" w:ascii="宋体" w:hAnsi="宋体" w:eastAsia="宋体" w:cs="宋体"/>
                <w:color w:val="auto"/>
                <w:kern w:val="0"/>
                <w:sz w:val="24"/>
                <w:szCs w:val="24"/>
                <w:highlight w:val="none"/>
              </w:rPr>
            </w:pPr>
          </w:p>
        </w:tc>
        <w:tc>
          <w:tcPr>
            <w:tcW w:w="810" w:type="dxa"/>
            <w:noWrap w:val="0"/>
            <w:vAlign w:val="center"/>
          </w:tcPr>
          <w:p w14:paraId="5D48CC87">
            <w:pPr>
              <w:widowControl/>
              <w:jc w:val="center"/>
              <w:rPr>
                <w:rFonts w:hint="eastAsia" w:ascii="宋体" w:hAnsi="宋体" w:eastAsia="宋体" w:cs="宋体"/>
                <w:color w:val="auto"/>
                <w:kern w:val="0"/>
                <w:sz w:val="24"/>
                <w:szCs w:val="24"/>
                <w:highlight w:val="none"/>
              </w:rPr>
            </w:pPr>
          </w:p>
        </w:tc>
        <w:tc>
          <w:tcPr>
            <w:tcW w:w="1315" w:type="dxa"/>
            <w:noWrap w:val="0"/>
            <w:vAlign w:val="center"/>
          </w:tcPr>
          <w:p w14:paraId="15074CFA">
            <w:pPr>
              <w:widowControl/>
              <w:jc w:val="center"/>
              <w:rPr>
                <w:rFonts w:hint="eastAsia" w:ascii="宋体" w:hAnsi="宋体" w:eastAsia="宋体" w:cs="宋体"/>
                <w:color w:val="auto"/>
                <w:kern w:val="0"/>
                <w:sz w:val="24"/>
                <w:szCs w:val="24"/>
                <w:highlight w:val="none"/>
              </w:rPr>
            </w:pPr>
          </w:p>
        </w:tc>
        <w:tc>
          <w:tcPr>
            <w:tcW w:w="1700" w:type="dxa"/>
            <w:noWrap w:val="0"/>
            <w:vAlign w:val="center"/>
          </w:tcPr>
          <w:p w14:paraId="16136741">
            <w:pPr>
              <w:widowControl/>
              <w:jc w:val="center"/>
              <w:rPr>
                <w:rFonts w:hint="eastAsia" w:ascii="宋体" w:hAnsi="宋体" w:eastAsia="宋体" w:cs="宋体"/>
                <w:color w:val="auto"/>
                <w:kern w:val="0"/>
                <w:sz w:val="24"/>
                <w:szCs w:val="24"/>
                <w:highlight w:val="none"/>
              </w:rPr>
            </w:pPr>
          </w:p>
        </w:tc>
      </w:tr>
      <w:tr w14:paraId="4313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14:paraId="589E387A">
            <w:pPr>
              <w:widowControl/>
              <w:jc w:val="center"/>
              <w:rPr>
                <w:rFonts w:hint="eastAsia" w:ascii="宋体" w:hAnsi="宋体" w:eastAsia="宋体" w:cs="宋体"/>
                <w:color w:val="auto"/>
                <w:kern w:val="0"/>
                <w:sz w:val="24"/>
                <w:szCs w:val="24"/>
                <w:highlight w:val="none"/>
              </w:rPr>
            </w:pPr>
          </w:p>
        </w:tc>
        <w:tc>
          <w:tcPr>
            <w:tcW w:w="2092" w:type="dxa"/>
            <w:noWrap w:val="0"/>
            <w:vAlign w:val="center"/>
          </w:tcPr>
          <w:p w14:paraId="2C6F690B">
            <w:pPr>
              <w:widowControl/>
              <w:jc w:val="center"/>
              <w:rPr>
                <w:rFonts w:hint="eastAsia" w:ascii="宋体" w:hAnsi="宋体" w:eastAsia="宋体" w:cs="宋体"/>
                <w:color w:val="auto"/>
                <w:kern w:val="0"/>
                <w:sz w:val="24"/>
                <w:szCs w:val="24"/>
                <w:highlight w:val="none"/>
              </w:rPr>
            </w:pPr>
          </w:p>
        </w:tc>
        <w:tc>
          <w:tcPr>
            <w:tcW w:w="1454" w:type="dxa"/>
            <w:noWrap w:val="0"/>
            <w:vAlign w:val="center"/>
          </w:tcPr>
          <w:p w14:paraId="31987718">
            <w:pPr>
              <w:widowControl/>
              <w:jc w:val="center"/>
              <w:rPr>
                <w:rFonts w:hint="eastAsia" w:ascii="宋体" w:hAnsi="宋体" w:eastAsia="宋体" w:cs="宋体"/>
                <w:color w:val="auto"/>
                <w:kern w:val="0"/>
                <w:sz w:val="24"/>
                <w:szCs w:val="24"/>
                <w:highlight w:val="none"/>
              </w:rPr>
            </w:pPr>
          </w:p>
        </w:tc>
        <w:tc>
          <w:tcPr>
            <w:tcW w:w="810" w:type="dxa"/>
            <w:noWrap w:val="0"/>
            <w:vAlign w:val="center"/>
          </w:tcPr>
          <w:p w14:paraId="30038923">
            <w:pPr>
              <w:widowControl/>
              <w:jc w:val="center"/>
              <w:rPr>
                <w:rFonts w:hint="eastAsia" w:ascii="宋体" w:hAnsi="宋体" w:eastAsia="宋体" w:cs="宋体"/>
                <w:color w:val="auto"/>
                <w:kern w:val="0"/>
                <w:sz w:val="24"/>
                <w:szCs w:val="24"/>
                <w:highlight w:val="none"/>
              </w:rPr>
            </w:pPr>
          </w:p>
        </w:tc>
        <w:tc>
          <w:tcPr>
            <w:tcW w:w="1315" w:type="dxa"/>
            <w:noWrap w:val="0"/>
            <w:vAlign w:val="center"/>
          </w:tcPr>
          <w:p w14:paraId="04DA9F8D">
            <w:pPr>
              <w:widowControl/>
              <w:jc w:val="center"/>
              <w:rPr>
                <w:rFonts w:hint="eastAsia" w:ascii="宋体" w:hAnsi="宋体" w:eastAsia="宋体" w:cs="宋体"/>
                <w:color w:val="auto"/>
                <w:kern w:val="0"/>
                <w:sz w:val="24"/>
                <w:szCs w:val="24"/>
                <w:highlight w:val="none"/>
              </w:rPr>
            </w:pPr>
          </w:p>
        </w:tc>
        <w:tc>
          <w:tcPr>
            <w:tcW w:w="1700" w:type="dxa"/>
            <w:noWrap w:val="0"/>
            <w:vAlign w:val="center"/>
          </w:tcPr>
          <w:p w14:paraId="2B7327A5">
            <w:pPr>
              <w:widowControl/>
              <w:jc w:val="center"/>
              <w:rPr>
                <w:rFonts w:hint="eastAsia" w:ascii="宋体" w:hAnsi="宋体" w:eastAsia="宋体" w:cs="宋体"/>
                <w:color w:val="auto"/>
                <w:kern w:val="0"/>
                <w:sz w:val="24"/>
                <w:szCs w:val="24"/>
                <w:highlight w:val="none"/>
              </w:rPr>
            </w:pPr>
          </w:p>
        </w:tc>
      </w:tr>
      <w:tr w14:paraId="23D2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9" w:type="dxa"/>
            <w:gridSpan w:val="2"/>
            <w:noWrap w:val="0"/>
            <w:vAlign w:val="center"/>
          </w:tcPr>
          <w:p w14:paraId="602B9E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5279" w:type="dxa"/>
            <w:gridSpan w:val="4"/>
            <w:noWrap w:val="0"/>
            <w:vAlign w:val="center"/>
          </w:tcPr>
          <w:p w14:paraId="06D0EF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（大写）（￥：）</w:t>
            </w:r>
          </w:p>
        </w:tc>
      </w:tr>
    </w:tbl>
    <w:p w14:paraId="630798C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第三条　组成本合同的有关文件</w:t>
      </w:r>
    </w:p>
    <w:p w14:paraId="4BECED32">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3.1.下列文件构成本合同的组成部分，应该认为是一个整体，彼此相互解释，相互补充。组成合同的多个文件的优先支配地位的次序如下：</w:t>
      </w:r>
    </w:p>
    <w:p w14:paraId="3B583BB9">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3.1.1本合同书　</w:t>
      </w:r>
    </w:p>
    <w:p w14:paraId="669D3D88">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3.1.2中标通知书</w:t>
      </w:r>
      <w:r>
        <w:rPr>
          <w:rFonts w:hint="eastAsia" w:ascii="宋体" w:hAnsi="宋体" w:eastAsia="宋体" w:cs="宋体"/>
          <w:color w:val="auto"/>
          <w:kern w:val="0"/>
          <w:sz w:val="24"/>
          <w:szCs w:val="24"/>
          <w:highlight w:val="none"/>
        </w:rPr>
        <w:tab/>
      </w:r>
    </w:p>
    <w:p w14:paraId="0C8C8C9D">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3.1.3中标供应商澄清修改文件</w:t>
      </w:r>
    </w:p>
    <w:p w14:paraId="2FCE5C88">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3.1.4中标供应商投标文件</w:t>
      </w:r>
    </w:p>
    <w:p w14:paraId="219AB363">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3.1.5招标文件澄清修改文件</w:t>
      </w:r>
    </w:p>
    <w:p w14:paraId="6FF1408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3.1.6招标文件</w:t>
      </w:r>
    </w:p>
    <w:p w14:paraId="5AA5C157">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第四条　权利保证</w:t>
      </w:r>
    </w:p>
    <w:p w14:paraId="470F7A1E">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乙方保证提供的货物不存在对任何第三方侵权行为（包括商标、专利、版权、知识产权等）。若发生侵权行为，由乙方负全责，应承担由此发生的一切经济和法律责任，并赔偿甲方</w:t>
      </w:r>
      <w:r>
        <w:rPr>
          <w:rFonts w:hint="eastAsia" w:ascii="宋体" w:hAnsi="宋体" w:eastAsia="宋体" w:cs="宋体"/>
          <w:color w:val="auto"/>
          <w:kern w:val="0"/>
          <w:sz w:val="24"/>
          <w:szCs w:val="24"/>
          <w:highlight w:val="none"/>
          <w:u w:val="single"/>
        </w:rPr>
        <w:t xml:space="preserve">  30%  </w:t>
      </w:r>
      <w:r>
        <w:rPr>
          <w:rFonts w:hint="eastAsia" w:ascii="宋体" w:hAnsi="宋体" w:eastAsia="宋体" w:cs="宋体"/>
          <w:color w:val="auto"/>
          <w:kern w:val="0"/>
          <w:sz w:val="24"/>
          <w:szCs w:val="24"/>
          <w:highlight w:val="none"/>
        </w:rPr>
        <w:t>的合同货款的。</w:t>
      </w:r>
    </w:p>
    <w:p w14:paraId="334E931F">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第五条　质量保证</w:t>
      </w:r>
    </w:p>
    <w:p w14:paraId="04985587">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乙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49DB86B7">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7DB023FB">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根据买方按检验标准自己检验结果或委托有资质的相关质检机构的检验结果，发现软件的参数及功能与合同不符；或者在质保期内升级和维护服务期内，证实软件存在缺陷，买方应尽快以书面形式通知卖方。卖方在收到通知后</w:t>
      </w:r>
      <w:r>
        <w:rPr>
          <w:rFonts w:hint="eastAsia" w:ascii="宋体" w:hAnsi="宋体" w:eastAsia="宋体" w:cs="宋体"/>
          <w:color w:val="auto"/>
          <w:kern w:val="0"/>
          <w:sz w:val="24"/>
          <w:szCs w:val="24"/>
          <w:highlight w:val="none"/>
          <w:u w:val="single"/>
        </w:rPr>
        <w:t xml:space="preserve">  24  </w:t>
      </w:r>
      <w:r>
        <w:rPr>
          <w:rFonts w:hint="eastAsia" w:ascii="宋体" w:hAnsi="宋体" w:eastAsia="宋体" w:cs="宋体"/>
          <w:color w:val="auto"/>
          <w:kern w:val="0"/>
          <w:sz w:val="24"/>
          <w:szCs w:val="24"/>
          <w:highlight w:val="none"/>
        </w:rPr>
        <w:t>小时内为买方提供解决方案。</w:t>
      </w:r>
    </w:p>
    <w:p w14:paraId="52AF74DA">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5.4如果乙方在收到通知后</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天内没有弥补缺陷，甲方可采取必要的补救措施，但由此引发的风险和费用将由乙方承担。</w:t>
      </w:r>
    </w:p>
    <w:p w14:paraId="21D12BB5">
      <w:pPr>
        <w:widowControl/>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5.5其他</w:t>
      </w:r>
      <w:r>
        <w:rPr>
          <w:rFonts w:hint="eastAsia" w:ascii="宋体" w:hAnsi="宋体" w:eastAsia="宋体" w:cs="宋体"/>
          <w:color w:val="auto"/>
          <w:kern w:val="0"/>
          <w:sz w:val="24"/>
          <w:szCs w:val="24"/>
          <w:highlight w:val="none"/>
          <w:u w:val="single"/>
        </w:rPr>
        <w:t xml:space="preserve">                                                               </w:t>
      </w:r>
    </w:p>
    <w:p w14:paraId="749A91FB">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第六条  技术资料</w:t>
      </w:r>
    </w:p>
    <w:p w14:paraId="07E0EEBD">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6.1乙方应将每台设备和仪器的中文技术资料完整一套，如目录索引、图纸、操作手册、使用指南、维修指南和／或服务手册和示意图等随同每批货物一起发运。</w:t>
      </w:r>
    </w:p>
    <w:p w14:paraId="0D04B12A">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6.2如果甲方确认乙方提供的技术资料不完整或在运输过程中丢失，乙方将在收到甲方通知后</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天内将这些资料寄给甲方。</w:t>
      </w:r>
    </w:p>
    <w:p w14:paraId="0651658D">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6.3其他</w:t>
      </w:r>
      <w:r>
        <w:rPr>
          <w:rFonts w:hint="eastAsia" w:ascii="宋体" w:hAnsi="宋体" w:eastAsia="宋体" w:cs="宋体"/>
          <w:color w:val="auto"/>
          <w:kern w:val="0"/>
          <w:sz w:val="24"/>
          <w:szCs w:val="24"/>
          <w:highlight w:val="none"/>
          <w:u w:val="single"/>
        </w:rPr>
        <w:t xml:space="preserve">                                                               </w:t>
      </w:r>
    </w:p>
    <w:p w14:paraId="5C1F5BA2">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第七条　包装要求</w:t>
      </w:r>
    </w:p>
    <w:p w14:paraId="610F310E">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 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1672C3DA">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 每一包装单元内应附详细的装箱单和质量合格凭证。</w:t>
      </w:r>
    </w:p>
    <w:p w14:paraId="6FB9C92E">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第八条　交货时间、方式、地点</w:t>
      </w:r>
    </w:p>
    <w:p w14:paraId="2B3D41E3">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 乙方应按照本合同或招标文件规定的时间和方式向甲方交付货物，交货地点为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B8282C2">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乙方交付的货物应当完全符合本合同或者招标文件所规定的货物、数量和规格要求。乙方不得少交或多交货物。乙方提供的货物不符合招标文件和合同规定的，甲方有权拒收货物，由此引起的风险，由乙方承担。</w:t>
      </w:r>
    </w:p>
    <w:p w14:paraId="28394F22">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r>
        <w:rPr>
          <w:rFonts w:hint="eastAsia" w:ascii="宋体" w:hAnsi="宋体" w:eastAsia="宋体" w:cs="宋体"/>
          <w:color w:val="auto"/>
          <w:kern w:val="0"/>
          <w:sz w:val="24"/>
          <w:szCs w:val="24"/>
          <w:highlight w:val="none"/>
          <w:u w:val="single"/>
        </w:rPr>
        <w:t xml:space="preserve">                                                               </w:t>
      </w:r>
    </w:p>
    <w:p w14:paraId="68F5C5D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第九条  检验和验收</w:t>
      </w:r>
    </w:p>
    <w:p w14:paraId="1C2E488E">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A28F904">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货物的到货验收包括：型号、规格、数量、外观质量、及货物包装是否完好；甲方须按照采购合同规定或招标文件的技术、服务等要求组织对供应商履约的验收，并出具验收书，验收书应当包括每一项技术、服务等要求的履约情况。验收方成员应当在验收书上签字，并承担相应的法律责任。</w:t>
      </w:r>
    </w:p>
    <w:p w14:paraId="74A073D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大型或者复杂的项目，甲方应当邀请国家认可的质量检测机构参加验收。</w:t>
      </w:r>
    </w:p>
    <w:p w14:paraId="39A37A6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 甲方应当在到货后的</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个工作日内对货物进行验收；需要乙方对货物或系统进行安装调试的，甲方应在货物安装调试完毕后的</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个工作日内进行质量验收。验收合格的，由甲方签署验收单并加盖单位公章。招标文件对检验期限另有规定的，从其规定。</w:t>
      </w:r>
    </w:p>
    <w:p w14:paraId="17C9555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 货物和系统调试验收的标准：按行业通行标准、厂方出厂标准和乙方投标文件的承诺（详见合同附件载明的标准，并不低于国家相关标准）。</w:t>
      </w:r>
    </w:p>
    <w:p w14:paraId="378B0F8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 甲方有在货物制造过程中派员监造的权利， 乙方有义务为甲方监造人员行使该权利提供方便。</w:t>
      </w:r>
    </w:p>
    <w:p w14:paraId="15A5E78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9.6 制造厂对所供货物进行机械运转试验和性能试验时，乙方必须提前通知甲方。</w:t>
      </w:r>
    </w:p>
    <w:p w14:paraId="07D334F2">
      <w:pPr>
        <w:widowControl/>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9.7 本项目第三方参与验收：</w:t>
      </w:r>
      <w:r>
        <w:rPr>
          <w:rFonts w:hint="eastAsia" w:ascii="宋体" w:hAnsi="宋体" w:eastAsia="宋体" w:cs="宋体"/>
          <w:color w:val="auto"/>
          <w:kern w:val="0"/>
          <w:sz w:val="24"/>
          <w:szCs w:val="24"/>
          <w:highlight w:val="none"/>
          <w:u w:val="single"/>
        </w:rPr>
        <w:t xml:space="preserve">                                            </w:t>
      </w:r>
    </w:p>
    <w:p w14:paraId="2D64ABFA">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r>
        <w:rPr>
          <w:rFonts w:hint="eastAsia" w:ascii="宋体" w:hAnsi="宋体" w:eastAsia="宋体" w:cs="宋体"/>
          <w:color w:val="auto"/>
          <w:kern w:val="0"/>
          <w:sz w:val="24"/>
          <w:szCs w:val="24"/>
          <w:highlight w:val="none"/>
          <w:u w:val="single"/>
        </w:rPr>
        <w:t xml:space="preserve">                                                               </w:t>
      </w:r>
    </w:p>
    <w:p w14:paraId="1FB987C1">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第十条　伴随服务／售后服务</w:t>
      </w:r>
    </w:p>
    <w:p w14:paraId="15C645D9">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 乙方应按照国家有关法律法规规章和“三包”规定以及合同所附的“服务承诺”提供服务。</w:t>
      </w:r>
    </w:p>
    <w:p w14:paraId="78EC0B38">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 除前款规定外，乙方还应提供下列服务：</w:t>
      </w:r>
    </w:p>
    <w:p w14:paraId="126E7A18">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10.2.1 货物的现场安装、调试和/或启动监督；</w:t>
      </w:r>
    </w:p>
    <w:p w14:paraId="108A70BB">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10.2.2 就货物的安装、启动、运行及维护等对甲方人员进行培训。</w:t>
      </w:r>
    </w:p>
    <w:p w14:paraId="6691B05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DA171BE">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10.4卖方为买方提供</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年的软件升级和</w:t>
      </w:r>
      <w:r>
        <w:rPr>
          <w:rFonts w:hint="eastAsia" w:ascii="宋体" w:hAnsi="宋体" w:eastAsia="宋体" w:cs="宋体"/>
          <w:color w:val="auto"/>
          <w:kern w:val="0"/>
          <w:sz w:val="24"/>
          <w:szCs w:val="24"/>
          <w:highlight w:val="none"/>
          <w:lang w:val="en-US" w:eastAsia="zh-CN"/>
        </w:rPr>
        <w:t>整体</w:t>
      </w:r>
      <w:r>
        <w:rPr>
          <w:rFonts w:hint="eastAsia" w:ascii="宋体" w:hAnsi="宋体" w:eastAsia="宋体" w:cs="宋体"/>
          <w:color w:val="auto"/>
          <w:kern w:val="0"/>
          <w:sz w:val="24"/>
          <w:szCs w:val="24"/>
          <w:highlight w:val="none"/>
        </w:rPr>
        <w:t>维护服务期(“质保期”)。质保期期自买方验收合格之日起计算，相关费用计入总价。</w:t>
      </w:r>
    </w:p>
    <w:p w14:paraId="6A98909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10.5在质保期之内，卖方提供质保及软件功能、算法的升级服务，并且卖方须对软件故障负责，不再收取任何费用，但以下原因造成的故障除外：</w:t>
      </w:r>
    </w:p>
    <w:p w14:paraId="069321B7">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10.5.1不可抗力（如火灾、雷击等）；</w:t>
      </w:r>
    </w:p>
    <w:p w14:paraId="4F325F85">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10.5.2买方使用、操作不当或未在操作说明书规定的环境下运行；</w:t>
      </w:r>
    </w:p>
    <w:p w14:paraId="7B5F5B9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10.5.3 非由卖方人员或卖方授权人员升级软件。</w:t>
      </w:r>
    </w:p>
    <w:p w14:paraId="2A23F7E9">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10.6卖方提供7x24小时电话响应技术支持，一旦发生质量问题，卖方保证在接到通知后30分钟内作出响应，24小时内到现场进行维修、更换或退货，费用由卖方负责。若短期无法修复的，应及时提供相应备用设备并负责安装调试。如卖方在接到通知的24小时内没有答复或处理问题，则视为卖方承认质量问题并承担由此而发生的一切费用。保修期间产品的一切质量问题，更换部件及产品本身质量原因造成的直接经济损失应全部由投标人自行负责，更换时间不得超过48小时。</w:t>
      </w:r>
    </w:p>
    <w:p w14:paraId="4FB115C3">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10.7所有保修服务方式均为卖方上门保修，即由卖方派员到软件使用现场维修，由此产生的一切费用均由卖方承担。</w:t>
      </w:r>
    </w:p>
    <w:p w14:paraId="06D9665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10.8质保期后的维护由双方协商再定。</w:t>
      </w:r>
    </w:p>
    <w:p w14:paraId="7E5F4103">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第十一条　货款支付</w:t>
      </w:r>
    </w:p>
    <w:p w14:paraId="39E1EE22">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本合同项下所有款项均以人民币支付。</w:t>
      </w:r>
    </w:p>
    <w:p w14:paraId="151E3364">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货款支付方法：</w:t>
      </w:r>
    </w:p>
    <w:p w14:paraId="661C3F63">
      <w:pPr>
        <w:widowControl/>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（1）在合同签订后7个工作日内支付合同金额的</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0%预付款；</w:t>
      </w:r>
    </w:p>
    <w:p w14:paraId="685ED8AA">
      <w:pPr>
        <w:widowControl/>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（2）所有货物全部到货（清点完毕），经调试并经</w:t>
      </w:r>
      <w:r>
        <w:rPr>
          <w:rFonts w:hint="eastAsia" w:ascii="宋体" w:hAnsi="宋体" w:eastAsia="宋体" w:cs="宋体"/>
          <w:color w:val="auto"/>
          <w:kern w:val="0"/>
          <w:sz w:val="24"/>
          <w:szCs w:val="24"/>
          <w:highlight w:val="none"/>
          <w:u w:val="single"/>
          <w:lang w:val="en-US" w:eastAsia="zh-CN"/>
        </w:rPr>
        <w:t>最终</w:t>
      </w:r>
      <w:r>
        <w:rPr>
          <w:rFonts w:hint="eastAsia" w:ascii="宋体" w:hAnsi="宋体" w:eastAsia="宋体" w:cs="宋体"/>
          <w:color w:val="auto"/>
          <w:kern w:val="0"/>
          <w:sz w:val="24"/>
          <w:szCs w:val="24"/>
          <w:highlight w:val="none"/>
          <w:u w:val="single"/>
        </w:rPr>
        <w:t>验收合格后7个工作日内支付剩余合同价款。</w:t>
      </w:r>
    </w:p>
    <w:p w14:paraId="1521B07B">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第十二条　违约责任</w:t>
      </w:r>
    </w:p>
    <w:p w14:paraId="5329A2C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甲方无正当理由拒收货物、拒付货物款的，由甲方向乙方偿付合同总价的</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违约金。</w:t>
      </w:r>
    </w:p>
    <w:p w14:paraId="398EADAA">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甲方未按合同规定的期限向乙方支付货款的，每逾期</w:t>
      </w:r>
      <w:r>
        <w:rPr>
          <w:rFonts w:hint="eastAsia" w:ascii="宋体" w:hAnsi="宋体" w:eastAsia="宋体" w:cs="宋体"/>
          <w:color w:val="auto"/>
          <w:kern w:val="0"/>
          <w:sz w:val="24"/>
          <w:szCs w:val="24"/>
          <w:highlight w:val="none"/>
          <w:u w:val="single"/>
        </w:rPr>
        <w:t xml:space="preserve"> 1 </w:t>
      </w:r>
      <w:r>
        <w:rPr>
          <w:rFonts w:hint="eastAsia" w:ascii="宋体" w:hAnsi="宋体" w:eastAsia="宋体" w:cs="宋体"/>
          <w:color w:val="auto"/>
          <w:kern w:val="0"/>
          <w:sz w:val="24"/>
          <w:szCs w:val="24"/>
          <w:highlight w:val="none"/>
        </w:rPr>
        <w:t>天甲方向乙方偿付欠款总额的</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滞纳金，但累计滞纳金总额不超过欠款总额的</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w:t>
      </w:r>
    </w:p>
    <w:p w14:paraId="0D5C46A8">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 如乙方不能交付货物，乙方应向甲方支付合同总价</w:t>
      </w:r>
      <w:r>
        <w:rPr>
          <w:rFonts w:hint="eastAsia" w:ascii="宋体" w:hAnsi="宋体" w:eastAsia="宋体" w:cs="宋体"/>
          <w:color w:val="auto"/>
          <w:kern w:val="0"/>
          <w:sz w:val="24"/>
          <w:szCs w:val="24"/>
          <w:highlight w:val="none"/>
          <w:u w:val="single"/>
        </w:rPr>
        <w:t>3 ％</w:t>
      </w:r>
      <w:r>
        <w:rPr>
          <w:rFonts w:hint="eastAsia" w:ascii="宋体" w:hAnsi="宋体" w:eastAsia="宋体" w:cs="宋体"/>
          <w:color w:val="auto"/>
          <w:kern w:val="0"/>
          <w:sz w:val="24"/>
          <w:szCs w:val="24"/>
          <w:highlight w:val="none"/>
        </w:rPr>
        <w:t>的违约金。</w:t>
      </w:r>
    </w:p>
    <w:p w14:paraId="67BB5A6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 乙方逾期交付货物的，每逾期</w:t>
      </w:r>
      <w:r>
        <w:rPr>
          <w:rFonts w:hint="eastAsia" w:ascii="宋体" w:hAnsi="宋体" w:eastAsia="宋体" w:cs="宋体"/>
          <w:color w:val="auto"/>
          <w:kern w:val="0"/>
          <w:sz w:val="24"/>
          <w:szCs w:val="24"/>
          <w:highlight w:val="none"/>
          <w:u w:val="single"/>
        </w:rPr>
        <w:t xml:space="preserve"> 1 </w:t>
      </w:r>
      <w:r>
        <w:rPr>
          <w:rFonts w:hint="eastAsia" w:ascii="宋体" w:hAnsi="宋体" w:eastAsia="宋体" w:cs="宋体"/>
          <w:color w:val="auto"/>
          <w:kern w:val="0"/>
          <w:sz w:val="24"/>
          <w:szCs w:val="24"/>
          <w:highlight w:val="none"/>
        </w:rPr>
        <w:t>天，乙方向甲方偿付逾期交货部分货款总额的</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的滞纳金。如乙方逾期交货达</w:t>
      </w:r>
      <w:r>
        <w:rPr>
          <w:rFonts w:hint="eastAsia" w:ascii="宋体" w:hAnsi="宋体" w:eastAsia="宋体" w:cs="宋体"/>
          <w:color w:val="auto"/>
          <w:kern w:val="0"/>
          <w:sz w:val="24"/>
          <w:szCs w:val="24"/>
          <w:highlight w:val="none"/>
          <w:u w:val="single"/>
        </w:rPr>
        <w:t xml:space="preserve"> 15 </w:t>
      </w:r>
      <w:r>
        <w:rPr>
          <w:rFonts w:hint="eastAsia" w:ascii="宋体" w:hAnsi="宋体" w:eastAsia="宋体" w:cs="宋体"/>
          <w:color w:val="auto"/>
          <w:kern w:val="0"/>
          <w:sz w:val="24"/>
          <w:szCs w:val="24"/>
          <w:highlight w:val="none"/>
        </w:rPr>
        <w:t>天，甲方有权解除合同，解除合同的通知自到达乙方时生效。</w:t>
      </w:r>
    </w:p>
    <w:p w14:paraId="2621DCCD">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7A2E76C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 乙方所交付的货物品种、型号、规格、技术指标不符合合同规定的，甲方有权拒收。甲方拒收的，乙方应向甲方支付货款总额</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%的违约金。</w:t>
      </w:r>
    </w:p>
    <w:p w14:paraId="188F36E7">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12.6 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3AB2475F">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12.7 乙方未按本合同的规定和“服务承诺”提供伴随服务/售后服务的，应按合同总价款的</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向甲方承担违约责任。</w:t>
      </w:r>
    </w:p>
    <w:p w14:paraId="6CA9B5D4">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12.8 乙方在承担上述13.3～13.7款一项或多项违约责任后，仍应继续履行合同规定的义务（甲方解除合同的除外）。甲方未能及时追究乙方的任何一项违约责任并不表明甲方放弃追究乙方该项或其他违约责任。</w:t>
      </w:r>
    </w:p>
    <w:p w14:paraId="0B262FD8">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r>
        <w:rPr>
          <w:rFonts w:hint="eastAsia" w:ascii="宋体" w:hAnsi="宋体" w:eastAsia="宋体" w:cs="宋体"/>
          <w:color w:val="auto"/>
          <w:kern w:val="0"/>
          <w:sz w:val="24"/>
          <w:szCs w:val="24"/>
          <w:highlight w:val="none"/>
          <w:u w:val="single"/>
        </w:rPr>
        <w:t xml:space="preserve">                                                               </w:t>
      </w:r>
    </w:p>
    <w:p w14:paraId="5D1B2F5C">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第十三条　合同的转让和分包</w:t>
      </w:r>
    </w:p>
    <w:p w14:paraId="340B5952">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乙方不得擅自分包其应履行的合同义务。须将项目的非主体、非关键性工作分包的，应当在投标文件中载明分包承担主体，分包承担主体应当具备相应资质条件且不得再次分包。</w:t>
      </w:r>
    </w:p>
    <w:p w14:paraId="471325D0">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第十四条　合同的变更和终止</w:t>
      </w:r>
    </w:p>
    <w:p w14:paraId="149676E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除《政府采购法》第50条第二款规定的情形外，本合同一经签订，双方不得擅自变更、中止或终止合同。</w:t>
      </w:r>
    </w:p>
    <w:p w14:paraId="66E86E3B">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第十五条　不可抗力</w:t>
      </w:r>
    </w:p>
    <w:p w14:paraId="319E670A">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如果双方中任何一方遭遇法律规定的不可抗力，致使合同履行受阻时，履行合同的期限应予延长，延长的期限应相当于不可抗力所影响的时间。</w:t>
      </w:r>
    </w:p>
    <w:p w14:paraId="6806BD59">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受事故影响的一方应在不可抗力的事故发生后尽快书面形式通知另一方，并尽快将有关部门出具的证明文件送达另一方。</w:t>
      </w:r>
    </w:p>
    <w:p w14:paraId="5D7B3AC7">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不可抗力使合同的某些内容有变更必要的， 双方应通过协商达成进一步履行合同的协议，因不可抗力致使合同不能履行的，合同终止。</w:t>
      </w:r>
    </w:p>
    <w:p w14:paraId="55A599C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第十六条　争议的解决</w:t>
      </w:r>
    </w:p>
    <w:p w14:paraId="4B414DFD">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 因货物的质量问题发生争议的，应当邀请国家认可的质量检测机构对货物质量进行鉴定。货物符合标准的，鉴定费由甲方承担；货物不符合质量标准的，鉴定费由乙方承担。</w:t>
      </w:r>
    </w:p>
    <w:p w14:paraId="7D5783E5">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因履行本合同引起的或与本合同有关的争议，甲、乙双方应首先通过友好协商解决，如果协商不能解决争议，则采取以下第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16.2.2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种方式解决争议：</w:t>
      </w:r>
    </w:p>
    <w:p w14:paraId="1E22FBB3">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向甲方所在地有管辖权的人民法院提起诉讼；</w:t>
      </w:r>
    </w:p>
    <w:p w14:paraId="5DD6FC04">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 向</w:t>
      </w:r>
      <w:r>
        <w:rPr>
          <w:rFonts w:hint="eastAsia" w:ascii="宋体" w:hAnsi="宋体" w:eastAsia="宋体" w:cs="宋体"/>
          <w:color w:val="auto"/>
          <w:kern w:val="0"/>
          <w:sz w:val="24"/>
          <w:szCs w:val="24"/>
          <w:highlight w:val="none"/>
          <w:u w:val="single"/>
        </w:rPr>
        <w:t xml:space="preserve"> 丽水 </w:t>
      </w:r>
      <w:r>
        <w:rPr>
          <w:rFonts w:hint="eastAsia" w:ascii="宋体" w:hAnsi="宋体" w:eastAsia="宋体" w:cs="宋体"/>
          <w:color w:val="auto"/>
          <w:kern w:val="0"/>
          <w:sz w:val="24"/>
          <w:szCs w:val="24"/>
          <w:highlight w:val="none"/>
        </w:rPr>
        <w:t>仲裁委员会按其仲裁规则申请仲裁。</w:t>
      </w:r>
    </w:p>
    <w:p w14:paraId="4B3F693E">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 在仲裁期间，本合同应继续履行。</w:t>
      </w:r>
    </w:p>
    <w:p w14:paraId="3E72949F">
      <w:pPr>
        <w:widowControl/>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第十七条　合同生效及其他</w:t>
      </w:r>
    </w:p>
    <w:p w14:paraId="74D55CD3">
      <w:pPr>
        <w:widowControl/>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合同经双方负责人或被委托人签字并加盖单位公章。</w:t>
      </w:r>
    </w:p>
    <w:p w14:paraId="0FC5C55E">
      <w:pPr>
        <w:widowControl/>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合同执行中涉及采购资金和采购内容修改或补充的，须经财政部门批准，并签书面补充协议报政府采购监督管理部门备案，方可作为合同不可分割的一部分。</w:t>
      </w:r>
    </w:p>
    <w:p w14:paraId="799E0539">
      <w:pPr>
        <w:widowControl/>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 本合同自签订之日起生效。</w:t>
      </w:r>
    </w:p>
    <w:p w14:paraId="7FFFDC3A">
      <w:pPr>
        <w:widowControl/>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17.4 本合同一式五份，甲乙双方各执二份，一份交代理机构存档。</w:t>
      </w:r>
    </w:p>
    <w:p w14:paraId="5CF4EE94">
      <w:pPr>
        <w:widowControl/>
        <w:spacing w:line="360" w:lineRule="auto"/>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17.5本合同应按照中华人民共和国的现行法律进行解释。</w:t>
      </w:r>
    </w:p>
    <w:tbl>
      <w:tblPr>
        <w:tblStyle w:val="45"/>
        <w:tblW w:w="0" w:type="auto"/>
        <w:jc w:val="center"/>
        <w:tblLayout w:type="fixed"/>
        <w:tblCellMar>
          <w:top w:w="0" w:type="dxa"/>
          <w:left w:w="108" w:type="dxa"/>
          <w:bottom w:w="0" w:type="dxa"/>
          <w:right w:w="108" w:type="dxa"/>
        </w:tblCellMar>
      </w:tblPr>
      <w:tblGrid>
        <w:gridCol w:w="1418"/>
        <w:gridCol w:w="1134"/>
        <w:gridCol w:w="1960"/>
        <w:gridCol w:w="1442"/>
        <w:gridCol w:w="1134"/>
        <w:gridCol w:w="1982"/>
      </w:tblGrid>
      <w:tr w14:paraId="4FBCFDDC">
        <w:tblPrEx>
          <w:tblCellMar>
            <w:top w:w="0" w:type="dxa"/>
            <w:left w:w="108" w:type="dxa"/>
            <w:bottom w:w="0" w:type="dxa"/>
            <w:right w:w="108" w:type="dxa"/>
          </w:tblCellMar>
        </w:tblPrEx>
        <w:trPr>
          <w:trHeight w:val="1699" w:hRule="atLeast"/>
          <w:jc w:val="center"/>
        </w:trPr>
        <w:tc>
          <w:tcPr>
            <w:tcW w:w="4512" w:type="dxa"/>
            <w:gridSpan w:val="3"/>
            <w:noWrap w:val="0"/>
            <w:vAlign w:val="center"/>
          </w:tcPr>
          <w:p w14:paraId="3039642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w:t>
            </w:r>
          </w:p>
        </w:tc>
        <w:tc>
          <w:tcPr>
            <w:tcW w:w="4558" w:type="dxa"/>
            <w:gridSpan w:val="3"/>
            <w:noWrap w:val="0"/>
            <w:vAlign w:val="center"/>
          </w:tcPr>
          <w:p w14:paraId="34B5D9C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乙方（公章）</w:t>
            </w:r>
          </w:p>
        </w:tc>
      </w:tr>
      <w:tr w14:paraId="7DA51EAC">
        <w:tblPrEx>
          <w:tblCellMar>
            <w:top w:w="0" w:type="dxa"/>
            <w:left w:w="108" w:type="dxa"/>
            <w:bottom w:w="0" w:type="dxa"/>
            <w:right w:w="108" w:type="dxa"/>
          </w:tblCellMar>
        </w:tblPrEx>
        <w:trPr>
          <w:trHeight w:val="454" w:hRule="atLeast"/>
          <w:jc w:val="center"/>
        </w:trPr>
        <w:tc>
          <w:tcPr>
            <w:tcW w:w="1418" w:type="dxa"/>
            <w:noWrap w:val="0"/>
            <w:vAlign w:val="center"/>
          </w:tcPr>
          <w:p w14:paraId="2D39D34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34" w:type="dxa"/>
            <w:vMerge w:val="restart"/>
            <w:noWrap w:val="0"/>
            <w:vAlign w:val="center"/>
          </w:tcPr>
          <w:p w14:paraId="447D5E63">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c>
          <w:tcPr>
            <w:tcW w:w="1960" w:type="dxa"/>
            <w:vMerge w:val="restart"/>
            <w:noWrap w:val="0"/>
            <w:vAlign w:val="center"/>
          </w:tcPr>
          <w:p w14:paraId="579B908D">
            <w:pPr>
              <w:snapToGrid w:val="0"/>
              <w:jc w:val="center"/>
              <w:rPr>
                <w:rFonts w:hint="eastAsia" w:ascii="宋体" w:hAnsi="宋体" w:eastAsia="宋体" w:cs="宋体"/>
                <w:color w:val="auto"/>
                <w:sz w:val="24"/>
                <w:szCs w:val="24"/>
                <w:highlight w:val="none"/>
              </w:rPr>
            </w:pPr>
          </w:p>
        </w:tc>
        <w:tc>
          <w:tcPr>
            <w:tcW w:w="1442" w:type="dxa"/>
            <w:noWrap w:val="0"/>
            <w:vAlign w:val="center"/>
          </w:tcPr>
          <w:p w14:paraId="3D8CB62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34" w:type="dxa"/>
            <w:vMerge w:val="restart"/>
            <w:noWrap w:val="0"/>
            <w:vAlign w:val="center"/>
          </w:tcPr>
          <w:p w14:paraId="380E3169">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c>
          <w:tcPr>
            <w:tcW w:w="1982" w:type="dxa"/>
            <w:vMerge w:val="restart"/>
            <w:noWrap w:val="0"/>
            <w:vAlign w:val="center"/>
          </w:tcPr>
          <w:p w14:paraId="4B8AD306">
            <w:pPr>
              <w:snapToGrid w:val="0"/>
              <w:jc w:val="center"/>
              <w:rPr>
                <w:rFonts w:hint="eastAsia" w:ascii="宋体" w:hAnsi="宋体" w:eastAsia="宋体" w:cs="宋体"/>
                <w:color w:val="auto"/>
                <w:sz w:val="24"/>
                <w:szCs w:val="24"/>
                <w:highlight w:val="none"/>
              </w:rPr>
            </w:pPr>
          </w:p>
        </w:tc>
      </w:tr>
      <w:tr w14:paraId="46A6C4A5">
        <w:tblPrEx>
          <w:tblCellMar>
            <w:top w:w="0" w:type="dxa"/>
            <w:left w:w="108" w:type="dxa"/>
            <w:bottom w:w="0" w:type="dxa"/>
            <w:right w:w="108" w:type="dxa"/>
          </w:tblCellMar>
        </w:tblPrEx>
        <w:trPr>
          <w:trHeight w:val="492" w:hRule="atLeast"/>
          <w:jc w:val="center"/>
        </w:trPr>
        <w:tc>
          <w:tcPr>
            <w:tcW w:w="1418" w:type="dxa"/>
            <w:noWrap w:val="0"/>
            <w:vAlign w:val="center"/>
          </w:tcPr>
          <w:p w14:paraId="4C93D74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或被委托入</w:t>
            </w:r>
          </w:p>
        </w:tc>
        <w:tc>
          <w:tcPr>
            <w:tcW w:w="1134" w:type="dxa"/>
            <w:vMerge w:val="continue"/>
            <w:noWrap w:val="0"/>
            <w:vAlign w:val="center"/>
          </w:tcPr>
          <w:p w14:paraId="5923CA62">
            <w:pPr>
              <w:snapToGrid w:val="0"/>
              <w:jc w:val="center"/>
              <w:rPr>
                <w:rFonts w:hint="eastAsia" w:ascii="宋体" w:hAnsi="宋体" w:eastAsia="宋体" w:cs="宋体"/>
                <w:color w:val="auto"/>
                <w:sz w:val="24"/>
                <w:szCs w:val="24"/>
                <w:highlight w:val="none"/>
              </w:rPr>
            </w:pPr>
          </w:p>
        </w:tc>
        <w:tc>
          <w:tcPr>
            <w:tcW w:w="1960" w:type="dxa"/>
            <w:vMerge w:val="continue"/>
            <w:noWrap w:val="0"/>
            <w:vAlign w:val="center"/>
          </w:tcPr>
          <w:p w14:paraId="39B511C3">
            <w:pPr>
              <w:snapToGrid w:val="0"/>
              <w:jc w:val="center"/>
              <w:rPr>
                <w:rFonts w:hint="eastAsia" w:ascii="宋体" w:hAnsi="宋体" w:eastAsia="宋体" w:cs="宋体"/>
                <w:color w:val="auto"/>
                <w:sz w:val="24"/>
                <w:szCs w:val="24"/>
                <w:highlight w:val="none"/>
              </w:rPr>
            </w:pPr>
          </w:p>
        </w:tc>
        <w:tc>
          <w:tcPr>
            <w:tcW w:w="1442" w:type="dxa"/>
            <w:noWrap w:val="0"/>
            <w:vAlign w:val="center"/>
          </w:tcPr>
          <w:p w14:paraId="48F54DD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或被委托入</w:t>
            </w:r>
          </w:p>
        </w:tc>
        <w:tc>
          <w:tcPr>
            <w:tcW w:w="1134" w:type="dxa"/>
            <w:vMerge w:val="continue"/>
            <w:noWrap w:val="0"/>
            <w:vAlign w:val="center"/>
          </w:tcPr>
          <w:p w14:paraId="5DD783C3">
            <w:pPr>
              <w:snapToGrid w:val="0"/>
              <w:jc w:val="center"/>
              <w:rPr>
                <w:rFonts w:hint="eastAsia" w:ascii="宋体" w:hAnsi="宋体" w:eastAsia="宋体" w:cs="宋体"/>
                <w:color w:val="auto"/>
                <w:sz w:val="24"/>
                <w:szCs w:val="24"/>
                <w:highlight w:val="none"/>
              </w:rPr>
            </w:pPr>
          </w:p>
        </w:tc>
        <w:tc>
          <w:tcPr>
            <w:tcW w:w="1982" w:type="dxa"/>
            <w:vMerge w:val="continue"/>
            <w:noWrap w:val="0"/>
            <w:vAlign w:val="center"/>
          </w:tcPr>
          <w:p w14:paraId="4988890A">
            <w:pPr>
              <w:snapToGrid w:val="0"/>
              <w:jc w:val="center"/>
              <w:rPr>
                <w:rFonts w:hint="eastAsia" w:ascii="宋体" w:hAnsi="宋体" w:eastAsia="宋体" w:cs="宋体"/>
                <w:color w:val="auto"/>
                <w:sz w:val="24"/>
                <w:szCs w:val="24"/>
                <w:highlight w:val="none"/>
              </w:rPr>
            </w:pPr>
          </w:p>
        </w:tc>
      </w:tr>
      <w:tr w14:paraId="2A44AE1B">
        <w:tblPrEx>
          <w:tblCellMar>
            <w:top w:w="0" w:type="dxa"/>
            <w:left w:w="108" w:type="dxa"/>
            <w:bottom w:w="0" w:type="dxa"/>
            <w:right w:w="108" w:type="dxa"/>
          </w:tblCellMar>
        </w:tblPrEx>
        <w:trPr>
          <w:trHeight w:val="454" w:hRule="atLeast"/>
          <w:jc w:val="center"/>
        </w:trPr>
        <w:tc>
          <w:tcPr>
            <w:tcW w:w="1418" w:type="dxa"/>
            <w:noWrap w:val="0"/>
            <w:vAlign w:val="center"/>
          </w:tcPr>
          <w:p w14:paraId="06882B97">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3094" w:type="dxa"/>
            <w:gridSpan w:val="2"/>
            <w:noWrap w:val="0"/>
            <w:vAlign w:val="center"/>
          </w:tcPr>
          <w:p w14:paraId="7324A15C">
            <w:pPr>
              <w:snapToGrid w:val="0"/>
              <w:rPr>
                <w:rFonts w:hint="eastAsia" w:ascii="宋体" w:hAnsi="宋体" w:eastAsia="宋体" w:cs="宋体"/>
                <w:color w:val="auto"/>
                <w:sz w:val="24"/>
                <w:szCs w:val="24"/>
                <w:highlight w:val="none"/>
              </w:rPr>
            </w:pPr>
          </w:p>
        </w:tc>
        <w:tc>
          <w:tcPr>
            <w:tcW w:w="1442" w:type="dxa"/>
            <w:noWrap w:val="0"/>
            <w:vAlign w:val="center"/>
          </w:tcPr>
          <w:p w14:paraId="58B1C9DD">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3116" w:type="dxa"/>
            <w:gridSpan w:val="2"/>
            <w:noWrap w:val="0"/>
            <w:vAlign w:val="center"/>
          </w:tcPr>
          <w:p w14:paraId="2AA50266">
            <w:pPr>
              <w:snapToGrid w:val="0"/>
              <w:rPr>
                <w:rFonts w:hint="eastAsia" w:ascii="宋体" w:hAnsi="宋体" w:eastAsia="宋体" w:cs="宋体"/>
                <w:color w:val="auto"/>
                <w:sz w:val="24"/>
                <w:szCs w:val="24"/>
                <w:highlight w:val="none"/>
              </w:rPr>
            </w:pPr>
          </w:p>
        </w:tc>
      </w:tr>
      <w:tr w14:paraId="32AFF024">
        <w:tblPrEx>
          <w:tblCellMar>
            <w:top w:w="0" w:type="dxa"/>
            <w:left w:w="108" w:type="dxa"/>
            <w:bottom w:w="0" w:type="dxa"/>
            <w:right w:w="108" w:type="dxa"/>
          </w:tblCellMar>
        </w:tblPrEx>
        <w:trPr>
          <w:trHeight w:val="454" w:hRule="atLeast"/>
          <w:jc w:val="center"/>
        </w:trPr>
        <w:tc>
          <w:tcPr>
            <w:tcW w:w="1418" w:type="dxa"/>
            <w:noWrap w:val="0"/>
            <w:vAlign w:val="center"/>
          </w:tcPr>
          <w:p w14:paraId="19C25DB9">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3094" w:type="dxa"/>
            <w:gridSpan w:val="2"/>
            <w:noWrap w:val="0"/>
            <w:vAlign w:val="center"/>
          </w:tcPr>
          <w:p w14:paraId="5F92755D">
            <w:pPr>
              <w:snapToGrid w:val="0"/>
              <w:rPr>
                <w:rFonts w:hint="eastAsia" w:ascii="宋体" w:hAnsi="宋体" w:eastAsia="宋体" w:cs="宋体"/>
                <w:color w:val="auto"/>
                <w:sz w:val="24"/>
                <w:szCs w:val="24"/>
                <w:highlight w:val="none"/>
              </w:rPr>
            </w:pPr>
          </w:p>
        </w:tc>
        <w:tc>
          <w:tcPr>
            <w:tcW w:w="1442" w:type="dxa"/>
            <w:noWrap w:val="0"/>
            <w:vAlign w:val="center"/>
          </w:tcPr>
          <w:p w14:paraId="1F5923B6">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3116" w:type="dxa"/>
            <w:gridSpan w:val="2"/>
            <w:noWrap w:val="0"/>
            <w:vAlign w:val="center"/>
          </w:tcPr>
          <w:p w14:paraId="59A7494F">
            <w:pPr>
              <w:snapToGrid w:val="0"/>
              <w:rPr>
                <w:rFonts w:hint="eastAsia" w:ascii="宋体" w:hAnsi="宋体" w:eastAsia="宋体" w:cs="宋体"/>
                <w:color w:val="auto"/>
                <w:sz w:val="24"/>
                <w:szCs w:val="24"/>
                <w:highlight w:val="none"/>
              </w:rPr>
            </w:pPr>
          </w:p>
        </w:tc>
      </w:tr>
      <w:tr w14:paraId="31D23643">
        <w:tblPrEx>
          <w:tblCellMar>
            <w:top w:w="0" w:type="dxa"/>
            <w:left w:w="108" w:type="dxa"/>
            <w:bottom w:w="0" w:type="dxa"/>
            <w:right w:w="108" w:type="dxa"/>
          </w:tblCellMar>
        </w:tblPrEx>
        <w:trPr>
          <w:trHeight w:val="454" w:hRule="atLeast"/>
          <w:jc w:val="center"/>
        </w:trPr>
        <w:tc>
          <w:tcPr>
            <w:tcW w:w="1418" w:type="dxa"/>
            <w:noWrap w:val="0"/>
            <w:vAlign w:val="center"/>
          </w:tcPr>
          <w:p w14:paraId="15B26005">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094" w:type="dxa"/>
            <w:gridSpan w:val="2"/>
            <w:noWrap w:val="0"/>
            <w:vAlign w:val="center"/>
          </w:tcPr>
          <w:p w14:paraId="4F47815F">
            <w:pPr>
              <w:snapToGrid w:val="0"/>
              <w:rPr>
                <w:rFonts w:hint="eastAsia" w:ascii="宋体" w:hAnsi="宋体" w:eastAsia="宋体" w:cs="宋体"/>
                <w:color w:val="auto"/>
                <w:sz w:val="24"/>
                <w:szCs w:val="24"/>
                <w:highlight w:val="none"/>
              </w:rPr>
            </w:pPr>
          </w:p>
        </w:tc>
        <w:tc>
          <w:tcPr>
            <w:tcW w:w="1442" w:type="dxa"/>
            <w:noWrap w:val="0"/>
            <w:vAlign w:val="center"/>
          </w:tcPr>
          <w:p w14:paraId="2B3873B8">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116" w:type="dxa"/>
            <w:gridSpan w:val="2"/>
            <w:noWrap w:val="0"/>
            <w:vAlign w:val="center"/>
          </w:tcPr>
          <w:p w14:paraId="28F62717">
            <w:pPr>
              <w:snapToGrid w:val="0"/>
              <w:rPr>
                <w:rFonts w:hint="eastAsia" w:ascii="宋体" w:hAnsi="宋体" w:eastAsia="宋体" w:cs="宋体"/>
                <w:color w:val="auto"/>
                <w:sz w:val="24"/>
                <w:szCs w:val="24"/>
                <w:highlight w:val="none"/>
              </w:rPr>
            </w:pPr>
          </w:p>
        </w:tc>
      </w:tr>
      <w:tr w14:paraId="60B9D6C3">
        <w:tblPrEx>
          <w:tblCellMar>
            <w:top w:w="0" w:type="dxa"/>
            <w:left w:w="108" w:type="dxa"/>
            <w:bottom w:w="0" w:type="dxa"/>
            <w:right w:w="108" w:type="dxa"/>
          </w:tblCellMar>
        </w:tblPrEx>
        <w:trPr>
          <w:trHeight w:val="454" w:hRule="atLeast"/>
          <w:jc w:val="center"/>
        </w:trPr>
        <w:tc>
          <w:tcPr>
            <w:tcW w:w="1418" w:type="dxa"/>
            <w:noWrap w:val="0"/>
            <w:vAlign w:val="center"/>
          </w:tcPr>
          <w:p w14:paraId="74D5F592">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3094" w:type="dxa"/>
            <w:gridSpan w:val="2"/>
            <w:noWrap w:val="0"/>
            <w:vAlign w:val="center"/>
          </w:tcPr>
          <w:p w14:paraId="4922C164">
            <w:pPr>
              <w:snapToGrid w:val="0"/>
              <w:rPr>
                <w:rFonts w:hint="eastAsia" w:ascii="宋体" w:hAnsi="宋体" w:eastAsia="宋体" w:cs="宋体"/>
                <w:color w:val="auto"/>
                <w:sz w:val="24"/>
                <w:szCs w:val="24"/>
                <w:highlight w:val="none"/>
              </w:rPr>
            </w:pPr>
          </w:p>
        </w:tc>
        <w:tc>
          <w:tcPr>
            <w:tcW w:w="1442" w:type="dxa"/>
            <w:noWrap w:val="0"/>
            <w:vAlign w:val="center"/>
          </w:tcPr>
          <w:p w14:paraId="31CE5493">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3116" w:type="dxa"/>
            <w:gridSpan w:val="2"/>
            <w:noWrap w:val="0"/>
            <w:vAlign w:val="center"/>
          </w:tcPr>
          <w:p w14:paraId="2BEE6FF4">
            <w:pPr>
              <w:snapToGrid w:val="0"/>
              <w:rPr>
                <w:rFonts w:hint="eastAsia" w:ascii="宋体" w:hAnsi="宋体" w:eastAsia="宋体" w:cs="宋体"/>
                <w:color w:val="auto"/>
                <w:sz w:val="24"/>
                <w:szCs w:val="24"/>
                <w:highlight w:val="none"/>
              </w:rPr>
            </w:pPr>
          </w:p>
        </w:tc>
      </w:tr>
      <w:tr w14:paraId="027BE27E">
        <w:tblPrEx>
          <w:tblCellMar>
            <w:top w:w="0" w:type="dxa"/>
            <w:left w:w="108" w:type="dxa"/>
            <w:bottom w:w="0" w:type="dxa"/>
            <w:right w:w="108" w:type="dxa"/>
          </w:tblCellMar>
        </w:tblPrEx>
        <w:trPr>
          <w:trHeight w:val="454" w:hRule="atLeast"/>
          <w:jc w:val="center"/>
        </w:trPr>
        <w:tc>
          <w:tcPr>
            <w:tcW w:w="1418" w:type="dxa"/>
            <w:noWrap w:val="0"/>
            <w:vAlign w:val="center"/>
          </w:tcPr>
          <w:p w14:paraId="410449D0">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94" w:type="dxa"/>
            <w:gridSpan w:val="2"/>
            <w:noWrap w:val="0"/>
            <w:vAlign w:val="center"/>
          </w:tcPr>
          <w:p w14:paraId="1496EF64">
            <w:pPr>
              <w:snapToGrid w:val="0"/>
              <w:rPr>
                <w:rFonts w:hint="eastAsia" w:ascii="宋体" w:hAnsi="宋体" w:eastAsia="宋体" w:cs="宋体"/>
                <w:color w:val="auto"/>
                <w:sz w:val="24"/>
                <w:szCs w:val="24"/>
                <w:highlight w:val="none"/>
              </w:rPr>
            </w:pPr>
          </w:p>
        </w:tc>
        <w:tc>
          <w:tcPr>
            <w:tcW w:w="1442" w:type="dxa"/>
            <w:noWrap w:val="0"/>
            <w:vAlign w:val="center"/>
          </w:tcPr>
          <w:p w14:paraId="171B2C1F">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116" w:type="dxa"/>
            <w:gridSpan w:val="2"/>
            <w:noWrap w:val="0"/>
            <w:vAlign w:val="center"/>
          </w:tcPr>
          <w:p w14:paraId="7934ED7C">
            <w:pPr>
              <w:snapToGrid w:val="0"/>
              <w:rPr>
                <w:rFonts w:hint="eastAsia" w:ascii="宋体" w:hAnsi="宋体" w:eastAsia="宋体" w:cs="宋体"/>
                <w:color w:val="auto"/>
                <w:sz w:val="24"/>
                <w:szCs w:val="24"/>
                <w:highlight w:val="none"/>
              </w:rPr>
            </w:pPr>
          </w:p>
        </w:tc>
      </w:tr>
      <w:tr w14:paraId="40CA5E6A">
        <w:tblPrEx>
          <w:tblCellMar>
            <w:top w:w="0" w:type="dxa"/>
            <w:left w:w="108" w:type="dxa"/>
            <w:bottom w:w="0" w:type="dxa"/>
            <w:right w:w="108" w:type="dxa"/>
          </w:tblCellMar>
        </w:tblPrEx>
        <w:trPr>
          <w:trHeight w:val="454" w:hRule="atLeast"/>
          <w:jc w:val="center"/>
        </w:trPr>
        <w:tc>
          <w:tcPr>
            <w:tcW w:w="1418" w:type="dxa"/>
            <w:noWrap w:val="0"/>
            <w:vAlign w:val="center"/>
          </w:tcPr>
          <w:p w14:paraId="1565854C">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3094" w:type="dxa"/>
            <w:gridSpan w:val="2"/>
            <w:noWrap w:val="0"/>
            <w:vAlign w:val="center"/>
          </w:tcPr>
          <w:p w14:paraId="61754831">
            <w:pPr>
              <w:snapToGrid w:val="0"/>
              <w:rPr>
                <w:rFonts w:hint="eastAsia" w:ascii="宋体" w:hAnsi="宋体" w:eastAsia="宋体" w:cs="宋体"/>
                <w:color w:val="auto"/>
                <w:sz w:val="24"/>
                <w:szCs w:val="24"/>
                <w:highlight w:val="none"/>
              </w:rPr>
            </w:pPr>
          </w:p>
        </w:tc>
        <w:tc>
          <w:tcPr>
            <w:tcW w:w="1442" w:type="dxa"/>
            <w:noWrap w:val="0"/>
            <w:vAlign w:val="center"/>
          </w:tcPr>
          <w:p w14:paraId="6AE616E1">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3116" w:type="dxa"/>
            <w:gridSpan w:val="2"/>
            <w:noWrap w:val="0"/>
            <w:vAlign w:val="center"/>
          </w:tcPr>
          <w:p w14:paraId="2C54DAED">
            <w:pPr>
              <w:snapToGrid w:val="0"/>
              <w:rPr>
                <w:rFonts w:hint="eastAsia" w:ascii="宋体" w:hAnsi="宋体" w:eastAsia="宋体" w:cs="宋体"/>
                <w:color w:val="auto"/>
                <w:sz w:val="24"/>
                <w:szCs w:val="24"/>
                <w:highlight w:val="none"/>
              </w:rPr>
            </w:pPr>
          </w:p>
        </w:tc>
      </w:tr>
      <w:tr w14:paraId="61587A34">
        <w:tblPrEx>
          <w:tblCellMar>
            <w:top w:w="0" w:type="dxa"/>
            <w:left w:w="108" w:type="dxa"/>
            <w:bottom w:w="0" w:type="dxa"/>
            <w:right w:w="108" w:type="dxa"/>
          </w:tblCellMar>
        </w:tblPrEx>
        <w:trPr>
          <w:trHeight w:val="454" w:hRule="atLeast"/>
          <w:jc w:val="center"/>
        </w:trPr>
        <w:tc>
          <w:tcPr>
            <w:tcW w:w="1418" w:type="dxa"/>
            <w:noWrap w:val="0"/>
            <w:vAlign w:val="center"/>
          </w:tcPr>
          <w:p w14:paraId="741D7481">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3094" w:type="dxa"/>
            <w:gridSpan w:val="2"/>
            <w:noWrap w:val="0"/>
            <w:vAlign w:val="center"/>
          </w:tcPr>
          <w:p w14:paraId="2E3E2A51">
            <w:pPr>
              <w:snapToGrid w:val="0"/>
              <w:rPr>
                <w:rFonts w:hint="eastAsia" w:ascii="宋体" w:hAnsi="宋体" w:eastAsia="宋体" w:cs="宋体"/>
                <w:color w:val="auto"/>
                <w:sz w:val="24"/>
                <w:szCs w:val="24"/>
                <w:highlight w:val="none"/>
              </w:rPr>
            </w:pPr>
          </w:p>
        </w:tc>
        <w:tc>
          <w:tcPr>
            <w:tcW w:w="1442" w:type="dxa"/>
            <w:noWrap w:val="0"/>
            <w:vAlign w:val="center"/>
          </w:tcPr>
          <w:p w14:paraId="15F15692">
            <w:pPr>
              <w:snapToGrid w:val="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3116" w:type="dxa"/>
            <w:gridSpan w:val="2"/>
            <w:noWrap w:val="0"/>
            <w:vAlign w:val="center"/>
          </w:tcPr>
          <w:p w14:paraId="50A2B408">
            <w:pPr>
              <w:snapToGrid w:val="0"/>
              <w:rPr>
                <w:rFonts w:hint="eastAsia" w:ascii="宋体" w:hAnsi="宋体" w:eastAsia="宋体" w:cs="宋体"/>
                <w:color w:val="auto"/>
                <w:sz w:val="24"/>
                <w:szCs w:val="24"/>
                <w:highlight w:val="none"/>
              </w:rPr>
            </w:pPr>
          </w:p>
        </w:tc>
      </w:tr>
      <w:tr w14:paraId="0C84C078">
        <w:tblPrEx>
          <w:tblCellMar>
            <w:top w:w="0" w:type="dxa"/>
            <w:left w:w="108" w:type="dxa"/>
            <w:bottom w:w="0" w:type="dxa"/>
            <w:right w:w="108" w:type="dxa"/>
          </w:tblCellMar>
        </w:tblPrEx>
        <w:trPr>
          <w:trHeight w:val="454" w:hRule="atLeast"/>
          <w:jc w:val="center"/>
        </w:trPr>
        <w:tc>
          <w:tcPr>
            <w:tcW w:w="4512" w:type="dxa"/>
            <w:gridSpan w:val="3"/>
            <w:noWrap w:val="0"/>
            <w:vAlign w:val="center"/>
          </w:tcPr>
          <w:p w14:paraId="579AE2A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       年  月   日</w:t>
            </w:r>
          </w:p>
        </w:tc>
        <w:tc>
          <w:tcPr>
            <w:tcW w:w="4558" w:type="dxa"/>
            <w:gridSpan w:val="3"/>
            <w:noWrap w:val="0"/>
            <w:vAlign w:val="center"/>
          </w:tcPr>
          <w:p w14:paraId="08C74B9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       年  月   日</w:t>
            </w:r>
          </w:p>
        </w:tc>
      </w:tr>
    </w:tbl>
    <w:p w14:paraId="447962E0">
      <w:pPr>
        <w:rPr>
          <w:rFonts w:hint="eastAsia" w:ascii="宋体" w:hAnsi="宋体" w:eastAsia="宋体" w:cs="宋体"/>
          <w:b/>
          <w:color w:val="auto"/>
          <w:sz w:val="24"/>
          <w:highlight w:val="none"/>
        </w:rPr>
      </w:pPr>
    </w:p>
    <w:p w14:paraId="5B6DABCF">
      <w:pPr>
        <w:shd w:val="clea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本合同仅作示范文本，具体以双方签定的正式合同为准，合同内容不得违背本招标文件实质性要求</w:t>
      </w:r>
      <w:r>
        <w:rPr>
          <w:rFonts w:hint="eastAsia" w:ascii="宋体" w:hAnsi="宋体" w:eastAsia="宋体" w:cs="宋体"/>
          <w:b/>
          <w:color w:val="auto"/>
          <w:sz w:val="24"/>
          <w:highlight w:val="none"/>
          <w:lang w:eastAsia="zh-CN"/>
        </w:rPr>
        <w:t>。</w:t>
      </w:r>
    </w:p>
    <w:p w14:paraId="4971E0E9">
      <w:pPr>
        <w:pStyle w:val="42"/>
        <w:shd w:val="clear"/>
        <w:spacing w:before="0" w:after="0" w:line="360" w:lineRule="auto"/>
        <w:rPr>
          <w:rFonts w:hint="eastAsia" w:ascii="宋体" w:hAnsi="宋体" w:eastAsia="宋体" w:cs="宋体"/>
          <w:color w:val="auto"/>
          <w:sz w:val="36"/>
          <w:szCs w:val="36"/>
          <w:highlight w:val="none"/>
        </w:rPr>
        <w:sectPr>
          <w:headerReference r:id="rId10" w:type="default"/>
          <w:footerReference r:id="rId11" w:type="default"/>
          <w:pgSz w:w="11906" w:h="16838"/>
          <w:pgMar w:top="1418" w:right="1418" w:bottom="1418" w:left="1418" w:header="851" w:footer="851" w:gutter="0"/>
          <w:pgNumType w:fmt="decimal"/>
          <w:cols w:space="720" w:num="1"/>
          <w:docGrid w:linePitch="312" w:charSpace="0"/>
        </w:sectPr>
      </w:pPr>
    </w:p>
    <w:p w14:paraId="5A806198">
      <w:pPr>
        <w:pStyle w:val="42"/>
        <w:shd w:val="clear"/>
        <w:spacing w:before="0" w:after="0" w:line="360" w:lineRule="auto"/>
        <w:rPr>
          <w:rFonts w:hint="eastAsia" w:ascii="宋体" w:hAnsi="宋体" w:eastAsia="宋体" w:cs="宋体"/>
          <w:color w:val="auto"/>
          <w:sz w:val="36"/>
          <w:szCs w:val="36"/>
          <w:highlight w:val="none"/>
        </w:rPr>
      </w:pPr>
      <w:bookmarkStart w:id="505" w:name="_Toc3081"/>
      <w:r>
        <w:rPr>
          <w:rFonts w:hint="eastAsia" w:ascii="宋体" w:hAnsi="宋体" w:eastAsia="宋体" w:cs="宋体"/>
          <w:color w:val="auto"/>
          <w:sz w:val="36"/>
          <w:szCs w:val="36"/>
          <w:highlight w:val="none"/>
        </w:rPr>
        <w:t>第五章  投标文件格式</w:t>
      </w:r>
      <w:bookmarkEnd w:id="497"/>
      <w:bookmarkEnd w:id="498"/>
      <w:bookmarkEnd w:id="499"/>
      <w:bookmarkEnd w:id="500"/>
      <w:bookmarkEnd w:id="501"/>
      <w:bookmarkEnd w:id="502"/>
      <w:bookmarkEnd w:id="503"/>
      <w:bookmarkEnd w:id="504"/>
      <w:bookmarkEnd w:id="505"/>
      <w:bookmarkStart w:id="506" w:name="_Toc15805942"/>
    </w:p>
    <w:p w14:paraId="1811759E">
      <w:pPr>
        <w:pStyle w:val="42"/>
        <w:shd w:val="clear"/>
        <w:spacing w:beforeLines="100" w:after="240" w:afterLines="100"/>
        <w:outlineLvl w:val="1"/>
        <w:rPr>
          <w:rFonts w:hint="eastAsia" w:ascii="宋体" w:hAnsi="宋体" w:eastAsia="宋体" w:cs="宋体"/>
          <w:color w:val="auto"/>
          <w:sz w:val="44"/>
          <w:szCs w:val="44"/>
          <w:highlight w:val="none"/>
        </w:rPr>
      </w:pPr>
      <w:bookmarkStart w:id="507" w:name="_Toc97213020"/>
      <w:bookmarkStart w:id="508" w:name="_Toc19706"/>
      <w:bookmarkStart w:id="509" w:name="_Toc27495"/>
      <w:bookmarkStart w:id="510" w:name="_Toc531359038"/>
      <w:bookmarkStart w:id="511" w:name="_Toc530551876"/>
      <w:bookmarkStart w:id="512" w:name="_Toc21218"/>
      <w:bookmarkStart w:id="513" w:name="_Toc493956051"/>
      <w:bookmarkStart w:id="514" w:name="_Toc10612"/>
      <w:bookmarkStart w:id="515" w:name="_Toc22949"/>
      <w:r>
        <w:rPr>
          <w:rFonts w:hint="eastAsia" w:ascii="宋体" w:hAnsi="宋体" w:eastAsia="宋体" w:cs="宋体"/>
          <w:color w:val="auto"/>
          <w:sz w:val="44"/>
          <w:szCs w:val="44"/>
          <w:highlight w:val="none"/>
        </w:rPr>
        <w:t xml:space="preserve">一  </w:t>
      </w:r>
      <w:r>
        <w:rPr>
          <w:rFonts w:hint="eastAsia" w:ascii="宋体" w:hAnsi="宋体" w:eastAsia="宋体" w:cs="宋体"/>
          <w:bCs/>
          <w:color w:val="auto"/>
          <w:sz w:val="44"/>
          <w:szCs w:val="44"/>
          <w:highlight w:val="none"/>
          <w:u w:val="none"/>
          <w:lang w:val="en-US" w:eastAsia="zh-CN"/>
        </w:rPr>
        <w:t>资格文件</w:t>
      </w:r>
      <w:r>
        <w:rPr>
          <w:rFonts w:hint="eastAsia" w:ascii="宋体" w:hAnsi="宋体" w:eastAsia="宋体" w:cs="宋体"/>
          <w:color w:val="auto"/>
          <w:sz w:val="44"/>
          <w:szCs w:val="44"/>
          <w:highlight w:val="none"/>
        </w:rPr>
        <w:t>格式</w:t>
      </w:r>
      <w:bookmarkEnd w:id="507"/>
      <w:bookmarkEnd w:id="508"/>
      <w:bookmarkEnd w:id="509"/>
      <w:bookmarkEnd w:id="510"/>
      <w:bookmarkEnd w:id="511"/>
      <w:bookmarkEnd w:id="512"/>
      <w:bookmarkEnd w:id="513"/>
      <w:bookmarkEnd w:id="514"/>
      <w:bookmarkEnd w:id="515"/>
    </w:p>
    <w:p w14:paraId="2F04C153">
      <w:pPr>
        <w:shd w:val="clear"/>
        <w:spacing w:line="360" w:lineRule="auto"/>
        <w:rPr>
          <w:rFonts w:hint="eastAsia" w:ascii="宋体" w:hAnsi="宋体" w:eastAsia="宋体" w:cs="宋体"/>
          <w:color w:val="auto"/>
          <w:sz w:val="24"/>
          <w:szCs w:val="24"/>
          <w:highlight w:val="none"/>
        </w:rPr>
      </w:pPr>
    </w:p>
    <w:p w14:paraId="0855C5E6">
      <w:pPr>
        <w:pStyle w:val="6"/>
        <w:shd w:val="clear"/>
        <w:spacing w:before="0" w:after="0"/>
        <w:ind w:firstLine="0" w:firstLineChars="0"/>
        <w:jc w:val="left"/>
        <w:rPr>
          <w:rFonts w:hint="eastAsia" w:ascii="宋体" w:hAnsi="宋体" w:eastAsia="宋体" w:cs="宋体"/>
          <w:color w:val="auto"/>
          <w:sz w:val="24"/>
          <w:szCs w:val="24"/>
          <w:highlight w:val="none"/>
        </w:rPr>
      </w:pPr>
      <w:bookmarkStart w:id="516" w:name="_Toc531359039"/>
      <w:bookmarkStart w:id="517" w:name="_Toc6578"/>
      <w:bookmarkStart w:id="518" w:name="_Toc6420"/>
      <w:bookmarkStart w:id="519" w:name="_Toc8106"/>
      <w:bookmarkStart w:id="520" w:name="_Toc16094"/>
      <w:bookmarkStart w:id="521" w:name="_Toc2428"/>
      <w:bookmarkStart w:id="522" w:name="_Toc97213021"/>
      <w:r>
        <w:rPr>
          <w:rFonts w:hint="eastAsia" w:ascii="宋体" w:hAnsi="宋体" w:eastAsia="宋体" w:cs="宋体"/>
          <w:color w:val="auto"/>
          <w:sz w:val="24"/>
          <w:szCs w:val="24"/>
          <w:highlight w:val="none"/>
        </w:rPr>
        <w:t xml:space="preserve">1.1   </w:t>
      </w:r>
      <w:bookmarkEnd w:id="516"/>
      <w:bookmarkStart w:id="523" w:name="_Toc531359040"/>
      <w:r>
        <w:rPr>
          <w:rFonts w:hint="eastAsia" w:ascii="宋体" w:hAnsi="宋体" w:eastAsia="宋体" w:cs="宋体"/>
          <w:color w:val="auto"/>
          <w:sz w:val="24"/>
          <w:szCs w:val="24"/>
          <w:highlight w:val="none"/>
        </w:rPr>
        <w:t xml:space="preserve"> 资格文件封面</w:t>
      </w:r>
      <w:bookmarkEnd w:id="523"/>
      <w:r>
        <w:rPr>
          <w:rFonts w:hint="eastAsia" w:ascii="宋体" w:hAnsi="宋体" w:eastAsia="宋体" w:cs="宋体"/>
          <w:color w:val="auto"/>
          <w:sz w:val="24"/>
          <w:szCs w:val="24"/>
          <w:highlight w:val="none"/>
        </w:rPr>
        <w:t>格式</w:t>
      </w:r>
      <w:bookmarkEnd w:id="517"/>
      <w:bookmarkEnd w:id="518"/>
      <w:bookmarkEnd w:id="519"/>
      <w:bookmarkEnd w:id="520"/>
      <w:bookmarkEnd w:id="521"/>
      <w:bookmarkEnd w:id="522"/>
    </w:p>
    <w:p w14:paraId="455F8A69">
      <w:pPr>
        <w:pStyle w:val="7"/>
        <w:shd w:val="clear"/>
        <w:spacing w:line="360" w:lineRule="auto"/>
        <w:ind w:firstLine="0"/>
        <w:jc w:val="left"/>
        <w:rPr>
          <w:rFonts w:hint="eastAsia" w:ascii="宋体" w:hAnsi="宋体" w:eastAsia="宋体" w:cs="宋体"/>
          <w:color w:val="auto"/>
          <w:highlight w:val="none"/>
        </w:rPr>
      </w:pPr>
    </w:p>
    <w:p w14:paraId="0B8FC2A9">
      <w:pPr>
        <w:pStyle w:val="7"/>
        <w:shd w:val="clear"/>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投标文件</w:t>
      </w:r>
    </w:p>
    <w:tbl>
      <w:tblPr>
        <w:tblStyle w:val="45"/>
        <w:tblW w:w="7054" w:type="dxa"/>
        <w:jc w:val="center"/>
        <w:tblLayout w:type="fixed"/>
        <w:tblCellMar>
          <w:top w:w="0" w:type="dxa"/>
          <w:left w:w="108" w:type="dxa"/>
          <w:bottom w:w="0" w:type="dxa"/>
          <w:right w:w="108" w:type="dxa"/>
        </w:tblCellMar>
      </w:tblPr>
      <w:tblGrid>
        <w:gridCol w:w="2518"/>
        <w:gridCol w:w="4536"/>
      </w:tblGrid>
      <w:tr w14:paraId="632D20F9">
        <w:tblPrEx>
          <w:tblCellMar>
            <w:top w:w="0" w:type="dxa"/>
            <w:left w:w="108" w:type="dxa"/>
            <w:bottom w:w="0" w:type="dxa"/>
            <w:right w:w="108" w:type="dxa"/>
          </w:tblCellMar>
        </w:tblPrEx>
        <w:trPr>
          <w:trHeight w:val="850" w:hRule="atLeast"/>
          <w:jc w:val="center"/>
        </w:trPr>
        <w:tc>
          <w:tcPr>
            <w:tcW w:w="2518" w:type="dxa"/>
            <w:noWrap w:val="0"/>
            <w:vAlign w:val="center"/>
          </w:tcPr>
          <w:p w14:paraId="376EDBA6">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w:t>
            </w:r>
          </w:p>
        </w:tc>
        <w:tc>
          <w:tcPr>
            <w:tcW w:w="4536" w:type="dxa"/>
            <w:noWrap w:val="0"/>
            <w:vAlign w:val="center"/>
          </w:tcPr>
          <w:p w14:paraId="7F838DF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资格文件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14:paraId="49BE03DD">
        <w:tblPrEx>
          <w:tblCellMar>
            <w:top w:w="0" w:type="dxa"/>
            <w:left w:w="108" w:type="dxa"/>
            <w:bottom w:w="0" w:type="dxa"/>
            <w:right w:w="108" w:type="dxa"/>
          </w:tblCellMar>
        </w:tblPrEx>
        <w:trPr>
          <w:trHeight w:val="850" w:hRule="atLeast"/>
          <w:jc w:val="center"/>
        </w:trPr>
        <w:tc>
          <w:tcPr>
            <w:tcW w:w="2518" w:type="dxa"/>
            <w:noWrap w:val="0"/>
            <w:vAlign w:val="center"/>
          </w:tcPr>
          <w:p w14:paraId="18090AEA">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编 号：</w:t>
            </w:r>
          </w:p>
        </w:tc>
        <w:tc>
          <w:tcPr>
            <w:tcW w:w="4536" w:type="dxa"/>
            <w:noWrap w:val="0"/>
            <w:vAlign w:val="center"/>
          </w:tcPr>
          <w:p w14:paraId="6BABD5B3">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7308C82C">
        <w:tblPrEx>
          <w:tblCellMar>
            <w:top w:w="0" w:type="dxa"/>
            <w:left w:w="108" w:type="dxa"/>
            <w:bottom w:w="0" w:type="dxa"/>
            <w:right w:w="108" w:type="dxa"/>
          </w:tblCellMar>
        </w:tblPrEx>
        <w:trPr>
          <w:trHeight w:val="850" w:hRule="atLeast"/>
          <w:jc w:val="center"/>
        </w:trPr>
        <w:tc>
          <w:tcPr>
            <w:tcW w:w="2518" w:type="dxa"/>
            <w:noWrap w:val="0"/>
            <w:vAlign w:val="center"/>
          </w:tcPr>
          <w:p w14:paraId="786B0874">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4536" w:type="dxa"/>
            <w:noWrap w:val="0"/>
            <w:vAlign w:val="center"/>
          </w:tcPr>
          <w:p w14:paraId="672D0A78">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17FBFA8A">
        <w:tblPrEx>
          <w:tblCellMar>
            <w:top w:w="0" w:type="dxa"/>
            <w:left w:w="108" w:type="dxa"/>
            <w:bottom w:w="0" w:type="dxa"/>
            <w:right w:w="108" w:type="dxa"/>
          </w:tblCellMar>
        </w:tblPrEx>
        <w:trPr>
          <w:trHeight w:val="850" w:hRule="atLeast"/>
          <w:jc w:val="center"/>
        </w:trPr>
        <w:tc>
          <w:tcPr>
            <w:tcW w:w="2518" w:type="dxa"/>
            <w:noWrap w:val="0"/>
            <w:vAlign w:val="center"/>
          </w:tcPr>
          <w:p w14:paraId="6C8ED239">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项：</w:t>
            </w:r>
          </w:p>
        </w:tc>
        <w:tc>
          <w:tcPr>
            <w:tcW w:w="4536" w:type="dxa"/>
            <w:noWrap w:val="0"/>
            <w:vAlign w:val="center"/>
          </w:tcPr>
          <w:p w14:paraId="603BDF5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如有</w:t>
            </w:r>
            <w:r>
              <w:rPr>
                <w:rFonts w:hint="eastAsia" w:ascii="宋体" w:hAnsi="宋体" w:eastAsia="宋体" w:cs="宋体"/>
                <w:color w:val="auto"/>
                <w:sz w:val="24"/>
                <w:szCs w:val="24"/>
                <w:highlight w:val="none"/>
                <w:u w:val="single"/>
              </w:rPr>
              <w:t xml:space="preserve">）                            </w:t>
            </w:r>
          </w:p>
        </w:tc>
      </w:tr>
      <w:tr w14:paraId="18FBB146">
        <w:tblPrEx>
          <w:tblCellMar>
            <w:top w:w="0" w:type="dxa"/>
            <w:left w:w="108" w:type="dxa"/>
            <w:bottom w:w="0" w:type="dxa"/>
            <w:right w:w="108" w:type="dxa"/>
          </w:tblCellMar>
        </w:tblPrEx>
        <w:trPr>
          <w:trHeight w:val="850" w:hRule="atLeast"/>
          <w:jc w:val="center"/>
        </w:trPr>
        <w:tc>
          <w:tcPr>
            <w:tcW w:w="2518" w:type="dxa"/>
            <w:noWrap w:val="0"/>
            <w:vAlign w:val="center"/>
          </w:tcPr>
          <w:p w14:paraId="77FF4CF5">
            <w:pPr>
              <w:shd w:val="clear"/>
              <w:jc w:val="distribute"/>
              <w:rPr>
                <w:rFonts w:hint="eastAsia" w:ascii="宋体" w:hAnsi="宋体" w:eastAsia="宋体" w:cs="宋体"/>
                <w:color w:val="auto"/>
                <w:sz w:val="24"/>
                <w:szCs w:val="24"/>
                <w:highlight w:val="none"/>
              </w:rPr>
            </w:pPr>
          </w:p>
        </w:tc>
        <w:tc>
          <w:tcPr>
            <w:tcW w:w="4536" w:type="dxa"/>
            <w:noWrap w:val="0"/>
            <w:vAlign w:val="center"/>
          </w:tcPr>
          <w:p w14:paraId="0FCC7D62">
            <w:pPr>
              <w:shd w:val="clear"/>
              <w:jc w:val="left"/>
              <w:rPr>
                <w:rFonts w:hint="eastAsia" w:ascii="宋体" w:hAnsi="宋体" w:eastAsia="宋体" w:cs="宋体"/>
                <w:color w:val="auto"/>
                <w:sz w:val="24"/>
                <w:szCs w:val="24"/>
                <w:highlight w:val="none"/>
              </w:rPr>
            </w:pPr>
          </w:p>
        </w:tc>
      </w:tr>
      <w:tr w14:paraId="1D477DE5">
        <w:tblPrEx>
          <w:tblCellMar>
            <w:top w:w="0" w:type="dxa"/>
            <w:left w:w="108" w:type="dxa"/>
            <w:bottom w:w="0" w:type="dxa"/>
            <w:right w:w="108" w:type="dxa"/>
          </w:tblCellMar>
        </w:tblPrEx>
        <w:trPr>
          <w:trHeight w:val="850" w:hRule="atLeast"/>
          <w:jc w:val="center"/>
        </w:trPr>
        <w:tc>
          <w:tcPr>
            <w:tcW w:w="2518" w:type="dxa"/>
            <w:noWrap w:val="0"/>
            <w:vAlign w:val="center"/>
          </w:tcPr>
          <w:p w14:paraId="3E89CB62">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投标人全称（盖章）：</w:t>
            </w:r>
          </w:p>
        </w:tc>
        <w:tc>
          <w:tcPr>
            <w:tcW w:w="4536" w:type="dxa"/>
            <w:noWrap w:val="0"/>
            <w:vAlign w:val="center"/>
          </w:tcPr>
          <w:p w14:paraId="60B99D64">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363DA727">
        <w:tblPrEx>
          <w:tblCellMar>
            <w:top w:w="0" w:type="dxa"/>
            <w:left w:w="108" w:type="dxa"/>
            <w:bottom w:w="0" w:type="dxa"/>
            <w:right w:w="108" w:type="dxa"/>
          </w:tblCellMar>
        </w:tblPrEx>
        <w:trPr>
          <w:trHeight w:val="850" w:hRule="atLeast"/>
          <w:jc w:val="center"/>
        </w:trPr>
        <w:tc>
          <w:tcPr>
            <w:tcW w:w="2518" w:type="dxa"/>
            <w:noWrap w:val="0"/>
            <w:vAlign w:val="center"/>
          </w:tcPr>
          <w:p w14:paraId="5373AA69">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tc>
        <w:tc>
          <w:tcPr>
            <w:tcW w:w="4536" w:type="dxa"/>
            <w:noWrap w:val="0"/>
            <w:vAlign w:val="center"/>
          </w:tcPr>
          <w:p w14:paraId="528F2888">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6E96EA4C">
        <w:tblPrEx>
          <w:tblCellMar>
            <w:top w:w="0" w:type="dxa"/>
            <w:left w:w="108" w:type="dxa"/>
            <w:bottom w:w="0" w:type="dxa"/>
            <w:right w:w="108" w:type="dxa"/>
          </w:tblCellMar>
        </w:tblPrEx>
        <w:trPr>
          <w:trHeight w:val="850" w:hRule="atLeast"/>
          <w:jc w:val="center"/>
        </w:trPr>
        <w:tc>
          <w:tcPr>
            <w:tcW w:w="7054" w:type="dxa"/>
            <w:gridSpan w:val="2"/>
            <w:noWrap w:val="0"/>
            <w:vAlign w:val="center"/>
          </w:tcPr>
          <w:p w14:paraId="68FE4A65">
            <w:pPr>
              <w:shd w:val="clear"/>
              <w:jc w:val="left"/>
              <w:rPr>
                <w:rFonts w:hint="eastAsia" w:ascii="宋体" w:hAnsi="宋体" w:eastAsia="宋体" w:cs="宋体"/>
                <w:color w:val="auto"/>
                <w:sz w:val="24"/>
                <w:szCs w:val="24"/>
                <w:highlight w:val="none"/>
                <w:u w:val="single"/>
              </w:rPr>
            </w:pPr>
          </w:p>
        </w:tc>
      </w:tr>
      <w:tr w14:paraId="55D0A647">
        <w:tblPrEx>
          <w:tblCellMar>
            <w:top w:w="0" w:type="dxa"/>
            <w:left w:w="108" w:type="dxa"/>
            <w:bottom w:w="0" w:type="dxa"/>
            <w:right w:w="108" w:type="dxa"/>
          </w:tblCellMar>
        </w:tblPrEx>
        <w:trPr>
          <w:trHeight w:val="850" w:hRule="atLeast"/>
          <w:jc w:val="center"/>
        </w:trPr>
        <w:tc>
          <w:tcPr>
            <w:tcW w:w="7054" w:type="dxa"/>
            <w:gridSpan w:val="2"/>
            <w:noWrap w:val="0"/>
            <w:vAlign w:val="center"/>
          </w:tcPr>
          <w:p w14:paraId="4056345F">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51BE5474">
      <w:pPr>
        <w:pStyle w:val="7"/>
        <w:shd w:val="clear"/>
        <w:spacing w:line="360" w:lineRule="auto"/>
        <w:ind w:firstLine="0"/>
        <w:jc w:val="left"/>
        <w:rPr>
          <w:rFonts w:hint="eastAsia" w:ascii="宋体" w:hAnsi="宋体" w:eastAsia="宋体" w:cs="宋体"/>
          <w:color w:val="auto"/>
          <w:sz w:val="24"/>
          <w:szCs w:val="24"/>
          <w:highlight w:val="none"/>
        </w:rPr>
      </w:pPr>
      <w:bookmarkStart w:id="524" w:name="_Toc531359041"/>
      <w:bookmarkStart w:id="525" w:name="_Toc493956052"/>
      <w:bookmarkStart w:id="526" w:name="_Toc523398524"/>
      <w:bookmarkStart w:id="527" w:name="_Toc493956053"/>
      <w:bookmarkStart w:id="528" w:name="_Toc530551878"/>
    </w:p>
    <w:p w14:paraId="7725DCDD">
      <w:pPr>
        <w:pStyle w:val="6"/>
        <w:shd w:val="clear"/>
        <w:spacing w:before="0" w:after="0"/>
        <w:ind w:firstLine="0" w:firstLineChars="0"/>
        <w:jc w:val="left"/>
        <w:rPr>
          <w:rFonts w:hint="eastAsia" w:ascii="宋体" w:hAnsi="宋体" w:eastAsia="宋体" w:cs="宋体"/>
          <w:color w:val="auto"/>
          <w:sz w:val="24"/>
          <w:szCs w:val="24"/>
          <w:highlight w:val="none"/>
        </w:rPr>
        <w:sectPr>
          <w:pgSz w:w="11906" w:h="16838"/>
          <w:pgMar w:top="1440" w:right="1440" w:bottom="1440" w:left="1440" w:header="851" w:footer="851" w:gutter="0"/>
          <w:pgNumType w:fmt="decimal"/>
          <w:cols w:space="720" w:num="1"/>
          <w:docGrid w:linePitch="312" w:charSpace="0"/>
        </w:sectPr>
      </w:pPr>
    </w:p>
    <w:p w14:paraId="4C04E422">
      <w:pPr>
        <w:pStyle w:val="6"/>
        <w:shd w:val="clear"/>
        <w:spacing w:before="0" w:after="0"/>
        <w:ind w:firstLine="0" w:firstLineChars="0"/>
        <w:jc w:val="left"/>
        <w:rPr>
          <w:rFonts w:hint="eastAsia" w:ascii="宋体" w:hAnsi="宋体" w:eastAsia="宋体" w:cs="宋体"/>
          <w:color w:val="auto"/>
          <w:sz w:val="24"/>
          <w:szCs w:val="24"/>
          <w:highlight w:val="none"/>
        </w:rPr>
      </w:pPr>
      <w:bookmarkStart w:id="529" w:name="_Toc28310"/>
      <w:bookmarkStart w:id="530" w:name="_Toc97213022"/>
      <w:bookmarkStart w:id="531" w:name="_Toc17986"/>
      <w:bookmarkStart w:id="532" w:name="_Toc3586"/>
      <w:bookmarkStart w:id="533" w:name="_Toc9730"/>
      <w:bookmarkStart w:id="534" w:name="_Toc20999"/>
      <w:r>
        <w:rPr>
          <w:rFonts w:hint="eastAsia" w:ascii="宋体" w:hAnsi="宋体" w:eastAsia="宋体" w:cs="宋体"/>
          <w:color w:val="auto"/>
          <w:sz w:val="24"/>
          <w:szCs w:val="24"/>
          <w:highlight w:val="none"/>
        </w:rPr>
        <w:t>1.2    资格文件目录</w:t>
      </w:r>
      <w:bookmarkEnd w:id="524"/>
      <w:bookmarkEnd w:id="529"/>
      <w:bookmarkEnd w:id="530"/>
      <w:bookmarkEnd w:id="531"/>
      <w:bookmarkEnd w:id="532"/>
      <w:bookmarkEnd w:id="533"/>
      <w:bookmarkEnd w:id="534"/>
    </w:p>
    <w:p w14:paraId="0A91690C">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格式自行设计</w:t>
      </w:r>
      <w:r>
        <w:rPr>
          <w:rFonts w:hint="eastAsia" w:ascii="宋体" w:hAnsi="宋体" w:eastAsia="宋体" w:cs="宋体"/>
          <w:color w:val="auto"/>
          <w:sz w:val="24"/>
          <w:szCs w:val="24"/>
          <w:highlight w:val="none"/>
        </w:rPr>
        <w:t>）</w:t>
      </w:r>
    </w:p>
    <w:p w14:paraId="3E20D7CE">
      <w:pPr>
        <w:pStyle w:val="7"/>
        <w:shd w:val="clear"/>
        <w:spacing w:line="360" w:lineRule="auto"/>
        <w:ind w:firstLine="0"/>
        <w:jc w:val="left"/>
        <w:rPr>
          <w:rFonts w:hint="eastAsia" w:ascii="宋体" w:hAnsi="宋体" w:eastAsia="宋体" w:cs="宋体"/>
          <w:color w:val="auto"/>
          <w:sz w:val="24"/>
          <w:szCs w:val="24"/>
          <w:highlight w:val="none"/>
        </w:rPr>
      </w:pPr>
    </w:p>
    <w:p w14:paraId="2E727911">
      <w:pPr>
        <w:pStyle w:val="6"/>
        <w:shd w:val="clear"/>
        <w:spacing w:before="0" w:after="0"/>
        <w:ind w:firstLine="0" w:firstLineChars="0"/>
        <w:jc w:val="left"/>
        <w:rPr>
          <w:rFonts w:hint="eastAsia" w:ascii="宋体" w:hAnsi="宋体" w:eastAsia="宋体" w:cs="宋体"/>
          <w:color w:val="auto"/>
          <w:sz w:val="24"/>
          <w:szCs w:val="24"/>
          <w:highlight w:val="none"/>
        </w:rPr>
      </w:pPr>
      <w:bookmarkStart w:id="535" w:name="_Toc11775"/>
      <w:bookmarkStart w:id="536" w:name="_Toc7550"/>
      <w:bookmarkStart w:id="537" w:name="_Toc20386"/>
      <w:bookmarkStart w:id="538" w:name="_Toc6899"/>
      <w:bookmarkStart w:id="539" w:name="_Toc97213023"/>
      <w:bookmarkStart w:id="540" w:name="_Toc3774"/>
      <w:bookmarkStart w:id="541" w:name="_Toc531359042"/>
      <w:r>
        <w:rPr>
          <w:rFonts w:hint="eastAsia" w:ascii="宋体" w:hAnsi="宋体" w:eastAsia="宋体" w:cs="宋体"/>
          <w:color w:val="auto"/>
          <w:sz w:val="24"/>
          <w:szCs w:val="24"/>
          <w:highlight w:val="none"/>
        </w:rPr>
        <w:t xml:space="preserve">1.3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有效营业执照电子文档</w:t>
      </w:r>
      <w:bookmarkEnd w:id="525"/>
      <w:bookmarkEnd w:id="526"/>
      <w:bookmarkEnd w:id="535"/>
      <w:bookmarkEnd w:id="536"/>
      <w:bookmarkEnd w:id="537"/>
      <w:bookmarkEnd w:id="538"/>
      <w:bookmarkEnd w:id="539"/>
      <w:bookmarkEnd w:id="540"/>
      <w:bookmarkEnd w:id="541"/>
    </w:p>
    <w:p w14:paraId="21D7989A">
      <w:pPr>
        <w:pStyle w:val="7"/>
        <w:shd w:val="clear"/>
        <w:spacing w:line="360" w:lineRule="auto"/>
        <w:ind w:firstLine="0"/>
        <w:jc w:val="left"/>
        <w:rPr>
          <w:rFonts w:hint="eastAsia" w:ascii="宋体" w:hAnsi="宋体" w:eastAsia="宋体" w:cs="宋体"/>
          <w:color w:val="auto"/>
          <w:highlight w:val="none"/>
        </w:rPr>
      </w:pPr>
    </w:p>
    <w:p w14:paraId="5519A224">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p w14:paraId="30B02B4D">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提供有效的营业执照电子文档并加盖公司公章；事业单位的，则提供有效的《事业单位法人证书》副本电子文档并加盖单位公章；自然人的，则提供有效的身份证电子文档</w:t>
      </w:r>
      <w:r>
        <w:rPr>
          <w:rFonts w:hint="eastAsia" w:ascii="宋体" w:hAnsi="宋体" w:eastAsia="宋体" w:cs="宋体"/>
          <w:color w:val="auto"/>
          <w:sz w:val="24"/>
          <w:highlight w:val="none"/>
          <w:lang w:eastAsia="zh-CN"/>
        </w:rPr>
        <w:t>。</w:t>
      </w:r>
    </w:p>
    <w:p w14:paraId="3C524BD4">
      <w:pPr>
        <w:shd w:val="clear"/>
        <w:spacing w:line="360" w:lineRule="auto"/>
        <w:rPr>
          <w:rFonts w:hint="eastAsia" w:ascii="宋体" w:hAnsi="宋体" w:eastAsia="宋体" w:cs="宋体"/>
          <w:color w:val="auto"/>
          <w:sz w:val="24"/>
          <w:highlight w:val="none"/>
        </w:rPr>
      </w:pPr>
    </w:p>
    <w:p w14:paraId="63FA6ED6">
      <w:pPr>
        <w:pStyle w:val="6"/>
        <w:shd w:val="clear"/>
        <w:spacing w:before="0" w:after="0"/>
        <w:ind w:firstLine="0" w:firstLineChars="0"/>
        <w:jc w:val="left"/>
        <w:rPr>
          <w:rFonts w:hint="eastAsia" w:ascii="宋体" w:hAnsi="宋体" w:eastAsia="宋体" w:cs="宋体"/>
          <w:color w:val="auto"/>
          <w:sz w:val="24"/>
          <w:szCs w:val="24"/>
          <w:highlight w:val="none"/>
        </w:rPr>
      </w:pPr>
      <w:bookmarkStart w:id="542" w:name="_Toc9789"/>
      <w:bookmarkStart w:id="543" w:name="_Toc97213024"/>
      <w:bookmarkStart w:id="544" w:name="_Toc531359043"/>
      <w:bookmarkStart w:id="545" w:name="_Toc29388"/>
      <w:bookmarkStart w:id="546" w:name="_Toc23200"/>
      <w:bookmarkStart w:id="547" w:name="_Toc26811"/>
      <w:bookmarkStart w:id="548" w:name="_Toc5958"/>
      <w:r>
        <w:rPr>
          <w:rFonts w:hint="eastAsia" w:ascii="宋体" w:hAnsi="宋体" w:eastAsia="宋体" w:cs="宋体"/>
          <w:color w:val="auto"/>
          <w:sz w:val="24"/>
          <w:szCs w:val="24"/>
          <w:highlight w:val="none"/>
        </w:rPr>
        <w:t>1.</w:t>
      </w:r>
      <w:bookmarkEnd w:id="527"/>
      <w:bookmarkEnd w:id="528"/>
      <w:r>
        <w:rPr>
          <w:rFonts w:hint="eastAsia" w:ascii="宋体" w:hAnsi="宋体" w:eastAsia="宋体" w:cs="宋体"/>
          <w:color w:val="auto"/>
          <w:sz w:val="24"/>
          <w:szCs w:val="24"/>
          <w:highlight w:val="none"/>
        </w:rPr>
        <w:t xml:space="preserve">4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法定代表人有效身份证电子文档</w:t>
      </w:r>
      <w:bookmarkEnd w:id="542"/>
      <w:bookmarkEnd w:id="543"/>
      <w:bookmarkEnd w:id="544"/>
      <w:bookmarkEnd w:id="545"/>
      <w:bookmarkEnd w:id="546"/>
      <w:bookmarkEnd w:id="547"/>
      <w:bookmarkEnd w:id="548"/>
    </w:p>
    <w:p w14:paraId="152DF4B8">
      <w:pPr>
        <w:pStyle w:val="7"/>
        <w:shd w:val="clear"/>
        <w:ind w:firstLine="0"/>
        <w:rPr>
          <w:rFonts w:hint="eastAsia" w:ascii="宋体" w:hAnsi="宋体" w:eastAsia="宋体" w:cs="宋体"/>
          <w:color w:val="auto"/>
          <w:highlight w:val="none"/>
        </w:rPr>
      </w:pPr>
    </w:p>
    <w:p w14:paraId="6DD3AA7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p w14:paraId="552029E9">
      <w:pPr>
        <w:shd w:val="clea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法定代表人有效身份证正、反面电子文档</w:t>
      </w:r>
      <w:r>
        <w:rPr>
          <w:rFonts w:hint="eastAsia" w:ascii="宋体" w:hAnsi="宋体" w:eastAsia="宋体" w:cs="宋体"/>
          <w:color w:val="auto"/>
          <w:sz w:val="24"/>
          <w:szCs w:val="24"/>
          <w:highlight w:val="none"/>
          <w:lang w:eastAsia="zh-CN"/>
        </w:rPr>
        <w:t>。</w:t>
      </w:r>
    </w:p>
    <w:p w14:paraId="4657824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委托代理人的，则还</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提供授权委托书及委托代理人的</w:t>
      </w:r>
      <w:r>
        <w:rPr>
          <w:rFonts w:hint="eastAsia" w:ascii="宋体" w:hAnsi="宋体" w:eastAsia="宋体" w:cs="宋体"/>
          <w:color w:val="auto"/>
          <w:sz w:val="24"/>
          <w:szCs w:val="24"/>
          <w:highlight w:val="none"/>
        </w:rPr>
        <w:t>有效</w:t>
      </w:r>
      <w:r>
        <w:rPr>
          <w:rFonts w:hint="eastAsia" w:ascii="宋体" w:hAnsi="宋体" w:eastAsia="宋体" w:cs="宋体"/>
          <w:color w:val="auto"/>
          <w:sz w:val="24"/>
          <w:highlight w:val="none"/>
        </w:rPr>
        <w:t>身份证电子文档。</w:t>
      </w:r>
    </w:p>
    <w:p w14:paraId="46AA5515">
      <w:pPr>
        <w:pStyle w:val="20"/>
        <w:rPr>
          <w:rFonts w:hint="eastAsia" w:ascii="宋体" w:hAnsi="宋体" w:eastAsia="宋体" w:cs="宋体"/>
          <w:color w:val="auto"/>
          <w:highlight w:val="none"/>
        </w:rPr>
      </w:pPr>
    </w:p>
    <w:p w14:paraId="5DACCA96">
      <w:pPr>
        <w:pStyle w:val="7"/>
        <w:shd w:val="clear"/>
        <w:rPr>
          <w:rFonts w:hint="eastAsia" w:ascii="宋体" w:hAnsi="宋体" w:eastAsia="宋体" w:cs="宋体"/>
          <w:color w:val="auto"/>
          <w:highlight w:val="none"/>
        </w:rPr>
      </w:pPr>
    </w:p>
    <w:p w14:paraId="3B91F429">
      <w:pPr>
        <w:pStyle w:val="7"/>
        <w:shd w:val="clear"/>
        <w:rPr>
          <w:rFonts w:hint="eastAsia" w:ascii="宋体" w:hAnsi="宋体" w:eastAsia="宋体" w:cs="宋体"/>
          <w:color w:val="auto"/>
          <w:highlight w:val="none"/>
        </w:rPr>
        <w:sectPr>
          <w:pgSz w:w="11906" w:h="16838"/>
          <w:pgMar w:top="1440" w:right="1440" w:bottom="1440" w:left="1440" w:header="851" w:footer="851" w:gutter="0"/>
          <w:pgNumType w:fmt="decimal"/>
          <w:cols w:space="720" w:num="1"/>
          <w:docGrid w:linePitch="312" w:charSpace="0"/>
        </w:sectPr>
      </w:pPr>
    </w:p>
    <w:p w14:paraId="20BD5EB4">
      <w:pPr>
        <w:pStyle w:val="6"/>
        <w:shd w:val="clear"/>
        <w:spacing w:before="0" w:after="0"/>
        <w:ind w:firstLine="0" w:firstLineChars="0"/>
        <w:jc w:val="left"/>
        <w:rPr>
          <w:rFonts w:hint="eastAsia" w:ascii="宋体" w:hAnsi="宋体" w:eastAsia="宋体" w:cs="宋体"/>
          <w:color w:val="auto"/>
          <w:sz w:val="24"/>
          <w:szCs w:val="24"/>
          <w:highlight w:val="none"/>
        </w:rPr>
      </w:pPr>
      <w:bookmarkStart w:id="549" w:name="_Toc531359044"/>
      <w:bookmarkStart w:id="550" w:name="_Toc97213025"/>
      <w:bookmarkStart w:id="551" w:name="_Toc30080"/>
      <w:bookmarkStart w:id="552" w:name="_Toc7658"/>
      <w:bookmarkStart w:id="553" w:name="_Toc29713"/>
      <w:bookmarkStart w:id="554" w:name="_Toc23755"/>
      <w:bookmarkStart w:id="555" w:name="_Toc4174"/>
      <w:r>
        <w:rPr>
          <w:rFonts w:hint="eastAsia" w:ascii="宋体" w:hAnsi="宋体" w:eastAsia="宋体" w:cs="宋体"/>
          <w:color w:val="auto"/>
          <w:sz w:val="24"/>
          <w:szCs w:val="24"/>
          <w:highlight w:val="none"/>
        </w:rPr>
        <w:t>1.5    授权委托书</w:t>
      </w:r>
      <w:bookmarkEnd w:id="549"/>
      <w:r>
        <w:rPr>
          <w:rFonts w:hint="eastAsia" w:ascii="宋体" w:hAnsi="宋体" w:eastAsia="宋体" w:cs="宋体"/>
          <w:color w:val="auto"/>
          <w:sz w:val="24"/>
          <w:szCs w:val="24"/>
          <w:highlight w:val="none"/>
        </w:rPr>
        <w:t>格式</w:t>
      </w:r>
      <w:bookmarkEnd w:id="550"/>
      <w:bookmarkEnd w:id="551"/>
      <w:bookmarkEnd w:id="552"/>
      <w:bookmarkEnd w:id="553"/>
      <w:bookmarkEnd w:id="554"/>
      <w:bookmarkEnd w:id="555"/>
    </w:p>
    <w:p w14:paraId="06333894">
      <w:pPr>
        <w:pStyle w:val="7"/>
        <w:shd w:val="clear"/>
        <w:ind w:firstLine="0"/>
        <w:rPr>
          <w:rFonts w:hint="eastAsia" w:ascii="宋体" w:hAnsi="宋体" w:eastAsia="宋体" w:cs="宋体"/>
          <w:color w:val="auto"/>
          <w:highlight w:val="none"/>
        </w:rPr>
      </w:pPr>
    </w:p>
    <w:p w14:paraId="37860672">
      <w:pPr>
        <w:pStyle w:val="7"/>
        <w:shd w:val="clear"/>
        <w:spacing w:line="360" w:lineRule="auto"/>
        <w:ind w:firstLine="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授权委托书</w:t>
      </w:r>
    </w:p>
    <w:p w14:paraId="6F732D47">
      <w:pPr>
        <w:pStyle w:val="110"/>
        <w:shd w:val="clear"/>
        <w:spacing w:line="360" w:lineRule="auto"/>
        <w:rPr>
          <w:rFonts w:hint="eastAsia" w:ascii="宋体" w:hAnsi="宋体" w:eastAsia="宋体" w:cs="宋体"/>
          <w:b/>
          <w:color w:val="auto"/>
          <w:sz w:val="24"/>
          <w:szCs w:val="21"/>
          <w:highlight w:val="none"/>
        </w:rPr>
      </w:pPr>
      <w:r>
        <w:rPr>
          <w:rFonts w:hint="eastAsia" w:ascii="宋体" w:hAnsi="宋体" w:eastAsia="宋体" w:cs="宋体"/>
          <w:i/>
          <w:color w:val="auto"/>
          <w:sz w:val="24"/>
          <w:szCs w:val="20"/>
          <w:highlight w:val="none"/>
          <w:u w:val="single"/>
        </w:rPr>
        <w:t>（采购人名称）</w:t>
      </w:r>
      <w:r>
        <w:rPr>
          <w:rFonts w:hint="eastAsia" w:ascii="宋体" w:hAnsi="宋体" w:eastAsia="宋体" w:cs="宋体"/>
          <w:color w:val="auto"/>
          <w:sz w:val="24"/>
          <w:szCs w:val="21"/>
          <w:highlight w:val="none"/>
        </w:rPr>
        <w:t>：</w:t>
      </w:r>
    </w:p>
    <w:p w14:paraId="0ABB55B2">
      <w:pPr>
        <w:pStyle w:val="110"/>
        <w:shd w:val="clear"/>
        <w:autoSpaceDE w:val="0"/>
        <w:autoSpaceDN w:val="0"/>
        <w:spacing w:line="360" w:lineRule="auto"/>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szCs w:val="20"/>
          <w:highlight w:val="none"/>
          <w:u w:val="single"/>
        </w:rPr>
        <w:t>法定代表人（负责人）</w:t>
      </w:r>
      <w:r>
        <w:rPr>
          <w:rFonts w:hint="eastAsia" w:ascii="宋体" w:hAnsi="宋体" w:eastAsia="宋体" w:cs="宋体"/>
          <w:color w:val="auto"/>
          <w:sz w:val="24"/>
          <w:szCs w:val="20"/>
          <w:highlight w:val="none"/>
        </w:rPr>
        <w:t>系</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szCs w:val="20"/>
          <w:highlight w:val="none"/>
          <w:u w:val="single"/>
        </w:rPr>
        <w:t>（投标人全称）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的法定代表人（或负责人），现授权委托本单位在职职工</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szCs w:val="20"/>
          <w:highlight w:val="none"/>
          <w:u w:val="single"/>
        </w:rPr>
        <w:t>（姓名）</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以我方的名义参加就贵方组织的</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szCs w:val="20"/>
          <w:highlight w:val="none"/>
          <w:u w:val="single"/>
        </w:rPr>
        <w:t>（项目名称）（项目编号）（标项）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0"/>
          <w:highlight w:val="none"/>
        </w:rPr>
        <w:t>的投标活动，并代表我方全权办理针对上述项目的投标、开标、</w:t>
      </w:r>
      <w:r>
        <w:rPr>
          <w:rFonts w:hint="eastAsia" w:ascii="宋体" w:hAnsi="宋体" w:eastAsia="宋体" w:cs="宋体"/>
          <w:color w:val="auto"/>
          <w:sz w:val="24"/>
          <w:szCs w:val="20"/>
          <w:highlight w:val="none"/>
          <w:lang w:eastAsia="zh-CN"/>
        </w:rPr>
        <w:t>评标</w:t>
      </w:r>
      <w:r>
        <w:rPr>
          <w:rFonts w:hint="eastAsia" w:ascii="宋体" w:hAnsi="宋体" w:eastAsia="宋体" w:cs="宋体"/>
          <w:color w:val="auto"/>
          <w:sz w:val="24"/>
          <w:szCs w:val="20"/>
          <w:highlight w:val="none"/>
        </w:rPr>
        <w:t>、签约等具体事务和签署相关文件。</w:t>
      </w:r>
    </w:p>
    <w:p w14:paraId="1547666A">
      <w:pPr>
        <w:pStyle w:val="110"/>
        <w:shd w:val="clear"/>
        <w:autoSpaceDE w:val="0"/>
        <w:autoSpaceDN w:val="0"/>
        <w:spacing w:line="360" w:lineRule="auto"/>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我方对委托代理人的签字或盖章事项负全部责任。</w:t>
      </w:r>
    </w:p>
    <w:p w14:paraId="1BDE62CD">
      <w:pPr>
        <w:pStyle w:val="110"/>
        <w:shd w:val="clea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5C0860F5">
      <w:pPr>
        <w:pStyle w:val="110"/>
        <w:shd w:val="clea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委托代理人无转委托权，特此声明。</w:t>
      </w:r>
    </w:p>
    <w:p w14:paraId="294C45A5">
      <w:pPr>
        <w:pStyle w:val="110"/>
        <w:shd w:val="clear"/>
        <w:spacing w:line="360" w:lineRule="auto"/>
        <w:ind w:firstLine="480"/>
        <w:rPr>
          <w:rFonts w:hint="eastAsia" w:ascii="宋体" w:hAnsi="宋体" w:eastAsia="宋体" w:cs="宋体"/>
          <w:color w:val="auto"/>
          <w:sz w:val="24"/>
          <w:szCs w:val="21"/>
          <w:highlight w:val="none"/>
        </w:rPr>
      </w:pPr>
    </w:p>
    <w:p w14:paraId="43F1ED16">
      <w:pPr>
        <w:pStyle w:val="110"/>
        <w:shd w:val="clear"/>
        <w:spacing w:line="360" w:lineRule="auto"/>
        <w:ind w:firstLine="480"/>
        <w:rPr>
          <w:rFonts w:hint="eastAsia" w:ascii="宋体" w:hAnsi="宋体" w:eastAsia="宋体" w:cs="宋体"/>
          <w:color w:val="auto"/>
          <w:sz w:val="24"/>
          <w:szCs w:val="21"/>
          <w:highlight w:val="none"/>
        </w:rPr>
      </w:pPr>
    </w:p>
    <w:p w14:paraId="2CA8022C">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50F45FFF">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0070F0DC">
      <w:pPr>
        <w:pStyle w:val="110"/>
        <w:shd w:val="clear"/>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380E3708">
      <w:pPr>
        <w:pStyle w:val="110"/>
        <w:shd w:val="clear"/>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附：1</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 xml:space="preserve">委托代理人工作单位：                     职务： </w:t>
      </w:r>
    </w:p>
    <w:p w14:paraId="02A93D0F">
      <w:pPr>
        <w:pStyle w:val="110"/>
        <w:shd w:val="clear"/>
        <w:spacing w:line="440" w:lineRule="exact"/>
        <w:ind w:firstLine="840" w:firstLineChars="3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身份证号码：                             性别： </w:t>
      </w:r>
    </w:p>
    <w:p w14:paraId="39BD02D3">
      <w:pPr>
        <w:pStyle w:val="110"/>
        <w:shd w:val="clear"/>
        <w:spacing w:line="440" w:lineRule="exact"/>
        <w:ind w:firstLine="480"/>
        <w:rPr>
          <w:rFonts w:hint="eastAsia" w:ascii="宋体" w:hAnsi="宋体" w:eastAsia="宋体" w:cs="宋体"/>
          <w:color w:val="auto"/>
          <w:spacing w:val="20"/>
          <w:sz w:val="24"/>
          <w:highlight w:val="none"/>
          <w:u w:val="singl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en-US" w:eastAsia="zh-CN"/>
        </w:rPr>
        <w:t>.</w:t>
      </w:r>
      <w:r>
        <w:rPr>
          <w:rFonts w:hint="eastAsia" w:ascii="宋体" w:hAnsi="宋体" w:eastAsia="宋体" w:cs="宋体"/>
          <w:bCs/>
          <w:color w:val="auto"/>
          <w:sz w:val="24"/>
          <w:highlight w:val="none"/>
        </w:rPr>
        <w:t>委托代理人</w:t>
      </w:r>
      <w:r>
        <w:rPr>
          <w:rFonts w:hint="eastAsia" w:ascii="宋体" w:hAnsi="宋体" w:eastAsia="宋体" w:cs="宋体"/>
          <w:color w:val="auto"/>
          <w:sz w:val="24"/>
          <w:szCs w:val="24"/>
          <w:highlight w:val="none"/>
        </w:rPr>
        <w:t>有效</w:t>
      </w:r>
      <w:r>
        <w:rPr>
          <w:rFonts w:hint="eastAsia" w:ascii="宋体" w:hAnsi="宋体" w:eastAsia="宋体" w:cs="宋体"/>
          <w:bCs/>
          <w:color w:val="auto"/>
          <w:sz w:val="24"/>
          <w:highlight w:val="none"/>
        </w:rPr>
        <w:t>身份证正、反面电子文档：</w:t>
      </w:r>
    </w:p>
    <w:tbl>
      <w:tblPr>
        <w:tblStyle w:val="45"/>
        <w:tblW w:w="9242" w:type="dxa"/>
        <w:tblInd w:w="0" w:type="dxa"/>
        <w:tblLayout w:type="fixed"/>
        <w:tblCellMar>
          <w:top w:w="0" w:type="dxa"/>
          <w:left w:w="108" w:type="dxa"/>
          <w:bottom w:w="0" w:type="dxa"/>
          <w:right w:w="108" w:type="dxa"/>
        </w:tblCellMar>
      </w:tblPr>
      <w:tblGrid>
        <w:gridCol w:w="4621"/>
        <w:gridCol w:w="4621"/>
      </w:tblGrid>
      <w:tr w14:paraId="2D80B808">
        <w:tblPrEx>
          <w:tblCellMar>
            <w:top w:w="0" w:type="dxa"/>
            <w:left w:w="108" w:type="dxa"/>
            <w:bottom w:w="0" w:type="dxa"/>
            <w:right w:w="108" w:type="dxa"/>
          </w:tblCellMar>
        </w:tblPrEx>
        <w:trPr>
          <w:trHeight w:val="2733" w:hRule="atLeast"/>
        </w:trPr>
        <w:tc>
          <w:tcPr>
            <w:tcW w:w="4621" w:type="dxa"/>
            <w:noWrap w:val="0"/>
            <w:vAlign w:val="top"/>
          </w:tcPr>
          <w:p w14:paraId="554E6DCC">
            <w:pPr>
              <w:pStyle w:val="110"/>
              <w:shd w:val="clear"/>
              <w:spacing w:line="440" w:lineRule="exact"/>
              <w:rPr>
                <w:rFonts w:hint="eastAsia" w:ascii="宋体" w:hAnsi="宋体" w:eastAsia="宋体" w:cs="宋体"/>
                <w:color w:val="auto"/>
                <w:spacing w:val="20"/>
                <w:sz w:val="24"/>
                <w:highlight w:val="none"/>
              </w:rPr>
            </w:pPr>
          </w:p>
        </w:tc>
        <w:tc>
          <w:tcPr>
            <w:tcW w:w="4621" w:type="dxa"/>
            <w:noWrap w:val="0"/>
            <w:vAlign w:val="top"/>
          </w:tcPr>
          <w:p w14:paraId="7B17BADA">
            <w:pPr>
              <w:pStyle w:val="110"/>
              <w:shd w:val="clear"/>
              <w:spacing w:line="440" w:lineRule="exact"/>
              <w:rPr>
                <w:rFonts w:hint="eastAsia" w:ascii="宋体" w:hAnsi="宋体" w:eastAsia="宋体" w:cs="宋体"/>
                <w:color w:val="auto"/>
                <w:spacing w:val="20"/>
                <w:sz w:val="24"/>
                <w:highlight w:val="none"/>
                <w:u w:val="single"/>
              </w:rPr>
            </w:pPr>
          </w:p>
        </w:tc>
      </w:tr>
    </w:tbl>
    <w:p w14:paraId="2FC27837">
      <w:pPr>
        <w:pStyle w:val="110"/>
        <w:shd w:val="clear"/>
        <w:ind w:left="587" w:leftChars="50" w:hanging="482" w:hangingChars="200"/>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1. 投标人为法人企业的，其负责人为其法定代表人；投标人为其他组织的，其负责人为法律、行政法规规定代表单位行使职权的主要负责人；投标人为自然人的，其负责人为自然人本人。</w:t>
      </w:r>
    </w:p>
    <w:p w14:paraId="43102929">
      <w:pPr>
        <w:pStyle w:val="110"/>
        <w:shd w:val="clear"/>
        <w:ind w:left="588" w:leftChars="2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 若是负责人参会的，不需要提供此授权委托书。</w:t>
      </w:r>
    </w:p>
    <w:p w14:paraId="3B955861">
      <w:pPr>
        <w:pStyle w:val="110"/>
        <w:shd w:val="clear"/>
        <w:ind w:left="588" w:leftChars="2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br w:type="page"/>
      </w:r>
    </w:p>
    <w:p w14:paraId="46A75F2D">
      <w:pPr>
        <w:pStyle w:val="6"/>
        <w:shd w:val="clear"/>
        <w:spacing w:before="0" w:after="0"/>
        <w:ind w:firstLine="0" w:firstLineChars="0"/>
        <w:jc w:val="left"/>
        <w:rPr>
          <w:rFonts w:hint="eastAsia" w:ascii="宋体" w:hAnsi="宋体" w:eastAsia="宋体" w:cs="宋体"/>
          <w:color w:val="auto"/>
          <w:sz w:val="24"/>
          <w:szCs w:val="24"/>
          <w:highlight w:val="none"/>
        </w:rPr>
      </w:pPr>
      <w:bookmarkStart w:id="556" w:name="_Toc531359045"/>
      <w:bookmarkStart w:id="557" w:name="_Toc530551879"/>
      <w:bookmarkStart w:id="558" w:name="_Toc493956054"/>
      <w:bookmarkStart w:id="559" w:name="_Toc27678"/>
      <w:bookmarkStart w:id="560" w:name="_Toc97213026"/>
      <w:bookmarkStart w:id="561" w:name="_Toc24613"/>
      <w:bookmarkStart w:id="562" w:name="_Toc20980"/>
      <w:bookmarkStart w:id="563" w:name="_Toc5817"/>
      <w:bookmarkStart w:id="564" w:name="_Toc31908"/>
      <w:r>
        <w:rPr>
          <w:rFonts w:hint="eastAsia" w:ascii="宋体" w:hAnsi="宋体" w:eastAsia="宋体" w:cs="宋体"/>
          <w:color w:val="auto"/>
          <w:sz w:val="24"/>
          <w:szCs w:val="24"/>
          <w:highlight w:val="none"/>
        </w:rPr>
        <w:t xml:space="preserve">1.6    </w:t>
      </w:r>
      <w:bookmarkEnd w:id="556"/>
      <w:bookmarkEnd w:id="557"/>
      <w:bookmarkEnd w:id="558"/>
      <w:r>
        <w:rPr>
          <w:rFonts w:hint="eastAsia" w:ascii="宋体" w:hAnsi="宋体" w:eastAsia="宋体" w:cs="宋体"/>
          <w:color w:val="auto"/>
          <w:sz w:val="24"/>
          <w:szCs w:val="24"/>
          <w:highlight w:val="none"/>
        </w:rPr>
        <w:t>符合参加政府采购活动应当具备的一般条件的承诺函格式</w:t>
      </w:r>
      <w:bookmarkEnd w:id="559"/>
      <w:bookmarkEnd w:id="560"/>
      <w:bookmarkEnd w:id="561"/>
      <w:bookmarkEnd w:id="562"/>
      <w:bookmarkEnd w:id="563"/>
      <w:bookmarkEnd w:id="564"/>
    </w:p>
    <w:p w14:paraId="34900242">
      <w:pPr>
        <w:pStyle w:val="7"/>
        <w:shd w:val="clear"/>
        <w:spacing w:line="360" w:lineRule="auto"/>
        <w:ind w:firstLine="0"/>
        <w:rPr>
          <w:rFonts w:hint="eastAsia" w:ascii="宋体" w:hAnsi="宋体" w:eastAsia="宋体" w:cs="宋体"/>
          <w:color w:val="auto"/>
          <w:highlight w:val="none"/>
        </w:rPr>
      </w:pPr>
    </w:p>
    <w:p w14:paraId="6E4A5352">
      <w:pPr>
        <w:pStyle w:val="7"/>
        <w:shd w:val="clear"/>
        <w:ind w:left="630" w:leftChars="300" w:right="630" w:rightChars="300"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32"/>
          <w:szCs w:val="32"/>
          <w:highlight w:val="none"/>
        </w:rPr>
        <w:t>符合参加政府采购活动应当具备的一般条件的承诺函</w:t>
      </w:r>
    </w:p>
    <w:p w14:paraId="5DBA109E">
      <w:pPr>
        <w:pStyle w:val="82"/>
        <w:shd w:val="clear"/>
        <w:spacing w:line="360" w:lineRule="auto"/>
        <w:rPr>
          <w:rFonts w:hint="eastAsia" w:ascii="宋体" w:hAnsi="宋体" w:eastAsia="宋体" w:cs="宋体"/>
          <w:i/>
          <w:color w:val="auto"/>
          <w:sz w:val="24"/>
          <w:szCs w:val="20"/>
          <w:highlight w:val="none"/>
          <w:u w:val="single"/>
        </w:rPr>
      </w:pPr>
    </w:p>
    <w:p w14:paraId="5AD4CC9E">
      <w:pPr>
        <w:pStyle w:val="82"/>
        <w:shd w:val="clear"/>
        <w:spacing w:line="360" w:lineRule="auto"/>
        <w:rPr>
          <w:rFonts w:hint="eastAsia" w:ascii="宋体" w:hAnsi="宋体" w:eastAsia="宋体" w:cs="宋体"/>
          <w:i/>
          <w:color w:val="auto"/>
          <w:sz w:val="24"/>
          <w:szCs w:val="20"/>
          <w:highlight w:val="none"/>
          <w:u w:val="single"/>
        </w:rPr>
      </w:pPr>
      <w:r>
        <w:rPr>
          <w:rFonts w:hint="eastAsia" w:ascii="宋体" w:hAnsi="宋体" w:eastAsia="宋体" w:cs="宋体"/>
          <w:i/>
          <w:color w:val="auto"/>
          <w:sz w:val="24"/>
          <w:szCs w:val="20"/>
          <w:highlight w:val="none"/>
          <w:u w:val="single"/>
        </w:rPr>
        <w:t>（采购人名称）</w:t>
      </w:r>
      <w:r>
        <w:rPr>
          <w:rFonts w:hint="eastAsia" w:ascii="宋体" w:hAnsi="宋体" w:eastAsia="宋体" w:cs="宋体"/>
          <w:color w:val="auto"/>
          <w:sz w:val="24"/>
          <w:szCs w:val="20"/>
          <w:highlight w:val="none"/>
          <w:u w:val="single"/>
        </w:rPr>
        <w:t>：</w:t>
      </w:r>
    </w:p>
    <w:p w14:paraId="3925173B">
      <w:pPr>
        <w:pStyle w:val="7"/>
        <w:shd w:val="clear"/>
        <w:spacing w:line="360" w:lineRule="auto"/>
        <w:ind w:firstLine="504" w:firstLineChars="200"/>
        <w:jc w:val="left"/>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我方参与的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i/>
          <w:color w:val="auto"/>
          <w:sz w:val="24"/>
          <w:highlight w:val="none"/>
          <w:u w:val="single"/>
        </w:rPr>
        <w:t xml:space="preserve">（项目名称）（项目编号）（标项） </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的</w:t>
      </w:r>
      <w:r>
        <w:rPr>
          <w:rFonts w:hint="eastAsia" w:ascii="宋体" w:hAnsi="宋体" w:eastAsia="宋体" w:cs="宋体"/>
          <w:color w:val="auto"/>
          <w:spacing w:val="6"/>
          <w:sz w:val="24"/>
          <w:highlight w:val="none"/>
          <w:lang w:val="en-US" w:eastAsia="zh-CN"/>
        </w:rPr>
        <w:t>政府采购</w:t>
      </w:r>
      <w:r>
        <w:rPr>
          <w:rFonts w:hint="eastAsia" w:ascii="宋体" w:hAnsi="宋体" w:eastAsia="宋体" w:cs="宋体"/>
          <w:color w:val="auto"/>
          <w:spacing w:val="6"/>
          <w:sz w:val="24"/>
          <w:highlight w:val="none"/>
        </w:rPr>
        <w:t>活动，我方郑重承诺</w:t>
      </w:r>
      <w:r>
        <w:rPr>
          <w:rFonts w:hint="eastAsia" w:ascii="宋体" w:hAnsi="宋体" w:eastAsia="宋体" w:cs="宋体"/>
          <w:color w:val="auto"/>
          <w:spacing w:val="6"/>
          <w:sz w:val="24"/>
          <w:highlight w:val="none"/>
          <w:lang w:eastAsia="zh-CN"/>
        </w:rPr>
        <w:t>：</w:t>
      </w:r>
    </w:p>
    <w:p w14:paraId="169D5D6B">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（一）具备《中华人民共和国政府采购法》第二十二条第一款规定的条件：</w:t>
      </w:r>
    </w:p>
    <w:p w14:paraId="2FE89F8F">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1、具有独立承担民事责任的能力；</w:t>
      </w:r>
    </w:p>
    <w:p w14:paraId="069057A8">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2、具有良好的商业信誉和健全的财务会计制度； </w:t>
      </w:r>
    </w:p>
    <w:p w14:paraId="2E89CB73">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3、具有履行合同所必需的设备和专业技术能力；</w:t>
      </w:r>
    </w:p>
    <w:p w14:paraId="3CD4FCDB">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4、有依法缴纳税收和社会保障资金的良好记录；</w:t>
      </w:r>
    </w:p>
    <w:p w14:paraId="2238F3EB">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5、参加政府采购活动前三年内，在经营活动中没有重大违法记录；</w:t>
      </w:r>
    </w:p>
    <w:p w14:paraId="084758A0">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6、具有法律、行政法规规定的其他条件。</w:t>
      </w:r>
    </w:p>
    <w:p w14:paraId="5C42E497">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7CCE2756">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（三）不存在以下情况：</w:t>
      </w:r>
    </w:p>
    <w:p w14:paraId="6DD06541">
      <w:pPr>
        <w:pStyle w:val="7"/>
        <w:shd w:val="clear"/>
        <w:spacing w:line="36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1、单位负责人为同一人或者存在直接控股、管理关系的不同供应商参加同一合同项下的政府采购活动的；</w:t>
      </w:r>
    </w:p>
    <w:p w14:paraId="01DDE27B">
      <w:pPr>
        <w:pStyle w:val="7"/>
        <w:shd w:val="clear"/>
        <w:spacing w:line="360" w:lineRule="auto"/>
        <w:ind w:firstLine="504"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2、为采购项目提供整体设计、规范编制或者项目管理、监理、检测等服务后再参加该采购项目的其他采购活动的。</w:t>
      </w:r>
    </w:p>
    <w:p w14:paraId="38829F3C">
      <w:pPr>
        <w:pStyle w:val="7"/>
        <w:shd w:val="clear"/>
        <w:spacing w:line="360" w:lineRule="auto"/>
        <w:ind w:firstLine="504" w:firstLineChars="200"/>
        <w:jc w:val="left"/>
        <w:rPr>
          <w:rFonts w:hint="eastAsia" w:ascii="宋体" w:hAnsi="宋体" w:eastAsia="宋体" w:cs="宋体"/>
          <w:color w:val="auto"/>
          <w:spacing w:val="6"/>
          <w:sz w:val="24"/>
          <w:highlight w:val="none"/>
          <w:lang w:eastAsia="zh-CN"/>
        </w:rPr>
      </w:pPr>
    </w:p>
    <w:p w14:paraId="56A6C204">
      <w:pPr>
        <w:pStyle w:val="7"/>
        <w:shd w:val="clear"/>
        <w:spacing w:line="360" w:lineRule="auto"/>
        <w:ind w:firstLine="504" w:firstLineChars="200"/>
        <w:jc w:val="left"/>
        <w:rPr>
          <w:rFonts w:hint="eastAsia" w:ascii="宋体" w:hAnsi="宋体" w:eastAsia="宋体" w:cs="宋体"/>
          <w:color w:val="auto"/>
          <w:highlight w:val="none"/>
        </w:rPr>
      </w:pPr>
      <w:r>
        <w:rPr>
          <w:rFonts w:hint="eastAsia" w:ascii="宋体" w:hAnsi="宋体" w:eastAsia="宋体" w:cs="宋体"/>
          <w:color w:val="auto"/>
          <w:spacing w:val="6"/>
          <w:sz w:val="24"/>
          <w:highlight w:val="none"/>
        </w:rPr>
        <w:t>如有虚假，</w:t>
      </w:r>
      <w:r>
        <w:rPr>
          <w:rFonts w:hint="eastAsia" w:ascii="宋体" w:hAnsi="宋体" w:eastAsia="宋体" w:cs="宋体"/>
          <w:color w:val="auto"/>
          <w:spacing w:val="6"/>
          <w:sz w:val="24"/>
          <w:highlight w:val="none"/>
          <w:lang w:eastAsia="zh-CN"/>
        </w:rPr>
        <w:t>采购人</w:t>
      </w:r>
      <w:r>
        <w:rPr>
          <w:rFonts w:hint="eastAsia" w:ascii="宋体" w:hAnsi="宋体" w:eastAsia="宋体" w:cs="宋体"/>
          <w:color w:val="auto"/>
          <w:spacing w:val="6"/>
          <w:sz w:val="24"/>
          <w:highlight w:val="none"/>
        </w:rPr>
        <w:t>可取消我方任何资格（投标/中标/签订合同），我方对此无任何异议。</w:t>
      </w:r>
    </w:p>
    <w:p w14:paraId="7B0C839D">
      <w:pPr>
        <w:pStyle w:val="82"/>
        <w:shd w:val="clear"/>
        <w:spacing w:line="360" w:lineRule="auto"/>
        <w:ind w:firstLine="504" w:firstLineChars="200"/>
        <w:rPr>
          <w:rFonts w:hint="eastAsia" w:ascii="宋体" w:hAnsi="宋体" w:eastAsia="宋体" w:cs="宋体"/>
          <w:color w:val="auto"/>
          <w:spacing w:val="6"/>
          <w:sz w:val="24"/>
          <w:highlight w:val="none"/>
        </w:rPr>
      </w:pPr>
    </w:p>
    <w:p w14:paraId="0F805A57">
      <w:pPr>
        <w:pStyle w:val="82"/>
        <w:shd w:val="clea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特此承诺！</w:t>
      </w:r>
    </w:p>
    <w:p w14:paraId="1C35E054">
      <w:pPr>
        <w:pStyle w:val="82"/>
        <w:shd w:val="clear"/>
        <w:spacing w:line="360" w:lineRule="auto"/>
        <w:ind w:firstLine="504" w:firstLineChars="200"/>
        <w:rPr>
          <w:rFonts w:hint="eastAsia" w:ascii="宋体" w:hAnsi="宋体" w:eastAsia="宋体" w:cs="宋体"/>
          <w:color w:val="auto"/>
          <w:spacing w:val="6"/>
          <w:sz w:val="24"/>
          <w:highlight w:val="none"/>
        </w:rPr>
      </w:pPr>
    </w:p>
    <w:p w14:paraId="0091C43B">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4D6A7215">
      <w:pPr>
        <w:pStyle w:val="110"/>
        <w:shd w:val="clear"/>
        <w:wordWrap w:val="0"/>
        <w:spacing w:line="360" w:lineRule="auto"/>
        <w:ind w:firstLine="480"/>
        <w:jc w:val="right"/>
        <w:rPr>
          <w:rFonts w:hint="eastAsia" w:ascii="宋体" w:hAnsi="宋体" w:eastAsia="宋体" w:cs="宋体"/>
          <w:b/>
          <w:bCs/>
          <w:color w:val="auto"/>
          <w:sz w:val="24"/>
          <w:szCs w:val="24"/>
          <w:highlight w:val="none"/>
        </w:rPr>
        <w:sectPr>
          <w:headerReference r:id="rId12" w:type="first"/>
          <w:pgSz w:w="11906" w:h="16838"/>
          <w:pgMar w:top="1440" w:right="1418" w:bottom="1440" w:left="1418" w:header="851" w:footer="851" w:gutter="0"/>
          <w:pgNumType w:fmt="decimal"/>
          <w:cols w:space="720" w:num="1"/>
          <w:docGrid w:linePitch="312" w:charSpace="0"/>
        </w:sect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1A58110D">
      <w:pPr>
        <w:pStyle w:val="6"/>
        <w:spacing w:before="0" w:after="0"/>
        <w:ind w:firstLine="0" w:firstLineChars="0"/>
        <w:jc w:val="left"/>
        <w:rPr>
          <w:rFonts w:hint="eastAsia" w:ascii="宋体" w:hAnsi="宋体" w:eastAsia="宋体" w:cs="宋体"/>
          <w:color w:val="auto"/>
          <w:sz w:val="24"/>
          <w:szCs w:val="24"/>
          <w:highlight w:val="none"/>
        </w:rPr>
      </w:pPr>
      <w:bookmarkStart w:id="565" w:name="_Toc19742"/>
      <w:bookmarkStart w:id="566" w:name="_Toc8091"/>
      <w:bookmarkStart w:id="567" w:name="_Toc4894"/>
      <w:bookmarkStart w:id="568" w:name="_Toc12907"/>
      <w:bookmarkStart w:id="569" w:name="_Toc4067"/>
      <w:bookmarkStart w:id="570" w:name="_Toc531359053"/>
      <w:bookmarkStart w:id="571" w:name="_Toc97213035"/>
      <w:bookmarkStart w:id="572" w:name="_Toc28922"/>
      <w:bookmarkStart w:id="573" w:name="_Toc3877"/>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联合体协议书格式</w:t>
      </w:r>
      <w:bookmarkEnd w:id="565"/>
      <w:bookmarkEnd w:id="566"/>
    </w:p>
    <w:p w14:paraId="4485284E">
      <w:pPr>
        <w:pStyle w:val="7"/>
        <w:spacing w:line="360" w:lineRule="auto"/>
        <w:ind w:firstLine="0"/>
        <w:rPr>
          <w:rFonts w:hint="eastAsia" w:ascii="宋体" w:hAnsi="宋体" w:eastAsia="宋体" w:cs="宋体"/>
          <w:color w:val="auto"/>
          <w:highlight w:val="none"/>
        </w:rPr>
      </w:pPr>
    </w:p>
    <w:p w14:paraId="174EB210">
      <w:pPr>
        <w:pStyle w:val="7"/>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联合体协议书</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联合体投标时提供</w:t>
      </w:r>
      <w:r>
        <w:rPr>
          <w:rFonts w:hint="eastAsia" w:ascii="宋体" w:hAnsi="宋体" w:eastAsia="宋体" w:cs="宋体"/>
          <w:b/>
          <w:bCs/>
          <w:color w:val="auto"/>
          <w:sz w:val="24"/>
          <w:szCs w:val="24"/>
          <w:highlight w:val="none"/>
        </w:rPr>
        <w:t>）</w:t>
      </w:r>
    </w:p>
    <w:p w14:paraId="309DDB6C">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4BD73A7E">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0E7438EA">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（如果有的话，可按甲、乙、丙、丁…序列增加）</w:t>
      </w:r>
    </w:p>
    <w:p w14:paraId="3C2855CE">
      <w:pPr>
        <w:pStyle w:val="26"/>
        <w:spacing w:line="360" w:lineRule="auto"/>
        <w:ind w:left="105" w:leftChars="5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各方经协商，就响应</w:t>
      </w:r>
      <w:r>
        <w:rPr>
          <w:rFonts w:hint="eastAsia" w:ascii="宋体" w:hAnsi="宋体" w:eastAsia="宋体" w:cs="宋体"/>
          <w:color w:val="auto"/>
          <w:sz w:val="24"/>
          <w:szCs w:val="24"/>
          <w:highlight w:val="none"/>
          <w:u w:val="single"/>
        </w:rPr>
        <w:t xml:space="preserve"> （采购代理机构名称） </w:t>
      </w:r>
      <w:r>
        <w:rPr>
          <w:rFonts w:hint="eastAsia" w:ascii="宋体" w:hAnsi="宋体" w:eastAsia="宋体" w:cs="宋体"/>
          <w:color w:val="auto"/>
          <w:sz w:val="24"/>
          <w:szCs w:val="24"/>
          <w:highlight w:val="none"/>
        </w:rPr>
        <w:t>组织实施的</w:t>
      </w:r>
      <w:r>
        <w:rPr>
          <w:rFonts w:hint="eastAsia" w:ascii="宋体" w:hAnsi="宋体" w:eastAsia="宋体" w:cs="宋体"/>
          <w:color w:val="auto"/>
          <w:sz w:val="24"/>
          <w:szCs w:val="24"/>
          <w:highlight w:val="none"/>
          <w:u w:val="single"/>
        </w:rPr>
        <w:t xml:space="preserve">  （项目名称）（项目编号）（标项）  </w:t>
      </w:r>
      <w:r>
        <w:rPr>
          <w:rFonts w:hint="eastAsia" w:ascii="宋体" w:hAnsi="宋体" w:eastAsia="宋体" w:cs="宋体"/>
          <w:color w:val="auto"/>
          <w:sz w:val="24"/>
          <w:szCs w:val="24"/>
          <w:highlight w:val="none"/>
        </w:rPr>
        <w:t>的采购活动联合参与采购之事宜，达成如下协议：</w:t>
      </w:r>
    </w:p>
    <w:p w14:paraId="31779142">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一、各方一致决定，以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为主办人进行采购活动，并按照采购文件的规定提交采购响应文件。</w:t>
      </w:r>
    </w:p>
    <w:p w14:paraId="3C3374D7">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二、在本次采购过程中，主办人的</w:t>
      </w:r>
      <w:r>
        <w:rPr>
          <w:rFonts w:hint="eastAsia" w:ascii="宋体" w:hAnsi="宋体" w:eastAsia="宋体" w:cs="宋体"/>
          <w:color w:val="auto"/>
          <w:sz w:val="24"/>
          <w:szCs w:val="24"/>
          <w:highlight w:val="none"/>
          <w:u w:val="single"/>
        </w:rPr>
        <w:t xml:space="preserve">  （法定代表人或委托代理人）</w:t>
      </w:r>
      <w:r>
        <w:rPr>
          <w:rFonts w:hint="eastAsia" w:ascii="宋体" w:hAnsi="宋体" w:eastAsia="宋体" w:cs="宋体"/>
          <w:color w:val="auto"/>
          <w:sz w:val="24"/>
          <w:szCs w:val="24"/>
          <w:highlight w:val="none"/>
        </w:rPr>
        <w:t>根据采购文件规定及采购内容而对</w:t>
      </w: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和采购人所作的任何合法承诺，包括书面澄清及响应等均对联合体各方产生约束力。如果中标（或成交）并签订合同，则联合体各方将共同履行对</w:t>
      </w: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和采购人所负有的全部义务并就采购合同约定的事项对采购人承担连带责任。</w:t>
      </w:r>
    </w:p>
    <w:p w14:paraId="48E3B48C">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三、联合体其余各方保证对主办人为响应本次采购而提供的产品和服务提供全部质量保证及售后服务支持。</w:t>
      </w:r>
    </w:p>
    <w:p w14:paraId="70D0D445">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四、本次联合体中</w:t>
      </w:r>
    </w:p>
    <w:p w14:paraId="3735020B">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甲方承担的工作和义务为:</w:t>
      </w:r>
    </w:p>
    <w:p w14:paraId="664F7597">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乙方承担的工作和义务为：</w:t>
      </w:r>
    </w:p>
    <w:p w14:paraId="46D2AADB">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（如果有的话，可按甲、乙、丙、丁…序列增加）</w:t>
      </w:r>
    </w:p>
    <w:p w14:paraId="1758B285">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五、有关本次联合体的其他事宜：</w:t>
      </w:r>
    </w:p>
    <w:p w14:paraId="641BD27B">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六、本协议提交</w:t>
      </w: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后，联合体各方不得以任何形式对上述实质内容进行修改或撤销。</w:t>
      </w:r>
    </w:p>
    <w:p w14:paraId="58310DB3">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份，签约各方各持一份，提交</w:t>
      </w: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一份。</w:t>
      </w:r>
    </w:p>
    <w:p w14:paraId="64FCE77C">
      <w:pPr>
        <w:pStyle w:val="26"/>
        <w:spacing w:line="360" w:lineRule="auto"/>
        <w:ind w:firstLine="480" w:firstLineChars="200"/>
        <w:rPr>
          <w:rFonts w:hint="eastAsia" w:ascii="宋体" w:hAnsi="宋体" w:eastAsia="宋体" w:cs="宋体"/>
          <w:color w:val="auto"/>
          <w:sz w:val="24"/>
          <w:szCs w:val="24"/>
          <w:highlight w:val="none"/>
        </w:rPr>
      </w:pPr>
    </w:p>
    <w:tbl>
      <w:tblPr>
        <w:tblStyle w:val="45"/>
        <w:tblW w:w="0" w:type="auto"/>
        <w:jc w:val="center"/>
        <w:tblLayout w:type="fixed"/>
        <w:tblCellMar>
          <w:top w:w="0" w:type="dxa"/>
          <w:left w:w="108" w:type="dxa"/>
          <w:bottom w:w="0" w:type="dxa"/>
          <w:right w:w="108" w:type="dxa"/>
        </w:tblCellMar>
      </w:tblPr>
      <w:tblGrid>
        <w:gridCol w:w="4264"/>
        <w:gridCol w:w="4264"/>
      </w:tblGrid>
      <w:tr w14:paraId="0FDE86DF">
        <w:tblPrEx>
          <w:tblCellMar>
            <w:top w:w="0" w:type="dxa"/>
            <w:left w:w="108" w:type="dxa"/>
            <w:bottom w:w="0" w:type="dxa"/>
            <w:right w:w="108" w:type="dxa"/>
          </w:tblCellMar>
        </w:tblPrEx>
        <w:trPr>
          <w:jc w:val="center"/>
        </w:trPr>
        <w:tc>
          <w:tcPr>
            <w:tcW w:w="4264" w:type="dxa"/>
            <w:noWrap w:val="0"/>
            <w:vAlign w:val="top"/>
          </w:tcPr>
          <w:p w14:paraId="27656E29">
            <w:pPr>
              <w:pStyle w:val="26"/>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          （公章）</w:t>
            </w:r>
          </w:p>
          <w:p w14:paraId="6F7B51D5">
            <w:pPr>
              <w:pStyle w:val="26"/>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p w14:paraId="515AC161">
            <w:pPr>
              <w:pStyle w:val="26"/>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p w14:paraId="18ACFC51">
            <w:pPr>
              <w:pStyle w:val="26"/>
              <w:spacing w:line="560" w:lineRule="exact"/>
              <w:ind w:firstLine="480" w:firstLineChars="200"/>
              <w:rPr>
                <w:rFonts w:hint="eastAsia" w:ascii="宋体" w:hAnsi="宋体" w:eastAsia="宋体" w:cs="宋体"/>
                <w:color w:val="auto"/>
                <w:sz w:val="24"/>
                <w:szCs w:val="24"/>
                <w:highlight w:val="none"/>
              </w:rPr>
            </w:pPr>
          </w:p>
          <w:p w14:paraId="02130D99">
            <w:pPr>
              <w:pStyle w:val="26"/>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4264" w:type="dxa"/>
            <w:noWrap w:val="0"/>
            <w:vAlign w:val="top"/>
          </w:tcPr>
          <w:p w14:paraId="5C151548">
            <w:pPr>
              <w:pStyle w:val="26"/>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乙方单位：           （公章）</w:t>
            </w:r>
          </w:p>
          <w:p w14:paraId="5D2786A0">
            <w:pPr>
              <w:pStyle w:val="26"/>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p>
          <w:p w14:paraId="063C6907">
            <w:pPr>
              <w:pStyle w:val="26"/>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p w14:paraId="28086E10">
            <w:pPr>
              <w:pStyle w:val="26"/>
              <w:spacing w:line="560" w:lineRule="exact"/>
              <w:ind w:firstLine="480" w:firstLineChars="200"/>
              <w:rPr>
                <w:rFonts w:hint="eastAsia" w:ascii="宋体" w:hAnsi="宋体" w:eastAsia="宋体" w:cs="宋体"/>
                <w:color w:val="auto"/>
                <w:sz w:val="24"/>
                <w:szCs w:val="24"/>
                <w:highlight w:val="none"/>
              </w:rPr>
            </w:pPr>
          </w:p>
          <w:p w14:paraId="659F23C4">
            <w:pPr>
              <w:pStyle w:val="26"/>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1235FC29">
      <w:pPr>
        <w:pStyle w:val="26"/>
        <w:jc w:val="left"/>
        <w:rPr>
          <w:rFonts w:hint="eastAsia" w:ascii="宋体" w:hAnsi="宋体" w:eastAsia="宋体" w:cs="宋体"/>
          <w:b/>
          <w:color w:val="auto"/>
          <w:sz w:val="24"/>
          <w:szCs w:val="24"/>
          <w:highlight w:val="none"/>
        </w:rPr>
      </w:pPr>
    </w:p>
    <w:p w14:paraId="2A11AC3F">
      <w:pPr>
        <w:pStyle w:val="26"/>
        <w:ind w:firstLine="241" w:firstLineChars="1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1、若是联合体参与投标的，须提供本协议；</w:t>
      </w:r>
    </w:p>
    <w:p w14:paraId="3072300D">
      <w:pPr>
        <w:pStyle w:val="81"/>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联合体投标的：联合体各方均需提供有效营业执照电子文档</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val="en-US" w:eastAsia="zh-CN"/>
        </w:rPr>
        <w:t>身份证电子文档、符合参加政府采购活动应当具备的一般条件的承诺函格式等相关材料。</w:t>
      </w:r>
    </w:p>
    <w:p w14:paraId="05234176">
      <w:pPr>
        <w:bidi w:val="0"/>
        <w:rPr>
          <w:rFonts w:hint="eastAsia" w:ascii="宋体" w:hAnsi="宋体" w:eastAsia="宋体" w:cs="宋体"/>
        </w:rPr>
      </w:pPr>
    </w:p>
    <w:p w14:paraId="6EFDEFA4">
      <w:pPr>
        <w:pStyle w:val="6"/>
        <w:shd w:val="clear"/>
        <w:spacing w:before="0" w:after="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其他</w:t>
      </w:r>
      <w:bookmarkEnd w:id="567"/>
      <w:bookmarkEnd w:id="568"/>
      <w:bookmarkEnd w:id="569"/>
      <w:bookmarkEnd w:id="570"/>
      <w:bookmarkEnd w:id="571"/>
      <w:bookmarkEnd w:id="572"/>
      <w:bookmarkEnd w:id="573"/>
    </w:p>
    <w:p w14:paraId="587FF26D">
      <w:pPr>
        <w:pStyle w:val="7"/>
        <w:shd w:val="clear"/>
        <w:spacing w:line="360" w:lineRule="auto"/>
        <w:ind w:firstLine="0"/>
        <w:rPr>
          <w:rFonts w:hint="eastAsia" w:ascii="宋体" w:hAnsi="宋体" w:eastAsia="宋体" w:cs="宋体"/>
          <w:color w:val="auto"/>
          <w:highlight w:val="none"/>
        </w:rPr>
      </w:pPr>
    </w:p>
    <w:p w14:paraId="3C4B2262">
      <w:pPr>
        <w:pStyle w:val="81"/>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格式自行设计</w:t>
      </w:r>
      <w:r>
        <w:rPr>
          <w:rFonts w:hint="eastAsia" w:ascii="宋体" w:hAnsi="宋体" w:eastAsia="宋体" w:cs="宋体"/>
          <w:color w:val="auto"/>
          <w:sz w:val="24"/>
          <w:szCs w:val="24"/>
          <w:highlight w:val="none"/>
        </w:rPr>
        <w:t>）</w:t>
      </w:r>
    </w:p>
    <w:p w14:paraId="3DDF5D4D">
      <w:pPr>
        <w:pStyle w:val="82"/>
        <w:shd w:val="clear"/>
        <w:spacing w:line="360" w:lineRule="auto"/>
        <w:rPr>
          <w:rFonts w:hint="eastAsia" w:ascii="宋体" w:hAnsi="宋体" w:eastAsia="宋体" w:cs="宋体"/>
          <w:color w:val="auto"/>
          <w:spacing w:val="6"/>
          <w:sz w:val="24"/>
          <w:highlight w:val="none"/>
        </w:rPr>
      </w:pPr>
    </w:p>
    <w:p w14:paraId="2F4AE29A">
      <w:pPr>
        <w:pStyle w:val="82"/>
        <w:shd w:val="clear"/>
        <w:spacing w:line="360" w:lineRule="auto"/>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（投标人认为有利于其本次投标的其它资格证明材料等。）</w:t>
      </w:r>
    </w:p>
    <w:p w14:paraId="472724EE">
      <w:pPr>
        <w:pStyle w:val="82"/>
        <w:shd w:val="clear"/>
        <w:spacing w:line="360" w:lineRule="auto"/>
        <w:jc w:val="left"/>
        <w:rPr>
          <w:rFonts w:hint="eastAsia" w:ascii="宋体" w:hAnsi="宋体" w:eastAsia="宋体" w:cs="宋体"/>
          <w:color w:val="auto"/>
          <w:spacing w:val="6"/>
          <w:sz w:val="24"/>
          <w:highlight w:val="none"/>
        </w:rPr>
      </w:pPr>
    </w:p>
    <w:p w14:paraId="57C5F2C3">
      <w:pPr>
        <w:pStyle w:val="7"/>
        <w:shd w:val="clear"/>
        <w:rPr>
          <w:rFonts w:hint="eastAsia" w:ascii="宋体" w:hAnsi="宋体" w:eastAsia="宋体" w:cs="宋体"/>
          <w:color w:val="auto"/>
          <w:highlight w:val="none"/>
        </w:rPr>
        <w:sectPr>
          <w:pgSz w:w="11906" w:h="16838"/>
          <w:pgMar w:top="1440" w:right="1440" w:bottom="1440" w:left="1440" w:header="851" w:footer="851" w:gutter="0"/>
          <w:pgNumType w:fmt="decimal"/>
          <w:cols w:space="720" w:num="1"/>
          <w:docGrid w:linePitch="312" w:charSpace="0"/>
        </w:sectPr>
      </w:pPr>
    </w:p>
    <w:p w14:paraId="233D69F6">
      <w:pPr>
        <w:pStyle w:val="42"/>
        <w:shd w:val="clear"/>
        <w:spacing w:beforeLines="100" w:after="240" w:afterLines="100"/>
        <w:outlineLvl w:val="1"/>
        <w:rPr>
          <w:rFonts w:hint="eastAsia" w:ascii="宋体" w:hAnsi="宋体" w:eastAsia="宋体" w:cs="宋体"/>
          <w:color w:val="auto"/>
          <w:sz w:val="44"/>
          <w:szCs w:val="44"/>
          <w:highlight w:val="none"/>
        </w:rPr>
      </w:pPr>
      <w:bookmarkStart w:id="574" w:name="_Toc2292"/>
      <w:bookmarkStart w:id="575" w:name="_Toc25512"/>
      <w:bookmarkStart w:id="576" w:name="_Toc531359054"/>
      <w:bookmarkStart w:id="577" w:name="_Toc530551883"/>
      <w:bookmarkStart w:id="578" w:name="_Toc493956058"/>
      <w:bookmarkStart w:id="579" w:name="_Toc14254"/>
      <w:bookmarkStart w:id="580" w:name="_Toc13676"/>
      <w:bookmarkStart w:id="581" w:name="_Toc20767"/>
      <w:bookmarkStart w:id="582" w:name="_Toc97213036"/>
      <w:r>
        <w:rPr>
          <w:rFonts w:hint="eastAsia" w:ascii="宋体" w:hAnsi="宋体" w:eastAsia="宋体" w:cs="宋体"/>
          <w:color w:val="auto"/>
          <w:sz w:val="44"/>
          <w:szCs w:val="44"/>
          <w:highlight w:val="none"/>
        </w:rPr>
        <w:t xml:space="preserve">二  </w:t>
      </w:r>
      <w:r>
        <w:rPr>
          <w:rFonts w:hint="eastAsia" w:ascii="宋体" w:hAnsi="宋体" w:eastAsia="宋体" w:cs="宋体"/>
          <w:color w:val="auto"/>
          <w:sz w:val="44"/>
          <w:szCs w:val="44"/>
          <w:highlight w:val="none"/>
          <w:lang w:eastAsia="zh-CN"/>
        </w:rPr>
        <w:t>商务技术文件</w:t>
      </w:r>
      <w:r>
        <w:rPr>
          <w:rFonts w:hint="eastAsia" w:ascii="宋体" w:hAnsi="宋体" w:eastAsia="宋体" w:cs="宋体"/>
          <w:color w:val="auto"/>
          <w:sz w:val="44"/>
          <w:szCs w:val="44"/>
          <w:highlight w:val="none"/>
        </w:rPr>
        <w:t>格式</w:t>
      </w:r>
      <w:bookmarkEnd w:id="574"/>
      <w:bookmarkEnd w:id="575"/>
      <w:bookmarkEnd w:id="576"/>
      <w:bookmarkEnd w:id="577"/>
      <w:bookmarkEnd w:id="578"/>
      <w:bookmarkEnd w:id="579"/>
      <w:bookmarkEnd w:id="580"/>
      <w:bookmarkEnd w:id="581"/>
      <w:bookmarkEnd w:id="582"/>
    </w:p>
    <w:p w14:paraId="6B5A0674">
      <w:pPr>
        <w:pStyle w:val="185"/>
        <w:shd w:val="clear"/>
        <w:jc w:val="left"/>
        <w:rPr>
          <w:rFonts w:hint="eastAsia" w:ascii="宋体" w:hAnsi="宋体" w:eastAsia="宋体" w:cs="宋体"/>
          <w:color w:val="auto"/>
          <w:sz w:val="28"/>
          <w:szCs w:val="28"/>
          <w:highlight w:val="none"/>
        </w:rPr>
      </w:pPr>
      <w:bookmarkStart w:id="583" w:name="_Toc531359055"/>
      <w:bookmarkStart w:id="584" w:name="_Toc493956059"/>
      <w:bookmarkStart w:id="585" w:name="_Toc530551884"/>
    </w:p>
    <w:bookmarkEnd w:id="583"/>
    <w:p w14:paraId="108789AA">
      <w:pPr>
        <w:pStyle w:val="6"/>
        <w:shd w:val="clear"/>
        <w:spacing w:before="0" w:after="0"/>
        <w:ind w:firstLine="0" w:firstLineChars="0"/>
        <w:jc w:val="left"/>
        <w:rPr>
          <w:rFonts w:hint="eastAsia" w:ascii="宋体" w:hAnsi="宋体" w:eastAsia="宋体" w:cs="宋体"/>
          <w:color w:val="auto"/>
          <w:sz w:val="24"/>
          <w:szCs w:val="24"/>
          <w:highlight w:val="none"/>
        </w:rPr>
      </w:pPr>
      <w:bookmarkStart w:id="586" w:name="_Toc531359056"/>
      <w:bookmarkStart w:id="587" w:name="_Toc29811"/>
      <w:bookmarkStart w:id="588" w:name="_Toc1087"/>
      <w:bookmarkStart w:id="589" w:name="_Toc3572"/>
      <w:bookmarkStart w:id="590" w:name="_Toc97213037"/>
      <w:bookmarkStart w:id="591" w:name="_Toc11425"/>
      <w:bookmarkStart w:id="592" w:name="_Toc28470"/>
      <w:r>
        <w:rPr>
          <w:rFonts w:hint="eastAsia" w:ascii="宋体" w:hAnsi="宋体" w:eastAsia="宋体" w:cs="宋体"/>
          <w:color w:val="auto"/>
          <w:sz w:val="24"/>
          <w:szCs w:val="24"/>
          <w:highlight w:val="none"/>
        </w:rPr>
        <w:t>2.1    资信及商务文件封面</w:t>
      </w:r>
      <w:bookmarkEnd w:id="586"/>
      <w:r>
        <w:rPr>
          <w:rFonts w:hint="eastAsia" w:ascii="宋体" w:hAnsi="宋体" w:eastAsia="宋体" w:cs="宋体"/>
          <w:color w:val="auto"/>
          <w:sz w:val="24"/>
          <w:szCs w:val="24"/>
          <w:highlight w:val="none"/>
        </w:rPr>
        <w:t>格式</w:t>
      </w:r>
      <w:bookmarkEnd w:id="587"/>
      <w:bookmarkEnd w:id="588"/>
      <w:bookmarkEnd w:id="589"/>
      <w:bookmarkEnd w:id="590"/>
      <w:bookmarkEnd w:id="591"/>
      <w:bookmarkEnd w:id="592"/>
    </w:p>
    <w:p w14:paraId="4A9592EE">
      <w:pPr>
        <w:shd w:val="clear"/>
        <w:snapToGrid w:val="0"/>
        <w:jc w:val="center"/>
        <w:rPr>
          <w:rFonts w:hint="eastAsia" w:ascii="宋体" w:hAnsi="宋体" w:eastAsia="宋体" w:cs="宋体"/>
          <w:bCs/>
          <w:color w:val="auto"/>
          <w:sz w:val="24"/>
          <w:szCs w:val="20"/>
          <w:highlight w:val="none"/>
        </w:rPr>
      </w:pPr>
      <w:r>
        <w:rPr>
          <w:rFonts w:hint="eastAsia" w:ascii="宋体" w:hAnsi="宋体" w:eastAsia="宋体" w:cs="宋体"/>
          <w:b/>
          <w:color w:val="auto"/>
          <w:sz w:val="32"/>
          <w:szCs w:val="32"/>
          <w:highlight w:val="none"/>
        </w:rPr>
        <w:t>投标文件</w:t>
      </w:r>
    </w:p>
    <w:p w14:paraId="05290C73">
      <w:pPr>
        <w:pStyle w:val="7"/>
        <w:shd w:val="clear"/>
        <w:spacing w:line="360" w:lineRule="auto"/>
        <w:ind w:firstLine="0"/>
        <w:jc w:val="center"/>
        <w:rPr>
          <w:rFonts w:hint="eastAsia" w:ascii="宋体" w:hAnsi="宋体" w:eastAsia="宋体" w:cs="宋体"/>
          <w:b/>
          <w:color w:val="auto"/>
          <w:sz w:val="32"/>
          <w:szCs w:val="32"/>
          <w:highlight w:val="none"/>
        </w:rPr>
      </w:pPr>
    </w:p>
    <w:tbl>
      <w:tblPr>
        <w:tblStyle w:val="45"/>
        <w:tblW w:w="7054" w:type="dxa"/>
        <w:jc w:val="center"/>
        <w:tblLayout w:type="fixed"/>
        <w:tblCellMar>
          <w:top w:w="0" w:type="dxa"/>
          <w:left w:w="108" w:type="dxa"/>
          <w:bottom w:w="0" w:type="dxa"/>
          <w:right w:w="108" w:type="dxa"/>
        </w:tblCellMar>
      </w:tblPr>
      <w:tblGrid>
        <w:gridCol w:w="2518"/>
        <w:gridCol w:w="4536"/>
      </w:tblGrid>
      <w:tr w14:paraId="71781669">
        <w:tblPrEx>
          <w:tblCellMar>
            <w:top w:w="0" w:type="dxa"/>
            <w:left w:w="108" w:type="dxa"/>
            <w:bottom w:w="0" w:type="dxa"/>
            <w:right w:w="108" w:type="dxa"/>
          </w:tblCellMar>
        </w:tblPrEx>
        <w:trPr>
          <w:trHeight w:val="794" w:hRule="atLeast"/>
          <w:jc w:val="center"/>
        </w:trPr>
        <w:tc>
          <w:tcPr>
            <w:tcW w:w="2518" w:type="dxa"/>
            <w:noWrap w:val="0"/>
            <w:vAlign w:val="center"/>
          </w:tcPr>
          <w:p w14:paraId="062A38D5">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w:t>
            </w:r>
          </w:p>
        </w:tc>
        <w:tc>
          <w:tcPr>
            <w:tcW w:w="4536" w:type="dxa"/>
            <w:noWrap w:val="0"/>
            <w:vAlign w:val="center"/>
          </w:tcPr>
          <w:p w14:paraId="24C0561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商务技术文件</w:t>
            </w:r>
            <w:r>
              <w:rPr>
                <w:rFonts w:hint="eastAsia" w:ascii="宋体" w:hAnsi="宋体" w:eastAsia="宋体" w:cs="宋体"/>
                <w:color w:val="auto"/>
                <w:sz w:val="24"/>
                <w:szCs w:val="24"/>
                <w:highlight w:val="none"/>
                <w:u w:val="single"/>
              </w:rPr>
              <w:t xml:space="preserve">           </w:t>
            </w:r>
          </w:p>
        </w:tc>
      </w:tr>
      <w:tr w14:paraId="77F8D42D">
        <w:tblPrEx>
          <w:tblCellMar>
            <w:top w:w="0" w:type="dxa"/>
            <w:left w:w="108" w:type="dxa"/>
            <w:bottom w:w="0" w:type="dxa"/>
            <w:right w:w="108" w:type="dxa"/>
          </w:tblCellMar>
        </w:tblPrEx>
        <w:trPr>
          <w:trHeight w:val="794" w:hRule="atLeast"/>
          <w:jc w:val="center"/>
        </w:trPr>
        <w:tc>
          <w:tcPr>
            <w:tcW w:w="2518" w:type="dxa"/>
            <w:noWrap w:val="0"/>
            <w:vAlign w:val="center"/>
          </w:tcPr>
          <w:p w14:paraId="20DFB174">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编 号：</w:t>
            </w:r>
          </w:p>
        </w:tc>
        <w:tc>
          <w:tcPr>
            <w:tcW w:w="4536" w:type="dxa"/>
            <w:noWrap w:val="0"/>
            <w:vAlign w:val="center"/>
          </w:tcPr>
          <w:p w14:paraId="7F1472DD">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1D8517F0">
        <w:tblPrEx>
          <w:tblCellMar>
            <w:top w:w="0" w:type="dxa"/>
            <w:left w:w="108" w:type="dxa"/>
            <w:bottom w:w="0" w:type="dxa"/>
            <w:right w:w="108" w:type="dxa"/>
          </w:tblCellMar>
        </w:tblPrEx>
        <w:trPr>
          <w:trHeight w:val="794" w:hRule="atLeast"/>
          <w:jc w:val="center"/>
        </w:trPr>
        <w:tc>
          <w:tcPr>
            <w:tcW w:w="2518" w:type="dxa"/>
            <w:noWrap w:val="0"/>
            <w:vAlign w:val="center"/>
          </w:tcPr>
          <w:p w14:paraId="281E01C7">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4536" w:type="dxa"/>
            <w:noWrap w:val="0"/>
            <w:vAlign w:val="center"/>
          </w:tcPr>
          <w:p w14:paraId="30F6A195">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08227BB3">
        <w:tblPrEx>
          <w:tblCellMar>
            <w:top w:w="0" w:type="dxa"/>
            <w:left w:w="108" w:type="dxa"/>
            <w:bottom w:w="0" w:type="dxa"/>
            <w:right w:w="108" w:type="dxa"/>
          </w:tblCellMar>
        </w:tblPrEx>
        <w:trPr>
          <w:trHeight w:val="794" w:hRule="atLeast"/>
          <w:jc w:val="center"/>
        </w:trPr>
        <w:tc>
          <w:tcPr>
            <w:tcW w:w="2518" w:type="dxa"/>
            <w:noWrap w:val="0"/>
            <w:vAlign w:val="center"/>
          </w:tcPr>
          <w:p w14:paraId="2929F10E">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项：</w:t>
            </w:r>
          </w:p>
        </w:tc>
        <w:tc>
          <w:tcPr>
            <w:tcW w:w="4536" w:type="dxa"/>
            <w:noWrap w:val="0"/>
            <w:vAlign w:val="center"/>
          </w:tcPr>
          <w:p w14:paraId="397FF9BD">
            <w:pPr>
              <w:shd w:val="clear"/>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如有</w:t>
            </w:r>
            <w:r>
              <w:rPr>
                <w:rFonts w:hint="eastAsia" w:ascii="宋体" w:hAnsi="宋体" w:eastAsia="宋体" w:cs="宋体"/>
                <w:color w:val="auto"/>
                <w:sz w:val="24"/>
                <w:szCs w:val="24"/>
                <w:highlight w:val="none"/>
                <w:u w:val="single"/>
              </w:rPr>
              <w:t xml:space="preserve">）                            </w:t>
            </w:r>
          </w:p>
        </w:tc>
      </w:tr>
      <w:tr w14:paraId="520F621F">
        <w:tblPrEx>
          <w:tblCellMar>
            <w:top w:w="0" w:type="dxa"/>
            <w:left w:w="108" w:type="dxa"/>
            <w:bottom w:w="0" w:type="dxa"/>
            <w:right w:w="108" w:type="dxa"/>
          </w:tblCellMar>
        </w:tblPrEx>
        <w:trPr>
          <w:trHeight w:val="794" w:hRule="atLeast"/>
          <w:jc w:val="center"/>
        </w:trPr>
        <w:tc>
          <w:tcPr>
            <w:tcW w:w="2518" w:type="dxa"/>
            <w:noWrap w:val="0"/>
            <w:vAlign w:val="center"/>
          </w:tcPr>
          <w:p w14:paraId="1BE121EE">
            <w:pPr>
              <w:shd w:val="clear"/>
              <w:jc w:val="distribute"/>
              <w:rPr>
                <w:rFonts w:hint="eastAsia" w:ascii="宋体" w:hAnsi="宋体" w:eastAsia="宋体" w:cs="宋体"/>
                <w:color w:val="auto"/>
                <w:sz w:val="24"/>
                <w:szCs w:val="24"/>
                <w:highlight w:val="none"/>
              </w:rPr>
            </w:pPr>
          </w:p>
        </w:tc>
        <w:tc>
          <w:tcPr>
            <w:tcW w:w="4536" w:type="dxa"/>
            <w:noWrap w:val="0"/>
            <w:vAlign w:val="center"/>
          </w:tcPr>
          <w:p w14:paraId="793A8F3B">
            <w:pPr>
              <w:shd w:val="clear"/>
              <w:jc w:val="left"/>
              <w:rPr>
                <w:rFonts w:hint="eastAsia" w:ascii="宋体" w:hAnsi="宋体" w:eastAsia="宋体" w:cs="宋体"/>
                <w:color w:val="auto"/>
                <w:sz w:val="24"/>
                <w:szCs w:val="24"/>
                <w:highlight w:val="none"/>
              </w:rPr>
            </w:pPr>
          </w:p>
        </w:tc>
      </w:tr>
      <w:tr w14:paraId="57945CE7">
        <w:tblPrEx>
          <w:tblCellMar>
            <w:top w:w="0" w:type="dxa"/>
            <w:left w:w="108" w:type="dxa"/>
            <w:bottom w:w="0" w:type="dxa"/>
            <w:right w:w="108" w:type="dxa"/>
          </w:tblCellMar>
        </w:tblPrEx>
        <w:trPr>
          <w:trHeight w:val="794" w:hRule="atLeast"/>
          <w:jc w:val="center"/>
        </w:trPr>
        <w:tc>
          <w:tcPr>
            <w:tcW w:w="2518" w:type="dxa"/>
            <w:noWrap w:val="0"/>
            <w:vAlign w:val="center"/>
          </w:tcPr>
          <w:p w14:paraId="7AE0C5BB">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投标人全称（盖章）：</w:t>
            </w:r>
          </w:p>
        </w:tc>
        <w:tc>
          <w:tcPr>
            <w:tcW w:w="4536" w:type="dxa"/>
            <w:noWrap w:val="0"/>
            <w:vAlign w:val="center"/>
          </w:tcPr>
          <w:p w14:paraId="051DD0E1">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71208B02">
        <w:tblPrEx>
          <w:tblCellMar>
            <w:top w:w="0" w:type="dxa"/>
            <w:left w:w="108" w:type="dxa"/>
            <w:bottom w:w="0" w:type="dxa"/>
            <w:right w:w="108" w:type="dxa"/>
          </w:tblCellMar>
        </w:tblPrEx>
        <w:trPr>
          <w:trHeight w:val="794" w:hRule="atLeast"/>
          <w:jc w:val="center"/>
        </w:trPr>
        <w:tc>
          <w:tcPr>
            <w:tcW w:w="2518" w:type="dxa"/>
            <w:noWrap w:val="0"/>
            <w:vAlign w:val="center"/>
          </w:tcPr>
          <w:p w14:paraId="529C3926">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tc>
        <w:tc>
          <w:tcPr>
            <w:tcW w:w="4536" w:type="dxa"/>
            <w:noWrap w:val="0"/>
            <w:vAlign w:val="center"/>
          </w:tcPr>
          <w:p w14:paraId="273B6E82">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7F5DC97C">
        <w:tblPrEx>
          <w:tblCellMar>
            <w:top w:w="0" w:type="dxa"/>
            <w:left w:w="108" w:type="dxa"/>
            <w:bottom w:w="0" w:type="dxa"/>
            <w:right w:w="108" w:type="dxa"/>
          </w:tblCellMar>
        </w:tblPrEx>
        <w:trPr>
          <w:trHeight w:val="794" w:hRule="atLeast"/>
          <w:jc w:val="center"/>
        </w:trPr>
        <w:tc>
          <w:tcPr>
            <w:tcW w:w="7054" w:type="dxa"/>
            <w:gridSpan w:val="2"/>
            <w:noWrap w:val="0"/>
            <w:vAlign w:val="center"/>
          </w:tcPr>
          <w:p w14:paraId="7A533D23">
            <w:pPr>
              <w:shd w:val="clear"/>
              <w:jc w:val="left"/>
              <w:rPr>
                <w:rFonts w:hint="eastAsia" w:ascii="宋体" w:hAnsi="宋体" w:eastAsia="宋体" w:cs="宋体"/>
                <w:color w:val="auto"/>
                <w:sz w:val="24"/>
                <w:szCs w:val="24"/>
                <w:highlight w:val="none"/>
                <w:u w:val="single"/>
              </w:rPr>
            </w:pPr>
          </w:p>
        </w:tc>
      </w:tr>
      <w:tr w14:paraId="6183FCE3">
        <w:tblPrEx>
          <w:tblCellMar>
            <w:top w:w="0" w:type="dxa"/>
            <w:left w:w="108" w:type="dxa"/>
            <w:bottom w:w="0" w:type="dxa"/>
            <w:right w:w="108" w:type="dxa"/>
          </w:tblCellMar>
        </w:tblPrEx>
        <w:trPr>
          <w:trHeight w:val="794" w:hRule="atLeast"/>
          <w:jc w:val="center"/>
        </w:trPr>
        <w:tc>
          <w:tcPr>
            <w:tcW w:w="7054" w:type="dxa"/>
            <w:gridSpan w:val="2"/>
            <w:noWrap w:val="0"/>
            <w:vAlign w:val="center"/>
          </w:tcPr>
          <w:p w14:paraId="4CCB2AC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08033F3D">
      <w:pPr>
        <w:pStyle w:val="7"/>
        <w:shd w:val="clear"/>
        <w:spacing w:line="360" w:lineRule="auto"/>
        <w:ind w:firstLine="0"/>
        <w:jc w:val="center"/>
        <w:rPr>
          <w:rFonts w:hint="eastAsia" w:ascii="宋体" w:hAnsi="宋体" w:eastAsia="宋体" w:cs="宋体"/>
          <w:bCs/>
          <w:color w:val="auto"/>
          <w:sz w:val="24"/>
          <w:highlight w:val="none"/>
        </w:rPr>
      </w:pPr>
    </w:p>
    <w:p w14:paraId="1715A5B9">
      <w:pPr>
        <w:pStyle w:val="6"/>
        <w:shd w:val="clear"/>
        <w:spacing w:before="0" w:after="0"/>
        <w:ind w:firstLine="0" w:firstLineChars="0"/>
        <w:jc w:val="left"/>
        <w:rPr>
          <w:rFonts w:hint="eastAsia" w:ascii="宋体" w:hAnsi="宋体" w:eastAsia="宋体" w:cs="宋体"/>
          <w:color w:val="auto"/>
          <w:sz w:val="24"/>
          <w:szCs w:val="24"/>
          <w:highlight w:val="none"/>
        </w:rPr>
      </w:pPr>
      <w:bookmarkStart w:id="593" w:name="_Toc20913"/>
      <w:bookmarkStart w:id="594" w:name="_Toc97213038"/>
      <w:bookmarkStart w:id="595" w:name="_Toc4219"/>
      <w:bookmarkStart w:id="596" w:name="_Toc5535"/>
      <w:bookmarkStart w:id="597" w:name="_Toc17700"/>
      <w:bookmarkStart w:id="598" w:name="_Toc16951"/>
      <w:bookmarkStart w:id="599" w:name="_Toc531359057"/>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商务技术文件</w:t>
      </w:r>
      <w:r>
        <w:rPr>
          <w:rFonts w:hint="eastAsia" w:ascii="宋体" w:hAnsi="宋体" w:eastAsia="宋体" w:cs="宋体"/>
          <w:color w:val="auto"/>
          <w:sz w:val="24"/>
          <w:szCs w:val="24"/>
          <w:highlight w:val="none"/>
        </w:rPr>
        <w:t>目录</w:t>
      </w:r>
      <w:bookmarkEnd w:id="593"/>
      <w:bookmarkEnd w:id="594"/>
      <w:bookmarkEnd w:id="595"/>
      <w:bookmarkEnd w:id="596"/>
      <w:bookmarkEnd w:id="597"/>
      <w:bookmarkEnd w:id="598"/>
      <w:bookmarkEnd w:id="599"/>
    </w:p>
    <w:p w14:paraId="03C6F7BC">
      <w:pPr>
        <w:pStyle w:val="7"/>
        <w:shd w:val="clear"/>
        <w:spacing w:line="360" w:lineRule="auto"/>
        <w:ind w:firstLine="0"/>
        <w:rPr>
          <w:rFonts w:hint="eastAsia" w:ascii="宋体" w:hAnsi="宋体" w:eastAsia="宋体" w:cs="宋体"/>
          <w:color w:val="auto"/>
          <w:sz w:val="24"/>
          <w:highlight w:val="none"/>
        </w:rPr>
      </w:pPr>
    </w:p>
    <w:p w14:paraId="65ABB21D">
      <w:pPr>
        <w:pStyle w:val="7"/>
        <w:shd w:val="clear"/>
        <w:ind w:firstLine="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格式自行设计）</w:t>
      </w:r>
      <w:bookmarkStart w:id="600" w:name="_Toc531359058"/>
    </w:p>
    <w:p w14:paraId="329670E6">
      <w:pPr>
        <w:pStyle w:val="7"/>
        <w:shd w:val="clear"/>
        <w:spacing w:line="360" w:lineRule="auto"/>
        <w:ind w:firstLine="0"/>
        <w:rPr>
          <w:rFonts w:hint="eastAsia" w:ascii="宋体" w:hAnsi="宋体" w:eastAsia="宋体" w:cs="宋体"/>
          <w:color w:val="auto"/>
          <w:sz w:val="24"/>
          <w:highlight w:val="none"/>
        </w:rPr>
      </w:pPr>
    </w:p>
    <w:p w14:paraId="789EB99C">
      <w:pPr>
        <w:pStyle w:val="6"/>
        <w:shd w:val="clear"/>
        <w:spacing w:before="0" w:after="0"/>
        <w:ind w:firstLine="0" w:firstLineChars="0"/>
        <w:jc w:val="left"/>
        <w:rPr>
          <w:rFonts w:hint="eastAsia" w:ascii="宋体" w:hAnsi="宋体" w:eastAsia="宋体" w:cs="宋体"/>
          <w:color w:val="auto"/>
          <w:sz w:val="24"/>
          <w:szCs w:val="24"/>
          <w:highlight w:val="none"/>
        </w:rPr>
        <w:sectPr>
          <w:pgSz w:w="11906" w:h="16838"/>
          <w:pgMar w:top="1440" w:right="1440" w:bottom="1440" w:left="1440" w:header="851" w:footer="851" w:gutter="0"/>
          <w:pgNumType w:fmt="decimal"/>
          <w:cols w:space="720" w:num="1"/>
          <w:docGrid w:linePitch="312" w:charSpace="0"/>
        </w:sectPr>
      </w:pPr>
    </w:p>
    <w:p w14:paraId="4F9BFF2F">
      <w:pPr>
        <w:pStyle w:val="6"/>
        <w:shd w:val="clear"/>
        <w:spacing w:before="0" w:after="0"/>
        <w:ind w:firstLine="0" w:firstLineChars="0"/>
        <w:jc w:val="left"/>
        <w:rPr>
          <w:rFonts w:hint="eastAsia" w:ascii="宋体" w:hAnsi="宋体" w:eastAsia="宋体" w:cs="宋体"/>
          <w:color w:val="auto"/>
          <w:sz w:val="24"/>
          <w:szCs w:val="24"/>
          <w:highlight w:val="none"/>
        </w:rPr>
      </w:pPr>
      <w:bookmarkStart w:id="601" w:name="_Toc14152"/>
      <w:bookmarkStart w:id="602" w:name="_Toc19797"/>
      <w:bookmarkStart w:id="603" w:name="_Toc7344"/>
      <w:bookmarkStart w:id="604" w:name="_Toc24687"/>
      <w:bookmarkStart w:id="605" w:name="_Toc24054"/>
      <w:bookmarkStart w:id="606" w:name="_Toc97213039"/>
      <w:r>
        <w:rPr>
          <w:rFonts w:hint="eastAsia" w:ascii="宋体" w:hAnsi="宋体" w:eastAsia="宋体" w:cs="宋体"/>
          <w:color w:val="auto"/>
          <w:sz w:val="24"/>
          <w:szCs w:val="24"/>
          <w:highlight w:val="none"/>
        </w:rPr>
        <w:t>2.3    投标</w:t>
      </w:r>
      <w:bookmarkEnd w:id="584"/>
      <w:bookmarkEnd w:id="585"/>
      <w:r>
        <w:rPr>
          <w:rFonts w:hint="eastAsia" w:ascii="宋体" w:hAnsi="宋体" w:eastAsia="宋体" w:cs="宋体"/>
          <w:color w:val="auto"/>
          <w:sz w:val="24"/>
          <w:szCs w:val="24"/>
          <w:highlight w:val="none"/>
        </w:rPr>
        <w:t>函</w:t>
      </w:r>
      <w:bookmarkEnd w:id="600"/>
      <w:r>
        <w:rPr>
          <w:rFonts w:hint="eastAsia" w:ascii="宋体" w:hAnsi="宋体" w:eastAsia="宋体" w:cs="宋体"/>
          <w:color w:val="auto"/>
          <w:sz w:val="24"/>
          <w:szCs w:val="24"/>
          <w:highlight w:val="none"/>
        </w:rPr>
        <w:t>格式</w:t>
      </w:r>
      <w:bookmarkEnd w:id="601"/>
      <w:bookmarkEnd w:id="602"/>
      <w:bookmarkEnd w:id="603"/>
      <w:bookmarkEnd w:id="604"/>
      <w:bookmarkEnd w:id="605"/>
      <w:bookmarkEnd w:id="606"/>
    </w:p>
    <w:p w14:paraId="7424DB92">
      <w:pPr>
        <w:pStyle w:val="7"/>
        <w:shd w:val="clear"/>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投标函</w:t>
      </w:r>
    </w:p>
    <w:p w14:paraId="09F53B42">
      <w:pPr>
        <w:pStyle w:val="112"/>
        <w:shd w:val="clear"/>
        <w:tabs>
          <w:tab w:val="left" w:pos="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i/>
          <w:color w:val="auto"/>
          <w:kern w:val="2"/>
          <w:sz w:val="24"/>
          <w:szCs w:val="24"/>
          <w:highlight w:val="none"/>
          <w:u w:val="single"/>
          <w:lang w:val="en-US" w:eastAsia="zh-CN"/>
        </w:rPr>
        <w:t>（采购人名称）</w:t>
      </w:r>
      <w:r>
        <w:rPr>
          <w:rFonts w:hint="eastAsia" w:ascii="宋体" w:hAnsi="宋体" w:eastAsia="宋体" w:cs="宋体"/>
          <w:color w:val="auto"/>
          <w:sz w:val="24"/>
          <w:highlight w:val="none"/>
        </w:rPr>
        <w:t>：</w:t>
      </w:r>
    </w:p>
    <w:p w14:paraId="23433FEF">
      <w:pPr>
        <w:pStyle w:val="112"/>
        <w:shd w:val="clear"/>
        <w:tabs>
          <w:tab w:val="left" w:pos="0"/>
        </w:tabs>
        <w:spacing w:line="360" w:lineRule="auto"/>
        <w:ind w:firstLine="480" w:firstLineChars="200"/>
        <w:rPr>
          <w:rFonts w:hint="eastAsia" w:ascii="宋体" w:hAnsi="宋体" w:eastAsia="宋体" w:cs="宋体"/>
          <w:color w:val="auto"/>
          <w:sz w:val="24"/>
          <w:szCs w:val="21"/>
          <w:highlight w:val="none"/>
          <w:lang w:val="en-US"/>
        </w:rPr>
      </w:pPr>
      <w:r>
        <w:rPr>
          <w:rFonts w:hint="eastAsia" w:ascii="宋体" w:hAnsi="宋体" w:eastAsia="宋体" w:cs="宋体"/>
          <w:color w:val="auto"/>
          <w:sz w:val="24"/>
          <w:szCs w:val="21"/>
          <w:highlight w:val="none"/>
          <w:lang w:val="en-US"/>
        </w:rPr>
        <w:t>根据贵方</w:t>
      </w:r>
      <w:r>
        <w:rPr>
          <w:rFonts w:hint="eastAsia" w:ascii="宋体" w:hAnsi="宋体" w:eastAsia="宋体" w:cs="宋体"/>
          <w:i/>
          <w:color w:val="auto"/>
          <w:kern w:val="2"/>
          <w:sz w:val="24"/>
          <w:szCs w:val="24"/>
          <w:highlight w:val="none"/>
          <w:u w:val="single"/>
          <w:lang w:val="en-US" w:eastAsia="zh-CN"/>
        </w:rPr>
        <w:t>（项目名称）（项目编号）（标项）</w:t>
      </w:r>
      <w:r>
        <w:rPr>
          <w:rFonts w:hint="eastAsia" w:ascii="宋体" w:hAnsi="宋体" w:eastAsia="宋体" w:cs="宋体"/>
          <w:color w:val="auto"/>
          <w:sz w:val="24"/>
          <w:szCs w:val="21"/>
          <w:highlight w:val="none"/>
          <w:u w:val="single"/>
          <w:lang w:eastAsia="zh-CN"/>
        </w:rPr>
        <w:t xml:space="preserve"> </w:t>
      </w:r>
      <w:r>
        <w:rPr>
          <w:rFonts w:hint="eastAsia" w:ascii="宋体" w:hAnsi="宋体" w:eastAsia="宋体" w:cs="宋体"/>
          <w:color w:val="auto"/>
          <w:sz w:val="24"/>
          <w:szCs w:val="21"/>
          <w:highlight w:val="none"/>
          <w:lang w:val="en-US"/>
        </w:rPr>
        <w:t>的招标文件要求，正式授权下述签字人</w:t>
      </w:r>
      <w:r>
        <w:rPr>
          <w:rFonts w:hint="eastAsia" w:ascii="宋体" w:hAnsi="宋体" w:eastAsia="宋体" w:cs="宋体"/>
          <w:i/>
          <w:color w:val="auto"/>
          <w:kern w:val="2"/>
          <w:sz w:val="24"/>
          <w:szCs w:val="24"/>
          <w:highlight w:val="none"/>
          <w:u w:val="single"/>
          <w:lang w:val="en-US" w:eastAsia="zh-CN"/>
        </w:rPr>
        <w:t>（姓名和职务）</w:t>
      </w:r>
      <w:r>
        <w:rPr>
          <w:rFonts w:hint="eastAsia" w:ascii="宋体" w:hAnsi="宋体" w:eastAsia="宋体" w:cs="宋体"/>
          <w:color w:val="auto"/>
          <w:sz w:val="24"/>
          <w:szCs w:val="21"/>
          <w:highlight w:val="none"/>
          <w:lang w:val="en-US"/>
        </w:rPr>
        <w:t>全权代表投标人</w:t>
      </w:r>
      <w:r>
        <w:rPr>
          <w:rFonts w:hint="eastAsia" w:ascii="宋体" w:hAnsi="宋体" w:eastAsia="宋体" w:cs="宋体"/>
          <w:i/>
          <w:color w:val="auto"/>
          <w:kern w:val="2"/>
          <w:sz w:val="24"/>
          <w:szCs w:val="24"/>
          <w:highlight w:val="none"/>
          <w:u w:val="single"/>
          <w:lang w:val="en-US" w:eastAsia="zh-CN"/>
        </w:rPr>
        <w:t>（投标人全称）</w:t>
      </w:r>
      <w:r>
        <w:rPr>
          <w:rFonts w:hint="eastAsia" w:ascii="宋体" w:hAnsi="宋体" w:eastAsia="宋体" w:cs="宋体"/>
          <w:color w:val="auto"/>
          <w:sz w:val="24"/>
          <w:szCs w:val="21"/>
          <w:highlight w:val="none"/>
          <w:lang w:val="en-US"/>
        </w:rPr>
        <w:t>参加贵方组织的有关招标活动，并提交下述文件：</w:t>
      </w:r>
    </w:p>
    <w:p w14:paraId="18415169">
      <w:pPr>
        <w:pStyle w:val="112"/>
        <w:shd w:val="clear"/>
        <w:tabs>
          <w:tab w:val="left" w:pos="0"/>
        </w:tabs>
        <w:spacing w:line="360" w:lineRule="auto"/>
        <w:ind w:firstLine="480" w:firstLineChars="200"/>
        <w:rPr>
          <w:rFonts w:hint="eastAsia" w:ascii="宋体" w:hAnsi="宋体" w:eastAsia="宋体" w:cs="宋体"/>
          <w:color w:val="auto"/>
          <w:sz w:val="24"/>
          <w:szCs w:val="21"/>
          <w:highlight w:val="none"/>
          <w:lang w:val="en-US"/>
        </w:rPr>
      </w:pPr>
      <w:r>
        <w:rPr>
          <w:rFonts w:hint="eastAsia" w:ascii="宋体" w:hAnsi="宋体" w:eastAsia="宋体" w:cs="宋体"/>
          <w:color w:val="auto"/>
          <w:sz w:val="24"/>
          <w:szCs w:val="21"/>
          <w:highlight w:val="none"/>
          <w:lang w:val="en-US" w:eastAsia="zh-CN"/>
        </w:rPr>
        <w:t>政采云</w:t>
      </w:r>
      <w:r>
        <w:rPr>
          <w:rFonts w:hint="eastAsia" w:ascii="宋体" w:hAnsi="宋体" w:eastAsia="宋体" w:cs="宋体"/>
          <w:color w:val="auto"/>
          <w:sz w:val="24"/>
          <w:szCs w:val="21"/>
          <w:highlight w:val="none"/>
          <w:lang w:val="en-US"/>
        </w:rPr>
        <w:t>系统提交电子</w:t>
      </w:r>
      <w:r>
        <w:rPr>
          <w:rFonts w:hint="eastAsia" w:ascii="宋体" w:hAnsi="宋体" w:eastAsia="宋体" w:cs="宋体"/>
          <w:color w:val="auto"/>
          <w:sz w:val="24"/>
          <w:szCs w:val="21"/>
          <w:highlight w:val="none"/>
          <w:lang w:val="en-US" w:eastAsia="zh-CN"/>
        </w:rPr>
        <w:t>加密</w:t>
      </w:r>
      <w:r>
        <w:rPr>
          <w:rFonts w:hint="eastAsia" w:ascii="宋体" w:hAnsi="宋体" w:eastAsia="宋体" w:cs="宋体"/>
          <w:color w:val="auto"/>
          <w:sz w:val="24"/>
          <w:szCs w:val="21"/>
          <w:highlight w:val="none"/>
          <w:lang w:val="en-US"/>
        </w:rPr>
        <w:t>投标文件</w:t>
      </w:r>
      <w:r>
        <w:rPr>
          <w:rFonts w:hint="eastAsia" w:ascii="宋体" w:hAnsi="宋体" w:eastAsia="宋体" w:cs="宋体"/>
          <w:color w:val="auto"/>
          <w:sz w:val="24"/>
          <w:szCs w:val="21"/>
          <w:highlight w:val="none"/>
          <w:u w:val="single"/>
          <w:lang w:val="en-US"/>
        </w:rPr>
        <w:t xml:space="preserve">   </w:t>
      </w:r>
      <w:r>
        <w:rPr>
          <w:rFonts w:hint="eastAsia" w:ascii="宋体" w:hAnsi="宋体" w:eastAsia="宋体" w:cs="宋体"/>
          <w:color w:val="auto"/>
          <w:sz w:val="24"/>
          <w:szCs w:val="21"/>
          <w:highlight w:val="none"/>
          <w:lang w:val="en-US"/>
        </w:rPr>
        <w:t>份；</w:t>
      </w:r>
    </w:p>
    <w:p w14:paraId="40072274">
      <w:pPr>
        <w:pStyle w:val="112"/>
        <w:shd w:val="clear"/>
        <w:spacing w:line="360" w:lineRule="auto"/>
        <w:ind w:firstLine="480" w:firstLineChars="20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备份电子投标文件</w:t>
      </w:r>
      <w:r>
        <w:rPr>
          <w:rFonts w:hint="eastAsia" w:ascii="宋体" w:hAnsi="宋体" w:eastAsia="宋体" w:cs="宋体"/>
          <w:color w:val="auto"/>
          <w:sz w:val="24"/>
          <w:szCs w:val="21"/>
          <w:highlight w:val="none"/>
          <w:u w:val="single"/>
          <w:lang w:val="en-US"/>
        </w:rPr>
        <w:t xml:space="preserve">   </w:t>
      </w:r>
      <w:r>
        <w:rPr>
          <w:rFonts w:hint="eastAsia" w:ascii="宋体" w:hAnsi="宋体" w:eastAsia="宋体" w:cs="宋体"/>
          <w:color w:val="auto"/>
          <w:sz w:val="24"/>
          <w:szCs w:val="21"/>
          <w:highlight w:val="none"/>
          <w:lang w:val="en-US"/>
        </w:rPr>
        <w:t>份</w:t>
      </w:r>
      <w:r>
        <w:rPr>
          <w:rFonts w:hint="eastAsia" w:ascii="宋体" w:hAnsi="宋体" w:eastAsia="宋体" w:cs="宋体"/>
          <w:color w:val="auto"/>
          <w:sz w:val="24"/>
          <w:szCs w:val="21"/>
          <w:highlight w:val="none"/>
          <w:lang w:val="en-US" w:eastAsia="zh-CN"/>
        </w:rPr>
        <w:t>；</w:t>
      </w:r>
    </w:p>
    <w:p w14:paraId="570CA0EC">
      <w:pPr>
        <w:pStyle w:val="112"/>
        <w:shd w:val="clear"/>
        <w:tabs>
          <w:tab w:val="left" w:pos="0"/>
        </w:tabs>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据此函我方</w:t>
      </w:r>
      <w:r>
        <w:rPr>
          <w:rFonts w:hint="eastAsia" w:ascii="宋体" w:hAnsi="宋体" w:eastAsia="宋体" w:cs="宋体"/>
          <w:color w:val="auto"/>
          <w:sz w:val="24"/>
          <w:szCs w:val="21"/>
          <w:highlight w:val="none"/>
        </w:rPr>
        <w:t>就本次投标有关事项郑重承诺如下：</w:t>
      </w:r>
    </w:p>
    <w:p w14:paraId="38865175">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我方</w:t>
      </w:r>
      <w:r>
        <w:rPr>
          <w:rFonts w:hint="eastAsia" w:ascii="宋体" w:hAnsi="宋体" w:eastAsia="宋体" w:cs="宋体"/>
          <w:color w:val="auto"/>
          <w:sz w:val="24"/>
          <w:szCs w:val="21"/>
          <w:highlight w:val="none"/>
          <w:lang w:val="en-US" w:eastAsia="zh-CN"/>
        </w:rPr>
        <w:t>承诺对向该项目</w:t>
      </w:r>
      <w:r>
        <w:rPr>
          <w:rFonts w:hint="eastAsia" w:ascii="宋体" w:hAnsi="宋体" w:eastAsia="宋体" w:cs="宋体"/>
          <w:color w:val="auto"/>
          <w:sz w:val="24"/>
          <w:szCs w:val="21"/>
          <w:highlight w:val="none"/>
        </w:rPr>
        <w:t>提交的所有投标文件、资料</w:t>
      </w:r>
      <w:r>
        <w:rPr>
          <w:rFonts w:hint="eastAsia" w:ascii="宋体" w:hAnsi="宋体" w:eastAsia="宋体" w:cs="宋体"/>
          <w:color w:val="auto"/>
          <w:sz w:val="24"/>
          <w:szCs w:val="21"/>
          <w:highlight w:val="none"/>
          <w:lang w:val="en-US" w:eastAsia="zh-CN"/>
        </w:rPr>
        <w:t>的合法性、</w:t>
      </w:r>
      <w:r>
        <w:rPr>
          <w:rFonts w:hint="eastAsia" w:ascii="宋体" w:hAnsi="宋体" w:eastAsia="宋体" w:cs="宋体"/>
          <w:color w:val="auto"/>
          <w:sz w:val="24"/>
          <w:szCs w:val="21"/>
          <w:highlight w:val="none"/>
        </w:rPr>
        <w:t>准确</w:t>
      </w:r>
      <w:r>
        <w:rPr>
          <w:rFonts w:hint="eastAsia" w:ascii="宋体" w:hAnsi="宋体" w:eastAsia="宋体" w:cs="宋体"/>
          <w:color w:val="auto"/>
          <w:sz w:val="24"/>
          <w:szCs w:val="21"/>
          <w:highlight w:val="none"/>
          <w:lang w:val="en-US" w:eastAsia="zh-CN"/>
        </w:rPr>
        <w:t>性、</w:t>
      </w:r>
      <w:r>
        <w:rPr>
          <w:rFonts w:hint="eastAsia" w:ascii="宋体" w:hAnsi="宋体" w:eastAsia="宋体" w:cs="宋体"/>
          <w:color w:val="auto"/>
          <w:sz w:val="24"/>
          <w:szCs w:val="21"/>
          <w:highlight w:val="none"/>
        </w:rPr>
        <w:t>真实</w:t>
      </w:r>
      <w:r>
        <w:rPr>
          <w:rFonts w:hint="eastAsia" w:ascii="宋体" w:hAnsi="宋体" w:eastAsia="宋体" w:cs="宋体"/>
          <w:color w:val="auto"/>
          <w:sz w:val="24"/>
          <w:szCs w:val="21"/>
          <w:highlight w:val="none"/>
          <w:lang w:val="en-US" w:eastAsia="zh-CN"/>
        </w:rPr>
        <w:t>性负责</w:t>
      </w:r>
      <w:r>
        <w:rPr>
          <w:rFonts w:hint="eastAsia" w:ascii="宋体" w:hAnsi="宋体" w:eastAsia="宋体" w:cs="宋体"/>
          <w:color w:val="auto"/>
          <w:sz w:val="24"/>
          <w:szCs w:val="21"/>
          <w:highlight w:val="none"/>
        </w:rPr>
        <w:t>。</w:t>
      </w:r>
    </w:p>
    <w:p w14:paraId="22415FC1">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我方承诺已经具备《中华人民共和国政府采购法》、《中华人民共和国政府采购法实施条例》中规定的参加政府采购活动的投标人</w:t>
      </w:r>
      <w:r>
        <w:rPr>
          <w:rFonts w:hint="eastAsia" w:ascii="宋体" w:hAnsi="宋体" w:eastAsia="宋体" w:cs="宋体"/>
          <w:color w:val="auto"/>
          <w:sz w:val="24"/>
          <w:szCs w:val="21"/>
          <w:highlight w:val="none"/>
          <w:lang w:eastAsia="zh-CN"/>
        </w:rPr>
        <w:t>应</w:t>
      </w:r>
      <w:r>
        <w:rPr>
          <w:rFonts w:hint="eastAsia" w:ascii="宋体" w:hAnsi="宋体" w:eastAsia="宋体" w:cs="宋体"/>
          <w:color w:val="auto"/>
          <w:sz w:val="24"/>
          <w:szCs w:val="21"/>
          <w:highlight w:val="none"/>
        </w:rPr>
        <w:t>具备的条件，并真实提供相关材料。</w:t>
      </w:r>
    </w:p>
    <w:p w14:paraId="2D64CFC0">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如果我方中标，将派出</w:t>
      </w:r>
      <w:r>
        <w:rPr>
          <w:rFonts w:hint="eastAsia" w:ascii="宋体" w:hAnsi="宋体" w:eastAsia="宋体" w:cs="宋体"/>
          <w:i/>
          <w:color w:val="auto"/>
          <w:kern w:val="2"/>
          <w:sz w:val="24"/>
          <w:szCs w:val="24"/>
          <w:highlight w:val="none"/>
          <w:u w:val="single"/>
          <w:lang w:val="en-US" w:eastAsia="zh-CN"/>
        </w:rPr>
        <w:t>（姓名及身份证号码）</w:t>
      </w:r>
      <w:r>
        <w:rPr>
          <w:rFonts w:hint="eastAsia" w:ascii="宋体" w:hAnsi="宋体" w:eastAsia="宋体" w:cs="宋体"/>
          <w:color w:val="auto"/>
          <w:sz w:val="24"/>
          <w:szCs w:val="21"/>
          <w:highlight w:val="none"/>
          <w:u w:val="single"/>
        </w:rPr>
        <w:t>，</w:t>
      </w:r>
      <w:r>
        <w:rPr>
          <w:rFonts w:hint="eastAsia" w:ascii="宋体" w:hAnsi="宋体" w:eastAsia="宋体" w:cs="宋体"/>
          <w:color w:val="auto"/>
          <w:sz w:val="24"/>
          <w:szCs w:val="21"/>
          <w:highlight w:val="none"/>
        </w:rPr>
        <w:t>作为本项目与采购单位联系的项目实施负责人，联系手机号码：</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。在项目实施过程中，并承诺项目实施负责人不更换，若确需要更换的，书面征得采购人同意后才准予更换。</w:t>
      </w:r>
    </w:p>
    <w:p w14:paraId="16CCF14D">
      <w:pPr>
        <w:pStyle w:val="112"/>
        <w:shd w:val="clear"/>
        <w:spacing w:line="360" w:lineRule="auto"/>
        <w:ind w:firstLine="480" w:firstLineChars="200"/>
        <w:rPr>
          <w:rFonts w:hint="eastAsia" w:ascii="宋体" w:hAnsi="宋体" w:eastAsia="宋体" w:cs="宋体"/>
          <w:strike/>
          <w:dstrike w:val="0"/>
          <w:color w:val="auto"/>
          <w:sz w:val="24"/>
          <w:szCs w:val="21"/>
          <w:highlight w:val="none"/>
        </w:rPr>
      </w:pPr>
      <w:r>
        <w:rPr>
          <w:rFonts w:hint="eastAsia" w:ascii="宋体" w:hAnsi="宋体" w:eastAsia="宋体" w:cs="宋体"/>
          <w:color w:val="auto"/>
          <w:sz w:val="24"/>
          <w:szCs w:val="21"/>
          <w:highlight w:val="none"/>
        </w:rPr>
        <w:t>4、我方的投标有效期自在开标日起</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天内有效。本投标文件在投标有效期满之前均具有约束力。</w:t>
      </w:r>
    </w:p>
    <w:p w14:paraId="43B6271C">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我方完全理解并接受招标文件的各项规定和要求，对招标文件的合理性、合法性不再有异议。</w:t>
      </w:r>
    </w:p>
    <w:p w14:paraId="210B54BD">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我方愿意向贵方提供真实完整的任何与该项投标有关的数据、情况和技术资料。若贵方需要，我方愿意提供我方作出的一切承诺的证明材料。</w:t>
      </w:r>
    </w:p>
    <w:p w14:paraId="75D6F7BC">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我方已详细审核全部招标文件，包括招标文件的澄清或修改文件（如有的话）、参考资料及有关附件，已经了解我方对于招标文件、采购过程、采购结果有依法进行询问、质疑、投诉的权利及相关渠道和要求。</w:t>
      </w:r>
    </w:p>
    <w:p w14:paraId="52A6A559">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我方不是采购人的附属机构，并未为本项目提供整体设计、规范编制或者项目管理、监理、监测等服务。</w:t>
      </w:r>
    </w:p>
    <w:p w14:paraId="2CBFA21C">
      <w:pPr>
        <w:pStyle w:val="112"/>
        <w:shd w:val="clea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8</w:t>
      </w:r>
      <w:r>
        <w:rPr>
          <w:rFonts w:hint="eastAsia" w:ascii="宋体" w:hAnsi="宋体" w:eastAsia="宋体" w:cs="宋体"/>
          <w:color w:val="auto"/>
          <w:sz w:val="24"/>
          <w:szCs w:val="21"/>
          <w:highlight w:val="none"/>
          <w:lang w:val="en-US" w:eastAsia="zh-CN"/>
        </w:rPr>
        <w:t>.我方承诺除商务技术偏离表列出的偏离外，我方响应招标文件的全部要求。</w:t>
      </w:r>
    </w:p>
    <w:p w14:paraId="03234855">
      <w:pPr>
        <w:pStyle w:val="112"/>
        <w:shd w:val="clea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9</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如中标，</w:t>
      </w:r>
      <w:r>
        <w:rPr>
          <w:rFonts w:hint="eastAsia" w:ascii="宋体" w:hAnsi="宋体" w:eastAsia="宋体" w:cs="宋体"/>
          <w:color w:val="auto"/>
          <w:sz w:val="24"/>
          <w:szCs w:val="21"/>
          <w:highlight w:val="none"/>
          <w:lang w:val="en-US" w:eastAsia="zh-CN"/>
        </w:rPr>
        <w:t>我方承诺：</w:t>
      </w:r>
    </w:p>
    <w:p w14:paraId="531C9660">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 xml:space="preserve">在收到中标通知书后，在中标通知书规定的期限内与你方签订合同； </w:t>
      </w:r>
    </w:p>
    <w:p w14:paraId="28198DEB">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 xml:space="preserve">在签订合同时不向你方提出附加条件； </w:t>
      </w:r>
    </w:p>
    <w:p w14:paraId="0491DC51">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 xml:space="preserve">按照招标文件要求提交履约保证金； </w:t>
      </w:r>
    </w:p>
    <w:p w14:paraId="22BA46DD">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 xml:space="preserve">在合同约定的期限内完成合同规定的全部义务。 </w:t>
      </w:r>
    </w:p>
    <w:p w14:paraId="5BE4A893">
      <w:pPr>
        <w:pStyle w:val="112"/>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10</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以上事项如有虚假或隐瞒，我方愿意承担一切不利后果，并不再寻求任何旨在减轻或免除法律责任。</w:t>
      </w:r>
    </w:p>
    <w:p w14:paraId="5E38B130">
      <w:pPr>
        <w:pStyle w:val="112"/>
        <w:shd w:val="clea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与本次投标有关的一切正式往来信函请寄：</w:t>
      </w:r>
    </w:p>
    <w:p w14:paraId="02D47DB9">
      <w:pPr>
        <w:pStyle w:val="112"/>
        <w:shd w:val="clea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地址：</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szCs w:val="21"/>
          <w:highlight w:val="none"/>
        </w:rPr>
        <w:t xml:space="preserve">     邮编：</w:t>
      </w:r>
      <w:r>
        <w:rPr>
          <w:rFonts w:hint="eastAsia" w:ascii="宋体" w:hAnsi="宋体" w:eastAsia="宋体" w:cs="宋体"/>
          <w:color w:val="auto"/>
          <w:spacing w:val="20"/>
          <w:sz w:val="24"/>
          <w:highlight w:val="none"/>
          <w:u w:val="single"/>
        </w:rPr>
        <w:t xml:space="preserve">           </w:t>
      </w:r>
    </w:p>
    <w:p w14:paraId="6E2349F5">
      <w:pPr>
        <w:pStyle w:val="26"/>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szCs w:val="21"/>
          <w:highlight w:val="none"/>
        </w:rPr>
        <w:t xml:space="preserve">     传真：</w:t>
      </w:r>
      <w:r>
        <w:rPr>
          <w:rFonts w:hint="eastAsia" w:ascii="宋体" w:hAnsi="宋体" w:eastAsia="宋体" w:cs="宋体"/>
          <w:color w:val="auto"/>
          <w:spacing w:val="20"/>
          <w:sz w:val="24"/>
          <w:highlight w:val="none"/>
          <w:u w:val="single"/>
        </w:rPr>
        <w:t xml:space="preserve">           </w:t>
      </w:r>
    </w:p>
    <w:p w14:paraId="3364B5B2">
      <w:pPr>
        <w:pStyle w:val="261"/>
        <w:shd w:val="clear"/>
        <w:spacing w:line="360" w:lineRule="auto"/>
        <w:rPr>
          <w:rFonts w:hint="eastAsia" w:ascii="宋体" w:hAnsi="宋体" w:eastAsia="宋体" w:cs="宋体"/>
          <w:bCs/>
          <w:color w:val="auto"/>
          <w:sz w:val="24"/>
          <w:highlight w:val="none"/>
        </w:rPr>
      </w:pPr>
    </w:p>
    <w:p w14:paraId="75E6A05B">
      <w:pPr>
        <w:pStyle w:val="92"/>
        <w:shd w:val="clear"/>
        <w:spacing w:line="360" w:lineRule="auto"/>
        <w:rPr>
          <w:rFonts w:hint="eastAsia" w:ascii="宋体" w:hAnsi="宋体" w:eastAsia="宋体" w:cs="宋体"/>
          <w:color w:val="auto"/>
          <w:sz w:val="24"/>
          <w:szCs w:val="21"/>
          <w:highlight w:val="none"/>
        </w:rPr>
      </w:pPr>
    </w:p>
    <w:p w14:paraId="709B3BA1">
      <w:pPr>
        <w:pStyle w:val="110"/>
        <w:shd w:val="clear"/>
        <w:wordWrap w:val="0"/>
        <w:spacing w:line="360" w:lineRule="auto"/>
        <w:ind w:firstLine="480"/>
        <w:jc w:val="right"/>
        <w:rPr>
          <w:rFonts w:hint="eastAsia" w:ascii="宋体" w:hAnsi="宋体" w:eastAsia="宋体" w:cs="宋体"/>
          <w:color w:val="auto"/>
          <w:spacing w:val="20"/>
          <w:sz w:val="24"/>
          <w:szCs w:val="21"/>
          <w:highlight w:val="none"/>
          <w:u w:val="single"/>
        </w:rPr>
      </w:pPr>
    </w:p>
    <w:p w14:paraId="390043FB">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76428A66">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03487EC1">
      <w:pPr>
        <w:pStyle w:val="110"/>
        <w:shd w:val="clear"/>
        <w:spacing w:line="360" w:lineRule="auto"/>
        <w:jc w:val="left"/>
        <w:rPr>
          <w:rFonts w:hint="eastAsia" w:ascii="宋体" w:hAnsi="宋体" w:eastAsia="宋体" w:cs="宋体"/>
          <w:color w:val="auto"/>
          <w:spacing w:val="20"/>
          <w:sz w:val="24"/>
          <w:szCs w:val="21"/>
          <w:highlight w:val="none"/>
          <w:u w:val="single"/>
        </w:rPr>
      </w:pPr>
    </w:p>
    <w:p w14:paraId="114EB6E8">
      <w:pPr>
        <w:pStyle w:val="112"/>
        <w:shd w:val="clear"/>
        <w:spacing w:line="360" w:lineRule="auto"/>
        <w:rPr>
          <w:rFonts w:hint="eastAsia" w:ascii="宋体" w:hAnsi="宋体" w:eastAsia="宋体" w:cs="宋体"/>
          <w:color w:val="auto"/>
          <w:sz w:val="24"/>
          <w:szCs w:val="21"/>
          <w:highlight w:val="none"/>
        </w:rPr>
      </w:pPr>
    </w:p>
    <w:p w14:paraId="3293ACA7">
      <w:pPr>
        <w:pStyle w:val="112"/>
        <w:shd w:val="clear"/>
        <w:spacing w:line="360" w:lineRule="auto"/>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注：按照本声明书要求填报</w:t>
      </w:r>
      <w:r>
        <w:rPr>
          <w:rFonts w:hint="eastAsia" w:ascii="宋体" w:hAnsi="宋体" w:eastAsia="宋体" w:cs="宋体"/>
          <w:color w:val="auto"/>
          <w:sz w:val="24"/>
          <w:szCs w:val="21"/>
          <w:highlight w:val="none"/>
          <w:lang w:eastAsia="zh-CN"/>
        </w:rPr>
        <w:t>。</w:t>
      </w:r>
    </w:p>
    <w:p w14:paraId="5DDCB41B">
      <w:pPr>
        <w:pStyle w:val="6"/>
        <w:shd w:val="clear"/>
        <w:spacing w:before="0"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32"/>
          <w:szCs w:val="32"/>
          <w:highlight w:val="none"/>
          <w:lang w:val="zh-CN"/>
        </w:rPr>
        <w:br w:type="page"/>
      </w:r>
      <w:bookmarkStart w:id="607" w:name="_Toc2127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廉洁自律承诺书格式</w:t>
      </w:r>
      <w:bookmarkEnd w:id="607"/>
    </w:p>
    <w:p w14:paraId="6FA20B8F">
      <w:pPr>
        <w:shd w:val="clea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2"/>
          <w:sz w:val="32"/>
          <w:szCs w:val="32"/>
          <w:highlight w:val="none"/>
          <w:lang w:val="zh-CN" w:eastAsia="zh-CN" w:bidi="ar-SA"/>
        </w:rPr>
        <w:t>政府采购供应商廉洁自律承诺书</w:t>
      </w:r>
    </w:p>
    <w:p w14:paraId="3B48B856">
      <w:pPr>
        <w:shd w:val="clear"/>
        <w:snapToGrid w:val="0"/>
        <w:spacing w:line="360" w:lineRule="auto"/>
        <w:rPr>
          <w:rFonts w:hint="eastAsia" w:ascii="宋体" w:hAnsi="宋体" w:eastAsia="宋体" w:cs="宋体"/>
          <w:color w:val="auto"/>
          <w:sz w:val="24"/>
          <w:highlight w:val="none"/>
        </w:rPr>
      </w:pPr>
    </w:p>
    <w:p w14:paraId="32593D80">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lang w:val="en-US" w:eastAsia="zh-CN"/>
        </w:rPr>
        <w:t>名称</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w:t>
      </w:r>
    </w:p>
    <w:p w14:paraId="7CCC6726">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要求参加投标。在这次投标过程中和中标后，我们将严格遵守国家法律法规要求，并郑重承诺：</w:t>
      </w:r>
    </w:p>
    <w:p w14:paraId="48806784">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ED18282">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D924FFD">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1759C75">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27AB6A3">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7EF707D">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C05FF80">
      <w:pPr>
        <w:shd w:val="clear"/>
        <w:autoSpaceDE w:val="0"/>
        <w:autoSpaceDN w:val="0"/>
        <w:spacing w:line="360" w:lineRule="auto"/>
        <w:ind w:left="0" w:lef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E6364BF">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w:t>
      </w:r>
      <w:r>
        <w:rPr>
          <w:rFonts w:hint="eastAsia" w:ascii="宋体" w:hAnsi="宋体" w:eastAsia="宋体" w:cs="宋体"/>
          <w:color w:val="auto"/>
          <w:kern w:val="0"/>
          <w:sz w:val="24"/>
          <w:highlight w:val="none"/>
          <w:lang w:val="en-US" w:eastAsia="zh-CN"/>
        </w:rPr>
        <w:t>实施</w:t>
      </w:r>
      <w:r>
        <w:rPr>
          <w:rFonts w:hint="eastAsia" w:ascii="宋体" w:hAnsi="宋体" w:eastAsia="宋体" w:cs="宋体"/>
          <w:color w:val="auto"/>
          <w:kern w:val="0"/>
          <w:sz w:val="24"/>
          <w:highlight w:val="none"/>
          <w:lang w:val="zh-CN"/>
        </w:rPr>
        <w:t>项目的</w:t>
      </w:r>
      <w:r>
        <w:rPr>
          <w:rFonts w:hint="eastAsia" w:ascii="宋体" w:hAnsi="宋体" w:eastAsia="宋体" w:cs="宋体"/>
          <w:color w:val="auto"/>
          <w:kern w:val="0"/>
          <w:sz w:val="24"/>
          <w:highlight w:val="none"/>
          <w:lang w:val="en-US" w:eastAsia="zh-CN"/>
        </w:rPr>
        <w:t>承接</w:t>
      </w:r>
      <w:r>
        <w:rPr>
          <w:rFonts w:hint="eastAsia" w:ascii="宋体" w:hAnsi="宋体" w:eastAsia="宋体" w:cs="宋体"/>
          <w:color w:val="auto"/>
          <w:kern w:val="0"/>
          <w:sz w:val="24"/>
          <w:highlight w:val="none"/>
          <w:lang w:val="zh-CN"/>
        </w:rPr>
        <w:t>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w:t>
      </w:r>
      <w:r>
        <w:rPr>
          <w:rFonts w:hint="eastAsia" w:ascii="宋体" w:hAnsi="宋体" w:eastAsia="宋体" w:cs="宋体"/>
          <w:color w:val="auto"/>
          <w:kern w:val="0"/>
          <w:sz w:val="24"/>
          <w:highlight w:val="none"/>
          <w:lang w:val="en-US" w:eastAsia="zh-CN"/>
        </w:rPr>
        <w:t>承接</w:t>
      </w:r>
      <w:r>
        <w:rPr>
          <w:rFonts w:hint="eastAsia" w:ascii="宋体" w:hAnsi="宋体" w:eastAsia="宋体" w:cs="宋体"/>
          <w:color w:val="auto"/>
          <w:kern w:val="0"/>
          <w:sz w:val="24"/>
          <w:highlight w:val="none"/>
          <w:lang w:val="zh-CN"/>
        </w:rPr>
        <w:t>或其他经营活动，并通报市财政局。由此引起的相应损失均由我单位承担。</w:t>
      </w:r>
    </w:p>
    <w:p w14:paraId="37529453">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54EB3429">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15DCE4FD">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02677803">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lang w:val="en-US" w:eastAsia="zh-CN"/>
        </w:rPr>
        <w:t>盖章</w:t>
      </w:r>
      <w:r>
        <w:rPr>
          <w:rFonts w:hint="eastAsia" w:ascii="宋体" w:hAnsi="宋体" w:eastAsia="宋体" w:cs="宋体"/>
          <w:color w:val="auto"/>
          <w:kern w:val="0"/>
          <w:sz w:val="24"/>
          <w:highlight w:val="none"/>
          <w:lang w:val="zh-CN"/>
        </w:rPr>
        <w:t xml:space="preserve">：                                                                                                                                                                                                               </w:t>
      </w:r>
    </w:p>
    <w:p w14:paraId="7A46AC1E">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EC60844">
      <w:pPr>
        <w:shd w:val="clear"/>
        <w:spacing w:line="360" w:lineRule="auto"/>
        <w:jc w:val="center"/>
        <w:rPr>
          <w:rFonts w:hint="eastAsia" w:ascii="宋体" w:hAnsi="宋体" w:eastAsia="宋体" w:cs="宋体"/>
          <w:b/>
          <w:bCs/>
          <w:color w:val="auto"/>
          <w:sz w:val="24"/>
          <w:highlight w:val="none"/>
        </w:rPr>
      </w:pPr>
    </w:p>
    <w:p w14:paraId="3A69CB50">
      <w:pPr>
        <w:shd w:val="clear"/>
        <w:spacing w:line="360" w:lineRule="auto"/>
        <w:ind w:right="420"/>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sz w:val="24"/>
          <w:highlight w:val="none"/>
        </w:rPr>
        <w:t>注：按本格式和要求提供。</w:t>
      </w:r>
    </w:p>
    <w:p w14:paraId="1553274A">
      <w:pPr>
        <w:pStyle w:val="6"/>
        <w:shd w:val="clear"/>
        <w:spacing w:before="0" w:after="0"/>
        <w:ind w:firstLine="0" w:firstLineChars="0"/>
        <w:jc w:val="left"/>
        <w:rPr>
          <w:rFonts w:hint="eastAsia" w:ascii="宋体" w:hAnsi="宋体" w:eastAsia="宋体" w:cs="宋体"/>
          <w:b/>
          <w:bCs/>
          <w:color w:val="auto"/>
          <w:sz w:val="24"/>
          <w:szCs w:val="24"/>
          <w:highlight w:val="none"/>
          <w:lang w:val="en-US" w:eastAsia="zh-CN"/>
        </w:rPr>
      </w:pPr>
      <w:bookmarkStart w:id="608" w:name="_Toc18070"/>
      <w:bookmarkStart w:id="609" w:name="_Toc50"/>
      <w:bookmarkStart w:id="610" w:name="_Toc530551888"/>
      <w:bookmarkStart w:id="611" w:name="_Toc493956064"/>
      <w:bookmarkStart w:id="612" w:name="_Toc24180"/>
      <w:bookmarkStart w:id="613" w:name="_Toc531359059"/>
      <w:bookmarkStart w:id="614" w:name="_Toc97213040"/>
      <w:bookmarkStart w:id="615" w:name="_Toc28632"/>
      <w:bookmarkStart w:id="616" w:name="_Toc13442"/>
      <w:bookmarkStart w:id="617" w:name="_Toc530551887"/>
      <w:bookmarkStart w:id="618" w:name="_Toc493956063"/>
      <w:r>
        <w:rPr>
          <w:rFonts w:hint="eastAsia" w:ascii="宋体" w:hAnsi="宋体" w:eastAsia="宋体" w:cs="宋体"/>
          <w:b/>
          <w:bCs/>
          <w:color w:val="auto"/>
          <w:sz w:val="24"/>
          <w:szCs w:val="24"/>
          <w:highlight w:val="none"/>
          <w:lang w:val="en-US" w:eastAsia="zh-CN"/>
        </w:rPr>
        <w:t>2.5    符合性审查资料</w:t>
      </w:r>
      <w:bookmarkEnd w:id="608"/>
    </w:p>
    <w:p w14:paraId="23893C1D">
      <w:pPr>
        <w:shd w:val="clea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符合性审查表</w:t>
      </w:r>
    </w:p>
    <w:p w14:paraId="3CDDBBFB">
      <w:pPr>
        <w:shd w:val="clear"/>
        <w:bidi w:val="0"/>
        <w:rPr>
          <w:rFonts w:hint="eastAsia" w:ascii="宋体" w:hAnsi="宋体" w:eastAsia="宋体" w:cs="宋体"/>
          <w:color w:val="auto"/>
          <w:highlight w:val="none"/>
          <w:lang w:val="en-US" w:eastAsia="zh-CN"/>
        </w:rPr>
      </w:pPr>
    </w:p>
    <w:tbl>
      <w:tblPr>
        <w:tblStyle w:val="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06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814FBAB">
            <w:pPr>
              <w:shd w:val="clea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991" w:type="dxa"/>
            <w:noWrap w:val="0"/>
            <w:vAlign w:val="center"/>
          </w:tcPr>
          <w:p w14:paraId="0240F83E">
            <w:pPr>
              <w:shd w:val="clea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实质性要求</w:t>
            </w:r>
          </w:p>
        </w:tc>
        <w:tc>
          <w:tcPr>
            <w:tcW w:w="2551" w:type="dxa"/>
            <w:noWrap w:val="0"/>
            <w:vAlign w:val="center"/>
          </w:tcPr>
          <w:p w14:paraId="426E5FC6">
            <w:pPr>
              <w:shd w:val="clea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需要提供的符合性审查资料</w:t>
            </w:r>
          </w:p>
        </w:tc>
        <w:tc>
          <w:tcPr>
            <w:tcW w:w="1418" w:type="dxa"/>
            <w:noWrap w:val="0"/>
            <w:vAlign w:val="center"/>
          </w:tcPr>
          <w:p w14:paraId="41E60414">
            <w:pPr>
              <w:shd w:val="clea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投标文件中的</w:t>
            </w:r>
          </w:p>
          <w:p w14:paraId="6399CB24">
            <w:pPr>
              <w:shd w:val="clea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724E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9CF7441">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91" w:type="dxa"/>
            <w:noWrap w:val="0"/>
            <w:vAlign w:val="center"/>
          </w:tcPr>
          <w:p w14:paraId="6D7BA6C3">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投标文件按照招标文件要求签署、盖章。</w:t>
            </w:r>
          </w:p>
        </w:tc>
        <w:tc>
          <w:tcPr>
            <w:tcW w:w="2551" w:type="dxa"/>
            <w:noWrap w:val="0"/>
            <w:vAlign w:val="center"/>
          </w:tcPr>
          <w:p w14:paraId="4208EA52">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需要使用电子签名或者签字盖章的投标文件的组成部分</w:t>
            </w:r>
          </w:p>
        </w:tc>
        <w:tc>
          <w:tcPr>
            <w:tcW w:w="1418" w:type="dxa"/>
            <w:noWrap w:val="0"/>
            <w:vAlign w:val="center"/>
          </w:tcPr>
          <w:p w14:paraId="2D00AB29">
            <w:pPr>
              <w:shd w:val="clear"/>
              <w:rPr>
                <w:rFonts w:hint="eastAsia" w:ascii="宋体" w:hAnsi="宋体" w:eastAsia="宋体" w:cs="宋体"/>
                <w:color w:val="auto"/>
                <w:sz w:val="24"/>
                <w:szCs w:val="24"/>
                <w:highlight w:val="none"/>
              </w:rPr>
            </w:pPr>
          </w:p>
          <w:p w14:paraId="4109A9F9">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14:paraId="4680620D">
            <w:pPr>
              <w:shd w:val="clear"/>
              <w:rPr>
                <w:rFonts w:hint="eastAsia" w:ascii="宋体" w:hAnsi="宋体" w:eastAsia="宋体" w:cs="宋体"/>
                <w:color w:val="auto"/>
                <w:sz w:val="24"/>
                <w:szCs w:val="24"/>
                <w:highlight w:val="none"/>
              </w:rPr>
            </w:pPr>
          </w:p>
        </w:tc>
      </w:tr>
      <w:tr w14:paraId="292C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A797034">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991" w:type="dxa"/>
            <w:noWrap w:val="0"/>
            <w:vAlign w:val="center"/>
          </w:tcPr>
          <w:p w14:paraId="05294386">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投标文件中承诺的投标有效期不少于招标文件中载明的投标有效期。</w:t>
            </w:r>
          </w:p>
        </w:tc>
        <w:tc>
          <w:tcPr>
            <w:tcW w:w="2551" w:type="dxa"/>
            <w:noWrap w:val="0"/>
            <w:vAlign w:val="center"/>
          </w:tcPr>
          <w:p w14:paraId="1BB0E2A8">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tc>
        <w:tc>
          <w:tcPr>
            <w:tcW w:w="1418" w:type="dxa"/>
            <w:noWrap w:val="0"/>
            <w:vAlign w:val="center"/>
          </w:tcPr>
          <w:p w14:paraId="6B7861EE">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00FB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6414BF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991" w:type="dxa"/>
            <w:noWrap w:val="0"/>
            <w:vAlign w:val="center"/>
          </w:tcPr>
          <w:p w14:paraId="1B3412F4">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投标文件满足招标文件的其它实质性要求。</w:t>
            </w:r>
          </w:p>
        </w:tc>
        <w:tc>
          <w:tcPr>
            <w:tcW w:w="2551" w:type="dxa"/>
            <w:noWrap w:val="0"/>
            <w:vAlign w:val="center"/>
          </w:tcPr>
          <w:p w14:paraId="4D8F8CFC">
            <w:pPr>
              <w:shd w:val="clea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招标文件其它实质性要求相应的材料（“▲” 系指实质性要求条款，招标文件无其它实质性要求的，无需提供）</w:t>
            </w:r>
          </w:p>
        </w:tc>
        <w:tc>
          <w:tcPr>
            <w:tcW w:w="1418" w:type="dxa"/>
            <w:noWrap w:val="0"/>
            <w:vAlign w:val="center"/>
          </w:tcPr>
          <w:p w14:paraId="498B2151">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bl>
    <w:p w14:paraId="0605B6F2">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行数不足可填加</w:t>
      </w:r>
      <w:r>
        <w:rPr>
          <w:rFonts w:hint="eastAsia" w:ascii="宋体" w:hAnsi="宋体" w:eastAsia="宋体" w:cs="宋体"/>
          <w:color w:val="auto"/>
          <w:sz w:val="24"/>
          <w:highlight w:val="none"/>
        </w:rPr>
        <w:t>。</w:t>
      </w:r>
    </w:p>
    <w:p w14:paraId="488AD445">
      <w:pPr>
        <w:pStyle w:val="110"/>
        <w:shd w:val="clear"/>
        <w:wordWrap w:val="0"/>
        <w:spacing w:line="360" w:lineRule="auto"/>
        <w:ind w:firstLine="480"/>
        <w:jc w:val="right"/>
        <w:rPr>
          <w:rFonts w:hint="eastAsia" w:ascii="宋体" w:hAnsi="宋体" w:eastAsia="宋体" w:cs="宋体"/>
          <w:color w:val="auto"/>
          <w:sz w:val="24"/>
          <w:szCs w:val="21"/>
          <w:highlight w:val="none"/>
        </w:rPr>
      </w:pPr>
    </w:p>
    <w:p w14:paraId="7EADEBFC">
      <w:pPr>
        <w:pStyle w:val="110"/>
        <w:shd w:val="clear"/>
        <w:wordWrap w:val="0"/>
        <w:spacing w:line="360" w:lineRule="auto"/>
        <w:ind w:firstLine="480"/>
        <w:jc w:val="right"/>
        <w:rPr>
          <w:rFonts w:hint="eastAsia" w:ascii="宋体" w:hAnsi="宋体" w:eastAsia="宋体" w:cs="宋体"/>
          <w:color w:val="auto"/>
          <w:sz w:val="24"/>
          <w:szCs w:val="21"/>
          <w:highlight w:val="none"/>
        </w:rPr>
      </w:pPr>
    </w:p>
    <w:p w14:paraId="11F9AF9C">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022D7A42">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55D37753">
      <w:pPr>
        <w:pStyle w:val="6"/>
        <w:shd w:val="clear"/>
        <w:spacing w:before="0"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619" w:name="_Toc32350"/>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投标项目明细清单</w:t>
      </w:r>
      <w:bookmarkEnd w:id="619"/>
    </w:p>
    <w:p w14:paraId="5F252FA1">
      <w:pPr>
        <w:pStyle w:val="7"/>
        <w:shd w:val="clear"/>
        <w:spacing w:line="360" w:lineRule="auto"/>
        <w:ind w:firstLine="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投标项目明细清单</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货物类</w:t>
      </w:r>
      <w:r>
        <w:rPr>
          <w:rFonts w:hint="eastAsia" w:ascii="宋体" w:hAnsi="宋体" w:eastAsia="宋体" w:cs="宋体"/>
          <w:b/>
          <w:color w:val="auto"/>
          <w:sz w:val="32"/>
          <w:szCs w:val="32"/>
          <w:highlight w:val="none"/>
          <w:lang w:eastAsia="zh-CN"/>
        </w:rPr>
        <w:t>）</w:t>
      </w:r>
    </w:p>
    <w:tbl>
      <w:tblPr>
        <w:tblStyle w:val="45"/>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07E74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5E8D5291">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44C79A9">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763E4714">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E81EACE">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14:paraId="79C38B9B">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CD04A2F">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w:t>
            </w:r>
          </w:p>
          <w:p w14:paraId="13A8FF5B">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34E0A4C">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95820C">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r>
      <w:tr w14:paraId="0842F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69AD74D1">
            <w:pPr>
              <w:shd w:val="clear"/>
              <w:snapToGrid w:val="0"/>
              <w:spacing w:before="50" w:after="50"/>
              <w:jc w:val="center"/>
              <w:rPr>
                <w:rFonts w:hint="eastAsia" w:ascii="宋体" w:hAnsi="宋体" w:eastAsia="宋体" w:cs="宋体"/>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AD18B4C">
            <w:pPr>
              <w:shd w:val="clear"/>
              <w:snapToGrid w:val="0"/>
              <w:spacing w:before="50" w:after="50"/>
              <w:jc w:val="center"/>
              <w:rPr>
                <w:rFonts w:hint="eastAsia" w:ascii="宋体" w:hAnsi="宋体" w:eastAsia="宋体" w:cs="宋体"/>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EA1D049">
            <w:pPr>
              <w:shd w:val="clear"/>
              <w:snapToGrid w:val="0"/>
              <w:spacing w:before="50" w:after="50"/>
              <w:ind w:left="480" w:hanging="480"/>
              <w:jc w:val="center"/>
              <w:rPr>
                <w:rFonts w:hint="eastAsia" w:ascii="宋体" w:hAnsi="宋体" w:eastAsia="宋体" w:cs="宋体"/>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5CAF1FB">
            <w:pPr>
              <w:shd w:val="clear"/>
              <w:snapToGrid w:val="0"/>
              <w:spacing w:before="50" w:after="50"/>
              <w:jc w:val="center"/>
              <w:rPr>
                <w:rFonts w:hint="eastAsia" w:ascii="宋体" w:hAnsi="宋体" w:eastAsia="宋体" w:cs="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B9BF2FB">
            <w:pPr>
              <w:shd w:val="clear"/>
              <w:snapToGrid w:val="0"/>
              <w:spacing w:before="50" w:after="50"/>
              <w:jc w:val="center"/>
              <w:rPr>
                <w:rFonts w:hint="eastAsia" w:ascii="宋体" w:hAnsi="宋体" w:eastAsia="宋体" w:cs="宋体"/>
                <w:color w:val="auto"/>
                <w:sz w:val="24"/>
                <w:szCs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410A46B">
            <w:pPr>
              <w:shd w:val="clear"/>
              <w:snapToGrid w:val="0"/>
              <w:spacing w:before="50" w:after="50"/>
              <w:jc w:val="center"/>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21CCDF">
            <w:pPr>
              <w:shd w:val="clear"/>
              <w:snapToGrid w:val="0"/>
              <w:spacing w:before="50" w:after="50"/>
              <w:jc w:val="center"/>
              <w:rPr>
                <w:rFonts w:hint="eastAsia" w:ascii="宋体" w:hAnsi="宋体" w:eastAsia="宋体" w:cs="宋体"/>
                <w:color w:val="auto"/>
                <w:sz w:val="24"/>
                <w:szCs w:val="24"/>
                <w:highlight w:val="none"/>
              </w:rPr>
            </w:pPr>
          </w:p>
        </w:tc>
      </w:tr>
      <w:tr w14:paraId="32F61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1081C91B">
            <w:pPr>
              <w:shd w:val="clear"/>
              <w:snapToGrid w:val="0"/>
              <w:spacing w:before="50" w:after="50"/>
              <w:jc w:val="center"/>
              <w:rPr>
                <w:rFonts w:hint="eastAsia" w:ascii="宋体" w:hAnsi="宋体" w:eastAsia="宋体" w:cs="宋体"/>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73BE105">
            <w:pPr>
              <w:shd w:val="clear"/>
              <w:snapToGrid w:val="0"/>
              <w:spacing w:before="50" w:after="50"/>
              <w:jc w:val="center"/>
              <w:rPr>
                <w:rFonts w:hint="eastAsia" w:ascii="宋体" w:hAnsi="宋体" w:eastAsia="宋体" w:cs="宋体"/>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1C8E090">
            <w:pPr>
              <w:shd w:val="clear"/>
              <w:snapToGrid w:val="0"/>
              <w:spacing w:before="50" w:after="50"/>
              <w:ind w:left="480" w:hanging="480"/>
              <w:jc w:val="center"/>
              <w:rPr>
                <w:rFonts w:hint="eastAsia" w:ascii="宋体" w:hAnsi="宋体" w:eastAsia="宋体" w:cs="宋体"/>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F9A402E">
            <w:pPr>
              <w:shd w:val="clear"/>
              <w:snapToGrid w:val="0"/>
              <w:spacing w:before="50" w:after="50"/>
              <w:jc w:val="center"/>
              <w:rPr>
                <w:rFonts w:hint="eastAsia" w:ascii="宋体" w:hAnsi="宋体" w:eastAsia="宋体" w:cs="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164907E">
            <w:pPr>
              <w:shd w:val="clear"/>
              <w:snapToGrid w:val="0"/>
              <w:spacing w:before="50" w:after="50"/>
              <w:jc w:val="center"/>
              <w:rPr>
                <w:rFonts w:hint="eastAsia" w:ascii="宋体" w:hAnsi="宋体" w:eastAsia="宋体" w:cs="宋体"/>
                <w:color w:val="auto"/>
                <w:sz w:val="24"/>
                <w:szCs w:val="24"/>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B07B860">
            <w:pPr>
              <w:shd w:val="clear"/>
              <w:snapToGrid w:val="0"/>
              <w:spacing w:before="50" w:after="50"/>
              <w:jc w:val="center"/>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77E7F8">
            <w:pPr>
              <w:shd w:val="clear"/>
              <w:snapToGrid w:val="0"/>
              <w:spacing w:before="50" w:after="50"/>
              <w:jc w:val="center"/>
              <w:rPr>
                <w:rFonts w:hint="eastAsia" w:ascii="宋体" w:hAnsi="宋体" w:eastAsia="宋体" w:cs="宋体"/>
                <w:color w:val="auto"/>
                <w:sz w:val="24"/>
                <w:szCs w:val="24"/>
                <w:highlight w:val="none"/>
              </w:rPr>
            </w:pPr>
          </w:p>
        </w:tc>
      </w:tr>
    </w:tbl>
    <w:p w14:paraId="1325D1E2">
      <w:pPr>
        <w:pStyle w:val="110"/>
        <w:shd w:val="clear"/>
        <w:wordWrap/>
        <w:spacing w:line="360" w:lineRule="auto"/>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572669C2">
      <w:pPr>
        <w:pStyle w:val="110"/>
        <w:shd w:val="clear"/>
        <w:wordWrap w:val="0"/>
        <w:spacing w:line="360" w:lineRule="auto"/>
        <w:ind w:firstLine="480"/>
        <w:jc w:val="right"/>
        <w:rPr>
          <w:rFonts w:hint="eastAsia" w:ascii="宋体" w:hAnsi="宋体" w:eastAsia="宋体" w:cs="宋体"/>
          <w:color w:val="auto"/>
          <w:sz w:val="24"/>
          <w:szCs w:val="21"/>
          <w:highlight w:val="none"/>
        </w:rPr>
      </w:pPr>
    </w:p>
    <w:p w14:paraId="353E6003">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580DEB49">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34B723A9">
      <w:pPr>
        <w:shd w:val="clear"/>
        <w:snapToGrid w:val="0"/>
        <w:spacing w:before="120" w:beforeLines="50"/>
        <w:rPr>
          <w:rFonts w:hint="eastAsia" w:ascii="宋体" w:hAnsi="宋体" w:eastAsia="宋体" w:cs="宋体"/>
          <w:color w:val="auto"/>
          <w:sz w:val="30"/>
          <w:szCs w:val="30"/>
          <w:highlight w:val="none"/>
        </w:rPr>
      </w:pPr>
    </w:p>
    <w:p w14:paraId="2E2E037D">
      <w:pPr>
        <w:pStyle w:val="110"/>
        <w:shd w:val="clear"/>
        <w:wordWrap w:val="0"/>
        <w:spacing w:line="360" w:lineRule="auto"/>
        <w:jc w:val="both"/>
        <w:rPr>
          <w:rFonts w:hint="eastAsia" w:ascii="宋体" w:hAnsi="宋体" w:eastAsia="宋体" w:cs="宋体"/>
          <w:color w:val="auto"/>
          <w:sz w:val="24"/>
          <w:szCs w:val="21"/>
          <w:highlight w:val="none"/>
          <w:u w:val="single"/>
        </w:rPr>
      </w:pPr>
    </w:p>
    <w:p w14:paraId="2AC11C01">
      <w:pPr>
        <w:pStyle w:val="6"/>
        <w:shd w:val="clear"/>
        <w:spacing w:before="0" w:after="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br w:type="page"/>
      </w:r>
      <w:bookmarkStart w:id="620" w:name="_Toc1625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商务</w:t>
      </w:r>
      <w:r>
        <w:rPr>
          <w:rFonts w:hint="eastAsia" w:ascii="宋体" w:hAnsi="宋体" w:eastAsia="宋体" w:cs="宋体"/>
          <w:color w:val="auto"/>
          <w:sz w:val="24"/>
          <w:szCs w:val="24"/>
          <w:highlight w:val="none"/>
          <w:lang w:val="en-US" w:eastAsia="zh-CN"/>
        </w:rPr>
        <w:t>技术偏离表</w:t>
      </w:r>
      <w:r>
        <w:rPr>
          <w:rFonts w:hint="eastAsia" w:ascii="宋体" w:hAnsi="宋体" w:eastAsia="宋体" w:cs="宋体"/>
          <w:color w:val="auto"/>
          <w:sz w:val="24"/>
          <w:szCs w:val="24"/>
          <w:highlight w:val="none"/>
        </w:rPr>
        <w:t>格式</w:t>
      </w:r>
      <w:bookmarkEnd w:id="620"/>
    </w:p>
    <w:p w14:paraId="084DBD8C">
      <w:pPr>
        <w:pStyle w:val="7"/>
        <w:shd w:val="clear"/>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w:t>
      </w:r>
      <w:r>
        <w:rPr>
          <w:rFonts w:hint="eastAsia" w:ascii="宋体" w:hAnsi="宋体" w:eastAsia="宋体" w:cs="宋体"/>
          <w:b/>
          <w:color w:val="auto"/>
          <w:sz w:val="32"/>
          <w:szCs w:val="32"/>
          <w:highlight w:val="none"/>
          <w:lang w:val="en-US" w:eastAsia="zh-CN"/>
        </w:rPr>
        <w:t>技术偏离</w:t>
      </w:r>
      <w:r>
        <w:rPr>
          <w:rFonts w:hint="eastAsia" w:ascii="宋体" w:hAnsi="宋体" w:eastAsia="宋体" w:cs="宋体"/>
          <w:b/>
          <w:color w:val="auto"/>
          <w:sz w:val="32"/>
          <w:szCs w:val="32"/>
          <w:highlight w:val="none"/>
        </w:rPr>
        <w:t>表</w:t>
      </w:r>
    </w:p>
    <w:p w14:paraId="5C4E37AB">
      <w:pPr>
        <w:pStyle w:val="154"/>
        <w:shd w:val="clea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318AD5DF">
      <w:pPr>
        <w:pStyle w:val="154"/>
        <w:shd w:val="clea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标项（</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w:t>
      </w:r>
    </w:p>
    <w:tbl>
      <w:tblPr>
        <w:tblStyle w:val="45"/>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489"/>
        <w:gridCol w:w="2489"/>
        <w:gridCol w:w="2073"/>
        <w:gridCol w:w="1514"/>
      </w:tblGrid>
      <w:tr w14:paraId="1330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49336625">
            <w:pPr>
              <w:pStyle w:val="154"/>
              <w:shd w:val="clear"/>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序号</w:t>
            </w:r>
          </w:p>
        </w:tc>
        <w:tc>
          <w:tcPr>
            <w:tcW w:w="2489" w:type="dxa"/>
            <w:noWrap w:val="0"/>
            <w:vAlign w:val="center"/>
          </w:tcPr>
          <w:p w14:paraId="2357ECD7">
            <w:pPr>
              <w:shd w:val="clear"/>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招标文件章节及具体内容</w:t>
            </w:r>
          </w:p>
        </w:tc>
        <w:tc>
          <w:tcPr>
            <w:tcW w:w="2489" w:type="dxa"/>
            <w:noWrap w:val="0"/>
            <w:vAlign w:val="center"/>
          </w:tcPr>
          <w:p w14:paraId="3CE858E3">
            <w:pPr>
              <w:shd w:val="clear"/>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投标文件章节及具体内容</w:t>
            </w:r>
          </w:p>
        </w:tc>
        <w:tc>
          <w:tcPr>
            <w:tcW w:w="2073" w:type="dxa"/>
            <w:noWrap w:val="0"/>
            <w:vAlign w:val="center"/>
          </w:tcPr>
          <w:p w14:paraId="7FF55050">
            <w:pPr>
              <w:shd w:val="clear"/>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偏离</w:t>
            </w:r>
            <w:r>
              <w:rPr>
                <w:rFonts w:hint="eastAsia" w:ascii="宋体" w:hAnsi="宋体" w:eastAsia="宋体" w:cs="宋体"/>
                <w:b w:val="0"/>
                <w:bCs w:val="0"/>
                <w:color w:val="auto"/>
                <w:sz w:val="24"/>
                <w:highlight w:val="none"/>
                <w:lang w:val="en-US" w:eastAsia="zh-CN"/>
              </w:rPr>
              <w:t>指标及</w:t>
            </w:r>
            <w:r>
              <w:rPr>
                <w:rFonts w:hint="eastAsia" w:ascii="宋体" w:hAnsi="宋体" w:eastAsia="宋体" w:cs="宋体"/>
                <w:b w:val="0"/>
                <w:bCs w:val="0"/>
                <w:color w:val="auto"/>
                <w:sz w:val="24"/>
                <w:highlight w:val="none"/>
              </w:rPr>
              <w:t>说明</w:t>
            </w:r>
          </w:p>
        </w:tc>
        <w:tc>
          <w:tcPr>
            <w:tcW w:w="1514" w:type="dxa"/>
            <w:noWrap w:val="0"/>
            <w:vAlign w:val="center"/>
          </w:tcPr>
          <w:p w14:paraId="23FE166F">
            <w:pPr>
              <w:shd w:val="clea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备注</w:t>
            </w:r>
          </w:p>
        </w:tc>
      </w:tr>
      <w:tr w14:paraId="01D5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DD9EF1F">
            <w:pPr>
              <w:pStyle w:val="154"/>
              <w:shd w:val="clear"/>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2489" w:type="dxa"/>
            <w:noWrap w:val="0"/>
            <w:vAlign w:val="center"/>
          </w:tcPr>
          <w:p w14:paraId="470D79DB">
            <w:pPr>
              <w:pStyle w:val="154"/>
              <w:shd w:val="clear"/>
              <w:jc w:val="center"/>
              <w:rPr>
                <w:rFonts w:hint="eastAsia" w:ascii="宋体" w:hAnsi="宋体" w:eastAsia="宋体" w:cs="宋体"/>
                <w:b w:val="0"/>
                <w:bCs w:val="0"/>
                <w:color w:val="auto"/>
                <w:sz w:val="24"/>
                <w:highlight w:val="none"/>
              </w:rPr>
            </w:pPr>
          </w:p>
        </w:tc>
        <w:tc>
          <w:tcPr>
            <w:tcW w:w="2489" w:type="dxa"/>
            <w:noWrap w:val="0"/>
            <w:vAlign w:val="center"/>
          </w:tcPr>
          <w:p w14:paraId="59123516">
            <w:pPr>
              <w:pStyle w:val="154"/>
              <w:shd w:val="clear"/>
              <w:jc w:val="center"/>
              <w:rPr>
                <w:rFonts w:hint="eastAsia" w:ascii="宋体" w:hAnsi="宋体" w:eastAsia="宋体" w:cs="宋体"/>
                <w:b w:val="0"/>
                <w:bCs w:val="0"/>
                <w:color w:val="auto"/>
                <w:sz w:val="24"/>
                <w:highlight w:val="none"/>
              </w:rPr>
            </w:pPr>
          </w:p>
        </w:tc>
        <w:tc>
          <w:tcPr>
            <w:tcW w:w="2073" w:type="dxa"/>
            <w:noWrap w:val="0"/>
            <w:vAlign w:val="center"/>
          </w:tcPr>
          <w:p w14:paraId="6159764A">
            <w:pPr>
              <w:pStyle w:val="154"/>
              <w:shd w:val="clear"/>
              <w:jc w:val="center"/>
              <w:rPr>
                <w:rFonts w:hint="eastAsia" w:ascii="宋体" w:hAnsi="宋体" w:eastAsia="宋体" w:cs="宋体"/>
                <w:b w:val="0"/>
                <w:bCs w:val="0"/>
                <w:color w:val="auto"/>
                <w:sz w:val="24"/>
                <w:highlight w:val="none"/>
              </w:rPr>
            </w:pPr>
          </w:p>
        </w:tc>
        <w:tc>
          <w:tcPr>
            <w:tcW w:w="1514" w:type="dxa"/>
            <w:noWrap w:val="0"/>
            <w:vAlign w:val="center"/>
          </w:tcPr>
          <w:p w14:paraId="0810C794">
            <w:pPr>
              <w:pStyle w:val="154"/>
              <w:shd w:val="clear"/>
              <w:jc w:val="center"/>
              <w:rPr>
                <w:rFonts w:hint="eastAsia" w:ascii="宋体" w:hAnsi="宋体" w:eastAsia="宋体" w:cs="宋体"/>
                <w:b w:val="0"/>
                <w:bCs w:val="0"/>
                <w:color w:val="auto"/>
                <w:sz w:val="24"/>
                <w:highlight w:val="none"/>
              </w:rPr>
            </w:pPr>
          </w:p>
        </w:tc>
      </w:tr>
      <w:tr w14:paraId="7807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4545EA6">
            <w:pPr>
              <w:pStyle w:val="154"/>
              <w:shd w:val="clear"/>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tc>
        <w:tc>
          <w:tcPr>
            <w:tcW w:w="2489" w:type="dxa"/>
            <w:noWrap w:val="0"/>
            <w:vAlign w:val="center"/>
          </w:tcPr>
          <w:p w14:paraId="1DC5B281">
            <w:pPr>
              <w:pStyle w:val="154"/>
              <w:shd w:val="clear"/>
              <w:jc w:val="center"/>
              <w:rPr>
                <w:rFonts w:hint="eastAsia" w:ascii="宋体" w:hAnsi="宋体" w:eastAsia="宋体" w:cs="宋体"/>
                <w:b w:val="0"/>
                <w:bCs w:val="0"/>
                <w:color w:val="auto"/>
                <w:sz w:val="24"/>
                <w:highlight w:val="none"/>
              </w:rPr>
            </w:pPr>
          </w:p>
        </w:tc>
        <w:tc>
          <w:tcPr>
            <w:tcW w:w="2489" w:type="dxa"/>
            <w:noWrap w:val="0"/>
            <w:vAlign w:val="center"/>
          </w:tcPr>
          <w:p w14:paraId="1E2EC20C">
            <w:pPr>
              <w:pStyle w:val="154"/>
              <w:shd w:val="clear"/>
              <w:jc w:val="center"/>
              <w:rPr>
                <w:rFonts w:hint="eastAsia" w:ascii="宋体" w:hAnsi="宋体" w:eastAsia="宋体" w:cs="宋体"/>
                <w:b w:val="0"/>
                <w:bCs w:val="0"/>
                <w:color w:val="auto"/>
                <w:sz w:val="24"/>
                <w:highlight w:val="none"/>
              </w:rPr>
            </w:pPr>
          </w:p>
        </w:tc>
        <w:tc>
          <w:tcPr>
            <w:tcW w:w="2073" w:type="dxa"/>
            <w:noWrap w:val="0"/>
            <w:vAlign w:val="center"/>
          </w:tcPr>
          <w:p w14:paraId="404B35C0">
            <w:pPr>
              <w:pStyle w:val="154"/>
              <w:shd w:val="clear"/>
              <w:jc w:val="center"/>
              <w:rPr>
                <w:rFonts w:hint="eastAsia" w:ascii="宋体" w:hAnsi="宋体" w:eastAsia="宋体" w:cs="宋体"/>
                <w:b w:val="0"/>
                <w:bCs w:val="0"/>
                <w:color w:val="auto"/>
                <w:sz w:val="24"/>
                <w:highlight w:val="none"/>
              </w:rPr>
            </w:pPr>
          </w:p>
        </w:tc>
        <w:tc>
          <w:tcPr>
            <w:tcW w:w="1514" w:type="dxa"/>
            <w:noWrap w:val="0"/>
            <w:vAlign w:val="center"/>
          </w:tcPr>
          <w:p w14:paraId="36679EE8">
            <w:pPr>
              <w:pStyle w:val="154"/>
              <w:shd w:val="clear"/>
              <w:jc w:val="center"/>
              <w:rPr>
                <w:rFonts w:hint="eastAsia" w:ascii="宋体" w:hAnsi="宋体" w:eastAsia="宋体" w:cs="宋体"/>
                <w:b w:val="0"/>
                <w:bCs w:val="0"/>
                <w:color w:val="auto"/>
                <w:sz w:val="24"/>
                <w:highlight w:val="none"/>
              </w:rPr>
            </w:pPr>
          </w:p>
        </w:tc>
      </w:tr>
      <w:tr w14:paraId="56F1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7C565AB">
            <w:pPr>
              <w:pStyle w:val="154"/>
              <w:shd w:val="clear"/>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p>
        </w:tc>
        <w:tc>
          <w:tcPr>
            <w:tcW w:w="2489" w:type="dxa"/>
            <w:noWrap w:val="0"/>
            <w:vAlign w:val="center"/>
          </w:tcPr>
          <w:p w14:paraId="105F485B">
            <w:pPr>
              <w:pStyle w:val="154"/>
              <w:shd w:val="clear"/>
              <w:jc w:val="center"/>
              <w:rPr>
                <w:rFonts w:hint="eastAsia" w:ascii="宋体" w:hAnsi="宋体" w:eastAsia="宋体" w:cs="宋体"/>
                <w:b w:val="0"/>
                <w:bCs w:val="0"/>
                <w:color w:val="auto"/>
                <w:sz w:val="24"/>
                <w:highlight w:val="none"/>
              </w:rPr>
            </w:pPr>
          </w:p>
        </w:tc>
        <w:tc>
          <w:tcPr>
            <w:tcW w:w="2489" w:type="dxa"/>
            <w:noWrap w:val="0"/>
            <w:vAlign w:val="center"/>
          </w:tcPr>
          <w:p w14:paraId="6F546B8F">
            <w:pPr>
              <w:pStyle w:val="154"/>
              <w:shd w:val="clear"/>
              <w:jc w:val="center"/>
              <w:rPr>
                <w:rFonts w:hint="eastAsia" w:ascii="宋体" w:hAnsi="宋体" w:eastAsia="宋体" w:cs="宋体"/>
                <w:b w:val="0"/>
                <w:bCs w:val="0"/>
                <w:color w:val="auto"/>
                <w:sz w:val="24"/>
                <w:highlight w:val="none"/>
              </w:rPr>
            </w:pPr>
          </w:p>
        </w:tc>
        <w:tc>
          <w:tcPr>
            <w:tcW w:w="2073" w:type="dxa"/>
            <w:noWrap w:val="0"/>
            <w:vAlign w:val="center"/>
          </w:tcPr>
          <w:p w14:paraId="274C1872">
            <w:pPr>
              <w:pStyle w:val="154"/>
              <w:shd w:val="clear"/>
              <w:jc w:val="center"/>
              <w:rPr>
                <w:rFonts w:hint="eastAsia" w:ascii="宋体" w:hAnsi="宋体" w:eastAsia="宋体" w:cs="宋体"/>
                <w:b w:val="0"/>
                <w:bCs w:val="0"/>
                <w:color w:val="auto"/>
                <w:sz w:val="24"/>
                <w:highlight w:val="none"/>
              </w:rPr>
            </w:pPr>
          </w:p>
        </w:tc>
        <w:tc>
          <w:tcPr>
            <w:tcW w:w="1514" w:type="dxa"/>
            <w:noWrap w:val="0"/>
            <w:vAlign w:val="center"/>
          </w:tcPr>
          <w:p w14:paraId="24636FE5">
            <w:pPr>
              <w:pStyle w:val="154"/>
              <w:shd w:val="clear"/>
              <w:jc w:val="center"/>
              <w:rPr>
                <w:rFonts w:hint="eastAsia" w:ascii="宋体" w:hAnsi="宋体" w:eastAsia="宋体" w:cs="宋体"/>
                <w:b w:val="0"/>
                <w:bCs w:val="0"/>
                <w:color w:val="auto"/>
                <w:sz w:val="24"/>
                <w:highlight w:val="none"/>
              </w:rPr>
            </w:pPr>
          </w:p>
        </w:tc>
      </w:tr>
      <w:tr w14:paraId="1C56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6A6A8CC6">
            <w:pPr>
              <w:pStyle w:val="154"/>
              <w:shd w:val="clear"/>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w:t>
            </w:r>
          </w:p>
        </w:tc>
        <w:tc>
          <w:tcPr>
            <w:tcW w:w="2489" w:type="dxa"/>
            <w:noWrap w:val="0"/>
            <w:vAlign w:val="center"/>
          </w:tcPr>
          <w:p w14:paraId="231715DA">
            <w:pPr>
              <w:pStyle w:val="154"/>
              <w:shd w:val="clear"/>
              <w:jc w:val="center"/>
              <w:rPr>
                <w:rFonts w:hint="eastAsia" w:ascii="宋体" w:hAnsi="宋体" w:eastAsia="宋体" w:cs="宋体"/>
                <w:b w:val="0"/>
                <w:bCs w:val="0"/>
                <w:color w:val="auto"/>
                <w:sz w:val="24"/>
                <w:highlight w:val="none"/>
              </w:rPr>
            </w:pPr>
          </w:p>
        </w:tc>
        <w:tc>
          <w:tcPr>
            <w:tcW w:w="2489" w:type="dxa"/>
            <w:noWrap w:val="0"/>
            <w:vAlign w:val="center"/>
          </w:tcPr>
          <w:p w14:paraId="61779584">
            <w:pPr>
              <w:pStyle w:val="154"/>
              <w:shd w:val="clear"/>
              <w:jc w:val="center"/>
              <w:rPr>
                <w:rFonts w:hint="eastAsia" w:ascii="宋体" w:hAnsi="宋体" w:eastAsia="宋体" w:cs="宋体"/>
                <w:b w:val="0"/>
                <w:bCs w:val="0"/>
                <w:color w:val="auto"/>
                <w:sz w:val="24"/>
                <w:highlight w:val="none"/>
              </w:rPr>
            </w:pPr>
          </w:p>
        </w:tc>
        <w:tc>
          <w:tcPr>
            <w:tcW w:w="2073" w:type="dxa"/>
            <w:noWrap w:val="0"/>
            <w:vAlign w:val="center"/>
          </w:tcPr>
          <w:p w14:paraId="395C5005">
            <w:pPr>
              <w:pStyle w:val="154"/>
              <w:shd w:val="clear"/>
              <w:jc w:val="center"/>
              <w:rPr>
                <w:rFonts w:hint="eastAsia" w:ascii="宋体" w:hAnsi="宋体" w:eastAsia="宋体" w:cs="宋体"/>
                <w:b w:val="0"/>
                <w:bCs w:val="0"/>
                <w:color w:val="auto"/>
                <w:sz w:val="24"/>
                <w:highlight w:val="none"/>
              </w:rPr>
            </w:pPr>
          </w:p>
        </w:tc>
        <w:tc>
          <w:tcPr>
            <w:tcW w:w="1514" w:type="dxa"/>
            <w:noWrap w:val="0"/>
            <w:vAlign w:val="center"/>
          </w:tcPr>
          <w:p w14:paraId="3F750478">
            <w:pPr>
              <w:pStyle w:val="154"/>
              <w:shd w:val="clear"/>
              <w:jc w:val="center"/>
              <w:rPr>
                <w:rFonts w:hint="eastAsia" w:ascii="宋体" w:hAnsi="宋体" w:eastAsia="宋体" w:cs="宋体"/>
                <w:b w:val="0"/>
                <w:bCs w:val="0"/>
                <w:color w:val="auto"/>
                <w:sz w:val="24"/>
                <w:highlight w:val="none"/>
              </w:rPr>
            </w:pPr>
          </w:p>
        </w:tc>
      </w:tr>
    </w:tbl>
    <w:p w14:paraId="1A3799E6">
      <w:pPr>
        <w:pStyle w:val="35"/>
        <w:shd w:val="clear"/>
        <w:snapToGrid w:val="0"/>
        <w:ind w:left="480" w:hanging="480"/>
        <w:jc w:val="left"/>
        <w:rPr>
          <w:rFonts w:hint="eastAsia" w:ascii="宋体" w:hAnsi="宋体" w:eastAsia="宋体" w:cs="宋体"/>
          <w:color w:val="auto"/>
          <w:sz w:val="24"/>
          <w:highlight w:val="none"/>
        </w:rPr>
      </w:pPr>
    </w:p>
    <w:p w14:paraId="4F3A636B">
      <w:pPr>
        <w:shd w:val="clear"/>
        <w:ind w:firstLine="241" w:firstLineChars="100"/>
        <w:jc w:val="left"/>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投标人</w:t>
      </w:r>
      <w:r>
        <w:rPr>
          <w:rFonts w:hint="eastAsia" w:ascii="宋体" w:hAnsi="宋体" w:eastAsia="宋体" w:cs="宋体"/>
          <w:b/>
          <w:bCs/>
          <w:color w:val="auto"/>
          <w:kern w:val="0"/>
          <w:sz w:val="24"/>
          <w:highlight w:val="none"/>
          <w:lang w:val="en-US" w:eastAsia="zh-CN"/>
        </w:rPr>
        <w:t>承诺</w:t>
      </w:r>
      <w:r>
        <w:rPr>
          <w:rFonts w:hint="eastAsia" w:ascii="宋体" w:hAnsi="宋体" w:eastAsia="宋体" w:cs="宋体"/>
          <w:b/>
          <w:bCs/>
          <w:color w:val="auto"/>
          <w:kern w:val="0"/>
          <w:sz w:val="24"/>
          <w:highlight w:val="none"/>
        </w:rPr>
        <w:t>：除商务技术偏离表列出的偏离外，投标人响应招标文件的全部要求</w:t>
      </w:r>
      <w:r>
        <w:rPr>
          <w:rFonts w:hint="eastAsia" w:ascii="宋体" w:hAnsi="宋体" w:eastAsia="宋体" w:cs="宋体"/>
          <w:b/>
          <w:bCs/>
          <w:color w:val="auto"/>
          <w:kern w:val="0"/>
          <w:sz w:val="24"/>
          <w:highlight w:val="none"/>
          <w:lang w:eastAsia="zh-CN"/>
        </w:rPr>
        <w:t>。</w:t>
      </w:r>
    </w:p>
    <w:p w14:paraId="0E700BEF">
      <w:pPr>
        <w:shd w:val="clear"/>
        <w:spacing w:line="360" w:lineRule="auto"/>
        <w:ind w:right="420"/>
        <w:rPr>
          <w:rFonts w:hint="eastAsia" w:ascii="宋体" w:hAnsi="宋体" w:eastAsia="宋体" w:cs="宋体"/>
          <w:color w:val="auto"/>
          <w:sz w:val="24"/>
          <w:highlight w:val="none"/>
        </w:rPr>
      </w:pPr>
    </w:p>
    <w:p w14:paraId="540F29B6">
      <w:pPr>
        <w:pStyle w:val="191"/>
        <w:shd w:val="clear"/>
        <w:spacing w:line="400" w:lineRule="exac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GB"/>
        </w:rPr>
        <w:t>请各投标人参照招标文件严格按以下要求认真填写偏离表：</w:t>
      </w:r>
    </w:p>
    <w:p w14:paraId="0E7FC374">
      <w:pPr>
        <w:pStyle w:val="191"/>
        <w:shd w:val="clear"/>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 投标人应根据投标产品的实际</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lang w:val="en-GB"/>
        </w:rPr>
        <w:t>技术规格，并对照招标文件要求，对确实存在投标产品</w:t>
      </w:r>
      <w:r>
        <w:rPr>
          <w:rFonts w:hint="eastAsia" w:ascii="宋体" w:hAnsi="宋体" w:eastAsia="宋体" w:cs="宋体"/>
          <w:color w:val="auto"/>
          <w:sz w:val="24"/>
          <w:highlight w:val="none"/>
          <w:lang w:val="en-GB" w:eastAsia="zh-CN"/>
        </w:rPr>
        <w:t>（</w:t>
      </w:r>
      <w:r>
        <w:rPr>
          <w:rFonts w:hint="eastAsia" w:ascii="宋体" w:hAnsi="宋体" w:eastAsia="宋体" w:cs="宋体"/>
          <w:color w:val="auto"/>
          <w:sz w:val="24"/>
          <w:highlight w:val="none"/>
          <w:lang w:val="en-US" w:eastAsia="zh-CN"/>
        </w:rPr>
        <w:t>或服务）</w:t>
      </w:r>
      <w:r>
        <w:rPr>
          <w:rFonts w:hint="eastAsia" w:ascii="宋体" w:hAnsi="宋体" w:eastAsia="宋体" w:cs="宋体"/>
          <w:color w:val="auto"/>
          <w:sz w:val="24"/>
          <w:highlight w:val="none"/>
          <w:lang w:val="en-GB"/>
        </w:rPr>
        <w:t>要求与招标文件要求有偏离的情况，应如实填写本表。“偏离指标及说明”栏注明偏离情况；“备注”栏注明此项偏离为“正偏离”或“负偏离”；投标人应任何原因漏写或缺项或填写不正确的，后果由投标人自行承担。</w:t>
      </w:r>
    </w:p>
    <w:p w14:paraId="64685218">
      <w:pPr>
        <w:pStyle w:val="191"/>
        <w:shd w:val="clear"/>
        <w:tabs>
          <w:tab w:val="left" w:pos="1267"/>
        </w:tabs>
        <w:spacing w:line="400" w:lineRule="exact"/>
        <w:ind w:firstLine="480" w:firstLineChars="200"/>
        <w:rPr>
          <w:rFonts w:hint="eastAsia" w:ascii="宋体" w:hAnsi="宋体" w:eastAsia="宋体" w:cs="宋体"/>
          <w:strike/>
          <w:dstrike w:val="0"/>
          <w:color w:val="auto"/>
          <w:sz w:val="24"/>
          <w:highlight w:val="none"/>
          <w:lang w:val="en-GB"/>
        </w:rPr>
      </w:pPr>
      <w:r>
        <w:rPr>
          <w:rFonts w:hint="eastAsia" w:ascii="宋体" w:hAnsi="宋体" w:eastAsia="宋体" w:cs="宋体"/>
          <w:color w:val="auto"/>
          <w:sz w:val="24"/>
          <w:highlight w:val="none"/>
          <w:lang w:val="en-GB"/>
        </w:rPr>
        <w:t>2. 投标人如实填写本表，并对其真实性负责。</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将根据评标办法和细则进行打分。</w:t>
      </w:r>
    </w:p>
    <w:p w14:paraId="055726FD">
      <w:pPr>
        <w:pStyle w:val="191"/>
        <w:shd w:val="clear"/>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3. 投标人注明的偏离情况只作为</w:t>
      </w:r>
      <w:r>
        <w:rPr>
          <w:rFonts w:hint="eastAsia" w:ascii="宋体" w:hAnsi="宋体" w:eastAsia="宋体" w:cs="宋体"/>
          <w:color w:val="auto"/>
          <w:sz w:val="24"/>
          <w:highlight w:val="none"/>
          <w:lang w:val="en-GB" w:eastAsia="zh-CN"/>
        </w:rPr>
        <w:t>评标</w:t>
      </w:r>
      <w:r>
        <w:rPr>
          <w:rFonts w:hint="eastAsia" w:ascii="宋体" w:hAnsi="宋体" w:eastAsia="宋体" w:cs="宋体"/>
          <w:color w:val="auto"/>
          <w:sz w:val="24"/>
          <w:highlight w:val="none"/>
          <w:lang w:val="en-GB"/>
        </w:rPr>
        <w:t>专家评定的参考，最终是否构成偏离或实质性偏离情况应由</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决定。</w:t>
      </w:r>
    </w:p>
    <w:p w14:paraId="7026E14E">
      <w:pPr>
        <w:pStyle w:val="191"/>
        <w:shd w:val="clear"/>
        <w:spacing w:line="400" w:lineRule="exact"/>
        <w:ind w:firstLine="480" w:firstLineChars="20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highlight w:val="none"/>
          <w:lang w:val="en-GB"/>
        </w:rPr>
        <w:t>4. 不允许存在实质性负偏离。非实质性负偏离超过招标文件规定的项数，投标文件无效；（招标文件中标注</w:t>
      </w:r>
      <w:r>
        <w:rPr>
          <w:rFonts w:hint="eastAsia" w:ascii="宋体" w:hAnsi="宋体" w:eastAsia="宋体" w:cs="宋体"/>
          <w:color w:val="auto"/>
          <w:sz w:val="24"/>
          <w:szCs w:val="20"/>
          <w:highlight w:val="none"/>
        </w:rPr>
        <w:t>“▲”条款为实质性条款）</w:t>
      </w:r>
      <w:r>
        <w:rPr>
          <w:rFonts w:hint="eastAsia" w:ascii="宋体" w:hAnsi="宋体" w:eastAsia="宋体" w:cs="宋体"/>
          <w:color w:val="auto"/>
          <w:sz w:val="24"/>
          <w:szCs w:val="20"/>
          <w:highlight w:val="none"/>
          <w:lang w:eastAsia="zh-CN"/>
        </w:rPr>
        <w:t>。</w:t>
      </w:r>
    </w:p>
    <w:p w14:paraId="1A55A7BF">
      <w:pPr>
        <w:pStyle w:val="191"/>
        <w:shd w:val="clear"/>
        <w:spacing w:line="4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GB"/>
        </w:rPr>
        <w:t>5. 投标规格的实际偏离情况以</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综合评价为准，</w:t>
      </w:r>
      <w:r>
        <w:rPr>
          <w:rFonts w:hint="eastAsia" w:ascii="宋体" w:hAnsi="宋体" w:eastAsia="宋体" w:cs="宋体"/>
          <w:bCs/>
          <w:color w:val="auto"/>
          <w:sz w:val="24"/>
          <w:highlight w:val="none"/>
        </w:rPr>
        <w:t>解释权属</w:t>
      </w:r>
      <w:r>
        <w:rPr>
          <w:rFonts w:hint="eastAsia" w:ascii="宋体" w:hAnsi="宋体" w:eastAsia="宋体" w:cs="宋体"/>
          <w:color w:val="auto"/>
          <w:sz w:val="24"/>
          <w:highlight w:val="none"/>
        </w:rPr>
        <w:t>评标委员会</w:t>
      </w:r>
      <w:r>
        <w:rPr>
          <w:rFonts w:hint="eastAsia" w:ascii="宋体" w:hAnsi="宋体" w:eastAsia="宋体" w:cs="宋体"/>
          <w:bCs/>
          <w:color w:val="auto"/>
          <w:sz w:val="24"/>
          <w:highlight w:val="none"/>
        </w:rPr>
        <w:t>。</w:t>
      </w:r>
    </w:p>
    <w:p w14:paraId="6024C0D0">
      <w:pPr>
        <w:shd w:val="clear"/>
        <w:spacing w:line="360" w:lineRule="auto"/>
        <w:ind w:right="420" w:firstLine="240" w:firstLineChars="100"/>
        <w:rPr>
          <w:rFonts w:hint="eastAsia" w:ascii="宋体" w:hAnsi="宋体" w:eastAsia="宋体" w:cs="宋体"/>
          <w:color w:val="auto"/>
          <w:sz w:val="24"/>
          <w:highlight w:val="none"/>
        </w:rPr>
      </w:pPr>
    </w:p>
    <w:p w14:paraId="5A2C157B">
      <w:pPr>
        <w:pStyle w:val="110"/>
        <w:shd w:val="clear"/>
        <w:wordWrap w:val="0"/>
        <w:spacing w:line="360" w:lineRule="auto"/>
        <w:ind w:firstLine="480"/>
        <w:jc w:val="right"/>
        <w:rPr>
          <w:rFonts w:hint="eastAsia" w:ascii="宋体" w:hAnsi="宋体" w:eastAsia="宋体" w:cs="宋体"/>
          <w:color w:val="auto"/>
          <w:sz w:val="24"/>
          <w:szCs w:val="21"/>
          <w:highlight w:val="none"/>
        </w:rPr>
      </w:pPr>
    </w:p>
    <w:p w14:paraId="11086A3C">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6018D9CE">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38BC271D">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p>
    <w:p w14:paraId="2D6BE254">
      <w:pPr>
        <w:pStyle w:val="6"/>
        <w:shd w:val="clear"/>
        <w:spacing w:before="0" w:after="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bookmarkStart w:id="621" w:name="_Toc9524"/>
      <w:r>
        <w:rPr>
          <w:rFonts w:hint="eastAsia" w:ascii="宋体" w:hAnsi="宋体" w:eastAsia="宋体" w:cs="宋体"/>
          <w:color w:val="auto"/>
          <w:sz w:val="24"/>
          <w:szCs w:val="24"/>
          <w:highlight w:val="none"/>
          <w:lang w:val="en-US" w:eastAsia="zh-CN"/>
        </w:rPr>
        <w:t>2.8    评标标准相应的商务技术资料</w:t>
      </w:r>
      <w:bookmarkEnd w:id="621"/>
    </w:p>
    <w:p w14:paraId="794AF64C">
      <w:pPr>
        <w:pStyle w:val="7"/>
        <w:shd w:val="clear"/>
        <w:rPr>
          <w:rFonts w:hint="eastAsia" w:ascii="宋体" w:hAnsi="宋体" w:eastAsia="宋体" w:cs="宋体"/>
          <w:b/>
          <w:color w:val="auto"/>
          <w:sz w:val="24"/>
          <w:highlight w:val="none"/>
          <w:lang w:eastAsia="zh-CN"/>
        </w:rPr>
      </w:pPr>
    </w:p>
    <w:p w14:paraId="1B9C75C4">
      <w:pPr>
        <w:pStyle w:val="7"/>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按招标文件第</w:t>
      </w:r>
      <w:r>
        <w:rPr>
          <w:rFonts w:hint="eastAsia" w:ascii="宋体" w:hAnsi="宋体" w:eastAsia="宋体" w:cs="宋体"/>
          <w:b/>
          <w:color w:val="auto"/>
          <w:sz w:val="24"/>
          <w:highlight w:val="none"/>
          <w:lang w:val="en-US" w:eastAsia="zh-CN"/>
        </w:rPr>
        <w:t>六章</w:t>
      </w:r>
      <w:r>
        <w:rPr>
          <w:rFonts w:hint="eastAsia" w:ascii="宋体" w:hAnsi="宋体" w:eastAsia="宋体" w:cs="宋体"/>
          <w:b/>
          <w:color w:val="auto"/>
          <w:sz w:val="24"/>
          <w:highlight w:val="none"/>
        </w:rPr>
        <w:t>评标办法</w:t>
      </w:r>
      <w:r>
        <w:rPr>
          <w:rFonts w:hint="eastAsia" w:ascii="宋体" w:hAnsi="宋体" w:eastAsia="宋体" w:cs="宋体"/>
          <w:b/>
          <w:color w:val="auto"/>
          <w:sz w:val="24"/>
          <w:highlight w:val="none"/>
          <w:lang w:val="en-US" w:eastAsia="zh-CN"/>
        </w:rPr>
        <w:t>和评标标准</w:t>
      </w:r>
      <w:r>
        <w:rPr>
          <w:rFonts w:hint="eastAsia" w:ascii="宋体" w:hAnsi="宋体" w:eastAsia="宋体" w:cs="宋体"/>
          <w:b/>
          <w:color w:val="auto"/>
          <w:sz w:val="24"/>
          <w:highlight w:val="none"/>
        </w:rPr>
        <w:t>中“</w:t>
      </w:r>
      <w:r>
        <w:rPr>
          <w:rFonts w:hint="eastAsia" w:ascii="宋体" w:hAnsi="宋体" w:eastAsia="宋体" w:cs="宋体"/>
          <w:b/>
          <w:color w:val="auto"/>
          <w:sz w:val="24"/>
          <w:highlight w:val="none"/>
          <w:lang w:val="en-US" w:eastAsia="zh-CN"/>
        </w:rPr>
        <w:t>评标内容及标准</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要求</w:t>
      </w:r>
      <w:r>
        <w:rPr>
          <w:rFonts w:hint="eastAsia" w:ascii="宋体" w:hAnsi="宋体" w:eastAsia="宋体" w:cs="宋体"/>
          <w:b/>
          <w:color w:val="auto"/>
          <w:sz w:val="24"/>
          <w:highlight w:val="none"/>
        </w:rPr>
        <w:t>提供资料</w:t>
      </w:r>
      <w:r>
        <w:rPr>
          <w:rFonts w:hint="eastAsia" w:ascii="宋体" w:hAnsi="宋体" w:eastAsia="宋体" w:cs="宋体"/>
          <w:b/>
          <w:color w:val="auto"/>
          <w:sz w:val="24"/>
          <w:highlight w:val="none"/>
          <w:lang w:eastAsia="zh-CN"/>
        </w:rPr>
        <w:t>，投标文件应按照招标文件已提供的格式填写，无格式的可自行设计</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w:t>
      </w:r>
    </w:p>
    <w:p w14:paraId="717DED30">
      <w:pPr>
        <w:pStyle w:val="7"/>
        <w:shd w:val="clear"/>
        <w:rPr>
          <w:rFonts w:hint="eastAsia" w:ascii="宋体" w:hAnsi="宋体" w:eastAsia="宋体" w:cs="宋体"/>
          <w:b/>
          <w:color w:val="auto"/>
          <w:sz w:val="24"/>
          <w:highlight w:val="none"/>
          <w:lang w:eastAsia="zh-CN"/>
        </w:rPr>
      </w:pPr>
    </w:p>
    <w:p w14:paraId="45BBF891">
      <w:pPr>
        <w:pStyle w:val="7"/>
        <w:shd w:val="clear"/>
        <w:rPr>
          <w:rFonts w:hint="eastAsia" w:ascii="宋体" w:hAnsi="宋体" w:eastAsia="宋体" w:cs="宋体"/>
          <w:b/>
          <w:color w:val="auto"/>
          <w:sz w:val="24"/>
          <w:highlight w:val="none"/>
          <w:lang w:eastAsia="zh-CN"/>
        </w:rPr>
      </w:pPr>
    </w:p>
    <w:p w14:paraId="69A63DC5">
      <w:pPr>
        <w:pStyle w:val="7"/>
        <w:shd w:val="clear"/>
        <w:rPr>
          <w:rFonts w:hint="eastAsia" w:ascii="宋体" w:hAnsi="宋体" w:eastAsia="宋体" w:cs="宋体"/>
          <w:b/>
          <w:color w:val="auto"/>
          <w:sz w:val="24"/>
          <w:highlight w:val="none"/>
          <w:lang w:eastAsia="zh-CN"/>
        </w:rPr>
      </w:pPr>
    </w:p>
    <w:p w14:paraId="39EF4E93">
      <w:pPr>
        <w:pStyle w:val="7"/>
        <w:shd w:val="clear"/>
        <w:rPr>
          <w:rFonts w:hint="eastAsia" w:ascii="宋体" w:hAnsi="宋体" w:eastAsia="宋体" w:cs="宋体"/>
          <w:b/>
          <w:color w:val="auto"/>
          <w:sz w:val="24"/>
          <w:highlight w:val="none"/>
          <w:lang w:val="en-US" w:eastAsia="zh-CN"/>
        </w:rPr>
      </w:pPr>
    </w:p>
    <w:bookmarkEnd w:id="609"/>
    <w:bookmarkEnd w:id="610"/>
    <w:bookmarkEnd w:id="611"/>
    <w:bookmarkEnd w:id="612"/>
    <w:bookmarkEnd w:id="613"/>
    <w:bookmarkEnd w:id="614"/>
    <w:bookmarkEnd w:id="615"/>
    <w:bookmarkEnd w:id="616"/>
    <w:p w14:paraId="40FA6CB5">
      <w:pPr>
        <w:pStyle w:val="110"/>
        <w:shd w:val="clear"/>
        <w:spacing w:line="360" w:lineRule="auto"/>
        <w:jc w:val="left"/>
        <w:rPr>
          <w:rFonts w:hint="eastAsia" w:ascii="宋体" w:hAnsi="宋体" w:eastAsia="宋体" w:cs="宋体"/>
          <w:color w:val="auto"/>
          <w:sz w:val="24"/>
          <w:szCs w:val="21"/>
          <w:highlight w:val="none"/>
          <w:u w:val="single"/>
        </w:rPr>
      </w:pPr>
      <w:bookmarkStart w:id="622" w:name="_Toc531359060"/>
    </w:p>
    <w:p w14:paraId="4EE773EB">
      <w:pPr>
        <w:pStyle w:val="6"/>
        <w:shd w:val="clear"/>
        <w:spacing w:before="0" w:after="0"/>
        <w:ind w:firstLine="0" w:firstLineChars="0"/>
        <w:jc w:val="left"/>
        <w:rPr>
          <w:rFonts w:hint="eastAsia" w:ascii="宋体" w:hAnsi="宋体" w:eastAsia="宋体" w:cs="宋体"/>
          <w:color w:val="auto"/>
          <w:sz w:val="24"/>
          <w:szCs w:val="24"/>
          <w:highlight w:val="none"/>
        </w:rPr>
      </w:pPr>
      <w:bookmarkStart w:id="623" w:name="_Toc97213041"/>
      <w:bookmarkStart w:id="624" w:name="_Toc9344"/>
      <w:bookmarkStart w:id="625" w:name="_Toc21518"/>
      <w:bookmarkStart w:id="626" w:name="_Toc2599"/>
      <w:bookmarkStart w:id="627" w:name="_Toc11872"/>
      <w:r>
        <w:rPr>
          <w:rFonts w:hint="eastAsia" w:ascii="宋体" w:hAnsi="宋体" w:eastAsia="宋体" w:cs="宋体"/>
          <w:color w:val="auto"/>
          <w:sz w:val="24"/>
          <w:szCs w:val="24"/>
          <w:highlight w:val="none"/>
        </w:rPr>
        <w:br w:type="page"/>
      </w:r>
      <w:bookmarkStart w:id="628" w:name="_Toc2711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成功案例及业绩</w:t>
      </w:r>
      <w:bookmarkEnd w:id="622"/>
      <w:r>
        <w:rPr>
          <w:rFonts w:hint="eastAsia" w:ascii="宋体" w:hAnsi="宋体" w:eastAsia="宋体" w:cs="宋体"/>
          <w:color w:val="auto"/>
          <w:sz w:val="24"/>
          <w:szCs w:val="24"/>
          <w:highlight w:val="none"/>
        </w:rPr>
        <w:t>格式</w:t>
      </w:r>
      <w:bookmarkEnd w:id="623"/>
      <w:bookmarkEnd w:id="624"/>
      <w:bookmarkEnd w:id="625"/>
      <w:bookmarkEnd w:id="626"/>
      <w:bookmarkEnd w:id="627"/>
      <w:bookmarkEnd w:id="628"/>
    </w:p>
    <w:p w14:paraId="48EF490B">
      <w:pPr>
        <w:pStyle w:val="7"/>
        <w:shd w:val="clear"/>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成功案例及业绩（</w:t>
      </w:r>
      <w:r>
        <w:rPr>
          <w:rFonts w:hint="eastAsia" w:ascii="宋体" w:hAnsi="宋体" w:eastAsia="宋体" w:cs="宋体"/>
          <w:b/>
          <w:color w:val="auto"/>
          <w:sz w:val="32"/>
          <w:szCs w:val="32"/>
          <w:highlight w:val="none"/>
          <w:lang w:eastAsia="zh-CN"/>
        </w:rPr>
        <w:t>如有</w:t>
      </w:r>
      <w:r>
        <w:rPr>
          <w:rFonts w:hint="eastAsia" w:ascii="宋体" w:hAnsi="宋体" w:eastAsia="宋体" w:cs="宋体"/>
          <w:b/>
          <w:color w:val="auto"/>
          <w:sz w:val="32"/>
          <w:szCs w:val="32"/>
          <w:highlight w:val="none"/>
        </w:rPr>
        <w:t>）</w:t>
      </w:r>
    </w:p>
    <w:p w14:paraId="008545B4">
      <w:pPr>
        <w:pStyle w:val="35"/>
        <w:shd w:val="clear"/>
        <w:snapToGrid w:val="0"/>
        <w:ind w:left="480" w:hanging="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投标人类似项目实施情况一览表</w:t>
      </w:r>
    </w:p>
    <w:tbl>
      <w:tblPr>
        <w:tblStyle w:val="45"/>
        <w:tblW w:w="9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2"/>
        <w:gridCol w:w="840"/>
        <w:gridCol w:w="2302"/>
        <w:gridCol w:w="1294"/>
      </w:tblGrid>
      <w:tr w14:paraId="0BA59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14:paraId="05339AC6">
            <w:pPr>
              <w:shd w:val="clear"/>
              <w:snapToGrid w:val="0"/>
              <w:ind w:left="-78" w:leftChars="-37" w:right="-44" w:rightChars="-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14:paraId="52826C3A">
            <w:pPr>
              <w:shd w:val="clear"/>
              <w:snapToGrid w:val="0"/>
              <w:ind w:left="-78" w:leftChars="-37" w:right="-44" w:rightChars="-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14:paraId="3ABD995B">
            <w:pPr>
              <w:shd w:val="clear"/>
              <w:snapToGrid w:val="0"/>
              <w:ind w:left="-78" w:leftChars="-37" w:right="-44" w:rightChars="-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14:paraId="5950417C">
            <w:pPr>
              <w:shd w:val="clear"/>
              <w:snapToGrid w:val="0"/>
              <w:ind w:left="-78" w:leftChars="-37" w:right="-44" w:rightChars="-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采购数量</w:t>
            </w: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14:paraId="7F2845FA">
            <w:pPr>
              <w:shd w:val="clear"/>
              <w:snapToGrid w:val="0"/>
              <w:ind w:left="-78" w:leftChars="-37" w:right="-44" w:rightChars="-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p w14:paraId="37E78B0A">
            <w:pPr>
              <w:shd w:val="clear"/>
              <w:snapToGrid w:val="0"/>
              <w:ind w:left="-78" w:leftChars="-37" w:right="-44" w:rightChars="-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840" w:type="dxa"/>
            <w:vMerge w:val="restart"/>
            <w:tcBorders>
              <w:top w:val="single" w:color="auto" w:sz="4" w:space="0"/>
              <w:left w:val="single" w:color="auto" w:sz="4" w:space="0"/>
              <w:right w:val="single" w:color="auto" w:sz="4" w:space="0"/>
            </w:tcBorders>
            <w:noWrap w:val="0"/>
            <w:vAlign w:val="center"/>
          </w:tcPr>
          <w:p w14:paraId="7D90E35D">
            <w:pPr>
              <w:shd w:val="clear"/>
              <w:snapToGrid w:val="0"/>
              <w:ind w:left="-78" w:leftChars="-37" w:right="-44" w:rightChars="-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签约及完成日期</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59FCD423">
            <w:pPr>
              <w:shd w:val="clear"/>
              <w:snapToGrid w:val="0"/>
              <w:ind w:left="-78" w:leftChars="-37" w:right="-44" w:rightChars="-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附件页码</w:t>
            </w: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33DA9BE0">
            <w:pPr>
              <w:shd w:val="clear"/>
              <w:snapToGrid w:val="0"/>
              <w:ind w:left="-78" w:leftChars="-37" w:right="-44" w:rightChars="-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采购人联系人及联系电话</w:t>
            </w:r>
          </w:p>
        </w:tc>
      </w:tr>
      <w:tr w14:paraId="2494E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14:paraId="1E6F1C54">
            <w:pPr>
              <w:widowControl/>
              <w:shd w:val="clear"/>
              <w:jc w:val="left"/>
              <w:rPr>
                <w:rFonts w:hint="eastAsia" w:ascii="宋体" w:hAnsi="宋体" w:eastAsia="宋体" w:cs="宋体"/>
                <w:color w:val="auto"/>
                <w:sz w:val="24"/>
                <w:szCs w:val="24"/>
                <w:highlight w:val="none"/>
              </w:rPr>
            </w:pP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14:paraId="6E9E1859">
            <w:pPr>
              <w:widowControl/>
              <w:shd w:val="clear"/>
              <w:jc w:val="left"/>
              <w:rPr>
                <w:rFonts w:hint="eastAsia" w:ascii="宋体" w:hAnsi="宋体" w:eastAsia="宋体" w:cs="宋体"/>
                <w:color w:val="auto"/>
                <w:sz w:val="24"/>
                <w:szCs w:val="24"/>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717F33C5">
            <w:pPr>
              <w:widowControl/>
              <w:shd w:val="clear"/>
              <w:jc w:val="left"/>
              <w:rPr>
                <w:rFonts w:hint="eastAsia" w:ascii="宋体" w:hAnsi="宋体" w:eastAsia="宋体" w:cs="宋体"/>
                <w:color w:val="auto"/>
                <w:sz w:val="24"/>
                <w:szCs w:val="24"/>
                <w:highlight w:val="none"/>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14:paraId="074320C5">
            <w:pPr>
              <w:widowControl/>
              <w:shd w:val="clear"/>
              <w:jc w:val="left"/>
              <w:rPr>
                <w:rFonts w:hint="eastAsia" w:ascii="宋体" w:hAnsi="宋体" w:eastAsia="宋体" w:cs="宋体"/>
                <w:color w:val="auto"/>
                <w:sz w:val="24"/>
                <w:szCs w:val="24"/>
                <w:highlight w:val="none"/>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14:paraId="047B44C6">
            <w:pPr>
              <w:widowControl/>
              <w:shd w:val="clear"/>
              <w:jc w:val="left"/>
              <w:rPr>
                <w:rFonts w:hint="eastAsia" w:ascii="宋体" w:hAnsi="宋体" w:eastAsia="宋体" w:cs="宋体"/>
                <w:color w:val="auto"/>
                <w:sz w:val="24"/>
                <w:szCs w:val="24"/>
                <w:highlight w:val="none"/>
              </w:rPr>
            </w:pPr>
          </w:p>
        </w:tc>
        <w:tc>
          <w:tcPr>
            <w:tcW w:w="840" w:type="dxa"/>
            <w:vMerge w:val="continue"/>
            <w:tcBorders>
              <w:left w:val="single" w:color="auto" w:sz="4" w:space="0"/>
              <w:bottom w:val="single" w:color="auto" w:sz="4" w:space="0"/>
              <w:right w:val="single" w:color="auto" w:sz="4" w:space="0"/>
            </w:tcBorders>
            <w:noWrap w:val="0"/>
            <w:vAlign w:val="center"/>
          </w:tcPr>
          <w:p w14:paraId="572F8BF8">
            <w:pPr>
              <w:shd w:val="clear"/>
              <w:snapToGrid w:val="0"/>
              <w:jc w:val="center"/>
              <w:rPr>
                <w:rFonts w:hint="eastAsia" w:ascii="宋体" w:hAnsi="宋体" w:eastAsia="宋体" w:cs="宋体"/>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14:paraId="52E521C6">
            <w:pPr>
              <w:shd w:val="clea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6CD4BC88">
            <w:pPr>
              <w:widowControl/>
              <w:shd w:val="clear"/>
              <w:jc w:val="left"/>
              <w:rPr>
                <w:rFonts w:hint="eastAsia" w:ascii="宋体" w:hAnsi="宋体" w:eastAsia="宋体" w:cs="宋体"/>
                <w:color w:val="auto"/>
                <w:sz w:val="24"/>
                <w:szCs w:val="24"/>
                <w:highlight w:val="none"/>
              </w:rPr>
            </w:pPr>
          </w:p>
        </w:tc>
      </w:tr>
      <w:tr w14:paraId="763DA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73235FDD">
            <w:pPr>
              <w:shd w:val="clear"/>
              <w:snapToGrid w:val="0"/>
              <w:jc w:val="center"/>
              <w:rPr>
                <w:rFonts w:hint="eastAsia" w:ascii="宋体" w:hAnsi="宋体" w:eastAsia="宋体" w:cs="宋体"/>
                <w:color w:val="auto"/>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54EB3229">
            <w:pPr>
              <w:shd w:val="clear"/>
              <w:snapToGrid w:val="0"/>
              <w:jc w:val="center"/>
              <w:rPr>
                <w:rFonts w:hint="eastAsia" w:ascii="宋体" w:hAnsi="宋体" w:eastAsia="宋体" w:cs="宋体"/>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7B749F6">
            <w:pPr>
              <w:shd w:val="clear"/>
              <w:snapToGrid w:val="0"/>
              <w:jc w:val="center"/>
              <w:rPr>
                <w:rFonts w:hint="eastAsia" w:ascii="宋体" w:hAnsi="宋体" w:eastAsia="宋体" w:cs="宋体"/>
                <w:color w:val="auto"/>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40C594A8">
            <w:pPr>
              <w:shd w:val="clear"/>
              <w:snapToGrid w:val="0"/>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F92E196">
            <w:pPr>
              <w:shd w:val="clear"/>
              <w:snapToGrid w:val="0"/>
              <w:jc w:val="center"/>
              <w:rPr>
                <w:rFonts w:hint="eastAsia" w:ascii="宋体" w:hAnsi="宋体" w:eastAsia="宋体" w:cs="宋体"/>
                <w:color w:val="auto"/>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E9B0A4D">
            <w:pPr>
              <w:shd w:val="clear"/>
              <w:snapToGrid w:val="0"/>
              <w:jc w:val="center"/>
              <w:rPr>
                <w:rFonts w:hint="eastAsia" w:ascii="宋体" w:hAnsi="宋体" w:eastAsia="宋体" w:cs="宋体"/>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A97C10E">
            <w:pPr>
              <w:shd w:val="clear"/>
              <w:snapToGrid w:val="0"/>
              <w:jc w:val="center"/>
              <w:rPr>
                <w:rFonts w:hint="eastAsia" w:ascii="宋体" w:hAnsi="宋体" w:eastAsia="宋体" w:cs="宋体"/>
                <w:color w:val="auto"/>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0A2A807">
            <w:pPr>
              <w:shd w:val="clear"/>
              <w:snapToGrid w:val="0"/>
              <w:jc w:val="center"/>
              <w:rPr>
                <w:rFonts w:hint="eastAsia" w:ascii="宋体" w:hAnsi="宋体" w:eastAsia="宋体" w:cs="宋体"/>
                <w:color w:val="auto"/>
                <w:sz w:val="24"/>
                <w:szCs w:val="24"/>
                <w:highlight w:val="none"/>
              </w:rPr>
            </w:pPr>
          </w:p>
        </w:tc>
      </w:tr>
      <w:tr w14:paraId="07E34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536A5A2">
            <w:pPr>
              <w:shd w:val="clear"/>
              <w:snapToGrid w:val="0"/>
              <w:spacing w:before="50" w:after="120" w:afterLine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718F97A5">
            <w:pPr>
              <w:shd w:val="clear"/>
              <w:snapToGrid w:val="0"/>
              <w:spacing w:before="50" w:after="120" w:afterLines="50"/>
              <w:jc w:val="center"/>
              <w:rPr>
                <w:rFonts w:hint="eastAsia" w:ascii="宋体" w:hAnsi="宋体" w:eastAsia="宋体" w:cs="宋体"/>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46B8462">
            <w:pPr>
              <w:shd w:val="clear"/>
              <w:snapToGrid w:val="0"/>
              <w:spacing w:before="50" w:after="120" w:afterLines="50"/>
              <w:jc w:val="center"/>
              <w:rPr>
                <w:rFonts w:hint="eastAsia" w:ascii="宋体" w:hAnsi="宋体" w:eastAsia="宋体" w:cs="宋体"/>
                <w:color w:val="auto"/>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219F996B">
            <w:pPr>
              <w:shd w:val="clear"/>
              <w:snapToGrid w:val="0"/>
              <w:spacing w:before="50" w:after="120" w:afterLines="50"/>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6896AA8">
            <w:pPr>
              <w:shd w:val="clear"/>
              <w:snapToGrid w:val="0"/>
              <w:spacing w:before="50" w:after="120" w:afterLines="50"/>
              <w:jc w:val="center"/>
              <w:rPr>
                <w:rFonts w:hint="eastAsia" w:ascii="宋体" w:hAnsi="宋体" w:eastAsia="宋体" w:cs="宋体"/>
                <w:color w:val="auto"/>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1E6940C">
            <w:pPr>
              <w:shd w:val="clear"/>
              <w:snapToGrid w:val="0"/>
              <w:spacing w:before="50" w:after="120" w:afterLines="50"/>
              <w:jc w:val="center"/>
              <w:rPr>
                <w:rFonts w:hint="eastAsia" w:ascii="宋体" w:hAnsi="宋体" w:eastAsia="宋体" w:cs="宋体"/>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61910F0">
            <w:pPr>
              <w:shd w:val="clear"/>
              <w:snapToGrid w:val="0"/>
              <w:spacing w:before="50" w:after="120" w:afterLines="50"/>
              <w:jc w:val="center"/>
              <w:rPr>
                <w:rFonts w:hint="eastAsia" w:ascii="宋体" w:hAnsi="宋体" w:eastAsia="宋体" w:cs="宋体"/>
                <w:color w:val="auto"/>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4A9C78E">
            <w:pPr>
              <w:shd w:val="clear"/>
              <w:snapToGrid w:val="0"/>
              <w:spacing w:before="50" w:after="120" w:afterLines="50"/>
              <w:jc w:val="center"/>
              <w:rPr>
                <w:rFonts w:hint="eastAsia" w:ascii="宋体" w:hAnsi="宋体" w:eastAsia="宋体" w:cs="宋体"/>
                <w:color w:val="auto"/>
                <w:sz w:val="24"/>
                <w:szCs w:val="24"/>
                <w:highlight w:val="none"/>
              </w:rPr>
            </w:pPr>
          </w:p>
        </w:tc>
      </w:tr>
    </w:tbl>
    <w:p w14:paraId="6E6C9480">
      <w:pPr>
        <w:pStyle w:val="35"/>
        <w:shd w:val="clear"/>
        <w:snapToGrid w:val="0"/>
        <w:ind w:left="480" w:hanging="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此表后附合同电子文档等相关证明材料。</w:t>
      </w:r>
    </w:p>
    <w:p w14:paraId="115F00D1">
      <w:pPr>
        <w:pStyle w:val="35"/>
        <w:shd w:val="clear"/>
        <w:snapToGrid w:val="0"/>
        <w:ind w:left="480" w:hanging="480"/>
        <w:jc w:val="left"/>
        <w:rPr>
          <w:rFonts w:hint="eastAsia" w:ascii="宋体" w:hAnsi="宋体" w:eastAsia="宋体" w:cs="宋体"/>
          <w:color w:val="auto"/>
          <w:sz w:val="24"/>
          <w:highlight w:val="none"/>
        </w:rPr>
      </w:pPr>
    </w:p>
    <w:p w14:paraId="78762A78">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434C3D04">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bookmarkEnd w:id="617"/>
    <w:bookmarkEnd w:id="618"/>
    <w:p w14:paraId="7ACEF96D">
      <w:pPr>
        <w:pStyle w:val="110"/>
        <w:shd w:val="clear"/>
        <w:spacing w:line="360" w:lineRule="auto"/>
        <w:rPr>
          <w:rFonts w:hint="eastAsia" w:ascii="宋体" w:hAnsi="宋体" w:eastAsia="宋体" w:cs="宋体"/>
          <w:color w:val="auto"/>
          <w:sz w:val="24"/>
          <w:highlight w:val="none"/>
        </w:rPr>
      </w:pPr>
      <w:bookmarkStart w:id="629" w:name="_Toc531359068"/>
      <w:bookmarkStart w:id="630" w:name="_Toc493956070"/>
      <w:bookmarkStart w:id="631" w:name="_Toc530551894"/>
    </w:p>
    <w:p w14:paraId="43B655D0">
      <w:pPr>
        <w:shd w:val="clear"/>
        <w:bidi w:val="0"/>
        <w:rPr>
          <w:rFonts w:hint="eastAsia" w:ascii="宋体" w:hAnsi="宋体" w:eastAsia="宋体" w:cs="宋体"/>
          <w:color w:val="auto"/>
          <w:highlight w:val="none"/>
        </w:rPr>
      </w:pPr>
      <w:bookmarkStart w:id="632" w:name="_Toc25185"/>
      <w:bookmarkStart w:id="633" w:name="_Toc32219"/>
      <w:bookmarkStart w:id="634" w:name="_Toc26324"/>
      <w:bookmarkStart w:id="635" w:name="_Toc543"/>
      <w:bookmarkStart w:id="636" w:name="_Toc97213049"/>
    </w:p>
    <w:p w14:paraId="2728F2CE">
      <w:pPr>
        <w:pStyle w:val="6"/>
        <w:shd w:val="clear"/>
        <w:spacing w:before="0" w:after="0"/>
        <w:ind w:firstLine="0" w:firstLineChars="0"/>
        <w:jc w:val="left"/>
        <w:rPr>
          <w:rFonts w:hint="eastAsia" w:ascii="宋体" w:hAnsi="宋体" w:eastAsia="宋体" w:cs="宋体"/>
          <w:color w:val="auto"/>
          <w:sz w:val="24"/>
          <w:szCs w:val="24"/>
          <w:highlight w:val="none"/>
        </w:rPr>
      </w:pPr>
      <w:bookmarkStart w:id="637" w:name="_Toc26336"/>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 xml:space="preserve">   拟投入的设施设备</w:t>
      </w:r>
      <w:bookmarkEnd w:id="629"/>
      <w:r>
        <w:rPr>
          <w:rFonts w:hint="eastAsia" w:ascii="宋体" w:hAnsi="宋体" w:eastAsia="宋体" w:cs="宋体"/>
          <w:color w:val="auto"/>
          <w:sz w:val="24"/>
          <w:szCs w:val="24"/>
          <w:highlight w:val="none"/>
        </w:rPr>
        <w:t>格式</w:t>
      </w:r>
      <w:bookmarkEnd w:id="632"/>
      <w:bookmarkEnd w:id="633"/>
      <w:bookmarkEnd w:id="634"/>
      <w:bookmarkEnd w:id="635"/>
      <w:bookmarkEnd w:id="636"/>
      <w:bookmarkEnd w:id="637"/>
    </w:p>
    <w:p w14:paraId="145DF324">
      <w:pPr>
        <w:pStyle w:val="7"/>
        <w:shd w:val="clear"/>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本项目拟投入的设施设备一览表</w:t>
      </w:r>
    </w:p>
    <w:tbl>
      <w:tblPr>
        <w:tblStyle w:val="4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275"/>
        <w:gridCol w:w="1276"/>
        <w:gridCol w:w="851"/>
        <w:gridCol w:w="1559"/>
        <w:gridCol w:w="1417"/>
      </w:tblGrid>
      <w:tr w14:paraId="0BE8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5B93357B">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878" w:type="dxa"/>
            <w:noWrap w:val="0"/>
            <w:vAlign w:val="center"/>
          </w:tcPr>
          <w:p w14:paraId="6036883C">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设施设备名称</w:t>
            </w:r>
          </w:p>
        </w:tc>
        <w:tc>
          <w:tcPr>
            <w:tcW w:w="1275" w:type="dxa"/>
            <w:noWrap w:val="0"/>
            <w:vAlign w:val="center"/>
          </w:tcPr>
          <w:p w14:paraId="10603621">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76" w:type="dxa"/>
            <w:noWrap w:val="0"/>
            <w:vAlign w:val="center"/>
          </w:tcPr>
          <w:p w14:paraId="1ED55A2A">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制造厂家</w:t>
            </w:r>
          </w:p>
        </w:tc>
        <w:tc>
          <w:tcPr>
            <w:tcW w:w="851" w:type="dxa"/>
            <w:noWrap w:val="0"/>
            <w:vAlign w:val="center"/>
          </w:tcPr>
          <w:p w14:paraId="07A44784">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559" w:type="dxa"/>
            <w:noWrap w:val="0"/>
            <w:vAlign w:val="center"/>
          </w:tcPr>
          <w:p w14:paraId="188C6AEF">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用途</w:t>
            </w:r>
          </w:p>
        </w:tc>
        <w:tc>
          <w:tcPr>
            <w:tcW w:w="1417" w:type="dxa"/>
            <w:noWrap w:val="0"/>
            <w:vAlign w:val="center"/>
          </w:tcPr>
          <w:p w14:paraId="424F140B">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备注（自有或租赁）</w:t>
            </w:r>
          </w:p>
        </w:tc>
      </w:tr>
      <w:tr w14:paraId="3497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4709AA70">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78" w:type="dxa"/>
            <w:noWrap w:val="0"/>
            <w:vAlign w:val="center"/>
          </w:tcPr>
          <w:p w14:paraId="736105FA">
            <w:pPr>
              <w:pStyle w:val="203"/>
              <w:shd w:val="clear"/>
              <w:jc w:val="center"/>
              <w:rPr>
                <w:rFonts w:hint="eastAsia" w:ascii="宋体" w:hAnsi="宋体" w:eastAsia="宋体" w:cs="宋体"/>
                <w:color w:val="auto"/>
                <w:sz w:val="24"/>
                <w:highlight w:val="none"/>
              </w:rPr>
            </w:pPr>
          </w:p>
        </w:tc>
        <w:tc>
          <w:tcPr>
            <w:tcW w:w="1275" w:type="dxa"/>
            <w:noWrap w:val="0"/>
            <w:vAlign w:val="center"/>
          </w:tcPr>
          <w:p w14:paraId="75928882">
            <w:pPr>
              <w:pStyle w:val="203"/>
              <w:shd w:val="clear"/>
              <w:jc w:val="center"/>
              <w:rPr>
                <w:rFonts w:hint="eastAsia" w:ascii="宋体" w:hAnsi="宋体" w:eastAsia="宋体" w:cs="宋体"/>
                <w:color w:val="auto"/>
                <w:sz w:val="24"/>
                <w:highlight w:val="none"/>
              </w:rPr>
            </w:pPr>
          </w:p>
        </w:tc>
        <w:tc>
          <w:tcPr>
            <w:tcW w:w="1276" w:type="dxa"/>
            <w:noWrap w:val="0"/>
            <w:vAlign w:val="center"/>
          </w:tcPr>
          <w:p w14:paraId="37A1804E">
            <w:pPr>
              <w:pStyle w:val="203"/>
              <w:shd w:val="clear"/>
              <w:jc w:val="center"/>
              <w:rPr>
                <w:rFonts w:hint="eastAsia" w:ascii="宋体" w:hAnsi="宋体" w:eastAsia="宋体" w:cs="宋体"/>
                <w:color w:val="auto"/>
                <w:sz w:val="24"/>
                <w:highlight w:val="none"/>
              </w:rPr>
            </w:pPr>
          </w:p>
        </w:tc>
        <w:tc>
          <w:tcPr>
            <w:tcW w:w="851" w:type="dxa"/>
            <w:noWrap w:val="0"/>
            <w:vAlign w:val="center"/>
          </w:tcPr>
          <w:p w14:paraId="280F076D">
            <w:pPr>
              <w:pStyle w:val="203"/>
              <w:shd w:val="clear"/>
              <w:jc w:val="center"/>
              <w:rPr>
                <w:rFonts w:hint="eastAsia" w:ascii="宋体" w:hAnsi="宋体" w:eastAsia="宋体" w:cs="宋体"/>
                <w:color w:val="auto"/>
                <w:sz w:val="24"/>
                <w:highlight w:val="none"/>
              </w:rPr>
            </w:pPr>
          </w:p>
        </w:tc>
        <w:tc>
          <w:tcPr>
            <w:tcW w:w="1559" w:type="dxa"/>
            <w:noWrap w:val="0"/>
            <w:vAlign w:val="center"/>
          </w:tcPr>
          <w:p w14:paraId="49742477">
            <w:pPr>
              <w:pStyle w:val="203"/>
              <w:shd w:val="clear"/>
              <w:jc w:val="center"/>
              <w:rPr>
                <w:rFonts w:hint="eastAsia" w:ascii="宋体" w:hAnsi="宋体" w:eastAsia="宋体" w:cs="宋体"/>
                <w:color w:val="auto"/>
                <w:sz w:val="24"/>
                <w:highlight w:val="none"/>
              </w:rPr>
            </w:pPr>
          </w:p>
        </w:tc>
        <w:tc>
          <w:tcPr>
            <w:tcW w:w="1417" w:type="dxa"/>
            <w:noWrap w:val="0"/>
            <w:vAlign w:val="center"/>
          </w:tcPr>
          <w:p w14:paraId="212AC6CB">
            <w:pPr>
              <w:pStyle w:val="203"/>
              <w:shd w:val="clear"/>
              <w:jc w:val="center"/>
              <w:rPr>
                <w:rFonts w:hint="eastAsia" w:ascii="宋体" w:hAnsi="宋体" w:eastAsia="宋体" w:cs="宋体"/>
                <w:color w:val="auto"/>
                <w:sz w:val="24"/>
                <w:highlight w:val="none"/>
              </w:rPr>
            </w:pPr>
          </w:p>
        </w:tc>
      </w:tr>
      <w:tr w14:paraId="6959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6495BA87">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78" w:type="dxa"/>
            <w:noWrap w:val="0"/>
            <w:vAlign w:val="center"/>
          </w:tcPr>
          <w:p w14:paraId="21A2D6A5">
            <w:pPr>
              <w:pStyle w:val="203"/>
              <w:shd w:val="clear"/>
              <w:jc w:val="center"/>
              <w:rPr>
                <w:rFonts w:hint="eastAsia" w:ascii="宋体" w:hAnsi="宋体" w:eastAsia="宋体" w:cs="宋体"/>
                <w:color w:val="auto"/>
                <w:sz w:val="24"/>
                <w:highlight w:val="none"/>
              </w:rPr>
            </w:pPr>
          </w:p>
        </w:tc>
        <w:tc>
          <w:tcPr>
            <w:tcW w:w="1275" w:type="dxa"/>
            <w:noWrap w:val="0"/>
            <w:vAlign w:val="center"/>
          </w:tcPr>
          <w:p w14:paraId="526DC141">
            <w:pPr>
              <w:pStyle w:val="203"/>
              <w:shd w:val="clear"/>
              <w:jc w:val="center"/>
              <w:rPr>
                <w:rFonts w:hint="eastAsia" w:ascii="宋体" w:hAnsi="宋体" w:eastAsia="宋体" w:cs="宋体"/>
                <w:color w:val="auto"/>
                <w:sz w:val="24"/>
                <w:highlight w:val="none"/>
              </w:rPr>
            </w:pPr>
          </w:p>
        </w:tc>
        <w:tc>
          <w:tcPr>
            <w:tcW w:w="1276" w:type="dxa"/>
            <w:noWrap w:val="0"/>
            <w:vAlign w:val="center"/>
          </w:tcPr>
          <w:p w14:paraId="39167EE2">
            <w:pPr>
              <w:pStyle w:val="203"/>
              <w:shd w:val="clear"/>
              <w:jc w:val="center"/>
              <w:rPr>
                <w:rFonts w:hint="eastAsia" w:ascii="宋体" w:hAnsi="宋体" w:eastAsia="宋体" w:cs="宋体"/>
                <w:color w:val="auto"/>
                <w:sz w:val="24"/>
                <w:highlight w:val="none"/>
              </w:rPr>
            </w:pPr>
          </w:p>
        </w:tc>
        <w:tc>
          <w:tcPr>
            <w:tcW w:w="851" w:type="dxa"/>
            <w:noWrap w:val="0"/>
            <w:vAlign w:val="center"/>
          </w:tcPr>
          <w:p w14:paraId="205DBBD9">
            <w:pPr>
              <w:pStyle w:val="203"/>
              <w:shd w:val="clear"/>
              <w:jc w:val="center"/>
              <w:rPr>
                <w:rFonts w:hint="eastAsia" w:ascii="宋体" w:hAnsi="宋体" w:eastAsia="宋体" w:cs="宋体"/>
                <w:color w:val="auto"/>
                <w:sz w:val="24"/>
                <w:highlight w:val="none"/>
              </w:rPr>
            </w:pPr>
          </w:p>
        </w:tc>
        <w:tc>
          <w:tcPr>
            <w:tcW w:w="1559" w:type="dxa"/>
            <w:noWrap w:val="0"/>
            <w:vAlign w:val="center"/>
          </w:tcPr>
          <w:p w14:paraId="75C34F7E">
            <w:pPr>
              <w:pStyle w:val="203"/>
              <w:shd w:val="clear"/>
              <w:jc w:val="center"/>
              <w:rPr>
                <w:rFonts w:hint="eastAsia" w:ascii="宋体" w:hAnsi="宋体" w:eastAsia="宋体" w:cs="宋体"/>
                <w:color w:val="auto"/>
                <w:sz w:val="24"/>
                <w:highlight w:val="none"/>
              </w:rPr>
            </w:pPr>
          </w:p>
        </w:tc>
        <w:tc>
          <w:tcPr>
            <w:tcW w:w="1417" w:type="dxa"/>
            <w:noWrap w:val="0"/>
            <w:vAlign w:val="center"/>
          </w:tcPr>
          <w:p w14:paraId="2B813D83">
            <w:pPr>
              <w:pStyle w:val="203"/>
              <w:shd w:val="clear"/>
              <w:jc w:val="center"/>
              <w:rPr>
                <w:rFonts w:hint="eastAsia" w:ascii="宋体" w:hAnsi="宋体" w:eastAsia="宋体" w:cs="宋体"/>
                <w:color w:val="auto"/>
                <w:sz w:val="24"/>
                <w:highlight w:val="none"/>
              </w:rPr>
            </w:pPr>
          </w:p>
        </w:tc>
      </w:tr>
      <w:tr w14:paraId="2377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6FBE800D">
            <w:pPr>
              <w:pStyle w:val="20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78" w:type="dxa"/>
            <w:noWrap w:val="0"/>
            <w:vAlign w:val="center"/>
          </w:tcPr>
          <w:p w14:paraId="27926C85">
            <w:pPr>
              <w:shd w:val="clear"/>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275" w:type="dxa"/>
            <w:noWrap w:val="0"/>
            <w:vAlign w:val="center"/>
          </w:tcPr>
          <w:p w14:paraId="7E59D577">
            <w:pPr>
              <w:shd w:val="clear"/>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276" w:type="dxa"/>
            <w:noWrap w:val="0"/>
            <w:vAlign w:val="center"/>
          </w:tcPr>
          <w:p w14:paraId="280BB235">
            <w:pPr>
              <w:shd w:val="clear"/>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851" w:type="dxa"/>
            <w:noWrap w:val="0"/>
            <w:vAlign w:val="center"/>
          </w:tcPr>
          <w:p w14:paraId="1EF7356F">
            <w:pPr>
              <w:shd w:val="clear"/>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559" w:type="dxa"/>
            <w:noWrap w:val="0"/>
            <w:vAlign w:val="center"/>
          </w:tcPr>
          <w:p w14:paraId="54E67415">
            <w:pPr>
              <w:shd w:val="clear"/>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417" w:type="dxa"/>
            <w:noWrap w:val="0"/>
            <w:vAlign w:val="center"/>
          </w:tcPr>
          <w:p w14:paraId="2E87DFDD">
            <w:pPr>
              <w:shd w:val="clear"/>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r>
    </w:tbl>
    <w:p w14:paraId="058E074D">
      <w:pPr>
        <w:pStyle w:val="35"/>
        <w:shd w:val="clear"/>
        <w:snapToGrid w:val="0"/>
        <w:ind w:left="480" w:hanging="480"/>
        <w:jc w:val="left"/>
        <w:rPr>
          <w:rFonts w:hint="eastAsia" w:ascii="宋体" w:hAnsi="宋体" w:eastAsia="宋体" w:cs="宋体"/>
          <w:color w:val="auto"/>
          <w:sz w:val="24"/>
          <w:highlight w:val="none"/>
        </w:rPr>
      </w:pPr>
    </w:p>
    <w:p w14:paraId="4688D242">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47F51EBA">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6F1433D4">
      <w:pPr>
        <w:pStyle w:val="203"/>
        <w:shd w:val="clear"/>
        <w:spacing w:line="360" w:lineRule="auto"/>
        <w:jc w:val="left"/>
        <w:rPr>
          <w:rFonts w:hint="eastAsia" w:ascii="宋体" w:hAnsi="宋体" w:eastAsia="宋体" w:cs="宋体"/>
          <w:color w:val="auto"/>
          <w:sz w:val="24"/>
          <w:highlight w:val="none"/>
        </w:rPr>
      </w:pPr>
    </w:p>
    <w:p w14:paraId="1CAB297D">
      <w:pPr>
        <w:pStyle w:val="6"/>
        <w:shd w:val="clear"/>
        <w:spacing w:before="0" w:after="0"/>
        <w:ind w:firstLine="0" w:firstLineChars="0"/>
        <w:jc w:val="left"/>
        <w:rPr>
          <w:rFonts w:hint="eastAsia" w:ascii="宋体" w:hAnsi="宋体" w:eastAsia="宋体" w:cs="宋体"/>
          <w:color w:val="auto"/>
          <w:sz w:val="24"/>
          <w:szCs w:val="24"/>
          <w:highlight w:val="none"/>
        </w:rPr>
        <w:sectPr>
          <w:pgSz w:w="11906" w:h="16838"/>
          <w:pgMar w:top="1440" w:right="1440" w:bottom="1440" w:left="1440" w:header="851" w:footer="851" w:gutter="0"/>
          <w:pgNumType w:fmt="decimal"/>
          <w:cols w:space="720" w:num="1"/>
          <w:docGrid w:linePitch="312" w:charSpace="0"/>
        </w:sectPr>
      </w:pPr>
      <w:bookmarkStart w:id="638" w:name="_Toc531359069"/>
    </w:p>
    <w:p w14:paraId="1255F37D">
      <w:pPr>
        <w:pStyle w:val="6"/>
        <w:shd w:val="clear"/>
        <w:spacing w:before="0" w:after="0"/>
        <w:ind w:firstLine="0" w:firstLineChars="0"/>
        <w:jc w:val="left"/>
        <w:rPr>
          <w:rFonts w:hint="eastAsia" w:ascii="宋体" w:hAnsi="宋体" w:eastAsia="宋体" w:cs="宋体"/>
          <w:color w:val="auto"/>
          <w:sz w:val="24"/>
          <w:szCs w:val="24"/>
          <w:highlight w:val="none"/>
        </w:rPr>
      </w:pPr>
      <w:bookmarkStart w:id="639" w:name="_Toc32721"/>
      <w:bookmarkStart w:id="640" w:name="_Toc97213050"/>
      <w:bookmarkStart w:id="641" w:name="_Toc28704"/>
      <w:bookmarkStart w:id="642" w:name="_Toc16476"/>
      <w:bookmarkStart w:id="643" w:name="_Toc14791"/>
      <w:bookmarkStart w:id="644" w:name="_Toc839"/>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 xml:space="preserve">   拟投入的项目班子</w:t>
      </w:r>
      <w:bookmarkEnd w:id="638"/>
      <w:r>
        <w:rPr>
          <w:rFonts w:hint="eastAsia" w:ascii="宋体" w:hAnsi="宋体" w:eastAsia="宋体" w:cs="宋体"/>
          <w:color w:val="auto"/>
          <w:sz w:val="24"/>
          <w:szCs w:val="24"/>
          <w:highlight w:val="none"/>
        </w:rPr>
        <w:t>格式</w:t>
      </w:r>
      <w:bookmarkEnd w:id="639"/>
      <w:bookmarkEnd w:id="640"/>
      <w:bookmarkEnd w:id="641"/>
      <w:bookmarkEnd w:id="642"/>
      <w:bookmarkEnd w:id="643"/>
      <w:bookmarkEnd w:id="644"/>
    </w:p>
    <w:p w14:paraId="26EB255B">
      <w:pPr>
        <w:pStyle w:val="7"/>
        <w:shd w:val="clear"/>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拟投入的项目班子格式</w:t>
      </w:r>
    </w:p>
    <w:p w14:paraId="44EE9E9A">
      <w:pPr>
        <w:pStyle w:val="7"/>
        <w:shd w:val="clear"/>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（格式仅供参考）</w:t>
      </w:r>
    </w:p>
    <w:p w14:paraId="74A652A0">
      <w:pPr>
        <w:pStyle w:val="7"/>
        <w:shd w:val="clear"/>
        <w:ind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项目负责人简历表</w:t>
      </w:r>
    </w:p>
    <w:tbl>
      <w:tblPr>
        <w:tblStyle w:val="4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010B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662C1352">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165" w:type="dxa"/>
            <w:gridSpan w:val="2"/>
            <w:noWrap w:val="0"/>
            <w:vAlign w:val="center"/>
          </w:tcPr>
          <w:p w14:paraId="05931FE1">
            <w:pPr>
              <w:pStyle w:val="7"/>
              <w:shd w:val="clear"/>
              <w:ind w:firstLine="0"/>
              <w:jc w:val="center"/>
              <w:rPr>
                <w:rFonts w:hint="eastAsia" w:ascii="宋体" w:hAnsi="宋体" w:eastAsia="宋体" w:cs="宋体"/>
                <w:color w:val="auto"/>
                <w:sz w:val="24"/>
                <w:szCs w:val="24"/>
                <w:highlight w:val="none"/>
              </w:rPr>
            </w:pPr>
          </w:p>
        </w:tc>
        <w:tc>
          <w:tcPr>
            <w:tcW w:w="1155" w:type="dxa"/>
            <w:noWrap w:val="0"/>
            <w:vAlign w:val="center"/>
          </w:tcPr>
          <w:p w14:paraId="4D201058">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155" w:type="dxa"/>
            <w:gridSpan w:val="2"/>
            <w:noWrap w:val="0"/>
            <w:vAlign w:val="center"/>
          </w:tcPr>
          <w:p w14:paraId="7A36CB7A">
            <w:pPr>
              <w:pStyle w:val="7"/>
              <w:shd w:val="clear"/>
              <w:ind w:firstLine="0"/>
              <w:jc w:val="center"/>
              <w:rPr>
                <w:rFonts w:hint="eastAsia" w:ascii="宋体" w:hAnsi="宋体" w:eastAsia="宋体" w:cs="宋体"/>
                <w:color w:val="auto"/>
                <w:sz w:val="24"/>
                <w:szCs w:val="24"/>
                <w:highlight w:val="none"/>
              </w:rPr>
            </w:pPr>
          </w:p>
        </w:tc>
        <w:tc>
          <w:tcPr>
            <w:tcW w:w="2745" w:type="dxa"/>
            <w:gridSpan w:val="2"/>
            <w:noWrap w:val="0"/>
            <w:vAlign w:val="center"/>
          </w:tcPr>
          <w:p w14:paraId="54D48D61">
            <w:pPr>
              <w:pStyle w:val="7"/>
              <w:shd w:val="clear"/>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00" w:type="dxa"/>
            <w:noWrap w:val="0"/>
            <w:vAlign w:val="center"/>
          </w:tcPr>
          <w:p w14:paraId="6A729E0F">
            <w:pPr>
              <w:pStyle w:val="7"/>
              <w:shd w:val="clear"/>
              <w:ind w:firstLine="0"/>
              <w:jc w:val="center"/>
              <w:rPr>
                <w:rFonts w:hint="eastAsia" w:ascii="宋体" w:hAnsi="宋体" w:eastAsia="宋体" w:cs="宋体"/>
                <w:color w:val="auto"/>
                <w:sz w:val="24"/>
                <w:szCs w:val="24"/>
                <w:highlight w:val="none"/>
              </w:rPr>
            </w:pPr>
          </w:p>
        </w:tc>
      </w:tr>
      <w:tr w14:paraId="2CA2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637563D2">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165" w:type="dxa"/>
            <w:gridSpan w:val="2"/>
            <w:noWrap w:val="0"/>
            <w:vAlign w:val="center"/>
          </w:tcPr>
          <w:p w14:paraId="26FE19E9">
            <w:pPr>
              <w:pStyle w:val="7"/>
              <w:shd w:val="clear"/>
              <w:ind w:firstLine="0"/>
              <w:jc w:val="center"/>
              <w:rPr>
                <w:rFonts w:hint="eastAsia" w:ascii="宋体" w:hAnsi="宋体" w:eastAsia="宋体" w:cs="宋体"/>
                <w:color w:val="auto"/>
                <w:sz w:val="24"/>
                <w:szCs w:val="24"/>
                <w:highlight w:val="none"/>
              </w:rPr>
            </w:pPr>
          </w:p>
        </w:tc>
        <w:tc>
          <w:tcPr>
            <w:tcW w:w="1155" w:type="dxa"/>
            <w:noWrap w:val="0"/>
            <w:vAlign w:val="center"/>
          </w:tcPr>
          <w:p w14:paraId="68955EBE">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155" w:type="dxa"/>
            <w:gridSpan w:val="2"/>
            <w:noWrap w:val="0"/>
            <w:vAlign w:val="center"/>
          </w:tcPr>
          <w:p w14:paraId="1DBEBB21">
            <w:pPr>
              <w:pStyle w:val="7"/>
              <w:shd w:val="clear"/>
              <w:ind w:firstLine="0"/>
              <w:jc w:val="center"/>
              <w:rPr>
                <w:rFonts w:hint="eastAsia" w:ascii="宋体" w:hAnsi="宋体" w:eastAsia="宋体" w:cs="宋体"/>
                <w:color w:val="auto"/>
                <w:sz w:val="24"/>
                <w:szCs w:val="24"/>
                <w:highlight w:val="none"/>
              </w:rPr>
            </w:pPr>
          </w:p>
        </w:tc>
        <w:tc>
          <w:tcPr>
            <w:tcW w:w="2745" w:type="dxa"/>
            <w:gridSpan w:val="2"/>
            <w:noWrap w:val="0"/>
            <w:vAlign w:val="center"/>
          </w:tcPr>
          <w:p w14:paraId="263FE206">
            <w:pPr>
              <w:pStyle w:val="7"/>
              <w:shd w:val="clear"/>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拟在本项目任职</w:t>
            </w:r>
          </w:p>
        </w:tc>
        <w:tc>
          <w:tcPr>
            <w:tcW w:w="1800" w:type="dxa"/>
            <w:noWrap w:val="0"/>
            <w:vAlign w:val="center"/>
          </w:tcPr>
          <w:p w14:paraId="5F97BA95">
            <w:pPr>
              <w:pStyle w:val="7"/>
              <w:shd w:val="clear"/>
              <w:ind w:firstLine="0"/>
              <w:jc w:val="center"/>
              <w:rPr>
                <w:rFonts w:hint="eastAsia" w:ascii="宋体" w:hAnsi="宋体" w:eastAsia="宋体" w:cs="宋体"/>
                <w:color w:val="auto"/>
                <w:sz w:val="24"/>
                <w:szCs w:val="24"/>
                <w:highlight w:val="none"/>
              </w:rPr>
            </w:pPr>
          </w:p>
        </w:tc>
      </w:tr>
      <w:tr w14:paraId="5CD5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2D5A2709">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毕业院校</w:t>
            </w:r>
          </w:p>
        </w:tc>
        <w:tc>
          <w:tcPr>
            <w:tcW w:w="8020" w:type="dxa"/>
            <w:gridSpan w:val="8"/>
            <w:noWrap w:val="0"/>
            <w:vAlign w:val="center"/>
          </w:tcPr>
          <w:p w14:paraId="76EEA693">
            <w:pPr>
              <w:pStyle w:val="7"/>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1DB9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noWrap w:val="0"/>
            <w:vAlign w:val="center"/>
          </w:tcPr>
          <w:p w14:paraId="387BD43F">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主要工作履历</w:t>
            </w:r>
          </w:p>
        </w:tc>
      </w:tr>
      <w:tr w14:paraId="0EA8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6F3BB267">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2297" w:type="dxa"/>
            <w:gridSpan w:val="3"/>
            <w:noWrap w:val="0"/>
            <w:vAlign w:val="center"/>
          </w:tcPr>
          <w:p w14:paraId="622FB6EB">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参加过类似项目</w:t>
            </w:r>
          </w:p>
        </w:tc>
        <w:tc>
          <w:tcPr>
            <w:tcW w:w="1701" w:type="dxa"/>
            <w:gridSpan w:val="2"/>
            <w:noWrap w:val="0"/>
            <w:vAlign w:val="center"/>
          </w:tcPr>
          <w:p w14:paraId="168727EA">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3313" w:type="dxa"/>
            <w:gridSpan w:val="2"/>
            <w:noWrap w:val="0"/>
            <w:vAlign w:val="center"/>
          </w:tcPr>
          <w:p w14:paraId="4356DCDD">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业主及联系电话</w:t>
            </w:r>
          </w:p>
        </w:tc>
      </w:tr>
      <w:tr w14:paraId="49D9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470BE149">
            <w:pPr>
              <w:pStyle w:val="7"/>
              <w:shd w:val="clear"/>
              <w:ind w:firstLine="0"/>
              <w:jc w:val="center"/>
              <w:rPr>
                <w:rFonts w:hint="eastAsia" w:ascii="宋体" w:hAnsi="宋体" w:eastAsia="宋体" w:cs="宋体"/>
                <w:color w:val="auto"/>
                <w:sz w:val="24"/>
                <w:szCs w:val="24"/>
                <w:highlight w:val="none"/>
              </w:rPr>
            </w:pPr>
          </w:p>
        </w:tc>
        <w:tc>
          <w:tcPr>
            <w:tcW w:w="2297" w:type="dxa"/>
            <w:gridSpan w:val="3"/>
            <w:noWrap w:val="0"/>
            <w:vAlign w:val="center"/>
          </w:tcPr>
          <w:p w14:paraId="7DEAC7A2">
            <w:pPr>
              <w:pStyle w:val="7"/>
              <w:shd w:val="clear"/>
              <w:ind w:firstLine="0"/>
              <w:jc w:val="center"/>
              <w:rPr>
                <w:rFonts w:hint="eastAsia" w:ascii="宋体" w:hAnsi="宋体" w:eastAsia="宋体" w:cs="宋体"/>
                <w:color w:val="auto"/>
                <w:sz w:val="24"/>
                <w:szCs w:val="24"/>
                <w:highlight w:val="none"/>
              </w:rPr>
            </w:pPr>
          </w:p>
        </w:tc>
        <w:tc>
          <w:tcPr>
            <w:tcW w:w="1701" w:type="dxa"/>
            <w:gridSpan w:val="2"/>
            <w:noWrap w:val="0"/>
            <w:vAlign w:val="center"/>
          </w:tcPr>
          <w:p w14:paraId="326D3C2E">
            <w:pPr>
              <w:pStyle w:val="7"/>
              <w:shd w:val="clear"/>
              <w:ind w:firstLine="0"/>
              <w:jc w:val="center"/>
              <w:rPr>
                <w:rFonts w:hint="eastAsia" w:ascii="宋体" w:hAnsi="宋体" w:eastAsia="宋体" w:cs="宋体"/>
                <w:color w:val="auto"/>
                <w:sz w:val="24"/>
                <w:szCs w:val="24"/>
                <w:highlight w:val="none"/>
              </w:rPr>
            </w:pPr>
          </w:p>
        </w:tc>
        <w:tc>
          <w:tcPr>
            <w:tcW w:w="3313" w:type="dxa"/>
            <w:gridSpan w:val="2"/>
            <w:noWrap w:val="0"/>
            <w:vAlign w:val="center"/>
          </w:tcPr>
          <w:p w14:paraId="3328A9A3">
            <w:pPr>
              <w:pStyle w:val="7"/>
              <w:shd w:val="clear"/>
              <w:ind w:firstLine="0"/>
              <w:jc w:val="center"/>
              <w:rPr>
                <w:rFonts w:hint="eastAsia" w:ascii="宋体" w:hAnsi="宋体" w:eastAsia="宋体" w:cs="宋体"/>
                <w:color w:val="auto"/>
                <w:sz w:val="24"/>
                <w:szCs w:val="24"/>
                <w:highlight w:val="none"/>
              </w:rPr>
            </w:pPr>
          </w:p>
        </w:tc>
      </w:tr>
      <w:tr w14:paraId="2DDA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25B29AF1">
            <w:pPr>
              <w:pStyle w:val="7"/>
              <w:shd w:val="clear"/>
              <w:ind w:firstLine="0"/>
              <w:jc w:val="center"/>
              <w:rPr>
                <w:rFonts w:hint="eastAsia" w:ascii="宋体" w:hAnsi="宋体" w:eastAsia="宋体" w:cs="宋体"/>
                <w:color w:val="auto"/>
                <w:sz w:val="24"/>
                <w:szCs w:val="24"/>
                <w:highlight w:val="none"/>
              </w:rPr>
            </w:pPr>
          </w:p>
        </w:tc>
        <w:tc>
          <w:tcPr>
            <w:tcW w:w="2297" w:type="dxa"/>
            <w:gridSpan w:val="3"/>
            <w:noWrap w:val="0"/>
            <w:vAlign w:val="center"/>
          </w:tcPr>
          <w:p w14:paraId="04FEB8F0">
            <w:pPr>
              <w:pStyle w:val="7"/>
              <w:shd w:val="clear"/>
              <w:ind w:firstLine="0"/>
              <w:jc w:val="center"/>
              <w:rPr>
                <w:rFonts w:hint="eastAsia" w:ascii="宋体" w:hAnsi="宋体" w:eastAsia="宋体" w:cs="宋体"/>
                <w:color w:val="auto"/>
                <w:sz w:val="24"/>
                <w:szCs w:val="24"/>
                <w:highlight w:val="none"/>
              </w:rPr>
            </w:pPr>
          </w:p>
        </w:tc>
        <w:tc>
          <w:tcPr>
            <w:tcW w:w="1701" w:type="dxa"/>
            <w:gridSpan w:val="2"/>
            <w:noWrap w:val="0"/>
            <w:vAlign w:val="center"/>
          </w:tcPr>
          <w:p w14:paraId="43C2C852">
            <w:pPr>
              <w:pStyle w:val="7"/>
              <w:shd w:val="clear"/>
              <w:ind w:firstLine="0"/>
              <w:jc w:val="center"/>
              <w:rPr>
                <w:rFonts w:hint="eastAsia" w:ascii="宋体" w:hAnsi="宋体" w:eastAsia="宋体" w:cs="宋体"/>
                <w:color w:val="auto"/>
                <w:sz w:val="24"/>
                <w:szCs w:val="24"/>
                <w:highlight w:val="none"/>
              </w:rPr>
            </w:pPr>
          </w:p>
        </w:tc>
        <w:tc>
          <w:tcPr>
            <w:tcW w:w="3313" w:type="dxa"/>
            <w:gridSpan w:val="2"/>
            <w:noWrap w:val="0"/>
            <w:vAlign w:val="center"/>
          </w:tcPr>
          <w:p w14:paraId="16F7DE0D">
            <w:pPr>
              <w:pStyle w:val="7"/>
              <w:shd w:val="clear"/>
              <w:ind w:firstLine="0"/>
              <w:jc w:val="center"/>
              <w:rPr>
                <w:rFonts w:hint="eastAsia" w:ascii="宋体" w:hAnsi="宋体" w:eastAsia="宋体" w:cs="宋体"/>
                <w:color w:val="auto"/>
                <w:sz w:val="24"/>
                <w:szCs w:val="24"/>
                <w:highlight w:val="none"/>
              </w:rPr>
            </w:pPr>
          </w:p>
        </w:tc>
      </w:tr>
    </w:tbl>
    <w:p w14:paraId="52C27A9D">
      <w:pPr>
        <w:pStyle w:val="7"/>
        <w:shd w:val="clear"/>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附：执业资格证书、职称证书、学历证书等电子文档证明材料</w:t>
      </w:r>
    </w:p>
    <w:p w14:paraId="3F771C0B">
      <w:pPr>
        <w:pStyle w:val="7"/>
        <w:shd w:val="clear"/>
        <w:ind w:firstLine="0"/>
        <w:rPr>
          <w:rFonts w:hint="eastAsia" w:ascii="宋体" w:hAnsi="宋体" w:eastAsia="宋体" w:cs="宋体"/>
          <w:color w:val="auto"/>
          <w:sz w:val="24"/>
          <w:szCs w:val="24"/>
          <w:highlight w:val="none"/>
        </w:rPr>
      </w:pPr>
    </w:p>
    <w:p w14:paraId="351B301F">
      <w:pPr>
        <w:pStyle w:val="7"/>
        <w:shd w:val="clear"/>
        <w:ind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项目班子一览表</w:t>
      </w:r>
    </w:p>
    <w:tbl>
      <w:tblPr>
        <w:tblStyle w:val="4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15FA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053FF140">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18" w:type="dxa"/>
            <w:noWrap w:val="0"/>
            <w:vAlign w:val="center"/>
          </w:tcPr>
          <w:p w14:paraId="4D7CE4AA">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984" w:type="dxa"/>
            <w:noWrap w:val="0"/>
            <w:vAlign w:val="center"/>
          </w:tcPr>
          <w:p w14:paraId="1E6B9828">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w:t>
            </w:r>
          </w:p>
        </w:tc>
        <w:tc>
          <w:tcPr>
            <w:tcW w:w="1843" w:type="dxa"/>
            <w:noWrap w:val="0"/>
            <w:vAlign w:val="center"/>
          </w:tcPr>
          <w:p w14:paraId="4BD0ED0B">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755" w:type="dxa"/>
            <w:noWrap w:val="0"/>
            <w:vAlign w:val="center"/>
          </w:tcPr>
          <w:p w14:paraId="31FD979A">
            <w:pPr>
              <w:pStyle w:val="7"/>
              <w:shd w:val="clea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实施经验说明</w:t>
            </w:r>
          </w:p>
        </w:tc>
      </w:tr>
      <w:tr w14:paraId="63D1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33D58F1E">
            <w:pPr>
              <w:pStyle w:val="7"/>
              <w:shd w:val="clear"/>
              <w:ind w:firstLine="0"/>
              <w:jc w:val="center"/>
              <w:rPr>
                <w:rFonts w:hint="eastAsia" w:ascii="宋体" w:hAnsi="宋体" w:eastAsia="宋体" w:cs="宋体"/>
                <w:color w:val="auto"/>
                <w:sz w:val="24"/>
                <w:szCs w:val="24"/>
                <w:highlight w:val="none"/>
              </w:rPr>
            </w:pPr>
          </w:p>
        </w:tc>
        <w:tc>
          <w:tcPr>
            <w:tcW w:w="1418" w:type="dxa"/>
            <w:noWrap w:val="0"/>
            <w:vAlign w:val="center"/>
          </w:tcPr>
          <w:p w14:paraId="579D167A">
            <w:pPr>
              <w:pStyle w:val="7"/>
              <w:shd w:val="clear"/>
              <w:ind w:firstLine="0"/>
              <w:jc w:val="center"/>
              <w:rPr>
                <w:rFonts w:hint="eastAsia" w:ascii="宋体" w:hAnsi="宋体" w:eastAsia="宋体" w:cs="宋体"/>
                <w:color w:val="auto"/>
                <w:sz w:val="24"/>
                <w:szCs w:val="24"/>
                <w:highlight w:val="none"/>
              </w:rPr>
            </w:pPr>
          </w:p>
        </w:tc>
        <w:tc>
          <w:tcPr>
            <w:tcW w:w="1984" w:type="dxa"/>
            <w:noWrap w:val="0"/>
            <w:vAlign w:val="center"/>
          </w:tcPr>
          <w:p w14:paraId="4AB110A1">
            <w:pPr>
              <w:pStyle w:val="7"/>
              <w:shd w:val="clear"/>
              <w:ind w:firstLine="0"/>
              <w:jc w:val="center"/>
              <w:rPr>
                <w:rFonts w:hint="eastAsia" w:ascii="宋体" w:hAnsi="宋体" w:eastAsia="宋体" w:cs="宋体"/>
                <w:color w:val="auto"/>
                <w:sz w:val="24"/>
                <w:szCs w:val="24"/>
                <w:highlight w:val="none"/>
              </w:rPr>
            </w:pPr>
          </w:p>
        </w:tc>
        <w:tc>
          <w:tcPr>
            <w:tcW w:w="1843" w:type="dxa"/>
            <w:noWrap w:val="0"/>
            <w:vAlign w:val="center"/>
          </w:tcPr>
          <w:p w14:paraId="5C402401">
            <w:pPr>
              <w:pStyle w:val="7"/>
              <w:shd w:val="clear"/>
              <w:ind w:firstLine="0"/>
              <w:jc w:val="center"/>
              <w:rPr>
                <w:rFonts w:hint="eastAsia" w:ascii="宋体" w:hAnsi="宋体" w:eastAsia="宋体" w:cs="宋体"/>
                <w:color w:val="auto"/>
                <w:sz w:val="24"/>
                <w:szCs w:val="24"/>
                <w:highlight w:val="none"/>
              </w:rPr>
            </w:pPr>
          </w:p>
        </w:tc>
        <w:tc>
          <w:tcPr>
            <w:tcW w:w="2755" w:type="dxa"/>
            <w:noWrap w:val="0"/>
            <w:vAlign w:val="center"/>
          </w:tcPr>
          <w:p w14:paraId="563CE83A">
            <w:pPr>
              <w:pStyle w:val="7"/>
              <w:shd w:val="clear"/>
              <w:ind w:firstLine="0"/>
              <w:jc w:val="center"/>
              <w:rPr>
                <w:rFonts w:hint="eastAsia" w:ascii="宋体" w:hAnsi="宋体" w:eastAsia="宋体" w:cs="宋体"/>
                <w:color w:val="auto"/>
                <w:sz w:val="24"/>
                <w:szCs w:val="24"/>
                <w:highlight w:val="none"/>
              </w:rPr>
            </w:pPr>
          </w:p>
        </w:tc>
      </w:tr>
      <w:tr w14:paraId="5309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56A73EB7">
            <w:pPr>
              <w:pStyle w:val="7"/>
              <w:shd w:val="clear"/>
              <w:ind w:firstLine="0"/>
              <w:jc w:val="center"/>
              <w:rPr>
                <w:rFonts w:hint="eastAsia" w:ascii="宋体" w:hAnsi="宋体" w:eastAsia="宋体" w:cs="宋体"/>
                <w:color w:val="auto"/>
                <w:sz w:val="24"/>
                <w:szCs w:val="24"/>
                <w:highlight w:val="none"/>
              </w:rPr>
            </w:pPr>
          </w:p>
        </w:tc>
        <w:tc>
          <w:tcPr>
            <w:tcW w:w="1418" w:type="dxa"/>
            <w:noWrap w:val="0"/>
            <w:vAlign w:val="center"/>
          </w:tcPr>
          <w:p w14:paraId="080CE25A">
            <w:pPr>
              <w:pStyle w:val="7"/>
              <w:shd w:val="clear"/>
              <w:ind w:firstLine="0"/>
              <w:jc w:val="center"/>
              <w:rPr>
                <w:rFonts w:hint="eastAsia" w:ascii="宋体" w:hAnsi="宋体" w:eastAsia="宋体" w:cs="宋体"/>
                <w:color w:val="auto"/>
                <w:sz w:val="24"/>
                <w:szCs w:val="24"/>
                <w:highlight w:val="none"/>
              </w:rPr>
            </w:pPr>
          </w:p>
        </w:tc>
        <w:tc>
          <w:tcPr>
            <w:tcW w:w="1984" w:type="dxa"/>
            <w:noWrap w:val="0"/>
            <w:vAlign w:val="center"/>
          </w:tcPr>
          <w:p w14:paraId="0E9D5115">
            <w:pPr>
              <w:pStyle w:val="7"/>
              <w:shd w:val="clear"/>
              <w:ind w:firstLine="0"/>
              <w:jc w:val="center"/>
              <w:rPr>
                <w:rFonts w:hint="eastAsia" w:ascii="宋体" w:hAnsi="宋体" w:eastAsia="宋体" w:cs="宋体"/>
                <w:color w:val="auto"/>
                <w:sz w:val="24"/>
                <w:szCs w:val="24"/>
                <w:highlight w:val="none"/>
              </w:rPr>
            </w:pPr>
          </w:p>
        </w:tc>
        <w:tc>
          <w:tcPr>
            <w:tcW w:w="1843" w:type="dxa"/>
            <w:noWrap w:val="0"/>
            <w:vAlign w:val="center"/>
          </w:tcPr>
          <w:p w14:paraId="054AF39E">
            <w:pPr>
              <w:pStyle w:val="7"/>
              <w:shd w:val="clear"/>
              <w:ind w:firstLine="0"/>
              <w:jc w:val="center"/>
              <w:rPr>
                <w:rFonts w:hint="eastAsia" w:ascii="宋体" w:hAnsi="宋体" w:eastAsia="宋体" w:cs="宋体"/>
                <w:color w:val="auto"/>
                <w:sz w:val="24"/>
                <w:szCs w:val="24"/>
                <w:highlight w:val="none"/>
              </w:rPr>
            </w:pPr>
          </w:p>
        </w:tc>
        <w:tc>
          <w:tcPr>
            <w:tcW w:w="2755" w:type="dxa"/>
            <w:noWrap w:val="0"/>
            <w:vAlign w:val="center"/>
          </w:tcPr>
          <w:p w14:paraId="6EF2EB1D">
            <w:pPr>
              <w:pStyle w:val="7"/>
              <w:shd w:val="clear"/>
              <w:ind w:firstLine="0"/>
              <w:jc w:val="center"/>
              <w:rPr>
                <w:rFonts w:hint="eastAsia" w:ascii="宋体" w:hAnsi="宋体" w:eastAsia="宋体" w:cs="宋体"/>
                <w:color w:val="auto"/>
                <w:sz w:val="24"/>
                <w:szCs w:val="24"/>
                <w:highlight w:val="none"/>
              </w:rPr>
            </w:pPr>
          </w:p>
        </w:tc>
      </w:tr>
    </w:tbl>
    <w:p w14:paraId="20C2B62A">
      <w:pPr>
        <w:pStyle w:val="7"/>
        <w:shd w:val="clear"/>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附：相关人员的专业技术资格证书电子文档证明材料</w:t>
      </w:r>
    </w:p>
    <w:p w14:paraId="2989B032">
      <w:pPr>
        <w:pStyle w:val="7"/>
        <w:shd w:val="clear"/>
        <w:ind w:firstLine="0"/>
        <w:rPr>
          <w:rFonts w:hint="eastAsia" w:ascii="宋体" w:hAnsi="宋体" w:eastAsia="宋体" w:cs="宋体"/>
          <w:color w:val="auto"/>
          <w:sz w:val="24"/>
          <w:szCs w:val="24"/>
          <w:highlight w:val="none"/>
        </w:rPr>
      </w:pPr>
    </w:p>
    <w:p w14:paraId="68E62F9C">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0507DAD2">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bookmarkStart w:id="645" w:name="_Toc531359070"/>
      <w:r>
        <w:rPr>
          <w:rFonts w:hint="eastAsia" w:ascii="宋体" w:hAnsi="宋体" w:eastAsia="宋体" w:cs="宋体"/>
          <w:color w:val="auto"/>
          <w:sz w:val="24"/>
          <w:szCs w:val="21"/>
          <w:highlight w:val="none"/>
          <w:u w:val="single"/>
        </w:rPr>
        <w:t xml:space="preserve"> </w:t>
      </w:r>
    </w:p>
    <w:p w14:paraId="5358A0EA">
      <w:pPr>
        <w:pStyle w:val="110"/>
        <w:shd w:val="clear"/>
        <w:spacing w:line="360" w:lineRule="auto"/>
        <w:ind w:firstLine="480"/>
        <w:jc w:val="right"/>
        <w:rPr>
          <w:rFonts w:hint="eastAsia" w:ascii="宋体" w:hAnsi="宋体" w:eastAsia="宋体" w:cs="宋体"/>
          <w:color w:val="auto"/>
          <w:sz w:val="24"/>
          <w:szCs w:val="21"/>
          <w:highlight w:val="none"/>
          <w:u w:val="single"/>
        </w:rPr>
      </w:pPr>
    </w:p>
    <w:p w14:paraId="712203B2">
      <w:pPr>
        <w:pStyle w:val="110"/>
        <w:shd w:val="clear"/>
        <w:spacing w:line="360" w:lineRule="auto"/>
        <w:jc w:val="left"/>
        <w:rPr>
          <w:rFonts w:hint="eastAsia" w:ascii="宋体" w:hAnsi="宋体" w:eastAsia="宋体" w:cs="宋体"/>
          <w:color w:val="auto"/>
          <w:sz w:val="24"/>
          <w:szCs w:val="21"/>
          <w:highlight w:val="none"/>
          <w:u w:val="single"/>
        </w:rPr>
      </w:pPr>
    </w:p>
    <w:p w14:paraId="43D7DDE5">
      <w:pPr>
        <w:pStyle w:val="110"/>
        <w:shd w:val="clear"/>
        <w:spacing w:line="360" w:lineRule="auto"/>
        <w:jc w:val="left"/>
        <w:rPr>
          <w:rFonts w:hint="eastAsia" w:ascii="宋体" w:hAnsi="宋体" w:eastAsia="宋体" w:cs="宋体"/>
          <w:color w:val="auto"/>
          <w:sz w:val="24"/>
          <w:szCs w:val="21"/>
          <w:highlight w:val="none"/>
          <w:u w:val="single"/>
        </w:rPr>
      </w:pPr>
    </w:p>
    <w:bookmarkEnd w:id="630"/>
    <w:bookmarkEnd w:id="631"/>
    <w:bookmarkEnd w:id="645"/>
    <w:p w14:paraId="48D2425E">
      <w:pPr>
        <w:pStyle w:val="110"/>
        <w:shd w:val="clear"/>
        <w:spacing w:line="360" w:lineRule="auto"/>
        <w:jc w:val="left"/>
        <w:rPr>
          <w:rFonts w:hint="eastAsia" w:ascii="宋体" w:hAnsi="宋体" w:eastAsia="宋体" w:cs="宋体"/>
          <w:color w:val="auto"/>
          <w:spacing w:val="20"/>
          <w:sz w:val="24"/>
          <w:szCs w:val="21"/>
          <w:highlight w:val="none"/>
          <w:u w:val="single"/>
        </w:rPr>
      </w:pPr>
    </w:p>
    <w:p w14:paraId="1EF7795D">
      <w:pPr>
        <w:pStyle w:val="110"/>
        <w:shd w:val="clear"/>
        <w:spacing w:line="360" w:lineRule="auto"/>
        <w:jc w:val="left"/>
        <w:rPr>
          <w:rFonts w:hint="eastAsia" w:ascii="宋体" w:hAnsi="宋体" w:eastAsia="宋体" w:cs="宋体"/>
          <w:color w:val="auto"/>
          <w:spacing w:val="20"/>
          <w:sz w:val="24"/>
          <w:szCs w:val="21"/>
          <w:highlight w:val="none"/>
          <w:u w:val="single"/>
        </w:rPr>
      </w:pPr>
    </w:p>
    <w:p w14:paraId="5D78E916">
      <w:pPr>
        <w:pStyle w:val="6"/>
        <w:shd w:val="clear"/>
        <w:spacing w:before="0" w:after="0"/>
        <w:ind w:firstLine="0" w:firstLineChars="0"/>
        <w:jc w:val="left"/>
        <w:rPr>
          <w:rFonts w:hint="eastAsia" w:ascii="宋体" w:hAnsi="宋体" w:eastAsia="宋体" w:cs="宋体"/>
          <w:color w:val="auto"/>
          <w:sz w:val="24"/>
          <w:szCs w:val="24"/>
          <w:highlight w:val="none"/>
        </w:rPr>
      </w:pPr>
      <w:bookmarkStart w:id="646" w:name="_Toc16095"/>
      <w:bookmarkStart w:id="647" w:name="_Toc26329"/>
      <w:bookmarkStart w:id="648" w:name="_Toc531359072"/>
      <w:bookmarkStart w:id="649" w:name="_Toc30250"/>
      <w:bookmarkStart w:id="650" w:name="_Toc17361"/>
      <w:bookmarkStart w:id="651" w:name="_Toc341260008"/>
      <w:bookmarkStart w:id="652" w:name="_Toc377979050"/>
      <w:bookmarkStart w:id="653" w:name="_Toc97213053"/>
      <w:bookmarkStart w:id="654" w:name="_Toc515526271"/>
      <w:bookmarkStart w:id="655" w:name="_Toc409172377"/>
      <w:bookmarkStart w:id="656" w:name="_Toc303756458"/>
      <w:bookmarkStart w:id="657" w:name="_Toc359934644"/>
      <w:bookmarkStart w:id="658" w:name="_Toc305144129"/>
      <w:bookmarkStart w:id="659" w:name="_Toc22762"/>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投标人需要说明的其他文件和说明</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13EFE862">
      <w:pPr>
        <w:pStyle w:val="193"/>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（格式自行设计）</w:t>
      </w:r>
    </w:p>
    <w:p w14:paraId="7EF4D021">
      <w:pPr>
        <w:pStyle w:val="193"/>
        <w:shd w:val="clear"/>
        <w:spacing w:line="360" w:lineRule="auto"/>
        <w:jc w:val="left"/>
        <w:rPr>
          <w:rFonts w:hint="eastAsia" w:ascii="宋体" w:hAnsi="宋体" w:eastAsia="宋体" w:cs="宋体"/>
          <w:color w:val="auto"/>
          <w:sz w:val="24"/>
          <w:highlight w:val="none"/>
        </w:rPr>
      </w:pPr>
    </w:p>
    <w:p w14:paraId="1DCF8CF8">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26FC5BAF">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7FBAD2FF">
      <w:pPr>
        <w:pStyle w:val="42"/>
        <w:shd w:val="clear"/>
        <w:spacing w:beforeLines="100" w:after="240" w:afterLines="100"/>
        <w:outlineLvl w:val="1"/>
        <w:rPr>
          <w:rFonts w:hint="eastAsia" w:ascii="宋体" w:hAnsi="宋体" w:eastAsia="宋体" w:cs="宋体"/>
          <w:color w:val="auto"/>
          <w:sz w:val="44"/>
          <w:szCs w:val="44"/>
          <w:highlight w:val="none"/>
        </w:rPr>
        <w:sectPr>
          <w:pgSz w:w="11906" w:h="16838"/>
          <w:pgMar w:top="1440" w:right="1440" w:bottom="1440" w:left="1440" w:header="851" w:footer="851" w:gutter="0"/>
          <w:pgNumType w:fmt="decimal"/>
          <w:cols w:space="720" w:num="1"/>
          <w:docGrid w:linePitch="312" w:charSpace="0"/>
        </w:sectPr>
      </w:pPr>
      <w:bookmarkStart w:id="660" w:name="_Toc531359073"/>
      <w:bookmarkStart w:id="661" w:name="_Toc530551896"/>
    </w:p>
    <w:p w14:paraId="6A5DE82A">
      <w:pPr>
        <w:pStyle w:val="42"/>
        <w:shd w:val="clear"/>
        <w:spacing w:beforeLines="100" w:after="240" w:afterLines="100"/>
        <w:outlineLvl w:val="1"/>
        <w:rPr>
          <w:rFonts w:hint="eastAsia" w:ascii="宋体" w:hAnsi="宋体" w:eastAsia="宋体" w:cs="宋体"/>
          <w:color w:val="auto"/>
          <w:sz w:val="44"/>
          <w:szCs w:val="44"/>
          <w:highlight w:val="none"/>
        </w:rPr>
      </w:pPr>
      <w:bookmarkStart w:id="662" w:name="_Toc4580"/>
      <w:bookmarkStart w:id="663" w:name="_Toc15721"/>
      <w:bookmarkStart w:id="664" w:name="_Toc16607"/>
      <w:bookmarkStart w:id="665" w:name="_Toc16978"/>
      <w:bookmarkStart w:id="666" w:name="_Toc97213054"/>
      <w:bookmarkStart w:id="667" w:name="_Toc10264"/>
      <w:r>
        <w:rPr>
          <w:rFonts w:hint="eastAsia" w:ascii="宋体" w:hAnsi="宋体" w:eastAsia="宋体" w:cs="宋体"/>
          <w:color w:val="auto"/>
          <w:sz w:val="44"/>
          <w:szCs w:val="44"/>
          <w:highlight w:val="none"/>
        </w:rPr>
        <w:t>三  报价文件格式</w:t>
      </w:r>
      <w:bookmarkEnd w:id="660"/>
      <w:bookmarkEnd w:id="661"/>
      <w:bookmarkEnd w:id="662"/>
      <w:bookmarkEnd w:id="663"/>
      <w:bookmarkEnd w:id="664"/>
      <w:bookmarkEnd w:id="665"/>
      <w:bookmarkEnd w:id="666"/>
      <w:bookmarkEnd w:id="667"/>
    </w:p>
    <w:p w14:paraId="1B45A1F2">
      <w:pPr>
        <w:shd w:val="clear"/>
        <w:spacing w:line="360" w:lineRule="auto"/>
        <w:rPr>
          <w:rFonts w:hint="eastAsia" w:ascii="宋体" w:hAnsi="宋体" w:eastAsia="宋体" w:cs="宋体"/>
          <w:color w:val="auto"/>
          <w:sz w:val="24"/>
          <w:szCs w:val="24"/>
          <w:highlight w:val="none"/>
        </w:rPr>
      </w:pPr>
    </w:p>
    <w:p w14:paraId="135B0ED5">
      <w:pPr>
        <w:pStyle w:val="6"/>
        <w:shd w:val="clear"/>
        <w:spacing w:before="0" w:after="0"/>
        <w:ind w:firstLine="0" w:firstLineChars="0"/>
        <w:jc w:val="left"/>
        <w:rPr>
          <w:rFonts w:hint="eastAsia" w:ascii="宋体" w:hAnsi="宋体" w:eastAsia="宋体" w:cs="宋体"/>
          <w:color w:val="auto"/>
          <w:sz w:val="24"/>
          <w:szCs w:val="24"/>
          <w:highlight w:val="none"/>
        </w:rPr>
      </w:pPr>
      <w:bookmarkStart w:id="668" w:name="_Toc12444"/>
      <w:bookmarkStart w:id="669" w:name="_Toc97213055"/>
      <w:bookmarkStart w:id="670" w:name="_Toc17863"/>
      <w:bookmarkStart w:id="671" w:name="_Toc30744"/>
      <w:bookmarkStart w:id="672" w:name="_Toc5607"/>
      <w:bookmarkStart w:id="673" w:name="_Toc10566"/>
      <w:bookmarkStart w:id="674" w:name="_Toc531359074"/>
      <w:bookmarkStart w:id="675" w:name="_Toc493956072"/>
      <w:bookmarkStart w:id="676" w:name="_Toc530551897"/>
      <w:r>
        <w:rPr>
          <w:rFonts w:hint="eastAsia" w:ascii="宋体" w:hAnsi="宋体" w:eastAsia="宋体" w:cs="宋体"/>
          <w:color w:val="auto"/>
          <w:sz w:val="24"/>
          <w:szCs w:val="24"/>
          <w:highlight w:val="none"/>
        </w:rPr>
        <w:t>3.1     报价文件文件封面格式</w:t>
      </w:r>
      <w:bookmarkEnd w:id="668"/>
      <w:bookmarkEnd w:id="669"/>
      <w:bookmarkEnd w:id="670"/>
      <w:bookmarkEnd w:id="671"/>
      <w:bookmarkEnd w:id="672"/>
      <w:bookmarkEnd w:id="673"/>
    </w:p>
    <w:p w14:paraId="1D5C9553">
      <w:pPr>
        <w:pStyle w:val="7"/>
        <w:shd w:val="clear"/>
        <w:spacing w:line="360" w:lineRule="auto"/>
        <w:ind w:firstLine="0"/>
        <w:jc w:val="center"/>
        <w:rPr>
          <w:rFonts w:hint="eastAsia" w:ascii="宋体" w:hAnsi="宋体" w:eastAsia="宋体" w:cs="宋体"/>
          <w:bCs/>
          <w:color w:val="auto"/>
          <w:sz w:val="24"/>
          <w:highlight w:val="none"/>
        </w:rPr>
      </w:pPr>
      <w:r>
        <w:rPr>
          <w:rFonts w:hint="eastAsia" w:ascii="宋体" w:hAnsi="宋体" w:eastAsia="宋体" w:cs="宋体"/>
          <w:b/>
          <w:color w:val="auto"/>
          <w:sz w:val="32"/>
          <w:szCs w:val="32"/>
          <w:highlight w:val="none"/>
        </w:rPr>
        <w:t>投标文件</w:t>
      </w:r>
    </w:p>
    <w:tbl>
      <w:tblPr>
        <w:tblStyle w:val="45"/>
        <w:tblW w:w="7054" w:type="dxa"/>
        <w:jc w:val="center"/>
        <w:tblLayout w:type="fixed"/>
        <w:tblCellMar>
          <w:top w:w="0" w:type="dxa"/>
          <w:left w:w="108" w:type="dxa"/>
          <w:bottom w:w="0" w:type="dxa"/>
          <w:right w:w="108" w:type="dxa"/>
        </w:tblCellMar>
      </w:tblPr>
      <w:tblGrid>
        <w:gridCol w:w="2518"/>
        <w:gridCol w:w="4536"/>
      </w:tblGrid>
      <w:tr w14:paraId="63B1FF14">
        <w:tblPrEx>
          <w:tblCellMar>
            <w:top w:w="0" w:type="dxa"/>
            <w:left w:w="108" w:type="dxa"/>
            <w:bottom w:w="0" w:type="dxa"/>
            <w:right w:w="108" w:type="dxa"/>
          </w:tblCellMar>
        </w:tblPrEx>
        <w:trPr>
          <w:trHeight w:val="397" w:hRule="atLeast"/>
          <w:jc w:val="center"/>
        </w:trPr>
        <w:tc>
          <w:tcPr>
            <w:tcW w:w="2518" w:type="dxa"/>
            <w:noWrap w:val="0"/>
            <w:vAlign w:val="center"/>
          </w:tcPr>
          <w:p w14:paraId="02A4F7B0">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w:t>
            </w:r>
          </w:p>
        </w:tc>
        <w:tc>
          <w:tcPr>
            <w:tcW w:w="4536" w:type="dxa"/>
            <w:noWrap w:val="0"/>
            <w:vAlign w:val="center"/>
          </w:tcPr>
          <w:p w14:paraId="366A6C06">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报价文件           </w:t>
            </w:r>
          </w:p>
        </w:tc>
      </w:tr>
      <w:tr w14:paraId="38DE874C">
        <w:tblPrEx>
          <w:tblCellMar>
            <w:top w:w="0" w:type="dxa"/>
            <w:left w:w="108" w:type="dxa"/>
            <w:bottom w:w="0" w:type="dxa"/>
            <w:right w:w="108" w:type="dxa"/>
          </w:tblCellMar>
        </w:tblPrEx>
        <w:trPr>
          <w:trHeight w:val="397" w:hRule="atLeast"/>
          <w:jc w:val="center"/>
        </w:trPr>
        <w:tc>
          <w:tcPr>
            <w:tcW w:w="2518" w:type="dxa"/>
            <w:noWrap w:val="0"/>
            <w:vAlign w:val="center"/>
          </w:tcPr>
          <w:p w14:paraId="1FAD9504">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编 号：</w:t>
            </w:r>
          </w:p>
        </w:tc>
        <w:tc>
          <w:tcPr>
            <w:tcW w:w="4536" w:type="dxa"/>
            <w:noWrap w:val="0"/>
            <w:vAlign w:val="center"/>
          </w:tcPr>
          <w:p w14:paraId="320A2841">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0B9E3B6C">
        <w:tblPrEx>
          <w:tblCellMar>
            <w:top w:w="0" w:type="dxa"/>
            <w:left w:w="108" w:type="dxa"/>
            <w:bottom w:w="0" w:type="dxa"/>
            <w:right w:w="108" w:type="dxa"/>
          </w:tblCellMar>
        </w:tblPrEx>
        <w:trPr>
          <w:trHeight w:val="397" w:hRule="atLeast"/>
          <w:jc w:val="center"/>
        </w:trPr>
        <w:tc>
          <w:tcPr>
            <w:tcW w:w="2518" w:type="dxa"/>
            <w:noWrap w:val="0"/>
            <w:vAlign w:val="center"/>
          </w:tcPr>
          <w:p w14:paraId="6302A4DE">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4536" w:type="dxa"/>
            <w:noWrap w:val="0"/>
            <w:vAlign w:val="center"/>
          </w:tcPr>
          <w:p w14:paraId="14F398EC">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05C51D87">
        <w:tblPrEx>
          <w:tblCellMar>
            <w:top w:w="0" w:type="dxa"/>
            <w:left w:w="108" w:type="dxa"/>
            <w:bottom w:w="0" w:type="dxa"/>
            <w:right w:w="108" w:type="dxa"/>
          </w:tblCellMar>
        </w:tblPrEx>
        <w:trPr>
          <w:trHeight w:val="397" w:hRule="atLeast"/>
          <w:jc w:val="center"/>
        </w:trPr>
        <w:tc>
          <w:tcPr>
            <w:tcW w:w="2518" w:type="dxa"/>
            <w:noWrap w:val="0"/>
            <w:vAlign w:val="center"/>
          </w:tcPr>
          <w:p w14:paraId="767714EB">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项：</w:t>
            </w:r>
          </w:p>
        </w:tc>
        <w:tc>
          <w:tcPr>
            <w:tcW w:w="4536" w:type="dxa"/>
            <w:noWrap w:val="0"/>
            <w:vAlign w:val="center"/>
          </w:tcPr>
          <w:p w14:paraId="588EE349">
            <w:pPr>
              <w:shd w:val="clear"/>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如有</w:t>
            </w:r>
            <w:r>
              <w:rPr>
                <w:rFonts w:hint="eastAsia" w:ascii="宋体" w:hAnsi="宋体" w:eastAsia="宋体" w:cs="宋体"/>
                <w:color w:val="auto"/>
                <w:sz w:val="24"/>
                <w:szCs w:val="24"/>
                <w:highlight w:val="none"/>
                <w:u w:val="single"/>
              </w:rPr>
              <w:t xml:space="preserve">）                            </w:t>
            </w:r>
          </w:p>
        </w:tc>
      </w:tr>
      <w:tr w14:paraId="66DDD11C">
        <w:tblPrEx>
          <w:tblCellMar>
            <w:top w:w="0" w:type="dxa"/>
            <w:left w:w="108" w:type="dxa"/>
            <w:bottom w:w="0" w:type="dxa"/>
            <w:right w:w="108" w:type="dxa"/>
          </w:tblCellMar>
        </w:tblPrEx>
        <w:trPr>
          <w:trHeight w:val="397" w:hRule="atLeast"/>
          <w:jc w:val="center"/>
        </w:trPr>
        <w:tc>
          <w:tcPr>
            <w:tcW w:w="2518" w:type="dxa"/>
            <w:noWrap w:val="0"/>
            <w:vAlign w:val="center"/>
          </w:tcPr>
          <w:p w14:paraId="15F62D92">
            <w:pPr>
              <w:shd w:val="clear"/>
              <w:jc w:val="distribute"/>
              <w:rPr>
                <w:rFonts w:hint="eastAsia" w:ascii="宋体" w:hAnsi="宋体" w:eastAsia="宋体" w:cs="宋体"/>
                <w:color w:val="auto"/>
                <w:sz w:val="24"/>
                <w:szCs w:val="24"/>
                <w:highlight w:val="none"/>
              </w:rPr>
            </w:pPr>
          </w:p>
        </w:tc>
        <w:tc>
          <w:tcPr>
            <w:tcW w:w="4536" w:type="dxa"/>
            <w:noWrap w:val="0"/>
            <w:vAlign w:val="center"/>
          </w:tcPr>
          <w:p w14:paraId="54C3C85A">
            <w:pPr>
              <w:shd w:val="clear"/>
              <w:jc w:val="left"/>
              <w:rPr>
                <w:rFonts w:hint="eastAsia" w:ascii="宋体" w:hAnsi="宋体" w:eastAsia="宋体" w:cs="宋体"/>
                <w:color w:val="auto"/>
                <w:sz w:val="24"/>
                <w:szCs w:val="24"/>
                <w:highlight w:val="none"/>
              </w:rPr>
            </w:pPr>
          </w:p>
        </w:tc>
      </w:tr>
      <w:tr w14:paraId="7D2A7708">
        <w:tblPrEx>
          <w:tblCellMar>
            <w:top w:w="0" w:type="dxa"/>
            <w:left w:w="108" w:type="dxa"/>
            <w:bottom w:w="0" w:type="dxa"/>
            <w:right w:w="108" w:type="dxa"/>
          </w:tblCellMar>
        </w:tblPrEx>
        <w:trPr>
          <w:trHeight w:val="397" w:hRule="atLeast"/>
          <w:jc w:val="center"/>
        </w:trPr>
        <w:tc>
          <w:tcPr>
            <w:tcW w:w="2518" w:type="dxa"/>
            <w:noWrap w:val="0"/>
            <w:vAlign w:val="center"/>
          </w:tcPr>
          <w:p w14:paraId="629BFEB6">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投标人全称（盖章）：</w:t>
            </w:r>
          </w:p>
        </w:tc>
        <w:tc>
          <w:tcPr>
            <w:tcW w:w="4536" w:type="dxa"/>
            <w:noWrap w:val="0"/>
            <w:vAlign w:val="center"/>
          </w:tcPr>
          <w:p w14:paraId="25387319">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01DB08E9">
        <w:tblPrEx>
          <w:tblCellMar>
            <w:top w:w="0" w:type="dxa"/>
            <w:left w:w="108" w:type="dxa"/>
            <w:bottom w:w="0" w:type="dxa"/>
            <w:right w:w="108" w:type="dxa"/>
          </w:tblCellMar>
        </w:tblPrEx>
        <w:trPr>
          <w:trHeight w:val="397" w:hRule="atLeast"/>
          <w:jc w:val="center"/>
        </w:trPr>
        <w:tc>
          <w:tcPr>
            <w:tcW w:w="2518" w:type="dxa"/>
            <w:noWrap w:val="0"/>
            <w:vAlign w:val="center"/>
          </w:tcPr>
          <w:p w14:paraId="512CA079">
            <w:pPr>
              <w:shd w:val="clear"/>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tc>
        <w:tc>
          <w:tcPr>
            <w:tcW w:w="4536" w:type="dxa"/>
            <w:noWrap w:val="0"/>
            <w:vAlign w:val="center"/>
          </w:tcPr>
          <w:p w14:paraId="0A3E1E0A">
            <w:pPr>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6634DB89">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49B5BD5F">
            <w:pPr>
              <w:shd w:val="clear"/>
              <w:jc w:val="left"/>
              <w:rPr>
                <w:rFonts w:hint="eastAsia" w:ascii="宋体" w:hAnsi="宋体" w:eastAsia="宋体" w:cs="宋体"/>
                <w:color w:val="auto"/>
                <w:sz w:val="24"/>
                <w:szCs w:val="24"/>
                <w:highlight w:val="none"/>
                <w:u w:val="single"/>
              </w:rPr>
            </w:pPr>
          </w:p>
        </w:tc>
      </w:tr>
      <w:tr w14:paraId="0D07D92C">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4621E81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1079A3C0">
      <w:pPr>
        <w:shd w:val="clear"/>
        <w:spacing w:line="360" w:lineRule="auto"/>
        <w:rPr>
          <w:rFonts w:hint="eastAsia" w:ascii="宋体" w:hAnsi="宋体" w:eastAsia="宋体" w:cs="宋体"/>
          <w:color w:val="auto"/>
          <w:sz w:val="24"/>
          <w:szCs w:val="24"/>
          <w:highlight w:val="none"/>
        </w:rPr>
      </w:pPr>
    </w:p>
    <w:p w14:paraId="23D7A4C4">
      <w:pPr>
        <w:shd w:val="clear"/>
        <w:bidi w:val="0"/>
        <w:rPr>
          <w:rFonts w:hint="eastAsia" w:ascii="宋体" w:hAnsi="宋体" w:eastAsia="宋体" w:cs="宋体"/>
          <w:color w:val="auto"/>
          <w:highlight w:val="none"/>
        </w:rPr>
      </w:pPr>
    </w:p>
    <w:p w14:paraId="133803D3">
      <w:pPr>
        <w:shd w:val="clear"/>
        <w:rPr>
          <w:rFonts w:hint="eastAsia" w:ascii="宋体" w:hAnsi="宋体" w:eastAsia="宋体" w:cs="宋体"/>
          <w:color w:val="auto"/>
          <w:sz w:val="24"/>
          <w:szCs w:val="24"/>
          <w:highlight w:val="none"/>
        </w:rPr>
      </w:pPr>
    </w:p>
    <w:p w14:paraId="7EE363F5">
      <w:pPr>
        <w:shd w:val="clear"/>
        <w:bidi w:val="0"/>
        <w:rPr>
          <w:rFonts w:hint="eastAsia" w:ascii="宋体" w:hAnsi="宋体" w:eastAsia="宋体" w:cs="宋体"/>
          <w:color w:val="auto"/>
          <w:highlight w:val="none"/>
        </w:rPr>
      </w:pPr>
    </w:p>
    <w:p w14:paraId="3E1B2171">
      <w:pPr>
        <w:pStyle w:val="6"/>
        <w:shd w:val="clear"/>
        <w:spacing w:before="0" w:after="0"/>
        <w:ind w:firstLine="0" w:firstLineChars="0"/>
        <w:jc w:val="left"/>
        <w:rPr>
          <w:rFonts w:hint="eastAsia" w:ascii="宋体" w:hAnsi="宋体" w:eastAsia="宋体" w:cs="宋体"/>
          <w:color w:val="auto"/>
          <w:sz w:val="24"/>
          <w:szCs w:val="24"/>
          <w:highlight w:val="none"/>
        </w:rPr>
      </w:pPr>
      <w:bookmarkStart w:id="677" w:name="_Toc19907"/>
      <w:bookmarkStart w:id="678" w:name="_Toc10299"/>
      <w:bookmarkStart w:id="679" w:name="_Toc20843"/>
      <w:bookmarkStart w:id="680" w:name="_Toc97213056"/>
      <w:bookmarkStart w:id="681" w:name="_Toc13423"/>
      <w:bookmarkStart w:id="682" w:name="_Toc16979"/>
      <w:r>
        <w:rPr>
          <w:rFonts w:hint="eastAsia" w:ascii="宋体" w:hAnsi="宋体" w:eastAsia="宋体" w:cs="宋体"/>
          <w:color w:val="auto"/>
          <w:sz w:val="24"/>
          <w:szCs w:val="24"/>
          <w:highlight w:val="none"/>
        </w:rPr>
        <w:t>3.2     报价文件文件目录</w:t>
      </w:r>
      <w:bookmarkEnd w:id="677"/>
      <w:bookmarkEnd w:id="678"/>
      <w:bookmarkEnd w:id="679"/>
      <w:bookmarkEnd w:id="680"/>
      <w:bookmarkEnd w:id="681"/>
      <w:bookmarkEnd w:id="682"/>
    </w:p>
    <w:p w14:paraId="71229AD8">
      <w:pPr>
        <w:pStyle w:val="7"/>
        <w:shd w:val="clear"/>
        <w:spacing w:line="360" w:lineRule="auto"/>
        <w:ind w:firstLine="0"/>
        <w:rPr>
          <w:rFonts w:hint="eastAsia" w:ascii="宋体" w:hAnsi="宋体" w:eastAsia="宋体" w:cs="宋体"/>
          <w:color w:val="auto"/>
          <w:highlight w:val="none"/>
        </w:rPr>
      </w:pPr>
    </w:p>
    <w:p w14:paraId="23ED3016">
      <w:pPr>
        <w:pStyle w:val="7"/>
        <w:shd w:val="clear"/>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（格式自行设计）</w:t>
      </w:r>
    </w:p>
    <w:p w14:paraId="5A18AE78">
      <w:pPr>
        <w:pStyle w:val="7"/>
        <w:shd w:val="clear"/>
        <w:spacing w:line="360" w:lineRule="auto"/>
        <w:ind w:firstLine="0"/>
        <w:jc w:val="left"/>
        <w:rPr>
          <w:rFonts w:hint="eastAsia" w:ascii="宋体" w:hAnsi="宋体" w:eastAsia="宋体" w:cs="宋体"/>
          <w:color w:val="auto"/>
          <w:sz w:val="24"/>
          <w:szCs w:val="24"/>
          <w:highlight w:val="none"/>
        </w:rPr>
      </w:pPr>
    </w:p>
    <w:p w14:paraId="7CDBD30D">
      <w:pPr>
        <w:pStyle w:val="7"/>
        <w:shd w:val="clear"/>
        <w:spacing w:line="360" w:lineRule="auto"/>
        <w:ind w:firstLine="0"/>
        <w:jc w:val="left"/>
        <w:rPr>
          <w:rFonts w:hint="eastAsia" w:ascii="宋体" w:hAnsi="宋体" w:eastAsia="宋体" w:cs="宋体"/>
          <w:color w:val="auto"/>
          <w:sz w:val="24"/>
          <w:szCs w:val="24"/>
          <w:highlight w:val="none"/>
        </w:rPr>
      </w:pPr>
    </w:p>
    <w:p w14:paraId="43EEA0D6">
      <w:pPr>
        <w:pStyle w:val="6"/>
        <w:shd w:val="clear"/>
        <w:spacing w:before="0" w:after="0"/>
        <w:ind w:firstLine="0" w:firstLineChars="0"/>
        <w:jc w:val="left"/>
        <w:rPr>
          <w:rFonts w:hint="eastAsia" w:ascii="宋体" w:hAnsi="宋体" w:eastAsia="宋体" w:cs="宋体"/>
          <w:color w:val="auto"/>
          <w:sz w:val="24"/>
          <w:szCs w:val="24"/>
          <w:highlight w:val="none"/>
        </w:rPr>
        <w:sectPr>
          <w:pgSz w:w="11906" w:h="16838"/>
          <w:pgMar w:top="1440" w:right="1440" w:bottom="1440" w:left="1440" w:header="851" w:footer="851" w:gutter="0"/>
          <w:pgNumType w:fmt="decimal"/>
          <w:cols w:space="720" w:num="1"/>
          <w:docGrid w:linePitch="312" w:charSpace="0"/>
        </w:sectPr>
      </w:pPr>
    </w:p>
    <w:p w14:paraId="64130256">
      <w:pPr>
        <w:pStyle w:val="6"/>
        <w:shd w:val="clear"/>
        <w:spacing w:before="0" w:after="0"/>
        <w:ind w:firstLine="0" w:firstLineChars="0"/>
        <w:jc w:val="left"/>
        <w:rPr>
          <w:rFonts w:hint="eastAsia" w:ascii="宋体" w:hAnsi="宋体" w:eastAsia="宋体" w:cs="宋体"/>
          <w:color w:val="auto"/>
          <w:sz w:val="24"/>
          <w:szCs w:val="24"/>
          <w:highlight w:val="none"/>
        </w:rPr>
      </w:pPr>
      <w:bookmarkStart w:id="683" w:name="_Toc10855"/>
      <w:bookmarkStart w:id="684" w:name="_Toc15669"/>
      <w:bookmarkStart w:id="685" w:name="_Toc97213057"/>
      <w:bookmarkStart w:id="686" w:name="_Toc19545"/>
      <w:bookmarkStart w:id="687" w:name="_Toc8322"/>
      <w:bookmarkStart w:id="688" w:name="_Toc15601"/>
      <w:r>
        <w:rPr>
          <w:rFonts w:hint="eastAsia" w:ascii="宋体" w:hAnsi="宋体" w:eastAsia="宋体" w:cs="宋体"/>
          <w:color w:val="auto"/>
          <w:sz w:val="24"/>
          <w:szCs w:val="24"/>
          <w:highlight w:val="none"/>
        </w:rPr>
        <w:t>3.3     开标一览表</w:t>
      </w:r>
      <w:bookmarkEnd w:id="674"/>
      <w:bookmarkEnd w:id="675"/>
      <w:bookmarkEnd w:id="676"/>
      <w:r>
        <w:rPr>
          <w:rFonts w:hint="eastAsia" w:ascii="宋体" w:hAnsi="宋体" w:eastAsia="宋体" w:cs="宋体"/>
          <w:color w:val="auto"/>
          <w:sz w:val="24"/>
          <w:szCs w:val="24"/>
          <w:highlight w:val="none"/>
        </w:rPr>
        <w:t>格式</w:t>
      </w:r>
      <w:bookmarkEnd w:id="683"/>
      <w:bookmarkEnd w:id="684"/>
      <w:bookmarkEnd w:id="685"/>
      <w:bookmarkEnd w:id="686"/>
      <w:bookmarkEnd w:id="687"/>
      <w:bookmarkEnd w:id="688"/>
    </w:p>
    <w:p w14:paraId="372C1BFE">
      <w:pPr>
        <w:pStyle w:val="7"/>
        <w:shd w:val="clear"/>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47906BE1">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0A2C277C">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如有</w:t>
      </w:r>
      <w:r>
        <w:rPr>
          <w:rFonts w:hint="eastAsia" w:ascii="宋体" w:hAnsi="宋体" w:eastAsia="宋体" w:cs="宋体"/>
          <w:color w:val="auto"/>
          <w:sz w:val="24"/>
          <w:szCs w:val="24"/>
          <w:highlight w:val="none"/>
          <w:u w:val="single"/>
        </w:rPr>
        <w:t>）</w:t>
      </w:r>
    </w:p>
    <w:tbl>
      <w:tblPr>
        <w:tblStyle w:val="45"/>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26D4DFB3">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14:paraId="41A5271E">
            <w:pPr>
              <w:pStyle w:val="261"/>
              <w:shd w:val="clear"/>
              <w:tabs>
                <w:tab w:val="left" w:pos="420"/>
                <w:tab w:val="center" w:pos="4153"/>
                <w:tab w:val="right" w:pos="8306"/>
              </w:tabs>
              <w:adjustRightInd w:val="0"/>
              <w:jc w:val="center"/>
              <w:rPr>
                <w:rFonts w:hint="eastAsia" w:ascii="宋体" w:hAnsi="宋体" w:eastAsia="宋体" w:cs="宋体"/>
                <w:caps/>
                <w:color w:val="auto"/>
                <w:spacing w:val="20"/>
                <w:kern w:val="0"/>
                <w:sz w:val="24"/>
                <w:szCs w:val="20"/>
                <w:highlight w:val="none"/>
              </w:rPr>
            </w:pPr>
            <w:r>
              <w:rPr>
                <w:rFonts w:hint="eastAsia" w:ascii="宋体" w:hAnsi="宋体" w:eastAsia="宋体" w:cs="宋体"/>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14:paraId="785215B5">
            <w:pPr>
              <w:pStyle w:val="261"/>
              <w:shd w:val="clear"/>
              <w:jc w:val="center"/>
              <w:rPr>
                <w:rFonts w:hint="eastAsia" w:ascii="宋体" w:hAnsi="宋体" w:eastAsia="宋体" w:cs="宋体"/>
                <w:caps/>
                <w:color w:val="auto"/>
                <w:spacing w:val="20"/>
                <w:sz w:val="24"/>
                <w:highlight w:val="none"/>
              </w:rPr>
            </w:pPr>
            <w:r>
              <w:rPr>
                <w:rFonts w:hint="eastAsia" w:ascii="宋体" w:hAnsi="宋体" w:eastAsia="宋体" w:cs="宋体"/>
                <w:caps/>
                <w:color w:val="auto"/>
                <w:spacing w:val="20"/>
                <w:sz w:val="24"/>
                <w:highlight w:val="none"/>
              </w:rPr>
              <w:t>总报价（元）</w:t>
            </w:r>
          </w:p>
        </w:tc>
      </w:tr>
      <w:tr w14:paraId="176D21C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14:paraId="5FB84294">
            <w:pPr>
              <w:pStyle w:val="261"/>
              <w:shd w:val="clea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14:paraId="6A2821B5">
            <w:pPr>
              <w:pStyle w:val="261"/>
              <w:shd w:val="clea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大写                （￥           ）</w:t>
            </w:r>
          </w:p>
        </w:tc>
      </w:tr>
    </w:tbl>
    <w:p w14:paraId="5E5E28E8">
      <w:pPr>
        <w:pStyle w:val="261"/>
        <w:shd w:val="clear"/>
        <w:spacing w:line="440" w:lineRule="exact"/>
        <w:rPr>
          <w:rFonts w:hint="eastAsia" w:ascii="宋体" w:hAnsi="宋体" w:eastAsia="宋体" w:cs="宋体"/>
          <w:b/>
          <w:iCs/>
          <w:color w:val="auto"/>
          <w:spacing w:val="20"/>
          <w:sz w:val="24"/>
          <w:highlight w:val="none"/>
        </w:rPr>
      </w:pPr>
      <w:r>
        <w:rPr>
          <w:rFonts w:hint="eastAsia" w:ascii="宋体" w:hAnsi="宋体" w:eastAsia="宋体" w:cs="宋体"/>
          <w:b/>
          <w:color w:val="auto"/>
          <w:sz w:val="24"/>
          <w:szCs w:val="21"/>
          <w:highlight w:val="none"/>
        </w:rPr>
        <w:t xml:space="preserve"> </w:t>
      </w:r>
      <w:r>
        <w:rPr>
          <w:rFonts w:hint="eastAsia" w:ascii="宋体" w:hAnsi="宋体" w:eastAsia="宋体" w:cs="宋体"/>
          <w:b/>
          <w:iCs/>
          <w:color w:val="auto"/>
          <w:spacing w:val="20"/>
          <w:sz w:val="24"/>
          <w:highlight w:val="none"/>
        </w:rPr>
        <w:t>注：</w:t>
      </w:r>
    </w:p>
    <w:p w14:paraId="1B328A5A">
      <w:pPr>
        <w:pStyle w:val="261"/>
        <w:numPr>
          <w:ilvl w:val="0"/>
          <w:numId w:val="2"/>
        </w:numPr>
        <w:shd w:val="clear"/>
        <w:spacing w:line="360" w:lineRule="auto"/>
        <w:ind w:firstLine="480" w:firstLineChars="200"/>
        <w:jc w:val="left"/>
        <w:rPr>
          <w:rFonts w:hint="eastAsia" w:ascii="宋体" w:hAnsi="宋体" w:eastAsia="宋体" w:cs="宋体"/>
          <w:color w:val="auto"/>
          <w:spacing w:val="20"/>
          <w:sz w:val="24"/>
          <w:highlight w:val="none"/>
        </w:rPr>
      </w:pPr>
      <w:r>
        <w:rPr>
          <w:rFonts w:hint="eastAsia" w:ascii="宋体" w:hAnsi="宋体" w:eastAsia="宋体" w:cs="宋体"/>
          <w:iCs/>
          <w:color w:val="auto"/>
          <w:sz w:val="24"/>
          <w:highlight w:val="none"/>
        </w:rPr>
        <w:t>具体价格明细详见《报价明细表》</w:t>
      </w:r>
    </w:p>
    <w:p w14:paraId="31C8B4B7">
      <w:pPr>
        <w:pStyle w:val="261"/>
        <w:numPr>
          <w:ilvl w:val="0"/>
          <w:numId w:val="2"/>
        </w:num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总报价应包括</w:t>
      </w:r>
      <w:r>
        <w:rPr>
          <w:rFonts w:hint="eastAsia" w:ascii="宋体" w:hAnsi="宋体" w:eastAsia="宋体" w:cs="宋体"/>
          <w:color w:val="auto"/>
          <w:kern w:val="2"/>
          <w:sz w:val="24"/>
          <w:szCs w:val="24"/>
          <w:highlight w:val="none"/>
          <w:lang w:val="en-US" w:eastAsia="zh-CN" w:bidi="ar-SA"/>
        </w:rPr>
        <w:t>项目所涉及的人工费、安装费、调试、项目所有货款、标准附件、备品备件、专用工具、包装、运输、装卸、安装调试、测试所需费用、验收、保险、培训、保修、税金、合同包含的所有风险责任费用、不可预见费以及招标文件上未有提及但正常运行所需的辅材、零配件等为实施本项目所需的一切费用</w:t>
      </w:r>
      <w:r>
        <w:rPr>
          <w:rFonts w:hint="eastAsia" w:ascii="宋体" w:hAnsi="宋体" w:eastAsia="宋体" w:cs="宋体"/>
          <w:iCs/>
          <w:color w:val="auto"/>
          <w:sz w:val="24"/>
          <w:highlight w:val="none"/>
        </w:rPr>
        <w:t>。</w:t>
      </w:r>
    </w:p>
    <w:p w14:paraId="11E6B7D5">
      <w:pPr>
        <w:pStyle w:val="110"/>
        <w:shd w:val="clear"/>
        <w:wordWrap w:val="0"/>
        <w:spacing w:line="360" w:lineRule="auto"/>
        <w:ind w:firstLine="480"/>
        <w:jc w:val="right"/>
        <w:rPr>
          <w:rFonts w:hint="eastAsia" w:ascii="宋体" w:hAnsi="宋体" w:eastAsia="宋体" w:cs="宋体"/>
          <w:color w:val="auto"/>
          <w:spacing w:val="20"/>
          <w:sz w:val="24"/>
          <w:szCs w:val="21"/>
          <w:highlight w:val="none"/>
          <w:u w:val="single"/>
        </w:rPr>
      </w:pPr>
      <w:bookmarkStart w:id="689" w:name="_Toc493956073"/>
      <w:bookmarkStart w:id="690" w:name="_Toc531359075"/>
      <w:bookmarkStart w:id="691" w:name="_Toc530551898"/>
    </w:p>
    <w:p w14:paraId="3C9E9267">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0BD6A0D2">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182BB87D">
      <w:pPr>
        <w:pStyle w:val="6"/>
        <w:shd w:val="clear"/>
        <w:spacing w:before="0" w:after="0"/>
        <w:ind w:firstLine="0" w:firstLineChars="0"/>
        <w:jc w:val="right"/>
        <w:rPr>
          <w:rFonts w:hint="eastAsia" w:ascii="宋体" w:hAnsi="宋体" w:eastAsia="宋体" w:cs="宋体"/>
          <w:color w:val="auto"/>
          <w:sz w:val="28"/>
          <w:szCs w:val="28"/>
          <w:highlight w:val="none"/>
        </w:rPr>
        <w:sectPr>
          <w:pgSz w:w="11906" w:h="16838"/>
          <w:pgMar w:top="1440" w:right="1440" w:bottom="1440" w:left="1440" w:header="851" w:footer="851" w:gutter="0"/>
          <w:pgNumType w:fmt="decimal"/>
          <w:cols w:space="720" w:num="1"/>
          <w:docGrid w:linePitch="312" w:charSpace="0"/>
        </w:sectPr>
      </w:pPr>
    </w:p>
    <w:bookmarkEnd w:id="689"/>
    <w:bookmarkEnd w:id="690"/>
    <w:bookmarkEnd w:id="691"/>
    <w:p w14:paraId="5CEA7005">
      <w:pPr>
        <w:pStyle w:val="6"/>
        <w:shd w:val="clear"/>
        <w:spacing w:before="0" w:after="0"/>
        <w:ind w:firstLine="0" w:firstLineChars="0"/>
        <w:jc w:val="left"/>
        <w:rPr>
          <w:rFonts w:hint="eastAsia" w:ascii="宋体" w:hAnsi="宋体" w:eastAsia="宋体" w:cs="宋体"/>
          <w:b/>
          <w:bCs/>
          <w:color w:val="auto"/>
          <w:sz w:val="24"/>
          <w:szCs w:val="24"/>
          <w:highlight w:val="none"/>
        </w:rPr>
      </w:pPr>
      <w:bookmarkStart w:id="692" w:name="_Toc25910"/>
      <w:r>
        <w:rPr>
          <w:rFonts w:hint="eastAsia" w:ascii="宋体" w:hAnsi="宋体" w:eastAsia="宋体" w:cs="宋体"/>
          <w:b/>
          <w:bCs/>
          <w:color w:val="auto"/>
          <w:sz w:val="24"/>
          <w:szCs w:val="24"/>
          <w:highlight w:val="none"/>
        </w:rPr>
        <w:t>3.4     报价明细表格式</w:t>
      </w:r>
      <w:bookmarkEnd w:id="692"/>
    </w:p>
    <w:p w14:paraId="2C067270">
      <w:pPr>
        <w:pStyle w:val="7"/>
        <w:shd w:val="clear"/>
        <w:spacing w:line="360" w:lineRule="auto"/>
        <w:ind w:firstLine="0"/>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报价明细表</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货物类）</w:t>
      </w:r>
    </w:p>
    <w:p w14:paraId="0CF572C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（格式仅供参考，可以根据实际情况自行设计）</w:t>
      </w:r>
    </w:p>
    <w:p w14:paraId="31DC05FA">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34AA422">
      <w:pPr>
        <w:shd w:val="clea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如有</w:t>
      </w:r>
      <w:r>
        <w:rPr>
          <w:rFonts w:hint="eastAsia" w:ascii="宋体" w:hAnsi="宋体" w:eastAsia="宋体" w:cs="宋体"/>
          <w:color w:val="auto"/>
          <w:sz w:val="24"/>
          <w:szCs w:val="24"/>
          <w:highlight w:val="none"/>
          <w:u w:val="single"/>
        </w:rPr>
        <w:t>）</w:t>
      </w:r>
    </w:p>
    <w:tbl>
      <w:tblPr>
        <w:tblStyle w:val="45"/>
        <w:tblpPr w:leftFromText="180" w:rightFromText="180" w:vertAnchor="text" w:horzAnchor="page" w:tblpX="1442" w:tblpY="74"/>
        <w:tblOverlap w:val="never"/>
        <w:tblW w:w="138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
        <w:gridCol w:w="2999"/>
        <w:gridCol w:w="995"/>
        <w:gridCol w:w="1173"/>
        <w:gridCol w:w="1681"/>
        <w:gridCol w:w="1108"/>
        <w:gridCol w:w="2252"/>
        <w:gridCol w:w="2676"/>
      </w:tblGrid>
      <w:tr w14:paraId="41758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4" w:type="dxa"/>
            <w:vMerge w:val="restart"/>
            <w:tcBorders>
              <w:top w:val="single" w:color="auto" w:sz="4" w:space="0"/>
              <w:left w:val="single" w:color="auto" w:sz="4" w:space="0"/>
              <w:right w:val="single" w:color="auto" w:sz="4" w:space="0"/>
            </w:tcBorders>
            <w:noWrap w:val="0"/>
            <w:vAlign w:val="center"/>
          </w:tcPr>
          <w:p w14:paraId="211F41EE">
            <w:pPr>
              <w:shd w:val="clear"/>
              <w:snapToGrid w:val="0"/>
              <w:spacing w:line="4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2999" w:type="dxa"/>
            <w:vMerge w:val="restart"/>
            <w:tcBorders>
              <w:top w:val="single" w:color="auto" w:sz="4" w:space="0"/>
              <w:left w:val="single" w:color="auto" w:sz="4" w:space="0"/>
              <w:bottom w:val="nil"/>
              <w:right w:val="single" w:color="auto" w:sz="4" w:space="0"/>
            </w:tcBorders>
            <w:noWrap w:val="0"/>
            <w:vAlign w:val="center"/>
          </w:tcPr>
          <w:p w14:paraId="4EC5E5FB">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w:t>
            </w:r>
          </w:p>
          <w:p w14:paraId="4ADB0F81">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995" w:type="dxa"/>
            <w:vMerge w:val="restart"/>
            <w:tcBorders>
              <w:top w:val="single" w:color="auto" w:sz="4" w:space="0"/>
              <w:left w:val="single" w:color="auto" w:sz="4" w:space="0"/>
              <w:bottom w:val="nil"/>
              <w:right w:val="single" w:color="auto" w:sz="4" w:space="0"/>
            </w:tcBorders>
            <w:noWrap w:val="0"/>
            <w:vAlign w:val="center"/>
          </w:tcPr>
          <w:p w14:paraId="39A9F4A1">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w:t>
            </w:r>
          </w:p>
        </w:tc>
        <w:tc>
          <w:tcPr>
            <w:tcW w:w="1173" w:type="dxa"/>
            <w:vMerge w:val="restart"/>
            <w:tcBorders>
              <w:top w:val="single" w:color="auto" w:sz="4" w:space="0"/>
              <w:left w:val="single" w:color="auto" w:sz="4" w:space="0"/>
              <w:bottom w:val="nil"/>
              <w:right w:val="single" w:color="auto" w:sz="4" w:space="0"/>
            </w:tcBorders>
            <w:noWrap w:val="0"/>
            <w:vAlign w:val="center"/>
          </w:tcPr>
          <w:p w14:paraId="5C5A4E02">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产地</w:t>
            </w:r>
          </w:p>
        </w:tc>
        <w:tc>
          <w:tcPr>
            <w:tcW w:w="1681" w:type="dxa"/>
            <w:vMerge w:val="restart"/>
            <w:tcBorders>
              <w:top w:val="single" w:color="auto" w:sz="4" w:space="0"/>
              <w:left w:val="single" w:color="auto" w:sz="4" w:space="0"/>
              <w:bottom w:val="nil"/>
              <w:right w:val="single" w:color="auto" w:sz="4" w:space="0"/>
            </w:tcBorders>
            <w:noWrap w:val="0"/>
            <w:vAlign w:val="center"/>
          </w:tcPr>
          <w:p w14:paraId="49EB1E9A">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w:t>
            </w:r>
          </w:p>
          <w:p w14:paraId="2C94938B">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型号</w:t>
            </w:r>
          </w:p>
        </w:tc>
        <w:tc>
          <w:tcPr>
            <w:tcW w:w="1108" w:type="dxa"/>
            <w:vMerge w:val="restart"/>
            <w:tcBorders>
              <w:top w:val="single" w:color="auto" w:sz="4" w:space="0"/>
              <w:left w:val="single" w:color="auto" w:sz="4" w:space="0"/>
              <w:bottom w:val="nil"/>
              <w:right w:val="single" w:color="auto" w:sz="4" w:space="0"/>
            </w:tcBorders>
            <w:noWrap w:val="0"/>
            <w:vAlign w:val="center"/>
          </w:tcPr>
          <w:p w14:paraId="578DD05A">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2252" w:type="dxa"/>
            <w:vMerge w:val="restart"/>
            <w:tcBorders>
              <w:top w:val="single" w:color="auto" w:sz="4" w:space="0"/>
              <w:left w:val="single" w:color="auto" w:sz="4" w:space="0"/>
              <w:bottom w:val="nil"/>
              <w:right w:val="single" w:color="auto" w:sz="4" w:space="0"/>
            </w:tcBorders>
            <w:noWrap w:val="0"/>
            <w:vAlign w:val="center"/>
          </w:tcPr>
          <w:p w14:paraId="72C9C991">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p w14:paraId="431E6D0C">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2676" w:type="dxa"/>
            <w:vMerge w:val="restart"/>
            <w:tcBorders>
              <w:top w:val="single" w:color="auto" w:sz="4" w:space="0"/>
              <w:left w:val="single" w:color="auto" w:sz="4" w:space="0"/>
              <w:bottom w:val="nil"/>
              <w:right w:val="single" w:color="auto" w:sz="4" w:space="0"/>
            </w:tcBorders>
            <w:noWrap w:val="0"/>
            <w:vAlign w:val="center"/>
          </w:tcPr>
          <w:p w14:paraId="5083AA05">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总价（元）</w:t>
            </w:r>
          </w:p>
        </w:tc>
      </w:tr>
      <w:tr w14:paraId="465BA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4" w:type="dxa"/>
            <w:vMerge w:val="continue"/>
            <w:tcBorders>
              <w:left w:val="single" w:color="auto" w:sz="4" w:space="0"/>
              <w:bottom w:val="nil"/>
              <w:right w:val="single" w:color="auto" w:sz="4" w:space="0"/>
            </w:tcBorders>
            <w:noWrap w:val="0"/>
            <w:vAlign w:val="center"/>
          </w:tcPr>
          <w:p w14:paraId="5062A754">
            <w:pPr>
              <w:widowControl/>
              <w:shd w:val="clear"/>
              <w:jc w:val="center"/>
              <w:rPr>
                <w:rFonts w:hint="eastAsia" w:ascii="宋体" w:hAnsi="宋体" w:eastAsia="宋体" w:cs="宋体"/>
                <w:b/>
                <w:color w:val="auto"/>
                <w:sz w:val="24"/>
                <w:szCs w:val="24"/>
                <w:highlight w:val="none"/>
              </w:rPr>
            </w:pPr>
          </w:p>
        </w:tc>
        <w:tc>
          <w:tcPr>
            <w:tcW w:w="2999" w:type="dxa"/>
            <w:vMerge w:val="continue"/>
            <w:tcBorders>
              <w:top w:val="single" w:color="auto" w:sz="4" w:space="0"/>
              <w:left w:val="single" w:color="auto" w:sz="4" w:space="0"/>
              <w:bottom w:val="nil"/>
              <w:right w:val="single" w:color="auto" w:sz="4" w:space="0"/>
            </w:tcBorders>
            <w:noWrap w:val="0"/>
            <w:vAlign w:val="center"/>
          </w:tcPr>
          <w:p w14:paraId="18F9233D">
            <w:pPr>
              <w:widowControl/>
              <w:shd w:val="clear"/>
              <w:jc w:val="left"/>
              <w:rPr>
                <w:rFonts w:hint="eastAsia" w:ascii="宋体" w:hAnsi="宋体" w:eastAsia="宋体" w:cs="宋体"/>
                <w:b/>
                <w:color w:val="auto"/>
                <w:sz w:val="24"/>
                <w:szCs w:val="24"/>
                <w:highlight w:val="none"/>
              </w:rPr>
            </w:pPr>
          </w:p>
        </w:tc>
        <w:tc>
          <w:tcPr>
            <w:tcW w:w="995" w:type="dxa"/>
            <w:vMerge w:val="continue"/>
            <w:tcBorders>
              <w:top w:val="single" w:color="auto" w:sz="4" w:space="0"/>
              <w:left w:val="single" w:color="auto" w:sz="4" w:space="0"/>
              <w:bottom w:val="nil"/>
              <w:right w:val="single" w:color="auto" w:sz="4" w:space="0"/>
            </w:tcBorders>
            <w:noWrap w:val="0"/>
            <w:vAlign w:val="center"/>
          </w:tcPr>
          <w:p w14:paraId="6800C3B0">
            <w:pPr>
              <w:widowControl/>
              <w:shd w:val="clear"/>
              <w:jc w:val="left"/>
              <w:rPr>
                <w:rFonts w:hint="eastAsia" w:ascii="宋体" w:hAnsi="宋体" w:eastAsia="宋体" w:cs="宋体"/>
                <w:b/>
                <w:color w:val="auto"/>
                <w:sz w:val="24"/>
                <w:szCs w:val="24"/>
                <w:highlight w:val="none"/>
              </w:rPr>
            </w:pPr>
          </w:p>
        </w:tc>
        <w:tc>
          <w:tcPr>
            <w:tcW w:w="1173" w:type="dxa"/>
            <w:vMerge w:val="continue"/>
            <w:tcBorders>
              <w:top w:val="single" w:color="auto" w:sz="4" w:space="0"/>
              <w:left w:val="single" w:color="auto" w:sz="4" w:space="0"/>
              <w:bottom w:val="nil"/>
              <w:right w:val="single" w:color="auto" w:sz="4" w:space="0"/>
            </w:tcBorders>
            <w:noWrap w:val="0"/>
            <w:vAlign w:val="center"/>
          </w:tcPr>
          <w:p w14:paraId="556300D5">
            <w:pPr>
              <w:widowControl/>
              <w:shd w:val="clear"/>
              <w:jc w:val="left"/>
              <w:rPr>
                <w:rFonts w:hint="eastAsia" w:ascii="宋体" w:hAnsi="宋体" w:eastAsia="宋体" w:cs="宋体"/>
                <w:b/>
                <w:color w:val="auto"/>
                <w:sz w:val="24"/>
                <w:szCs w:val="24"/>
                <w:highlight w:val="none"/>
              </w:rPr>
            </w:pPr>
          </w:p>
        </w:tc>
        <w:tc>
          <w:tcPr>
            <w:tcW w:w="1681" w:type="dxa"/>
            <w:vMerge w:val="continue"/>
            <w:tcBorders>
              <w:top w:val="single" w:color="auto" w:sz="4" w:space="0"/>
              <w:left w:val="single" w:color="auto" w:sz="4" w:space="0"/>
              <w:bottom w:val="nil"/>
              <w:right w:val="single" w:color="auto" w:sz="4" w:space="0"/>
            </w:tcBorders>
            <w:noWrap w:val="0"/>
            <w:vAlign w:val="center"/>
          </w:tcPr>
          <w:p w14:paraId="15A383F0">
            <w:pPr>
              <w:widowControl/>
              <w:shd w:val="clear"/>
              <w:jc w:val="left"/>
              <w:rPr>
                <w:rFonts w:hint="eastAsia" w:ascii="宋体" w:hAnsi="宋体" w:eastAsia="宋体" w:cs="宋体"/>
                <w:b/>
                <w:color w:val="auto"/>
                <w:sz w:val="24"/>
                <w:szCs w:val="24"/>
                <w:highlight w:val="none"/>
              </w:rPr>
            </w:pPr>
          </w:p>
        </w:tc>
        <w:tc>
          <w:tcPr>
            <w:tcW w:w="1108" w:type="dxa"/>
            <w:vMerge w:val="continue"/>
            <w:tcBorders>
              <w:top w:val="single" w:color="auto" w:sz="4" w:space="0"/>
              <w:left w:val="single" w:color="auto" w:sz="4" w:space="0"/>
              <w:bottom w:val="nil"/>
              <w:right w:val="single" w:color="auto" w:sz="4" w:space="0"/>
            </w:tcBorders>
            <w:noWrap w:val="0"/>
            <w:vAlign w:val="center"/>
          </w:tcPr>
          <w:p w14:paraId="3161B658">
            <w:pPr>
              <w:widowControl/>
              <w:shd w:val="clear"/>
              <w:jc w:val="left"/>
              <w:rPr>
                <w:rFonts w:hint="eastAsia" w:ascii="宋体" w:hAnsi="宋体" w:eastAsia="宋体" w:cs="宋体"/>
                <w:b/>
                <w:color w:val="auto"/>
                <w:sz w:val="24"/>
                <w:szCs w:val="24"/>
                <w:highlight w:val="none"/>
              </w:rPr>
            </w:pPr>
          </w:p>
        </w:tc>
        <w:tc>
          <w:tcPr>
            <w:tcW w:w="2252" w:type="dxa"/>
            <w:vMerge w:val="continue"/>
            <w:tcBorders>
              <w:top w:val="single" w:color="auto" w:sz="4" w:space="0"/>
              <w:left w:val="single" w:color="auto" w:sz="4" w:space="0"/>
              <w:bottom w:val="nil"/>
              <w:right w:val="single" w:color="auto" w:sz="4" w:space="0"/>
            </w:tcBorders>
            <w:noWrap w:val="0"/>
            <w:vAlign w:val="center"/>
          </w:tcPr>
          <w:p w14:paraId="3C44CEF4">
            <w:pPr>
              <w:widowControl/>
              <w:shd w:val="clear"/>
              <w:jc w:val="left"/>
              <w:rPr>
                <w:rFonts w:hint="eastAsia" w:ascii="宋体" w:hAnsi="宋体" w:eastAsia="宋体" w:cs="宋体"/>
                <w:b/>
                <w:color w:val="auto"/>
                <w:sz w:val="24"/>
                <w:szCs w:val="24"/>
                <w:highlight w:val="none"/>
              </w:rPr>
            </w:pPr>
          </w:p>
        </w:tc>
        <w:tc>
          <w:tcPr>
            <w:tcW w:w="2676" w:type="dxa"/>
            <w:vMerge w:val="continue"/>
            <w:tcBorders>
              <w:top w:val="single" w:color="auto" w:sz="4" w:space="0"/>
              <w:left w:val="single" w:color="auto" w:sz="4" w:space="0"/>
              <w:bottom w:val="nil"/>
              <w:right w:val="single" w:color="auto" w:sz="4" w:space="0"/>
            </w:tcBorders>
            <w:noWrap w:val="0"/>
            <w:vAlign w:val="center"/>
          </w:tcPr>
          <w:p w14:paraId="594D782E">
            <w:pPr>
              <w:widowControl/>
              <w:shd w:val="clear"/>
              <w:jc w:val="left"/>
              <w:rPr>
                <w:rFonts w:hint="eastAsia" w:ascii="宋体" w:hAnsi="宋体" w:eastAsia="宋体" w:cs="宋体"/>
                <w:b/>
                <w:color w:val="auto"/>
                <w:sz w:val="24"/>
                <w:szCs w:val="24"/>
                <w:highlight w:val="none"/>
              </w:rPr>
            </w:pPr>
          </w:p>
        </w:tc>
      </w:tr>
      <w:tr w14:paraId="633E2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974" w:type="dxa"/>
            <w:tcBorders>
              <w:top w:val="single" w:color="auto" w:sz="4" w:space="0"/>
              <w:left w:val="single" w:color="auto" w:sz="4" w:space="0"/>
              <w:bottom w:val="single" w:color="auto" w:sz="4" w:space="0"/>
              <w:right w:val="single" w:color="auto" w:sz="4" w:space="0"/>
            </w:tcBorders>
            <w:noWrap w:val="0"/>
            <w:vAlign w:val="center"/>
          </w:tcPr>
          <w:p w14:paraId="07428AB5">
            <w:pPr>
              <w:shd w:val="clear"/>
              <w:snapToGrid w:val="0"/>
              <w:spacing w:line="400" w:lineRule="exact"/>
              <w:jc w:val="center"/>
              <w:rPr>
                <w:rFonts w:hint="eastAsia" w:ascii="宋体" w:hAnsi="宋体" w:eastAsia="宋体" w:cs="宋体"/>
                <w:b/>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noWrap w:val="0"/>
            <w:vAlign w:val="center"/>
          </w:tcPr>
          <w:p w14:paraId="2519C59B">
            <w:pPr>
              <w:shd w:val="clear"/>
              <w:snapToGrid w:val="0"/>
              <w:spacing w:line="400" w:lineRule="exact"/>
              <w:jc w:val="center"/>
              <w:rPr>
                <w:rFonts w:hint="eastAsia" w:ascii="宋体" w:hAnsi="宋体" w:eastAsia="宋体" w:cs="宋体"/>
                <w:b/>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63521A23">
            <w:pPr>
              <w:shd w:val="clear"/>
              <w:snapToGrid w:val="0"/>
              <w:spacing w:line="400" w:lineRule="exact"/>
              <w:jc w:val="center"/>
              <w:rPr>
                <w:rFonts w:hint="eastAsia" w:ascii="宋体" w:hAnsi="宋体" w:eastAsia="宋体" w:cs="宋体"/>
                <w:b/>
                <w:color w:val="auto"/>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E1BDDA5">
            <w:pPr>
              <w:shd w:val="clear"/>
              <w:snapToGrid w:val="0"/>
              <w:spacing w:line="400" w:lineRule="exact"/>
              <w:jc w:val="center"/>
              <w:rPr>
                <w:rFonts w:hint="eastAsia" w:ascii="宋体" w:hAnsi="宋体" w:eastAsia="宋体" w:cs="宋体"/>
                <w:b/>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5CB89F2">
            <w:pPr>
              <w:shd w:val="clear"/>
              <w:snapToGrid w:val="0"/>
              <w:spacing w:line="400" w:lineRule="exact"/>
              <w:jc w:val="center"/>
              <w:rPr>
                <w:rFonts w:hint="eastAsia" w:ascii="宋体" w:hAnsi="宋体" w:eastAsia="宋体" w:cs="宋体"/>
                <w:b/>
                <w:color w:val="auto"/>
                <w:sz w:val="24"/>
                <w:szCs w:val="24"/>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57F6B68">
            <w:pPr>
              <w:shd w:val="clear"/>
              <w:snapToGrid w:val="0"/>
              <w:spacing w:line="400" w:lineRule="exact"/>
              <w:jc w:val="center"/>
              <w:rPr>
                <w:rFonts w:hint="eastAsia" w:ascii="宋体" w:hAnsi="宋体" w:eastAsia="宋体" w:cs="宋体"/>
                <w:b/>
                <w:color w:val="auto"/>
                <w:sz w:val="24"/>
                <w:szCs w:val="24"/>
                <w:highlight w:val="none"/>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A2410FE">
            <w:pPr>
              <w:shd w:val="clear"/>
              <w:snapToGrid w:val="0"/>
              <w:spacing w:line="400" w:lineRule="exact"/>
              <w:jc w:val="center"/>
              <w:rPr>
                <w:rFonts w:hint="eastAsia" w:ascii="宋体" w:hAnsi="宋体" w:eastAsia="宋体" w:cs="宋体"/>
                <w:b/>
                <w:color w:val="auto"/>
                <w:sz w:val="24"/>
                <w:szCs w:val="24"/>
                <w:highlight w:val="none"/>
              </w:rPr>
            </w:pPr>
          </w:p>
        </w:tc>
        <w:tc>
          <w:tcPr>
            <w:tcW w:w="2676" w:type="dxa"/>
            <w:tcBorders>
              <w:top w:val="single" w:color="auto" w:sz="4" w:space="0"/>
              <w:left w:val="single" w:color="auto" w:sz="4" w:space="0"/>
              <w:bottom w:val="single" w:color="auto" w:sz="4" w:space="0"/>
              <w:right w:val="single" w:color="auto" w:sz="4" w:space="0"/>
            </w:tcBorders>
            <w:noWrap w:val="0"/>
            <w:vAlign w:val="center"/>
          </w:tcPr>
          <w:p w14:paraId="0D642CFB">
            <w:pPr>
              <w:shd w:val="clear"/>
              <w:snapToGrid w:val="0"/>
              <w:spacing w:line="400" w:lineRule="exact"/>
              <w:jc w:val="center"/>
              <w:rPr>
                <w:rFonts w:hint="eastAsia" w:ascii="宋体" w:hAnsi="宋体" w:eastAsia="宋体" w:cs="宋体"/>
                <w:b/>
                <w:color w:val="auto"/>
                <w:sz w:val="24"/>
                <w:szCs w:val="24"/>
                <w:highlight w:val="none"/>
              </w:rPr>
            </w:pPr>
          </w:p>
        </w:tc>
      </w:tr>
      <w:tr w14:paraId="7B656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974" w:type="dxa"/>
            <w:tcBorders>
              <w:top w:val="single" w:color="auto" w:sz="4" w:space="0"/>
              <w:left w:val="single" w:color="auto" w:sz="4" w:space="0"/>
              <w:bottom w:val="single" w:color="auto" w:sz="4" w:space="0"/>
              <w:right w:val="single" w:color="auto" w:sz="4" w:space="0"/>
            </w:tcBorders>
            <w:noWrap w:val="0"/>
            <w:vAlign w:val="center"/>
          </w:tcPr>
          <w:p w14:paraId="35801390">
            <w:pPr>
              <w:shd w:val="clear"/>
              <w:snapToGrid w:val="0"/>
              <w:spacing w:line="400" w:lineRule="exact"/>
              <w:jc w:val="center"/>
              <w:rPr>
                <w:rFonts w:hint="eastAsia" w:ascii="宋体" w:hAnsi="宋体" w:eastAsia="宋体" w:cs="宋体"/>
                <w:b/>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noWrap w:val="0"/>
            <w:vAlign w:val="center"/>
          </w:tcPr>
          <w:p w14:paraId="58C703F6">
            <w:pPr>
              <w:shd w:val="clear"/>
              <w:snapToGrid w:val="0"/>
              <w:spacing w:line="400" w:lineRule="exact"/>
              <w:jc w:val="center"/>
              <w:rPr>
                <w:rFonts w:hint="eastAsia" w:ascii="宋体" w:hAnsi="宋体" w:eastAsia="宋体" w:cs="宋体"/>
                <w:b/>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5B8C3C3D">
            <w:pPr>
              <w:shd w:val="clear"/>
              <w:snapToGrid w:val="0"/>
              <w:spacing w:line="400" w:lineRule="exact"/>
              <w:jc w:val="center"/>
              <w:rPr>
                <w:rFonts w:hint="eastAsia" w:ascii="宋体" w:hAnsi="宋体" w:eastAsia="宋体" w:cs="宋体"/>
                <w:b/>
                <w:color w:val="auto"/>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3AC0A27">
            <w:pPr>
              <w:shd w:val="clear"/>
              <w:snapToGrid w:val="0"/>
              <w:spacing w:line="400" w:lineRule="exact"/>
              <w:jc w:val="center"/>
              <w:rPr>
                <w:rFonts w:hint="eastAsia" w:ascii="宋体" w:hAnsi="宋体" w:eastAsia="宋体" w:cs="宋体"/>
                <w:b/>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ED51DBB">
            <w:pPr>
              <w:shd w:val="clear"/>
              <w:snapToGrid w:val="0"/>
              <w:spacing w:line="400" w:lineRule="exact"/>
              <w:jc w:val="center"/>
              <w:rPr>
                <w:rFonts w:hint="eastAsia" w:ascii="宋体" w:hAnsi="宋体" w:eastAsia="宋体" w:cs="宋体"/>
                <w:b/>
                <w:color w:val="auto"/>
                <w:sz w:val="24"/>
                <w:szCs w:val="24"/>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0151B854">
            <w:pPr>
              <w:shd w:val="clear"/>
              <w:snapToGrid w:val="0"/>
              <w:spacing w:line="400" w:lineRule="exact"/>
              <w:jc w:val="center"/>
              <w:rPr>
                <w:rFonts w:hint="eastAsia" w:ascii="宋体" w:hAnsi="宋体" w:eastAsia="宋体" w:cs="宋体"/>
                <w:b/>
                <w:color w:val="auto"/>
                <w:sz w:val="24"/>
                <w:szCs w:val="24"/>
                <w:highlight w:val="none"/>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0F45308">
            <w:pPr>
              <w:shd w:val="clear"/>
              <w:snapToGrid w:val="0"/>
              <w:spacing w:line="400" w:lineRule="exact"/>
              <w:jc w:val="center"/>
              <w:rPr>
                <w:rFonts w:hint="eastAsia" w:ascii="宋体" w:hAnsi="宋体" w:eastAsia="宋体" w:cs="宋体"/>
                <w:b/>
                <w:color w:val="auto"/>
                <w:sz w:val="24"/>
                <w:szCs w:val="24"/>
                <w:highlight w:val="none"/>
              </w:rPr>
            </w:pPr>
          </w:p>
        </w:tc>
        <w:tc>
          <w:tcPr>
            <w:tcW w:w="2676" w:type="dxa"/>
            <w:tcBorders>
              <w:top w:val="single" w:color="auto" w:sz="4" w:space="0"/>
              <w:left w:val="single" w:color="auto" w:sz="4" w:space="0"/>
              <w:bottom w:val="single" w:color="auto" w:sz="4" w:space="0"/>
              <w:right w:val="single" w:color="auto" w:sz="4" w:space="0"/>
            </w:tcBorders>
            <w:noWrap w:val="0"/>
            <w:vAlign w:val="center"/>
          </w:tcPr>
          <w:p w14:paraId="2DFFDC00">
            <w:pPr>
              <w:shd w:val="clear"/>
              <w:snapToGrid w:val="0"/>
              <w:spacing w:line="400" w:lineRule="exact"/>
              <w:jc w:val="center"/>
              <w:rPr>
                <w:rFonts w:hint="eastAsia" w:ascii="宋体" w:hAnsi="宋体" w:eastAsia="宋体" w:cs="宋体"/>
                <w:b/>
                <w:color w:val="auto"/>
                <w:sz w:val="24"/>
                <w:szCs w:val="24"/>
                <w:highlight w:val="none"/>
              </w:rPr>
            </w:pPr>
          </w:p>
        </w:tc>
      </w:tr>
      <w:tr w14:paraId="27EFA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74" w:type="dxa"/>
            <w:tcBorders>
              <w:top w:val="single" w:color="auto" w:sz="4" w:space="0"/>
              <w:left w:val="single" w:color="auto" w:sz="4" w:space="0"/>
              <w:bottom w:val="single" w:color="auto" w:sz="4" w:space="0"/>
              <w:right w:val="single" w:color="auto" w:sz="4" w:space="0"/>
            </w:tcBorders>
            <w:noWrap w:val="0"/>
            <w:vAlign w:val="center"/>
          </w:tcPr>
          <w:p w14:paraId="49D28BD6">
            <w:pPr>
              <w:shd w:val="clear"/>
              <w:snapToGrid w:val="0"/>
              <w:spacing w:line="400" w:lineRule="exact"/>
              <w:jc w:val="center"/>
              <w:rPr>
                <w:rFonts w:hint="eastAsia" w:ascii="宋体" w:hAnsi="宋体" w:eastAsia="宋体" w:cs="宋体"/>
                <w:b/>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noWrap w:val="0"/>
            <w:vAlign w:val="center"/>
          </w:tcPr>
          <w:p w14:paraId="1C6E295A">
            <w:pPr>
              <w:shd w:val="clear"/>
              <w:snapToGrid w:val="0"/>
              <w:spacing w:line="400" w:lineRule="exact"/>
              <w:jc w:val="center"/>
              <w:rPr>
                <w:rFonts w:hint="eastAsia" w:ascii="宋体" w:hAnsi="宋体" w:eastAsia="宋体" w:cs="宋体"/>
                <w:b/>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7DCE8D3F">
            <w:pPr>
              <w:shd w:val="clear"/>
              <w:snapToGrid w:val="0"/>
              <w:spacing w:line="400" w:lineRule="exact"/>
              <w:jc w:val="center"/>
              <w:rPr>
                <w:rFonts w:hint="eastAsia" w:ascii="宋体" w:hAnsi="宋体" w:eastAsia="宋体" w:cs="宋体"/>
                <w:b/>
                <w:color w:val="auto"/>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022AD09">
            <w:pPr>
              <w:shd w:val="clear"/>
              <w:snapToGrid w:val="0"/>
              <w:spacing w:line="400" w:lineRule="exact"/>
              <w:jc w:val="center"/>
              <w:rPr>
                <w:rFonts w:hint="eastAsia" w:ascii="宋体" w:hAnsi="宋体" w:eastAsia="宋体" w:cs="宋体"/>
                <w:b/>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C7C2B03">
            <w:pPr>
              <w:shd w:val="clear"/>
              <w:snapToGrid w:val="0"/>
              <w:spacing w:line="400" w:lineRule="exact"/>
              <w:jc w:val="center"/>
              <w:rPr>
                <w:rFonts w:hint="eastAsia" w:ascii="宋体" w:hAnsi="宋体" w:eastAsia="宋体" w:cs="宋体"/>
                <w:b/>
                <w:color w:val="auto"/>
                <w:sz w:val="24"/>
                <w:szCs w:val="24"/>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01542596">
            <w:pPr>
              <w:shd w:val="clear"/>
              <w:snapToGrid w:val="0"/>
              <w:spacing w:line="400" w:lineRule="exact"/>
              <w:jc w:val="center"/>
              <w:rPr>
                <w:rFonts w:hint="eastAsia" w:ascii="宋体" w:hAnsi="宋体" w:eastAsia="宋体" w:cs="宋体"/>
                <w:b/>
                <w:color w:val="auto"/>
                <w:sz w:val="24"/>
                <w:szCs w:val="24"/>
                <w:highlight w:val="none"/>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C523E2F">
            <w:pPr>
              <w:shd w:val="clear"/>
              <w:snapToGrid w:val="0"/>
              <w:spacing w:line="400" w:lineRule="exact"/>
              <w:jc w:val="center"/>
              <w:rPr>
                <w:rFonts w:hint="eastAsia" w:ascii="宋体" w:hAnsi="宋体" w:eastAsia="宋体" w:cs="宋体"/>
                <w:b/>
                <w:color w:val="auto"/>
                <w:sz w:val="24"/>
                <w:szCs w:val="24"/>
                <w:highlight w:val="none"/>
              </w:rPr>
            </w:pPr>
          </w:p>
        </w:tc>
        <w:tc>
          <w:tcPr>
            <w:tcW w:w="2676" w:type="dxa"/>
            <w:tcBorders>
              <w:top w:val="single" w:color="auto" w:sz="4" w:space="0"/>
              <w:left w:val="single" w:color="auto" w:sz="4" w:space="0"/>
              <w:bottom w:val="single" w:color="auto" w:sz="4" w:space="0"/>
              <w:right w:val="single" w:color="auto" w:sz="4" w:space="0"/>
            </w:tcBorders>
            <w:noWrap w:val="0"/>
            <w:vAlign w:val="center"/>
          </w:tcPr>
          <w:p w14:paraId="66F5A1EC">
            <w:pPr>
              <w:shd w:val="clear"/>
              <w:snapToGrid w:val="0"/>
              <w:spacing w:line="400" w:lineRule="exact"/>
              <w:jc w:val="center"/>
              <w:rPr>
                <w:rFonts w:hint="eastAsia" w:ascii="宋体" w:hAnsi="宋体" w:eastAsia="宋体" w:cs="宋体"/>
                <w:b/>
                <w:color w:val="auto"/>
                <w:sz w:val="24"/>
                <w:szCs w:val="24"/>
                <w:highlight w:val="none"/>
              </w:rPr>
            </w:pPr>
          </w:p>
        </w:tc>
      </w:tr>
      <w:tr w14:paraId="63671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74" w:type="dxa"/>
            <w:tcBorders>
              <w:top w:val="single" w:color="auto" w:sz="4" w:space="0"/>
              <w:left w:val="single" w:color="auto" w:sz="4" w:space="0"/>
              <w:bottom w:val="single" w:color="auto" w:sz="4" w:space="0"/>
              <w:right w:val="single" w:color="auto" w:sz="4" w:space="0"/>
            </w:tcBorders>
            <w:noWrap w:val="0"/>
            <w:vAlign w:val="center"/>
          </w:tcPr>
          <w:p w14:paraId="5795FC18">
            <w:pPr>
              <w:shd w:val="clear"/>
              <w:snapToGrid w:val="0"/>
              <w:spacing w:line="400" w:lineRule="exact"/>
              <w:jc w:val="center"/>
              <w:rPr>
                <w:rFonts w:hint="eastAsia" w:ascii="宋体" w:hAnsi="宋体" w:eastAsia="宋体" w:cs="宋体"/>
                <w:b/>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noWrap w:val="0"/>
            <w:vAlign w:val="center"/>
          </w:tcPr>
          <w:p w14:paraId="53815F6E">
            <w:pPr>
              <w:shd w:val="clea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38D0C461">
            <w:pPr>
              <w:shd w:val="clear"/>
              <w:snapToGrid w:val="0"/>
              <w:spacing w:line="400" w:lineRule="exact"/>
              <w:jc w:val="center"/>
              <w:rPr>
                <w:rFonts w:hint="eastAsia" w:ascii="宋体" w:hAnsi="宋体" w:eastAsia="宋体" w:cs="宋体"/>
                <w:b/>
                <w:color w:val="auto"/>
                <w:sz w:val="24"/>
                <w:szCs w:val="24"/>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121568D">
            <w:pPr>
              <w:shd w:val="clear"/>
              <w:snapToGrid w:val="0"/>
              <w:spacing w:line="400" w:lineRule="exact"/>
              <w:jc w:val="center"/>
              <w:rPr>
                <w:rFonts w:hint="eastAsia" w:ascii="宋体" w:hAnsi="宋体" w:eastAsia="宋体" w:cs="宋体"/>
                <w:b/>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E96BA43">
            <w:pPr>
              <w:shd w:val="clear"/>
              <w:snapToGrid w:val="0"/>
              <w:spacing w:line="400" w:lineRule="exact"/>
              <w:jc w:val="center"/>
              <w:rPr>
                <w:rFonts w:hint="eastAsia" w:ascii="宋体" w:hAnsi="宋体" w:eastAsia="宋体" w:cs="宋体"/>
                <w:b/>
                <w:color w:val="auto"/>
                <w:sz w:val="24"/>
                <w:szCs w:val="24"/>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D419726">
            <w:pPr>
              <w:shd w:val="clear"/>
              <w:snapToGrid w:val="0"/>
              <w:spacing w:line="400" w:lineRule="exact"/>
              <w:jc w:val="center"/>
              <w:rPr>
                <w:rFonts w:hint="eastAsia" w:ascii="宋体" w:hAnsi="宋体" w:eastAsia="宋体" w:cs="宋体"/>
                <w:b/>
                <w:color w:val="auto"/>
                <w:sz w:val="24"/>
                <w:szCs w:val="24"/>
                <w:highlight w:val="none"/>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A45A12E">
            <w:pPr>
              <w:shd w:val="clear"/>
              <w:snapToGrid w:val="0"/>
              <w:spacing w:line="400" w:lineRule="exact"/>
              <w:jc w:val="center"/>
              <w:rPr>
                <w:rFonts w:hint="eastAsia" w:ascii="宋体" w:hAnsi="宋体" w:eastAsia="宋体" w:cs="宋体"/>
                <w:b/>
                <w:color w:val="auto"/>
                <w:sz w:val="24"/>
                <w:szCs w:val="24"/>
                <w:highlight w:val="none"/>
              </w:rPr>
            </w:pPr>
          </w:p>
        </w:tc>
        <w:tc>
          <w:tcPr>
            <w:tcW w:w="2676" w:type="dxa"/>
            <w:tcBorders>
              <w:top w:val="single" w:color="auto" w:sz="4" w:space="0"/>
              <w:left w:val="single" w:color="auto" w:sz="4" w:space="0"/>
              <w:bottom w:val="single" w:color="auto" w:sz="4" w:space="0"/>
              <w:right w:val="single" w:color="auto" w:sz="4" w:space="0"/>
            </w:tcBorders>
            <w:noWrap w:val="0"/>
            <w:vAlign w:val="center"/>
          </w:tcPr>
          <w:p w14:paraId="414F9FD8">
            <w:pPr>
              <w:shd w:val="clear"/>
              <w:snapToGrid w:val="0"/>
              <w:spacing w:line="400" w:lineRule="exact"/>
              <w:jc w:val="center"/>
              <w:rPr>
                <w:rFonts w:hint="eastAsia" w:ascii="宋体" w:hAnsi="宋体" w:eastAsia="宋体" w:cs="宋体"/>
                <w:b/>
                <w:color w:val="auto"/>
                <w:sz w:val="24"/>
                <w:szCs w:val="24"/>
                <w:highlight w:val="none"/>
              </w:rPr>
            </w:pPr>
          </w:p>
        </w:tc>
      </w:tr>
      <w:tr w14:paraId="2FCF5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3858" w:type="dxa"/>
            <w:gridSpan w:val="8"/>
            <w:tcBorders>
              <w:top w:val="single" w:color="auto" w:sz="4" w:space="0"/>
              <w:left w:val="single" w:color="auto" w:sz="4" w:space="0"/>
              <w:bottom w:val="single" w:color="auto" w:sz="4" w:space="0"/>
              <w:right w:val="single" w:color="auto" w:sz="4" w:space="0"/>
            </w:tcBorders>
            <w:noWrap w:val="0"/>
            <w:vAlign w:val="center"/>
          </w:tcPr>
          <w:p w14:paraId="65082CCD">
            <w:pPr>
              <w:shd w:val="clear"/>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投标总价合计金额大写：                                小写： </w:t>
            </w:r>
          </w:p>
        </w:tc>
      </w:tr>
    </w:tbl>
    <w:p w14:paraId="4A915757">
      <w:pPr>
        <w:pStyle w:val="110"/>
        <w:shd w:val="clear"/>
        <w:wordWrap w:val="0"/>
        <w:spacing w:line="360" w:lineRule="auto"/>
        <w:ind w:firstLine="480"/>
        <w:jc w:val="right"/>
        <w:rPr>
          <w:rFonts w:hint="eastAsia" w:ascii="宋体" w:hAnsi="宋体" w:eastAsia="宋体" w:cs="宋体"/>
          <w:color w:val="auto"/>
          <w:sz w:val="24"/>
          <w:szCs w:val="21"/>
          <w:highlight w:val="none"/>
          <w:u w:val="single"/>
        </w:rPr>
      </w:pPr>
    </w:p>
    <w:p w14:paraId="50F9F9BE">
      <w:pPr>
        <w:shd w:val="clear"/>
        <w:snapToGrid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6A96D95C">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1.此表应按项目的明细情况列项填报,在填写时，如上表不适合本项目的实际情况，可在确保投标明细内容完整的情况下，根据上表格式自行划表填写。</w:t>
      </w:r>
    </w:p>
    <w:p w14:paraId="73AE5241">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zh-CN"/>
        </w:rPr>
        <w:t>有关本项目实施所涉及的一切费用均计入报价。采购人将以合同形式有偿取得货物或服务，不接受投标人给予的赠品、回扣或者与采购无关的其他商品、服务</w:t>
      </w:r>
      <w:r>
        <w:rPr>
          <w:rFonts w:hint="eastAsia" w:ascii="宋体" w:hAnsi="宋体" w:eastAsia="宋体" w:cs="宋体"/>
          <w:b w:val="0"/>
          <w:bCs w:val="0"/>
          <w:color w:val="auto"/>
          <w:sz w:val="21"/>
          <w:szCs w:val="21"/>
          <w:highlight w:val="none"/>
        </w:rPr>
        <w:t>。</w:t>
      </w:r>
    </w:p>
    <w:p w14:paraId="2DB33DAB">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开标时，电子交易平台公开投标人的报价信息</w:t>
      </w:r>
      <w:r>
        <w:rPr>
          <w:rFonts w:hint="eastAsia" w:ascii="宋体" w:hAnsi="宋体" w:eastAsia="宋体" w:cs="宋体"/>
          <w:b w:val="0"/>
          <w:bCs w:val="0"/>
          <w:color w:val="auto"/>
          <w:sz w:val="21"/>
          <w:szCs w:val="21"/>
          <w:highlight w:val="none"/>
          <w:lang w:val="en-US" w:eastAsia="zh-CN"/>
        </w:rPr>
        <w:t>后</w:t>
      </w:r>
      <w:r>
        <w:rPr>
          <w:rFonts w:hint="eastAsia" w:ascii="宋体" w:hAnsi="宋体" w:eastAsia="宋体" w:cs="宋体"/>
          <w:b w:val="0"/>
          <w:bCs w:val="0"/>
          <w:color w:val="auto"/>
          <w:sz w:val="21"/>
          <w:szCs w:val="21"/>
          <w:highlight w:val="none"/>
        </w:rPr>
        <w:t>，投标人对报价信息进行确认。投标人对报价信息不予确认的不影响后续评标过程。</w:t>
      </w:r>
    </w:p>
    <w:p w14:paraId="31A9D5F2">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4.如因此表所填信息与商务技术文件、资格文件所填内容不一致，造成的所有后果，由投标人自行承担。</w:t>
      </w:r>
    </w:p>
    <w:p w14:paraId="76F5D6FD">
      <w:pPr>
        <w:pStyle w:val="7"/>
        <w:shd w:val="clear"/>
        <w:spacing w:line="360" w:lineRule="auto"/>
        <w:ind w:firstLine="0"/>
        <w:jc w:val="center"/>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lang w:val="en-US" w:eastAsia="zh-CN"/>
        </w:rPr>
        <w:t xml:space="preserve">                                                                        </w:t>
      </w:r>
      <w:bookmarkStart w:id="693" w:name="_Toc493956062"/>
      <w:bookmarkStart w:id="694" w:name="_Toc45506740"/>
      <w:bookmarkStart w:id="695" w:name="_Toc15813259"/>
      <w:bookmarkStart w:id="696" w:name="_Toc47756041"/>
      <w:bookmarkStart w:id="697" w:name="_Toc523398533"/>
      <w:bookmarkStart w:id="698" w:name="_Toc531359076"/>
      <w:bookmarkStart w:id="699" w:name="_Toc530551899"/>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66EAEFE9">
      <w:pPr>
        <w:pStyle w:val="7"/>
        <w:shd w:val="clear"/>
        <w:spacing w:line="360" w:lineRule="auto"/>
        <w:ind w:firstLine="0"/>
        <w:jc w:val="center"/>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16A7BB64">
      <w:pPr>
        <w:pStyle w:val="7"/>
        <w:shd w:val="clear"/>
        <w:spacing w:line="360" w:lineRule="auto"/>
        <w:ind w:firstLine="0"/>
        <w:jc w:val="center"/>
        <w:rPr>
          <w:rFonts w:hint="eastAsia" w:ascii="宋体" w:hAnsi="宋体" w:eastAsia="宋体" w:cs="宋体"/>
          <w:color w:val="auto"/>
          <w:sz w:val="24"/>
          <w:szCs w:val="21"/>
          <w:highlight w:val="none"/>
          <w:u w:val="single"/>
        </w:rPr>
      </w:pPr>
    </w:p>
    <w:p w14:paraId="2AE43F15">
      <w:pPr>
        <w:pStyle w:val="7"/>
        <w:shd w:val="clear"/>
        <w:spacing w:line="360" w:lineRule="auto"/>
        <w:ind w:firstLine="0"/>
        <w:jc w:val="center"/>
        <w:rPr>
          <w:rFonts w:hint="eastAsia" w:ascii="宋体" w:hAnsi="宋体" w:eastAsia="宋体" w:cs="宋体"/>
          <w:color w:val="auto"/>
          <w:sz w:val="24"/>
          <w:szCs w:val="21"/>
          <w:highlight w:val="none"/>
          <w:u w:val="single"/>
        </w:rPr>
        <w:sectPr>
          <w:pgSz w:w="16838" w:h="11906" w:orient="landscape"/>
          <w:pgMar w:top="1440" w:right="1440" w:bottom="1440" w:left="1440" w:header="851" w:footer="850" w:gutter="0"/>
          <w:pgNumType w:fmt="decimal"/>
          <w:cols w:space="720" w:num="1"/>
          <w:rtlGutter w:val="0"/>
          <w:docGrid w:linePitch="312" w:charSpace="0"/>
        </w:sectPr>
      </w:pPr>
    </w:p>
    <w:bookmarkEnd w:id="506"/>
    <w:bookmarkEnd w:id="693"/>
    <w:bookmarkEnd w:id="694"/>
    <w:bookmarkEnd w:id="695"/>
    <w:bookmarkEnd w:id="696"/>
    <w:bookmarkEnd w:id="697"/>
    <w:bookmarkEnd w:id="698"/>
    <w:bookmarkEnd w:id="699"/>
    <w:p w14:paraId="4B44F281">
      <w:pPr>
        <w:pStyle w:val="6"/>
        <w:shd w:val="clear"/>
        <w:spacing w:before="0" w:after="0"/>
        <w:ind w:firstLine="0" w:firstLineChars="0"/>
        <w:rPr>
          <w:rFonts w:hint="eastAsia" w:ascii="宋体" w:hAnsi="宋体" w:eastAsia="宋体" w:cs="宋体"/>
          <w:color w:val="auto"/>
          <w:sz w:val="24"/>
          <w:szCs w:val="24"/>
          <w:highlight w:val="none"/>
          <w:lang w:val="en-US" w:eastAsia="zh-CN"/>
        </w:rPr>
      </w:pPr>
      <w:bookmarkStart w:id="700" w:name="_Toc24369"/>
      <w:bookmarkStart w:id="701" w:name="_Toc97213030"/>
      <w:bookmarkStart w:id="702" w:name="_Toc16611"/>
      <w:bookmarkStart w:id="703" w:name="_Toc13345"/>
      <w:bookmarkStart w:id="704" w:name="_Toc10634"/>
      <w:bookmarkStart w:id="705" w:name="_Toc12533"/>
      <w:bookmarkStart w:id="706" w:name="_Toc335664294"/>
      <w:bookmarkStart w:id="707" w:name="_Toc493956074"/>
      <w:bookmarkStart w:id="708" w:name="_Toc530551900"/>
      <w:bookmarkStart w:id="709" w:name="_Toc531359077"/>
      <w:bookmarkStart w:id="710" w:name="_Toc6743"/>
      <w:bookmarkStart w:id="711" w:name="_Toc97213062"/>
      <w:bookmarkStart w:id="712" w:name="_Toc18914"/>
      <w:bookmarkStart w:id="713" w:name="_Toc29664"/>
      <w:bookmarkStart w:id="714" w:name="_Toc16306"/>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 xml:space="preserve">   </w:t>
      </w:r>
      <w:bookmarkEnd w:id="700"/>
      <w:bookmarkEnd w:id="701"/>
      <w:bookmarkEnd w:id="702"/>
      <w:bookmarkEnd w:id="703"/>
      <w:bookmarkEnd w:id="704"/>
      <w:bookmarkEnd w:id="705"/>
      <w:bookmarkStart w:id="715" w:name="_Toc9370"/>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val="en-US" w:eastAsia="zh-CN"/>
        </w:rPr>
        <w:t>相关声明函</w:t>
      </w:r>
      <w:r>
        <w:rPr>
          <w:rFonts w:hint="eastAsia" w:ascii="宋体" w:hAnsi="宋体" w:eastAsia="宋体" w:cs="宋体"/>
          <w:color w:val="auto"/>
          <w:sz w:val="24"/>
          <w:szCs w:val="24"/>
          <w:highlight w:val="none"/>
        </w:rPr>
        <w:t>格式</w:t>
      </w:r>
      <w:bookmarkEnd w:id="715"/>
    </w:p>
    <w:p w14:paraId="237EFF1E">
      <w:pPr>
        <w:pStyle w:val="7"/>
        <w:shd w:val="clear"/>
        <w:spacing w:line="360" w:lineRule="auto"/>
        <w:ind w:left="421" w:leftChars="0" w:hanging="421" w:hangingChars="131"/>
        <w:jc w:val="center"/>
        <w:rPr>
          <w:rFonts w:hint="eastAsia" w:ascii="宋体" w:hAnsi="宋体" w:eastAsia="宋体" w:cs="宋体"/>
          <w:b/>
          <w:strike w:val="0"/>
          <w:color w:val="auto"/>
          <w:sz w:val="32"/>
          <w:szCs w:val="32"/>
          <w:highlight w:val="none"/>
        </w:rPr>
      </w:pPr>
      <w:r>
        <w:rPr>
          <w:rFonts w:hint="eastAsia" w:ascii="宋体" w:hAnsi="宋体" w:eastAsia="宋体" w:cs="宋体"/>
          <w:b/>
          <w:strike w:val="0"/>
          <w:color w:val="auto"/>
          <w:sz w:val="32"/>
          <w:szCs w:val="32"/>
          <w:highlight w:val="none"/>
        </w:rPr>
        <w:t>中小企业声明函（货物）</w:t>
      </w:r>
    </w:p>
    <w:p w14:paraId="70C034F0">
      <w:pPr>
        <w:pStyle w:val="7"/>
        <w:shd w:val="clear"/>
        <w:spacing w:line="360" w:lineRule="auto"/>
        <w:ind w:firstLine="643" w:firstLineChars="200"/>
        <w:jc w:val="center"/>
        <w:rPr>
          <w:rFonts w:hint="eastAsia" w:ascii="宋体" w:hAnsi="宋体" w:eastAsia="宋体" w:cs="宋体"/>
          <w:b/>
          <w:strike w:val="0"/>
          <w:color w:val="auto"/>
          <w:sz w:val="32"/>
          <w:szCs w:val="32"/>
          <w:highlight w:val="none"/>
        </w:rPr>
      </w:pPr>
    </w:p>
    <w:p w14:paraId="30DE6B5A">
      <w:pPr>
        <w:shd w:val="clear"/>
        <w:spacing w:line="360" w:lineRule="auto"/>
        <w:ind w:firstLine="480" w:firstLineChars="200"/>
        <w:rPr>
          <w:rFonts w:hint="eastAsia" w:ascii="宋体" w:hAnsi="宋体" w:eastAsia="宋体" w:cs="宋体"/>
          <w:i w:val="0"/>
          <w:iCs w:val="0"/>
          <w:strike w:val="0"/>
          <w:color w:val="auto"/>
          <w:sz w:val="24"/>
          <w:szCs w:val="24"/>
          <w:highlight w:val="none"/>
        </w:rPr>
      </w:pPr>
      <w:r>
        <w:rPr>
          <w:rFonts w:hint="eastAsia" w:ascii="宋体" w:hAnsi="宋体" w:eastAsia="宋体" w:cs="宋体"/>
          <w:i w:val="0"/>
          <w:iCs w:val="0"/>
          <w:strike w:val="0"/>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b/>
          <w:bCs/>
          <w:i w:val="0"/>
          <w:iCs w:val="0"/>
          <w:strike w:val="0"/>
          <w:color w:val="auto"/>
          <w:sz w:val="24"/>
          <w:szCs w:val="24"/>
          <w:highlight w:val="none"/>
          <w:u w:val="single"/>
          <w:lang w:eastAsia="zh-CN"/>
        </w:rPr>
        <w:t>丽水市机动车驾驶员考试中心</w:t>
      </w:r>
      <w:r>
        <w:rPr>
          <w:rFonts w:hint="eastAsia" w:ascii="宋体" w:hAnsi="宋体" w:eastAsia="宋体" w:cs="宋体"/>
          <w:i w:val="0"/>
          <w:iCs w:val="0"/>
          <w:strike w:val="0"/>
          <w:color w:val="auto"/>
          <w:sz w:val="24"/>
          <w:szCs w:val="24"/>
          <w:highlight w:val="none"/>
          <w:u w:val="single"/>
          <w:lang w:eastAsia="zh-CN"/>
        </w:rPr>
        <w:t>（采购人名</w:t>
      </w:r>
      <w:r>
        <w:rPr>
          <w:rFonts w:hint="eastAsia" w:ascii="宋体" w:hAnsi="宋体" w:eastAsia="宋体" w:cs="宋体"/>
          <w:i w:val="0"/>
          <w:iCs w:val="0"/>
          <w:strike w:val="0"/>
          <w:color w:val="auto"/>
          <w:sz w:val="24"/>
          <w:szCs w:val="24"/>
          <w:highlight w:val="none"/>
          <w:u w:val="single"/>
        </w:rPr>
        <w:t>称）</w:t>
      </w:r>
      <w:r>
        <w:rPr>
          <w:rFonts w:hint="eastAsia" w:ascii="宋体" w:hAnsi="宋体" w:eastAsia="宋体" w:cs="宋体"/>
          <w:i w:val="0"/>
          <w:iCs w:val="0"/>
          <w:strike w:val="0"/>
          <w:color w:val="auto"/>
          <w:sz w:val="24"/>
          <w:szCs w:val="24"/>
          <w:highlight w:val="none"/>
        </w:rPr>
        <w:t>的</w:t>
      </w:r>
      <w:r>
        <w:rPr>
          <w:rFonts w:hint="eastAsia" w:ascii="宋体" w:hAnsi="宋体" w:eastAsia="宋体" w:cs="宋体"/>
          <w:b/>
          <w:bCs/>
          <w:i w:val="0"/>
          <w:iCs w:val="0"/>
          <w:strike w:val="0"/>
          <w:color w:val="auto"/>
          <w:sz w:val="24"/>
          <w:szCs w:val="24"/>
          <w:highlight w:val="none"/>
          <w:u w:val="single"/>
          <w:lang w:eastAsia="zh-CN"/>
        </w:rPr>
        <w:t>丽水市机动车驾驶员考试中心新能源考训车采购项目</w:t>
      </w:r>
      <w:r>
        <w:rPr>
          <w:rFonts w:hint="eastAsia" w:ascii="宋体" w:hAnsi="宋体" w:eastAsia="宋体" w:cs="宋体"/>
          <w:i w:val="0"/>
          <w:iCs w:val="0"/>
          <w:strike w:val="0"/>
          <w:color w:val="auto"/>
          <w:sz w:val="24"/>
          <w:szCs w:val="24"/>
          <w:highlight w:val="none"/>
          <w:u w:val="single"/>
        </w:rPr>
        <w:t>（项目名称）</w:t>
      </w:r>
      <w:r>
        <w:rPr>
          <w:rFonts w:hint="eastAsia" w:ascii="宋体" w:hAnsi="宋体" w:eastAsia="宋体" w:cs="宋体"/>
          <w:i w:val="0"/>
          <w:iCs w:val="0"/>
          <w:strike w:val="0"/>
          <w:color w:val="auto"/>
          <w:sz w:val="24"/>
          <w:szCs w:val="24"/>
          <w:highlight w:val="none"/>
        </w:rPr>
        <w:t>采购活动，提供的货物全部由符合政策要求的中小企业制造。相关企业（含联合体中的中小企业、签订分包意向协议的中小企业）的具体情况如下：</w:t>
      </w:r>
    </w:p>
    <w:p w14:paraId="1C92A08C">
      <w:pPr>
        <w:shd w:val="clear"/>
        <w:spacing w:line="360" w:lineRule="auto"/>
        <w:ind w:firstLine="480" w:firstLineChars="200"/>
        <w:rPr>
          <w:rFonts w:hint="eastAsia" w:ascii="宋体" w:hAnsi="宋体" w:eastAsia="宋体" w:cs="宋体"/>
          <w:i w:val="0"/>
          <w:iCs w:val="0"/>
          <w:strike w:val="0"/>
          <w:color w:val="auto"/>
          <w:sz w:val="24"/>
          <w:szCs w:val="24"/>
          <w:highlight w:val="none"/>
        </w:rPr>
      </w:pPr>
      <w:r>
        <w:rPr>
          <w:rFonts w:hint="eastAsia" w:ascii="宋体" w:hAnsi="宋体" w:eastAsia="宋体" w:cs="宋体"/>
          <w:i w:val="0"/>
          <w:iCs w:val="0"/>
          <w:strike w:val="0"/>
          <w:color w:val="auto"/>
          <w:sz w:val="24"/>
          <w:szCs w:val="24"/>
          <w:highlight w:val="none"/>
        </w:rPr>
        <w:t>1.</w:t>
      </w:r>
      <w:r>
        <w:rPr>
          <w:rFonts w:hint="eastAsia" w:ascii="宋体" w:hAnsi="宋体" w:eastAsia="宋体" w:cs="宋体"/>
          <w:b/>
          <w:bCs w:val="0"/>
          <w:snapToGrid w:val="0"/>
          <w:color w:val="auto"/>
          <w:sz w:val="24"/>
          <w:szCs w:val="24"/>
          <w:highlight w:val="none"/>
          <w:u w:val="single"/>
          <w:lang w:val="en-US" w:eastAsia="zh-CN"/>
        </w:rPr>
        <w:t xml:space="preserve"> </w:t>
      </w:r>
      <w:r>
        <w:rPr>
          <w:rFonts w:hint="eastAsia" w:ascii="宋体" w:hAnsi="宋体" w:eastAsia="宋体" w:cs="宋体"/>
          <w:b/>
          <w:bCs/>
          <w:i w:val="0"/>
          <w:iCs w:val="0"/>
          <w:strike w:val="0"/>
          <w:color w:val="auto"/>
          <w:sz w:val="24"/>
          <w:szCs w:val="24"/>
          <w:highlight w:val="none"/>
          <w:u w:val="single"/>
          <w:lang w:eastAsia="zh-CN"/>
        </w:rPr>
        <w:t>新能源车</w:t>
      </w:r>
      <w:r>
        <w:rPr>
          <w:rFonts w:hint="eastAsia" w:ascii="宋体" w:hAnsi="宋体" w:eastAsia="宋体" w:cs="宋体"/>
          <w:b/>
          <w:bCs w:val="0"/>
          <w:snapToGrid w:val="0"/>
          <w:color w:val="auto"/>
          <w:sz w:val="24"/>
          <w:szCs w:val="24"/>
          <w:highlight w:val="none"/>
          <w:u w:val="single"/>
          <w:lang w:val="en-US" w:eastAsia="zh-CN"/>
        </w:rPr>
        <w:t xml:space="preserve"> </w:t>
      </w:r>
      <w:r>
        <w:rPr>
          <w:rFonts w:hint="eastAsia" w:ascii="宋体" w:hAnsi="宋体" w:eastAsia="宋体" w:cs="宋体"/>
          <w:i w:val="0"/>
          <w:iCs w:val="0"/>
          <w:strike w:val="0"/>
          <w:color w:val="auto"/>
          <w:sz w:val="24"/>
          <w:szCs w:val="24"/>
          <w:highlight w:val="none"/>
          <w:u w:val="single"/>
        </w:rPr>
        <w:t xml:space="preserve"> </w:t>
      </w:r>
      <w:r>
        <w:rPr>
          <w:rFonts w:hint="eastAsia" w:ascii="宋体" w:hAnsi="宋体" w:eastAsia="宋体" w:cs="宋体"/>
          <w:i w:val="0"/>
          <w:iCs w:val="0"/>
          <w:strike w:val="0"/>
          <w:color w:val="auto"/>
          <w:sz w:val="24"/>
          <w:szCs w:val="24"/>
          <w:highlight w:val="none"/>
        </w:rPr>
        <w:t>，属于</w:t>
      </w:r>
      <w:r>
        <w:rPr>
          <w:rFonts w:hint="eastAsia" w:ascii="宋体" w:hAnsi="宋体" w:eastAsia="宋体" w:cs="宋体"/>
          <w:i w:val="0"/>
          <w:iCs w:val="0"/>
          <w:strike w:val="0"/>
          <w:color w:val="auto"/>
          <w:sz w:val="24"/>
          <w:szCs w:val="24"/>
          <w:highlight w:val="none"/>
          <w:u w:val="single"/>
          <w:lang w:val="en-US" w:eastAsia="zh-CN"/>
        </w:rPr>
        <w:t xml:space="preserve">  </w:t>
      </w:r>
      <w:r>
        <w:rPr>
          <w:rFonts w:hint="eastAsia" w:ascii="宋体" w:hAnsi="宋体" w:eastAsia="宋体" w:cs="宋体"/>
          <w:b/>
          <w:bCs w:val="0"/>
          <w:snapToGrid w:val="0"/>
          <w:color w:val="auto"/>
          <w:sz w:val="24"/>
          <w:szCs w:val="24"/>
          <w:highlight w:val="none"/>
          <w:u w:val="single"/>
          <w:lang w:val="en-US" w:eastAsia="zh-CN"/>
        </w:rPr>
        <w:t xml:space="preserve">工业 </w:t>
      </w:r>
      <w:r>
        <w:rPr>
          <w:rFonts w:hint="eastAsia" w:ascii="宋体" w:hAnsi="宋体" w:eastAsia="宋体" w:cs="宋体"/>
          <w:i w:val="0"/>
          <w:iCs w:val="0"/>
          <w:strike w:val="0"/>
          <w:color w:val="auto"/>
          <w:sz w:val="24"/>
          <w:szCs w:val="24"/>
          <w:highlight w:val="none"/>
        </w:rPr>
        <w:t>行业；</w:t>
      </w:r>
      <w:r>
        <w:rPr>
          <w:rFonts w:hint="eastAsia" w:ascii="宋体" w:hAnsi="宋体" w:eastAsia="宋体" w:cs="宋体"/>
          <w:b/>
          <w:bCs/>
          <w:i w:val="0"/>
          <w:iCs w:val="0"/>
          <w:strike w:val="0"/>
          <w:color w:val="auto"/>
          <w:sz w:val="24"/>
          <w:szCs w:val="24"/>
          <w:highlight w:val="none"/>
        </w:rPr>
        <w:t>制造商</w:t>
      </w:r>
      <w:r>
        <w:rPr>
          <w:rFonts w:hint="eastAsia" w:ascii="宋体" w:hAnsi="宋体" w:eastAsia="宋体" w:cs="宋体"/>
          <w:i w:val="0"/>
          <w:iCs w:val="0"/>
          <w:strike w:val="0"/>
          <w:color w:val="auto"/>
          <w:sz w:val="24"/>
          <w:szCs w:val="24"/>
          <w:highlight w:val="none"/>
        </w:rPr>
        <w:t>为</w:t>
      </w:r>
      <w:r>
        <w:rPr>
          <w:rFonts w:hint="eastAsia" w:ascii="宋体" w:hAnsi="宋体" w:eastAsia="宋体" w:cs="宋体"/>
          <w:i w:val="0"/>
          <w:iCs w:val="0"/>
          <w:strike w:val="0"/>
          <w:color w:val="auto"/>
          <w:sz w:val="24"/>
          <w:szCs w:val="24"/>
          <w:highlight w:val="none"/>
          <w:u w:val="single"/>
          <w:lang w:val="en-US" w:eastAsia="zh-CN"/>
        </w:rPr>
        <w:t xml:space="preserve">              </w:t>
      </w:r>
      <w:r>
        <w:rPr>
          <w:rFonts w:hint="eastAsia" w:ascii="宋体" w:hAnsi="宋体" w:eastAsia="宋体" w:cs="宋体"/>
          <w:b/>
          <w:bCs/>
          <w:i w:val="0"/>
          <w:iCs w:val="0"/>
          <w:strike w:val="0"/>
          <w:color w:val="auto"/>
          <w:sz w:val="24"/>
          <w:szCs w:val="24"/>
          <w:highlight w:val="none"/>
          <w:u w:val="single"/>
        </w:rPr>
        <w:t>（企业名称）</w:t>
      </w:r>
      <w:r>
        <w:rPr>
          <w:rFonts w:hint="eastAsia" w:ascii="宋体" w:hAnsi="宋体" w:eastAsia="宋体" w:cs="宋体"/>
          <w:i w:val="0"/>
          <w:iCs w:val="0"/>
          <w:strike w:val="0"/>
          <w:color w:val="auto"/>
          <w:sz w:val="24"/>
          <w:szCs w:val="24"/>
          <w:highlight w:val="none"/>
        </w:rPr>
        <w:t>，从业人员</w:t>
      </w:r>
      <w:r>
        <w:rPr>
          <w:rFonts w:hint="eastAsia" w:ascii="宋体" w:hAnsi="宋体" w:eastAsia="宋体" w:cs="宋体"/>
          <w:i w:val="0"/>
          <w:iCs w:val="0"/>
          <w:strike w:val="0"/>
          <w:color w:val="auto"/>
          <w:sz w:val="24"/>
          <w:szCs w:val="24"/>
          <w:highlight w:val="none"/>
          <w:u w:val="single"/>
        </w:rPr>
        <w:t xml:space="preserve">   </w:t>
      </w:r>
      <w:r>
        <w:rPr>
          <w:rFonts w:hint="eastAsia" w:ascii="宋体" w:hAnsi="宋体" w:eastAsia="宋体" w:cs="宋体"/>
          <w:i w:val="0"/>
          <w:iCs w:val="0"/>
          <w:strike w:val="0"/>
          <w:color w:val="auto"/>
          <w:sz w:val="24"/>
          <w:szCs w:val="24"/>
          <w:highlight w:val="none"/>
        </w:rPr>
        <w:t>人，营业收入为</w:t>
      </w:r>
      <w:r>
        <w:rPr>
          <w:rFonts w:hint="eastAsia" w:ascii="宋体" w:hAnsi="宋体" w:eastAsia="宋体" w:cs="宋体"/>
          <w:i w:val="0"/>
          <w:iCs w:val="0"/>
          <w:strike w:val="0"/>
          <w:color w:val="auto"/>
          <w:sz w:val="24"/>
          <w:szCs w:val="24"/>
          <w:highlight w:val="none"/>
          <w:u w:val="single"/>
        </w:rPr>
        <w:t xml:space="preserve">    </w:t>
      </w:r>
      <w:r>
        <w:rPr>
          <w:rFonts w:hint="eastAsia" w:ascii="宋体" w:hAnsi="宋体" w:eastAsia="宋体" w:cs="宋体"/>
          <w:i w:val="0"/>
          <w:iCs w:val="0"/>
          <w:strike w:val="0"/>
          <w:color w:val="auto"/>
          <w:sz w:val="24"/>
          <w:szCs w:val="24"/>
          <w:highlight w:val="none"/>
        </w:rPr>
        <w:t>万元，资产总额为</w:t>
      </w:r>
      <w:r>
        <w:rPr>
          <w:rFonts w:hint="eastAsia" w:ascii="宋体" w:hAnsi="宋体" w:eastAsia="宋体" w:cs="宋体"/>
          <w:i w:val="0"/>
          <w:iCs w:val="0"/>
          <w:strike w:val="0"/>
          <w:color w:val="auto"/>
          <w:sz w:val="24"/>
          <w:szCs w:val="24"/>
          <w:highlight w:val="none"/>
          <w:u w:val="single"/>
        </w:rPr>
        <w:t xml:space="preserve">    </w:t>
      </w:r>
      <w:r>
        <w:rPr>
          <w:rFonts w:hint="eastAsia" w:ascii="宋体" w:hAnsi="宋体" w:eastAsia="宋体" w:cs="宋体"/>
          <w:i w:val="0"/>
          <w:iCs w:val="0"/>
          <w:strike w:val="0"/>
          <w:color w:val="auto"/>
          <w:sz w:val="24"/>
          <w:szCs w:val="24"/>
          <w:highlight w:val="none"/>
        </w:rPr>
        <w:t>万元</w:t>
      </w:r>
      <w:r>
        <w:rPr>
          <w:rFonts w:hint="eastAsia" w:ascii="宋体" w:hAnsi="宋体" w:eastAsia="宋体" w:cs="宋体"/>
          <w:i w:val="0"/>
          <w:iCs w:val="0"/>
          <w:strike w:val="0"/>
          <w:color w:val="auto"/>
          <w:sz w:val="24"/>
          <w:szCs w:val="24"/>
          <w:highlight w:val="none"/>
          <w:vertAlign w:val="superscript"/>
        </w:rPr>
        <w:fldChar w:fldCharType="begin"/>
      </w:r>
      <w:r>
        <w:rPr>
          <w:rFonts w:hint="eastAsia" w:ascii="宋体" w:hAnsi="宋体" w:eastAsia="宋体" w:cs="宋体"/>
          <w:i w:val="0"/>
          <w:iCs w:val="0"/>
          <w:strike w:val="0"/>
          <w:color w:val="auto"/>
          <w:sz w:val="24"/>
          <w:szCs w:val="24"/>
          <w:highlight w:val="none"/>
          <w:vertAlign w:val="superscript"/>
        </w:rPr>
        <w:instrText xml:space="preserve"> = 1 \* GB3 </w:instrText>
      </w:r>
      <w:r>
        <w:rPr>
          <w:rFonts w:hint="eastAsia" w:ascii="宋体" w:hAnsi="宋体" w:eastAsia="宋体" w:cs="宋体"/>
          <w:i w:val="0"/>
          <w:iCs w:val="0"/>
          <w:strike w:val="0"/>
          <w:color w:val="auto"/>
          <w:sz w:val="24"/>
          <w:szCs w:val="24"/>
          <w:highlight w:val="none"/>
          <w:vertAlign w:val="superscript"/>
        </w:rPr>
        <w:fldChar w:fldCharType="separate"/>
      </w:r>
      <w:r>
        <w:rPr>
          <w:rFonts w:hint="eastAsia" w:ascii="宋体" w:hAnsi="宋体" w:eastAsia="宋体" w:cs="宋体"/>
          <w:i w:val="0"/>
          <w:iCs w:val="0"/>
          <w:strike w:val="0"/>
          <w:color w:val="auto"/>
          <w:sz w:val="24"/>
          <w:szCs w:val="24"/>
          <w:highlight w:val="none"/>
          <w:vertAlign w:val="superscript"/>
        </w:rPr>
        <w:t>①</w:t>
      </w:r>
      <w:r>
        <w:rPr>
          <w:rFonts w:hint="eastAsia" w:ascii="宋体" w:hAnsi="宋体" w:eastAsia="宋体" w:cs="宋体"/>
          <w:i w:val="0"/>
          <w:iCs w:val="0"/>
          <w:strike w:val="0"/>
          <w:color w:val="auto"/>
          <w:sz w:val="24"/>
          <w:szCs w:val="24"/>
          <w:highlight w:val="none"/>
          <w:vertAlign w:val="superscript"/>
        </w:rPr>
        <w:fldChar w:fldCharType="end"/>
      </w:r>
      <w:r>
        <w:rPr>
          <w:rFonts w:hint="eastAsia" w:ascii="宋体" w:hAnsi="宋体" w:eastAsia="宋体" w:cs="宋体"/>
          <w:i w:val="0"/>
          <w:iCs w:val="0"/>
          <w:strike w:val="0"/>
          <w:color w:val="auto"/>
          <w:sz w:val="24"/>
          <w:szCs w:val="24"/>
          <w:highlight w:val="none"/>
        </w:rPr>
        <w:t>，属于</w:t>
      </w:r>
      <w:r>
        <w:rPr>
          <w:rFonts w:hint="eastAsia" w:ascii="宋体" w:hAnsi="宋体" w:eastAsia="宋体" w:cs="宋体"/>
          <w:b/>
          <w:bCs/>
          <w:i w:val="0"/>
          <w:iCs w:val="0"/>
          <w:strike w:val="0"/>
          <w:color w:val="auto"/>
          <w:sz w:val="24"/>
          <w:szCs w:val="24"/>
          <w:highlight w:val="none"/>
          <w:u w:val="single"/>
          <w:lang w:val="en-US" w:eastAsia="zh-CN"/>
        </w:rPr>
        <w:t xml:space="preserve">      </w:t>
      </w:r>
      <w:r>
        <w:rPr>
          <w:rFonts w:hint="eastAsia" w:ascii="宋体" w:hAnsi="宋体" w:eastAsia="宋体" w:cs="宋体"/>
          <w:i w:val="0"/>
          <w:iCs w:val="0"/>
          <w:strike w:val="0"/>
          <w:color w:val="auto"/>
          <w:sz w:val="24"/>
          <w:szCs w:val="24"/>
          <w:highlight w:val="none"/>
        </w:rPr>
        <w:t>（</w:t>
      </w:r>
      <w:r>
        <w:rPr>
          <w:rFonts w:hint="eastAsia" w:ascii="宋体" w:hAnsi="宋体" w:eastAsia="宋体" w:cs="宋体"/>
          <w:b/>
          <w:bCs/>
          <w:i w:val="0"/>
          <w:iCs w:val="0"/>
          <w:strike w:val="0"/>
          <w:color w:val="auto"/>
          <w:sz w:val="24"/>
          <w:szCs w:val="24"/>
          <w:highlight w:val="none"/>
        </w:rPr>
        <w:t>中型企业、小型企业、微型企业</w:t>
      </w:r>
      <w:r>
        <w:rPr>
          <w:rFonts w:hint="eastAsia" w:ascii="宋体" w:hAnsi="宋体" w:eastAsia="宋体" w:cs="宋体"/>
          <w:b/>
          <w:bCs/>
          <w:i w:val="0"/>
          <w:iCs w:val="0"/>
          <w:strike w:val="0"/>
          <w:color w:val="auto"/>
          <w:sz w:val="24"/>
          <w:szCs w:val="24"/>
          <w:highlight w:val="none"/>
          <w:lang w:eastAsia="zh-CN"/>
        </w:rPr>
        <w:t>（三选一进行承诺）</w:t>
      </w:r>
      <w:r>
        <w:rPr>
          <w:rFonts w:hint="eastAsia" w:ascii="宋体" w:hAnsi="宋体" w:eastAsia="宋体" w:cs="宋体"/>
          <w:i w:val="0"/>
          <w:iCs w:val="0"/>
          <w:strike w:val="0"/>
          <w:color w:val="auto"/>
          <w:sz w:val="24"/>
          <w:szCs w:val="24"/>
          <w:highlight w:val="none"/>
        </w:rPr>
        <w:t>）；</w:t>
      </w:r>
    </w:p>
    <w:p w14:paraId="6842E10E">
      <w:pPr>
        <w:shd w:val="clear"/>
        <w:spacing w:line="360" w:lineRule="auto"/>
        <w:ind w:firstLine="480" w:firstLineChars="200"/>
        <w:rPr>
          <w:rFonts w:hint="eastAsia" w:ascii="宋体" w:hAnsi="宋体" w:eastAsia="宋体" w:cs="宋体"/>
        </w:rPr>
      </w:pPr>
      <w:r>
        <w:rPr>
          <w:rFonts w:hint="eastAsia" w:ascii="宋体" w:hAnsi="宋体" w:eastAsia="宋体" w:cs="宋体"/>
          <w:i w:val="0"/>
          <w:iCs w:val="0"/>
          <w:strike w:val="0"/>
          <w:color w:val="auto"/>
          <w:sz w:val="24"/>
          <w:szCs w:val="24"/>
          <w:highlight w:val="none"/>
          <w:lang w:val="en-US" w:eastAsia="zh-CN"/>
        </w:rPr>
        <w:t>2</w:t>
      </w:r>
      <w:r>
        <w:rPr>
          <w:rFonts w:hint="eastAsia" w:ascii="宋体" w:hAnsi="宋体" w:eastAsia="宋体" w:cs="宋体"/>
          <w:i w:val="0"/>
          <w:iCs w:val="0"/>
          <w:strike w:val="0"/>
          <w:color w:val="auto"/>
          <w:sz w:val="24"/>
          <w:szCs w:val="24"/>
          <w:highlight w:val="none"/>
        </w:rPr>
        <w:t>.</w:t>
      </w:r>
      <w:r>
        <w:rPr>
          <w:rFonts w:hint="eastAsia" w:ascii="宋体" w:hAnsi="宋体" w:eastAsia="宋体" w:cs="宋体"/>
          <w:b/>
          <w:bCs w:val="0"/>
          <w:snapToGrid w:val="0"/>
          <w:color w:val="auto"/>
          <w:sz w:val="24"/>
          <w:szCs w:val="24"/>
          <w:highlight w:val="none"/>
          <w:u w:val="single"/>
          <w:lang w:val="en-US" w:eastAsia="zh-CN"/>
        </w:rPr>
        <w:t xml:space="preserve"> 充电桩 </w:t>
      </w:r>
      <w:r>
        <w:rPr>
          <w:rFonts w:hint="eastAsia" w:ascii="宋体" w:hAnsi="宋体" w:eastAsia="宋体" w:cs="宋体"/>
          <w:i w:val="0"/>
          <w:iCs w:val="0"/>
          <w:strike w:val="0"/>
          <w:color w:val="auto"/>
          <w:sz w:val="24"/>
          <w:szCs w:val="24"/>
          <w:highlight w:val="none"/>
          <w:u w:val="single"/>
        </w:rPr>
        <w:t xml:space="preserve"> </w:t>
      </w:r>
      <w:r>
        <w:rPr>
          <w:rFonts w:hint="eastAsia" w:ascii="宋体" w:hAnsi="宋体" w:eastAsia="宋体" w:cs="宋体"/>
          <w:i w:val="0"/>
          <w:iCs w:val="0"/>
          <w:strike w:val="0"/>
          <w:color w:val="auto"/>
          <w:sz w:val="24"/>
          <w:szCs w:val="24"/>
          <w:highlight w:val="none"/>
        </w:rPr>
        <w:t>，属于</w:t>
      </w:r>
      <w:r>
        <w:rPr>
          <w:rFonts w:hint="eastAsia" w:ascii="宋体" w:hAnsi="宋体" w:eastAsia="宋体" w:cs="宋体"/>
          <w:i w:val="0"/>
          <w:iCs w:val="0"/>
          <w:strike w:val="0"/>
          <w:color w:val="auto"/>
          <w:sz w:val="24"/>
          <w:szCs w:val="24"/>
          <w:highlight w:val="none"/>
          <w:u w:val="single"/>
          <w:lang w:val="en-US" w:eastAsia="zh-CN"/>
        </w:rPr>
        <w:t xml:space="preserve">  </w:t>
      </w:r>
      <w:r>
        <w:rPr>
          <w:rFonts w:hint="eastAsia" w:ascii="宋体" w:hAnsi="宋体" w:eastAsia="宋体" w:cs="宋体"/>
          <w:b/>
          <w:bCs w:val="0"/>
          <w:snapToGrid w:val="0"/>
          <w:color w:val="auto"/>
          <w:sz w:val="24"/>
          <w:szCs w:val="24"/>
          <w:highlight w:val="none"/>
          <w:u w:val="single"/>
          <w:lang w:val="en-US" w:eastAsia="zh-CN"/>
        </w:rPr>
        <w:t xml:space="preserve">工业 </w:t>
      </w:r>
      <w:r>
        <w:rPr>
          <w:rFonts w:hint="eastAsia" w:ascii="宋体" w:hAnsi="宋体" w:eastAsia="宋体" w:cs="宋体"/>
          <w:i w:val="0"/>
          <w:iCs w:val="0"/>
          <w:strike w:val="0"/>
          <w:color w:val="auto"/>
          <w:sz w:val="24"/>
          <w:szCs w:val="24"/>
          <w:highlight w:val="none"/>
        </w:rPr>
        <w:t>行业；</w:t>
      </w:r>
      <w:r>
        <w:rPr>
          <w:rFonts w:hint="eastAsia" w:ascii="宋体" w:hAnsi="宋体" w:eastAsia="宋体" w:cs="宋体"/>
          <w:b/>
          <w:bCs/>
          <w:i w:val="0"/>
          <w:iCs w:val="0"/>
          <w:strike w:val="0"/>
          <w:color w:val="auto"/>
          <w:sz w:val="24"/>
          <w:szCs w:val="24"/>
          <w:highlight w:val="none"/>
        </w:rPr>
        <w:t>制造商</w:t>
      </w:r>
      <w:r>
        <w:rPr>
          <w:rFonts w:hint="eastAsia" w:ascii="宋体" w:hAnsi="宋体" w:eastAsia="宋体" w:cs="宋体"/>
          <w:i w:val="0"/>
          <w:iCs w:val="0"/>
          <w:strike w:val="0"/>
          <w:color w:val="auto"/>
          <w:sz w:val="24"/>
          <w:szCs w:val="24"/>
          <w:highlight w:val="none"/>
        </w:rPr>
        <w:t>为</w:t>
      </w:r>
      <w:r>
        <w:rPr>
          <w:rFonts w:hint="eastAsia" w:ascii="宋体" w:hAnsi="宋体" w:eastAsia="宋体" w:cs="宋体"/>
          <w:i w:val="0"/>
          <w:iCs w:val="0"/>
          <w:strike w:val="0"/>
          <w:color w:val="auto"/>
          <w:sz w:val="24"/>
          <w:szCs w:val="24"/>
          <w:highlight w:val="none"/>
          <w:u w:val="single"/>
          <w:lang w:val="en-US" w:eastAsia="zh-CN"/>
        </w:rPr>
        <w:t xml:space="preserve">              </w:t>
      </w:r>
      <w:r>
        <w:rPr>
          <w:rFonts w:hint="eastAsia" w:ascii="宋体" w:hAnsi="宋体" w:eastAsia="宋体" w:cs="宋体"/>
          <w:b/>
          <w:bCs/>
          <w:i w:val="0"/>
          <w:iCs w:val="0"/>
          <w:strike w:val="0"/>
          <w:color w:val="auto"/>
          <w:sz w:val="24"/>
          <w:szCs w:val="24"/>
          <w:highlight w:val="none"/>
          <w:u w:val="single"/>
        </w:rPr>
        <w:t>（企业名称）</w:t>
      </w:r>
      <w:r>
        <w:rPr>
          <w:rFonts w:hint="eastAsia" w:ascii="宋体" w:hAnsi="宋体" w:eastAsia="宋体" w:cs="宋体"/>
          <w:i w:val="0"/>
          <w:iCs w:val="0"/>
          <w:strike w:val="0"/>
          <w:color w:val="auto"/>
          <w:sz w:val="24"/>
          <w:szCs w:val="24"/>
          <w:highlight w:val="none"/>
        </w:rPr>
        <w:t>，从业人员</w:t>
      </w:r>
      <w:r>
        <w:rPr>
          <w:rFonts w:hint="eastAsia" w:ascii="宋体" w:hAnsi="宋体" w:eastAsia="宋体" w:cs="宋体"/>
          <w:i w:val="0"/>
          <w:iCs w:val="0"/>
          <w:strike w:val="0"/>
          <w:color w:val="auto"/>
          <w:sz w:val="24"/>
          <w:szCs w:val="24"/>
          <w:highlight w:val="none"/>
          <w:u w:val="single"/>
        </w:rPr>
        <w:t xml:space="preserve">   </w:t>
      </w:r>
      <w:r>
        <w:rPr>
          <w:rFonts w:hint="eastAsia" w:ascii="宋体" w:hAnsi="宋体" w:eastAsia="宋体" w:cs="宋体"/>
          <w:i w:val="0"/>
          <w:iCs w:val="0"/>
          <w:strike w:val="0"/>
          <w:color w:val="auto"/>
          <w:sz w:val="24"/>
          <w:szCs w:val="24"/>
          <w:highlight w:val="none"/>
        </w:rPr>
        <w:t>人，营业收入为</w:t>
      </w:r>
      <w:r>
        <w:rPr>
          <w:rFonts w:hint="eastAsia" w:ascii="宋体" w:hAnsi="宋体" w:eastAsia="宋体" w:cs="宋体"/>
          <w:i w:val="0"/>
          <w:iCs w:val="0"/>
          <w:strike w:val="0"/>
          <w:color w:val="auto"/>
          <w:sz w:val="24"/>
          <w:szCs w:val="24"/>
          <w:highlight w:val="none"/>
          <w:u w:val="single"/>
        </w:rPr>
        <w:t xml:space="preserve">    </w:t>
      </w:r>
      <w:r>
        <w:rPr>
          <w:rFonts w:hint="eastAsia" w:ascii="宋体" w:hAnsi="宋体" w:eastAsia="宋体" w:cs="宋体"/>
          <w:i w:val="0"/>
          <w:iCs w:val="0"/>
          <w:strike w:val="0"/>
          <w:color w:val="auto"/>
          <w:sz w:val="24"/>
          <w:szCs w:val="24"/>
          <w:highlight w:val="none"/>
        </w:rPr>
        <w:t>万元，资产总额为</w:t>
      </w:r>
      <w:r>
        <w:rPr>
          <w:rFonts w:hint="eastAsia" w:ascii="宋体" w:hAnsi="宋体" w:eastAsia="宋体" w:cs="宋体"/>
          <w:i w:val="0"/>
          <w:iCs w:val="0"/>
          <w:strike w:val="0"/>
          <w:color w:val="auto"/>
          <w:sz w:val="24"/>
          <w:szCs w:val="24"/>
          <w:highlight w:val="none"/>
          <w:u w:val="single"/>
        </w:rPr>
        <w:t xml:space="preserve">    </w:t>
      </w:r>
      <w:r>
        <w:rPr>
          <w:rFonts w:hint="eastAsia" w:ascii="宋体" w:hAnsi="宋体" w:eastAsia="宋体" w:cs="宋体"/>
          <w:i w:val="0"/>
          <w:iCs w:val="0"/>
          <w:strike w:val="0"/>
          <w:color w:val="auto"/>
          <w:sz w:val="24"/>
          <w:szCs w:val="24"/>
          <w:highlight w:val="none"/>
        </w:rPr>
        <w:t>万元</w:t>
      </w:r>
      <w:r>
        <w:rPr>
          <w:rFonts w:hint="eastAsia" w:ascii="宋体" w:hAnsi="宋体" w:eastAsia="宋体" w:cs="宋体"/>
          <w:i w:val="0"/>
          <w:iCs w:val="0"/>
          <w:strike w:val="0"/>
          <w:color w:val="auto"/>
          <w:sz w:val="24"/>
          <w:szCs w:val="24"/>
          <w:highlight w:val="none"/>
          <w:vertAlign w:val="superscript"/>
        </w:rPr>
        <w:fldChar w:fldCharType="begin"/>
      </w:r>
      <w:r>
        <w:rPr>
          <w:rFonts w:hint="eastAsia" w:ascii="宋体" w:hAnsi="宋体" w:eastAsia="宋体" w:cs="宋体"/>
          <w:i w:val="0"/>
          <w:iCs w:val="0"/>
          <w:strike w:val="0"/>
          <w:color w:val="auto"/>
          <w:sz w:val="24"/>
          <w:szCs w:val="24"/>
          <w:highlight w:val="none"/>
          <w:vertAlign w:val="superscript"/>
        </w:rPr>
        <w:instrText xml:space="preserve"> = 1 \* GB3 </w:instrText>
      </w:r>
      <w:r>
        <w:rPr>
          <w:rFonts w:hint="eastAsia" w:ascii="宋体" w:hAnsi="宋体" w:eastAsia="宋体" w:cs="宋体"/>
          <w:i w:val="0"/>
          <w:iCs w:val="0"/>
          <w:strike w:val="0"/>
          <w:color w:val="auto"/>
          <w:sz w:val="24"/>
          <w:szCs w:val="24"/>
          <w:highlight w:val="none"/>
          <w:vertAlign w:val="superscript"/>
        </w:rPr>
        <w:fldChar w:fldCharType="separate"/>
      </w:r>
      <w:r>
        <w:rPr>
          <w:rFonts w:hint="eastAsia" w:ascii="宋体" w:hAnsi="宋体" w:eastAsia="宋体" w:cs="宋体"/>
          <w:i w:val="0"/>
          <w:iCs w:val="0"/>
          <w:strike w:val="0"/>
          <w:color w:val="auto"/>
          <w:sz w:val="24"/>
          <w:szCs w:val="24"/>
          <w:highlight w:val="none"/>
          <w:vertAlign w:val="superscript"/>
        </w:rPr>
        <w:t>①</w:t>
      </w:r>
      <w:r>
        <w:rPr>
          <w:rFonts w:hint="eastAsia" w:ascii="宋体" w:hAnsi="宋体" w:eastAsia="宋体" w:cs="宋体"/>
          <w:i w:val="0"/>
          <w:iCs w:val="0"/>
          <w:strike w:val="0"/>
          <w:color w:val="auto"/>
          <w:sz w:val="24"/>
          <w:szCs w:val="24"/>
          <w:highlight w:val="none"/>
          <w:vertAlign w:val="superscript"/>
        </w:rPr>
        <w:fldChar w:fldCharType="end"/>
      </w:r>
      <w:r>
        <w:rPr>
          <w:rFonts w:hint="eastAsia" w:ascii="宋体" w:hAnsi="宋体" w:eastAsia="宋体" w:cs="宋体"/>
          <w:i w:val="0"/>
          <w:iCs w:val="0"/>
          <w:strike w:val="0"/>
          <w:color w:val="auto"/>
          <w:sz w:val="24"/>
          <w:szCs w:val="24"/>
          <w:highlight w:val="none"/>
        </w:rPr>
        <w:t>，属于</w:t>
      </w:r>
      <w:r>
        <w:rPr>
          <w:rFonts w:hint="eastAsia" w:ascii="宋体" w:hAnsi="宋体" w:eastAsia="宋体" w:cs="宋体"/>
          <w:b/>
          <w:bCs/>
          <w:i w:val="0"/>
          <w:iCs w:val="0"/>
          <w:strike w:val="0"/>
          <w:color w:val="auto"/>
          <w:sz w:val="24"/>
          <w:szCs w:val="24"/>
          <w:highlight w:val="none"/>
          <w:u w:val="single"/>
          <w:lang w:val="en-US" w:eastAsia="zh-CN"/>
        </w:rPr>
        <w:t xml:space="preserve">      </w:t>
      </w:r>
      <w:r>
        <w:rPr>
          <w:rFonts w:hint="eastAsia" w:ascii="宋体" w:hAnsi="宋体" w:eastAsia="宋体" w:cs="宋体"/>
          <w:i w:val="0"/>
          <w:iCs w:val="0"/>
          <w:strike w:val="0"/>
          <w:color w:val="auto"/>
          <w:sz w:val="24"/>
          <w:szCs w:val="24"/>
          <w:highlight w:val="none"/>
        </w:rPr>
        <w:t>（</w:t>
      </w:r>
      <w:r>
        <w:rPr>
          <w:rFonts w:hint="eastAsia" w:ascii="宋体" w:hAnsi="宋体" w:eastAsia="宋体" w:cs="宋体"/>
          <w:b/>
          <w:bCs/>
          <w:i w:val="0"/>
          <w:iCs w:val="0"/>
          <w:strike w:val="0"/>
          <w:color w:val="auto"/>
          <w:sz w:val="24"/>
          <w:szCs w:val="24"/>
          <w:highlight w:val="none"/>
        </w:rPr>
        <w:t>中型企业、小型企业、微型企业</w:t>
      </w:r>
      <w:r>
        <w:rPr>
          <w:rFonts w:hint="eastAsia" w:ascii="宋体" w:hAnsi="宋体" w:eastAsia="宋体" w:cs="宋体"/>
          <w:b/>
          <w:bCs/>
          <w:i w:val="0"/>
          <w:iCs w:val="0"/>
          <w:strike w:val="0"/>
          <w:color w:val="auto"/>
          <w:sz w:val="24"/>
          <w:szCs w:val="24"/>
          <w:highlight w:val="none"/>
          <w:lang w:eastAsia="zh-CN"/>
        </w:rPr>
        <w:t>（三选一进行承诺）</w:t>
      </w:r>
      <w:r>
        <w:rPr>
          <w:rFonts w:hint="eastAsia" w:ascii="宋体" w:hAnsi="宋体" w:eastAsia="宋体" w:cs="宋体"/>
          <w:i w:val="0"/>
          <w:iCs w:val="0"/>
          <w:strike w:val="0"/>
          <w:color w:val="auto"/>
          <w:sz w:val="24"/>
          <w:szCs w:val="24"/>
          <w:highlight w:val="none"/>
        </w:rPr>
        <w:t>）；</w:t>
      </w:r>
    </w:p>
    <w:p w14:paraId="470D408E">
      <w:pPr>
        <w:shd w:val="clear"/>
        <w:spacing w:line="360" w:lineRule="auto"/>
        <w:ind w:firstLine="480" w:firstLineChars="200"/>
        <w:rPr>
          <w:rFonts w:hint="eastAsia" w:ascii="宋体" w:hAnsi="宋体" w:eastAsia="宋体" w:cs="宋体"/>
          <w:i w:val="0"/>
          <w:iCs w:val="0"/>
          <w:strike w:val="0"/>
          <w:color w:val="auto"/>
          <w:sz w:val="24"/>
          <w:szCs w:val="24"/>
          <w:highlight w:val="none"/>
        </w:rPr>
      </w:pPr>
      <w:r>
        <w:rPr>
          <w:rFonts w:hint="eastAsia" w:ascii="宋体" w:hAnsi="宋体" w:eastAsia="宋体" w:cs="宋体"/>
          <w:i w:val="0"/>
          <w:iCs w:val="0"/>
          <w:strike w:val="0"/>
          <w:color w:val="auto"/>
          <w:sz w:val="24"/>
          <w:szCs w:val="24"/>
          <w:highlight w:val="none"/>
        </w:rPr>
        <w:t>……</w:t>
      </w:r>
    </w:p>
    <w:p w14:paraId="44CEB724">
      <w:pPr>
        <w:shd w:val="clea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以上企业，不属于大企业的分支机构，不存在控股股东为大企业的情形，也不存在与大企业的负责人为同一人的情形。</w:t>
      </w:r>
    </w:p>
    <w:p w14:paraId="2C3AA22D">
      <w:pPr>
        <w:shd w:val="clea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本企业对上述声明内容的真实性负责。如有虚假，将依法承担相应责任。</w:t>
      </w:r>
    </w:p>
    <w:p w14:paraId="35E0B18D">
      <w:pPr>
        <w:shd w:val="clear"/>
        <w:spacing w:line="360" w:lineRule="auto"/>
        <w:ind w:firstLine="480" w:firstLineChars="200"/>
        <w:rPr>
          <w:rFonts w:hint="eastAsia" w:ascii="宋体" w:hAnsi="宋体" w:eastAsia="宋体" w:cs="宋体"/>
          <w:strike w:val="0"/>
          <w:color w:val="auto"/>
          <w:sz w:val="24"/>
          <w:szCs w:val="24"/>
          <w:highlight w:val="none"/>
        </w:rPr>
      </w:pPr>
    </w:p>
    <w:p w14:paraId="128E0774">
      <w:pPr>
        <w:shd w:val="clear"/>
        <w:wordWrap w:val="0"/>
        <w:spacing w:line="360" w:lineRule="auto"/>
        <w:ind w:firstLine="480" w:firstLineChars="200"/>
        <w:jc w:val="right"/>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lang w:val="en-US" w:eastAsia="zh-CN"/>
        </w:rPr>
        <w:t>投投标人</w:t>
      </w:r>
      <w:r>
        <w:rPr>
          <w:rFonts w:hint="eastAsia" w:ascii="宋体" w:hAnsi="宋体" w:eastAsia="宋体" w:cs="宋体"/>
          <w:strike w:val="0"/>
          <w:color w:val="auto"/>
          <w:sz w:val="24"/>
          <w:szCs w:val="24"/>
          <w:highlight w:val="none"/>
        </w:rPr>
        <w:t xml:space="preserve">（盖章）：        </w:t>
      </w:r>
    </w:p>
    <w:p w14:paraId="07A7358D">
      <w:pPr>
        <w:shd w:val="clear"/>
        <w:spacing w:line="360" w:lineRule="auto"/>
        <w:ind w:right="1120" w:firstLine="6120" w:firstLineChars="2550"/>
        <w:rPr>
          <w:rFonts w:hint="eastAsia" w:ascii="宋体" w:hAnsi="宋体" w:eastAsia="宋体" w:cs="宋体"/>
          <w:color w:val="auto"/>
          <w:sz w:val="24"/>
          <w:szCs w:val="24"/>
          <w:highlight w:val="none"/>
        </w:rPr>
      </w:pPr>
      <w:r>
        <w:rPr>
          <w:rFonts w:hint="eastAsia" w:ascii="宋体" w:hAnsi="宋体" w:eastAsia="宋体" w:cs="宋体"/>
          <w:strike w:val="0"/>
          <w:color w:val="auto"/>
          <w:sz w:val="24"/>
          <w:szCs w:val="24"/>
          <w:highlight w:val="none"/>
        </w:rPr>
        <w:t>日 期：</w:t>
      </w:r>
    </w:p>
    <w:p w14:paraId="2CA355A0">
      <w:pPr>
        <w:shd w:val="clear"/>
        <w:spacing w:line="360" w:lineRule="auto"/>
        <w:ind w:firstLine="310" w:firstLineChars="147"/>
        <w:jc w:val="left"/>
        <w:rPr>
          <w:rFonts w:hint="eastAsia" w:ascii="宋体" w:hAnsi="宋体" w:eastAsia="宋体" w:cs="宋体"/>
          <w:b/>
          <w:color w:val="auto"/>
          <w:szCs w:val="21"/>
          <w:highlight w:val="none"/>
        </w:rPr>
      </w:pPr>
    </w:p>
    <w:p w14:paraId="377F89F3">
      <w:pPr>
        <w:shd w:val="clear"/>
        <w:spacing w:line="24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1"/>
          <w:szCs w:val="21"/>
          <w:highlight w:val="none"/>
        </w:rPr>
        <w:t>注：</w:t>
      </w:r>
    </w:p>
    <w:p w14:paraId="2DE5917D">
      <w:pPr>
        <w:numPr>
          <w:ilvl w:val="0"/>
          <w:numId w:val="0"/>
        </w:numPr>
        <w:shd w:val="clear"/>
        <w:spacing w:line="240" w:lineRule="auto"/>
        <w:ind w:left="10" w:leftChars="5" w:firstLine="298" w:firstLineChars="142"/>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1、从业人员、营业收入、资产总额填报上一年度数据，无上一年度数据的新成立企业可不填。</w:t>
      </w:r>
    </w:p>
    <w:p w14:paraId="223C98EB">
      <w:pPr>
        <w:numPr>
          <w:ilvl w:val="0"/>
          <w:numId w:val="0"/>
        </w:numPr>
        <w:shd w:val="clear"/>
        <w:spacing w:line="240" w:lineRule="auto"/>
        <w:ind w:left="10" w:leftChars="5" w:firstLine="298" w:firstLineChars="142"/>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填写要求：①“标的名称”、“采购文件中明确的所属行业”依据招标文件第三章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14EC0EC">
      <w:pPr>
        <w:numPr>
          <w:ilvl w:val="0"/>
          <w:numId w:val="0"/>
        </w:numPr>
        <w:shd w:val="clear"/>
        <w:spacing w:line="240" w:lineRule="auto"/>
        <w:ind w:left="10" w:leftChars="5" w:firstLine="298" w:firstLineChars="142"/>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4D1046">
      <w:pPr>
        <w:widowControl/>
        <w:shd w:val="clear"/>
        <w:spacing w:line="360" w:lineRule="auto"/>
        <w:jc w:val="center"/>
        <w:rPr>
          <w:rFonts w:hint="eastAsia" w:ascii="宋体" w:hAnsi="宋体" w:eastAsia="宋体" w:cs="宋体"/>
          <w:b/>
          <w:bCs/>
          <w:color w:val="auto"/>
          <w:spacing w:val="6"/>
          <w:kern w:val="0"/>
          <w:sz w:val="32"/>
          <w:szCs w:val="32"/>
          <w:highlight w:val="none"/>
          <w:lang w:val="en-US" w:eastAsia="zh-CN"/>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pacing w:val="6"/>
          <w:kern w:val="0"/>
          <w:sz w:val="32"/>
          <w:szCs w:val="32"/>
          <w:highlight w:val="none"/>
        </w:rPr>
        <w:t>残疾人福利性单位声明函</w:t>
      </w:r>
    </w:p>
    <w:p w14:paraId="096EB9BB">
      <w:pPr>
        <w:widowControl/>
        <w:shd w:val="clear"/>
        <w:spacing w:line="360" w:lineRule="auto"/>
        <w:jc w:val="center"/>
        <w:rPr>
          <w:rFonts w:hint="eastAsia" w:ascii="宋体" w:hAnsi="宋体" w:eastAsia="宋体" w:cs="宋体"/>
          <w:bCs/>
          <w:color w:val="auto"/>
          <w:spacing w:val="6"/>
          <w:kern w:val="0"/>
          <w:sz w:val="36"/>
          <w:szCs w:val="36"/>
          <w:highlight w:val="none"/>
        </w:rPr>
      </w:pPr>
    </w:p>
    <w:p w14:paraId="699DDA6A">
      <w:pPr>
        <w:widowControl/>
        <w:shd w:val="clear"/>
        <w:spacing w:line="360" w:lineRule="auto"/>
        <w:ind w:firstLine="6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 xml:space="preserve"> </w:t>
      </w:r>
      <w:r>
        <w:rPr>
          <w:rFonts w:hint="eastAsia" w:ascii="宋体" w:hAnsi="宋体" w:eastAsia="宋体" w:cs="宋体"/>
          <w:i w:val="0"/>
          <w:iCs/>
          <w:color w:val="auto"/>
          <w:sz w:val="24"/>
          <w:szCs w:val="24"/>
          <w:highlight w:val="none"/>
          <w:u w:val="single"/>
        </w:rPr>
        <w:t xml:space="preserve">（采购人名称）  </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的项目采购活动提供本单位制造的货物（由本单位承担工程/提供服务），或者提供其他残疾人福利性单位制造的货物（不包括使用非残疾人福利性单位注册商标的货物）。</w:t>
      </w:r>
    </w:p>
    <w:p w14:paraId="2541F2AA">
      <w:pPr>
        <w:widowControl/>
        <w:shd w:val="clea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C9B9389">
      <w:pPr>
        <w:widowControl/>
        <w:shd w:val="clear"/>
        <w:spacing w:line="360" w:lineRule="auto"/>
        <w:rPr>
          <w:rFonts w:hint="eastAsia" w:ascii="宋体" w:hAnsi="宋体" w:eastAsia="宋体" w:cs="宋体"/>
          <w:color w:val="auto"/>
          <w:spacing w:val="6"/>
          <w:kern w:val="0"/>
          <w:sz w:val="24"/>
          <w:szCs w:val="24"/>
          <w:highlight w:val="none"/>
        </w:rPr>
      </w:pPr>
    </w:p>
    <w:p w14:paraId="6EF4A1FF">
      <w:pPr>
        <w:widowControl/>
        <w:shd w:val="clear"/>
        <w:spacing w:line="360" w:lineRule="auto"/>
        <w:ind w:right="1420" w:firstLine="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4CAAB1B4">
      <w:pPr>
        <w:widowControl/>
        <w:shd w:val="clear"/>
        <w:spacing w:line="360" w:lineRule="auto"/>
        <w:ind w:right="2680" w:firstLine="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27D35D1">
      <w:pPr>
        <w:widowControl/>
        <w:shd w:val="clear"/>
        <w:spacing w:line="360" w:lineRule="auto"/>
        <w:ind w:right="2960"/>
        <w:jc w:val="left"/>
        <w:rPr>
          <w:rFonts w:hint="eastAsia" w:ascii="宋体" w:hAnsi="宋体" w:eastAsia="宋体" w:cs="宋体"/>
          <w:color w:val="auto"/>
          <w:kern w:val="0"/>
          <w:sz w:val="28"/>
          <w:szCs w:val="28"/>
          <w:highlight w:val="none"/>
        </w:rPr>
      </w:pPr>
    </w:p>
    <w:p w14:paraId="4CD75288">
      <w:pPr>
        <w:shd w:val="clear"/>
        <w:spacing w:line="360" w:lineRule="auto"/>
        <w:jc w:val="center"/>
        <w:rPr>
          <w:rFonts w:hint="eastAsia" w:ascii="宋体" w:hAnsi="宋体" w:eastAsia="宋体" w:cs="宋体"/>
          <w:b/>
          <w:color w:val="auto"/>
          <w:sz w:val="32"/>
          <w:szCs w:val="32"/>
          <w:highlight w:val="none"/>
        </w:rPr>
      </w:pPr>
    </w:p>
    <w:p w14:paraId="1B5F930B">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监狱企业证明</w:t>
      </w:r>
    </w:p>
    <w:p w14:paraId="3FD0ECBE">
      <w:pPr>
        <w:shd w:val="clear"/>
        <w:spacing w:line="360" w:lineRule="auto"/>
        <w:jc w:val="center"/>
        <w:rPr>
          <w:rFonts w:hint="eastAsia" w:ascii="宋体" w:hAnsi="宋体" w:eastAsia="宋体" w:cs="宋体"/>
          <w:color w:val="auto"/>
          <w:sz w:val="24"/>
          <w:szCs w:val="24"/>
          <w:highlight w:val="none"/>
        </w:rPr>
      </w:pPr>
    </w:p>
    <w:p w14:paraId="7C548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须提供省级以上监狱管理局、戒毒管理局（含新疆生产建设兵团）出具的属于监狱企业的证明文件</w:t>
      </w:r>
      <w:r>
        <w:rPr>
          <w:rFonts w:hint="eastAsia" w:ascii="宋体" w:hAnsi="宋体" w:eastAsia="宋体" w:cs="宋体"/>
          <w:color w:val="auto"/>
          <w:sz w:val="24"/>
          <w:szCs w:val="24"/>
          <w:highlight w:val="none"/>
          <w:lang w:eastAsia="zh-CN"/>
        </w:rPr>
        <w:t>。</w:t>
      </w:r>
    </w:p>
    <w:p w14:paraId="52F9FE8A">
      <w:pPr>
        <w:bidi w:val="0"/>
        <w:rPr>
          <w:rFonts w:hint="eastAsia" w:ascii="宋体" w:hAnsi="宋体" w:eastAsia="宋体" w:cs="宋体"/>
          <w:color w:val="auto"/>
          <w:sz w:val="24"/>
          <w:szCs w:val="24"/>
          <w:highlight w:val="none"/>
          <w:lang w:eastAsia="zh-CN"/>
        </w:rPr>
      </w:pPr>
    </w:p>
    <w:p w14:paraId="21D8A9BB">
      <w:pPr>
        <w:bidi w:val="0"/>
        <w:rPr>
          <w:rFonts w:hint="eastAsia" w:ascii="宋体" w:hAnsi="宋体" w:eastAsia="宋体" w:cs="宋体"/>
          <w:color w:val="auto"/>
          <w:sz w:val="24"/>
          <w:szCs w:val="24"/>
          <w:highlight w:val="none"/>
          <w:lang w:eastAsia="zh-CN"/>
        </w:rPr>
      </w:pPr>
    </w:p>
    <w:p w14:paraId="6008D33F">
      <w:pPr>
        <w:bidi w:val="0"/>
        <w:rPr>
          <w:rFonts w:hint="eastAsia" w:ascii="宋体" w:hAnsi="宋体" w:eastAsia="宋体" w:cs="宋体"/>
          <w:color w:val="auto"/>
          <w:sz w:val="24"/>
          <w:szCs w:val="24"/>
          <w:highlight w:val="none"/>
          <w:lang w:eastAsia="zh-CN"/>
        </w:rPr>
      </w:pPr>
    </w:p>
    <w:p w14:paraId="5388FAA6">
      <w:pPr>
        <w:bidi w:val="0"/>
        <w:rPr>
          <w:rFonts w:hint="eastAsia" w:ascii="宋体" w:hAnsi="宋体" w:eastAsia="宋体" w:cs="宋体"/>
          <w:color w:val="auto"/>
          <w:sz w:val="24"/>
          <w:szCs w:val="24"/>
          <w:highlight w:val="none"/>
          <w:lang w:eastAsia="zh-CN"/>
        </w:rPr>
      </w:pPr>
    </w:p>
    <w:p w14:paraId="1050EF65">
      <w:pPr>
        <w:bidi w:val="0"/>
        <w:rPr>
          <w:rFonts w:hint="eastAsia" w:ascii="宋体" w:hAnsi="宋体" w:eastAsia="宋体" w:cs="宋体"/>
          <w:color w:val="auto"/>
          <w:sz w:val="24"/>
          <w:szCs w:val="24"/>
          <w:highlight w:val="none"/>
          <w:lang w:eastAsia="zh-CN"/>
        </w:rPr>
      </w:pPr>
    </w:p>
    <w:p w14:paraId="735BD6F9">
      <w:pPr>
        <w:bidi w:val="0"/>
        <w:rPr>
          <w:rFonts w:hint="eastAsia" w:ascii="宋体" w:hAnsi="宋体" w:eastAsia="宋体" w:cs="宋体"/>
          <w:color w:val="auto"/>
          <w:sz w:val="24"/>
          <w:szCs w:val="24"/>
          <w:highlight w:val="none"/>
          <w:lang w:eastAsia="zh-CN"/>
        </w:rPr>
      </w:pPr>
    </w:p>
    <w:p w14:paraId="48700D27">
      <w:pPr>
        <w:bidi w:val="0"/>
        <w:rPr>
          <w:rFonts w:hint="eastAsia" w:ascii="宋体" w:hAnsi="宋体" w:eastAsia="宋体" w:cs="宋体"/>
          <w:color w:val="auto"/>
          <w:sz w:val="24"/>
          <w:szCs w:val="24"/>
          <w:highlight w:val="none"/>
          <w:lang w:eastAsia="zh-CN"/>
        </w:rPr>
      </w:pPr>
    </w:p>
    <w:p w14:paraId="5FA73236">
      <w:pPr>
        <w:bidi w:val="0"/>
        <w:rPr>
          <w:rFonts w:hint="eastAsia" w:ascii="宋体" w:hAnsi="宋体" w:eastAsia="宋体" w:cs="宋体"/>
          <w:color w:val="auto"/>
          <w:sz w:val="24"/>
          <w:szCs w:val="24"/>
          <w:highlight w:val="none"/>
          <w:lang w:eastAsia="zh-CN"/>
        </w:rPr>
      </w:pPr>
    </w:p>
    <w:p w14:paraId="4B620649">
      <w:pPr>
        <w:bidi w:val="0"/>
        <w:rPr>
          <w:rFonts w:hint="eastAsia" w:ascii="宋体" w:hAnsi="宋体" w:eastAsia="宋体" w:cs="宋体"/>
          <w:color w:val="auto"/>
          <w:sz w:val="24"/>
          <w:szCs w:val="24"/>
          <w:highlight w:val="none"/>
          <w:lang w:eastAsia="zh-CN"/>
        </w:rPr>
      </w:pPr>
    </w:p>
    <w:p w14:paraId="202BAE0F">
      <w:pPr>
        <w:bidi w:val="0"/>
        <w:rPr>
          <w:rFonts w:hint="eastAsia" w:ascii="宋体" w:hAnsi="宋体" w:eastAsia="宋体" w:cs="宋体"/>
          <w:color w:val="auto"/>
          <w:sz w:val="24"/>
          <w:szCs w:val="24"/>
          <w:highlight w:val="none"/>
          <w:lang w:eastAsia="zh-CN"/>
        </w:rPr>
      </w:pPr>
    </w:p>
    <w:p w14:paraId="00B10F0D">
      <w:pPr>
        <w:bidi w:val="0"/>
        <w:rPr>
          <w:rFonts w:hint="eastAsia" w:ascii="宋体" w:hAnsi="宋体" w:eastAsia="宋体" w:cs="宋体"/>
          <w:color w:val="auto"/>
          <w:sz w:val="24"/>
          <w:szCs w:val="24"/>
          <w:highlight w:val="none"/>
          <w:lang w:eastAsia="zh-CN"/>
        </w:rPr>
      </w:pPr>
    </w:p>
    <w:p w14:paraId="214C2A19">
      <w:pPr>
        <w:bidi w:val="0"/>
        <w:rPr>
          <w:rFonts w:hint="eastAsia" w:ascii="宋体" w:hAnsi="宋体" w:eastAsia="宋体" w:cs="宋体"/>
          <w:color w:val="auto"/>
          <w:sz w:val="24"/>
          <w:szCs w:val="24"/>
          <w:highlight w:val="none"/>
          <w:lang w:eastAsia="zh-CN"/>
        </w:rPr>
      </w:pPr>
    </w:p>
    <w:p w14:paraId="02C47EAD">
      <w:pPr>
        <w:bidi w:val="0"/>
        <w:rPr>
          <w:rFonts w:hint="eastAsia" w:ascii="宋体" w:hAnsi="宋体" w:eastAsia="宋体" w:cs="宋体"/>
          <w:color w:val="auto"/>
          <w:sz w:val="24"/>
          <w:szCs w:val="24"/>
          <w:highlight w:val="none"/>
          <w:lang w:eastAsia="zh-CN"/>
        </w:rPr>
      </w:pPr>
    </w:p>
    <w:p w14:paraId="790936CA">
      <w:pPr>
        <w:bidi w:val="0"/>
        <w:rPr>
          <w:rFonts w:hint="eastAsia" w:ascii="宋体" w:hAnsi="宋体" w:eastAsia="宋体" w:cs="宋体"/>
          <w:color w:val="auto"/>
          <w:sz w:val="24"/>
          <w:szCs w:val="24"/>
          <w:highlight w:val="none"/>
          <w:lang w:eastAsia="zh-CN"/>
        </w:rPr>
      </w:pPr>
    </w:p>
    <w:p w14:paraId="780C4028">
      <w:pPr>
        <w:bidi w:val="0"/>
        <w:rPr>
          <w:rFonts w:hint="eastAsia" w:ascii="宋体" w:hAnsi="宋体" w:eastAsia="宋体" w:cs="宋体"/>
          <w:color w:val="auto"/>
          <w:sz w:val="24"/>
          <w:szCs w:val="24"/>
          <w:highlight w:val="none"/>
          <w:lang w:eastAsia="zh-CN"/>
        </w:rPr>
      </w:pPr>
    </w:p>
    <w:p w14:paraId="2E4616FD">
      <w:pPr>
        <w:bidi w:val="0"/>
        <w:rPr>
          <w:rFonts w:hint="eastAsia" w:ascii="宋体" w:hAnsi="宋体" w:eastAsia="宋体" w:cs="宋体"/>
          <w:color w:val="auto"/>
          <w:sz w:val="24"/>
          <w:szCs w:val="24"/>
          <w:highlight w:val="none"/>
          <w:lang w:eastAsia="zh-CN"/>
        </w:rPr>
      </w:pPr>
    </w:p>
    <w:p w14:paraId="1A263D51">
      <w:pPr>
        <w:bidi w:val="0"/>
        <w:rPr>
          <w:rFonts w:hint="eastAsia" w:ascii="宋体" w:hAnsi="宋体" w:eastAsia="宋体" w:cs="宋体"/>
        </w:rPr>
      </w:pPr>
      <w:bookmarkStart w:id="716" w:name="_Toc15268"/>
    </w:p>
    <w:p w14:paraId="2AEA9A3A">
      <w:pPr>
        <w:pStyle w:val="42"/>
        <w:shd w:val="clear"/>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第六章  评标办法和</w:t>
      </w:r>
      <w:bookmarkEnd w:id="706"/>
      <w:bookmarkEnd w:id="707"/>
      <w:bookmarkEnd w:id="708"/>
      <w:bookmarkEnd w:id="709"/>
      <w:r>
        <w:rPr>
          <w:rFonts w:hint="eastAsia" w:ascii="宋体" w:hAnsi="宋体" w:eastAsia="宋体" w:cs="宋体"/>
          <w:color w:val="auto"/>
          <w:sz w:val="36"/>
          <w:szCs w:val="36"/>
          <w:highlight w:val="none"/>
          <w:lang w:eastAsia="zh-CN"/>
        </w:rPr>
        <w:t>评标</w:t>
      </w:r>
      <w:r>
        <w:rPr>
          <w:rFonts w:hint="eastAsia" w:ascii="宋体" w:hAnsi="宋体" w:eastAsia="宋体" w:cs="宋体"/>
          <w:color w:val="auto"/>
          <w:sz w:val="36"/>
          <w:szCs w:val="36"/>
          <w:highlight w:val="none"/>
        </w:rPr>
        <w:t>标准</w:t>
      </w:r>
      <w:bookmarkEnd w:id="710"/>
      <w:bookmarkEnd w:id="711"/>
      <w:bookmarkEnd w:id="712"/>
      <w:bookmarkEnd w:id="713"/>
      <w:bookmarkEnd w:id="714"/>
      <w:bookmarkEnd w:id="716"/>
    </w:p>
    <w:p w14:paraId="0F7C0BB5">
      <w:pPr>
        <w:pStyle w:val="29"/>
        <w:shd w:val="clear"/>
        <w:snapToGrid/>
        <w:spacing w:line="360" w:lineRule="auto"/>
        <w:ind w:firstLineChars="200"/>
        <w:rPr>
          <w:rFonts w:hint="eastAsia" w:ascii="宋体" w:hAnsi="宋体" w:eastAsia="宋体" w:cs="宋体"/>
          <w:color w:val="auto"/>
          <w:highlight w:val="none"/>
        </w:rPr>
      </w:pPr>
    </w:p>
    <w:p w14:paraId="44E23628">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根据《中华人民共和国政府采购法》等有关法律法规的规定，并结合本项目的实际，特制定本办法，本办法只适用于本项目政府采购的评标。</w:t>
      </w:r>
    </w:p>
    <w:p w14:paraId="1303EC26">
      <w:pPr>
        <w:pStyle w:val="42"/>
        <w:shd w:val="clear"/>
        <w:spacing w:beforeLines="100" w:after="240" w:afterLines="100"/>
        <w:jc w:val="left"/>
        <w:outlineLvl w:val="1"/>
        <w:rPr>
          <w:rFonts w:hint="eastAsia" w:ascii="宋体" w:hAnsi="宋体" w:eastAsia="宋体" w:cs="宋体"/>
          <w:color w:val="auto"/>
          <w:sz w:val="30"/>
          <w:szCs w:val="30"/>
          <w:highlight w:val="none"/>
        </w:rPr>
      </w:pPr>
      <w:bookmarkStart w:id="717" w:name="_Toc32150"/>
      <w:bookmarkStart w:id="718" w:name="_Toc11116"/>
      <w:bookmarkStart w:id="719" w:name="_Toc97213063"/>
      <w:bookmarkStart w:id="720" w:name="_Toc493956075"/>
      <w:bookmarkStart w:id="721" w:name="_Toc18895"/>
      <w:bookmarkStart w:id="722" w:name="_Toc17552"/>
      <w:bookmarkStart w:id="723" w:name="_Toc530551901"/>
      <w:bookmarkStart w:id="724" w:name="_Toc531359078"/>
      <w:bookmarkStart w:id="725" w:name="_Toc18792"/>
      <w:bookmarkStart w:id="726" w:name="_Toc335664295"/>
      <w:r>
        <w:rPr>
          <w:rFonts w:hint="eastAsia" w:ascii="宋体" w:hAnsi="宋体" w:eastAsia="宋体" w:cs="宋体"/>
          <w:color w:val="auto"/>
          <w:sz w:val="30"/>
          <w:szCs w:val="30"/>
          <w:highlight w:val="none"/>
        </w:rPr>
        <w:t>一    总则</w:t>
      </w:r>
      <w:bookmarkEnd w:id="717"/>
      <w:bookmarkEnd w:id="718"/>
      <w:bookmarkEnd w:id="719"/>
      <w:bookmarkEnd w:id="720"/>
      <w:bookmarkEnd w:id="721"/>
      <w:bookmarkEnd w:id="722"/>
      <w:bookmarkEnd w:id="723"/>
      <w:bookmarkEnd w:id="724"/>
      <w:bookmarkEnd w:id="725"/>
      <w:bookmarkEnd w:id="726"/>
    </w:p>
    <w:p w14:paraId="486F9335">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1.1  评标工作遵循公正、公平、科学、择优的原则确定中标候选人。评标委员会应严格按照招标文件的商务技术和报价要求，对投标文件综合分析评价并编制评标报告。</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专家必须严格遵守保密规定，不得泄漏评标有关的情况，不得索贿受贿，不得参加影响评标的任何活动。</w:t>
      </w:r>
    </w:p>
    <w:p w14:paraId="02217C75">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1.2  本次评标采用综合评分法，</w:t>
      </w:r>
      <w:r>
        <w:rPr>
          <w:rFonts w:hint="eastAsia" w:ascii="宋体" w:hAnsi="宋体" w:eastAsia="宋体" w:cs="宋体"/>
          <w:color w:val="auto"/>
          <w:highlight w:val="none"/>
          <w:lang w:val="en-US" w:eastAsia="zh-CN"/>
        </w:rPr>
        <w:t>评标结果</w:t>
      </w:r>
      <w:r>
        <w:rPr>
          <w:rFonts w:hint="eastAsia" w:ascii="宋体" w:hAnsi="宋体" w:eastAsia="宋体" w:cs="宋体"/>
          <w:color w:val="auto"/>
          <w:highlight w:val="none"/>
        </w:rPr>
        <w:t>按</w:t>
      </w:r>
      <w:r>
        <w:rPr>
          <w:rFonts w:hint="eastAsia" w:ascii="宋体" w:hAnsi="宋体" w:eastAsia="宋体" w:cs="宋体"/>
          <w:color w:val="auto"/>
          <w:highlight w:val="none"/>
          <w:lang w:val="en-US" w:eastAsia="zh-CN"/>
        </w:rPr>
        <w:t>评审后</w:t>
      </w:r>
      <w:r>
        <w:rPr>
          <w:rFonts w:hint="eastAsia" w:ascii="宋体" w:hAnsi="宋体" w:eastAsia="宋体" w:cs="宋体"/>
          <w:color w:val="auto"/>
          <w:highlight w:val="none"/>
        </w:rPr>
        <w:t>得分由高到低顺序排列</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由评标委员会推荐1名中标候选人</w:t>
      </w:r>
      <w:r>
        <w:rPr>
          <w:rFonts w:hint="eastAsia" w:ascii="宋体" w:hAnsi="宋体" w:eastAsia="宋体" w:cs="宋体"/>
          <w:color w:val="auto"/>
          <w:highlight w:val="none"/>
        </w:rPr>
        <w:t>。最终得分相同的，按投标报价由低到高顺序排列；</w:t>
      </w:r>
      <w:r>
        <w:rPr>
          <w:rFonts w:hint="eastAsia" w:ascii="宋体" w:hAnsi="宋体" w:eastAsia="宋体" w:cs="宋体"/>
          <w:color w:val="auto"/>
          <w:highlight w:val="none"/>
          <w:lang w:val="en-US" w:eastAsia="zh-CN"/>
        </w:rPr>
        <w:t>得分且投标报价相同的并列</w:t>
      </w:r>
      <w:r>
        <w:rPr>
          <w:rFonts w:hint="eastAsia" w:ascii="宋体" w:hAnsi="宋体" w:eastAsia="宋体" w:cs="宋体"/>
          <w:color w:val="auto"/>
          <w:highlight w:val="none"/>
        </w:rPr>
        <w:t>。投标文件满足招标文件全部实质性要求，且按照评审因素的量化指标评审得分最高的投标人为排名第一的中标候选人。</w:t>
      </w:r>
    </w:p>
    <w:p w14:paraId="23143B4E">
      <w:pPr>
        <w:pStyle w:val="29"/>
        <w:shd w:val="clear"/>
        <w:snapToGrid/>
        <w:spacing w:line="360"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EF4F87">
      <w:pPr>
        <w:pStyle w:val="42"/>
        <w:shd w:val="clear"/>
        <w:spacing w:beforeLines="100" w:after="240" w:afterLines="100"/>
        <w:jc w:val="left"/>
        <w:outlineLvl w:val="1"/>
        <w:rPr>
          <w:rFonts w:hint="eastAsia" w:ascii="宋体" w:hAnsi="宋体" w:eastAsia="宋体" w:cs="宋体"/>
          <w:color w:val="auto"/>
          <w:sz w:val="30"/>
          <w:szCs w:val="30"/>
          <w:highlight w:val="none"/>
        </w:rPr>
      </w:pPr>
      <w:bookmarkStart w:id="727" w:name="_Toc5793"/>
      <w:bookmarkStart w:id="728" w:name="_Toc1029"/>
      <w:bookmarkStart w:id="729" w:name="_Toc97213064"/>
      <w:bookmarkStart w:id="730" w:name="_Toc10177"/>
      <w:bookmarkStart w:id="731" w:name="_Toc23264"/>
      <w:bookmarkStart w:id="732" w:name="_Toc10737"/>
      <w:r>
        <w:rPr>
          <w:rFonts w:hint="eastAsia" w:ascii="宋体" w:hAnsi="宋体" w:eastAsia="宋体" w:cs="宋体"/>
          <w:color w:val="auto"/>
          <w:sz w:val="30"/>
          <w:szCs w:val="30"/>
          <w:highlight w:val="none"/>
        </w:rPr>
        <w:t xml:space="preserve">二    </w:t>
      </w:r>
      <w:r>
        <w:rPr>
          <w:rFonts w:hint="eastAsia" w:ascii="宋体" w:hAnsi="宋体" w:eastAsia="宋体" w:cs="宋体"/>
          <w:color w:val="auto"/>
          <w:sz w:val="30"/>
          <w:szCs w:val="30"/>
          <w:highlight w:val="none"/>
          <w:lang w:eastAsia="zh-CN"/>
        </w:rPr>
        <w:t>评标</w:t>
      </w:r>
      <w:r>
        <w:rPr>
          <w:rFonts w:hint="eastAsia" w:ascii="宋体" w:hAnsi="宋体" w:eastAsia="宋体" w:cs="宋体"/>
          <w:color w:val="auto"/>
          <w:sz w:val="30"/>
          <w:szCs w:val="30"/>
          <w:highlight w:val="none"/>
        </w:rPr>
        <w:t>一般规定</w:t>
      </w:r>
      <w:bookmarkEnd w:id="727"/>
      <w:bookmarkEnd w:id="728"/>
      <w:bookmarkEnd w:id="729"/>
      <w:bookmarkEnd w:id="730"/>
      <w:bookmarkEnd w:id="731"/>
      <w:bookmarkEnd w:id="732"/>
    </w:p>
    <w:p w14:paraId="0A9C1D31">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2.1  本次评标采用综合评分法，总分100分。</w:t>
      </w:r>
    </w:p>
    <w:p w14:paraId="1CFE1F4B">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2.2  商务技术分的权重为</w:t>
      </w:r>
      <w:r>
        <w:rPr>
          <w:rFonts w:hint="eastAsia" w:ascii="宋体" w:hAnsi="宋体" w:eastAsia="宋体" w:cs="宋体"/>
          <w:color w:val="auto"/>
          <w:highlight w:val="none"/>
          <w:u w:val="single"/>
          <w:lang w:val="en-US" w:eastAsia="zh-CN"/>
        </w:rPr>
        <w:t>70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分值为</w:t>
      </w:r>
      <w:r>
        <w:rPr>
          <w:rFonts w:hint="eastAsia" w:ascii="宋体" w:hAnsi="宋体" w:eastAsia="宋体" w:cs="宋体"/>
          <w:color w:val="auto"/>
          <w:highlight w:val="none"/>
          <w:u w:val="single"/>
          <w:lang w:val="en-US" w:eastAsia="zh-CN"/>
        </w:rPr>
        <w:t>70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评标委员会成员</w:t>
      </w:r>
      <w:r>
        <w:rPr>
          <w:rFonts w:hint="eastAsia" w:ascii="宋体" w:hAnsi="宋体" w:eastAsia="宋体" w:cs="宋体"/>
          <w:color w:val="auto"/>
          <w:highlight w:val="none"/>
          <w:lang w:val="en-US" w:eastAsia="zh-CN"/>
        </w:rPr>
        <w:t>应当独立对每个投标人的投标文件进行评审。</w:t>
      </w:r>
      <w:r>
        <w:rPr>
          <w:rFonts w:hint="eastAsia" w:ascii="宋体" w:hAnsi="宋体" w:eastAsia="宋体" w:cs="宋体"/>
          <w:color w:val="auto"/>
          <w:highlight w:val="none"/>
        </w:rPr>
        <w:t>各有效投标人的商务技术得分为各</w:t>
      </w:r>
      <w:r>
        <w:rPr>
          <w:rFonts w:hint="eastAsia" w:ascii="宋体" w:hAnsi="宋体" w:eastAsia="宋体" w:cs="宋体"/>
          <w:color w:val="auto"/>
          <w:highlight w:val="none"/>
          <w:lang w:eastAsia="zh-CN"/>
        </w:rPr>
        <w:t>评标委员会成员</w:t>
      </w:r>
      <w:r>
        <w:rPr>
          <w:rFonts w:hint="eastAsia" w:ascii="宋体" w:hAnsi="宋体" w:eastAsia="宋体" w:cs="宋体"/>
          <w:color w:val="auto"/>
          <w:highlight w:val="none"/>
        </w:rPr>
        <w:t>对该投标人的</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得分结果汇总后的算术平均值。</w:t>
      </w:r>
    </w:p>
    <w:p w14:paraId="4E5278B0">
      <w:pPr>
        <w:pStyle w:val="29"/>
        <w:shd w:val="clear"/>
        <w:snapToGrid/>
        <w:spacing w:line="360" w:lineRule="auto"/>
        <w:ind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lang w:eastAsia="zh-CN"/>
        </w:rPr>
        <w:t>评标委员会成员</w:t>
      </w:r>
      <w:r>
        <w:rPr>
          <w:rFonts w:hint="eastAsia" w:ascii="宋体" w:hAnsi="宋体" w:eastAsia="宋体" w:cs="宋体"/>
          <w:color w:val="auto"/>
          <w:highlight w:val="none"/>
        </w:rPr>
        <w:t>要对</w:t>
      </w:r>
      <w:r>
        <w:rPr>
          <w:rFonts w:hint="eastAsia" w:ascii="宋体" w:hAnsi="宋体" w:eastAsia="宋体" w:cs="宋体"/>
          <w:color w:val="auto"/>
          <w:highlight w:val="none"/>
          <w:lang w:eastAsia="zh-CN"/>
        </w:rPr>
        <w:t>评定得分</w:t>
      </w:r>
      <w:r>
        <w:rPr>
          <w:rFonts w:hint="eastAsia" w:ascii="宋体" w:hAnsi="宋体" w:eastAsia="宋体" w:cs="宋体"/>
          <w:color w:val="auto"/>
          <w:highlight w:val="none"/>
        </w:rPr>
        <w:t>进行校对、核对</w:t>
      </w:r>
      <w:r>
        <w:rPr>
          <w:rFonts w:hint="eastAsia" w:ascii="宋体" w:hAnsi="宋体" w:eastAsia="宋体" w:cs="宋体"/>
          <w:color w:val="auto"/>
          <w:highlight w:val="none"/>
          <w:lang w:eastAsia="zh-CN"/>
        </w:rPr>
        <w:t>。如个人主观打分偏离所有评标委员会成员主观打分平均值30%以上的，评标委员会</w:t>
      </w:r>
      <w:r>
        <w:rPr>
          <w:rFonts w:hint="eastAsia" w:ascii="宋体" w:hAnsi="宋体" w:eastAsia="宋体" w:cs="宋体"/>
          <w:color w:val="auto"/>
          <w:highlight w:val="none"/>
        </w:rPr>
        <w:t>组长应</w:t>
      </w:r>
      <w:r>
        <w:rPr>
          <w:rFonts w:hint="eastAsia" w:ascii="宋体" w:hAnsi="宋体" w:eastAsia="宋体" w:cs="宋体"/>
          <w:color w:val="auto"/>
          <w:highlight w:val="none"/>
          <w:lang w:eastAsia="zh-CN"/>
        </w:rPr>
        <w:t>提醒相关</w:t>
      </w:r>
      <w:r>
        <w:rPr>
          <w:rFonts w:hint="eastAsia" w:ascii="宋体" w:hAnsi="宋体" w:eastAsia="宋体" w:cs="宋体"/>
          <w:color w:val="auto"/>
          <w:highlight w:val="none"/>
        </w:rPr>
        <w:t>评标委员会成员</w:t>
      </w:r>
      <w:r>
        <w:rPr>
          <w:rFonts w:hint="eastAsia" w:ascii="宋体" w:hAnsi="宋体" w:eastAsia="宋体" w:cs="宋体"/>
          <w:color w:val="auto"/>
          <w:highlight w:val="none"/>
          <w:lang w:eastAsia="zh-CN"/>
        </w:rPr>
        <w:t>进行复核或书面说明理由。</w:t>
      </w:r>
    </w:p>
    <w:p w14:paraId="0582ECEA">
      <w:pPr>
        <w:pStyle w:val="29"/>
        <w:shd w:val="clear"/>
        <w:snapToGrid/>
        <w:spacing w:line="360"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2.4评标委员会对拟认定符合性审查不通过、投标无效、修改报价等的，应组织相关投标人进行陈述、澄清或申辩。</w:t>
      </w:r>
    </w:p>
    <w:p w14:paraId="765A87B4">
      <w:pPr>
        <w:pStyle w:val="29"/>
        <w:shd w:val="clear"/>
        <w:snapToGrid/>
        <w:spacing w:line="360" w:lineRule="auto"/>
        <w:ind w:firstLineChars="200"/>
        <w:rPr>
          <w:rFonts w:hint="eastAsia" w:ascii="宋体" w:hAnsi="宋体" w:eastAsia="宋体" w:cs="宋体"/>
          <w:color w:val="auto"/>
          <w:highlight w:val="none"/>
        </w:rPr>
        <w:sectPr>
          <w:footerReference r:id="rId17" w:type="default"/>
          <w:pgSz w:w="11906" w:h="16838"/>
          <w:pgMar w:top="1440" w:right="1440" w:bottom="1440" w:left="1440" w:header="851" w:footer="850" w:gutter="0"/>
          <w:pgNumType w:fmt="decimal"/>
          <w:cols w:space="720" w:num="1"/>
          <w:rtlGutter w:val="0"/>
          <w:docGrid w:linePitch="312" w:charSpace="0"/>
        </w:sectPr>
      </w:pPr>
    </w:p>
    <w:p w14:paraId="2AE83E4E">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报价分的权重为</w:t>
      </w:r>
      <w:r>
        <w:rPr>
          <w:rFonts w:hint="eastAsia" w:ascii="宋体" w:hAnsi="宋体" w:eastAsia="宋体" w:cs="宋体"/>
          <w:color w:val="auto"/>
          <w:highlight w:val="none"/>
          <w:u w:val="single"/>
          <w:lang w:val="en-US" w:eastAsia="zh-CN"/>
        </w:rPr>
        <w:t>30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分值为</w:t>
      </w:r>
      <w:r>
        <w:rPr>
          <w:rFonts w:hint="eastAsia" w:ascii="宋体" w:hAnsi="宋体" w:eastAsia="宋体" w:cs="宋体"/>
          <w:color w:val="auto"/>
          <w:highlight w:val="none"/>
          <w:u w:val="single"/>
          <w:lang w:val="en-US" w:eastAsia="zh-CN"/>
        </w:rPr>
        <w:t>30</w:t>
      </w:r>
      <w:r>
        <w:rPr>
          <w:rFonts w:hint="eastAsia" w:ascii="宋体" w:hAnsi="宋体" w:eastAsia="宋体" w:cs="宋体"/>
          <w:color w:val="auto"/>
          <w:highlight w:val="none"/>
        </w:rPr>
        <w:t>分，由评标委员会按各投标人报价统一计算。</w:t>
      </w:r>
    </w:p>
    <w:p w14:paraId="547EEBEA">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投标人总得分=商务技术得分+报价得分。</w:t>
      </w:r>
    </w:p>
    <w:p w14:paraId="0A17F862">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评标委员会成员</w:t>
      </w:r>
      <w:r>
        <w:rPr>
          <w:rFonts w:hint="eastAsia" w:ascii="宋体" w:hAnsi="宋体" w:eastAsia="宋体" w:cs="宋体"/>
          <w:color w:val="auto"/>
          <w:highlight w:val="none"/>
        </w:rPr>
        <w:t>在规定的分值范围内打分，评分过程中采用四舍五入法，并保留小数2位。</w:t>
      </w:r>
    </w:p>
    <w:p w14:paraId="489EEF75">
      <w:pPr>
        <w:pStyle w:val="42"/>
        <w:shd w:val="clear"/>
        <w:spacing w:beforeLines="100" w:after="240" w:afterLines="100"/>
        <w:jc w:val="left"/>
        <w:outlineLvl w:val="1"/>
        <w:rPr>
          <w:rFonts w:hint="eastAsia" w:ascii="宋体" w:hAnsi="宋体" w:eastAsia="宋体" w:cs="宋体"/>
          <w:color w:val="auto"/>
          <w:sz w:val="30"/>
          <w:szCs w:val="30"/>
          <w:highlight w:val="none"/>
        </w:rPr>
      </w:pPr>
      <w:bookmarkStart w:id="733" w:name="_Toc2544"/>
      <w:bookmarkStart w:id="734" w:name="_Toc9210"/>
      <w:bookmarkStart w:id="735" w:name="_Toc97213065"/>
      <w:bookmarkStart w:id="736" w:name="_Toc5852"/>
      <w:bookmarkStart w:id="737" w:name="_Toc5408"/>
      <w:bookmarkStart w:id="738" w:name="_Toc6366"/>
      <w:r>
        <w:rPr>
          <w:rFonts w:hint="eastAsia" w:ascii="宋体" w:hAnsi="宋体" w:eastAsia="宋体" w:cs="宋体"/>
          <w:color w:val="auto"/>
          <w:sz w:val="30"/>
          <w:szCs w:val="30"/>
          <w:highlight w:val="none"/>
        </w:rPr>
        <w:t xml:space="preserve">三    </w:t>
      </w:r>
      <w:r>
        <w:rPr>
          <w:rFonts w:hint="eastAsia" w:ascii="宋体" w:hAnsi="宋体" w:eastAsia="宋体" w:cs="宋体"/>
          <w:color w:val="auto"/>
          <w:sz w:val="30"/>
          <w:szCs w:val="30"/>
          <w:highlight w:val="none"/>
          <w:lang w:eastAsia="zh-CN"/>
        </w:rPr>
        <w:t>评标</w:t>
      </w:r>
      <w:r>
        <w:rPr>
          <w:rFonts w:hint="eastAsia" w:ascii="宋体" w:hAnsi="宋体" w:eastAsia="宋体" w:cs="宋体"/>
          <w:color w:val="auto"/>
          <w:sz w:val="30"/>
          <w:szCs w:val="30"/>
          <w:highlight w:val="none"/>
        </w:rPr>
        <w:t>内容及标准</w:t>
      </w:r>
      <w:bookmarkEnd w:id="733"/>
      <w:bookmarkEnd w:id="734"/>
      <w:bookmarkEnd w:id="735"/>
      <w:bookmarkEnd w:id="736"/>
      <w:bookmarkEnd w:id="737"/>
      <w:bookmarkEnd w:id="738"/>
    </w:p>
    <w:p w14:paraId="4CB4036B">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3.1   报价分（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p w14:paraId="7449A32E">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3.1.1 报价得分采用低价优先法计算，即满足招标文件要求且投标价格最低的投标报价为评标基准价，其他投标人的价格分按照下列公式计算：</w:t>
      </w:r>
    </w:p>
    <w:p w14:paraId="72C08337">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价格分=（评标基准价/投标报价）×报价权重×100</w:t>
      </w:r>
    </w:p>
    <w:p w14:paraId="7FF0AF4E">
      <w:pPr>
        <w:pStyle w:val="2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价格扣除：因落实政府采购政策进行价格调整的，以调整后的价格计算评标基准价和投标报价。</w:t>
      </w:r>
    </w:p>
    <w:p w14:paraId="67830112">
      <w:pPr>
        <w:pStyle w:val="29"/>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调整后的投标报价＝投标报价×（1-扣除率）</w:t>
      </w:r>
    </w:p>
    <w:p w14:paraId="4954E554">
      <w:pPr>
        <w:pStyle w:val="29"/>
        <w:shd w:val="clear"/>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3.2  商务技术分</w:t>
      </w:r>
      <w:r>
        <w:rPr>
          <w:rFonts w:hint="eastAsia" w:ascii="宋体" w:hAnsi="宋体" w:eastAsia="宋体" w:cs="宋体"/>
          <w:color w:val="auto"/>
          <w:highlight w:val="none"/>
          <w:lang w:val="en-US" w:eastAsia="zh-CN"/>
        </w:rPr>
        <w:t>70</w:t>
      </w:r>
      <w:r>
        <w:rPr>
          <w:rFonts w:hint="eastAsia" w:ascii="宋体" w:hAnsi="宋体" w:eastAsia="宋体" w:cs="宋体"/>
          <w:color w:val="auto"/>
          <w:highlight w:val="none"/>
        </w:rPr>
        <w:t>分，详细评分见下表：</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1"/>
        <w:gridCol w:w="581"/>
        <w:gridCol w:w="1563"/>
        <w:gridCol w:w="6195"/>
        <w:gridCol w:w="808"/>
      </w:tblGrid>
      <w:tr w14:paraId="6380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356" w:type="pct"/>
            <w:shd w:val="clear" w:color="auto" w:fill="auto"/>
            <w:vAlign w:val="center"/>
          </w:tcPr>
          <w:p w14:paraId="19068648">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color w:val="auto"/>
                <w:sz w:val="24"/>
                <w:szCs w:val="24"/>
                <w:highlight w:val="none"/>
              </w:rPr>
              <w:t>序号</w:t>
            </w:r>
          </w:p>
        </w:tc>
        <w:tc>
          <w:tcPr>
            <w:tcW w:w="1088" w:type="pct"/>
            <w:gridSpan w:val="2"/>
            <w:shd w:val="clear" w:color="auto" w:fill="auto"/>
            <w:vAlign w:val="center"/>
          </w:tcPr>
          <w:p w14:paraId="1D0D5D50">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color w:val="auto"/>
                <w:sz w:val="24"/>
                <w:szCs w:val="24"/>
                <w:highlight w:val="none"/>
              </w:rPr>
              <w:t>评审内容</w:t>
            </w:r>
          </w:p>
        </w:tc>
        <w:tc>
          <w:tcPr>
            <w:tcW w:w="3144" w:type="pct"/>
            <w:shd w:val="clear" w:color="auto" w:fill="auto"/>
            <w:vAlign w:val="center"/>
          </w:tcPr>
          <w:p w14:paraId="39C64BFD">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color w:val="auto"/>
                <w:sz w:val="24"/>
                <w:szCs w:val="24"/>
                <w:highlight w:val="none"/>
              </w:rPr>
              <w:t>评分细则</w:t>
            </w:r>
          </w:p>
        </w:tc>
        <w:tc>
          <w:tcPr>
            <w:tcW w:w="410" w:type="pct"/>
            <w:shd w:val="clear" w:color="auto" w:fill="auto"/>
            <w:vAlign w:val="center"/>
          </w:tcPr>
          <w:p w14:paraId="371ECF18">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color w:val="auto"/>
                <w:sz w:val="24"/>
                <w:szCs w:val="24"/>
                <w:highlight w:val="none"/>
              </w:rPr>
              <w:t>分值</w:t>
            </w:r>
          </w:p>
        </w:tc>
      </w:tr>
      <w:tr w14:paraId="15FE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56" w:type="pct"/>
            <w:shd w:val="clear" w:color="auto" w:fill="auto"/>
            <w:vAlign w:val="center"/>
          </w:tcPr>
          <w:p w14:paraId="71375C16">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95" w:type="pct"/>
            <w:vMerge w:val="restart"/>
            <w:shd w:val="clear" w:color="auto" w:fill="auto"/>
            <w:vAlign w:val="center"/>
          </w:tcPr>
          <w:p w14:paraId="7B49C76A">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w:t>
            </w:r>
          </w:p>
          <w:p w14:paraId="2F1B4510">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务</w:t>
            </w:r>
          </w:p>
          <w:p w14:paraId="17E34535">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w:t>
            </w:r>
          </w:p>
          <w:p w14:paraId="5BBEA705">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术</w:t>
            </w:r>
          </w:p>
        </w:tc>
        <w:tc>
          <w:tcPr>
            <w:tcW w:w="792" w:type="pct"/>
            <w:shd w:val="clear" w:color="auto" w:fill="auto"/>
            <w:vAlign w:val="center"/>
          </w:tcPr>
          <w:p w14:paraId="7E5A267A">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类似业绩</w:t>
            </w:r>
          </w:p>
        </w:tc>
        <w:tc>
          <w:tcPr>
            <w:tcW w:w="3144" w:type="pct"/>
            <w:shd w:val="clear" w:color="auto" w:fill="auto"/>
            <w:vAlign w:val="center"/>
          </w:tcPr>
          <w:p w14:paraId="068C12DD">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投标人自2021年1月1日至投标截止日前具有类似车辆项目业绩，每提供一个得1分，没有的不得分，最高得3分。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注：项目合同扫描件附入商务技术中，否则不得分。</w:t>
            </w:r>
          </w:p>
        </w:tc>
        <w:tc>
          <w:tcPr>
            <w:tcW w:w="410" w:type="pct"/>
            <w:shd w:val="clear" w:color="auto" w:fill="auto"/>
            <w:vAlign w:val="center"/>
          </w:tcPr>
          <w:p w14:paraId="6318E3D7">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w:t>
            </w:r>
          </w:p>
        </w:tc>
      </w:tr>
      <w:tr w14:paraId="5AEF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56" w:type="pct"/>
            <w:vMerge w:val="restart"/>
            <w:shd w:val="clear" w:color="auto" w:fill="auto"/>
            <w:vAlign w:val="center"/>
          </w:tcPr>
          <w:p w14:paraId="78D0A3A2">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295" w:type="pct"/>
            <w:vMerge w:val="continue"/>
            <w:shd w:val="clear" w:color="auto" w:fill="auto"/>
            <w:vAlign w:val="center"/>
          </w:tcPr>
          <w:p w14:paraId="0BF19392">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vMerge w:val="restart"/>
            <w:shd w:val="clear" w:color="auto" w:fill="auto"/>
            <w:vAlign w:val="center"/>
          </w:tcPr>
          <w:p w14:paraId="6052E327">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投标产品</w:t>
            </w:r>
          </w:p>
        </w:tc>
        <w:tc>
          <w:tcPr>
            <w:tcW w:w="3144" w:type="pct"/>
            <w:shd w:val="clear" w:color="auto" w:fill="auto"/>
            <w:vAlign w:val="center"/>
          </w:tcPr>
          <w:p w14:paraId="4C8F9346">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本次的投标新能源车与现考试中心场地符合程度打分；</w:t>
            </w:r>
          </w:p>
          <w:p w14:paraId="334A72B1">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4440mm大于等于</w:t>
            </w:r>
            <w:r>
              <w:rPr>
                <w:rFonts w:hint="eastAsia" w:ascii="宋体" w:hAnsi="宋体" w:eastAsia="宋体" w:cs="宋体"/>
                <w:b/>
                <w:bCs/>
                <w:color w:val="auto"/>
                <w:sz w:val="24"/>
                <w:szCs w:val="24"/>
                <w:highlight w:val="none"/>
                <w:lang w:val="en-US" w:eastAsia="zh-CN"/>
              </w:rPr>
              <w:t>车辆长度</w:t>
            </w:r>
            <w:r>
              <w:rPr>
                <w:rFonts w:hint="eastAsia" w:ascii="宋体" w:hAnsi="宋体" w:eastAsia="宋体" w:cs="宋体"/>
                <w:color w:val="auto"/>
                <w:sz w:val="24"/>
                <w:szCs w:val="24"/>
                <w:highlight w:val="none"/>
                <w:lang w:val="en-US" w:eastAsia="zh-CN"/>
              </w:rPr>
              <w:t>小于等于4540mm的得2分；</w:t>
            </w:r>
          </w:p>
          <w:p w14:paraId="3215177A">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1700mm大于等于</w:t>
            </w:r>
            <w:r>
              <w:rPr>
                <w:rFonts w:hint="eastAsia" w:ascii="宋体" w:hAnsi="宋体" w:eastAsia="宋体" w:cs="宋体"/>
                <w:b/>
                <w:bCs/>
                <w:color w:val="auto"/>
                <w:sz w:val="24"/>
                <w:szCs w:val="24"/>
                <w:highlight w:val="none"/>
                <w:lang w:val="en-US" w:eastAsia="zh-CN"/>
              </w:rPr>
              <w:t>车辆宽度</w:t>
            </w:r>
            <w:r>
              <w:rPr>
                <w:rFonts w:hint="eastAsia" w:ascii="宋体" w:hAnsi="宋体" w:eastAsia="宋体" w:cs="宋体"/>
                <w:color w:val="auto"/>
                <w:sz w:val="24"/>
                <w:szCs w:val="24"/>
                <w:highlight w:val="none"/>
                <w:lang w:val="en-US" w:eastAsia="zh-CN"/>
              </w:rPr>
              <w:t>小于等于1800mm的得2分；</w:t>
            </w:r>
          </w:p>
          <w:p w14:paraId="7A33B430">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1450mm大于等于</w:t>
            </w:r>
            <w:r>
              <w:rPr>
                <w:rFonts w:hint="eastAsia" w:ascii="宋体" w:hAnsi="宋体" w:eastAsia="宋体" w:cs="宋体"/>
                <w:b/>
                <w:bCs/>
                <w:color w:val="auto"/>
                <w:sz w:val="24"/>
                <w:szCs w:val="24"/>
                <w:highlight w:val="none"/>
                <w:lang w:val="en-US" w:eastAsia="zh-CN"/>
              </w:rPr>
              <w:t>车辆高度</w:t>
            </w:r>
            <w:r>
              <w:rPr>
                <w:rFonts w:hint="eastAsia" w:ascii="宋体" w:hAnsi="宋体" w:eastAsia="宋体" w:cs="宋体"/>
                <w:color w:val="auto"/>
                <w:sz w:val="24"/>
                <w:szCs w:val="24"/>
                <w:highlight w:val="none"/>
                <w:lang w:val="en-US" w:eastAsia="zh-CN"/>
              </w:rPr>
              <w:t>小于等于1550mm的得2分；</w:t>
            </w:r>
          </w:p>
          <w:p w14:paraId="53AB1667">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本小项最高得6分，如车辆长度、宽度、高度中有两项不得分的，本小项评分为0分。</w:t>
            </w:r>
          </w:p>
          <w:p w14:paraId="0F227337">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注：车辆合格证扫描件附入商务技术中，否则不得分。</w:t>
            </w:r>
          </w:p>
        </w:tc>
        <w:tc>
          <w:tcPr>
            <w:tcW w:w="410" w:type="pct"/>
            <w:shd w:val="clear" w:color="auto" w:fill="auto"/>
            <w:vAlign w:val="center"/>
          </w:tcPr>
          <w:p w14:paraId="13C251AE">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0-6</w:t>
            </w:r>
          </w:p>
        </w:tc>
      </w:tr>
      <w:tr w14:paraId="3C3C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56" w:type="pct"/>
            <w:vMerge w:val="continue"/>
            <w:shd w:val="clear" w:color="auto" w:fill="auto"/>
            <w:vAlign w:val="center"/>
          </w:tcPr>
          <w:p w14:paraId="0F5CF038">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p>
        </w:tc>
        <w:tc>
          <w:tcPr>
            <w:tcW w:w="295" w:type="pct"/>
            <w:vMerge w:val="continue"/>
            <w:shd w:val="clear" w:color="auto" w:fill="auto"/>
            <w:vAlign w:val="center"/>
          </w:tcPr>
          <w:p w14:paraId="3364229D">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vMerge w:val="continue"/>
            <w:shd w:val="clear" w:color="auto" w:fill="auto"/>
            <w:vAlign w:val="center"/>
          </w:tcPr>
          <w:p w14:paraId="22260ECE">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p>
        </w:tc>
        <w:tc>
          <w:tcPr>
            <w:tcW w:w="3144" w:type="pct"/>
            <w:shd w:val="clear" w:color="auto" w:fill="auto"/>
            <w:vAlign w:val="center"/>
          </w:tcPr>
          <w:p w14:paraId="7E7DA1D7">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本次的投标新能源车具有燃油版（须同品牌同系列）的得2分；</w:t>
            </w:r>
          </w:p>
          <w:p w14:paraId="0A00A6D9">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注：证明材料扫描件附入商务技术中，否则不得分。</w:t>
            </w:r>
          </w:p>
        </w:tc>
        <w:tc>
          <w:tcPr>
            <w:tcW w:w="410" w:type="pct"/>
            <w:shd w:val="clear" w:color="auto" w:fill="auto"/>
            <w:vAlign w:val="center"/>
          </w:tcPr>
          <w:p w14:paraId="006CE7F4">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w:t>
            </w:r>
          </w:p>
        </w:tc>
      </w:tr>
      <w:tr w14:paraId="61A7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56" w:type="pct"/>
            <w:vMerge w:val="continue"/>
            <w:shd w:val="clear" w:color="auto" w:fill="auto"/>
            <w:vAlign w:val="center"/>
          </w:tcPr>
          <w:p w14:paraId="7069F41C">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p>
        </w:tc>
        <w:tc>
          <w:tcPr>
            <w:tcW w:w="295" w:type="pct"/>
            <w:vMerge w:val="continue"/>
            <w:shd w:val="clear" w:color="auto" w:fill="auto"/>
            <w:vAlign w:val="center"/>
          </w:tcPr>
          <w:p w14:paraId="79D90AA2">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vMerge w:val="continue"/>
            <w:shd w:val="clear" w:color="auto" w:fill="auto"/>
            <w:vAlign w:val="center"/>
          </w:tcPr>
          <w:p w14:paraId="1F4FF4AF">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p>
        </w:tc>
        <w:tc>
          <w:tcPr>
            <w:tcW w:w="3144" w:type="pct"/>
            <w:shd w:val="clear" w:color="auto" w:fill="auto"/>
            <w:vAlign w:val="center"/>
          </w:tcPr>
          <w:p w14:paraId="27D31B37">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承诺本次投标新能源汽车生产线5年不淘汰的得1分；</w:t>
            </w:r>
          </w:p>
          <w:p w14:paraId="6ED53618">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汽车生产线8年不淘汰的得2分；</w:t>
            </w:r>
          </w:p>
          <w:p w14:paraId="1D4DFDE7">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汽车生产线10年及以上不淘汰的得5分；以承诺为准，本项不累计计分，以最高承诺年限为准，本项最高得5分；</w:t>
            </w:r>
          </w:p>
          <w:p w14:paraId="02C76205">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w:t>
            </w:r>
            <w:r>
              <w:rPr>
                <w:rFonts w:hint="eastAsia" w:ascii="宋体" w:hAnsi="宋体" w:eastAsia="宋体" w:cs="宋体"/>
                <w:color w:val="auto"/>
                <w:sz w:val="24"/>
                <w:szCs w:val="24"/>
                <w:highlight w:val="none"/>
                <w:lang w:val="en-US" w:eastAsia="zh-CN"/>
              </w:rPr>
              <w:t>车辆制造商</w:t>
            </w:r>
            <w:r>
              <w:rPr>
                <w:rFonts w:hint="eastAsia" w:ascii="宋体" w:hAnsi="宋体" w:eastAsia="宋体" w:cs="宋体"/>
                <w:color w:val="auto"/>
                <w:kern w:val="2"/>
                <w:sz w:val="24"/>
                <w:szCs w:val="24"/>
                <w:highlight w:val="none"/>
                <w:lang w:val="en-US" w:eastAsia="zh-CN" w:bidi="ar-SA"/>
              </w:rPr>
              <w:t>承诺函扫描件附入商务技术中，否则不得分。</w:t>
            </w:r>
          </w:p>
        </w:tc>
        <w:tc>
          <w:tcPr>
            <w:tcW w:w="410" w:type="pct"/>
            <w:shd w:val="clear" w:color="auto" w:fill="auto"/>
            <w:vAlign w:val="center"/>
          </w:tcPr>
          <w:p w14:paraId="012D0ADF">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0-5</w:t>
            </w:r>
          </w:p>
        </w:tc>
      </w:tr>
      <w:tr w14:paraId="237B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56" w:type="pct"/>
            <w:vMerge w:val="continue"/>
            <w:shd w:val="clear" w:color="auto" w:fill="auto"/>
            <w:vAlign w:val="center"/>
          </w:tcPr>
          <w:p w14:paraId="1C8AA32B">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p>
        </w:tc>
        <w:tc>
          <w:tcPr>
            <w:tcW w:w="295" w:type="pct"/>
            <w:vMerge w:val="continue"/>
            <w:shd w:val="clear" w:color="auto" w:fill="auto"/>
            <w:vAlign w:val="center"/>
          </w:tcPr>
          <w:p w14:paraId="0DD18FF4">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vMerge w:val="continue"/>
            <w:shd w:val="clear" w:color="auto" w:fill="auto"/>
            <w:vAlign w:val="center"/>
          </w:tcPr>
          <w:p w14:paraId="146118D5">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p>
        </w:tc>
        <w:tc>
          <w:tcPr>
            <w:tcW w:w="3144" w:type="pct"/>
            <w:shd w:val="clear" w:color="auto" w:fill="auto"/>
            <w:vAlign w:val="center"/>
          </w:tcPr>
          <w:p w14:paraId="457F7A86">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承诺电池损耗，续航能力下降至总</w:t>
            </w:r>
            <w:r>
              <w:rPr>
                <w:rFonts w:hint="eastAsia" w:ascii="宋体" w:hAnsi="宋体" w:eastAsia="宋体" w:cs="宋体"/>
                <w:color w:val="auto"/>
                <w:sz w:val="24"/>
                <w:szCs w:val="24"/>
                <w:highlight w:val="none"/>
              </w:rPr>
              <w:t>续航的60%以下</w:t>
            </w:r>
            <w:r>
              <w:rPr>
                <w:rFonts w:hint="eastAsia" w:ascii="宋体" w:hAnsi="宋体" w:eastAsia="宋体" w:cs="宋体"/>
                <w:color w:val="auto"/>
                <w:sz w:val="24"/>
                <w:szCs w:val="24"/>
                <w:highlight w:val="none"/>
                <w:lang w:val="en-US" w:eastAsia="zh-CN"/>
              </w:rPr>
              <w:t>，免费更换电池，不收取相关费用的得3分。</w:t>
            </w:r>
          </w:p>
          <w:p w14:paraId="03AD38B5">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注：提供车辆制造商承诺函扫描件附入商务技术中，否则不得分。</w:t>
            </w:r>
          </w:p>
        </w:tc>
        <w:tc>
          <w:tcPr>
            <w:tcW w:w="410" w:type="pct"/>
            <w:shd w:val="clear" w:color="auto" w:fill="auto"/>
            <w:vAlign w:val="center"/>
          </w:tcPr>
          <w:p w14:paraId="389C69FC">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r>
      <w:tr w14:paraId="68EA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56" w:type="pct"/>
            <w:vMerge w:val="continue"/>
            <w:shd w:val="clear" w:color="auto" w:fill="auto"/>
            <w:vAlign w:val="center"/>
          </w:tcPr>
          <w:p w14:paraId="38EA8981">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p>
        </w:tc>
        <w:tc>
          <w:tcPr>
            <w:tcW w:w="295" w:type="pct"/>
            <w:vMerge w:val="continue"/>
            <w:shd w:val="clear" w:color="auto" w:fill="auto"/>
            <w:vAlign w:val="center"/>
          </w:tcPr>
          <w:p w14:paraId="1C06B363">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vMerge w:val="continue"/>
            <w:shd w:val="clear" w:color="auto" w:fill="auto"/>
            <w:vAlign w:val="center"/>
          </w:tcPr>
          <w:p w14:paraId="611176D3">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p>
        </w:tc>
        <w:tc>
          <w:tcPr>
            <w:tcW w:w="3144" w:type="pct"/>
            <w:shd w:val="clear" w:color="auto" w:fill="auto"/>
            <w:vAlign w:val="center"/>
          </w:tcPr>
          <w:p w14:paraId="65D6AED9">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根据本次投标新能源汽车CLTC纯电动里程打分：</w:t>
            </w:r>
          </w:p>
          <w:p w14:paraId="0302CFE1">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里程</w:t>
            </w:r>
            <w:r>
              <w:rPr>
                <w:rFonts w:hint="eastAsia" w:ascii="宋体" w:hAnsi="宋体" w:eastAsia="宋体" w:cs="宋体"/>
                <w:color w:val="auto"/>
                <w:sz w:val="24"/>
                <w:szCs w:val="24"/>
                <w:highlight w:val="none"/>
                <w:lang w:val="en-US" w:eastAsia="zh-CN"/>
              </w:rPr>
              <w:t>大于等于300km，小于350km的得1分；</w:t>
            </w:r>
          </w:p>
          <w:p w14:paraId="6FCC82B5">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里程</w:t>
            </w:r>
            <w:r>
              <w:rPr>
                <w:rFonts w:hint="eastAsia" w:ascii="宋体" w:hAnsi="宋体" w:eastAsia="宋体" w:cs="宋体"/>
                <w:color w:val="auto"/>
                <w:sz w:val="24"/>
                <w:szCs w:val="24"/>
                <w:highlight w:val="none"/>
                <w:lang w:val="en-US" w:eastAsia="zh-CN"/>
              </w:rPr>
              <w:t>大于等于350km的得3分；</w:t>
            </w:r>
          </w:p>
          <w:p w14:paraId="0B85C32E">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注：证明材料扫描件附入商务技术中，否则不得分。</w:t>
            </w:r>
          </w:p>
        </w:tc>
        <w:tc>
          <w:tcPr>
            <w:tcW w:w="410" w:type="pct"/>
            <w:shd w:val="clear" w:color="auto" w:fill="auto"/>
            <w:vAlign w:val="center"/>
          </w:tcPr>
          <w:p w14:paraId="30E2AAAE">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r>
      <w:tr w14:paraId="1B7E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56" w:type="pct"/>
            <w:vMerge w:val="continue"/>
            <w:shd w:val="clear" w:color="auto" w:fill="auto"/>
            <w:vAlign w:val="center"/>
          </w:tcPr>
          <w:p w14:paraId="21E44B45">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p>
        </w:tc>
        <w:tc>
          <w:tcPr>
            <w:tcW w:w="295" w:type="pct"/>
            <w:vMerge w:val="continue"/>
            <w:shd w:val="clear" w:color="auto" w:fill="auto"/>
            <w:vAlign w:val="center"/>
          </w:tcPr>
          <w:p w14:paraId="2F9C2D4A">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vMerge w:val="continue"/>
            <w:shd w:val="clear" w:color="auto" w:fill="auto"/>
            <w:vAlign w:val="center"/>
          </w:tcPr>
          <w:p w14:paraId="4F8FFBE9">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p>
        </w:tc>
        <w:tc>
          <w:tcPr>
            <w:tcW w:w="3144" w:type="pct"/>
            <w:shd w:val="clear" w:color="auto" w:fill="auto"/>
            <w:vAlign w:val="center"/>
          </w:tcPr>
          <w:p w14:paraId="1466F9BD">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本次投标新能源汽车整车与核心零部件（动力电池、驱动电机、电机控制器）均由同一品牌制造商生产的得3分。</w:t>
            </w:r>
          </w:p>
          <w:p w14:paraId="13F162BA">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注：证明材料扫描件附入商务技术中，否则不得分。</w:t>
            </w:r>
          </w:p>
        </w:tc>
        <w:tc>
          <w:tcPr>
            <w:tcW w:w="410" w:type="pct"/>
            <w:shd w:val="clear" w:color="auto" w:fill="auto"/>
            <w:vAlign w:val="center"/>
          </w:tcPr>
          <w:p w14:paraId="402D3756">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r>
      <w:tr w14:paraId="26FE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6" w:type="pct"/>
            <w:shd w:val="clear" w:color="auto" w:fill="auto"/>
            <w:vAlign w:val="center"/>
          </w:tcPr>
          <w:p w14:paraId="7B20F20B">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95" w:type="pct"/>
            <w:vMerge w:val="continue"/>
            <w:shd w:val="clear" w:color="auto" w:fill="auto"/>
            <w:vAlign w:val="center"/>
          </w:tcPr>
          <w:p w14:paraId="06148C64">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shd w:val="clear" w:color="auto" w:fill="auto"/>
            <w:vAlign w:val="center"/>
          </w:tcPr>
          <w:p w14:paraId="5A9168E2">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动力电池、驱动电机、电机控制器质保</w:t>
            </w:r>
          </w:p>
        </w:tc>
        <w:tc>
          <w:tcPr>
            <w:tcW w:w="3144" w:type="pct"/>
            <w:shd w:val="clear" w:color="auto" w:fill="auto"/>
            <w:vAlign w:val="center"/>
          </w:tcPr>
          <w:p w14:paraId="505DC86D">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根据投标人新能源车辆核心零部件（动力电池、驱动电机、电机控制器）质保期承诺打分：</w:t>
            </w:r>
          </w:p>
          <w:p w14:paraId="05863FB6">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质保期同时承诺</w:t>
            </w:r>
            <w:r>
              <w:rPr>
                <w:rFonts w:hint="eastAsia" w:ascii="宋体" w:hAnsi="宋体" w:eastAsia="宋体" w:cs="宋体"/>
                <w:color w:val="auto"/>
                <w:sz w:val="24"/>
                <w:szCs w:val="24"/>
                <w:highlight w:val="none"/>
                <w:lang w:val="en-US" w:eastAsia="zh-CN"/>
              </w:rPr>
              <w:t>大于等于9年及15万公里，小于10年及30万公里的得2分；</w:t>
            </w:r>
          </w:p>
          <w:p w14:paraId="7A5B3F89">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质保期同时承诺</w:t>
            </w:r>
            <w:r>
              <w:rPr>
                <w:rFonts w:hint="eastAsia" w:ascii="宋体" w:hAnsi="宋体" w:eastAsia="宋体" w:cs="宋体"/>
                <w:color w:val="auto"/>
                <w:sz w:val="24"/>
                <w:szCs w:val="24"/>
                <w:highlight w:val="none"/>
                <w:lang w:val="en-US" w:eastAsia="zh-CN"/>
              </w:rPr>
              <w:t>大于等于10年及30万公里的得5分；</w:t>
            </w:r>
          </w:p>
          <w:p w14:paraId="66288D48">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本项不累计计分，以最高承诺年限为准，本项最高得5分；</w:t>
            </w:r>
          </w:p>
          <w:p w14:paraId="1235258C">
            <w:pPr>
              <w:keepNext w:val="0"/>
              <w:keepLines w:val="0"/>
              <w:pageBreakBefore w:val="0"/>
              <w:widowControl w:val="0"/>
              <w:shd w:val="clear"/>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注：提供车辆制造商承诺函扫描件附入商务技术中，否则不得分。</w:t>
            </w:r>
          </w:p>
        </w:tc>
        <w:tc>
          <w:tcPr>
            <w:tcW w:w="410" w:type="pct"/>
            <w:shd w:val="clear" w:color="auto" w:fill="auto"/>
            <w:vAlign w:val="center"/>
          </w:tcPr>
          <w:p w14:paraId="2F57D615">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0-5</w:t>
            </w:r>
          </w:p>
        </w:tc>
      </w:tr>
      <w:tr w14:paraId="3C6C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56" w:type="pct"/>
            <w:shd w:val="clear" w:color="auto" w:fill="auto"/>
            <w:vAlign w:val="center"/>
          </w:tcPr>
          <w:p w14:paraId="370809A4">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295" w:type="pct"/>
            <w:vMerge w:val="continue"/>
            <w:shd w:val="clear" w:color="auto" w:fill="auto"/>
            <w:vAlign w:val="center"/>
          </w:tcPr>
          <w:p w14:paraId="54028F96">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shd w:val="clear" w:color="auto" w:fill="auto"/>
            <w:vAlign w:val="center"/>
          </w:tcPr>
          <w:p w14:paraId="50FF6A0C">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技术响应</w:t>
            </w:r>
          </w:p>
        </w:tc>
        <w:tc>
          <w:tcPr>
            <w:tcW w:w="3144" w:type="pct"/>
            <w:shd w:val="clear" w:color="auto" w:fill="auto"/>
            <w:vAlign w:val="center"/>
          </w:tcPr>
          <w:p w14:paraId="75AB6B01">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根据投标产品的功能参数、技术指标全部满足招标文件要求（采购需求</w:t>
            </w:r>
            <w:r>
              <w:rPr>
                <w:rFonts w:hint="eastAsia" w:ascii="宋体" w:hAnsi="宋体" w:eastAsia="宋体" w:cs="宋体"/>
                <w:color w:val="auto"/>
                <w:sz w:val="24"/>
                <w:szCs w:val="24"/>
                <w:highlight w:val="none"/>
              </w:rPr>
              <w:t>2.2.技术参数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标有</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除外</w:t>
            </w:r>
            <w:r>
              <w:rPr>
                <w:rFonts w:hint="eastAsia" w:ascii="宋体" w:hAnsi="宋体" w:eastAsia="宋体" w:cs="宋体"/>
                <w:color w:val="auto"/>
                <w:sz w:val="24"/>
                <w:szCs w:val="24"/>
                <w:highlight w:val="none"/>
                <w:lang w:val="en-US" w:eastAsia="zh-CN"/>
              </w:rPr>
              <w:t>）的得16分；每有一项不满足的扣1分，最多扣16分。</w:t>
            </w:r>
          </w:p>
        </w:tc>
        <w:tc>
          <w:tcPr>
            <w:tcW w:w="410" w:type="pct"/>
            <w:shd w:val="clear" w:color="auto" w:fill="auto"/>
            <w:vAlign w:val="center"/>
          </w:tcPr>
          <w:p w14:paraId="40FAE0E1">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0-16</w:t>
            </w:r>
          </w:p>
        </w:tc>
      </w:tr>
      <w:tr w14:paraId="1726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356" w:type="pct"/>
            <w:shd w:val="clear" w:color="auto" w:fill="auto"/>
            <w:vAlign w:val="center"/>
          </w:tcPr>
          <w:p w14:paraId="5184EEA8">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5</w:t>
            </w:r>
          </w:p>
        </w:tc>
        <w:tc>
          <w:tcPr>
            <w:tcW w:w="295" w:type="pct"/>
            <w:vMerge w:val="continue"/>
            <w:shd w:val="clear" w:color="auto" w:fill="auto"/>
            <w:vAlign w:val="center"/>
          </w:tcPr>
          <w:p w14:paraId="47239278">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shd w:val="clear" w:color="auto" w:fill="auto"/>
            <w:vAlign w:val="center"/>
          </w:tcPr>
          <w:p w14:paraId="13A4693C">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供货方案</w:t>
            </w:r>
          </w:p>
        </w:tc>
        <w:tc>
          <w:tcPr>
            <w:tcW w:w="3144" w:type="pct"/>
            <w:shd w:val="clear" w:color="auto" w:fill="auto"/>
            <w:vAlign w:val="center"/>
          </w:tcPr>
          <w:p w14:paraId="7A8BB7A7">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根据投标人提供的供货方案</w:t>
            </w:r>
            <w:r>
              <w:rPr>
                <w:rFonts w:hint="eastAsia" w:ascii="宋体" w:hAnsi="宋体" w:eastAsia="宋体" w:cs="宋体"/>
                <w:color w:val="auto"/>
                <w:sz w:val="24"/>
                <w:szCs w:val="24"/>
                <w:highlight w:val="none"/>
              </w:rPr>
              <w:t>进行打分</w:t>
            </w:r>
            <w:r>
              <w:rPr>
                <w:rFonts w:hint="eastAsia" w:ascii="宋体" w:hAnsi="宋体" w:eastAsia="宋体" w:cs="宋体"/>
                <w:color w:val="auto"/>
                <w:sz w:val="24"/>
                <w:szCs w:val="24"/>
                <w:highlight w:val="none"/>
                <w:lang w:val="en-US" w:eastAsia="zh-CN"/>
              </w:rPr>
              <w:t>，需包含但不限于以下要点：①供货期限满足招标文件要求；②交货方式切合实际；③供货保障流程合理；④供货流程要点明确；⑤供货实施步骤清晰</w:t>
            </w:r>
            <w:r>
              <w:rPr>
                <w:rFonts w:hint="eastAsia" w:ascii="宋体" w:hAnsi="宋体" w:eastAsia="宋体" w:cs="宋体"/>
                <w:color w:val="auto"/>
                <w:sz w:val="24"/>
                <w:szCs w:val="24"/>
                <w:highlight w:val="none"/>
              </w:rPr>
              <w:t>。</w:t>
            </w:r>
            <w:r>
              <w:rPr>
                <w:rFonts w:hint="eastAsia" w:ascii="宋体" w:hAnsi="宋体" w:eastAsia="宋体" w:cs="宋体"/>
                <w:b w:val="0"/>
                <w:bCs/>
                <w:caps w:val="0"/>
                <w:strike w:val="0"/>
                <w:dstrike w:val="0"/>
                <w:color w:val="auto"/>
                <w:sz w:val="24"/>
                <w:szCs w:val="24"/>
                <w:highlight w:val="none"/>
              </w:rPr>
              <w:t>分值范围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5、4.5、4、3.5、</w:t>
            </w:r>
            <w:r>
              <w:rPr>
                <w:rFonts w:hint="eastAsia" w:ascii="宋体" w:hAnsi="宋体" w:eastAsia="宋体" w:cs="宋体"/>
                <w:color w:val="auto"/>
                <w:sz w:val="24"/>
                <w:szCs w:val="24"/>
                <w:highlight w:val="none"/>
              </w:rPr>
              <w:t>3、2.5、2、1.5、1、0.5 、0分）</w:t>
            </w:r>
            <w:r>
              <w:rPr>
                <w:rFonts w:hint="eastAsia" w:ascii="宋体" w:hAnsi="宋体" w:eastAsia="宋体" w:cs="宋体"/>
                <w:color w:val="auto"/>
                <w:sz w:val="24"/>
                <w:szCs w:val="24"/>
                <w:highlight w:val="none"/>
                <w:lang w:eastAsia="zh-CN"/>
              </w:rPr>
              <w:t>。</w:t>
            </w:r>
          </w:p>
        </w:tc>
        <w:tc>
          <w:tcPr>
            <w:tcW w:w="410" w:type="pct"/>
            <w:shd w:val="clear" w:color="auto" w:fill="auto"/>
            <w:vAlign w:val="center"/>
          </w:tcPr>
          <w:p w14:paraId="03C4654D">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w:t>
            </w:r>
          </w:p>
        </w:tc>
      </w:tr>
      <w:tr w14:paraId="15B2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56" w:type="pct"/>
            <w:shd w:val="clear" w:color="auto" w:fill="auto"/>
            <w:vAlign w:val="center"/>
          </w:tcPr>
          <w:p w14:paraId="14FA7562">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6</w:t>
            </w:r>
          </w:p>
        </w:tc>
        <w:tc>
          <w:tcPr>
            <w:tcW w:w="295" w:type="pct"/>
            <w:vMerge w:val="continue"/>
            <w:shd w:val="clear" w:color="auto" w:fill="auto"/>
            <w:vAlign w:val="center"/>
          </w:tcPr>
          <w:p w14:paraId="194C984E">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shd w:val="clear" w:color="auto" w:fill="auto"/>
            <w:vAlign w:val="center"/>
          </w:tcPr>
          <w:p w14:paraId="3A3826DF">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质量保证</w:t>
            </w:r>
            <w:r>
              <w:rPr>
                <w:rFonts w:hint="eastAsia" w:ascii="宋体" w:hAnsi="宋体" w:eastAsia="宋体" w:cs="宋体"/>
                <w:color w:val="auto"/>
                <w:sz w:val="24"/>
                <w:szCs w:val="24"/>
                <w:highlight w:val="none"/>
                <w:lang w:val="en-US" w:eastAsia="zh-CN"/>
              </w:rPr>
              <w:t>方案</w:t>
            </w:r>
          </w:p>
        </w:tc>
        <w:tc>
          <w:tcPr>
            <w:tcW w:w="3144" w:type="pct"/>
            <w:shd w:val="clear" w:color="auto" w:fill="auto"/>
            <w:vAlign w:val="center"/>
          </w:tcPr>
          <w:p w14:paraId="0F803F9C">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根据投标人提供的质量保证方案进行打分，需包含但不限于以下要点：①供货过程中的质量保证措施；②安装电桩的质量保证措施；③车辆电池安全性措施。</w:t>
            </w:r>
            <w:r>
              <w:rPr>
                <w:rFonts w:hint="eastAsia" w:ascii="宋体" w:hAnsi="宋体" w:eastAsia="宋体" w:cs="宋体"/>
                <w:b w:val="0"/>
                <w:bCs/>
                <w:caps w:val="0"/>
                <w:strike w:val="0"/>
                <w:dstrike w:val="0"/>
                <w:color w:val="auto"/>
                <w:sz w:val="24"/>
                <w:szCs w:val="24"/>
                <w:highlight w:val="none"/>
              </w:rPr>
              <w:t>分值范围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5、4.5、4、3.5、</w:t>
            </w:r>
            <w:r>
              <w:rPr>
                <w:rFonts w:hint="eastAsia" w:ascii="宋体" w:hAnsi="宋体" w:eastAsia="宋体" w:cs="宋体"/>
                <w:color w:val="auto"/>
                <w:sz w:val="24"/>
                <w:szCs w:val="24"/>
                <w:highlight w:val="none"/>
              </w:rPr>
              <w:t>3、2.5、2、1.5、1、0.5 、0分）</w:t>
            </w:r>
            <w:r>
              <w:rPr>
                <w:rFonts w:hint="eastAsia" w:ascii="宋体" w:hAnsi="宋体" w:eastAsia="宋体" w:cs="宋体"/>
                <w:color w:val="auto"/>
                <w:sz w:val="24"/>
                <w:szCs w:val="24"/>
                <w:highlight w:val="none"/>
                <w:lang w:eastAsia="zh-CN"/>
              </w:rPr>
              <w:t>。</w:t>
            </w:r>
          </w:p>
        </w:tc>
        <w:tc>
          <w:tcPr>
            <w:tcW w:w="410" w:type="pct"/>
            <w:shd w:val="clear" w:color="auto" w:fill="auto"/>
            <w:vAlign w:val="center"/>
          </w:tcPr>
          <w:p w14:paraId="1F118DC1">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r>
      <w:tr w14:paraId="4027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56" w:type="pct"/>
            <w:shd w:val="clear" w:color="auto" w:fill="auto"/>
            <w:vAlign w:val="center"/>
          </w:tcPr>
          <w:p w14:paraId="02C9A7AE">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7</w:t>
            </w:r>
          </w:p>
        </w:tc>
        <w:tc>
          <w:tcPr>
            <w:tcW w:w="295" w:type="pct"/>
            <w:vMerge w:val="continue"/>
            <w:shd w:val="clear" w:color="auto" w:fill="auto"/>
            <w:vAlign w:val="center"/>
          </w:tcPr>
          <w:p w14:paraId="1EC13B7D">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shd w:val="clear" w:color="auto" w:fill="auto"/>
            <w:vAlign w:val="center"/>
          </w:tcPr>
          <w:p w14:paraId="3AC57A4A">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tc>
        <w:tc>
          <w:tcPr>
            <w:tcW w:w="3144" w:type="pct"/>
            <w:shd w:val="clear" w:color="auto" w:fill="auto"/>
            <w:vAlign w:val="center"/>
          </w:tcPr>
          <w:p w14:paraId="5FC4D7D6">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根据投标人提供的服务承诺方案进行打分，需包含但不限于以下要点：①项目实施期的服务承诺；②后续配合期的服务承诺及服务保障。</w:t>
            </w:r>
            <w:r>
              <w:rPr>
                <w:rFonts w:hint="eastAsia" w:ascii="宋体" w:hAnsi="宋体" w:eastAsia="宋体" w:cs="宋体"/>
                <w:b w:val="0"/>
                <w:bCs/>
                <w:caps w:val="0"/>
                <w:strike w:val="0"/>
                <w:dstrike w:val="0"/>
                <w:color w:val="auto"/>
                <w:sz w:val="24"/>
                <w:szCs w:val="24"/>
                <w:highlight w:val="none"/>
              </w:rPr>
              <w:t>分值范围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5、4.5、4、3.5、</w:t>
            </w:r>
            <w:r>
              <w:rPr>
                <w:rFonts w:hint="eastAsia" w:ascii="宋体" w:hAnsi="宋体" w:eastAsia="宋体" w:cs="宋体"/>
                <w:color w:val="auto"/>
                <w:sz w:val="24"/>
                <w:szCs w:val="24"/>
                <w:highlight w:val="none"/>
              </w:rPr>
              <w:t>3、2.5、2、1.5、1、0.5 、0分）</w:t>
            </w:r>
            <w:r>
              <w:rPr>
                <w:rFonts w:hint="eastAsia" w:ascii="宋体" w:hAnsi="宋体" w:eastAsia="宋体" w:cs="宋体"/>
                <w:color w:val="auto"/>
                <w:sz w:val="24"/>
                <w:szCs w:val="24"/>
                <w:highlight w:val="none"/>
                <w:lang w:eastAsia="zh-CN"/>
              </w:rPr>
              <w:t>。</w:t>
            </w:r>
          </w:p>
        </w:tc>
        <w:tc>
          <w:tcPr>
            <w:tcW w:w="410" w:type="pct"/>
            <w:shd w:val="clear" w:color="auto" w:fill="auto"/>
            <w:vAlign w:val="center"/>
          </w:tcPr>
          <w:p w14:paraId="60AEC2DF">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p>
        </w:tc>
      </w:tr>
      <w:tr w14:paraId="377C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56" w:type="pct"/>
            <w:shd w:val="clear" w:color="auto" w:fill="auto"/>
            <w:vAlign w:val="center"/>
          </w:tcPr>
          <w:p w14:paraId="689DBFE7">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295" w:type="pct"/>
            <w:vMerge w:val="continue"/>
            <w:shd w:val="clear" w:color="auto" w:fill="auto"/>
            <w:vAlign w:val="center"/>
          </w:tcPr>
          <w:p w14:paraId="497B28E7">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shd w:val="clear" w:color="auto" w:fill="auto"/>
            <w:vAlign w:val="center"/>
          </w:tcPr>
          <w:p w14:paraId="5C68250D">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培训方案</w:t>
            </w:r>
          </w:p>
        </w:tc>
        <w:tc>
          <w:tcPr>
            <w:tcW w:w="3144" w:type="pct"/>
            <w:shd w:val="clear" w:color="auto" w:fill="auto"/>
            <w:vAlign w:val="center"/>
          </w:tcPr>
          <w:p w14:paraId="0AB7B4D1">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根据投标人提供的培训方案，需包含但不限于以下要点：①培训时间安排是否合理；②培训内容是否全面；③培训人员是否齐全；④培训次数；⑤培训场地安排是否合理由评委根据内容进行打分。</w:t>
            </w:r>
            <w:r>
              <w:rPr>
                <w:rFonts w:hint="eastAsia" w:ascii="宋体" w:hAnsi="宋体" w:eastAsia="宋体" w:cs="宋体"/>
                <w:b w:val="0"/>
                <w:bCs/>
                <w:caps w:val="0"/>
                <w:strike w:val="0"/>
                <w:dstrike w:val="0"/>
                <w:color w:val="auto"/>
                <w:sz w:val="24"/>
                <w:szCs w:val="24"/>
                <w:highlight w:val="none"/>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bookmarkStart w:id="740" w:name="_GoBack"/>
            <w:bookmarkEnd w:id="740"/>
            <w:r>
              <w:rPr>
                <w:rFonts w:hint="eastAsia" w:ascii="宋体" w:hAnsi="宋体" w:eastAsia="宋体" w:cs="宋体"/>
                <w:color w:val="auto"/>
                <w:sz w:val="24"/>
                <w:szCs w:val="24"/>
                <w:highlight w:val="none"/>
                <w:lang w:val="en-US" w:eastAsia="zh-CN"/>
              </w:rPr>
              <w:t>3、2.5、2、1.5、1、0.5 、0分）。</w:t>
            </w:r>
          </w:p>
        </w:tc>
        <w:tc>
          <w:tcPr>
            <w:tcW w:w="410" w:type="pct"/>
            <w:shd w:val="clear" w:color="auto" w:fill="auto"/>
            <w:vAlign w:val="center"/>
          </w:tcPr>
          <w:p w14:paraId="1F776B5A">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r>
      <w:tr w14:paraId="4CAD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56" w:type="pct"/>
            <w:shd w:val="clear" w:color="auto" w:fill="auto"/>
            <w:vAlign w:val="center"/>
          </w:tcPr>
          <w:p w14:paraId="0DC20827">
            <w:pPr>
              <w:keepNext w:val="0"/>
              <w:keepLines w:val="0"/>
              <w:pageBreakBefore w:val="0"/>
              <w:widowControl w:val="0"/>
              <w:shd w:val="clear"/>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9</w:t>
            </w:r>
          </w:p>
        </w:tc>
        <w:tc>
          <w:tcPr>
            <w:tcW w:w="295" w:type="pct"/>
            <w:vMerge w:val="continue"/>
            <w:shd w:val="clear" w:color="auto" w:fill="auto"/>
            <w:vAlign w:val="center"/>
          </w:tcPr>
          <w:p w14:paraId="17199C3F">
            <w:pPr>
              <w:keepNext w:val="0"/>
              <w:keepLines w:val="0"/>
              <w:pageBreakBefore w:val="0"/>
              <w:widowControl w:val="0"/>
              <w:shd w:val="clear"/>
              <w:kinsoku/>
              <w:wordWrap/>
              <w:overflowPunct/>
              <w:topLinePunct w:val="0"/>
              <w:autoSpaceDE/>
              <w:autoSpaceDN/>
              <w:bidi w:val="0"/>
              <w:spacing w:line="360" w:lineRule="exact"/>
              <w:jc w:val="both"/>
              <w:textAlignment w:val="auto"/>
              <w:rPr>
                <w:rFonts w:hint="eastAsia" w:ascii="宋体" w:hAnsi="宋体" w:eastAsia="宋体" w:cs="宋体"/>
                <w:color w:val="auto"/>
                <w:sz w:val="24"/>
                <w:szCs w:val="24"/>
                <w:highlight w:val="none"/>
                <w:vertAlign w:val="baseline"/>
              </w:rPr>
            </w:pPr>
          </w:p>
        </w:tc>
        <w:tc>
          <w:tcPr>
            <w:tcW w:w="792" w:type="pct"/>
            <w:shd w:val="clear" w:color="auto" w:fill="auto"/>
            <w:vAlign w:val="center"/>
          </w:tcPr>
          <w:p w14:paraId="4C69DE07">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w:t>
            </w:r>
          </w:p>
        </w:tc>
        <w:tc>
          <w:tcPr>
            <w:tcW w:w="3144" w:type="pct"/>
            <w:shd w:val="clear" w:color="auto" w:fill="auto"/>
            <w:vAlign w:val="center"/>
          </w:tcPr>
          <w:p w14:paraId="208C5C94">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根据投标人提供的售后服务方案进行打分，需包含但不限于以下要点：①质保期内定期服务方案；②巡检服务方案；③售后服务保障。</w:t>
            </w:r>
            <w:r>
              <w:rPr>
                <w:rFonts w:hint="eastAsia" w:ascii="宋体" w:hAnsi="宋体" w:eastAsia="宋体" w:cs="宋体"/>
                <w:b w:val="0"/>
                <w:bCs/>
                <w:caps w:val="0"/>
                <w:strike w:val="0"/>
                <w:dstrike w:val="0"/>
                <w:color w:val="auto"/>
                <w:sz w:val="24"/>
                <w:szCs w:val="24"/>
                <w:highlight w:val="none"/>
              </w:rPr>
              <w:t>分值范围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5、4.5、4、3.5、</w:t>
            </w:r>
            <w:r>
              <w:rPr>
                <w:rFonts w:hint="eastAsia" w:ascii="宋体" w:hAnsi="宋体" w:eastAsia="宋体" w:cs="宋体"/>
                <w:color w:val="auto"/>
                <w:sz w:val="24"/>
                <w:szCs w:val="24"/>
                <w:highlight w:val="none"/>
              </w:rPr>
              <w:t>3、2.5、2、1.5、1、0.5 、0分）</w:t>
            </w:r>
            <w:r>
              <w:rPr>
                <w:rFonts w:hint="eastAsia" w:ascii="宋体" w:hAnsi="宋体" w:eastAsia="宋体" w:cs="宋体"/>
                <w:color w:val="auto"/>
                <w:sz w:val="24"/>
                <w:szCs w:val="24"/>
                <w:highlight w:val="none"/>
                <w:lang w:eastAsia="zh-CN"/>
              </w:rPr>
              <w:t>。</w:t>
            </w:r>
          </w:p>
        </w:tc>
        <w:tc>
          <w:tcPr>
            <w:tcW w:w="410" w:type="pct"/>
            <w:shd w:val="clear" w:color="auto" w:fill="auto"/>
            <w:vAlign w:val="center"/>
          </w:tcPr>
          <w:p w14:paraId="1479B7E5">
            <w:pPr>
              <w:keepNext w:val="0"/>
              <w:keepLines w:val="0"/>
              <w:pageBreakBefore w:val="0"/>
              <w:widowControl w:val="0"/>
              <w:shd w:val="clea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w:t>
            </w:r>
          </w:p>
        </w:tc>
      </w:tr>
    </w:tbl>
    <w:p w14:paraId="3DC86655">
      <w:pPr>
        <w:bidi w:val="0"/>
        <w:rPr>
          <w:rFonts w:hint="eastAsia" w:ascii="宋体" w:hAnsi="宋体" w:eastAsia="宋体" w:cs="宋体"/>
        </w:rPr>
      </w:pPr>
      <w:bookmarkStart w:id="739" w:name="_Toc9352"/>
    </w:p>
    <w:p w14:paraId="2387C326">
      <w:pPr>
        <w:pStyle w:val="20"/>
        <w:rPr>
          <w:rFonts w:hint="eastAsia" w:ascii="宋体" w:hAnsi="宋体" w:eastAsia="宋体" w:cs="宋体"/>
        </w:rPr>
      </w:pPr>
    </w:p>
    <w:p w14:paraId="7CDB4902">
      <w:pPr>
        <w:pStyle w:val="21"/>
        <w:rPr>
          <w:rFonts w:hint="eastAsia" w:ascii="宋体" w:hAnsi="宋体" w:eastAsia="宋体" w:cs="宋体"/>
        </w:rPr>
      </w:pPr>
    </w:p>
    <w:p w14:paraId="78DBB9B7">
      <w:pPr>
        <w:rPr>
          <w:rFonts w:hint="eastAsia" w:ascii="宋体" w:hAnsi="宋体" w:eastAsia="宋体" w:cs="宋体"/>
        </w:rPr>
      </w:pPr>
    </w:p>
    <w:p w14:paraId="7E7E5066">
      <w:pPr>
        <w:pStyle w:val="20"/>
        <w:rPr>
          <w:rFonts w:hint="eastAsia" w:ascii="宋体" w:hAnsi="宋体" w:eastAsia="宋体" w:cs="宋体"/>
        </w:rPr>
      </w:pPr>
    </w:p>
    <w:p w14:paraId="494FAC60">
      <w:pPr>
        <w:pStyle w:val="21"/>
        <w:rPr>
          <w:rFonts w:hint="eastAsia" w:ascii="宋体" w:hAnsi="宋体" w:eastAsia="宋体" w:cs="宋体"/>
        </w:rPr>
      </w:pPr>
    </w:p>
    <w:p w14:paraId="39757D49">
      <w:pPr>
        <w:rPr>
          <w:rFonts w:hint="eastAsia" w:ascii="宋体" w:hAnsi="宋体" w:eastAsia="宋体" w:cs="宋体"/>
        </w:rPr>
      </w:pPr>
    </w:p>
    <w:p w14:paraId="673D19B0">
      <w:pPr>
        <w:pStyle w:val="20"/>
        <w:rPr>
          <w:rFonts w:hint="eastAsia" w:ascii="宋体" w:hAnsi="宋体" w:eastAsia="宋体" w:cs="宋体"/>
        </w:rPr>
      </w:pPr>
    </w:p>
    <w:p w14:paraId="54F9A6FA">
      <w:pPr>
        <w:pStyle w:val="21"/>
        <w:rPr>
          <w:rFonts w:hint="eastAsia" w:ascii="宋体" w:hAnsi="宋体" w:eastAsia="宋体" w:cs="宋体"/>
        </w:rPr>
      </w:pPr>
    </w:p>
    <w:p w14:paraId="4AA0F6F2">
      <w:pPr>
        <w:rPr>
          <w:rFonts w:hint="eastAsia" w:ascii="宋体" w:hAnsi="宋体" w:eastAsia="宋体" w:cs="宋体"/>
        </w:rPr>
      </w:pPr>
    </w:p>
    <w:p w14:paraId="01AF468E">
      <w:pPr>
        <w:pStyle w:val="20"/>
        <w:rPr>
          <w:rFonts w:hint="eastAsia" w:ascii="宋体" w:hAnsi="宋体" w:eastAsia="宋体" w:cs="宋体"/>
        </w:rPr>
      </w:pPr>
    </w:p>
    <w:p w14:paraId="6BA0B6D2">
      <w:pPr>
        <w:pStyle w:val="21"/>
        <w:rPr>
          <w:rFonts w:hint="eastAsia" w:ascii="宋体" w:hAnsi="宋体" w:eastAsia="宋体" w:cs="宋体"/>
        </w:rPr>
      </w:pPr>
    </w:p>
    <w:p w14:paraId="2893C146">
      <w:pPr>
        <w:rPr>
          <w:rFonts w:hint="eastAsia" w:ascii="宋体" w:hAnsi="宋体" w:eastAsia="宋体" w:cs="宋体"/>
        </w:rPr>
      </w:pPr>
    </w:p>
    <w:p w14:paraId="0D51E7F7">
      <w:pPr>
        <w:pStyle w:val="20"/>
        <w:rPr>
          <w:rFonts w:hint="eastAsia" w:ascii="宋体" w:hAnsi="宋体" w:eastAsia="宋体" w:cs="宋体"/>
        </w:rPr>
      </w:pPr>
    </w:p>
    <w:p w14:paraId="4753ACF1">
      <w:pPr>
        <w:pStyle w:val="21"/>
        <w:rPr>
          <w:rFonts w:hint="eastAsia" w:ascii="宋体" w:hAnsi="宋体" w:eastAsia="宋体" w:cs="宋体"/>
        </w:rPr>
      </w:pPr>
    </w:p>
    <w:p w14:paraId="1CAA4AE0">
      <w:pPr>
        <w:rPr>
          <w:rFonts w:hint="eastAsia" w:ascii="宋体" w:hAnsi="宋体" w:eastAsia="宋体" w:cs="宋体"/>
        </w:rPr>
      </w:pPr>
    </w:p>
    <w:p w14:paraId="0E1CABEE">
      <w:pPr>
        <w:bidi w:val="0"/>
        <w:rPr>
          <w:rFonts w:hint="eastAsia" w:ascii="宋体" w:hAnsi="宋体" w:eastAsia="宋体" w:cs="宋体"/>
        </w:rPr>
      </w:pPr>
    </w:p>
    <w:p w14:paraId="4A9B0900">
      <w:pPr>
        <w:bidi w:val="0"/>
        <w:rPr>
          <w:rFonts w:hint="eastAsia" w:ascii="宋体" w:hAnsi="宋体" w:eastAsia="宋体" w:cs="宋体"/>
        </w:rPr>
      </w:pPr>
    </w:p>
    <w:p w14:paraId="7DB67D8D">
      <w:pPr>
        <w:bidi w:val="0"/>
        <w:rPr>
          <w:rFonts w:hint="eastAsia" w:ascii="宋体" w:hAnsi="宋体" w:eastAsia="宋体" w:cs="宋体"/>
        </w:rPr>
      </w:pPr>
    </w:p>
    <w:p w14:paraId="3CCB1A4B">
      <w:pPr>
        <w:pStyle w:val="42"/>
        <w:shd w:val="clear"/>
        <w:spacing w:before="0"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附件：政府采购活动现场确认声明书</w:t>
      </w:r>
      <w:bookmarkEnd w:id="739"/>
    </w:p>
    <w:p w14:paraId="0A0FB2E8">
      <w:pPr>
        <w:shd w:val="clear"/>
        <w:rPr>
          <w:rFonts w:hint="eastAsia" w:ascii="宋体" w:hAnsi="宋体" w:eastAsia="宋体" w:cs="宋体"/>
          <w:color w:val="auto"/>
          <w:highlight w:val="none"/>
        </w:rPr>
      </w:pPr>
    </w:p>
    <w:p w14:paraId="3D775D08">
      <w:pPr>
        <w:shd w:val="clear"/>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0D7E312B">
      <w:pPr>
        <w:shd w:val="clear"/>
        <w:spacing w:line="340" w:lineRule="exact"/>
        <w:jc w:val="center"/>
        <w:rPr>
          <w:rFonts w:hint="eastAsia" w:ascii="宋体" w:hAnsi="宋体" w:eastAsia="宋体" w:cs="宋体"/>
          <w:color w:val="auto"/>
          <w:sz w:val="32"/>
          <w:szCs w:val="32"/>
          <w:highlight w:val="none"/>
        </w:rPr>
      </w:pPr>
    </w:p>
    <w:p w14:paraId="68CE5D75">
      <w:pPr>
        <w:shd w:val="clear"/>
        <w:spacing w:line="340" w:lineRule="exact"/>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（采购代理机构名称）：</w:t>
      </w:r>
    </w:p>
    <w:p w14:paraId="31D4B949">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本人经由</w:t>
      </w:r>
      <w:r>
        <w:rPr>
          <w:rFonts w:hint="eastAsia" w:ascii="宋体" w:hAnsi="宋体" w:eastAsia="宋体" w:cs="宋体"/>
          <w:color w:val="auto"/>
          <w:sz w:val="28"/>
          <w:szCs w:val="28"/>
          <w:highlight w:val="none"/>
          <w:u w:val="single"/>
        </w:rPr>
        <w:t xml:space="preserve">   （公司名称）      </w:t>
      </w:r>
      <w:r>
        <w:rPr>
          <w:rFonts w:hint="eastAsia" w:ascii="宋体" w:hAnsi="宋体" w:eastAsia="宋体" w:cs="宋体"/>
          <w:color w:val="auto"/>
          <w:sz w:val="28"/>
          <w:szCs w:val="28"/>
          <w:highlight w:val="none"/>
        </w:rPr>
        <w:t>法定代表人（负责人）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，合法授权参加</w:t>
      </w:r>
      <w:r>
        <w:rPr>
          <w:rFonts w:hint="eastAsia" w:ascii="宋体" w:hAnsi="宋体" w:eastAsia="宋体" w:cs="宋体"/>
          <w:color w:val="auto"/>
          <w:sz w:val="28"/>
          <w:szCs w:val="28"/>
          <w:highlight w:val="none"/>
          <w:u w:val="single"/>
        </w:rPr>
        <w:t>（项目名称）（项目编号：XXXX） 政府</w:t>
      </w:r>
      <w:r>
        <w:rPr>
          <w:rFonts w:hint="eastAsia" w:ascii="宋体" w:hAnsi="宋体" w:eastAsia="宋体" w:cs="宋体"/>
          <w:color w:val="auto"/>
          <w:sz w:val="28"/>
          <w:szCs w:val="28"/>
          <w:highlight w:val="none"/>
        </w:rPr>
        <w:t>采购活动，经与本单位法人代表（负责人）联系确认，现就有关公平竞争事项郑重声明如下：</w:t>
      </w:r>
    </w:p>
    <w:p w14:paraId="688FEDA8">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一、本单位与采购人之间 □不存在利害关系 □存在下列利害关系</w:t>
      </w:r>
      <w:r>
        <w:rPr>
          <w:rFonts w:hint="eastAsia" w:ascii="宋体" w:hAnsi="宋体" w:eastAsia="宋体" w:cs="宋体"/>
          <w:color w:val="auto"/>
          <w:sz w:val="28"/>
          <w:szCs w:val="28"/>
          <w:highlight w:val="none"/>
          <w:u w:val="single"/>
        </w:rPr>
        <w:t xml:space="preserve">         ：</w:t>
      </w:r>
    </w:p>
    <w:p w14:paraId="66DB1E6F">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A.投资关系    B.行政隶属关系    C.业务指导关系</w:t>
      </w:r>
    </w:p>
    <w:p w14:paraId="51C49463">
      <w:pPr>
        <w:shd w:val="clear"/>
        <w:spacing w:line="340" w:lineRule="exact"/>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D.其他可能影响采购公正的利害关系（如有，请如实说明）</w:t>
      </w:r>
      <w:r>
        <w:rPr>
          <w:rFonts w:hint="eastAsia" w:ascii="宋体" w:hAnsi="宋体" w:eastAsia="宋体" w:cs="宋体"/>
          <w:color w:val="auto"/>
          <w:sz w:val="28"/>
          <w:szCs w:val="28"/>
          <w:highlight w:val="none"/>
          <w:u w:val="single"/>
        </w:rPr>
        <w:t xml:space="preserve">         </w:t>
      </w:r>
    </w:p>
    <w:p w14:paraId="4D6DB028">
      <w:pPr>
        <w:shd w:val="clear"/>
        <w:spacing w:line="34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二、现已清楚知道参加本项目采购活动的其他所有供应商名称，本单位</w:t>
      </w:r>
    </w:p>
    <w:p w14:paraId="4D299477">
      <w:pPr>
        <w:shd w:val="clear"/>
        <w:spacing w:line="34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□与其他所有供应商之间均不存在利害关系  □与</w:t>
      </w:r>
      <w:r>
        <w:rPr>
          <w:rFonts w:hint="eastAsia" w:ascii="宋体" w:hAnsi="宋体" w:eastAsia="宋体" w:cs="宋体"/>
          <w:color w:val="auto"/>
          <w:sz w:val="28"/>
          <w:szCs w:val="28"/>
          <w:highlight w:val="none"/>
          <w:u w:val="single"/>
        </w:rPr>
        <w:t xml:space="preserve">（供应商名称）     </w:t>
      </w:r>
      <w:r>
        <w:rPr>
          <w:rFonts w:hint="eastAsia" w:ascii="宋体" w:hAnsi="宋体" w:eastAsia="宋体" w:cs="宋体"/>
          <w:color w:val="auto"/>
          <w:sz w:val="28"/>
          <w:szCs w:val="28"/>
          <w:highlight w:val="none"/>
        </w:rPr>
        <w:t>之间存在下列利害关系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6DDF73EF">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A.法定代表人或负责人或实际控制人是同一人</w:t>
      </w:r>
    </w:p>
    <w:p w14:paraId="1D04ECC4">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B.法定代表人或负责人或实际控制人是夫妻关系</w:t>
      </w:r>
    </w:p>
    <w:p w14:paraId="7E0953B6">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C.法定代表人或负责人或实际控制人是直系血亲关系</w:t>
      </w:r>
    </w:p>
    <w:p w14:paraId="7E596D39">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D.法定代表人或负责人或实际控制人存在三代以内旁系血亲关系</w:t>
      </w:r>
    </w:p>
    <w:p w14:paraId="2B7005ED">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E.法定代表人或负责人或实际控制人存在近姻亲关系</w:t>
      </w:r>
    </w:p>
    <w:p w14:paraId="4ED5E2B3">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F.法定代表人或负责人或实际控制人存在股份控制或实际控制关系</w:t>
      </w:r>
    </w:p>
    <w:p w14:paraId="134E3759">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G.存在共同直接或间接投资设立子公司、联营企业和合营企业情况</w:t>
      </w:r>
    </w:p>
    <w:p w14:paraId="0E8CB915">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H.存在分级代理或代销关系、同一生产制造商关系、管理关系、重要业务（占主营业务收入50%以上）或重要财务往来关系（如融资）等其他实质性控制关系</w:t>
      </w:r>
    </w:p>
    <w:p w14:paraId="60C53BC1">
      <w:pPr>
        <w:shd w:val="clear"/>
        <w:spacing w:line="340" w:lineRule="exact"/>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I.其他利害关系情况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7E07A7C3">
      <w:pPr>
        <w:shd w:val="clear"/>
        <w:spacing w:line="34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三、现已清楚知道并严格遵守政府采购法律法规和现场纪律。</w:t>
      </w:r>
    </w:p>
    <w:p w14:paraId="5B5F27F6">
      <w:pPr>
        <w:shd w:val="clear"/>
        <w:spacing w:line="340" w:lineRule="exact"/>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四、我发现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供应商之间存在或可能存在上述第二条第</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项利害关系。 </w:t>
      </w:r>
    </w:p>
    <w:p w14:paraId="42F19384">
      <w:pPr>
        <w:shd w:val="clear"/>
        <w:spacing w:line="340" w:lineRule="exact"/>
        <w:ind w:firstLine="480"/>
        <w:rPr>
          <w:rFonts w:hint="eastAsia" w:ascii="宋体" w:hAnsi="宋体" w:eastAsia="宋体" w:cs="宋体"/>
          <w:color w:val="auto"/>
          <w:sz w:val="28"/>
          <w:szCs w:val="28"/>
          <w:highlight w:val="none"/>
        </w:rPr>
      </w:pPr>
    </w:p>
    <w:p w14:paraId="1AC1B11B">
      <w:pPr>
        <w:shd w:val="clear"/>
        <w:wordWrap w:val="0"/>
        <w:spacing w:line="340" w:lineRule="exact"/>
        <w:ind w:firstLine="140" w:firstLineChars="5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（投标人代表签名）：          </w:t>
      </w:r>
    </w:p>
    <w:p w14:paraId="3B7F2E26">
      <w:pPr>
        <w:shd w:val="clear"/>
        <w:spacing w:line="3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CFCDE10">
      <w:pPr>
        <w:shd w:val="clear"/>
        <w:spacing w:line="340" w:lineRule="exact"/>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ab/>
      </w:r>
    </w:p>
    <w:p w14:paraId="3471E8B0">
      <w:pPr>
        <w:shd w:val="clear"/>
        <w:spacing w:line="340" w:lineRule="exact"/>
        <w:rPr>
          <w:rFonts w:hint="eastAsia" w:ascii="宋体" w:hAnsi="宋体" w:eastAsia="宋体" w:cs="宋体"/>
          <w:color w:val="auto"/>
          <w:sz w:val="28"/>
          <w:szCs w:val="28"/>
          <w:highlight w:val="none"/>
        </w:rPr>
      </w:pPr>
    </w:p>
    <w:p w14:paraId="1511CA1D">
      <w:pPr>
        <w:shd w:val="clea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注：1、投标人认为有利害关系和需要回避的人员，应提供相关证明材料，与本声明书一同提交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供应商认为无利害关系和需要回避的人员，可不填写本声明书，视同默认不存在上述情形；</w:t>
      </w:r>
    </w:p>
    <w:p w14:paraId="5A040E4B">
      <w:pPr>
        <w:shd w:val="clear"/>
        <w:spacing w:line="36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u w:val="none"/>
        </w:rPr>
        <w:fldChar w:fldCharType="begin"/>
      </w:r>
      <w:r>
        <w:rPr>
          <w:rStyle w:val="51"/>
          <w:rFonts w:hint="eastAsia" w:ascii="宋体" w:hAnsi="宋体" w:eastAsia="宋体" w:cs="宋体"/>
          <w:b/>
          <w:color w:val="auto"/>
          <w:sz w:val="24"/>
          <w:highlight w:val="none"/>
          <w:u w:val="none"/>
        </w:rPr>
        <w:instrText xml:space="preserve"> HYPERLINK "mailto:该声明书在投标文件解密后30分钟内以邮件方式发送至邮箱lssggzyjyzx@163.com" </w:instrText>
      </w:r>
      <w:r>
        <w:rPr>
          <w:rFonts w:hint="eastAsia" w:ascii="宋体" w:hAnsi="宋体" w:eastAsia="宋体" w:cs="宋体"/>
          <w:b/>
          <w:color w:val="auto"/>
          <w:sz w:val="24"/>
          <w:highlight w:val="none"/>
          <w:u w:val="none"/>
        </w:rPr>
        <w:fldChar w:fldCharType="separate"/>
      </w:r>
      <w:r>
        <w:rPr>
          <w:rStyle w:val="51"/>
          <w:rFonts w:hint="eastAsia" w:ascii="宋体" w:hAnsi="宋体" w:eastAsia="宋体" w:cs="宋体"/>
          <w:b/>
          <w:color w:val="auto"/>
          <w:sz w:val="24"/>
          <w:highlight w:val="none"/>
          <w:u w:val="none"/>
        </w:rPr>
        <w:t>该声明书在投标文件解密后30分钟内以邮件方式发送至邮箱</w:t>
      </w:r>
      <w:r>
        <w:rPr>
          <w:rStyle w:val="51"/>
          <w:rFonts w:hint="eastAsia" w:ascii="宋体" w:hAnsi="宋体" w:eastAsia="宋体" w:cs="宋体"/>
          <w:b/>
          <w:color w:val="auto"/>
          <w:sz w:val="24"/>
          <w:highlight w:val="none"/>
          <w:u w:val="none"/>
          <w:lang w:eastAsia="zh-CN"/>
        </w:rPr>
        <w:t>312740844@qq.com</w:t>
      </w:r>
      <w:r>
        <w:rPr>
          <w:rFonts w:hint="eastAsia" w:ascii="宋体" w:hAnsi="宋体" w:eastAsia="宋体" w:cs="宋体"/>
          <w:b/>
          <w:color w:val="auto"/>
          <w:sz w:val="24"/>
          <w:highlight w:val="none"/>
          <w:u w:val="none"/>
        </w:rPr>
        <w:fldChar w:fldCharType="end"/>
      </w:r>
      <w:r>
        <w:rPr>
          <w:rStyle w:val="51"/>
          <w:rFonts w:hint="eastAsia" w:ascii="宋体" w:hAnsi="宋体" w:eastAsia="宋体" w:cs="宋体"/>
          <w:b/>
          <w:color w:val="auto"/>
          <w:sz w:val="24"/>
          <w:highlight w:val="none"/>
          <w:u w:val="none"/>
        </w:rPr>
        <w:t>；</w:t>
      </w:r>
    </w:p>
    <w:p w14:paraId="0BF97728">
      <w:pPr>
        <w:shd w:val="clear"/>
        <w:bidi w:val="0"/>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3、该声明书请各供应商在开标前提前准备好</w:t>
      </w:r>
      <w:r>
        <w:rPr>
          <w:rFonts w:hint="eastAsia" w:ascii="宋体" w:hAnsi="宋体" w:eastAsia="宋体" w:cs="宋体"/>
          <w:b/>
          <w:color w:val="auto"/>
          <w:sz w:val="24"/>
          <w:highlight w:val="none"/>
          <w:lang w:eastAsia="zh-CN"/>
        </w:rPr>
        <w:t>。</w:t>
      </w:r>
    </w:p>
    <w:sectPr>
      <w:footerReference r:id="rId18" w:type="default"/>
      <w:pgSz w:w="11906" w:h="16838"/>
      <w:pgMar w:top="1134" w:right="1134" w:bottom="1134" w:left="1134" w:header="850"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4ACF2EB-5453-466E-85ED-D807FBD1D4E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BBDD2DA-437C-4FBF-A498-3F10BEEBAC48}"/>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3" w:fontKey="{CC852321-F327-4550-845F-4053676473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A31F">
    <w:pPr>
      <w:pBdr>
        <w:top w:val="single" w:color="auto" w:sz="4" w:space="1"/>
      </w:pBd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CFC85E">
                          <w:pPr>
                            <w:pBdr>
                              <w:top w:val="single" w:color="auto" w:sz="4" w:space="1"/>
                            </w:pBdr>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14:paraId="42CFC85E">
                    <w:pPr>
                      <w:pBdr>
                        <w:top w:val="single" w:color="auto" w:sz="4" w:space="1"/>
                      </w:pBdr>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86F00">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F70F">
    <w:pPr>
      <w:pBdr>
        <w:top w:val="single" w:color="auto" w:sz="4" w:space="1"/>
      </w:pBd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DF9FD">
                          <w:pPr>
                            <w:pBdr>
                              <w:top w:val="single" w:color="auto" w:sz="4" w:space="1"/>
                            </w:pBdr>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LsON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ouw43gEAAL4DAAAOAAAAAAAA&#10;AAEAIAAAAB4BAABkcnMvZTJvRG9jLnhtbFBLBQYAAAAABgAGAFkBAABuBQAAAAA=&#10;">
              <v:fill on="f" focussize="0,0"/>
              <v:stroke on="f"/>
              <v:imagedata o:title=""/>
              <o:lock v:ext="edit" aspectratio="f"/>
              <v:textbox inset="0mm,0mm,0mm,0mm" style="mso-fit-shape-to-text:t;">
                <w:txbxContent>
                  <w:p w14:paraId="178DF9FD">
                    <w:pPr>
                      <w:pBdr>
                        <w:top w:val="single" w:color="auto" w:sz="4" w:space="1"/>
                      </w:pBdr>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695A9">
    <w:pPr>
      <w:pStyle w:val="31"/>
      <w:framePr w:wrap="around" w:vAnchor="text" w:hAnchor="margin" w:xAlign="center" w:y="1"/>
      <w:rPr>
        <w:rStyle w:val="49"/>
      </w:rPr>
    </w:pPr>
    <w:r>
      <w:rPr>
        <w:rStyle w:val="49"/>
      </w:rPr>
      <w:fldChar w:fldCharType="begin"/>
    </w:r>
    <w:r>
      <w:rPr>
        <w:rStyle w:val="49"/>
        <w:highlight w:val="white"/>
      </w:rPr>
      <w:instrText xml:space="preserve">PAGE  </w:instrText>
    </w:r>
    <w:r>
      <w:rPr>
        <w:rStyle w:val="49"/>
      </w:rPr>
      <w:fldChar w:fldCharType="separate"/>
    </w:r>
    <w:r>
      <w:rPr>
        <w:rStyle w:val="49"/>
        <w:highlight w:val="white"/>
      </w:rPr>
      <w:t>52</w:t>
    </w:r>
    <w:r>
      <w:rPr>
        <w:rStyle w:val="49"/>
      </w:rPr>
      <w:fldChar w:fldCharType="end"/>
    </w:r>
  </w:p>
  <w:p w14:paraId="462A6E82">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6E718">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0BD9">
    <w:pPr>
      <w:pStyle w:val="3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11027">
                          <w:pPr>
                            <w:pStyle w:val="3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6v2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fq/Z3gEAAL4DAAAOAAAAAAAA&#10;AAEAIAAAAB4BAABkcnMvZTJvRG9jLnhtbFBLBQYAAAAABgAGAFkBAABuBQAAAAA=&#10;">
              <v:fill on="f" focussize="0,0"/>
              <v:stroke on="f"/>
              <v:imagedata o:title=""/>
              <o:lock v:ext="edit" aspectratio="f"/>
              <v:textbox inset="0mm,0mm,0mm,0mm" style="mso-fit-shape-to-text:t;">
                <w:txbxContent>
                  <w:p w14:paraId="13911027">
                    <w:pPr>
                      <w:pStyle w:val="3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- 61 -</w:t>
                    </w:r>
                    <w:r>
                      <w:rPr>
                        <w:rFonts w:hint="eastAsia"/>
                        <w:lang w:eastAsia="zh-CN"/>
                      </w:rPr>
                      <w:fldChar w:fldCharType="end"/>
                    </w:r>
                  </w:p>
                </w:txbxContent>
              </v:textbox>
            </v:shape>
          </w:pict>
        </mc:Fallback>
      </mc:AlternateContent>
    </w:r>
  </w:p>
  <w:p w14:paraId="2198CF2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AA07">
    <w:pPr>
      <w:pStyle w:val="3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FD7F04">
                          <w:pPr>
                            <w:pStyle w:val="3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3da9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Td1r3gEAAL4DAAAOAAAAAAAA&#10;AAEAIAAAAB4BAABkcnMvZTJvRG9jLnhtbFBLBQYAAAAABgAGAFkBAABuBQAAAAA=&#10;">
              <v:fill on="f" focussize="0,0"/>
              <v:stroke on="f"/>
              <v:imagedata o:title=""/>
              <o:lock v:ext="edit" aspectratio="f"/>
              <v:textbox inset="0mm,0mm,0mm,0mm" style="mso-fit-shape-to-text:t;">
                <w:txbxContent>
                  <w:p w14:paraId="04FD7F04">
                    <w:pPr>
                      <w:pStyle w:val="3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- 60 -</w:t>
                    </w:r>
                    <w:r>
                      <w:rPr>
                        <w:rFonts w:hint="eastAsia"/>
                        <w:lang w:eastAsia="zh-CN"/>
                      </w:rPr>
                      <w:fldChar w:fldCharType="end"/>
                    </w:r>
                  </w:p>
                </w:txbxContent>
              </v:textbox>
            </v:shape>
          </w:pict>
        </mc:Fallback>
      </mc:AlternateContent>
    </w:r>
  </w:p>
  <w:p w14:paraId="7BB09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CB037">
    <w:pPr>
      <w:pStyle w:val="31"/>
      <w:jc w:val="center"/>
      <w:rPr>
        <w:rFonts w:ascii="仿宋_GB2312" w:eastAsia="仿宋_GB2312"/>
      </w:rPr>
    </w:pPr>
  </w:p>
  <w:p w14:paraId="78480BF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65CE">
    <w:pPr>
      <w:pStyle w:val="31"/>
      <w:jc w:val="center"/>
      <w:rPr>
        <w:rFonts w:hint="eastAsia" w:ascii="仿宋_GB2312" w:eastAsia="仿宋_GB2312"/>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C67A6">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- 77 -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14:paraId="233C67A6">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- 77 -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2F1F">
    <w:pPr>
      <w:pStyle w:val="32"/>
      <w:pBdr>
        <w:bottom w:val="none" w:color="auto" w:sz="0" w:space="1"/>
      </w:pBdr>
      <w:ind w:right="-4"/>
      <w:jc w:val="left"/>
      <w:rPr>
        <w:rFonts w:hint="eastAsia"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9233">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255C">
    <w:pPr>
      <w:pStyle w:val="32"/>
    </w:pPr>
    <w:r>
      <w:rPr>
        <w:rFonts w:hint="eastAsia" w:ascii="仿宋_GB2312" w:eastAsia="仿宋_GB2312"/>
        <w:sz w:val="24"/>
        <w:szCs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4FC4F">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B7FE">
    <w:pPr>
      <w:pStyle w:val="32"/>
    </w:pPr>
    <w:r>
      <w:rPr>
        <w:rFonts w:hint="eastAsia" w:ascii="仿宋_GB2312" w:eastAsia="仿宋_GB2312"/>
        <w:sz w:val="24"/>
        <w:szCs w:val="24"/>
      </w:rPr>
      <w:t>丽水市政府采购中心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1970">
    <w:pPr>
      <w:pStyle w:val="32"/>
      <w:pBdr>
        <w:bottom w:val="none" w:color="auto" w:sz="0" w:space="1"/>
      </w:pBdr>
      <w:rPr>
        <w:rFonts w:ascii="仿宋_GB2312" w:eastAsia="仿宋_GB2312"/>
        <w:b/>
        <w:i/>
        <w:u w:val="single"/>
      </w:rPr>
    </w:pPr>
    <w:r>
      <w:t></w:t>
    </w:r>
    <w:r>
      <w:rPr>
        <w:rFonts w:hint="eastAsia"/>
      </w:rPr>
      <w:t xml:space="preserve">                                                 </w:t>
    </w:r>
  </w:p>
  <w:p w14:paraId="360BD2F8">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05FE">
    <w:pPr>
      <w:pStyle w:val="32"/>
      <w:pBdr>
        <w:bottom w:val="none" w:color="auto" w:sz="0" w:space="1"/>
      </w:pBdr>
      <w:jc w:val="right"/>
    </w:pPr>
    <w:r>
      <w:t></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DA1D"/>
    <w:multiLevelType w:val="singleLevel"/>
    <w:tmpl w:val="814CDA1D"/>
    <w:lvl w:ilvl="0" w:tentative="0">
      <w:start w:val="1"/>
      <w:numFmt w:val="decimal"/>
      <w:suff w:val="space"/>
      <w:lvlText w:val="%1."/>
      <w:lvlJc w:val="left"/>
    </w:lvl>
  </w:abstractNum>
  <w:abstractNum w:abstractNumId="1">
    <w:nsid w:val="173057DD"/>
    <w:multiLevelType w:val="singleLevel"/>
    <w:tmpl w:val="173057DD"/>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NmJiMmUxNzIwOTBhNjEzNWFjNGEzZjI1MzVmMWU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2FBE"/>
    <w:rsid w:val="000235E9"/>
    <w:rsid w:val="00023D41"/>
    <w:rsid w:val="00023DF4"/>
    <w:rsid w:val="00023FAD"/>
    <w:rsid w:val="000259F4"/>
    <w:rsid w:val="0002693D"/>
    <w:rsid w:val="0003055A"/>
    <w:rsid w:val="000306D2"/>
    <w:rsid w:val="0003200F"/>
    <w:rsid w:val="00032BF5"/>
    <w:rsid w:val="000330A5"/>
    <w:rsid w:val="00033D54"/>
    <w:rsid w:val="00034BE1"/>
    <w:rsid w:val="00037597"/>
    <w:rsid w:val="00040E04"/>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6E3D"/>
    <w:rsid w:val="00057DF4"/>
    <w:rsid w:val="00057E87"/>
    <w:rsid w:val="00060698"/>
    <w:rsid w:val="000609B4"/>
    <w:rsid w:val="000642F3"/>
    <w:rsid w:val="000660BA"/>
    <w:rsid w:val="0006684D"/>
    <w:rsid w:val="00070FE5"/>
    <w:rsid w:val="00071EC4"/>
    <w:rsid w:val="00072AC1"/>
    <w:rsid w:val="00074470"/>
    <w:rsid w:val="000746D4"/>
    <w:rsid w:val="0007523A"/>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23E1"/>
    <w:rsid w:val="000B3606"/>
    <w:rsid w:val="000B388B"/>
    <w:rsid w:val="000B4E56"/>
    <w:rsid w:val="000B51DD"/>
    <w:rsid w:val="000B56C0"/>
    <w:rsid w:val="000B5B05"/>
    <w:rsid w:val="000B6059"/>
    <w:rsid w:val="000B6B31"/>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7F90"/>
    <w:rsid w:val="00110256"/>
    <w:rsid w:val="001102A1"/>
    <w:rsid w:val="0011077E"/>
    <w:rsid w:val="00111A20"/>
    <w:rsid w:val="00112E9F"/>
    <w:rsid w:val="00112FB4"/>
    <w:rsid w:val="00113A80"/>
    <w:rsid w:val="0011467F"/>
    <w:rsid w:val="0011591C"/>
    <w:rsid w:val="00115E51"/>
    <w:rsid w:val="001162CA"/>
    <w:rsid w:val="00116867"/>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3519"/>
    <w:rsid w:val="00143BB3"/>
    <w:rsid w:val="001440E2"/>
    <w:rsid w:val="00144DFC"/>
    <w:rsid w:val="00145D57"/>
    <w:rsid w:val="001464AB"/>
    <w:rsid w:val="00146541"/>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4358"/>
    <w:rsid w:val="001A6554"/>
    <w:rsid w:val="001A6C4D"/>
    <w:rsid w:val="001A6EF3"/>
    <w:rsid w:val="001B069E"/>
    <w:rsid w:val="001B076A"/>
    <w:rsid w:val="001B46D2"/>
    <w:rsid w:val="001B4E3A"/>
    <w:rsid w:val="001B6997"/>
    <w:rsid w:val="001B6A48"/>
    <w:rsid w:val="001C1F2F"/>
    <w:rsid w:val="001C23F2"/>
    <w:rsid w:val="001C2615"/>
    <w:rsid w:val="001C2F58"/>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80"/>
    <w:rsid w:val="001F2189"/>
    <w:rsid w:val="001F320F"/>
    <w:rsid w:val="001F421D"/>
    <w:rsid w:val="001F51A5"/>
    <w:rsid w:val="001F5F64"/>
    <w:rsid w:val="00201F28"/>
    <w:rsid w:val="0020207B"/>
    <w:rsid w:val="00202880"/>
    <w:rsid w:val="00202BEB"/>
    <w:rsid w:val="00206E75"/>
    <w:rsid w:val="00210B18"/>
    <w:rsid w:val="00211B97"/>
    <w:rsid w:val="002122FD"/>
    <w:rsid w:val="00212C81"/>
    <w:rsid w:val="00213750"/>
    <w:rsid w:val="00214C7E"/>
    <w:rsid w:val="002154EF"/>
    <w:rsid w:val="00217BBF"/>
    <w:rsid w:val="00217D30"/>
    <w:rsid w:val="0022361D"/>
    <w:rsid w:val="0022565D"/>
    <w:rsid w:val="00225A59"/>
    <w:rsid w:val="002260FD"/>
    <w:rsid w:val="00226DF3"/>
    <w:rsid w:val="00226E44"/>
    <w:rsid w:val="00232E89"/>
    <w:rsid w:val="00233FA2"/>
    <w:rsid w:val="00234249"/>
    <w:rsid w:val="00234A5C"/>
    <w:rsid w:val="00234E23"/>
    <w:rsid w:val="002367BA"/>
    <w:rsid w:val="002378D3"/>
    <w:rsid w:val="00244B03"/>
    <w:rsid w:val="002459B5"/>
    <w:rsid w:val="00246028"/>
    <w:rsid w:val="00246C83"/>
    <w:rsid w:val="00250991"/>
    <w:rsid w:val="0025283C"/>
    <w:rsid w:val="002530A9"/>
    <w:rsid w:val="002531D3"/>
    <w:rsid w:val="002534CD"/>
    <w:rsid w:val="002546E7"/>
    <w:rsid w:val="00256A55"/>
    <w:rsid w:val="00257878"/>
    <w:rsid w:val="00260AE5"/>
    <w:rsid w:val="00262327"/>
    <w:rsid w:val="00266246"/>
    <w:rsid w:val="00271273"/>
    <w:rsid w:val="00271765"/>
    <w:rsid w:val="00272493"/>
    <w:rsid w:val="00272DD8"/>
    <w:rsid w:val="002749CB"/>
    <w:rsid w:val="00275451"/>
    <w:rsid w:val="00275F3F"/>
    <w:rsid w:val="0027704D"/>
    <w:rsid w:val="00281FB0"/>
    <w:rsid w:val="00282050"/>
    <w:rsid w:val="00283082"/>
    <w:rsid w:val="00286463"/>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6EB"/>
    <w:rsid w:val="002C08B9"/>
    <w:rsid w:val="002C0C8B"/>
    <w:rsid w:val="002C30F1"/>
    <w:rsid w:val="002C34E2"/>
    <w:rsid w:val="002C575D"/>
    <w:rsid w:val="002C6858"/>
    <w:rsid w:val="002D02A8"/>
    <w:rsid w:val="002D0368"/>
    <w:rsid w:val="002D2DFC"/>
    <w:rsid w:val="002D332E"/>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064FF"/>
    <w:rsid w:val="0031275C"/>
    <w:rsid w:val="003145D3"/>
    <w:rsid w:val="00315313"/>
    <w:rsid w:val="00316615"/>
    <w:rsid w:val="003166EB"/>
    <w:rsid w:val="00316D86"/>
    <w:rsid w:val="00316F78"/>
    <w:rsid w:val="0031713E"/>
    <w:rsid w:val="00320D68"/>
    <w:rsid w:val="003214BA"/>
    <w:rsid w:val="00322432"/>
    <w:rsid w:val="0032290C"/>
    <w:rsid w:val="00323AB6"/>
    <w:rsid w:val="00325911"/>
    <w:rsid w:val="0032593C"/>
    <w:rsid w:val="003264BF"/>
    <w:rsid w:val="00326A78"/>
    <w:rsid w:val="00326E20"/>
    <w:rsid w:val="00327F50"/>
    <w:rsid w:val="003304BE"/>
    <w:rsid w:val="00331D17"/>
    <w:rsid w:val="00331F1F"/>
    <w:rsid w:val="00332FCE"/>
    <w:rsid w:val="00333221"/>
    <w:rsid w:val="00333A2A"/>
    <w:rsid w:val="003369E1"/>
    <w:rsid w:val="00336C64"/>
    <w:rsid w:val="00337D64"/>
    <w:rsid w:val="003433FB"/>
    <w:rsid w:val="00343E2A"/>
    <w:rsid w:val="00344591"/>
    <w:rsid w:val="00345678"/>
    <w:rsid w:val="00352394"/>
    <w:rsid w:val="00353424"/>
    <w:rsid w:val="00353463"/>
    <w:rsid w:val="00353A38"/>
    <w:rsid w:val="00353C03"/>
    <w:rsid w:val="00353FCF"/>
    <w:rsid w:val="00354C4C"/>
    <w:rsid w:val="00361121"/>
    <w:rsid w:val="003613A4"/>
    <w:rsid w:val="00362307"/>
    <w:rsid w:val="0036452A"/>
    <w:rsid w:val="00366D66"/>
    <w:rsid w:val="00370C33"/>
    <w:rsid w:val="00371B82"/>
    <w:rsid w:val="00371D6D"/>
    <w:rsid w:val="003725BC"/>
    <w:rsid w:val="00373098"/>
    <w:rsid w:val="003730DF"/>
    <w:rsid w:val="00375303"/>
    <w:rsid w:val="003758C0"/>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9A2"/>
    <w:rsid w:val="00397F18"/>
    <w:rsid w:val="003A0391"/>
    <w:rsid w:val="003A0C0F"/>
    <w:rsid w:val="003A0EF7"/>
    <w:rsid w:val="003A6001"/>
    <w:rsid w:val="003A6038"/>
    <w:rsid w:val="003A61F3"/>
    <w:rsid w:val="003B07A4"/>
    <w:rsid w:val="003B092A"/>
    <w:rsid w:val="003B0F08"/>
    <w:rsid w:val="003B266A"/>
    <w:rsid w:val="003B34B6"/>
    <w:rsid w:val="003B4FC5"/>
    <w:rsid w:val="003B57A3"/>
    <w:rsid w:val="003B65E6"/>
    <w:rsid w:val="003C07AF"/>
    <w:rsid w:val="003C2BEA"/>
    <w:rsid w:val="003C39E3"/>
    <w:rsid w:val="003C3C39"/>
    <w:rsid w:val="003C60C3"/>
    <w:rsid w:val="003C7C0F"/>
    <w:rsid w:val="003C7E38"/>
    <w:rsid w:val="003D00F3"/>
    <w:rsid w:val="003D0C89"/>
    <w:rsid w:val="003D1208"/>
    <w:rsid w:val="003D1642"/>
    <w:rsid w:val="003D1B33"/>
    <w:rsid w:val="003D2AB2"/>
    <w:rsid w:val="003D4B4A"/>
    <w:rsid w:val="003D616C"/>
    <w:rsid w:val="003E034F"/>
    <w:rsid w:val="003E1BED"/>
    <w:rsid w:val="003E1F5A"/>
    <w:rsid w:val="003E2B69"/>
    <w:rsid w:val="003E2F30"/>
    <w:rsid w:val="003E4391"/>
    <w:rsid w:val="003F03B1"/>
    <w:rsid w:val="003F1EAD"/>
    <w:rsid w:val="003F46EC"/>
    <w:rsid w:val="003F4B36"/>
    <w:rsid w:val="003F7BAF"/>
    <w:rsid w:val="0040177A"/>
    <w:rsid w:val="00401AB3"/>
    <w:rsid w:val="00401EFC"/>
    <w:rsid w:val="00402603"/>
    <w:rsid w:val="004031A5"/>
    <w:rsid w:val="00403F0B"/>
    <w:rsid w:val="004040E8"/>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43"/>
    <w:rsid w:val="004A3FE5"/>
    <w:rsid w:val="004A41D1"/>
    <w:rsid w:val="004A43C5"/>
    <w:rsid w:val="004A4688"/>
    <w:rsid w:val="004A6474"/>
    <w:rsid w:val="004B076A"/>
    <w:rsid w:val="004B1656"/>
    <w:rsid w:val="004B2751"/>
    <w:rsid w:val="004B2BDD"/>
    <w:rsid w:val="004C0C88"/>
    <w:rsid w:val="004C0D00"/>
    <w:rsid w:val="004C0EF9"/>
    <w:rsid w:val="004C1E0D"/>
    <w:rsid w:val="004C400D"/>
    <w:rsid w:val="004C438D"/>
    <w:rsid w:val="004C6062"/>
    <w:rsid w:val="004C6AB2"/>
    <w:rsid w:val="004C7BE3"/>
    <w:rsid w:val="004D060D"/>
    <w:rsid w:val="004D1E36"/>
    <w:rsid w:val="004D2894"/>
    <w:rsid w:val="004D4359"/>
    <w:rsid w:val="004D7359"/>
    <w:rsid w:val="004E02D5"/>
    <w:rsid w:val="004E0654"/>
    <w:rsid w:val="004E18DF"/>
    <w:rsid w:val="004E3068"/>
    <w:rsid w:val="004E378C"/>
    <w:rsid w:val="004E5A7D"/>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79AA"/>
    <w:rsid w:val="00520FD8"/>
    <w:rsid w:val="005213F1"/>
    <w:rsid w:val="00523367"/>
    <w:rsid w:val="005253C5"/>
    <w:rsid w:val="005262EB"/>
    <w:rsid w:val="00526DBE"/>
    <w:rsid w:val="00527B9A"/>
    <w:rsid w:val="00530CB9"/>
    <w:rsid w:val="0053246E"/>
    <w:rsid w:val="00532787"/>
    <w:rsid w:val="00533203"/>
    <w:rsid w:val="005332B2"/>
    <w:rsid w:val="00535173"/>
    <w:rsid w:val="00537407"/>
    <w:rsid w:val="00537A9C"/>
    <w:rsid w:val="00540023"/>
    <w:rsid w:val="005410C6"/>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5D1"/>
    <w:rsid w:val="00567CEA"/>
    <w:rsid w:val="00567D58"/>
    <w:rsid w:val="00567E57"/>
    <w:rsid w:val="00567F3D"/>
    <w:rsid w:val="00567F8A"/>
    <w:rsid w:val="00572E16"/>
    <w:rsid w:val="0057424C"/>
    <w:rsid w:val="00574E7C"/>
    <w:rsid w:val="0057622D"/>
    <w:rsid w:val="005764D7"/>
    <w:rsid w:val="00577B64"/>
    <w:rsid w:val="00577BF6"/>
    <w:rsid w:val="0058076B"/>
    <w:rsid w:val="00582A35"/>
    <w:rsid w:val="00583D03"/>
    <w:rsid w:val="005844E1"/>
    <w:rsid w:val="00584C22"/>
    <w:rsid w:val="00585585"/>
    <w:rsid w:val="00585639"/>
    <w:rsid w:val="00585B9E"/>
    <w:rsid w:val="00585F1F"/>
    <w:rsid w:val="00586378"/>
    <w:rsid w:val="005864BA"/>
    <w:rsid w:val="0058675A"/>
    <w:rsid w:val="005871EC"/>
    <w:rsid w:val="00592050"/>
    <w:rsid w:val="00592FCA"/>
    <w:rsid w:val="00594278"/>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F3B"/>
    <w:rsid w:val="005C72E8"/>
    <w:rsid w:val="005D008F"/>
    <w:rsid w:val="005D12DD"/>
    <w:rsid w:val="005D176D"/>
    <w:rsid w:val="005D33F0"/>
    <w:rsid w:val="005D3966"/>
    <w:rsid w:val="005D3CE5"/>
    <w:rsid w:val="005D4B8C"/>
    <w:rsid w:val="005D4FA2"/>
    <w:rsid w:val="005D59C4"/>
    <w:rsid w:val="005D7847"/>
    <w:rsid w:val="005E0454"/>
    <w:rsid w:val="005E07EE"/>
    <w:rsid w:val="005E0A26"/>
    <w:rsid w:val="005E4DA1"/>
    <w:rsid w:val="005E586B"/>
    <w:rsid w:val="005E5A29"/>
    <w:rsid w:val="005E7B4F"/>
    <w:rsid w:val="005E7D77"/>
    <w:rsid w:val="005F070C"/>
    <w:rsid w:val="005F2568"/>
    <w:rsid w:val="005F2DE9"/>
    <w:rsid w:val="005F2F31"/>
    <w:rsid w:val="005F3B18"/>
    <w:rsid w:val="005F43CE"/>
    <w:rsid w:val="005F46B0"/>
    <w:rsid w:val="005F72D5"/>
    <w:rsid w:val="00601E57"/>
    <w:rsid w:val="00602BCB"/>
    <w:rsid w:val="006041D7"/>
    <w:rsid w:val="00605FF4"/>
    <w:rsid w:val="00606ADD"/>
    <w:rsid w:val="00606C2E"/>
    <w:rsid w:val="00607C47"/>
    <w:rsid w:val="00610896"/>
    <w:rsid w:val="006108D6"/>
    <w:rsid w:val="00613A2A"/>
    <w:rsid w:val="00614AE3"/>
    <w:rsid w:val="0061568B"/>
    <w:rsid w:val="006157B6"/>
    <w:rsid w:val="00621C79"/>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5746"/>
    <w:rsid w:val="00647624"/>
    <w:rsid w:val="0064784E"/>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4FFE"/>
    <w:rsid w:val="0068563C"/>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3A68"/>
    <w:rsid w:val="006A4402"/>
    <w:rsid w:val="006A4CBE"/>
    <w:rsid w:val="006A4E73"/>
    <w:rsid w:val="006A5FF3"/>
    <w:rsid w:val="006A67F4"/>
    <w:rsid w:val="006B1EF2"/>
    <w:rsid w:val="006B284F"/>
    <w:rsid w:val="006B2CB2"/>
    <w:rsid w:val="006B3263"/>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7D49"/>
    <w:rsid w:val="00730640"/>
    <w:rsid w:val="00731203"/>
    <w:rsid w:val="00732EDD"/>
    <w:rsid w:val="00733F32"/>
    <w:rsid w:val="0073448D"/>
    <w:rsid w:val="00734546"/>
    <w:rsid w:val="00735235"/>
    <w:rsid w:val="00736A4C"/>
    <w:rsid w:val="00736A6E"/>
    <w:rsid w:val="007378DD"/>
    <w:rsid w:val="00737D35"/>
    <w:rsid w:val="00742203"/>
    <w:rsid w:val="00743DD0"/>
    <w:rsid w:val="00744A0B"/>
    <w:rsid w:val="007452EB"/>
    <w:rsid w:val="00746706"/>
    <w:rsid w:val="007469FE"/>
    <w:rsid w:val="0074783E"/>
    <w:rsid w:val="00747BFB"/>
    <w:rsid w:val="007508A6"/>
    <w:rsid w:val="00750D51"/>
    <w:rsid w:val="007522B5"/>
    <w:rsid w:val="007568ED"/>
    <w:rsid w:val="00756BB6"/>
    <w:rsid w:val="007572C7"/>
    <w:rsid w:val="007609D9"/>
    <w:rsid w:val="007641BA"/>
    <w:rsid w:val="00764307"/>
    <w:rsid w:val="0076646A"/>
    <w:rsid w:val="00766E29"/>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0763"/>
    <w:rsid w:val="007849CD"/>
    <w:rsid w:val="00787CEF"/>
    <w:rsid w:val="00787F3F"/>
    <w:rsid w:val="007906DC"/>
    <w:rsid w:val="00791B6B"/>
    <w:rsid w:val="0079232B"/>
    <w:rsid w:val="0079263C"/>
    <w:rsid w:val="00792E54"/>
    <w:rsid w:val="007948AC"/>
    <w:rsid w:val="00795036"/>
    <w:rsid w:val="00795829"/>
    <w:rsid w:val="007969D7"/>
    <w:rsid w:val="007A00B9"/>
    <w:rsid w:val="007A0934"/>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462A"/>
    <w:rsid w:val="007B4F47"/>
    <w:rsid w:val="007B64DA"/>
    <w:rsid w:val="007B6AA6"/>
    <w:rsid w:val="007C03BD"/>
    <w:rsid w:val="007C0D5D"/>
    <w:rsid w:val="007C0F2D"/>
    <w:rsid w:val="007C226B"/>
    <w:rsid w:val="007C2338"/>
    <w:rsid w:val="007C2AAC"/>
    <w:rsid w:val="007C3096"/>
    <w:rsid w:val="007C408C"/>
    <w:rsid w:val="007C43B3"/>
    <w:rsid w:val="007C496D"/>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34DC"/>
    <w:rsid w:val="00814A19"/>
    <w:rsid w:val="00814E24"/>
    <w:rsid w:val="00816204"/>
    <w:rsid w:val="00817D07"/>
    <w:rsid w:val="008204E6"/>
    <w:rsid w:val="00820FB9"/>
    <w:rsid w:val="00821D67"/>
    <w:rsid w:val="00822CE5"/>
    <w:rsid w:val="00822FF4"/>
    <w:rsid w:val="00823EAE"/>
    <w:rsid w:val="00823F73"/>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6DBC"/>
    <w:rsid w:val="00887022"/>
    <w:rsid w:val="00887BA5"/>
    <w:rsid w:val="00891593"/>
    <w:rsid w:val="008928E3"/>
    <w:rsid w:val="008930DF"/>
    <w:rsid w:val="0089322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CCD"/>
    <w:rsid w:val="008C0EBA"/>
    <w:rsid w:val="008C21DF"/>
    <w:rsid w:val="008C28ED"/>
    <w:rsid w:val="008C2955"/>
    <w:rsid w:val="008C340C"/>
    <w:rsid w:val="008C436A"/>
    <w:rsid w:val="008C6037"/>
    <w:rsid w:val="008C6054"/>
    <w:rsid w:val="008C64E9"/>
    <w:rsid w:val="008D0B54"/>
    <w:rsid w:val="008D4564"/>
    <w:rsid w:val="008D5C57"/>
    <w:rsid w:val="008D69D5"/>
    <w:rsid w:val="008E493B"/>
    <w:rsid w:val="008E55CA"/>
    <w:rsid w:val="008E64EC"/>
    <w:rsid w:val="008E67AF"/>
    <w:rsid w:val="008E7DB3"/>
    <w:rsid w:val="008F0D28"/>
    <w:rsid w:val="008F1D7E"/>
    <w:rsid w:val="008F204A"/>
    <w:rsid w:val="008F262B"/>
    <w:rsid w:val="008F3AE2"/>
    <w:rsid w:val="008F42ED"/>
    <w:rsid w:val="008F451A"/>
    <w:rsid w:val="008F4E01"/>
    <w:rsid w:val="008F513C"/>
    <w:rsid w:val="008F53B4"/>
    <w:rsid w:val="008F5AD3"/>
    <w:rsid w:val="008F6F60"/>
    <w:rsid w:val="008F73AC"/>
    <w:rsid w:val="008F7A4B"/>
    <w:rsid w:val="009003D1"/>
    <w:rsid w:val="00901BE9"/>
    <w:rsid w:val="009030F4"/>
    <w:rsid w:val="00903A63"/>
    <w:rsid w:val="00904AE9"/>
    <w:rsid w:val="00904B8F"/>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E63"/>
    <w:rsid w:val="00930E82"/>
    <w:rsid w:val="00933FD3"/>
    <w:rsid w:val="00934F5C"/>
    <w:rsid w:val="00936FAF"/>
    <w:rsid w:val="00937191"/>
    <w:rsid w:val="0093722C"/>
    <w:rsid w:val="009379C0"/>
    <w:rsid w:val="00940A55"/>
    <w:rsid w:val="00946181"/>
    <w:rsid w:val="00946DA0"/>
    <w:rsid w:val="00946EA3"/>
    <w:rsid w:val="00947F2A"/>
    <w:rsid w:val="00951C16"/>
    <w:rsid w:val="009529B1"/>
    <w:rsid w:val="009531B2"/>
    <w:rsid w:val="009539AD"/>
    <w:rsid w:val="009546FE"/>
    <w:rsid w:val="00955023"/>
    <w:rsid w:val="0095519A"/>
    <w:rsid w:val="0095524E"/>
    <w:rsid w:val="00955E6E"/>
    <w:rsid w:val="0095674A"/>
    <w:rsid w:val="009624D7"/>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6504"/>
    <w:rsid w:val="009874C0"/>
    <w:rsid w:val="0099008F"/>
    <w:rsid w:val="00990253"/>
    <w:rsid w:val="00990FB6"/>
    <w:rsid w:val="009925AE"/>
    <w:rsid w:val="00992FB3"/>
    <w:rsid w:val="0099332E"/>
    <w:rsid w:val="00993617"/>
    <w:rsid w:val="00993846"/>
    <w:rsid w:val="0099508D"/>
    <w:rsid w:val="00996D64"/>
    <w:rsid w:val="00997FE6"/>
    <w:rsid w:val="009A09BC"/>
    <w:rsid w:val="009A09E7"/>
    <w:rsid w:val="009A7CC6"/>
    <w:rsid w:val="009A7D6A"/>
    <w:rsid w:val="009B1A47"/>
    <w:rsid w:val="009B31E9"/>
    <w:rsid w:val="009B6116"/>
    <w:rsid w:val="009B6F4B"/>
    <w:rsid w:val="009B7BCB"/>
    <w:rsid w:val="009C0106"/>
    <w:rsid w:val="009C0841"/>
    <w:rsid w:val="009C09F7"/>
    <w:rsid w:val="009C53C5"/>
    <w:rsid w:val="009C63A1"/>
    <w:rsid w:val="009C77C4"/>
    <w:rsid w:val="009D0B37"/>
    <w:rsid w:val="009D1E59"/>
    <w:rsid w:val="009D1F1F"/>
    <w:rsid w:val="009D2172"/>
    <w:rsid w:val="009D27E5"/>
    <w:rsid w:val="009D3369"/>
    <w:rsid w:val="009D3757"/>
    <w:rsid w:val="009D59DE"/>
    <w:rsid w:val="009D5F91"/>
    <w:rsid w:val="009D6392"/>
    <w:rsid w:val="009D6725"/>
    <w:rsid w:val="009D7447"/>
    <w:rsid w:val="009D7A02"/>
    <w:rsid w:val="009E0081"/>
    <w:rsid w:val="009E071F"/>
    <w:rsid w:val="009E0FB9"/>
    <w:rsid w:val="009E1184"/>
    <w:rsid w:val="009E1AB8"/>
    <w:rsid w:val="009E22CA"/>
    <w:rsid w:val="009E3FC5"/>
    <w:rsid w:val="009E4864"/>
    <w:rsid w:val="009E6C23"/>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0793F"/>
    <w:rsid w:val="00A104FB"/>
    <w:rsid w:val="00A10E3F"/>
    <w:rsid w:val="00A11B69"/>
    <w:rsid w:val="00A1232C"/>
    <w:rsid w:val="00A16950"/>
    <w:rsid w:val="00A177AA"/>
    <w:rsid w:val="00A17D0F"/>
    <w:rsid w:val="00A2083F"/>
    <w:rsid w:val="00A21B30"/>
    <w:rsid w:val="00A21E28"/>
    <w:rsid w:val="00A242DE"/>
    <w:rsid w:val="00A262E0"/>
    <w:rsid w:val="00A275A1"/>
    <w:rsid w:val="00A301DB"/>
    <w:rsid w:val="00A30A05"/>
    <w:rsid w:val="00A316E1"/>
    <w:rsid w:val="00A328C4"/>
    <w:rsid w:val="00A34005"/>
    <w:rsid w:val="00A34053"/>
    <w:rsid w:val="00A34253"/>
    <w:rsid w:val="00A34D92"/>
    <w:rsid w:val="00A3680E"/>
    <w:rsid w:val="00A36D75"/>
    <w:rsid w:val="00A37261"/>
    <w:rsid w:val="00A40121"/>
    <w:rsid w:val="00A43414"/>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9F2"/>
    <w:rsid w:val="00A84630"/>
    <w:rsid w:val="00A8465C"/>
    <w:rsid w:val="00A84E6F"/>
    <w:rsid w:val="00A85F3A"/>
    <w:rsid w:val="00A86155"/>
    <w:rsid w:val="00A86DD5"/>
    <w:rsid w:val="00A875FE"/>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401"/>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3E96"/>
    <w:rsid w:val="00B14286"/>
    <w:rsid w:val="00B1494C"/>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4263"/>
    <w:rsid w:val="00B34792"/>
    <w:rsid w:val="00B359AA"/>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798"/>
    <w:rsid w:val="00B559B6"/>
    <w:rsid w:val="00B60914"/>
    <w:rsid w:val="00B649A6"/>
    <w:rsid w:val="00B65382"/>
    <w:rsid w:val="00B65619"/>
    <w:rsid w:val="00B66578"/>
    <w:rsid w:val="00B66941"/>
    <w:rsid w:val="00B671A4"/>
    <w:rsid w:val="00B67F20"/>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6920"/>
    <w:rsid w:val="00BC6F74"/>
    <w:rsid w:val="00BD1082"/>
    <w:rsid w:val="00BD15D4"/>
    <w:rsid w:val="00BD24B9"/>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D8"/>
    <w:rsid w:val="00BE7AE4"/>
    <w:rsid w:val="00BE7D39"/>
    <w:rsid w:val="00BF00AC"/>
    <w:rsid w:val="00BF08BB"/>
    <w:rsid w:val="00BF125C"/>
    <w:rsid w:val="00BF204E"/>
    <w:rsid w:val="00BF30FD"/>
    <w:rsid w:val="00BF6358"/>
    <w:rsid w:val="00BF6735"/>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BBC"/>
    <w:rsid w:val="00C43E6A"/>
    <w:rsid w:val="00C44B69"/>
    <w:rsid w:val="00C45B7B"/>
    <w:rsid w:val="00C45ED4"/>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2A7B"/>
    <w:rsid w:val="00C64B91"/>
    <w:rsid w:val="00C64E9C"/>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3F54"/>
    <w:rsid w:val="00C84251"/>
    <w:rsid w:val="00C84A61"/>
    <w:rsid w:val="00C84C52"/>
    <w:rsid w:val="00C863C7"/>
    <w:rsid w:val="00C869A9"/>
    <w:rsid w:val="00C86D5D"/>
    <w:rsid w:val="00C87245"/>
    <w:rsid w:val="00C91A45"/>
    <w:rsid w:val="00C9266F"/>
    <w:rsid w:val="00C93C49"/>
    <w:rsid w:val="00C943C8"/>
    <w:rsid w:val="00C94517"/>
    <w:rsid w:val="00C951B8"/>
    <w:rsid w:val="00C9713E"/>
    <w:rsid w:val="00CA2208"/>
    <w:rsid w:val="00CA2B6E"/>
    <w:rsid w:val="00CA3599"/>
    <w:rsid w:val="00CA4CF3"/>
    <w:rsid w:val="00CA7E2B"/>
    <w:rsid w:val="00CB43B6"/>
    <w:rsid w:val="00CB48D0"/>
    <w:rsid w:val="00CB6B7C"/>
    <w:rsid w:val="00CB6C0F"/>
    <w:rsid w:val="00CC1BD3"/>
    <w:rsid w:val="00CC1C3F"/>
    <w:rsid w:val="00CC2C2E"/>
    <w:rsid w:val="00CC4BBC"/>
    <w:rsid w:val="00CC5CBF"/>
    <w:rsid w:val="00CD0A04"/>
    <w:rsid w:val="00CD33BE"/>
    <w:rsid w:val="00CD3608"/>
    <w:rsid w:val="00CD5A0A"/>
    <w:rsid w:val="00CD7E39"/>
    <w:rsid w:val="00CD7E76"/>
    <w:rsid w:val="00CE2293"/>
    <w:rsid w:val="00CE4244"/>
    <w:rsid w:val="00CE4CEF"/>
    <w:rsid w:val="00CE53B5"/>
    <w:rsid w:val="00CF06AD"/>
    <w:rsid w:val="00CF0C03"/>
    <w:rsid w:val="00CF1233"/>
    <w:rsid w:val="00CF2515"/>
    <w:rsid w:val="00CF2B32"/>
    <w:rsid w:val="00CF4A68"/>
    <w:rsid w:val="00CF4BC2"/>
    <w:rsid w:val="00CF52B7"/>
    <w:rsid w:val="00CF7AF6"/>
    <w:rsid w:val="00D00F20"/>
    <w:rsid w:val="00D02058"/>
    <w:rsid w:val="00D0224B"/>
    <w:rsid w:val="00D03B8F"/>
    <w:rsid w:val="00D03E90"/>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0B4D"/>
    <w:rsid w:val="00D21DF7"/>
    <w:rsid w:val="00D23B38"/>
    <w:rsid w:val="00D24D7C"/>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4DE"/>
    <w:rsid w:val="00D41F04"/>
    <w:rsid w:val="00D42464"/>
    <w:rsid w:val="00D42F4D"/>
    <w:rsid w:val="00D441EE"/>
    <w:rsid w:val="00D44C18"/>
    <w:rsid w:val="00D46A1D"/>
    <w:rsid w:val="00D46C13"/>
    <w:rsid w:val="00D47B0A"/>
    <w:rsid w:val="00D520A7"/>
    <w:rsid w:val="00D558AA"/>
    <w:rsid w:val="00D56145"/>
    <w:rsid w:val="00D621DF"/>
    <w:rsid w:val="00D62579"/>
    <w:rsid w:val="00D62C94"/>
    <w:rsid w:val="00D638EA"/>
    <w:rsid w:val="00D63C53"/>
    <w:rsid w:val="00D657FB"/>
    <w:rsid w:val="00D66667"/>
    <w:rsid w:val="00D666EF"/>
    <w:rsid w:val="00D66F15"/>
    <w:rsid w:val="00D671AF"/>
    <w:rsid w:val="00D71356"/>
    <w:rsid w:val="00D72FEB"/>
    <w:rsid w:val="00D730C0"/>
    <w:rsid w:val="00D73637"/>
    <w:rsid w:val="00D7438B"/>
    <w:rsid w:val="00D74959"/>
    <w:rsid w:val="00D7534B"/>
    <w:rsid w:val="00D75C78"/>
    <w:rsid w:val="00D77AD9"/>
    <w:rsid w:val="00D800C0"/>
    <w:rsid w:val="00D8025C"/>
    <w:rsid w:val="00D80708"/>
    <w:rsid w:val="00D810C2"/>
    <w:rsid w:val="00D82D6F"/>
    <w:rsid w:val="00D83068"/>
    <w:rsid w:val="00D8509B"/>
    <w:rsid w:val="00D85113"/>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011F"/>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9A9"/>
    <w:rsid w:val="00DD0174"/>
    <w:rsid w:val="00DD0D13"/>
    <w:rsid w:val="00DD270E"/>
    <w:rsid w:val="00DD3F73"/>
    <w:rsid w:val="00DE0568"/>
    <w:rsid w:val="00DE23E4"/>
    <w:rsid w:val="00DE466D"/>
    <w:rsid w:val="00DE4851"/>
    <w:rsid w:val="00DE557D"/>
    <w:rsid w:val="00DE6B2C"/>
    <w:rsid w:val="00DE7196"/>
    <w:rsid w:val="00DE7B2C"/>
    <w:rsid w:val="00DF029E"/>
    <w:rsid w:val="00DF0BEC"/>
    <w:rsid w:val="00DF0DB6"/>
    <w:rsid w:val="00DF3283"/>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727"/>
    <w:rsid w:val="00E32C30"/>
    <w:rsid w:val="00E362E4"/>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60741"/>
    <w:rsid w:val="00E60EB2"/>
    <w:rsid w:val="00E61BE2"/>
    <w:rsid w:val="00E6206E"/>
    <w:rsid w:val="00E62C5C"/>
    <w:rsid w:val="00E64B51"/>
    <w:rsid w:val="00E67785"/>
    <w:rsid w:val="00E71F1D"/>
    <w:rsid w:val="00E72BDB"/>
    <w:rsid w:val="00E731E1"/>
    <w:rsid w:val="00E73A51"/>
    <w:rsid w:val="00E74173"/>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C0EC5"/>
    <w:rsid w:val="00FC2A0E"/>
    <w:rsid w:val="00FC2B14"/>
    <w:rsid w:val="00FC2BDD"/>
    <w:rsid w:val="00FC4B3E"/>
    <w:rsid w:val="00FC66D5"/>
    <w:rsid w:val="00FC735A"/>
    <w:rsid w:val="00FC7F05"/>
    <w:rsid w:val="00FD0915"/>
    <w:rsid w:val="00FD1D7D"/>
    <w:rsid w:val="00FD22CE"/>
    <w:rsid w:val="00FD4A3A"/>
    <w:rsid w:val="00FD546E"/>
    <w:rsid w:val="00FD78C1"/>
    <w:rsid w:val="00FD7F5F"/>
    <w:rsid w:val="00FE12C4"/>
    <w:rsid w:val="00FE29DD"/>
    <w:rsid w:val="00FE3F09"/>
    <w:rsid w:val="00FE445C"/>
    <w:rsid w:val="00FE4995"/>
    <w:rsid w:val="00FE5A38"/>
    <w:rsid w:val="00FE6E95"/>
    <w:rsid w:val="00FE763A"/>
    <w:rsid w:val="00FE7FC7"/>
    <w:rsid w:val="00FF00DB"/>
    <w:rsid w:val="00FF255E"/>
    <w:rsid w:val="00FF28F9"/>
    <w:rsid w:val="00FF4311"/>
    <w:rsid w:val="00FF6281"/>
    <w:rsid w:val="00FF70A1"/>
    <w:rsid w:val="011078C7"/>
    <w:rsid w:val="01161107"/>
    <w:rsid w:val="01395B91"/>
    <w:rsid w:val="015B78F3"/>
    <w:rsid w:val="01606F0F"/>
    <w:rsid w:val="016308D5"/>
    <w:rsid w:val="016F4570"/>
    <w:rsid w:val="01934780"/>
    <w:rsid w:val="01981D96"/>
    <w:rsid w:val="019D7FD6"/>
    <w:rsid w:val="01D4523A"/>
    <w:rsid w:val="01E11FEF"/>
    <w:rsid w:val="01F82835"/>
    <w:rsid w:val="020A0188"/>
    <w:rsid w:val="021A6C4F"/>
    <w:rsid w:val="02385327"/>
    <w:rsid w:val="02704AC1"/>
    <w:rsid w:val="027875A5"/>
    <w:rsid w:val="02DA0374"/>
    <w:rsid w:val="02FB50AA"/>
    <w:rsid w:val="030671D3"/>
    <w:rsid w:val="031E451D"/>
    <w:rsid w:val="03475CD2"/>
    <w:rsid w:val="034877EC"/>
    <w:rsid w:val="035E2888"/>
    <w:rsid w:val="0384521D"/>
    <w:rsid w:val="03BE185C"/>
    <w:rsid w:val="03E01575"/>
    <w:rsid w:val="041B677B"/>
    <w:rsid w:val="042B63DA"/>
    <w:rsid w:val="04645078"/>
    <w:rsid w:val="0475016D"/>
    <w:rsid w:val="04845EA8"/>
    <w:rsid w:val="04860FD8"/>
    <w:rsid w:val="04964902"/>
    <w:rsid w:val="04A42800"/>
    <w:rsid w:val="04C133B2"/>
    <w:rsid w:val="04CE5ACF"/>
    <w:rsid w:val="04ED41A7"/>
    <w:rsid w:val="04EE6171"/>
    <w:rsid w:val="05012D4E"/>
    <w:rsid w:val="055D755A"/>
    <w:rsid w:val="056D52E8"/>
    <w:rsid w:val="05726DA2"/>
    <w:rsid w:val="059C6184"/>
    <w:rsid w:val="05D36833"/>
    <w:rsid w:val="05EC0902"/>
    <w:rsid w:val="05EE467B"/>
    <w:rsid w:val="05FF20E8"/>
    <w:rsid w:val="061614DB"/>
    <w:rsid w:val="061D286A"/>
    <w:rsid w:val="06367DD0"/>
    <w:rsid w:val="065A2639"/>
    <w:rsid w:val="066E7F3F"/>
    <w:rsid w:val="06905732"/>
    <w:rsid w:val="069F5975"/>
    <w:rsid w:val="07100621"/>
    <w:rsid w:val="0737630C"/>
    <w:rsid w:val="074B2FEE"/>
    <w:rsid w:val="074F13BB"/>
    <w:rsid w:val="07533A1B"/>
    <w:rsid w:val="07705B13"/>
    <w:rsid w:val="07BA233A"/>
    <w:rsid w:val="07DF7E70"/>
    <w:rsid w:val="07F817E1"/>
    <w:rsid w:val="080804DF"/>
    <w:rsid w:val="081C486C"/>
    <w:rsid w:val="08326375"/>
    <w:rsid w:val="0840510C"/>
    <w:rsid w:val="087921F6"/>
    <w:rsid w:val="087A4C9F"/>
    <w:rsid w:val="087F39C8"/>
    <w:rsid w:val="0883245E"/>
    <w:rsid w:val="089C1FAC"/>
    <w:rsid w:val="08F57ACE"/>
    <w:rsid w:val="09044B9E"/>
    <w:rsid w:val="09137D83"/>
    <w:rsid w:val="0918134F"/>
    <w:rsid w:val="09214A61"/>
    <w:rsid w:val="094B3730"/>
    <w:rsid w:val="09AA6B0A"/>
    <w:rsid w:val="09DE0562"/>
    <w:rsid w:val="09E55D95"/>
    <w:rsid w:val="09EA68B5"/>
    <w:rsid w:val="09ED69F7"/>
    <w:rsid w:val="0A0F1BEB"/>
    <w:rsid w:val="0A23066B"/>
    <w:rsid w:val="0A2F1BEE"/>
    <w:rsid w:val="0A311A47"/>
    <w:rsid w:val="0A6A44EC"/>
    <w:rsid w:val="0A7809B7"/>
    <w:rsid w:val="0A7B30EB"/>
    <w:rsid w:val="0A90100D"/>
    <w:rsid w:val="0AAF794A"/>
    <w:rsid w:val="0AB67731"/>
    <w:rsid w:val="0AD569FB"/>
    <w:rsid w:val="0AF049F1"/>
    <w:rsid w:val="0B193D9F"/>
    <w:rsid w:val="0B417ADE"/>
    <w:rsid w:val="0B523721"/>
    <w:rsid w:val="0B551102"/>
    <w:rsid w:val="0B7A075E"/>
    <w:rsid w:val="0B8D10DD"/>
    <w:rsid w:val="0B941820"/>
    <w:rsid w:val="0B96052B"/>
    <w:rsid w:val="0BC32105"/>
    <w:rsid w:val="0BC643A6"/>
    <w:rsid w:val="0C10248D"/>
    <w:rsid w:val="0C296107"/>
    <w:rsid w:val="0C405504"/>
    <w:rsid w:val="0C6864EB"/>
    <w:rsid w:val="0C6E4F36"/>
    <w:rsid w:val="0C774C9E"/>
    <w:rsid w:val="0C8A2C23"/>
    <w:rsid w:val="0CB10C12"/>
    <w:rsid w:val="0CC56695"/>
    <w:rsid w:val="0CD93819"/>
    <w:rsid w:val="0CDA7949"/>
    <w:rsid w:val="0D307327"/>
    <w:rsid w:val="0D62037E"/>
    <w:rsid w:val="0D805053"/>
    <w:rsid w:val="0D8120C9"/>
    <w:rsid w:val="0D8E39B6"/>
    <w:rsid w:val="0D917081"/>
    <w:rsid w:val="0DAC4ED8"/>
    <w:rsid w:val="0DF014FD"/>
    <w:rsid w:val="0DF30354"/>
    <w:rsid w:val="0DF5231E"/>
    <w:rsid w:val="0E0D58BA"/>
    <w:rsid w:val="0E8A2A67"/>
    <w:rsid w:val="0E8F4521"/>
    <w:rsid w:val="0E947D89"/>
    <w:rsid w:val="0EA756AE"/>
    <w:rsid w:val="0EF51B17"/>
    <w:rsid w:val="0EF83E74"/>
    <w:rsid w:val="0F451083"/>
    <w:rsid w:val="0F486A14"/>
    <w:rsid w:val="0F5C5398"/>
    <w:rsid w:val="0FA66E59"/>
    <w:rsid w:val="0FAF1D62"/>
    <w:rsid w:val="0FC96115"/>
    <w:rsid w:val="0FF52C8D"/>
    <w:rsid w:val="106F63B8"/>
    <w:rsid w:val="107B549F"/>
    <w:rsid w:val="108A5B7D"/>
    <w:rsid w:val="109C74DE"/>
    <w:rsid w:val="10AD283F"/>
    <w:rsid w:val="10E05824"/>
    <w:rsid w:val="115157D8"/>
    <w:rsid w:val="11A55E09"/>
    <w:rsid w:val="11B61DC5"/>
    <w:rsid w:val="11CE5360"/>
    <w:rsid w:val="11FD79F3"/>
    <w:rsid w:val="12094765"/>
    <w:rsid w:val="12237949"/>
    <w:rsid w:val="122F4F7A"/>
    <w:rsid w:val="123305D6"/>
    <w:rsid w:val="125B2945"/>
    <w:rsid w:val="127426BE"/>
    <w:rsid w:val="12790206"/>
    <w:rsid w:val="129A57C7"/>
    <w:rsid w:val="12C549B5"/>
    <w:rsid w:val="12C64289"/>
    <w:rsid w:val="12D92C58"/>
    <w:rsid w:val="12DA3D24"/>
    <w:rsid w:val="12E3308D"/>
    <w:rsid w:val="12F92EF9"/>
    <w:rsid w:val="13036424"/>
    <w:rsid w:val="13051255"/>
    <w:rsid w:val="13174AE5"/>
    <w:rsid w:val="13345697"/>
    <w:rsid w:val="136D5737"/>
    <w:rsid w:val="136E6DFB"/>
    <w:rsid w:val="13D11138"/>
    <w:rsid w:val="13D22AC9"/>
    <w:rsid w:val="13E42C19"/>
    <w:rsid w:val="14222922"/>
    <w:rsid w:val="14227CC6"/>
    <w:rsid w:val="142E3666"/>
    <w:rsid w:val="142F28B9"/>
    <w:rsid w:val="14DC5FE6"/>
    <w:rsid w:val="14FB2C15"/>
    <w:rsid w:val="150A4B66"/>
    <w:rsid w:val="153100E0"/>
    <w:rsid w:val="15565D98"/>
    <w:rsid w:val="15AA1C40"/>
    <w:rsid w:val="15E45152"/>
    <w:rsid w:val="15E52610"/>
    <w:rsid w:val="160C50EB"/>
    <w:rsid w:val="165D528A"/>
    <w:rsid w:val="16691AFB"/>
    <w:rsid w:val="166E41A3"/>
    <w:rsid w:val="16734728"/>
    <w:rsid w:val="168726AC"/>
    <w:rsid w:val="168B1A72"/>
    <w:rsid w:val="169A2C55"/>
    <w:rsid w:val="169B233B"/>
    <w:rsid w:val="16F45869"/>
    <w:rsid w:val="17171557"/>
    <w:rsid w:val="17243578"/>
    <w:rsid w:val="17371F7B"/>
    <w:rsid w:val="175005C5"/>
    <w:rsid w:val="17582776"/>
    <w:rsid w:val="1758293B"/>
    <w:rsid w:val="17924BE2"/>
    <w:rsid w:val="17AC7EF2"/>
    <w:rsid w:val="17B62B1E"/>
    <w:rsid w:val="17BA2C71"/>
    <w:rsid w:val="17C50F36"/>
    <w:rsid w:val="17D07C4A"/>
    <w:rsid w:val="18025D64"/>
    <w:rsid w:val="181772BB"/>
    <w:rsid w:val="182269B6"/>
    <w:rsid w:val="185C7F7E"/>
    <w:rsid w:val="18610CDC"/>
    <w:rsid w:val="18BA03EC"/>
    <w:rsid w:val="18DA45EA"/>
    <w:rsid w:val="18FE652B"/>
    <w:rsid w:val="1908472F"/>
    <w:rsid w:val="19456A36"/>
    <w:rsid w:val="19524AC9"/>
    <w:rsid w:val="19576825"/>
    <w:rsid w:val="196704D3"/>
    <w:rsid w:val="19792055"/>
    <w:rsid w:val="1982720A"/>
    <w:rsid w:val="199C5D44"/>
    <w:rsid w:val="19CD19CF"/>
    <w:rsid w:val="19E33973"/>
    <w:rsid w:val="1A2032E1"/>
    <w:rsid w:val="1A226249"/>
    <w:rsid w:val="1A3666C3"/>
    <w:rsid w:val="1A423D37"/>
    <w:rsid w:val="1A4A5782"/>
    <w:rsid w:val="1A965694"/>
    <w:rsid w:val="1A9D7FC6"/>
    <w:rsid w:val="1AA67695"/>
    <w:rsid w:val="1ABA0B77"/>
    <w:rsid w:val="1B6A434C"/>
    <w:rsid w:val="1B89791D"/>
    <w:rsid w:val="1B91747A"/>
    <w:rsid w:val="1BA02B4F"/>
    <w:rsid w:val="1BA809D0"/>
    <w:rsid w:val="1BAD4238"/>
    <w:rsid w:val="1BDF7572"/>
    <w:rsid w:val="1BEC4D61"/>
    <w:rsid w:val="1BEE796E"/>
    <w:rsid w:val="1BEF4851"/>
    <w:rsid w:val="1BFB4FA4"/>
    <w:rsid w:val="1C01755F"/>
    <w:rsid w:val="1C2207D3"/>
    <w:rsid w:val="1C295FB5"/>
    <w:rsid w:val="1C5B1EE6"/>
    <w:rsid w:val="1C782A98"/>
    <w:rsid w:val="1C901B90"/>
    <w:rsid w:val="1CCB7E6B"/>
    <w:rsid w:val="1CEA3A9C"/>
    <w:rsid w:val="1D2D73DF"/>
    <w:rsid w:val="1D2F22A0"/>
    <w:rsid w:val="1D4B1F5B"/>
    <w:rsid w:val="1D631052"/>
    <w:rsid w:val="1D6A0633"/>
    <w:rsid w:val="1D6B5DF5"/>
    <w:rsid w:val="1D763BAB"/>
    <w:rsid w:val="1D900AFB"/>
    <w:rsid w:val="1DD844A0"/>
    <w:rsid w:val="1DDB32DF"/>
    <w:rsid w:val="1DF537EF"/>
    <w:rsid w:val="1E3D5D47"/>
    <w:rsid w:val="1E701B88"/>
    <w:rsid w:val="1ED14DB2"/>
    <w:rsid w:val="1ED86FC5"/>
    <w:rsid w:val="1EDB59B2"/>
    <w:rsid w:val="1EED1D39"/>
    <w:rsid w:val="1F066139"/>
    <w:rsid w:val="1F17390C"/>
    <w:rsid w:val="1F2667DB"/>
    <w:rsid w:val="1F286C06"/>
    <w:rsid w:val="1F3A7811"/>
    <w:rsid w:val="1F7237CF"/>
    <w:rsid w:val="1F7D3F22"/>
    <w:rsid w:val="1FC658C9"/>
    <w:rsid w:val="1FCA53B9"/>
    <w:rsid w:val="1FE21D0D"/>
    <w:rsid w:val="1FF56D0F"/>
    <w:rsid w:val="200C59D1"/>
    <w:rsid w:val="20191C70"/>
    <w:rsid w:val="20892BCC"/>
    <w:rsid w:val="20B6593D"/>
    <w:rsid w:val="20BD4F1E"/>
    <w:rsid w:val="20DC292A"/>
    <w:rsid w:val="210668C5"/>
    <w:rsid w:val="21222FD3"/>
    <w:rsid w:val="212D4DFE"/>
    <w:rsid w:val="21494A71"/>
    <w:rsid w:val="2163605A"/>
    <w:rsid w:val="21647C7E"/>
    <w:rsid w:val="216B6728"/>
    <w:rsid w:val="216C3EB8"/>
    <w:rsid w:val="217A2E0F"/>
    <w:rsid w:val="219043E0"/>
    <w:rsid w:val="21920158"/>
    <w:rsid w:val="21BB0233"/>
    <w:rsid w:val="21D267A7"/>
    <w:rsid w:val="220318BB"/>
    <w:rsid w:val="221413F8"/>
    <w:rsid w:val="22212D46"/>
    <w:rsid w:val="222A4802"/>
    <w:rsid w:val="22543660"/>
    <w:rsid w:val="227368B6"/>
    <w:rsid w:val="229D5007"/>
    <w:rsid w:val="22A02D4C"/>
    <w:rsid w:val="22DA60FF"/>
    <w:rsid w:val="22F4606D"/>
    <w:rsid w:val="231F6524"/>
    <w:rsid w:val="23373143"/>
    <w:rsid w:val="235C0A1E"/>
    <w:rsid w:val="23EB6880"/>
    <w:rsid w:val="23EC55B2"/>
    <w:rsid w:val="2418246B"/>
    <w:rsid w:val="24262DDA"/>
    <w:rsid w:val="243E346B"/>
    <w:rsid w:val="2452597D"/>
    <w:rsid w:val="24547947"/>
    <w:rsid w:val="24701A48"/>
    <w:rsid w:val="247E49C4"/>
    <w:rsid w:val="24912949"/>
    <w:rsid w:val="24CE3595"/>
    <w:rsid w:val="24E30CCB"/>
    <w:rsid w:val="24FA6740"/>
    <w:rsid w:val="250D077C"/>
    <w:rsid w:val="251D242F"/>
    <w:rsid w:val="253634F0"/>
    <w:rsid w:val="254F7170"/>
    <w:rsid w:val="256C2A6E"/>
    <w:rsid w:val="257D763C"/>
    <w:rsid w:val="2580476C"/>
    <w:rsid w:val="25BD0EF9"/>
    <w:rsid w:val="25BD151C"/>
    <w:rsid w:val="25C0099A"/>
    <w:rsid w:val="25FF7D86"/>
    <w:rsid w:val="2614329D"/>
    <w:rsid w:val="262470B9"/>
    <w:rsid w:val="26330DA5"/>
    <w:rsid w:val="268813BB"/>
    <w:rsid w:val="26F87816"/>
    <w:rsid w:val="27201D62"/>
    <w:rsid w:val="276C6D8F"/>
    <w:rsid w:val="2799071E"/>
    <w:rsid w:val="27AC5CEC"/>
    <w:rsid w:val="27B26F8A"/>
    <w:rsid w:val="27B70919"/>
    <w:rsid w:val="27BB7CDD"/>
    <w:rsid w:val="27D843EB"/>
    <w:rsid w:val="27EB1BE4"/>
    <w:rsid w:val="27EB1EB1"/>
    <w:rsid w:val="27F07987"/>
    <w:rsid w:val="27F97290"/>
    <w:rsid w:val="28372355"/>
    <w:rsid w:val="285105A8"/>
    <w:rsid w:val="28610884"/>
    <w:rsid w:val="28630C54"/>
    <w:rsid w:val="286345FC"/>
    <w:rsid w:val="287806C6"/>
    <w:rsid w:val="289447B6"/>
    <w:rsid w:val="28AC7304"/>
    <w:rsid w:val="28CC03F4"/>
    <w:rsid w:val="28ED036A"/>
    <w:rsid w:val="28FD67FF"/>
    <w:rsid w:val="29064D40"/>
    <w:rsid w:val="29083973"/>
    <w:rsid w:val="29260684"/>
    <w:rsid w:val="293F2D39"/>
    <w:rsid w:val="29437F8A"/>
    <w:rsid w:val="29581178"/>
    <w:rsid w:val="295B3290"/>
    <w:rsid w:val="296E14AB"/>
    <w:rsid w:val="299565F5"/>
    <w:rsid w:val="29BD1AEA"/>
    <w:rsid w:val="29BD5F8E"/>
    <w:rsid w:val="29C63095"/>
    <w:rsid w:val="29CB58F0"/>
    <w:rsid w:val="2A102562"/>
    <w:rsid w:val="2A10729A"/>
    <w:rsid w:val="2A5D507B"/>
    <w:rsid w:val="2A994C1B"/>
    <w:rsid w:val="2AB31A0C"/>
    <w:rsid w:val="2AC5628E"/>
    <w:rsid w:val="2ACB6F40"/>
    <w:rsid w:val="2B057BED"/>
    <w:rsid w:val="2B0D2CED"/>
    <w:rsid w:val="2B4649A8"/>
    <w:rsid w:val="2B7D59D5"/>
    <w:rsid w:val="2B7E52A9"/>
    <w:rsid w:val="2BB533C1"/>
    <w:rsid w:val="2BBB1E38"/>
    <w:rsid w:val="2BBB64FD"/>
    <w:rsid w:val="2BC25ADE"/>
    <w:rsid w:val="2BEC2B5B"/>
    <w:rsid w:val="2BFB5408"/>
    <w:rsid w:val="2C0977CF"/>
    <w:rsid w:val="2C1F083A"/>
    <w:rsid w:val="2C384011"/>
    <w:rsid w:val="2C532BA6"/>
    <w:rsid w:val="2C812BDF"/>
    <w:rsid w:val="2C815051"/>
    <w:rsid w:val="2CC338BC"/>
    <w:rsid w:val="2CD71115"/>
    <w:rsid w:val="2D065484"/>
    <w:rsid w:val="2D2325AC"/>
    <w:rsid w:val="2D5E35E4"/>
    <w:rsid w:val="2D86504B"/>
    <w:rsid w:val="2DA02DDE"/>
    <w:rsid w:val="2DD817E7"/>
    <w:rsid w:val="2DEE6E12"/>
    <w:rsid w:val="2DF857E7"/>
    <w:rsid w:val="2E17777A"/>
    <w:rsid w:val="2E415DA3"/>
    <w:rsid w:val="2E47405C"/>
    <w:rsid w:val="2E56075F"/>
    <w:rsid w:val="2E7A1BC6"/>
    <w:rsid w:val="2E9A064C"/>
    <w:rsid w:val="2E9C2616"/>
    <w:rsid w:val="2EA9088F"/>
    <w:rsid w:val="2EB022C6"/>
    <w:rsid w:val="2EC1611A"/>
    <w:rsid w:val="2ECB4CA9"/>
    <w:rsid w:val="2EF44200"/>
    <w:rsid w:val="2F00500B"/>
    <w:rsid w:val="2F48454C"/>
    <w:rsid w:val="2F633134"/>
    <w:rsid w:val="2F6A6270"/>
    <w:rsid w:val="2F724E70"/>
    <w:rsid w:val="2F81180C"/>
    <w:rsid w:val="2F8A06C1"/>
    <w:rsid w:val="2F911A4F"/>
    <w:rsid w:val="2F9E6715"/>
    <w:rsid w:val="2FC07BC7"/>
    <w:rsid w:val="2FC35981"/>
    <w:rsid w:val="2FDB2CCA"/>
    <w:rsid w:val="30120F5C"/>
    <w:rsid w:val="301A3D34"/>
    <w:rsid w:val="305F38FB"/>
    <w:rsid w:val="30960C27"/>
    <w:rsid w:val="30AC7B38"/>
    <w:rsid w:val="30AF7E29"/>
    <w:rsid w:val="30B226C8"/>
    <w:rsid w:val="30E44A4B"/>
    <w:rsid w:val="30EA2B1D"/>
    <w:rsid w:val="30EA318F"/>
    <w:rsid w:val="31085D41"/>
    <w:rsid w:val="311D200F"/>
    <w:rsid w:val="311F308B"/>
    <w:rsid w:val="312132A7"/>
    <w:rsid w:val="3123531D"/>
    <w:rsid w:val="31570A76"/>
    <w:rsid w:val="318A49A8"/>
    <w:rsid w:val="319770C5"/>
    <w:rsid w:val="31A452D9"/>
    <w:rsid w:val="31AA504A"/>
    <w:rsid w:val="31DE0671"/>
    <w:rsid w:val="32337407"/>
    <w:rsid w:val="32382656"/>
    <w:rsid w:val="32655415"/>
    <w:rsid w:val="326F757B"/>
    <w:rsid w:val="32764C65"/>
    <w:rsid w:val="328C4750"/>
    <w:rsid w:val="32E379EB"/>
    <w:rsid w:val="331704BD"/>
    <w:rsid w:val="3327061E"/>
    <w:rsid w:val="33322F67"/>
    <w:rsid w:val="3381627F"/>
    <w:rsid w:val="33887CFD"/>
    <w:rsid w:val="34A919FC"/>
    <w:rsid w:val="34B45226"/>
    <w:rsid w:val="3509652C"/>
    <w:rsid w:val="354D5524"/>
    <w:rsid w:val="35503B99"/>
    <w:rsid w:val="35585E1E"/>
    <w:rsid w:val="35846234"/>
    <w:rsid w:val="35B53FBD"/>
    <w:rsid w:val="35BD630A"/>
    <w:rsid w:val="35CB37E1"/>
    <w:rsid w:val="35ED79AF"/>
    <w:rsid w:val="35F27884"/>
    <w:rsid w:val="362F5B1E"/>
    <w:rsid w:val="36313768"/>
    <w:rsid w:val="367951F4"/>
    <w:rsid w:val="3689653D"/>
    <w:rsid w:val="368A78FB"/>
    <w:rsid w:val="36C468C6"/>
    <w:rsid w:val="36CF10AF"/>
    <w:rsid w:val="36D861B6"/>
    <w:rsid w:val="36DB5CA6"/>
    <w:rsid w:val="36DD5106"/>
    <w:rsid w:val="36EA69A7"/>
    <w:rsid w:val="36F54FB9"/>
    <w:rsid w:val="370D4225"/>
    <w:rsid w:val="37105528"/>
    <w:rsid w:val="371A67CE"/>
    <w:rsid w:val="371C57FE"/>
    <w:rsid w:val="375A7BFF"/>
    <w:rsid w:val="37661A13"/>
    <w:rsid w:val="37727DE9"/>
    <w:rsid w:val="37A42450"/>
    <w:rsid w:val="37A83B30"/>
    <w:rsid w:val="37A91900"/>
    <w:rsid w:val="37AD13F0"/>
    <w:rsid w:val="37AE2A68"/>
    <w:rsid w:val="37BB7327"/>
    <w:rsid w:val="37BE184F"/>
    <w:rsid w:val="37D54D58"/>
    <w:rsid w:val="37E42938"/>
    <w:rsid w:val="38325D99"/>
    <w:rsid w:val="3836588A"/>
    <w:rsid w:val="3845787B"/>
    <w:rsid w:val="38606463"/>
    <w:rsid w:val="387150D1"/>
    <w:rsid w:val="388F544A"/>
    <w:rsid w:val="3895452D"/>
    <w:rsid w:val="389B095F"/>
    <w:rsid w:val="38D77B53"/>
    <w:rsid w:val="39225E0E"/>
    <w:rsid w:val="39253208"/>
    <w:rsid w:val="39335925"/>
    <w:rsid w:val="393A1311"/>
    <w:rsid w:val="3948151A"/>
    <w:rsid w:val="394E09B1"/>
    <w:rsid w:val="39C14A43"/>
    <w:rsid w:val="39E80B55"/>
    <w:rsid w:val="39EB4452"/>
    <w:rsid w:val="39F71049"/>
    <w:rsid w:val="3A425A0B"/>
    <w:rsid w:val="3A5540F0"/>
    <w:rsid w:val="3A6751CB"/>
    <w:rsid w:val="3AA52853"/>
    <w:rsid w:val="3AA840F1"/>
    <w:rsid w:val="3AB41B3B"/>
    <w:rsid w:val="3B6B3A9C"/>
    <w:rsid w:val="3B855594"/>
    <w:rsid w:val="3BE13D5E"/>
    <w:rsid w:val="3C1731B4"/>
    <w:rsid w:val="3C3E3A55"/>
    <w:rsid w:val="3C583801"/>
    <w:rsid w:val="3C6027B0"/>
    <w:rsid w:val="3C686A41"/>
    <w:rsid w:val="3C6B7896"/>
    <w:rsid w:val="3C74072E"/>
    <w:rsid w:val="3C7A386B"/>
    <w:rsid w:val="3CDD0A65"/>
    <w:rsid w:val="3CDF4061"/>
    <w:rsid w:val="3D167A38"/>
    <w:rsid w:val="3D2A2C32"/>
    <w:rsid w:val="3D2E7C8C"/>
    <w:rsid w:val="3D5179A9"/>
    <w:rsid w:val="3D6E0B5B"/>
    <w:rsid w:val="3D8F350F"/>
    <w:rsid w:val="3DA74B34"/>
    <w:rsid w:val="3DBC05DF"/>
    <w:rsid w:val="3DE00059"/>
    <w:rsid w:val="3DE713D4"/>
    <w:rsid w:val="3DF53AF1"/>
    <w:rsid w:val="3E1675C3"/>
    <w:rsid w:val="3E4250FC"/>
    <w:rsid w:val="3E572A3A"/>
    <w:rsid w:val="3E7B03C0"/>
    <w:rsid w:val="3E7D063E"/>
    <w:rsid w:val="3E9230EE"/>
    <w:rsid w:val="3E927736"/>
    <w:rsid w:val="3ECD05CA"/>
    <w:rsid w:val="3ED43706"/>
    <w:rsid w:val="3ED96F6F"/>
    <w:rsid w:val="3EDA4ED4"/>
    <w:rsid w:val="3EF5114F"/>
    <w:rsid w:val="3F0F473E"/>
    <w:rsid w:val="3F476327"/>
    <w:rsid w:val="3F4924E0"/>
    <w:rsid w:val="3F544EE3"/>
    <w:rsid w:val="3F6820A1"/>
    <w:rsid w:val="401A2A3F"/>
    <w:rsid w:val="409F7D44"/>
    <w:rsid w:val="40A92971"/>
    <w:rsid w:val="40B173DB"/>
    <w:rsid w:val="40C96B6F"/>
    <w:rsid w:val="40E439A9"/>
    <w:rsid w:val="40F8373D"/>
    <w:rsid w:val="41087697"/>
    <w:rsid w:val="41163788"/>
    <w:rsid w:val="414D4A6B"/>
    <w:rsid w:val="4153125A"/>
    <w:rsid w:val="416430E7"/>
    <w:rsid w:val="41BA18C6"/>
    <w:rsid w:val="41EE0255"/>
    <w:rsid w:val="42027077"/>
    <w:rsid w:val="42204EB5"/>
    <w:rsid w:val="422F3D3C"/>
    <w:rsid w:val="42407FBF"/>
    <w:rsid w:val="425111A6"/>
    <w:rsid w:val="425A03C6"/>
    <w:rsid w:val="42905B03"/>
    <w:rsid w:val="42947C67"/>
    <w:rsid w:val="42B21FB1"/>
    <w:rsid w:val="42EF4FB3"/>
    <w:rsid w:val="433C5D1E"/>
    <w:rsid w:val="436112E1"/>
    <w:rsid w:val="43684AB3"/>
    <w:rsid w:val="436B2CCE"/>
    <w:rsid w:val="43807FB6"/>
    <w:rsid w:val="43C300BD"/>
    <w:rsid w:val="43D36297"/>
    <w:rsid w:val="43D77A86"/>
    <w:rsid w:val="440920A4"/>
    <w:rsid w:val="440E3217"/>
    <w:rsid w:val="44185EBB"/>
    <w:rsid w:val="443F2FD9"/>
    <w:rsid w:val="445A46AE"/>
    <w:rsid w:val="445E2EE9"/>
    <w:rsid w:val="44A47F95"/>
    <w:rsid w:val="44AC2A30"/>
    <w:rsid w:val="44B518E4"/>
    <w:rsid w:val="44E05E01"/>
    <w:rsid w:val="44E96F13"/>
    <w:rsid w:val="45177D88"/>
    <w:rsid w:val="451C436B"/>
    <w:rsid w:val="45277812"/>
    <w:rsid w:val="45352A25"/>
    <w:rsid w:val="456D1C63"/>
    <w:rsid w:val="45857508"/>
    <w:rsid w:val="458C1A14"/>
    <w:rsid w:val="45A100BA"/>
    <w:rsid w:val="45C05E59"/>
    <w:rsid w:val="45F151FA"/>
    <w:rsid w:val="46280553"/>
    <w:rsid w:val="463158E2"/>
    <w:rsid w:val="46431172"/>
    <w:rsid w:val="467D29E5"/>
    <w:rsid w:val="46A2744D"/>
    <w:rsid w:val="46B7114C"/>
    <w:rsid w:val="46B84478"/>
    <w:rsid w:val="46C73B51"/>
    <w:rsid w:val="47370CD6"/>
    <w:rsid w:val="474C563E"/>
    <w:rsid w:val="47501D98"/>
    <w:rsid w:val="47694C08"/>
    <w:rsid w:val="47811F51"/>
    <w:rsid w:val="47863A0C"/>
    <w:rsid w:val="478F2290"/>
    <w:rsid w:val="47A3011A"/>
    <w:rsid w:val="48496F13"/>
    <w:rsid w:val="485069A3"/>
    <w:rsid w:val="48587156"/>
    <w:rsid w:val="487F73F4"/>
    <w:rsid w:val="48916F56"/>
    <w:rsid w:val="48E944E1"/>
    <w:rsid w:val="4921579A"/>
    <w:rsid w:val="49217281"/>
    <w:rsid w:val="49221512"/>
    <w:rsid w:val="494A60B6"/>
    <w:rsid w:val="4994670B"/>
    <w:rsid w:val="49AF0FF8"/>
    <w:rsid w:val="49FB248F"/>
    <w:rsid w:val="4A132C9D"/>
    <w:rsid w:val="4A4A0D21"/>
    <w:rsid w:val="4A6A13C3"/>
    <w:rsid w:val="4A8864D7"/>
    <w:rsid w:val="4A8C30E7"/>
    <w:rsid w:val="4AB36025"/>
    <w:rsid w:val="4AE56CE5"/>
    <w:rsid w:val="4AEB42B2"/>
    <w:rsid w:val="4B1A4920"/>
    <w:rsid w:val="4B3819F0"/>
    <w:rsid w:val="4B4439C2"/>
    <w:rsid w:val="4B5160DF"/>
    <w:rsid w:val="4B7342A7"/>
    <w:rsid w:val="4B760A5C"/>
    <w:rsid w:val="4B7C13AE"/>
    <w:rsid w:val="4BAC6E9E"/>
    <w:rsid w:val="4BBF20A9"/>
    <w:rsid w:val="4BCE772F"/>
    <w:rsid w:val="4C1710D6"/>
    <w:rsid w:val="4C4F7966"/>
    <w:rsid w:val="4C582666"/>
    <w:rsid w:val="4C60274C"/>
    <w:rsid w:val="4C991AEB"/>
    <w:rsid w:val="4CA96522"/>
    <w:rsid w:val="4CBB5434"/>
    <w:rsid w:val="4D00367C"/>
    <w:rsid w:val="4D0E07CF"/>
    <w:rsid w:val="4D2C6E03"/>
    <w:rsid w:val="4D341814"/>
    <w:rsid w:val="4D3574CC"/>
    <w:rsid w:val="4D663FDA"/>
    <w:rsid w:val="4D926C66"/>
    <w:rsid w:val="4DA92202"/>
    <w:rsid w:val="4DC112FA"/>
    <w:rsid w:val="4DDE110F"/>
    <w:rsid w:val="4DE60D60"/>
    <w:rsid w:val="4E3B59A5"/>
    <w:rsid w:val="4E796078"/>
    <w:rsid w:val="4E7B76FB"/>
    <w:rsid w:val="4EA8070C"/>
    <w:rsid w:val="4EC76DE4"/>
    <w:rsid w:val="4F02066C"/>
    <w:rsid w:val="4F0512DC"/>
    <w:rsid w:val="4F6512F6"/>
    <w:rsid w:val="4F691C49"/>
    <w:rsid w:val="4F6D0F07"/>
    <w:rsid w:val="4FC60E49"/>
    <w:rsid w:val="4FD07F1A"/>
    <w:rsid w:val="4FE63C51"/>
    <w:rsid w:val="504A4764"/>
    <w:rsid w:val="504C2A81"/>
    <w:rsid w:val="50762D6A"/>
    <w:rsid w:val="50B138A7"/>
    <w:rsid w:val="50BF63F5"/>
    <w:rsid w:val="50C23D07"/>
    <w:rsid w:val="50C86E43"/>
    <w:rsid w:val="510802DD"/>
    <w:rsid w:val="512066E2"/>
    <w:rsid w:val="512A0A14"/>
    <w:rsid w:val="516E79EA"/>
    <w:rsid w:val="51916A23"/>
    <w:rsid w:val="523C397E"/>
    <w:rsid w:val="523E73BD"/>
    <w:rsid w:val="524D249A"/>
    <w:rsid w:val="526B60DA"/>
    <w:rsid w:val="527E2D9A"/>
    <w:rsid w:val="52C36EDE"/>
    <w:rsid w:val="53052F13"/>
    <w:rsid w:val="53256130"/>
    <w:rsid w:val="533E519B"/>
    <w:rsid w:val="534E4E9F"/>
    <w:rsid w:val="5353390D"/>
    <w:rsid w:val="53AC5F20"/>
    <w:rsid w:val="53F71F19"/>
    <w:rsid w:val="53FD13CD"/>
    <w:rsid w:val="54054C86"/>
    <w:rsid w:val="54120D04"/>
    <w:rsid w:val="54962A1D"/>
    <w:rsid w:val="54B03E76"/>
    <w:rsid w:val="54B75204"/>
    <w:rsid w:val="551E5284"/>
    <w:rsid w:val="55255504"/>
    <w:rsid w:val="55384597"/>
    <w:rsid w:val="55510FA9"/>
    <w:rsid w:val="555246DB"/>
    <w:rsid w:val="5589244C"/>
    <w:rsid w:val="558C043F"/>
    <w:rsid w:val="55B711B8"/>
    <w:rsid w:val="5621327D"/>
    <w:rsid w:val="56265049"/>
    <w:rsid w:val="56603262"/>
    <w:rsid w:val="568D446F"/>
    <w:rsid w:val="56B50E8F"/>
    <w:rsid w:val="56C358D0"/>
    <w:rsid w:val="56E147BB"/>
    <w:rsid w:val="56E542AB"/>
    <w:rsid w:val="56E85B49"/>
    <w:rsid w:val="570D3802"/>
    <w:rsid w:val="57214364"/>
    <w:rsid w:val="572D6523"/>
    <w:rsid w:val="573A5D9A"/>
    <w:rsid w:val="57730750"/>
    <w:rsid w:val="57763155"/>
    <w:rsid w:val="57835872"/>
    <w:rsid w:val="579655A5"/>
    <w:rsid w:val="5798124F"/>
    <w:rsid w:val="57B41ECF"/>
    <w:rsid w:val="57E91B79"/>
    <w:rsid w:val="58490869"/>
    <w:rsid w:val="58705A08"/>
    <w:rsid w:val="587753D7"/>
    <w:rsid w:val="58B02697"/>
    <w:rsid w:val="58FC7366"/>
    <w:rsid w:val="58FE08DF"/>
    <w:rsid w:val="594B0611"/>
    <w:rsid w:val="597B0EF6"/>
    <w:rsid w:val="597D4C6F"/>
    <w:rsid w:val="59A55F73"/>
    <w:rsid w:val="59B167DB"/>
    <w:rsid w:val="59BB672E"/>
    <w:rsid w:val="59E940B2"/>
    <w:rsid w:val="5A067FE9"/>
    <w:rsid w:val="5A11284A"/>
    <w:rsid w:val="5A24333C"/>
    <w:rsid w:val="5A7122F9"/>
    <w:rsid w:val="5A8610DB"/>
    <w:rsid w:val="5AA23EB9"/>
    <w:rsid w:val="5ACD39D4"/>
    <w:rsid w:val="5AD478C1"/>
    <w:rsid w:val="5AF32D0E"/>
    <w:rsid w:val="5AF745AD"/>
    <w:rsid w:val="5B152C85"/>
    <w:rsid w:val="5B1655EB"/>
    <w:rsid w:val="5B3F1217"/>
    <w:rsid w:val="5B5163B3"/>
    <w:rsid w:val="5B631B4D"/>
    <w:rsid w:val="5B842EBE"/>
    <w:rsid w:val="5BB341AD"/>
    <w:rsid w:val="5BB538C8"/>
    <w:rsid w:val="5BF81B2D"/>
    <w:rsid w:val="5C8262C5"/>
    <w:rsid w:val="5C891B7C"/>
    <w:rsid w:val="5C936557"/>
    <w:rsid w:val="5CF039A9"/>
    <w:rsid w:val="5CF35248"/>
    <w:rsid w:val="5D1F7DEB"/>
    <w:rsid w:val="5D2A2763"/>
    <w:rsid w:val="5D69161B"/>
    <w:rsid w:val="5D7D7E92"/>
    <w:rsid w:val="5D8F328E"/>
    <w:rsid w:val="5D9F2CDA"/>
    <w:rsid w:val="5DBE305A"/>
    <w:rsid w:val="5DDF7EF8"/>
    <w:rsid w:val="5DFB2606"/>
    <w:rsid w:val="5E30240D"/>
    <w:rsid w:val="5E333866"/>
    <w:rsid w:val="5E7C236A"/>
    <w:rsid w:val="5E800D5D"/>
    <w:rsid w:val="5E9345EC"/>
    <w:rsid w:val="5E9640DD"/>
    <w:rsid w:val="5EAC1B52"/>
    <w:rsid w:val="5F2D4536"/>
    <w:rsid w:val="5F8A1E93"/>
    <w:rsid w:val="5FC02A48"/>
    <w:rsid w:val="5FCB6008"/>
    <w:rsid w:val="5FDE21DF"/>
    <w:rsid w:val="5FF84F16"/>
    <w:rsid w:val="60107B3E"/>
    <w:rsid w:val="60441CCF"/>
    <w:rsid w:val="606968D4"/>
    <w:rsid w:val="606E5D89"/>
    <w:rsid w:val="608508AD"/>
    <w:rsid w:val="609805E0"/>
    <w:rsid w:val="60A725D1"/>
    <w:rsid w:val="60C74A21"/>
    <w:rsid w:val="60E47381"/>
    <w:rsid w:val="61113EEE"/>
    <w:rsid w:val="61202383"/>
    <w:rsid w:val="61877220"/>
    <w:rsid w:val="61E91E30"/>
    <w:rsid w:val="620121B5"/>
    <w:rsid w:val="62015D11"/>
    <w:rsid w:val="6227270D"/>
    <w:rsid w:val="62273645"/>
    <w:rsid w:val="627A1B8B"/>
    <w:rsid w:val="629767E0"/>
    <w:rsid w:val="629D0E0C"/>
    <w:rsid w:val="62BE08F6"/>
    <w:rsid w:val="631B2E02"/>
    <w:rsid w:val="632C6236"/>
    <w:rsid w:val="637D2246"/>
    <w:rsid w:val="63900D55"/>
    <w:rsid w:val="64222C8C"/>
    <w:rsid w:val="64775A27"/>
    <w:rsid w:val="647B7FFD"/>
    <w:rsid w:val="64907D0F"/>
    <w:rsid w:val="649C4B8F"/>
    <w:rsid w:val="64B82FFF"/>
    <w:rsid w:val="64C51278"/>
    <w:rsid w:val="64D70FAB"/>
    <w:rsid w:val="64E11B75"/>
    <w:rsid w:val="652E32C1"/>
    <w:rsid w:val="654E0609"/>
    <w:rsid w:val="654E5711"/>
    <w:rsid w:val="655979B3"/>
    <w:rsid w:val="65AB2B63"/>
    <w:rsid w:val="65BF7310"/>
    <w:rsid w:val="65F22540"/>
    <w:rsid w:val="66032B93"/>
    <w:rsid w:val="667967BE"/>
    <w:rsid w:val="667F18FA"/>
    <w:rsid w:val="66876B88"/>
    <w:rsid w:val="66901402"/>
    <w:rsid w:val="66976C44"/>
    <w:rsid w:val="66BB0B84"/>
    <w:rsid w:val="66CE0042"/>
    <w:rsid w:val="66F066C1"/>
    <w:rsid w:val="670E33AA"/>
    <w:rsid w:val="67146646"/>
    <w:rsid w:val="671B3B33"/>
    <w:rsid w:val="672C3830"/>
    <w:rsid w:val="67544B35"/>
    <w:rsid w:val="67577CF2"/>
    <w:rsid w:val="67851845"/>
    <w:rsid w:val="678F3DBF"/>
    <w:rsid w:val="679715F1"/>
    <w:rsid w:val="67A45EAE"/>
    <w:rsid w:val="6846773F"/>
    <w:rsid w:val="68585C56"/>
    <w:rsid w:val="68656D1C"/>
    <w:rsid w:val="686717EF"/>
    <w:rsid w:val="686A0AB4"/>
    <w:rsid w:val="68CA50AF"/>
    <w:rsid w:val="68F32D76"/>
    <w:rsid w:val="68F601A4"/>
    <w:rsid w:val="691645AD"/>
    <w:rsid w:val="69221EE4"/>
    <w:rsid w:val="69531548"/>
    <w:rsid w:val="69561038"/>
    <w:rsid w:val="696372B1"/>
    <w:rsid w:val="698E07D2"/>
    <w:rsid w:val="69963536"/>
    <w:rsid w:val="69FA5E67"/>
    <w:rsid w:val="6A1011E7"/>
    <w:rsid w:val="6A4315BC"/>
    <w:rsid w:val="6A537C4E"/>
    <w:rsid w:val="6A8C09E9"/>
    <w:rsid w:val="6A995C7D"/>
    <w:rsid w:val="6AE461D0"/>
    <w:rsid w:val="6AFE3735"/>
    <w:rsid w:val="6B2111EB"/>
    <w:rsid w:val="6B4D3238"/>
    <w:rsid w:val="6B712B27"/>
    <w:rsid w:val="6B7C51E5"/>
    <w:rsid w:val="6BB107A8"/>
    <w:rsid w:val="6BDD77EF"/>
    <w:rsid w:val="6BE333D9"/>
    <w:rsid w:val="6C1F5711"/>
    <w:rsid w:val="6C33740F"/>
    <w:rsid w:val="6C6121CE"/>
    <w:rsid w:val="6D036DE1"/>
    <w:rsid w:val="6D2F0865"/>
    <w:rsid w:val="6D321474"/>
    <w:rsid w:val="6D342338"/>
    <w:rsid w:val="6D3F3811"/>
    <w:rsid w:val="6D527D69"/>
    <w:rsid w:val="6D6A002E"/>
    <w:rsid w:val="6D6D737F"/>
    <w:rsid w:val="6D9100ED"/>
    <w:rsid w:val="6DA7490C"/>
    <w:rsid w:val="6DD53383"/>
    <w:rsid w:val="6DF003E7"/>
    <w:rsid w:val="6E533D98"/>
    <w:rsid w:val="6E7647D3"/>
    <w:rsid w:val="6E7653B0"/>
    <w:rsid w:val="6E882982"/>
    <w:rsid w:val="6EA2262A"/>
    <w:rsid w:val="6ED44A5D"/>
    <w:rsid w:val="6F1A1D4F"/>
    <w:rsid w:val="6F1F2AA5"/>
    <w:rsid w:val="6F255735"/>
    <w:rsid w:val="6F415726"/>
    <w:rsid w:val="6F421E05"/>
    <w:rsid w:val="6F4F026E"/>
    <w:rsid w:val="6F5922C6"/>
    <w:rsid w:val="6F8A3AA7"/>
    <w:rsid w:val="6F9401C4"/>
    <w:rsid w:val="6FC12979"/>
    <w:rsid w:val="6FC916D7"/>
    <w:rsid w:val="7005230C"/>
    <w:rsid w:val="702A0B29"/>
    <w:rsid w:val="702C609B"/>
    <w:rsid w:val="7039446C"/>
    <w:rsid w:val="70406272"/>
    <w:rsid w:val="704D7FE5"/>
    <w:rsid w:val="705B5186"/>
    <w:rsid w:val="70AA6768"/>
    <w:rsid w:val="70BC5C25"/>
    <w:rsid w:val="70C26FB3"/>
    <w:rsid w:val="70C76EEE"/>
    <w:rsid w:val="70F57389"/>
    <w:rsid w:val="711C2B67"/>
    <w:rsid w:val="714D6394"/>
    <w:rsid w:val="71D376CA"/>
    <w:rsid w:val="71E76CD1"/>
    <w:rsid w:val="72295D41"/>
    <w:rsid w:val="72312642"/>
    <w:rsid w:val="72B666A4"/>
    <w:rsid w:val="72DD67C8"/>
    <w:rsid w:val="72DF0C79"/>
    <w:rsid w:val="72E6643C"/>
    <w:rsid w:val="72F53670"/>
    <w:rsid w:val="73140212"/>
    <w:rsid w:val="73190063"/>
    <w:rsid w:val="73815000"/>
    <w:rsid w:val="73A55905"/>
    <w:rsid w:val="73D3530B"/>
    <w:rsid w:val="73EF6311"/>
    <w:rsid w:val="742E508B"/>
    <w:rsid w:val="748C590E"/>
    <w:rsid w:val="74BB61F3"/>
    <w:rsid w:val="74F141CA"/>
    <w:rsid w:val="753021BB"/>
    <w:rsid w:val="7541301E"/>
    <w:rsid w:val="754E350B"/>
    <w:rsid w:val="7566309B"/>
    <w:rsid w:val="756A7F20"/>
    <w:rsid w:val="759E1D9D"/>
    <w:rsid w:val="75A257C5"/>
    <w:rsid w:val="75A90F84"/>
    <w:rsid w:val="75C81A4C"/>
    <w:rsid w:val="75DD32F2"/>
    <w:rsid w:val="76530DD9"/>
    <w:rsid w:val="768B1926"/>
    <w:rsid w:val="76B949B4"/>
    <w:rsid w:val="76D637B8"/>
    <w:rsid w:val="77401B62"/>
    <w:rsid w:val="774424D0"/>
    <w:rsid w:val="77446974"/>
    <w:rsid w:val="774B7D02"/>
    <w:rsid w:val="774E551A"/>
    <w:rsid w:val="77C57E38"/>
    <w:rsid w:val="77CB2BF1"/>
    <w:rsid w:val="77D41B9E"/>
    <w:rsid w:val="78340796"/>
    <w:rsid w:val="78393FFF"/>
    <w:rsid w:val="78446993"/>
    <w:rsid w:val="78692B73"/>
    <w:rsid w:val="78731841"/>
    <w:rsid w:val="788A2AAC"/>
    <w:rsid w:val="78A004DB"/>
    <w:rsid w:val="78B1554E"/>
    <w:rsid w:val="78BD1DA5"/>
    <w:rsid w:val="78D41F79"/>
    <w:rsid w:val="791A1C51"/>
    <w:rsid w:val="792A1B99"/>
    <w:rsid w:val="79514374"/>
    <w:rsid w:val="796055BB"/>
    <w:rsid w:val="79773F7C"/>
    <w:rsid w:val="79833500"/>
    <w:rsid w:val="799F7E92"/>
    <w:rsid w:val="79E56A30"/>
    <w:rsid w:val="79F20909"/>
    <w:rsid w:val="79FF6C38"/>
    <w:rsid w:val="7A19577E"/>
    <w:rsid w:val="7A4A24F3"/>
    <w:rsid w:val="7A5507DB"/>
    <w:rsid w:val="7A857DE0"/>
    <w:rsid w:val="7A9A7B5D"/>
    <w:rsid w:val="7A9D67A7"/>
    <w:rsid w:val="7AA00365"/>
    <w:rsid w:val="7ACC67AC"/>
    <w:rsid w:val="7AF16597"/>
    <w:rsid w:val="7AF4420D"/>
    <w:rsid w:val="7AF97A75"/>
    <w:rsid w:val="7B0A57DF"/>
    <w:rsid w:val="7B1206B1"/>
    <w:rsid w:val="7B231500"/>
    <w:rsid w:val="7B625C8D"/>
    <w:rsid w:val="7B9A6B62"/>
    <w:rsid w:val="7BC462D5"/>
    <w:rsid w:val="7BEE6EAE"/>
    <w:rsid w:val="7C003D20"/>
    <w:rsid w:val="7C4363ED"/>
    <w:rsid w:val="7C4D0079"/>
    <w:rsid w:val="7C887303"/>
    <w:rsid w:val="7C9B1352"/>
    <w:rsid w:val="7CA41787"/>
    <w:rsid w:val="7CB56CBA"/>
    <w:rsid w:val="7CD51E1C"/>
    <w:rsid w:val="7D376633"/>
    <w:rsid w:val="7D487C87"/>
    <w:rsid w:val="7D4A0A5C"/>
    <w:rsid w:val="7D6C452F"/>
    <w:rsid w:val="7D8253F9"/>
    <w:rsid w:val="7DDA21EA"/>
    <w:rsid w:val="7DF764EE"/>
    <w:rsid w:val="7E0046E9"/>
    <w:rsid w:val="7E1E7F1F"/>
    <w:rsid w:val="7E4B4A8C"/>
    <w:rsid w:val="7E5372E5"/>
    <w:rsid w:val="7E5A0FDB"/>
    <w:rsid w:val="7E7538B7"/>
    <w:rsid w:val="7EA01C51"/>
    <w:rsid w:val="7EA23BA4"/>
    <w:rsid w:val="7EE527EB"/>
    <w:rsid w:val="7EED169F"/>
    <w:rsid w:val="7EED6BB5"/>
    <w:rsid w:val="7F2D7CEE"/>
    <w:rsid w:val="7F46391B"/>
    <w:rsid w:val="7F482D79"/>
    <w:rsid w:val="7F486275"/>
    <w:rsid w:val="7F874800"/>
    <w:rsid w:val="7FD0349B"/>
    <w:rsid w:val="7FF151BF"/>
    <w:rsid w:val="7FFD06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4"/>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7"/>
    <w:link w:val="5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9">
    <w:name w:val="heading 5"/>
    <w:basedOn w:val="1"/>
    <w:next w:val="1"/>
    <w:qFormat/>
    <w:uiPriority w:val="0"/>
    <w:pPr>
      <w:keepLines/>
      <w:widowControl/>
      <w:spacing w:before="280" w:after="290" w:line="372" w:lineRule="auto"/>
      <w:outlineLvl w:val="4"/>
    </w:pPr>
    <w:rPr>
      <w:b/>
      <w:color w:val="000000"/>
      <w:sz w:val="28"/>
      <w:szCs w:val="20"/>
    </w:rPr>
  </w:style>
  <w:style w:type="paragraph" w:styleId="10">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1">
    <w:name w:val="heading 7"/>
    <w:basedOn w:val="1"/>
    <w:next w:val="1"/>
    <w:qFormat/>
    <w:uiPriority w:val="0"/>
    <w:pPr>
      <w:keepLines/>
      <w:widowControl/>
      <w:spacing w:before="240" w:after="64" w:line="312" w:lineRule="auto"/>
      <w:outlineLvl w:val="6"/>
    </w:pPr>
    <w:rPr>
      <w:b/>
      <w:color w:val="000000"/>
      <w:sz w:val="24"/>
      <w:szCs w:val="20"/>
    </w:rPr>
  </w:style>
  <w:style w:type="paragraph" w:styleId="12">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3">
    <w:name w:val="heading 9"/>
    <w:basedOn w:val="1"/>
    <w:next w:val="1"/>
    <w:link w:val="57"/>
    <w:qFormat/>
    <w:uiPriority w:val="0"/>
    <w:pPr>
      <w:keepLines/>
      <w:widowControl/>
      <w:spacing w:before="240" w:after="64" w:line="312" w:lineRule="auto"/>
      <w:outlineLvl w:val="8"/>
    </w:pPr>
    <w:rPr>
      <w:rFonts w:ascii="Arial" w:hAnsi="Arial" w:eastAsia="黑体"/>
      <w:color w:val="000000"/>
      <w:szCs w:val="20"/>
    </w:rPr>
  </w:style>
  <w:style w:type="character" w:default="1" w:styleId="47">
    <w:name w:val="Default Paragraph Font"/>
    <w:unhideWhenUsed/>
    <w:qFormat/>
    <w:uiPriority w:val="1"/>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widowControl w:val="0"/>
      <w:spacing w:after="120"/>
      <w:ind w:left="420" w:leftChars="200" w:firstLine="420"/>
      <w:jc w:val="both"/>
    </w:pPr>
    <w:rPr>
      <w:rFonts w:ascii="Calibri" w:hAnsi="Calibri" w:eastAsia="宋体" w:cs="宋体"/>
      <w:kern w:val="2"/>
      <w:sz w:val="21"/>
      <w:szCs w:val="22"/>
      <w:lang w:val="en-US" w:eastAsia="zh-CN" w:bidi="ar-SA"/>
    </w:rPr>
  </w:style>
  <w:style w:type="paragraph" w:customStyle="1" w:styleId="3">
    <w:name w:val="Body Text Indent1"/>
    <w:basedOn w:val="1"/>
    <w:next w:val="1"/>
    <w:qFormat/>
    <w:uiPriority w:val="0"/>
    <w:pPr>
      <w:spacing w:after="120"/>
      <w:ind w:left="420" w:leftChars="200"/>
    </w:pPr>
  </w:style>
  <w:style w:type="paragraph" w:styleId="7">
    <w:name w:val="Normal Indent"/>
    <w:basedOn w:val="1"/>
    <w:link w:val="56"/>
    <w:qFormat/>
    <w:uiPriority w:val="0"/>
    <w:pPr>
      <w:ind w:firstLine="420"/>
    </w:pPr>
    <w:rPr>
      <w:rFonts w:ascii="Times New Roman" w:hAnsi="Times New Roman"/>
      <w:szCs w:val="20"/>
    </w:rPr>
  </w:style>
  <w:style w:type="paragraph" w:styleId="14">
    <w:name w:val="toc 7"/>
    <w:basedOn w:val="1"/>
    <w:next w:val="1"/>
    <w:unhideWhenUsed/>
    <w:qFormat/>
    <w:uiPriority w:val="39"/>
    <w:pPr>
      <w:ind w:left="1260"/>
      <w:jc w:val="left"/>
    </w:pPr>
    <w:rPr>
      <w:rFonts w:ascii="Calibri" w:hAnsi="Calibri"/>
      <w:sz w:val="18"/>
      <w:szCs w:val="18"/>
    </w:rPr>
  </w:style>
  <w:style w:type="paragraph" w:styleId="15">
    <w:name w:val="table of authorities"/>
    <w:basedOn w:val="1"/>
    <w:next w:val="1"/>
    <w:qFormat/>
    <w:uiPriority w:val="0"/>
    <w:pPr>
      <w:ind w:left="420" w:leftChars="200"/>
    </w:pPr>
  </w:style>
  <w:style w:type="paragraph" w:styleId="16">
    <w:name w:val="caption"/>
    <w:basedOn w:val="1"/>
    <w:next w:val="1"/>
    <w:qFormat/>
    <w:uiPriority w:val="0"/>
    <w:pPr>
      <w:spacing w:before="152" w:after="160"/>
    </w:pPr>
    <w:rPr>
      <w:rFonts w:ascii="Arial" w:hAnsi="Arial" w:eastAsia="黑体"/>
      <w:sz w:val="20"/>
      <w:szCs w:val="20"/>
    </w:rPr>
  </w:style>
  <w:style w:type="paragraph" w:styleId="17">
    <w:name w:val="Document Map"/>
    <w:basedOn w:val="1"/>
    <w:link w:val="58"/>
    <w:qFormat/>
    <w:uiPriority w:val="0"/>
    <w:pPr>
      <w:shd w:val="clear" w:color="auto" w:fill="000080"/>
    </w:pPr>
  </w:style>
  <w:style w:type="paragraph" w:styleId="18">
    <w:name w:val="annotation text"/>
    <w:basedOn w:val="1"/>
    <w:semiHidden/>
    <w:qFormat/>
    <w:uiPriority w:val="0"/>
    <w:pPr>
      <w:jc w:val="left"/>
    </w:pPr>
  </w:style>
  <w:style w:type="paragraph" w:styleId="19">
    <w:name w:val="Body Text 3"/>
    <w:basedOn w:val="1"/>
    <w:qFormat/>
    <w:uiPriority w:val="0"/>
    <w:pPr>
      <w:widowControl/>
      <w:spacing w:line="360" w:lineRule="auto"/>
    </w:pPr>
    <w:rPr>
      <w:rFonts w:ascii="仿宋_GB2312" w:eastAsia="仿宋_GB2312"/>
      <w:sz w:val="24"/>
      <w:szCs w:val="20"/>
    </w:rPr>
  </w:style>
  <w:style w:type="paragraph" w:styleId="20">
    <w:name w:val="Body Text"/>
    <w:basedOn w:val="1"/>
    <w:next w:val="21"/>
    <w:qFormat/>
    <w:uiPriority w:val="0"/>
    <w:pPr>
      <w:tabs>
        <w:tab w:val="left" w:pos="208"/>
      </w:tabs>
      <w:spacing w:line="432" w:lineRule="auto"/>
    </w:pPr>
    <w:rPr>
      <w:rFonts w:ascii="仿宋_GB2312" w:eastAsia="仿宋_GB2312"/>
      <w:sz w:val="28"/>
    </w:rPr>
  </w:style>
  <w:style w:type="paragraph" w:styleId="21">
    <w:name w:val="Body Text First Indent"/>
    <w:basedOn w:val="20"/>
    <w:next w:val="1"/>
    <w:qFormat/>
    <w:uiPriority w:val="0"/>
    <w:pPr>
      <w:tabs>
        <w:tab w:val="clear" w:pos="208"/>
      </w:tabs>
      <w:spacing w:after="120" w:line="240" w:lineRule="auto"/>
      <w:ind w:firstLine="420" w:firstLineChars="100"/>
    </w:pPr>
    <w:rPr>
      <w:rFonts w:ascii="Times New Roman" w:eastAsia="宋体"/>
      <w:sz w:val="21"/>
    </w:rPr>
  </w:style>
  <w:style w:type="paragraph" w:styleId="22">
    <w:name w:val="Body Text Indent"/>
    <w:basedOn w:val="1"/>
    <w:next w:val="1"/>
    <w:qFormat/>
    <w:uiPriority w:val="0"/>
    <w:pPr>
      <w:ind w:firstLine="540"/>
    </w:pPr>
    <w:rPr>
      <w:sz w:val="28"/>
      <w:szCs w:val="20"/>
    </w:rPr>
  </w:style>
  <w:style w:type="paragraph" w:styleId="23">
    <w:name w:val="Block Text"/>
    <w:basedOn w:val="1"/>
    <w:unhideWhenUsed/>
    <w:qFormat/>
    <w:uiPriority w:val="99"/>
    <w:pPr>
      <w:adjustRightInd w:val="0"/>
      <w:spacing w:line="300" w:lineRule="auto"/>
      <w:ind w:left="958" w:right="-120" w:rightChars="-120"/>
      <w:jc w:val="left"/>
    </w:pPr>
    <w:rPr>
      <w:rFonts w:ascii="宋体" w:hAnsi="宋体"/>
      <w:sz w:val="28"/>
    </w:rPr>
  </w:style>
  <w:style w:type="paragraph" w:styleId="24">
    <w:name w:val="toc 5"/>
    <w:basedOn w:val="1"/>
    <w:next w:val="1"/>
    <w:unhideWhenUsed/>
    <w:qFormat/>
    <w:uiPriority w:val="39"/>
    <w:pPr>
      <w:ind w:left="840"/>
      <w:jc w:val="left"/>
    </w:pPr>
    <w:rPr>
      <w:rFonts w:ascii="Calibri" w:hAnsi="Calibri"/>
      <w:sz w:val="18"/>
      <w:szCs w:val="18"/>
    </w:rPr>
  </w:style>
  <w:style w:type="paragraph" w:styleId="25">
    <w:name w:val="toc 3"/>
    <w:basedOn w:val="1"/>
    <w:next w:val="1"/>
    <w:qFormat/>
    <w:uiPriority w:val="39"/>
    <w:pPr>
      <w:spacing w:before="40" w:after="40"/>
      <w:ind w:left="200" w:leftChars="200"/>
      <w:jc w:val="left"/>
    </w:pPr>
    <w:rPr>
      <w:rFonts w:ascii="Calibri" w:hAnsi="Calibri" w:eastAsia="仿宋_GB2312"/>
      <w:iCs/>
      <w:sz w:val="20"/>
      <w:szCs w:val="20"/>
    </w:rPr>
  </w:style>
  <w:style w:type="paragraph" w:styleId="26">
    <w:name w:val="Plain Text"/>
    <w:basedOn w:val="1"/>
    <w:link w:val="59"/>
    <w:qFormat/>
    <w:uiPriority w:val="0"/>
    <w:rPr>
      <w:rFonts w:ascii="宋体" w:hAnsi="Courier New"/>
      <w:szCs w:val="20"/>
    </w:rPr>
  </w:style>
  <w:style w:type="paragraph" w:styleId="27">
    <w:name w:val="toc 8"/>
    <w:basedOn w:val="1"/>
    <w:next w:val="1"/>
    <w:unhideWhenUsed/>
    <w:qFormat/>
    <w:uiPriority w:val="39"/>
    <w:pPr>
      <w:ind w:left="1470"/>
      <w:jc w:val="left"/>
    </w:pPr>
    <w:rPr>
      <w:rFonts w:ascii="Calibri" w:hAnsi="Calibri"/>
      <w:sz w:val="18"/>
      <w:szCs w:val="18"/>
    </w:rPr>
  </w:style>
  <w:style w:type="paragraph" w:styleId="28">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9">
    <w:name w:val="Body Text Indent 2"/>
    <w:basedOn w:val="1"/>
    <w:qFormat/>
    <w:uiPriority w:val="0"/>
    <w:pPr>
      <w:snapToGrid w:val="0"/>
      <w:spacing w:line="400" w:lineRule="exact"/>
      <w:ind w:firstLine="480"/>
    </w:pPr>
    <w:rPr>
      <w:rFonts w:eastAsia="仿宋_GB2312"/>
      <w:sz w:val="24"/>
    </w:rPr>
  </w:style>
  <w:style w:type="paragraph" w:styleId="30">
    <w:name w:val="Balloon Text"/>
    <w:basedOn w:val="1"/>
    <w:link w:val="60"/>
    <w:qFormat/>
    <w:uiPriority w:val="0"/>
    <w:rPr>
      <w:rFonts w:ascii="Times New Roman" w:hAnsi="Times New Roman"/>
      <w:sz w:val="18"/>
      <w:szCs w:val="18"/>
    </w:rPr>
  </w:style>
  <w:style w:type="paragraph" w:styleId="31">
    <w:name w:val="footer"/>
    <w:basedOn w:val="1"/>
    <w:link w:val="61"/>
    <w:qFormat/>
    <w:uiPriority w:val="99"/>
    <w:pPr>
      <w:tabs>
        <w:tab w:val="center" w:pos="4153"/>
        <w:tab w:val="right" w:pos="8306"/>
      </w:tabs>
      <w:snapToGrid w:val="0"/>
      <w:jc w:val="left"/>
    </w:pPr>
    <w:rPr>
      <w:rFonts w:ascii="Times New Roman" w:hAnsi="Times New Roman"/>
      <w:sz w:val="18"/>
      <w:szCs w:val="18"/>
    </w:rPr>
  </w:style>
  <w:style w:type="paragraph" w:styleId="32">
    <w:name w:val="header"/>
    <w:basedOn w:val="1"/>
    <w:link w:val="62"/>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3">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34">
    <w:name w:val="toc 4"/>
    <w:basedOn w:val="1"/>
    <w:next w:val="1"/>
    <w:unhideWhenUsed/>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rFonts w:ascii="Times New Roman" w:hAnsi="Times New Roman"/>
      <w:szCs w:val="24"/>
    </w:rPr>
  </w:style>
  <w:style w:type="paragraph" w:styleId="36">
    <w:name w:val="toc 6"/>
    <w:basedOn w:val="1"/>
    <w:next w:val="1"/>
    <w:unhideWhenUsed/>
    <w:qFormat/>
    <w:uiPriority w:val="39"/>
    <w:pPr>
      <w:ind w:left="1050"/>
      <w:jc w:val="left"/>
    </w:pPr>
    <w:rPr>
      <w:rFonts w:ascii="Calibri" w:hAnsi="Calibri"/>
      <w:sz w:val="18"/>
      <w:szCs w:val="18"/>
    </w:rPr>
  </w:style>
  <w:style w:type="paragraph" w:styleId="37">
    <w:name w:val="Body Text Indent 3"/>
    <w:basedOn w:val="1"/>
    <w:qFormat/>
    <w:uiPriority w:val="0"/>
    <w:pPr>
      <w:spacing w:line="360" w:lineRule="auto"/>
      <w:ind w:left="220"/>
      <w:jc w:val="left"/>
    </w:pPr>
    <w:rPr>
      <w:rFonts w:ascii="仿宋_GB2312" w:eastAsia="仿宋_GB2312"/>
      <w:color w:val="000000"/>
      <w:sz w:val="24"/>
    </w:rPr>
  </w:style>
  <w:style w:type="paragraph" w:styleId="38">
    <w:name w:val="toc 2"/>
    <w:basedOn w:val="1"/>
    <w:next w:val="1"/>
    <w:qFormat/>
    <w:uiPriority w:val="39"/>
    <w:pPr>
      <w:spacing w:before="40" w:after="40"/>
      <w:ind w:left="100" w:leftChars="100"/>
      <w:jc w:val="left"/>
    </w:pPr>
    <w:rPr>
      <w:rFonts w:ascii="Calibri" w:hAnsi="Calibri" w:eastAsia="仿宋_GB2312"/>
      <w:b/>
      <w:smallCaps/>
      <w:sz w:val="20"/>
      <w:szCs w:val="20"/>
    </w:rPr>
  </w:style>
  <w:style w:type="paragraph" w:styleId="39">
    <w:name w:val="toc 9"/>
    <w:basedOn w:val="1"/>
    <w:next w:val="1"/>
    <w:unhideWhenUsed/>
    <w:qFormat/>
    <w:uiPriority w:val="39"/>
    <w:pPr>
      <w:ind w:left="1680"/>
      <w:jc w:val="left"/>
    </w:pPr>
    <w:rPr>
      <w:rFonts w:ascii="Calibri" w:hAnsi="Calibri"/>
      <w:sz w:val="18"/>
      <w:szCs w:val="18"/>
    </w:rPr>
  </w:style>
  <w:style w:type="paragraph" w:styleId="40">
    <w:name w:val="Body Text 2"/>
    <w:basedOn w:val="1"/>
    <w:link w:val="63"/>
    <w:qFormat/>
    <w:uiPriority w:val="0"/>
    <w:pPr>
      <w:spacing w:line="560" w:lineRule="exact"/>
    </w:pPr>
    <w:rPr>
      <w:rFonts w:ascii="仿宋_GB2312" w:eastAsia="仿宋_GB2312"/>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Title"/>
    <w:basedOn w:val="1"/>
    <w:next w:val="1"/>
    <w:qFormat/>
    <w:uiPriority w:val="0"/>
    <w:pPr>
      <w:jc w:val="center"/>
      <w:outlineLvl w:val="0"/>
    </w:pPr>
    <w:rPr>
      <w:rFonts w:ascii="Arial" w:hAnsi="Arial" w:eastAsia="宋体" w:cs="Arial"/>
      <w:b/>
      <w:bCs/>
      <w:sz w:val="32"/>
      <w:szCs w:val="32"/>
    </w:rPr>
  </w:style>
  <w:style w:type="paragraph" w:styleId="43">
    <w:name w:val="annotation subject"/>
    <w:basedOn w:val="18"/>
    <w:next w:val="18"/>
    <w:semiHidden/>
    <w:qFormat/>
    <w:uiPriority w:val="0"/>
    <w:rPr>
      <w:b/>
      <w:bCs/>
    </w:rPr>
  </w:style>
  <w:style w:type="paragraph" w:styleId="44">
    <w:name w:val="Body Text First Indent 2"/>
    <w:basedOn w:val="22"/>
    <w:next w:val="1"/>
    <w:qFormat/>
    <w:uiPriority w:val="99"/>
    <w:pPr>
      <w:spacing w:after="120" w:line="240" w:lineRule="auto"/>
      <w:ind w:left="420" w:leftChars="200" w:firstLine="420" w:firstLineChars="200"/>
    </w:pPr>
    <w:rPr>
      <w:sz w:val="21"/>
      <w:szCs w:val="24"/>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paragraph" w:customStyle="1" w:styleId="53">
    <w:name w:val="样式 首行缩进:  2 字符"/>
    <w:basedOn w:val="1"/>
    <w:qFormat/>
    <w:uiPriority w:val="0"/>
    <w:pPr>
      <w:spacing w:line="480" w:lineRule="exact"/>
      <w:ind w:firstLine="200" w:firstLineChars="200"/>
      <w:jc w:val="left"/>
    </w:pPr>
    <w:rPr>
      <w:rFonts w:eastAsia="宋体" w:cs="宋体"/>
      <w:sz w:val="24"/>
    </w:rPr>
  </w:style>
  <w:style w:type="character" w:customStyle="1" w:styleId="54">
    <w:name w:val="标题 1 Char"/>
    <w:link w:val="4"/>
    <w:qFormat/>
    <w:uiPriority w:val="9"/>
    <w:rPr>
      <w:rFonts w:ascii="仿宋_GB2312" w:hAnsi="Calibri" w:eastAsia="仿宋_GB2312"/>
      <w:b/>
      <w:kern w:val="2"/>
      <w:sz w:val="44"/>
      <w:szCs w:val="22"/>
    </w:rPr>
  </w:style>
  <w:style w:type="character" w:customStyle="1" w:styleId="55">
    <w:name w:val="1.1.1标题 3 Char"/>
    <w:link w:val="6"/>
    <w:qFormat/>
    <w:uiPriority w:val="0"/>
    <w:rPr>
      <w:rFonts w:ascii="仿宋_GB2312" w:hAnsi="Calibri" w:eastAsia="仿宋_GB2312"/>
      <w:b/>
      <w:bCs/>
      <w:kern w:val="2"/>
      <w:sz w:val="30"/>
    </w:rPr>
  </w:style>
  <w:style w:type="character" w:customStyle="1" w:styleId="56">
    <w:name w:val="正文缩进 Char"/>
    <w:link w:val="7"/>
    <w:qFormat/>
    <w:uiPriority w:val="0"/>
    <w:rPr>
      <w:rFonts w:eastAsia="宋体"/>
      <w:kern w:val="2"/>
      <w:sz w:val="21"/>
      <w:lang w:val="en-US" w:eastAsia="zh-CN" w:bidi="ar-SA"/>
    </w:rPr>
  </w:style>
  <w:style w:type="character" w:customStyle="1" w:styleId="57">
    <w:name w:val="标题 9 Char"/>
    <w:link w:val="13"/>
    <w:qFormat/>
    <w:uiPriority w:val="0"/>
    <w:rPr>
      <w:rFonts w:ascii="Arial" w:hAnsi="Arial" w:eastAsia="黑体"/>
      <w:color w:val="000000"/>
      <w:kern w:val="2"/>
      <w:sz w:val="21"/>
    </w:rPr>
  </w:style>
  <w:style w:type="character" w:customStyle="1" w:styleId="58">
    <w:name w:val="文档结构图 Char1"/>
    <w:link w:val="17"/>
    <w:qFormat/>
    <w:uiPriority w:val="0"/>
    <w:rPr>
      <w:rFonts w:ascii="Calibri" w:hAnsi="Calibri"/>
      <w:kern w:val="2"/>
      <w:sz w:val="21"/>
      <w:szCs w:val="22"/>
      <w:shd w:val="clear" w:color="auto" w:fill="000080"/>
    </w:rPr>
  </w:style>
  <w:style w:type="character" w:customStyle="1" w:styleId="59">
    <w:name w:val="纯文本 Char1"/>
    <w:link w:val="26"/>
    <w:qFormat/>
    <w:uiPriority w:val="0"/>
    <w:rPr>
      <w:rFonts w:ascii="宋体" w:hAnsi="Courier New" w:eastAsia="宋体"/>
      <w:kern w:val="2"/>
      <w:sz w:val="21"/>
      <w:lang w:val="en-US" w:eastAsia="zh-CN" w:bidi="ar-SA"/>
    </w:rPr>
  </w:style>
  <w:style w:type="character" w:customStyle="1" w:styleId="60">
    <w:name w:val="批注框文本 Char"/>
    <w:link w:val="30"/>
    <w:qFormat/>
    <w:uiPriority w:val="0"/>
    <w:rPr>
      <w:kern w:val="2"/>
      <w:sz w:val="18"/>
      <w:szCs w:val="18"/>
    </w:rPr>
  </w:style>
  <w:style w:type="character" w:customStyle="1" w:styleId="61">
    <w:name w:val="页脚 Char"/>
    <w:link w:val="31"/>
    <w:qFormat/>
    <w:uiPriority w:val="99"/>
    <w:rPr>
      <w:kern w:val="2"/>
      <w:sz w:val="18"/>
      <w:szCs w:val="18"/>
    </w:rPr>
  </w:style>
  <w:style w:type="character" w:customStyle="1" w:styleId="62">
    <w:name w:val="页眉 Char"/>
    <w:link w:val="32"/>
    <w:qFormat/>
    <w:uiPriority w:val="0"/>
    <w:rPr>
      <w:sz w:val="18"/>
    </w:rPr>
  </w:style>
  <w:style w:type="character" w:customStyle="1" w:styleId="63">
    <w:name w:val="正文文本 2 Char"/>
    <w:link w:val="40"/>
    <w:qFormat/>
    <w:uiPriority w:val="0"/>
    <w:rPr>
      <w:rFonts w:ascii="仿宋_GB2312" w:hAnsi="Calibri" w:eastAsia="仿宋_GB2312"/>
      <w:kern w:val="2"/>
      <w:sz w:val="24"/>
      <w:szCs w:val="22"/>
    </w:rPr>
  </w:style>
  <w:style w:type="character" w:customStyle="1" w:styleId="64">
    <w:name w:val="正文缩进 Char_0"/>
    <w:link w:val="65"/>
    <w:qFormat/>
    <w:locked/>
    <w:uiPriority w:val="0"/>
    <w:rPr>
      <w:kern w:val="2"/>
      <w:sz w:val="21"/>
    </w:rPr>
  </w:style>
  <w:style w:type="paragraph" w:customStyle="1" w:styleId="65">
    <w:name w:val="正文缩进_0"/>
    <w:basedOn w:val="66"/>
    <w:link w:val="64"/>
    <w:unhideWhenUsed/>
    <w:qFormat/>
    <w:uiPriority w:val="0"/>
    <w:pPr>
      <w:ind w:firstLine="420"/>
    </w:pPr>
    <w:rPr>
      <w:szCs w:val="20"/>
    </w:rPr>
  </w:style>
  <w:style w:type="paragraph" w:customStyle="1" w:styleId="6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apple-converted-space"/>
    <w:qFormat/>
    <w:uiPriority w:val="0"/>
  </w:style>
  <w:style w:type="character" w:customStyle="1" w:styleId="68">
    <w:name w:val="htd0"/>
    <w:basedOn w:val="47"/>
    <w:qFormat/>
    <w:uiPriority w:val="0"/>
  </w:style>
  <w:style w:type="character" w:customStyle="1" w:styleId="69">
    <w:name w:val="纯文本 Char1_4_2"/>
    <w:link w:val="70"/>
    <w:qFormat/>
    <w:uiPriority w:val="0"/>
    <w:rPr>
      <w:rFonts w:ascii="宋体" w:hAnsi="Courier New"/>
      <w:kern w:val="2"/>
      <w:sz w:val="21"/>
    </w:rPr>
  </w:style>
  <w:style w:type="paragraph" w:customStyle="1" w:styleId="70">
    <w:name w:val="纯文本_4_2"/>
    <w:basedOn w:val="71"/>
    <w:link w:val="69"/>
    <w:qFormat/>
    <w:uiPriority w:val="0"/>
    <w:rPr>
      <w:rFonts w:ascii="宋体" w:hAnsi="Courier New"/>
      <w:szCs w:val="20"/>
    </w:rPr>
  </w:style>
  <w:style w:type="paragraph" w:customStyle="1" w:styleId="7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unnamed11"/>
    <w:qFormat/>
    <w:uiPriority w:val="0"/>
    <w:rPr>
      <w:sz w:val="20"/>
    </w:rPr>
  </w:style>
  <w:style w:type="character" w:customStyle="1" w:styleId="73">
    <w:name w:val=" Char Char1_0"/>
    <w:link w:val="74"/>
    <w:qFormat/>
    <w:uiPriority w:val="0"/>
    <w:rPr>
      <w:rFonts w:ascii="Tahoma" w:hAnsi="Tahoma"/>
      <w:kern w:val="2"/>
      <w:sz w:val="24"/>
    </w:rPr>
  </w:style>
  <w:style w:type="paragraph" w:customStyle="1" w:styleId="74">
    <w:name w:val=" Char_0"/>
    <w:basedOn w:val="75"/>
    <w:link w:val="73"/>
    <w:qFormat/>
    <w:uiPriority w:val="0"/>
    <w:rPr>
      <w:rFonts w:ascii="Tahoma" w:hAnsi="Tahoma"/>
      <w:sz w:val="24"/>
      <w:szCs w:val="20"/>
    </w:rPr>
  </w:style>
  <w:style w:type="paragraph" w:customStyle="1" w:styleId="7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bookmark-item"/>
    <w:qFormat/>
    <w:uiPriority w:val="0"/>
  </w:style>
  <w:style w:type="character" w:customStyle="1" w:styleId="77">
    <w:name w:val="纯文本 Char_0_0_0"/>
    <w:link w:val="78"/>
    <w:qFormat/>
    <w:uiPriority w:val="0"/>
    <w:rPr>
      <w:rFonts w:ascii="宋体" w:hAnsi="Courier New"/>
      <w:kern w:val="2"/>
      <w:sz w:val="21"/>
    </w:rPr>
  </w:style>
  <w:style w:type="paragraph" w:customStyle="1" w:styleId="78">
    <w:name w:val="纯文本_6_1"/>
    <w:basedOn w:val="79"/>
    <w:link w:val="77"/>
    <w:qFormat/>
    <w:uiPriority w:val="0"/>
    <w:rPr>
      <w:rFonts w:ascii="宋体" w:hAnsi="Courier New"/>
      <w:szCs w:val="20"/>
    </w:rPr>
  </w:style>
  <w:style w:type="paragraph" w:customStyle="1" w:styleId="79">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纯文本 Char1_3"/>
    <w:link w:val="81"/>
    <w:qFormat/>
    <w:uiPriority w:val="0"/>
    <w:rPr>
      <w:rFonts w:ascii="宋体" w:hAnsi="Courier New"/>
      <w:kern w:val="2"/>
      <w:sz w:val="21"/>
    </w:rPr>
  </w:style>
  <w:style w:type="paragraph" w:customStyle="1" w:styleId="81">
    <w:name w:val="纯文本_3"/>
    <w:basedOn w:val="82"/>
    <w:link w:val="80"/>
    <w:qFormat/>
    <w:uiPriority w:val="0"/>
    <w:rPr>
      <w:rFonts w:ascii="宋体" w:hAnsi="Courier New"/>
      <w:szCs w:val="20"/>
    </w:rPr>
  </w:style>
  <w:style w:type="paragraph" w:customStyle="1" w:styleId="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正文文本缩进 2 Char"/>
    <w:link w:val="84"/>
    <w:semiHidden/>
    <w:qFormat/>
    <w:uiPriority w:val="0"/>
    <w:rPr>
      <w:rFonts w:eastAsia="仿宋_GB2312"/>
      <w:kern w:val="2"/>
      <w:sz w:val="24"/>
      <w:szCs w:val="22"/>
    </w:rPr>
  </w:style>
  <w:style w:type="paragraph" w:customStyle="1" w:styleId="84">
    <w:name w:val="正文文本缩进 2_0"/>
    <w:basedOn w:val="66"/>
    <w:link w:val="83"/>
    <w:unhideWhenUsed/>
    <w:qFormat/>
    <w:uiPriority w:val="0"/>
    <w:pPr>
      <w:snapToGrid w:val="0"/>
      <w:spacing w:line="400" w:lineRule="exact"/>
      <w:ind w:firstLine="480"/>
    </w:pPr>
    <w:rPr>
      <w:rFonts w:eastAsia="仿宋_GB2312"/>
      <w:sz w:val="24"/>
      <w:szCs w:val="22"/>
    </w:rPr>
  </w:style>
  <w:style w:type="character" w:customStyle="1" w:styleId="85">
    <w:name w:val="纯文本 Char1_4_1"/>
    <w:link w:val="86"/>
    <w:qFormat/>
    <w:uiPriority w:val="0"/>
    <w:rPr>
      <w:rFonts w:ascii="宋体" w:hAnsi="Courier New"/>
      <w:kern w:val="2"/>
      <w:sz w:val="21"/>
    </w:rPr>
  </w:style>
  <w:style w:type="paragraph" w:customStyle="1" w:styleId="86">
    <w:name w:val="纯文本_4_1"/>
    <w:basedOn w:val="87"/>
    <w:link w:val="85"/>
    <w:qFormat/>
    <w:uiPriority w:val="0"/>
    <w:rPr>
      <w:rFonts w:ascii="宋体" w:hAnsi="Courier New"/>
      <w:szCs w:val="20"/>
    </w:rPr>
  </w:style>
  <w:style w:type="paragraph" w:customStyle="1" w:styleId="87">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纯文本 Char_0_0"/>
    <w:link w:val="89"/>
    <w:qFormat/>
    <w:uiPriority w:val="0"/>
    <w:rPr>
      <w:rFonts w:ascii="宋体" w:hAnsi="Courier New" w:eastAsia="宋体" w:cs="Times New Roman"/>
      <w:szCs w:val="20"/>
      <w:lang w:val="en-US" w:eastAsia="zh-CN"/>
    </w:rPr>
  </w:style>
  <w:style w:type="paragraph" w:customStyle="1" w:styleId="89">
    <w:name w:val="纯文本_6"/>
    <w:basedOn w:val="71"/>
    <w:link w:val="88"/>
    <w:qFormat/>
    <w:uiPriority w:val="0"/>
    <w:rPr>
      <w:rFonts w:ascii="宋体" w:hAnsi="Courier New"/>
      <w:kern w:val="0"/>
      <w:sz w:val="20"/>
      <w:szCs w:val="20"/>
    </w:rPr>
  </w:style>
  <w:style w:type="character" w:customStyle="1" w:styleId="90">
    <w:name w:val="textfont1"/>
    <w:basedOn w:val="47"/>
    <w:qFormat/>
    <w:uiPriority w:val="0"/>
  </w:style>
  <w:style w:type="character" w:customStyle="1" w:styleId="91">
    <w:name w:val="纯文本 Char1_1"/>
    <w:link w:val="92"/>
    <w:qFormat/>
    <w:uiPriority w:val="0"/>
    <w:rPr>
      <w:rFonts w:ascii="宋体" w:hAnsi="Courier New"/>
      <w:kern w:val="2"/>
      <w:sz w:val="21"/>
    </w:rPr>
  </w:style>
  <w:style w:type="paragraph" w:customStyle="1" w:styleId="92">
    <w:name w:val="纯文本_1"/>
    <w:basedOn w:val="93"/>
    <w:link w:val="91"/>
    <w:qFormat/>
    <w:uiPriority w:val="0"/>
    <w:rPr>
      <w:rFonts w:ascii="宋体" w:hAnsi="Courier New"/>
      <w:szCs w:val="20"/>
    </w:rPr>
  </w:style>
  <w:style w:type="paragraph" w:customStyle="1" w:styleId="9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标题 3 Char_0"/>
    <w:link w:val="95"/>
    <w:semiHidden/>
    <w:qFormat/>
    <w:uiPriority w:val="0"/>
    <w:rPr>
      <w:rFonts w:ascii="仿宋_GB2312" w:eastAsia="仿宋_GB2312"/>
      <w:b/>
      <w:bCs/>
      <w:kern w:val="2"/>
      <w:sz w:val="30"/>
    </w:rPr>
  </w:style>
  <w:style w:type="paragraph" w:customStyle="1" w:styleId="95">
    <w:name w:val="标题 3_0"/>
    <w:basedOn w:val="66"/>
    <w:next w:val="65"/>
    <w:link w:val="94"/>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96">
    <w:name w:val="普通文字 Char Char1_2"/>
    <w:link w:val="97"/>
    <w:qFormat/>
    <w:uiPriority w:val="0"/>
    <w:rPr>
      <w:rFonts w:ascii="宋体" w:hAnsi="Courier New"/>
      <w:kern w:val="2"/>
      <w:sz w:val="21"/>
    </w:rPr>
  </w:style>
  <w:style w:type="paragraph" w:customStyle="1" w:styleId="97">
    <w:name w:val="纯文本_5"/>
    <w:basedOn w:val="98"/>
    <w:link w:val="96"/>
    <w:qFormat/>
    <w:uiPriority w:val="0"/>
    <w:rPr>
      <w:rFonts w:ascii="宋体" w:hAnsi="Courier New"/>
      <w:szCs w:val="20"/>
    </w:rPr>
  </w:style>
  <w:style w:type="paragraph" w:customStyle="1" w:styleId="98">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纯文本 Char1_4_4"/>
    <w:link w:val="100"/>
    <w:qFormat/>
    <w:uiPriority w:val="0"/>
    <w:rPr>
      <w:rFonts w:ascii="宋体" w:hAnsi="Courier New"/>
      <w:kern w:val="2"/>
      <w:sz w:val="21"/>
    </w:rPr>
  </w:style>
  <w:style w:type="paragraph" w:customStyle="1" w:styleId="100">
    <w:name w:val="纯文本_4_3"/>
    <w:basedOn w:val="101"/>
    <w:link w:val="99"/>
    <w:qFormat/>
    <w:uiPriority w:val="0"/>
    <w:rPr>
      <w:rFonts w:ascii="宋体" w:hAnsi="Courier New"/>
      <w:szCs w:val="20"/>
    </w:rPr>
  </w:style>
  <w:style w:type="paragraph" w:customStyle="1" w:styleId="10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纯文本 Char1_4_3"/>
    <w:link w:val="103"/>
    <w:qFormat/>
    <w:uiPriority w:val="0"/>
    <w:rPr>
      <w:rFonts w:ascii="宋体" w:hAnsi="Courier New"/>
      <w:kern w:val="2"/>
      <w:sz w:val="21"/>
    </w:rPr>
  </w:style>
  <w:style w:type="paragraph" w:customStyle="1" w:styleId="103">
    <w:name w:val="纯文本_5_0"/>
    <w:basedOn w:val="104"/>
    <w:link w:val="102"/>
    <w:qFormat/>
    <w:uiPriority w:val="0"/>
    <w:rPr>
      <w:rFonts w:ascii="宋体" w:hAnsi="Courier New"/>
      <w:szCs w:val="20"/>
    </w:rPr>
  </w:style>
  <w:style w:type="paragraph" w:customStyle="1" w:styleId="104">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5">
    <w:name w:val="纯文本 Char1_4_0"/>
    <w:link w:val="106"/>
    <w:qFormat/>
    <w:uiPriority w:val="0"/>
    <w:rPr>
      <w:rFonts w:ascii="宋体" w:hAnsi="Courier New"/>
      <w:kern w:val="2"/>
      <w:sz w:val="21"/>
    </w:rPr>
  </w:style>
  <w:style w:type="paragraph" w:customStyle="1" w:styleId="106">
    <w:name w:val="纯文本_4_0"/>
    <w:basedOn w:val="107"/>
    <w:link w:val="105"/>
    <w:qFormat/>
    <w:uiPriority w:val="0"/>
    <w:rPr>
      <w:rFonts w:ascii="宋体" w:hAnsi="Courier New"/>
      <w:szCs w:val="20"/>
    </w:rPr>
  </w:style>
  <w:style w:type="paragraph" w:customStyle="1" w:styleId="10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纯文本 Char_0"/>
    <w:link w:val="109"/>
    <w:qFormat/>
    <w:uiPriority w:val="0"/>
    <w:rPr>
      <w:rFonts w:ascii="宋体" w:hAnsi="Courier New"/>
      <w:kern w:val="2"/>
      <w:sz w:val="21"/>
      <w:szCs w:val="21"/>
    </w:rPr>
  </w:style>
  <w:style w:type="paragraph" w:customStyle="1" w:styleId="109">
    <w:name w:val="纯文本_0_0"/>
    <w:basedOn w:val="110"/>
    <w:link w:val="108"/>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纯文本 Char1_0"/>
    <w:link w:val="112"/>
    <w:qFormat/>
    <w:locked/>
    <w:uiPriority w:val="0"/>
    <w:rPr>
      <w:rFonts w:ascii="宋体" w:hAnsi="Courier New"/>
    </w:rPr>
  </w:style>
  <w:style w:type="paragraph" w:customStyle="1" w:styleId="112">
    <w:name w:val="纯文本_0"/>
    <w:basedOn w:val="113"/>
    <w:link w:val="111"/>
    <w:unhideWhenUsed/>
    <w:qFormat/>
    <w:uiPriority w:val="0"/>
    <w:rPr>
      <w:rFonts w:ascii="宋体" w:hAnsi="Courier New"/>
      <w:kern w:val="0"/>
      <w:sz w:val="20"/>
      <w:szCs w:val="20"/>
    </w:rPr>
  </w:style>
  <w:style w:type="paragraph" w:customStyle="1" w:styleId="11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4">
    <w:name w:val=" Char Char1"/>
    <w:link w:val="115"/>
    <w:qFormat/>
    <w:uiPriority w:val="0"/>
    <w:rPr>
      <w:rFonts w:ascii="Tahoma" w:hAnsi="Tahoma" w:eastAsia="宋体"/>
      <w:kern w:val="2"/>
      <w:sz w:val="24"/>
      <w:lang w:val="en-US" w:eastAsia="zh-CN" w:bidi="ar-SA"/>
    </w:rPr>
  </w:style>
  <w:style w:type="paragraph" w:customStyle="1" w:styleId="115">
    <w:name w:val=" Char"/>
    <w:basedOn w:val="1"/>
    <w:link w:val="114"/>
    <w:qFormat/>
    <w:uiPriority w:val="0"/>
    <w:rPr>
      <w:rFonts w:ascii="Tahoma" w:hAnsi="Tahoma"/>
      <w:sz w:val="24"/>
      <w:szCs w:val="20"/>
    </w:rPr>
  </w:style>
  <w:style w:type="paragraph" w:customStyle="1" w:styleId="116">
    <w:name w:val="普通(网站)_0_0"/>
    <w:basedOn w:val="11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0">
    <w:name w:val="_Style 115"/>
    <w:basedOn w:val="4"/>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cs="Times New Roman"/>
      <w:b w:val="0"/>
      <w:color w:val="2E74B5"/>
      <w:kern w:val="0"/>
      <w:sz w:val="32"/>
      <w:szCs w:val="32"/>
    </w:rPr>
  </w:style>
  <w:style w:type="paragraph" w:customStyle="1" w:styleId="121">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2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3">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2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6">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7">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0">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31">
    <w:name w:val="样式 仿宋_GB2312 小四 加粗 行距: 1.5 倍行距"/>
    <w:basedOn w:val="5"/>
    <w:next w:val="5"/>
    <w:qFormat/>
    <w:uiPriority w:val="0"/>
    <w:pPr>
      <w:keepLines/>
      <w:adjustRightInd/>
      <w:snapToGrid/>
      <w:spacing w:before="260" w:after="260"/>
      <w:jc w:val="both"/>
      <w:textAlignment w:val="auto"/>
    </w:pPr>
    <w:rPr>
      <w:rFonts w:hAnsi="Arial" w:eastAsia="黑体" w:cs="宋体"/>
      <w:kern w:val="2"/>
      <w:sz w:val="28"/>
    </w:rPr>
  </w:style>
  <w:style w:type="paragraph" w:customStyle="1" w:styleId="132">
    <w:name w:val="Normal_20"/>
    <w:qFormat/>
    <w:uiPriority w:val="0"/>
    <w:rPr>
      <w:rFonts w:ascii="黑体" w:hAnsi="黑体" w:eastAsia="黑体" w:cs="Times New Roman"/>
      <w:b/>
      <w:sz w:val="32"/>
      <w:szCs w:val="24"/>
      <w:lang w:bidi="ar-SA"/>
    </w:rPr>
  </w:style>
  <w:style w:type="paragraph" w:customStyle="1" w:styleId="133">
    <w:name w:val="Normal_13"/>
    <w:qFormat/>
    <w:uiPriority w:val="0"/>
    <w:rPr>
      <w:rFonts w:ascii="黑体" w:hAnsi="黑体" w:eastAsia="黑体" w:cs="Times New Roman"/>
      <w:b/>
      <w:sz w:val="32"/>
      <w:szCs w:val="24"/>
      <w:lang w:bidi="ar-SA"/>
    </w:rPr>
  </w:style>
  <w:style w:type="paragraph" w:customStyle="1" w:styleId="1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默认段落字体 Para Char Char Char Char Char Char Char Char Char Char Char Char Char"/>
    <w:basedOn w:val="17"/>
    <w:qFormat/>
    <w:uiPriority w:val="0"/>
    <w:pPr>
      <w:shd w:val="clear" w:color="auto" w:fill="auto"/>
      <w:spacing w:line="300" w:lineRule="auto"/>
      <w:ind w:left="840" w:leftChars="400"/>
    </w:pPr>
  </w:style>
  <w:style w:type="paragraph" w:customStyle="1" w:styleId="1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38">
    <w:name w:val="Plain Text"/>
    <w:basedOn w:val="1"/>
    <w:qFormat/>
    <w:uiPriority w:val="0"/>
    <w:pPr>
      <w:adjustRightInd w:val="0"/>
      <w:jc w:val="left"/>
      <w:textAlignment w:val="baseline"/>
    </w:pPr>
    <w:rPr>
      <w:rFonts w:ascii="宋体" w:hAnsi="Courier New"/>
      <w:sz w:val="24"/>
      <w:szCs w:val="20"/>
    </w:rPr>
  </w:style>
  <w:style w:type="paragraph" w:customStyle="1" w:styleId="1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def正文"/>
    <w:basedOn w:val="20"/>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4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4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43">
    <w:name w:val="默认段落字体 Para Char"/>
    <w:basedOn w:val="1"/>
    <w:qFormat/>
    <w:uiPriority w:val="0"/>
    <w:rPr>
      <w:rFonts w:ascii="Tahoma" w:hAnsi="Tahoma"/>
      <w:sz w:val="24"/>
      <w:szCs w:val="20"/>
    </w:rPr>
  </w:style>
  <w:style w:type="paragraph" w:customStyle="1" w:styleId="144">
    <w:name w:val="页码1"/>
    <w:basedOn w:val="1"/>
    <w:next w:val="1"/>
    <w:qFormat/>
    <w:uiPriority w:val="0"/>
    <w:pPr>
      <w:widowControl/>
    </w:pPr>
    <w:rPr>
      <w:color w:val="000000"/>
      <w:szCs w:val="20"/>
    </w:rPr>
  </w:style>
  <w:style w:type="paragraph" w:customStyle="1" w:styleId="145">
    <w:name w:val="Normal_22"/>
    <w:qFormat/>
    <w:uiPriority w:val="0"/>
    <w:pPr>
      <w:widowControl w:val="0"/>
      <w:jc w:val="both"/>
    </w:pPr>
    <w:rPr>
      <w:rFonts w:ascii="Times New Roman" w:hAnsi="Times New Roman" w:eastAsia="Times New Roman" w:cs="Times New Roman"/>
      <w:lang w:bidi="ar-SA"/>
    </w:rPr>
  </w:style>
  <w:style w:type="paragraph" w:customStyle="1" w:styleId="1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47">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8">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49">
    <w:name w:val="Normal_11"/>
    <w:qFormat/>
    <w:uiPriority w:val="0"/>
    <w:rPr>
      <w:rFonts w:ascii="黑体" w:hAnsi="黑体" w:eastAsia="黑体" w:cs="Times New Roman"/>
      <w:b/>
      <w:sz w:val="32"/>
      <w:szCs w:val="24"/>
      <w:lang w:bidi="ar-SA"/>
    </w:rPr>
  </w:style>
  <w:style w:type="paragraph" w:customStyle="1" w:styleId="15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51">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2">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普通(网站)_0"/>
    <w:basedOn w:val="7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56">
    <w:name w:val="Normal_21"/>
    <w:qFormat/>
    <w:uiPriority w:val="0"/>
    <w:rPr>
      <w:rFonts w:ascii="黑体" w:hAnsi="黑体" w:eastAsia="黑体" w:cs="Times New Roman"/>
      <w:b/>
      <w:sz w:val="32"/>
      <w:szCs w:val="24"/>
      <w:lang w:bidi="ar-SA"/>
    </w:rPr>
  </w:style>
  <w:style w:type="paragraph" w:customStyle="1" w:styleId="1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标题2正文"/>
    <w:basedOn w:val="1"/>
    <w:qFormat/>
    <w:uiPriority w:val="0"/>
    <w:pPr>
      <w:spacing w:line="360" w:lineRule="auto"/>
      <w:ind w:firstLine="200" w:firstLineChars="200"/>
      <w:jc w:val="left"/>
    </w:pPr>
    <w:rPr>
      <w:sz w:val="24"/>
    </w:rPr>
  </w:style>
  <w:style w:type="paragraph" w:customStyle="1" w:styleId="16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1">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64">
    <w:name w:val="p0"/>
    <w:basedOn w:val="1"/>
    <w:qFormat/>
    <w:uiPriority w:val="0"/>
    <w:pPr>
      <w:widowControl/>
    </w:pPr>
    <w:rPr>
      <w:rFonts w:cs="宋体"/>
      <w:kern w:val="0"/>
      <w:szCs w:val="20"/>
    </w:rPr>
  </w:style>
  <w:style w:type="paragraph" w:customStyle="1" w:styleId="165">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6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67">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16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9">
    <w:name w:val="普通(网站)_1"/>
    <w:basedOn w:val="66"/>
    <w:unhideWhenUsed/>
    <w:qFormat/>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170">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Body Text 21"/>
    <w:basedOn w:val="1"/>
    <w:next w:val="1"/>
    <w:qFormat/>
    <w:uiPriority w:val="0"/>
    <w:pPr>
      <w:widowControl/>
      <w:spacing w:line="300" w:lineRule="auto"/>
      <w:jc w:val="center"/>
    </w:pPr>
    <w:rPr>
      <w:rFonts w:ascii="宋体"/>
      <w:color w:val="000000"/>
      <w:sz w:val="24"/>
      <w:szCs w:val="20"/>
    </w:rPr>
  </w:style>
  <w:style w:type="paragraph" w:customStyle="1" w:styleId="17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5">
    <w:name w:val="Normal_1"/>
    <w:qFormat/>
    <w:uiPriority w:val="0"/>
    <w:rPr>
      <w:rFonts w:ascii="黑体" w:hAnsi="黑体" w:eastAsia="黑体" w:cs="Times New Roman"/>
      <w:b/>
      <w:sz w:val="32"/>
      <w:szCs w:val="24"/>
      <w:lang w:bidi="ar-SA"/>
    </w:rPr>
  </w:style>
  <w:style w:type="paragraph" w:customStyle="1" w:styleId="176">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8">
    <w:name w:val="纯文本1"/>
    <w:basedOn w:val="1"/>
    <w:qFormat/>
    <w:uiPriority w:val="0"/>
    <w:rPr>
      <w:rFonts w:ascii="宋体" w:hAnsi="Courier New" w:eastAsia="宋体" w:cs="Times New Roman"/>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81">
    <w:name w:val="Normal"/>
    <w:qFormat/>
    <w:uiPriority w:val="0"/>
    <w:rPr>
      <w:rFonts w:ascii="Times New Roman" w:hAnsi="Times New Roman" w:eastAsia="Times New Roman" w:cs="Times New Roman"/>
      <w:sz w:val="24"/>
      <w:szCs w:val="24"/>
      <w:lang w:bidi="ar-SA"/>
    </w:rPr>
  </w:style>
  <w:style w:type="paragraph" w:customStyle="1" w:styleId="18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83">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84">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8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Normal_9"/>
    <w:qFormat/>
    <w:uiPriority w:val="0"/>
    <w:rPr>
      <w:rFonts w:ascii="黑体" w:hAnsi="黑体" w:eastAsia="黑体" w:cs="Times New Roman"/>
      <w:b/>
      <w:sz w:val="32"/>
      <w:szCs w:val="24"/>
      <w:lang w:bidi="ar-SA"/>
    </w:rPr>
  </w:style>
  <w:style w:type="paragraph" w:customStyle="1" w:styleId="187">
    <w:name w:val="Normal_7"/>
    <w:qFormat/>
    <w:uiPriority w:val="0"/>
    <w:rPr>
      <w:rFonts w:ascii="黑体" w:hAnsi="黑体" w:eastAsia="黑体" w:cs="Times New Roman"/>
      <w:b/>
      <w:sz w:val="32"/>
      <w:szCs w:val="24"/>
      <w:lang w:bidi="ar-SA"/>
    </w:rPr>
  </w:style>
  <w:style w:type="paragraph" w:customStyle="1" w:styleId="188">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9">
    <w:name w:val="Normal_15"/>
    <w:qFormat/>
    <w:uiPriority w:val="0"/>
    <w:rPr>
      <w:rFonts w:ascii="黑体" w:hAnsi="黑体" w:eastAsia="黑体" w:cs="Times New Roman"/>
      <w:b/>
      <w:sz w:val="32"/>
      <w:szCs w:val="24"/>
      <w:lang w:bidi="ar-SA"/>
    </w:rPr>
  </w:style>
  <w:style w:type="paragraph" w:customStyle="1" w:styleId="190">
    <w:name w:val="索引 11"/>
    <w:basedOn w:val="1"/>
    <w:next w:val="1"/>
    <w:qFormat/>
    <w:uiPriority w:val="99"/>
    <w:pPr>
      <w:adjustRightInd/>
      <w:spacing w:line="360" w:lineRule="auto"/>
    </w:pPr>
    <w:rPr>
      <w:rFonts w:ascii="仿宋_GB2312" w:eastAsia="仿宋_GB2312"/>
      <w:sz w:val="24"/>
      <w:szCs w:val="20"/>
    </w:rPr>
  </w:style>
  <w:style w:type="paragraph" w:customStyle="1" w:styleId="19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Normal_4"/>
    <w:qFormat/>
    <w:uiPriority w:val="0"/>
    <w:rPr>
      <w:rFonts w:ascii="黑体" w:hAnsi="黑体" w:eastAsia="黑体" w:cs="Times New Roman"/>
      <w:b/>
      <w:sz w:val="32"/>
      <w:szCs w:val="24"/>
      <w:lang w:bidi="ar-SA"/>
    </w:rPr>
  </w:style>
  <w:style w:type="paragraph" w:customStyle="1" w:styleId="19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2"/>
    <w:basedOn w:val="1"/>
    <w:qFormat/>
    <w:uiPriority w:val="0"/>
    <w:pPr>
      <w:spacing w:before="156" w:line="360" w:lineRule="auto"/>
      <w:ind w:firstLine="510" w:firstLineChars="200"/>
    </w:pPr>
    <w:rPr>
      <w:sz w:val="24"/>
      <w:szCs w:val="20"/>
    </w:rPr>
  </w:style>
  <w:style w:type="paragraph" w:customStyle="1" w:styleId="1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6">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9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0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0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样式 标题 4h4H4PIM 4Ref Heading 1rh1Heading sqlsect 1.2.3.4h..."/>
    <w:basedOn w:val="8"/>
    <w:qFormat/>
    <w:uiPriority w:val="0"/>
    <w:pPr>
      <w:keepNext/>
      <w:widowControl w:val="0"/>
      <w:spacing w:line="376" w:lineRule="auto"/>
    </w:pPr>
    <w:rPr>
      <w:bCs/>
      <w:color w:val="auto"/>
      <w:sz w:val="32"/>
      <w:szCs w:val="28"/>
    </w:rPr>
  </w:style>
  <w:style w:type="paragraph" w:customStyle="1" w:styleId="205">
    <w:name w:val="Normal_17"/>
    <w:qFormat/>
    <w:uiPriority w:val="0"/>
    <w:rPr>
      <w:rFonts w:ascii="黑体" w:hAnsi="黑体" w:eastAsia="黑体" w:cs="Times New Roman"/>
      <w:b/>
      <w:sz w:val="32"/>
      <w:szCs w:val="24"/>
      <w:lang w:bidi="ar-SA"/>
    </w:rPr>
  </w:style>
  <w:style w:type="paragraph" w:customStyle="1" w:styleId="206">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7">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08">
    <w:name w:val="标题3正文"/>
    <w:basedOn w:val="1"/>
    <w:qFormat/>
    <w:uiPriority w:val="0"/>
    <w:pPr>
      <w:spacing w:line="360" w:lineRule="auto"/>
      <w:ind w:left="200" w:leftChars="200" w:firstLine="200" w:firstLineChars="200"/>
      <w:jc w:val="left"/>
    </w:pPr>
    <w:rPr>
      <w:sz w:val="24"/>
    </w:rPr>
  </w:style>
  <w:style w:type="paragraph" w:customStyle="1" w:styleId="209">
    <w:name w:val="Char Char Char Char"/>
    <w:basedOn w:val="1"/>
    <w:qFormat/>
    <w:uiPriority w:val="0"/>
    <w:pPr>
      <w:adjustRightInd w:val="0"/>
      <w:spacing w:line="360" w:lineRule="auto"/>
    </w:pPr>
    <w:rPr>
      <w:kern w:val="0"/>
      <w:sz w:val="24"/>
      <w:szCs w:val="20"/>
    </w:rPr>
  </w:style>
  <w:style w:type="paragraph" w:customStyle="1" w:styleId="210">
    <w:name w:val="font8"/>
    <w:basedOn w:val="1"/>
    <w:qFormat/>
    <w:uiPriority w:val="0"/>
    <w:pPr>
      <w:widowControl/>
      <w:spacing w:before="100" w:beforeAutospacing="1" w:after="100" w:afterAutospacing="1"/>
      <w:jc w:val="left"/>
    </w:pPr>
    <w:rPr>
      <w:kern w:val="0"/>
      <w:sz w:val="20"/>
      <w:szCs w:val="20"/>
    </w:rPr>
  </w:style>
  <w:style w:type="paragraph" w:customStyle="1" w:styleId="2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13">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4">
    <w:name w:val="样式 标题 31.1.1标题 333rd levelBOD 0Bold HeadCTH3H31Heading ..."/>
    <w:basedOn w:val="8"/>
    <w:qFormat/>
    <w:uiPriority w:val="0"/>
    <w:pPr>
      <w:spacing w:before="0" w:after="0"/>
      <w:ind w:firstLine="0" w:firstLineChars="0"/>
      <w:jc w:val="center"/>
    </w:pPr>
    <w:rPr>
      <w:rFonts w:cs="宋体"/>
    </w:rPr>
  </w:style>
  <w:style w:type="paragraph" w:customStyle="1" w:styleId="215">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7">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1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0">
    <w:name w:val="Normal_12"/>
    <w:qFormat/>
    <w:uiPriority w:val="0"/>
    <w:rPr>
      <w:rFonts w:ascii="黑体" w:hAnsi="黑体" w:eastAsia="黑体" w:cs="Times New Roman"/>
      <w:b/>
      <w:sz w:val="32"/>
      <w:szCs w:val="24"/>
      <w:lang w:bidi="ar-SA"/>
    </w:rPr>
  </w:style>
  <w:style w:type="paragraph" w:customStyle="1" w:styleId="221">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22">
    <w:name w:val="Normal_18"/>
    <w:qFormat/>
    <w:uiPriority w:val="0"/>
    <w:rPr>
      <w:rFonts w:ascii="黑体" w:hAnsi="黑体" w:eastAsia="黑体" w:cs="Times New Roman"/>
      <w:b/>
      <w:sz w:val="32"/>
      <w:szCs w:val="24"/>
      <w:lang w:bidi="ar-SA"/>
    </w:rPr>
  </w:style>
  <w:style w:type="paragraph" w:customStyle="1" w:styleId="22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1 Char Char Char Char"/>
    <w:basedOn w:val="1"/>
    <w:qFormat/>
    <w:uiPriority w:val="0"/>
    <w:pPr>
      <w:jc w:val="center"/>
    </w:pPr>
    <w:rPr>
      <w:rFonts w:ascii="Tahoma" w:hAnsi="Tahoma"/>
      <w:sz w:val="24"/>
      <w:szCs w:val="20"/>
    </w:rPr>
  </w:style>
  <w:style w:type="paragraph" w:customStyle="1" w:styleId="22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7">
    <w:name w:val="Normal_10"/>
    <w:qFormat/>
    <w:uiPriority w:val="0"/>
    <w:rPr>
      <w:rFonts w:ascii="黑体" w:hAnsi="黑体" w:eastAsia="黑体" w:cs="Times New Roman"/>
      <w:b/>
      <w:sz w:val="32"/>
      <w:szCs w:val="24"/>
      <w:lang w:bidi="ar-SA"/>
    </w:rPr>
  </w:style>
  <w:style w:type="paragraph" w:customStyle="1" w:styleId="22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9">
    <w:name w:val="样式 标题 31.1.1标题 333rd levelBOD 0Bold HeadCTH3H31Heading ...1"/>
    <w:basedOn w:val="6"/>
    <w:qFormat/>
    <w:uiPriority w:val="0"/>
    <w:pPr>
      <w:spacing w:before="0" w:after="0"/>
      <w:ind w:firstLine="0" w:firstLineChars="0"/>
    </w:pPr>
    <w:rPr>
      <w:rFonts w:hAnsi="宋体" w:cs="宋体"/>
      <w:sz w:val="24"/>
    </w:rPr>
  </w:style>
  <w:style w:type="paragraph" w:customStyle="1" w:styleId="230">
    <w:name w:val="普通(网站)_1_0"/>
    <w:basedOn w:val="152"/>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1">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6">
    <w:name w:val="纯文本_6_0"/>
    <w:basedOn w:val="87"/>
    <w:qFormat/>
    <w:uiPriority w:val="0"/>
    <w:rPr>
      <w:rFonts w:ascii="宋体" w:hAnsi="Courier New" w:eastAsia="宋体"/>
      <w:szCs w:val="20"/>
    </w:rPr>
  </w:style>
  <w:style w:type="paragraph" w:customStyle="1" w:styleId="23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8">
    <w:name w:val=" 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40">
    <w:name w:val="Normal_16"/>
    <w:qFormat/>
    <w:uiPriority w:val="0"/>
    <w:rPr>
      <w:rFonts w:ascii="黑体" w:hAnsi="黑体" w:eastAsia="黑体" w:cs="Times New Roman"/>
      <w:b/>
      <w:sz w:val="32"/>
      <w:szCs w:val="24"/>
      <w:lang w:bidi="ar-SA"/>
    </w:rPr>
  </w:style>
  <w:style w:type="paragraph" w:customStyle="1" w:styleId="241">
    <w:name w:val="列出段落1"/>
    <w:basedOn w:val="1"/>
    <w:qFormat/>
    <w:uiPriority w:val="0"/>
    <w:pPr>
      <w:ind w:firstLine="420" w:firstLineChars="200"/>
    </w:pPr>
    <w:rPr>
      <w:szCs w:val="21"/>
    </w:rPr>
  </w:style>
  <w:style w:type="paragraph" w:customStyle="1" w:styleId="242">
    <w:name w:val="样式1"/>
    <w:basedOn w:val="5"/>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43">
    <w:name w:val="样式 标题 3列表编号3h33rd level + 段前: 1 行"/>
    <w:basedOn w:val="6"/>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244">
    <w:name w:val="font11"/>
    <w:basedOn w:val="1"/>
    <w:qFormat/>
    <w:uiPriority w:val="0"/>
    <w:pPr>
      <w:widowControl/>
      <w:spacing w:before="100" w:beforeAutospacing="1" w:after="100" w:afterAutospacing="1"/>
      <w:jc w:val="left"/>
    </w:pPr>
    <w:rPr>
      <w:b/>
      <w:bCs/>
      <w:i/>
      <w:iCs/>
      <w:kern w:val="0"/>
      <w:sz w:val="24"/>
    </w:rPr>
  </w:style>
  <w:style w:type="paragraph" w:customStyle="1" w:styleId="245">
    <w:name w:val="表内文字"/>
    <w:basedOn w:val="1"/>
    <w:qFormat/>
    <w:uiPriority w:val="0"/>
    <w:pPr>
      <w:jc w:val="center"/>
    </w:pPr>
    <w:rPr>
      <w:rFonts w:ascii="仿宋_GB2312" w:eastAsia="仿宋_GB2312"/>
      <w:sz w:val="24"/>
    </w:rPr>
  </w:style>
  <w:style w:type="paragraph" w:customStyle="1" w:styleId="24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4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48">
    <w:name w:val="普通(网站)_2"/>
    <w:basedOn w:val="185"/>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9">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50">
    <w:name w:val="样式 标题 3Title3h33rd levelH3l3CTlevel_3PIM 33Heading 3 -..."/>
    <w:basedOn w:val="6"/>
    <w:qFormat/>
    <w:uiPriority w:val="0"/>
    <w:pPr>
      <w:spacing w:line="416" w:lineRule="auto"/>
      <w:ind w:firstLine="0" w:firstLineChars="0"/>
    </w:pPr>
    <w:rPr>
      <w:rFonts w:ascii="Times New Roman" w:eastAsia="宋体" w:cs="宋体"/>
      <w:sz w:val="36"/>
    </w:rPr>
  </w:style>
  <w:style w:type="paragraph" w:customStyle="1" w:styleId="251">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52">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53">
    <w:name w:val="Normal_8"/>
    <w:qFormat/>
    <w:uiPriority w:val="0"/>
    <w:rPr>
      <w:rFonts w:ascii="黑体" w:hAnsi="黑体" w:eastAsia="黑体" w:cs="Times New Roman"/>
      <w:b/>
      <w:sz w:val="32"/>
      <w:szCs w:val="24"/>
      <w:lang w:bidi="ar-SA"/>
    </w:rPr>
  </w:style>
  <w:style w:type="paragraph" w:customStyle="1" w:styleId="254">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5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 Char Char Char"/>
    <w:basedOn w:val="1"/>
    <w:qFormat/>
    <w:uiPriority w:val="0"/>
    <w:rPr>
      <w:rFonts w:ascii="Tahoma" w:hAnsi="Tahoma"/>
      <w:sz w:val="24"/>
      <w:szCs w:val="20"/>
    </w:rPr>
  </w:style>
  <w:style w:type="paragraph" w:customStyle="1" w:styleId="257">
    <w:name w:val=" Char Char Char Char"/>
    <w:basedOn w:val="1"/>
    <w:qFormat/>
    <w:uiPriority w:val="0"/>
    <w:rPr>
      <w:rFonts w:ascii="Tahoma" w:hAnsi="Tahoma"/>
      <w:sz w:val="24"/>
      <w:szCs w:val="20"/>
    </w:rPr>
  </w:style>
  <w:style w:type="paragraph" w:customStyle="1" w:styleId="258">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 Char Char Char Char Char Char Char Char Char Char"/>
    <w:basedOn w:val="17"/>
    <w:qFormat/>
    <w:uiPriority w:val="0"/>
    <w:rPr>
      <w:szCs w:val="20"/>
    </w:rPr>
  </w:style>
  <w:style w:type="paragraph" w:customStyle="1" w:styleId="260">
    <w:name w:val="Normal_5"/>
    <w:qFormat/>
    <w:uiPriority w:val="0"/>
    <w:rPr>
      <w:rFonts w:ascii="黑体" w:hAnsi="黑体" w:eastAsia="黑体" w:cs="Times New Roman"/>
      <w:b/>
      <w:sz w:val="32"/>
      <w:szCs w:val="24"/>
      <w:lang w:bidi="ar-SA"/>
    </w:rPr>
  </w:style>
  <w:style w:type="paragraph" w:customStyle="1" w:styleId="26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Normal_0"/>
    <w:qFormat/>
    <w:uiPriority w:val="0"/>
    <w:rPr>
      <w:rFonts w:ascii="黑体" w:hAnsi="黑体" w:eastAsia="黑体" w:cs="Times New Roman"/>
      <w:b/>
      <w:sz w:val="32"/>
      <w:szCs w:val="24"/>
      <w:lang w:bidi="ar-SA"/>
    </w:rPr>
  </w:style>
  <w:style w:type="paragraph" w:customStyle="1" w:styleId="263">
    <w:name w:val="Normal_3"/>
    <w:qFormat/>
    <w:uiPriority w:val="0"/>
    <w:rPr>
      <w:rFonts w:ascii="黑体" w:hAnsi="黑体" w:eastAsia="黑体" w:cs="Times New Roman"/>
      <w:b/>
      <w:sz w:val="32"/>
      <w:szCs w:val="24"/>
      <w:lang w:bidi="ar-SA"/>
    </w:rPr>
  </w:style>
  <w:style w:type="paragraph" w:customStyle="1" w:styleId="26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6">
    <w:name w:val="Normal_19"/>
    <w:qFormat/>
    <w:uiPriority w:val="0"/>
    <w:rPr>
      <w:rFonts w:ascii="黑体" w:hAnsi="黑体" w:eastAsia="黑体" w:cs="Times New Roman"/>
      <w:b/>
      <w:sz w:val="32"/>
      <w:szCs w:val="24"/>
      <w:lang w:bidi="ar-SA"/>
    </w:rPr>
  </w:style>
  <w:style w:type="paragraph" w:customStyle="1" w:styleId="267">
    <w:name w:val="Normal_6"/>
    <w:qFormat/>
    <w:uiPriority w:val="0"/>
    <w:rPr>
      <w:rFonts w:ascii="黑体" w:hAnsi="黑体" w:eastAsia="黑体" w:cs="Times New Roman"/>
      <w:b/>
      <w:sz w:val="32"/>
      <w:szCs w:val="24"/>
      <w:lang w:bidi="ar-SA"/>
    </w:rPr>
  </w:style>
  <w:style w:type="paragraph" w:customStyle="1" w:styleId="268">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6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paragraph" w:customStyle="1" w:styleId="271">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character" w:customStyle="1" w:styleId="272">
    <w:name w:val="NormalCharacter"/>
    <w:semiHidden/>
    <w:qFormat/>
    <w:uiPriority w:val="0"/>
  </w:style>
  <w:style w:type="paragraph" w:customStyle="1" w:styleId="273">
    <w:name w:val="首行缩进"/>
    <w:basedOn w:val="1"/>
    <w:qFormat/>
    <w:uiPriority w:val="0"/>
    <w:rPr>
      <w:lang w:val="zh-CN"/>
    </w:rPr>
  </w:style>
  <w:style w:type="character" w:customStyle="1" w:styleId="274">
    <w:name w:val="font51"/>
    <w:basedOn w:val="47"/>
    <w:qFormat/>
    <w:uiPriority w:val="0"/>
    <w:rPr>
      <w:rFonts w:hint="eastAsia" w:ascii="宋体" w:hAnsi="宋体" w:eastAsia="宋体" w:cs="宋体"/>
      <w:color w:val="FF0000"/>
      <w:sz w:val="18"/>
      <w:szCs w:val="18"/>
      <w:u w:val="none"/>
    </w:rPr>
  </w:style>
  <w:style w:type="paragraph" w:customStyle="1" w:styleId="275">
    <w:name w:val="样式3"/>
    <w:basedOn w:val="26"/>
    <w:next w:val="1"/>
    <w:qFormat/>
    <w:uiPriority w:val="0"/>
    <w:pPr>
      <w:widowControl w:val="0"/>
      <w:spacing w:before="0" w:beforeAutospacing="0" w:after="0" w:afterAutospacing="0" w:line="0" w:lineRule="atLeast"/>
      <w:jc w:val="both"/>
      <w:outlineLvl w:val="0"/>
    </w:pPr>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64</Pages>
  <Words>15830</Words>
  <Characters>17453</Characters>
  <Lines>356</Lines>
  <Paragraphs>100</Paragraphs>
  <TotalTime>0</TotalTime>
  <ScaleCrop>false</ScaleCrop>
  <LinksUpToDate>false</LinksUpToDate>
  <CharactersWithSpaces>18499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2020-08-24T07:17:00Z</dcterms:created>
  <dc:creator>微软中国</dc:creator>
  <cp:lastModifiedBy>LHao</cp:lastModifiedBy>
  <cp:lastPrinted>2025-07-07T02:12:00Z</cp:lastPrinted>
  <dcterms:modified xsi:type="dcterms:W3CDTF">2025-07-17T07:18:48Z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325A4E872F1A4E6DB0AD7A634818CC8D_13</vt:lpwstr>
  </property>
  <property fmtid="{D5CDD505-2E9C-101B-9397-08002B2CF9AE}" pid="4" name="KSOTemplateDocerSaveRecord">
    <vt:lpwstr>eyJoZGlkIjoiYjcxNmJiMmUxNzIwOTBhNjEzNWFjNGEzZjI1MzVmMWUiLCJ1c2VySWQiOiIzNzQ1MjMwMDYifQ==</vt:lpwstr>
  </property>
</Properties>
</file>