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070"/>
        </w:tabs>
        <w:autoSpaceDE w:val="0"/>
        <w:autoSpaceDN w:val="0"/>
        <w:spacing w:line="360" w:lineRule="auto"/>
        <w:ind w:firstLine="1446"/>
        <w:jc w:val="left"/>
        <w:textAlignment w:val="bottom"/>
        <w:rPr>
          <w:rFonts w:ascii="宋体" w:hAnsi="宋体"/>
          <w:b/>
          <w:sz w:val="72"/>
        </w:rPr>
      </w:pPr>
    </w:p>
    <w:p>
      <w:pPr>
        <w:tabs>
          <w:tab w:val="left" w:pos="5070"/>
        </w:tabs>
        <w:autoSpaceDE w:val="0"/>
        <w:autoSpaceDN w:val="0"/>
        <w:spacing w:line="360" w:lineRule="auto"/>
        <w:ind w:firstLine="1446"/>
        <w:jc w:val="left"/>
        <w:textAlignment w:val="bottom"/>
        <w:rPr>
          <w:rFonts w:ascii="宋体" w:hAnsi="宋体"/>
          <w:b/>
          <w:sz w:val="72"/>
        </w:rPr>
      </w:pPr>
      <w:r>
        <w:rPr>
          <w:rFonts w:ascii="宋体" w:hAnsi="宋体"/>
          <w:b/>
          <w:sz w:val="72"/>
        </w:rPr>
        <w:tab/>
      </w:r>
    </w:p>
    <w:p>
      <w:pPr>
        <w:autoSpaceDE w:val="0"/>
        <w:autoSpaceDN w:val="0"/>
        <w:spacing w:line="360" w:lineRule="auto"/>
        <w:ind w:firstLine="361"/>
        <w:jc w:val="center"/>
        <w:textAlignment w:val="bottom"/>
        <w:rPr>
          <w:rFonts w:ascii="宋体" w:hAnsi="宋体"/>
          <w:b/>
          <w:sz w:val="18"/>
          <w:szCs w:val="18"/>
        </w:rPr>
      </w:pPr>
    </w:p>
    <w:p>
      <w:pPr>
        <w:autoSpaceDE w:val="0"/>
        <w:autoSpaceDN w:val="0"/>
        <w:spacing w:line="360" w:lineRule="auto"/>
        <w:ind w:firstLine="1687"/>
        <w:jc w:val="center"/>
        <w:textAlignment w:val="bottom"/>
        <w:outlineLvl w:val="0"/>
        <w:rPr>
          <w:rFonts w:ascii="宋体" w:hAnsi="宋体"/>
          <w:sz w:val="72"/>
        </w:rPr>
      </w:pPr>
      <w:r>
        <w:rPr>
          <w:rFonts w:hint="eastAsia" w:ascii="宋体" w:hAnsi="宋体"/>
          <w:b/>
          <w:sz w:val="84"/>
        </w:rPr>
        <w:t>招 标 文 件</w:t>
      </w:r>
    </w:p>
    <w:p>
      <w:pPr>
        <w:autoSpaceDE w:val="0"/>
        <w:autoSpaceDN w:val="0"/>
        <w:spacing w:line="360" w:lineRule="auto"/>
        <w:ind w:firstLine="1446" w:firstLineChars="400"/>
        <w:jc w:val="center"/>
        <w:textAlignment w:val="bottom"/>
        <w:outlineLvl w:val="0"/>
        <w:rPr>
          <w:rFonts w:ascii="宋体" w:hAnsi="宋体"/>
          <w:b/>
          <w:sz w:val="36"/>
        </w:rPr>
      </w:pPr>
    </w:p>
    <w:p>
      <w:pPr>
        <w:autoSpaceDE w:val="0"/>
        <w:autoSpaceDN w:val="0"/>
        <w:spacing w:line="360" w:lineRule="auto"/>
        <w:ind w:firstLine="1446" w:firstLineChars="400"/>
        <w:jc w:val="center"/>
        <w:textAlignment w:val="bottom"/>
        <w:outlineLvl w:val="0"/>
        <w:rPr>
          <w:rFonts w:ascii="宋体" w:hAnsi="宋体"/>
          <w:b/>
          <w:sz w:val="36"/>
        </w:rPr>
      </w:pPr>
    </w:p>
    <w:p>
      <w:pPr>
        <w:spacing w:line="360" w:lineRule="auto"/>
        <w:ind w:firstLine="1389" w:firstLineChars="346"/>
        <w:rPr>
          <w:b/>
          <w:sz w:val="40"/>
        </w:rPr>
      </w:pPr>
      <w:r>
        <w:rPr>
          <w:rFonts w:hint="eastAsia"/>
          <w:b/>
          <w:sz w:val="40"/>
        </w:rPr>
        <w:t>项目编号: 浙建航招2024102号</w:t>
      </w:r>
    </w:p>
    <w:p>
      <w:pPr>
        <w:spacing w:line="360" w:lineRule="auto"/>
        <w:ind w:firstLine="803"/>
        <w:rPr>
          <w:b/>
          <w:sz w:val="40"/>
        </w:rPr>
      </w:pPr>
    </w:p>
    <w:p>
      <w:pPr>
        <w:spacing w:line="360" w:lineRule="auto"/>
        <w:ind w:left="3351" w:leftChars="653" w:right="-210" w:rightChars="-100" w:hanging="1980" w:hangingChars="493"/>
        <w:rPr>
          <w:b/>
          <w:spacing w:val="-23"/>
          <w:sz w:val="40"/>
        </w:rPr>
      </w:pPr>
      <w:r>
        <w:rPr>
          <w:rFonts w:hint="eastAsia"/>
          <w:b/>
          <w:sz w:val="40"/>
        </w:rPr>
        <w:t xml:space="preserve">项目名称: </w:t>
      </w:r>
      <w:r>
        <w:rPr>
          <w:rFonts w:hint="eastAsia"/>
          <w:b/>
          <w:spacing w:val="-23"/>
          <w:sz w:val="40"/>
        </w:rPr>
        <w:t>碧湖新城智慧城市规划编制项目</w:t>
      </w:r>
    </w:p>
    <w:p>
      <w:pPr>
        <w:spacing w:line="360" w:lineRule="auto"/>
        <w:ind w:firstLine="803"/>
        <w:rPr>
          <w:b/>
          <w:sz w:val="40"/>
        </w:rPr>
      </w:pPr>
    </w:p>
    <w:p>
      <w:pPr>
        <w:spacing w:line="360" w:lineRule="auto"/>
        <w:ind w:left="3351" w:leftChars="653" w:hanging="1980" w:hangingChars="493"/>
        <w:rPr>
          <w:b/>
          <w:sz w:val="40"/>
        </w:rPr>
      </w:pPr>
      <w:r>
        <w:rPr>
          <w:rFonts w:hint="eastAsia"/>
          <w:b/>
          <w:sz w:val="40"/>
        </w:rPr>
        <w:t xml:space="preserve">采 购 人: </w:t>
      </w:r>
      <w:r>
        <w:rPr>
          <w:rFonts w:hint="eastAsia"/>
          <w:b/>
          <w:spacing w:val="-10"/>
          <w:sz w:val="40"/>
        </w:rPr>
        <w:t>丽水市莲都区大数据发展中心</w:t>
      </w:r>
    </w:p>
    <w:p>
      <w:pPr>
        <w:ind w:firstLine="803"/>
        <w:rPr>
          <w:b/>
          <w:sz w:val="40"/>
        </w:rPr>
      </w:pPr>
    </w:p>
    <w:p>
      <w:pPr>
        <w:ind w:firstLine="803"/>
        <w:rPr>
          <w:b/>
          <w:sz w:val="40"/>
        </w:rPr>
      </w:pPr>
    </w:p>
    <w:p>
      <w:pPr>
        <w:ind w:firstLine="803"/>
        <w:rPr>
          <w:b/>
          <w:sz w:val="40"/>
        </w:rPr>
      </w:pPr>
    </w:p>
    <w:p>
      <w:pPr>
        <w:spacing w:line="360" w:lineRule="auto"/>
        <w:ind w:firstLine="803"/>
        <w:jc w:val="center"/>
        <w:rPr>
          <w:b/>
          <w:sz w:val="40"/>
        </w:rPr>
      </w:pPr>
      <w:r>
        <w:rPr>
          <w:rFonts w:hint="eastAsia"/>
          <w:b/>
          <w:sz w:val="40"/>
        </w:rPr>
        <w:t>采购代理机构:浙江建航工程咨询有限公司</w:t>
      </w:r>
    </w:p>
    <w:p>
      <w:pPr>
        <w:ind w:firstLine="803"/>
        <w:jc w:val="center"/>
        <w:rPr>
          <w:sz w:val="36"/>
        </w:rPr>
      </w:pPr>
      <w:r>
        <w:rPr>
          <w:b/>
          <w:sz w:val="40"/>
        </w:rPr>
        <w:t>二</w:t>
      </w:r>
      <w:r>
        <w:rPr>
          <w:rFonts w:hint="eastAsia"/>
          <w:b/>
          <w:sz w:val="40"/>
        </w:rPr>
        <w:t>〇</w:t>
      </w:r>
      <w:r>
        <w:rPr>
          <w:b/>
          <w:sz w:val="40"/>
        </w:rPr>
        <w:t>二</w:t>
      </w:r>
      <w:r>
        <w:rPr>
          <w:rFonts w:hint="eastAsia"/>
          <w:b/>
          <w:sz w:val="40"/>
        </w:rPr>
        <w:t>四</w:t>
      </w:r>
      <w:r>
        <w:rPr>
          <w:b/>
          <w:sz w:val="40"/>
        </w:rPr>
        <w:t>年五月</w:t>
      </w:r>
      <w:r>
        <w:rPr>
          <w:rFonts w:ascii="宋体" w:hAnsi="宋体"/>
          <w:b/>
          <w:bCs/>
          <w:sz w:val="44"/>
          <w:szCs w:val="44"/>
        </w:rPr>
        <w:br w:type="page"/>
      </w:r>
      <w:bookmarkStart w:id="136" w:name="_GoBack"/>
      <w:r>
        <w:rPr>
          <w:rFonts w:hint="eastAsia" w:ascii="宋体" w:hAnsi="宋体"/>
          <w:b/>
          <w:bCs/>
          <w:sz w:val="44"/>
          <w:szCs w:val="44"/>
        </w:rPr>
        <w:t>目  录</w:t>
      </w:r>
    </w:p>
    <w:p>
      <w:pPr>
        <w:pStyle w:val="35"/>
        <w:tabs>
          <w:tab w:val="right" w:leader="dot" w:pos="8312"/>
          <w:tab w:val="clear" w:pos="1470"/>
          <w:tab w:val="clear" w:pos="9016"/>
        </w:tabs>
      </w:pPr>
      <w:r>
        <w:rPr>
          <w:rFonts w:hint="eastAsia" w:eastAsia="宋体"/>
          <w:sz w:val="21"/>
          <w:szCs w:val="21"/>
        </w:rPr>
        <w:fldChar w:fldCharType="begin"/>
      </w:r>
      <w:r>
        <w:rPr>
          <w:rStyle w:val="66"/>
          <w:rFonts w:hint="eastAsia"/>
          <w:color w:val="auto"/>
          <w:sz w:val="21"/>
          <w:szCs w:val="21"/>
        </w:rPr>
        <w:instrText xml:space="preserve"> TOC \o "1-3" \h \z </w:instrText>
      </w:r>
      <w:r>
        <w:rPr>
          <w:rFonts w:hint="eastAsia" w:eastAsia="宋体"/>
          <w:sz w:val="21"/>
          <w:szCs w:val="21"/>
        </w:rPr>
        <w:fldChar w:fldCharType="separate"/>
      </w:r>
      <w:r>
        <w:rPr>
          <w:rFonts w:hint="eastAsia" w:eastAsia="宋体"/>
          <w:szCs w:val="21"/>
        </w:rPr>
        <w:fldChar w:fldCharType="begin"/>
      </w:r>
      <w:r>
        <w:rPr>
          <w:rFonts w:hint="eastAsia" w:eastAsia="宋体"/>
          <w:szCs w:val="21"/>
        </w:rPr>
        <w:instrText xml:space="preserve"> HYPERLINK \l _Toc14380 </w:instrText>
      </w:r>
      <w:r>
        <w:rPr>
          <w:rFonts w:hint="eastAsia" w:eastAsia="宋体"/>
          <w:szCs w:val="21"/>
        </w:rPr>
        <w:fldChar w:fldCharType="separate"/>
      </w:r>
      <w:r>
        <w:rPr>
          <w:rFonts w:hint="eastAsia" w:ascii="宋体" w:hAnsi="宋体" w:eastAsia="宋体"/>
        </w:rPr>
        <w:t>第一章 公开招标公告</w:t>
      </w:r>
      <w:r>
        <w:tab/>
      </w:r>
      <w:r>
        <w:fldChar w:fldCharType="begin"/>
      </w:r>
      <w:r>
        <w:instrText xml:space="preserve"> PAGEREF _Toc14380 \h </w:instrText>
      </w:r>
      <w:r>
        <w:fldChar w:fldCharType="separate"/>
      </w:r>
      <w:r>
        <w:t>3</w:t>
      </w:r>
      <w:r>
        <w:fldChar w:fldCharType="end"/>
      </w:r>
      <w:r>
        <w:rPr>
          <w:rFonts w:hint="eastAsia" w:eastAsia="宋体"/>
          <w:szCs w:val="21"/>
        </w:rPr>
        <w:fldChar w:fldCharType="end"/>
      </w:r>
    </w:p>
    <w:p>
      <w:pPr>
        <w:pStyle w:val="35"/>
        <w:tabs>
          <w:tab w:val="right" w:leader="dot" w:pos="8312"/>
          <w:tab w:val="clear" w:pos="1470"/>
          <w:tab w:val="clear" w:pos="9016"/>
        </w:tabs>
      </w:pPr>
      <w:r>
        <w:rPr>
          <w:rFonts w:hint="eastAsia" w:ascii="宋体" w:hAnsi="宋体" w:eastAsia="宋体"/>
          <w:szCs w:val="21"/>
        </w:rPr>
        <w:fldChar w:fldCharType="begin"/>
      </w:r>
      <w:r>
        <w:rPr>
          <w:rFonts w:hint="eastAsia" w:ascii="宋体" w:hAnsi="宋体" w:eastAsia="宋体"/>
          <w:szCs w:val="21"/>
        </w:rPr>
        <w:instrText xml:space="preserve"> HYPERLINK \l _Toc5902 </w:instrText>
      </w:r>
      <w:r>
        <w:rPr>
          <w:rFonts w:hint="eastAsia" w:ascii="宋体" w:hAnsi="宋体" w:eastAsia="宋体"/>
          <w:szCs w:val="21"/>
        </w:rPr>
        <w:fldChar w:fldCharType="separate"/>
      </w:r>
      <w:r>
        <w:rPr>
          <w:rFonts w:hint="eastAsia" w:ascii="宋体" w:hAnsi="宋体" w:eastAsia="宋体"/>
        </w:rPr>
        <w:t>第二章投标人须知</w:t>
      </w:r>
      <w:r>
        <w:tab/>
      </w:r>
      <w:r>
        <w:fldChar w:fldCharType="begin"/>
      </w:r>
      <w:r>
        <w:instrText xml:space="preserve"> PAGEREF _Toc5902 \h </w:instrText>
      </w:r>
      <w:r>
        <w:fldChar w:fldCharType="separate"/>
      </w:r>
      <w:r>
        <w:t>7</w:t>
      </w:r>
      <w:r>
        <w:fldChar w:fldCharType="end"/>
      </w:r>
      <w:r>
        <w:rPr>
          <w:rFonts w:hint="eastAsia" w:ascii="宋体" w:hAnsi="宋体" w:eastAsia="宋体"/>
          <w:szCs w:val="21"/>
        </w:rPr>
        <w:fldChar w:fldCharType="end"/>
      </w:r>
    </w:p>
    <w:p>
      <w:pPr>
        <w:pStyle w:val="26"/>
        <w:tabs>
          <w:tab w:val="right" w:leader="dot" w:pos="8312"/>
          <w:tab w:val="clear" w:pos="9060"/>
        </w:tabs>
      </w:pPr>
      <w:r>
        <w:rPr>
          <w:rFonts w:hint="eastAsia" w:ascii="宋体" w:hAnsi="宋体" w:eastAsia="宋体"/>
          <w:szCs w:val="21"/>
        </w:rPr>
        <w:fldChar w:fldCharType="begin"/>
      </w:r>
      <w:r>
        <w:rPr>
          <w:rFonts w:hint="eastAsia" w:ascii="宋体" w:hAnsi="宋体" w:eastAsia="宋体"/>
          <w:szCs w:val="21"/>
        </w:rPr>
        <w:instrText xml:space="preserve"> HYPERLINK \l _Toc16570 </w:instrText>
      </w:r>
      <w:r>
        <w:rPr>
          <w:rFonts w:hint="eastAsia" w:ascii="宋体" w:hAnsi="宋体" w:eastAsia="宋体"/>
          <w:szCs w:val="21"/>
        </w:rPr>
        <w:fldChar w:fldCharType="separate"/>
      </w:r>
      <w:r>
        <w:rPr>
          <w:rFonts w:hint="eastAsia" w:ascii="宋体" w:hAnsi="宋体" w:eastAsia="宋体"/>
        </w:rPr>
        <w:t>前列表</w:t>
      </w:r>
      <w:r>
        <w:tab/>
      </w:r>
      <w:r>
        <w:fldChar w:fldCharType="begin"/>
      </w:r>
      <w:r>
        <w:instrText xml:space="preserve"> PAGEREF _Toc16570 \h </w:instrText>
      </w:r>
      <w:r>
        <w:fldChar w:fldCharType="separate"/>
      </w:r>
      <w:r>
        <w:t>7</w:t>
      </w:r>
      <w:r>
        <w:fldChar w:fldCharType="end"/>
      </w:r>
      <w:r>
        <w:rPr>
          <w:rFonts w:hint="eastAsia" w:ascii="宋体" w:hAnsi="宋体" w:eastAsia="宋体"/>
          <w:szCs w:val="21"/>
        </w:rPr>
        <w:fldChar w:fldCharType="end"/>
      </w:r>
    </w:p>
    <w:p>
      <w:pPr>
        <w:pStyle w:val="26"/>
        <w:tabs>
          <w:tab w:val="right" w:leader="dot" w:pos="8312"/>
          <w:tab w:val="clear" w:pos="9060"/>
        </w:tabs>
      </w:pPr>
      <w:r>
        <w:rPr>
          <w:rFonts w:hint="eastAsia" w:ascii="宋体" w:hAnsi="宋体" w:eastAsia="宋体"/>
          <w:szCs w:val="21"/>
        </w:rPr>
        <w:fldChar w:fldCharType="begin"/>
      </w:r>
      <w:r>
        <w:rPr>
          <w:rFonts w:hint="eastAsia" w:ascii="宋体" w:hAnsi="宋体" w:eastAsia="宋体"/>
          <w:szCs w:val="21"/>
        </w:rPr>
        <w:instrText xml:space="preserve"> HYPERLINK \l _Toc1193 </w:instrText>
      </w:r>
      <w:r>
        <w:rPr>
          <w:rFonts w:hint="eastAsia" w:ascii="宋体" w:hAnsi="宋体" w:eastAsia="宋体"/>
          <w:szCs w:val="21"/>
        </w:rPr>
        <w:fldChar w:fldCharType="separate"/>
      </w:r>
      <w:r>
        <w:rPr>
          <w:rFonts w:hint="eastAsia" w:ascii="宋体" w:hAnsi="宋体" w:eastAsia="宋体"/>
        </w:rPr>
        <w:t>一  总则</w:t>
      </w:r>
      <w:r>
        <w:tab/>
      </w:r>
      <w:r>
        <w:fldChar w:fldCharType="begin"/>
      </w:r>
      <w:r>
        <w:instrText xml:space="preserve"> PAGEREF _Toc1193 \h </w:instrText>
      </w:r>
      <w:r>
        <w:fldChar w:fldCharType="separate"/>
      </w:r>
      <w:r>
        <w:t>9</w:t>
      </w:r>
      <w:r>
        <w:fldChar w:fldCharType="end"/>
      </w:r>
      <w:r>
        <w:rPr>
          <w:rFonts w:hint="eastAsia" w:ascii="宋体" w:hAnsi="宋体" w:eastAsia="宋体"/>
          <w:szCs w:val="21"/>
        </w:rPr>
        <w:fldChar w:fldCharType="end"/>
      </w:r>
    </w:p>
    <w:p>
      <w:pPr>
        <w:pStyle w:val="26"/>
        <w:tabs>
          <w:tab w:val="right" w:leader="dot" w:pos="8312"/>
          <w:tab w:val="clear" w:pos="9060"/>
        </w:tabs>
      </w:pPr>
      <w:r>
        <w:rPr>
          <w:rFonts w:hint="eastAsia" w:ascii="宋体" w:hAnsi="宋体" w:eastAsia="宋体"/>
          <w:szCs w:val="21"/>
        </w:rPr>
        <w:fldChar w:fldCharType="begin"/>
      </w:r>
      <w:r>
        <w:rPr>
          <w:rFonts w:hint="eastAsia" w:ascii="宋体" w:hAnsi="宋体" w:eastAsia="宋体"/>
          <w:szCs w:val="21"/>
        </w:rPr>
        <w:instrText xml:space="preserve"> HYPERLINK \l _Toc31283 </w:instrText>
      </w:r>
      <w:r>
        <w:rPr>
          <w:rFonts w:hint="eastAsia" w:ascii="宋体" w:hAnsi="宋体" w:eastAsia="宋体"/>
          <w:szCs w:val="21"/>
        </w:rPr>
        <w:fldChar w:fldCharType="separate"/>
      </w:r>
      <w:r>
        <w:rPr>
          <w:rFonts w:hint="eastAsia" w:ascii="宋体" w:hAnsi="宋体" w:eastAsia="宋体"/>
        </w:rPr>
        <w:t>二  标文件说明</w:t>
      </w:r>
      <w:r>
        <w:tab/>
      </w:r>
      <w:r>
        <w:fldChar w:fldCharType="begin"/>
      </w:r>
      <w:r>
        <w:instrText xml:space="preserve"> PAGEREF _Toc31283 \h </w:instrText>
      </w:r>
      <w:r>
        <w:fldChar w:fldCharType="separate"/>
      </w:r>
      <w:r>
        <w:t>10</w:t>
      </w:r>
      <w:r>
        <w:fldChar w:fldCharType="end"/>
      </w:r>
      <w:r>
        <w:rPr>
          <w:rFonts w:hint="eastAsia" w:ascii="宋体" w:hAnsi="宋体" w:eastAsia="宋体"/>
          <w:szCs w:val="21"/>
        </w:rPr>
        <w:fldChar w:fldCharType="end"/>
      </w:r>
    </w:p>
    <w:p>
      <w:pPr>
        <w:pStyle w:val="26"/>
        <w:tabs>
          <w:tab w:val="right" w:leader="dot" w:pos="8312"/>
          <w:tab w:val="clear" w:pos="9060"/>
        </w:tabs>
      </w:pPr>
      <w:r>
        <w:rPr>
          <w:rFonts w:hint="eastAsia" w:ascii="宋体" w:hAnsi="宋体" w:eastAsia="宋体"/>
          <w:szCs w:val="21"/>
        </w:rPr>
        <w:fldChar w:fldCharType="begin"/>
      </w:r>
      <w:r>
        <w:rPr>
          <w:rFonts w:hint="eastAsia" w:ascii="宋体" w:hAnsi="宋体" w:eastAsia="宋体"/>
          <w:szCs w:val="21"/>
        </w:rPr>
        <w:instrText xml:space="preserve"> HYPERLINK \l _Toc2307 </w:instrText>
      </w:r>
      <w:r>
        <w:rPr>
          <w:rFonts w:hint="eastAsia" w:ascii="宋体" w:hAnsi="宋体" w:eastAsia="宋体"/>
          <w:szCs w:val="21"/>
        </w:rPr>
        <w:fldChar w:fldCharType="separate"/>
      </w:r>
      <w:r>
        <w:rPr>
          <w:rFonts w:hint="eastAsia" w:ascii="宋体" w:hAnsi="宋体" w:eastAsia="宋体"/>
        </w:rPr>
        <w:t>三  投标文件的编写</w:t>
      </w:r>
      <w:r>
        <w:tab/>
      </w:r>
      <w:r>
        <w:fldChar w:fldCharType="begin"/>
      </w:r>
      <w:r>
        <w:instrText xml:space="preserve"> PAGEREF _Toc2307 \h </w:instrText>
      </w:r>
      <w:r>
        <w:fldChar w:fldCharType="separate"/>
      </w:r>
      <w:r>
        <w:t>11</w:t>
      </w:r>
      <w:r>
        <w:fldChar w:fldCharType="end"/>
      </w:r>
      <w:r>
        <w:rPr>
          <w:rFonts w:hint="eastAsia" w:ascii="宋体" w:hAnsi="宋体" w:eastAsia="宋体"/>
          <w:szCs w:val="21"/>
        </w:rPr>
        <w:fldChar w:fldCharType="end"/>
      </w:r>
    </w:p>
    <w:p>
      <w:pPr>
        <w:pStyle w:val="26"/>
        <w:tabs>
          <w:tab w:val="right" w:leader="dot" w:pos="8312"/>
          <w:tab w:val="clear" w:pos="9060"/>
        </w:tabs>
      </w:pPr>
      <w:r>
        <w:rPr>
          <w:rFonts w:hint="eastAsia" w:ascii="宋体" w:hAnsi="宋体" w:eastAsia="宋体"/>
          <w:szCs w:val="21"/>
        </w:rPr>
        <w:fldChar w:fldCharType="begin"/>
      </w:r>
      <w:r>
        <w:rPr>
          <w:rFonts w:hint="eastAsia" w:ascii="宋体" w:hAnsi="宋体" w:eastAsia="宋体"/>
          <w:szCs w:val="21"/>
        </w:rPr>
        <w:instrText xml:space="preserve"> HYPERLINK \l _Toc13305 </w:instrText>
      </w:r>
      <w:r>
        <w:rPr>
          <w:rFonts w:hint="eastAsia" w:ascii="宋体" w:hAnsi="宋体" w:eastAsia="宋体"/>
          <w:szCs w:val="21"/>
        </w:rPr>
        <w:fldChar w:fldCharType="separate"/>
      </w:r>
      <w:r>
        <w:rPr>
          <w:rFonts w:hint="eastAsia" w:ascii="宋体" w:hAnsi="宋体" w:eastAsia="宋体"/>
        </w:rPr>
        <w:t>四  履约保证金</w:t>
      </w:r>
      <w:r>
        <w:tab/>
      </w:r>
      <w:r>
        <w:fldChar w:fldCharType="begin"/>
      </w:r>
      <w:r>
        <w:instrText xml:space="preserve"> PAGEREF _Toc13305 \h </w:instrText>
      </w:r>
      <w:r>
        <w:fldChar w:fldCharType="separate"/>
      </w:r>
      <w:r>
        <w:t>13</w:t>
      </w:r>
      <w:r>
        <w:fldChar w:fldCharType="end"/>
      </w:r>
      <w:r>
        <w:rPr>
          <w:rFonts w:hint="eastAsia" w:ascii="宋体" w:hAnsi="宋体" w:eastAsia="宋体"/>
          <w:szCs w:val="21"/>
        </w:rPr>
        <w:fldChar w:fldCharType="end"/>
      </w:r>
    </w:p>
    <w:p>
      <w:pPr>
        <w:pStyle w:val="26"/>
        <w:tabs>
          <w:tab w:val="right" w:leader="dot" w:pos="8312"/>
          <w:tab w:val="clear" w:pos="9060"/>
        </w:tabs>
      </w:pPr>
      <w:r>
        <w:rPr>
          <w:rFonts w:hint="eastAsia" w:ascii="宋体" w:hAnsi="宋体" w:eastAsia="宋体"/>
          <w:szCs w:val="21"/>
        </w:rPr>
        <w:fldChar w:fldCharType="begin"/>
      </w:r>
      <w:r>
        <w:rPr>
          <w:rFonts w:hint="eastAsia" w:ascii="宋体" w:hAnsi="宋体" w:eastAsia="宋体"/>
          <w:szCs w:val="21"/>
        </w:rPr>
        <w:instrText xml:space="preserve"> HYPERLINK \l _Toc31698 </w:instrText>
      </w:r>
      <w:r>
        <w:rPr>
          <w:rFonts w:hint="eastAsia" w:ascii="宋体" w:hAnsi="宋体" w:eastAsia="宋体"/>
          <w:szCs w:val="21"/>
        </w:rPr>
        <w:fldChar w:fldCharType="separate"/>
      </w:r>
      <w:r>
        <w:rPr>
          <w:rFonts w:hint="eastAsia" w:ascii="宋体" w:hAnsi="宋体" w:eastAsia="宋体"/>
        </w:rPr>
        <w:t>五  投标文件的加密、提交、修改和撤回</w:t>
      </w:r>
      <w:r>
        <w:tab/>
      </w:r>
      <w:r>
        <w:fldChar w:fldCharType="begin"/>
      </w:r>
      <w:r>
        <w:instrText xml:space="preserve"> PAGEREF _Toc31698 \h </w:instrText>
      </w:r>
      <w:r>
        <w:fldChar w:fldCharType="separate"/>
      </w:r>
      <w:r>
        <w:t>13</w:t>
      </w:r>
      <w:r>
        <w:fldChar w:fldCharType="end"/>
      </w:r>
      <w:r>
        <w:rPr>
          <w:rFonts w:hint="eastAsia" w:ascii="宋体" w:hAnsi="宋体" w:eastAsia="宋体"/>
          <w:szCs w:val="21"/>
        </w:rPr>
        <w:fldChar w:fldCharType="end"/>
      </w:r>
    </w:p>
    <w:p>
      <w:pPr>
        <w:pStyle w:val="26"/>
        <w:tabs>
          <w:tab w:val="right" w:leader="dot" w:pos="8312"/>
          <w:tab w:val="clear" w:pos="9060"/>
        </w:tabs>
      </w:pPr>
      <w:r>
        <w:rPr>
          <w:rFonts w:hint="eastAsia" w:ascii="宋体" w:hAnsi="宋体" w:eastAsia="宋体"/>
          <w:szCs w:val="21"/>
        </w:rPr>
        <w:fldChar w:fldCharType="begin"/>
      </w:r>
      <w:r>
        <w:rPr>
          <w:rFonts w:hint="eastAsia" w:ascii="宋体" w:hAnsi="宋体" w:eastAsia="宋体"/>
          <w:szCs w:val="21"/>
        </w:rPr>
        <w:instrText xml:space="preserve"> HYPERLINK \l _Toc7494 </w:instrText>
      </w:r>
      <w:r>
        <w:rPr>
          <w:rFonts w:hint="eastAsia" w:ascii="宋体" w:hAnsi="宋体" w:eastAsia="宋体"/>
          <w:szCs w:val="21"/>
        </w:rPr>
        <w:fldChar w:fldCharType="separate"/>
      </w:r>
      <w:r>
        <w:rPr>
          <w:rFonts w:hint="eastAsia" w:ascii="宋体" w:hAnsi="宋体" w:eastAsia="宋体"/>
        </w:rPr>
        <w:t>六  开标和评审</w:t>
      </w:r>
      <w:r>
        <w:tab/>
      </w:r>
      <w:r>
        <w:fldChar w:fldCharType="begin"/>
      </w:r>
      <w:r>
        <w:instrText xml:space="preserve"> PAGEREF _Toc7494 \h </w:instrText>
      </w:r>
      <w:r>
        <w:fldChar w:fldCharType="separate"/>
      </w:r>
      <w:r>
        <w:t>14</w:t>
      </w:r>
      <w:r>
        <w:fldChar w:fldCharType="end"/>
      </w:r>
      <w:r>
        <w:rPr>
          <w:rFonts w:hint="eastAsia" w:ascii="宋体" w:hAnsi="宋体" w:eastAsia="宋体"/>
          <w:szCs w:val="21"/>
        </w:rPr>
        <w:fldChar w:fldCharType="end"/>
      </w:r>
    </w:p>
    <w:p>
      <w:pPr>
        <w:pStyle w:val="26"/>
        <w:tabs>
          <w:tab w:val="right" w:leader="dot" w:pos="8312"/>
          <w:tab w:val="clear" w:pos="9060"/>
        </w:tabs>
      </w:pPr>
      <w:r>
        <w:rPr>
          <w:rFonts w:hint="eastAsia" w:ascii="宋体" w:hAnsi="宋体" w:eastAsia="宋体"/>
          <w:szCs w:val="21"/>
        </w:rPr>
        <w:fldChar w:fldCharType="begin"/>
      </w:r>
      <w:r>
        <w:rPr>
          <w:rFonts w:hint="eastAsia" w:ascii="宋体" w:hAnsi="宋体" w:eastAsia="宋体"/>
          <w:szCs w:val="21"/>
        </w:rPr>
        <w:instrText xml:space="preserve"> HYPERLINK \l _Toc5215 </w:instrText>
      </w:r>
      <w:r>
        <w:rPr>
          <w:rFonts w:hint="eastAsia" w:ascii="宋体" w:hAnsi="宋体" w:eastAsia="宋体"/>
          <w:szCs w:val="21"/>
        </w:rPr>
        <w:fldChar w:fldCharType="separate"/>
      </w:r>
      <w:r>
        <w:rPr>
          <w:rFonts w:hint="eastAsia" w:ascii="宋体" w:hAnsi="宋体" w:eastAsia="宋体"/>
        </w:rPr>
        <w:t>七   投标无效的情形</w:t>
      </w:r>
      <w:r>
        <w:tab/>
      </w:r>
      <w:r>
        <w:fldChar w:fldCharType="begin"/>
      </w:r>
      <w:r>
        <w:instrText xml:space="preserve"> PAGEREF _Toc5215 \h </w:instrText>
      </w:r>
      <w:r>
        <w:fldChar w:fldCharType="separate"/>
      </w:r>
      <w:r>
        <w:t>16</w:t>
      </w:r>
      <w:r>
        <w:fldChar w:fldCharType="end"/>
      </w:r>
      <w:r>
        <w:rPr>
          <w:rFonts w:hint="eastAsia" w:ascii="宋体" w:hAnsi="宋体" w:eastAsia="宋体"/>
          <w:szCs w:val="21"/>
        </w:rPr>
        <w:fldChar w:fldCharType="end"/>
      </w:r>
    </w:p>
    <w:p>
      <w:pPr>
        <w:pStyle w:val="26"/>
        <w:tabs>
          <w:tab w:val="right" w:leader="dot" w:pos="8312"/>
          <w:tab w:val="clear" w:pos="9060"/>
        </w:tabs>
      </w:pPr>
      <w:r>
        <w:rPr>
          <w:rFonts w:hint="eastAsia" w:ascii="宋体" w:hAnsi="宋体" w:eastAsia="宋体"/>
          <w:szCs w:val="21"/>
        </w:rPr>
        <w:fldChar w:fldCharType="begin"/>
      </w:r>
      <w:r>
        <w:rPr>
          <w:rFonts w:hint="eastAsia" w:ascii="宋体" w:hAnsi="宋体" w:eastAsia="宋体"/>
          <w:szCs w:val="21"/>
        </w:rPr>
        <w:instrText xml:space="preserve"> HYPERLINK \l _Toc2410 </w:instrText>
      </w:r>
      <w:r>
        <w:rPr>
          <w:rFonts w:hint="eastAsia" w:ascii="宋体" w:hAnsi="宋体" w:eastAsia="宋体"/>
          <w:szCs w:val="21"/>
        </w:rPr>
        <w:fldChar w:fldCharType="separate"/>
      </w:r>
      <w:r>
        <w:rPr>
          <w:rFonts w:hint="eastAsia" w:ascii="宋体" w:hAnsi="宋体" w:eastAsia="宋体"/>
        </w:rPr>
        <w:t>八   法律责任</w:t>
      </w:r>
      <w:r>
        <w:tab/>
      </w:r>
      <w:r>
        <w:fldChar w:fldCharType="begin"/>
      </w:r>
      <w:r>
        <w:instrText xml:space="preserve"> PAGEREF _Toc2410 \h </w:instrText>
      </w:r>
      <w:r>
        <w:fldChar w:fldCharType="separate"/>
      </w:r>
      <w:r>
        <w:t>17</w:t>
      </w:r>
      <w:r>
        <w:fldChar w:fldCharType="end"/>
      </w:r>
      <w:r>
        <w:rPr>
          <w:rFonts w:hint="eastAsia" w:ascii="宋体" w:hAnsi="宋体" w:eastAsia="宋体"/>
          <w:szCs w:val="21"/>
        </w:rPr>
        <w:fldChar w:fldCharType="end"/>
      </w:r>
    </w:p>
    <w:p>
      <w:pPr>
        <w:pStyle w:val="26"/>
        <w:tabs>
          <w:tab w:val="right" w:leader="dot" w:pos="8312"/>
          <w:tab w:val="clear" w:pos="9060"/>
        </w:tabs>
      </w:pPr>
      <w:r>
        <w:rPr>
          <w:rFonts w:hint="eastAsia" w:ascii="宋体" w:hAnsi="宋体" w:eastAsia="宋体"/>
          <w:szCs w:val="21"/>
        </w:rPr>
        <w:fldChar w:fldCharType="begin"/>
      </w:r>
      <w:r>
        <w:rPr>
          <w:rFonts w:hint="eastAsia" w:ascii="宋体" w:hAnsi="宋体" w:eastAsia="宋体"/>
          <w:szCs w:val="21"/>
        </w:rPr>
        <w:instrText xml:space="preserve"> HYPERLINK \l _Toc5431 </w:instrText>
      </w:r>
      <w:r>
        <w:rPr>
          <w:rFonts w:hint="eastAsia" w:ascii="宋体" w:hAnsi="宋体" w:eastAsia="宋体"/>
          <w:szCs w:val="21"/>
        </w:rPr>
        <w:fldChar w:fldCharType="separate"/>
      </w:r>
      <w:r>
        <w:rPr>
          <w:rFonts w:hint="eastAsia" w:ascii="宋体" w:hAnsi="宋体" w:eastAsia="宋体"/>
        </w:rPr>
        <w:t>九   澄清、修改发布媒体</w:t>
      </w:r>
      <w:r>
        <w:tab/>
      </w:r>
      <w:r>
        <w:fldChar w:fldCharType="begin"/>
      </w:r>
      <w:r>
        <w:instrText xml:space="preserve"> PAGEREF _Toc5431 \h </w:instrText>
      </w:r>
      <w:r>
        <w:fldChar w:fldCharType="separate"/>
      </w:r>
      <w:r>
        <w:t>19</w:t>
      </w:r>
      <w:r>
        <w:fldChar w:fldCharType="end"/>
      </w:r>
      <w:r>
        <w:rPr>
          <w:rFonts w:hint="eastAsia" w:ascii="宋体" w:hAnsi="宋体" w:eastAsia="宋体"/>
          <w:szCs w:val="21"/>
        </w:rPr>
        <w:fldChar w:fldCharType="end"/>
      </w:r>
    </w:p>
    <w:p>
      <w:pPr>
        <w:pStyle w:val="26"/>
        <w:tabs>
          <w:tab w:val="right" w:leader="dot" w:pos="8312"/>
          <w:tab w:val="clear" w:pos="9060"/>
        </w:tabs>
      </w:pPr>
      <w:r>
        <w:rPr>
          <w:rFonts w:hint="eastAsia" w:ascii="宋体" w:hAnsi="宋体" w:eastAsia="宋体"/>
          <w:szCs w:val="21"/>
        </w:rPr>
        <w:fldChar w:fldCharType="begin"/>
      </w:r>
      <w:r>
        <w:rPr>
          <w:rFonts w:hint="eastAsia" w:ascii="宋体" w:hAnsi="宋体" w:eastAsia="宋体"/>
          <w:szCs w:val="21"/>
        </w:rPr>
        <w:instrText xml:space="preserve"> HYPERLINK \l _Toc821 </w:instrText>
      </w:r>
      <w:r>
        <w:rPr>
          <w:rFonts w:hint="eastAsia" w:ascii="宋体" w:hAnsi="宋体" w:eastAsia="宋体"/>
          <w:szCs w:val="21"/>
        </w:rPr>
        <w:fldChar w:fldCharType="separate"/>
      </w:r>
      <w:r>
        <w:rPr>
          <w:rFonts w:hint="eastAsia" w:ascii="宋体" w:hAnsi="宋体" w:eastAsia="宋体"/>
        </w:rPr>
        <w:t>十   质疑</w:t>
      </w:r>
      <w:r>
        <w:tab/>
      </w:r>
      <w:r>
        <w:fldChar w:fldCharType="begin"/>
      </w:r>
      <w:r>
        <w:instrText xml:space="preserve"> PAGEREF _Toc821 \h </w:instrText>
      </w:r>
      <w:r>
        <w:fldChar w:fldCharType="separate"/>
      </w:r>
      <w:r>
        <w:t>19</w:t>
      </w:r>
      <w:r>
        <w:fldChar w:fldCharType="end"/>
      </w:r>
      <w:r>
        <w:rPr>
          <w:rFonts w:hint="eastAsia" w:ascii="宋体" w:hAnsi="宋体" w:eastAsia="宋体"/>
          <w:szCs w:val="21"/>
        </w:rPr>
        <w:fldChar w:fldCharType="end"/>
      </w:r>
    </w:p>
    <w:p>
      <w:pPr>
        <w:pStyle w:val="26"/>
        <w:tabs>
          <w:tab w:val="right" w:leader="dot" w:pos="8312"/>
          <w:tab w:val="clear" w:pos="9060"/>
        </w:tabs>
      </w:pPr>
      <w:r>
        <w:rPr>
          <w:rFonts w:hint="eastAsia" w:ascii="宋体" w:hAnsi="宋体" w:eastAsia="宋体"/>
          <w:szCs w:val="21"/>
        </w:rPr>
        <w:fldChar w:fldCharType="begin"/>
      </w:r>
      <w:r>
        <w:rPr>
          <w:rFonts w:hint="eastAsia" w:ascii="宋体" w:hAnsi="宋体" w:eastAsia="宋体"/>
          <w:szCs w:val="21"/>
        </w:rPr>
        <w:instrText xml:space="preserve"> HYPERLINK \l _Toc20095 </w:instrText>
      </w:r>
      <w:r>
        <w:rPr>
          <w:rFonts w:hint="eastAsia" w:ascii="宋体" w:hAnsi="宋体" w:eastAsia="宋体"/>
          <w:szCs w:val="21"/>
        </w:rPr>
        <w:fldChar w:fldCharType="separate"/>
      </w:r>
      <w:r>
        <w:rPr>
          <w:rFonts w:hint="eastAsia" w:ascii="宋体" w:hAnsi="宋体" w:eastAsia="宋体"/>
        </w:rPr>
        <w:t>十一  投诉</w:t>
      </w:r>
      <w:r>
        <w:tab/>
      </w:r>
      <w:r>
        <w:fldChar w:fldCharType="begin"/>
      </w:r>
      <w:r>
        <w:instrText xml:space="preserve"> PAGEREF _Toc20095 \h </w:instrText>
      </w:r>
      <w:r>
        <w:fldChar w:fldCharType="separate"/>
      </w:r>
      <w:r>
        <w:t>20</w:t>
      </w:r>
      <w:r>
        <w:fldChar w:fldCharType="end"/>
      </w:r>
      <w:r>
        <w:rPr>
          <w:rFonts w:hint="eastAsia" w:ascii="宋体" w:hAnsi="宋体" w:eastAsia="宋体"/>
          <w:szCs w:val="21"/>
        </w:rPr>
        <w:fldChar w:fldCharType="end"/>
      </w:r>
    </w:p>
    <w:p>
      <w:pPr>
        <w:pStyle w:val="26"/>
        <w:tabs>
          <w:tab w:val="right" w:leader="dot" w:pos="8312"/>
          <w:tab w:val="clear" w:pos="9060"/>
        </w:tabs>
      </w:pPr>
      <w:r>
        <w:rPr>
          <w:rFonts w:hint="eastAsia" w:ascii="宋体" w:hAnsi="宋体" w:eastAsia="宋体"/>
          <w:szCs w:val="21"/>
        </w:rPr>
        <w:fldChar w:fldCharType="begin"/>
      </w:r>
      <w:r>
        <w:rPr>
          <w:rFonts w:hint="eastAsia" w:ascii="宋体" w:hAnsi="宋体" w:eastAsia="宋体"/>
          <w:szCs w:val="21"/>
        </w:rPr>
        <w:instrText xml:space="preserve"> HYPERLINK \l _Toc4225 </w:instrText>
      </w:r>
      <w:r>
        <w:rPr>
          <w:rFonts w:hint="eastAsia" w:ascii="宋体" w:hAnsi="宋体" w:eastAsia="宋体"/>
          <w:szCs w:val="21"/>
        </w:rPr>
        <w:fldChar w:fldCharType="separate"/>
      </w:r>
      <w:r>
        <w:rPr>
          <w:rFonts w:hint="eastAsia" w:ascii="宋体" w:hAnsi="宋体" w:eastAsia="宋体"/>
        </w:rPr>
        <w:t>十二  授予合同</w:t>
      </w:r>
      <w:r>
        <w:tab/>
      </w:r>
      <w:r>
        <w:fldChar w:fldCharType="begin"/>
      </w:r>
      <w:r>
        <w:instrText xml:space="preserve"> PAGEREF _Toc4225 \h </w:instrText>
      </w:r>
      <w:r>
        <w:fldChar w:fldCharType="separate"/>
      </w:r>
      <w:r>
        <w:t>20</w:t>
      </w:r>
      <w:r>
        <w:fldChar w:fldCharType="end"/>
      </w:r>
      <w:r>
        <w:rPr>
          <w:rFonts w:hint="eastAsia" w:ascii="宋体" w:hAnsi="宋体" w:eastAsia="宋体"/>
          <w:szCs w:val="21"/>
        </w:rPr>
        <w:fldChar w:fldCharType="end"/>
      </w:r>
    </w:p>
    <w:p>
      <w:pPr>
        <w:pStyle w:val="26"/>
        <w:tabs>
          <w:tab w:val="right" w:leader="dot" w:pos="8312"/>
          <w:tab w:val="clear" w:pos="9060"/>
        </w:tabs>
      </w:pPr>
      <w:r>
        <w:rPr>
          <w:rFonts w:hint="eastAsia" w:ascii="宋体" w:hAnsi="宋体" w:eastAsia="宋体"/>
          <w:szCs w:val="21"/>
        </w:rPr>
        <w:fldChar w:fldCharType="begin"/>
      </w:r>
      <w:r>
        <w:rPr>
          <w:rFonts w:hint="eastAsia" w:ascii="宋体" w:hAnsi="宋体" w:eastAsia="宋体"/>
          <w:szCs w:val="21"/>
        </w:rPr>
        <w:instrText xml:space="preserve"> HYPERLINK \l _Toc29642 </w:instrText>
      </w:r>
      <w:r>
        <w:rPr>
          <w:rFonts w:hint="eastAsia" w:ascii="宋体" w:hAnsi="宋体" w:eastAsia="宋体"/>
          <w:szCs w:val="21"/>
        </w:rPr>
        <w:fldChar w:fldCharType="separate"/>
      </w:r>
      <w:r>
        <w:rPr>
          <w:rFonts w:hint="eastAsia" w:ascii="宋体" w:hAnsi="宋体" w:eastAsia="宋体"/>
        </w:rPr>
        <w:t>十三  验收</w:t>
      </w:r>
      <w:r>
        <w:tab/>
      </w:r>
      <w:r>
        <w:fldChar w:fldCharType="begin"/>
      </w:r>
      <w:r>
        <w:instrText xml:space="preserve"> PAGEREF _Toc29642 \h </w:instrText>
      </w:r>
      <w:r>
        <w:fldChar w:fldCharType="separate"/>
      </w:r>
      <w:r>
        <w:t>21</w:t>
      </w:r>
      <w:r>
        <w:fldChar w:fldCharType="end"/>
      </w:r>
      <w:r>
        <w:rPr>
          <w:rFonts w:hint="eastAsia" w:ascii="宋体" w:hAnsi="宋体" w:eastAsia="宋体"/>
          <w:szCs w:val="21"/>
        </w:rPr>
        <w:fldChar w:fldCharType="end"/>
      </w:r>
    </w:p>
    <w:p>
      <w:pPr>
        <w:pStyle w:val="26"/>
        <w:tabs>
          <w:tab w:val="right" w:leader="dot" w:pos="8312"/>
          <w:tab w:val="clear" w:pos="9060"/>
        </w:tabs>
      </w:pPr>
      <w:r>
        <w:rPr>
          <w:rFonts w:hint="eastAsia" w:ascii="宋体" w:hAnsi="宋体" w:eastAsia="宋体"/>
          <w:szCs w:val="21"/>
        </w:rPr>
        <w:fldChar w:fldCharType="begin"/>
      </w:r>
      <w:r>
        <w:rPr>
          <w:rFonts w:hint="eastAsia" w:ascii="宋体" w:hAnsi="宋体" w:eastAsia="宋体"/>
          <w:szCs w:val="21"/>
        </w:rPr>
        <w:instrText xml:space="preserve"> HYPERLINK \l _Toc20277 </w:instrText>
      </w:r>
      <w:r>
        <w:rPr>
          <w:rFonts w:hint="eastAsia" w:ascii="宋体" w:hAnsi="宋体" w:eastAsia="宋体"/>
          <w:szCs w:val="21"/>
        </w:rPr>
        <w:fldChar w:fldCharType="separate"/>
      </w:r>
      <w:r>
        <w:rPr>
          <w:rFonts w:hint="eastAsia" w:ascii="宋体" w:hAnsi="宋体" w:eastAsia="宋体"/>
        </w:rPr>
        <w:t>十四  政府</w:t>
      </w:r>
      <w:r>
        <w:rPr>
          <w:rFonts w:ascii="宋体" w:hAnsi="宋体" w:eastAsia="宋体"/>
        </w:rPr>
        <w:t>采购政策</w:t>
      </w:r>
      <w:r>
        <w:tab/>
      </w:r>
      <w:r>
        <w:fldChar w:fldCharType="begin"/>
      </w:r>
      <w:r>
        <w:instrText xml:space="preserve"> PAGEREF _Toc20277 \h </w:instrText>
      </w:r>
      <w:r>
        <w:fldChar w:fldCharType="separate"/>
      </w:r>
      <w:r>
        <w:t>22</w:t>
      </w:r>
      <w:r>
        <w:fldChar w:fldCharType="end"/>
      </w:r>
      <w:r>
        <w:rPr>
          <w:rFonts w:hint="eastAsia" w:ascii="宋体" w:hAnsi="宋体" w:eastAsia="宋体"/>
          <w:szCs w:val="21"/>
        </w:rPr>
        <w:fldChar w:fldCharType="end"/>
      </w:r>
    </w:p>
    <w:p>
      <w:pPr>
        <w:pStyle w:val="26"/>
        <w:tabs>
          <w:tab w:val="right" w:leader="dot" w:pos="8312"/>
          <w:tab w:val="clear" w:pos="9060"/>
        </w:tabs>
      </w:pPr>
      <w:r>
        <w:rPr>
          <w:rFonts w:hint="eastAsia" w:ascii="宋体" w:hAnsi="宋体" w:eastAsia="宋体"/>
          <w:szCs w:val="21"/>
        </w:rPr>
        <w:fldChar w:fldCharType="begin"/>
      </w:r>
      <w:r>
        <w:rPr>
          <w:rFonts w:hint="eastAsia" w:ascii="宋体" w:hAnsi="宋体" w:eastAsia="宋体"/>
          <w:szCs w:val="21"/>
        </w:rPr>
        <w:instrText xml:space="preserve"> HYPERLINK \l _Toc27030 </w:instrText>
      </w:r>
      <w:r>
        <w:rPr>
          <w:rFonts w:hint="eastAsia" w:ascii="宋体" w:hAnsi="宋体" w:eastAsia="宋体"/>
          <w:szCs w:val="21"/>
        </w:rPr>
        <w:fldChar w:fldCharType="separate"/>
      </w:r>
      <w:r>
        <w:rPr>
          <w:rFonts w:hint="eastAsia" w:ascii="宋体" w:hAnsi="宋体" w:eastAsia="宋体"/>
        </w:rPr>
        <w:t>十五  其他事项</w:t>
      </w:r>
      <w:r>
        <w:tab/>
      </w:r>
      <w:r>
        <w:fldChar w:fldCharType="begin"/>
      </w:r>
      <w:r>
        <w:instrText xml:space="preserve"> PAGEREF _Toc27030 \h </w:instrText>
      </w:r>
      <w:r>
        <w:fldChar w:fldCharType="separate"/>
      </w:r>
      <w:r>
        <w:t>23</w:t>
      </w:r>
      <w:r>
        <w:fldChar w:fldCharType="end"/>
      </w:r>
      <w:r>
        <w:rPr>
          <w:rFonts w:hint="eastAsia" w:ascii="宋体" w:hAnsi="宋体" w:eastAsia="宋体"/>
          <w:szCs w:val="21"/>
        </w:rPr>
        <w:fldChar w:fldCharType="end"/>
      </w:r>
    </w:p>
    <w:p>
      <w:pPr>
        <w:pStyle w:val="35"/>
        <w:tabs>
          <w:tab w:val="right" w:leader="dot" w:pos="8312"/>
          <w:tab w:val="clear" w:pos="1470"/>
          <w:tab w:val="clear" w:pos="9016"/>
        </w:tabs>
      </w:pPr>
      <w:r>
        <w:rPr>
          <w:rFonts w:hint="eastAsia" w:ascii="宋体" w:hAnsi="宋体" w:eastAsia="宋体"/>
          <w:szCs w:val="21"/>
        </w:rPr>
        <w:fldChar w:fldCharType="begin"/>
      </w:r>
      <w:r>
        <w:rPr>
          <w:rFonts w:hint="eastAsia" w:ascii="宋体" w:hAnsi="宋体" w:eastAsia="宋体"/>
          <w:szCs w:val="21"/>
        </w:rPr>
        <w:instrText xml:space="preserve"> HYPERLINK \l _Toc7992 </w:instrText>
      </w:r>
      <w:r>
        <w:rPr>
          <w:rFonts w:hint="eastAsia" w:ascii="宋体" w:hAnsi="宋体" w:eastAsia="宋体"/>
          <w:szCs w:val="21"/>
        </w:rPr>
        <w:fldChar w:fldCharType="separate"/>
      </w:r>
      <w:r>
        <w:rPr>
          <w:rFonts w:hint="eastAsia" w:ascii="宋体" w:hAnsi="宋体" w:eastAsia="宋体"/>
        </w:rPr>
        <w:t>第三章 采购需求</w:t>
      </w:r>
      <w:r>
        <w:tab/>
      </w:r>
      <w:r>
        <w:fldChar w:fldCharType="begin"/>
      </w:r>
      <w:r>
        <w:instrText xml:space="preserve"> PAGEREF _Toc7992 \h </w:instrText>
      </w:r>
      <w:r>
        <w:fldChar w:fldCharType="separate"/>
      </w:r>
      <w:r>
        <w:t>24</w:t>
      </w:r>
      <w:r>
        <w:fldChar w:fldCharType="end"/>
      </w:r>
      <w:r>
        <w:rPr>
          <w:rFonts w:hint="eastAsia" w:ascii="宋体" w:hAnsi="宋体" w:eastAsia="宋体"/>
          <w:szCs w:val="21"/>
        </w:rPr>
        <w:fldChar w:fldCharType="end"/>
      </w:r>
    </w:p>
    <w:p>
      <w:pPr>
        <w:pStyle w:val="26"/>
        <w:tabs>
          <w:tab w:val="right" w:leader="dot" w:pos="8312"/>
          <w:tab w:val="clear" w:pos="9060"/>
        </w:tabs>
      </w:pPr>
      <w:r>
        <w:rPr>
          <w:rFonts w:hint="eastAsia" w:ascii="宋体" w:hAnsi="宋体" w:eastAsia="宋体"/>
          <w:szCs w:val="21"/>
        </w:rPr>
        <w:fldChar w:fldCharType="begin"/>
      </w:r>
      <w:r>
        <w:rPr>
          <w:rFonts w:hint="eastAsia" w:ascii="宋体" w:hAnsi="宋体" w:eastAsia="宋体"/>
          <w:szCs w:val="21"/>
        </w:rPr>
        <w:instrText xml:space="preserve"> HYPERLINK \l _Toc4076 </w:instrText>
      </w:r>
      <w:r>
        <w:rPr>
          <w:rFonts w:hint="eastAsia" w:ascii="宋体" w:hAnsi="宋体" w:eastAsia="宋体"/>
          <w:szCs w:val="21"/>
        </w:rPr>
        <w:fldChar w:fldCharType="separate"/>
      </w:r>
      <w:r>
        <w:rPr>
          <w:rFonts w:hint="eastAsia" w:ascii="宋体" w:hAnsi="宋体" w:eastAsia="宋体"/>
        </w:rPr>
        <w:t>一、项目背景</w:t>
      </w:r>
      <w:r>
        <w:tab/>
      </w:r>
      <w:r>
        <w:fldChar w:fldCharType="begin"/>
      </w:r>
      <w:r>
        <w:instrText xml:space="preserve"> PAGEREF _Toc4076 \h </w:instrText>
      </w:r>
      <w:r>
        <w:fldChar w:fldCharType="separate"/>
      </w:r>
      <w:r>
        <w:t>24</w:t>
      </w:r>
      <w:r>
        <w:fldChar w:fldCharType="end"/>
      </w:r>
      <w:r>
        <w:rPr>
          <w:rFonts w:hint="eastAsia" w:ascii="宋体" w:hAnsi="宋体" w:eastAsia="宋体"/>
          <w:szCs w:val="21"/>
        </w:rPr>
        <w:fldChar w:fldCharType="end"/>
      </w:r>
    </w:p>
    <w:p>
      <w:pPr>
        <w:pStyle w:val="26"/>
        <w:tabs>
          <w:tab w:val="right" w:leader="dot" w:pos="8312"/>
          <w:tab w:val="clear" w:pos="9060"/>
        </w:tabs>
      </w:pPr>
      <w:r>
        <w:rPr>
          <w:rFonts w:hint="eastAsia" w:ascii="宋体" w:hAnsi="宋体" w:eastAsia="宋体"/>
          <w:szCs w:val="21"/>
        </w:rPr>
        <w:fldChar w:fldCharType="begin"/>
      </w:r>
      <w:r>
        <w:rPr>
          <w:rFonts w:hint="eastAsia" w:ascii="宋体" w:hAnsi="宋体" w:eastAsia="宋体"/>
          <w:szCs w:val="21"/>
        </w:rPr>
        <w:instrText xml:space="preserve"> HYPERLINK \l _Toc26930 </w:instrText>
      </w:r>
      <w:r>
        <w:rPr>
          <w:rFonts w:hint="eastAsia" w:ascii="宋体" w:hAnsi="宋体" w:eastAsia="宋体"/>
          <w:szCs w:val="21"/>
        </w:rPr>
        <w:fldChar w:fldCharType="separate"/>
      </w:r>
      <w:r>
        <w:rPr>
          <w:rFonts w:hint="eastAsia" w:ascii="宋体" w:hAnsi="宋体" w:eastAsia="宋体"/>
        </w:rPr>
        <w:t>二、项目意义</w:t>
      </w:r>
      <w:r>
        <w:tab/>
      </w:r>
      <w:r>
        <w:fldChar w:fldCharType="begin"/>
      </w:r>
      <w:r>
        <w:instrText xml:space="preserve"> PAGEREF _Toc26930 \h </w:instrText>
      </w:r>
      <w:r>
        <w:fldChar w:fldCharType="separate"/>
      </w:r>
      <w:r>
        <w:t>25</w:t>
      </w:r>
      <w:r>
        <w:fldChar w:fldCharType="end"/>
      </w:r>
      <w:r>
        <w:rPr>
          <w:rFonts w:hint="eastAsia" w:ascii="宋体" w:hAnsi="宋体" w:eastAsia="宋体"/>
          <w:szCs w:val="21"/>
        </w:rPr>
        <w:fldChar w:fldCharType="end"/>
      </w:r>
    </w:p>
    <w:p>
      <w:pPr>
        <w:pStyle w:val="26"/>
        <w:tabs>
          <w:tab w:val="right" w:leader="dot" w:pos="8312"/>
          <w:tab w:val="clear" w:pos="9060"/>
        </w:tabs>
      </w:pPr>
      <w:r>
        <w:rPr>
          <w:rFonts w:hint="eastAsia" w:ascii="宋体" w:hAnsi="宋体" w:eastAsia="宋体"/>
          <w:szCs w:val="21"/>
        </w:rPr>
        <w:fldChar w:fldCharType="begin"/>
      </w:r>
      <w:r>
        <w:rPr>
          <w:rFonts w:hint="eastAsia" w:ascii="宋体" w:hAnsi="宋体" w:eastAsia="宋体"/>
          <w:szCs w:val="21"/>
        </w:rPr>
        <w:instrText xml:space="preserve"> HYPERLINK \l _Toc31406 </w:instrText>
      </w:r>
      <w:r>
        <w:rPr>
          <w:rFonts w:hint="eastAsia" w:ascii="宋体" w:hAnsi="宋体" w:eastAsia="宋体"/>
          <w:szCs w:val="21"/>
        </w:rPr>
        <w:fldChar w:fldCharType="separate"/>
      </w:r>
      <w:r>
        <w:rPr>
          <w:rFonts w:hint="eastAsia" w:ascii="宋体" w:hAnsi="宋体" w:eastAsia="宋体"/>
        </w:rPr>
        <w:t>三、建设目标、原则及重点</w:t>
      </w:r>
      <w:r>
        <w:tab/>
      </w:r>
      <w:r>
        <w:fldChar w:fldCharType="begin"/>
      </w:r>
      <w:r>
        <w:instrText xml:space="preserve"> PAGEREF _Toc31406 \h </w:instrText>
      </w:r>
      <w:r>
        <w:fldChar w:fldCharType="separate"/>
      </w:r>
      <w:r>
        <w:t>26</w:t>
      </w:r>
      <w:r>
        <w:fldChar w:fldCharType="end"/>
      </w:r>
      <w:r>
        <w:rPr>
          <w:rFonts w:hint="eastAsia" w:ascii="宋体" w:hAnsi="宋体" w:eastAsia="宋体"/>
          <w:szCs w:val="21"/>
        </w:rPr>
        <w:fldChar w:fldCharType="end"/>
      </w:r>
    </w:p>
    <w:p>
      <w:pPr>
        <w:pStyle w:val="26"/>
        <w:tabs>
          <w:tab w:val="right" w:leader="dot" w:pos="8312"/>
          <w:tab w:val="clear" w:pos="9060"/>
        </w:tabs>
      </w:pPr>
      <w:r>
        <w:rPr>
          <w:rFonts w:hint="eastAsia" w:ascii="宋体" w:hAnsi="宋体" w:eastAsia="宋体"/>
          <w:szCs w:val="21"/>
        </w:rPr>
        <w:fldChar w:fldCharType="begin"/>
      </w:r>
      <w:r>
        <w:rPr>
          <w:rFonts w:hint="eastAsia" w:ascii="宋体" w:hAnsi="宋体" w:eastAsia="宋体"/>
          <w:szCs w:val="21"/>
        </w:rPr>
        <w:instrText xml:space="preserve"> HYPERLINK \l _Toc20485 </w:instrText>
      </w:r>
      <w:r>
        <w:rPr>
          <w:rFonts w:hint="eastAsia" w:ascii="宋体" w:hAnsi="宋体" w:eastAsia="宋体"/>
          <w:szCs w:val="21"/>
        </w:rPr>
        <w:fldChar w:fldCharType="separate"/>
      </w:r>
      <w:r>
        <w:rPr>
          <w:rFonts w:hint="eastAsia" w:ascii="宋体" w:hAnsi="宋体" w:eastAsia="宋体"/>
        </w:rPr>
        <w:t>四、成果编制要求</w:t>
      </w:r>
      <w:r>
        <w:tab/>
      </w:r>
      <w:r>
        <w:fldChar w:fldCharType="begin"/>
      </w:r>
      <w:r>
        <w:instrText xml:space="preserve"> PAGEREF _Toc20485 \h </w:instrText>
      </w:r>
      <w:r>
        <w:fldChar w:fldCharType="separate"/>
      </w:r>
      <w:r>
        <w:t>28</w:t>
      </w:r>
      <w:r>
        <w:fldChar w:fldCharType="end"/>
      </w:r>
      <w:r>
        <w:rPr>
          <w:rFonts w:hint="eastAsia" w:ascii="宋体" w:hAnsi="宋体" w:eastAsia="宋体"/>
          <w:szCs w:val="21"/>
        </w:rPr>
        <w:fldChar w:fldCharType="end"/>
      </w:r>
    </w:p>
    <w:p>
      <w:pPr>
        <w:pStyle w:val="26"/>
        <w:tabs>
          <w:tab w:val="right" w:leader="dot" w:pos="8312"/>
          <w:tab w:val="clear" w:pos="9060"/>
        </w:tabs>
      </w:pPr>
      <w:r>
        <w:rPr>
          <w:rFonts w:hint="eastAsia" w:ascii="宋体" w:hAnsi="宋体" w:eastAsia="宋体"/>
          <w:szCs w:val="21"/>
        </w:rPr>
        <w:fldChar w:fldCharType="begin"/>
      </w:r>
      <w:r>
        <w:rPr>
          <w:rFonts w:hint="eastAsia" w:ascii="宋体" w:hAnsi="宋体" w:eastAsia="宋体"/>
          <w:szCs w:val="21"/>
        </w:rPr>
        <w:instrText xml:space="preserve"> HYPERLINK \l _Toc19857 </w:instrText>
      </w:r>
      <w:r>
        <w:rPr>
          <w:rFonts w:hint="eastAsia" w:ascii="宋体" w:hAnsi="宋体" w:eastAsia="宋体"/>
          <w:szCs w:val="21"/>
        </w:rPr>
        <w:fldChar w:fldCharType="separate"/>
      </w:r>
      <w:r>
        <w:rPr>
          <w:rFonts w:hint="eastAsia" w:ascii="宋体" w:hAnsi="宋体" w:eastAsia="宋体"/>
        </w:rPr>
        <w:t>五、规划成果参考要求</w:t>
      </w:r>
      <w:r>
        <w:tab/>
      </w:r>
      <w:r>
        <w:fldChar w:fldCharType="begin"/>
      </w:r>
      <w:r>
        <w:instrText xml:space="preserve"> PAGEREF _Toc19857 \h </w:instrText>
      </w:r>
      <w:r>
        <w:fldChar w:fldCharType="separate"/>
      </w:r>
      <w:r>
        <w:t>28</w:t>
      </w:r>
      <w:r>
        <w:fldChar w:fldCharType="end"/>
      </w:r>
      <w:r>
        <w:rPr>
          <w:rFonts w:hint="eastAsia" w:ascii="宋体" w:hAnsi="宋体" w:eastAsia="宋体"/>
          <w:szCs w:val="21"/>
        </w:rPr>
        <w:fldChar w:fldCharType="end"/>
      </w:r>
    </w:p>
    <w:p>
      <w:pPr>
        <w:pStyle w:val="26"/>
        <w:tabs>
          <w:tab w:val="right" w:leader="dot" w:pos="8312"/>
          <w:tab w:val="clear" w:pos="9060"/>
        </w:tabs>
      </w:pPr>
      <w:r>
        <w:rPr>
          <w:rFonts w:hint="eastAsia" w:ascii="宋体" w:hAnsi="宋体" w:eastAsia="宋体"/>
          <w:szCs w:val="21"/>
        </w:rPr>
        <w:fldChar w:fldCharType="begin"/>
      </w:r>
      <w:r>
        <w:rPr>
          <w:rFonts w:hint="eastAsia" w:ascii="宋体" w:hAnsi="宋体" w:eastAsia="宋体"/>
          <w:szCs w:val="21"/>
        </w:rPr>
        <w:instrText xml:space="preserve"> HYPERLINK \l _Toc19302 </w:instrText>
      </w:r>
      <w:r>
        <w:rPr>
          <w:rFonts w:hint="eastAsia" w:ascii="宋体" w:hAnsi="宋体" w:eastAsia="宋体"/>
          <w:szCs w:val="21"/>
        </w:rPr>
        <w:fldChar w:fldCharType="separate"/>
      </w:r>
      <w:r>
        <w:rPr>
          <w:rFonts w:hint="eastAsia" w:ascii="宋体" w:hAnsi="宋体" w:eastAsia="宋体"/>
        </w:rPr>
        <w:t>六、其他要求</w:t>
      </w:r>
      <w:r>
        <w:tab/>
      </w:r>
      <w:r>
        <w:fldChar w:fldCharType="begin"/>
      </w:r>
      <w:r>
        <w:instrText xml:space="preserve"> PAGEREF _Toc19302 \h </w:instrText>
      </w:r>
      <w:r>
        <w:fldChar w:fldCharType="separate"/>
      </w:r>
      <w:r>
        <w:t>30</w:t>
      </w:r>
      <w:r>
        <w:fldChar w:fldCharType="end"/>
      </w:r>
      <w:r>
        <w:rPr>
          <w:rFonts w:hint="eastAsia" w:ascii="宋体" w:hAnsi="宋体" w:eastAsia="宋体"/>
          <w:szCs w:val="21"/>
        </w:rPr>
        <w:fldChar w:fldCharType="end"/>
      </w:r>
    </w:p>
    <w:p>
      <w:pPr>
        <w:pStyle w:val="26"/>
        <w:tabs>
          <w:tab w:val="right" w:leader="dot" w:pos="8312"/>
          <w:tab w:val="clear" w:pos="9060"/>
        </w:tabs>
      </w:pPr>
      <w:r>
        <w:rPr>
          <w:rFonts w:hint="eastAsia" w:ascii="宋体" w:hAnsi="宋体" w:eastAsia="宋体"/>
          <w:szCs w:val="21"/>
        </w:rPr>
        <w:fldChar w:fldCharType="begin"/>
      </w:r>
      <w:r>
        <w:rPr>
          <w:rFonts w:hint="eastAsia" w:ascii="宋体" w:hAnsi="宋体" w:eastAsia="宋体"/>
          <w:szCs w:val="21"/>
        </w:rPr>
        <w:instrText xml:space="preserve"> HYPERLINK \l _Toc24809 </w:instrText>
      </w:r>
      <w:r>
        <w:rPr>
          <w:rFonts w:hint="eastAsia" w:ascii="宋体" w:hAnsi="宋体" w:eastAsia="宋体"/>
          <w:szCs w:val="21"/>
        </w:rPr>
        <w:fldChar w:fldCharType="separate"/>
      </w:r>
      <w:r>
        <w:rPr>
          <w:rFonts w:hint="eastAsia" w:ascii="宋体" w:hAnsi="宋体" w:eastAsia="宋体"/>
        </w:rPr>
        <w:t>七、付款方式</w:t>
      </w:r>
      <w:r>
        <w:tab/>
      </w:r>
      <w:r>
        <w:fldChar w:fldCharType="begin"/>
      </w:r>
      <w:r>
        <w:instrText xml:space="preserve"> PAGEREF _Toc24809 \h </w:instrText>
      </w:r>
      <w:r>
        <w:fldChar w:fldCharType="separate"/>
      </w:r>
      <w:r>
        <w:t>31</w:t>
      </w:r>
      <w:r>
        <w:fldChar w:fldCharType="end"/>
      </w:r>
      <w:r>
        <w:rPr>
          <w:rFonts w:hint="eastAsia" w:ascii="宋体" w:hAnsi="宋体" w:eastAsia="宋体"/>
          <w:szCs w:val="21"/>
        </w:rPr>
        <w:fldChar w:fldCharType="end"/>
      </w:r>
    </w:p>
    <w:p>
      <w:pPr>
        <w:pStyle w:val="35"/>
        <w:tabs>
          <w:tab w:val="right" w:leader="dot" w:pos="8312"/>
          <w:tab w:val="clear" w:pos="1470"/>
          <w:tab w:val="clear" w:pos="9016"/>
        </w:tabs>
      </w:pPr>
      <w:r>
        <w:rPr>
          <w:rFonts w:hint="eastAsia" w:ascii="宋体" w:hAnsi="宋体" w:eastAsia="宋体"/>
          <w:szCs w:val="21"/>
        </w:rPr>
        <w:fldChar w:fldCharType="begin"/>
      </w:r>
      <w:r>
        <w:rPr>
          <w:rFonts w:hint="eastAsia" w:ascii="宋体" w:hAnsi="宋体" w:eastAsia="宋体"/>
          <w:szCs w:val="21"/>
        </w:rPr>
        <w:instrText xml:space="preserve"> HYPERLINK \l _Toc23561 </w:instrText>
      </w:r>
      <w:r>
        <w:rPr>
          <w:rFonts w:hint="eastAsia" w:ascii="宋体" w:hAnsi="宋体" w:eastAsia="宋体"/>
          <w:szCs w:val="21"/>
        </w:rPr>
        <w:fldChar w:fldCharType="separate"/>
      </w:r>
      <w:r>
        <w:rPr>
          <w:rFonts w:hint="eastAsia" w:ascii="宋体" w:hAnsi="宋体" w:eastAsia="宋体"/>
        </w:rPr>
        <w:t>第四章　政府采购合同（范本）</w:t>
      </w:r>
      <w:r>
        <w:tab/>
      </w:r>
      <w:r>
        <w:fldChar w:fldCharType="begin"/>
      </w:r>
      <w:r>
        <w:instrText xml:space="preserve"> PAGEREF _Toc23561 \h </w:instrText>
      </w:r>
      <w:r>
        <w:fldChar w:fldCharType="separate"/>
      </w:r>
      <w:r>
        <w:t>32</w:t>
      </w:r>
      <w:r>
        <w:fldChar w:fldCharType="end"/>
      </w:r>
      <w:r>
        <w:rPr>
          <w:rFonts w:hint="eastAsia" w:ascii="宋体" w:hAnsi="宋体" w:eastAsia="宋体"/>
          <w:szCs w:val="21"/>
        </w:rPr>
        <w:fldChar w:fldCharType="end"/>
      </w:r>
    </w:p>
    <w:p>
      <w:pPr>
        <w:pStyle w:val="35"/>
        <w:tabs>
          <w:tab w:val="right" w:leader="dot" w:pos="8312"/>
          <w:tab w:val="clear" w:pos="1470"/>
          <w:tab w:val="clear" w:pos="9016"/>
        </w:tabs>
      </w:pPr>
      <w:r>
        <w:rPr>
          <w:rFonts w:hint="eastAsia" w:ascii="宋体" w:hAnsi="宋体" w:eastAsia="宋体"/>
          <w:szCs w:val="21"/>
        </w:rPr>
        <w:fldChar w:fldCharType="begin"/>
      </w:r>
      <w:r>
        <w:rPr>
          <w:rFonts w:hint="eastAsia" w:ascii="宋体" w:hAnsi="宋体" w:eastAsia="宋体"/>
          <w:szCs w:val="21"/>
        </w:rPr>
        <w:instrText xml:space="preserve"> HYPERLINK \l _Toc15775 </w:instrText>
      </w:r>
      <w:r>
        <w:rPr>
          <w:rFonts w:hint="eastAsia" w:ascii="宋体" w:hAnsi="宋体" w:eastAsia="宋体"/>
          <w:szCs w:val="21"/>
        </w:rPr>
        <w:fldChar w:fldCharType="separate"/>
      </w:r>
      <w:r>
        <w:rPr>
          <w:rFonts w:hint="eastAsia" w:ascii="宋体" w:hAnsi="宋体" w:eastAsia="宋体"/>
        </w:rPr>
        <w:t>第五章　投标相关文件格式</w:t>
      </w:r>
      <w:r>
        <w:tab/>
      </w:r>
      <w:r>
        <w:fldChar w:fldCharType="begin"/>
      </w:r>
      <w:r>
        <w:instrText xml:space="preserve"> PAGEREF _Toc15775 \h </w:instrText>
      </w:r>
      <w:r>
        <w:fldChar w:fldCharType="separate"/>
      </w:r>
      <w:r>
        <w:t>39</w:t>
      </w:r>
      <w:r>
        <w:fldChar w:fldCharType="end"/>
      </w:r>
      <w:r>
        <w:rPr>
          <w:rFonts w:hint="eastAsia" w:ascii="宋体" w:hAnsi="宋体" w:eastAsia="宋体"/>
          <w:szCs w:val="21"/>
        </w:rPr>
        <w:fldChar w:fldCharType="end"/>
      </w:r>
    </w:p>
    <w:p>
      <w:pPr>
        <w:pStyle w:val="26"/>
        <w:tabs>
          <w:tab w:val="right" w:leader="dot" w:pos="8312"/>
          <w:tab w:val="clear" w:pos="9060"/>
        </w:tabs>
      </w:pPr>
      <w:r>
        <w:rPr>
          <w:rFonts w:hint="eastAsia" w:ascii="宋体" w:hAnsi="宋体" w:eastAsia="宋体"/>
          <w:szCs w:val="21"/>
        </w:rPr>
        <w:fldChar w:fldCharType="begin"/>
      </w:r>
      <w:r>
        <w:rPr>
          <w:rFonts w:hint="eastAsia" w:ascii="宋体" w:hAnsi="宋体" w:eastAsia="宋体"/>
          <w:szCs w:val="21"/>
        </w:rPr>
        <w:instrText xml:space="preserve"> HYPERLINK \l _Toc20011 </w:instrText>
      </w:r>
      <w:r>
        <w:rPr>
          <w:rFonts w:hint="eastAsia" w:ascii="宋体" w:hAnsi="宋体" w:eastAsia="宋体"/>
          <w:szCs w:val="21"/>
        </w:rPr>
        <w:fldChar w:fldCharType="separate"/>
      </w:r>
      <w:r>
        <w:rPr>
          <w:rFonts w:hint="eastAsia" w:ascii="宋体" w:hAnsi="宋体" w:eastAsia="宋体"/>
          <w:bCs w:val="0"/>
        </w:rPr>
        <w:t>一   资格文件格式</w:t>
      </w:r>
      <w:r>
        <w:tab/>
      </w:r>
      <w:r>
        <w:fldChar w:fldCharType="begin"/>
      </w:r>
      <w:r>
        <w:instrText xml:space="preserve"> PAGEREF _Toc20011 \h </w:instrText>
      </w:r>
      <w:r>
        <w:fldChar w:fldCharType="separate"/>
      </w:r>
      <w:r>
        <w:t>39</w:t>
      </w:r>
      <w:r>
        <w:fldChar w:fldCharType="end"/>
      </w:r>
      <w:r>
        <w:rPr>
          <w:rFonts w:hint="eastAsia" w:ascii="宋体" w:hAnsi="宋体" w:eastAsia="宋体"/>
          <w:szCs w:val="21"/>
        </w:rPr>
        <w:fldChar w:fldCharType="end"/>
      </w:r>
    </w:p>
    <w:p>
      <w:pPr>
        <w:pStyle w:val="26"/>
        <w:tabs>
          <w:tab w:val="right" w:leader="dot" w:pos="8312"/>
          <w:tab w:val="clear" w:pos="9060"/>
        </w:tabs>
      </w:pPr>
      <w:r>
        <w:rPr>
          <w:rFonts w:hint="eastAsia" w:ascii="宋体" w:hAnsi="宋体" w:eastAsia="宋体"/>
          <w:szCs w:val="21"/>
        </w:rPr>
        <w:fldChar w:fldCharType="begin"/>
      </w:r>
      <w:r>
        <w:rPr>
          <w:rFonts w:hint="eastAsia" w:ascii="宋体" w:hAnsi="宋体" w:eastAsia="宋体"/>
          <w:szCs w:val="21"/>
        </w:rPr>
        <w:instrText xml:space="preserve"> HYPERLINK \l _Toc12813 </w:instrText>
      </w:r>
      <w:r>
        <w:rPr>
          <w:rFonts w:hint="eastAsia" w:ascii="宋体" w:hAnsi="宋体" w:eastAsia="宋体"/>
          <w:szCs w:val="21"/>
        </w:rPr>
        <w:fldChar w:fldCharType="separate"/>
      </w:r>
      <w:r>
        <w:rPr>
          <w:rFonts w:hint="eastAsia" w:ascii="宋体" w:hAnsi="宋体" w:eastAsia="宋体"/>
          <w:bCs w:val="0"/>
        </w:rPr>
        <w:t>二   商务技术文件格式</w:t>
      </w:r>
      <w:r>
        <w:tab/>
      </w:r>
      <w:r>
        <w:fldChar w:fldCharType="begin"/>
      </w:r>
      <w:r>
        <w:instrText xml:space="preserve"> PAGEREF _Toc12813 \h </w:instrText>
      </w:r>
      <w:r>
        <w:fldChar w:fldCharType="separate"/>
      </w:r>
      <w:r>
        <w:t>48</w:t>
      </w:r>
      <w:r>
        <w:fldChar w:fldCharType="end"/>
      </w:r>
      <w:r>
        <w:rPr>
          <w:rFonts w:hint="eastAsia" w:ascii="宋体" w:hAnsi="宋体" w:eastAsia="宋体"/>
          <w:szCs w:val="21"/>
        </w:rPr>
        <w:fldChar w:fldCharType="end"/>
      </w:r>
    </w:p>
    <w:p>
      <w:pPr>
        <w:pStyle w:val="26"/>
        <w:tabs>
          <w:tab w:val="right" w:leader="dot" w:pos="8312"/>
          <w:tab w:val="clear" w:pos="9060"/>
        </w:tabs>
      </w:pPr>
      <w:r>
        <w:rPr>
          <w:rFonts w:hint="eastAsia" w:ascii="宋体" w:hAnsi="宋体" w:eastAsia="宋体"/>
          <w:szCs w:val="21"/>
        </w:rPr>
        <w:fldChar w:fldCharType="begin"/>
      </w:r>
      <w:r>
        <w:rPr>
          <w:rFonts w:hint="eastAsia" w:ascii="宋体" w:hAnsi="宋体" w:eastAsia="宋体"/>
          <w:szCs w:val="21"/>
        </w:rPr>
        <w:instrText xml:space="preserve"> HYPERLINK \l _Toc25994 </w:instrText>
      </w:r>
      <w:r>
        <w:rPr>
          <w:rFonts w:hint="eastAsia" w:ascii="宋体" w:hAnsi="宋体" w:eastAsia="宋体"/>
          <w:szCs w:val="21"/>
        </w:rPr>
        <w:fldChar w:fldCharType="separate"/>
      </w:r>
      <w:r>
        <w:rPr>
          <w:rFonts w:hint="eastAsia" w:ascii="宋体" w:hAnsi="宋体" w:eastAsia="宋体"/>
          <w:bCs w:val="0"/>
        </w:rPr>
        <w:t>三   报价文件格式</w:t>
      </w:r>
      <w:r>
        <w:tab/>
      </w:r>
      <w:r>
        <w:fldChar w:fldCharType="begin"/>
      </w:r>
      <w:r>
        <w:instrText xml:space="preserve"> PAGEREF _Toc25994 \h </w:instrText>
      </w:r>
      <w:r>
        <w:fldChar w:fldCharType="separate"/>
      </w:r>
      <w:r>
        <w:t>55</w:t>
      </w:r>
      <w:r>
        <w:fldChar w:fldCharType="end"/>
      </w:r>
      <w:r>
        <w:rPr>
          <w:rFonts w:hint="eastAsia" w:ascii="宋体" w:hAnsi="宋体" w:eastAsia="宋体"/>
          <w:szCs w:val="21"/>
        </w:rPr>
        <w:fldChar w:fldCharType="end"/>
      </w:r>
    </w:p>
    <w:p>
      <w:pPr>
        <w:pStyle w:val="26"/>
        <w:tabs>
          <w:tab w:val="right" w:leader="dot" w:pos="8312"/>
          <w:tab w:val="clear" w:pos="9060"/>
        </w:tabs>
      </w:pPr>
      <w:r>
        <w:rPr>
          <w:rFonts w:hint="eastAsia" w:ascii="宋体" w:hAnsi="宋体" w:eastAsia="宋体"/>
          <w:szCs w:val="21"/>
        </w:rPr>
        <w:fldChar w:fldCharType="begin"/>
      </w:r>
      <w:r>
        <w:rPr>
          <w:rFonts w:hint="eastAsia" w:ascii="宋体" w:hAnsi="宋体" w:eastAsia="宋体"/>
          <w:szCs w:val="21"/>
        </w:rPr>
        <w:instrText xml:space="preserve"> HYPERLINK \l _Toc3736 </w:instrText>
      </w:r>
      <w:r>
        <w:rPr>
          <w:rFonts w:hint="eastAsia" w:ascii="宋体" w:hAnsi="宋体" w:eastAsia="宋体"/>
          <w:szCs w:val="21"/>
        </w:rPr>
        <w:fldChar w:fldCharType="separate"/>
      </w:r>
      <w:r>
        <w:rPr>
          <w:rFonts w:hint="eastAsia" w:ascii="宋体" w:hAnsi="宋体" w:eastAsia="宋体"/>
          <w:bCs w:val="0"/>
        </w:rPr>
        <w:t>四   中标人公告内容</w:t>
      </w:r>
      <w:r>
        <w:tab/>
      </w:r>
      <w:r>
        <w:fldChar w:fldCharType="begin"/>
      </w:r>
      <w:r>
        <w:instrText xml:space="preserve"> PAGEREF _Toc3736 \h </w:instrText>
      </w:r>
      <w:r>
        <w:fldChar w:fldCharType="separate"/>
      </w:r>
      <w:r>
        <w:t>61</w:t>
      </w:r>
      <w:r>
        <w:fldChar w:fldCharType="end"/>
      </w:r>
      <w:r>
        <w:rPr>
          <w:rFonts w:hint="eastAsia" w:ascii="宋体" w:hAnsi="宋体" w:eastAsia="宋体"/>
          <w:szCs w:val="21"/>
        </w:rPr>
        <w:fldChar w:fldCharType="end"/>
      </w:r>
    </w:p>
    <w:p>
      <w:pPr>
        <w:pStyle w:val="26"/>
        <w:tabs>
          <w:tab w:val="right" w:leader="dot" w:pos="8312"/>
          <w:tab w:val="clear" w:pos="9060"/>
        </w:tabs>
      </w:pPr>
      <w:r>
        <w:rPr>
          <w:rFonts w:hint="eastAsia" w:ascii="宋体" w:hAnsi="宋体" w:eastAsia="宋体"/>
          <w:szCs w:val="21"/>
        </w:rPr>
        <w:fldChar w:fldCharType="begin"/>
      </w:r>
      <w:r>
        <w:rPr>
          <w:rFonts w:hint="eastAsia" w:ascii="宋体" w:hAnsi="宋体" w:eastAsia="宋体"/>
          <w:szCs w:val="21"/>
        </w:rPr>
        <w:instrText xml:space="preserve"> HYPERLINK \l _Toc26125 </w:instrText>
      </w:r>
      <w:r>
        <w:rPr>
          <w:rFonts w:hint="eastAsia" w:ascii="宋体" w:hAnsi="宋体" w:eastAsia="宋体"/>
          <w:szCs w:val="21"/>
        </w:rPr>
        <w:fldChar w:fldCharType="separate"/>
      </w:r>
      <w:r>
        <w:rPr>
          <w:rFonts w:hint="eastAsia" w:ascii="宋体" w:hAnsi="宋体" w:eastAsia="宋体"/>
          <w:bCs w:val="0"/>
        </w:rPr>
        <w:t xml:space="preserve">五   </w:t>
      </w:r>
      <w:r>
        <w:rPr>
          <w:rFonts w:ascii="宋体" w:hAnsi="宋体" w:eastAsia="宋体"/>
          <w:bCs w:val="0"/>
        </w:rPr>
        <w:t>现场确认声明书</w:t>
      </w:r>
      <w:r>
        <w:tab/>
      </w:r>
      <w:r>
        <w:fldChar w:fldCharType="begin"/>
      </w:r>
      <w:r>
        <w:instrText xml:space="preserve"> PAGEREF _Toc26125 \h </w:instrText>
      </w:r>
      <w:r>
        <w:fldChar w:fldCharType="separate"/>
      </w:r>
      <w:r>
        <w:t>62</w:t>
      </w:r>
      <w:r>
        <w:fldChar w:fldCharType="end"/>
      </w:r>
      <w:r>
        <w:rPr>
          <w:rFonts w:hint="eastAsia" w:ascii="宋体" w:hAnsi="宋体" w:eastAsia="宋体"/>
          <w:szCs w:val="21"/>
        </w:rPr>
        <w:fldChar w:fldCharType="end"/>
      </w:r>
    </w:p>
    <w:p>
      <w:pPr>
        <w:pStyle w:val="44"/>
        <w:tabs>
          <w:tab w:val="right" w:leader="dot" w:pos="8312"/>
          <w:tab w:val="clear" w:pos="9060"/>
        </w:tabs>
      </w:pPr>
      <w:r>
        <w:rPr>
          <w:rFonts w:hint="eastAsia" w:ascii="宋体" w:hAnsi="宋体" w:eastAsia="宋体"/>
          <w:szCs w:val="21"/>
        </w:rPr>
        <w:fldChar w:fldCharType="begin"/>
      </w:r>
      <w:r>
        <w:rPr>
          <w:rFonts w:hint="eastAsia" w:ascii="宋体" w:hAnsi="宋体" w:eastAsia="宋体"/>
          <w:szCs w:val="21"/>
        </w:rPr>
        <w:instrText xml:space="preserve"> HYPERLINK \l _Toc20543 </w:instrText>
      </w:r>
      <w:r>
        <w:rPr>
          <w:rFonts w:hint="eastAsia" w:ascii="宋体" w:hAnsi="宋体" w:eastAsia="宋体"/>
          <w:szCs w:val="21"/>
        </w:rPr>
        <w:fldChar w:fldCharType="separate"/>
      </w:r>
      <w:r>
        <w:rPr>
          <w:rFonts w:hint="eastAsia" w:ascii="宋体" w:hAnsi="宋体" w:eastAsia="宋体"/>
        </w:rPr>
        <w:t>第六章评标办法和细则</w:t>
      </w:r>
      <w:r>
        <w:tab/>
      </w:r>
      <w:r>
        <w:fldChar w:fldCharType="begin"/>
      </w:r>
      <w:r>
        <w:instrText xml:space="preserve"> PAGEREF _Toc20543 \h </w:instrText>
      </w:r>
      <w:r>
        <w:fldChar w:fldCharType="separate"/>
      </w:r>
      <w:r>
        <w:t>63</w:t>
      </w:r>
      <w:r>
        <w:fldChar w:fldCharType="end"/>
      </w:r>
      <w:r>
        <w:rPr>
          <w:rFonts w:hint="eastAsia" w:ascii="宋体" w:hAnsi="宋体" w:eastAsia="宋体"/>
          <w:szCs w:val="21"/>
        </w:rPr>
        <w:fldChar w:fldCharType="end"/>
      </w:r>
    </w:p>
    <w:p>
      <w:pPr>
        <w:pStyle w:val="26"/>
        <w:tabs>
          <w:tab w:val="right" w:leader="dot" w:pos="8312"/>
          <w:tab w:val="clear" w:pos="9060"/>
        </w:tabs>
      </w:pPr>
      <w:r>
        <w:rPr>
          <w:rFonts w:hint="eastAsia" w:ascii="宋体" w:hAnsi="宋体" w:eastAsia="宋体"/>
          <w:szCs w:val="21"/>
        </w:rPr>
        <w:fldChar w:fldCharType="begin"/>
      </w:r>
      <w:r>
        <w:rPr>
          <w:rFonts w:hint="eastAsia" w:ascii="宋体" w:hAnsi="宋体" w:eastAsia="宋体"/>
          <w:szCs w:val="21"/>
        </w:rPr>
        <w:instrText xml:space="preserve"> HYPERLINK \l _Toc18083 </w:instrText>
      </w:r>
      <w:r>
        <w:rPr>
          <w:rFonts w:hint="eastAsia" w:ascii="宋体" w:hAnsi="宋体" w:eastAsia="宋体"/>
          <w:szCs w:val="21"/>
        </w:rPr>
        <w:fldChar w:fldCharType="separate"/>
      </w:r>
      <w:r>
        <w:rPr>
          <w:rFonts w:hint="eastAsia" w:ascii="宋体" w:hAnsi="宋体" w:eastAsia="宋体"/>
          <w:bCs w:val="0"/>
        </w:rPr>
        <w:t>一   总则</w:t>
      </w:r>
      <w:r>
        <w:tab/>
      </w:r>
      <w:r>
        <w:fldChar w:fldCharType="begin"/>
      </w:r>
      <w:r>
        <w:instrText xml:space="preserve"> PAGEREF _Toc18083 \h </w:instrText>
      </w:r>
      <w:r>
        <w:fldChar w:fldCharType="separate"/>
      </w:r>
      <w:r>
        <w:t>63</w:t>
      </w:r>
      <w:r>
        <w:fldChar w:fldCharType="end"/>
      </w:r>
      <w:r>
        <w:rPr>
          <w:rFonts w:hint="eastAsia" w:ascii="宋体" w:hAnsi="宋体" w:eastAsia="宋体"/>
          <w:szCs w:val="21"/>
        </w:rPr>
        <w:fldChar w:fldCharType="end"/>
      </w:r>
    </w:p>
    <w:p>
      <w:pPr>
        <w:pStyle w:val="26"/>
        <w:tabs>
          <w:tab w:val="right" w:leader="dot" w:pos="8312"/>
          <w:tab w:val="clear" w:pos="9060"/>
        </w:tabs>
      </w:pPr>
      <w:r>
        <w:rPr>
          <w:rFonts w:hint="eastAsia" w:ascii="宋体" w:hAnsi="宋体" w:eastAsia="宋体"/>
          <w:szCs w:val="21"/>
        </w:rPr>
        <w:fldChar w:fldCharType="begin"/>
      </w:r>
      <w:r>
        <w:rPr>
          <w:rFonts w:hint="eastAsia" w:ascii="宋体" w:hAnsi="宋体" w:eastAsia="宋体"/>
          <w:szCs w:val="21"/>
        </w:rPr>
        <w:instrText xml:space="preserve"> HYPERLINK \l _Toc28793 </w:instrText>
      </w:r>
      <w:r>
        <w:rPr>
          <w:rFonts w:hint="eastAsia" w:ascii="宋体" w:hAnsi="宋体" w:eastAsia="宋体"/>
          <w:szCs w:val="21"/>
        </w:rPr>
        <w:fldChar w:fldCharType="separate"/>
      </w:r>
      <w:r>
        <w:rPr>
          <w:rFonts w:hint="eastAsia" w:ascii="宋体" w:hAnsi="宋体" w:eastAsia="宋体"/>
          <w:bCs w:val="0"/>
        </w:rPr>
        <w:t>二   评审委员会</w:t>
      </w:r>
      <w:r>
        <w:tab/>
      </w:r>
      <w:r>
        <w:fldChar w:fldCharType="begin"/>
      </w:r>
      <w:r>
        <w:instrText xml:space="preserve"> PAGEREF _Toc28793 \h </w:instrText>
      </w:r>
      <w:r>
        <w:fldChar w:fldCharType="separate"/>
      </w:r>
      <w:r>
        <w:t>63</w:t>
      </w:r>
      <w:r>
        <w:fldChar w:fldCharType="end"/>
      </w:r>
      <w:r>
        <w:rPr>
          <w:rFonts w:hint="eastAsia" w:ascii="宋体" w:hAnsi="宋体" w:eastAsia="宋体"/>
          <w:szCs w:val="21"/>
        </w:rPr>
        <w:fldChar w:fldCharType="end"/>
      </w:r>
    </w:p>
    <w:p>
      <w:pPr>
        <w:pStyle w:val="26"/>
        <w:tabs>
          <w:tab w:val="right" w:leader="dot" w:pos="8312"/>
          <w:tab w:val="clear" w:pos="9060"/>
        </w:tabs>
      </w:pPr>
      <w:r>
        <w:rPr>
          <w:rFonts w:hint="eastAsia" w:ascii="宋体" w:hAnsi="宋体" w:eastAsia="宋体"/>
          <w:szCs w:val="21"/>
        </w:rPr>
        <w:fldChar w:fldCharType="begin"/>
      </w:r>
      <w:r>
        <w:rPr>
          <w:rFonts w:hint="eastAsia" w:ascii="宋体" w:hAnsi="宋体" w:eastAsia="宋体"/>
          <w:szCs w:val="21"/>
        </w:rPr>
        <w:instrText xml:space="preserve"> HYPERLINK \l _Toc2084 </w:instrText>
      </w:r>
      <w:r>
        <w:rPr>
          <w:rFonts w:hint="eastAsia" w:ascii="宋体" w:hAnsi="宋体" w:eastAsia="宋体"/>
          <w:szCs w:val="21"/>
        </w:rPr>
        <w:fldChar w:fldCharType="separate"/>
      </w:r>
      <w:r>
        <w:rPr>
          <w:rFonts w:hint="eastAsia" w:ascii="宋体" w:hAnsi="宋体" w:eastAsia="宋体"/>
          <w:bCs w:val="0"/>
        </w:rPr>
        <w:t>三   评标程序</w:t>
      </w:r>
      <w:r>
        <w:tab/>
      </w:r>
      <w:r>
        <w:fldChar w:fldCharType="begin"/>
      </w:r>
      <w:r>
        <w:instrText xml:space="preserve"> PAGEREF _Toc2084 \h </w:instrText>
      </w:r>
      <w:r>
        <w:fldChar w:fldCharType="separate"/>
      </w:r>
      <w:r>
        <w:t>64</w:t>
      </w:r>
      <w:r>
        <w:fldChar w:fldCharType="end"/>
      </w:r>
      <w:r>
        <w:rPr>
          <w:rFonts w:hint="eastAsia" w:ascii="宋体" w:hAnsi="宋体" w:eastAsia="宋体"/>
          <w:szCs w:val="21"/>
        </w:rPr>
        <w:fldChar w:fldCharType="end"/>
      </w:r>
    </w:p>
    <w:p>
      <w:pPr>
        <w:pStyle w:val="26"/>
        <w:tabs>
          <w:tab w:val="right" w:leader="dot" w:pos="8312"/>
          <w:tab w:val="clear" w:pos="9060"/>
        </w:tabs>
      </w:pPr>
      <w:r>
        <w:rPr>
          <w:rFonts w:hint="eastAsia" w:ascii="宋体" w:hAnsi="宋体" w:eastAsia="宋体"/>
          <w:szCs w:val="21"/>
        </w:rPr>
        <w:fldChar w:fldCharType="begin"/>
      </w:r>
      <w:r>
        <w:rPr>
          <w:rFonts w:hint="eastAsia" w:ascii="宋体" w:hAnsi="宋体" w:eastAsia="宋体"/>
          <w:szCs w:val="21"/>
        </w:rPr>
        <w:instrText xml:space="preserve"> HYPERLINK \l _Toc3343 </w:instrText>
      </w:r>
      <w:r>
        <w:rPr>
          <w:rFonts w:hint="eastAsia" w:ascii="宋体" w:hAnsi="宋体" w:eastAsia="宋体"/>
          <w:szCs w:val="21"/>
        </w:rPr>
        <w:fldChar w:fldCharType="separate"/>
      </w:r>
      <w:r>
        <w:rPr>
          <w:rFonts w:hint="eastAsia" w:ascii="宋体" w:hAnsi="宋体" w:eastAsia="宋体"/>
          <w:bCs w:val="0"/>
        </w:rPr>
        <w:t>四   评标一般规定</w:t>
      </w:r>
      <w:r>
        <w:tab/>
      </w:r>
      <w:r>
        <w:fldChar w:fldCharType="begin"/>
      </w:r>
      <w:r>
        <w:instrText xml:space="preserve"> PAGEREF _Toc3343 \h </w:instrText>
      </w:r>
      <w:r>
        <w:fldChar w:fldCharType="separate"/>
      </w:r>
      <w:r>
        <w:t>65</w:t>
      </w:r>
      <w:r>
        <w:fldChar w:fldCharType="end"/>
      </w:r>
      <w:r>
        <w:rPr>
          <w:rFonts w:hint="eastAsia" w:ascii="宋体" w:hAnsi="宋体" w:eastAsia="宋体"/>
          <w:szCs w:val="21"/>
        </w:rPr>
        <w:fldChar w:fldCharType="end"/>
      </w:r>
    </w:p>
    <w:p>
      <w:pPr>
        <w:pStyle w:val="26"/>
        <w:tabs>
          <w:tab w:val="right" w:leader="dot" w:pos="8312"/>
          <w:tab w:val="clear" w:pos="9060"/>
        </w:tabs>
      </w:pPr>
      <w:r>
        <w:rPr>
          <w:rFonts w:hint="eastAsia" w:ascii="宋体" w:hAnsi="宋体" w:eastAsia="宋体"/>
          <w:szCs w:val="21"/>
        </w:rPr>
        <w:fldChar w:fldCharType="begin"/>
      </w:r>
      <w:r>
        <w:rPr>
          <w:rFonts w:hint="eastAsia" w:ascii="宋体" w:hAnsi="宋体" w:eastAsia="宋体"/>
          <w:szCs w:val="21"/>
        </w:rPr>
        <w:instrText xml:space="preserve"> HYPERLINK \l _Toc14394 </w:instrText>
      </w:r>
      <w:r>
        <w:rPr>
          <w:rFonts w:hint="eastAsia" w:ascii="宋体" w:hAnsi="宋体" w:eastAsia="宋体"/>
          <w:szCs w:val="21"/>
        </w:rPr>
        <w:fldChar w:fldCharType="separate"/>
      </w:r>
      <w:r>
        <w:rPr>
          <w:rFonts w:hint="eastAsia" w:ascii="宋体" w:hAnsi="宋体" w:eastAsia="宋体"/>
          <w:bCs w:val="0"/>
        </w:rPr>
        <w:t xml:space="preserve">五  </w:t>
      </w:r>
      <w:r>
        <w:rPr>
          <w:rFonts w:ascii="宋体" w:hAnsi="宋体" w:eastAsia="宋体"/>
          <w:bCs w:val="0"/>
        </w:rPr>
        <w:t>评标办法和细则</w:t>
      </w:r>
      <w:r>
        <w:tab/>
      </w:r>
      <w:r>
        <w:fldChar w:fldCharType="begin"/>
      </w:r>
      <w:r>
        <w:instrText xml:space="preserve"> PAGEREF _Toc14394 \h </w:instrText>
      </w:r>
      <w:r>
        <w:fldChar w:fldCharType="separate"/>
      </w:r>
      <w:r>
        <w:t>65</w:t>
      </w:r>
      <w:r>
        <w:fldChar w:fldCharType="end"/>
      </w:r>
      <w:r>
        <w:rPr>
          <w:rFonts w:hint="eastAsia" w:ascii="宋体" w:hAnsi="宋体" w:eastAsia="宋体"/>
          <w:szCs w:val="21"/>
        </w:rPr>
        <w:fldChar w:fldCharType="end"/>
      </w:r>
    </w:p>
    <w:p>
      <w:pPr>
        <w:pStyle w:val="26"/>
        <w:tabs>
          <w:tab w:val="right" w:leader="dot" w:pos="8312"/>
          <w:tab w:val="clear" w:pos="9060"/>
        </w:tabs>
      </w:pPr>
      <w:r>
        <w:rPr>
          <w:rFonts w:hint="eastAsia" w:ascii="宋体" w:hAnsi="宋体" w:eastAsia="宋体"/>
          <w:szCs w:val="21"/>
        </w:rPr>
        <w:fldChar w:fldCharType="begin"/>
      </w:r>
      <w:r>
        <w:rPr>
          <w:rFonts w:hint="eastAsia" w:ascii="宋体" w:hAnsi="宋体" w:eastAsia="宋体"/>
          <w:szCs w:val="21"/>
        </w:rPr>
        <w:instrText xml:space="preserve"> HYPERLINK \l _Toc28642 </w:instrText>
      </w:r>
      <w:r>
        <w:rPr>
          <w:rFonts w:hint="eastAsia" w:ascii="宋体" w:hAnsi="宋体" w:eastAsia="宋体"/>
          <w:szCs w:val="21"/>
        </w:rPr>
        <w:fldChar w:fldCharType="separate"/>
      </w:r>
      <w:r>
        <w:rPr>
          <w:rFonts w:hint="eastAsia" w:ascii="宋体" w:hAnsi="宋体" w:eastAsia="宋体"/>
          <w:bCs w:val="0"/>
        </w:rPr>
        <w:t>六  评审纪律和要求</w:t>
      </w:r>
      <w:r>
        <w:tab/>
      </w:r>
      <w:r>
        <w:fldChar w:fldCharType="begin"/>
      </w:r>
      <w:r>
        <w:instrText xml:space="preserve"> PAGEREF _Toc28642 \h </w:instrText>
      </w:r>
      <w:r>
        <w:fldChar w:fldCharType="separate"/>
      </w:r>
      <w:r>
        <w:t>68</w:t>
      </w:r>
      <w:r>
        <w:fldChar w:fldCharType="end"/>
      </w:r>
      <w:r>
        <w:rPr>
          <w:rFonts w:hint="eastAsia" w:ascii="宋体" w:hAnsi="宋体" w:eastAsia="宋体"/>
          <w:szCs w:val="21"/>
        </w:rPr>
        <w:fldChar w:fldCharType="end"/>
      </w:r>
    </w:p>
    <w:p>
      <w:pPr>
        <w:pStyle w:val="26"/>
        <w:spacing w:line="276" w:lineRule="auto"/>
        <w:ind w:left="0" w:leftChars="0" w:firstLine="0" w:firstLineChars="0"/>
      </w:pPr>
      <w:r>
        <w:rPr>
          <w:rFonts w:hint="eastAsia" w:ascii="宋体" w:hAnsi="宋体" w:eastAsia="宋体"/>
          <w:szCs w:val="21"/>
        </w:rPr>
        <w:fldChar w:fldCharType="end"/>
      </w:r>
      <w:bookmarkEnd w:id="136"/>
      <w:bookmarkStart w:id="0" w:name="_Toc69635410"/>
    </w:p>
    <w:p>
      <w:pPr>
        <w:ind w:firstLine="480"/>
      </w:pPr>
    </w:p>
    <w:p>
      <w:pPr>
        <w:pStyle w:val="2"/>
        <w:ind w:firstLine="643"/>
        <w:rPr>
          <w:rFonts w:ascii="宋体" w:hAnsi="宋体" w:eastAsia="宋体"/>
          <w:sz w:val="32"/>
        </w:rPr>
      </w:pPr>
      <w:bookmarkStart w:id="1" w:name="_Toc14380"/>
      <w:r>
        <w:rPr>
          <w:rFonts w:hint="eastAsia" w:ascii="宋体" w:hAnsi="宋体" w:eastAsia="宋体"/>
          <w:sz w:val="32"/>
        </w:rPr>
        <w:t>第一章</w:t>
      </w:r>
      <w:bookmarkEnd w:id="0"/>
      <w:r>
        <w:rPr>
          <w:rFonts w:hint="eastAsia" w:ascii="宋体" w:hAnsi="宋体" w:eastAsia="宋体"/>
          <w:sz w:val="32"/>
        </w:rPr>
        <w:t xml:space="preserve"> 公开招标公告</w:t>
      </w:r>
      <w:bookmarkEnd w:id="1"/>
    </w:p>
    <w:p>
      <w:pPr>
        <w:ind w:firstLine="480"/>
      </w:pPr>
    </w:p>
    <w:p>
      <w:pPr>
        <w:pBdr>
          <w:top w:val="single" w:color="auto" w:sz="4" w:space="1"/>
          <w:left w:val="single" w:color="auto" w:sz="4" w:space="4"/>
          <w:bottom w:val="single" w:color="auto" w:sz="4" w:space="0"/>
          <w:right w:val="single" w:color="auto" w:sz="4" w:space="2"/>
        </w:pBdr>
        <w:spacing w:line="360" w:lineRule="auto"/>
        <w:rPr>
          <w:rFonts w:ascii="宋体" w:hAnsi="宋体" w:cs="仿宋_GB2312"/>
          <w:sz w:val="24"/>
        </w:rPr>
      </w:pPr>
      <w:bookmarkStart w:id="2" w:name="_Toc28359079"/>
      <w:bookmarkStart w:id="3" w:name="_Toc35393790"/>
      <w:bookmarkStart w:id="4" w:name="_Toc35393621"/>
      <w:bookmarkStart w:id="5" w:name="_Toc28359002"/>
      <w:bookmarkStart w:id="6" w:name="_Hlk24379207"/>
      <w:bookmarkStart w:id="7" w:name="EBf1e27c6183244f4a8f3fc355defd653e"/>
      <w:bookmarkStart w:id="8" w:name="OLE_LINK4"/>
      <w:r>
        <w:rPr>
          <w:rFonts w:hint="eastAsia" w:ascii="宋体" w:hAnsi="宋体" w:cs="仿宋_GB2312"/>
          <w:sz w:val="24"/>
        </w:rPr>
        <w:t>项目概况：</w:t>
      </w:r>
    </w:p>
    <w:p>
      <w:pPr>
        <w:pBdr>
          <w:top w:val="single" w:color="auto" w:sz="4" w:space="1"/>
          <w:left w:val="single" w:color="auto" w:sz="4" w:space="4"/>
          <w:bottom w:val="single" w:color="auto" w:sz="4" w:space="0"/>
          <w:right w:val="single" w:color="auto" w:sz="4" w:space="2"/>
        </w:pBdr>
        <w:spacing w:line="360" w:lineRule="auto"/>
        <w:ind w:firstLine="482" w:firstLineChars="200"/>
        <w:rPr>
          <w:rFonts w:ascii="宋体" w:hAnsi="宋体" w:cs="仿宋_GB2312"/>
          <w:sz w:val="24"/>
        </w:rPr>
      </w:pPr>
      <w:r>
        <w:rPr>
          <w:rFonts w:hint="eastAsia" w:ascii="宋体" w:hAnsi="宋体"/>
          <w:b/>
          <w:bCs/>
          <w:snapToGrid w:val="0"/>
          <w:sz w:val="24"/>
          <w:u w:val="single"/>
        </w:rPr>
        <w:t>碧湖新城智慧城市规划编制项目</w:t>
      </w:r>
      <w:r>
        <w:rPr>
          <w:rFonts w:hint="eastAsia" w:ascii="宋体" w:hAnsi="宋体" w:cs="仿宋_GB2312"/>
          <w:sz w:val="24"/>
        </w:rPr>
        <w:t>的潜在供应商应在浙江政府采购网（http://zfcg.czt.zj.gov.cn/）</w:t>
      </w:r>
      <w:r>
        <w:rPr>
          <w:rFonts w:hint="eastAsia" w:ascii="宋体" w:hAnsi="宋体" w:cs="仿宋_GB2312"/>
          <w:color w:val="000000"/>
          <w:sz w:val="24"/>
        </w:rPr>
        <w:t>、丽水市公共资源交易网（莲都）（http://lssggzy.lishui.gov.cn/ldweb/）</w:t>
      </w:r>
      <w:r>
        <w:rPr>
          <w:rFonts w:hint="eastAsia" w:ascii="宋体" w:hAnsi="宋体" w:cs="仿宋_GB2312"/>
          <w:sz w:val="24"/>
        </w:rPr>
        <w:t>采购</w:t>
      </w:r>
      <w:r>
        <w:rPr>
          <w:rFonts w:ascii="宋体" w:hAnsi="宋体" w:cs="仿宋_GB2312"/>
          <w:sz w:val="24"/>
        </w:rPr>
        <w:t>公告附件中</w:t>
      </w:r>
      <w:r>
        <w:rPr>
          <w:rFonts w:hint="eastAsia" w:ascii="宋体" w:hAnsi="宋体" w:cs="仿宋_GB2312"/>
          <w:sz w:val="24"/>
        </w:rPr>
        <w:t>自行获取采购文件，并于</w:t>
      </w:r>
      <w:r>
        <w:rPr>
          <w:rFonts w:ascii="宋体" w:hAnsi="宋体"/>
          <w:b/>
          <w:bCs/>
          <w:snapToGrid w:val="0"/>
          <w:sz w:val="24"/>
          <w:u w:val="single"/>
        </w:rPr>
        <w:t>202</w:t>
      </w:r>
      <w:r>
        <w:rPr>
          <w:rFonts w:hint="eastAsia" w:ascii="宋体" w:hAnsi="宋体"/>
          <w:b/>
          <w:bCs/>
          <w:snapToGrid w:val="0"/>
          <w:sz w:val="24"/>
          <w:u w:val="single"/>
        </w:rPr>
        <w:t>4</w:t>
      </w:r>
      <w:r>
        <w:rPr>
          <w:rFonts w:hint="eastAsia" w:ascii="宋体" w:hAnsi="宋体" w:cs="仿宋_GB2312"/>
          <w:b/>
          <w:bCs/>
          <w:sz w:val="24"/>
        </w:rPr>
        <w:t>年</w:t>
      </w:r>
      <w:r>
        <w:rPr>
          <w:rFonts w:hint="eastAsia" w:ascii="宋体" w:hAnsi="宋体" w:cs="仿宋_GB2312"/>
          <w:b/>
          <w:bCs/>
          <w:sz w:val="24"/>
          <w:u w:val="single"/>
        </w:rPr>
        <w:t xml:space="preserve"> </w:t>
      </w:r>
      <w:r>
        <w:rPr>
          <w:rFonts w:hint="eastAsia" w:ascii="宋体" w:hAnsi="宋体" w:cs="仿宋_GB2312"/>
          <w:b/>
          <w:bCs/>
          <w:sz w:val="24"/>
          <w:u w:val="single"/>
          <w:lang w:val="en-US" w:eastAsia="zh-CN"/>
        </w:rPr>
        <w:t>6</w:t>
      </w:r>
      <w:r>
        <w:rPr>
          <w:rFonts w:hint="eastAsia" w:ascii="宋体" w:hAnsi="宋体" w:cs="仿宋_GB2312"/>
          <w:b/>
          <w:bCs/>
          <w:sz w:val="24"/>
          <w:u w:val="single"/>
        </w:rPr>
        <w:t xml:space="preserve"> </w:t>
      </w:r>
      <w:r>
        <w:rPr>
          <w:rFonts w:hint="eastAsia" w:ascii="宋体" w:hAnsi="宋体" w:cs="仿宋_GB2312"/>
          <w:b/>
          <w:bCs/>
          <w:sz w:val="24"/>
        </w:rPr>
        <w:t>月</w:t>
      </w:r>
      <w:r>
        <w:rPr>
          <w:rFonts w:hint="eastAsia" w:ascii="宋体" w:hAnsi="宋体" w:cs="仿宋_GB2312"/>
          <w:b/>
          <w:bCs/>
          <w:sz w:val="24"/>
          <w:u w:val="single"/>
        </w:rPr>
        <w:t xml:space="preserve"> </w:t>
      </w:r>
      <w:r>
        <w:rPr>
          <w:rFonts w:hint="eastAsia" w:ascii="宋体" w:hAnsi="宋体" w:cs="仿宋_GB2312"/>
          <w:b/>
          <w:bCs/>
          <w:sz w:val="24"/>
          <w:u w:val="single"/>
          <w:lang w:val="en-US" w:eastAsia="zh-CN"/>
        </w:rPr>
        <w:t>4</w:t>
      </w:r>
      <w:r>
        <w:rPr>
          <w:rFonts w:hint="eastAsia" w:ascii="宋体" w:hAnsi="宋体" w:cs="仿宋_GB2312"/>
          <w:b/>
          <w:bCs/>
          <w:sz w:val="24"/>
          <w:u w:val="single"/>
        </w:rPr>
        <w:t xml:space="preserve"> </w:t>
      </w:r>
      <w:r>
        <w:rPr>
          <w:rFonts w:hint="eastAsia" w:ascii="宋体" w:hAnsi="宋体" w:cs="仿宋_GB2312"/>
          <w:b/>
          <w:bCs/>
          <w:sz w:val="24"/>
        </w:rPr>
        <w:t>日</w:t>
      </w:r>
      <w:r>
        <w:rPr>
          <w:rFonts w:hint="eastAsia" w:ascii="宋体" w:hAnsi="宋体"/>
          <w:b/>
          <w:bCs/>
          <w:snapToGrid w:val="0"/>
          <w:sz w:val="24"/>
          <w:u w:val="single"/>
        </w:rPr>
        <w:t>9:00</w:t>
      </w:r>
      <w:r>
        <w:rPr>
          <w:rFonts w:hint="eastAsia" w:ascii="宋体" w:hAnsi="宋体" w:cs="仿宋_GB2312"/>
          <w:bCs/>
          <w:sz w:val="24"/>
        </w:rPr>
        <w:t>（北京时间）前提交（上传）</w:t>
      </w:r>
      <w:r>
        <w:rPr>
          <w:rFonts w:ascii="宋体" w:hAnsi="宋体" w:cs="仿宋_GB2312"/>
          <w:bCs/>
          <w:sz w:val="24"/>
        </w:rPr>
        <w:t>响应</w:t>
      </w:r>
      <w:r>
        <w:rPr>
          <w:rFonts w:hint="eastAsia" w:ascii="宋体" w:hAnsi="宋体" w:cs="仿宋_GB2312"/>
          <w:bCs/>
          <w:sz w:val="24"/>
        </w:rPr>
        <w:t>文件。</w:t>
      </w:r>
    </w:p>
    <w:p>
      <w:pPr>
        <w:spacing w:line="360" w:lineRule="auto"/>
        <w:ind w:firstLine="482"/>
        <w:jc w:val="left"/>
        <w:rPr>
          <w:rFonts w:ascii="宋体" w:hAnsi="宋体" w:cs="仿宋_GB2312"/>
          <w:b/>
          <w:sz w:val="24"/>
        </w:rPr>
      </w:pPr>
      <w:r>
        <w:rPr>
          <w:rFonts w:hint="eastAsia" w:ascii="宋体" w:hAnsi="宋体" w:cs="仿宋_GB2312"/>
          <w:b/>
          <w:sz w:val="24"/>
        </w:rPr>
        <w:t>一、项目基本情况</w:t>
      </w:r>
      <w:bookmarkEnd w:id="2"/>
      <w:bookmarkEnd w:id="3"/>
      <w:bookmarkEnd w:id="4"/>
      <w:bookmarkEnd w:id="5"/>
    </w:p>
    <w:bookmarkEnd w:id="6"/>
    <w:p>
      <w:pPr>
        <w:spacing w:line="360" w:lineRule="auto"/>
        <w:ind w:firstLine="480" w:firstLineChars="200"/>
        <w:rPr>
          <w:rFonts w:ascii="宋体" w:hAnsi="宋体" w:cs="仿宋_GB2312"/>
          <w:sz w:val="24"/>
        </w:rPr>
      </w:pPr>
      <w:r>
        <w:rPr>
          <w:rFonts w:hint="eastAsia" w:ascii="宋体" w:hAnsi="宋体" w:cs="仿宋_GB2312"/>
          <w:sz w:val="24"/>
        </w:rPr>
        <w:t>项目编号：</w:t>
      </w:r>
      <w:r>
        <w:rPr>
          <w:rFonts w:hint="eastAsia" w:ascii="宋体" w:hAnsi="宋体"/>
          <w:sz w:val="24"/>
        </w:rPr>
        <w:t>浙建航招2024102号</w:t>
      </w:r>
    </w:p>
    <w:p>
      <w:pPr>
        <w:spacing w:line="360" w:lineRule="auto"/>
        <w:ind w:firstLine="480" w:firstLineChars="200"/>
        <w:rPr>
          <w:rFonts w:ascii="宋体" w:hAnsi="宋体"/>
          <w:sz w:val="24"/>
        </w:rPr>
      </w:pPr>
      <w:r>
        <w:rPr>
          <w:rFonts w:hint="eastAsia" w:ascii="宋体" w:hAnsi="宋体" w:cs="仿宋_GB2312"/>
          <w:sz w:val="24"/>
        </w:rPr>
        <w:t>项目名称：</w:t>
      </w:r>
      <w:r>
        <w:rPr>
          <w:rFonts w:hint="eastAsia" w:ascii="宋体" w:hAnsi="宋体"/>
          <w:sz w:val="24"/>
        </w:rPr>
        <w:t>碧湖新城智慧城市规划编制项目</w:t>
      </w:r>
    </w:p>
    <w:p>
      <w:pPr>
        <w:spacing w:line="360" w:lineRule="auto"/>
        <w:ind w:firstLine="480" w:firstLineChars="200"/>
        <w:rPr>
          <w:rFonts w:ascii="宋体" w:hAnsi="宋体" w:cs="仿宋_GB2312"/>
          <w:sz w:val="24"/>
        </w:rPr>
      </w:pPr>
      <w:r>
        <w:rPr>
          <w:rFonts w:ascii="宋体" w:hAnsi="宋体" w:cs="仿宋_GB2312"/>
          <w:sz w:val="24"/>
        </w:rPr>
        <w:t>预算金额（元）：</w:t>
      </w:r>
      <w:r>
        <w:rPr>
          <w:rFonts w:hint="eastAsia" w:ascii="宋体" w:hAnsi="宋体" w:cs="仿宋_GB2312"/>
          <w:sz w:val="24"/>
        </w:rPr>
        <w:t>800000.00</w:t>
      </w:r>
    </w:p>
    <w:p>
      <w:pPr>
        <w:spacing w:line="360" w:lineRule="auto"/>
        <w:ind w:firstLine="480" w:firstLineChars="200"/>
        <w:rPr>
          <w:rFonts w:ascii="宋体" w:hAnsi="宋体" w:cs="仿宋_GB2312"/>
          <w:sz w:val="24"/>
        </w:rPr>
      </w:pPr>
      <w:r>
        <w:rPr>
          <w:rFonts w:ascii="宋体" w:hAnsi="宋体" w:cs="仿宋_GB2312"/>
          <w:sz w:val="24"/>
        </w:rPr>
        <w:t>最高限价（元）：</w:t>
      </w:r>
      <w:r>
        <w:rPr>
          <w:rFonts w:hint="eastAsia" w:ascii="宋体" w:hAnsi="宋体" w:cs="仿宋_GB2312"/>
          <w:sz w:val="24"/>
        </w:rPr>
        <w:t>800000.00</w:t>
      </w:r>
    </w:p>
    <w:p>
      <w:pPr>
        <w:spacing w:line="360" w:lineRule="auto"/>
        <w:ind w:firstLine="480" w:firstLineChars="200"/>
        <w:rPr>
          <w:rFonts w:ascii="宋体" w:hAnsi="宋体" w:cs="仿宋_GB2312"/>
          <w:sz w:val="24"/>
        </w:rPr>
      </w:pPr>
      <w:r>
        <w:rPr>
          <w:rFonts w:hint="eastAsia" w:ascii="宋体" w:hAnsi="宋体" w:cs="仿宋_GB2312"/>
          <w:sz w:val="24"/>
        </w:rPr>
        <w:t>采购</w:t>
      </w:r>
      <w:r>
        <w:rPr>
          <w:rFonts w:ascii="宋体" w:hAnsi="宋体" w:cs="仿宋_GB2312"/>
          <w:sz w:val="24"/>
        </w:rPr>
        <w:t>需求：</w:t>
      </w:r>
      <w:r>
        <w:rPr>
          <w:rFonts w:hint="eastAsia" w:ascii="宋体" w:hAnsi="宋体" w:cs="仿宋_GB2312"/>
          <w:sz w:val="24"/>
        </w:rPr>
        <w:t>见招标</w:t>
      </w:r>
      <w:r>
        <w:rPr>
          <w:rFonts w:ascii="宋体" w:hAnsi="宋体" w:cs="仿宋_GB2312"/>
          <w:sz w:val="24"/>
        </w:rPr>
        <w:t>文件第</w:t>
      </w:r>
      <w:r>
        <w:rPr>
          <w:rFonts w:hint="eastAsia" w:ascii="宋体" w:hAnsi="宋体" w:cs="仿宋_GB2312"/>
          <w:sz w:val="24"/>
        </w:rPr>
        <w:t>三</w:t>
      </w:r>
      <w:r>
        <w:rPr>
          <w:rFonts w:ascii="宋体" w:hAnsi="宋体" w:cs="仿宋_GB2312"/>
          <w:sz w:val="24"/>
        </w:rPr>
        <w:t>章</w:t>
      </w:r>
      <w:r>
        <w:rPr>
          <w:rFonts w:hint="eastAsia" w:ascii="宋体" w:hAnsi="宋体" w:cs="仿宋_GB2312"/>
          <w:sz w:val="24"/>
        </w:rPr>
        <w:t xml:space="preserve"> 采购需求</w:t>
      </w:r>
    </w:p>
    <w:p>
      <w:pPr>
        <w:spacing w:line="360" w:lineRule="auto"/>
        <w:ind w:firstLine="480" w:firstLineChars="200"/>
        <w:rPr>
          <w:rFonts w:ascii="宋体" w:hAnsi="宋体" w:cs="仿宋_GB2312"/>
          <w:sz w:val="24"/>
        </w:rPr>
      </w:pPr>
      <w:r>
        <w:rPr>
          <w:rFonts w:ascii="宋体" w:hAnsi="宋体" w:cs="仿宋_GB2312"/>
          <w:sz w:val="24"/>
        </w:rPr>
        <w:t>数量</w:t>
      </w:r>
      <w:r>
        <w:rPr>
          <w:rFonts w:hint="eastAsia" w:ascii="宋体" w:hAnsi="宋体" w:cs="仿宋_GB2312"/>
          <w:sz w:val="24"/>
        </w:rPr>
        <w:t>：1项</w:t>
      </w:r>
    </w:p>
    <w:p>
      <w:pPr>
        <w:spacing w:line="360" w:lineRule="auto"/>
        <w:ind w:firstLine="480" w:firstLineChars="200"/>
        <w:rPr>
          <w:rFonts w:ascii="宋体" w:hAnsi="宋体" w:cs="仿宋_GB2312"/>
          <w:sz w:val="24"/>
        </w:rPr>
      </w:pPr>
      <w:r>
        <w:rPr>
          <w:rFonts w:ascii="宋体" w:hAnsi="宋体" w:cs="仿宋_GB2312"/>
          <w:sz w:val="24"/>
        </w:rPr>
        <w:t>简要规格描述或项目基本概况介绍、用途：</w:t>
      </w:r>
      <w:r>
        <w:rPr>
          <w:rFonts w:hint="eastAsia" w:ascii="宋体" w:hAnsi="宋体" w:cs="仿宋_GB2312"/>
          <w:sz w:val="24"/>
        </w:rPr>
        <w:t>见招标</w:t>
      </w:r>
      <w:r>
        <w:rPr>
          <w:rFonts w:ascii="宋体" w:hAnsi="宋体" w:cs="仿宋_GB2312"/>
          <w:sz w:val="24"/>
        </w:rPr>
        <w:t>文件第</w:t>
      </w:r>
      <w:r>
        <w:rPr>
          <w:rFonts w:hint="eastAsia" w:ascii="宋体" w:hAnsi="宋体" w:cs="仿宋_GB2312"/>
          <w:sz w:val="24"/>
        </w:rPr>
        <w:t>三</w:t>
      </w:r>
      <w:r>
        <w:rPr>
          <w:rFonts w:ascii="宋体" w:hAnsi="宋体" w:cs="仿宋_GB2312"/>
          <w:sz w:val="24"/>
        </w:rPr>
        <w:t>章</w:t>
      </w:r>
      <w:r>
        <w:rPr>
          <w:rFonts w:hint="eastAsia" w:ascii="宋体" w:hAnsi="宋体" w:cs="仿宋_GB2312"/>
          <w:sz w:val="24"/>
        </w:rPr>
        <w:t xml:space="preserve"> 采购需求</w:t>
      </w:r>
    </w:p>
    <w:p>
      <w:pPr>
        <w:spacing w:line="360" w:lineRule="auto"/>
        <w:ind w:firstLine="480" w:firstLineChars="200"/>
        <w:rPr>
          <w:rFonts w:ascii="宋体" w:hAnsi="宋体" w:cs="仿宋_GB2312"/>
          <w:sz w:val="24"/>
        </w:rPr>
      </w:pPr>
      <w:r>
        <w:rPr>
          <w:rFonts w:ascii="宋体" w:hAnsi="宋体" w:cs="仿宋_GB2312"/>
          <w:sz w:val="24"/>
        </w:rPr>
        <w:t>备注：</w:t>
      </w:r>
      <w:r>
        <w:rPr>
          <w:rFonts w:hint="eastAsia" w:ascii="宋体" w:hAnsi="宋体" w:cs="仿宋_GB2312"/>
          <w:sz w:val="24"/>
        </w:rPr>
        <w:t>无</w:t>
      </w:r>
    </w:p>
    <w:p>
      <w:pPr>
        <w:spacing w:line="360" w:lineRule="auto"/>
        <w:ind w:firstLine="480" w:firstLineChars="200"/>
        <w:rPr>
          <w:rFonts w:ascii="宋体" w:hAnsi="宋体" w:cs="仿宋_GB2312"/>
          <w:sz w:val="24"/>
        </w:rPr>
      </w:pPr>
      <w:r>
        <w:rPr>
          <w:rFonts w:hint="eastAsia" w:ascii="宋体" w:hAnsi="宋体" w:cs="仿宋_GB2312"/>
          <w:sz w:val="24"/>
        </w:rPr>
        <w:t>合同履行期限：见招标</w:t>
      </w:r>
      <w:r>
        <w:rPr>
          <w:rFonts w:ascii="宋体" w:hAnsi="宋体" w:cs="仿宋_GB2312"/>
          <w:sz w:val="24"/>
        </w:rPr>
        <w:t>文件第</w:t>
      </w:r>
      <w:r>
        <w:rPr>
          <w:rFonts w:hint="eastAsia" w:ascii="宋体" w:hAnsi="宋体" w:cs="仿宋_GB2312"/>
          <w:sz w:val="24"/>
        </w:rPr>
        <w:t>三</w:t>
      </w:r>
      <w:r>
        <w:rPr>
          <w:rFonts w:ascii="宋体" w:hAnsi="宋体" w:cs="仿宋_GB2312"/>
          <w:sz w:val="24"/>
        </w:rPr>
        <w:t>章</w:t>
      </w:r>
      <w:r>
        <w:rPr>
          <w:rFonts w:hint="eastAsia" w:ascii="宋体" w:hAnsi="宋体" w:cs="仿宋_GB2312"/>
          <w:sz w:val="24"/>
        </w:rPr>
        <w:t xml:space="preserve"> 采购需求。</w:t>
      </w:r>
    </w:p>
    <w:p>
      <w:pPr>
        <w:spacing w:line="360" w:lineRule="auto"/>
        <w:ind w:firstLine="482" w:firstLineChars="200"/>
        <w:rPr>
          <w:rFonts w:ascii="宋体" w:hAnsi="宋体" w:cs="仿宋_GB2312"/>
          <w:b/>
          <w:sz w:val="24"/>
        </w:rPr>
      </w:pPr>
      <w:r>
        <w:rPr>
          <w:rFonts w:ascii="宋体" w:hAnsi="宋体" w:cs="仿宋_GB2312"/>
          <w:b/>
          <w:sz w:val="24"/>
        </w:rPr>
        <w:t>本项目接受联合体投标</w:t>
      </w:r>
    </w:p>
    <w:p>
      <w:pPr>
        <w:spacing w:line="360" w:lineRule="auto"/>
        <w:ind w:firstLine="482"/>
        <w:jc w:val="left"/>
        <w:rPr>
          <w:rFonts w:ascii="宋体" w:hAnsi="宋体" w:cs="仿宋_GB2312"/>
          <w:b/>
          <w:sz w:val="24"/>
        </w:rPr>
      </w:pPr>
      <w:bookmarkStart w:id="9" w:name="_Toc28359003"/>
      <w:bookmarkStart w:id="10" w:name="_Toc35393622"/>
      <w:bookmarkStart w:id="11" w:name="_Toc35393791"/>
      <w:bookmarkStart w:id="12" w:name="_Toc28359080"/>
      <w:r>
        <w:rPr>
          <w:rFonts w:hint="eastAsia" w:ascii="宋体" w:hAnsi="宋体" w:cs="仿宋_GB2312"/>
          <w:b/>
          <w:sz w:val="24"/>
        </w:rPr>
        <w:t>二、申请人的资格要求</w:t>
      </w:r>
      <w:bookmarkEnd w:id="9"/>
      <w:bookmarkEnd w:id="10"/>
      <w:bookmarkEnd w:id="11"/>
      <w:bookmarkEnd w:id="12"/>
    </w:p>
    <w:p>
      <w:pPr>
        <w:spacing w:line="360" w:lineRule="auto"/>
        <w:ind w:firstLine="480" w:firstLineChars="200"/>
        <w:rPr>
          <w:rFonts w:ascii="宋体" w:hAnsi="宋体" w:cs="仿宋_GB2312"/>
          <w:sz w:val="24"/>
        </w:rPr>
      </w:pPr>
      <w:bookmarkStart w:id="13" w:name="_Toc28359004"/>
      <w:bookmarkStart w:id="14" w:name="_Toc28359081"/>
      <w:bookmarkStart w:id="15" w:name="_Toc35393623"/>
      <w:bookmarkStart w:id="16" w:name="_Toc35393792"/>
      <w:r>
        <w:rPr>
          <w:rFonts w:hint="eastAsia" w:ascii="宋体" w:hAnsi="宋体" w:cs="仿宋_GB2312"/>
          <w:sz w:val="24"/>
        </w:rPr>
        <w:t>1.满足《中华人民共和国政府采购法》第二十二条规定；</w:t>
      </w:r>
    </w:p>
    <w:p>
      <w:pPr>
        <w:spacing w:line="360" w:lineRule="auto"/>
        <w:ind w:firstLine="480" w:firstLineChars="200"/>
        <w:rPr>
          <w:rFonts w:ascii="宋体" w:hAnsi="宋体"/>
          <w:sz w:val="24"/>
        </w:rPr>
      </w:pPr>
      <w:r>
        <w:rPr>
          <w:rFonts w:hint="eastAsia" w:ascii="宋体" w:hAnsi="宋体" w:cs="仿宋_GB2312"/>
          <w:sz w:val="24"/>
        </w:rPr>
        <w:t>2.未被信用中国网（</w:t>
      </w:r>
      <w:r>
        <w:rPr>
          <w:rFonts w:hint="eastAsia" w:ascii="宋体" w:hAnsi="宋体"/>
          <w:sz w:val="24"/>
          <w:u w:val="single"/>
        </w:rPr>
        <w:t>www.creditchina.gov.cn</w:t>
      </w:r>
      <w:r>
        <w:rPr>
          <w:rFonts w:hint="eastAsia" w:ascii="宋体" w:hAnsi="宋体" w:cs="仿宋_GB2312"/>
          <w:sz w:val="24"/>
        </w:rPr>
        <w:t>）、中国政府采购网（</w:t>
      </w:r>
      <w:r>
        <w:rPr>
          <w:rFonts w:hint="eastAsia" w:ascii="宋体" w:hAnsi="宋体"/>
          <w:sz w:val="24"/>
          <w:u w:val="single"/>
        </w:rPr>
        <w:t>www.ccgp.gov.cn</w:t>
      </w:r>
      <w:r>
        <w:rPr>
          <w:rFonts w:hint="eastAsia" w:ascii="宋体" w:hAnsi="宋体" w:cs="仿宋_GB2312"/>
          <w:sz w:val="24"/>
        </w:rPr>
        <w:t>）列入失信被执行人、重大税收违法当事人名单、政府采购严重违法失信行为记录名单</w:t>
      </w:r>
      <w:r>
        <w:rPr>
          <w:rFonts w:hint="eastAsia" w:ascii="宋体" w:hAnsi="宋体"/>
          <w:b/>
          <w:sz w:val="24"/>
        </w:rPr>
        <w:t>（注：本项内容由代理机构在资格审查现场完成查询）</w:t>
      </w:r>
      <w:r>
        <w:rPr>
          <w:rFonts w:hint="eastAsia" w:ascii="宋体" w:hAnsi="宋体"/>
          <w:sz w:val="24"/>
        </w:rPr>
        <w:t>；</w:t>
      </w:r>
    </w:p>
    <w:p>
      <w:pPr>
        <w:spacing w:line="360" w:lineRule="auto"/>
        <w:ind w:firstLine="480" w:firstLineChars="200"/>
        <w:rPr>
          <w:rFonts w:ascii="宋体" w:hAnsi="宋体" w:cs="仿宋_GB2312"/>
          <w:sz w:val="24"/>
        </w:rPr>
      </w:pPr>
      <w:r>
        <w:rPr>
          <w:rFonts w:hint="eastAsia" w:ascii="宋体" w:hAnsi="宋体" w:cs="仿宋_GB2312"/>
          <w:sz w:val="24"/>
        </w:rPr>
        <w:t>3. 落实政府采购政策需满足的资格要求：无；</w:t>
      </w:r>
    </w:p>
    <w:p>
      <w:pPr>
        <w:spacing w:line="360" w:lineRule="auto"/>
        <w:ind w:firstLine="480" w:firstLineChars="200"/>
        <w:rPr>
          <w:rFonts w:ascii="宋体" w:hAnsi="宋体" w:cs="仿宋_GB2312"/>
          <w:sz w:val="24"/>
        </w:rPr>
      </w:pPr>
      <w:r>
        <w:rPr>
          <w:rFonts w:hint="eastAsia" w:ascii="宋体" w:hAnsi="宋体" w:cs="仿宋_GB2312"/>
          <w:sz w:val="24"/>
        </w:rPr>
        <w:t>4. 本项目的特定资格要求：无。</w:t>
      </w:r>
    </w:p>
    <w:bookmarkEnd w:id="13"/>
    <w:bookmarkEnd w:id="14"/>
    <w:bookmarkEnd w:id="15"/>
    <w:bookmarkEnd w:id="16"/>
    <w:p>
      <w:pPr>
        <w:spacing w:line="360" w:lineRule="auto"/>
        <w:ind w:firstLine="482"/>
        <w:jc w:val="left"/>
        <w:rPr>
          <w:rFonts w:ascii="宋体" w:hAnsi="宋体" w:cs="仿宋_GB2312"/>
          <w:b/>
          <w:sz w:val="24"/>
        </w:rPr>
      </w:pPr>
      <w:r>
        <w:rPr>
          <w:rFonts w:hint="eastAsia" w:ascii="宋体" w:hAnsi="宋体" w:cs="仿宋_GB2312"/>
          <w:b/>
          <w:sz w:val="24"/>
        </w:rPr>
        <w:t>三、获取招标文件</w:t>
      </w:r>
    </w:p>
    <w:p>
      <w:pPr>
        <w:spacing w:line="360" w:lineRule="auto"/>
        <w:ind w:firstLine="480" w:firstLineChars="200"/>
        <w:rPr>
          <w:rFonts w:ascii="宋体" w:hAnsi="宋体" w:cs="仿宋_GB2312"/>
          <w:sz w:val="24"/>
        </w:rPr>
      </w:pPr>
      <w:r>
        <w:rPr>
          <w:rFonts w:hint="eastAsia" w:ascii="宋体" w:hAnsi="宋体" w:cs="仿宋_GB2312"/>
          <w:sz w:val="24"/>
        </w:rPr>
        <w:t>1</w:t>
      </w:r>
      <w:r>
        <w:rPr>
          <w:rFonts w:hint="eastAsia" w:ascii="宋体" w:hAnsi="宋体"/>
          <w:sz w:val="24"/>
        </w:rPr>
        <w:t>.</w:t>
      </w:r>
      <w:r>
        <w:rPr>
          <w:rFonts w:hint="eastAsia" w:ascii="宋体" w:hAnsi="宋体" w:cs="仿宋_GB2312"/>
          <w:sz w:val="24"/>
        </w:rPr>
        <w:t>时间：发布</w:t>
      </w:r>
      <w:r>
        <w:rPr>
          <w:rFonts w:ascii="宋体" w:hAnsi="宋体" w:cs="仿宋_GB2312"/>
          <w:sz w:val="24"/>
        </w:rPr>
        <w:t>公告</w:t>
      </w:r>
      <w:r>
        <w:rPr>
          <w:rFonts w:hint="eastAsia" w:ascii="宋体" w:hAnsi="宋体" w:cs="仿宋_GB2312"/>
          <w:sz w:val="24"/>
        </w:rPr>
        <w:t>之日至</w:t>
      </w:r>
      <w:r>
        <w:rPr>
          <w:rFonts w:ascii="宋体" w:hAnsi="宋体"/>
          <w:bCs/>
          <w:snapToGrid w:val="0"/>
          <w:sz w:val="24"/>
          <w:u w:val="single"/>
        </w:rPr>
        <w:t>202</w:t>
      </w:r>
      <w:r>
        <w:rPr>
          <w:rFonts w:hint="eastAsia" w:ascii="宋体" w:hAnsi="宋体"/>
          <w:bCs/>
          <w:snapToGrid w:val="0"/>
          <w:sz w:val="24"/>
          <w:u w:val="single"/>
        </w:rPr>
        <w:t>4</w:t>
      </w:r>
      <w:r>
        <w:rPr>
          <w:rFonts w:hint="eastAsia" w:ascii="宋体" w:hAnsi="宋体" w:cs="仿宋_GB2312"/>
          <w:bCs/>
          <w:sz w:val="24"/>
        </w:rPr>
        <w:t>年</w:t>
      </w:r>
      <w:r>
        <w:rPr>
          <w:rFonts w:hint="eastAsia" w:ascii="宋体" w:hAnsi="宋体" w:cs="仿宋_GB2312"/>
          <w:bCs/>
          <w:sz w:val="24"/>
          <w:u w:val="single"/>
        </w:rPr>
        <w:t xml:space="preserve"> </w:t>
      </w:r>
      <w:r>
        <w:rPr>
          <w:rFonts w:hint="eastAsia" w:ascii="宋体" w:hAnsi="宋体" w:cs="仿宋_GB2312"/>
          <w:bCs/>
          <w:sz w:val="24"/>
          <w:u w:val="single"/>
          <w:lang w:val="en-US" w:eastAsia="zh-CN"/>
        </w:rPr>
        <w:t>6</w:t>
      </w:r>
      <w:r>
        <w:rPr>
          <w:rFonts w:hint="eastAsia" w:ascii="宋体" w:hAnsi="宋体" w:cs="仿宋_GB2312"/>
          <w:bCs/>
          <w:sz w:val="24"/>
          <w:u w:val="single"/>
        </w:rPr>
        <w:t xml:space="preserve"> </w:t>
      </w:r>
      <w:r>
        <w:rPr>
          <w:rFonts w:hint="eastAsia" w:ascii="宋体" w:hAnsi="宋体" w:cs="仿宋_GB2312"/>
          <w:bCs/>
          <w:sz w:val="24"/>
        </w:rPr>
        <w:t>月</w:t>
      </w:r>
      <w:r>
        <w:rPr>
          <w:rFonts w:hint="eastAsia" w:ascii="宋体" w:hAnsi="宋体" w:cs="仿宋_GB2312"/>
          <w:bCs/>
          <w:sz w:val="24"/>
          <w:u w:val="single"/>
        </w:rPr>
        <w:t xml:space="preserve"> </w:t>
      </w:r>
      <w:r>
        <w:rPr>
          <w:rFonts w:hint="eastAsia" w:ascii="宋体" w:hAnsi="宋体" w:cs="仿宋_GB2312"/>
          <w:bCs/>
          <w:sz w:val="24"/>
          <w:u w:val="single"/>
          <w:lang w:val="en-US" w:eastAsia="zh-CN"/>
        </w:rPr>
        <w:t>4</w:t>
      </w:r>
      <w:r>
        <w:rPr>
          <w:rFonts w:hint="eastAsia" w:ascii="宋体" w:hAnsi="宋体" w:cs="仿宋_GB2312"/>
          <w:bCs/>
          <w:sz w:val="24"/>
          <w:u w:val="single"/>
        </w:rPr>
        <w:t xml:space="preserve"> </w:t>
      </w:r>
      <w:r>
        <w:rPr>
          <w:rFonts w:hint="eastAsia" w:ascii="宋体" w:hAnsi="宋体" w:cs="仿宋_GB2312"/>
          <w:bCs/>
          <w:sz w:val="24"/>
        </w:rPr>
        <w:t>日</w:t>
      </w:r>
      <w:r>
        <w:rPr>
          <w:rFonts w:hint="eastAsia" w:ascii="宋体" w:hAnsi="宋体"/>
          <w:bCs/>
          <w:snapToGrid w:val="0"/>
          <w:sz w:val="24"/>
          <w:u w:val="single"/>
        </w:rPr>
        <w:t>9:00</w:t>
      </w:r>
      <w:r>
        <w:rPr>
          <w:rFonts w:hint="eastAsia" w:ascii="宋体" w:hAnsi="宋体" w:cs="仿宋_GB2312"/>
          <w:sz w:val="24"/>
        </w:rPr>
        <w:t>，每天上午00:00至12:00，下午12:00至23:59（北京时间，线上获取法定节假日均可，线下获取文件法定节假日除外）。</w:t>
      </w:r>
    </w:p>
    <w:p>
      <w:pPr>
        <w:spacing w:line="360" w:lineRule="auto"/>
        <w:ind w:firstLine="480" w:firstLineChars="200"/>
        <w:rPr>
          <w:rFonts w:ascii="宋体" w:hAnsi="宋体" w:cs="仿宋_GB2312"/>
          <w:sz w:val="24"/>
        </w:rPr>
      </w:pPr>
      <w:r>
        <w:rPr>
          <w:rFonts w:hint="eastAsia" w:ascii="宋体" w:hAnsi="宋体" w:cs="仿宋_GB2312"/>
          <w:sz w:val="24"/>
        </w:rPr>
        <w:t>2</w:t>
      </w:r>
      <w:r>
        <w:rPr>
          <w:rFonts w:hint="eastAsia" w:ascii="宋体" w:hAnsi="宋体"/>
          <w:sz w:val="24"/>
        </w:rPr>
        <w:t>.</w:t>
      </w:r>
      <w:r>
        <w:rPr>
          <w:rFonts w:hint="eastAsia" w:ascii="宋体" w:hAnsi="宋体" w:cs="仿宋_GB2312"/>
          <w:sz w:val="24"/>
        </w:rPr>
        <w:t>地点（网址）：浙江政府采购网（</w:t>
      </w:r>
      <w:r>
        <w:rPr>
          <w:rFonts w:ascii="宋体" w:hAnsi="宋体"/>
          <w:sz w:val="24"/>
          <w:u w:val="single"/>
        </w:rPr>
        <w:t>http://</w:t>
      </w:r>
      <w:r>
        <w:rPr>
          <w:rFonts w:hint="eastAsia" w:ascii="宋体" w:hAnsi="宋体"/>
          <w:sz w:val="24"/>
          <w:u w:val="single"/>
        </w:rPr>
        <w:t>zfcg.czt.zj.gov.cn</w:t>
      </w:r>
      <w:r>
        <w:rPr>
          <w:rFonts w:hint="eastAsia" w:ascii="宋体" w:hAnsi="宋体" w:cs="仿宋_GB2312"/>
          <w:sz w:val="24"/>
        </w:rPr>
        <w:t>/）</w:t>
      </w:r>
      <w:r>
        <w:rPr>
          <w:rFonts w:hint="eastAsia" w:ascii="宋体" w:hAnsi="宋体" w:cs="仿宋_GB2312"/>
          <w:color w:val="000000"/>
          <w:sz w:val="24"/>
        </w:rPr>
        <w:t>、丽水市公共资源交易网（莲都）（http://lssggzy.lishui.gov.cn/ldweb/）</w:t>
      </w:r>
      <w:r>
        <w:rPr>
          <w:rFonts w:hint="eastAsia" w:ascii="宋体" w:hAnsi="宋体" w:cs="仿宋_GB2312"/>
          <w:sz w:val="24"/>
        </w:rPr>
        <w:t>公告附件。</w:t>
      </w:r>
    </w:p>
    <w:p>
      <w:pPr>
        <w:spacing w:line="360" w:lineRule="auto"/>
        <w:ind w:firstLine="480" w:firstLineChars="200"/>
        <w:rPr>
          <w:rFonts w:ascii="宋体" w:hAnsi="宋体" w:cs="仿宋_GB2312"/>
          <w:sz w:val="24"/>
        </w:rPr>
      </w:pPr>
      <w:r>
        <w:rPr>
          <w:rFonts w:hint="eastAsia" w:ascii="宋体" w:hAnsi="宋体" w:cs="仿宋_GB2312"/>
          <w:sz w:val="24"/>
        </w:rPr>
        <w:t>3</w:t>
      </w:r>
      <w:r>
        <w:rPr>
          <w:rFonts w:hint="eastAsia" w:ascii="宋体" w:hAnsi="宋体"/>
          <w:sz w:val="24"/>
        </w:rPr>
        <w:t>.</w:t>
      </w:r>
      <w:r>
        <w:rPr>
          <w:rFonts w:hint="eastAsia" w:ascii="宋体" w:hAnsi="宋体" w:cs="仿宋_GB2312"/>
          <w:sz w:val="24"/>
        </w:rPr>
        <w:t>方式：自行下载获取。</w:t>
      </w:r>
      <w:r>
        <w:rPr>
          <w:rFonts w:hint="eastAsia" w:ascii="宋体" w:hAnsi="宋体" w:cs="仿宋_GB2312"/>
          <w:sz w:val="24"/>
        </w:rPr>
        <w:fldChar w:fldCharType="begin"/>
      </w:r>
      <w:r>
        <w:rPr>
          <w:rFonts w:hint="eastAsia" w:ascii="宋体" w:hAnsi="宋体" w:cs="仿宋_GB2312"/>
          <w:sz w:val="24"/>
        </w:rPr>
        <w:instrText xml:space="preserve"> = 1 \* GB2 </w:instrText>
      </w:r>
      <w:r>
        <w:rPr>
          <w:rFonts w:hint="eastAsia" w:ascii="宋体" w:hAnsi="宋体" w:cs="仿宋_GB2312"/>
          <w:sz w:val="24"/>
        </w:rPr>
        <w:fldChar w:fldCharType="separate"/>
      </w:r>
      <w:r>
        <w:rPr>
          <w:rFonts w:hint="eastAsia" w:ascii="宋体" w:hAnsi="宋体" w:cs="仿宋_GB2312"/>
          <w:sz w:val="24"/>
        </w:rPr>
        <w:t>⑴</w:t>
      </w:r>
      <w:r>
        <w:rPr>
          <w:rFonts w:hint="eastAsia" w:ascii="宋体" w:hAnsi="宋体" w:cs="仿宋_GB2312"/>
          <w:sz w:val="24"/>
        </w:rPr>
        <w:fldChar w:fldCharType="end"/>
      </w:r>
      <w:r>
        <w:rPr>
          <w:rFonts w:hint="eastAsia" w:ascii="宋体" w:hAnsi="宋体" w:cs="仿宋_GB2312"/>
          <w:sz w:val="24"/>
        </w:rPr>
        <w:t>获取流程：浙江政府采购网</w:t>
      </w:r>
      <w:r>
        <w:rPr>
          <w:rFonts w:hint="eastAsia" w:ascii="宋体" w:hAnsi="宋体" w:cs="仿宋_GB2312"/>
          <w:b/>
          <w:sz w:val="24"/>
        </w:rPr>
        <w:t>→</w:t>
      </w:r>
      <w:r>
        <w:rPr>
          <w:rFonts w:hint="eastAsia" w:ascii="宋体" w:hAnsi="宋体" w:cs="仿宋_GB2312"/>
          <w:sz w:val="24"/>
        </w:rPr>
        <w:t>用户入驻/登录—用户登录</w:t>
      </w:r>
      <w:r>
        <w:rPr>
          <w:rFonts w:hint="eastAsia" w:ascii="宋体" w:hAnsi="宋体" w:cs="仿宋_GB2312"/>
          <w:b/>
          <w:sz w:val="24"/>
        </w:rPr>
        <w:t>→</w:t>
      </w:r>
      <w:r>
        <w:rPr>
          <w:rFonts w:hint="eastAsia" w:ascii="宋体" w:hAnsi="宋体" w:cs="仿宋_GB2312"/>
          <w:sz w:val="24"/>
        </w:rPr>
        <w:t>项目采购</w:t>
      </w:r>
      <w:r>
        <w:rPr>
          <w:rFonts w:hint="eastAsia" w:ascii="宋体" w:hAnsi="宋体" w:cs="仿宋_GB2312"/>
          <w:b/>
          <w:sz w:val="24"/>
        </w:rPr>
        <w:t>→</w:t>
      </w:r>
      <w:r>
        <w:rPr>
          <w:rFonts w:hint="eastAsia" w:ascii="宋体" w:hAnsi="宋体" w:cs="仿宋_GB2312"/>
          <w:sz w:val="24"/>
        </w:rPr>
        <w:t>获取招标文件管理；</w:t>
      </w:r>
      <w:r>
        <w:rPr>
          <w:rFonts w:hint="eastAsia" w:ascii="宋体" w:hAnsi="宋体" w:cs="仿宋_GB2312"/>
          <w:sz w:val="24"/>
        </w:rPr>
        <w:fldChar w:fldCharType="begin"/>
      </w:r>
      <w:r>
        <w:rPr>
          <w:rFonts w:hint="eastAsia" w:ascii="宋体" w:hAnsi="宋体" w:cs="仿宋_GB2312"/>
          <w:sz w:val="24"/>
        </w:rPr>
        <w:instrText xml:space="preserve"> = 2 \* GB2 </w:instrText>
      </w:r>
      <w:r>
        <w:rPr>
          <w:rFonts w:hint="eastAsia" w:ascii="宋体" w:hAnsi="宋体" w:cs="仿宋_GB2312"/>
          <w:sz w:val="24"/>
        </w:rPr>
        <w:fldChar w:fldCharType="separate"/>
      </w:r>
      <w:r>
        <w:rPr>
          <w:rFonts w:hint="eastAsia" w:ascii="宋体" w:hAnsi="宋体" w:cs="仿宋_GB2312"/>
          <w:sz w:val="24"/>
        </w:rPr>
        <w:t>⑵</w:t>
      </w:r>
      <w:r>
        <w:rPr>
          <w:rFonts w:hint="eastAsia" w:ascii="宋体" w:hAnsi="宋体" w:cs="仿宋_GB2312"/>
          <w:sz w:val="24"/>
        </w:rPr>
        <w:fldChar w:fldCharType="end"/>
      </w:r>
      <w:r>
        <w:rPr>
          <w:rFonts w:hint="eastAsia" w:ascii="宋体" w:hAnsi="宋体" w:cs="仿宋_GB2312"/>
          <w:sz w:val="24"/>
        </w:rPr>
        <w:t>未在浙江省政府采购网注册成为正式供应商的，请注册完成审核成功后登录获取；</w:t>
      </w:r>
      <w:r>
        <w:rPr>
          <w:rFonts w:hint="eastAsia" w:ascii="宋体" w:hAnsi="宋体" w:cs="仿宋_GB2312"/>
          <w:sz w:val="24"/>
        </w:rPr>
        <w:fldChar w:fldCharType="begin"/>
      </w:r>
      <w:r>
        <w:rPr>
          <w:rFonts w:hint="eastAsia" w:ascii="宋体" w:hAnsi="宋体" w:cs="仿宋_GB2312"/>
          <w:sz w:val="24"/>
        </w:rPr>
        <w:instrText xml:space="preserve"> = 3 \* GB2 </w:instrText>
      </w:r>
      <w:r>
        <w:rPr>
          <w:rFonts w:hint="eastAsia" w:ascii="宋体" w:hAnsi="宋体" w:cs="仿宋_GB2312"/>
          <w:sz w:val="24"/>
        </w:rPr>
        <w:fldChar w:fldCharType="separate"/>
      </w:r>
      <w:r>
        <w:rPr>
          <w:rFonts w:hint="eastAsia" w:ascii="宋体" w:hAnsi="宋体" w:cs="仿宋_GB2312"/>
          <w:sz w:val="24"/>
        </w:rPr>
        <w:t>⑶</w:t>
      </w:r>
      <w:r>
        <w:rPr>
          <w:rFonts w:hint="eastAsia" w:ascii="宋体" w:hAnsi="宋体" w:cs="仿宋_GB2312"/>
          <w:sz w:val="24"/>
        </w:rPr>
        <w:fldChar w:fldCharType="end"/>
      </w:r>
      <w:r>
        <w:rPr>
          <w:rFonts w:hint="eastAsia" w:ascii="宋体" w:hAnsi="宋体" w:cs="仿宋_GB2312"/>
          <w:sz w:val="24"/>
        </w:rPr>
        <w:t>在浙江政府采购网采购</w:t>
      </w:r>
      <w:r>
        <w:rPr>
          <w:rFonts w:ascii="宋体" w:hAnsi="宋体" w:cs="仿宋_GB2312"/>
          <w:sz w:val="24"/>
        </w:rPr>
        <w:t>公告</w:t>
      </w:r>
      <w:r>
        <w:rPr>
          <w:rFonts w:hint="eastAsia" w:ascii="宋体" w:hAnsi="宋体" w:cs="仿宋_GB2312"/>
          <w:sz w:val="24"/>
        </w:rPr>
        <w:t>附件中以“游客”身份获取的招标文件</w:t>
      </w:r>
      <w:r>
        <w:rPr>
          <w:rFonts w:ascii="宋体" w:hAnsi="宋体" w:cs="仿宋_GB2312"/>
          <w:sz w:val="24"/>
        </w:rPr>
        <w:t>在</w:t>
      </w:r>
      <w:r>
        <w:rPr>
          <w:rFonts w:hint="eastAsia" w:ascii="宋体" w:hAnsi="宋体" w:cs="仿宋_GB2312"/>
          <w:sz w:val="24"/>
        </w:rPr>
        <w:t>仅供阅览；潜在供应商未按上述第</w:t>
      </w:r>
      <w:r>
        <w:rPr>
          <w:rFonts w:ascii="宋体" w:hAnsi="宋体" w:cs="仿宋_GB2312"/>
          <w:sz w:val="24"/>
        </w:rPr>
        <w:fldChar w:fldCharType="begin"/>
      </w:r>
      <w:r>
        <w:rPr>
          <w:rFonts w:hint="eastAsia" w:ascii="宋体" w:hAnsi="宋体" w:cs="仿宋_GB2312"/>
          <w:sz w:val="24"/>
        </w:rPr>
        <w:instrText xml:space="preserve">= 1 \* GB2</w:instrText>
      </w:r>
      <w:r>
        <w:rPr>
          <w:rFonts w:ascii="宋体" w:hAnsi="宋体" w:cs="仿宋_GB2312"/>
          <w:sz w:val="24"/>
        </w:rPr>
        <w:fldChar w:fldCharType="separate"/>
      </w:r>
      <w:r>
        <w:rPr>
          <w:rFonts w:hint="eastAsia" w:ascii="宋体" w:hAnsi="宋体" w:cs="仿宋_GB2312"/>
          <w:sz w:val="24"/>
        </w:rPr>
        <w:t>⑴</w:t>
      </w:r>
      <w:r>
        <w:rPr>
          <w:rFonts w:ascii="宋体" w:hAnsi="宋体" w:cs="仿宋_GB2312"/>
          <w:sz w:val="24"/>
        </w:rPr>
        <w:fldChar w:fldCharType="end"/>
      </w:r>
      <w:r>
        <w:rPr>
          <w:rFonts w:hint="eastAsia" w:ascii="宋体" w:hAnsi="宋体" w:cs="仿宋_GB2312"/>
          <w:sz w:val="24"/>
        </w:rPr>
        <w:t>条方式获取招标文件的不得对招标文件提起质疑投诉。</w:t>
      </w:r>
    </w:p>
    <w:p>
      <w:pPr>
        <w:spacing w:line="360" w:lineRule="auto"/>
        <w:ind w:firstLine="480" w:firstLineChars="200"/>
        <w:rPr>
          <w:rFonts w:ascii="宋体" w:hAnsi="宋体" w:cs="仿宋_GB2312"/>
          <w:sz w:val="24"/>
        </w:rPr>
      </w:pPr>
      <w:r>
        <w:rPr>
          <w:rFonts w:hint="eastAsia" w:ascii="宋体" w:hAnsi="宋体" w:cs="仿宋_GB2312"/>
          <w:sz w:val="24"/>
        </w:rPr>
        <w:t>4</w:t>
      </w:r>
      <w:r>
        <w:rPr>
          <w:rFonts w:hint="eastAsia" w:ascii="宋体" w:hAnsi="宋体"/>
          <w:sz w:val="24"/>
        </w:rPr>
        <w:t>.</w:t>
      </w:r>
      <w:r>
        <w:rPr>
          <w:rFonts w:hint="eastAsia" w:ascii="宋体" w:hAnsi="宋体" w:cs="仿宋_GB2312"/>
          <w:sz w:val="24"/>
        </w:rPr>
        <w:t xml:space="preserve"> 招标文件售价：0元。</w:t>
      </w:r>
    </w:p>
    <w:p>
      <w:pPr>
        <w:spacing w:line="360" w:lineRule="auto"/>
        <w:ind w:firstLine="482"/>
        <w:rPr>
          <w:rFonts w:ascii="宋体" w:hAnsi="宋体" w:cs="仿宋_GB2312"/>
          <w:b/>
          <w:sz w:val="24"/>
        </w:rPr>
      </w:pPr>
      <w:r>
        <w:rPr>
          <w:rFonts w:hint="eastAsia" w:ascii="宋体" w:hAnsi="宋体" w:cs="仿宋_GB2312"/>
          <w:b/>
          <w:sz w:val="24"/>
        </w:rPr>
        <w:t>四、提交投标文件截止时间、开标时间和地点</w:t>
      </w:r>
    </w:p>
    <w:p>
      <w:pPr>
        <w:spacing w:line="360" w:lineRule="auto"/>
        <w:ind w:firstLine="482" w:firstLineChars="200"/>
        <w:rPr>
          <w:rFonts w:ascii="宋体" w:hAnsi="宋体" w:cs="仿宋_GB2312"/>
          <w:b/>
          <w:bCs/>
          <w:sz w:val="24"/>
          <w:u w:val="single"/>
        </w:rPr>
      </w:pPr>
      <w:r>
        <w:rPr>
          <w:rFonts w:hint="eastAsia" w:ascii="宋体" w:hAnsi="宋体" w:cs="仿宋_GB2312"/>
          <w:b/>
          <w:bCs/>
          <w:sz w:val="24"/>
        </w:rPr>
        <w:t>1</w:t>
      </w:r>
      <w:r>
        <w:rPr>
          <w:rFonts w:hint="eastAsia" w:ascii="宋体" w:hAnsi="宋体"/>
          <w:b/>
          <w:sz w:val="24"/>
        </w:rPr>
        <w:t>.</w:t>
      </w:r>
      <w:r>
        <w:rPr>
          <w:rFonts w:hint="eastAsia" w:ascii="宋体" w:hAnsi="宋体" w:cs="仿宋_GB2312"/>
          <w:b/>
          <w:bCs/>
          <w:sz w:val="24"/>
        </w:rPr>
        <w:t>提交投标文件截止时间：</w:t>
      </w:r>
      <w:r>
        <w:rPr>
          <w:rFonts w:ascii="宋体" w:hAnsi="宋体"/>
          <w:b/>
          <w:bCs/>
          <w:snapToGrid w:val="0"/>
          <w:sz w:val="24"/>
          <w:u w:val="single"/>
        </w:rPr>
        <w:t>202</w:t>
      </w:r>
      <w:r>
        <w:rPr>
          <w:rFonts w:hint="eastAsia" w:ascii="宋体" w:hAnsi="宋体"/>
          <w:b/>
          <w:bCs/>
          <w:snapToGrid w:val="0"/>
          <w:sz w:val="24"/>
          <w:u w:val="single"/>
        </w:rPr>
        <w:t>4</w:t>
      </w:r>
      <w:r>
        <w:rPr>
          <w:rFonts w:hint="eastAsia" w:ascii="宋体" w:hAnsi="宋体" w:cs="仿宋_GB2312"/>
          <w:b/>
          <w:bCs/>
          <w:sz w:val="24"/>
        </w:rPr>
        <w:t>年</w:t>
      </w:r>
      <w:r>
        <w:rPr>
          <w:rFonts w:hint="eastAsia" w:ascii="宋体" w:hAnsi="宋体" w:cs="仿宋_GB2312"/>
          <w:b/>
          <w:bCs/>
          <w:sz w:val="24"/>
          <w:u w:val="single"/>
        </w:rPr>
        <w:t xml:space="preserve"> </w:t>
      </w:r>
      <w:r>
        <w:rPr>
          <w:rFonts w:hint="eastAsia" w:ascii="宋体" w:hAnsi="宋体" w:cs="仿宋_GB2312"/>
          <w:b/>
          <w:bCs/>
          <w:sz w:val="24"/>
          <w:u w:val="single"/>
          <w:lang w:val="en-US" w:eastAsia="zh-CN"/>
        </w:rPr>
        <w:t>6</w:t>
      </w:r>
      <w:r>
        <w:rPr>
          <w:rFonts w:hint="eastAsia" w:ascii="宋体" w:hAnsi="宋体" w:cs="仿宋_GB2312"/>
          <w:b/>
          <w:bCs/>
          <w:sz w:val="24"/>
          <w:u w:val="single"/>
        </w:rPr>
        <w:t xml:space="preserve"> </w:t>
      </w:r>
      <w:r>
        <w:rPr>
          <w:rFonts w:hint="eastAsia" w:ascii="宋体" w:hAnsi="宋体" w:cs="仿宋_GB2312"/>
          <w:b/>
          <w:bCs/>
          <w:sz w:val="24"/>
        </w:rPr>
        <w:t>月</w:t>
      </w:r>
      <w:r>
        <w:rPr>
          <w:rFonts w:hint="eastAsia" w:ascii="宋体" w:hAnsi="宋体" w:cs="仿宋_GB2312"/>
          <w:b/>
          <w:bCs/>
          <w:sz w:val="24"/>
          <w:u w:val="single"/>
        </w:rPr>
        <w:t xml:space="preserve"> </w:t>
      </w:r>
      <w:r>
        <w:rPr>
          <w:rFonts w:hint="eastAsia" w:ascii="宋体" w:hAnsi="宋体" w:cs="仿宋_GB2312"/>
          <w:b/>
          <w:bCs/>
          <w:sz w:val="24"/>
          <w:u w:val="single"/>
          <w:lang w:val="en-US" w:eastAsia="zh-CN"/>
        </w:rPr>
        <w:t>4</w:t>
      </w:r>
      <w:r>
        <w:rPr>
          <w:rFonts w:hint="eastAsia" w:ascii="宋体" w:hAnsi="宋体" w:cs="仿宋_GB2312"/>
          <w:b/>
          <w:bCs/>
          <w:sz w:val="24"/>
          <w:u w:val="single"/>
        </w:rPr>
        <w:t xml:space="preserve"> </w:t>
      </w:r>
      <w:r>
        <w:rPr>
          <w:rFonts w:hint="eastAsia" w:ascii="宋体" w:hAnsi="宋体" w:cs="仿宋_GB2312"/>
          <w:b/>
          <w:bCs/>
          <w:sz w:val="24"/>
        </w:rPr>
        <w:t>日</w:t>
      </w:r>
      <w:r>
        <w:rPr>
          <w:rFonts w:hint="eastAsia" w:ascii="宋体" w:hAnsi="宋体"/>
          <w:b/>
          <w:bCs/>
          <w:snapToGrid w:val="0"/>
          <w:sz w:val="24"/>
          <w:u w:val="single"/>
        </w:rPr>
        <w:t>9</w:t>
      </w:r>
      <w:r>
        <w:rPr>
          <w:rFonts w:hint="eastAsia" w:ascii="宋体" w:hAnsi="宋体" w:cs="仿宋_GB2312"/>
          <w:b/>
          <w:bCs/>
          <w:sz w:val="24"/>
          <w:u w:val="single"/>
        </w:rPr>
        <w:t>:</w:t>
      </w:r>
      <w:r>
        <w:rPr>
          <w:rFonts w:hint="eastAsia" w:ascii="宋体" w:hAnsi="宋体"/>
          <w:b/>
          <w:bCs/>
          <w:snapToGrid w:val="0"/>
          <w:sz w:val="24"/>
          <w:u w:val="single"/>
        </w:rPr>
        <w:t>00</w:t>
      </w:r>
      <w:r>
        <w:rPr>
          <w:rFonts w:hint="eastAsia" w:ascii="宋体" w:hAnsi="宋体" w:cs="仿宋_GB2312"/>
          <w:b/>
          <w:bCs/>
          <w:sz w:val="24"/>
        </w:rPr>
        <w:t>（北京时间）；</w:t>
      </w:r>
    </w:p>
    <w:p>
      <w:pPr>
        <w:spacing w:line="360" w:lineRule="auto"/>
        <w:ind w:firstLine="480" w:firstLineChars="200"/>
        <w:rPr>
          <w:rFonts w:ascii="宋体" w:hAnsi="宋体" w:cs="仿宋_GB2312"/>
          <w:sz w:val="24"/>
        </w:rPr>
      </w:pPr>
      <w:r>
        <w:rPr>
          <w:rFonts w:hint="eastAsia" w:ascii="宋体" w:hAnsi="宋体" w:cs="仿宋_GB2312"/>
          <w:sz w:val="24"/>
        </w:rPr>
        <w:t>2</w:t>
      </w:r>
      <w:r>
        <w:rPr>
          <w:rFonts w:hint="eastAsia" w:ascii="宋体" w:hAnsi="宋体"/>
          <w:sz w:val="24"/>
        </w:rPr>
        <w:t>.</w:t>
      </w:r>
      <w:r>
        <w:rPr>
          <w:rFonts w:ascii="宋体" w:hAnsi="宋体"/>
          <w:sz w:val="24"/>
        </w:rPr>
        <w:t xml:space="preserve"> 投标</w:t>
      </w:r>
      <w:r>
        <w:rPr>
          <w:rFonts w:hint="eastAsia" w:ascii="宋体" w:hAnsi="宋体" w:cs="仿宋_GB2312"/>
          <w:sz w:val="24"/>
        </w:rPr>
        <w:t>地点（网址）：</w:t>
      </w:r>
    </w:p>
    <w:p>
      <w:pPr>
        <w:spacing w:line="360" w:lineRule="auto"/>
        <w:ind w:firstLine="480" w:firstLineChars="200"/>
        <w:rPr>
          <w:rFonts w:ascii="宋体" w:hAnsi="宋体" w:cs="仿宋_GB2312"/>
          <w:sz w:val="24"/>
        </w:rPr>
      </w:pPr>
      <w:r>
        <w:rPr>
          <w:rFonts w:hint="eastAsia" w:ascii="宋体" w:hAnsi="宋体" w:cs="仿宋_GB2312"/>
          <w:sz w:val="24"/>
        </w:rPr>
        <w:fldChar w:fldCharType="begin"/>
      </w:r>
      <w:r>
        <w:rPr>
          <w:rFonts w:hint="eastAsia" w:ascii="宋体" w:hAnsi="宋体" w:cs="仿宋_GB2312"/>
          <w:sz w:val="24"/>
        </w:rPr>
        <w:instrText xml:space="preserve"> = 1 \* GB2 </w:instrText>
      </w:r>
      <w:r>
        <w:rPr>
          <w:rFonts w:hint="eastAsia" w:ascii="宋体" w:hAnsi="宋体" w:cs="仿宋_GB2312"/>
          <w:sz w:val="24"/>
        </w:rPr>
        <w:fldChar w:fldCharType="separate"/>
      </w:r>
      <w:r>
        <w:rPr>
          <w:rFonts w:hint="eastAsia" w:ascii="宋体" w:hAnsi="宋体" w:cs="仿宋_GB2312"/>
          <w:sz w:val="24"/>
        </w:rPr>
        <w:t>⑴</w:t>
      </w:r>
      <w:r>
        <w:rPr>
          <w:rFonts w:hint="eastAsia" w:ascii="宋体" w:hAnsi="宋体" w:cs="仿宋_GB2312"/>
          <w:sz w:val="24"/>
        </w:rPr>
        <w:fldChar w:fldCharType="end"/>
      </w:r>
      <w:r>
        <w:rPr>
          <w:rFonts w:hint="eastAsia" w:ascii="宋体" w:hAnsi="宋体" w:cs="仿宋_GB2312"/>
          <w:sz w:val="24"/>
        </w:rPr>
        <w:t xml:space="preserve"> 电子加密投标文件：在“政府采购云平台”上传提交，“电子加密投标文件”成功上传提交后，投标人自行打印投标文件接收回执；</w:t>
      </w:r>
    </w:p>
    <w:p>
      <w:pPr>
        <w:pStyle w:val="27"/>
        <w:adjustRightInd w:val="0"/>
        <w:snapToGrid w:val="0"/>
        <w:spacing w:line="360" w:lineRule="auto"/>
        <w:ind w:firstLine="480" w:firstLineChars="200"/>
        <w:rPr>
          <w:rFonts w:hAnsi="宋体" w:cs="仿宋_GB2312"/>
          <w:sz w:val="24"/>
          <w:szCs w:val="24"/>
        </w:rPr>
      </w:pPr>
      <w:r>
        <w:rPr>
          <w:rFonts w:hint="eastAsia" w:hAnsi="宋体" w:cs="仿宋_GB2312"/>
          <w:sz w:val="24"/>
          <w:szCs w:val="24"/>
        </w:rPr>
        <w:fldChar w:fldCharType="begin"/>
      </w:r>
      <w:r>
        <w:rPr>
          <w:rFonts w:hint="eastAsia" w:hAnsi="宋体" w:cs="仿宋_GB2312"/>
          <w:sz w:val="24"/>
          <w:szCs w:val="24"/>
        </w:rPr>
        <w:instrText xml:space="preserve"> = 2 \* GB2 </w:instrText>
      </w:r>
      <w:r>
        <w:rPr>
          <w:rFonts w:hint="eastAsia" w:hAnsi="宋体" w:cs="仿宋_GB2312"/>
          <w:sz w:val="24"/>
          <w:szCs w:val="24"/>
        </w:rPr>
        <w:fldChar w:fldCharType="separate"/>
      </w:r>
      <w:r>
        <w:rPr>
          <w:rFonts w:hint="eastAsia" w:hAnsi="宋体" w:cs="仿宋_GB2312"/>
          <w:sz w:val="24"/>
          <w:szCs w:val="24"/>
        </w:rPr>
        <w:t>⑵</w:t>
      </w:r>
      <w:r>
        <w:rPr>
          <w:rFonts w:hint="eastAsia" w:hAnsi="宋体" w:cs="仿宋_GB2312"/>
          <w:sz w:val="24"/>
          <w:szCs w:val="24"/>
        </w:rPr>
        <w:fldChar w:fldCharType="end"/>
      </w:r>
      <w:r>
        <w:rPr>
          <w:rFonts w:hint="eastAsia" w:hAnsi="宋体" w:cs="仿宋_GB2312"/>
          <w:sz w:val="24"/>
          <w:szCs w:val="24"/>
        </w:rPr>
        <w:t xml:space="preserve"> 备份投标文件：</w:t>
      </w:r>
    </w:p>
    <w:p>
      <w:pPr>
        <w:pStyle w:val="27"/>
        <w:adjustRightInd w:val="0"/>
        <w:snapToGrid w:val="0"/>
        <w:spacing w:line="360" w:lineRule="auto"/>
        <w:ind w:firstLine="480" w:firstLineChars="200"/>
        <w:rPr>
          <w:rFonts w:hAnsi="宋体"/>
          <w:bCs/>
          <w:sz w:val="24"/>
          <w:szCs w:val="24"/>
        </w:rPr>
      </w:pPr>
      <w:r>
        <w:rPr>
          <w:rFonts w:hint="eastAsia" w:hAnsi="宋体"/>
          <w:bCs/>
          <w:sz w:val="24"/>
        </w:rPr>
        <w:t>备份投标文件是否提交由投标人自行决定，如不提交的，当电子投标文件无法解密时，将导致无备份投标文件而失去投标资格；</w:t>
      </w:r>
    </w:p>
    <w:p>
      <w:pPr>
        <w:pStyle w:val="27"/>
        <w:adjustRightInd w:val="0"/>
        <w:snapToGrid w:val="0"/>
        <w:spacing w:line="360" w:lineRule="auto"/>
        <w:ind w:firstLine="480" w:firstLineChars="200"/>
        <w:rPr>
          <w:rFonts w:ascii="新宋体" w:hAnsi="新宋体" w:eastAsia="新宋体"/>
          <w:bCs/>
          <w:sz w:val="24"/>
          <w:szCs w:val="24"/>
        </w:rPr>
      </w:pPr>
      <w:r>
        <w:rPr>
          <w:rFonts w:hint="eastAsia" w:ascii="新宋体" w:hAnsi="新宋体" w:eastAsia="新宋体"/>
          <w:bCs/>
          <w:sz w:val="24"/>
        </w:rPr>
        <w:t>如提交备份</w:t>
      </w:r>
      <w:r>
        <w:rPr>
          <w:rFonts w:hint="eastAsia" w:hAnsi="宋体"/>
          <w:bCs/>
          <w:sz w:val="24"/>
        </w:rPr>
        <w:t>投标</w:t>
      </w:r>
      <w:r>
        <w:rPr>
          <w:rFonts w:hint="eastAsia" w:ascii="新宋体" w:hAnsi="新宋体" w:eastAsia="新宋体"/>
          <w:bCs/>
          <w:sz w:val="24"/>
        </w:rPr>
        <w:t>文件的，应在</w:t>
      </w:r>
      <w:r>
        <w:rPr>
          <w:rFonts w:hint="eastAsia" w:hAnsi="宋体"/>
          <w:bCs/>
          <w:sz w:val="24"/>
        </w:rPr>
        <w:t>投标</w:t>
      </w:r>
      <w:r>
        <w:rPr>
          <w:rFonts w:hint="eastAsia" w:ascii="新宋体" w:hAnsi="新宋体" w:eastAsia="新宋体"/>
          <w:bCs/>
          <w:sz w:val="24"/>
        </w:rPr>
        <w:t>截止时间前将系统最后生成的具有电子签章的备份</w:t>
      </w:r>
      <w:r>
        <w:rPr>
          <w:rFonts w:hint="eastAsia" w:hAnsi="宋体"/>
          <w:bCs/>
          <w:sz w:val="24"/>
        </w:rPr>
        <w:t>投标</w:t>
      </w:r>
      <w:r>
        <w:rPr>
          <w:rFonts w:hint="eastAsia" w:ascii="新宋体" w:hAnsi="新宋体" w:eastAsia="新宋体"/>
          <w:bCs/>
          <w:sz w:val="24"/>
        </w:rPr>
        <w:t>文件通过电子邮件方式传送至代理机构邮箱（236287981@qq.com），</w:t>
      </w:r>
      <w:r>
        <w:rPr>
          <w:rFonts w:hint="eastAsia" w:ascii="新宋体" w:hAnsi="新宋体" w:eastAsia="新宋体"/>
          <w:sz w:val="24"/>
        </w:rPr>
        <w:t>并在邮件中注明项目名称及投标人名称。</w:t>
      </w:r>
    </w:p>
    <w:p>
      <w:pPr>
        <w:spacing w:line="360" w:lineRule="auto"/>
        <w:ind w:firstLine="482" w:firstLineChars="200"/>
        <w:rPr>
          <w:rFonts w:ascii="宋体" w:hAnsi="宋体" w:cs="仿宋_GB2312"/>
          <w:b/>
          <w:bCs/>
          <w:sz w:val="24"/>
        </w:rPr>
      </w:pPr>
      <w:r>
        <w:rPr>
          <w:rFonts w:hint="eastAsia" w:ascii="宋体" w:hAnsi="宋体" w:cs="仿宋_GB2312"/>
          <w:b/>
          <w:sz w:val="24"/>
        </w:rPr>
        <w:t>3. 开标</w:t>
      </w:r>
      <w:r>
        <w:rPr>
          <w:rFonts w:ascii="宋体" w:hAnsi="宋体" w:cs="仿宋_GB2312"/>
          <w:b/>
          <w:sz w:val="24"/>
        </w:rPr>
        <w:t>时间：</w:t>
      </w:r>
      <w:r>
        <w:rPr>
          <w:rFonts w:ascii="宋体" w:hAnsi="宋体"/>
          <w:b/>
          <w:bCs/>
          <w:snapToGrid w:val="0"/>
          <w:sz w:val="24"/>
          <w:u w:val="single"/>
        </w:rPr>
        <w:t>202</w:t>
      </w:r>
      <w:r>
        <w:rPr>
          <w:rFonts w:hint="eastAsia" w:ascii="宋体" w:hAnsi="宋体"/>
          <w:b/>
          <w:bCs/>
          <w:snapToGrid w:val="0"/>
          <w:sz w:val="24"/>
          <w:u w:val="single"/>
        </w:rPr>
        <w:t>4</w:t>
      </w:r>
      <w:r>
        <w:rPr>
          <w:rFonts w:hint="eastAsia" w:ascii="宋体" w:hAnsi="宋体" w:cs="仿宋_GB2312"/>
          <w:b/>
          <w:bCs/>
          <w:sz w:val="24"/>
        </w:rPr>
        <w:t>年</w:t>
      </w:r>
      <w:r>
        <w:rPr>
          <w:rFonts w:hint="eastAsia" w:ascii="宋体" w:hAnsi="宋体" w:cs="仿宋_GB2312"/>
          <w:b/>
          <w:bCs/>
          <w:sz w:val="24"/>
          <w:u w:val="single"/>
        </w:rPr>
        <w:t xml:space="preserve"> </w:t>
      </w:r>
      <w:r>
        <w:rPr>
          <w:rFonts w:hint="eastAsia" w:ascii="宋体" w:hAnsi="宋体" w:cs="仿宋_GB2312"/>
          <w:b/>
          <w:bCs/>
          <w:sz w:val="24"/>
          <w:u w:val="single"/>
          <w:lang w:val="en-US" w:eastAsia="zh-CN"/>
        </w:rPr>
        <w:t>6</w:t>
      </w:r>
      <w:r>
        <w:rPr>
          <w:rFonts w:hint="eastAsia" w:ascii="宋体" w:hAnsi="宋体" w:cs="仿宋_GB2312"/>
          <w:b/>
          <w:bCs/>
          <w:sz w:val="24"/>
          <w:u w:val="single"/>
        </w:rPr>
        <w:t xml:space="preserve"> </w:t>
      </w:r>
      <w:r>
        <w:rPr>
          <w:rFonts w:hint="eastAsia" w:ascii="宋体" w:hAnsi="宋体" w:cs="仿宋_GB2312"/>
          <w:b/>
          <w:bCs/>
          <w:sz w:val="24"/>
        </w:rPr>
        <w:t>月</w:t>
      </w:r>
      <w:r>
        <w:rPr>
          <w:rFonts w:hint="eastAsia" w:ascii="宋体" w:hAnsi="宋体" w:cs="仿宋_GB2312"/>
          <w:b/>
          <w:bCs/>
          <w:sz w:val="24"/>
          <w:u w:val="single"/>
        </w:rPr>
        <w:t xml:space="preserve"> </w:t>
      </w:r>
      <w:r>
        <w:rPr>
          <w:rFonts w:hint="eastAsia" w:ascii="宋体" w:hAnsi="宋体" w:cs="仿宋_GB2312"/>
          <w:b/>
          <w:bCs/>
          <w:sz w:val="24"/>
          <w:u w:val="single"/>
          <w:lang w:val="en-US" w:eastAsia="zh-CN"/>
        </w:rPr>
        <w:t>4</w:t>
      </w:r>
      <w:r>
        <w:rPr>
          <w:rFonts w:hint="eastAsia" w:ascii="宋体" w:hAnsi="宋体" w:cs="仿宋_GB2312"/>
          <w:b/>
          <w:bCs/>
          <w:sz w:val="24"/>
          <w:u w:val="single"/>
        </w:rPr>
        <w:t xml:space="preserve"> </w:t>
      </w:r>
      <w:r>
        <w:rPr>
          <w:rFonts w:hint="eastAsia" w:ascii="宋体" w:hAnsi="宋体" w:cs="仿宋_GB2312"/>
          <w:b/>
          <w:bCs/>
          <w:sz w:val="24"/>
        </w:rPr>
        <w:t>日</w:t>
      </w:r>
      <w:r>
        <w:rPr>
          <w:rFonts w:hint="eastAsia" w:ascii="宋体" w:hAnsi="宋体"/>
          <w:b/>
          <w:bCs/>
          <w:snapToGrid w:val="0"/>
          <w:sz w:val="24"/>
          <w:u w:val="single"/>
        </w:rPr>
        <w:t>9</w:t>
      </w:r>
      <w:r>
        <w:rPr>
          <w:rFonts w:hint="eastAsia" w:ascii="宋体" w:hAnsi="宋体" w:cs="仿宋_GB2312"/>
          <w:b/>
          <w:bCs/>
          <w:sz w:val="24"/>
          <w:u w:val="single"/>
        </w:rPr>
        <w:t>:</w:t>
      </w:r>
      <w:r>
        <w:rPr>
          <w:rFonts w:hint="eastAsia" w:ascii="宋体" w:hAnsi="宋体"/>
          <w:b/>
          <w:bCs/>
          <w:snapToGrid w:val="0"/>
          <w:sz w:val="24"/>
          <w:u w:val="single"/>
        </w:rPr>
        <w:t>00</w:t>
      </w:r>
      <w:r>
        <w:rPr>
          <w:rFonts w:hint="eastAsia" w:ascii="宋体" w:hAnsi="宋体" w:cs="仿宋_GB2312"/>
          <w:b/>
          <w:bCs/>
          <w:sz w:val="24"/>
        </w:rPr>
        <w:t>（北京时间）；</w:t>
      </w:r>
    </w:p>
    <w:p>
      <w:pPr>
        <w:spacing w:line="360" w:lineRule="auto"/>
        <w:ind w:firstLine="480" w:firstLineChars="200"/>
        <w:rPr>
          <w:rFonts w:ascii="宋体" w:hAnsi="宋体" w:cs="仿宋_GB2312"/>
          <w:sz w:val="24"/>
        </w:rPr>
      </w:pPr>
      <w:r>
        <w:rPr>
          <w:rFonts w:hint="eastAsia" w:ascii="宋体" w:hAnsi="宋体" w:cs="仿宋_GB2312"/>
          <w:bCs/>
          <w:sz w:val="24"/>
        </w:rPr>
        <w:t>4. 开标</w:t>
      </w:r>
      <w:r>
        <w:rPr>
          <w:rFonts w:ascii="宋体" w:hAnsi="宋体" w:cs="仿宋_GB2312"/>
          <w:bCs/>
          <w:sz w:val="24"/>
        </w:rPr>
        <w:t>地点</w:t>
      </w:r>
      <w:r>
        <w:rPr>
          <w:rFonts w:hint="eastAsia" w:ascii="宋体" w:hAnsi="宋体" w:cs="仿宋_GB2312"/>
          <w:bCs/>
          <w:sz w:val="24"/>
        </w:rPr>
        <w:t>（网址）</w:t>
      </w:r>
      <w:r>
        <w:rPr>
          <w:rFonts w:ascii="宋体" w:hAnsi="宋体" w:cs="仿宋_GB2312"/>
          <w:bCs/>
          <w:sz w:val="24"/>
        </w:rPr>
        <w:t>：</w:t>
      </w:r>
      <w:r>
        <w:rPr>
          <w:rFonts w:hint="eastAsia" w:ascii="宋体" w:hAnsi="宋体"/>
          <w:sz w:val="24"/>
        </w:rPr>
        <w:t>丽水市莲都区公共资源交易中心（丽水市人民街649号丽人木业4楼）,</w:t>
      </w:r>
      <w:r>
        <w:rPr>
          <w:rFonts w:hint="eastAsia" w:ascii="宋体" w:hAnsi="宋体" w:cs="仿宋_GB2312"/>
          <w:bCs/>
          <w:sz w:val="24"/>
        </w:rPr>
        <w:t>浙江政府采购网→用户入驻/登录→用户登录→项目采购→开标评标→进入开标大厅。</w:t>
      </w:r>
    </w:p>
    <w:p>
      <w:pPr>
        <w:spacing w:line="360" w:lineRule="auto"/>
        <w:ind w:firstLine="482"/>
        <w:jc w:val="left"/>
        <w:rPr>
          <w:rFonts w:ascii="宋体" w:hAnsi="宋体" w:cs="仿宋_GB2312"/>
          <w:b/>
          <w:sz w:val="24"/>
        </w:rPr>
      </w:pPr>
      <w:r>
        <w:rPr>
          <w:rFonts w:hint="eastAsia" w:ascii="宋体" w:hAnsi="宋体" w:cs="仿宋_GB2312"/>
          <w:b/>
          <w:sz w:val="24"/>
        </w:rPr>
        <w:t>五、公告期限</w:t>
      </w:r>
    </w:p>
    <w:p>
      <w:pPr>
        <w:spacing w:line="360" w:lineRule="auto"/>
        <w:ind w:firstLine="480" w:firstLineChars="200"/>
        <w:rPr>
          <w:rFonts w:ascii="宋体" w:hAnsi="宋体" w:cs="仿宋_GB2312"/>
          <w:kern w:val="0"/>
          <w:sz w:val="24"/>
        </w:rPr>
      </w:pPr>
      <w:r>
        <w:rPr>
          <w:rFonts w:hint="eastAsia" w:ascii="宋体" w:hAnsi="宋体" w:cs="仿宋_GB2312"/>
          <w:kern w:val="0"/>
          <w:sz w:val="24"/>
        </w:rPr>
        <w:t>自本公告发布之日起5个工作日。</w:t>
      </w:r>
    </w:p>
    <w:p>
      <w:pPr>
        <w:spacing w:line="360" w:lineRule="auto"/>
        <w:ind w:firstLine="482"/>
        <w:jc w:val="left"/>
        <w:rPr>
          <w:rFonts w:ascii="宋体" w:hAnsi="宋体" w:cs="仿宋_GB2312"/>
          <w:b/>
          <w:sz w:val="24"/>
        </w:rPr>
      </w:pPr>
      <w:r>
        <w:rPr>
          <w:rFonts w:hint="eastAsia" w:ascii="宋体" w:hAnsi="宋体" w:cs="仿宋_GB2312"/>
          <w:b/>
          <w:sz w:val="24"/>
        </w:rPr>
        <w:t>六、其他补充事宜</w:t>
      </w:r>
    </w:p>
    <w:p>
      <w:pPr>
        <w:snapToGrid w:val="0"/>
        <w:spacing w:line="360" w:lineRule="auto"/>
        <w:ind w:firstLine="480"/>
        <w:rPr>
          <w:rFonts w:ascii="宋体" w:hAnsi="宋体" w:cs="仿宋_GB2312"/>
          <w:kern w:val="0"/>
          <w:sz w:val="24"/>
        </w:rPr>
      </w:pPr>
      <w:r>
        <w:rPr>
          <w:rFonts w:hint="eastAsia" w:ascii="宋体" w:hAnsi="宋体" w:cs="仿宋_GB2312"/>
          <w:kern w:val="0"/>
          <w:sz w:val="24"/>
        </w:rPr>
        <w:t>1.</w:t>
      </w:r>
      <w:r>
        <w:rPr>
          <w:rFonts w:ascii="宋体" w:hAnsi="宋体" w:cs="仿宋_GB2312"/>
          <w:kern w:val="0"/>
          <w:sz w:val="24"/>
        </w:rPr>
        <w:t>投标人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ascii="宋体" w:hAnsi="宋体" w:cs="仿宋_GB2312"/>
          <w:b/>
          <w:kern w:val="0"/>
          <w:sz w:val="24"/>
        </w:rPr>
      </w:pPr>
      <w:r>
        <w:rPr>
          <w:rFonts w:hint="eastAsia" w:ascii="宋体" w:hAnsi="宋体" w:cs="仿宋_GB2312"/>
          <w:b/>
          <w:kern w:val="0"/>
          <w:sz w:val="24"/>
        </w:rPr>
        <w:t>2.其他注意事项：</w:t>
      </w:r>
    </w:p>
    <w:p>
      <w:pPr>
        <w:spacing w:line="360" w:lineRule="auto"/>
        <w:ind w:firstLine="482" w:firstLineChars="200"/>
        <w:rPr>
          <w:rFonts w:ascii="宋体" w:hAnsi="宋体"/>
          <w:b/>
          <w:sz w:val="24"/>
        </w:rPr>
      </w:pPr>
      <w:r>
        <w:rPr>
          <w:rFonts w:hint="eastAsia" w:ascii="宋体" w:hAnsi="宋体"/>
          <w:b/>
          <w:sz w:val="24"/>
        </w:rPr>
        <w:t>(1)本项目采用电子招标，投标人自行决定是否安排人员赴现场参与开标。</w:t>
      </w:r>
    </w:p>
    <w:p>
      <w:pPr>
        <w:spacing w:line="360" w:lineRule="auto"/>
        <w:ind w:firstLine="472" w:firstLineChars="196"/>
        <w:rPr>
          <w:rFonts w:ascii="宋体" w:hAnsi="宋体"/>
          <w:b/>
          <w:sz w:val="24"/>
        </w:rPr>
      </w:pPr>
      <w:r>
        <w:rPr>
          <w:rFonts w:hint="eastAsia" w:ascii="宋体" w:hAnsi="宋体"/>
          <w:b/>
          <w:sz w:val="24"/>
        </w:rPr>
        <w:t>(2)政采云平台注册注意事项：</w:t>
      </w:r>
    </w:p>
    <w:p>
      <w:pPr>
        <w:spacing w:line="360" w:lineRule="auto"/>
        <w:ind w:firstLine="480" w:firstLineChars="200"/>
        <w:rPr>
          <w:rFonts w:ascii="宋体" w:hAnsi="宋体"/>
          <w:sz w:val="24"/>
        </w:rPr>
      </w:pPr>
      <w:r>
        <w:rPr>
          <w:rFonts w:hint="eastAsia" w:ascii="宋体" w:hAnsi="宋体"/>
          <w:sz w:val="24"/>
        </w:rPr>
        <w:t>1）供应商未在浙江政府采购网（http://zfcg.czt.zj.gov.cn/）注册成为正式供应商，需前往注册；</w:t>
      </w:r>
    </w:p>
    <w:p>
      <w:pPr>
        <w:spacing w:line="360" w:lineRule="auto"/>
        <w:ind w:firstLine="480" w:firstLineChars="200"/>
        <w:rPr>
          <w:rFonts w:ascii="宋体" w:hAnsi="宋体"/>
          <w:sz w:val="24"/>
        </w:rPr>
      </w:pPr>
      <w:r>
        <w:rPr>
          <w:rFonts w:hint="eastAsia" w:ascii="宋体" w:hAnsi="宋体"/>
          <w:sz w:val="24"/>
        </w:rPr>
        <w:t xml:space="preserve">2）本项目中标（成交）供应商未注册成为浙江政府采购网“正式供应商”的，将无法实现该项目合同备案及付款，由此造成的不利影响由供应商自行承担； </w:t>
      </w:r>
    </w:p>
    <w:p>
      <w:pPr>
        <w:snapToGrid w:val="0"/>
        <w:spacing w:line="360" w:lineRule="auto"/>
        <w:ind w:firstLine="480"/>
        <w:rPr>
          <w:rFonts w:ascii="宋体" w:hAnsi="宋体" w:cs="仿宋_GB2312"/>
          <w:sz w:val="24"/>
        </w:rPr>
      </w:pPr>
      <w:r>
        <w:rPr>
          <w:rFonts w:hint="eastAsia" w:ascii="宋体" w:hAnsi="宋体"/>
          <w:sz w:val="24"/>
        </w:rPr>
        <w:t>3）营业执照注册地为浙江省内的供应商请咨询注册地公共资源交易中心（或采购中心），营业执照注册地为浙江省外的供应商请咨询浙江省政府采购中心。</w:t>
      </w:r>
    </w:p>
    <w:p>
      <w:pPr>
        <w:spacing w:line="360" w:lineRule="auto"/>
        <w:ind w:firstLine="482"/>
        <w:jc w:val="left"/>
        <w:rPr>
          <w:rFonts w:ascii="宋体" w:hAnsi="宋体" w:cs="仿宋_GB2312"/>
          <w:b/>
          <w:sz w:val="24"/>
        </w:rPr>
      </w:pPr>
      <w:r>
        <w:rPr>
          <w:rFonts w:hint="eastAsia" w:ascii="宋体" w:hAnsi="宋体" w:cs="仿宋_GB2312"/>
          <w:b/>
          <w:sz w:val="24"/>
        </w:rPr>
        <w:t>七、</w:t>
      </w:r>
      <w:r>
        <w:rPr>
          <w:rFonts w:hint="eastAsia" w:ascii="宋体" w:hAnsi="宋体" w:cs="仿宋_GB2312"/>
          <w:b/>
          <w:bCs/>
          <w:sz w:val="24"/>
        </w:rPr>
        <w:t>凡对本次招标提出询问、质疑、投诉，请按以下方式联系</w:t>
      </w:r>
    </w:p>
    <w:p>
      <w:pPr>
        <w:pStyle w:val="27"/>
        <w:adjustRightInd w:val="0"/>
        <w:snapToGrid w:val="0"/>
        <w:spacing w:line="360" w:lineRule="auto"/>
        <w:ind w:firstLine="480" w:firstLineChars="200"/>
        <w:rPr>
          <w:rFonts w:hAnsi="宋体"/>
          <w:bCs/>
          <w:sz w:val="24"/>
        </w:rPr>
      </w:pPr>
      <w:r>
        <w:rPr>
          <w:rFonts w:hAnsi="宋体"/>
          <w:bCs/>
          <w:sz w:val="24"/>
        </w:rPr>
        <w:t>1. 采购人信息</w:t>
      </w:r>
    </w:p>
    <w:p>
      <w:pPr>
        <w:pStyle w:val="27"/>
        <w:adjustRightInd w:val="0"/>
        <w:snapToGrid w:val="0"/>
        <w:spacing w:line="360" w:lineRule="auto"/>
        <w:ind w:firstLine="840" w:firstLineChars="350"/>
        <w:rPr>
          <w:rFonts w:hAnsi="宋体"/>
          <w:bCs/>
          <w:sz w:val="24"/>
        </w:rPr>
      </w:pPr>
      <w:r>
        <w:rPr>
          <w:rFonts w:hint="eastAsia" w:hAnsi="宋体"/>
          <w:bCs/>
          <w:sz w:val="24"/>
        </w:rPr>
        <w:t>采购人名称：丽水市莲都区大数据发展中心</w:t>
      </w:r>
    </w:p>
    <w:p>
      <w:pPr>
        <w:spacing w:line="360" w:lineRule="auto"/>
        <w:ind w:firstLine="840" w:firstLineChars="350"/>
        <w:rPr>
          <w:rFonts w:ascii="宋体" w:hAnsi="宋体" w:cs="仿宋_GB2312"/>
          <w:sz w:val="24"/>
        </w:rPr>
      </w:pPr>
      <w:r>
        <w:rPr>
          <w:rFonts w:hint="eastAsia" w:ascii="宋体" w:hAnsi="宋体" w:cs="仿宋_GB2312"/>
          <w:sz w:val="24"/>
        </w:rPr>
        <w:t>项目联系人：章巧丽   联系电话：0578-2271756</w:t>
      </w:r>
    </w:p>
    <w:p>
      <w:pPr>
        <w:spacing w:line="360" w:lineRule="auto"/>
        <w:ind w:firstLine="840" w:firstLineChars="350"/>
        <w:rPr>
          <w:rFonts w:ascii="宋体" w:hAnsi="宋体"/>
          <w:sz w:val="24"/>
        </w:rPr>
      </w:pPr>
      <w:r>
        <w:rPr>
          <w:rFonts w:hint="eastAsia" w:ascii="宋体" w:hAnsi="宋体" w:cs="仿宋_GB2312"/>
          <w:sz w:val="24"/>
        </w:rPr>
        <w:t>质疑联系人：练开友   联系电话：0578-2811187</w:t>
      </w:r>
    </w:p>
    <w:p>
      <w:pPr>
        <w:pStyle w:val="27"/>
        <w:adjustRightInd w:val="0"/>
        <w:snapToGrid w:val="0"/>
        <w:spacing w:line="360" w:lineRule="auto"/>
        <w:ind w:firstLine="840" w:firstLineChars="350"/>
        <w:rPr>
          <w:rFonts w:hAnsi="宋体"/>
          <w:sz w:val="24"/>
          <w:szCs w:val="24"/>
        </w:rPr>
      </w:pPr>
      <w:r>
        <w:rPr>
          <w:rFonts w:hint="eastAsia" w:hAnsi="宋体" w:cs="仿宋_GB2312"/>
          <w:sz w:val="24"/>
        </w:rPr>
        <w:t>地址：丽水市莲都区丽阳街491号4号楼5楼。</w:t>
      </w:r>
    </w:p>
    <w:p>
      <w:pPr>
        <w:pStyle w:val="27"/>
        <w:adjustRightInd w:val="0"/>
        <w:snapToGrid w:val="0"/>
        <w:spacing w:line="360" w:lineRule="auto"/>
        <w:ind w:firstLine="480" w:firstLineChars="200"/>
        <w:rPr>
          <w:rFonts w:hAnsi="宋体"/>
          <w:bCs/>
          <w:sz w:val="24"/>
        </w:rPr>
      </w:pPr>
      <w:r>
        <w:rPr>
          <w:rFonts w:hAnsi="宋体"/>
          <w:bCs/>
          <w:sz w:val="24"/>
        </w:rPr>
        <w:t>2. 采购代理机构信息</w:t>
      </w:r>
    </w:p>
    <w:p>
      <w:pPr>
        <w:pStyle w:val="27"/>
        <w:adjustRightInd w:val="0"/>
        <w:snapToGrid w:val="0"/>
        <w:spacing w:line="360" w:lineRule="auto"/>
        <w:ind w:firstLine="840" w:firstLineChars="350"/>
        <w:rPr>
          <w:rFonts w:hAnsi="宋体"/>
          <w:bCs/>
          <w:sz w:val="24"/>
        </w:rPr>
      </w:pPr>
      <w:r>
        <w:rPr>
          <w:rFonts w:hint="eastAsia" w:hAnsi="宋体"/>
          <w:bCs/>
          <w:sz w:val="24"/>
        </w:rPr>
        <w:t>采购代理机构名称：浙江建航工程咨询有限公司</w:t>
      </w:r>
    </w:p>
    <w:p>
      <w:pPr>
        <w:pStyle w:val="27"/>
        <w:adjustRightInd w:val="0"/>
        <w:snapToGrid w:val="0"/>
        <w:spacing w:line="360" w:lineRule="auto"/>
        <w:ind w:firstLine="840" w:firstLineChars="350"/>
        <w:rPr>
          <w:rFonts w:hAnsi="宋体"/>
          <w:bCs/>
          <w:sz w:val="24"/>
        </w:rPr>
      </w:pPr>
      <w:r>
        <w:rPr>
          <w:rFonts w:hint="eastAsia" w:hAnsi="宋体"/>
          <w:bCs/>
          <w:sz w:val="24"/>
        </w:rPr>
        <w:t xml:space="preserve">项目负责人：金巧玲   联系电话：0578-2139203   </w:t>
      </w:r>
    </w:p>
    <w:p>
      <w:pPr>
        <w:pStyle w:val="27"/>
        <w:adjustRightInd w:val="0"/>
        <w:snapToGrid w:val="0"/>
        <w:spacing w:line="360" w:lineRule="auto"/>
        <w:ind w:firstLine="840" w:firstLineChars="350"/>
        <w:rPr>
          <w:rFonts w:hAnsi="宋体"/>
          <w:bCs/>
          <w:sz w:val="24"/>
        </w:rPr>
      </w:pPr>
      <w:r>
        <w:rPr>
          <w:rFonts w:hint="eastAsia" w:hAnsi="宋体"/>
          <w:bCs/>
          <w:sz w:val="24"/>
        </w:rPr>
        <w:t xml:space="preserve">质疑联系人：朱建丽   联系电话：0578-2139203   </w:t>
      </w:r>
    </w:p>
    <w:p>
      <w:pPr>
        <w:pStyle w:val="27"/>
        <w:adjustRightInd w:val="0"/>
        <w:snapToGrid w:val="0"/>
        <w:spacing w:line="360" w:lineRule="auto"/>
        <w:ind w:firstLine="840" w:firstLineChars="350"/>
        <w:rPr>
          <w:rFonts w:hAnsi="宋体"/>
          <w:bCs/>
          <w:sz w:val="24"/>
        </w:rPr>
      </w:pPr>
      <w:r>
        <w:rPr>
          <w:rFonts w:hint="eastAsia" w:hAnsi="宋体"/>
          <w:bCs/>
          <w:sz w:val="24"/>
        </w:rPr>
        <w:t>地址：丽水市万丰北路72号金贸国际大厦12楼1207室</w:t>
      </w:r>
    </w:p>
    <w:p>
      <w:pPr>
        <w:pStyle w:val="27"/>
        <w:adjustRightInd w:val="0"/>
        <w:snapToGrid w:val="0"/>
        <w:spacing w:line="360" w:lineRule="auto"/>
        <w:ind w:firstLine="480" w:firstLineChars="200"/>
        <w:rPr>
          <w:rFonts w:hAnsi="宋体"/>
          <w:bCs/>
          <w:sz w:val="24"/>
        </w:rPr>
      </w:pPr>
      <w:r>
        <w:rPr>
          <w:rFonts w:hAnsi="宋体"/>
          <w:bCs/>
          <w:sz w:val="24"/>
        </w:rPr>
        <w:t>3. 同级政府采购监督管理部门</w:t>
      </w:r>
    </w:p>
    <w:p>
      <w:pPr>
        <w:pStyle w:val="27"/>
        <w:adjustRightInd w:val="0"/>
        <w:snapToGrid w:val="0"/>
        <w:spacing w:line="360" w:lineRule="auto"/>
        <w:ind w:firstLine="840" w:firstLineChars="350"/>
        <w:rPr>
          <w:rFonts w:hAnsi="宋体"/>
          <w:bCs/>
          <w:sz w:val="24"/>
        </w:rPr>
      </w:pPr>
      <w:r>
        <w:rPr>
          <w:rFonts w:hint="eastAsia" w:hAnsi="宋体"/>
          <w:bCs/>
          <w:sz w:val="24"/>
        </w:rPr>
        <w:t>名称：</w:t>
      </w:r>
      <w:r>
        <w:rPr>
          <w:rFonts w:hint="eastAsia" w:hAnsi="宋体" w:cs="仿宋_GB2312"/>
          <w:sz w:val="24"/>
        </w:rPr>
        <w:t>丽水市莲都区财政局</w:t>
      </w:r>
    </w:p>
    <w:p>
      <w:pPr>
        <w:spacing w:line="360" w:lineRule="auto"/>
        <w:ind w:firstLine="840" w:firstLineChars="350"/>
        <w:rPr>
          <w:rFonts w:ascii="宋体" w:hAnsi="宋体" w:cs="仿宋_GB2312"/>
          <w:sz w:val="24"/>
        </w:rPr>
      </w:pPr>
      <w:r>
        <w:rPr>
          <w:rFonts w:hint="eastAsia" w:hAnsi="宋体"/>
          <w:bCs/>
          <w:sz w:val="24"/>
        </w:rPr>
        <w:t>联系人：</w:t>
      </w:r>
      <w:r>
        <w:rPr>
          <w:rFonts w:hint="eastAsia" w:ascii="宋体" w:hAnsi="宋体" w:cs="仿宋_GB2312"/>
          <w:sz w:val="24"/>
        </w:rPr>
        <w:t>张  鹏        监督投诉电话：0578-2131236</w:t>
      </w:r>
    </w:p>
    <w:p>
      <w:pPr>
        <w:pStyle w:val="27"/>
        <w:adjustRightInd w:val="0"/>
        <w:snapToGrid w:val="0"/>
        <w:spacing w:line="360" w:lineRule="auto"/>
        <w:ind w:firstLine="840" w:firstLineChars="350"/>
        <w:rPr>
          <w:rFonts w:hAnsi="宋体"/>
          <w:bCs/>
          <w:sz w:val="24"/>
        </w:rPr>
      </w:pPr>
      <w:r>
        <w:rPr>
          <w:rFonts w:hint="eastAsia" w:hAnsi="宋体" w:cs="仿宋_GB2312"/>
          <w:sz w:val="24"/>
        </w:rPr>
        <w:t>地 址：丽水市解放街71号。</w:t>
      </w:r>
    </w:p>
    <w:p>
      <w:pPr>
        <w:snapToGrid w:val="0"/>
        <w:spacing w:line="360" w:lineRule="auto"/>
        <w:ind w:firstLine="840" w:firstLineChars="350"/>
        <w:rPr>
          <w:rFonts w:ascii="宋体" w:hAnsi="宋体"/>
          <w:sz w:val="24"/>
        </w:rPr>
      </w:pPr>
      <w:r>
        <w:rPr>
          <w:rFonts w:hint="eastAsia" w:ascii="宋体" w:hAnsi="宋体"/>
          <w:sz w:val="24"/>
        </w:rPr>
        <w:t>若对项目采购电子交易系统操作有疑问，可登录政采云（https://www.zcygov.cn/），点击右侧咨询小采，获取采小蜜智能服务管家帮助，或拨打政采云服务热线95763获取热线服务帮助。</w:t>
      </w:r>
    </w:p>
    <w:p>
      <w:pPr>
        <w:pStyle w:val="19"/>
        <w:ind w:firstLine="560"/>
      </w:pPr>
    </w:p>
    <w:p>
      <w:pPr>
        <w:snapToGrid w:val="0"/>
        <w:spacing w:line="360" w:lineRule="auto"/>
        <w:ind w:firstLine="843" w:firstLineChars="350"/>
        <w:rPr>
          <w:rFonts w:ascii="宋体" w:hAnsi="宋体" w:cs="仿宋_GB2312"/>
          <w:b/>
          <w:sz w:val="24"/>
        </w:rPr>
      </w:pPr>
      <w:r>
        <w:rPr>
          <w:rFonts w:hint="eastAsia" w:ascii="宋体" w:hAnsi="宋体"/>
          <w:b/>
          <w:sz w:val="24"/>
        </w:rPr>
        <w:t>CA问题联系电话（人工）：汇信CA 400-888-4636；天谷CA 400-087-8198。</w:t>
      </w:r>
    </w:p>
    <w:bookmarkEnd w:id="7"/>
    <w:p>
      <w:pPr>
        <w:spacing w:line="276" w:lineRule="auto"/>
        <w:rPr>
          <w:rFonts w:ascii="宋体" w:hAnsi="宋体"/>
          <w:sz w:val="24"/>
        </w:rPr>
      </w:pPr>
    </w:p>
    <w:p>
      <w:pPr>
        <w:pStyle w:val="19"/>
        <w:ind w:firstLine="560"/>
      </w:pPr>
    </w:p>
    <w:p>
      <w:pPr>
        <w:spacing w:line="360" w:lineRule="auto"/>
        <w:jc w:val="right"/>
        <w:rPr>
          <w:rFonts w:ascii="宋体" w:hAnsi="宋体"/>
          <w:sz w:val="24"/>
        </w:rPr>
      </w:pPr>
    </w:p>
    <w:p>
      <w:pPr>
        <w:spacing w:line="360" w:lineRule="auto"/>
        <w:jc w:val="right"/>
        <w:rPr>
          <w:rFonts w:ascii="宋体" w:hAnsi="宋体"/>
          <w:sz w:val="24"/>
        </w:rPr>
      </w:pPr>
      <w:r>
        <w:rPr>
          <w:rFonts w:hint="eastAsia" w:ascii="宋体" w:hAnsi="宋体"/>
          <w:sz w:val="24"/>
        </w:rPr>
        <w:t>采购人：丽水市莲都区大数据发展中心</w:t>
      </w:r>
    </w:p>
    <w:p>
      <w:pPr>
        <w:spacing w:line="360" w:lineRule="auto"/>
        <w:jc w:val="right"/>
        <w:rPr>
          <w:rFonts w:ascii="宋体" w:hAnsi="宋体"/>
          <w:sz w:val="24"/>
        </w:rPr>
      </w:pPr>
      <w:r>
        <w:rPr>
          <w:rFonts w:hint="eastAsia" w:ascii="宋体" w:hAnsi="宋体"/>
          <w:sz w:val="24"/>
        </w:rPr>
        <w:t>采购代理机构：浙江建航工程咨询有限公司</w:t>
      </w:r>
    </w:p>
    <w:p>
      <w:pPr>
        <w:wordWrap w:val="0"/>
        <w:spacing w:line="360" w:lineRule="auto"/>
        <w:jc w:val="right"/>
        <w:rPr>
          <w:rFonts w:ascii="宋体" w:hAnsi="宋体"/>
          <w:sz w:val="24"/>
        </w:rPr>
      </w:pPr>
      <w:r>
        <w:rPr>
          <w:rFonts w:hint="eastAsia" w:ascii="宋体" w:hAnsi="宋体"/>
          <w:sz w:val="24"/>
        </w:rPr>
        <w:t xml:space="preserve">                                           日期：2024年</w:t>
      </w:r>
      <w:r>
        <w:rPr>
          <w:rFonts w:hint="eastAsia" w:ascii="宋体" w:hAnsi="宋体"/>
          <w:sz w:val="24"/>
          <w:lang w:val="en-US" w:eastAsia="zh-CN"/>
        </w:rPr>
        <w:t>5</w:t>
      </w:r>
      <w:r>
        <w:rPr>
          <w:rFonts w:ascii="宋体" w:hAnsi="宋体"/>
          <w:sz w:val="24"/>
        </w:rPr>
        <w:t>月</w:t>
      </w:r>
      <w:r>
        <w:rPr>
          <w:rFonts w:hint="eastAsia" w:ascii="宋体" w:hAnsi="宋体"/>
          <w:sz w:val="24"/>
          <w:lang w:val="en-US" w:eastAsia="zh-CN"/>
        </w:rPr>
        <w:t>14</w:t>
      </w:r>
      <w:r>
        <w:rPr>
          <w:rFonts w:hint="eastAsia" w:ascii="宋体" w:hAnsi="宋体"/>
          <w:sz w:val="24"/>
        </w:rPr>
        <w:t>日</w:t>
      </w:r>
    </w:p>
    <w:p>
      <w:pPr>
        <w:ind w:firstLine="480"/>
      </w:pPr>
      <w:r>
        <w:br w:type="page"/>
      </w:r>
    </w:p>
    <w:bookmarkEnd w:id="8"/>
    <w:p>
      <w:pPr>
        <w:pStyle w:val="2"/>
        <w:spacing w:line="560" w:lineRule="exact"/>
        <w:ind w:firstLine="643"/>
        <w:rPr>
          <w:rFonts w:ascii="宋体" w:hAnsi="宋体" w:eastAsia="宋体"/>
        </w:rPr>
      </w:pPr>
      <w:bookmarkStart w:id="17" w:name="_Toc41577864"/>
      <w:bookmarkStart w:id="18" w:name="_Toc5902"/>
      <w:r>
        <w:rPr>
          <w:rFonts w:hint="eastAsia" w:ascii="宋体" w:hAnsi="宋体" w:eastAsia="宋体"/>
          <w:sz w:val="32"/>
        </w:rPr>
        <w:t>第二章投标人须知</w:t>
      </w:r>
      <w:bookmarkEnd w:id="17"/>
      <w:bookmarkEnd w:id="18"/>
    </w:p>
    <w:p>
      <w:pPr>
        <w:pStyle w:val="4"/>
        <w:spacing w:before="240" w:after="240" w:line="240" w:lineRule="auto"/>
        <w:jc w:val="center"/>
        <w:rPr>
          <w:rFonts w:ascii="宋体" w:hAnsi="宋体" w:eastAsia="宋体"/>
        </w:rPr>
      </w:pPr>
      <w:bookmarkStart w:id="19" w:name="_Toc41577865"/>
      <w:bookmarkStart w:id="20" w:name="_Toc16570"/>
      <w:r>
        <w:rPr>
          <w:rFonts w:hint="eastAsia" w:ascii="宋体" w:hAnsi="宋体" w:eastAsia="宋体"/>
        </w:rPr>
        <w:t>前列表</w:t>
      </w:r>
      <w:bookmarkEnd w:id="19"/>
      <w:bookmarkEnd w:id="20"/>
    </w:p>
    <w:tbl>
      <w:tblPr>
        <w:tblStyle w:val="53"/>
        <w:tblW w:w="1014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711"/>
        <w:gridCol w:w="2686"/>
        <w:gridCol w:w="1262"/>
        <w:gridCol w:w="39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567" w:type="dxa"/>
            <w:tcBorders>
              <w:top w:val="double" w:color="auto" w:sz="4" w:space="0"/>
              <w:left w:val="double" w:color="auto" w:sz="4" w:space="0"/>
              <w:bottom w:val="single" w:color="auto" w:sz="4" w:space="0"/>
              <w:right w:val="single" w:color="auto" w:sz="4" w:space="0"/>
            </w:tcBorders>
            <w:vAlign w:val="center"/>
          </w:tcPr>
          <w:p>
            <w:pPr>
              <w:ind w:firstLine="482"/>
              <w:jc w:val="center"/>
              <w:rPr>
                <w:rFonts w:ascii="宋体" w:hAnsi="宋体"/>
                <w:b/>
                <w:bCs/>
                <w:snapToGrid w:val="0"/>
                <w:sz w:val="24"/>
              </w:rPr>
            </w:pPr>
            <w:r>
              <w:rPr>
                <w:rFonts w:hint="eastAsia" w:ascii="宋体" w:hAnsi="宋体"/>
                <w:b/>
                <w:bCs/>
                <w:snapToGrid w:val="0"/>
                <w:sz w:val="24"/>
              </w:rPr>
              <w:t>序号</w:t>
            </w:r>
          </w:p>
        </w:tc>
        <w:tc>
          <w:tcPr>
            <w:tcW w:w="1711" w:type="dxa"/>
            <w:tcBorders>
              <w:top w:val="double" w:color="auto" w:sz="4" w:space="0"/>
              <w:left w:val="single" w:color="auto" w:sz="4" w:space="0"/>
              <w:bottom w:val="single" w:color="auto" w:sz="4" w:space="0"/>
            </w:tcBorders>
            <w:vAlign w:val="center"/>
          </w:tcPr>
          <w:p>
            <w:pPr>
              <w:ind w:firstLine="482"/>
              <w:jc w:val="center"/>
              <w:rPr>
                <w:rFonts w:ascii="宋体" w:hAnsi="宋体"/>
                <w:b/>
                <w:bCs/>
                <w:sz w:val="24"/>
              </w:rPr>
            </w:pPr>
            <w:r>
              <w:rPr>
                <w:rFonts w:hint="eastAsia" w:ascii="宋体" w:hAnsi="宋体"/>
                <w:b/>
                <w:bCs/>
                <w:sz w:val="24"/>
              </w:rPr>
              <w:t>须知项目</w:t>
            </w:r>
          </w:p>
        </w:tc>
        <w:tc>
          <w:tcPr>
            <w:tcW w:w="7869" w:type="dxa"/>
            <w:gridSpan w:val="3"/>
            <w:tcBorders>
              <w:top w:val="double" w:color="auto" w:sz="4" w:space="0"/>
              <w:bottom w:val="single" w:color="auto" w:sz="4" w:space="0"/>
              <w:right w:val="double" w:color="auto" w:sz="4" w:space="0"/>
            </w:tcBorders>
            <w:vAlign w:val="center"/>
          </w:tcPr>
          <w:p>
            <w:pPr>
              <w:ind w:firstLine="482"/>
              <w:jc w:val="center"/>
              <w:rPr>
                <w:rFonts w:ascii="宋体" w:hAnsi="宋体"/>
                <w:b/>
                <w:bCs/>
                <w:sz w:val="24"/>
              </w:rPr>
            </w:pPr>
            <w:r>
              <w:rPr>
                <w:rFonts w:hint="eastAsia" w:ascii="宋体" w:hAnsi="宋体"/>
                <w:b/>
                <w:bCs/>
                <w:sz w:val="24"/>
              </w:rPr>
              <w:t>内容、要求和时间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567" w:type="dxa"/>
            <w:tcBorders>
              <w:top w:val="single" w:color="auto" w:sz="4" w:space="0"/>
              <w:left w:val="double" w:color="auto" w:sz="4" w:space="0"/>
              <w:right w:val="single" w:color="auto" w:sz="4" w:space="0"/>
            </w:tcBorders>
            <w:vAlign w:val="center"/>
          </w:tcPr>
          <w:p>
            <w:pPr>
              <w:jc w:val="center"/>
              <w:rPr>
                <w:rFonts w:ascii="宋体" w:hAnsi="宋体"/>
                <w:bCs/>
                <w:snapToGrid w:val="0"/>
                <w:sz w:val="24"/>
              </w:rPr>
            </w:pPr>
            <w:r>
              <w:rPr>
                <w:rFonts w:hint="eastAsia" w:ascii="宋体" w:hAnsi="宋体"/>
                <w:bCs/>
                <w:snapToGrid w:val="0"/>
                <w:sz w:val="24"/>
              </w:rPr>
              <w:t>1</w:t>
            </w:r>
          </w:p>
        </w:tc>
        <w:tc>
          <w:tcPr>
            <w:tcW w:w="1711" w:type="dxa"/>
            <w:tcBorders>
              <w:top w:val="single" w:color="auto" w:sz="4" w:space="0"/>
              <w:left w:val="single" w:color="auto" w:sz="4" w:space="0"/>
            </w:tcBorders>
            <w:vAlign w:val="center"/>
          </w:tcPr>
          <w:p>
            <w:pPr>
              <w:jc w:val="center"/>
              <w:rPr>
                <w:rFonts w:ascii="宋体" w:hAnsi="宋体"/>
                <w:bCs/>
                <w:snapToGrid w:val="0"/>
                <w:sz w:val="24"/>
              </w:rPr>
            </w:pPr>
            <w:r>
              <w:rPr>
                <w:rFonts w:hint="eastAsia" w:ascii="宋体" w:hAnsi="宋体"/>
                <w:bCs/>
                <w:snapToGrid w:val="0"/>
                <w:sz w:val="24"/>
              </w:rPr>
              <w:t>项目名称</w:t>
            </w:r>
          </w:p>
        </w:tc>
        <w:tc>
          <w:tcPr>
            <w:tcW w:w="7869" w:type="dxa"/>
            <w:gridSpan w:val="3"/>
            <w:tcBorders>
              <w:top w:val="single" w:color="auto" w:sz="4" w:space="0"/>
              <w:right w:val="double" w:color="auto" w:sz="4" w:space="0"/>
            </w:tcBorders>
            <w:vAlign w:val="center"/>
          </w:tcPr>
          <w:p>
            <w:pPr>
              <w:rPr>
                <w:rFonts w:ascii="宋体" w:hAnsi="宋体"/>
                <w:sz w:val="24"/>
                <w:szCs w:val="21"/>
              </w:rPr>
            </w:pPr>
            <w:r>
              <w:rPr>
                <w:rFonts w:hint="eastAsia" w:ascii="宋体" w:hAnsi="宋体"/>
                <w:sz w:val="24"/>
              </w:rPr>
              <w:t>碧湖新城智慧城市规划编制项目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567" w:type="dxa"/>
            <w:tcBorders>
              <w:left w:val="double" w:color="auto" w:sz="4" w:space="0"/>
              <w:right w:val="single" w:color="auto" w:sz="4" w:space="0"/>
            </w:tcBorders>
            <w:vAlign w:val="center"/>
          </w:tcPr>
          <w:p>
            <w:pPr>
              <w:jc w:val="center"/>
              <w:rPr>
                <w:rFonts w:ascii="宋体" w:hAnsi="宋体"/>
                <w:bCs/>
                <w:snapToGrid w:val="0"/>
                <w:sz w:val="24"/>
              </w:rPr>
            </w:pPr>
            <w:r>
              <w:rPr>
                <w:rFonts w:hint="eastAsia" w:ascii="宋体" w:hAnsi="宋体"/>
                <w:bCs/>
                <w:snapToGrid w:val="0"/>
                <w:sz w:val="24"/>
              </w:rPr>
              <w:t>2</w:t>
            </w:r>
          </w:p>
        </w:tc>
        <w:tc>
          <w:tcPr>
            <w:tcW w:w="1711" w:type="dxa"/>
            <w:tcBorders>
              <w:left w:val="single" w:color="auto" w:sz="4" w:space="0"/>
            </w:tcBorders>
            <w:vAlign w:val="center"/>
          </w:tcPr>
          <w:p>
            <w:pPr>
              <w:jc w:val="center"/>
              <w:rPr>
                <w:rFonts w:ascii="宋体" w:hAnsi="宋体"/>
                <w:bCs/>
                <w:snapToGrid w:val="0"/>
                <w:sz w:val="24"/>
              </w:rPr>
            </w:pPr>
            <w:r>
              <w:rPr>
                <w:rFonts w:hint="eastAsia" w:ascii="宋体" w:hAnsi="宋体"/>
                <w:bCs/>
                <w:snapToGrid w:val="0"/>
                <w:sz w:val="24"/>
              </w:rPr>
              <w:t>采购人</w:t>
            </w:r>
          </w:p>
        </w:tc>
        <w:tc>
          <w:tcPr>
            <w:tcW w:w="7869" w:type="dxa"/>
            <w:gridSpan w:val="3"/>
            <w:tcBorders>
              <w:right w:val="double" w:color="auto" w:sz="4" w:space="0"/>
            </w:tcBorders>
            <w:vAlign w:val="center"/>
          </w:tcPr>
          <w:p>
            <w:pPr>
              <w:rPr>
                <w:rFonts w:ascii="宋体" w:hAnsi="宋体"/>
                <w:bCs/>
                <w:sz w:val="24"/>
              </w:rPr>
            </w:pPr>
            <w:r>
              <w:rPr>
                <w:rFonts w:hint="eastAsia" w:ascii="宋体" w:hAnsi="宋体"/>
                <w:sz w:val="24"/>
              </w:rPr>
              <w:t>丽水市莲都区大数据发展中心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567" w:type="dxa"/>
            <w:tcBorders>
              <w:left w:val="double" w:color="auto" w:sz="4" w:space="0"/>
              <w:right w:val="single" w:color="auto" w:sz="4" w:space="0"/>
            </w:tcBorders>
            <w:vAlign w:val="center"/>
          </w:tcPr>
          <w:p>
            <w:pPr>
              <w:jc w:val="center"/>
              <w:rPr>
                <w:rFonts w:ascii="宋体" w:hAnsi="宋体"/>
                <w:bCs/>
                <w:snapToGrid w:val="0"/>
                <w:sz w:val="24"/>
              </w:rPr>
            </w:pPr>
            <w:r>
              <w:rPr>
                <w:rFonts w:hint="eastAsia" w:ascii="宋体" w:hAnsi="宋体"/>
                <w:bCs/>
                <w:snapToGrid w:val="0"/>
                <w:sz w:val="24"/>
              </w:rPr>
              <w:t>3</w:t>
            </w:r>
          </w:p>
        </w:tc>
        <w:tc>
          <w:tcPr>
            <w:tcW w:w="1711" w:type="dxa"/>
            <w:tcBorders>
              <w:left w:val="single" w:color="auto" w:sz="4" w:space="0"/>
            </w:tcBorders>
            <w:vAlign w:val="center"/>
          </w:tcPr>
          <w:p>
            <w:pPr>
              <w:jc w:val="center"/>
              <w:rPr>
                <w:rFonts w:ascii="宋体" w:hAnsi="宋体"/>
                <w:bCs/>
                <w:snapToGrid w:val="0"/>
                <w:sz w:val="24"/>
              </w:rPr>
            </w:pPr>
            <w:r>
              <w:rPr>
                <w:rFonts w:hint="eastAsia" w:ascii="宋体" w:hAnsi="宋体"/>
                <w:bCs/>
                <w:snapToGrid w:val="0"/>
                <w:sz w:val="24"/>
              </w:rPr>
              <w:t>采购代理机构</w:t>
            </w:r>
          </w:p>
        </w:tc>
        <w:tc>
          <w:tcPr>
            <w:tcW w:w="7869" w:type="dxa"/>
            <w:gridSpan w:val="3"/>
            <w:tcBorders>
              <w:right w:val="double" w:color="auto" w:sz="4" w:space="0"/>
            </w:tcBorders>
            <w:vAlign w:val="center"/>
          </w:tcPr>
          <w:p>
            <w:pPr>
              <w:rPr>
                <w:rFonts w:ascii="宋体" w:hAnsi="宋体"/>
                <w:bCs/>
                <w:sz w:val="24"/>
              </w:rPr>
            </w:pPr>
            <w:r>
              <w:rPr>
                <w:rFonts w:hint="eastAsia" w:ascii="宋体" w:hAnsi="宋体"/>
                <w:bCs/>
                <w:sz w:val="24"/>
              </w:rPr>
              <w:t>浙江建航工程咨询有限公司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567" w:type="dxa"/>
            <w:tcBorders>
              <w:left w:val="double" w:color="auto" w:sz="4" w:space="0"/>
              <w:right w:val="single" w:color="auto" w:sz="4" w:space="0"/>
            </w:tcBorders>
            <w:vAlign w:val="center"/>
          </w:tcPr>
          <w:p>
            <w:pPr>
              <w:jc w:val="center"/>
              <w:rPr>
                <w:rFonts w:ascii="宋体" w:hAnsi="宋体"/>
                <w:bCs/>
                <w:snapToGrid w:val="0"/>
                <w:sz w:val="24"/>
              </w:rPr>
            </w:pPr>
            <w:r>
              <w:rPr>
                <w:rFonts w:hint="eastAsia" w:ascii="宋体" w:hAnsi="宋体"/>
                <w:bCs/>
                <w:snapToGrid w:val="0"/>
                <w:sz w:val="24"/>
              </w:rPr>
              <w:t>4</w:t>
            </w:r>
          </w:p>
        </w:tc>
        <w:tc>
          <w:tcPr>
            <w:tcW w:w="1711" w:type="dxa"/>
            <w:tcBorders>
              <w:left w:val="single" w:color="auto" w:sz="4" w:space="0"/>
            </w:tcBorders>
            <w:vAlign w:val="center"/>
          </w:tcPr>
          <w:p>
            <w:pPr>
              <w:jc w:val="center"/>
              <w:rPr>
                <w:rFonts w:ascii="宋体" w:hAnsi="宋体"/>
                <w:bCs/>
                <w:snapToGrid w:val="0"/>
                <w:sz w:val="24"/>
              </w:rPr>
            </w:pPr>
            <w:r>
              <w:rPr>
                <w:rFonts w:hint="eastAsia" w:ascii="宋体" w:hAnsi="宋体"/>
                <w:bCs/>
                <w:snapToGrid w:val="0"/>
                <w:sz w:val="24"/>
              </w:rPr>
              <w:t>采购方式</w:t>
            </w:r>
          </w:p>
        </w:tc>
        <w:tc>
          <w:tcPr>
            <w:tcW w:w="2686" w:type="dxa"/>
            <w:vAlign w:val="center"/>
          </w:tcPr>
          <w:p>
            <w:pPr>
              <w:rPr>
                <w:rFonts w:ascii="宋体" w:hAnsi="宋体"/>
                <w:bCs/>
                <w:sz w:val="24"/>
              </w:rPr>
            </w:pPr>
            <w:r>
              <w:rPr>
                <w:rFonts w:hint="eastAsia" w:ascii="宋体" w:hAnsi="宋体"/>
                <w:bCs/>
                <w:sz w:val="24"/>
              </w:rPr>
              <w:t>公开招标</w:t>
            </w:r>
          </w:p>
        </w:tc>
        <w:tc>
          <w:tcPr>
            <w:tcW w:w="1262" w:type="dxa"/>
            <w:vAlign w:val="center"/>
          </w:tcPr>
          <w:p>
            <w:pPr>
              <w:rPr>
                <w:rFonts w:ascii="宋体" w:hAnsi="宋体"/>
                <w:bCs/>
                <w:sz w:val="24"/>
              </w:rPr>
            </w:pPr>
            <w:r>
              <w:rPr>
                <w:rFonts w:hint="eastAsia" w:ascii="宋体" w:hAnsi="宋体"/>
                <w:bCs/>
                <w:sz w:val="24"/>
              </w:rPr>
              <w:t>组织方式</w:t>
            </w:r>
          </w:p>
        </w:tc>
        <w:tc>
          <w:tcPr>
            <w:tcW w:w="3921" w:type="dxa"/>
            <w:tcBorders>
              <w:right w:val="double" w:color="auto" w:sz="4" w:space="0"/>
            </w:tcBorders>
            <w:vAlign w:val="center"/>
          </w:tcPr>
          <w:p>
            <w:pPr>
              <w:rPr>
                <w:rFonts w:ascii="宋体" w:hAnsi="宋体"/>
                <w:bCs/>
                <w:sz w:val="24"/>
              </w:rPr>
            </w:pPr>
            <w:r>
              <w:rPr>
                <w:rFonts w:hint="eastAsia" w:ascii="宋体" w:hAnsi="宋体"/>
                <w:bCs/>
                <w:sz w:val="24"/>
              </w:rPr>
              <w:t>分散采购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22" w:hRule="exact"/>
          <w:jc w:val="center"/>
        </w:trPr>
        <w:tc>
          <w:tcPr>
            <w:tcW w:w="567" w:type="dxa"/>
            <w:tcBorders>
              <w:left w:val="double" w:color="auto" w:sz="4" w:space="0"/>
              <w:right w:val="single" w:color="auto" w:sz="4" w:space="0"/>
            </w:tcBorders>
            <w:vAlign w:val="center"/>
          </w:tcPr>
          <w:p>
            <w:pPr>
              <w:spacing w:line="360" w:lineRule="auto"/>
              <w:jc w:val="center"/>
              <w:rPr>
                <w:rFonts w:ascii="宋体" w:hAnsi="宋体"/>
                <w:bCs/>
                <w:snapToGrid w:val="0"/>
                <w:sz w:val="24"/>
              </w:rPr>
            </w:pPr>
            <w:r>
              <w:rPr>
                <w:rFonts w:hint="eastAsia" w:ascii="宋体" w:hAnsi="宋体"/>
                <w:bCs/>
                <w:snapToGrid w:val="0"/>
                <w:sz w:val="24"/>
              </w:rPr>
              <w:t>5</w:t>
            </w:r>
          </w:p>
        </w:tc>
        <w:tc>
          <w:tcPr>
            <w:tcW w:w="1711" w:type="dxa"/>
            <w:tcBorders>
              <w:left w:val="single" w:color="auto" w:sz="4" w:space="0"/>
            </w:tcBorders>
            <w:vAlign w:val="center"/>
          </w:tcPr>
          <w:p>
            <w:pPr>
              <w:spacing w:line="360" w:lineRule="auto"/>
              <w:jc w:val="center"/>
              <w:rPr>
                <w:rFonts w:ascii="宋体" w:hAnsi="宋体"/>
                <w:bCs/>
                <w:snapToGrid w:val="0"/>
                <w:sz w:val="24"/>
              </w:rPr>
            </w:pPr>
            <w:r>
              <w:rPr>
                <w:rFonts w:hint="eastAsia" w:ascii="宋体" w:hAnsi="宋体"/>
                <w:bCs/>
                <w:snapToGrid w:val="0"/>
                <w:sz w:val="24"/>
              </w:rPr>
              <w:t>资格审查方式</w:t>
            </w:r>
          </w:p>
        </w:tc>
        <w:tc>
          <w:tcPr>
            <w:tcW w:w="7869" w:type="dxa"/>
            <w:gridSpan w:val="3"/>
            <w:tcBorders>
              <w:right w:val="double" w:color="auto" w:sz="4" w:space="0"/>
            </w:tcBorders>
            <w:vAlign w:val="center"/>
          </w:tcPr>
          <w:p>
            <w:pPr>
              <w:spacing w:line="360" w:lineRule="auto"/>
              <w:rPr>
                <w:rFonts w:ascii="宋体" w:hAnsi="宋体"/>
                <w:bCs/>
                <w:snapToGrid w:val="0"/>
                <w:sz w:val="24"/>
              </w:rPr>
            </w:pPr>
            <w:r>
              <w:rPr>
                <w:rFonts w:hint="eastAsia" w:ascii="宋体" w:hAnsi="宋体"/>
                <w:bCs/>
                <w:snapToGrid w:val="0"/>
                <w:sz w:val="24"/>
              </w:rPr>
              <w:t>采用资格后审，</w:t>
            </w:r>
            <w:r>
              <w:rPr>
                <w:rFonts w:hint="eastAsia" w:ascii="宋体" w:hAnsi="宋体"/>
                <w:sz w:val="24"/>
              </w:rPr>
              <w:t>投标人获取招标文件或提交投标文件不表明已获取投标资格，开标会上通过资格审查的投标人才具有投标资格。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67" w:type="dxa"/>
            <w:tcBorders>
              <w:left w:val="double" w:color="auto" w:sz="4" w:space="0"/>
              <w:right w:val="single" w:color="auto" w:sz="4" w:space="0"/>
            </w:tcBorders>
            <w:vAlign w:val="center"/>
          </w:tcPr>
          <w:p>
            <w:pPr>
              <w:spacing w:line="360" w:lineRule="auto"/>
              <w:jc w:val="center"/>
              <w:rPr>
                <w:rFonts w:ascii="宋体" w:hAnsi="宋体"/>
                <w:bCs/>
                <w:snapToGrid w:val="0"/>
                <w:sz w:val="24"/>
              </w:rPr>
            </w:pPr>
            <w:r>
              <w:rPr>
                <w:rFonts w:hint="eastAsia" w:ascii="宋体" w:hAnsi="宋体"/>
                <w:bCs/>
                <w:snapToGrid w:val="0"/>
                <w:sz w:val="24"/>
              </w:rPr>
              <w:t>6</w:t>
            </w:r>
          </w:p>
        </w:tc>
        <w:tc>
          <w:tcPr>
            <w:tcW w:w="1711" w:type="dxa"/>
            <w:tcBorders>
              <w:left w:val="single" w:color="auto" w:sz="4" w:space="0"/>
            </w:tcBorders>
            <w:vAlign w:val="center"/>
          </w:tcPr>
          <w:p>
            <w:pPr>
              <w:spacing w:line="360" w:lineRule="auto"/>
              <w:jc w:val="center"/>
              <w:rPr>
                <w:rFonts w:ascii="宋体" w:hAnsi="宋体"/>
                <w:bCs/>
                <w:snapToGrid w:val="0"/>
                <w:sz w:val="24"/>
              </w:rPr>
            </w:pPr>
            <w:r>
              <w:rPr>
                <w:rFonts w:hint="eastAsia" w:ascii="宋体" w:hAnsi="宋体"/>
                <w:bCs/>
                <w:snapToGrid w:val="0"/>
                <w:sz w:val="24"/>
              </w:rPr>
              <w:t>投标有效期</w:t>
            </w:r>
          </w:p>
        </w:tc>
        <w:tc>
          <w:tcPr>
            <w:tcW w:w="7869" w:type="dxa"/>
            <w:gridSpan w:val="3"/>
            <w:tcBorders>
              <w:right w:val="double" w:color="auto" w:sz="4" w:space="0"/>
            </w:tcBorders>
            <w:vAlign w:val="center"/>
          </w:tcPr>
          <w:p>
            <w:pPr>
              <w:spacing w:line="360" w:lineRule="auto"/>
              <w:rPr>
                <w:rFonts w:ascii="宋体" w:hAnsi="宋体"/>
                <w:bCs/>
                <w:snapToGrid w:val="0"/>
                <w:sz w:val="24"/>
              </w:rPr>
            </w:pPr>
            <w:r>
              <w:rPr>
                <w:rFonts w:hint="eastAsia" w:ascii="宋体" w:hAnsi="宋体"/>
                <w:bCs/>
                <w:snapToGrid w:val="0"/>
                <w:sz w:val="24"/>
              </w:rPr>
              <w:t>提交投标文件的截止之日起90天内有效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67" w:hRule="exact"/>
          <w:jc w:val="center"/>
        </w:trPr>
        <w:tc>
          <w:tcPr>
            <w:tcW w:w="567" w:type="dxa"/>
            <w:tcBorders>
              <w:left w:val="double" w:color="auto" w:sz="4" w:space="0"/>
              <w:right w:val="single" w:color="auto" w:sz="4" w:space="0"/>
            </w:tcBorders>
            <w:vAlign w:val="center"/>
          </w:tcPr>
          <w:p>
            <w:pPr>
              <w:spacing w:line="360" w:lineRule="auto"/>
              <w:jc w:val="center"/>
              <w:rPr>
                <w:rFonts w:ascii="宋体" w:hAnsi="宋体"/>
                <w:bCs/>
                <w:snapToGrid w:val="0"/>
                <w:sz w:val="24"/>
              </w:rPr>
            </w:pPr>
            <w:r>
              <w:rPr>
                <w:rFonts w:hint="eastAsia" w:ascii="宋体" w:hAnsi="宋体"/>
                <w:bCs/>
                <w:snapToGrid w:val="0"/>
                <w:sz w:val="24"/>
              </w:rPr>
              <w:t>7</w:t>
            </w:r>
          </w:p>
        </w:tc>
        <w:tc>
          <w:tcPr>
            <w:tcW w:w="1711" w:type="dxa"/>
            <w:tcBorders>
              <w:left w:val="single" w:color="auto" w:sz="4" w:space="0"/>
            </w:tcBorders>
            <w:vAlign w:val="center"/>
          </w:tcPr>
          <w:p>
            <w:pPr>
              <w:spacing w:line="360" w:lineRule="auto"/>
              <w:jc w:val="center"/>
              <w:rPr>
                <w:rFonts w:ascii="宋体" w:hAnsi="宋体"/>
                <w:bCs/>
                <w:sz w:val="24"/>
              </w:rPr>
            </w:pPr>
            <w:r>
              <w:rPr>
                <w:rFonts w:hint="eastAsia" w:ascii="宋体" w:hAnsi="宋体"/>
                <w:bCs/>
                <w:sz w:val="24"/>
              </w:rPr>
              <w:t>招标文件质疑</w:t>
            </w:r>
          </w:p>
        </w:tc>
        <w:tc>
          <w:tcPr>
            <w:tcW w:w="7869" w:type="dxa"/>
            <w:gridSpan w:val="3"/>
            <w:tcBorders>
              <w:right w:val="double" w:color="auto" w:sz="4" w:space="0"/>
            </w:tcBorders>
            <w:vAlign w:val="center"/>
          </w:tcPr>
          <w:p>
            <w:pPr>
              <w:spacing w:line="360" w:lineRule="auto"/>
              <w:rPr>
                <w:rFonts w:ascii="宋体" w:hAnsi="宋体"/>
                <w:sz w:val="24"/>
              </w:rPr>
            </w:pPr>
            <w:r>
              <w:rPr>
                <w:rFonts w:hint="eastAsia" w:ascii="宋体" w:hAnsi="宋体"/>
                <w:sz w:val="24"/>
              </w:rPr>
              <w:t>1.只有通过电子交易平台</w:t>
            </w:r>
            <w:r>
              <w:rPr>
                <w:rFonts w:hint="eastAsia" w:ascii="宋体" w:hAnsi="宋体"/>
                <w:b/>
                <w:sz w:val="24"/>
              </w:rPr>
              <w:t>“潜在供应商”</w:t>
            </w:r>
            <w:r>
              <w:rPr>
                <w:rFonts w:hint="eastAsia" w:ascii="宋体" w:hAnsi="宋体"/>
                <w:sz w:val="24"/>
              </w:rPr>
              <w:t>栏获取招标文件的投标人才能对招标文件提出质疑，否则不予受理；</w:t>
            </w:r>
          </w:p>
          <w:p>
            <w:pPr>
              <w:spacing w:line="360" w:lineRule="auto"/>
              <w:rPr>
                <w:rFonts w:ascii="宋体" w:hAnsi="宋体"/>
                <w:bCs/>
                <w:sz w:val="24"/>
              </w:rPr>
            </w:pPr>
            <w:r>
              <w:rPr>
                <w:rFonts w:hint="eastAsia" w:ascii="宋体" w:hAnsi="宋体"/>
                <w:sz w:val="24"/>
              </w:rPr>
              <w:t>2.质疑期限为自招标公告期限届满之日（招标公告届满日为公告发布后的第6个工作日）起7个工作日内，以书面形式向采购人和采购代理机构一次性提出质疑。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6" w:hRule="exact"/>
          <w:jc w:val="center"/>
        </w:trPr>
        <w:tc>
          <w:tcPr>
            <w:tcW w:w="567" w:type="dxa"/>
            <w:tcBorders>
              <w:left w:val="double" w:color="auto" w:sz="4" w:space="0"/>
              <w:right w:val="single" w:color="auto" w:sz="4" w:space="0"/>
            </w:tcBorders>
            <w:vAlign w:val="center"/>
          </w:tcPr>
          <w:p>
            <w:pPr>
              <w:spacing w:line="360" w:lineRule="auto"/>
              <w:jc w:val="center"/>
              <w:rPr>
                <w:rFonts w:ascii="宋体" w:hAnsi="宋体"/>
                <w:bCs/>
                <w:snapToGrid w:val="0"/>
                <w:sz w:val="24"/>
              </w:rPr>
            </w:pPr>
            <w:r>
              <w:rPr>
                <w:rFonts w:hint="eastAsia" w:ascii="宋体" w:hAnsi="宋体"/>
                <w:bCs/>
                <w:snapToGrid w:val="0"/>
                <w:sz w:val="24"/>
              </w:rPr>
              <w:t>8</w:t>
            </w:r>
          </w:p>
        </w:tc>
        <w:tc>
          <w:tcPr>
            <w:tcW w:w="1711" w:type="dxa"/>
            <w:tcBorders>
              <w:left w:val="single" w:color="auto" w:sz="4" w:space="0"/>
            </w:tcBorders>
            <w:vAlign w:val="center"/>
          </w:tcPr>
          <w:p>
            <w:pPr>
              <w:jc w:val="center"/>
              <w:rPr>
                <w:rFonts w:ascii="宋体" w:hAnsi="宋体"/>
                <w:bCs/>
                <w:snapToGrid w:val="0"/>
                <w:sz w:val="24"/>
              </w:rPr>
            </w:pPr>
            <w:r>
              <w:rPr>
                <w:rFonts w:hint="eastAsia" w:ascii="宋体" w:hAnsi="宋体"/>
                <w:sz w:val="24"/>
              </w:rPr>
              <w:t>招标文件澄清或修改时间</w:t>
            </w:r>
          </w:p>
        </w:tc>
        <w:tc>
          <w:tcPr>
            <w:tcW w:w="7869" w:type="dxa"/>
            <w:gridSpan w:val="3"/>
            <w:tcBorders>
              <w:right w:val="double" w:color="auto" w:sz="4" w:space="0"/>
            </w:tcBorders>
            <w:vAlign w:val="center"/>
          </w:tcPr>
          <w:p>
            <w:pPr>
              <w:spacing w:line="360" w:lineRule="auto"/>
              <w:rPr>
                <w:rFonts w:ascii="宋体" w:hAnsi="宋体"/>
                <w:bCs/>
                <w:snapToGrid w:val="0"/>
                <w:sz w:val="24"/>
              </w:rPr>
            </w:pPr>
            <w:r>
              <w:rPr>
                <w:rFonts w:hint="eastAsia" w:ascii="宋体" w:hAnsi="宋体"/>
                <w:sz w:val="24"/>
              </w:rPr>
              <w:t>投标截止时间15天前，发布网址同招标公告发布网址。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11" w:hRule="atLeast"/>
          <w:jc w:val="center"/>
        </w:trPr>
        <w:tc>
          <w:tcPr>
            <w:tcW w:w="567" w:type="dxa"/>
            <w:tcBorders>
              <w:left w:val="double" w:color="auto" w:sz="4" w:space="0"/>
              <w:right w:val="single" w:color="auto" w:sz="4" w:space="0"/>
            </w:tcBorders>
            <w:vAlign w:val="center"/>
          </w:tcPr>
          <w:p>
            <w:pPr>
              <w:spacing w:line="360" w:lineRule="auto"/>
              <w:jc w:val="center"/>
              <w:rPr>
                <w:rFonts w:ascii="宋体" w:hAnsi="宋体"/>
                <w:bCs/>
                <w:snapToGrid w:val="0"/>
                <w:sz w:val="24"/>
              </w:rPr>
            </w:pPr>
            <w:r>
              <w:rPr>
                <w:rFonts w:hint="eastAsia" w:ascii="宋体" w:hAnsi="宋体"/>
                <w:bCs/>
                <w:snapToGrid w:val="0"/>
                <w:sz w:val="24"/>
              </w:rPr>
              <w:t>9</w:t>
            </w:r>
          </w:p>
        </w:tc>
        <w:tc>
          <w:tcPr>
            <w:tcW w:w="1711" w:type="dxa"/>
            <w:tcBorders>
              <w:left w:val="single" w:color="auto" w:sz="4" w:space="0"/>
            </w:tcBorders>
            <w:vAlign w:val="center"/>
          </w:tcPr>
          <w:p>
            <w:pPr>
              <w:spacing w:line="360" w:lineRule="auto"/>
              <w:jc w:val="center"/>
              <w:rPr>
                <w:rFonts w:ascii="宋体" w:hAnsi="宋体"/>
                <w:b/>
                <w:bCs/>
                <w:snapToGrid w:val="0"/>
                <w:szCs w:val="21"/>
              </w:rPr>
            </w:pPr>
            <w:r>
              <w:rPr>
                <w:rFonts w:hint="eastAsia" w:ascii="宋体" w:hAnsi="宋体"/>
                <w:bCs/>
                <w:snapToGrid w:val="0"/>
                <w:sz w:val="24"/>
              </w:rPr>
              <w:t>投标文件提交</w:t>
            </w:r>
          </w:p>
        </w:tc>
        <w:tc>
          <w:tcPr>
            <w:tcW w:w="7869" w:type="dxa"/>
            <w:gridSpan w:val="3"/>
            <w:tcBorders>
              <w:right w:val="double" w:color="auto" w:sz="4" w:space="0"/>
            </w:tcBorders>
            <w:vAlign w:val="center"/>
          </w:tcPr>
          <w:p>
            <w:pPr>
              <w:pStyle w:val="548"/>
              <w:spacing w:line="300" w:lineRule="auto"/>
              <w:rPr>
                <w:rFonts w:hAnsi="宋体"/>
                <w:szCs w:val="24"/>
              </w:rPr>
            </w:pPr>
            <w:r>
              <w:rPr>
                <w:rFonts w:hint="eastAsia" w:hAnsi="宋体"/>
                <w:szCs w:val="24"/>
              </w:rPr>
              <w:t>接收人：浙江建航工程咨询有限公司</w:t>
            </w:r>
          </w:p>
          <w:p>
            <w:pPr>
              <w:spacing w:line="300" w:lineRule="auto"/>
              <w:ind w:left="118" w:hanging="117" w:hangingChars="49"/>
              <w:rPr>
                <w:rFonts w:ascii="宋体" w:hAnsi="宋体"/>
                <w:sz w:val="24"/>
              </w:rPr>
            </w:pPr>
            <w:r>
              <w:rPr>
                <w:rFonts w:hint="eastAsia" w:ascii="宋体" w:hAnsi="宋体" w:cs="仿宋_GB2312"/>
                <w:sz w:val="24"/>
              </w:rPr>
              <w:t>提交投标文件截止时间（即投标截止时间）</w:t>
            </w:r>
            <w:r>
              <w:rPr>
                <w:rFonts w:hint="eastAsia" w:ascii="宋体" w:hAnsi="宋体"/>
                <w:sz w:val="24"/>
              </w:rPr>
              <w:t>：</w:t>
            </w:r>
            <w:r>
              <w:rPr>
                <w:rFonts w:ascii="宋体" w:hAnsi="宋体"/>
                <w:b/>
                <w:sz w:val="24"/>
                <w:u w:val="single"/>
              </w:rPr>
              <w:t>202</w:t>
            </w:r>
            <w:r>
              <w:rPr>
                <w:rFonts w:hint="eastAsia" w:ascii="宋体" w:hAnsi="宋体"/>
                <w:b/>
                <w:sz w:val="24"/>
                <w:u w:val="single"/>
              </w:rPr>
              <w:t>4年</w:t>
            </w:r>
            <w:r>
              <w:rPr>
                <w:rFonts w:hint="eastAsia" w:ascii="宋体" w:hAnsi="宋体"/>
                <w:b/>
                <w:sz w:val="24"/>
                <w:u w:val="single"/>
                <w:lang w:val="en-US" w:eastAsia="zh-CN"/>
              </w:rPr>
              <w:t>6</w:t>
            </w:r>
            <w:r>
              <w:rPr>
                <w:rFonts w:hint="eastAsia" w:ascii="宋体" w:hAnsi="宋体"/>
                <w:b/>
                <w:sz w:val="24"/>
                <w:u w:val="single"/>
              </w:rPr>
              <w:t>月</w:t>
            </w:r>
            <w:r>
              <w:rPr>
                <w:rFonts w:hint="eastAsia" w:ascii="宋体" w:hAnsi="宋体"/>
                <w:b/>
                <w:sz w:val="24"/>
                <w:u w:val="single"/>
                <w:lang w:val="en-US" w:eastAsia="zh-CN"/>
              </w:rPr>
              <w:t>4</w:t>
            </w:r>
            <w:r>
              <w:rPr>
                <w:rFonts w:hint="eastAsia" w:ascii="宋体" w:hAnsi="宋体"/>
                <w:b/>
                <w:sz w:val="24"/>
                <w:u w:val="single"/>
              </w:rPr>
              <w:t>日9时00分</w:t>
            </w:r>
          </w:p>
          <w:p>
            <w:pPr>
              <w:tabs>
                <w:tab w:val="left" w:pos="0"/>
                <w:tab w:val="left" w:pos="1134"/>
              </w:tabs>
              <w:adjustRightInd w:val="0"/>
              <w:snapToGrid w:val="0"/>
              <w:spacing w:line="300" w:lineRule="auto"/>
              <w:rPr>
                <w:rFonts w:ascii="宋体" w:hAnsi="宋体"/>
                <w:bCs/>
                <w:sz w:val="24"/>
              </w:rPr>
            </w:pPr>
            <w:r>
              <w:rPr>
                <w:rFonts w:hint="eastAsia" w:ascii="宋体" w:hAnsi="宋体"/>
                <w:bCs/>
                <w:sz w:val="24"/>
              </w:rPr>
              <w:t>提交投标文件地点：</w:t>
            </w:r>
          </w:p>
          <w:p>
            <w:pPr>
              <w:adjustRightInd w:val="0"/>
              <w:snapToGrid w:val="0"/>
              <w:spacing w:line="300" w:lineRule="auto"/>
              <w:ind w:firstLine="480" w:firstLineChars="200"/>
              <w:rPr>
                <w:rFonts w:hAnsi="宋体"/>
                <w:sz w:val="24"/>
              </w:rPr>
            </w:pPr>
            <w:r>
              <w:rPr>
                <w:rFonts w:hint="eastAsia" w:hAnsi="宋体"/>
                <w:sz w:val="24"/>
              </w:rPr>
              <w:t>（1）电子</w:t>
            </w:r>
            <w:r>
              <w:rPr>
                <w:rFonts w:hAnsi="宋体"/>
                <w:sz w:val="24"/>
              </w:rPr>
              <w:t>投标文件</w:t>
            </w:r>
            <w:r>
              <w:rPr>
                <w:rFonts w:hint="eastAsia" w:hAnsi="宋体"/>
                <w:sz w:val="24"/>
              </w:rPr>
              <w:t>：投标截止时间前在</w:t>
            </w:r>
            <w:r>
              <w:rPr>
                <w:rFonts w:hAnsi="宋体"/>
                <w:sz w:val="24"/>
              </w:rPr>
              <w:t>政采云平台</w:t>
            </w:r>
            <w:r>
              <w:rPr>
                <w:rFonts w:hint="eastAsia" w:hAnsi="宋体"/>
                <w:sz w:val="24"/>
              </w:rPr>
              <w:t>完成电子投标文件的传输提交；</w:t>
            </w:r>
          </w:p>
          <w:p>
            <w:pPr>
              <w:adjustRightInd w:val="0"/>
              <w:snapToGrid w:val="0"/>
              <w:spacing w:line="300" w:lineRule="auto"/>
              <w:ind w:firstLine="480" w:firstLineChars="200"/>
              <w:rPr>
                <w:rFonts w:hAnsi="宋体"/>
                <w:sz w:val="24"/>
              </w:rPr>
            </w:pPr>
            <w:r>
              <w:rPr>
                <w:rFonts w:hint="eastAsia" w:hAnsi="宋体"/>
                <w:sz w:val="24"/>
              </w:rPr>
              <w:t>（2）备份投标文件：</w:t>
            </w:r>
          </w:p>
          <w:p>
            <w:pPr>
              <w:adjustRightInd w:val="0"/>
              <w:snapToGrid w:val="0"/>
              <w:spacing w:line="300" w:lineRule="auto"/>
              <w:ind w:firstLine="480" w:firstLineChars="200"/>
              <w:rPr>
                <w:rFonts w:ascii="新宋体" w:hAnsi="新宋体" w:eastAsia="新宋体"/>
                <w:sz w:val="24"/>
              </w:rPr>
            </w:pPr>
            <w:r>
              <w:rPr>
                <w:rFonts w:hint="eastAsia" w:ascii="新宋体" w:hAnsi="新宋体" w:eastAsia="新宋体"/>
                <w:bCs/>
                <w:sz w:val="24"/>
              </w:rPr>
              <w:t>如提交备份</w:t>
            </w:r>
            <w:r>
              <w:rPr>
                <w:rFonts w:hint="eastAsia" w:hAnsi="宋体"/>
                <w:bCs/>
                <w:sz w:val="24"/>
              </w:rPr>
              <w:t>投标</w:t>
            </w:r>
            <w:r>
              <w:rPr>
                <w:rFonts w:hint="eastAsia" w:ascii="新宋体" w:hAnsi="新宋体" w:eastAsia="新宋体"/>
                <w:bCs/>
                <w:sz w:val="24"/>
              </w:rPr>
              <w:t>文件的，应在</w:t>
            </w:r>
            <w:r>
              <w:rPr>
                <w:rFonts w:hint="eastAsia" w:hAnsi="宋体"/>
                <w:bCs/>
                <w:sz w:val="24"/>
              </w:rPr>
              <w:t>投标</w:t>
            </w:r>
            <w:r>
              <w:rPr>
                <w:rFonts w:hint="eastAsia" w:ascii="新宋体" w:hAnsi="新宋体" w:eastAsia="新宋体"/>
                <w:bCs/>
                <w:sz w:val="24"/>
              </w:rPr>
              <w:t>截止时间前将系统最后生成的具有电子签章的备份</w:t>
            </w:r>
            <w:r>
              <w:rPr>
                <w:rFonts w:hint="eastAsia" w:hAnsi="宋体"/>
                <w:bCs/>
                <w:sz w:val="24"/>
              </w:rPr>
              <w:t>投标</w:t>
            </w:r>
            <w:r>
              <w:rPr>
                <w:rFonts w:hint="eastAsia" w:ascii="新宋体" w:hAnsi="新宋体" w:eastAsia="新宋体"/>
                <w:bCs/>
                <w:sz w:val="24"/>
              </w:rPr>
              <w:t>文件通过电子邮件方式传送至代理机构邮箱（236287981@qq.com），</w:t>
            </w:r>
            <w:r>
              <w:rPr>
                <w:rFonts w:hint="eastAsia" w:ascii="新宋体" w:hAnsi="新宋体" w:eastAsia="新宋体"/>
                <w:sz w:val="24"/>
              </w:rPr>
              <w:t>并在邮件中注明项目名称及投标人名称。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78" w:hRule="exact"/>
          <w:jc w:val="center"/>
        </w:trPr>
        <w:tc>
          <w:tcPr>
            <w:tcW w:w="567" w:type="dxa"/>
            <w:tcBorders>
              <w:left w:val="double" w:color="auto" w:sz="4" w:space="0"/>
              <w:right w:val="single" w:color="auto" w:sz="4" w:space="0"/>
            </w:tcBorders>
            <w:vAlign w:val="center"/>
          </w:tcPr>
          <w:p>
            <w:pPr>
              <w:spacing w:line="360" w:lineRule="auto"/>
              <w:jc w:val="center"/>
              <w:rPr>
                <w:rFonts w:ascii="宋体" w:hAnsi="宋体"/>
                <w:bCs/>
                <w:snapToGrid w:val="0"/>
                <w:sz w:val="24"/>
              </w:rPr>
            </w:pPr>
            <w:r>
              <w:rPr>
                <w:rFonts w:hint="eastAsia" w:ascii="宋体" w:hAnsi="宋体"/>
                <w:bCs/>
                <w:snapToGrid w:val="0"/>
                <w:sz w:val="24"/>
              </w:rPr>
              <w:t>10</w:t>
            </w:r>
          </w:p>
        </w:tc>
        <w:tc>
          <w:tcPr>
            <w:tcW w:w="1711" w:type="dxa"/>
            <w:tcBorders>
              <w:left w:val="single" w:color="auto" w:sz="4" w:space="0"/>
            </w:tcBorders>
            <w:vAlign w:val="center"/>
          </w:tcPr>
          <w:p>
            <w:pPr>
              <w:spacing w:line="360" w:lineRule="auto"/>
              <w:jc w:val="center"/>
              <w:rPr>
                <w:rFonts w:ascii="宋体" w:hAnsi="宋体"/>
                <w:bCs/>
                <w:snapToGrid w:val="0"/>
                <w:sz w:val="24"/>
              </w:rPr>
            </w:pPr>
            <w:r>
              <w:rPr>
                <w:rFonts w:hint="eastAsia" w:ascii="宋体" w:hAnsi="宋体"/>
                <w:bCs/>
                <w:snapToGrid w:val="0"/>
                <w:sz w:val="24"/>
              </w:rPr>
              <w:t>开标时间</w:t>
            </w:r>
          </w:p>
          <w:p>
            <w:pPr>
              <w:spacing w:line="360" w:lineRule="auto"/>
              <w:jc w:val="center"/>
              <w:rPr>
                <w:rFonts w:ascii="宋体" w:hAnsi="宋体"/>
                <w:bCs/>
                <w:snapToGrid w:val="0"/>
                <w:sz w:val="24"/>
              </w:rPr>
            </w:pPr>
            <w:r>
              <w:rPr>
                <w:rFonts w:hint="eastAsia" w:ascii="宋体" w:hAnsi="宋体"/>
                <w:bCs/>
                <w:snapToGrid w:val="0"/>
                <w:sz w:val="24"/>
              </w:rPr>
              <w:t>及地点</w:t>
            </w:r>
          </w:p>
        </w:tc>
        <w:tc>
          <w:tcPr>
            <w:tcW w:w="7869" w:type="dxa"/>
            <w:gridSpan w:val="3"/>
            <w:tcBorders>
              <w:right w:val="double" w:color="auto" w:sz="4" w:space="0"/>
            </w:tcBorders>
            <w:vAlign w:val="center"/>
          </w:tcPr>
          <w:p>
            <w:pPr>
              <w:spacing w:line="360" w:lineRule="auto"/>
              <w:rPr>
                <w:rFonts w:ascii="宋体" w:hAnsi="宋体"/>
                <w:b/>
                <w:sz w:val="24"/>
                <w:u w:val="single"/>
              </w:rPr>
            </w:pPr>
            <w:r>
              <w:rPr>
                <w:rFonts w:hint="eastAsia" w:ascii="宋体" w:hAnsi="宋体"/>
                <w:b/>
                <w:sz w:val="24"/>
                <w:u w:val="single"/>
              </w:rPr>
              <w:t>开标时间：</w:t>
            </w:r>
            <w:r>
              <w:rPr>
                <w:rFonts w:ascii="宋体" w:hAnsi="宋体"/>
                <w:b/>
                <w:sz w:val="24"/>
                <w:u w:val="single"/>
              </w:rPr>
              <w:t>202</w:t>
            </w:r>
            <w:r>
              <w:rPr>
                <w:rFonts w:hint="eastAsia" w:ascii="宋体" w:hAnsi="宋体"/>
                <w:b/>
                <w:sz w:val="24"/>
                <w:u w:val="single"/>
              </w:rPr>
              <w:t>4年</w:t>
            </w:r>
            <w:r>
              <w:rPr>
                <w:rFonts w:hint="eastAsia" w:ascii="宋体" w:hAnsi="宋体"/>
                <w:b/>
                <w:sz w:val="24"/>
                <w:u w:val="single"/>
                <w:lang w:val="en-US" w:eastAsia="zh-CN"/>
              </w:rPr>
              <w:t>6</w:t>
            </w:r>
            <w:r>
              <w:rPr>
                <w:rFonts w:hint="eastAsia" w:ascii="宋体" w:hAnsi="宋体"/>
                <w:b/>
                <w:sz w:val="24"/>
                <w:u w:val="single"/>
              </w:rPr>
              <w:t>月</w:t>
            </w:r>
            <w:r>
              <w:rPr>
                <w:rFonts w:hint="eastAsia" w:ascii="宋体" w:hAnsi="宋体"/>
                <w:b/>
                <w:sz w:val="24"/>
                <w:u w:val="single"/>
                <w:lang w:val="en-US" w:eastAsia="zh-CN"/>
              </w:rPr>
              <w:t>4</w:t>
            </w:r>
            <w:r>
              <w:rPr>
                <w:rFonts w:hint="eastAsia" w:ascii="宋体" w:hAnsi="宋体"/>
                <w:b/>
                <w:sz w:val="24"/>
                <w:u w:val="single"/>
              </w:rPr>
              <w:t>日9时00分。</w:t>
            </w:r>
          </w:p>
          <w:p>
            <w:pPr>
              <w:spacing w:line="360" w:lineRule="auto"/>
              <w:rPr>
                <w:rFonts w:ascii="宋体" w:hAnsi="宋体"/>
                <w:sz w:val="24"/>
              </w:rPr>
            </w:pPr>
            <w:r>
              <w:rPr>
                <w:rFonts w:hint="eastAsia" w:ascii="宋体" w:hAnsi="宋体"/>
                <w:bCs/>
                <w:sz w:val="24"/>
              </w:rPr>
              <w:t>地点：</w:t>
            </w:r>
            <w:r>
              <w:rPr>
                <w:rFonts w:hint="eastAsia" w:ascii="宋体" w:hAnsi="宋体"/>
                <w:sz w:val="24"/>
              </w:rPr>
              <w:t>丽水市莲都区公共资源交易中心（丽水市人民街649号丽人木业4楼）</w:t>
            </w:r>
            <w:r>
              <w:rPr>
                <w:rFonts w:hint="eastAsia" w:ascii="宋体" w:hAnsi="宋体"/>
                <w:bCs/>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6" w:hRule="exact"/>
          <w:jc w:val="center"/>
        </w:trPr>
        <w:tc>
          <w:tcPr>
            <w:tcW w:w="567" w:type="dxa"/>
            <w:tcBorders>
              <w:left w:val="double" w:color="auto" w:sz="4" w:space="0"/>
              <w:right w:val="single" w:color="auto" w:sz="4" w:space="0"/>
            </w:tcBorders>
            <w:vAlign w:val="center"/>
          </w:tcPr>
          <w:p>
            <w:pPr>
              <w:jc w:val="center"/>
              <w:rPr>
                <w:rFonts w:ascii="宋体" w:hAnsi="宋体"/>
                <w:bCs/>
                <w:snapToGrid w:val="0"/>
                <w:sz w:val="24"/>
              </w:rPr>
            </w:pPr>
            <w:r>
              <w:rPr>
                <w:rFonts w:hint="eastAsia" w:ascii="宋体" w:hAnsi="宋体"/>
                <w:bCs/>
                <w:snapToGrid w:val="0"/>
                <w:sz w:val="24"/>
              </w:rPr>
              <w:t>11</w:t>
            </w:r>
          </w:p>
        </w:tc>
        <w:tc>
          <w:tcPr>
            <w:tcW w:w="1711" w:type="dxa"/>
            <w:tcBorders>
              <w:left w:val="single" w:color="auto" w:sz="4" w:space="0"/>
            </w:tcBorders>
            <w:vAlign w:val="center"/>
          </w:tcPr>
          <w:p>
            <w:pPr>
              <w:jc w:val="center"/>
              <w:rPr>
                <w:rFonts w:ascii="宋体" w:hAnsi="宋体"/>
                <w:bCs/>
                <w:snapToGrid w:val="0"/>
                <w:sz w:val="24"/>
              </w:rPr>
            </w:pPr>
            <w:r>
              <w:rPr>
                <w:rFonts w:hint="eastAsia" w:ascii="宋体" w:hAnsi="宋体"/>
                <w:bCs/>
                <w:snapToGrid w:val="0"/>
                <w:sz w:val="24"/>
              </w:rPr>
              <w:t>履约保证金</w:t>
            </w:r>
          </w:p>
        </w:tc>
        <w:tc>
          <w:tcPr>
            <w:tcW w:w="7869" w:type="dxa"/>
            <w:gridSpan w:val="3"/>
            <w:tcBorders>
              <w:right w:val="double" w:color="auto" w:sz="4" w:space="0"/>
            </w:tcBorders>
            <w:vAlign w:val="center"/>
          </w:tcPr>
          <w:p>
            <w:pPr>
              <w:jc w:val="left"/>
              <w:rPr>
                <w:rFonts w:ascii="宋体" w:hAnsi="宋体"/>
                <w:bCs/>
                <w:snapToGrid w:val="0"/>
                <w:sz w:val="24"/>
              </w:rPr>
            </w:pPr>
            <w:r>
              <w:rPr>
                <w:rFonts w:hint="eastAsia" w:ascii="宋体" w:hAnsi="宋体"/>
                <w:bCs/>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49" w:hRule="exact"/>
          <w:jc w:val="center"/>
        </w:trPr>
        <w:tc>
          <w:tcPr>
            <w:tcW w:w="567" w:type="dxa"/>
            <w:tcBorders>
              <w:left w:val="double" w:color="auto" w:sz="4" w:space="0"/>
              <w:right w:val="single" w:color="auto" w:sz="4" w:space="0"/>
            </w:tcBorders>
            <w:vAlign w:val="center"/>
          </w:tcPr>
          <w:p>
            <w:pPr>
              <w:spacing w:line="360" w:lineRule="auto"/>
              <w:jc w:val="center"/>
              <w:rPr>
                <w:rFonts w:ascii="宋体" w:hAnsi="宋体"/>
                <w:bCs/>
                <w:snapToGrid w:val="0"/>
                <w:sz w:val="24"/>
              </w:rPr>
            </w:pPr>
            <w:r>
              <w:rPr>
                <w:rFonts w:hint="eastAsia" w:ascii="宋体" w:hAnsi="宋体"/>
                <w:bCs/>
                <w:snapToGrid w:val="0"/>
                <w:sz w:val="24"/>
              </w:rPr>
              <w:t>12</w:t>
            </w:r>
          </w:p>
        </w:tc>
        <w:tc>
          <w:tcPr>
            <w:tcW w:w="1711" w:type="dxa"/>
            <w:tcBorders>
              <w:left w:val="single" w:color="auto" w:sz="4" w:space="0"/>
            </w:tcBorders>
            <w:vAlign w:val="center"/>
          </w:tcPr>
          <w:p>
            <w:pPr>
              <w:spacing w:line="360" w:lineRule="auto"/>
              <w:jc w:val="center"/>
              <w:rPr>
                <w:rFonts w:ascii="宋体" w:hAnsi="宋体"/>
                <w:bCs/>
                <w:sz w:val="24"/>
              </w:rPr>
            </w:pPr>
            <w:r>
              <w:rPr>
                <w:rFonts w:hint="eastAsia" w:ascii="宋体" w:hAnsi="宋体"/>
                <w:bCs/>
                <w:sz w:val="24"/>
              </w:rPr>
              <w:t>中标结果公告及中标通知书</w:t>
            </w:r>
          </w:p>
        </w:tc>
        <w:tc>
          <w:tcPr>
            <w:tcW w:w="7869" w:type="dxa"/>
            <w:gridSpan w:val="3"/>
            <w:tcBorders>
              <w:right w:val="double" w:color="auto" w:sz="4" w:space="0"/>
            </w:tcBorders>
            <w:vAlign w:val="center"/>
          </w:tcPr>
          <w:p>
            <w:pPr>
              <w:snapToGrid w:val="0"/>
              <w:spacing w:line="360" w:lineRule="auto"/>
              <w:rPr>
                <w:rFonts w:ascii="宋体" w:hAnsi="宋体"/>
                <w:bCs/>
                <w:sz w:val="24"/>
              </w:rPr>
            </w:pPr>
            <w:r>
              <w:rPr>
                <w:rFonts w:hint="eastAsia" w:ascii="宋体" w:hAnsi="宋体"/>
                <w:bCs/>
                <w:kern w:val="0"/>
                <w:sz w:val="24"/>
              </w:rPr>
              <w:t>评标报告经采购人确认后2个工作日内，中标公告在</w:t>
            </w:r>
            <w:r>
              <w:rPr>
                <w:rFonts w:hint="eastAsia" w:ascii="宋体" w:hAnsi="宋体" w:cs="仿宋_GB2312"/>
                <w:sz w:val="24"/>
              </w:rPr>
              <w:t>浙江政府采购网</w:t>
            </w:r>
            <w:r>
              <w:rPr>
                <w:rFonts w:ascii="宋体" w:hAnsi="宋体"/>
                <w:sz w:val="24"/>
              </w:rPr>
              <w:t>http://</w:t>
            </w:r>
            <w:r>
              <w:rPr>
                <w:rFonts w:hint="eastAsia" w:ascii="宋体" w:hAnsi="宋体"/>
                <w:sz w:val="24"/>
              </w:rPr>
              <w:t>zfcg.czt.zj.gov.cn</w:t>
            </w:r>
            <w:r>
              <w:rPr>
                <w:rFonts w:hint="eastAsia" w:ascii="宋体" w:hAnsi="宋体" w:cs="仿宋_GB2312"/>
                <w:sz w:val="24"/>
              </w:rPr>
              <w:t>/</w:t>
            </w:r>
            <w:r>
              <w:rPr>
                <w:rFonts w:hint="eastAsia" w:ascii="宋体" w:hAnsi="宋体" w:cs="仿宋_GB2312"/>
                <w:color w:val="000000"/>
                <w:sz w:val="24"/>
              </w:rPr>
              <w:t>、丽水市公共资源交易网（莲都）http://lssggzy.lishui.gov.cn/ldweb/</w:t>
            </w:r>
            <w:r>
              <w:rPr>
                <w:rFonts w:hint="eastAsia" w:ascii="宋体" w:hAnsi="宋体"/>
                <w:bCs/>
                <w:kern w:val="0"/>
                <w:sz w:val="24"/>
              </w:rPr>
              <w:t>上发布，并同时发出中标通知书。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exact"/>
          <w:jc w:val="center"/>
        </w:trPr>
        <w:tc>
          <w:tcPr>
            <w:tcW w:w="567" w:type="dxa"/>
            <w:tcBorders>
              <w:left w:val="double" w:color="auto" w:sz="4" w:space="0"/>
              <w:right w:val="single" w:color="auto" w:sz="4" w:space="0"/>
            </w:tcBorders>
            <w:vAlign w:val="center"/>
          </w:tcPr>
          <w:p>
            <w:pPr>
              <w:spacing w:line="360" w:lineRule="auto"/>
              <w:jc w:val="center"/>
              <w:rPr>
                <w:rFonts w:ascii="宋体" w:hAnsi="宋体"/>
                <w:bCs/>
                <w:snapToGrid w:val="0"/>
                <w:sz w:val="24"/>
              </w:rPr>
            </w:pPr>
            <w:r>
              <w:rPr>
                <w:rFonts w:hint="eastAsia" w:ascii="宋体" w:hAnsi="宋体"/>
                <w:bCs/>
                <w:snapToGrid w:val="0"/>
                <w:sz w:val="24"/>
              </w:rPr>
              <w:t>13</w:t>
            </w:r>
          </w:p>
        </w:tc>
        <w:tc>
          <w:tcPr>
            <w:tcW w:w="1711" w:type="dxa"/>
            <w:tcBorders>
              <w:left w:val="single" w:color="auto" w:sz="4" w:space="0"/>
            </w:tcBorders>
            <w:vAlign w:val="center"/>
          </w:tcPr>
          <w:p>
            <w:pPr>
              <w:spacing w:line="360" w:lineRule="auto"/>
              <w:jc w:val="center"/>
              <w:rPr>
                <w:rFonts w:ascii="宋体" w:hAnsi="宋体"/>
                <w:bCs/>
                <w:snapToGrid w:val="0"/>
                <w:sz w:val="24"/>
              </w:rPr>
            </w:pPr>
            <w:r>
              <w:rPr>
                <w:rFonts w:hint="eastAsia" w:ascii="宋体" w:hAnsi="宋体"/>
                <w:bCs/>
                <w:snapToGrid w:val="0"/>
                <w:sz w:val="24"/>
              </w:rPr>
              <w:t>评标办法</w:t>
            </w:r>
          </w:p>
          <w:p>
            <w:pPr>
              <w:spacing w:line="360" w:lineRule="auto"/>
              <w:jc w:val="center"/>
              <w:rPr>
                <w:rFonts w:ascii="宋体" w:hAnsi="宋体"/>
                <w:bCs/>
                <w:snapToGrid w:val="0"/>
                <w:sz w:val="24"/>
              </w:rPr>
            </w:pPr>
            <w:r>
              <w:rPr>
                <w:rFonts w:hint="eastAsia" w:ascii="宋体" w:hAnsi="宋体"/>
                <w:bCs/>
                <w:snapToGrid w:val="0"/>
                <w:sz w:val="24"/>
              </w:rPr>
              <w:t>和细则</w:t>
            </w:r>
          </w:p>
        </w:tc>
        <w:tc>
          <w:tcPr>
            <w:tcW w:w="7869" w:type="dxa"/>
            <w:gridSpan w:val="3"/>
            <w:tcBorders>
              <w:right w:val="double" w:color="auto" w:sz="4" w:space="0"/>
            </w:tcBorders>
            <w:vAlign w:val="center"/>
          </w:tcPr>
          <w:p>
            <w:pPr>
              <w:spacing w:line="360" w:lineRule="auto"/>
              <w:rPr>
                <w:rFonts w:ascii="宋体" w:hAnsi="宋体"/>
                <w:bCs/>
                <w:sz w:val="24"/>
              </w:rPr>
            </w:pPr>
            <w:r>
              <w:rPr>
                <w:rFonts w:hint="eastAsia" w:ascii="宋体" w:hAnsi="宋体"/>
                <w:bCs/>
                <w:sz w:val="24"/>
              </w:rPr>
              <w:t>详见本招标文件第六章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86" w:hRule="exact"/>
          <w:jc w:val="center"/>
        </w:trPr>
        <w:tc>
          <w:tcPr>
            <w:tcW w:w="567" w:type="dxa"/>
            <w:tcBorders>
              <w:left w:val="double" w:color="auto" w:sz="4" w:space="0"/>
              <w:right w:val="single" w:color="auto" w:sz="4" w:space="0"/>
            </w:tcBorders>
            <w:vAlign w:val="center"/>
          </w:tcPr>
          <w:p>
            <w:pPr>
              <w:spacing w:line="360" w:lineRule="auto"/>
              <w:jc w:val="center"/>
              <w:rPr>
                <w:rFonts w:ascii="宋体" w:hAnsi="宋体"/>
                <w:bCs/>
                <w:snapToGrid w:val="0"/>
                <w:sz w:val="24"/>
              </w:rPr>
            </w:pPr>
            <w:r>
              <w:rPr>
                <w:rFonts w:hint="eastAsia" w:ascii="宋体" w:hAnsi="宋体"/>
                <w:bCs/>
                <w:snapToGrid w:val="0"/>
                <w:sz w:val="24"/>
              </w:rPr>
              <w:t>14</w:t>
            </w:r>
          </w:p>
        </w:tc>
        <w:tc>
          <w:tcPr>
            <w:tcW w:w="1711" w:type="dxa"/>
            <w:tcBorders>
              <w:left w:val="single" w:color="auto" w:sz="4" w:space="0"/>
            </w:tcBorders>
            <w:vAlign w:val="center"/>
          </w:tcPr>
          <w:p>
            <w:pPr>
              <w:spacing w:line="360" w:lineRule="auto"/>
              <w:jc w:val="center"/>
              <w:rPr>
                <w:rFonts w:ascii="宋体" w:hAnsi="宋体"/>
                <w:bCs/>
                <w:sz w:val="24"/>
              </w:rPr>
            </w:pPr>
            <w:r>
              <w:rPr>
                <w:rFonts w:hint="eastAsia" w:ascii="宋体" w:hAnsi="宋体"/>
                <w:bCs/>
                <w:sz w:val="24"/>
              </w:rPr>
              <w:t>签订合同</w:t>
            </w:r>
          </w:p>
        </w:tc>
        <w:tc>
          <w:tcPr>
            <w:tcW w:w="7869" w:type="dxa"/>
            <w:gridSpan w:val="3"/>
            <w:tcBorders>
              <w:right w:val="double" w:color="auto" w:sz="4" w:space="0"/>
            </w:tcBorders>
            <w:vAlign w:val="center"/>
          </w:tcPr>
          <w:p>
            <w:pPr>
              <w:pStyle w:val="548"/>
              <w:spacing w:line="360" w:lineRule="auto"/>
              <w:rPr>
                <w:rFonts w:hAnsi="宋体"/>
                <w:bCs/>
              </w:rPr>
            </w:pPr>
            <w:r>
              <w:rPr>
                <w:rFonts w:hint="eastAsia" w:hAnsi="宋体"/>
                <w:szCs w:val="24"/>
              </w:rPr>
              <w:t>中标通知书发出之日起30日内，按照采购文件确定的事项签订政府采购合同。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1" w:hRule="exact"/>
          <w:jc w:val="center"/>
        </w:trPr>
        <w:tc>
          <w:tcPr>
            <w:tcW w:w="567" w:type="dxa"/>
            <w:tcBorders>
              <w:left w:val="double" w:color="auto" w:sz="4" w:space="0"/>
              <w:right w:val="single" w:color="auto" w:sz="4" w:space="0"/>
            </w:tcBorders>
            <w:vAlign w:val="center"/>
          </w:tcPr>
          <w:p>
            <w:pPr>
              <w:spacing w:line="360" w:lineRule="auto"/>
              <w:jc w:val="center"/>
              <w:rPr>
                <w:rFonts w:ascii="宋体" w:hAnsi="宋体"/>
                <w:bCs/>
                <w:snapToGrid w:val="0"/>
                <w:sz w:val="24"/>
              </w:rPr>
            </w:pPr>
            <w:r>
              <w:rPr>
                <w:rFonts w:hint="eastAsia" w:ascii="宋体" w:hAnsi="宋体"/>
                <w:bCs/>
                <w:snapToGrid w:val="0"/>
                <w:sz w:val="24"/>
              </w:rPr>
              <w:t>15</w:t>
            </w:r>
          </w:p>
        </w:tc>
        <w:tc>
          <w:tcPr>
            <w:tcW w:w="1711" w:type="dxa"/>
            <w:tcBorders>
              <w:left w:val="single" w:color="auto" w:sz="4" w:space="0"/>
            </w:tcBorders>
            <w:vAlign w:val="center"/>
          </w:tcPr>
          <w:p>
            <w:pPr>
              <w:spacing w:line="360" w:lineRule="auto"/>
              <w:jc w:val="center"/>
              <w:rPr>
                <w:rFonts w:ascii="宋体" w:hAnsi="宋体"/>
                <w:bCs/>
                <w:snapToGrid w:val="0"/>
                <w:sz w:val="24"/>
              </w:rPr>
            </w:pPr>
            <w:r>
              <w:rPr>
                <w:rFonts w:hint="eastAsia" w:ascii="宋体" w:hAnsi="宋体"/>
                <w:bCs/>
                <w:snapToGrid w:val="0"/>
                <w:sz w:val="24"/>
              </w:rPr>
              <w:t>发布媒体</w:t>
            </w:r>
          </w:p>
        </w:tc>
        <w:tc>
          <w:tcPr>
            <w:tcW w:w="7869" w:type="dxa"/>
            <w:gridSpan w:val="3"/>
            <w:tcBorders>
              <w:right w:val="double" w:color="auto" w:sz="4" w:space="0"/>
            </w:tcBorders>
            <w:vAlign w:val="center"/>
          </w:tcPr>
          <w:p>
            <w:pPr>
              <w:snapToGrid w:val="0"/>
              <w:spacing w:line="360" w:lineRule="auto"/>
              <w:rPr>
                <w:rFonts w:ascii="宋体" w:hAnsi="宋体"/>
                <w:sz w:val="24"/>
              </w:rPr>
            </w:pPr>
            <w:r>
              <w:rPr>
                <w:rFonts w:hint="eastAsia" w:ascii="宋体" w:hAnsi="宋体" w:cs="仿宋_GB2312"/>
                <w:sz w:val="24"/>
              </w:rPr>
              <w:t>浙江政府采购网</w:t>
            </w:r>
            <w:r>
              <w:rPr>
                <w:rFonts w:ascii="宋体" w:hAnsi="宋体"/>
                <w:sz w:val="24"/>
              </w:rPr>
              <w:t>http://</w:t>
            </w:r>
            <w:r>
              <w:rPr>
                <w:rFonts w:hint="eastAsia" w:ascii="宋体" w:hAnsi="宋体"/>
                <w:sz w:val="24"/>
              </w:rPr>
              <w:t>zfcg.czt.zj.gov.cn</w:t>
            </w:r>
            <w:r>
              <w:rPr>
                <w:rFonts w:hint="eastAsia" w:ascii="宋体" w:hAnsi="宋体" w:cs="仿宋_GB2312"/>
                <w:sz w:val="24"/>
              </w:rPr>
              <w:t>/</w:t>
            </w:r>
            <w:r>
              <w:rPr>
                <w:rFonts w:hint="eastAsia" w:ascii="宋体" w:hAnsi="宋体" w:cs="仿宋_GB2312"/>
                <w:color w:val="000000"/>
                <w:sz w:val="24"/>
              </w:rPr>
              <w:t>、丽水市公共资源交易网（莲都）http://lssggzy.lishui.gov.cn/ldweb/</w:t>
            </w:r>
            <w:r>
              <w:rPr>
                <w:rFonts w:hint="eastAsia" w:ascii="宋体" w:hAnsi="宋体"/>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567" w:type="dxa"/>
            <w:tcBorders>
              <w:left w:val="double" w:color="auto" w:sz="4" w:space="0"/>
              <w:right w:val="single" w:color="auto" w:sz="4" w:space="0"/>
            </w:tcBorders>
            <w:vAlign w:val="center"/>
          </w:tcPr>
          <w:p>
            <w:pPr>
              <w:spacing w:line="360" w:lineRule="auto"/>
              <w:jc w:val="center"/>
              <w:rPr>
                <w:rFonts w:ascii="宋体" w:hAnsi="宋体"/>
                <w:bCs/>
                <w:snapToGrid w:val="0"/>
                <w:sz w:val="24"/>
              </w:rPr>
            </w:pPr>
            <w:r>
              <w:rPr>
                <w:rFonts w:hint="eastAsia" w:ascii="宋体" w:hAnsi="宋体"/>
                <w:bCs/>
                <w:snapToGrid w:val="0"/>
                <w:sz w:val="24"/>
              </w:rPr>
              <w:t>16</w:t>
            </w:r>
          </w:p>
        </w:tc>
        <w:tc>
          <w:tcPr>
            <w:tcW w:w="1711" w:type="dxa"/>
            <w:tcBorders>
              <w:left w:val="single" w:color="auto" w:sz="4" w:space="0"/>
            </w:tcBorders>
            <w:vAlign w:val="center"/>
          </w:tcPr>
          <w:p>
            <w:pPr>
              <w:spacing w:line="360" w:lineRule="auto"/>
              <w:jc w:val="center"/>
              <w:rPr>
                <w:rFonts w:ascii="宋体" w:hAnsi="宋体"/>
                <w:bCs/>
                <w:snapToGrid w:val="0"/>
                <w:sz w:val="24"/>
              </w:rPr>
            </w:pPr>
            <w:r>
              <w:rPr>
                <w:rFonts w:hint="eastAsia" w:ascii="宋体" w:hAnsi="宋体"/>
                <w:bCs/>
                <w:sz w:val="24"/>
              </w:rPr>
              <w:t>采购文件</w:t>
            </w:r>
            <w:r>
              <w:rPr>
                <w:rFonts w:hint="eastAsia" w:ascii="宋体" w:hAnsi="宋体"/>
                <w:bCs/>
                <w:snapToGrid w:val="0"/>
                <w:sz w:val="24"/>
              </w:rPr>
              <w:t>解释</w:t>
            </w:r>
          </w:p>
        </w:tc>
        <w:tc>
          <w:tcPr>
            <w:tcW w:w="7869" w:type="dxa"/>
            <w:gridSpan w:val="3"/>
            <w:tcBorders>
              <w:right w:val="double" w:color="auto" w:sz="4" w:space="0"/>
            </w:tcBorders>
            <w:vAlign w:val="center"/>
          </w:tcPr>
          <w:p>
            <w:pPr>
              <w:spacing w:line="360" w:lineRule="auto"/>
              <w:rPr>
                <w:rFonts w:ascii="宋体" w:hAnsi="宋体"/>
                <w:bCs/>
                <w:sz w:val="24"/>
              </w:rPr>
            </w:pPr>
            <w:r>
              <w:rPr>
                <w:rFonts w:hint="eastAsia" w:ascii="宋体" w:hAnsi="宋体"/>
                <w:bCs/>
                <w:sz w:val="24"/>
              </w:rPr>
              <w:t>本项目采购文件的解释权属于浙江建航工程咨询有限公司。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37" w:hRule="exact"/>
          <w:jc w:val="center"/>
        </w:trPr>
        <w:tc>
          <w:tcPr>
            <w:tcW w:w="567" w:type="dxa"/>
            <w:tcBorders>
              <w:left w:val="double" w:color="auto" w:sz="4" w:space="0"/>
              <w:bottom w:val="single" w:color="auto" w:sz="4" w:space="0"/>
              <w:right w:val="single" w:color="auto" w:sz="4" w:space="0"/>
            </w:tcBorders>
            <w:vAlign w:val="center"/>
          </w:tcPr>
          <w:p>
            <w:pPr>
              <w:spacing w:line="360" w:lineRule="auto"/>
              <w:jc w:val="center"/>
              <w:rPr>
                <w:rFonts w:ascii="宋体" w:hAnsi="宋体"/>
                <w:bCs/>
                <w:snapToGrid w:val="0"/>
                <w:sz w:val="24"/>
              </w:rPr>
            </w:pPr>
            <w:r>
              <w:rPr>
                <w:rFonts w:hint="eastAsia" w:ascii="宋体" w:hAnsi="宋体"/>
                <w:bCs/>
                <w:snapToGrid w:val="0"/>
                <w:sz w:val="24"/>
              </w:rPr>
              <w:t>17</w:t>
            </w:r>
          </w:p>
        </w:tc>
        <w:tc>
          <w:tcPr>
            <w:tcW w:w="1711" w:type="dxa"/>
            <w:tcBorders>
              <w:left w:val="single" w:color="auto" w:sz="4" w:space="0"/>
              <w:bottom w:val="single" w:color="auto" w:sz="4" w:space="0"/>
            </w:tcBorders>
            <w:vAlign w:val="center"/>
          </w:tcPr>
          <w:p>
            <w:pPr>
              <w:spacing w:line="360" w:lineRule="auto"/>
              <w:jc w:val="center"/>
              <w:rPr>
                <w:rFonts w:ascii="宋体" w:hAnsi="宋体"/>
                <w:bCs/>
                <w:sz w:val="24"/>
              </w:rPr>
            </w:pPr>
            <w:r>
              <w:rPr>
                <w:rFonts w:hint="eastAsia" w:ascii="宋体" w:hAnsi="宋体"/>
                <w:bCs/>
                <w:sz w:val="24"/>
              </w:rPr>
              <w:t>投标人解密硬件准备</w:t>
            </w:r>
          </w:p>
        </w:tc>
        <w:tc>
          <w:tcPr>
            <w:tcW w:w="7869" w:type="dxa"/>
            <w:gridSpan w:val="3"/>
            <w:tcBorders>
              <w:bottom w:val="single" w:color="auto" w:sz="4" w:space="0"/>
              <w:right w:val="double" w:color="auto" w:sz="4" w:space="0"/>
            </w:tcBorders>
            <w:vAlign w:val="center"/>
          </w:tcPr>
          <w:p>
            <w:pPr>
              <w:spacing w:line="360" w:lineRule="auto"/>
              <w:rPr>
                <w:rFonts w:ascii="宋体" w:hAnsi="宋体"/>
                <w:bCs/>
                <w:sz w:val="24"/>
              </w:rPr>
            </w:pPr>
            <w:r>
              <w:rPr>
                <w:rFonts w:hint="eastAsia" w:ascii="宋体" w:hAnsi="宋体"/>
                <w:bCs/>
                <w:sz w:val="24"/>
              </w:rPr>
              <w:t>1.电脑、网络（供电子投标文件解密和澄清答疑使用）；</w:t>
            </w:r>
          </w:p>
          <w:p>
            <w:pPr>
              <w:spacing w:line="360" w:lineRule="auto"/>
              <w:rPr>
                <w:rFonts w:eastAsia="仿宋_GB2312"/>
              </w:rPr>
            </w:pPr>
            <w:r>
              <w:rPr>
                <w:rFonts w:hint="eastAsia" w:ascii="宋体" w:hAnsi="宋体"/>
                <w:bCs/>
                <w:sz w:val="24"/>
              </w:rPr>
              <w:t>2.电子投标文件解密CA锁</w:t>
            </w:r>
            <w:r>
              <w:rPr>
                <w:rFonts w:hint="eastAsia" w:ascii="宋体" w:hAnsi="宋体"/>
                <w:b/>
                <w:bCs/>
                <w:sz w:val="24"/>
              </w:rPr>
              <w:t>(即原编制电子投标文件加密的CA锁)</w:t>
            </w:r>
            <w:r>
              <w:rPr>
                <w:rFonts w:hint="eastAsia" w:ascii="宋体" w:hAnsi="宋体"/>
                <w:bCs/>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8" w:hRule="exact"/>
          <w:jc w:val="center"/>
        </w:trPr>
        <w:tc>
          <w:tcPr>
            <w:tcW w:w="567" w:type="dxa"/>
            <w:tcBorders>
              <w:top w:val="single" w:color="auto" w:sz="4" w:space="0"/>
              <w:left w:val="double" w:color="auto" w:sz="4" w:space="0"/>
              <w:bottom w:val="double" w:color="auto" w:sz="4" w:space="0"/>
              <w:right w:val="single" w:color="auto" w:sz="4" w:space="0"/>
            </w:tcBorders>
            <w:vAlign w:val="center"/>
          </w:tcPr>
          <w:p>
            <w:pPr>
              <w:spacing w:line="276" w:lineRule="auto"/>
              <w:jc w:val="center"/>
              <w:rPr>
                <w:rFonts w:ascii="宋体" w:hAnsi="宋体"/>
                <w:bCs/>
                <w:snapToGrid w:val="0"/>
                <w:sz w:val="24"/>
              </w:rPr>
            </w:pPr>
            <w:r>
              <w:rPr>
                <w:rFonts w:hint="eastAsia" w:ascii="宋体" w:hAnsi="宋体"/>
                <w:bCs/>
                <w:snapToGrid w:val="0"/>
                <w:sz w:val="24"/>
              </w:rPr>
              <w:t>18</w:t>
            </w:r>
          </w:p>
        </w:tc>
        <w:tc>
          <w:tcPr>
            <w:tcW w:w="1711" w:type="dxa"/>
            <w:tcBorders>
              <w:top w:val="single" w:color="auto" w:sz="4" w:space="0"/>
              <w:left w:val="single" w:color="auto" w:sz="4" w:space="0"/>
              <w:bottom w:val="double" w:color="auto" w:sz="4" w:space="0"/>
            </w:tcBorders>
            <w:vAlign w:val="center"/>
          </w:tcPr>
          <w:p>
            <w:pPr>
              <w:snapToGrid w:val="0"/>
              <w:jc w:val="center"/>
              <w:rPr>
                <w:rFonts w:ascii="新宋体" w:hAnsi="新宋体" w:eastAsia="新宋体"/>
                <w:bCs/>
                <w:sz w:val="24"/>
              </w:rPr>
            </w:pPr>
            <w:r>
              <w:rPr>
                <w:rFonts w:hint="eastAsia" w:ascii="新宋体" w:hAnsi="新宋体" w:eastAsia="新宋体"/>
                <w:bCs/>
                <w:sz w:val="24"/>
              </w:rPr>
              <w:t>是否允许转包与分包</w:t>
            </w:r>
          </w:p>
        </w:tc>
        <w:tc>
          <w:tcPr>
            <w:tcW w:w="7869" w:type="dxa"/>
            <w:gridSpan w:val="3"/>
            <w:tcBorders>
              <w:top w:val="single" w:color="auto" w:sz="4" w:space="0"/>
              <w:bottom w:val="double" w:color="auto" w:sz="4" w:space="0"/>
              <w:right w:val="double" w:color="auto" w:sz="4" w:space="0"/>
            </w:tcBorders>
            <w:vAlign w:val="center"/>
          </w:tcPr>
          <w:p>
            <w:pPr>
              <w:spacing w:line="276" w:lineRule="auto"/>
              <w:rPr>
                <w:rFonts w:ascii="宋体" w:hAnsi="宋体"/>
                <w:bCs/>
                <w:sz w:val="24"/>
              </w:rPr>
            </w:pPr>
            <w:r>
              <w:rPr>
                <w:rFonts w:hint="eastAsia" w:ascii="宋体" w:hAnsi="宋体"/>
                <w:bCs/>
                <w:sz w:val="24"/>
              </w:rPr>
              <w:t>1、转包：不允许。</w:t>
            </w:r>
          </w:p>
          <w:p>
            <w:pPr>
              <w:spacing w:line="276" w:lineRule="auto"/>
              <w:rPr>
                <w:rFonts w:ascii="宋体" w:hAnsi="宋体"/>
                <w:bCs/>
                <w:sz w:val="24"/>
              </w:rPr>
            </w:pPr>
            <w:r>
              <w:rPr>
                <w:rFonts w:hint="eastAsia" w:ascii="宋体" w:hAnsi="宋体"/>
                <w:bCs/>
                <w:sz w:val="24"/>
              </w:rPr>
              <w:t>2、分包：非主体、非关键性工作允许分包。</w:t>
            </w:r>
          </w:p>
          <w:p>
            <w:pPr>
              <w:spacing w:line="276" w:lineRule="auto"/>
              <w:ind w:firstLine="480" w:firstLineChars="200"/>
              <w:jc w:val="left"/>
              <w:rPr>
                <w:rFonts w:ascii="宋体" w:hAnsi="宋体"/>
                <w:bCs/>
                <w:sz w:val="24"/>
              </w:rPr>
            </w:pPr>
            <w:r>
              <w:rPr>
                <w:rFonts w:hint="eastAsia" w:ascii="宋体" w:hAnsi="宋体"/>
                <w:bCs/>
                <w:sz w:val="24"/>
              </w:rPr>
              <w:t>当分包份额占到合同总金额100%时，视为转包。此情况根据《中华人民共和国政府采购法实施条例》（国务院令第658号）文件第七十二条规定，将依照政府采购法第七十七条第一款的规定追究相应法律责任。</w:t>
            </w:r>
          </w:p>
          <w:p>
            <w:pPr>
              <w:spacing w:line="276" w:lineRule="auto"/>
              <w:jc w:val="left"/>
              <w:rPr>
                <w:rFonts w:ascii="宋体" w:hAnsi="宋体"/>
                <w:bCs/>
                <w:sz w:val="24"/>
              </w:rPr>
            </w:pPr>
            <w:r>
              <w:rPr>
                <w:rFonts w:hint="eastAsia" w:ascii="宋体" w:hAnsi="宋体"/>
                <w:bCs/>
                <w:sz w:val="24"/>
              </w:rPr>
              <w:t>3、小微企业不得将合同分包给大中型企业，中型企业不得将合同分包给大型企业。</w:t>
            </w:r>
          </w:p>
        </w:tc>
      </w:tr>
    </w:tbl>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ind w:firstLine="480"/>
      </w:pPr>
      <w:r>
        <w:br w:type="page"/>
      </w:r>
    </w:p>
    <w:p>
      <w:pPr>
        <w:pStyle w:val="4"/>
        <w:spacing w:line="560" w:lineRule="exact"/>
        <w:ind w:firstLine="0" w:firstLineChars="0"/>
        <w:rPr>
          <w:rFonts w:ascii="宋体" w:hAnsi="宋体" w:eastAsia="宋体"/>
        </w:rPr>
      </w:pPr>
      <w:bookmarkStart w:id="21" w:name="_Toc41577866"/>
      <w:bookmarkStart w:id="22" w:name="_Toc1193"/>
      <w:r>
        <w:rPr>
          <w:rFonts w:hint="eastAsia" w:ascii="宋体" w:hAnsi="宋体" w:eastAsia="宋体"/>
        </w:rPr>
        <w:t>一  总则</w:t>
      </w:r>
      <w:bookmarkEnd w:id="21"/>
      <w:bookmarkEnd w:id="22"/>
    </w:p>
    <w:p>
      <w:pPr>
        <w:spacing w:line="360" w:lineRule="auto"/>
        <w:ind w:firstLine="482" w:firstLineChars="200"/>
        <w:rPr>
          <w:rFonts w:ascii="宋体" w:hAnsi="宋体"/>
          <w:b/>
          <w:sz w:val="24"/>
        </w:rPr>
      </w:pPr>
      <w:r>
        <w:rPr>
          <w:rFonts w:ascii="宋体" w:hAnsi="宋体"/>
          <w:b/>
          <w:sz w:val="24"/>
        </w:rPr>
        <w:t>1.</w:t>
      </w:r>
      <w:r>
        <w:rPr>
          <w:rFonts w:hint="eastAsia" w:ascii="宋体" w:hAnsi="宋体"/>
          <w:b/>
          <w:sz w:val="24"/>
        </w:rPr>
        <w:t>适用范围</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.1招标文件适用于本次所述项目的采购行为（法律、法规另有规定的，从其规定）。</w:t>
      </w:r>
    </w:p>
    <w:p>
      <w:pPr>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定义</w:t>
      </w:r>
    </w:p>
    <w:p>
      <w:pPr>
        <w:spacing w:line="360" w:lineRule="auto"/>
        <w:ind w:firstLine="480" w:firstLineChars="200"/>
        <w:rPr>
          <w:rFonts w:ascii="宋体" w:hAnsi="宋体"/>
          <w:sz w:val="24"/>
        </w:rPr>
      </w:pPr>
      <w:r>
        <w:rPr>
          <w:rFonts w:ascii="宋体" w:hAnsi="宋体"/>
          <w:sz w:val="24"/>
        </w:rPr>
        <w:t>2.1</w:t>
      </w:r>
      <w:r>
        <w:rPr>
          <w:rFonts w:hint="eastAsia" w:ascii="宋体" w:hAnsi="宋体"/>
          <w:sz w:val="24"/>
        </w:rPr>
        <w:t>“采购人”系指丽水市莲都区大数据发展中心；</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2“投标人”系指符合本项目投标人应具备的资格要求，依法获取招标文件并参与项目投标的供应商；</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3“采购代理机构”系指浙江建航工程咨询有限公司；</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4“负责人”系指法人企业的法定代表人，或其他组织为法律、行政法规规定代表单位行使职权的主要负责人；</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5“投标人代表”系指投标人委派的负责项目投标、开标、评审、签约等具体事务和签署相关文件的人员；</w:t>
      </w:r>
    </w:p>
    <w:p>
      <w:pPr>
        <w:spacing w:line="360" w:lineRule="auto"/>
        <w:ind w:firstLine="480" w:firstLineChars="200"/>
        <w:rPr>
          <w:rFonts w:ascii="宋体" w:hAnsi="宋体"/>
          <w:sz w:val="24"/>
        </w:rPr>
      </w:pPr>
      <w:r>
        <w:rPr>
          <w:rFonts w:hint="eastAsia" w:ascii="宋体" w:hAnsi="宋体"/>
          <w:sz w:val="24"/>
        </w:rPr>
        <w:t>2.6“合同”系指采购人与中标人双方签署的规定双方权利与义务的协议，以及所有的附件、附录和招标文件所提到的构成合同的所有文件；</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7“产品”系指投标人按招标文件规定，须向采购人提供的一切产品（包括：虚拟产品），以及产品相关的保险、税金、备品备件、附件、耗材、工具、手册及其它有关技术资料和材料等；</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8“服务”系指投标人按招标文件规定应承担的编制服务以及其他类似的附随义务；</w:t>
      </w:r>
    </w:p>
    <w:p>
      <w:pPr>
        <w:spacing w:line="360" w:lineRule="auto"/>
        <w:ind w:firstLine="482" w:firstLineChars="200"/>
        <w:rPr>
          <w:rFonts w:ascii="宋体" w:hAnsi="宋体"/>
          <w:b/>
          <w:bCs/>
          <w:sz w:val="24"/>
        </w:rPr>
      </w:pPr>
      <w:r>
        <w:rPr>
          <w:rFonts w:hint="eastAsia" w:ascii="宋体" w:hAnsi="宋体"/>
          <w:b/>
          <w:bCs/>
          <w:sz w:val="24"/>
        </w:rPr>
        <w:t>2.9本文件所指的公章均指投标人的CA电子章（如联合体参加投标的，指牵头人CA电子章，联合体成员方按格式要求盖章即可）；</w:t>
      </w:r>
    </w:p>
    <w:p>
      <w:pPr>
        <w:spacing w:line="360" w:lineRule="auto"/>
        <w:ind w:firstLine="480" w:firstLineChars="200"/>
        <w:rPr>
          <w:rFonts w:ascii="宋体" w:hAnsi="宋体"/>
          <w:b/>
          <w:bCs/>
          <w:sz w:val="24"/>
        </w:rPr>
      </w:pPr>
      <w:r>
        <w:rPr>
          <w:rFonts w:hint="eastAsia" w:ascii="宋体" w:hAnsi="宋体"/>
          <w:bCs/>
          <w:sz w:val="24"/>
        </w:rPr>
        <w:t>2.10“▲”系指实质性要求条款，不允许负偏离。</w:t>
      </w:r>
    </w:p>
    <w:p>
      <w:pPr>
        <w:spacing w:line="360" w:lineRule="auto"/>
        <w:ind w:firstLine="482" w:firstLineChars="200"/>
        <w:rPr>
          <w:rFonts w:ascii="宋体" w:hAnsi="宋体"/>
          <w:b/>
          <w:sz w:val="24"/>
        </w:rPr>
      </w:pPr>
      <w:r>
        <w:rPr>
          <w:rFonts w:ascii="宋体" w:hAnsi="宋体"/>
          <w:b/>
          <w:sz w:val="24"/>
        </w:rPr>
        <w:t>3.</w:t>
      </w:r>
      <w:r>
        <w:rPr>
          <w:rFonts w:hint="eastAsia" w:ascii="宋体" w:hAnsi="宋体"/>
          <w:b/>
          <w:sz w:val="24"/>
        </w:rPr>
        <w:t>投标人基本要求</w:t>
      </w:r>
    </w:p>
    <w:p>
      <w:pPr>
        <w:spacing w:line="360" w:lineRule="auto"/>
        <w:ind w:firstLine="480" w:firstLineChars="200"/>
        <w:rPr>
          <w:rFonts w:ascii="宋体" w:hAnsi="宋体"/>
          <w:sz w:val="24"/>
        </w:rPr>
      </w:pPr>
      <w:r>
        <w:rPr>
          <w:rFonts w:ascii="宋体" w:hAnsi="宋体"/>
          <w:sz w:val="24"/>
        </w:rPr>
        <w:t>3.1</w:t>
      </w:r>
      <w:r>
        <w:rPr>
          <w:rFonts w:hint="eastAsia" w:ascii="宋体" w:hAnsi="宋体"/>
          <w:sz w:val="24"/>
        </w:rPr>
        <w:t>符合第一章第“二”条规定；</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2投标人应遵守有关的法律、法规和规章条例。</w:t>
      </w:r>
    </w:p>
    <w:p>
      <w:pPr>
        <w:spacing w:line="360" w:lineRule="auto"/>
        <w:ind w:firstLine="482" w:firstLineChars="200"/>
        <w:rPr>
          <w:rFonts w:ascii="宋体" w:hAnsi="宋体"/>
          <w:b/>
          <w:sz w:val="24"/>
        </w:rPr>
      </w:pPr>
      <w:r>
        <w:rPr>
          <w:rFonts w:hint="eastAsia" w:ascii="宋体" w:hAnsi="宋体"/>
          <w:b/>
          <w:sz w:val="24"/>
        </w:rPr>
        <w:t>4</w:t>
      </w:r>
      <w:r>
        <w:rPr>
          <w:rFonts w:ascii="宋体" w:hAnsi="宋体"/>
          <w:b/>
          <w:sz w:val="24"/>
        </w:rPr>
        <w:t>.</w:t>
      </w:r>
      <w:r>
        <w:rPr>
          <w:rFonts w:hint="eastAsia" w:ascii="宋体" w:hAnsi="宋体"/>
          <w:b/>
          <w:sz w:val="24"/>
        </w:rPr>
        <w:t>联合体说明</w:t>
      </w:r>
    </w:p>
    <w:p>
      <w:pPr>
        <w:spacing w:line="360" w:lineRule="auto"/>
        <w:ind w:firstLine="480" w:firstLineChars="200"/>
        <w:rPr>
          <w:rFonts w:ascii="宋体" w:hAnsi="宋体"/>
          <w:sz w:val="24"/>
        </w:rPr>
      </w:pPr>
      <w:r>
        <w:rPr>
          <w:rFonts w:hint="eastAsia" w:ascii="宋体" w:hAnsi="宋体"/>
          <w:sz w:val="24"/>
        </w:rPr>
        <w:t>▲4.1联合体投标时除应符合招标公告规定的合格投标人的资格要求外，还应遵守以下规定：</w:t>
      </w:r>
    </w:p>
    <w:p>
      <w:pPr>
        <w:spacing w:line="360" w:lineRule="auto"/>
        <w:ind w:firstLine="360" w:firstLineChars="150"/>
        <w:rPr>
          <w:rFonts w:ascii="宋体" w:hAnsi="宋体"/>
          <w:sz w:val="24"/>
        </w:rPr>
      </w:pPr>
      <w:r>
        <w:rPr>
          <w:rFonts w:hint="eastAsia" w:ascii="宋体" w:hAnsi="宋体"/>
          <w:sz w:val="24"/>
        </w:rPr>
        <w:t>（1）联合体各方应按招标文件提供的格式签订联合体协议书，明确联合体牵头人和各方工作内容和义务；</w:t>
      </w:r>
    </w:p>
    <w:p>
      <w:pPr>
        <w:spacing w:line="360" w:lineRule="auto"/>
        <w:ind w:firstLine="360" w:firstLineChars="150"/>
        <w:rPr>
          <w:rFonts w:ascii="宋体" w:hAnsi="宋体"/>
          <w:sz w:val="24"/>
        </w:rPr>
      </w:pPr>
      <w:r>
        <w:rPr>
          <w:rFonts w:hint="eastAsia" w:ascii="宋体" w:hAnsi="宋体"/>
          <w:sz w:val="24"/>
        </w:rPr>
        <w:t>（2）联合体中有同类资质的投标人按照联合体分工承担相同工作的，应当按照资质等级较低的投标人确定联合体的资质等级；</w:t>
      </w:r>
    </w:p>
    <w:p>
      <w:pPr>
        <w:spacing w:line="360" w:lineRule="auto"/>
        <w:ind w:firstLine="360" w:firstLineChars="150"/>
        <w:rPr>
          <w:rFonts w:ascii="宋体" w:hAnsi="宋体"/>
          <w:sz w:val="24"/>
        </w:rPr>
      </w:pPr>
      <w:r>
        <w:rPr>
          <w:rFonts w:hint="eastAsia" w:ascii="宋体" w:hAnsi="宋体"/>
          <w:sz w:val="24"/>
        </w:rPr>
        <w:t>（3）联合体各方不得再单独参加或者与其他投标人另外组成联合体参加同一合同项下的投标；</w:t>
      </w:r>
    </w:p>
    <w:p>
      <w:pPr>
        <w:spacing w:line="360" w:lineRule="auto"/>
        <w:ind w:firstLine="360" w:firstLineChars="150"/>
        <w:rPr>
          <w:rFonts w:ascii="宋体" w:hAnsi="宋体"/>
          <w:sz w:val="24"/>
        </w:rPr>
      </w:pPr>
      <w:r>
        <w:rPr>
          <w:rFonts w:hint="eastAsia" w:ascii="宋体" w:hAnsi="宋体"/>
          <w:sz w:val="24"/>
        </w:rPr>
        <w:t>（4）联合体各方应当共同与招标人签订采购合同，就采购合同约定的事项对招标人承担连带责任。</w:t>
      </w:r>
    </w:p>
    <w:p>
      <w:pPr>
        <w:spacing w:line="360" w:lineRule="auto"/>
        <w:ind w:firstLine="482" w:firstLineChars="200"/>
        <w:rPr>
          <w:rFonts w:ascii="宋体" w:hAnsi="宋体"/>
          <w:b/>
          <w:sz w:val="24"/>
        </w:rPr>
      </w:pPr>
      <w:r>
        <w:rPr>
          <w:rFonts w:hint="eastAsia" w:ascii="宋体" w:hAnsi="宋体"/>
          <w:b/>
          <w:sz w:val="24"/>
        </w:rPr>
        <w:t>5.特别说明</w:t>
      </w:r>
    </w:p>
    <w:p>
      <w:pPr>
        <w:spacing w:line="360" w:lineRule="auto"/>
        <w:ind w:firstLine="480" w:firstLineChars="200"/>
        <w:rPr>
          <w:rFonts w:ascii="宋体" w:hAnsi="宋体"/>
          <w:bCs/>
          <w:sz w:val="24"/>
        </w:rPr>
      </w:pPr>
      <w:r>
        <w:rPr>
          <w:rFonts w:hint="eastAsia" w:ascii="宋体" w:hAnsi="宋体"/>
          <w:bCs/>
          <w:sz w:val="24"/>
        </w:rPr>
        <w:t>▲5.1</w:t>
      </w:r>
      <w:r>
        <w:rPr>
          <w:rFonts w:hint="eastAsia" w:ascii="宋体" w:hAnsi="宋体"/>
          <w:sz w:val="24"/>
        </w:rPr>
        <w:t>单位负责人为同一人或者存在直接控股、管理关系的不同投标人，不得参加同一合同项下的政府采购活动；</w:t>
      </w:r>
    </w:p>
    <w:p>
      <w:pPr>
        <w:spacing w:line="360" w:lineRule="auto"/>
        <w:ind w:firstLine="482" w:firstLineChars="200"/>
        <w:rPr>
          <w:rFonts w:ascii="宋体" w:hAnsi="宋体"/>
          <w:sz w:val="24"/>
        </w:rPr>
      </w:pPr>
      <w:r>
        <w:rPr>
          <w:rFonts w:hint="eastAsia" w:ascii="宋体" w:hAnsi="宋体"/>
          <w:b/>
          <w:bCs/>
          <w:sz w:val="24"/>
        </w:rPr>
        <w:t>▲</w:t>
      </w:r>
      <w:r>
        <w:rPr>
          <w:rFonts w:hint="eastAsia" w:ascii="宋体" w:hAnsi="宋体"/>
          <w:sz w:val="24"/>
        </w:rPr>
        <w:t>5.2为采购项目提供整体设计、规范编制或者项目管理、监理、检测等服务的投标人，不得再参加该采购项目的其他采购活动；</w:t>
      </w:r>
    </w:p>
    <w:p>
      <w:pPr>
        <w:spacing w:line="360" w:lineRule="auto"/>
        <w:ind w:firstLine="480" w:firstLineChars="200"/>
        <w:rPr>
          <w:rFonts w:ascii="宋体" w:hAnsi="宋体"/>
        </w:rPr>
      </w:pPr>
      <w:r>
        <w:rPr>
          <w:rFonts w:hint="eastAsia" w:ascii="宋体" w:hAnsi="宋体"/>
          <w:sz w:val="24"/>
        </w:rPr>
        <w:t>5.3投标人自行承担所有与投标有关的全部费用。</w:t>
      </w:r>
    </w:p>
    <w:p>
      <w:pPr>
        <w:pStyle w:val="4"/>
        <w:spacing w:line="560" w:lineRule="exact"/>
        <w:ind w:firstLine="0" w:firstLineChars="0"/>
        <w:rPr>
          <w:rFonts w:ascii="宋体" w:hAnsi="宋体" w:eastAsia="宋体"/>
        </w:rPr>
      </w:pPr>
      <w:bookmarkStart w:id="23" w:name="_Toc41577867"/>
      <w:bookmarkStart w:id="24" w:name="_Toc31283"/>
      <w:r>
        <w:rPr>
          <w:rFonts w:hint="eastAsia" w:ascii="宋体" w:hAnsi="宋体" w:eastAsia="宋体"/>
        </w:rPr>
        <w:t>二  标文件说明</w:t>
      </w:r>
      <w:bookmarkEnd w:id="23"/>
      <w:bookmarkEnd w:id="24"/>
    </w:p>
    <w:p>
      <w:pPr>
        <w:spacing w:line="360" w:lineRule="auto"/>
        <w:ind w:firstLine="482" w:firstLineChars="200"/>
        <w:rPr>
          <w:rFonts w:ascii="宋体" w:hAnsi="宋体"/>
          <w:b/>
          <w:sz w:val="24"/>
        </w:rPr>
      </w:pPr>
      <w:r>
        <w:rPr>
          <w:rFonts w:hint="eastAsia" w:ascii="宋体" w:hAnsi="宋体"/>
          <w:b/>
          <w:sz w:val="24"/>
        </w:rPr>
        <w:t>6</w:t>
      </w:r>
      <w:r>
        <w:rPr>
          <w:rFonts w:ascii="宋体" w:hAnsi="宋体"/>
          <w:b/>
          <w:sz w:val="24"/>
        </w:rPr>
        <w:t>.</w:t>
      </w:r>
      <w:r>
        <w:rPr>
          <w:rFonts w:hint="eastAsia" w:ascii="宋体" w:hAnsi="宋体"/>
          <w:b/>
          <w:sz w:val="24"/>
        </w:rPr>
        <w:t>招标文件的构成</w:t>
      </w:r>
    </w:p>
    <w:p>
      <w:pPr>
        <w:spacing w:line="360" w:lineRule="auto"/>
        <w:ind w:firstLine="480" w:firstLineChars="200"/>
        <w:rPr>
          <w:rFonts w:ascii="宋体" w:hAnsi="宋体"/>
          <w:sz w:val="24"/>
        </w:rPr>
      </w:pPr>
      <w:r>
        <w:rPr>
          <w:rFonts w:hint="eastAsia" w:ascii="宋体" w:hAnsi="宋体"/>
          <w:sz w:val="24"/>
        </w:rPr>
        <w:t>6</w:t>
      </w:r>
      <w:r>
        <w:rPr>
          <w:rFonts w:ascii="宋体" w:hAnsi="宋体"/>
          <w:sz w:val="24"/>
        </w:rPr>
        <w:t>.1</w:t>
      </w:r>
      <w:r>
        <w:rPr>
          <w:rFonts w:hint="eastAsia" w:ascii="宋体" w:hAnsi="宋体"/>
          <w:sz w:val="24"/>
        </w:rPr>
        <w:t>招标文件用以阐明所需货物及服务、招标、投标程序和合同条款。招标文件由下述部分组成：</w:t>
      </w:r>
    </w:p>
    <w:p>
      <w:pPr>
        <w:spacing w:line="360" w:lineRule="auto"/>
        <w:ind w:firstLine="480" w:firstLineChars="200"/>
        <w:rPr>
          <w:rFonts w:ascii="宋体" w:hAnsi="宋体"/>
          <w:sz w:val="24"/>
        </w:rPr>
      </w:pPr>
      <w:r>
        <w:rPr>
          <w:rFonts w:hint="eastAsia" w:ascii="宋体" w:hAnsi="宋体"/>
          <w:sz w:val="24"/>
        </w:rPr>
        <w:t>6.1.1招标公告；</w:t>
      </w:r>
    </w:p>
    <w:p>
      <w:pPr>
        <w:spacing w:line="360" w:lineRule="auto"/>
        <w:ind w:firstLine="480" w:firstLineChars="200"/>
        <w:rPr>
          <w:rFonts w:ascii="宋体" w:hAnsi="宋体"/>
          <w:sz w:val="24"/>
        </w:rPr>
      </w:pPr>
      <w:r>
        <w:rPr>
          <w:rFonts w:hint="eastAsia" w:ascii="宋体" w:hAnsi="宋体"/>
          <w:sz w:val="24"/>
        </w:rPr>
        <w:t>6.1.2投标人须知；</w:t>
      </w:r>
    </w:p>
    <w:p>
      <w:pPr>
        <w:spacing w:line="360" w:lineRule="auto"/>
        <w:ind w:firstLine="480" w:firstLineChars="200"/>
        <w:rPr>
          <w:rFonts w:ascii="宋体" w:hAnsi="宋体"/>
          <w:sz w:val="24"/>
        </w:rPr>
      </w:pPr>
      <w:r>
        <w:rPr>
          <w:rFonts w:hint="eastAsia" w:ascii="宋体" w:hAnsi="宋体"/>
          <w:sz w:val="24"/>
        </w:rPr>
        <w:t>6.1.3采购需求；</w:t>
      </w:r>
    </w:p>
    <w:p>
      <w:pPr>
        <w:spacing w:line="360" w:lineRule="auto"/>
        <w:ind w:firstLine="480" w:firstLineChars="200"/>
        <w:rPr>
          <w:rFonts w:ascii="宋体" w:hAnsi="宋体"/>
          <w:sz w:val="24"/>
        </w:rPr>
      </w:pPr>
      <w:r>
        <w:rPr>
          <w:rFonts w:hint="eastAsia" w:ascii="宋体" w:hAnsi="宋体"/>
          <w:sz w:val="24"/>
        </w:rPr>
        <w:t>6.1.4政府采购合同格式；</w:t>
      </w:r>
    </w:p>
    <w:p>
      <w:pPr>
        <w:spacing w:line="360" w:lineRule="auto"/>
        <w:ind w:firstLine="480" w:firstLineChars="200"/>
        <w:rPr>
          <w:rFonts w:ascii="宋体" w:hAnsi="宋体"/>
          <w:sz w:val="24"/>
        </w:rPr>
      </w:pPr>
      <w:r>
        <w:rPr>
          <w:rFonts w:hint="eastAsia" w:ascii="宋体" w:hAnsi="宋体"/>
          <w:sz w:val="24"/>
        </w:rPr>
        <w:t>6.1.5投标相关文件格式；</w:t>
      </w:r>
    </w:p>
    <w:p>
      <w:pPr>
        <w:spacing w:line="360" w:lineRule="auto"/>
        <w:ind w:firstLine="480" w:firstLineChars="200"/>
        <w:rPr>
          <w:rFonts w:ascii="宋体" w:hAnsi="宋体"/>
          <w:sz w:val="24"/>
        </w:rPr>
      </w:pPr>
      <w:r>
        <w:rPr>
          <w:rFonts w:hint="eastAsia" w:ascii="宋体" w:hAnsi="宋体"/>
          <w:sz w:val="24"/>
        </w:rPr>
        <w:t>6.1.6评标办法和细则；</w:t>
      </w:r>
    </w:p>
    <w:p>
      <w:pPr>
        <w:spacing w:line="360" w:lineRule="auto"/>
        <w:ind w:firstLine="480" w:firstLineChars="200"/>
        <w:rPr>
          <w:rFonts w:ascii="宋体" w:hAnsi="宋体"/>
          <w:sz w:val="24"/>
        </w:rPr>
      </w:pPr>
      <w:r>
        <w:rPr>
          <w:rFonts w:hint="eastAsia" w:ascii="宋体" w:hAnsi="宋体"/>
          <w:sz w:val="24"/>
        </w:rPr>
        <w:t>6.1.7与本项目有关的招标文件澄清、答复、修改、补充的内容。</w:t>
      </w:r>
    </w:p>
    <w:p>
      <w:pPr>
        <w:spacing w:line="360" w:lineRule="auto"/>
        <w:ind w:firstLine="482" w:firstLineChars="200"/>
        <w:rPr>
          <w:rFonts w:ascii="宋体" w:hAnsi="宋体"/>
          <w:b/>
          <w:sz w:val="24"/>
        </w:rPr>
      </w:pPr>
      <w:r>
        <w:rPr>
          <w:rFonts w:hint="eastAsia" w:ascii="宋体" w:hAnsi="宋体"/>
          <w:b/>
          <w:sz w:val="24"/>
        </w:rPr>
        <w:t>7.投标人的风险</w:t>
      </w:r>
    </w:p>
    <w:p>
      <w:pPr>
        <w:spacing w:line="360" w:lineRule="auto"/>
        <w:ind w:firstLine="480" w:firstLineChars="200"/>
        <w:rPr>
          <w:rFonts w:ascii="宋体" w:hAnsi="宋体"/>
          <w:sz w:val="24"/>
        </w:rPr>
      </w:pPr>
      <w:r>
        <w:rPr>
          <w:rFonts w:hint="eastAsia" w:ascii="宋体" w:hAnsi="宋体"/>
          <w:sz w:val="24"/>
        </w:rPr>
        <w:t>7.1投标人应认真阅读招标文件中的所有条款。投标人没有按照招标文件的要求提供全部资料，或者投标人没有对招标文件在各方面作出实质性响应是投标人的风险，并可能导致其投标被拒绝。</w:t>
      </w:r>
    </w:p>
    <w:p>
      <w:pPr>
        <w:spacing w:line="360" w:lineRule="auto"/>
        <w:ind w:firstLine="482" w:firstLineChars="200"/>
        <w:rPr>
          <w:rFonts w:ascii="宋体" w:hAnsi="宋体"/>
          <w:b/>
          <w:sz w:val="24"/>
        </w:rPr>
      </w:pPr>
      <w:r>
        <w:rPr>
          <w:rFonts w:hint="eastAsia" w:ascii="宋体" w:hAnsi="宋体"/>
          <w:b/>
          <w:sz w:val="24"/>
        </w:rPr>
        <w:t>8</w:t>
      </w:r>
      <w:r>
        <w:rPr>
          <w:rFonts w:ascii="宋体" w:hAnsi="宋体"/>
          <w:b/>
          <w:sz w:val="24"/>
        </w:rPr>
        <w:t>.</w:t>
      </w:r>
      <w:r>
        <w:rPr>
          <w:rFonts w:hint="eastAsia" w:ascii="宋体" w:hAnsi="宋体"/>
          <w:b/>
          <w:sz w:val="24"/>
        </w:rPr>
        <w:t>招标文件的澄清和修改</w:t>
      </w:r>
    </w:p>
    <w:p>
      <w:pPr>
        <w:spacing w:line="360" w:lineRule="auto"/>
        <w:ind w:firstLine="480" w:firstLineChars="200"/>
        <w:rPr>
          <w:rFonts w:ascii="宋体" w:hAnsi="宋体"/>
          <w:sz w:val="24"/>
        </w:rPr>
      </w:pPr>
      <w:r>
        <w:rPr>
          <w:rFonts w:hint="eastAsia" w:ascii="宋体" w:hAnsi="宋体"/>
          <w:sz w:val="24"/>
        </w:rPr>
        <w:t>8.</w:t>
      </w:r>
      <w:r>
        <w:rPr>
          <w:rFonts w:ascii="宋体" w:hAnsi="宋体"/>
          <w:sz w:val="24"/>
        </w:rPr>
        <w:t>1</w:t>
      </w:r>
      <w:r>
        <w:rPr>
          <w:rFonts w:hint="eastAsia" w:ascii="宋体" w:hAnsi="宋体"/>
          <w:sz w:val="24"/>
        </w:rPr>
        <w:t>招标文件澄清、答复、修改、补充的内容为招标文件的组成部分；</w:t>
      </w:r>
    </w:p>
    <w:p>
      <w:pPr>
        <w:snapToGrid w:val="0"/>
        <w:spacing w:line="360" w:lineRule="auto"/>
        <w:ind w:firstLine="480" w:firstLineChars="200"/>
        <w:rPr>
          <w:rFonts w:ascii="宋体" w:hAnsi="宋体"/>
          <w:sz w:val="24"/>
        </w:rPr>
      </w:pPr>
      <w:r>
        <w:rPr>
          <w:rFonts w:hint="eastAsia" w:ascii="宋体" w:hAnsi="宋体"/>
          <w:sz w:val="24"/>
        </w:rPr>
        <w:t>8.2依法获取招标文件的投标人应认真阅读招标文件，如有疑问应于招标文件规定的时间前向采购代理机构提出澄清申请。采购代理机构对已发出的招标文件进行必要的澄清或者修改，澄清或者修改内容可能影响投标文件编制的，采购代理机构在投标截止时间15日前,在“浙江政府采购网</w:t>
      </w:r>
      <w:r>
        <w:fldChar w:fldCharType="begin"/>
      </w:r>
      <w:r>
        <w:instrText xml:space="preserve"> HYPERLINK "http://60.190.126.3:8080/wcm/WCMV6/editor/editor/招标文件（新版）.doc" </w:instrText>
      </w:r>
      <w:r>
        <w:fldChar w:fldCharType="separate"/>
      </w:r>
      <w:r>
        <w:rPr>
          <w:rStyle w:val="120"/>
          <w:rFonts w:hint="default"/>
          <w:color w:val="auto"/>
        </w:rPr>
        <w:t>http://zfcg.czt.zj.gov.cn/</w:t>
      </w:r>
      <w:r>
        <w:rPr>
          <w:rStyle w:val="120"/>
          <w:rFonts w:hint="default"/>
          <w:color w:val="auto"/>
        </w:rPr>
        <w:fldChar w:fldCharType="end"/>
      </w:r>
      <w:r>
        <w:rPr>
          <w:rFonts w:hint="eastAsia" w:ascii="宋体" w:hAnsi="宋体" w:cs="仿宋_GB2312"/>
          <w:color w:val="000000"/>
          <w:sz w:val="24"/>
        </w:rPr>
        <w:t>、丽水市公共资源交易网（莲都）http://lssggzy.lishui.gov.cn/ldweb/</w:t>
      </w:r>
      <w:r>
        <w:rPr>
          <w:rStyle w:val="120"/>
          <w:rFonts w:hint="default"/>
          <w:color w:val="auto"/>
        </w:rPr>
        <w:t>”</w:t>
      </w:r>
      <w:r>
        <w:rPr>
          <w:rFonts w:hint="eastAsia" w:ascii="宋体" w:hAnsi="宋体"/>
          <w:sz w:val="24"/>
        </w:rPr>
        <w:t>发布更正公告，并对其具有约束力。不足15日的，采购代理机构有权顺延提交投标文件的截止时间。</w:t>
      </w:r>
    </w:p>
    <w:p>
      <w:pPr>
        <w:pStyle w:val="4"/>
        <w:spacing w:line="560" w:lineRule="exact"/>
        <w:ind w:firstLine="0" w:firstLineChars="0"/>
        <w:rPr>
          <w:rFonts w:ascii="宋体" w:hAnsi="宋体" w:eastAsia="宋体"/>
        </w:rPr>
      </w:pPr>
      <w:bookmarkStart w:id="25" w:name="_Toc41577868"/>
      <w:bookmarkStart w:id="26" w:name="_Toc2307"/>
      <w:r>
        <w:rPr>
          <w:rFonts w:hint="eastAsia" w:ascii="宋体" w:hAnsi="宋体" w:eastAsia="宋体"/>
        </w:rPr>
        <w:t>三  投标文件的编写</w:t>
      </w:r>
      <w:bookmarkEnd w:id="25"/>
      <w:bookmarkEnd w:id="26"/>
    </w:p>
    <w:p>
      <w:pPr>
        <w:spacing w:line="360" w:lineRule="auto"/>
        <w:ind w:firstLine="482" w:firstLineChars="200"/>
        <w:rPr>
          <w:rFonts w:ascii="宋体" w:hAnsi="宋体"/>
          <w:b/>
          <w:sz w:val="24"/>
        </w:rPr>
      </w:pPr>
      <w:r>
        <w:rPr>
          <w:rFonts w:hint="eastAsia" w:ascii="宋体" w:hAnsi="宋体"/>
          <w:b/>
          <w:sz w:val="24"/>
        </w:rPr>
        <w:t>9</w:t>
      </w:r>
      <w:r>
        <w:rPr>
          <w:rFonts w:ascii="宋体" w:hAnsi="宋体"/>
          <w:b/>
          <w:sz w:val="24"/>
        </w:rPr>
        <w:t>.</w:t>
      </w:r>
      <w:r>
        <w:rPr>
          <w:rFonts w:hint="eastAsia" w:ascii="宋体" w:hAnsi="宋体"/>
          <w:b/>
          <w:sz w:val="24"/>
        </w:rPr>
        <w:t>要求</w:t>
      </w:r>
    </w:p>
    <w:p>
      <w:pPr>
        <w:spacing w:line="360" w:lineRule="auto"/>
        <w:ind w:firstLine="480" w:firstLineChars="200"/>
        <w:rPr>
          <w:rFonts w:ascii="宋体" w:hAnsi="宋体"/>
          <w:sz w:val="24"/>
        </w:rPr>
      </w:pPr>
      <w:r>
        <w:rPr>
          <w:rFonts w:hint="eastAsia" w:ascii="宋体" w:hAnsi="宋体"/>
          <w:sz w:val="24"/>
        </w:rPr>
        <w:t>9</w:t>
      </w:r>
      <w:r>
        <w:rPr>
          <w:rFonts w:ascii="宋体" w:hAnsi="宋体"/>
          <w:sz w:val="24"/>
        </w:rPr>
        <w:t>.1</w:t>
      </w:r>
      <w:r>
        <w:rPr>
          <w:rFonts w:hint="eastAsia" w:ascii="宋体" w:hAnsi="宋体"/>
          <w:sz w:val="24"/>
        </w:rPr>
        <w:t>投标人应仔细阅读招标文件的所有内容，按照招标文件的要求提交投标文件，并对所提供的全部资料的真实性承担法律责任；</w:t>
      </w:r>
    </w:p>
    <w:p>
      <w:pPr>
        <w:spacing w:line="360" w:lineRule="auto"/>
        <w:ind w:firstLine="480" w:firstLineChars="200"/>
        <w:rPr>
          <w:rFonts w:ascii="宋体" w:hAnsi="宋体"/>
          <w:sz w:val="24"/>
        </w:rPr>
      </w:pPr>
      <w:r>
        <w:rPr>
          <w:rFonts w:hint="eastAsia" w:ascii="宋体" w:hAnsi="宋体"/>
          <w:sz w:val="24"/>
        </w:rPr>
        <w:t>9.2投标文件、投标人与采购有关的往来通知、函件和文件均应使用中文。如涉及非中文内容的，投标人有义务将其内容翻译成中文，一切对非中文内容的误解，都将由投标人承担；</w:t>
      </w:r>
    </w:p>
    <w:p>
      <w:pPr>
        <w:spacing w:line="360" w:lineRule="auto"/>
        <w:ind w:firstLine="480" w:firstLineChars="200"/>
        <w:rPr>
          <w:rFonts w:ascii="宋体" w:hAnsi="宋体"/>
          <w:sz w:val="24"/>
        </w:rPr>
      </w:pPr>
      <w:r>
        <w:rPr>
          <w:rFonts w:hint="eastAsia" w:ascii="宋体" w:hAnsi="宋体"/>
          <w:sz w:val="24"/>
        </w:rPr>
        <w:t>9.3投标文件的形式和效力：</w:t>
      </w:r>
    </w:p>
    <w:p>
      <w:pPr>
        <w:snapToGrid w:val="0"/>
        <w:spacing w:line="360" w:lineRule="auto"/>
        <w:ind w:firstLine="482" w:firstLineChars="200"/>
        <w:rPr>
          <w:rFonts w:ascii="宋体" w:hAnsi="宋体"/>
          <w:b/>
          <w:sz w:val="24"/>
        </w:rPr>
      </w:pPr>
      <w:r>
        <w:rPr>
          <w:rFonts w:hint="eastAsia" w:ascii="宋体" w:hAnsi="宋体"/>
          <w:b/>
          <w:sz w:val="24"/>
        </w:rPr>
        <w:t>9.3.1 投标文件的形式：投标文件分为电子投标文件、备份投标文件。</w:t>
      </w:r>
    </w:p>
    <w:p>
      <w:pPr>
        <w:snapToGrid w:val="0"/>
        <w:spacing w:line="360" w:lineRule="auto"/>
        <w:ind w:firstLine="482" w:firstLineChars="200"/>
        <w:rPr>
          <w:rFonts w:ascii="宋体" w:hAnsi="宋体"/>
          <w:b/>
          <w:sz w:val="24"/>
        </w:rPr>
      </w:pPr>
      <w:r>
        <w:rPr>
          <w:rFonts w:hint="eastAsia" w:ascii="宋体" w:hAnsi="宋体"/>
          <w:b/>
          <w:sz w:val="24"/>
        </w:rPr>
        <w:t>9.3.2 投标文件的效力：</w:t>
      </w:r>
    </w:p>
    <w:p>
      <w:pPr>
        <w:snapToGrid w:val="0"/>
        <w:spacing w:line="360" w:lineRule="auto"/>
        <w:ind w:firstLine="480" w:firstLineChars="200"/>
        <w:rPr>
          <w:rFonts w:ascii="宋体" w:hAnsi="宋体"/>
          <w:sz w:val="24"/>
        </w:rPr>
      </w:pPr>
      <w:r>
        <w:rPr>
          <w:rFonts w:hint="eastAsia" w:ascii="宋体" w:hAnsi="宋体"/>
          <w:sz w:val="24"/>
        </w:rPr>
        <w:t>投标文件的启用，按先后顺位分别为电子投标文件、备份投标文件。</w:t>
      </w:r>
    </w:p>
    <w:p>
      <w:pPr>
        <w:snapToGrid w:val="0"/>
        <w:spacing w:line="360" w:lineRule="auto"/>
        <w:ind w:firstLine="480" w:firstLineChars="200"/>
        <w:rPr>
          <w:rFonts w:ascii="宋体" w:hAnsi="宋体"/>
          <w:sz w:val="24"/>
        </w:rPr>
      </w:pPr>
      <w:r>
        <w:rPr>
          <w:rFonts w:hint="eastAsia" w:ascii="宋体" w:hAnsi="宋体"/>
          <w:sz w:val="24"/>
        </w:rPr>
        <w:t>电子投标文件未按时解密，投标人已在规定时间内按规定方式提交了备份投标文件，以备份投标文件为依据，否则视为投标文件撤回；电子投标文件已按时解密的，备份投标文件自动失效。</w:t>
      </w:r>
    </w:p>
    <w:p>
      <w:pPr>
        <w:spacing w:line="360" w:lineRule="auto"/>
        <w:ind w:firstLine="482" w:firstLineChars="200"/>
        <w:rPr>
          <w:rFonts w:ascii="宋体" w:hAnsi="宋体"/>
          <w:b/>
          <w:sz w:val="24"/>
        </w:rPr>
      </w:pPr>
      <w:r>
        <w:rPr>
          <w:rFonts w:hint="eastAsia" w:ascii="宋体" w:hAnsi="宋体"/>
          <w:b/>
          <w:sz w:val="24"/>
        </w:rPr>
        <w:t>10</w:t>
      </w:r>
      <w:r>
        <w:rPr>
          <w:rFonts w:ascii="宋体" w:hAnsi="宋体"/>
          <w:b/>
          <w:sz w:val="24"/>
        </w:rPr>
        <w:t>.</w:t>
      </w:r>
      <w:r>
        <w:rPr>
          <w:rFonts w:hint="eastAsia" w:ascii="宋体" w:hAnsi="宋体"/>
          <w:b/>
          <w:sz w:val="24"/>
        </w:rPr>
        <w:t>投标文件的组成</w:t>
      </w:r>
    </w:p>
    <w:p>
      <w:pPr>
        <w:spacing w:line="360" w:lineRule="auto"/>
        <w:ind w:firstLine="480" w:firstLineChars="200"/>
        <w:rPr>
          <w:rFonts w:ascii="宋体" w:hAnsi="宋体"/>
          <w:b/>
          <w:sz w:val="24"/>
        </w:rPr>
      </w:pPr>
      <w:r>
        <w:rPr>
          <w:rFonts w:hint="eastAsia" w:ascii="宋体" w:hAnsi="宋体"/>
          <w:sz w:val="24"/>
        </w:rPr>
        <w:t>▲</w:t>
      </w:r>
      <w:r>
        <w:rPr>
          <w:rFonts w:hint="eastAsia" w:ascii="宋体" w:hAnsi="宋体"/>
          <w:b/>
          <w:sz w:val="24"/>
        </w:rPr>
        <w:t>10</w:t>
      </w:r>
      <w:r>
        <w:rPr>
          <w:rFonts w:ascii="宋体" w:hAnsi="宋体"/>
          <w:b/>
          <w:sz w:val="24"/>
        </w:rPr>
        <w:t>.</w:t>
      </w:r>
      <w:r>
        <w:rPr>
          <w:rFonts w:hint="eastAsia" w:ascii="宋体" w:hAnsi="宋体"/>
          <w:b/>
          <w:sz w:val="24"/>
        </w:rPr>
        <w:t>1提交的投标文件应分为</w:t>
      </w:r>
      <w:r>
        <w:rPr>
          <w:rFonts w:hint="eastAsia" w:ascii="宋体" w:hAnsi="宋体"/>
          <w:b/>
          <w:kern w:val="0"/>
          <w:sz w:val="24"/>
        </w:rPr>
        <w:t>资格文件、</w:t>
      </w:r>
      <w:r>
        <w:rPr>
          <w:rFonts w:hint="eastAsia" w:ascii="宋体" w:hAnsi="宋体"/>
          <w:b/>
          <w:sz w:val="24"/>
        </w:rPr>
        <w:t>商务技术文件、报价文件三部分</w:t>
      </w:r>
      <w:r>
        <w:rPr>
          <w:rFonts w:hint="eastAsia" w:ascii="宋体" w:hAnsi="宋体"/>
          <w:sz w:val="24"/>
        </w:rPr>
        <w:t>。</w:t>
      </w:r>
      <w:r>
        <w:rPr>
          <w:rFonts w:hint="eastAsia" w:ascii="宋体" w:hAnsi="宋体"/>
          <w:b/>
          <w:sz w:val="24"/>
        </w:rPr>
        <w:t>资格文件、商务技术文件如有报价的内容, 其投标文件无效；</w:t>
      </w:r>
    </w:p>
    <w:p>
      <w:pPr>
        <w:spacing w:line="360" w:lineRule="auto"/>
        <w:ind w:firstLine="482" w:firstLineChars="200"/>
        <w:rPr>
          <w:rFonts w:ascii="宋体" w:hAnsi="宋体"/>
          <w:sz w:val="24"/>
        </w:rPr>
      </w:pPr>
      <w:r>
        <w:rPr>
          <w:rFonts w:hint="eastAsia" w:ascii="宋体" w:hAnsi="宋体"/>
          <w:b/>
          <w:sz w:val="24"/>
        </w:rPr>
        <w:t>10.2报价文件如有商务技术文件内容, 其商务技术文件内容评标时将作为无效内容。</w:t>
      </w:r>
    </w:p>
    <w:p>
      <w:pPr>
        <w:spacing w:line="360" w:lineRule="auto"/>
        <w:ind w:firstLine="482" w:firstLineChars="200"/>
        <w:rPr>
          <w:rFonts w:ascii="宋体" w:hAnsi="宋体"/>
          <w:b/>
          <w:sz w:val="24"/>
        </w:rPr>
      </w:pPr>
      <w:r>
        <w:rPr>
          <w:rFonts w:hint="eastAsia" w:ascii="宋体" w:hAnsi="宋体"/>
          <w:b/>
          <w:sz w:val="24"/>
        </w:rPr>
        <w:t>11.投标文件编制内容和要求</w:t>
      </w:r>
    </w:p>
    <w:p>
      <w:pPr>
        <w:spacing w:line="360" w:lineRule="auto"/>
        <w:ind w:firstLine="482" w:firstLineChars="200"/>
        <w:rPr>
          <w:rFonts w:ascii="宋体" w:hAnsi="宋体"/>
          <w:b/>
          <w:sz w:val="24"/>
        </w:rPr>
      </w:pPr>
      <w:r>
        <w:rPr>
          <w:rFonts w:hint="eastAsia" w:ascii="宋体" w:hAnsi="宋体"/>
          <w:b/>
          <w:sz w:val="24"/>
        </w:rPr>
        <w:t>11.1资格文件编制内容</w:t>
      </w:r>
      <w:r>
        <w:rPr>
          <w:rFonts w:ascii="宋体" w:hAnsi="宋体"/>
          <w:b/>
          <w:sz w:val="24"/>
        </w:rPr>
        <w:t>和要求</w:t>
      </w:r>
      <w:r>
        <w:rPr>
          <w:rFonts w:hint="eastAsia" w:ascii="宋体" w:hAnsi="宋体"/>
          <w:b/>
          <w:sz w:val="24"/>
        </w:rPr>
        <w:t>：</w:t>
      </w:r>
      <w:r>
        <w:rPr>
          <w:rFonts w:hint="eastAsia" w:ascii="宋体" w:hAnsi="宋体"/>
          <w:sz w:val="24"/>
        </w:rPr>
        <w:t>格式见</w:t>
      </w:r>
      <w:r>
        <w:rPr>
          <w:rFonts w:ascii="宋体" w:hAnsi="宋体"/>
          <w:sz w:val="24"/>
        </w:rPr>
        <w:t>第五章资格文件格式</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11.1.1</w:t>
      </w:r>
      <w:r>
        <w:rPr>
          <w:rFonts w:hint="eastAsia" w:ascii="宋体" w:hAnsi="宋体"/>
          <w:sz w:val="24"/>
        </w:rPr>
        <w:t>公司有效的营业执照；</w:t>
      </w:r>
    </w:p>
    <w:p>
      <w:pPr>
        <w:spacing w:line="360" w:lineRule="auto"/>
        <w:ind w:firstLine="480" w:firstLineChars="200"/>
        <w:rPr>
          <w:rFonts w:ascii="宋体" w:hAnsi="宋体"/>
          <w:sz w:val="24"/>
        </w:rPr>
      </w:pPr>
      <w:r>
        <w:rPr>
          <w:rFonts w:ascii="宋体" w:hAnsi="宋体"/>
          <w:sz w:val="24"/>
        </w:rPr>
        <w:t>11.1.</w:t>
      </w:r>
      <w:r>
        <w:rPr>
          <w:rFonts w:hint="eastAsia" w:ascii="宋体" w:hAnsi="宋体"/>
          <w:sz w:val="24"/>
        </w:rPr>
        <w:t xml:space="preserve"> 2联合体协议书或分包意向协议（11.1.2.1联合体协议书（▲联合体投标时须提供）11.1.2.2分包意向协议（▲合同分包的须提供））；</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11.1.</w:t>
      </w:r>
      <w:r>
        <w:rPr>
          <w:rFonts w:hint="eastAsia" w:ascii="宋体" w:hAnsi="宋体"/>
          <w:sz w:val="24"/>
        </w:rPr>
        <w:t>3投标人代表委派书；</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11.1.</w:t>
      </w:r>
      <w:r>
        <w:rPr>
          <w:rFonts w:hint="eastAsia" w:ascii="宋体" w:hAnsi="宋体"/>
          <w:sz w:val="24"/>
        </w:rPr>
        <w:t>4政府采购资格承诺函；</w:t>
      </w:r>
    </w:p>
    <w:p>
      <w:pPr>
        <w:spacing w:line="360" w:lineRule="auto"/>
        <w:ind w:firstLine="480" w:firstLineChars="200"/>
        <w:rPr>
          <w:rFonts w:ascii="宋体" w:hAnsi="宋体"/>
          <w:sz w:val="24"/>
        </w:rPr>
      </w:pPr>
      <w:r>
        <w:rPr>
          <w:rFonts w:hint="eastAsia" w:ascii="宋体" w:hAnsi="宋体"/>
          <w:sz w:val="24"/>
        </w:rPr>
        <w:t>▲11.1.5无重大违法记录声明书；</w:t>
      </w:r>
    </w:p>
    <w:p>
      <w:pPr>
        <w:spacing w:line="360" w:lineRule="auto"/>
        <w:ind w:firstLine="480" w:firstLineChars="200"/>
        <w:rPr>
          <w:rFonts w:ascii="宋体" w:hAnsi="宋体"/>
          <w:sz w:val="24"/>
        </w:rPr>
      </w:pPr>
      <w:r>
        <w:rPr>
          <w:rFonts w:hint="eastAsia" w:ascii="宋体" w:hAnsi="宋体"/>
          <w:sz w:val="24"/>
        </w:rPr>
        <w:t>▲11.1.6信用信息记录查询（注：本项内容由代理机构在资格审查现场完成查询，故不作装入资格文件要求。）</w:t>
      </w:r>
    </w:p>
    <w:p>
      <w:pPr>
        <w:spacing w:line="360" w:lineRule="auto"/>
        <w:ind w:firstLine="482" w:firstLineChars="200"/>
        <w:rPr>
          <w:rFonts w:ascii="宋体" w:hAnsi="宋体"/>
          <w:b/>
          <w:sz w:val="24"/>
        </w:rPr>
      </w:pPr>
      <w:r>
        <w:rPr>
          <w:rFonts w:hint="eastAsia" w:ascii="宋体" w:hAnsi="宋体"/>
          <w:b/>
          <w:sz w:val="24"/>
        </w:rPr>
        <w:t>注：</w:t>
      </w:r>
    </w:p>
    <w:p>
      <w:pPr>
        <w:pStyle w:val="133"/>
        <w:numPr>
          <w:ilvl w:val="0"/>
          <w:numId w:val="1"/>
        </w:numPr>
        <w:spacing w:line="360" w:lineRule="auto"/>
        <w:ind w:firstLineChars="0"/>
        <w:rPr>
          <w:rFonts w:ascii="宋体" w:hAnsi="宋体"/>
          <w:b/>
          <w:sz w:val="24"/>
        </w:rPr>
      </w:pPr>
      <w:r>
        <w:rPr>
          <w:rFonts w:hint="eastAsia" w:ascii="宋体" w:hAnsi="宋体"/>
          <w:b/>
          <w:sz w:val="24"/>
        </w:rPr>
        <w:t>资格审查不通过的，不视为合格投标人，不进入下一阶段评审；</w:t>
      </w:r>
    </w:p>
    <w:p>
      <w:pPr>
        <w:spacing w:line="360" w:lineRule="auto"/>
        <w:ind w:firstLine="482" w:firstLineChars="200"/>
        <w:rPr>
          <w:rFonts w:ascii="宋体" w:hAnsi="宋体"/>
          <w:b/>
          <w:sz w:val="24"/>
        </w:rPr>
      </w:pPr>
      <w:r>
        <w:rPr>
          <w:rFonts w:hint="eastAsia" w:ascii="宋体" w:hAnsi="宋体"/>
          <w:b/>
          <w:sz w:val="24"/>
        </w:rPr>
        <w:t>②资格审查顺序为电子交易平台解密后自动生成的“</w:t>
      </w:r>
      <w:r>
        <w:rPr>
          <w:rFonts w:ascii="宋体" w:hAnsi="宋体"/>
          <w:b/>
          <w:sz w:val="24"/>
        </w:rPr>
        <w:t>投标（响应）文件签收登记表”</w:t>
      </w:r>
      <w:r>
        <w:rPr>
          <w:rFonts w:hint="eastAsia" w:ascii="宋体" w:hAnsi="宋体"/>
          <w:b/>
          <w:sz w:val="24"/>
        </w:rPr>
        <w:t xml:space="preserve">名单顺序。 </w:t>
      </w:r>
    </w:p>
    <w:p>
      <w:pPr>
        <w:spacing w:line="360" w:lineRule="auto"/>
        <w:ind w:firstLine="480" w:firstLineChars="200"/>
        <w:rPr>
          <w:rFonts w:ascii="宋体" w:hAnsi="宋体"/>
          <w:sz w:val="24"/>
        </w:rPr>
      </w:pPr>
      <w:r>
        <w:rPr>
          <w:rFonts w:hint="eastAsia" w:ascii="宋体" w:hAnsi="宋体"/>
          <w:sz w:val="24"/>
        </w:rPr>
        <w:t>11.2商务技术文件编制内容和要求：</w:t>
      </w:r>
    </w:p>
    <w:p>
      <w:pPr>
        <w:spacing w:line="360" w:lineRule="auto"/>
        <w:ind w:firstLine="480" w:firstLineChars="200"/>
        <w:rPr>
          <w:rFonts w:ascii="宋体" w:hAnsi="宋体"/>
          <w:sz w:val="24"/>
        </w:rPr>
      </w:pPr>
      <w:r>
        <w:rPr>
          <w:rFonts w:hint="eastAsia" w:ascii="宋体" w:hAnsi="宋体"/>
          <w:sz w:val="24"/>
        </w:rPr>
        <w:t>11.2.1按招标文件第五章投标相关文件格式所列的内容、格式的要求,及投标人认为有必要提供的其它文件；</w:t>
      </w:r>
    </w:p>
    <w:p>
      <w:pPr>
        <w:spacing w:line="360" w:lineRule="auto"/>
        <w:ind w:firstLine="480" w:firstLineChars="200"/>
        <w:rPr>
          <w:rFonts w:ascii="宋体" w:hAnsi="宋体"/>
          <w:sz w:val="24"/>
        </w:rPr>
      </w:pPr>
      <w:r>
        <w:rPr>
          <w:rFonts w:hint="eastAsia" w:ascii="宋体" w:hAnsi="宋体"/>
          <w:sz w:val="24"/>
        </w:rPr>
        <w:t>11.2.2投标人需对照招标文件第三章招标要求所列的内容进行承诺；</w:t>
      </w:r>
    </w:p>
    <w:p>
      <w:pPr>
        <w:spacing w:line="360" w:lineRule="auto"/>
        <w:ind w:firstLine="480" w:firstLineChars="200"/>
        <w:rPr>
          <w:rFonts w:ascii="宋体" w:hAnsi="宋体"/>
          <w:sz w:val="24"/>
        </w:rPr>
      </w:pPr>
      <w:r>
        <w:rPr>
          <w:rFonts w:hint="eastAsia" w:ascii="宋体" w:hAnsi="宋体"/>
          <w:sz w:val="24"/>
        </w:rPr>
        <w:t>11.2.3投标人认为有必要提交的其他资料文件。</w:t>
      </w:r>
    </w:p>
    <w:p>
      <w:pPr>
        <w:spacing w:line="360" w:lineRule="auto"/>
        <w:ind w:firstLine="480" w:firstLineChars="200"/>
        <w:rPr>
          <w:rFonts w:ascii="宋体" w:hAnsi="宋体"/>
          <w:sz w:val="24"/>
        </w:rPr>
      </w:pPr>
      <w:r>
        <w:rPr>
          <w:rFonts w:hint="eastAsia" w:ascii="宋体" w:hAnsi="宋体"/>
          <w:sz w:val="24"/>
        </w:rPr>
        <w:t>11.3报价文件内容: 详见第五章格式。</w:t>
      </w:r>
    </w:p>
    <w:p>
      <w:pPr>
        <w:spacing w:line="360" w:lineRule="auto"/>
        <w:ind w:firstLine="480" w:firstLineChars="200"/>
        <w:rPr>
          <w:rFonts w:ascii="宋体" w:hAnsi="宋体"/>
          <w:b/>
          <w:sz w:val="24"/>
        </w:rPr>
      </w:pPr>
      <w:r>
        <w:rPr>
          <w:rFonts w:hint="eastAsia" w:ascii="宋体" w:hAnsi="宋体"/>
          <w:sz w:val="24"/>
        </w:rPr>
        <w:t>11.3</w:t>
      </w:r>
      <w:r>
        <w:rPr>
          <w:rFonts w:hint="eastAsia" w:ascii="宋体" w:hAnsi="宋体"/>
          <w:b/>
          <w:sz w:val="24"/>
        </w:rPr>
        <w:t>.</w:t>
      </w:r>
      <w:r>
        <w:rPr>
          <w:rFonts w:hint="eastAsia" w:ascii="宋体" w:hAnsi="宋体"/>
          <w:sz w:val="24"/>
        </w:rPr>
        <w:t>1投标报价要求</w:t>
      </w:r>
    </w:p>
    <w:p>
      <w:pPr>
        <w:spacing w:line="360" w:lineRule="auto"/>
        <w:ind w:firstLine="482" w:firstLineChars="200"/>
        <w:rPr>
          <w:rFonts w:ascii="宋体" w:hAnsi="宋体"/>
          <w:b/>
          <w:bCs/>
          <w:sz w:val="24"/>
        </w:rPr>
      </w:pPr>
      <w:r>
        <w:rPr>
          <w:rFonts w:hint="eastAsia" w:ascii="宋体" w:hAnsi="宋体"/>
          <w:b/>
          <w:bCs/>
          <w:sz w:val="24"/>
        </w:rPr>
        <w:t>▲投标人应在招标文件所附的投标报价表上写明投标报价。投标人只允许有一个报价,采购人不接受有任何选择性的报价。投标报价高于最高限价的作投标文件无效处理。</w:t>
      </w:r>
    </w:p>
    <w:p>
      <w:pPr>
        <w:spacing w:line="360" w:lineRule="auto"/>
        <w:ind w:firstLine="480" w:firstLineChars="200"/>
        <w:rPr>
          <w:rFonts w:ascii="宋体" w:hAnsi="宋体"/>
          <w:sz w:val="24"/>
        </w:rPr>
      </w:pPr>
      <w:r>
        <w:rPr>
          <w:rFonts w:hint="eastAsia" w:ascii="宋体" w:hAnsi="宋体"/>
          <w:sz w:val="24"/>
        </w:rPr>
        <w:t>11.3.2投标相关报价明细表填写时应详细注明该表列举的费用及分项清单。</w:t>
      </w:r>
    </w:p>
    <w:p>
      <w:pPr>
        <w:spacing w:line="360" w:lineRule="auto"/>
        <w:ind w:firstLine="482" w:firstLineChars="200"/>
        <w:rPr>
          <w:rFonts w:ascii="宋体" w:hAnsi="宋体"/>
          <w:b/>
          <w:sz w:val="24"/>
        </w:rPr>
      </w:pPr>
      <w:r>
        <w:rPr>
          <w:rFonts w:hint="eastAsia" w:ascii="宋体" w:hAnsi="宋体"/>
          <w:b/>
          <w:sz w:val="24"/>
        </w:rPr>
        <w:t>12.投标文件排版、封面</w:t>
      </w:r>
    </w:p>
    <w:p>
      <w:pPr>
        <w:spacing w:line="360" w:lineRule="auto"/>
        <w:ind w:firstLine="480" w:firstLineChars="200"/>
        <w:rPr>
          <w:rFonts w:ascii="宋体" w:hAnsi="宋体"/>
          <w:sz w:val="24"/>
        </w:rPr>
      </w:pPr>
      <w:r>
        <w:rPr>
          <w:rFonts w:hint="eastAsia" w:ascii="宋体" w:hAnsi="宋体"/>
          <w:sz w:val="24"/>
        </w:rPr>
        <w:t>12</w:t>
      </w:r>
      <w:r>
        <w:rPr>
          <w:rFonts w:ascii="宋体" w:hAnsi="宋体"/>
          <w:sz w:val="24"/>
        </w:rPr>
        <w:t>.</w:t>
      </w:r>
      <w:r>
        <w:rPr>
          <w:rFonts w:hint="eastAsia" w:ascii="宋体" w:hAnsi="宋体"/>
          <w:sz w:val="24"/>
        </w:rPr>
        <w:t>1</w:t>
      </w:r>
      <w:r>
        <w:rPr>
          <w:rFonts w:ascii="宋体" w:hAnsi="宋体"/>
          <w:sz w:val="24"/>
        </w:rPr>
        <w:t>排版：</w:t>
      </w:r>
      <w:r>
        <w:rPr>
          <w:rFonts w:hint="eastAsia" w:ascii="宋体" w:hAnsi="宋体"/>
          <w:kern w:val="0"/>
          <w:sz w:val="24"/>
        </w:rPr>
        <w:t>所有文字及表格建议采用黑色，正文建议字体采用宋体小四号字体，标题字体建议采用宋体小二号字体，页码应逐页连续编注；</w:t>
      </w:r>
    </w:p>
    <w:p>
      <w:pPr>
        <w:spacing w:line="360" w:lineRule="auto"/>
        <w:ind w:firstLine="480" w:firstLineChars="200"/>
        <w:rPr>
          <w:rFonts w:ascii="宋体" w:hAnsi="宋体"/>
          <w:sz w:val="24"/>
        </w:rPr>
      </w:pPr>
      <w:r>
        <w:rPr>
          <w:rFonts w:hint="eastAsia" w:ascii="宋体" w:hAnsi="宋体"/>
          <w:sz w:val="24"/>
        </w:rPr>
        <w:t>12.2封面：按照招标</w:t>
      </w:r>
      <w:r>
        <w:rPr>
          <w:rFonts w:ascii="宋体" w:hAnsi="宋体"/>
          <w:sz w:val="24"/>
        </w:rPr>
        <w:t>文件</w:t>
      </w:r>
      <w:r>
        <w:rPr>
          <w:rFonts w:hint="eastAsia" w:ascii="宋体" w:hAnsi="宋体"/>
          <w:sz w:val="24"/>
        </w:rPr>
        <w:t>第五章提供的格式制作</w:t>
      </w:r>
      <w:r>
        <w:rPr>
          <w:rFonts w:ascii="宋体" w:hAnsi="宋体"/>
          <w:sz w:val="24"/>
        </w:rPr>
        <w:t>封面</w:t>
      </w:r>
      <w:r>
        <w:rPr>
          <w:rFonts w:hint="eastAsia" w:ascii="宋体" w:hAnsi="宋体"/>
          <w:sz w:val="24"/>
        </w:rPr>
        <w:t>。</w:t>
      </w:r>
    </w:p>
    <w:p>
      <w:pPr>
        <w:spacing w:line="360" w:lineRule="auto"/>
        <w:ind w:firstLine="482" w:firstLineChars="200"/>
        <w:rPr>
          <w:rFonts w:ascii="宋体" w:hAnsi="宋体"/>
          <w:b/>
          <w:sz w:val="24"/>
        </w:rPr>
      </w:pPr>
      <w:r>
        <w:rPr>
          <w:rFonts w:ascii="宋体" w:hAnsi="宋体"/>
          <w:b/>
          <w:sz w:val="24"/>
        </w:rPr>
        <w:t>1</w:t>
      </w:r>
      <w:r>
        <w:rPr>
          <w:rFonts w:hint="eastAsia" w:ascii="宋体" w:hAnsi="宋体"/>
          <w:b/>
          <w:sz w:val="24"/>
        </w:rPr>
        <w:t>3</w:t>
      </w:r>
      <w:r>
        <w:rPr>
          <w:rFonts w:ascii="宋体" w:hAnsi="宋体"/>
          <w:b/>
          <w:sz w:val="24"/>
        </w:rPr>
        <w:t>.</w:t>
      </w:r>
      <w:r>
        <w:rPr>
          <w:rFonts w:hint="eastAsia" w:ascii="宋体" w:hAnsi="宋体"/>
          <w:b/>
          <w:sz w:val="24"/>
        </w:rPr>
        <w:t>投标有效期</w:t>
      </w:r>
    </w:p>
    <w:p>
      <w:pPr>
        <w:spacing w:line="360" w:lineRule="auto"/>
        <w:ind w:firstLine="240" w:firstLineChars="1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3</w:t>
      </w:r>
      <w:r>
        <w:rPr>
          <w:rFonts w:ascii="宋体" w:hAnsi="宋体"/>
          <w:sz w:val="24"/>
        </w:rPr>
        <w:t>.1</w:t>
      </w:r>
      <w:r>
        <w:rPr>
          <w:rFonts w:hint="eastAsia" w:ascii="宋体" w:hAnsi="宋体"/>
          <w:bCs/>
          <w:snapToGrid w:val="0"/>
          <w:sz w:val="24"/>
        </w:rPr>
        <w:t>提交投标文件的截止之日起90天内有效。</w:t>
      </w:r>
    </w:p>
    <w:p>
      <w:pPr>
        <w:spacing w:line="360" w:lineRule="auto"/>
        <w:ind w:firstLine="482" w:firstLineChars="200"/>
        <w:rPr>
          <w:rFonts w:ascii="宋体" w:hAnsi="宋体"/>
          <w:b/>
          <w:sz w:val="24"/>
        </w:rPr>
      </w:pPr>
      <w:r>
        <w:rPr>
          <w:rFonts w:ascii="宋体" w:hAnsi="宋体"/>
          <w:b/>
          <w:sz w:val="24"/>
        </w:rPr>
        <w:t>1</w:t>
      </w:r>
      <w:r>
        <w:rPr>
          <w:rFonts w:hint="eastAsia" w:ascii="宋体" w:hAnsi="宋体"/>
          <w:b/>
          <w:sz w:val="24"/>
        </w:rPr>
        <w:t>4</w:t>
      </w:r>
      <w:r>
        <w:rPr>
          <w:rFonts w:ascii="宋体" w:hAnsi="宋体"/>
          <w:b/>
          <w:sz w:val="24"/>
        </w:rPr>
        <w:t>.</w:t>
      </w:r>
      <w:r>
        <w:rPr>
          <w:rFonts w:hint="eastAsia" w:ascii="宋体" w:hAnsi="宋体"/>
          <w:b/>
          <w:sz w:val="24"/>
        </w:rPr>
        <w:t>投标文件的签署及规定</w:t>
      </w:r>
    </w:p>
    <w:p>
      <w:pPr>
        <w:spacing w:line="360" w:lineRule="auto"/>
        <w:ind w:firstLine="480" w:firstLineChars="200"/>
        <w:rPr>
          <w:rFonts w:ascii="宋体" w:hAnsi="宋体"/>
          <w:kern w:val="0"/>
          <w:sz w:val="24"/>
        </w:rPr>
      </w:pPr>
      <w:r>
        <w:rPr>
          <w:rFonts w:ascii="宋体" w:hAnsi="宋体"/>
          <w:sz w:val="24"/>
        </w:rPr>
        <w:t>1</w:t>
      </w:r>
      <w:r>
        <w:rPr>
          <w:rFonts w:hint="eastAsia" w:ascii="宋体" w:hAnsi="宋体"/>
          <w:sz w:val="24"/>
        </w:rPr>
        <w:t>4</w:t>
      </w:r>
      <w:r>
        <w:rPr>
          <w:rFonts w:ascii="宋体" w:hAnsi="宋体"/>
          <w:sz w:val="24"/>
        </w:rPr>
        <w:t>.1</w:t>
      </w:r>
      <w:r>
        <w:rPr>
          <w:rFonts w:hint="eastAsia" w:ascii="宋体" w:hAnsi="宋体"/>
          <w:kern w:val="0"/>
          <w:sz w:val="24"/>
        </w:rPr>
        <w:t>投标人应按招标文件规定的内容和要求编制投标文件，</w:t>
      </w:r>
      <w:r>
        <w:rPr>
          <w:rFonts w:hint="eastAsia" w:ascii="宋体" w:hAnsi="宋体"/>
          <w:bCs/>
          <w:sz w:val="24"/>
        </w:rPr>
        <w:t>投标文件</w:t>
      </w:r>
      <w:r>
        <w:rPr>
          <w:rFonts w:hint="eastAsia" w:ascii="宋体" w:hAnsi="宋体"/>
          <w:kern w:val="0"/>
          <w:sz w:val="24"/>
        </w:rPr>
        <w:t>须清楚的标明“资格文件”</w:t>
      </w:r>
      <w:r>
        <w:rPr>
          <w:rFonts w:ascii="宋体" w:hAnsi="宋体"/>
          <w:kern w:val="0"/>
          <w:sz w:val="24"/>
        </w:rPr>
        <w:t>、</w:t>
      </w:r>
      <w:r>
        <w:rPr>
          <w:rFonts w:hint="eastAsia" w:ascii="宋体" w:hAnsi="宋体"/>
          <w:kern w:val="0"/>
          <w:sz w:val="24"/>
        </w:rPr>
        <w:t>“商务技术文件”、“报价文件”；</w:t>
      </w:r>
    </w:p>
    <w:p>
      <w:pPr>
        <w:spacing w:line="360" w:lineRule="auto"/>
        <w:ind w:firstLine="480" w:firstLineChars="200"/>
        <w:rPr>
          <w:rFonts w:ascii="宋体" w:hAnsi="宋体"/>
          <w:kern w:val="0"/>
          <w:sz w:val="24"/>
        </w:rPr>
      </w:pPr>
      <w:r>
        <w:rPr>
          <w:rFonts w:ascii="宋体" w:hAnsi="宋体"/>
          <w:kern w:val="0"/>
          <w:sz w:val="24"/>
        </w:rPr>
        <w:t>1</w:t>
      </w:r>
      <w:r>
        <w:rPr>
          <w:rFonts w:hint="eastAsia" w:ascii="宋体" w:hAnsi="宋体"/>
          <w:kern w:val="0"/>
          <w:sz w:val="24"/>
        </w:rPr>
        <w:t>4</w:t>
      </w:r>
      <w:r>
        <w:rPr>
          <w:rFonts w:ascii="宋体" w:hAnsi="宋体"/>
          <w:kern w:val="0"/>
          <w:sz w:val="24"/>
        </w:rPr>
        <w:t>.</w:t>
      </w:r>
      <w:r>
        <w:rPr>
          <w:rFonts w:hint="eastAsia" w:ascii="宋体" w:hAnsi="宋体"/>
          <w:kern w:val="0"/>
          <w:sz w:val="24"/>
        </w:rPr>
        <w:t>2电子投标文件及备份投标文件中须加盖公章部分均采用</w:t>
      </w:r>
      <w:r>
        <w:rPr>
          <w:rFonts w:hint="eastAsia" w:ascii="宋体" w:hAnsi="宋体"/>
          <w:b/>
          <w:kern w:val="0"/>
          <w:sz w:val="24"/>
        </w:rPr>
        <w:t>CA</w:t>
      </w:r>
      <w:r>
        <w:rPr>
          <w:rFonts w:hint="eastAsia" w:ascii="宋体" w:hAnsi="宋体"/>
          <w:kern w:val="0"/>
          <w:sz w:val="24"/>
        </w:rPr>
        <w:t>签章</w:t>
      </w:r>
      <w:r>
        <w:rPr>
          <w:rFonts w:hint="eastAsia" w:ascii="宋体" w:hAnsi="宋体"/>
          <w:b/>
          <w:bCs/>
          <w:sz w:val="24"/>
        </w:rPr>
        <w:t>（如联合体参加投标的，指牵头人CA电子章，联合体成员方按格式要求盖章即可）</w:t>
      </w:r>
      <w:r>
        <w:rPr>
          <w:rFonts w:hint="eastAsia" w:ascii="宋体" w:hAnsi="宋体"/>
          <w:kern w:val="0"/>
          <w:sz w:val="24"/>
        </w:rPr>
        <w:t>；</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4</w:t>
      </w:r>
      <w:r>
        <w:rPr>
          <w:rFonts w:ascii="宋体" w:hAnsi="宋体"/>
          <w:sz w:val="24"/>
        </w:rPr>
        <w:t>.</w:t>
      </w:r>
      <w:r>
        <w:rPr>
          <w:rFonts w:hint="eastAsia" w:ascii="宋体" w:hAnsi="宋体"/>
          <w:sz w:val="24"/>
        </w:rPr>
        <w:t>3电报、电话、传真形式的投标概不接受。</w:t>
      </w:r>
      <w:bookmarkStart w:id="27" w:name="_Toc107820049"/>
      <w:bookmarkStart w:id="28" w:name="_Toc56928685"/>
    </w:p>
    <w:p>
      <w:pPr>
        <w:pStyle w:val="4"/>
        <w:spacing w:line="560" w:lineRule="exact"/>
        <w:ind w:firstLine="0" w:firstLineChars="0"/>
        <w:rPr>
          <w:rFonts w:ascii="宋体" w:hAnsi="宋体" w:eastAsia="宋体"/>
        </w:rPr>
      </w:pPr>
      <w:bookmarkStart w:id="29" w:name="_Toc41577869"/>
      <w:bookmarkStart w:id="30" w:name="_Toc17793765"/>
      <w:bookmarkStart w:id="31" w:name="_Toc13305"/>
      <w:r>
        <w:rPr>
          <w:rFonts w:hint="eastAsia" w:ascii="宋体" w:hAnsi="宋体" w:eastAsia="宋体"/>
        </w:rPr>
        <w:t>四  履约保证金</w:t>
      </w:r>
      <w:bookmarkEnd w:id="29"/>
      <w:bookmarkEnd w:id="30"/>
      <w:bookmarkEnd w:id="31"/>
    </w:p>
    <w:p>
      <w:pPr>
        <w:spacing w:line="360" w:lineRule="auto"/>
        <w:ind w:firstLine="480" w:firstLineChars="200"/>
        <w:rPr>
          <w:rFonts w:ascii="宋体" w:hAnsi="宋体"/>
          <w:bCs/>
          <w:sz w:val="24"/>
        </w:rPr>
      </w:pPr>
      <w:r>
        <w:rPr>
          <w:rFonts w:hint="eastAsia" w:ascii="宋体" w:hAnsi="宋体"/>
          <w:bCs/>
          <w:sz w:val="24"/>
        </w:rPr>
        <w:t>15.履约保证金：无。</w:t>
      </w:r>
    </w:p>
    <w:p>
      <w:pPr>
        <w:pStyle w:val="4"/>
        <w:spacing w:line="560" w:lineRule="exact"/>
        <w:ind w:firstLine="0" w:firstLineChars="0"/>
        <w:rPr>
          <w:rFonts w:ascii="宋体" w:hAnsi="宋体" w:eastAsia="宋体"/>
        </w:rPr>
      </w:pPr>
      <w:bookmarkStart w:id="32" w:name="_Toc41577870"/>
      <w:bookmarkStart w:id="33" w:name="_Toc31698"/>
      <w:r>
        <w:rPr>
          <w:rFonts w:hint="eastAsia" w:ascii="宋体" w:hAnsi="宋体" w:eastAsia="宋体"/>
        </w:rPr>
        <w:t>五  投标文件的</w:t>
      </w:r>
      <w:bookmarkEnd w:id="27"/>
      <w:bookmarkEnd w:id="28"/>
      <w:r>
        <w:rPr>
          <w:rFonts w:hint="eastAsia" w:ascii="宋体" w:hAnsi="宋体" w:eastAsia="宋体"/>
        </w:rPr>
        <w:t>加密、提交、修改和撤回</w:t>
      </w:r>
      <w:bookmarkEnd w:id="32"/>
      <w:bookmarkEnd w:id="33"/>
    </w:p>
    <w:p>
      <w:pPr>
        <w:spacing w:line="360" w:lineRule="auto"/>
        <w:ind w:firstLine="482" w:firstLineChars="200"/>
        <w:rPr>
          <w:rFonts w:ascii="宋体" w:hAnsi="宋体"/>
          <w:b/>
          <w:sz w:val="24"/>
        </w:rPr>
      </w:pPr>
      <w:r>
        <w:rPr>
          <w:rFonts w:ascii="宋体" w:hAnsi="宋体"/>
          <w:b/>
          <w:sz w:val="24"/>
        </w:rPr>
        <w:t>1</w:t>
      </w:r>
      <w:r>
        <w:rPr>
          <w:rFonts w:hint="eastAsia" w:ascii="宋体" w:hAnsi="宋体"/>
          <w:b/>
          <w:sz w:val="24"/>
        </w:rPr>
        <w:t>6</w:t>
      </w:r>
      <w:r>
        <w:rPr>
          <w:rFonts w:ascii="宋体" w:hAnsi="宋体"/>
          <w:b/>
          <w:sz w:val="24"/>
        </w:rPr>
        <w:t>.</w:t>
      </w:r>
      <w:r>
        <w:rPr>
          <w:rFonts w:hint="eastAsia" w:ascii="宋体" w:hAnsi="宋体"/>
          <w:b/>
          <w:sz w:val="24"/>
        </w:rPr>
        <w:t>投标文件的加密</w:t>
      </w:r>
    </w:p>
    <w:p>
      <w:pPr>
        <w:spacing w:line="360" w:lineRule="auto"/>
        <w:ind w:firstLine="480" w:firstLineChars="200"/>
        <w:rPr>
          <w:rFonts w:ascii="宋体" w:hAnsi="宋体"/>
          <w:sz w:val="24"/>
        </w:rPr>
      </w:pPr>
      <w:r>
        <w:rPr>
          <w:rFonts w:hint="eastAsia" w:ascii="宋体" w:hAnsi="宋体"/>
          <w:sz w:val="24"/>
        </w:rPr>
        <w:t>16.1投标人应当将资格文件、商务技术文件和报价文件三部分分别导入相应位置，各文件之间不得混装；</w:t>
      </w:r>
    </w:p>
    <w:p>
      <w:pPr>
        <w:spacing w:line="360" w:lineRule="auto"/>
        <w:ind w:firstLine="480" w:firstLineChars="200"/>
        <w:rPr>
          <w:rFonts w:ascii="宋体" w:hAnsi="宋体"/>
          <w:b/>
          <w:sz w:val="24"/>
        </w:rPr>
      </w:pPr>
      <w:r>
        <w:rPr>
          <w:rFonts w:ascii="宋体" w:hAnsi="宋体"/>
          <w:sz w:val="24"/>
        </w:rPr>
        <w:t>1</w:t>
      </w:r>
      <w:r>
        <w:rPr>
          <w:rFonts w:hint="eastAsia" w:ascii="宋体" w:hAnsi="宋体"/>
          <w:sz w:val="24"/>
        </w:rPr>
        <w:t>6</w:t>
      </w:r>
      <w:r>
        <w:rPr>
          <w:rFonts w:ascii="宋体" w:hAnsi="宋体"/>
          <w:sz w:val="24"/>
        </w:rPr>
        <w:t>.</w:t>
      </w:r>
      <w:r>
        <w:rPr>
          <w:rFonts w:hint="eastAsia" w:ascii="宋体" w:hAnsi="宋体"/>
          <w:sz w:val="24"/>
        </w:rPr>
        <w:t>2</w:t>
      </w:r>
      <w:r>
        <w:rPr>
          <w:rFonts w:hint="eastAsia" w:ascii="宋体" w:hAnsi="宋体"/>
          <w:b/>
          <w:sz w:val="24"/>
        </w:rPr>
        <w:t>电子投标文件按政采云平台供应商项目采购-电子招投标操作指南进行加密</w:t>
      </w:r>
      <w:r>
        <w:rPr>
          <w:rFonts w:hint="eastAsia" w:ascii="新宋体" w:hAnsi="新宋体" w:eastAsia="新宋体"/>
          <w:sz w:val="24"/>
        </w:rPr>
        <w:t>。</w:t>
      </w:r>
    </w:p>
    <w:p>
      <w:pPr>
        <w:spacing w:line="360" w:lineRule="auto"/>
        <w:ind w:firstLine="482" w:firstLineChars="200"/>
        <w:rPr>
          <w:rFonts w:ascii="宋体" w:hAnsi="宋体"/>
          <w:b/>
          <w:sz w:val="24"/>
        </w:rPr>
      </w:pPr>
      <w:bookmarkStart w:id="34" w:name="_Toc107820050"/>
      <w:r>
        <w:rPr>
          <w:rFonts w:hint="eastAsia" w:ascii="宋体" w:hAnsi="宋体"/>
          <w:b/>
          <w:sz w:val="24"/>
        </w:rPr>
        <w:t>17.投标文件的提交</w:t>
      </w:r>
    </w:p>
    <w:p>
      <w:pPr>
        <w:spacing w:line="360" w:lineRule="auto"/>
        <w:ind w:firstLine="240" w:firstLineChars="100"/>
        <w:rPr>
          <w:rFonts w:ascii="宋体" w:hAnsi="宋体"/>
          <w:sz w:val="24"/>
        </w:rPr>
      </w:pPr>
      <w:r>
        <w:rPr>
          <w:rFonts w:hint="eastAsia" w:ascii="宋体" w:hAnsi="宋体"/>
          <w:bCs/>
          <w:sz w:val="24"/>
        </w:rPr>
        <w:t>▲</w:t>
      </w:r>
      <w:r>
        <w:rPr>
          <w:rFonts w:hint="eastAsia" w:ascii="宋体" w:hAnsi="宋体"/>
          <w:sz w:val="24"/>
        </w:rPr>
        <w:t>17.1投标文件提交截止时间和提交地点详见本章前附表；</w:t>
      </w:r>
    </w:p>
    <w:p>
      <w:pPr>
        <w:spacing w:line="360" w:lineRule="auto"/>
        <w:ind w:firstLine="480" w:firstLineChars="200"/>
        <w:rPr>
          <w:rFonts w:ascii="宋体" w:hAnsi="宋体"/>
          <w:sz w:val="24"/>
        </w:rPr>
      </w:pPr>
      <w:r>
        <w:rPr>
          <w:rFonts w:hint="eastAsia" w:ascii="宋体" w:hAnsi="宋体"/>
          <w:sz w:val="24"/>
        </w:rPr>
        <w:t>17.2不予</w:t>
      </w:r>
      <w:r>
        <w:rPr>
          <w:rFonts w:ascii="宋体" w:hAnsi="宋体"/>
          <w:sz w:val="24"/>
        </w:rPr>
        <w:t>接收</w:t>
      </w:r>
      <w:r>
        <w:rPr>
          <w:rFonts w:hint="eastAsia" w:ascii="宋体" w:hAnsi="宋体"/>
          <w:sz w:val="24"/>
        </w:rPr>
        <w:t>的电子投标</w:t>
      </w:r>
      <w:r>
        <w:rPr>
          <w:rFonts w:ascii="宋体" w:hAnsi="宋体"/>
          <w:sz w:val="24"/>
        </w:rPr>
        <w:t>文件</w:t>
      </w:r>
      <w:r>
        <w:rPr>
          <w:rFonts w:hint="eastAsia" w:ascii="宋体" w:hAnsi="宋体"/>
          <w:sz w:val="24"/>
        </w:rPr>
        <w:t>情形：</w:t>
      </w:r>
    </w:p>
    <w:p>
      <w:pPr>
        <w:spacing w:line="360" w:lineRule="auto"/>
        <w:ind w:firstLine="480" w:firstLineChars="200"/>
        <w:rPr>
          <w:rFonts w:ascii="宋体" w:hAnsi="宋体"/>
          <w:sz w:val="24"/>
        </w:rPr>
      </w:pPr>
      <w:r>
        <w:rPr>
          <w:rFonts w:hint="eastAsia" w:ascii="宋体" w:hAnsi="宋体"/>
          <w:sz w:val="24"/>
        </w:rPr>
        <w:t>（1）投标截止时间前未完成传输的电子投标文件；</w:t>
      </w:r>
    </w:p>
    <w:p>
      <w:pPr>
        <w:spacing w:line="360" w:lineRule="auto"/>
        <w:ind w:firstLine="480" w:firstLineChars="200"/>
        <w:rPr>
          <w:rFonts w:ascii="宋体" w:hAnsi="宋体"/>
          <w:sz w:val="24"/>
        </w:rPr>
      </w:pPr>
      <w:r>
        <w:rPr>
          <w:rFonts w:hint="eastAsia" w:ascii="宋体" w:hAnsi="宋体"/>
          <w:sz w:val="24"/>
        </w:rPr>
        <w:t>（2）未生成加密的电子投标文件；</w:t>
      </w:r>
    </w:p>
    <w:p>
      <w:pPr>
        <w:spacing w:line="360" w:lineRule="auto"/>
        <w:ind w:firstLine="480" w:firstLineChars="200"/>
        <w:rPr>
          <w:rFonts w:ascii="宋体" w:hAnsi="宋体"/>
          <w:sz w:val="24"/>
        </w:rPr>
      </w:pPr>
      <w:r>
        <w:rPr>
          <w:rFonts w:hint="eastAsia" w:ascii="宋体" w:hAnsi="宋体"/>
          <w:sz w:val="24"/>
        </w:rPr>
        <w:t>（3）在规定时间内未解密的电子投标文件或者解密不成功又未在规定时间内提交备份投标文件的。</w:t>
      </w:r>
    </w:p>
    <w:p>
      <w:pPr>
        <w:spacing w:line="360" w:lineRule="auto"/>
        <w:ind w:firstLine="482" w:firstLineChars="200"/>
        <w:rPr>
          <w:rFonts w:ascii="宋体" w:hAnsi="宋体"/>
          <w:b/>
          <w:sz w:val="24"/>
        </w:rPr>
      </w:pPr>
      <w:r>
        <w:rPr>
          <w:rFonts w:hint="eastAsia" w:ascii="宋体" w:hAnsi="宋体"/>
          <w:b/>
          <w:sz w:val="24"/>
        </w:rPr>
        <w:t>18.投标文件的修改和撤回</w:t>
      </w:r>
    </w:p>
    <w:p>
      <w:pPr>
        <w:spacing w:line="360" w:lineRule="auto"/>
        <w:ind w:firstLine="480" w:firstLineChars="200"/>
        <w:rPr>
          <w:rFonts w:ascii="宋体" w:hAnsi="宋体"/>
          <w:b/>
          <w:sz w:val="24"/>
        </w:rPr>
      </w:pPr>
      <w:r>
        <w:rPr>
          <w:rFonts w:hint="eastAsia" w:ascii="宋体" w:hAnsi="宋体"/>
          <w:sz w:val="24"/>
        </w:rPr>
        <w:t>18.</w:t>
      </w:r>
      <w:r>
        <w:rPr>
          <w:rFonts w:ascii="宋体" w:hAnsi="宋体"/>
          <w:sz w:val="24"/>
        </w:rPr>
        <w:t>1</w:t>
      </w:r>
      <w:r>
        <w:rPr>
          <w:rFonts w:hint="eastAsia" w:ascii="宋体" w:hAnsi="宋体"/>
          <w:sz w:val="24"/>
        </w:rPr>
        <w:t>在投标截止时间前，可以修改或撤回其投标文件：</w:t>
      </w:r>
      <w:r>
        <w:rPr>
          <w:rFonts w:hint="eastAsia" w:ascii="宋体" w:hAnsi="宋体"/>
          <w:b/>
          <w:sz w:val="24"/>
        </w:rPr>
        <w:t>（1）电子投标文件补充</w:t>
      </w:r>
      <w:r>
        <w:rPr>
          <w:rFonts w:ascii="宋体" w:hAnsi="宋体"/>
          <w:b/>
          <w:sz w:val="24"/>
        </w:rPr>
        <w:t>、修改或</w:t>
      </w:r>
      <w:r>
        <w:rPr>
          <w:rFonts w:hint="eastAsia" w:ascii="宋体" w:hAnsi="宋体"/>
          <w:b/>
          <w:sz w:val="24"/>
        </w:rPr>
        <w:t>撤回</w:t>
      </w:r>
      <w:r>
        <w:rPr>
          <w:rFonts w:ascii="宋体" w:hAnsi="宋体"/>
          <w:b/>
          <w:sz w:val="24"/>
        </w:rPr>
        <w:t>的</w:t>
      </w:r>
      <w:r>
        <w:rPr>
          <w:rFonts w:hint="eastAsia" w:ascii="宋体" w:hAnsi="宋体"/>
          <w:b/>
          <w:sz w:val="24"/>
        </w:rPr>
        <w:t>，应当先行撤回原文件，补充、修改后重新传输提交；（2）备份投标文件</w:t>
      </w:r>
      <w:r>
        <w:rPr>
          <w:rFonts w:ascii="宋体" w:hAnsi="宋体"/>
          <w:b/>
          <w:sz w:val="24"/>
        </w:rPr>
        <w:t>补充、修改或</w:t>
      </w:r>
      <w:r>
        <w:rPr>
          <w:rFonts w:hint="eastAsia" w:ascii="宋体" w:hAnsi="宋体"/>
          <w:b/>
          <w:sz w:val="24"/>
        </w:rPr>
        <w:t>撤回</w:t>
      </w:r>
      <w:r>
        <w:rPr>
          <w:rFonts w:ascii="宋体" w:hAnsi="宋体"/>
          <w:b/>
          <w:sz w:val="24"/>
        </w:rPr>
        <w:t>的</w:t>
      </w:r>
      <w:r>
        <w:rPr>
          <w:rFonts w:hint="eastAsia" w:ascii="宋体" w:hAnsi="宋体"/>
          <w:b/>
          <w:sz w:val="24"/>
        </w:rPr>
        <w:t>，代理机构以投标人在投标截止时间前提交的最后一份备份投标文件为准。</w:t>
      </w:r>
    </w:p>
    <w:p>
      <w:pPr>
        <w:spacing w:line="360" w:lineRule="auto"/>
        <w:ind w:firstLine="480" w:firstLineChars="200"/>
        <w:rPr>
          <w:rFonts w:ascii="宋体" w:hAnsi="宋体"/>
          <w:sz w:val="24"/>
        </w:rPr>
      </w:pPr>
      <w:r>
        <w:rPr>
          <w:rFonts w:hint="eastAsia" w:ascii="宋体" w:hAnsi="宋体"/>
          <w:sz w:val="24"/>
        </w:rPr>
        <w:t>18.</w:t>
      </w:r>
      <w:r>
        <w:rPr>
          <w:rFonts w:ascii="宋体" w:hAnsi="宋体"/>
          <w:sz w:val="24"/>
        </w:rPr>
        <w:t>2</w:t>
      </w:r>
      <w:r>
        <w:rPr>
          <w:rFonts w:hint="eastAsia" w:ascii="宋体" w:hAnsi="宋体"/>
          <w:sz w:val="24"/>
        </w:rPr>
        <w:t>修改后重新提交的投标文件应按招标文件的规定编制、标记和提交；</w:t>
      </w:r>
    </w:p>
    <w:p>
      <w:pPr>
        <w:spacing w:line="360" w:lineRule="auto"/>
        <w:ind w:firstLine="236" w:firstLineChars="98"/>
        <w:rPr>
          <w:rFonts w:ascii="宋体" w:hAnsi="宋体"/>
          <w:sz w:val="24"/>
        </w:rPr>
      </w:pPr>
      <w:r>
        <w:rPr>
          <w:rFonts w:hint="eastAsia" w:ascii="宋体" w:hAnsi="宋体"/>
          <w:b/>
          <w:bCs/>
          <w:sz w:val="24"/>
        </w:rPr>
        <w:t>▲</w:t>
      </w:r>
      <w:r>
        <w:rPr>
          <w:rFonts w:hint="eastAsia" w:ascii="宋体" w:hAnsi="宋体"/>
          <w:sz w:val="24"/>
        </w:rPr>
        <w:t>18.</w:t>
      </w:r>
      <w:r>
        <w:rPr>
          <w:rFonts w:ascii="宋体" w:hAnsi="宋体"/>
          <w:sz w:val="24"/>
        </w:rPr>
        <w:t>3</w:t>
      </w:r>
      <w:r>
        <w:rPr>
          <w:rFonts w:hint="eastAsia" w:ascii="宋体" w:hAnsi="宋体"/>
          <w:sz w:val="24"/>
        </w:rPr>
        <w:t>在投标截止时间后,投标人不得修改、撤回已提交的投标文件；</w:t>
      </w:r>
    </w:p>
    <w:p>
      <w:pPr>
        <w:spacing w:line="360" w:lineRule="auto"/>
        <w:ind w:firstLine="236" w:firstLineChars="98"/>
        <w:rPr>
          <w:rFonts w:ascii="宋体" w:hAnsi="宋体"/>
        </w:rPr>
      </w:pPr>
      <w:r>
        <w:rPr>
          <w:rFonts w:hint="eastAsia" w:ascii="宋体" w:hAnsi="宋体"/>
          <w:b/>
          <w:sz w:val="24"/>
        </w:rPr>
        <w:t>▲18.4补充、修改后的电子投标文件、备份投标文件内容均应相同。</w:t>
      </w:r>
    </w:p>
    <w:p>
      <w:pPr>
        <w:pStyle w:val="4"/>
        <w:spacing w:line="560" w:lineRule="exact"/>
        <w:ind w:firstLine="0" w:firstLineChars="0"/>
        <w:rPr>
          <w:rFonts w:ascii="宋体" w:hAnsi="宋体" w:eastAsia="宋体"/>
        </w:rPr>
      </w:pPr>
      <w:bookmarkStart w:id="35" w:name="_Toc41577871"/>
      <w:bookmarkStart w:id="36" w:name="_Toc7494"/>
      <w:r>
        <w:rPr>
          <w:rFonts w:hint="eastAsia" w:ascii="宋体" w:hAnsi="宋体" w:eastAsia="宋体"/>
        </w:rPr>
        <w:t>六  开标和评</w:t>
      </w:r>
      <w:bookmarkEnd w:id="34"/>
      <w:r>
        <w:rPr>
          <w:rFonts w:hint="eastAsia" w:ascii="宋体" w:hAnsi="宋体" w:eastAsia="宋体"/>
        </w:rPr>
        <w:t>审</w:t>
      </w:r>
      <w:bookmarkEnd w:id="35"/>
      <w:bookmarkEnd w:id="36"/>
    </w:p>
    <w:p>
      <w:pPr>
        <w:spacing w:line="360" w:lineRule="auto"/>
        <w:ind w:firstLine="482" w:firstLineChars="200"/>
        <w:rPr>
          <w:rFonts w:ascii="宋体" w:hAnsi="宋体"/>
          <w:b/>
          <w:sz w:val="24"/>
        </w:rPr>
      </w:pPr>
      <w:r>
        <w:rPr>
          <w:rFonts w:hint="eastAsia" w:ascii="宋体" w:hAnsi="宋体"/>
          <w:b/>
          <w:sz w:val="24"/>
        </w:rPr>
        <w:t>19.开标</w:t>
      </w:r>
    </w:p>
    <w:p>
      <w:pPr>
        <w:spacing w:line="360" w:lineRule="auto"/>
        <w:ind w:firstLine="482" w:firstLineChars="200"/>
        <w:rPr>
          <w:rFonts w:ascii="宋体" w:hAnsi="宋体"/>
          <w:b/>
          <w:sz w:val="24"/>
        </w:rPr>
      </w:pPr>
      <w:r>
        <w:rPr>
          <w:rFonts w:hint="eastAsia" w:ascii="宋体" w:hAnsi="宋体"/>
          <w:b/>
          <w:sz w:val="24"/>
        </w:rPr>
        <w:t>19.1优先采用电子投标文件进行</w:t>
      </w:r>
      <w:r>
        <w:rPr>
          <w:rFonts w:ascii="宋体" w:hAnsi="宋体"/>
          <w:b/>
          <w:sz w:val="24"/>
        </w:rPr>
        <w:t>开标</w:t>
      </w:r>
      <w:r>
        <w:rPr>
          <w:rFonts w:hint="eastAsia" w:ascii="宋体" w:hAnsi="宋体"/>
          <w:b/>
          <w:sz w:val="24"/>
        </w:rPr>
        <w:t>，电子投标文件未按时解密的，采用备份投标文件开标；</w:t>
      </w:r>
    </w:p>
    <w:p>
      <w:pPr>
        <w:spacing w:line="360" w:lineRule="auto"/>
        <w:ind w:firstLine="480" w:firstLineChars="200"/>
        <w:rPr>
          <w:rFonts w:ascii="宋体" w:hAnsi="宋体"/>
          <w:sz w:val="24"/>
        </w:rPr>
      </w:pPr>
      <w:bookmarkStart w:id="37" w:name="_Toc393869892"/>
      <w:bookmarkStart w:id="38" w:name="_Toc396838136"/>
      <w:bookmarkStart w:id="39" w:name="_Toc415648536"/>
      <w:bookmarkStart w:id="40" w:name="_Toc393869894"/>
      <w:bookmarkStart w:id="41" w:name="_Toc335664280"/>
      <w:bookmarkStart w:id="42" w:name="_Toc394928032"/>
      <w:bookmarkStart w:id="43" w:name="_Toc334087238"/>
      <w:bookmarkStart w:id="44" w:name="_Toc107820051"/>
      <w:r>
        <w:rPr>
          <w:rFonts w:hint="eastAsia" w:ascii="宋体" w:hAnsi="宋体"/>
          <w:sz w:val="24"/>
        </w:rPr>
        <w:t>19.2采购代理机构在招标文件规定的时间和地点组织开标会，投标人应安排人员准时在线参加，否则产生的风险由投标人自行承担；</w:t>
      </w:r>
    </w:p>
    <w:p>
      <w:pPr>
        <w:spacing w:line="360" w:lineRule="auto"/>
        <w:ind w:firstLine="480" w:firstLineChars="200"/>
        <w:rPr>
          <w:rFonts w:ascii="宋体" w:hAnsi="宋体"/>
          <w:sz w:val="24"/>
        </w:rPr>
      </w:pPr>
      <w:r>
        <w:rPr>
          <w:rFonts w:hint="eastAsia" w:ascii="宋体" w:hAnsi="宋体" w:cs="仿宋_GB2312"/>
          <w:sz w:val="24"/>
        </w:rPr>
        <w:t>19.3</w:t>
      </w:r>
      <w:r>
        <w:rPr>
          <w:rFonts w:hint="eastAsia" w:ascii="宋体" w:hAnsi="宋体"/>
          <w:bCs/>
          <w:sz w:val="24"/>
        </w:rPr>
        <w:t>电子投标</w:t>
      </w:r>
      <w:r>
        <w:rPr>
          <w:rFonts w:ascii="宋体" w:hAnsi="宋体"/>
          <w:bCs/>
          <w:sz w:val="24"/>
        </w:rPr>
        <w:t>文件解密</w:t>
      </w:r>
      <w:r>
        <w:rPr>
          <w:rFonts w:hint="eastAsia" w:ascii="宋体" w:hAnsi="宋体"/>
          <w:bCs/>
          <w:sz w:val="24"/>
        </w:rPr>
        <w:t>：</w:t>
      </w:r>
      <w:r>
        <w:rPr>
          <w:rFonts w:hint="eastAsia" w:ascii="宋体" w:hAnsi="宋体" w:cs="仿宋_GB2312"/>
          <w:bCs/>
          <w:sz w:val="24"/>
        </w:rPr>
        <w:t>由代理机构工作人员开启</w:t>
      </w:r>
      <w:r>
        <w:rPr>
          <w:rFonts w:hint="eastAsia" w:ascii="宋体" w:hAnsi="宋体"/>
          <w:bCs/>
          <w:sz w:val="24"/>
        </w:rPr>
        <w:t>电子投标文件解密通道，解密时限以政采云电子交易平台为准；</w:t>
      </w:r>
    </w:p>
    <w:p>
      <w:pPr>
        <w:spacing w:line="360" w:lineRule="auto"/>
        <w:ind w:firstLine="480" w:firstLineChars="200"/>
        <w:rPr>
          <w:rFonts w:ascii="宋体" w:hAnsi="宋体"/>
          <w:sz w:val="24"/>
        </w:rPr>
      </w:pPr>
      <w:r>
        <w:rPr>
          <w:rFonts w:hint="eastAsia" w:ascii="宋体" w:hAnsi="宋体"/>
          <w:sz w:val="24"/>
        </w:rPr>
        <w:t>19.4</w:t>
      </w:r>
      <w:r>
        <w:rPr>
          <w:rFonts w:hint="eastAsia" w:ascii="宋体" w:hAnsi="宋体" w:cs="仿宋_GB2312"/>
          <w:bCs/>
          <w:sz w:val="24"/>
        </w:rPr>
        <w:t>电子投标文件无法解密的，代理机构</w:t>
      </w:r>
      <w:r>
        <w:rPr>
          <w:rFonts w:hint="eastAsia" w:ascii="宋体" w:hAnsi="宋体"/>
          <w:bCs/>
          <w:sz w:val="24"/>
        </w:rPr>
        <w:t>通过电子交易平台“异常处理”通道上传备份投标文件；</w:t>
      </w:r>
    </w:p>
    <w:p>
      <w:pPr>
        <w:spacing w:line="360" w:lineRule="auto"/>
        <w:ind w:firstLine="480" w:firstLineChars="200"/>
        <w:rPr>
          <w:rFonts w:ascii="宋体" w:hAnsi="宋体"/>
          <w:bCs/>
          <w:sz w:val="24"/>
        </w:rPr>
      </w:pPr>
      <w:r>
        <w:rPr>
          <w:rFonts w:hint="eastAsia" w:ascii="宋体" w:hAnsi="宋体" w:cs="仿宋_GB2312"/>
          <w:bCs/>
          <w:sz w:val="24"/>
        </w:rPr>
        <w:t>19.5通过异常处理后</w:t>
      </w:r>
      <w:r>
        <w:rPr>
          <w:rFonts w:hint="eastAsia" w:ascii="宋体" w:hAnsi="宋体" w:cs="仿宋_GB2312"/>
          <w:kern w:val="0"/>
          <w:sz w:val="24"/>
        </w:rPr>
        <w:t>解密成功的投标人不足三家的，按相关规定重新组织采购；</w:t>
      </w:r>
    </w:p>
    <w:p>
      <w:pPr>
        <w:spacing w:line="360" w:lineRule="auto"/>
        <w:ind w:firstLine="480" w:firstLineChars="200"/>
        <w:rPr>
          <w:rFonts w:ascii="宋体" w:hAnsi="宋体"/>
          <w:kern w:val="0"/>
          <w:sz w:val="24"/>
        </w:rPr>
      </w:pPr>
      <w:r>
        <w:rPr>
          <w:rFonts w:hint="eastAsia" w:ascii="宋体" w:hAnsi="宋体"/>
          <w:kern w:val="0"/>
          <w:sz w:val="24"/>
        </w:rPr>
        <w:t>19</w:t>
      </w:r>
      <w:r>
        <w:rPr>
          <w:rFonts w:ascii="宋体" w:hAnsi="宋体"/>
          <w:kern w:val="0"/>
          <w:sz w:val="24"/>
        </w:rPr>
        <w:t>.</w:t>
      </w:r>
      <w:r>
        <w:rPr>
          <w:rFonts w:hint="eastAsia" w:ascii="宋体" w:hAnsi="宋体"/>
          <w:kern w:val="0"/>
          <w:sz w:val="24"/>
        </w:rPr>
        <w:t>6开启标书文件后，投标人可通过系统平台查看投标人名单；</w:t>
      </w:r>
    </w:p>
    <w:p>
      <w:pPr>
        <w:spacing w:line="360" w:lineRule="auto"/>
        <w:ind w:firstLine="480" w:firstLineChars="200"/>
        <w:rPr>
          <w:rFonts w:ascii="宋体" w:hAnsi="宋体" w:cs="仿宋_GB2312"/>
          <w:bCs/>
          <w:sz w:val="24"/>
        </w:rPr>
      </w:pPr>
      <w:r>
        <w:rPr>
          <w:rFonts w:hint="eastAsia" w:ascii="宋体" w:hAnsi="宋体" w:cs="仿宋_GB2312"/>
          <w:bCs/>
          <w:sz w:val="24"/>
        </w:rPr>
        <w:t>19.7投标人认为采购人员及相关人员与其他投标人有利害关系的，可向采购代理机构提出回避申请，并说明理由，申请须由投标人代表签字或盖章；</w:t>
      </w:r>
    </w:p>
    <w:p>
      <w:pPr>
        <w:spacing w:line="360" w:lineRule="auto"/>
        <w:ind w:firstLine="480" w:firstLineChars="200"/>
        <w:rPr>
          <w:rFonts w:ascii="宋体" w:hAnsi="宋体" w:cs="仿宋_GB2312"/>
          <w:bCs/>
          <w:sz w:val="24"/>
        </w:rPr>
      </w:pPr>
      <w:r>
        <w:rPr>
          <w:rFonts w:hint="eastAsia" w:ascii="宋体" w:hAnsi="宋体" w:cs="仿宋_GB2312"/>
          <w:bCs/>
          <w:sz w:val="24"/>
        </w:rPr>
        <w:t>19.8按规定提交《政府采购活动现场确认声明书》（详见第五章格式）；</w:t>
      </w:r>
    </w:p>
    <w:p>
      <w:pPr>
        <w:spacing w:line="360" w:lineRule="auto"/>
        <w:ind w:firstLine="480" w:firstLineChars="200"/>
        <w:rPr>
          <w:rFonts w:ascii="宋体" w:hAnsi="宋体"/>
          <w:sz w:val="24"/>
        </w:rPr>
      </w:pPr>
      <w:r>
        <w:rPr>
          <w:rFonts w:hint="eastAsia" w:ascii="宋体" w:hAnsi="宋体"/>
          <w:kern w:val="0"/>
          <w:sz w:val="24"/>
        </w:rPr>
        <w:t>19.9投标人对开标记录表有疑义的，</w:t>
      </w:r>
      <w:r>
        <w:rPr>
          <w:rFonts w:hint="eastAsia" w:ascii="宋体" w:hAnsi="宋体"/>
          <w:sz w:val="24"/>
        </w:rPr>
        <w:t>投标人代表在开标会议结束前可以向采购代理机构通过现场或电子邮件的方式（236287981@qq.com）提出，并说明理由，疑义须由投标人代表签字或盖章；</w:t>
      </w:r>
    </w:p>
    <w:p>
      <w:pPr>
        <w:spacing w:line="360" w:lineRule="auto"/>
        <w:ind w:firstLine="480" w:firstLineChars="200"/>
        <w:rPr>
          <w:rFonts w:ascii="宋体" w:hAnsi="宋体"/>
          <w:kern w:val="0"/>
          <w:sz w:val="24"/>
        </w:rPr>
      </w:pPr>
      <w:r>
        <w:rPr>
          <w:rFonts w:hint="eastAsia" w:ascii="宋体" w:hAnsi="宋体"/>
          <w:kern w:val="0"/>
          <w:sz w:val="24"/>
        </w:rPr>
        <w:t>19.10开标</w:t>
      </w:r>
      <w:r>
        <w:rPr>
          <w:rFonts w:ascii="宋体" w:hAnsi="宋体"/>
          <w:kern w:val="0"/>
          <w:sz w:val="24"/>
        </w:rPr>
        <w:t>会议结束。</w:t>
      </w:r>
    </w:p>
    <w:p>
      <w:pPr>
        <w:spacing w:line="360" w:lineRule="auto"/>
        <w:ind w:firstLine="482" w:firstLineChars="200"/>
        <w:rPr>
          <w:rFonts w:ascii="宋体" w:hAnsi="宋体"/>
          <w:b/>
          <w:sz w:val="24"/>
        </w:rPr>
      </w:pPr>
      <w:r>
        <w:rPr>
          <w:rFonts w:hint="eastAsia" w:ascii="宋体" w:hAnsi="宋体"/>
          <w:b/>
          <w:sz w:val="24"/>
        </w:rPr>
        <w:t>20</w:t>
      </w:r>
      <w:r>
        <w:rPr>
          <w:rFonts w:ascii="宋体" w:hAnsi="宋体"/>
          <w:b/>
          <w:sz w:val="24"/>
        </w:rPr>
        <w:t xml:space="preserve">. </w:t>
      </w:r>
      <w:r>
        <w:rPr>
          <w:rFonts w:hint="eastAsia" w:ascii="宋体" w:hAnsi="宋体"/>
          <w:b/>
          <w:sz w:val="24"/>
        </w:rPr>
        <w:t>资格审查</w:t>
      </w:r>
    </w:p>
    <w:p>
      <w:pPr>
        <w:spacing w:line="360" w:lineRule="auto"/>
        <w:ind w:firstLine="480" w:firstLineChars="200"/>
        <w:rPr>
          <w:rFonts w:ascii="宋体" w:hAnsi="宋体"/>
          <w:sz w:val="24"/>
        </w:rPr>
      </w:pPr>
      <w:r>
        <w:rPr>
          <w:rFonts w:hint="eastAsia" w:ascii="宋体" w:hAnsi="宋体"/>
          <w:sz w:val="24"/>
        </w:rPr>
        <w:t>20</w:t>
      </w:r>
      <w:r>
        <w:rPr>
          <w:rFonts w:ascii="宋体" w:hAnsi="宋体"/>
          <w:sz w:val="24"/>
        </w:rPr>
        <w:t xml:space="preserve">.1 </w:t>
      </w:r>
      <w:r>
        <w:rPr>
          <w:rFonts w:hint="eastAsia" w:ascii="宋体" w:hAnsi="宋体"/>
          <w:sz w:val="24"/>
        </w:rPr>
        <w:t>采购人</w:t>
      </w:r>
      <w:r>
        <w:rPr>
          <w:rFonts w:ascii="宋体" w:hAnsi="宋体"/>
          <w:sz w:val="24"/>
        </w:rPr>
        <w:t>或采购代理</w:t>
      </w:r>
      <w:r>
        <w:rPr>
          <w:rFonts w:hint="eastAsia" w:ascii="宋体" w:hAnsi="宋体"/>
          <w:sz w:val="24"/>
        </w:rPr>
        <w:t>机构按资格</w:t>
      </w:r>
      <w:r>
        <w:rPr>
          <w:rFonts w:ascii="宋体" w:hAnsi="宋体"/>
          <w:sz w:val="24"/>
        </w:rPr>
        <w:t>要求和</w:t>
      </w:r>
      <w:r>
        <w:rPr>
          <w:rFonts w:hint="eastAsia" w:ascii="宋体" w:hAnsi="宋体"/>
          <w:sz w:val="24"/>
        </w:rPr>
        <w:t>资格文件</w:t>
      </w:r>
      <w:r>
        <w:rPr>
          <w:rFonts w:ascii="宋体" w:hAnsi="宋体"/>
          <w:sz w:val="24"/>
        </w:rPr>
        <w:t>要求对</w:t>
      </w:r>
      <w:r>
        <w:rPr>
          <w:rFonts w:hint="eastAsia" w:ascii="宋体" w:hAnsi="宋体"/>
          <w:sz w:val="24"/>
        </w:rPr>
        <w:t>投标</w:t>
      </w:r>
      <w:r>
        <w:rPr>
          <w:rFonts w:ascii="宋体" w:hAnsi="宋体"/>
          <w:sz w:val="24"/>
        </w:rPr>
        <w:t>人进行资格</w:t>
      </w:r>
      <w:r>
        <w:rPr>
          <w:rFonts w:hint="eastAsia" w:ascii="宋体" w:hAnsi="宋体"/>
          <w:sz w:val="24"/>
        </w:rPr>
        <w:t>审查及记录。并通过政采云平台公布</w:t>
      </w:r>
      <w:r>
        <w:rPr>
          <w:rFonts w:ascii="宋体" w:hAnsi="宋体"/>
          <w:sz w:val="24"/>
        </w:rPr>
        <w:t>审查结果</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b/>
          <w:sz w:val="24"/>
        </w:rPr>
        <w:t>20</w:t>
      </w:r>
      <w:r>
        <w:rPr>
          <w:rFonts w:ascii="宋体" w:hAnsi="宋体"/>
          <w:b/>
          <w:sz w:val="24"/>
        </w:rPr>
        <w:t xml:space="preserve">.2 </w:t>
      </w:r>
      <w:r>
        <w:rPr>
          <w:rFonts w:hint="eastAsia" w:ascii="宋体" w:hAnsi="宋体"/>
          <w:b/>
          <w:sz w:val="24"/>
        </w:rPr>
        <w:t>经资格</w:t>
      </w:r>
      <w:r>
        <w:rPr>
          <w:rFonts w:ascii="宋体" w:hAnsi="宋体"/>
          <w:b/>
          <w:sz w:val="24"/>
        </w:rPr>
        <w:t>审查后</w:t>
      </w:r>
      <w:r>
        <w:rPr>
          <w:rFonts w:hint="eastAsia" w:ascii="宋体" w:hAnsi="宋体"/>
          <w:b/>
          <w:sz w:val="24"/>
        </w:rPr>
        <w:t>合格</w:t>
      </w:r>
      <w:r>
        <w:rPr>
          <w:rFonts w:ascii="宋体" w:hAnsi="宋体"/>
          <w:b/>
          <w:sz w:val="24"/>
        </w:rPr>
        <w:t>的投标人不足</w:t>
      </w:r>
      <w:r>
        <w:rPr>
          <w:rFonts w:hint="eastAsia" w:ascii="宋体" w:hAnsi="宋体"/>
          <w:b/>
          <w:sz w:val="24"/>
        </w:rPr>
        <w:t>三家</w:t>
      </w:r>
      <w:r>
        <w:rPr>
          <w:rFonts w:ascii="宋体" w:hAnsi="宋体"/>
          <w:b/>
          <w:sz w:val="24"/>
        </w:rPr>
        <w:t>的，按</w:t>
      </w:r>
      <w:r>
        <w:rPr>
          <w:rFonts w:hint="eastAsia" w:ascii="宋体" w:hAnsi="宋体"/>
          <w:b/>
          <w:sz w:val="24"/>
        </w:rPr>
        <w:t>相关</w:t>
      </w:r>
      <w:r>
        <w:rPr>
          <w:rFonts w:ascii="宋体" w:hAnsi="宋体"/>
          <w:b/>
          <w:sz w:val="24"/>
        </w:rPr>
        <w:t>规定</w:t>
      </w:r>
      <w:r>
        <w:rPr>
          <w:rFonts w:hint="eastAsia" w:ascii="宋体" w:hAnsi="宋体"/>
          <w:b/>
          <w:sz w:val="24"/>
        </w:rPr>
        <w:t>重新组织招标。</w:t>
      </w:r>
    </w:p>
    <w:p>
      <w:pPr>
        <w:spacing w:line="360" w:lineRule="auto"/>
        <w:ind w:firstLine="482" w:firstLineChars="200"/>
        <w:rPr>
          <w:rFonts w:ascii="宋体" w:hAnsi="宋体"/>
          <w:b/>
          <w:sz w:val="24"/>
        </w:rPr>
      </w:pPr>
      <w:r>
        <w:rPr>
          <w:rFonts w:hint="eastAsia" w:ascii="宋体" w:hAnsi="宋体"/>
          <w:b/>
          <w:sz w:val="24"/>
        </w:rPr>
        <w:t>21. 评审流程：详见第六章。</w:t>
      </w:r>
    </w:p>
    <w:p>
      <w:pPr>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2</w:t>
      </w:r>
      <w:r>
        <w:rPr>
          <w:rFonts w:ascii="宋体" w:hAnsi="宋体"/>
          <w:b/>
          <w:sz w:val="24"/>
        </w:rPr>
        <w:t xml:space="preserve">. </w:t>
      </w:r>
      <w:r>
        <w:rPr>
          <w:rFonts w:hint="eastAsia" w:ascii="宋体" w:hAnsi="宋体"/>
          <w:b/>
          <w:sz w:val="24"/>
        </w:rPr>
        <w:t>投标文件的澄清</w:t>
      </w:r>
    </w:p>
    <w:p>
      <w:pPr>
        <w:spacing w:line="360" w:lineRule="auto"/>
        <w:ind w:firstLine="480" w:firstLineChars="200"/>
        <w:rPr>
          <w:rFonts w:ascii="宋体" w:hAnsi="宋体"/>
          <w:sz w:val="24"/>
        </w:rPr>
      </w:pPr>
      <w:r>
        <w:rPr>
          <w:rFonts w:hint="eastAsia" w:ascii="宋体" w:hAnsi="宋体"/>
          <w:sz w:val="24"/>
        </w:rPr>
        <w:t>22.1对</w:t>
      </w:r>
      <w:r>
        <w:rPr>
          <w:rFonts w:hint="eastAsia" w:ascii="宋体" w:hAnsi="宋体"/>
          <w:kern w:val="0"/>
          <w:sz w:val="24"/>
        </w:rPr>
        <w:t>投标文件</w:t>
      </w:r>
      <w:r>
        <w:rPr>
          <w:rFonts w:hint="eastAsia" w:ascii="宋体" w:hAnsi="宋体"/>
          <w:sz w:val="24"/>
        </w:rPr>
        <w:t>中含义不明确、同类问题表述不一致或者有明显文字和计算错误的内容，评审委员会应当通过电子交易平台交换数据电文的形式要求投标人作出必要的澄清、说明或者补正。投标人的澄清、说明或者补正也应当采用电子交易平台交换数据电文的形式，投标人的澄清、说明或者补正不得超出投标文件的范围或者改变投标文件的实质性内容；</w:t>
      </w:r>
    </w:p>
    <w:p>
      <w:pPr>
        <w:spacing w:line="360" w:lineRule="auto"/>
        <w:ind w:firstLine="436" w:firstLineChars="182"/>
        <w:rPr>
          <w:rFonts w:ascii="宋体" w:hAnsi="宋体"/>
          <w:sz w:val="24"/>
        </w:rPr>
      </w:pPr>
      <w:r>
        <w:rPr>
          <w:rFonts w:hint="eastAsia" w:ascii="宋体" w:hAnsi="宋体"/>
          <w:sz w:val="24"/>
        </w:rPr>
        <w:t>22.2报价算术错误将按以下方法修正：</w:t>
      </w:r>
    </w:p>
    <w:p>
      <w:pPr>
        <w:spacing w:line="360" w:lineRule="auto"/>
        <w:ind w:firstLine="436" w:firstLineChars="182"/>
        <w:rPr>
          <w:rFonts w:ascii="宋体" w:hAnsi="宋体"/>
          <w:sz w:val="24"/>
        </w:rPr>
      </w:pPr>
      <w:r>
        <w:rPr>
          <w:rFonts w:hint="eastAsia" w:ascii="宋体" w:hAnsi="宋体"/>
          <w:sz w:val="24"/>
        </w:rPr>
        <w:t>（1）政采云系统填写的报价和上传的报价文件报价不一致的，以上传的报价文件为准；</w:t>
      </w:r>
    </w:p>
    <w:p>
      <w:pPr>
        <w:spacing w:line="360" w:lineRule="auto"/>
        <w:ind w:firstLine="436" w:firstLineChars="182"/>
        <w:rPr>
          <w:rFonts w:ascii="宋体" w:hAnsi="宋体"/>
          <w:bCs/>
          <w:sz w:val="24"/>
        </w:rPr>
      </w:pPr>
      <w:r>
        <w:rPr>
          <w:rFonts w:hint="eastAsia" w:ascii="宋体" w:hAnsi="宋体"/>
          <w:bCs/>
          <w:sz w:val="24"/>
        </w:rPr>
        <w:t>（2）</w:t>
      </w:r>
      <w:r>
        <w:rPr>
          <w:rFonts w:hint="eastAsia" w:ascii="宋体" w:hAnsi="宋体"/>
          <w:kern w:val="0"/>
          <w:sz w:val="24"/>
        </w:rPr>
        <w:t>报价文件</w:t>
      </w:r>
      <w:r>
        <w:rPr>
          <w:rFonts w:hint="eastAsia" w:ascii="宋体" w:hAnsi="宋体"/>
          <w:bCs/>
          <w:sz w:val="24"/>
        </w:rPr>
        <w:t>中开标一览表（报价表）内容与</w:t>
      </w:r>
      <w:r>
        <w:rPr>
          <w:rFonts w:hint="eastAsia" w:ascii="宋体" w:hAnsi="宋体"/>
          <w:kern w:val="0"/>
          <w:sz w:val="24"/>
        </w:rPr>
        <w:t>报价</w:t>
      </w:r>
      <w:r>
        <w:rPr>
          <w:rFonts w:hint="eastAsia" w:ascii="宋体" w:hAnsi="宋体"/>
          <w:bCs/>
          <w:sz w:val="24"/>
        </w:rPr>
        <w:t>明细表相应内容不一致的，以开标一览表（报价表）为准；</w:t>
      </w:r>
    </w:p>
    <w:p>
      <w:pPr>
        <w:spacing w:line="360" w:lineRule="auto"/>
        <w:ind w:firstLine="436" w:firstLineChars="182"/>
        <w:rPr>
          <w:rFonts w:ascii="宋体" w:hAnsi="宋体"/>
          <w:bCs/>
          <w:sz w:val="24"/>
        </w:rPr>
      </w:pPr>
      <w:r>
        <w:rPr>
          <w:rFonts w:hint="eastAsia" w:ascii="宋体" w:hAnsi="宋体"/>
          <w:bCs/>
          <w:sz w:val="24"/>
        </w:rPr>
        <w:t>（3）报价文件的大写金额和小写金额不一致的，以大写金额为准；</w:t>
      </w:r>
    </w:p>
    <w:p>
      <w:pPr>
        <w:spacing w:line="360" w:lineRule="auto"/>
        <w:ind w:firstLine="436" w:firstLineChars="182"/>
        <w:rPr>
          <w:rFonts w:ascii="宋体" w:hAnsi="宋体"/>
          <w:bCs/>
          <w:sz w:val="24"/>
        </w:rPr>
      </w:pPr>
      <w:r>
        <w:rPr>
          <w:rFonts w:hint="eastAsia" w:ascii="宋体" w:hAnsi="宋体"/>
          <w:bCs/>
          <w:sz w:val="24"/>
        </w:rPr>
        <w:t>（4）单价金额</w:t>
      </w:r>
      <w:r>
        <w:rPr>
          <w:rFonts w:ascii="宋体" w:hAnsi="宋体"/>
          <w:bCs/>
          <w:sz w:val="24"/>
        </w:rPr>
        <w:t>小数点或者百分</w:t>
      </w:r>
      <w:r>
        <w:rPr>
          <w:rFonts w:hint="eastAsia" w:ascii="宋体" w:hAnsi="宋体"/>
          <w:bCs/>
          <w:sz w:val="24"/>
        </w:rPr>
        <w:t>比</w:t>
      </w:r>
      <w:r>
        <w:rPr>
          <w:rFonts w:ascii="宋体" w:hAnsi="宋体"/>
          <w:bCs/>
          <w:sz w:val="24"/>
        </w:rPr>
        <w:t>有明显错位的，以开标</w:t>
      </w:r>
      <w:r>
        <w:rPr>
          <w:rFonts w:hint="eastAsia" w:ascii="宋体" w:hAnsi="宋体"/>
          <w:bCs/>
          <w:sz w:val="24"/>
        </w:rPr>
        <w:t>一览表（报价</w:t>
      </w:r>
      <w:r>
        <w:rPr>
          <w:rFonts w:ascii="宋体" w:hAnsi="宋体"/>
          <w:bCs/>
          <w:sz w:val="24"/>
        </w:rPr>
        <w:t>表</w:t>
      </w:r>
      <w:r>
        <w:rPr>
          <w:rFonts w:hint="eastAsia" w:ascii="宋体" w:hAnsi="宋体"/>
          <w:bCs/>
          <w:sz w:val="24"/>
        </w:rPr>
        <w:t>）</w:t>
      </w:r>
      <w:r>
        <w:rPr>
          <w:rFonts w:ascii="宋体" w:hAnsi="宋体"/>
          <w:bCs/>
          <w:sz w:val="24"/>
        </w:rPr>
        <w:t>的总价</w:t>
      </w:r>
      <w:r>
        <w:rPr>
          <w:rFonts w:hint="eastAsia" w:ascii="宋体" w:hAnsi="宋体"/>
          <w:bCs/>
          <w:sz w:val="24"/>
        </w:rPr>
        <w:t>为准</w:t>
      </w:r>
      <w:r>
        <w:rPr>
          <w:rFonts w:ascii="宋体" w:hAnsi="宋体"/>
          <w:bCs/>
          <w:sz w:val="24"/>
        </w:rPr>
        <w:t>，并修改单价；</w:t>
      </w:r>
    </w:p>
    <w:p>
      <w:pPr>
        <w:spacing w:line="360" w:lineRule="auto"/>
        <w:ind w:firstLine="436" w:firstLineChars="182"/>
        <w:rPr>
          <w:rFonts w:ascii="宋体" w:hAnsi="宋体"/>
          <w:bCs/>
          <w:sz w:val="24"/>
        </w:rPr>
      </w:pPr>
      <w:r>
        <w:rPr>
          <w:rFonts w:hint="eastAsia" w:ascii="宋体" w:hAnsi="宋体"/>
          <w:bCs/>
          <w:sz w:val="24"/>
        </w:rPr>
        <w:t>（5）总价</w:t>
      </w:r>
      <w:r>
        <w:rPr>
          <w:rFonts w:ascii="宋体" w:hAnsi="宋体"/>
          <w:bCs/>
          <w:sz w:val="24"/>
        </w:rPr>
        <w:t>金额与</w:t>
      </w:r>
      <w:r>
        <w:rPr>
          <w:rFonts w:hint="eastAsia" w:ascii="宋体" w:hAnsi="宋体"/>
          <w:bCs/>
          <w:sz w:val="24"/>
        </w:rPr>
        <w:t>按</w:t>
      </w:r>
      <w:r>
        <w:rPr>
          <w:rFonts w:ascii="宋体" w:hAnsi="宋体"/>
          <w:bCs/>
          <w:sz w:val="24"/>
        </w:rPr>
        <w:t>单价</w:t>
      </w:r>
      <w:r>
        <w:rPr>
          <w:rFonts w:hint="eastAsia" w:ascii="宋体" w:hAnsi="宋体"/>
          <w:bCs/>
          <w:sz w:val="24"/>
        </w:rPr>
        <w:t>汇总</w:t>
      </w:r>
      <w:r>
        <w:rPr>
          <w:rFonts w:ascii="宋体" w:hAnsi="宋体"/>
          <w:bCs/>
          <w:sz w:val="24"/>
        </w:rPr>
        <w:t>金额不一致的，以单价金额计算</w:t>
      </w:r>
      <w:r>
        <w:rPr>
          <w:rFonts w:hint="eastAsia" w:ascii="宋体" w:hAnsi="宋体"/>
          <w:bCs/>
          <w:sz w:val="24"/>
        </w:rPr>
        <w:t>结果</w:t>
      </w:r>
      <w:r>
        <w:rPr>
          <w:rFonts w:ascii="宋体" w:hAnsi="宋体"/>
          <w:bCs/>
          <w:sz w:val="24"/>
        </w:rPr>
        <w:t>为准</w:t>
      </w:r>
      <w:r>
        <w:rPr>
          <w:rFonts w:hint="eastAsia" w:ascii="宋体" w:hAnsi="宋体"/>
          <w:bCs/>
          <w:sz w:val="24"/>
        </w:rPr>
        <w:t>；</w:t>
      </w:r>
    </w:p>
    <w:p>
      <w:pPr>
        <w:spacing w:line="360" w:lineRule="auto"/>
        <w:ind w:firstLine="436" w:firstLineChars="182"/>
        <w:rPr>
          <w:rFonts w:ascii="宋体" w:hAnsi="宋体"/>
          <w:bCs/>
          <w:sz w:val="24"/>
        </w:rPr>
      </w:pPr>
      <w:r>
        <w:rPr>
          <w:rFonts w:hint="eastAsia" w:ascii="宋体" w:hAnsi="宋体"/>
          <w:bCs/>
          <w:sz w:val="24"/>
        </w:rPr>
        <w:t>（6）同时</w:t>
      </w:r>
      <w:r>
        <w:rPr>
          <w:rFonts w:ascii="宋体" w:hAnsi="宋体"/>
          <w:bCs/>
          <w:sz w:val="24"/>
        </w:rPr>
        <w:t>出现</w:t>
      </w:r>
      <w:r>
        <w:rPr>
          <w:rFonts w:hint="eastAsia" w:ascii="宋体" w:hAnsi="宋体"/>
          <w:bCs/>
          <w:sz w:val="24"/>
        </w:rPr>
        <w:t>两种</w:t>
      </w:r>
      <w:r>
        <w:rPr>
          <w:rFonts w:ascii="宋体" w:hAnsi="宋体"/>
          <w:bCs/>
          <w:sz w:val="24"/>
        </w:rPr>
        <w:t>以上</w:t>
      </w:r>
      <w:r>
        <w:rPr>
          <w:rFonts w:hint="eastAsia" w:ascii="宋体" w:hAnsi="宋体"/>
          <w:bCs/>
          <w:sz w:val="24"/>
        </w:rPr>
        <w:t>不一致</w:t>
      </w:r>
      <w:r>
        <w:rPr>
          <w:rFonts w:ascii="宋体" w:hAnsi="宋体"/>
          <w:bCs/>
          <w:sz w:val="24"/>
        </w:rPr>
        <w:t>的，按</w:t>
      </w:r>
      <w:r>
        <w:rPr>
          <w:rFonts w:hint="eastAsia" w:ascii="宋体" w:hAnsi="宋体"/>
          <w:bCs/>
          <w:sz w:val="24"/>
        </w:rPr>
        <w:t>上述顺序</w:t>
      </w:r>
      <w:r>
        <w:rPr>
          <w:rFonts w:ascii="宋体" w:hAnsi="宋体"/>
          <w:bCs/>
          <w:sz w:val="24"/>
        </w:rPr>
        <w:t>修正</w:t>
      </w:r>
      <w:r>
        <w:rPr>
          <w:rFonts w:hint="eastAsia" w:ascii="宋体" w:hAnsi="宋体"/>
          <w:bCs/>
          <w:sz w:val="24"/>
        </w:rPr>
        <w:t>；</w:t>
      </w:r>
    </w:p>
    <w:p>
      <w:pPr>
        <w:spacing w:line="360" w:lineRule="auto"/>
        <w:ind w:firstLine="436" w:firstLineChars="182"/>
        <w:rPr>
          <w:rFonts w:ascii="宋体" w:hAnsi="宋体"/>
          <w:sz w:val="24"/>
        </w:rPr>
      </w:pPr>
      <w:r>
        <w:rPr>
          <w:rFonts w:hint="eastAsia" w:ascii="宋体" w:hAnsi="宋体"/>
          <w:bCs/>
          <w:sz w:val="24"/>
        </w:rPr>
        <w:t>（7）对不同文字文本</w:t>
      </w:r>
      <w:r>
        <w:rPr>
          <w:rFonts w:hint="eastAsia" w:ascii="宋体" w:hAnsi="宋体"/>
          <w:kern w:val="0"/>
          <w:sz w:val="24"/>
        </w:rPr>
        <w:t>投标文件</w:t>
      </w:r>
      <w:r>
        <w:rPr>
          <w:rFonts w:hint="eastAsia" w:ascii="宋体" w:hAnsi="宋体"/>
          <w:bCs/>
          <w:sz w:val="24"/>
        </w:rPr>
        <w:t>的解释发生异议的，以中文文本为准；</w:t>
      </w:r>
    </w:p>
    <w:p>
      <w:pPr>
        <w:spacing w:line="360" w:lineRule="auto"/>
        <w:ind w:firstLine="436" w:firstLineChars="182"/>
        <w:rPr>
          <w:rFonts w:ascii="宋体" w:hAnsi="宋体"/>
          <w:sz w:val="24"/>
        </w:rPr>
      </w:pPr>
      <w:r>
        <w:rPr>
          <w:rFonts w:hint="eastAsia" w:ascii="宋体" w:hAnsi="宋体"/>
          <w:sz w:val="24"/>
        </w:rPr>
        <w:t>▲修正错误的投标报价，投标人应当通过电子交易平台交换数据电文的形式提交，调整后的投标报价对投标人具有约束作用。若投标人不接受修正后的投标报价，则其投标将作为无效投标处理。</w:t>
      </w:r>
    </w:p>
    <w:p>
      <w:pPr>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3</w:t>
      </w:r>
      <w:r>
        <w:rPr>
          <w:rFonts w:ascii="宋体" w:hAnsi="宋体"/>
          <w:b/>
          <w:sz w:val="24"/>
        </w:rPr>
        <w:t xml:space="preserve">. </w:t>
      </w:r>
      <w:r>
        <w:rPr>
          <w:rFonts w:hint="eastAsia" w:ascii="宋体" w:hAnsi="宋体"/>
          <w:b/>
          <w:sz w:val="24"/>
        </w:rPr>
        <w:t>对投标文件的比较和评估</w:t>
      </w:r>
    </w:p>
    <w:p>
      <w:pPr>
        <w:spacing w:line="360" w:lineRule="auto"/>
        <w:ind w:firstLine="480" w:firstLineChars="200"/>
        <w:rPr>
          <w:rFonts w:ascii="宋体" w:hAnsi="宋体"/>
          <w:sz w:val="24"/>
        </w:rPr>
      </w:pPr>
      <w:r>
        <w:rPr>
          <w:rFonts w:hint="eastAsia" w:ascii="宋体" w:hAnsi="宋体"/>
          <w:sz w:val="24"/>
        </w:rPr>
        <w:t>23.1评审委员会根据招标</w:t>
      </w:r>
      <w:r>
        <w:rPr>
          <w:rFonts w:ascii="宋体" w:hAnsi="宋体"/>
          <w:sz w:val="24"/>
        </w:rPr>
        <w:t>文件规定的评审办法和标准、对符合性审查</w:t>
      </w:r>
      <w:r>
        <w:rPr>
          <w:rFonts w:hint="eastAsia" w:ascii="宋体" w:hAnsi="宋体"/>
          <w:sz w:val="24"/>
        </w:rPr>
        <w:t>合格投标</w:t>
      </w:r>
      <w:r>
        <w:rPr>
          <w:rFonts w:ascii="宋体" w:hAnsi="宋体"/>
          <w:sz w:val="24"/>
        </w:rPr>
        <w:t>人的投标文件</w:t>
      </w:r>
      <w:r>
        <w:rPr>
          <w:rFonts w:hint="eastAsia" w:ascii="宋体" w:hAnsi="宋体"/>
          <w:sz w:val="24"/>
        </w:rPr>
        <w:t>及澄清</w:t>
      </w:r>
      <w:r>
        <w:rPr>
          <w:rFonts w:ascii="宋体" w:hAnsi="宋体"/>
          <w:sz w:val="24"/>
        </w:rPr>
        <w:t>答复</w:t>
      </w:r>
      <w:r>
        <w:rPr>
          <w:rFonts w:hint="eastAsia" w:ascii="宋体" w:hAnsi="宋体"/>
          <w:sz w:val="24"/>
        </w:rPr>
        <w:t>内容</w:t>
      </w:r>
      <w:r>
        <w:rPr>
          <w:rFonts w:ascii="宋体" w:hAnsi="宋体"/>
          <w:sz w:val="24"/>
        </w:rPr>
        <w:t>进行商务和技术评估，综合比较与评价</w:t>
      </w:r>
      <w:r>
        <w:rPr>
          <w:rFonts w:hint="eastAsia" w:ascii="宋体" w:hAnsi="宋体"/>
          <w:sz w:val="24"/>
        </w:rPr>
        <w:t>，并</w:t>
      </w:r>
      <w:r>
        <w:rPr>
          <w:rFonts w:ascii="宋体" w:hAnsi="宋体"/>
          <w:sz w:val="24"/>
        </w:rPr>
        <w:t>按照平等</w:t>
      </w:r>
      <w:r>
        <w:rPr>
          <w:rFonts w:hint="eastAsia" w:ascii="宋体" w:hAnsi="宋体"/>
          <w:sz w:val="24"/>
        </w:rPr>
        <w:t>、</w:t>
      </w:r>
      <w:r>
        <w:rPr>
          <w:rFonts w:ascii="宋体" w:hAnsi="宋体"/>
          <w:sz w:val="24"/>
        </w:rPr>
        <w:t>客观</w:t>
      </w:r>
      <w:r>
        <w:rPr>
          <w:rFonts w:hint="eastAsia" w:ascii="宋体" w:hAnsi="宋体"/>
          <w:sz w:val="24"/>
        </w:rPr>
        <w:t>、</w:t>
      </w:r>
      <w:r>
        <w:rPr>
          <w:rFonts w:ascii="宋体" w:hAnsi="宋体"/>
          <w:sz w:val="24"/>
        </w:rPr>
        <w:t>公正的原则对投标文件</w:t>
      </w:r>
      <w:r>
        <w:rPr>
          <w:rFonts w:hint="eastAsia" w:ascii="宋体" w:hAnsi="宋体"/>
          <w:sz w:val="24"/>
        </w:rPr>
        <w:t>进行</w:t>
      </w:r>
      <w:r>
        <w:rPr>
          <w:rFonts w:ascii="宋体" w:hAnsi="宋体"/>
          <w:sz w:val="24"/>
        </w:rPr>
        <w:t>综合评审</w:t>
      </w:r>
      <w:r>
        <w:rPr>
          <w:rFonts w:hint="eastAsia" w:ascii="宋体" w:hAnsi="宋体"/>
          <w:sz w:val="24"/>
        </w:rPr>
        <w:t>和</w:t>
      </w:r>
      <w:r>
        <w:rPr>
          <w:rFonts w:ascii="宋体" w:hAnsi="宋体"/>
          <w:sz w:val="24"/>
        </w:rPr>
        <w:t>评分。</w:t>
      </w:r>
    </w:p>
    <w:p>
      <w:pPr>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4</w:t>
      </w:r>
      <w:r>
        <w:rPr>
          <w:rFonts w:ascii="宋体" w:hAnsi="宋体"/>
          <w:b/>
          <w:sz w:val="24"/>
        </w:rPr>
        <w:t>.</w:t>
      </w:r>
      <w:r>
        <w:rPr>
          <w:rFonts w:hint="eastAsia" w:ascii="宋体" w:hAnsi="宋体"/>
          <w:b/>
          <w:sz w:val="24"/>
        </w:rPr>
        <w:t>评标报告</w:t>
      </w:r>
    </w:p>
    <w:p>
      <w:pPr>
        <w:spacing w:line="360" w:lineRule="auto"/>
        <w:ind w:firstLine="480" w:firstLineChars="200"/>
        <w:rPr>
          <w:rFonts w:ascii="宋体" w:hAnsi="宋体"/>
          <w:sz w:val="24"/>
        </w:rPr>
      </w:pPr>
      <w:r>
        <w:rPr>
          <w:rFonts w:hint="eastAsia" w:ascii="宋体" w:hAnsi="宋体"/>
          <w:sz w:val="24"/>
        </w:rPr>
        <w:t>评审委员会</w:t>
      </w:r>
      <w:r>
        <w:rPr>
          <w:rFonts w:ascii="宋体" w:hAnsi="宋体"/>
          <w:sz w:val="24"/>
        </w:rPr>
        <w:t>根据全体评</w:t>
      </w:r>
      <w:r>
        <w:rPr>
          <w:rFonts w:hint="eastAsia" w:ascii="宋体" w:hAnsi="宋体"/>
          <w:sz w:val="24"/>
        </w:rPr>
        <w:t>审</w:t>
      </w:r>
      <w:r>
        <w:rPr>
          <w:rFonts w:ascii="宋体" w:hAnsi="宋体"/>
          <w:sz w:val="24"/>
        </w:rPr>
        <w:t>成员签字的原始</w:t>
      </w:r>
      <w:r>
        <w:rPr>
          <w:rFonts w:hint="eastAsia" w:ascii="宋体" w:hAnsi="宋体"/>
          <w:sz w:val="24"/>
        </w:rPr>
        <w:t>评审</w:t>
      </w:r>
      <w:r>
        <w:rPr>
          <w:rFonts w:ascii="宋体" w:hAnsi="宋体"/>
          <w:sz w:val="24"/>
        </w:rPr>
        <w:t>记录和评</w:t>
      </w:r>
      <w:r>
        <w:rPr>
          <w:rFonts w:hint="eastAsia" w:ascii="宋体" w:hAnsi="宋体"/>
          <w:sz w:val="24"/>
        </w:rPr>
        <w:t>审</w:t>
      </w:r>
      <w:r>
        <w:rPr>
          <w:rFonts w:ascii="宋体" w:hAnsi="宋体"/>
          <w:sz w:val="24"/>
        </w:rPr>
        <w:t>结果</w:t>
      </w:r>
      <w:r>
        <w:rPr>
          <w:rFonts w:hint="eastAsia" w:ascii="宋体" w:hAnsi="宋体"/>
          <w:sz w:val="24"/>
        </w:rPr>
        <w:t>编写</w:t>
      </w:r>
      <w:r>
        <w:rPr>
          <w:rFonts w:ascii="宋体" w:hAnsi="宋体"/>
          <w:sz w:val="24"/>
        </w:rPr>
        <w:t>评标报告</w:t>
      </w:r>
      <w:r>
        <w:rPr>
          <w:rFonts w:hint="eastAsia" w:ascii="宋体" w:hAnsi="宋体"/>
          <w:sz w:val="24"/>
        </w:rPr>
        <w:t>，</w:t>
      </w:r>
      <w:r>
        <w:rPr>
          <w:rFonts w:ascii="宋体" w:hAnsi="宋体"/>
          <w:sz w:val="24"/>
        </w:rPr>
        <w:t>并</w:t>
      </w:r>
      <w:r>
        <w:rPr>
          <w:rFonts w:hint="eastAsia" w:ascii="宋体" w:hAnsi="宋体"/>
          <w:sz w:val="24"/>
        </w:rPr>
        <w:t>推荐</w:t>
      </w:r>
      <w:r>
        <w:rPr>
          <w:rFonts w:ascii="宋体" w:hAnsi="宋体"/>
          <w:sz w:val="24"/>
        </w:rPr>
        <w:t>中标候选人</w:t>
      </w:r>
      <w:r>
        <w:rPr>
          <w:rFonts w:hint="eastAsia" w:ascii="宋体" w:hAnsi="宋体"/>
          <w:sz w:val="24"/>
        </w:rPr>
        <w:t>，评审</w:t>
      </w:r>
      <w:r>
        <w:rPr>
          <w:rFonts w:ascii="宋体" w:hAnsi="宋体"/>
          <w:sz w:val="24"/>
        </w:rPr>
        <w:t>报告由</w:t>
      </w:r>
      <w:r>
        <w:rPr>
          <w:rFonts w:hint="eastAsia" w:ascii="宋体" w:hAnsi="宋体"/>
          <w:sz w:val="24"/>
        </w:rPr>
        <w:t>评审委员会</w:t>
      </w:r>
      <w:r>
        <w:rPr>
          <w:rFonts w:ascii="宋体" w:hAnsi="宋体"/>
          <w:sz w:val="24"/>
        </w:rPr>
        <w:t>成员签字</w:t>
      </w:r>
      <w:r>
        <w:rPr>
          <w:rFonts w:hint="eastAsia" w:ascii="宋体" w:hAnsi="宋体"/>
          <w:sz w:val="24"/>
        </w:rPr>
        <w:t>确认提交</w:t>
      </w:r>
      <w:r>
        <w:rPr>
          <w:rFonts w:ascii="宋体" w:hAnsi="宋体"/>
          <w:sz w:val="24"/>
        </w:rPr>
        <w:t>。</w:t>
      </w:r>
    </w:p>
    <w:p>
      <w:pPr>
        <w:spacing w:line="360" w:lineRule="auto"/>
        <w:ind w:firstLine="482" w:firstLineChars="200"/>
        <w:rPr>
          <w:rFonts w:ascii="宋体" w:hAnsi="宋体"/>
          <w:b/>
          <w:sz w:val="24"/>
        </w:rPr>
      </w:pPr>
      <w:r>
        <w:rPr>
          <w:rFonts w:hint="eastAsia" w:ascii="宋体" w:hAnsi="宋体"/>
          <w:b/>
          <w:sz w:val="24"/>
        </w:rPr>
        <w:t>25.采购过程中出现以下情形，导致电子交易平台无法正常运行，或者无法保证电子交易的公平、公正和安全时，可中止电子交易活动：</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（1）电子交易平台发生故障而无法登录访问的；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（2）电子交易平台应用或数据库出现错误，不能进行正常操作的；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（3）电子交易平台发现严重安全漏洞，有潜在泄密危险的；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（4）病毒发作导致不能进行正常操作的； </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（5）其他无法保证电子交易的公平、公正和安全的情况。</w:t>
      </w:r>
    </w:p>
    <w:p>
      <w:pPr>
        <w:spacing w:line="360" w:lineRule="auto"/>
        <w:ind w:firstLine="480" w:firstLineChars="200"/>
        <w:rPr>
          <w:sz w:val="24"/>
        </w:rPr>
      </w:pPr>
      <w:r>
        <w:rPr>
          <w:rFonts w:hint="eastAsia"/>
          <w:sz w:val="24"/>
        </w:rPr>
        <w:t>出现前款规定情形，不影响采购公平、公正性的，采购代理机构可以待上述情形消除后继续组织电子交易活动；影响或可能影响采购公平、公正性的，重新组织采购。</w:t>
      </w:r>
    </w:p>
    <w:p>
      <w:pPr>
        <w:spacing w:line="360" w:lineRule="auto"/>
        <w:ind w:firstLine="456" w:firstLineChars="200"/>
        <w:rPr>
          <w:rFonts w:ascii="宋体" w:hAnsi="宋体"/>
          <w:spacing w:val="-6"/>
          <w:sz w:val="24"/>
        </w:rPr>
      </w:pPr>
      <w:r>
        <w:rPr>
          <w:rFonts w:hint="eastAsia" w:ascii="宋体" w:hAnsi="宋体"/>
          <w:spacing w:val="-6"/>
          <w:sz w:val="24"/>
        </w:rPr>
        <w:t>26.采购代理机构或评审委员会因不可抗力（不可抗力包括但不限于自然灾害、断电、传播疫病等）原因造成电子交易活动无法正常运行的，将采取以下措施：</w:t>
      </w:r>
    </w:p>
    <w:p>
      <w:pPr>
        <w:spacing w:line="360" w:lineRule="auto"/>
        <w:ind w:firstLine="480" w:firstLineChars="200"/>
        <w:rPr>
          <w:rFonts w:ascii="宋体" w:hAnsi="宋体"/>
          <w:sz w:val="24"/>
        </w:rPr>
      </w:pPr>
      <w:r>
        <w:rPr>
          <w:rFonts w:hint="eastAsia" w:ascii="宋体" w:hAnsi="宋体"/>
          <w:sz w:val="24"/>
        </w:rPr>
        <w:t>（1）短时间内能消除不可抗力因素的，采购代理机构或评审委员会在消除不可抗力因素后继续组织电子交易活动；</w:t>
      </w:r>
    </w:p>
    <w:p>
      <w:pPr>
        <w:spacing w:line="360" w:lineRule="auto"/>
        <w:ind w:firstLine="480" w:firstLineChars="200"/>
        <w:rPr>
          <w:rFonts w:ascii="宋体" w:hAnsi="宋体"/>
          <w:sz w:val="24"/>
        </w:rPr>
      </w:pPr>
      <w:r>
        <w:rPr>
          <w:rFonts w:hint="eastAsia" w:ascii="宋体" w:hAnsi="宋体"/>
          <w:sz w:val="24"/>
        </w:rPr>
        <w:t>（2）长时间内无法消除不可抗力因素的，采购代理机构或评审委员会将中止电子交易活动。中止电子交易活动的，采购人应当重新组织政府采购活动。</w:t>
      </w:r>
    </w:p>
    <w:p>
      <w:pPr>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7</w:t>
      </w:r>
      <w:r>
        <w:rPr>
          <w:rFonts w:ascii="宋体" w:hAnsi="宋体"/>
          <w:b/>
          <w:sz w:val="24"/>
        </w:rPr>
        <w:t xml:space="preserve">. </w:t>
      </w:r>
      <w:r>
        <w:rPr>
          <w:rFonts w:hint="eastAsia" w:ascii="宋体" w:hAnsi="宋体"/>
          <w:b/>
          <w:sz w:val="24"/>
        </w:rPr>
        <w:t>保密和评审过程的监控</w:t>
      </w:r>
    </w:p>
    <w:p>
      <w:pPr>
        <w:spacing w:line="360" w:lineRule="auto"/>
        <w:ind w:firstLine="480" w:firstLineChars="200"/>
        <w:rPr>
          <w:rFonts w:ascii="宋体" w:hAnsi="宋体"/>
          <w:bCs/>
          <w:sz w:val="24"/>
        </w:rPr>
      </w:pPr>
      <w:r>
        <w:rPr>
          <w:rFonts w:ascii="宋体" w:hAnsi="宋体"/>
          <w:bCs/>
          <w:sz w:val="24"/>
        </w:rPr>
        <w:t>2</w:t>
      </w:r>
      <w:r>
        <w:rPr>
          <w:rFonts w:hint="eastAsia" w:ascii="宋体" w:hAnsi="宋体"/>
          <w:bCs/>
          <w:sz w:val="24"/>
        </w:rPr>
        <w:t>7</w:t>
      </w:r>
      <w:r>
        <w:rPr>
          <w:rFonts w:ascii="宋体" w:hAnsi="宋体"/>
          <w:bCs/>
          <w:sz w:val="24"/>
        </w:rPr>
        <w:t xml:space="preserve">.1 </w:t>
      </w:r>
      <w:r>
        <w:rPr>
          <w:rFonts w:hint="eastAsia" w:ascii="宋体" w:hAnsi="宋体"/>
          <w:bCs/>
          <w:sz w:val="24"/>
        </w:rPr>
        <w:t>自开标时间起至中标结果公告发布时间止，凡属于审查、澄清、评估和比较投标的有关资料，且与授予合同有关的信息都不得向任何投标人或与上述评审过程无关的人员透露；</w:t>
      </w:r>
    </w:p>
    <w:p>
      <w:pPr>
        <w:spacing w:line="360" w:lineRule="auto"/>
        <w:ind w:firstLine="480" w:firstLineChars="200"/>
        <w:rPr>
          <w:rFonts w:ascii="宋体" w:hAnsi="宋体"/>
          <w:sz w:val="20"/>
        </w:rPr>
      </w:pPr>
      <w:r>
        <w:rPr>
          <w:rFonts w:ascii="宋体" w:hAnsi="宋体"/>
          <w:sz w:val="24"/>
        </w:rPr>
        <w:t>2</w:t>
      </w:r>
      <w:r>
        <w:rPr>
          <w:rFonts w:hint="eastAsia" w:ascii="宋体" w:hAnsi="宋体"/>
          <w:sz w:val="24"/>
        </w:rPr>
        <w:t>7</w:t>
      </w:r>
      <w:r>
        <w:rPr>
          <w:rFonts w:ascii="宋体" w:hAnsi="宋体"/>
          <w:sz w:val="24"/>
        </w:rPr>
        <w:t xml:space="preserve">.2 </w:t>
      </w:r>
      <w:r>
        <w:rPr>
          <w:rFonts w:hint="eastAsia" w:ascii="宋体" w:hAnsi="宋体"/>
          <w:sz w:val="24"/>
        </w:rPr>
        <w:t>本项目开标、评审过程实行全程录音、录像监控，投标人在开标、评审过程中所进行的试图影响评审结果的不公正行为或授予合同决定的过程施加影响的企图和行为，可能导致其投标被拒绝。</w:t>
      </w:r>
      <w:bookmarkStart w:id="45" w:name="EB6abbdb67ad8e4dca83235298b1f0b56f"/>
      <w:bookmarkEnd w:id="45"/>
      <w:bookmarkStart w:id="46" w:name="EB50051ac8f4a946c091713b64242fa8f2"/>
      <w:bookmarkEnd w:id="46"/>
    </w:p>
    <w:p>
      <w:pPr>
        <w:pStyle w:val="4"/>
        <w:spacing w:line="560" w:lineRule="exact"/>
        <w:ind w:firstLine="0" w:firstLineChars="0"/>
        <w:rPr>
          <w:rFonts w:ascii="宋体" w:hAnsi="宋体" w:eastAsia="宋体"/>
        </w:rPr>
      </w:pPr>
      <w:bookmarkStart w:id="47" w:name="_Toc494555855"/>
      <w:bookmarkStart w:id="48" w:name="_Toc41577872"/>
      <w:bookmarkStart w:id="49" w:name="_Toc493956039"/>
      <w:bookmarkStart w:id="50" w:name="_Toc5215"/>
      <w:r>
        <w:rPr>
          <w:rFonts w:hint="eastAsia" w:ascii="宋体" w:hAnsi="宋体" w:eastAsia="宋体"/>
        </w:rPr>
        <w:t>七   投标无效的情形</w:t>
      </w:r>
      <w:bookmarkEnd w:id="47"/>
      <w:bookmarkEnd w:id="48"/>
      <w:bookmarkEnd w:id="49"/>
      <w:bookmarkEnd w:id="50"/>
    </w:p>
    <w:p>
      <w:pPr>
        <w:spacing w:line="360" w:lineRule="auto"/>
        <w:ind w:firstLine="482" w:firstLineChars="200"/>
        <w:rPr>
          <w:rFonts w:ascii="宋体" w:hAnsi="宋体"/>
          <w:b/>
          <w:sz w:val="24"/>
        </w:rPr>
      </w:pPr>
      <w:r>
        <w:rPr>
          <w:rFonts w:hint="eastAsia" w:ascii="宋体" w:hAnsi="宋体"/>
          <w:b/>
          <w:sz w:val="24"/>
        </w:rPr>
        <w:t>28.实质上没有响应招标文件要求的投标将被视为无效投标。投标人不得通过修正或撤消不合要求的偏离或保留从而使其投标成为实质上响应的投标。投标人如有下列情形之一的，其投标将被拒绝，</w:t>
      </w:r>
      <w:r>
        <w:rPr>
          <w:rFonts w:hint="eastAsia" w:ascii="宋体" w:hAnsi="宋体"/>
          <w:b/>
          <w:kern w:val="0"/>
          <w:sz w:val="24"/>
        </w:rPr>
        <w:t>投标文件</w:t>
      </w:r>
      <w:r>
        <w:rPr>
          <w:rFonts w:hint="eastAsia" w:ascii="宋体" w:hAnsi="宋体"/>
          <w:b/>
          <w:sz w:val="24"/>
        </w:rPr>
        <w:t>无效：</w:t>
      </w:r>
    </w:p>
    <w:p>
      <w:pPr>
        <w:spacing w:line="360" w:lineRule="auto"/>
        <w:ind w:firstLine="482" w:firstLineChars="200"/>
        <w:rPr>
          <w:rFonts w:ascii="宋体" w:hAnsi="宋体"/>
          <w:b/>
          <w:sz w:val="24"/>
        </w:rPr>
      </w:pPr>
      <w:r>
        <w:rPr>
          <w:rFonts w:hint="eastAsia" w:ascii="宋体" w:hAnsi="宋体"/>
          <w:b/>
          <w:sz w:val="24"/>
        </w:rPr>
        <w:t>（1）电报、电话</w:t>
      </w:r>
      <w:r>
        <w:rPr>
          <w:rFonts w:hint="eastAsia" w:ascii="宋体" w:hAnsi="宋体"/>
          <w:b/>
          <w:bCs/>
          <w:sz w:val="24"/>
        </w:rPr>
        <w:t>、传真</w:t>
      </w:r>
      <w:r>
        <w:rPr>
          <w:rFonts w:hint="eastAsia" w:ascii="宋体" w:hAnsi="宋体"/>
          <w:b/>
          <w:sz w:val="24"/>
        </w:rPr>
        <w:t>形式提交投标文件的；</w:t>
      </w:r>
    </w:p>
    <w:p>
      <w:pPr>
        <w:spacing w:line="360" w:lineRule="auto"/>
        <w:ind w:firstLine="482" w:firstLineChars="200"/>
        <w:rPr>
          <w:rFonts w:ascii="宋体" w:hAnsi="宋体"/>
          <w:b/>
          <w:sz w:val="24"/>
        </w:rPr>
      </w:pPr>
      <w:r>
        <w:rPr>
          <w:rFonts w:hint="eastAsia" w:ascii="宋体" w:hAnsi="宋体"/>
          <w:b/>
          <w:sz w:val="24"/>
        </w:rPr>
        <w:t>（2）投标人未按招标文件规定的时间和地点提交电子投标文件的</w:t>
      </w:r>
      <w:r>
        <w:rPr>
          <w:rFonts w:ascii="宋体" w:hAnsi="宋体"/>
          <w:b/>
          <w:sz w:val="24"/>
        </w:rPr>
        <w:t>；</w:t>
      </w:r>
    </w:p>
    <w:p>
      <w:pPr>
        <w:spacing w:line="360" w:lineRule="auto"/>
        <w:ind w:firstLine="482" w:firstLineChars="200"/>
        <w:rPr>
          <w:rFonts w:ascii="宋体" w:hAnsi="宋体"/>
          <w:b/>
          <w:sz w:val="24"/>
        </w:rPr>
      </w:pPr>
      <w:r>
        <w:rPr>
          <w:rFonts w:hint="eastAsia" w:ascii="宋体" w:hAnsi="宋体"/>
          <w:b/>
          <w:sz w:val="24"/>
        </w:rPr>
        <w:t>（3）未按招标文件规定要求签署、盖章的；</w:t>
      </w:r>
    </w:p>
    <w:p>
      <w:pPr>
        <w:spacing w:line="360" w:lineRule="auto"/>
        <w:ind w:firstLine="482" w:firstLineChars="200"/>
        <w:rPr>
          <w:rFonts w:ascii="宋体" w:hAnsi="宋体"/>
          <w:b/>
          <w:sz w:val="24"/>
        </w:rPr>
      </w:pPr>
      <w:r>
        <w:rPr>
          <w:rFonts w:hint="eastAsia" w:ascii="宋体" w:hAnsi="宋体"/>
          <w:b/>
          <w:sz w:val="24"/>
        </w:rPr>
        <w:t>（4）不具备投标文件规定资格要求的；</w:t>
      </w:r>
    </w:p>
    <w:p>
      <w:pPr>
        <w:spacing w:line="360" w:lineRule="auto"/>
        <w:ind w:firstLine="480" w:firstLineChars="200"/>
        <w:rPr>
          <w:rFonts w:ascii="宋体" w:hAnsi="宋体"/>
          <w:sz w:val="24"/>
        </w:rPr>
      </w:pPr>
      <w:r>
        <w:rPr>
          <w:rFonts w:hint="eastAsia" w:ascii="宋体" w:hAnsi="宋体"/>
          <w:sz w:val="24"/>
        </w:rPr>
        <w:t>（5） 投标有效期不足的；</w:t>
      </w:r>
    </w:p>
    <w:p>
      <w:pPr>
        <w:spacing w:line="360" w:lineRule="auto"/>
        <w:ind w:firstLine="480" w:firstLineChars="200"/>
        <w:rPr>
          <w:rFonts w:ascii="宋体" w:hAnsi="宋体"/>
          <w:sz w:val="24"/>
        </w:rPr>
      </w:pPr>
      <w:r>
        <w:rPr>
          <w:rFonts w:hint="eastAsia" w:ascii="宋体" w:hAnsi="宋体"/>
          <w:sz w:val="24"/>
        </w:rPr>
        <w:t>（6）评审委员会在符合性审查中，发现与招标文件有重大偏离、未满足“▲”实质性要求的；</w:t>
      </w:r>
    </w:p>
    <w:p>
      <w:pPr>
        <w:spacing w:line="360" w:lineRule="auto"/>
        <w:ind w:firstLine="480" w:firstLineChars="200"/>
        <w:rPr>
          <w:rFonts w:ascii="宋体" w:hAnsi="宋体" w:cs="宋体"/>
          <w:sz w:val="24"/>
        </w:rPr>
      </w:pPr>
      <w:r>
        <w:rPr>
          <w:rFonts w:hint="eastAsia" w:ascii="宋体" w:hAnsi="宋体"/>
          <w:sz w:val="24"/>
        </w:rPr>
        <w:t>（7）</w:t>
      </w:r>
      <w:r>
        <w:rPr>
          <w:rFonts w:hint="eastAsia" w:ascii="宋体" w:hAnsi="宋体" w:cs="宋体"/>
          <w:sz w:val="24"/>
        </w:rPr>
        <w:t>投标文件出现两个或两个以上投标方案的；</w:t>
      </w:r>
    </w:p>
    <w:p>
      <w:pPr>
        <w:spacing w:line="360" w:lineRule="auto"/>
        <w:ind w:firstLine="480" w:firstLineChars="200"/>
        <w:rPr>
          <w:rFonts w:ascii="宋体" w:hAnsi="宋体"/>
          <w:sz w:val="24"/>
        </w:rPr>
      </w:pPr>
      <w:r>
        <w:rPr>
          <w:rFonts w:hint="eastAsia" w:ascii="宋体" w:hAnsi="宋体"/>
          <w:sz w:val="24"/>
        </w:rPr>
        <w:t>（8）投标</w:t>
      </w:r>
      <w:r>
        <w:rPr>
          <w:rFonts w:ascii="宋体" w:hAnsi="宋体"/>
          <w:sz w:val="24"/>
        </w:rPr>
        <w:t>文件含有采购人不能接受的附加</w:t>
      </w:r>
      <w:r>
        <w:rPr>
          <w:rFonts w:hint="eastAsia" w:ascii="宋体" w:hAnsi="宋体"/>
          <w:sz w:val="24"/>
        </w:rPr>
        <w:t>条款</w:t>
      </w:r>
      <w:r>
        <w:rPr>
          <w:rFonts w:ascii="宋体" w:hAnsi="宋体"/>
          <w:sz w:val="24"/>
        </w:rPr>
        <w:t>的</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b/>
          <w:sz w:val="24"/>
        </w:rPr>
        <w:t>（9）投标文件中给予赠品、回扣或与采购无关的其他商品、服务的；</w:t>
      </w:r>
    </w:p>
    <w:p>
      <w:pPr>
        <w:spacing w:line="360" w:lineRule="auto"/>
        <w:ind w:firstLine="480" w:firstLineChars="200"/>
        <w:rPr>
          <w:rFonts w:ascii="宋体" w:hAnsi="宋体"/>
          <w:sz w:val="24"/>
        </w:rPr>
      </w:pPr>
      <w:r>
        <w:rPr>
          <w:rFonts w:hint="eastAsia" w:ascii="宋体" w:hAnsi="宋体"/>
          <w:sz w:val="24"/>
        </w:rPr>
        <w:t>（10）投标报价高于招标文件中规定的预算金额或者最高限价的；</w:t>
      </w:r>
    </w:p>
    <w:p>
      <w:pPr>
        <w:spacing w:line="360" w:lineRule="auto"/>
        <w:ind w:firstLine="480" w:firstLineChars="200"/>
        <w:rPr>
          <w:rFonts w:ascii="宋体" w:hAnsi="宋体" w:cs="宋体"/>
          <w:sz w:val="24"/>
        </w:rPr>
      </w:pPr>
      <w:r>
        <w:rPr>
          <w:rFonts w:hint="eastAsia" w:ascii="宋体" w:hAnsi="宋体"/>
          <w:sz w:val="24"/>
        </w:rPr>
        <w:t>（11）</w:t>
      </w:r>
      <w:r>
        <w:rPr>
          <w:rFonts w:hint="eastAsia" w:ascii="宋体" w:hAnsi="宋体" w:cs="宋体"/>
          <w:sz w:val="24"/>
        </w:rPr>
        <w:t>报价文件内容与对应商务技术文件内容不一致的；</w:t>
      </w:r>
    </w:p>
    <w:p>
      <w:pPr>
        <w:spacing w:line="360" w:lineRule="auto"/>
        <w:ind w:firstLine="482" w:firstLineChars="200"/>
        <w:rPr>
          <w:rFonts w:ascii="宋体" w:hAnsi="宋体" w:cs="宋体"/>
          <w:b/>
          <w:sz w:val="24"/>
        </w:rPr>
      </w:pPr>
      <w:r>
        <w:rPr>
          <w:rFonts w:hint="eastAsia" w:ascii="宋体" w:hAnsi="宋体"/>
          <w:b/>
          <w:sz w:val="24"/>
        </w:rPr>
        <w:t>（12）</w:t>
      </w:r>
      <w:r>
        <w:rPr>
          <w:rFonts w:hint="eastAsia" w:ascii="宋体" w:hAnsi="宋体" w:cs="宋体"/>
          <w:b/>
          <w:sz w:val="24"/>
        </w:rPr>
        <w:t>报价文件中出现“0元”或“免费赠送”等形式的无偿报价的；</w:t>
      </w:r>
    </w:p>
    <w:p>
      <w:pPr>
        <w:spacing w:line="360" w:lineRule="auto"/>
        <w:ind w:firstLine="480" w:firstLineChars="200"/>
        <w:rPr>
          <w:rFonts w:ascii="宋体" w:hAnsi="宋体"/>
          <w:sz w:val="24"/>
        </w:rPr>
      </w:pPr>
      <w:r>
        <w:rPr>
          <w:rFonts w:hint="eastAsia" w:ascii="宋体" w:hAnsi="宋体"/>
          <w:sz w:val="24"/>
        </w:rPr>
        <w:t>（13）投标报价存在漏项或报价数量少于采购要求的；</w:t>
      </w:r>
    </w:p>
    <w:p>
      <w:pPr>
        <w:spacing w:line="360" w:lineRule="auto"/>
        <w:ind w:firstLine="482" w:firstLineChars="200"/>
        <w:rPr>
          <w:rFonts w:ascii="宋体" w:hAnsi="宋体"/>
          <w:b/>
          <w:bCs/>
          <w:sz w:val="24"/>
        </w:rPr>
      </w:pPr>
      <w:r>
        <w:rPr>
          <w:rFonts w:hint="eastAsia" w:ascii="宋体" w:hAnsi="宋体"/>
          <w:b/>
          <w:bCs/>
          <w:sz w:val="24"/>
        </w:rPr>
        <w:t>（14）评审委员会认为投标人的报价明显低于其他通过符合性审查投标人的报价，有可能影响产品质量或者不能诚信履约的，投标人代表应在评审委员会规定的时间内通过电子交易平台提交说明，必要时提交相关证明材料；投标人不能证明其报价合理性的，评审委员会应当将其作为无效投标处理；</w:t>
      </w:r>
    </w:p>
    <w:p>
      <w:pPr>
        <w:spacing w:line="360" w:lineRule="auto"/>
        <w:ind w:firstLine="480" w:firstLineChars="200"/>
        <w:rPr>
          <w:rFonts w:ascii="宋体" w:hAnsi="宋体"/>
          <w:bCs/>
          <w:sz w:val="24"/>
        </w:rPr>
      </w:pPr>
      <w:r>
        <w:rPr>
          <w:rFonts w:hint="eastAsia" w:ascii="宋体" w:hAnsi="宋体"/>
          <w:bCs/>
          <w:sz w:val="24"/>
        </w:rPr>
        <w:t>（15）投标人已明知采购期间或之后企业将发生兼并改制，或提供的产品将停产、淘汰，或必须有偿使用专供的备品备件和试剂耗材的，及其他应当告知采购人可能影响采购项目实施或损害采购人利益的信息，不在</w:t>
      </w:r>
      <w:r>
        <w:rPr>
          <w:rFonts w:hint="eastAsia" w:ascii="宋体" w:hAnsi="宋体"/>
          <w:bCs/>
          <w:kern w:val="0"/>
          <w:sz w:val="24"/>
        </w:rPr>
        <w:t>投标文件</w:t>
      </w:r>
      <w:r>
        <w:rPr>
          <w:rFonts w:hint="eastAsia" w:ascii="宋体" w:hAnsi="宋体"/>
          <w:bCs/>
          <w:sz w:val="24"/>
        </w:rPr>
        <w:t>中予以特别说明的；</w:t>
      </w:r>
    </w:p>
    <w:p>
      <w:pPr>
        <w:spacing w:line="360" w:lineRule="auto"/>
        <w:ind w:firstLine="480" w:firstLineChars="200"/>
        <w:rPr>
          <w:rFonts w:ascii="宋体" w:hAnsi="宋体"/>
          <w:sz w:val="24"/>
        </w:rPr>
      </w:pPr>
      <w:r>
        <w:rPr>
          <w:rFonts w:hint="eastAsia" w:ascii="宋体" w:hAnsi="宋体"/>
          <w:sz w:val="24"/>
        </w:rPr>
        <w:t>（16）提供虚假材料谋取中标的；</w:t>
      </w:r>
    </w:p>
    <w:p>
      <w:pPr>
        <w:spacing w:line="360" w:lineRule="auto"/>
        <w:ind w:firstLine="480" w:firstLineChars="200"/>
        <w:rPr>
          <w:rFonts w:ascii="宋体" w:hAnsi="宋体"/>
          <w:sz w:val="24"/>
        </w:rPr>
      </w:pPr>
      <w:r>
        <w:rPr>
          <w:rFonts w:hint="eastAsia" w:ascii="宋体" w:hAnsi="宋体"/>
          <w:sz w:val="24"/>
        </w:rPr>
        <w:t>（17）在招标过程中与采购人进行协商谈判、不按招标文件和中标人的</w:t>
      </w:r>
      <w:r>
        <w:rPr>
          <w:rFonts w:hint="eastAsia" w:ascii="宋体" w:hAnsi="宋体"/>
          <w:kern w:val="0"/>
          <w:sz w:val="24"/>
        </w:rPr>
        <w:t>投标文件</w:t>
      </w:r>
      <w:r>
        <w:rPr>
          <w:rFonts w:hint="eastAsia" w:ascii="宋体" w:hAnsi="宋体"/>
          <w:sz w:val="24"/>
        </w:rPr>
        <w:t>订立合同，或者与采购人另行订立背离合同实质性内容的协议的；</w:t>
      </w:r>
    </w:p>
    <w:p>
      <w:pPr>
        <w:spacing w:line="360" w:lineRule="auto"/>
        <w:ind w:firstLine="480" w:firstLineChars="200"/>
        <w:rPr>
          <w:rFonts w:ascii="宋体" w:hAnsi="宋体"/>
        </w:rPr>
      </w:pPr>
      <w:r>
        <w:rPr>
          <w:rFonts w:hint="eastAsia" w:ascii="宋体" w:hAnsi="宋体"/>
          <w:sz w:val="24"/>
        </w:rPr>
        <w:t>（18）招标文件规定的其他</w:t>
      </w:r>
      <w:r>
        <w:rPr>
          <w:rFonts w:hint="eastAsia" w:ascii="宋体" w:hAnsi="宋体"/>
          <w:kern w:val="0"/>
          <w:sz w:val="24"/>
        </w:rPr>
        <w:t>投标文件</w:t>
      </w:r>
      <w:r>
        <w:rPr>
          <w:rFonts w:hint="eastAsia" w:ascii="宋体" w:hAnsi="宋体"/>
          <w:sz w:val="24"/>
        </w:rPr>
        <w:t>无效情形。</w:t>
      </w:r>
    </w:p>
    <w:p>
      <w:pPr>
        <w:pStyle w:val="4"/>
        <w:spacing w:line="560" w:lineRule="exact"/>
        <w:ind w:firstLine="0" w:firstLineChars="0"/>
        <w:rPr>
          <w:rFonts w:ascii="宋体" w:hAnsi="宋体" w:eastAsia="宋体"/>
        </w:rPr>
      </w:pPr>
      <w:bookmarkStart w:id="51" w:name="_Toc493956040"/>
      <w:bookmarkStart w:id="52" w:name="_Toc494555856"/>
      <w:bookmarkStart w:id="53" w:name="_Toc41577873"/>
      <w:bookmarkStart w:id="54" w:name="_Toc2410"/>
      <w:r>
        <w:rPr>
          <w:rFonts w:hint="eastAsia" w:ascii="宋体" w:hAnsi="宋体" w:eastAsia="宋体"/>
        </w:rPr>
        <w:t>八   法律责任</w:t>
      </w:r>
      <w:bookmarkEnd w:id="51"/>
      <w:bookmarkEnd w:id="52"/>
      <w:bookmarkEnd w:id="53"/>
      <w:bookmarkEnd w:id="54"/>
    </w:p>
    <w:p>
      <w:pPr>
        <w:spacing w:line="360" w:lineRule="auto"/>
        <w:ind w:firstLine="482" w:firstLineChars="200"/>
        <w:rPr>
          <w:rFonts w:ascii="宋体" w:hAnsi="宋体"/>
          <w:b/>
          <w:sz w:val="24"/>
        </w:rPr>
      </w:pPr>
      <w:r>
        <w:rPr>
          <w:rFonts w:hint="eastAsia" w:ascii="宋体" w:hAnsi="宋体"/>
          <w:b/>
          <w:sz w:val="24"/>
        </w:rPr>
        <w:t>29.投标人有下列情形之一的，处以政府采购项目中标金额千分之五以上千分之十以下的罚款，列入不良行为记录名单，在一至三年内禁止参加政府采购活动，并予以公告，有违法所得的，并处没收违法所得，情节严重的，由市场监督部门吊销营业执照；构成犯罪的，依法追究刑事责任：</w:t>
      </w:r>
    </w:p>
    <w:p>
      <w:pPr>
        <w:spacing w:line="360" w:lineRule="auto"/>
        <w:ind w:firstLine="480" w:firstLineChars="200"/>
        <w:rPr>
          <w:rFonts w:ascii="宋体" w:hAnsi="宋体"/>
          <w:sz w:val="24"/>
        </w:rPr>
      </w:pPr>
      <w:r>
        <w:rPr>
          <w:rFonts w:hint="eastAsia" w:ascii="宋体" w:hAnsi="宋体"/>
          <w:sz w:val="24"/>
        </w:rPr>
        <w:t>（1）提供虚假材料谋取中标的；</w:t>
      </w:r>
    </w:p>
    <w:p>
      <w:pPr>
        <w:spacing w:line="360" w:lineRule="auto"/>
        <w:ind w:firstLine="480" w:firstLineChars="200"/>
        <w:rPr>
          <w:rFonts w:ascii="宋体" w:hAnsi="宋体"/>
          <w:sz w:val="24"/>
        </w:rPr>
      </w:pPr>
      <w:r>
        <w:rPr>
          <w:rFonts w:hint="eastAsia" w:ascii="宋体" w:hAnsi="宋体"/>
          <w:sz w:val="24"/>
        </w:rPr>
        <w:t>（2）采取不正当手段诋毁、排挤其他投标人的；</w:t>
      </w:r>
    </w:p>
    <w:p>
      <w:pPr>
        <w:spacing w:line="360" w:lineRule="auto"/>
        <w:ind w:firstLine="480" w:firstLineChars="200"/>
        <w:rPr>
          <w:rFonts w:ascii="宋体" w:hAnsi="宋体"/>
          <w:sz w:val="24"/>
        </w:rPr>
      </w:pPr>
      <w:r>
        <w:rPr>
          <w:rFonts w:hint="eastAsia" w:ascii="宋体" w:hAnsi="宋体"/>
          <w:sz w:val="24"/>
        </w:rPr>
        <w:t>（3）与采购人、其他投标人或者采购代理机构恶意串通的；</w:t>
      </w:r>
    </w:p>
    <w:p>
      <w:pPr>
        <w:spacing w:line="360" w:lineRule="auto"/>
        <w:ind w:firstLine="480" w:firstLineChars="200"/>
        <w:rPr>
          <w:rFonts w:ascii="宋体" w:hAnsi="宋体"/>
          <w:sz w:val="24"/>
        </w:rPr>
      </w:pPr>
      <w:r>
        <w:rPr>
          <w:rFonts w:hint="eastAsia" w:ascii="宋体" w:hAnsi="宋体"/>
          <w:sz w:val="24"/>
        </w:rPr>
        <w:t>（4）向采购人、采购代理机构行贿或者提供其他不正当利益的；</w:t>
      </w:r>
    </w:p>
    <w:p>
      <w:pPr>
        <w:spacing w:line="360" w:lineRule="auto"/>
        <w:ind w:firstLine="480" w:firstLineChars="200"/>
        <w:rPr>
          <w:rFonts w:ascii="宋体" w:hAnsi="宋体"/>
          <w:sz w:val="24"/>
        </w:rPr>
      </w:pPr>
      <w:r>
        <w:rPr>
          <w:rFonts w:hint="eastAsia" w:ascii="宋体" w:hAnsi="宋体"/>
          <w:sz w:val="24"/>
        </w:rPr>
        <w:t>（5）在招标采购过程中与采购人进行协商谈判的；</w:t>
      </w:r>
    </w:p>
    <w:p>
      <w:pPr>
        <w:spacing w:line="360" w:lineRule="auto"/>
        <w:ind w:firstLine="480" w:firstLineChars="200"/>
        <w:rPr>
          <w:rFonts w:ascii="宋体" w:hAnsi="宋体"/>
          <w:sz w:val="24"/>
        </w:rPr>
      </w:pPr>
      <w:r>
        <w:rPr>
          <w:rFonts w:hint="eastAsia" w:ascii="宋体" w:hAnsi="宋体"/>
          <w:sz w:val="24"/>
        </w:rPr>
        <w:t>（6）拒绝有关部门监督检查或者提供虚假情况的；</w:t>
      </w:r>
    </w:p>
    <w:p>
      <w:pPr>
        <w:spacing w:line="360" w:lineRule="auto"/>
        <w:ind w:firstLine="480" w:firstLineChars="200"/>
        <w:rPr>
          <w:rFonts w:ascii="宋体" w:hAnsi="宋体"/>
          <w:sz w:val="24"/>
        </w:rPr>
      </w:pPr>
      <w:r>
        <w:rPr>
          <w:rFonts w:hint="eastAsia" w:ascii="宋体" w:hAnsi="宋体"/>
          <w:sz w:val="24"/>
        </w:rPr>
        <w:t>投标人有前款（1）至（5）项情形之一的，中标无效。</w:t>
      </w:r>
    </w:p>
    <w:p>
      <w:pPr>
        <w:spacing w:line="360" w:lineRule="auto"/>
        <w:ind w:firstLine="482" w:firstLineChars="200"/>
        <w:rPr>
          <w:rFonts w:ascii="宋体" w:hAnsi="宋体"/>
          <w:b/>
          <w:sz w:val="24"/>
        </w:rPr>
      </w:pPr>
      <w:r>
        <w:rPr>
          <w:rFonts w:hint="eastAsia" w:ascii="宋体" w:hAnsi="宋体"/>
          <w:b/>
          <w:sz w:val="24"/>
        </w:rPr>
        <w:t>30.投标人有下列情形之一的，依照政府采购法第七十七条第一款的规定追究法律责任：</w:t>
      </w:r>
    </w:p>
    <w:p>
      <w:pPr>
        <w:spacing w:line="360" w:lineRule="auto"/>
        <w:ind w:firstLine="480" w:firstLineChars="200"/>
        <w:rPr>
          <w:rFonts w:ascii="宋体" w:hAnsi="宋体"/>
          <w:sz w:val="24"/>
        </w:rPr>
      </w:pPr>
      <w:r>
        <w:rPr>
          <w:rFonts w:hint="eastAsia" w:ascii="宋体" w:hAnsi="宋体"/>
          <w:sz w:val="24"/>
        </w:rPr>
        <w:t>（1）向评审委员会或者</w:t>
      </w:r>
      <w:r>
        <w:rPr>
          <w:rFonts w:ascii="宋体" w:hAnsi="宋体"/>
          <w:sz w:val="24"/>
        </w:rPr>
        <w:t>评审委员会</w:t>
      </w:r>
      <w:r>
        <w:rPr>
          <w:rFonts w:hint="eastAsia" w:ascii="宋体" w:hAnsi="宋体"/>
          <w:sz w:val="24"/>
        </w:rPr>
        <w:t>成员行贿或者提供其他不正当利益；</w:t>
      </w:r>
    </w:p>
    <w:p>
      <w:pPr>
        <w:spacing w:line="360" w:lineRule="auto"/>
        <w:ind w:firstLine="480" w:firstLineChars="200"/>
        <w:rPr>
          <w:rFonts w:ascii="宋体" w:hAnsi="宋体"/>
          <w:sz w:val="24"/>
        </w:rPr>
      </w:pPr>
      <w:r>
        <w:rPr>
          <w:rFonts w:hint="eastAsia" w:ascii="宋体" w:hAnsi="宋体"/>
          <w:sz w:val="24"/>
        </w:rPr>
        <w:t>（2）中标或者成交后无正当理由拒不与采购人签订政府采购合同；</w:t>
      </w:r>
    </w:p>
    <w:p>
      <w:pPr>
        <w:spacing w:line="360" w:lineRule="auto"/>
        <w:ind w:firstLine="480" w:firstLineChars="200"/>
        <w:rPr>
          <w:rFonts w:ascii="宋体" w:hAnsi="宋体"/>
          <w:sz w:val="24"/>
        </w:rPr>
      </w:pPr>
      <w:r>
        <w:rPr>
          <w:rFonts w:hint="eastAsia" w:ascii="宋体" w:hAnsi="宋体"/>
          <w:sz w:val="24"/>
        </w:rPr>
        <w:t>（3）未按照招标文件确定的事项签订政府采购合同；</w:t>
      </w:r>
    </w:p>
    <w:p>
      <w:pPr>
        <w:spacing w:line="360" w:lineRule="auto"/>
        <w:ind w:firstLine="480" w:firstLineChars="200"/>
        <w:rPr>
          <w:rFonts w:ascii="宋体" w:hAnsi="宋体"/>
          <w:sz w:val="24"/>
        </w:rPr>
      </w:pPr>
      <w:r>
        <w:rPr>
          <w:rFonts w:hint="eastAsia" w:ascii="宋体" w:hAnsi="宋体"/>
          <w:sz w:val="24"/>
        </w:rPr>
        <w:t>（4）将政府采购合同转包；</w:t>
      </w:r>
    </w:p>
    <w:p>
      <w:pPr>
        <w:spacing w:line="360" w:lineRule="auto"/>
        <w:ind w:firstLine="480" w:firstLineChars="200"/>
        <w:rPr>
          <w:rFonts w:ascii="宋体" w:hAnsi="宋体"/>
          <w:sz w:val="24"/>
        </w:rPr>
      </w:pPr>
      <w:r>
        <w:rPr>
          <w:rFonts w:hint="eastAsia" w:ascii="宋体" w:hAnsi="宋体"/>
          <w:sz w:val="24"/>
        </w:rPr>
        <w:t>（5）提供假冒伪劣产品；</w:t>
      </w:r>
    </w:p>
    <w:p>
      <w:pPr>
        <w:spacing w:line="360" w:lineRule="auto"/>
        <w:ind w:firstLine="480" w:firstLineChars="200"/>
        <w:rPr>
          <w:rFonts w:ascii="宋体" w:hAnsi="宋体"/>
          <w:sz w:val="24"/>
        </w:rPr>
      </w:pPr>
      <w:r>
        <w:rPr>
          <w:rFonts w:hint="eastAsia" w:ascii="宋体" w:hAnsi="宋体"/>
          <w:sz w:val="24"/>
        </w:rPr>
        <w:t>（6）擅自变更、中止或者终止政府采购合同。</w:t>
      </w:r>
    </w:p>
    <w:p>
      <w:pPr>
        <w:spacing w:line="360" w:lineRule="auto"/>
        <w:ind w:firstLine="480" w:firstLineChars="200"/>
        <w:rPr>
          <w:rFonts w:ascii="宋体" w:hAnsi="宋体"/>
          <w:sz w:val="24"/>
        </w:rPr>
      </w:pPr>
      <w:r>
        <w:rPr>
          <w:rFonts w:hint="eastAsia" w:ascii="宋体" w:hAnsi="宋体"/>
          <w:sz w:val="24"/>
        </w:rPr>
        <w:t>投标人有前款第（1）项规定情形的，中标无效。评审阶段资格发生变化，投标人未依照《中华人民共和国政府采购法实施条例》第二十一条的规定通知采购人和采购代理机构的，处以采购金额5‰的罚款，列入不良行为记录名单，中标无效。</w:t>
      </w:r>
    </w:p>
    <w:p>
      <w:pPr>
        <w:spacing w:line="360" w:lineRule="auto"/>
        <w:ind w:firstLine="482" w:firstLineChars="200"/>
        <w:rPr>
          <w:rFonts w:ascii="宋体" w:hAnsi="宋体"/>
          <w:b/>
          <w:sz w:val="24"/>
        </w:rPr>
      </w:pPr>
      <w:r>
        <w:rPr>
          <w:rFonts w:hint="eastAsia" w:ascii="宋体" w:hAnsi="宋体"/>
          <w:b/>
          <w:sz w:val="24"/>
        </w:rPr>
        <w:t>31.投标人捏造事实、提供虚假材料或者以非法手段取得证明材料进行投诉的，由财政部门列入不良行为记录名单，禁止其1至3年内参加政府采购活动。</w:t>
      </w:r>
    </w:p>
    <w:p>
      <w:pPr>
        <w:spacing w:line="360" w:lineRule="auto"/>
        <w:ind w:firstLine="482" w:firstLineChars="200"/>
        <w:rPr>
          <w:rFonts w:ascii="宋体" w:hAnsi="宋体"/>
          <w:b/>
          <w:sz w:val="24"/>
        </w:rPr>
      </w:pPr>
      <w:r>
        <w:rPr>
          <w:rFonts w:hint="eastAsia" w:ascii="宋体" w:hAnsi="宋体"/>
          <w:b/>
          <w:sz w:val="24"/>
        </w:rPr>
        <w:t>32.有下列情形之一的，属于恶意串通，对投标人依照政府采购法第七十七条第一款的规定追究法律责任，对采购人、采购代理机构及其工作人员依照政府采购法第七十二条的规定追究法律责任：</w:t>
      </w:r>
    </w:p>
    <w:p>
      <w:pPr>
        <w:spacing w:line="360" w:lineRule="auto"/>
        <w:ind w:firstLine="480" w:firstLineChars="200"/>
        <w:rPr>
          <w:rFonts w:ascii="宋体" w:hAnsi="宋体"/>
          <w:sz w:val="24"/>
        </w:rPr>
      </w:pPr>
      <w:r>
        <w:rPr>
          <w:rFonts w:hint="eastAsia" w:ascii="宋体" w:hAnsi="宋体"/>
          <w:sz w:val="24"/>
        </w:rPr>
        <w:t>（1）投标人直接或者间接从采购人或者采购代理机构处获得其他投标人的相关情况并修改其</w:t>
      </w:r>
      <w:r>
        <w:rPr>
          <w:rFonts w:hint="eastAsia" w:ascii="宋体" w:hAnsi="宋体"/>
          <w:kern w:val="0"/>
          <w:sz w:val="24"/>
        </w:rPr>
        <w:t>投标文件</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（2）投标人按照采购人或者采购代理机构的授意撤换、修改</w:t>
      </w:r>
      <w:r>
        <w:rPr>
          <w:rFonts w:hint="eastAsia" w:ascii="宋体" w:hAnsi="宋体"/>
          <w:kern w:val="0"/>
          <w:sz w:val="24"/>
        </w:rPr>
        <w:t>投标文件</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（3）投标人之间协商报价、技术方案等</w:t>
      </w:r>
      <w:r>
        <w:rPr>
          <w:rFonts w:hint="eastAsia" w:ascii="宋体" w:hAnsi="宋体"/>
          <w:kern w:val="0"/>
          <w:sz w:val="24"/>
        </w:rPr>
        <w:t>投标文件</w:t>
      </w:r>
      <w:r>
        <w:rPr>
          <w:rFonts w:hint="eastAsia" w:ascii="宋体" w:hAnsi="宋体"/>
          <w:sz w:val="24"/>
        </w:rPr>
        <w:t>的实质性内容；</w:t>
      </w:r>
    </w:p>
    <w:p>
      <w:pPr>
        <w:spacing w:line="360" w:lineRule="auto"/>
        <w:ind w:firstLine="480" w:firstLineChars="200"/>
        <w:rPr>
          <w:rFonts w:ascii="宋体" w:hAnsi="宋体"/>
          <w:sz w:val="24"/>
        </w:rPr>
      </w:pPr>
      <w:r>
        <w:rPr>
          <w:rFonts w:hint="eastAsia" w:ascii="宋体" w:hAnsi="宋体"/>
          <w:sz w:val="24"/>
        </w:rPr>
        <w:t>（4）属于同一集团、协会、商会等组织成员的投标人按照该组织要求协同参加政府采购活动；</w:t>
      </w:r>
    </w:p>
    <w:p>
      <w:pPr>
        <w:spacing w:line="360" w:lineRule="auto"/>
        <w:ind w:firstLine="480" w:firstLineChars="200"/>
        <w:rPr>
          <w:rFonts w:ascii="宋体" w:hAnsi="宋体"/>
          <w:sz w:val="24"/>
        </w:rPr>
      </w:pPr>
      <w:r>
        <w:rPr>
          <w:rFonts w:hint="eastAsia" w:ascii="宋体" w:hAnsi="宋体"/>
          <w:sz w:val="24"/>
        </w:rPr>
        <w:t>（5）投标人之间事先约定由某一特定投标人中标、成交；</w:t>
      </w:r>
    </w:p>
    <w:p>
      <w:pPr>
        <w:spacing w:line="360" w:lineRule="auto"/>
        <w:ind w:firstLine="480" w:firstLineChars="200"/>
        <w:rPr>
          <w:rFonts w:ascii="宋体" w:hAnsi="宋体"/>
          <w:spacing w:val="-6"/>
          <w:sz w:val="24"/>
        </w:rPr>
      </w:pPr>
      <w:r>
        <w:rPr>
          <w:rFonts w:hint="eastAsia" w:ascii="宋体" w:hAnsi="宋体"/>
          <w:sz w:val="24"/>
        </w:rPr>
        <w:t>（6）</w:t>
      </w:r>
      <w:r>
        <w:rPr>
          <w:rFonts w:hint="eastAsia" w:ascii="宋体" w:hAnsi="宋体"/>
          <w:spacing w:val="-6"/>
          <w:sz w:val="24"/>
        </w:rPr>
        <w:t>投标人之间商定部分投标人放弃参加政府采购活动或者放弃中标、成交；</w:t>
      </w:r>
    </w:p>
    <w:p>
      <w:pPr>
        <w:spacing w:line="360" w:lineRule="auto"/>
        <w:ind w:firstLine="480" w:firstLineChars="200"/>
        <w:rPr>
          <w:rFonts w:ascii="宋体" w:hAnsi="宋体"/>
          <w:sz w:val="20"/>
        </w:rPr>
      </w:pPr>
      <w:r>
        <w:rPr>
          <w:rFonts w:hint="eastAsia" w:ascii="宋体" w:hAnsi="宋体"/>
          <w:sz w:val="24"/>
        </w:rPr>
        <w:t>（7）投标人与采购人或者采购代理机构之间、投标人相互之间，为谋求特定投标人中标、成交或者排斥其他投标人的其他串通行为；</w:t>
      </w:r>
    </w:p>
    <w:p>
      <w:pPr>
        <w:spacing w:line="360" w:lineRule="auto"/>
        <w:ind w:firstLine="480" w:firstLineChars="200"/>
        <w:rPr>
          <w:rFonts w:ascii="宋体" w:hAnsi="宋体"/>
          <w:sz w:val="24"/>
        </w:rPr>
      </w:pPr>
      <w:r>
        <w:rPr>
          <w:rFonts w:hint="eastAsia" w:ascii="宋体" w:hAnsi="宋体"/>
          <w:sz w:val="24"/>
        </w:rPr>
        <w:t>（8）不同投标人的投标文件由同一单位或者个人编制；</w:t>
      </w:r>
    </w:p>
    <w:p>
      <w:pPr>
        <w:spacing w:line="360" w:lineRule="auto"/>
        <w:ind w:firstLine="480" w:firstLineChars="200"/>
        <w:rPr>
          <w:rFonts w:ascii="宋体" w:hAnsi="宋体"/>
          <w:sz w:val="24"/>
        </w:rPr>
      </w:pPr>
      <w:r>
        <w:rPr>
          <w:rFonts w:hint="eastAsia" w:ascii="宋体" w:hAnsi="宋体"/>
          <w:sz w:val="24"/>
        </w:rPr>
        <w:t>（9）不同投标人委托同一单位或者个人办理投标事宜；</w:t>
      </w:r>
    </w:p>
    <w:p>
      <w:pPr>
        <w:spacing w:line="360" w:lineRule="auto"/>
        <w:ind w:firstLine="480" w:firstLineChars="200"/>
        <w:rPr>
          <w:rFonts w:ascii="宋体" w:hAnsi="宋体"/>
          <w:sz w:val="24"/>
        </w:rPr>
      </w:pPr>
      <w:r>
        <w:rPr>
          <w:rFonts w:hint="eastAsia" w:ascii="宋体" w:hAnsi="宋体"/>
          <w:sz w:val="24"/>
        </w:rPr>
        <w:t>（10）不同投标人的投标文件载明的项目管理成员或者联系人员为同一人；</w:t>
      </w:r>
    </w:p>
    <w:p>
      <w:pPr>
        <w:spacing w:line="360" w:lineRule="auto"/>
        <w:ind w:firstLine="480" w:firstLineChars="200"/>
        <w:rPr>
          <w:rFonts w:ascii="宋体" w:hAnsi="宋体"/>
          <w:sz w:val="24"/>
        </w:rPr>
      </w:pPr>
      <w:r>
        <w:rPr>
          <w:rFonts w:hint="eastAsia" w:ascii="宋体" w:hAnsi="宋体"/>
          <w:sz w:val="24"/>
        </w:rPr>
        <w:t>（11）不同投标人的投标文件异常一致或者投标报价呈规律性差异；</w:t>
      </w:r>
    </w:p>
    <w:p>
      <w:pPr>
        <w:spacing w:line="360" w:lineRule="auto"/>
        <w:ind w:firstLine="480" w:firstLineChars="200"/>
        <w:rPr>
          <w:rFonts w:ascii="宋体" w:hAnsi="宋体"/>
          <w:sz w:val="24"/>
        </w:rPr>
      </w:pPr>
      <w:r>
        <w:rPr>
          <w:rFonts w:hint="eastAsia" w:ascii="宋体" w:hAnsi="宋体"/>
          <w:sz w:val="24"/>
        </w:rPr>
        <w:t>（12）不同投标人的投标文件相互混装。</w:t>
      </w:r>
    </w:p>
    <w:bookmarkEnd w:id="37"/>
    <w:bookmarkEnd w:id="38"/>
    <w:bookmarkEnd w:id="39"/>
    <w:p>
      <w:pPr>
        <w:pStyle w:val="4"/>
        <w:spacing w:line="560" w:lineRule="exact"/>
        <w:ind w:firstLine="0" w:firstLineChars="0"/>
        <w:rPr>
          <w:rFonts w:ascii="宋体" w:hAnsi="宋体" w:eastAsia="宋体"/>
        </w:rPr>
      </w:pPr>
      <w:bookmarkStart w:id="55" w:name="_Toc17793770"/>
      <w:bookmarkStart w:id="56" w:name="_Toc41577874"/>
      <w:bookmarkStart w:id="57" w:name="_Toc5431"/>
      <w:bookmarkStart w:id="58" w:name="_Toc334087237"/>
      <w:bookmarkStart w:id="59" w:name="_Toc415648537"/>
      <w:bookmarkStart w:id="60" w:name="_Toc335664279"/>
      <w:bookmarkStart w:id="61" w:name="_Toc393869893"/>
      <w:bookmarkStart w:id="62" w:name="_Toc396838137"/>
      <w:bookmarkStart w:id="63" w:name="_Toc176659672"/>
      <w:r>
        <w:rPr>
          <w:rFonts w:hint="eastAsia" w:ascii="宋体" w:hAnsi="宋体" w:eastAsia="宋体"/>
        </w:rPr>
        <w:t>九   澄清、修改发布媒体</w:t>
      </w:r>
      <w:bookmarkEnd w:id="55"/>
      <w:bookmarkEnd w:id="56"/>
      <w:bookmarkEnd w:id="57"/>
    </w:p>
    <w:p>
      <w:pPr>
        <w:snapToGrid w:val="0"/>
        <w:spacing w:line="360" w:lineRule="auto"/>
        <w:ind w:firstLine="480" w:firstLineChars="200"/>
        <w:rPr>
          <w:rFonts w:ascii="仿宋_GB2312" w:eastAsia="仿宋_GB2312"/>
          <w:kern w:val="0"/>
          <w:sz w:val="24"/>
        </w:rPr>
      </w:pPr>
      <w:r>
        <w:rPr>
          <w:rFonts w:hint="eastAsia" w:ascii="宋体" w:hAnsi="宋体"/>
          <w:sz w:val="24"/>
        </w:rPr>
        <w:t>33.1针对潜在投标人提出的询问，采购代理机构一般在3个工作日内作出答复，如需澄清或</w:t>
      </w:r>
      <w:r>
        <w:rPr>
          <w:rFonts w:hint="eastAsia" w:ascii="宋体" w:hAnsi="宋体"/>
          <w:bCs/>
          <w:kern w:val="0"/>
          <w:sz w:val="24"/>
        </w:rPr>
        <w:t>修改的，采购代理机构将在投标截止时间十五日前将澄清或修改内容在浙江政府采购网</w:t>
      </w:r>
      <w:r>
        <w:fldChar w:fldCharType="begin"/>
      </w:r>
      <w:r>
        <w:instrText xml:space="preserve"> HYPERLINK "http://60.190.126.3:8080/wcm/WCMV6/editor/editor/招标文件（新版）.doc" </w:instrText>
      </w:r>
      <w:r>
        <w:fldChar w:fldCharType="separate"/>
      </w:r>
      <w:r>
        <w:rPr>
          <w:rFonts w:hint="eastAsia" w:ascii="宋体" w:hAnsi="宋体"/>
          <w:bCs/>
          <w:kern w:val="0"/>
          <w:sz w:val="24"/>
        </w:rPr>
        <w:t>http://zfcg.czt.zj.gov.cn/</w:t>
      </w:r>
      <w:r>
        <w:rPr>
          <w:rFonts w:hint="eastAsia" w:ascii="宋体" w:hAnsi="宋体"/>
          <w:bCs/>
          <w:kern w:val="0"/>
          <w:sz w:val="24"/>
        </w:rPr>
        <w:fldChar w:fldCharType="end"/>
      </w:r>
      <w:r>
        <w:rPr>
          <w:rFonts w:hint="eastAsia" w:ascii="宋体" w:hAnsi="宋体" w:cs="仿宋_GB2312"/>
          <w:color w:val="000000"/>
          <w:sz w:val="24"/>
        </w:rPr>
        <w:t>、丽水市公共资源交易网（莲都）http://lssggzy.lishui.gov.cn/ldweb/</w:t>
      </w:r>
      <w:r>
        <w:rPr>
          <w:rFonts w:hint="eastAsia" w:ascii="宋体" w:hAnsi="宋体"/>
          <w:bCs/>
          <w:kern w:val="0"/>
          <w:sz w:val="24"/>
        </w:rPr>
        <w:t>上予以公布，潜在投标人应自行关注网站更正公告等内容。</w:t>
      </w:r>
    </w:p>
    <w:p>
      <w:pPr>
        <w:snapToGrid w:val="0"/>
        <w:spacing w:line="360" w:lineRule="auto"/>
        <w:ind w:firstLine="480" w:firstLineChars="200"/>
        <w:rPr>
          <w:rFonts w:ascii="宋体" w:hAnsi="宋体"/>
          <w:sz w:val="24"/>
        </w:rPr>
      </w:pPr>
      <w:r>
        <w:rPr>
          <w:rFonts w:hint="eastAsia" w:ascii="宋体" w:hAnsi="宋体"/>
          <w:sz w:val="24"/>
        </w:rPr>
        <w:t>33.2潜在投标人提出的询问超出采购人对采购代理机构委托授权范围的，投标人应向采购人提出。</w:t>
      </w:r>
    </w:p>
    <w:p>
      <w:pPr>
        <w:pStyle w:val="4"/>
        <w:spacing w:line="560" w:lineRule="exact"/>
        <w:ind w:firstLine="0" w:firstLineChars="0"/>
        <w:rPr>
          <w:rFonts w:ascii="宋体" w:hAnsi="宋体" w:eastAsia="宋体"/>
        </w:rPr>
      </w:pPr>
      <w:bookmarkStart w:id="64" w:name="_Toc41577875"/>
      <w:bookmarkStart w:id="65" w:name="_Toc821"/>
      <w:r>
        <w:rPr>
          <w:rFonts w:hint="eastAsia" w:ascii="宋体" w:hAnsi="宋体" w:eastAsia="宋体"/>
        </w:rPr>
        <w:t>十   质疑</w:t>
      </w:r>
      <w:bookmarkEnd w:id="58"/>
      <w:bookmarkEnd w:id="59"/>
      <w:bookmarkEnd w:id="60"/>
      <w:bookmarkEnd w:id="61"/>
      <w:bookmarkEnd w:id="62"/>
      <w:bookmarkEnd w:id="63"/>
      <w:bookmarkEnd w:id="64"/>
      <w:bookmarkEnd w:id="65"/>
    </w:p>
    <w:p>
      <w:pPr>
        <w:spacing w:line="360" w:lineRule="auto"/>
        <w:ind w:firstLine="480" w:firstLineChars="200"/>
        <w:rPr>
          <w:rFonts w:ascii="宋体" w:hAnsi="宋体"/>
          <w:sz w:val="24"/>
          <w:szCs w:val="21"/>
        </w:rPr>
      </w:pPr>
      <w:r>
        <w:rPr>
          <w:rFonts w:hint="eastAsia" w:ascii="宋体" w:hAnsi="宋体"/>
          <w:sz w:val="24"/>
          <w:szCs w:val="21"/>
        </w:rPr>
        <w:t>34</w:t>
      </w:r>
      <w:r>
        <w:rPr>
          <w:rFonts w:ascii="宋体" w:hAnsi="宋体"/>
          <w:sz w:val="24"/>
          <w:szCs w:val="21"/>
        </w:rPr>
        <w:t>.</w:t>
      </w:r>
      <w:r>
        <w:rPr>
          <w:rFonts w:hint="eastAsia" w:ascii="宋体" w:hAnsi="宋体"/>
          <w:sz w:val="24"/>
          <w:szCs w:val="21"/>
        </w:rPr>
        <w:t>1</w:t>
      </w:r>
      <w:r>
        <w:rPr>
          <w:rFonts w:hint="eastAsia" w:ascii="宋体" w:hAnsi="宋体" w:cs="宋体"/>
          <w:kern w:val="0"/>
          <w:sz w:val="24"/>
        </w:rPr>
        <w:t>投标人认为采购文件、采购过程、中标或者成交结果使自己的权益受到损害的，可以在知道或者应知其权益受到损害之日起7个工作日内</w:t>
      </w:r>
      <w:r>
        <w:rPr>
          <w:rFonts w:hint="eastAsia" w:ascii="宋体" w:hAnsi="宋体"/>
          <w:kern w:val="0"/>
          <w:sz w:val="24"/>
        </w:rPr>
        <w:t>，以书面形式向采购人、采购代理机构提出质疑。同一采购程序环节的质疑，投标人须一次性提出，否则不予以答复。</w:t>
      </w:r>
    </w:p>
    <w:p>
      <w:pPr>
        <w:spacing w:line="360" w:lineRule="auto"/>
        <w:ind w:firstLine="480" w:firstLineChars="200"/>
        <w:rPr>
          <w:rFonts w:ascii="宋体" w:hAnsi="宋体"/>
          <w:sz w:val="24"/>
          <w:szCs w:val="21"/>
        </w:rPr>
      </w:pPr>
      <w:r>
        <w:rPr>
          <w:rFonts w:hint="eastAsia" w:ascii="宋体" w:hAnsi="宋体"/>
          <w:sz w:val="24"/>
          <w:szCs w:val="21"/>
        </w:rPr>
        <w:t>34.2质疑的主要内容应符合</w:t>
      </w:r>
      <w:r>
        <w:rPr>
          <w:rFonts w:hint="eastAsia" w:ascii="宋体" w:hAnsi="宋体" w:cs="Calibri"/>
          <w:kern w:val="0"/>
          <w:sz w:val="24"/>
        </w:rPr>
        <w:t>《政府采购质疑和投诉办法》（94号令）规定</w:t>
      </w:r>
      <w:r>
        <w:rPr>
          <w:rFonts w:hint="eastAsia" w:ascii="宋体" w:hAnsi="宋体"/>
          <w:sz w:val="24"/>
          <w:szCs w:val="21"/>
        </w:rPr>
        <w:t>以及浙江省和丽水市相关文件的规定。质疑内容涉及保密事项，质疑投标人应提供有效的信息来源或有效证据。</w:t>
      </w:r>
    </w:p>
    <w:p>
      <w:pPr>
        <w:spacing w:line="360" w:lineRule="auto"/>
        <w:ind w:firstLine="480" w:firstLineChars="200"/>
        <w:rPr>
          <w:rFonts w:ascii="宋体" w:hAnsi="宋体"/>
          <w:sz w:val="24"/>
          <w:szCs w:val="21"/>
        </w:rPr>
      </w:pPr>
      <w:r>
        <w:rPr>
          <w:rFonts w:hint="eastAsia" w:ascii="宋体" w:hAnsi="宋体"/>
          <w:sz w:val="24"/>
          <w:szCs w:val="21"/>
        </w:rPr>
        <w:t>34.3质疑投标人可直接提交或邮寄方式提交质疑书（一式三份以上）。以其他方式提出的质疑，采购代理机构</w:t>
      </w:r>
      <w:r>
        <w:rPr>
          <w:rFonts w:ascii="宋体" w:hAnsi="宋体"/>
          <w:sz w:val="24"/>
          <w:szCs w:val="21"/>
        </w:rPr>
        <w:t>可不予接受、答复。</w:t>
      </w:r>
    </w:p>
    <w:p>
      <w:pPr>
        <w:spacing w:line="360" w:lineRule="auto"/>
        <w:ind w:firstLine="480" w:firstLineChars="200"/>
        <w:rPr>
          <w:rFonts w:ascii="宋体" w:hAnsi="宋体"/>
          <w:sz w:val="24"/>
          <w:szCs w:val="21"/>
        </w:rPr>
      </w:pPr>
      <w:r>
        <w:rPr>
          <w:rFonts w:hint="eastAsia" w:ascii="宋体" w:hAnsi="宋体"/>
          <w:sz w:val="24"/>
          <w:szCs w:val="21"/>
        </w:rPr>
        <w:t>34.3.1</w:t>
      </w:r>
      <w:r>
        <w:rPr>
          <w:rFonts w:ascii="宋体" w:hAnsi="宋体"/>
          <w:sz w:val="24"/>
          <w:szCs w:val="21"/>
        </w:rPr>
        <w:t>邮寄方式送达质疑书的，以</w:t>
      </w:r>
      <w:r>
        <w:rPr>
          <w:rFonts w:hint="eastAsia" w:ascii="宋体" w:hAnsi="宋体"/>
          <w:sz w:val="24"/>
          <w:szCs w:val="21"/>
        </w:rPr>
        <w:t>采购代理机构</w:t>
      </w:r>
      <w:r>
        <w:rPr>
          <w:rFonts w:ascii="宋体" w:hAnsi="宋体"/>
          <w:sz w:val="24"/>
          <w:szCs w:val="21"/>
        </w:rPr>
        <w:t>实际收到邮件之日作为收到质疑的日期</w:t>
      </w:r>
      <w:r>
        <w:rPr>
          <w:rFonts w:hint="eastAsia" w:ascii="宋体" w:hAnsi="宋体"/>
          <w:sz w:val="24"/>
          <w:szCs w:val="21"/>
        </w:rPr>
        <w:t>；</w:t>
      </w:r>
    </w:p>
    <w:p>
      <w:pPr>
        <w:spacing w:line="360" w:lineRule="auto"/>
        <w:ind w:firstLine="456" w:firstLineChars="200"/>
        <w:rPr>
          <w:rFonts w:ascii="宋体" w:hAnsi="宋体"/>
          <w:spacing w:val="-6"/>
          <w:sz w:val="24"/>
          <w:szCs w:val="21"/>
        </w:rPr>
      </w:pPr>
      <w:r>
        <w:rPr>
          <w:rFonts w:hint="eastAsia" w:ascii="宋体" w:hAnsi="宋体"/>
          <w:spacing w:val="-6"/>
          <w:sz w:val="24"/>
          <w:szCs w:val="21"/>
        </w:rPr>
        <w:t>34.3.2</w:t>
      </w:r>
      <w:r>
        <w:rPr>
          <w:rFonts w:ascii="宋体" w:hAnsi="宋体"/>
          <w:spacing w:val="-6"/>
          <w:sz w:val="24"/>
          <w:szCs w:val="21"/>
        </w:rPr>
        <w:t>在质疑期限届满前，质疑书已经邮寄成功的，质疑不视为过期。</w:t>
      </w:r>
    </w:p>
    <w:p>
      <w:pPr>
        <w:spacing w:line="360" w:lineRule="auto"/>
        <w:ind w:firstLine="480" w:firstLineChars="200"/>
        <w:rPr>
          <w:rFonts w:ascii="宋体" w:hAnsi="宋体"/>
          <w:sz w:val="24"/>
          <w:szCs w:val="21"/>
        </w:rPr>
      </w:pPr>
      <w:r>
        <w:rPr>
          <w:rFonts w:hint="eastAsia" w:ascii="宋体" w:hAnsi="宋体"/>
          <w:sz w:val="24"/>
          <w:szCs w:val="21"/>
        </w:rPr>
        <w:t>34.4质疑投标人提供的相关材料中有外文资料的，应将与质疑相关的外文资料完整、客观、真实地翻译为中文，并注明翻译人员姓名、工作单位、联系方式等信息。</w:t>
      </w:r>
    </w:p>
    <w:p>
      <w:pPr>
        <w:spacing w:line="360" w:lineRule="auto"/>
        <w:ind w:firstLine="480" w:firstLineChars="200"/>
        <w:rPr>
          <w:rFonts w:ascii="宋体" w:hAnsi="宋体"/>
          <w:sz w:val="24"/>
          <w:szCs w:val="21"/>
        </w:rPr>
      </w:pPr>
      <w:r>
        <w:rPr>
          <w:rFonts w:hint="eastAsia" w:ascii="宋体" w:hAnsi="宋体"/>
          <w:sz w:val="24"/>
          <w:szCs w:val="21"/>
        </w:rPr>
        <w:t>34</w:t>
      </w:r>
      <w:r>
        <w:rPr>
          <w:rFonts w:ascii="宋体" w:hAnsi="宋体"/>
          <w:sz w:val="24"/>
          <w:szCs w:val="21"/>
        </w:rPr>
        <w:t>.</w:t>
      </w:r>
      <w:r>
        <w:rPr>
          <w:rFonts w:hint="eastAsia" w:ascii="宋体" w:hAnsi="宋体"/>
          <w:sz w:val="24"/>
          <w:szCs w:val="21"/>
        </w:rPr>
        <w:t>5采购代理机构在收到质疑投标人的书面质疑后7个工作日内作出答复，并以书面形式答复质疑人</w:t>
      </w:r>
      <w:r>
        <w:rPr>
          <w:rFonts w:ascii="宋体" w:hAnsi="宋体"/>
          <w:sz w:val="24"/>
          <w:szCs w:val="21"/>
        </w:rPr>
        <w:t>。</w:t>
      </w:r>
    </w:p>
    <w:p>
      <w:pPr>
        <w:spacing w:line="360" w:lineRule="auto"/>
        <w:ind w:firstLine="480" w:firstLineChars="200"/>
        <w:rPr>
          <w:rFonts w:ascii="宋体" w:hAnsi="宋体"/>
          <w:sz w:val="24"/>
          <w:szCs w:val="21"/>
        </w:rPr>
      </w:pPr>
      <w:r>
        <w:rPr>
          <w:rFonts w:hint="eastAsia" w:ascii="宋体" w:hAnsi="宋体"/>
          <w:sz w:val="24"/>
          <w:szCs w:val="21"/>
        </w:rPr>
        <w:t>34.6质疑投标人捏造事实、提供虚假材料进行质疑的，采购代理机构报告同级财政部门，由同级财政部门审查，情况属实的，应列入不良行为记录，并在指定的媒体上公告。</w:t>
      </w:r>
    </w:p>
    <w:p>
      <w:pPr>
        <w:spacing w:line="360" w:lineRule="auto"/>
        <w:ind w:firstLine="480" w:firstLineChars="200"/>
        <w:rPr>
          <w:rFonts w:ascii="宋体" w:hAnsi="宋体" w:cs="宋体"/>
          <w:sz w:val="24"/>
          <w:szCs w:val="21"/>
        </w:rPr>
      </w:pPr>
      <w:r>
        <w:rPr>
          <w:rFonts w:hint="eastAsia" w:ascii="宋体" w:hAnsi="宋体" w:cs="宋体"/>
          <w:sz w:val="24"/>
          <w:szCs w:val="21"/>
        </w:rPr>
        <w:t>34.7质疑函范本在浙江政府采购网（http://zfcg.czt.zj.gov.cn/）-下载专区中下载。</w:t>
      </w:r>
    </w:p>
    <w:p>
      <w:pPr>
        <w:pStyle w:val="4"/>
        <w:spacing w:line="560" w:lineRule="exact"/>
        <w:ind w:firstLine="0" w:firstLineChars="0"/>
        <w:rPr>
          <w:rFonts w:ascii="宋体" w:hAnsi="宋体" w:eastAsia="宋体"/>
        </w:rPr>
      </w:pPr>
      <w:bookmarkStart w:id="66" w:name="_Toc41577876"/>
      <w:bookmarkStart w:id="67" w:name="_Toc20095"/>
      <w:r>
        <w:rPr>
          <w:rFonts w:hint="eastAsia" w:ascii="宋体" w:hAnsi="宋体" w:eastAsia="宋体"/>
        </w:rPr>
        <w:t>十一  投诉</w:t>
      </w:r>
      <w:bookmarkEnd w:id="40"/>
      <w:bookmarkEnd w:id="41"/>
      <w:bookmarkEnd w:id="42"/>
      <w:bookmarkEnd w:id="43"/>
      <w:bookmarkEnd w:id="66"/>
      <w:bookmarkEnd w:id="67"/>
    </w:p>
    <w:p>
      <w:pPr>
        <w:spacing w:line="360" w:lineRule="auto"/>
        <w:ind w:firstLine="480" w:firstLineChars="200"/>
        <w:rPr>
          <w:rFonts w:ascii="宋体" w:hAnsi="宋体" w:cs="宋体"/>
          <w:sz w:val="24"/>
        </w:rPr>
      </w:pPr>
      <w:r>
        <w:rPr>
          <w:rFonts w:hint="eastAsia" w:ascii="宋体" w:hAnsi="宋体"/>
          <w:sz w:val="24"/>
        </w:rPr>
        <w:t>35.质疑投标人对采购代理机构的答复不满意或者采购代理机构未在规定时间内答复的，可以在答复期满后十五个工作日内按有关规定，书面向同级政府采购管理办公室投诉。</w:t>
      </w:r>
      <w:r>
        <w:rPr>
          <w:rFonts w:hint="eastAsia" w:ascii="宋体" w:hAnsi="宋体" w:cs="宋体"/>
          <w:sz w:val="24"/>
        </w:rPr>
        <w:t>投诉书范本在浙江政府采购网（http://zfcg.czt.zj.gov.cn/）-下载专区中下载。</w:t>
      </w:r>
    </w:p>
    <w:p>
      <w:pPr>
        <w:pStyle w:val="4"/>
        <w:spacing w:line="560" w:lineRule="exact"/>
        <w:ind w:firstLine="0" w:firstLineChars="0"/>
        <w:rPr>
          <w:rFonts w:ascii="宋体" w:hAnsi="宋体" w:eastAsia="宋体"/>
        </w:rPr>
      </w:pPr>
      <w:bookmarkStart w:id="68" w:name="_Toc41577877"/>
      <w:bookmarkStart w:id="69" w:name="_Toc4225"/>
      <w:r>
        <w:rPr>
          <w:rFonts w:hint="eastAsia" w:ascii="宋体" w:hAnsi="宋体" w:eastAsia="宋体"/>
        </w:rPr>
        <w:t>十二  授予合同</w:t>
      </w:r>
      <w:bookmarkEnd w:id="44"/>
      <w:bookmarkEnd w:id="68"/>
      <w:bookmarkEnd w:id="69"/>
    </w:p>
    <w:p>
      <w:pPr>
        <w:spacing w:line="360" w:lineRule="auto"/>
        <w:ind w:firstLine="480" w:firstLineChars="200"/>
        <w:rPr>
          <w:rFonts w:ascii="宋体" w:hAnsi="宋体"/>
          <w:sz w:val="24"/>
        </w:rPr>
      </w:pPr>
      <w:r>
        <w:rPr>
          <w:rFonts w:hint="eastAsia" w:ascii="宋体" w:hAnsi="宋体"/>
          <w:sz w:val="24"/>
        </w:rPr>
        <w:t>36</w:t>
      </w:r>
      <w:r>
        <w:rPr>
          <w:rFonts w:ascii="宋体" w:hAnsi="宋体"/>
          <w:sz w:val="24"/>
        </w:rPr>
        <w:t xml:space="preserve">. </w:t>
      </w:r>
      <w:r>
        <w:rPr>
          <w:rFonts w:hint="eastAsia" w:ascii="宋体" w:hAnsi="宋体"/>
          <w:sz w:val="24"/>
        </w:rPr>
        <w:t>中标结果公告及中标通知书</w:t>
      </w:r>
    </w:p>
    <w:p>
      <w:pPr>
        <w:spacing w:line="360" w:lineRule="auto"/>
        <w:ind w:firstLine="480" w:firstLineChars="200"/>
        <w:rPr>
          <w:rFonts w:ascii="宋体" w:hAnsi="宋体"/>
          <w:sz w:val="24"/>
        </w:rPr>
      </w:pPr>
      <w:r>
        <w:rPr>
          <w:rFonts w:hint="eastAsia" w:ascii="宋体" w:hAnsi="宋体"/>
          <w:sz w:val="24"/>
        </w:rPr>
        <w:t>36.1采购代理机构将在浙江政府采购网</w:t>
      </w:r>
      <w:r>
        <w:fldChar w:fldCharType="begin"/>
      </w:r>
      <w:r>
        <w:instrText xml:space="preserve"> HYPERLINK "http://60.190.126.3:8080/wcm/WCMV6/editor/editor/招标文件（新版）.doc" </w:instrText>
      </w:r>
      <w:r>
        <w:fldChar w:fldCharType="separate"/>
      </w:r>
      <w:r>
        <w:rPr>
          <w:rFonts w:hint="eastAsia" w:ascii="宋体" w:hAnsi="宋体"/>
          <w:sz w:val="24"/>
        </w:rPr>
        <w:t>http://zfcg.czt.zj.gov.cn/</w:t>
      </w:r>
      <w:r>
        <w:rPr>
          <w:rFonts w:hint="eastAsia" w:ascii="宋体" w:hAnsi="宋体"/>
          <w:sz w:val="24"/>
        </w:rPr>
        <w:fldChar w:fldCharType="end"/>
      </w:r>
      <w:r>
        <w:rPr>
          <w:rFonts w:hint="eastAsia" w:ascii="宋体" w:hAnsi="宋体" w:cs="仿宋_GB2312"/>
          <w:color w:val="000000"/>
          <w:sz w:val="24"/>
        </w:rPr>
        <w:t>、丽水市公共资源交易网（莲都）http://lssggzy.lishui.gov.cn/ldweb/</w:t>
      </w:r>
      <w:r>
        <w:rPr>
          <w:rFonts w:hint="eastAsia" w:ascii="宋体" w:hAnsi="宋体"/>
          <w:sz w:val="24"/>
        </w:rPr>
        <w:t>上发布中标结果公告。中标结果公告内容不包括国家秘密、商业秘密；</w:t>
      </w:r>
    </w:p>
    <w:p>
      <w:pPr>
        <w:spacing w:line="360" w:lineRule="auto"/>
        <w:ind w:firstLine="480" w:firstLineChars="200"/>
        <w:rPr>
          <w:rFonts w:ascii="宋体" w:hAnsi="宋体"/>
          <w:sz w:val="24"/>
        </w:rPr>
      </w:pPr>
      <w:r>
        <w:rPr>
          <w:rFonts w:hint="eastAsia" w:ascii="宋体" w:hAnsi="宋体"/>
          <w:kern w:val="0"/>
          <w:sz w:val="24"/>
        </w:rPr>
        <w:t>36.2发布中标公告的同时，采购代理机构向中标人发出中标通知书。</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7</w:t>
      </w:r>
      <w:r>
        <w:rPr>
          <w:rFonts w:ascii="宋体" w:hAnsi="宋体"/>
          <w:sz w:val="24"/>
        </w:rPr>
        <w:t>.</w:t>
      </w:r>
      <w:r>
        <w:rPr>
          <w:rFonts w:hint="eastAsia" w:ascii="宋体" w:hAnsi="宋体"/>
          <w:sz w:val="24"/>
        </w:rPr>
        <w:t>授予合同时变更数量的权利</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7</w:t>
      </w:r>
      <w:r>
        <w:rPr>
          <w:rFonts w:ascii="宋体" w:hAnsi="宋体"/>
          <w:sz w:val="24"/>
        </w:rPr>
        <w:t>.1</w:t>
      </w:r>
      <w:r>
        <w:rPr>
          <w:rFonts w:hint="eastAsia" w:ascii="宋体" w:hAnsi="宋体"/>
          <w:sz w:val="24"/>
        </w:rPr>
        <w:t>采购人需追加与合同标的相同的货物、工程或者服务的，在不改变合同其他条款的前提下，可经同级政府采购管理办公室批准直接与中标人签订补充合同，补充合同需交由同级政府采购管理办公室备案，但所补充合同的采购金额不得超过原合同采购金额的10%。</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8</w:t>
      </w:r>
      <w:r>
        <w:rPr>
          <w:rFonts w:ascii="宋体" w:hAnsi="宋体"/>
          <w:sz w:val="24"/>
        </w:rPr>
        <w:t>.</w:t>
      </w:r>
      <w:r>
        <w:rPr>
          <w:rFonts w:hint="eastAsia" w:ascii="宋体" w:hAnsi="宋体"/>
          <w:sz w:val="24"/>
        </w:rPr>
        <w:t>签订合同</w:t>
      </w:r>
    </w:p>
    <w:p>
      <w:pPr>
        <w:spacing w:line="360" w:lineRule="auto"/>
        <w:ind w:firstLine="480" w:firstLineChars="200"/>
        <w:rPr>
          <w:rFonts w:ascii="宋体" w:hAnsi="宋体"/>
          <w:sz w:val="24"/>
        </w:rPr>
      </w:pPr>
      <w:r>
        <w:rPr>
          <w:rFonts w:asciiTheme="minorEastAsia" w:hAnsiTheme="minorEastAsia" w:eastAsiaTheme="minorEastAsia"/>
          <w:sz w:val="24"/>
        </w:rPr>
        <w:t>3</w:t>
      </w:r>
      <w:r>
        <w:rPr>
          <w:rFonts w:hint="eastAsia" w:asciiTheme="minorEastAsia" w:hAnsiTheme="minorEastAsia" w:eastAsiaTheme="minorEastAsia"/>
          <w:sz w:val="24"/>
        </w:rPr>
        <w:t>8</w:t>
      </w:r>
      <w:r>
        <w:rPr>
          <w:rFonts w:asciiTheme="minorEastAsia" w:hAnsiTheme="minorEastAsia" w:eastAsiaTheme="minorEastAsia"/>
          <w:sz w:val="24"/>
        </w:rPr>
        <w:t>.1</w:t>
      </w:r>
      <w:r>
        <w:rPr>
          <w:rFonts w:hint="eastAsia" w:ascii="宋体" w:hAnsi="宋体"/>
          <w:sz w:val="24"/>
        </w:rPr>
        <w:t>中标人自中标通知书发出之日起30日内与采购人签订合同；</w:t>
      </w:r>
    </w:p>
    <w:p>
      <w:pPr>
        <w:spacing w:line="360" w:lineRule="auto"/>
        <w:ind w:firstLine="480" w:firstLineChars="200"/>
        <w:rPr>
          <w:rFonts w:ascii="宋体" w:hAnsi="宋体"/>
          <w:sz w:val="24"/>
        </w:rPr>
      </w:pPr>
      <w:r>
        <w:rPr>
          <w:rFonts w:asciiTheme="minorEastAsia" w:hAnsiTheme="minorEastAsia" w:eastAsiaTheme="minorEastAsia"/>
          <w:sz w:val="24"/>
        </w:rPr>
        <w:t>3</w:t>
      </w:r>
      <w:r>
        <w:rPr>
          <w:rFonts w:hint="eastAsia" w:asciiTheme="minorEastAsia" w:hAnsiTheme="minorEastAsia" w:eastAsiaTheme="minorEastAsia"/>
          <w:sz w:val="24"/>
        </w:rPr>
        <w:t>8</w:t>
      </w:r>
      <w:r>
        <w:rPr>
          <w:rFonts w:asciiTheme="minorEastAsia" w:hAnsiTheme="minorEastAsia" w:eastAsiaTheme="minorEastAsia"/>
          <w:sz w:val="24"/>
        </w:rPr>
        <w:t>.2</w:t>
      </w:r>
      <w:r>
        <w:rPr>
          <w:rFonts w:hint="eastAsia" w:ascii="宋体" w:hAnsi="宋体"/>
          <w:sz w:val="24"/>
        </w:rPr>
        <w:t>招标文件、中标人的投标文件及其澄清文件等,均为签订合同的依据；</w:t>
      </w:r>
    </w:p>
    <w:p>
      <w:pPr>
        <w:spacing w:line="360" w:lineRule="auto"/>
        <w:ind w:firstLine="480" w:firstLineChars="200"/>
        <w:rPr>
          <w:rFonts w:ascii="宋体" w:hAnsi="宋体"/>
          <w:sz w:val="24"/>
        </w:rPr>
      </w:pPr>
      <w:r>
        <w:rPr>
          <w:rFonts w:asciiTheme="minorEastAsia" w:hAnsiTheme="minorEastAsia" w:eastAsiaTheme="minorEastAsia"/>
          <w:sz w:val="24"/>
        </w:rPr>
        <w:t>3</w:t>
      </w:r>
      <w:r>
        <w:rPr>
          <w:rFonts w:hint="eastAsia" w:asciiTheme="minorEastAsia" w:hAnsiTheme="minorEastAsia" w:eastAsiaTheme="minorEastAsia"/>
          <w:sz w:val="24"/>
        </w:rPr>
        <w:t>8</w:t>
      </w:r>
      <w:r>
        <w:rPr>
          <w:rFonts w:asciiTheme="minorEastAsia" w:hAnsiTheme="minorEastAsia" w:eastAsiaTheme="minorEastAsia"/>
          <w:sz w:val="24"/>
        </w:rPr>
        <w:t>.3</w:t>
      </w:r>
      <w:r>
        <w:rPr>
          <w:rFonts w:hint="eastAsia" w:ascii="宋体" w:hAnsi="宋体"/>
          <w:sz w:val="24"/>
        </w:rPr>
        <w:t>中标人不遵守招标文件和投标文件的要约条款及所作的承诺,擅自修改报价或在中标通知书发出之日起30日内,借故拖延、拒签合同的,采购人有权取消该投标人的中标资格；</w:t>
      </w:r>
    </w:p>
    <w:p>
      <w:pPr>
        <w:spacing w:line="360" w:lineRule="auto"/>
        <w:ind w:firstLine="480" w:firstLineChars="200"/>
        <w:rPr>
          <w:rFonts w:ascii="宋体" w:hAnsi="宋体"/>
          <w:sz w:val="24"/>
        </w:rPr>
      </w:pPr>
      <w:r>
        <w:rPr>
          <w:rFonts w:hint="eastAsia" w:ascii="宋体" w:hAnsi="宋体"/>
          <w:sz w:val="24"/>
        </w:rPr>
        <w:t>按有关法律法规中标人拒绝与采购人签订合同的，采购人可以按照评审报告推荐的中标候选人名单排序，确定下一候选人为中标人，也可以重新开展政府采购活动。</w:t>
      </w:r>
    </w:p>
    <w:p>
      <w:pPr>
        <w:spacing w:line="360" w:lineRule="auto"/>
        <w:ind w:firstLine="480" w:firstLineChars="200"/>
        <w:rPr>
          <w:rFonts w:ascii="宋体" w:hAnsi="宋体"/>
          <w:sz w:val="24"/>
        </w:rPr>
      </w:pPr>
      <w:r>
        <w:rPr>
          <w:rFonts w:hint="eastAsia" w:asciiTheme="minorEastAsia" w:hAnsiTheme="minorEastAsia" w:eastAsiaTheme="minorEastAsia"/>
          <w:sz w:val="24"/>
        </w:rPr>
        <w:t>38.4</w:t>
      </w:r>
      <w:r>
        <w:rPr>
          <w:rFonts w:hint="eastAsia" w:ascii="宋体" w:hAnsi="宋体"/>
          <w:sz w:val="24"/>
        </w:rPr>
        <w:t>质疑事项可能影响中标结果的，采购人应当暂停签订合同，已经签订合同的，应当中止履行合同。（中标结果的质疑期为中标结果公告期限届满之日起七个工作日）；</w:t>
      </w:r>
    </w:p>
    <w:p>
      <w:pPr>
        <w:spacing w:line="360" w:lineRule="auto"/>
        <w:ind w:firstLine="480" w:firstLineChars="200"/>
        <w:rPr>
          <w:rFonts w:ascii="宋体" w:hAnsi="宋体"/>
          <w:sz w:val="24"/>
        </w:rPr>
      </w:pPr>
      <w:r>
        <w:rPr>
          <w:rFonts w:hint="eastAsia" w:ascii="宋体" w:hAnsi="宋体"/>
          <w:sz w:val="24"/>
        </w:rPr>
        <w:t>38</w:t>
      </w:r>
      <w:r>
        <w:rPr>
          <w:rFonts w:ascii="宋体" w:hAnsi="宋体"/>
          <w:sz w:val="24"/>
        </w:rPr>
        <w:t>.</w:t>
      </w:r>
      <w:r>
        <w:rPr>
          <w:rFonts w:hint="eastAsia" w:ascii="宋体" w:hAnsi="宋体"/>
          <w:sz w:val="24"/>
        </w:rPr>
        <w:t>5采购人应当自政府采购合同签订之日起2个工作日内，将政府采购合同在省级以上人民政府财政部门指定的媒体上公告，但政府采购合同中涉及国家秘密、商业秘密的内容除外；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480" w:firstLineChars="200"/>
        <w:rPr>
          <w:rFonts w:ascii="宋体" w:hAnsi="宋体" w:cs="宋体"/>
          <w:sz w:val="24"/>
        </w:rPr>
      </w:pPr>
      <w:r>
        <w:rPr>
          <w:rFonts w:hint="eastAsia" w:ascii="宋体" w:hAnsi="宋体" w:cs="宋体"/>
          <w:sz w:val="24"/>
        </w:rPr>
        <w:t>38</w:t>
      </w:r>
      <w:r>
        <w:rPr>
          <w:rFonts w:ascii="宋体" w:hAnsi="宋体" w:cs="宋体"/>
          <w:sz w:val="24"/>
        </w:rPr>
        <w:t>.</w:t>
      </w:r>
      <w:r>
        <w:rPr>
          <w:rFonts w:hint="eastAsia" w:ascii="宋体" w:hAnsi="宋体" w:cs="宋体"/>
          <w:sz w:val="24"/>
        </w:rPr>
        <w:t>6</w:t>
      </w:r>
      <w:r>
        <w:rPr>
          <w:rFonts w:hint="eastAsia" w:ascii="宋体" w:hAnsi="宋体"/>
          <w:sz w:val="24"/>
        </w:rPr>
        <w:t>以联合体形式参加采购活动或者合同分包的，应当将联合协议或者分包意向协议作为采购合同的组成部分。</w:t>
      </w:r>
    </w:p>
    <w:p>
      <w:pPr>
        <w:pStyle w:val="4"/>
        <w:spacing w:line="560" w:lineRule="exact"/>
        <w:ind w:firstLine="0" w:firstLineChars="0"/>
        <w:rPr>
          <w:rFonts w:ascii="宋体" w:hAnsi="宋体" w:eastAsia="宋体"/>
        </w:rPr>
      </w:pPr>
      <w:bookmarkStart w:id="70" w:name="_Toc41577878"/>
      <w:bookmarkStart w:id="71" w:name="_Toc29642"/>
      <w:r>
        <w:rPr>
          <w:rFonts w:hint="eastAsia" w:ascii="宋体" w:hAnsi="宋体" w:eastAsia="宋体"/>
        </w:rPr>
        <w:t>十三  验收</w:t>
      </w:r>
      <w:bookmarkEnd w:id="70"/>
      <w:bookmarkEnd w:id="71"/>
    </w:p>
    <w:p>
      <w:pPr>
        <w:spacing w:line="360" w:lineRule="auto"/>
        <w:ind w:firstLine="480" w:firstLineChars="200"/>
        <w:rPr>
          <w:rFonts w:ascii="宋体" w:hAnsi="宋体"/>
          <w:sz w:val="24"/>
        </w:rPr>
      </w:pPr>
      <w:bookmarkStart w:id="72" w:name="_Toc47756031"/>
      <w:bookmarkStart w:id="73" w:name="_Toc15813254"/>
      <w:bookmarkStart w:id="74" w:name="_Toc107820052"/>
      <w:bookmarkStart w:id="75" w:name="_Toc45506731"/>
      <w:bookmarkStart w:id="76" w:name="_Toc15805937"/>
      <w:r>
        <w:rPr>
          <w:rFonts w:hint="eastAsia" w:ascii="宋体" w:hAnsi="宋体"/>
          <w:sz w:val="24"/>
        </w:rPr>
        <w:t>39.1采购人应当按照政府采购合同规定的技术、服务、安全标准组织对投标人履约情况进行验收，并出具验收书。验收书应当包括每一项技术、服务、安全标准的履约情况。</w:t>
      </w:r>
    </w:p>
    <w:p>
      <w:pPr>
        <w:spacing w:line="360" w:lineRule="auto"/>
        <w:ind w:firstLine="480" w:firstLineChars="200"/>
        <w:rPr>
          <w:rFonts w:ascii="宋体" w:hAnsi="宋体"/>
          <w:sz w:val="24"/>
        </w:rPr>
      </w:pPr>
      <w:r>
        <w:rPr>
          <w:rFonts w:hint="eastAsia" w:ascii="宋体" w:hAnsi="宋体"/>
          <w:sz w:val="24"/>
        </w:rPr>
        <w:t>39.2本项目采购人可根据实际需要邀请第三方专业机构及专家或参加本项目的其他投标人参与验收。其他投标人应遵守诚实信用、实事求是的原则，在验收期间积极配合采购人组织的验收工作，不得影响或阻扰验收工作的正常进行。</w:t>
      </w:r>
    </w:p>
    <w:p>
      <w:pPr>
        <w:pStyle w:val="4"/>
        <w:spacing w:line="560" w:lineRule="exact"/>
        <w:ind w:firstLine="0" w:firstLineChars="0"/>
        <w:rPr>
          <w:rFonts w:ascii="宋体" w:hAnsi="宋体" w:eastAsia="宋体"/>
        </w:rPr>
      </w:pPr>
      <w:bookmarkStart w:id="77" w:name="_Toc530987054"/>
      <w:bookmarkStart w:id="78" w:name="_Toc41577879"/>
      <w:bookmarkStart w:id="79" w:name="_Toc493956047"/>
      <w:bookmarkStart w:id="80" w:name="_Toc20277"/>
      <w:r>
        <w:rPr>
          <w:rFonts w:hint="eastAsia" w:ascii="宋体" w:hAnsi="宋体" w:eastAsia="宋体"/>
        </w:rPr>
        <w:t>十四  政府</w:t>
      </w:r>
      <w:r>
        <w:rPr>
          <w:rFonts w:ascii="宋体" w:hAnsi="宋体" w:eastAsia="宋体"/>
        </w:rPr>
        <w:t>采购政策</w:t>
      </w:r>
      <w:bookmarkEnd w:id="77"/>
      <w:bookmarkEnd w:id="78"/>
      <w:bookmarkEnd w:id="79"/>
      <w:bookmarkEnd w:id="80"/>
    </w:p>
    <w:p>
      <w:pPr>
        <w:spacing w:line="360" w:lineRule="auto"/>
        <w:ind w:firstLine="480" w:firstLineChars="200"/>
        <w:rPr>
          <w:rFonts w:ascii="宋体" w:hAnsi="宋体"/>
          <w:sz w:val="24"/>
        </w:rPr>
      </w:pPr>
      <w:r>
        <w:rPr>
          <w:rFonts w:hint="eastAsia" w:ascii="宋体" w:hAnsi="宋体"/>
          <w:sz w:val="24"/>
        </w:rPr>
        <w:t>40.关于中小企业参与政府采购活动的规定</w:t>
      </w:r>
    </w:p>
    <w:p>
      <w:pPr>
        <w:spacing w:line="360" w:lineRule="auto"/>
        <w:ind w:firstLine="480" w:firstLineChars="200"/>
        <w:rPr>
          <w:rFonts w:ascii="宋体" w:hAnsi="宋体"/>
          <w:sz w:val="24"/>
        </w:rPr>
      </w:pPr>
      <w:r>
        <w:rPr>
          <w:rFonts w:hint="eastAsia" w:ascii="宋体" w:hAnsi="宋体"/>
          <w:sz w:val="24"/>
        </w:rPr>
        <w:t>40.1本项目</w:t>
      </w:r>
      <w:r>
        <w:rPr>
          <w:rFonts w:hint="eastAsia" w:ascii="宋体" w:hAnsi="宋体"/>
          <w:sz w:val="24"/>
          <w:u w:val="single"/>
        </w:rPr>
        <w:t xml:space="preserve"> </w:t>
      </w:r>
      <w:r>
        <w:rPr>
          <w:rFonts w:hint="eastAsia" w:ascii="宋体" w:hAnsi="宋体"/>
          <w:b/>
          <w:sz w:val="24"/>
          <w:u w:val="single"/>
        </w:rPr>
        <w:t xml:space="preserve">非 </w:t>
      </w:r>
      <w:r>
        <w:rPr>
          <w:rFonts w:hint="eastAsia" w:ascii="宋体" w:hAnsi="宋体"/>
          <w:sz w:val="24"/>
        </w:rPr>
        <w:t>专门面向中小微企业采购。</w:t>
      </w:r>
    </w:p>
    <w:p>
      <w:pPr>
        <w:adjustRightInd w:val="0"/>
        <w:snapToGrid w:val="0"/>
        <w:spacing w:line="360" w:lineRule="auto"/>
        <w:ind w:firstLine="480" w:firstLineChars="200"/>
        <w:rPr>
          <w:rFonts w:ascii="宋体" w:hAnsi="宋体"/>
          <w:b/>
          <w:sz w:val="24"/>
          <w:u w:val="single"/>
        </w:rPr>
      </w:pPr>
      <w:r>
        <w:rPr>
          <w:rFonts w:hint="eastAsia" w:ascii="宋体" w:hAnsi="宋体"/>
          <w:sz w:val="24"/>
        </w:rPr>
        <w:t>40.2本项目对应的中小企业划分标准所属行业：</w:t>
      </w:r>
      <w:r>
        <w:rPr>
          <w:rFonts w:hint="eastAsia" w:ascii="宋体" w:hAnsi="宋体"/>
          <w:b/>
          <w:sz w:val="24"/>
          <w:u w:val="single"/>
        </w:rPr>
        <w:t>其他未列明行业。</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40.3中小企业是指在中华人民共和国境内依法设立，依据国务院批准的中小企业划分标准确定的中型企业、小型企业和微型企业，但与大企业的负责人为同一人，或者与大企业存在直接控股、管理关系的除外。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adjustRightInd w:val="0"/>
        <w:snapToGrid w:val="0"/>
        <w:spacing w:line="360" w:lineRule="auto"/>
        <w:ind w:firstLine="480" w:firstLineChars="200"/>
        <w:rPr>
          <w:rFonts w:ascii="宋体" w:hAnsi="宋体"/>
          <w:sz w:val="24"/>
        </w:rPr>
      </w:pPr>
      <w:r>
        <w:rPr>
          <w:rFonts w:hint="eastAsia" w:ascii="宋体" w:hAnsi="宋体"/>
          <w:sz w:val="24"/>
        </w:rPr>
        <w:t>40.4在政府采购活动中，投标人提供的货物、工程或者服务符合下列情形的，可</w:t>
      </w:r>
      <w:r>
        <w:rPr>
          <w:rFonts w:ascii="宋体" w:hAnsi="宋体"/>
          <w:sz w:val="24"/>
        </w:rPr>
        <w:t>享受</w:t>
      </w:r>
      <w:r>
        <w:rPr>
          <w:rFonts w:hint="eastAsia" w:ascii="宋体" w:hAnsi="宋体"/>
          <w:sz w:val="24"/>
        </w:rPr>
        <w:t>小型、微型</w:t>
      </w:r>
      <w:r>
        <w:rPr>
          <w:rFonts w:ascii="宋体" w:hAnsi="宋体"/>
          <w:sz w:val="24"/>
        </w:rPr>
        <w:t>企业</w:t>
      </w:r>
      <w:r>
        <w:rPr>
          <w:rFonts w:hint="eastAsia" w:ascii="宋体" w:hAnsi="宋体"/>
          <w:sz w:val="24"/>
        </w:rPr>
        <w:t>（以下简称小微企业）</w:t>
      </w:r>
      <w:r>
        <w:rPr>
          <w:rFonts w:ascii="宋体" w:hAnsi="宋体"/>
          <w:sz w:val="24"/>
        </w:rPr>
        <w:t>的价格</w:t>
      </w:r>
      <w:r>
        <w:rPr>
          <w:rFonts w:hint="eastAsia" w:ascii="宋体" w:hAnsi="宋体"/>
          <w:sz w:val="24"/>
        </w:rPr>
        <w:t>扣除：</w:t>
      </w:r>
    </w:p>
    <w:p>
      <w:pPr>
        <w:adjustRightInd w:val="0"/>
        <w:snapToGrid w:val="0"/>
        <w:spacing w:line="360" w:lineRule="auto"/>
        <w:ind w:firstLine="480" w:firstLineChars="200"/>
        <w:rPr>
          <w:rFonts w:ascii="宋体" w:hAnsi="宋体"/>
          <w:sz w:val="24"/>
        </w:rPr>
      </w:pPr>
      <w:r>
        <w:rPr>
          <w:rFonts w:hint="eastAsia" w:ascii="宋体" w:hAnsi="宋体"/>
          <w:sz w:val="24"/>
        </w:rPr>
        <w:t>（1）在货物采购项目中，货物由小微企业制造，即货物由小微企业生产且使用该小微企业商号或者注册商标；</w:t>
      </w:r>
    </w:p>
    <w:p>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（2）在工程采购项目中，工程由小微企业承建，即工程施工单位为小微企业；</w:t>
      </w:r>
    </w:p>
    <w:p>
      <w:pPr>
        <w:adjustRightInd w:val="0"/>
        <w:snapToGrid w:val="0"/>
        <w:spacing w:line="360" w:lineRule="auto"/>
        <w:ind w:firstLine="480" w:firstLineChars="200"/>
        <w:rPr>
          <w:rFonts w:ascii="宋体" w:hAnsi="宋体"/>
          <w:sz w:val="24"/>
        </w:rPr>
      </w:pPr>
      <w:r>
        <w:rPr>
          <w:rFonts w:hint="eastAsia" w:ascii="宋体" w:hAnsi="宋体"/>
          <w:sz w:val="24"/>
        </w:rPr>
        <w:t>（3）在服务采购项目中，服务由小微企业承接，即提供服务的人员为小微企业依照《中华人民共和国劳动合同法》订立劳动合同的从业人员。</w:t>
      </w:r>
    </w:p>
    <w:p>
      <w:pPr>
        <w:adjustRightInd w:val="0"/>
        <w:snapToGrid w:val="0"/>
        <w:spacing w:line="360" w:lineRule="auto"/>
        <w:ind w:firstLine="480" w:firstLineChars="200"/>
        <w:rPr>
          <w:rFonts w:ascii="宋体" w:hAnsi="宋体"/>
          <w:sz w:val="24"/>
        </w:rPr>
      </w:pPr>
      <w:r>
        <w:rPr>
          <w:rFonts w:hint="eastAsia" w:ascii="宋体" w:hAnsi="宋体"/>
          <w:sz w:val="24"/>
        </w:rPr>
        <w:t>以联合体形式参加政府采购活动，联合体各方均为小微企业的，联合体视同小微企业。</w:t>
      </w:r>
    </w:p>
    <w:p>
      <w:pPr>
        <w:adjustRightInd w:val="0"/>
        <w:snapToGrid w:val="0"/>
        <w:spacing w:line="360" w:lineRule="auto"/>
        <w:ind w:firstLine="480" w:firstLineChars="200"/>
        <w:rPr>
          <w:rFonts w:ascii="宋体" w:hAnsi="宋体"/>
          <w:sz w:val="24"/>
        </w:rPr>
      </w:pPr>
      <w:r>
        <w:rPr>
          <w:rFonts w:hint="eastAsia" w:ascii="宋体" w:hAnsi="宋体"/>
          <w:sz w:val="24"/>
        </w:rPr>
        <w:t>40.5在货物采购项目中，投标人提供的货物既有中小企业制造货物，也有大型企业制造货物的，不享受小微企业价格扣除</w:t>
      </w:r>
      <w:r>
        <w:rPr>
          <w:rFonts w:ascii="宋体" w:hAnsi="宋体"/>
          <w:sz w:val="24"/>
        </w:rPr>
        <w:t>。</w:t>
      </w:r>
    </w:p>
    <w:p>
      <w:pPr>
        <w:adjustRightInd w:val="0"/>
        <w:snapToGrid w:val="0"/>
        <w:spacing w:line="360" w:lineRule="auto"/>
        <w:ind w:firstLine="480" w:firstLineChars="200"/>
        <w:rPr>
          <w:rFonts w:ascii="宋体" w:hAnsi="宋体"/>
          <w:sz w:val="24"/>
        </w:rPr>
      </w:pPr>
      <w:r>
        <w:rPr>
          <w:rFonts w:hint="eastAsia" w:ascii="宋体" w:hAnsi="宋体"/>
          <w:sz w:val="24"/>
        </w:rPr>
        <w:t>40.6本项目对符合《政府采购促进中小企业发展管理办法》（财库﹝2020﹞46号）规定的小微企业报价给予</w:t>
      </w:r>
      <w:r>
        <w:rPr>
          <w:rFonts w:hint="eastAsia" w:ascii="宋体" w:hAnsi="宋体"/>
          <w:sz w:val="24"/>
          <w:u w:val="single"/>
        </w:rPr>
        <w:t>10%</w:t>
      </w:r>
      <w:r>
        <w:rPr>
          <w:rFonts w:hint="eastAsia" w:ascii="宋体" w:hAnsi="宋体"/>
          <w:sz w:val="24"/>
        </w:rPr>
        <w:t>的扣除，用扣除后的价格参加评审。</w:t>
      </w:r>
    </w:p>
    <w:p>
      <w:pPr>
        <w:adjustRightInd w:val="0"/>
        <w:snapToGrid w:val="0"/>
        <w:spacing w:line="360" w:lineRule="auto"/>
        <w:ind w:firstLine="480" w:firstLineChars="200"/>
        <w:rPr>
          <w:rFonts w:ascii="宋体" w:hAnsi="宋体"/>
          <w:sz w:val="24"/>
        </w:rPr>
      </w:pPr>
      <w:r>
        <w:rPr>
          <w:rFonts w:hint="eastAsia" w:ascii="宋体" w:hAnsi="宋体"/>
          <w:sz w:val="24"/>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sz w:val="24"/>
          <w:u w:val="single"/>
        </w:rPr>
        <w:t>4%</w:t>
      </w:r>
      <w:r>
        <w:rPr>
          <w:rFonts w:hint="eastAsia" w:ascii="宋体" w:hAnsi="宋体"/>
          <w:sz w:val="24"/>
        </w:rPr>
        <w:t xml:space="preserve">（工程项目为 </w:t>
      </w:r>
      <w:r>
        <w:rPr>
          <w:rFonts w:hint="eastAsia" w:ascii="宋体" w:hAnsi="宋体"/>
          <w:sz w:val="24"/>
          <w:u w:val="single"/>
        </w:rPr>
        <w:t>2%</w:t>
      </w:r>
      <w:r>
        <w:rPr>
          <w:rFonts w:hint="eastAsia" w:ascii="宋体" w:hAnsi="宋体"/>
          <w:sz w:val="24"/>
        </w:rPr>
        <w:t>）的扣除，用扣除后的价格参加评审。组成联合体或者接受分包的小微企业与联合体内其他企业、分包企业之间存在直接控股、管理关系的，不享受价格扣除优惠政策。</w:t>
      </w:r>
    </w:p>
    <w:p>
      <w:pPr>
        <w:adjustRightInd w:val="0"/>
        <w:snapToGrid w:val="0"/>
        <w:spacing w:line="360" w:lineRule="auto"/>
        <w:ind w:firstLine="480" w:firstLineChars="200"/>
        <w:rPr>
          <w:rFonts w:ascii="宋体" w:hAnsi="宋体"/>
          <w:sz w:val="24"/>
        </w:rPr>
      </w:pPr>
      <w:r>
        <w:rPr>
          <w:rFonts w:hint="eastAsia" w:ascii="宋体" w:hAnsi="宋体"/>
          <w:sz w:val="24"/>
        </w:rPr>
        <w:t>40.7小微企业应按照招标文件格式要求提供《小微企业声明函》，否则视为非小微企业。</w:t>
      </w:r>
    </w:p>
    <w:p>
      <w:pPr>
        <w:adjustRightInd w:val="0"/>
        <w:snapToGrid w:val="0"/>
        <w:spacing w:line="360" w:lineRule="auto"/>
        <w:ind w:firstLine="480" w:firstLineChars="200"/>
        <w:rPr>
          <w:rFonts w:ascii="宋体" w:hAnsi="宋体"/>
          <w:sz w:val="24"/>
        </w:rPr>
      </w:pPr>
      <w:r>
        <w:rPr>
          <w:rFonts w:hint="eastAsia" w:ascii="宋体" w:hAnsi="宋体"/>
          <w:sz w:val="24"/>
        </w:rPr>
        <w:t>40.8</w:t>
      </w:r>
      <w:r>
        <w:rPr>
          <w:rFonts w:ascii="宋体" w:hAnsi="宋体"/>
          <w:sz w:val="24"/>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adjustRightInd w:val="0"/>
        <w:snapToGrid w:val="0"/>
        <w:spacing w:line="360" w:lineRule="auto"/>
        <w:ind w:firstLine="480" w:firstLineChars="200"/>
        <w:rPr>
          <w:rFonts w:ascii="宋体" w:hAnsi="宋体"/>
          <w:sz w:val="24"/>
        </w:rPr>
      </w:pPr>
      <w:r>
        <w:rPr>
          <w:rFonts w:hint="eastAsia" w:ascii="宋体" w:hAnsi="宋体"/>
          <w:sz w:val="24"/>
        </w:rPr>
        <w:t>40.9</w:t>
      </w:r>
      <w:r>
        <w:rPr>
          <w:rFonts w:ascii="宋体" w:hAnsi="宋体"/>
          <w:sz w:val="24"/>
        </w:rPr>
        <w:t>根据《关于促进残疾人就业政府采购政策的通知》（财库[201</w:t>
      </w:r>
      <w:r>
        <w:rPr>
          <w:rFonts w:hint="eastAsia" w:ascii="宋体" w:hAnsi="宋体"/>
          <w:sz w:val="24"/>
        </w:rPr>
        <w:t>7</w:t>
      </w:r>
      <w:r>
        <w:rPr>
          <w:rFonts w:ascii="宋体" w:hAnsi="宋体"/>
          <w:sz w:val="24"/>
        </w:rPr>
        <w:t>]141号）规定，在政府采购活动中，残疾人福利性单位视同小型、微型企业。残疾人福利性单位参加政府采购活动时，提供《残疾人福利性单位声明函》。</w:t>
      </w:r>
    </w:p>
    <w:p>
      <w:pPr>
        <w:adjustRightInd w:val="0"/>
        <w:snapToGrid w:val="0"/>
        <w:spacing w:line="360" w:lineRule="auto"/>
        <w:ind w:firstLine="480" w:firstLineChars="200"/>
        <w:rPr>
          <w:rFonts w:ascii="宋体" w:hAnsi="宋体"/>
          <w:sz w:val="24"/>
        </w:rPr>
      </w:pPr>
      <w:r>
        <w:rPr>
          <w:rFonts w:hint="eastAsia" w:ascii="宋体" w:hAnsi="宋体"/>
          <w:sz w:val="24"/>
        </w:rPr>
        <w:t>40.10按规定享受扶持政策获得政府采购合同的，小微企业不得将合同分包给大中型企业，中型企业不得将合同分包给大型企业。</w:t>
      </w:r>
    </w:p>
    <w:p>
      <w:pPr>
        <w:adjustRightInd w:val="0"/>
        <w:snapToGrid w:val="0"/>
        <w:spacing w:line="360" w:lineRule="auto"/>
        <w:ind w:firstLine="480" w:firstLineChars="200"/>
        <w:rPr>
          <w:rFonts w:ascii="宋体" w:hAnsi="宋体" w:cs="宋体"/>
          <w:sz w:val="24"/>
        </w:rPr>
      </w:pPr>
      <w:r>
        <w:rPr>
          <w:rFonts w:hint="eastAsia" w:ascii="宋体" w:hAnsi="宋体"/>
          <w:sz w:val="24"/>
        </w:rPr>
        <w:t>40.11投标人按照《政府采购促进中小企业发展管理办法》（财库﹝2020﹞46号）规定提供声明函内容不实的，属于提供虚假材料谋取中标、成交，依照《中华人民共和国政府采购法》等国家有关规定追究相应责任。</w:t>
      </w:r>
    </w:p>
    <w:p>
      <w:pPr>
        <w:pStyle w:val="4"/>
        <w:spacing w:line="560" w:lineRule="exact"/>
        <w:ind w:firstLine="0" w:firstLineChars="0"/>
        <w:rPr>
          <w:rFonts w:ascii="宋体" w:hAnsi="宋体" w:eastAsia="宋体"/>
        </w:rPr>
      </w:pPr>
      <w:bookmarkStart w:id="81" w:name="_Toc41577880"/>
      <w:bookmarkStart w:id="82" w:name="_Toc27030"/>
      <w:r>
        <w:rPr>
          <w:rFonts w:hint="eastAsia" w:ascii="宋体" w:hAnsi="宋体" w:eastAsia="宋体"/>
        </w:rPr>
        <w:t>十五  其他事项</w:t>
      </w:r>
      <w:bookmarkEnd w:id="72"/>
      <w:bookmarkEnd w:id="73"/>
      <w:bookmarkEnd w:id="74"/>
      <w:bookmarkEnd w:id="75"/>
      <w:bookmarkEnd w:id="76"/>
      <w:bookmarkEnd w:id="81"/>
      <w:bookmarkEnd w:id="82"/>
    </w:p>
    <w:p>
      <w:pPr>
        <w:spacing w:line="360" w:lineRule="auto"/>
        <w:ind w:firstLine="480" w:firstLineChars="200"/>
        <w:rPr>
          <w:rFonts w:ascii="宋体" w:hAnsi="宋体"/>
          <w:sz w:val="24"/>
        </w:rPr>
      </w:pPr>
      <w:r>
        <w:rPr>
          <w:rFonts w:hint="eastAsia" w:ascii="宋体" w:hAnsi="宋体"/>
          <w:bCs/>
          <w:sz w:val="24"/>
        </w:rPr>
        <w:t>41.</w:t>
      </w:r>
      <w:r>
        <w:rPr>
          <w:rFonts w:hint="eastAsia" w:ascii="宋体" w:hAnsi="宋体"/>
          <w:sz w:val="24"/>
        </w:rPr>
        <w:t xml:space="preserve">解释权 </w:t>
      </w:r>
    </w:p>
    <w:p>
      <w:pPr>
        <w:spacing w:line="360" w:lineRule="auto"/>
        <w:ind w:firstLine="480" w:firstLineChars="200"/>
        <w:rPr>
          <w:rFonts w:ascii="宋体" w:hAnsi="宋体"/>
          <w:bCs/>
          <w:sz w:val="24"/>
        </w:rPr>
      </w:pPr>
      <w:r>
        <w:rPr>
          <w:rFonts w:hint="eastAsia" w:ascii="宋体" w:hAnsi="宋体"/>
          <w:bCs/>
          <w:sz w:val="24"/>
        </w:rPr>
        <w:t>41.1本招标文件是根据国家有关法律、法规、规章和有关规定编制的,解释权属采购代理机构；</w:t>
      </w:r>
    </w:p>
    <w:p>
      <w:pPr>
        <w:spacing w:line="360" w:lineRule="auto"/>
        <w:ind w:firstLine="480" w:firstLineChars="200"/>
        <w:rPr>
          <w:rFonts w:ascii="宋体" w:hAnsi="宋体"/>
          <w:sz w:val="24"/>
        </w:rPr>
      </w:pPr>
      <w:r>
        <w:rPr>
          <w:rFonts w:hint="eastAsia" w:ascii="宋体" w:hAnsi="宋体"/>
          <w:bCs/>
          <w:sz w:val="24"/>
        </w:rPr>
        <w:t>41.2采购代理机构</w:t>
      </w:r>
      <w:r>
        <w:rPr>
          <w:rFonts w:hint="eastAsia" w:ascii="宋体" w:hAnsi="宋体"/>
          <w:sz w:val="24"/>
        </w:rPr>
        <w:t>对决标结果不负责解释。</w:t>
      </w:r>
    </w:p>
    <w:p>
      <w:pPr>
        <w:spacing w:line="360" w:lineRule="auto"/>
        <w:ind w:firstLine="482" w:firstLineChars="200"/>
        <w:rPr>
          <w:rFonts w:ascii="宋体" w:hAnsi="宋体"/>
          <w:b/>
          <w:bCs/>
          <w:sz w:val="24"/>
        </w:rPr>
      </w:pPr>
      <w:r>
        <w:rPr>
          <w:rFonts w:hint="eastAsia" w:ascii="宋体" w:hAnsi="宋体"/>
          <w:b/>
          <w:bCs/>
          <w:sz w:val="24"/>
        </w:rPr>
        <w:t>42.</w:t>
      </w:r>
      <w:r>
        <w:rPr>
          <w:rFonts w:hint="eastAsia" w:ascii="宋体" w:hAnsi="宋体"/>
          <w:b/>
          <w:sz w:val="24"/>
        </w:rPr>
        <w:t>采购代理服务费:</w:t>
      </w:r>
    </w:p>
    <w:p>
      <w:pPr>
        <w:spacing w:line="360" w:lineRule="auto"/>
        <w:ind w:firstLine="482" w:firstLineChars="200"/>
        <w:rPr>
          <w:rFonts w:ascii="宋体" w:hAnsi="宋体"/>
          <w:b/>
          <w:sz w:val="24"/>
        </w:rPr>
      </w:pPr>
      <w:r>
        <w:rPr>
          <w:rFonts w:hint="eastAsia" w:ascii="宋体" w:hAnsi="宋体"/>
          <w:b/>
          <w:sz w:val="24"/>
        </w:rPr>
        <w:t>由中标人支付代理服务费，</w:t>
      </w:r>
      <w:r>
        <w:rPr>
          <w:rFonts w:ascii="宋体" w:hAnsi="宋体"/>
          <w:b/>
          <w:sz w:val="24"/>
        </w:rPr>
        <w:t>费用</w:t>
      </w:r>
      <w:r>
        <w:rPr>
          <w:rFonts w:hint="eastAsia" w:ascii="宋体" w:hAnsi="宋体"/>
          <w:b/>
          <w:sz w:val="24"/>
        </w:rPr>
        <w:t>以中标总价的1.5%下浮25%计取（低于叁仟元按叁仟元收取），中标人在中标公告发布之日起5个工作日内向采购代理机构一次性付清。</w:t>
      </w:r>
    </w:p>
    <w:p>
      <w:pPr>
        <w:spacing w:line="360" w:lineRule="auto"/>
        <w:ind w:firstLine="482" w:firstLineChars="200"/>
        <w:rPr>
          <w:rFonts w:ascii="宋体" w:hAnsi="宋体"/>
          <w:b/>
          <w:sz w:val="24"/>
        </w:rPr>
      </w:pPr>
    </w:p>
    <w:p>
      <w:pPr>
        <w:pStyle w:val="2"/>
        <w:keepNext w:val="0"/>
        <w:ind w:firstLine="883"/>
        <w:rPr>
          <w:rFonts w:ascii="宋体" w:hAnsi="宋体" w:eastAsia="宋体"/>
        </w:rPr>
      </w:pPr>
      <w:r>
        <w:rPr>
          <w:rFonts w:ascii="宋体" w:hAnsi="宋体" w:eastAsia="宋体"/>
        </w:rPr>
        <w:br w:type="page"/>
      </w:r>
      <w:bookmarkStart w:id="83" w:name="_Toc61257428"/>
      <w:bookmarkStart w:id="84" w:name="_Toc7992"/>
      <w:r>
        <w:rPr>
          <w:rFonts w:hint="eastAsia" w:ascii="宋体" w:hAnsi="宋体" w:eastAsia="宋体"/>
        </w:rPr>
        <w:t>第三章 采购需求</w:t>
      </w:r>
      <w:bookmarkEnd w:id="83"/>
      <w:bookmarkEnd w:id="84"/>
    </w:p>
    <w:p>
      <w:pPr>
        <w:spacing w:line="360" w:lineRule="auto"/>
        <w:ind w:firstLine="480" w:firstLineChars="200"/>
        <w:rPr>
          <w:rFonts w:ascii="宋体" w:hAnsi="宋体"/>
          <w:sz w:val="24"/>
        </w:rPr>
      </w:pPr>
      <w:r>
        <w:rPr>
          <w:rFonts w:hint="eastAsia" w:ascii="宋体" w:hAnsi="宋体"/>
          <w:sz w:val="24"/>
        </w:rPr>
        <w:t>为了深入实施国家关于建设“数字中国”的战略部署，贯彻落实“数字浙江”建设思想，以莲都区碧湖新城为核心区域，依据丽水市的战略定位和政策导向，紧抓数字化发展机遇，全面推进碧湖新城数字化转型，促进信息资源的互联互通和高效利用，转变政府职能，提高行政效率和服务水平，推动莲都区实体经济与数字经济的深度融合及创新发展，努力营造便民、利民、惠民的智慧生活环境，打造宜居宜业的现代化新城。根据《莲都区</w:t>
      </w:r>
      <w:r>
        <w:rPr>
          <w:rFonts w:ascii="宋体" w:hAnsi="宋体"/>
          <w:sz w:val="24"/>
        </w:rPr>
        <w:t>2024 年政府工作报告》工作计划安排</w:t>
      </w:r>
      <w:r>
        <w:rPr>
          <w:rFonts w:hint="eastAsia" w:ascii="宋体" w:hAnsi="宋体"/>
          <w:sz w:val="24"/>
        </w:rPr>
        <w:t>，在前期深入调研和需求分析的基础上，现就碧湖新城智慧城市规划方案的编制工作进行如下阐述：</w:t>
      </w:r>
    </w:p>
    <w:p>
      <w:pPr>
        <w:pStyle w:val="4"/>
        <w:spacing w:before="0" w:after="0"/>
        <w:ind w:firstLine="643"/>
        <w:rPr>
          <w:rFonts w:ascii="宋体" w:hAnsi="宋体" w:eastAsia="宋体"/>
          <w:sz w:val="32"/>
        </w:rPr>
      </w:pPr>
      <w:bookmarkStart w:id="85" w:name="_Toc164628421"/>
      <w:bookmarkStart w:id="86" w:name="_Toc4076"/>
      <w:r>
        <w:rPr>
          <w:rFonts w:hint="eastAsia" w:ascii="宋体" w:hAnsi="宋体" w:eastAsia="宋体"/>
          <w:sz w:val="32"/>
        </w:rPr>
        <w:t>一、项目背景</w:t>
      </w:r>
      <w:bookmarkEnd w:id="85"/>
      <w:bookmarkEnd w:id="86"/>
    </w:p>
    <w:p>
      <w:pPr>
        <w:spacing w:line="360" w:lineRule="auto"/>
        <w:ind w:firstLine="482" w:firstLineChars="200"/>
        <w:rPr>
          <w:rFonts w:ascii="宋体" w:hAnsi="宋体"/>
          <w:b/>
          <w:sz w:val="24"/>
        </w:rPr>
      </w:pPr>
      <w:r>
        <w:rPr>
          <w:rFonts w:hint="eastAsia" w:ascii="宋体" w:hAnsi="宋体"/>
          <w:b/>
          <w:sz w:val="24"/>
        </w:rPr>
        <w:t>1</w:t>
      </w:r>
      <w:r>
        <w:rPr>
          <w:rFonts w:ascii="宋体" w:hAnsi="宋体"/>
          <w:b/>
          <w:sz w:val="24"/>
        </w:rPr>
        <w:t>.</w:t>
      </w:r>
      <w:r>
        <w:rPr>
          <w:rFonts w:hint="eastAsia" w:ascii="宋体" w:hAnsi="宋体"/>
          <w:b/>
          <w:sz w:val="24"/>
        </w:rPr>
        <w:t>碧湖新城发展背景</w:t>
      </w:r>
    </w:p>
    <w:p>
      <w:pPr>
        <w:spacing w:line="360" w:lineRule="auto"/>
        <w:ind w:firstLine="480" w:firstLineChars="200"/>
        <w:rPr>
          <w:rFonts w:ascii="宋体" w:hAnsi="宋体"/>
          <w:sz w:val="24"/>
        </w:rPr>
      </w:pPr>
      <w:r>
        <w:rPr>
          <w:rFonts w:hint="eastAsia" w:ascii="宋体" w:hAnsi="宋体"/>
          <w:sz w:val="24"/>
        </w:rPr>
        <w:t>碧湖新城是丽水市莲都区下辖的新兴城区。区位方面，是丽水“一脉三城”发展规划的重要组成部分，承载着丽水市未来发展的重要使命。面向新时期，碧湖新城积极融入长三角城市群和区域经济合作，致力于打造成为区域内的生态宜居、产业创新、文化繁荣的现代化新城。</w:t>
      </w:r>
    </w:p>
    <w:p>
      <w:pPr>
        <w:spacing w:line="360" w:lineRule="auto"/>
        <w:ind w:firstLine="480" w:firstLineChars="200"/>
        <w:rPr>
          <w:rFonts w:ascii="宋体" w:hAnsi="宋体"/>
          <w:sz w:val="24"/>
        </w:rPr>
      </w:pPr>
      <w:r>
        <w:rPr>
          <w:rFonts w:hint="eastAsia" w:ascii="宋体" w:hAnsi="宋体"/>
          <w:sz w:val="24"/>
        </w:rPr>
        <w:t>产业方面，碧湖新城秉承丽水市“一带三区”发展规划的战略目标，明确了以生态优先、产业兴城为核心战略定位。经过一系列的市场化改革和发展阶段，新城正在积极推进产业转型升级，着力发展数字经济、高端制造、生态旅游等新兴产业。这需要碧湖新城围绕“浙西南中心城市”的定位，做大城市经济总量，稳定产业结构，优化产业布局，提升产业质量，推动传统产业和新兴产业的高新化、智能化、集群化、绿色化发展，实现产业经济的质量、效率、动力变革，构建强大的产业支撑体系。</w:t>
      </w:r>
    </w:p>
    <w:p>
      <w:pPr>
        <w:spacing w:line="360" w:lineRule="auto"/>
        <w:ind w:firstLine="480" w:firstLineChars="200"/>
        <w:rPr>
          <w:rFonts w:ascii="宋体" w:hAnsi="宋体"/>
          <w:sz w:val="24"/>
        </w:rPr>
      </w:pPr>
      <w:r>
        <w:rPr>
          <w:rFonts w:hint="eastAsia" w:ascii="宋体" w:hAnsi="宋体"/>
          <w:sz w:val="24"/>
        </w:rPr>
        <w:t>同时，碧湖新城明确提出“打造浙西南未来产业高地，全面建成小康社会示范新城”的目标，这需要新城积极创新发展战略，成为浙江省内的改革先行区、绿色发展的样板、青年创业的向往之地。碧湖新城的发展目标同样要综合考虑新城人口结构的年轻化、多元化、知识化的特点，需要以人为本，紧紧把握各类人才和居民的需求，在全面实现小康社会的道路上打造具有碧湖特色的新城标杆。</w:t>
      </w:r>
    </w:p>
    <w:p>
      <w:pPr>
        <w:spacing w:line="360" w:lineRule="auto"/>
        <w:ind w:firstLine="480" w:firstLineChars="200"/>
        <w:rPr>
          <w:rFonts w:ascii="宋体" w:hAnsi="宋体"/>
          <w:sz w:val="24"/>
        </w:rPr>
      </w:pPr>
      <w:r>
        <w:rPr>
          <w:rFonts w:hint="eastAsia" w:ascii="宋体" w:hAnsi="宋体"/>
          <w:sz w:val="24"/>
        </w:rPr>
        <w:t>碧湖新城正以其独特的生态优势、产业活力和文化魅力，迅速崛起成为浙江省乃至长三角地区一颗璀璨的明珠，展现出无限的发展潜力和光明的未来前景。</w:t>
      </w:r>
    </w:p>
    <w:p>
      <w:pPr>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碧湖新城智慧城市建设和规划背景</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023</w:t>
      </w:r>
      <w:r>
        <w:rPr>
          <w:rFonts w:hint="eastAsia" w:ascii="宋体" w:hAnsi="宋体"/>
          <w:sz w:val="24"/>
        </w:rPr>
        <w:t>年，中共中央、国务院印发《数字中国建设整体布局规划》，数字中国建设有了里程碑意义的顶层设计和整体谋划，提供了明确的目标、路径和框架，推进数字技术与经济、政治、文化、社会、生态文明建设“五位一体”深度融合。碧湖新城有着未来城市的发展定位，承载着丽水未来发展的重要使命，以数字中国建设和“数字浙江”整体布局规划为指导，正积极拥抱数字化转型，计划全面推进智慧城市建设，不断提升城市治理现代化水平，为居民提供更加美好的生活环境，为企业创造更加优越的发展条件，为城市赢得更加广阔的发展空间，致力于打造一个数字化、绿色化、智能化交相辉映的现代化新城，成为区域内外人人向往的宜居之地。</w:t>
      </w:r>
    </w:p>
    <w:p>
      <w:pPr>
        <w:pStyle w:val="4"/>
        <w:spacing w:before="0" w:after="0"/>
        <w:ind w:firstLine="643"/>
        <w:rPr>
          <w:rFonts w:ascii="宋体" w:hAnsi="宋体" w:eastAsia="宋体"/>
          <w:sz w:val="32"/>
        </w:rPr>
      </w:pPr>
      <w:bookmarkStart w:id="87" w:name="_Toc164628422"/>
      <w:bookmarkStart w:id="88" w:name="_Toc26930"/>
      <w:r>
        <w:rPr>
          <w:rFonts w:hint="eastAsia" w:ascii="宋体" w:hAnsi="宋体" w:eastAsia="宋体"/>
          <w:sz w:val="32"/>
        </w:rPr>
        <w:t>二、项目意义</w:t>
      </w:r>
      <w:bookmarkEnd w:id="87"/>
      <w:bookmarkEnd w:id="88"/>
    </w:p>
    <w:p>
      <w:pPr>
        <w:spacing w:line="360" w:lineRule="auto"/>
        <w:ind w:firstLine="480" w:firstLineChars="200"/>
        <w:rPr>
          <w:rFonts w:ascii="宋体" w:hAnsi="宋体"/>
          <w:sz w:val="24"/>
        </w:rPr>
      </w:pPr>
      <w:r>
        <w:rPr>
          <w:rFonts w:hint="eastAsia" w:ascii="宋体" w:hAnsi="宋体"/>
          <w:sz w:val="24"/>
        </w:rPr>
        <w:t>智慧城市的规划和建设将持续助力碧湖的经济和社会发展，助力新城打造成为真正的“未来城市”。</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经济发展的加速器。数字碧湖建设为碧湖新城的经济发展注入了强大的动力，数字化平台的建立助力精准招商活动，为碧湖产业注入新鲜活力；数字化车间、未来工厂等数字化基础设施的完善进一步推动产业转型升级的活力，加速了经济的结构优化与高效增长。通过不断地优化投资环境、促进经济转型升级、助力培育新兴业态，数字碧湖建设将为新旧动能转换注入新动力。</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社会服务的优化器。数字碧湖建设将推动民生服务更加人性化和高效，围绕碧湖当前人口总量少、外来人口吸引力不足等特点，通过打造以人为本的高品质生活服务，提升公共服务配套设施的多元化、智能化便捷服务能力，满足人民日益增强的生活舒适需求、便捷需求，建成更加宜居、宜业的城市服务生态。</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城市管理的高效化。数字碧湖建设将为碧湖新城的城市管理带来革命性的改变，通过实时数据分析和智能决策，精准地掌握城市运行状态，有效应对交通、安全、环境等各类挑战，构建横纵互通、全面协同联动的高效管理模式。</w:t>
      </w:r>
    </w:p>
    <w:p>
      <w:pPr>
        <w:spacing w:line="360" w:lineRule="auto"/>
        <w:ind w:firstLine="480" w:firstLineChars="200"/>
        <w:rPr>
          <w:rFonts w:ascii="宋体" w:hAnsi="宋体"/>
          <w:b/>
          <w:sz w:val="24"/>
        </w:rPr>
      </w:pPr>
      <w:r>
        <w:rPr>
          <w:rFonts w:hint="eastAsia" w:ascii="宋体" w:hAnsi="宋体"/>
          <w:sz w:val="24"/>
        </w:rPr>
        <w:t>4</w:t>
      </w:r>
      <w:r>
        <w:rPr>
          <w:rFonts w:ascii="宋体" w:hAnsi="宋体"/>
          <w:sz w:val="24"/>
        </w:rPr>
        <w:t>.</w:t>
      </w:r>
      <w:r>
        <w:rPr>
          <w:rFonts w:hint="eastAsia" w:ascii="宋体" w:hAnsi="宋体"/>
          <w:sz w:val="24"/>
        </w:rPr>
        <w:t>生态环境的可持续。生态作为碧湖乃至丽水的城市名片，数字碧湖将以多元化的生态监测和保护为基底，保护自然资源与环境生态，推动绿色低碳的生产和生活方式，助力绿水青山转化为金山银山，不仅提升了城市的生态环境质量，也为新城的长远发展奠定了坚实的基础。</w:t>
      </w:r>
    </w:p>
    <w:p>
      <w:pPr>
        <w:pStyle w:val="4"/>
        <w:spacing w:before="0" w:after="0"/>
        <w:ind w:firstLine="643"/>
        <w:rPr>
          <w:rFonts w:ascii="宋体" w:hAnsi="宋体" w:eastAsia="宋体"/>
          <w:sz w:val="32"/>
        </w:rPr>
      </w:pPr>
      <w:bookmarkStart w:id="89" w:name="_Toc164628423"/>
      <w:bookmarkStart w:id="90" w:name="_Toc31406"/>
      <w:r>
        <w:rPr>
          <w:rFonts w:hint="eastAsia" w:ascii="宋体" w:hAnsi="宋体" w:eastAsia="宋体"/>
          <w:sz w:val="32"/>
        </w:rPr>
        <w:t>三、</w:t>
      </w:r>
      <w:bookmarkEnd w:id="89"/>
      <w:r>
        <w:rPr>
          <w:rFonts w:hint="eastAsia" w:ascii="宋体" w:hAnsi="宋体" w:eastAsia="宋体"/>
          <w:sz w:val="32"/>
        </w:rPr>
        <w:t>建设目标、原则及重点</w:t>
      </w:r>
      <w:bookmarkEnd w:id="90"/>
    </w:p>
    <w:p>
      <w:pPr>
        <w:spacing w:line="360" w:lineRule="auto"/>
        <w:ind w:firstLine="482" w:firstLineChars="200"/>
        <w:rPr>
          <w:rFonts w:ascii="宋体" w:hAnsi="宋体"/>
          <w:b/>
          <w:sz w:val="24"/>
        </w:rPr>
      </w:pPr>
      <w:r>
        <w:rPr>
          <w:rFonts w:hint="eastAsia" w:ascii="宋体" w:hAnsi="宋体"/>
          <w:b/>
          <w:sz w:val="24"/>
        </w:rPr>
        <w:t>1</w:t>
      </w:r>
      <w:r>
        <w:rPr>
          <w:rFonts w:ascii="宋体" w:hAnsi="宋体"/>
          <w:b/>
          <w:sz w:val="24"/>
        </w:rPr>
        <w:t>.</w:t>
      </w:r>
      <w:r>
        <w:rPr>
          <w:rFonts w:hint="eastAsia" w:ascii="宋体" w:hAnsi="宋体"/>
          <w:b/>
          <w:sz w:val="24"/>
        </w:rPr>
        <w:t>总体目标</w:t>
      </w:r>
    </w:p>
    <w:p>
      <w:pPr>
        <w:spacing w:line="360" w:lineRule="auto"/>
        <w:ind w:firstLine="480" w:firstLineChars="200"/>
        <w:rPr>
          <w:rFonts w:ascii="宋体" w:hAnsi="宋体"/>
          <w:sz w:val="24"/>
        </w:rPr>
      </w:pPr>
      <w:r>
        <w:rPr>
          <w:rFonts w:hint="eastAsia" w:ascii="宋体" w:hAnsi="宋体"/>
          <w:sz w:val="24"/>
        </w:rPr>
        <w:t>全面承接莲都区与碧湖区块十四五规划要求，从战略全局出发，提出数字碧湖建设发展定位，明确未来建设和发展所遵循的总体思路、指导思想和基本原则。从顶层设计与标准规范、基础设施建设、数据资源体系建设、应用支撑体系、运维保障体系等方面全面进行谋划。</w:t>
      </w:r>
    </w:p>
    <w:p>
      <w:pPr>
        <w:spacing w:line="360" w:lineRule="auto"/>
        <w:ind w:firstLine="482" w:firstLineChars="200"/>
        <w:rPr>
          <w:rFonts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规划原则</w:t>
      </w:r>
    </w:p>
    <w:p>
      <w:pPr>
        <w:spacing w:line="360" w:lineRule="auto"/>
        <w:ind w:firstLine="480" w:firstLineChars="200"/>
        <w:rPr>
          <w:rFonts w:ascii="宋体" w:hAnsi="宋体"/>
          <w:sz w:val="24"/>
        </w:rPr>
      </w:pPr>
      <w:r>
        <w:rPr>
          <w:rFonts w:hint="eastAsia" w:ascii="宋体" w:hAnsi="宋体"/>
          <w:sz w:val="24"/>
        </w:rPr>
        <w:t>（1）符合有关政策和标准要求</w:t>
      </w:r>
    </w:p>
    <w:p>
      <w:pPr>
        <w:spacing w:line="360" w:lineRule="auto"/>
        <w:ind w:firstLine="480" w:firstLineChars="200"/>
        <w:rPr>
          <w:rFonts w:ascii="宋体" w:hAnsi="宋体"/>
          <w:sz w:val="24"/>
        </w:rPr>
      </w:pPr>
      <w:r>
        <w:rPr>
          <w:rFonts w:hint="eastAsia" w:ascii="宋体" w:hAnsi="宋体"/>
          <w:sz w:val="24"/>
        </w:rPr>
        <w:t>规划编制应当依据国家、浙江省、丽水市、莲都区发布的系列文件，包括但不限于：</w:t>
      </w:r>
    </w:p>
    <w:p>
      <w:pPr>
        <w:spacing w:line="360" w:lineRule="auto"/>
        <w:ind w:firstLine="480" w:firstLineChars="200"/>
        <w:rPr>
          <w:rFonts w:ascii="宋体" w:hAnsi="宋体"/>
          <w:color w:val="auto"/>
          <w:sz w:val="24"/>
        </w:rPr>
      </w:pPr>
      <w:r>
        <w:rPr>
          <w:rFonts w:hint="eastAsia" w:ascii="宋体" w:hAnsi="宋体"/>
          <w:color w:val="auto"/>
          <w:sz w:val="24"/>
        </w:rPr>
        <w:t>《新型智慧城市评价指标》</w:t>
      </w:r>
      <w:r>
        <w:rPr>
          <w:rFonts w:ascii="宋体" w:hAnsi="宋体"/>
          <w:color w:val="auto"/>
          <w:sz w:val="24"/>
        </w:rPr>
        <w:t>GB/T 33356—20</w:t>
      </w:r>
      <w:r>
        <w:rPr>
          <w:rFonts w:hint="eastAsia" w:ascii="宋体" w:hAnsi="宋体"/>
          <w:color w:val="auto"/>
          <w:sz w:val="24"/>
        </w:rPr>
        <w:t>22</w:t>
      </w:r>
      <w:r>
        <w:rPr>
          <w:rFonts w:ascii="宋体" w:hAnsi="宋体"/>
          <w:color w:val="auto"/>
          <w:sz w:val="24"/>
        </w:rPr>
        <w:t>；</w:t>
      </w:r>
    </w:p>
    <w:p>
      <w:pPr>
        <w:spacing w:line="360" w:lineRule="auto"/>
        <w:ind w:firstLine="480" w:firstLineChars="200"/>
        <w:rPr>
          <w:rFonts w:ascii="宋体" w:hAnsi="宋体"/>
          <w:sz w:val="24"/>
        </w:rPr>
      </w:pPr>
      <w:r>
        <w:rPr>
          <w:rFonts w:hint="eastAsia" w:ascii="宋体" w:hAnsi="宋体"/>
          <w:sz w:val="24"/>
        </w:rPr>
        <w:t>《智慧城市顶层设计指南》</w:t>
      </w:r>
      <w:r>
        <w:rPr>
          <w:rFonts w:ascii="宋体" w:hAnsi="宋体"/>
          <w:sz w:val="24"/>
        </w:rPr>
        <w:t>GBT36333；</w:t>
      </w:r>
    </w:p>
    <w:p>
      <w:pPr>
        <w:spacing w:line="360" w:lineRule="auto"/>
        <w:ind w:firstLine="480" w:firstLineChars="200"/>
        <w:rPr>
          <w:rFonts w:ascii="宋体" w:hAnsi="宋体"/>
          <w:sz w:val="24"/>
        </w:rPr>
      </w:pPr>
      <w:r>
        <w:rPr>
          <w:rFonts w:hint="eastAsia" w:ascii="宋体" w:hAnsi="宋体"/>
          <w:sz w:val="24"/>
        </w:rPr>
        <w:t>《数字中国建设整体布局规划》；</w:t>
      </w:r>
    </w:p>
    <w:p>
      <w:pPr>
        <w:spacing w:line="360" w:lineRule="auto"/>
        <w:ind w:firstLine="480" w:firstLineChars="200"/>
        <w:rPr>
          <w:rFonts w:ascii="宋体" w:hAnsi="宋体"/>
          <w:sz w:val="24"/>
        </w:rPr>
      </w:pPr>
      <w:r>
        <w:rPr>
          <w:rFonts w:hint="eastAsia" w:ascii="宋体" w:hAnsi="宋体"/>
          <w:sz w:val="24"/>
        </w:rPr>
        <w:t>《浙江省数字政府建设“十四五”规划》；</w:t>
      </w:r>
    </w:p>
    <w:p>
      <w:pPr>
        <w:spacing w:line="360" w:lineRule="auto"/>
        <w:ind w:firstLine="480" w:firstLineChars="200"/>
        <w:rPr>
          <w:rFonts w:ascii="宋体" w:hAnsi="宋体"/>
          <w:sz w:val="24"/>
        </w:rPr>
      </w:pPr>
      <w:r>
        <w:rPr>
          <w:rFonts w:hint="eastAsia" w:ascii="宋体" w:hAnsi="宋体"/>
          <w:sz w:val="24"/>
        </w:rPr>
        <w:t>《关于深化数字政府建设的实施意见》；</w:t>
      </w:r>
    </w:p>
    <w:p>
      <w:pPr>
        <w:spacing w:line="360" w:lineRule="auto"/>
        <w:ind w:firstLine="480" w:firstLineChars="200"/>
        <w:rPr>
          <w:rFonts w:ascii="宋体" w:hAnsi="宋体"/>
          <w:sz w:val="24"/>
        </w:rPr>
      </w:pPr>
      <w:r>
        <w:rPr>
          <w:rFonts w:hint="eastAsia" w:ascii="宋体" w:hAnsi="宋体"/>
          <w:sz w:val="24"/>
        </w:rPr>
        <w:t>《丽水市国民经济和社会发展第十四个五年规划和二〇三五年远景目标纲要》；</w:t>
      </w:r>
    </w:p>
    <w:p>
      <w:pPr>
        <w:spacing w:line="360" w:lineRule="auto"/>
        <w:ind w:firstLine="480" w:firstLineChars="200"/>
        <w:rPr>
          <w:rFonts w:ascii="宋体" w:hAnsi="宋体"/>
          <w:sz w:val="24"/>
        </w:rPr>
      </w:pPr>
      <w:r>
        <w:rPr>
          <w:rFonts w:hint="eastAsia" w:ascii="宋体" w:hAnsi="宋体"/>
          <w:sz w:val="24"/>
        </w:rPr>
        <w:t>《丽水市“一带三区”发展规划》；</w:t>
      </w:r>
    </w:p>
    <w:p>
      <w:pPr>
        <w:spacing w:line="360" w:lineRule="auto"/>
        <w:ind w:firstLine="480" w:firstLineChars="200"/>
        <w:rPr>
          <w:rFonts w:ascii="宋体" w:hAnsi="宋体"/>
          <w:sz w:val="24"/>
        </w:rPr>
      </w:pPr>
      <w:r>
        <w:rPr>
          <w:rFonts w:hint="eastAsia" w:ascii="宋体" w:hAnsi="宋体"/>
          <w:sz w:val="24"/>
        </w:rPr>
        <w:t>《丽水市莲都区国民经济和社会发展第十四个五年规划和二〇三五年远景目标纲要》；</w:t>
      </w:r>
    </w:p>
    <w:p>
      <w:pPr>
        <w:spacing w:line="360" w:lineRule="auto"/>
        <w:ind w:firstLine="480" w:firstLineChars="200"/>
        <w:rPr>
          <w:rFonts w:ascii="宋体" w:hAnsi="宋体"/>
          <w:sz w:val="24"/>
        </w:rPr>
      </w:pPr>
      <w:r>
        <w:rPr>
          <w:rFonts w:hint="eastAsia" w:ascii="宋体" w:hAnsi="宋体"/>
          <w:sz w:val="24"/>
        </w:rPr>
        <w:t>《丽水市数字政府建设“十四五”规划》；</w:t>
      </w:r>
    </w:p>
    <w:p>
      <w:pPr>
        <w:spacing w:line="360" w:lineRule="auto"/>
        <w:ind w:firstLine="480" w:firstLineChars="200"/>
        <w:rPr>
          <w:rFonts w:ascii="宋体" w:hAnsi="宋体"/>
          <w:sz w:val="24"/>
        </w:rPr>
      </w:pPr>
      <w:r>
        <w:rPr>
          <w:rFonts w:hint="eastAsia" w:ascii="宋体" w:hAnsi="宋体"/>
          <w:sz w:val="24"/>
        </w:rPr>
        <w:t>《丽水市深化数字政府建设实施方案》；</w:t>
      </w:r>
    </w:p>
    <w:p>
      <w:pPr>
        <w:spacing w:line="360" w:lineRule="auto"/>
        <w:ind w:firstLine="480" w:firstLineChars="200"/>
        <w:rPr>
          <w:rFonts w:ascii="宋体" w:hAnsi="宋体"/>
          <w:sz w:val="24"/>
        </w:rPr>
      </w:pPr>
      <w:r>
        <w:rPr>
          <w:rFonts w:hint="eastAsia" w:ascii="宋体" w:hAnsi="宋体"/>
          <w:sz w:val="24"/>
        </w:rPr>
        <w:t>《丽水市莲都区数字政府建设“十四五”规划》。</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以人为本，便民惠民</w:t>
      </w:r>
    </w:p>
    <w:p>
      <w:pPr>
        <w:spacing w:line="360" w:lineRule="auto"/>
        <w:ind w:firstLine="480" w:firstLineChars="200"/>
        <w:rPr>
          <w:rFonts w:ascii="宋体" w:hAnsi="宋体"/>
          <w:sz w:val="24"/>
        </w:rPr>
      </w:pPr>
      <w:r>
        <w:rPr>
          <w:rFonts w:ascii="宋体" w:hAnsi="宋体"/>
          <w:sz w:val="24"/>
        </w:rPr>
        <w:t>梳理政府服务、城市管理、百姓生活</w:t>
      </w:r>
      <w:r>
        <w:rPr>
          <w:rFonts w:hint="eastAsia" w:ascii="宋体" w:hAnsi="宋体"/>
          <w:sz w:val="24"/>
        </w:rPr>
        <w:t>、</w:t>
      </w:r>
      <w:r>
        <w:rPr>
          <w:rFonts w:ascii="宋体" w:hAnsi="宋体"/>
          <w:sz w:val="24"/>
        </w:rPr>
        <w:t>经济发展</w:t>
      </w:r>
      <w:r>
        <w:rPr>
          <w:rFonts w:hint="eastAsia" w:ascii="宋体" w:hAnsi="宋体"/>
          <w:sz w:val="24"/>
        </w:rPr>
        <w:t>、生态文明</w:t>
      </w:r>
      <w:r>
        <w:rPr>
          <w:rFonts w:ascii="宋体" w:hAnsi="宋体"/>
          <w:sz w:val="24"/>
        </w:rPr>
        <w:t>等方面的重点需求，作为智慧城市建设的基础依据，先行开展各类智慧化应用。突出</w:t>
      </w:r>
      <w:r>
        <w:rPr>
          <w:rFonts w:hint="eastAsia" w:ascii="宋体" w:hAnsi="宋体"/>
          <w:sz w:val="24"/>
        </w:rPr>
        <w:t>急用先行、便民惠民，</w:t>
      </w:r>
      <w:r>
        <w:rPr>
          <w:rFonts w:ascii="宋体" w:hAnsi="宋体"/>
          <w:sz w:val="24"/>
        </w:rPr>
        <w:t>优先建设实施</w:t>
      </w:r>
      <w:r>
        <w:rPr>
          <w:rFonts w:hint="eastAsia" w:ascii="宋体" w:hAnsi="宋体"/>
          <w:sz w:val="24"/>
        </w:rPr>
        <w:t>当前迫切需要解决的、人民生活</w:t>
      </w:r>
      <w:r>
        <w:rPr>
          <w:rFonts w:ascii="宋体" w:hAnsi="宋体"/>
          <w:sz w:val="24"/>
        </w:rPr>
        <w:t>密切相关的项目。</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3）统筹推进，分步实施</w:t>
      </w:r>
    </w:p>
    <w:p>
      <w:pPr>
        <w:spacing w:line="360" w:lineRule="auto"/>
        <w:ind w:firstLine="480" w:firstLineChars="200"/>
        <w:rPr>
          <w:rFonts w:ascii="宋体" w:hAnsi="宋体"/>
          <w:sz w:val="24"/>
        </w:rPr>
      </w:pPr>
      <w:r>
        <w:rPr>
          <w:rFonts w:hint="eastAsia" w:ascii="宋体" w:hAnsi="宋体"/>
          <w:sz w:val="24"/>
        </w:rPr>
        <w:t>对数字碧湖建设进行统一的顶层规划设计，统筹各部门、各建设模块之间的衔接和匹配工作，进行集约建设。统筹安排，分步实施，通过迭代演进来促进数字碧湖建设的有序推进，积极做好涵盖各领域的规划方案，设计好规划实施路线图。同时，要确保技术开放留足余地，为后续项目实施充分预留好接口和通道。</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4）政府引导，市场驱动</w:t>
      </w:r>
    </w:p>
    <w:p>
      <w:pPr>
        <w:spacing w:line="360" w:lineRule="auto"/>
        <w:ind w:firstLine="480" w:firstLineChars="200"/>
        <w:rPr>
          <w:rFonts w:ascii="宋体" w:hAnsi="宋体"/>
          <w:sz w:val="24"/>
        </w:rPr>
      </w:pPr>
      <w:r>
        <w:rPr>
          <w:rFonts w:ascii="宋体" w:hAnsi="宋体"/>
          <w:sz w:val="24"/>
        </w:rPr>
        <w:t>充分发挥政府引导作用，强化政策法规、规范标准建设。深入探索</w:t>
      </w:r>
      <w:r>
        <w:rPr>
          <w:rFonts w:hint="eastAsia" w:ascii="宋体" w:hAnsi="宋体"/>
          <w:sz w:val="24"/>
        </w:rPr>
        <w:t>数字碧湖</w:t>
      </w:r>
      <w:r>
        <w:rPr>
          <w:rFonts w:ascii="宋体" w:hAnsi="宋体"/>
          <w:sz w:val="24"/>
        </w:rPr>
        <w:t>的发展路径、</w:t>
      </w:r>
      <w:r>
        <w:rPr>
          <w:rFonts w:hint="eastAsia" w:ascii="宋体" w:hAnsi="宋体"/>
          <w:sz w:val="24"/>
        </w:rPr>
        <w:t>投融资模式</w:t>
      </w:r>
      <w:r>
        <w:rPr>
          <w:rFonts w:ascii="宋体" w:hAnsi="宋体"/>
          <w:sz w:val="24"/>
        </w:rPr>
        <w:t>、</w:t>
      </w:r>
      <w:r>
        <w:rPr>
          <w:rFonts w:hint="eastAsia" w:ascii="宋体" w:hAnsi="宋体"/>
          <w:sz w:val="24"/>
        </w:rPr>
        <w:t>运营管理</w:t>
      </w:r>
      <w:r>
        <w:rPr>
          <w:rFonts w:ascii="宋体" w:hAnsi="宋体"/>
          <w:sz w:val="24"/>
        </w:rPr>
        <w:t>模式和</w:t>
      </w:r>
      <w:r>
        <w:rPr>
          <w:rFonts w:hint="eastAsia" w:ascii="宋体" w:hAnsi="宋体"/>
          <w:sz w:val="24"/>
        </w:rPr>
        <w:t>商业盈利模式</w:t>
      </w:r>
      <w:r>
        <w:rPr>
          <w:rFonts w:ascii="宋体" w:hAnsi="宋体"/>
          <w:sz w:val="24"/>
        </w:rPr>
        <w:t>，鼓励社会资本参与到城市信息化建设、投资和运营中，培育和发展新型应用业态，建立多元投融资机制，努力探索低成本、好成效、互利共赢的建设与运营模式。</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5）整合资源，开放共享</w:t>
      </w:r>
    </w:p>
    <w:p>
      <w:pPr>
        <w:spacing w:line="360" w:lineRule="auto"/>
        <w:ind w:firstLine="480" w:firstLineChars="200"/>
        <w:rPr>
          <w:rFonts w:ascii="宋体" w:hAnsi="宋体"/>
          <w:sz w:val="24"/>
        </w:rPr>
      </w:pPr>
      <w:r>
        <w:rPr>
          <w:rFonts w:hint="eastAsia" w:ascii="宋体" w:hAnsi="宋体"/>
          <w:sz w:val="24"/>
        </w:rPr>
        <w:t>充分整合、集成和利用好现有信息资源，建立健全数据存储、交换、共享和开放机制，加速实现基础设施互联互通、技术数据共建共享。各企事业单位对拥有自主产权、处置权或管辖权的硬件资产、场地和软件基础数据积极进行社会化、市场化共建，避免重复建设和资源浪费。</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6）创新应用，形成特色</w:t>
      </w:r>
    </w:p>
    <w:p>
      <w:pPr>
        <w:spacing w:line="360" w:lineRule="auto"/>
        <w:ind w:firstLine="480" w:firstLineChars="200"/>
        <w:rPr>
          <w:rFonts w:ascii="宋体" w:hAnsi="宋体"/>
          <w:sz w:val="24"/>
        </w:rPr>
      </w:pPr>
      <w:r>
        <w:rPr>
          <w:rFonts w:hint="eastAsia" w:ascii="宋体" w:hAnsi="宋体"/>
          <w:sz w:val="24"/>
        </w:rPr>
        <w:t>积极鼓励技术、模式、业态和制度方面的创新，探索数据价值化的实现。聚焦碧湖特色产业生态、资源能力、发展痛点打造标杆性、适应性特色应用，形成数字碧湖建设与经济社会各领域的双向融合与促进，形成良性互动发展格局。</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7）科学规范，保障安全</w:t>
      </w:r>
    </w:p>
    <w:p>
      <w:pPr>
        <w:spacing w:line="360" w:lineRule="auto"/>
        <w:ind w:firstLine="480" w:firstLineChars="200"/>
        <w:rPr>
          <w:rFonts w:ascii="宋体" w:hAnsi="宋体"/>
          <w:sz w:val="24"/>
        </w:rPr>
      </w:pPr>
      <w:r>
        <w:rPr>
          <w:rFonts w:ascii="宋体" w:hAnsi="宋体"/>
          <w:sz w:val="24"/>
        </w:rPr>
        <w:t>坚持信息技术发展与安全并重，加强信息安全</w:t>
      </w:r>
      <w:r>
        <w:rPr>
          <w:rFonts w:hint="eastAsia" w:ascii="宋体" w:hAnsi="宋体"/>
          <w:sz w:val="24"/>
        </w:rPr>
        <w:t>保障</w:t>
      </w:r>
      <w:r>
        <w:rPr>
          <w:rFonts w:ascii="宋体" w:hAnsi="宋体"/>
          <w:sz w:val="24"/>
        </w:rPr>
        <w:t>，建立健全科学规范的安全标准体系，落实信息安全责任制。加大依法管理和信息保护</w:t>
      </w:r>
      <w:r>
        <w:rPr>
          <w:rFonts w:hint="eastAsia" w:ascii="宋体" w:hAnsi="宋体"/>
          <w:sz w:val="24"/>
        </w:rPr>
        <w:t>力</w:t>
      </w:r>
      <w:r>
        <w:rPr>
          <w:rFonts w:ascii="宋体" w:hAnsi="宋体"/>
          <w:sz w:val="24"/>
        </w:rPr>
        <w:t>度，积极防御，全面防范，确保网络和信息安全可控。将安全工作贯彻</w:t>
      </w:r>
      <w:r>
        <w:rPr>
          <w:rFonts w:hint="eastAsia" w:ascii="宋体" w:hAnsi="宋体"/>
          <w:sz w:val="24"/>
        </w:rPr>
        <w:t>数字碧湖</w:t>
      </w:r>
      <w:r>
        <w:rPr>
          <w:rFonts w:ascii="宋体" w:hAnsi="宋体"/>
          <w:sz w:val="24"/>
        </w:rPr>
        <w:t>的始末，按照“谁主管谁负责，谁运行谁负责”的原则，大力提升安全保障</w:t>
      </w:r>
      <w:r>
        <w:rPr>
          <w:rFonts w:hint="eastAsia" w:ascii="宋体" w:hAnsi="宋体"/>
          <w:sz w:val="24"/>
        </w:rPr>
        <w:t>力</w:t>
      </w:r>
      <w:r>
        <w:rPr>
          <w:rFonts w:ascii="宋体" w:hAnsi="宋体"/>
          <w:sz w:val="24"/>
        </w:rPr>
        <w:t>度，形成与发展水平相适应的信息安全保障体系。</w:t>
      </w:r>
    </w:p>
    <w:p>
      <w:pPr>
        <w:spacing w:line="360" w:lineRule="auto"/>
        <w:ind w:firstLine="482" w:firstLineChars="200"/>
        <w:rPr>
          <w:rFonts w:ascii="宋体" w:hAnsi="宋体"/>
          <w:b/>
          <w:sz w:val="24"/>
        </w:rPr>
      </w:pPr>
      <w:r>
        <w:rPr>
          <w:rFonts w:hint="eastAsia" w:ascii="宋体" w:hAnsi="宋体"/>
          <w:b/>
          <w:sz w:val="24"/>
        </w:rPr>
        <w:t>3.建设重点</w:t>
      </w:r>
    </w:p>
    <w:p>
      <w:pPr>
        <w:spacing w:line="360" w:lineRule="auto"/>
        <w:ind w:firstLine="480" w:firstLineChars="200"/>
        <w:rPr>
          <w:rFonts w:ascii="宋体" w:hAnsi="宋体"/>
          <w:sz w:val="24"/>
        </w:rPr>
      </w:pPr>
      <w:r>
        <w:rPr>
          <w:rFonts w:hint="eastAsia" w:ascii="宋体" w:hAnsi="宋体"/>
          <w:sz w:val="24"/>
        </w:rPr>
        <w:t>基于莲都区与碧湖新城信息化建设现状，结合经济社会发展总体要求和相关规划，聚焦以下建设重点：</w:t>
      </w:r>
    </w:p>
    <w:p>
      <w:pPr>
        <w:spacing w:line="360" w:lineRule="auto"/>
        <w:ind w:firstLine="480" w:firstLineChars="200"/>
        <w:rPr>
          <w:rFonts w:ascii="宋体" w:hAnsi="宋体"/>
          <w:sz w:val="24"/>
        </w:rPr>
      </w:pPr>
      <w:r>
        <w:rPr>
          <w:rFonts w:hint="eastAsia" w:ascii="宋体" w:hAnsi="宋体"/>
          <w:sz w:val="24"/>
        </w:rPr>
        <w:t>（1）善政</w:t>
      </w:r>
    </w:p>
    <w:p>
      <w:pPr>
        <w:spacing w:line="360" w:lineRule="auto"/>
        <w:ind w:firstLine="480" w:firstLineChars="200"/>
        <w:rPr>
          <w:rFonts w:ascii="宋体" w:hAnsi="宋体"/>
          <w:sz w:val="24"/>
        </w:rPr>
      </w:pPr>
      <w:r>
        <w:rPr>
          <w:rFonts w:hint="eastAsia" w:ascii="宋体" w:hAnsi="宋体"/>
          <w:sz w:val="24"/>
        </w:rPr>
        <w:t>推进政府治理精准化，全面升级营商环境，改善空间布局，提升精细管理。充分利用互联网、物联网、大数据和云计算等技术，统筹推进，注重实效，分级别、分类型建设数字碧湖。依托丽水市花园云、一体化智能化公共数据平台等建设成果，围绕城市精细化管理、综合一体化执法等相关业务场景，为企业、政府、群众三大群体提供相关应用。进一步放大数据价值，形成智能辅助决策城市治理新模式。</w:t>
      </w:r>
    </w:p>
    <w:p>
      <w:pPr>
        <w:spacing w:line="360" w:lineRule="auto"/>
        <w:ind w:firstLine="480" w:firstLineChars="200"/>
        <w:rPr>
          <w:rFonts w:ascii="宋体" w:hAnsi="宋体"/>
          <w:sz w:val="24"/>
        </w:rPr>
      </w:pPr>
      <w:r>
        <w:rPr>
          <w:rFonts w:hint="eastAsia" w:ascii="宋体" w:hAnsi="宋体"/>
          <w:sz w:val="24"/>
        </w:rPr>
        <w:t>（2）兴业</w:t>
      </w:r>
    </w:p>
    <w:p>
      <w:pPr>
        <w:spacing w:line="360" w:lineRule="auto"/>
        <w:ind w:firstLine="480" w:firstLineChars="200"/>
        <w:rPr>
          <w:rFonts w:ascii="宋体" w:hAnsi="宋体"/>
          <w:sz w:val="24"/>
        </w:rPr>
      </w:pPr>
      <w:r>
        <w:rPr>
          <w:rFonts w:hint="eastAsia" w:ascii="宋体" w:hAnsi="宋体"/>
          <w:sz w:val="24"/>
        </w:rPr>
        <w:t>以数字化推动产业的引育、壮大与升级，聚焦碧湖新能源、半导体、生命健康、数字经济四大生态工业的发展，以精准招商、智慧园区、产业大脑等多元化的数字服务手段，助力产业集聚化、规模化发展，以数字车间、未来工厂等数字赋能创新推动产业结构升级。</w:t>
      </w:r>
    </w:p>
    <w:p>
      <w:pPr>
        <w:spacing w:line="360" w:lineRule="auto"/>
        <w:ind w:firstLine="480" w:firstLineChars="200"/>
        <w:rPr>
          <w:rFonts w:ascii="宋体" w:hAnsi="宋体"/>
          <w:sz w:val="24"/>
        </w:rPr>
      </w:pPr>
      <w:r>
        <w:rPr>
          <w:rFonts w:hint="eastAsia" w:ascii="宋体" w:hAnsi="宋体"/>
          <w:sz w:val="24"/>
        </w:rPr>
        <w:t>（3）惠民</w:t>
      </w:r>
    </w:p>
    <w:p>
      <w:pPr>
        <w:spacing w:line="360" w:lineRule="auto"/>
        <w:ind w:firstLine="480" w:firstLineChars="200"/>
        <w:rPr>
          <w:rFonts w:ascii="宋体" w:hAnsi="宋体"/>
          <w:sz w:val="24"/>
        </w:rPr>
      </w:pPr>
      <w:r>
        <w:rPr>
          <w:rFonts w:hint="eastAsia" w:ascii="宋体" w:hAnsi="宋体"/>
          <w:sz w:val="24"/>
        </w:rPr>
        <w:t>打造生态宜居未来城，提供普惠生活服务，打造对人才有吸引力的环境配套。以人民为中心，聚焦个人出生、教育、就业、住房、养老、就医、救助的全生命周期场景，不断提升数字化服务能力；打造未来社区建设标杆，实现涵盖教育、医疗、交通在内的全面数字化服务体系，形成具有高辨识度的城市新单元。致力将碧湖打造成为新一代未来生活示范区，人民生活的获得感、满足感和幸福感获得极大提升。</w:t>
      </w:r>
    </w:p>
    <w:p>
      <w:pPr>
        <w:pStyle w:val="4"/>
        <w:spacing w:before="0" w:after="0"/>
        <w:ind w:firstLine="643"/>
        <w:rPr>
          <w:rFonts w:ascii="宋体" w:hAnsi="宋体" w:eastAsia="宋体"/>
          <w:sz w:val="32"/>
        </w:rPr>
      </w:pPr>
      <w:bookmarkStart w:id="91" w:name="_Toc164628424"/>
      <w:bookmarkStart w:id="92" w:name="_Toc20485"/>
      <w:r>
        <w:rPr>
          <w:rFonts w:hint="eastAsia" w:ascii="宋体" w:hAnsi="宋体" w:eastAsia="宋体"/>
          <w:sz w:val="32"/>
        </w:rPr>
        <w:t>四、成果编制要求</w:t>
      </w:r>
      <w:bookmarkEnd w:id="91"/>
      <w:bookmarkEnd w:id="92"/>
    </w:p>
    <w:p>
      <w:pPr>
        <w:spacing w:line="360" w:lineRule="auto"/>
        <w:ind w:firstLine="480" w:firstLineChars="200"/>
        <w:rPr>
          <w:rFonts w:ascii="宋体" w:hAnsi="宋体"/>
          <w:sz w:val="24"/>
        </w:rPr>
      </w:pPr>
      <w:r>
        <w:rPr>
          <w:rFonts w:hint="eastAsia" w:ascii="宋体" w:hAnsi="宋体"/>
          <w:sz w:val="24"/>
        </w:rPr>
        <w:t>本次编制工作需做好以下工作：</w:t>
      </w:r>
    </w:p>
    <w:p>
      <w:pPr>
        <w:spacing w:line="360" w:lineRule="auto"/>
        <w:ind w:firstLine="480" w:firstLineChars="200"/>
        <w:rPr>
          <w:rFonts w:ascii="宋体" w:hAnsi="宋体"/>
          <w:sz w:val="24"/>
        </w:rPr>
      </w:pPr>
      <w:r>
        <w:rPr>
          <w:rFonts w:ascii="宋体" w:hAnsi="宋体"/>
          <w:sz w:val="24"/>
        </w:rPr>
        <w:t>1.对</w:t>
      </w:r>
      <w:r>
        <w:rPr>
          <w:rFonts w:hint="eastAsia" w:ascii="宋体" w:hAnsi="宋体"/>
          <w:sz w:val="24"/>
        </w:rPr>
        <w:t>碧湖新城</w:t>
      </w:r>
      <w:r>
        <w:rPr>
          <w:rFonts w:ascii="宋体" w:hAnsi="宋体"/>
          <w:sz w:val="24"/>
        </w:rPr>
        <w:t>社会经济发展、</w:t>
      </w:r>
      <w:r>
        <w:rPr>
          <w:rFonts w:hint="eastAsia" w:ascii="宋体" w:hAnsi="宋体"/>
          <w:sz w:val="24"/>
        </w:rPr>
        <w:t>数字</w:t>
      </w:r>
      <w:r>
        <w:rPr>
          <w:rFonts w:ascii="宋体" w:hAnsi="宋体"/>
          <w:sz w:val="24"/>
        </w:rPr>
        <w:t>基础设施、信息化发展环境建设等现状进行</w:t>
      </w:r>
      <w:r>
        <w:rPr>
          <w:rFonts w:hint="eastAsia" w:ascii="宋体" w:hAnsi="宋体"/>
          <w:sz w:val="24"/>
        </w:rPr>
        <w:t>充分调研。</w:t>
      </w:r>
      <w:r>
        <w:rPr>
          <w:rFonts w:ascii="宋体" w:hAnsi="宋体"/>
          <w:sz w:val="24"/>
        </w:rPr>
        <w:t>立足国内外智慧城市发展</w:t>
      </w:r>
      <w:r>
        <w:rPr>
          <w:rFonts w:hint="eastAsia" w:ascii="宋体" w:hAnsi="宋体"/>
          <w:sz w:val="24"/>
        </w:rPr>
        <w:t>最新</w:t>
      </w:r>
      <w:r>
        <w:rPr>
          <w:rFonts w:ascii="宋体" w:hAnsi="宋体"/>
          <w:sz w:val="24"/>
        </w:rPr>
        <w:t>趋势，结合</w:t>
      </w:r>
      <w:r>
        <w:rPr>
          <w:rFonts w:hint="eastAsia" w:ascii="宋体" w:hAnsi="宋体"/>
          <w:sz w:val="24"/>
        </w:rPr>
        <w:t>碧湖</w:t>
      </w:r>
      <w:r>
        <w:rPr>
          <w:rFonts w:ascii="宋体" w:hAnsi="宋体"/>
          <w:sz w:val="24"/>
        </w:rPr>
        <w:t>发展现状和需求，编制</w:t>
      </w:r>
      <w:r>
        <w:rPr>
          <w:rFonts w:ascii="宋体" w:hAnsi="宋体"/>
          <w:b/>
          <w:sz w:val="24"/>
        </w:rPr>
        <w:t>《</w:t>
      </w:r>
      <w:r>
        <w:rPr>
          <w:rFonts w:hint="eastAsia" w:ascii="宋体" w:hAnsi="宋体"/>
          <w:b/>
          <w:sz w:val="24"/>
        </w:rPr>
        <w:t>碧湖新城智慧城市总体规划方案》</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b/>
          <w:sz w:val="24"/>
        </w:rPr>
        <w:t>在《碧湖新城智慧城市总体规划方案》</w:t>
      </w:r>
      <w:r>
        <w:rPr>
          <w:rFonts w:hint="eastAsia" w:ascii="宋体" w:hAnsi="宋体"/>
          <w:sz w:val="24"/>
        </w:rPr>
        <w:t>基础上，编制</w:t>
      </w:r>
      <w:r>
        <w:rPr>
          <w:rFonts w:hint="eastAsia" w:ascii="宋体" w:hAnsi="宋体"/>
          <w:b/>
          <w:sz w:val="24"/>
        </w:rPr>
        <w:t>《碧湖新城智慧城市重点项目建设清单》</w:t>
      </w:r>
      <w:r>
        <w:rPr>
          <w:rFonts w:hint="eastAsia" w:ascii="宋体" w:hAnsi="宋体"/>
          <w:sz w:val="24"/>
        </w:rPr>
        <w:t>，清单内容包括但不限于：</w:t>
      </w:r>
    </w:p>
    <w:p>
      <w:pPr>
        <w:spacing w:line="360" w:lineRule="auto"/>
        <w:ind w:firstLine="480" w:firstLineChars="200"/>
        <w:rPr>
          <w:rFonts w:ascii="宋体" w:hAnsi="宋体"/>
          <w:color w:val="auto"/>
          <w:sz w:val="24"/>
        </w:rPr>
      </w:pPr>
      <w:r>
        <w:rPr>
          <w:rFonts w:hint="eastAsia" w:ascii="宋体" w:hAnsi="宋体"/>
          <w:color w:val="auto"/>
          <w:sz w:val="24"/>
        </w:rPr>
        <w:t>（1）全面涵盖数字碧湖各领域重点建设项目，项目不少于20个；</w:t>
      </w:r>
    </w:p>
    <w:p>
      <w:pPr>
        <w:spacing w:line="360" w:lineRule="auto"/>
        <w:ind w:firstLine="480" w:firstLineChars="200"/>
        <w:rPr>
          <w:rFonts w:ascii="宋体" w:hAnsi="宋体"/>
          <w:color w:val="auto"/>
          <w:sz w:val="24"/>
        </w:rPr>
      </w:pPr>
      <w:r>
        <w:rPr>
          <w:rFonts w:hint="eastAsia" w:ascii="宋体" w:hAnsi="宋体"/>
          <w:color w:val="auto"/>
          <w:sz w:val="24"/>
        </w:rPr>
        <w:t>（2）各领域重点建设项目逐一详细阐述细化方案，包括但不限于建设内容、建设范围、项目建设年度与周期、投资金额概算、建设运营主体等。</w:t>
      </w:r>
    </w:p>
    <w:p>
      <w:pPr>
        <w:pStyle w:val="4"/>
        <w:spacing w:before="0" w:after="0"/>
        <w:ind w:firstLine="643"/>
        <w:rPr>
          <w:rFonts w:ascii="宋体" w:hAnsi="宋体" w:eastAsia="宋体"/>
          <w:sz w:val="32"/>
        </w:rPr>
      </w:pPr>
      <w:bookmarkStart w:id="93" w:name="_Toc164628425"/>
      <w:bookmarkStart w:id="94" w:name="_Toc19857"/>
      <w:r>
        <w:rPr>
          <w:rFonts w:hint="eastAsia" w:ascii="宋体" w:hAnsi="宋体" w:eastAsia="宋体"/>
          <w:sz w:val="32"/>
        </w:rPr>
        <w:t>五、</w:t>
      </w:r>
      <w:bookmarkEnd w:id="93"/>
      <w:r>
        <w:rPr>
          <w:rFonts w:hint="eastAsia" w:ascii="宋体" w:hAnsi="宋体" w:eastAsia="宋体"/>
          <w:sz w:val="32"/>
        </w:rPr>
        <w:t>规划成果参考要求</w:t>
      </w:r>
      <w:bookmarkEnd w:id="94"/>
    </w:p>
    <w:p>
      <w:pPr>
        <w:spacing w:line="360" w:lineRule="auto"/>
        <w:ind w:firstLine="482" w:firstLineChars="200"/>
        <w:rPr>
          <w:rFonts w:ascii="宋体" w:hAnsi="宋体"/>
          <w:b/>
          <w:sz w:val="24"/>
        </w:rPr>
      </w:pPr>
      <w:r>
        <w:rPr>
          <w:rFonts w:hint="eastAsia" w:ascii="宋体" w:hAnsi="宋体"/>
          <w:b/>
          <w:sz w:val="24"/>
        </w:rPr>
        <w:t>《碧湖新城智慧城市总体规划方案》</w:t>
      </w:r>
    </w:p>
    <w:p>
      <w:pPr>
        <w:spacing w:line="360" w:lineRule="auto"/>
        <w:ind w:firstLine="480" w:firstLineChars="200"/>
        <w:rPr>
          <w:rFonts w:ascii="宋体" w:hAnsi="宋体"/>
          <w:sz w:val="24"/>
        </w:rPr>
      </w:pPr>
      <w:r>
        <w:rPr>
          <w:rFonts w:hint="eastAsia" w:ascii="宋体" w:hAnsi="宋体"/>
          <w:sz w:val="24"/>
        </w:rPr>
        <w:t>按照国家、部委智慧城市建设和设计的标准和规范，编制碧湖新城智慧城市规划方案。具体要求（包括但不限于）如下：</w:t>
      </w:r>
    </w:p>
    <w:p>
      <w:pPr>
        <w:spacing w:line="360" w:lineRule="auto"/>
        <w:ind w:firstLine="482" w:firstLineChars="200"/>
        <w:rPr>
          <w:rFonts w:ascii="宋体" w:hAnsi="宋体"/>
          <w:b/>
          <w:sz w:val="24"/>
        </w:rPr>
      </w:pPr>
      <w:r>
        <w:rPr>
          <w:rFonts w:hint="eastAsia" w:ascii="宋体" w:hAnsi="宋体"/>
          <w:b/>
          <w:sz w:val="24"/>
        </w:rPr>
        <w:t>（一）规划背景</w:t>
      </w:r>
    </w:p>
    <w:p>
      <w:pPr>
        <w:spacing w:line="360" w:lineRule="auto"/>
        <w:ind w:firstLine="480" w:firstLineChars="200"/>
        <w:rPr>
          <w:rFonts w:ascii="宋体" w:hAnsi="宋体"/>
          <w:sz w:val="24"/>
        </w:rPr>
      </w:pPr>
      <w:r>
        <w:rPr>
          <w:rFonts w:hint="eastAsia" w:ascii="宋体" w:hAnsi="宋体"/>
          <w:sz w:val="24"/>
        </w:rPr>
        <w:t>包括国内、尤其是省内其它城市发展的现状、规划编制的具体背景、目的、意义、范围、依据、原则等。</w:t>
      </w:r>
    </w:p>
    <w:p>
      <w:pPr>
        <w:spacing w:line="360" w:lineRule="auto"/>
        <w:ind w:firstLine="482" w:firstLineChars="200"/>
        <w:rPr>
          <w:rFonts w:ascii="宋体" w:hAnsi="宋体"/>
          <w:b/>
          <w:sz w:val="24"/>
        </w:rPr>
      </w:pPr>
      <w:r>
        <w:rPr>
          <w:rFonts w:hint="eastAsia" w:ascii="宋体" w:hAnsi="宋体"/>
          <w:b/>
          <w:sz w:val="24"/>
        </w:rPr>
        <w:t>（二）现状分析</w:t>
      </w:r>
    </w:p>
    <w:p>
      <w:pPr>
        <w:spacing w:line="360" w:lineRule="auto"/>
        <w:ind w:firstLine="480" w:firstLineChars="200"/>
        <w:rPr>
          <w:rFonts w:ascii="宋体" w:hAnsi="宋体"/>
          <w:sz w:val="24"/>
        </w:rPr>
      </w:pPr>
      <w:r>
        <w:rPr>
          <w:rFonts w:hint="eastAsia" w:ascii="宋体" w:hAnsi="宋体"/>
          <w:sz w:val="24"/>
        </w:rPr>
        <w:t>聚焦碧湖在信息化基础设施、数据资源体系、应用建设体系等方面进行现状调研，并对当前的信息化建设现状进行合理评价，包括不限于：</w:t>
      </w:r>
    </w:p>
    <w:p>
      <w:pPr>
        <w:pStyle w:val="133"/>
        <w:numPr>
          <w:ilvl w:val="0"/>
          <w:numId w:val="2"/>
        </w:numPr>
        <w:spacing w:line="360" w:lineRule="auto"/>
        <w:ind w:firstLineChars="0"/>
        <w:rPr>
          <w:rFonts w:ascii="宋体" w:hAnsi="宋体"/>
          <w:sz w:val="24"/>
          <w:szCs w:val="24"/>
        </w:rPr>
      </w:pPr>
      <w:r>
        <w:rPr>
          <w:rFonts w:hint="eastAsia" w:ascii="宋体" w:hAnsi="宋体"/>
          <w:sz w:val="24"/>
          <w:szCs w:val="24"/>
        </w:rPr>
        <w:t>碧湖新城各部门信息化专业人员配备情况；</w:t>
      </w:r>
    </w:p>
    <w:p>
      <w:pPr>
        <w:pStyle w:val="133"/>
        <w:numPr>
          <w:ilvl w:val="0"/>
          <w:numId w:val="2"/>
        </w:numPr>
        <w:spacing w:line="360" w:lineRule="auto"/>
        <w:ind w:firstLineChars="0"/>
        <w:rPr>
          <w:rFonts w:ascii="宋体" w:hAnsi="宋体"/>
          <w:sz w:val="24"/>
          <w:szCs w:val="24"/>
        </w:rPr>
      </w:pPr>
      <w:r>
        <w:rPr>
          <w:rFonts w:hint="eastAsia" w:ascii="宋体" w:hAnsi="宋体"/>
          <w:sz w:val="24"/>
          <w:szCs w:val="24"/>
        </w:rPr>
        <w:t>碧湖新城各部门数据资产、数据需求、软硬件配置情况；</w:t>
      </w:r>
    </w:p>
    <w:p>
      <w:pPr>
        <w:pStyle w:val="133"/>
        <w:numPr>
          <w:ilvl w:val="0"/>
          <w:numId w:val="2"/>
        </w:numPr>
        <w:spacing w:line="360" w:lineRule="auto"/>
        <w:ind w:firstLineChars="0"/>
        <w:rPr>
          <w:rFonts w:ascii="宋体" w:hAnsi="宋体"/>
          <w:sz w:val="24"/>
          <w:szCs w:val="24"/>
        </w:rPr>
      </w:pPr>
      <w:r>
        <w:rPr>
          <w:rFonts w:hint="eastAsia" w:ascii="宋体" w:hAnsi="宋体"/>
          <w:sz w:val="24"/>
          <w:szCs w:val="24"/>
        </w:rPr>
        <w:t>各部门现有的国家、省、市、区信息化应用系统建设情况，业务能力覆盖情况，未来建设需求；</w:t>
      </w:r>
    </w:p>
    <w:p>
      <w:pPr>
        <w:pStyle w:val="133"/>
        <w:numPr>
          <w:ilvl w:val="0"/>
          <w:numId w:val="2"/>
        </w:numPr>
        <w:spacing w:line="360" w:lineRule="auto"/>
        <w:ind w:firstLineChars="0"/>
        <w:rPr>
          <w:rFonts w:ascii="宋体" w:hAnsi="宋体"/>
          <w:sz w:val="24"/>
          <w:szCs w:val="24"/>
        </w:rPr>
      </w:pPr>
      <w:r>
        <w:rPr>
          <w:rFonts w:hint="eastAsia" w:ascii="宋体" w:hAnsi="宋体"/>
          <w:sz w:val="24"/>
          <w:szCs w:val="24"/>
        </w:rPr>
        <w:t>全区信息化基础设施建设现状。</w:t>
      </w:r>
    </w:p>
    <w:p>
      <w:pPr>
        <w:spacing w:line="360" w:lineRule="auto"/>
        <w:ind w:left="480" w:firstLine="482"/>
        <w:rPr>
          <w:rFonts w:ascii="宋体" w:hAnsi="宋体"/>
          <w:b/>
          <w:sz w:val="24"/>
        </w:rPr>
      </w:pPr>
      <w:r>
        <w:rPr>
          <w:rFonts w:hint="eastAsia" w:ascii="宋体" w:hAnsi="宋体"/>
          <w:b/>
          <w:sz w:val="24"/>
        </w:rPr>
        <w:t>（三）建设思路</w:t>
      </w:r>
    </w:p>
    <w:p>
      <w:pPr>
        <w:spacing w:line="360" w:lineRule="auto"/>
        <w:ind w:firstLine="480" w:firstLineChars="200"/>
        <w:rPr>
          <w:rFonts w:ascii="宋体" w:hAnsi="宋体"/>
          <w:sz w:val="24"/>
        </w:rPr>
      </w:pPr>
      <w:r>
        <w:rPr>
          <w:rFonts w:hint="eastAsia" w:ascii="宋体" w:hAnsi="宋体"/>
          <w:sz w:val="24"/>
        </w:rPr>
        <w:t>结合碧湖新城信息化建设的现状与省市区对碧湖新城的发展定位，对碧湖开展智慧城市建设面临的机遇和挑战进行详细阐述，提出与碧湖经济社会发展相适配的数字碧湖发展思路。</w:t>
      </w:r>
    </w:p>
    <w:p>
      <w:pPr>
        <w:spacing w:line="360" w:lineRule="auto"/>
        <w:ind w:firstLine="482" w:firstLineChars="200"/>
        <w:rPr>
          <w:rFonts w:ascii="宋体" w:hAnsi="宋体"/>
          <w:b/>
          <w:sz w:val="24"/>
        </w:rPr>
      </w:pPr>
      <w:r>
        <w:rPr>
          <w:rFonts w:hint="eastAsia" w:ascii="宋体" w:hAnsi="宋体"/>
          <w:b/>
          <w:sz w:val="24"/>
        </w:rPr>
        <w:t>（四）发展目标及原则</w:t>
      </w:r>
    </w:p>
    <w:p>
      <w:pPr>
        <w:spacing w:line="360" w:lineRule="auto"/>
        <w:ind w:firstLine="480" w:firstLineChars="200"/>
        <w:rPr>
          <w:rFonts w:ascii="宋体" w:hAnsi="宋体"/>
          <w:sz w:val="24"/>
        </w:rPr>
      </w:pPr>
      <w:r>
        <w:rPr>
          <w:rFonts w:hint="eastAsia" w:ascii="宋体" w:hAnsi="宋体"/>
          <w:sz w:val="24"/>
        </w:rPr>
        <w:t>以目标导向、问题导向、需求导向展开，确定碧湖新城智慧城市建设的指导思想、基本原则、发展方向、建设目标等内容。应包含但不限于：</w:t>
      </w:r>
    </w:p>
    <w:p>
      <w:pPr>
        <w:pStyle w:val="133"/>
        <w:numPr>
          <w:ilvl w:val="0"/>
          <w:numId w:val="3"/>
        </w:numPr>
        <w:spacing w:line="360" w:lineRule="auto"/>
        <w:ind w:firstLineChars="0"/>
        <w:rPr>
          <w:rFonts w:ascii="宋体" w:hAnsi="宋体"/>
          <w:sz w:val="24"/>
          <w:szCs w:val="24"/>
        </w:rPr>
      </w:pPr>
      <w:r>
        <w:rPr>
          <w:rFonts w:hint="eastAsia" w:ascii="宋体" w:hAnsi="宋体"/>
          <w:sz w:val="24"/>
          <w:szCs w:val="24"/>
        </w:rPr>
        <w:t>数字碧湖建设的总体目标与分领域目标；</w:t>
      </w:r>
    </w:p>
    <w:p>
      <w:pPr>
        <w:pStyle w:val="133"/>
        <w:numPr>
          <w:ilvl w:val="0"/>
          <w:numId w:val="3"/>
        </w:numPr>
        <w:spacing w:line="360" w:lineRule="auto"/>
        <w:ind w:firstLineChars="0"/>
        <w:rPr>
          <w:rFonts w:ascii="宋体" w:hAnsi="宋体"/>
          <w:sz w:val="24"/>
          <w:szCs w:val="24"/>
        </w:rPr>
      </w:pPr>
      <w:r>
        <w:rPr>
          <w:rFonts w:hint="eastAsia" w:ascii="宋体" w:hAnsi="宋体"/>
          <w:sz w:val="24"/>
          <w:szCs w:val="24"/>
        </w:rPr>
        <w:t>数字碧湖建设的指导思想与基本原则；</w:t>
      </w:r>
    </w:p>
    <w:p>
      <w:pPr>
        <w:pStyle w:val="133"/>
        <w:numPr>
          <w:ilvl w:val="0"/>
          <w:numId w:val="3"/>
        </w:numPr>
        <w:spacing w:line="360" w:lineRule="auto"/>
        <w:ind w:firstLineChars="0"/>
        <w:rPr>
          <w:rFonts w:ascii="宋体" w:hAnsi="宋体"/>
          <w:sz w:val="24"/>
          <w:szCs w:val="24"/>
        </w:rPr>
      </w:pPr>
      <w:r>
        <w:rPr>
          <w:rFonts w:hint="eastAsia" w:ascii="宋体" w:hAnsi="宋体"/>
          <w:sz w:val="24"/>
          <w:szCs w:val="24"/>
        </w:rPr>
        <w:t>数字碧湖建设的发展方向和分年度阶段建设目标。</w:t>
      </w:r>
    </w:p>
    <w:p>
      <w:pPr>
        <w:spacing w:line="360" w:lineRule="auto"/>
        <w:ind w:left="480" w:firstLine="482"/>
        <w:rPr>
          <w:rFonts w:ascii="宋体" w:hAnsi="宋体"/>
          <w:b/>
          <w:sz w:val="24"/>
        </w:rPr>
      </w:pPr>
      <w:r>
        <w:rPr>
          <w:rFonts w:hint="eastAsia" w:ascii="宋体" w:hAnsi="宋体"/>
          <w:b/>
          <w:sz w:val="24"/>
        </w:rPr>
        <w:t>（五）总体架构</w:t>
      </w:r>
    </w:p>
    <w:p>
      <w:pPr>
        <w:spacing w:line="360" w:lineRule="auto"/>
        <w:ind w:firstLine="480" w:firstLineChars="200"/>
        <w:rPr>
          <w:rFonts w:ascii="宋体" w:hAnsi="宋体"/>
          <w:sz w:val="24"/>
        </w:rPr>
      </w:pPr>
      <w:r>
        <w:rPr>
          <w:rFonts w:hint="eastAsia" w:ascii="宋体" w:hAnsi="宋体"/>
          <w:sz w:val="24"/>
        </w:rPr>
        <w:t>根据碧湖新城整体发展战略以及智慧城市建设目标，提出总体架构、技术架构、数据架构、应用架构；包括但不限于：</w:t>
      </w:r>
    </w:p>
    <w:p>
      <w:pPr>
        <w:pStyle w:val="133"/>
        <w:numPr>
          <w:ilvl w:val="0"/>
          <w:numId w:val="4"/>
        </w:numPr>
        <w:spacing w:line="360" w:lineRule="auto"/>
        <w:ind w:firstLineChars="0"/>
        <w:rPr>
          <w:rFonts w:ascii="宋体" w:hAnsi="宋体"/>
          <w:sz w:val="24"/>
          <w:szCs w:val="24"/>
        </w:rPr>
      </w:pPr>
      <w:r>
        <w:rPr>
          <w:rFonts w:hint="eastAsia" w:ascii="宋体" w:hAnsi="宋体"/>
          <w:sz w:val="24"/>
          <w:szCs w:val="24"/>
        </w:rPr>
        <w:t>数字碧湖总体架构；</w:t>
      </w:r>
    </w:p>
    <w:p>
      <w:pPr>
        <w:pStyle w:val="133"/>
        <w:numPr>
          <w:ilvl w:val="0"/>
          <w:numId w:val="4"/>
        </w:numPr>
        <w:spacing w:line="360" w:lineRule="auto"/>
        <w:ind w:firstLineChars="0"/>
        <w:rPr>
          <w:rFonts w:ascii="宋体" w:hAnsi="宋体"/>
          <w:sz w:val="24"/>
          <w:szCs w:val="24"/>
        </w:rPr>
      </w:pPr>
      <w:r>
        <w:rPr>
          <w:rFonts w:hint="eastAsia" w:ascii="宋体" w:hAnsi="宋体"/>
          <w:sz w:val="24"/>
          <w:szCs w:val="24"/>
        </w:rPr>
        <w:t>数字碧湖技术架构；</w:t>
      </w:r>
    </w:p>
    <w:p>
      <w:pPr>
        <w:pStyle w:val="133"/>
        <w:numPr>
          <w:ilvl w:val="0"/>
          <w:numId w:val="4"/>
        </w:numPr>
        <w:spacing w:line="360" w:lineRule="auto"/>
        <w:ind w:firstLineChars="0"/>
        <w:rPr>
          <w:rFonts w:ascii="宋体" w:hAnsi="宋体"/>
          <w:sz w:val="24"/>
          <w:szCs w:val="24"/>
        </w:rPr>
      </w:pPr>
      <w:r>
        <w:rPr>
          <w:rFonts w:hint="eastAsia" w:ascii="宋体" w:hAnsi="宋体"/>
          <w:sz w:val="24"/>
          <w:szCs w:val="24"/>
        </w:rPr>
        <w:t>数字碧湖数据架构；</w:t>
      </w:r>
    </w:p>
    <w:p>
      <w:pPr>
        <w:pStyle w:val="133"/>
        <w:numPr>
          <w:ilvl w:val="0"/>
          <w:numId w:val="4"/>
        </w:numPr>
        <w:spacing w:line="360" w:lineRule="auto"/>
        <w:ind w:firstLineChars="0"/>
        <w:rPr>
          <w:rFonts w:ascii="宋体" w:hAnsi="宋体"/>
          <w:sz w:val="24"/>
          <w:szCs w:val="24"/>
        </w:rPr>
      </w:pPr>
      <w:r>
        <w:rPr>
          <w:rFonts w:hint="eastAsia" w:ascii="宋体" w:hAnsi="宋体"/>
          <w:sz w:val="24"/>
          <w:szCs w:val="24"/>
        </w:rPr>
        <w:t>数字碧湖应用架构。</w:t>
      </w:r>
    </w:p>
    <w:p>
      <w:pPr>
        <w:spacing w:line="360" w:lineRule="auto"/>
        <w:ind w:left="480" w:firstLine="482"/>
        <w:rPr>
          <w:rFonts w:ascii="宋体" w:hAnsi="宋体"/>
          <w:b/>
          <w:sz w:val="24"/>
        </w:rPr>
      </w:pPr>
      <w:r>
        <w:rPr>
          <w:rFonts w:hint="eastAsia" w:ascii="宋体" w:hAnsi="宋体"/>
          <w:b/>
          <w:sz w:val="24"/>
        </w:rPr>
        <w:t>（六）建设方案</w:t>
      </w:r>
    </w:p>
    <w:p>
      <w:pPr>
        <w:spacing w:line="360" w:lineRule="auto"/>
        <w:ind w:firstLine="480" w:firstLineChars="200"/>
        <w:rPr>
          <w:rFonts w:ascii="宋体" w:hAnsi="宋体"/>
          <w:sz w:val="24"/>
        </w:rPr>
      </w:pPr>
      <w:r>
        <w:rPr>
          <w:rFonts w:hint="eastAsia" w:ascii="宋体" w:hAnsi="宋体"/>
          <w:sz w:val="24"/>
        </w:rPr>
        <w:t>在充分考虑国家对智慧城市建设要求的基础上，结合前期调研实际开展重点项目建设，并提出详细的方案内容和重点领域的专栏。包括但不限于：</w:t>
      </w:r>
    </w:p>
    <w:p>
      <w:pPr>
        <w:pStyle w:val="133"/>
        <w:numPr>
          <w:ilvl w:val="0"/>
          <w:numId w:val="5"/>
        </w:numPr>
        <w:spacing w:line="360" w:lineRule="auto"/>
        <w:ind w:firstLineChars="0"/>
        <w:rPr>
          <w:rFonts w:ascii="宋体" w:hAnsi="宋体"/>
          <w:sz w:val="24"/>
          <w:szCs w:val="24"/>
        </w:rPr>
      </w:pPr>
      <w:r>
        <w:rPr>
          <w:rFonts w:hint="eastAsia" w:ascii="宋体" w:hAnsi="宋体"/>
          <w:sz w:val="24"/>
          <w:szCs w:val="24"/>
        </w:rPr>
        <w:t>数字碧湖重点领域分项目建设内容；</w:t>
      </w:r>
    </w:p>
    <w:p>
      <w:pPr>
        <w:pStyle w:val="133"/>
        <w:numPr>
          <w:ilvl w:val="0"/>
          <w:numId w:val="5"/>
        </w:numPr>
        <w:spacing w:line="360" w:lineRule="auto"/>
        <w:ind w:firstLineChars="0"/>
        <w:rPr>
          <w:rFonts w:ascii="宋体" w:hAnsi="宋体"/>
          <w:sz w:val="24"/>
          <w:szCs w:val="24"/>
        </w:rPr>
      </w:pPr>
      <w:r>
        <w:rPr>
          <w:rFonts w:hint="eastAsia" w:ascii="宋体" w:hAnsi="宋体"/>
          <w:sz w:val="24"/>
          <w:szCs w:val="24"/>
        </w:rPr>
        <w:t>数字碧湖亮点领域的项目建设专栏。</w:t>
      </w:r>
    </w:p>
    <w:p>
      <w:pPr>
        <w:spacing w:line="360" w:lineRule="auto"/>
        <w:ind w:left="480" w:firstLine="482"/>
        <w:rPr>
          <w:rFonts w:ascii="宋体" w:hAnsi="宋体"/>
          <w:b/>
          <w:sz w:val="24"/>
        </w:rPr>
      </w:pPr>
      <w:r>
        <w:rPr>
          <w:rFonts w:hint="eastAsia" w:ascii="宋体" w:hAnsi="宋体"/>
          <w:b/>
          <w:sz w:val="24"/>
        </w:rPr>
        <w:t>（七）保障方案</w:t>
      </w:r>
    </w:p>
    <w:p>
      <w:pPr>
        <w:spacing w:line="360" w:lineRule="auto"/>
        <w:ind w:firstLine="480" w:firstLineChars="200"/>
        <w:rPr>
          <w:rFonts w:ascii="宋体" w:hAnsi="宋体"/>
          <w:sz w:val="24"/>
        </w:rPr>
      </w:pPr>
      <w:r>
        <w:rPr>
          <w:rFonts w:hint="eastAsia" w:ascii="宋体" w:hAnsi="宋体"/>
          <w:sz w:val="24"/>
        </w:rPr>
        <w:t>充分考虑碧湖实际提出保障规划实施的组织架构、投融资规划方案等，提高规划实施的可行性和可操作性，指导规划科学合理的实施。应包含但不限于：</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数字碧湖</w:t>
      </w:r>
      <w:r>
        <w:rPr>
          <w:rFonts w:ascii="宋体" w:hAnsi="宋体"/>
          <w:sz w:val="24"/>
        </w:rPr>
        <w:t>信息化统筹建设、管理架构及运维机制描述</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经费保障方案，包括结合碧湖特点的投融资规划建议；</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项目运营方案，提出数字碧湖建设的运营模式和运作机制建议；</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商业盈利方案，提出数字碧湖重点项目建设内容相适应的盈利模式建议；</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安全保障方案，提出包括安全制度、安全技术在内的总体方案设计建议。</w:t>
      </w:r>
    </w:p>
    <w:p>
      <w:pPr>
        <w:spacing w:line="360" w:lineRule="auto"/>
        <w:ind w:firstLine="482" w:firstLineChars="200"/>
        <w:rPr>
          <w:rFonts w:ascii="宋体" w:hAnsi="宋体"/>
          <w:b/>
          <w:sz w:val="24"/>
        </w:rPr>
      </w:pPr>
      <w:r>
        <w:rPr>
          <w:rFonts w:hint="eastAsia" w:ascii="宋体" w:hAnsi="宋体"/>
          <w:b/>
          <w:sz w:val="24"/>
        </w:rPr>
        <w:t>《碧湖新城智慧城市重点项目建设清单》</w:t>
      </w:r>
    </w:p>
    <w:p>
      <w:pPr>
        <w:spacing w:line="360" w:lineRule="auto"/>
        <w:ind w:firstLine="480" w:firstLineChars="200"/>
        <w:rPr>
          <w:rFonts w:ascii="宋体" w:hAnsi="宋体"/>
          <w:color w:val="auto"/>
          <w:sz w:val="24"/>
        </w:rPr>
      </w:pPr>
      <w:r>
        <w:rPr>
          <w:rFonts w:hint="eastAsia" w:ascii="宋体" w:hAnsi="宋体"/>
          <w:color w:val="auto"/>
          <w:sz w:val="24"/>
        </w:rPr>
        <w:t>（1）全面涵盖数字碧湖各领域重点建设项目，项目不少于20个；</w:t>
      </w:r>
    </w:p>
    <w:p>
      <w:pPr>
        <w:spacing w:line="360" w:lineRule="auto"/>
        <w:ind w:firstLine="480" w:firstLineChars="200"/>
        <w:rPr>
          <w:rFonts w:ascii="宋体" w:hAnsi="宋体"/>
          <w:color w:val="auto"/>
          <w:sz w:val="24"/>
        </w:rPr>
      </w:pPr>
      <w:r>
        <w:rPr>
          <w:rFonts w:hint="eastAsia" w:ascii="宋体" w:hAnsi="宋体"/>
          <w:color w:val="auto"/>
          <w:sz w:val="24"/>
        </w:rPr>
        <w:t>（2）各领域重点建设项目逐一详细阐述细化方案，包括但不限于项目名称、项目领域、项目类型、主要内容、建设运营主体、投融资形式、投资金额概算、建设周期计划、项目盈利模式等。</w:t>
      </w:r>
    </w:p>
    <w:p>
      <w:pPr>
        <w:pStyle w:val="4"/>
        <w:spacing w:before="0" w:after="0"/>
        <w:ind w:firstLine="643"/>
        <w:rPr>
          <w:rFonts w:ascii="宋体" w:hAnsi="宋体" w:eastAsia="宋体"/>
          <w:sz w:val="32"/>
        </w:rPr>
      </w:pPr>
      <w:bookmarkStart w:id="95" w:name="_Toc164628427"/>
      <w:bookmarkStart w:id="96" w:name="_Toc19302"/>
      <w:r>
        <w:rPr>
          <w:rFonts w:hint="eastAsia" w:ascii="宋体" w:hAnsi="宋体" w:eastAsia="宋体"/>
          <w:sz w:val="32"/>
        </w:rPr>
        <w:t>六、其他要求</w:t>
      </w:r>
      <w:bookmarkEnd w:id="95"/>
      <w:bookmarkEnd w:id="96"/>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.项目团队要求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投标人</w:t>
      </w:r>
      <w:r>
        <w:rPr>
          <w:rFonts w:ascii="宋体" w:hAnsi="宋体"/>
          <w:color w:val="auto"/>
          <w:sz w:val="24"/>
          <w:highlight w:val="none"/>
        </w:rPr>
        <w:t>应根据项目范围与规划咨询工作的需要，配置具有相关丰富经验的项目管理人员和咨询顾问，要求项目团队成员在5人以上、专业能力突出，参与的同类项目案例丰富。团队组成方案能有力支撑本项目</w:t>
      </w:r>
      <w:r>
        <w:rPr>
          <w:rFonts w:hint="eastAsia" w:ascii="宋体" w:hAnsi="宋体"/>
          <w:color w:val="auto"/>
          <w:sz w:val="24"/>
          <w:highlight w:val="none"/>
        </w:rPr>
        <w:t>规划</w:t>
      </w:r>
      <w:r>
        <w:rPr>
          <w:rFonts w:ascii="宋体" w:hAnsi="宋体"/>
          <w:color w:val="auto"/>
          <w:sz w:val="24"/>
          <w:highlight w:val="none"/>
        </w:rPr>
        <w:t>工作，保障</w:t>
      </w:r>
      <w:r>
        <w:rPr>
          <w:rFonts w:hint="eastAsia" w:ascii="宋体" w:hAnsi="宋体"/>
          <w:color w:val="auto"/>
          <w:sz w:val="24"/>
          <w:highlight w:val="none"/>
        </w:rPr>
        <w:t>规划</w:t>
      </w:r>
      <w:r>
        <w:rPr>
          <w:rFonts w:ascii="宋体" w:hAnsi="宋体"/>
          <w:color w:val="auto"/>
          <w:sz w:val="24"/>
          <w:highlight w:val="none"/>
        </w:rPr>
        <w:t>成果质量。</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（2）要求项目负责人需全程参与本项目。</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（3）由于人员不稳定等因素，对本项目的进度及质量造成严重影响的，采购人有权终止合同，并要求投标人赔偿相应损失。</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（4）项目组实行项目负责人全权负责制，项目负责人代表公司负责项目。其中项目团队核心成员需具有相关工作经验。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（5）项目执行过程中，需全程及时、无条件的响应采购人要求。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.交流机制</w:t>
      </w:r>
    </w:p>
    <w:p>
      <w:pPr>
        <w:spacing w:line="360" w:lineRule="auto"/>
        <w:ind w:firstLine="480" w:firstLineChars="200"/>
        <w:rPr>
          <w:rFonts w:ascii="宋体" w:hAnsi="宋体"/>
          <w:sz w:val="24"/>
        </w:rPr>
      </w:pPr>
      <w:r>
        <w:rPr>
          <w:rFonts w:hint="eastAsia" w:ascii="宋体" w:hAnsi="宋体"/>
          <w:sz w:val="24"/>
        </w:rPr>
        <w:t>本项目工作采用定期跟进制度。项目负责人负责规划编制的日常管理工作，并定期向采购人汇报规划方案进展和阶段性成果，每周召开一次碰头会，每月召开一次总结会。</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.出勤要求</w:t>
      </w:r>
    </w:p>
    <w:p>
      <w:pPr>
        <w:spacing w:line="360" w:lineRule="auto"/>
        <w:ind w:firstLine="480" w:firstLineChars="200"/>
        <w:rPr>
          <w:rFonts w:ascii="宋体" w:hAnsi="宋体"/>
          <w:sz w:val="24"/>
        </w:rPr>
      </w:pPr>
      <w:r>
        <w:rPr>
          <w:rFonts w:ascii="宋体" w:hAnsi="宋体"/>
          <w:sz w:val="24"/>
        </w:rPr>
        <w:t>项目团队负责人须全程参与项目</w:t>
      </w:r>
      <w:r>
        <w:rPr>
          <w:rFonts w:hint="eastAsia" w:ascii="宋体" w:hAnsi="宋体"/>
          <w:sz w:val="24"/>
        </w:rPr>
        <w:t>规划</w:t>
      </w:r>
      <w:r>
        <w:rPr>
          <w:rFonts w:ascii="宋体" w:hAnsi="宋体"/>
          <w:sz w:val="24"/>
        </w:rPr>
        <w:t>、汇报、总结等各阶段工作，按时出席采购人与</w:t>
      </w:r>
      <w:r>
        <w:rPr>
          <w:rFonts w:hint="eastAsia" w:ascii="宋体" w:hAnsi="宋体"/>
          <w:sz w:val="24"/>
        </w:rPr>
        <w:t>规划</w:t>
      </w:r>
      <w:r>
        <w:rPr>
          <w:rFonts w:ascii="宋体" w:hAnsi="宋体"/>
          <w:sz w:val="24"/>
        </w:rPr>
        <w:t>团队共同召开的碰头会、总结会等会议。项目团队负责人未经采购人书面同意不得更改。</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成果及产权要求</w:t>
      </w:r>
    </w:p>
    <w:p>
      <w:pPr>
        <w:spacing w:line="360" w:lineRule="auto"/>
        <w:ind w:firstLine="480" w:firstLineChars="200"/>
        <w:rPr>
          <w:rFonts w:ascii="宋体" w:hAnsi="宋体"/>
          <w:sz w:val="24"/>
        </w:rPr>
      </w:pPr>
      <w:r>
        <w:rPr>
          <w:rFonts w:hint="eastAsia" w:ascii="宋体" w:hAnsi="宋体"/>
          <w:sz w:val="24"/>
        </w:rPr>
        <w:t>《碧湖新城智慧城市总体规划方案》、《碧湖新城智慧城市重点项目建设清单》，投标人所提供成果不涉及知识产权问题，知识产权归莲都区大数据发展中心所有。</w:t>
      </w:r>
    </w:p>
    <w:p>
      <w:pPr>
        <w:spacing w:line="360" w:lineRule="auto"/>
        <w:ind w:firstLine="480" w:firstLineChars="200"/>
        <w:rPr>
          <w:rFonts w:ascii="宋体" w:hAnsi="宋体"/>
          <w:sz w:val="24"/>
        </w:rPr>
      </w:pPr>
      <w:r>
        <w:rPr>
          <w:rFonts w:ascii="宋体" w:hAnsi="宋体"/>
          <w:sz w:val="24"/>
        </w:rPr>
        <w:t>5.</w:t>
      </w:r>
      <w:r>
        <w:rPr>
          <w:rFonts w:hint="eastAsia" w:ascii="宋体" w:hAnsi="宋体"/>
          <w:sz w:val="24"/>
        </w:rPr>
        <w:t>工期节点要求</w:t>
      </w:r>
    </w:p>
    <w:p>
      <w:pPr>
        <w:spacing w:line="360" w:lineRule="auto"/>
        <w:ind w:firstLine="480" w:firstLineChars="200"/>
        <w:rPr>
          <w:rFonts w:ascii="宋体" w:hAnsi="宋体"/>
          <w:sz w:val="24"/>
        </w:rPr>
      </w:pPr>
      <w:r>
        <w:rPr>
          <w:rFonts w:hint="eastAsia" w:ascii="宋体" w:hAnsi="宋体"/>
          <w:sz w:val="24"/>
        </w:rPr>
        <w:t>合同签订之日起4个月内提交《碧湖新城智慧城市总体规划方案》、《碧湖新城智慧城市重点项目建设清单》征求意见稿，征求意见后1个月内提交评审稿。</w:t>
      </w:r>
    </w:p>
    <w:p>
      <w:pPr>
        <w:spacing w:line="360" w:lineRule="auto"/>
        <w:ind w:firstLine="480" w:firstLineChars="200"/>
        <w:rPr>
          <w:rFonts w:ascii="宋体" w:hAnsi="宋体"/>
          <w:sz w:val="24"/>
        </w:rPr>
      </w:pPr>
      <w:r>
        <w:rPr>
          <w:rFonts w:ascii="宋体" w:hAnsi="宋体"/>
          <w:sz w:val="24"/>
        </w:rPr>
        <w:t>6.后续服务及其他要求</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）本项目所要求的进度计划在投标文件中提供详尽的项目实施方案（包括：参加本项目的主要人员资格和经历以及</w:t>
      </w:r>
      <w:r>
        <w:rPr>
          <w:rFonts w:hint="eastAsia" w:ascii="宋体" w:hAnsi="宋体"/>
          <w:sz w:val="24"/>
        </w:rPr>
        <w:t>投标人</w:t>
      </w:r>
      <w:r>
        <w:rPr>
          <w:rFonts w:ascii="宋体" w:hAnsi="宋体"/>
          <w:sz w:val="24"/>
        </w:rPr>
        <w:t>的专业技术人员构成状况、实施计划时间安排、具体实施内容等）；</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）所涉及的专利承担责任，并负责保护采购人的利益不受任何损害。一切由于文字、商标、技术和软件专利授权引起的法律裁决、诉讼和赔偿费用均由</w:t>
      </w:r>
      <w:r>
        <w:rPr>
          <w:rFonts w:hint="eastAsia" w:ascii="宋体" w:hAnsi="宋体"/>
          <w:sz w:val="24"/>
        </w:rPr>
        <w:t>投标人</w:t>
      </w:r>
      <w:r>
        <w:rPr>
          <w:rFonts w:ascii="宋体" w:hAnsi="宋体"/>
          <w:sz w:val="24"/>
        </w:rPr>
        <w:t>负责。不受第三方提出的侵犯其专利权、版权、著作权、商标权等的起诉，采购人拥有使用权；</w:t>
      </w:r>
    </w:p>
    <w:p>
      <w:pPr>
        <w:spacing w:line="360" w:lineRule="auto"/>
        <w:ind w:firstLine="480" w:firstLineChars="200"/>
        <w:rPr>
          <w:rFonts w:ascii="宋体" w:hAnsi="宋体"/>
          <w:sz w:val="24"/>
        </w:rPr>
      </w:pPr>
      <w:r>
        <w:rPr>
          <w:rFonts w:hint="eastAsia" w:ascii="宋体" w:hAnsi="宋体"/>
          <w:color w:val="auto"/>
          <w:sz w:val="24"/>
          <w:highlight w:val="none"/>
        </w:rPr>
        <w:t>（3</w:t>
      </w:r>
      <w:r>
        <w:rPr>
          <w:rFonts w:ascii="宋体" w:hAnsi="宋体"/>
          <w:color w:val="auto"/>
          <w:sz w:val="24"/>
          <w:highlight w:val="none"/>
        </w:rPr>
        <w:t>)为保证服务质量和方案编制进度，</w:t>
      </w:r>
      <w:r>
        <w:rPr>
          <w:rFonts w:hint="eastAsia" w:ascii="宋体" w:hAnsi="宋体"/>
          <w:color w:val="auto"/>
          <w:sz w:val="24"/>
          <w:highlight w:val="none"/>
        </w:rPr>
        <w:t>投标人需</w:t>
      </w:r>
      <w:r>
        <w:rPr>
          <w:rFonts w:ascii="宋体" w:hAnsi="宋体"/>
          <w:color w:val="auto"/>
          <w:sz w:val="24"/>
          <w:highlight w:val="none"/>
        </w:rPr>
        <w:t>承诺项目组</w:t>
      </w:r>
      <w:r>
        <w:rPr>
          <w:rFonts w:hint="eastAsia" w:ascii="宋体" w:hAnsi="宋体"/>
          <w:color w:val="auto"/>
          <w:sz w:val="24"/>
          <w:highlight w:val="none"/>
        </w:rPr>
        <w:t>核心</w:t>
      </w:r>
      <w:r>
        <w:rPr>
          <w:rFonts w:ascii="宋体" w:hAnsi="宋体"/>
          <w:color w:val="auto"/>
          <w:sz w:val="24"/>
          <w:highlight w:val="none"/>
        </w:rPr>
        <w:t>人员</w:t>
      </w:r>
      <w:r>
        <w:rPr>
          <w:rFonts w:ascii="宋体" w:hAnsi="宋体"/>
          <w:sz w:val="24"/>
        </w:rPr>
        <w:t>在方案编制期内，不得兼任其他项目或工作；</w:t>
      </w:r>
    </w:p>
    <w:p>
      <w:pPr>
        <w:widowControl/>
        <w:autoSpaceDE w:val="0"/>
        <w:autoSpaceDN w:val="0"/>
        <w:adjustRightInd w:val="0"/>
        <w:spacing w:line="360" w:lineRule="auto"/>
        <w:ind w:firstLine="480" w:firstLineChars="200"/>
        <w:textAlignment w:val="bottom"/>
        <w:rPr>
          <w:rFonts w:ascii="宋体"/>
          <w:sz w:val="24"/>
        </w:rPr>
      </w:pPr>
      <w:r>
        <w:rPr>
          <w:rFonts w:hint="eastAsia" w:ascii="宋体" w:hAnsi="宋体"/>
          <w:sz w:val="24"/>
        </w:rPr>
        <w:t>（4</w:t>
      </w:r>
      <w:r>
        <w:rPr>
          <w:rFonts w:ascii="宋体" w:hAnsi="宋体"/>
          <w:sz w:val="24"/>
        </w:rPr>
        <w:t>)保密要求：确定</w:t>
      </w:r>
      <w:r>
        <w:rPr>
          <w:rFonts w:hint="eastAsia" w:ascii="宋体" w:hAnsi="宋体"/>
          <w:sz w:val="24"/>
        </w:rPr>
        <w:t>投标人</w:t>
      </w:r>
      <w:r>
        <w:rPr>
          <w:rFonts w:ascii="宋体" w:hAnsi="宋体"/>
          <w:sz w:val="24"/>
        </w:rPr>
        <w:t>后双方签订保密协议。</w:t>
      </w:r>
    </w:p>
    <w:p>
      <w:pPr>
        <w:pStyle w:val="4"/>
        <w:spacing w:before="0" w:after="0"/>
        <w:ind w:firstLine="643"/>
        <w:rPr>
          <w:rFonts w:ascii="宋体" w:hAnsi="宋体" w:eastAsia="宋体"/>
          <w:sz w:val="32"/>
        </w:rPr>
      </w:pPr>
      <w:bookmarkStart w:id="97" w:name="_Toc164628428"/>
      <w:bookmarkStart w:id="98" w:name="_Toc24809"/>
      <w:r>
        <w:rPr>
          <w:rFonts w:hint="eastAsia" w:ascii="宋体" w:hAnsi="宋体" w:eastAsia="宋体"/>
          <w:sz w:val="32"/>
        </w:rPr>
        <w:t>七、付款方式</w:t>
      </w:r>
      <w:bookmarkEnd w:id="97"/>
      <w:bookmarkEnd w:id="98"/>
    </w:p>
    <w:p>
      <w:pPr>
        <w:spacing w:line="360" w:lineRule="auto"/>
        <w:ind w:firstLine="480" w:firstLineChars="200"/>
        <w:rPr>
          <w:rFonts w:ascii="宋体" w:hAnsi="宋体"/>
          <w:sz w:val="24"/>
        </w:rPr>
      </w:pPr>
      <w:r>
        <w:rPr>
          <w:rFonts w:hint="eastAsia" w:ascii="宋体" w:hAnsi="宋体"/>
          <w:sz w:val="24"/>
        </w:rPr>
        <w:t>合同签订</w:t>
      </w:r>
      <w:r>
        <w:rPr>
          <w:rFonts w:hint="eastAsia" w:ascii="宋体" w:hAnsi="宋体" w:cs="宋体"/>
          <w:sz w:val="24"/>
          <w:szCs w:val="21"/>
        </w:rPr>
        <w:t>且收到中标人开具的正式发票后7个工作日内</w:t>
      </w:r>
      <w:r>
        <w:rPr>
          <w:rFonts w:hint="eastAsia" w:ascii="宋体" w:hAnsi="宋体"/>
          <w:sz w:val="24"/>
        </w:rPr>
        <w:t>支付合同金额的40%作为预付款；规划方案和建设清单完成评审并经采购人验收合格</w:t>
      </w:r>
      <w:r>
        <w:rPr>
          <w:rFonts w:hint="eastAsia" w:ascii="宋体" w:hAnsi="宋体" w:cs="宋体"/>
          <w:sz w:val="24"/>
          <w:szCs w:val="21"/>
        </w:rPr>
        <w:t>且收到中标人开具的正式发票后7个工作日内</w:t>
      </w:r>
      <w:r>
        <w:rPr>
          <w:rFonts w:hint="eastAsia" w:ascii="宋体" w:hAnsi="宋体"/>
          <w:sz w:val="24"/>
        </w:rPr>
        <w:t>支付合同剩余款项。</w:t>
      </w:r>
    </w:p>
    <w:p>
      <w:pPr>
        <w:ind w:firstLine="480"/>
      </w:pPr>
      <w:r>
        <w:br w:type="page"/>
      </w:r>
    </w:p>
    <w:p>
      <w:pPr>
        <w:ind w:firstLine="480"/>
      </w:pPr>
    </w:p>
    <w:p>
      <w:pPr>
        <w:ind w:firstLine="5640" w:firstLineChars="2350"/>
        <w:rPr>
          <w:rFonts w:ascii="宋体" w:hAnsi="宋体"/>
          <w:sz w:val="24"/>
        </w:rPr>
      </w:pPr>
    </w:p>
    <w:p>
      <w:pPr>
        <w:pStyle w:val="2"/>
        <w:spacing w:line="560" w:lineRule="exact"/>
        <w:ind w:firstLine="643"/>
        <w:rPr>
          <w:rFonts w:ascii="宋体" w:hAnsi="宋体" w:eastAsia="宋体"/>
          <w:sz w:val="32"/>
        </w:rPr>
      </w:pPr>
      <w:bookmarkStart w:id="99" w:name="_Toc23561"/>
      <w:r>
        <w:rPr>
          <w:rFonts w:hint="eastAsia" w:ascii="宋体" w:hAnsi="宋体" w:eastAsia="宋体"/>
          <w:sz w:val="32"/>
        </w:rPr>
        <w:t>第四章　政府采购合同（范本）</w:t>
      </w:r>
      <w:bookmarkEnd w:id="99"/>
    </w:p>
    <w:p>
      <w:pPr>
        <w:ind w:firstLine="6115" w:firstLineChars="2548"/>
        <w:rPr>
          <w:rFonts w:ascii="宋体" w:hAnsi="宋体"/>
          <w:sz w:val="24"/>
          <w:szCs w:val="21"/>
        </w:rPr>
      </w:pPr>
    </w:p>
    <w:p>
      <w:pPr>
        <w:pStyle w:val="19"/>
        <w:ind w:firstLine="560"/>
      </w:pPr>
    </w:p>
    <w:p>
      <w:pPr>
        <w:ind w:firstLine="5640" w:firstLineChars="2350"/>
        <w:rPr>
          <w:rFonts w:ascii="宋体" w:hAnsi="宋体"/>
          <w:sz w:val="24"/>
        </w:rPr>
      </w:pPr>
    </w:p>
    <w:p>
      <w:pPr>
        <w:ind w:firstLine="5640" w:firstLineChars="2350"/>
        <w:rPr>
          <w:rFonts w:ascii="宋体" w:hAnsi="宋体"/>
          <w:sz w:val="24"/>
        </w:rPr>
      </w:pPr>
      <w:r>
        <w:rPr>
          <w:rFonts w:hint="eastAsia" w:ascii="宋体" w:hAnsi="宋体"/>
          <w:sz w:val="24"/>
        </w:rPr>
        <w:t>合同编号：</w:t>
      </w:r>
    </w:p>
    <w:p>
      <w:pPr>
        <w:snapToGrid w:val="0"/>
        <w:spacing w:before="119" w:line="272" w:lineRule="atLeast"/>
        <w:ind w:left="958"/>
        <w:jc w:val="center"/>
        <w:rPr>
          <w:rFonts w:ascii="宋体" w:hAnsi="宋体"/>
          <w:sz w:val="24"/>
        </w:rPr>
      </w:pPr>
    </w:p>
    <w:p>
      <w:pPr>
        <w:snapToGrid w:val="0"/>
        <w:spacing w:before="119" w:line="272" w:lineRule="atLeast"/>
        <w:ind w:left="958"/>
        <w:jc w:val="center"/>
        <w:rPr>
          <w:rFonts w:ascii="宋体" w:hAnsi="宋体"/>
          <w:sz w:val="24"/>
        </w:rPr>
      </w:pPr>
    </w:p>
    <w:p>
      <w:pPr>
        <w:snapToGrid w:val="0"/>
        <w:spacing w:before="119" w:line="272" w:lineRule="atLeast"/>
        <w:ind w:left="958"/>
        <w:jc w:val="center"/>
        <w:rPr>
          <w:rFonts w:ascii="宋体" w:hAnsi="宋体"/>
          <w:sz w:val="24"/>
        </w:rPr>
      </w:pPr>
    </w:p>
    <w:p>
      <w:pPr>
        <w:snapToGrid w:val="0"/>
        <w:spacing w:before="119" w:line="272" w:lineRule="atLeast"/>
        <w:ind w:left="958"/>
        <w:jc w:val="center"/>
        <w:rPr>
          <w:rFonts w:ascii="宋体" w:hAnsi="宋体"/>
          <w:sz w:val="24"/>
        </w:rPr>
      </w:pPr>
    </w:p>
    <w:p>
      <w:pPr>
        <w:snapToGrid w:val="0"/>
        <w:spacing w:before="119" w:line="272" w:lineRule="atLeast"/>
        <w:ind w:left="958"/>
        <w:jc w:val="center"/>
        <w:rPr>
          <w:rFonts w:ascii="宋体" w:hAnsi="宋体"/>
          <w:sz w:val="24"/>
        </w:rPr>
      </w:pPr>
    </w:p>
    <w:p>
      <w:pPr>
        <w:spacing w:line="360" w:lineRule="auto"/>
        <w:ind w:firstLine="720" w:firstLineChars="300"/>
        <w:rPr>
          <w:rFonts w:ascii="宋体" w:hAnsi="宋体"/>
          <w:sz w:val="24"/>
          <w:u w:val="single"/>
        </w:rPr>
      </w:pPr>
      <w:r>
        <w:rPr>
          <w:rFonts w:hint="eastAsia" w:ascii="宋体" w:hAnsi="宋体"/>
          <w:sz w:val="24"/>
        </w:rPr>
        <w:t xml:space="preserve">  项目名称：</w:t>
      </w:r>
      <w:r>
        <w:rPr>
          <w:rFonts w:hint="eastAsia" w:ascii="宋体" w:hAnsi="宋体"/>
          <w:sz w:val="24"/>
          <w:u w:val="single"/>
        </w:rPr>
        <w:t xml:space="preserve">                                            </w:t>
      </w:r>
    </w:p>
    <w:p>
      <w:pPr>
        <w:snapToGrid w:val="0"/>
        <w:spacing w:before="119" w:line="272" w:lineRule="atLeast"/>
        <w:ind w:left="958"/>
        <w:rPr>
          <w:rFonts w:ascii="宋体" w:hAnsi="宋体"/>
          <w:sz w:val="24"/>
          <w:u w:val="single"/>
        </w:rPr>
      </w:pPr>
    </w:p>
    <w:p>
      <w:pPr>
        <w:snapToGrid w:val="0"/>
        <w:spacing w:before="119" w:line="272" w:lineRule="atLeast"/>
        <w:ind w:left="958"/>
        <w:rPr>
          <w:rFonts w:ascii="宋体" w:hAnsi="宋体"/>
          <w:sz w:val="24"/>
        </w:rPr>
      </w:pPr>
    </w:p>
    <w:p>
      <w:pPr>
        <w:snapToGrid w:val="0"/>
        <w:spacing w:before="119" w:line="272" w:lineRule="atLeast"/>
        <w:ind w:left="958"/>
        <w:rPr>
          <w:rFonts w:ascii="宋体" w:hAnsi="宋体"/>
          <w:sz w:val="24"/>
        </w:rPr>
      </w:pPr>
      <w:r>
        <w:rPr>
          <w:rFonts w:hint="eastAsia" w:ascii="宋体" w:hAnsi="宋体"/>
          <w:sz w:val="24"/>
        </w:rPr>
        <w:t>甲　　方：</w:t>
      </w:r>
      <w:r>
        <w:rPr>
          <w:rFonts w:hint="eastAsia" w:ascii="宋体" w:hAnsi="宋体"/>
          <w:sz w:val="24"/>
          <w:u w:val="single"/>
        </w:rPr>
        <w:t xml:space="preserve">  丽水市莲都区大数据发展中心                </w:t>
      </w:r>
    </w:p>
    <w:p>
      <w:pPr>
        <w:snapToGrid w:val="0"/>
        <w:spacing w:before="119" w:line="272" w:lineRule="atLeast"/>
        <w:ind w:left="958"/>
        <w:rPr>
          <w:rFonts w:ascii="宋体" w:hAnsi="宋体"/>
          <w:sz w:val="24"/>
        </w:rPr>
      </w:pPr>
    </w:p>
    <w:p>
      <w:pPr>
        <w:snapToGrid w:val="0"/>
        <w:spacing w:before="119" w:line="272" w:lineRule="atLeast"/>
        <w:rPr>
          <w:rFonts w:ascii="宋体" w:hAnsi="宋体"/>
          <w:sz w:val="24"/>
        </w:rPr>
      </w:pPr>
    </w:p>
    <w:p>
      <w:pPr>
        <w:snapToGrid w:val="0"/>
        <w:spacing w:before="119" w:line="272" w:lineRule="atLeast"/>
        <w:ind w:firstLine="720" w:firstLineChars="300"/>
        <w:rPr>
          <w:rFonts w:ascii="宋体" w:hAnsi="宋体"/>
          <w:sz w:val="24"/>
        </w:rPr>
      </w:pPr>
      <w:r>
        <w:rPr>
          <w:rFonts w:hint="eastAsia" w:ascii="宋体" w:hAnsi="宋体"/>
          <w:sz w:val="24"/>
        </w:rPr>
        <w:t xml:space="preserve">  乙    方：</w:t>
      </w:r>
      <w:r>
        <w:rPr>
          <w:rFonts w:hint="eastAsia" w:ascii="宋体" w:hAnsi="宋体"/>
          <w:sz w:val="24"/>
          <w:u w:val="single"/>
        </w:rPr>
        <w:t xml:space="preserve">                                            </w:t>
      </w:r>
    </w:p>
    <w:p>
      <w:pPr>
        <w:snapToGrid w:val="0"/>
        <w:spacing w:before="119" w:line="272" w:lineRule="atLeast"/>
        <w:rPr>
          <w:rFonts w:ascii="宋体" w:hAnsi="宋体"/>
          <w:sz w:val="24"/>
        </w:rPr>
      </w:pPr>
    </w:p>
    <w:p>
      <w:pPr>
        <w:snapToGrid w:val="0"/>
        <w:spacing w:before="119" w:line="272" w:lineRule="atLeast"/>
        <w:ind w:left="958"/>
        <w:jc w:val="center"/>
        <w:rPr>
          <w:rFonts w:ascii="宋体" w:hAnsi="宋体"/>
          <w:sz w:val="24"/>
        </w:rPr>
      </w:pPr>
    </w:p>
    <w:p>
      <w:pPr>
        <w:snapToGrid w:val="0"/>
        <w:spacing w:before="119" w:line="272" w:lineRule="atLeast"/>
        <w:ind w:left="958"/>
        <w:jc w:val="center"/>
        <w:rPr>
          <w:rFonts w:ascii="宋体" w:hAnsi="宋体"/>
          <w:sz w:val="24"/>
        </w:rPr>
      </w:pPr>
    </w:p>
    <w:p>
      <w:pPr>
        <w:snapToGrid w:val="0"/>
        <w:spacing w:before="119" w:line="272" w:lineRule="atLeast"/>
        <w:ind w:left="958"/>
        <w:rPr>
          <w:rFonts w:ascii="宋体" w:hAnsi="宋体"/>
          <w:sz w:val="24"/>
        </w:rPr>
      </w:pPr>
    </w:p>
    <w:p>
      <w:pPr>
        <w:snapToGrid w:val="0"/>
        <w:spacing w:before="119" w:line="272" w:lineRule="atLeast"/>
        <w:ind w:left="958"/>
        <w:rPr>
          <w:rFonts w:ascii="宋体" w:hAnsi="宋体"/>
          <w:b/>
          <w:sz w:val="24"/>
        </w:rPr>
      </w:pPr>
      <w:r>
        <w:rPr>
          <w:rFonts w:hint="eastAsia" w:ascii="宋体" w:hAnsi="宋体"/>
          <w:sz w:val="24"/>
        </w:rPr>
        <w:t>签署地点：</w:t>
      </w:r>
      <w:r>
        <w:rPr>
          <w:rFonts w:hint="eastAsia" w:ascii="宋体" w:hAnsi="宋体"/>
          <w:sz w:val="24"/>
          <w:u w:val="single"/>
        </w:rPr>
        <w:t xml:space="preserve">                                       </w:t>
      </w:r>
    </w:p>
    <w:p>
      <w:pPr>
        <w:snapToGrid w:val="0"/>
        <w:spacing w:before="119" w:line="272" w:lineRule="atLeast"/>
        <w:ind w:left="958"/>
        <w:rPr>
          <w:rFonts w:ascii="宋体" w:hAnsi="宋体"/>
          <w:sz w:val="24"/>
        </w:rPr>
      </w:pPr>
    </w:p>
    <w:p>
      <w:pPr>
        <w:snapToGrid w:val="0"/>
        <w:spacing w:before="119" w:line="272" w:lineRule="atLeast"/>
        <w:ind w:left="958"/>
        <w:rPr>
          <w:rFonts w:ascii="宋体" w:hAnsi="宋体"/>
          <w:sz w:val="24"/>
        </w:rPr>
      </w:pPr>
    </w:p>
    <w:p>
      <w:pPr>
        <w:snapToGrid w:val="0"/>
        <w:spacing w:before="238" w:line="360" w:lineRule="auto"/>
        <w:ind w:firstLine="960" w:firstLineChars="400"/>
        <w:rPr>
          <w:rFonts w:ascii="宋体" w:hAnsi="宋体"/>
          <w:b/>
          <w:sz w:val="24"/>
          <w:szCs w:val="21"/>
        </w:rPr>
      </w:pPr>
      <w:r>
        <w:rPr>
          <w:rFonts w:hint="eastAsia" w:ascii="宋体" w:hAnsi="宋体"/>
          <w:sz w:val="24"/>
        </w:rPr>
        <w:t>签署日期：</w:t>
      </w:r>
      <w:r>
        <w:rPr>
          <w:rFonts w:hint="eastAsia" w:ascii="宋体" w:hAnsi="宋体"/>
          <w:sz w:val="24"/>
          <w:u w:val="single"/>
        </w:rPr>
        <w:t xml:space="preserve">      年    月    日                   </w:t>
      </w:r>
    </w:p>
    <w:p>
      <w:pPr>
        <w:pStyle w:val="19"/>
        <w:ind w:firstLine="560"/>
      </w:pPr>
    </w:p>
    <w:p>
      <w:pPr>
        <w:pStyle w:val="19"/>
        <w:ind w:firstLine="560"/>
      </w:pPr>
    </w:p>
    <w:p>
      <w:pPr>
        <w:pStyle w:val="19"/>
        <w:ind w:firstLine="560"/>
      </w:pPr>
    </w:p>
    <w:p>
      <w:pPr>
        <w:spacing w:after="240" w:line="360" w:lineRule="auto"/>
        <w:ind w:firstLine="482"/>
        <w:rPr>
          <w:rFonts w:ascii="Tahoma" w:hAnsi="Tahoma" w:cs="Tahoma"/>
          <w:b/>
          <w:bCs/>
          <w:sz w:val="24"/>
          <w:szCs w:val="28"/>
        </w:rPr>
      </w:pPr>
    </w:p>
    <w:p>
      <w:pPr>
        <w:pStyle w:val="556"/>
        <w:spacing w:before="0" w:beforeAutospacing="0" w:after="0" w:afterAutospacing="0" w:line="440" w:lineRule="exact"/>
        <w:ind w:firstLine="480" w:firstLineChars="200"/>
        <w:rPr>
          <w:rFonts w:asciiTheme="majorEastAsia" w:hAnsiTheme="majorEastAsia" w:eastAsiaTheme="majorEastAsia"/>
          <w:szCs w:val="24"/>
        </w:rPr>
      </w:pPr>
      <w:r>
        <w:rPr>
          <w:rFonts w:cs="Tahoma" w:asciiTheme="majorEastAsia" w:hAnsiTheme="majorEastAsia" w:eastAsiaTheme="majorEastAsia"/>
          <w:szCs w:val="24"/>
          <w:u w:val="single"/>
        </w:rPr>
        <w:t xml:space="preserve">     (甲方)      (项目名称)</w:t>
      </w:r>
      <w:r>
        <w:rPr>
          <w:rFonts w:cs="Tahoma" w:asciiTheme="majorEastAsia" w:hAnsiTheme="majorEastAsia" w:eastAsiaTheme="majorEastAsia"/>
          <w:szCs w:val="24"/>
        </w:rPr>
        <w:t>中所需</w:t>
      </w:r>
      <w:r>
        <w:rPr>
          <w:rFonts w:cs="Tahoma" w:asciiTheme="majorEastAsia" w:hAnsiTheme="majorEastAsia" w:eastAsiaTheme="majorEastAsia"/>
          <w:szCs w:val="24"/>
          <w:u w:val="single"/>
        </w:rPr>
        <w:t>(采购内容)</w:t>
      </w:r>
      <w:r>
        <w:rPr>
          <w:rFonts w:cs="Tahoma" w:asciiTheme="majorEastAsia" w:hAnsiTheme="majorEastAsia" w:eastAsiaTheme="majorEastAsia"/>
          <w:szCs w:val="24"/>
        </w:rPr>
        <w:t>经</w:t>
      </w:r>
      <w:r>
        <w:rPr>
          <w:rFonts w:cs="Tahoma" w:asciiTheme="majorEastAsia" w:hAnsiTheme="majorEastAsia" w:eastAsiaTheme="majorEastAsia"/>
          <w:szCs w:val="24"/>
          <w:u w:val="single"/>
        </w:rPr>
        <w:t xml:space="preserve">          (采购代理机构)</w:t>
      </w:r>
      <w:r>
        <w:rPr>
          <w:rFonts w:cs="Tahoma" w:asciiTheme="majorEastAsia" w:hAnsiTheme="majorEastAsia" w:eastAsiaTheme="majorEastAsia"/>
          <w:szCs w:val="24"/>
        </w:rPr>
        <w:t>以号招标文件在</w:t>
      </w:r>
      <w:r>
        <w:rPr>
          <w:rFonts w:hint="eastAsia" w:cs="Tahoma" w:asciiTheme="majorEastAsia" w:hAnsiTheme="majorEastAsia" w:eastAsiaTheme="majorEastAsia"/>
          <w:szCs w:val="24"/>
          <w:u w:val="single"/>
        </w:rPr>
        <w:t xml:space="preserve">  </w:t>
      </w:r>
      <w:r>
        <w:rPr>
          <w:rFonts w:cs="Tahoma" w:asciiTheme="majorEastAsia" w:hAnsiTheme="majorEastAsia" w:eastAsiaTheme="majorEastAsia"/>
          <w:szCs w:val="24"/>
          <w:u w:val="single"/>
        </w:rPr>
        <w:t>年</w:t>
      </w:r>
      <w:r>
        <w:rPr>
          <w:rFonts w:hint="eastAsia" w:cs="Tahoma" w:asciiTheme="majorEastAsia" w:hAnsiTheme="majorEastAsia" w:eastAsiaTheme="majorEastAsia"/>
          <w:szCs w:val="24"/>
          <w:u w:val="single"/>
        </w:rPr>
        <w:t xml:space="preserve">  </w:t>
      </w:r>
      <w:r>
        <w:rPr>
          <w:rFonts w:cs="Tahoma" w:asciiTheme="majorEastAsia" w:hAnsiTheme="majorEastAsia" w:eastAsiaTheme="majorEastAsia"/>
          <w:szCs w:val="24"/>
          <w:u w:val="single"/>
        </w:rPr>
        <w:t>月</w:t>
      </w:r>
      <w:r>
        <w:rPr>
          <w:rFonts w:hint="eastAsia" w:cs="Tahoma" w:asciiTheme="majorEastAsia" w:hAnsiTheme="majorEastAsia" w:eastAsiaTheme="majorEastAsia"/>
          <w:szCs w:val="24"/>
          <w:u w:val="single"/>
        </w:rPr>
        <w:t xml:space="preserve">  </w:t>
      </w:r>
      <w:r>
        <w:rPr>
          <w:rFonts w:cs="Tahoma" w:asciiTheme="majorEastAsia" w:hAnsiTheme="majorEastAsia" w:eastAsiaTheme="majorEastAsia"/>
          <w:szCs w:val="24"/>
          <w:u w:val="single"/>
        </w:rPr>
        <w:t>日</w:t>
      </w:r>
      <w:r>
        <w:rPr>
          <w:rFonts w:cs="Tahoma" w:asciiTheme="majorEastAsia" w:hAnsiTheme="majorEastAsia" w:eastAsiaTheme="majorEastAsia"/>
          <w:szCs w:val="24"/>
        </w:rPr>
        <w:t>公开招标。确定</w:t>
      </w:r>
      <w:r>
        <w:rPr>
          <w:rFonts w:hint="eastAsia" w:cs="Tahoma" w:asciiTheme="majorEastAsia" w:hAnsiTheme="majorEastAsia" w:eastAsiaTheme="majorEastAsia"/>
          <w:szCs w:val="24"/>
          <w:u w:val="single"/>
          <w:lang w:val="en-US" w:eastAsia="zh-CN"/>
        </w:rPr>
        <w:t xml:space="preserve">     </w:t>
      </w:r>
      <w:r>
        <w:rPr>
          <w:rFonts w:cs="Tahoma" w:asciiTheme="majorEastAsia" w:hAnsiTheme="majorEastAsia" w:eastAsiaTheme="majorEastAsia"/>
          <w:szCs w:val="24"/>
          <w:u w:val="single"/>
        </w:rPr>
        <w:t>(乙方)</w:t>
      </w:r>
      <w:r>
        <w:rPr>
          <w:rFonts w:hint="eastAsia" w:cs="Tahoma" w:asciiTheme="majorEastAsia" w:hAnsiTheme="majorEastAsia" w:eastAsiaTheme="majorEastAsia"/>
          <w:szCs w:val="24"/>
          <w:u w:val="single"/>
          <w:lang w:val="en-US" w:eastAsia="zh-CN"/>
        </w:rPr>
        <w:t xml:space="preserve">  </w:t>
      </w:r>
      <w:r>
        <w:rPr>
          <w:rFonts w:cs="Tahoma" w:asciiTheme="majorEastAsia" w:hAnsiTheme="majorEastAsia" w:eastAsiaTheme="majorEastAsia"/>
          <w:szCs w:val="24"/>
        </w:rPr>
        <w:t>为中标人。甲乙双方依据《中华人民共和国</w:t>
      </w:r>
      <w:r>
        <w:rPr>
          <w:rFonts w:hint="eastAsia" w:cs="Tahoma" w:asciiTheme="majorEastAsia" w:hAnsiTheme="majorEastAsia" w:eastAsiaTheme="majorEastAsia"/>
          <w:szCs w:val="24"/>
        </w:rPr>
        <w:t>民法典</w:t>
      </w:r>
      <w:r>
        <w:rPr>
          <w:rFonts w:cs="Tahoma" w:asciiTheme="majorEastAsia" w:hAnsiTheme="majorEastAsia" w:eastAsiaTheme="majorEastAsia"/>
          <w:szCs w:val="24"/>
        </w:rPr>
        <w:t>》在平等自愿的基础上，同意按照下面的条款和条件，签署本合同。</w:t>
      </w:r>
    </w:p>
    <w:p>
      <w:pPr>
        <w:snapToGrid w:val="0"/>
        <w:spacing w:before="238" w:line="419" w:lineRule="atLeast"/>
        <w:ind w:firstLine="482"/>
        <w:rPr>
          <w:rFonts w:cs="Tahoma" w:asciiTheme="majorEastAsia" w:hAnsiTheme="majorEastAsia" w:eastAsiaTheme="majorEastAsia"/>
          <w:b/>
          <w:bCs/>
          <w:sz w:val="24"/>
        </w:rPr>
      </w:pPr>
      <w:r>
        <w:rPr>
          <w:rFonts w:hint="eastAsia" w:cs="Tahoma" w:asciiTheme="majorEastAsia" w:hAnsiTheme="majorEastAsia" w:eastAsiaTheme="majorEastAsia"/>
          <w:b/>
          <w:bCs/>
          <w:sz w:val="24"/>
        </w:rPr>
        <w:t>一</w:t>
      </w:r>
      <w:r>
        <w:rPr>
          <w:rFonts w:cs="Tahoma" w:asciiTheme="majorEastAsia" w:hAnsiTheme="majorEastAsia" w:eastAsiaTheme="majorEastAsia"/>
          <w:b/>
          <w:bCs/>
          <w:sz w:val="24"/>
        </w:rPr>
        <w:t>、合同文件</w:t>
      </w:r>
    </w:p>
    <w:p>
      <w:pPr>
        <w:snapToGrid w:val="0"/>
        <w:spacing w:before="238" w:line="419" w:lineRule="atLeast"/>
        <w:ind w:firstLine="480" w:firstLineChars="200"/>
        <w:rPr>
          <w:rFonts w:cs="Tahoma" w:asciiTheme="majorEastAsia" w:hAnsiTheme="majorEastAsia" w:eastAsiaTheme="majorEastAsia"/>
          <w:sz w:val="24"/>
        </w:rPr>
      </w:pPr>
      <w:r>
        <w:rPr>
          <w:rFonts w:cs="Tahoma" w:asciiTheme="majorEastAsia" w:hAnsiTheme="majorEastAsia" w:eastAsiaTheme="majorEastAsia"/>
          <w:sz w:val="24"/>
        </w:rPr>
        <w:t>下列文件构成本合同的组成部分，应该认为是一个整体，彼此相互解释，相互补充。组成合同的多个文件的优先支配地位的次序如下：</w:t>
      </w:r>
    </w:p>
    <w:p>
      <w:pPr>
        <w:snapToGrid w:val="0"/>
        <w:spacing w:before="119" w:line="419" w:lineRule="atLeast"/>
        <w:ind w:firstLine="480"/>
        <w:rPr>
          <w:rFonts w:cs="Tahoma" w:asciiTheme="majorEastAsia" w:hAnsiTheme="majorEastAsia" w:eastAsiaTheme="majorEastAsia"/>
          <w:sz w:val="24"/>
        </w:rPr>
      </w:pPr>
      <w:r>
        <w:rPr>
          <w:rFonts w:cs="Tahoma" w:asciiTheme="majorEastAsia" w:hAnsiTheme="majorEastAsia" w:eastAsiaTheme="majorEastAsia"/>
          <w:sz w:val="24"/>
        </w:rPr>
        <w:t>a.本合同书</w:t>
      </w:r>
    </w:p>
    <w:p>
      <w:pPr>
        <w:snapToGrid w:val="0"/>
        <w:spacing w:before="119" w:line="419" w:lineRule="atLeast"/>
        <w:ind w:firstLine="480"/>
        <w:rPr>
          <w:rFonts w:cs="Tahoma" w:asciiTheme="majorEastAsia" w:hAnsiTheme="majorEastAsia" w:eastAsiaTheme="majorEastAsia"/>
          <w:sz w:val="24"/>
        </w:rPr>
      </w:pPr>
      <w:r>
        <w:rPr>
          <w:rFonts w:cs="Tahoma" w:asciiTheme="majorEastAsia" w:hAnsiTheme="majorEastAsia" w:eastAsiaTheme="majorEastAsia"/>
          <w:sz w:val="24"/>
        </w:rPr>
        <w:t>b.中标通知书</w:t>
      </w:r>
    </w:p>
    <w:p>
      <w:pPr>
        <w:snapToGrid w:val="0"/>
        <w:spacing w:before="119" w:after="147" w:line="419" w:lineRule="atLeast"/>
        <w:ind w:firstLine="480"/>
        <w:rPr>
          <w:rFonts w:cs="Tahoma" w:asciiTheme="majorEastAsia" w:hAnsiTheme="majorEastAsia" w:eastAsiaTheme="majorEastAsia"/>
          <w:sz w:val="24"/>
        </w:rPr>
      </w:pPr>
      <w:r>
        <w:rPr>
          <w:rFonts w:cs="Tahoma" w:asciiTheme="majorEastAsia" w:hAnsiTheme="majorEastAsia" w:eastAsiaTheme="majorEastAsia"/>
          <w:sz w:val="24"/>
        </w:rPr>
        <w:t>c.投标文件</w:t>
      </w:r>
      <w:r>
        <w:rPr>
          <w:rFonts w:cs="Tahoma" w:asciiTheme="majorEastAsia" w:hAnsiTheme="majorEastAsia" w:eastAsiaTheme="majorEastAsia"/>
          <w:sz w:val="24"/>
        </w:rPr>
        <w:tab/>
      </w:r>
      <w:r>
        <w:rPr>
          <w:rFonts w:cs="Tahoma" w:asciiTheme="majorEastAsia" w:hAnsiTheme="majorEastAsia" w:eastAsiaTheme="majorEastAsia"/>
          <w:sz w:val="24"/>
        </w:rPr>
        <w:t xml:space="preserve">        (含澄清内容)</w:t>
      </w:r>
    </w:p>
    <w:p>
      <w:pPr>
        <w:snapToGrid w:val="0"/>
        <w:spacing w:before="119" w:line="419" w:lineRule="atLeast"/>
        <w:ind w:firstLine="480"/>
        <w:rPr>
          <w:rFonts w:cs="Tahoma" w:asciiTheme="majorEastAsia" w:hAnsiTheme="majorEastAsia" w:eastAsiaTheme="majorEastAsia"/>
          <w:sz w:val="24"/>
        </w:rPr>
      </w:pPr>
      <w:r>
        <w:rPr>
          <w:rFonts w:cs="Tahoma" w:asciiTheme="majorEastAsia" w:hAnsiTheme="majorEastAsia" w:eastAsiaTheme="majorEastAsia"/>
          <w:sz w:val="24"/>
        </w:rPr>
        <w:t>d.变更补充文件</w:t>
      </w:r>
      <w:r>
        <w:rPr>
          <w:rFonts w:cs="Tahoma" w:asciiTheme="majorEastAsia" w:hAnsiTheme="majorEastAsia" w:eastAsiaTheme="majorEastAsia"/>
          <w:sz w:val="24"/>
        </w:rPr>
        <w:tab/>
      </w:r>
      <w:r>
        <w:rPr>
          <w:rFonts w:cs="Tahoma" w:asciiTheme="majorEastAsia" w:hAnsiTheme="majorEastAsia" w:eastAsiaTheme="majorEastAsia"/>
          <w:sz w:val="24"/>
        </w:rPr>
        <w:tab/>
      </w:r>
      <w:r>
        <w:rPr>
          <w:rFonts w:cs="Tahoma" w:asciiTheme="majorEastAsia" w:hAnsiTheme="majorEastAsia" w:eastAsiaTheme="majorEastAsia"/>
          <w:sz w:val="24"/>
        </w:rPr>
        <w:tab/>
      </w:r>
      <w:r>
        <w:rPr>
          <w:rFonts w:cs="Tahoma" w:asciiTheme="majorEastAsia" w:hAnsiTheme="majorEastAsia" w:eastAsiaTheme="majorEastAsia"/>
          <w:sz w:val="24"/>
        </w:rPr>
        <w:tab/>
      </w:r>
    </w:p>
    <w:p>
      <w:pPr>
        <w:snapToGrid w:val="0"/>
        <w:spacing w:before="119" w:after="147" w:line="419" w:lineRule="atLeast"/>
        <w:ind w:firstLine="480"/>
        <w:rPr>
          <w:rFonts w:cs="Tahoma" w:asciiTheme="majorEastAsia" w:hAnsiTheme="majorEastAsia" w:eastAsiaTheme="majorEastAsia"/>
          <w:sz w:val="24"/>
        </w:rPr>
      </w:pPr>
      <w:r>
        <w:rPr>
          <w:rFonts w:cs="Tahoma" w:asciiTheme="majorEastAsia" w:hAnsiTheme="majorEastAsia" w:eastAsiaTheme="majorEastAsia"/>
          <w:sz w:val="24"/>
        </w:rPr>
        <w:t>e.招标文件</w:t>
      </w:r>
      <w:r>
        <w:rPr>
          <w:rFonts w:cs="Tahoma" w:asciiTheme="majorEastAsia" w:hAnsiTheme="majorEastAsia" w:eastAsiaTheme="majorEastAsia"/>
          <w:sz w:val="24"/>
        </w:rPr>
        <w:tab/>
      </w:r>
      <w:r>
        <w:rPr>
          <w:rFonts w:cs="Tahoma" w:asciiTheme="majorEastAsia" w:hAnsiTheme="majorEastAsia" w:eastAsiaTheme="majorEastAsia"/>
          <w:sz w:val="24"/>
        </w:rPr>
        <w:tab/>
      </w:r>
      <w:r>
        <w:rPr>
          <w:rFonts w:cs="Tahoma" w:asciiTheme="majorEastAsia" w:hAnsiTheme="majorEastAsia" w:eastAsiaTheme="majorEastAsia"/>
          <w:sz w:val="24"/>
        </w:rPr>
        <w:t xml:space="preserve">    (含澄清修改文件)</w:t>
      </w:r>
    </w:p>
    <w:p>
      <w:pPr>
        <w:snapToGrid w:val="0"/>
        <w:spacing w:before="120" w:beforeLines="50" w:after="120" w:afterLines="50" w:line="419" w:lineRule="atLeast"/>
        <w:ind w:firstLine="482"/>
        <w:rPr>
          <w:rFonts w:ascii="宋体" w:hAnsi="宋体"/>
          <w:b/>
          <w:sz w:val="24"/>
          <w:szCs w:val="21"/>
        </w:rPr>
      </w:pPr>
      <w:r>
        <w:rPr>
          <w:rFonts w:hint="eastAsia" w:ascii="宋体" w:hAnsi="宋体"/>
          <w:b/>
          <w:sz w:val="24"/>
          <w:szCs w:val="21"/>
        </w:rPr>
        <w:t>二、服务内容</w:t>
      </w:r>
    </w:p>
    <w:p>
      <w:pPr>
        <w:snapToGrid w:val="0"/>
        <w:spacing w:before="120" w:beforeLines="50" w:after="120" w:afterLines="50" w:line="419" w:lineRule="atLeast"/>
        <w:ind w:firstLine="482" w:firstLineChars="200"/>
        <w:rPr>
          <w:rFonts w:ascii="宋体" w:hAnsi="宋体"/>
          <w:b/>
          <w:sz w:val="24"/>
          <w:szCs w:val="21"/>
        </w:rPr>
      </w:pPr>
    </w:p>
    <w:p>
      <w:pPr>
        <w:spacing w:line="360" w:lineRule="auto"/>
        <w:ind w:firstLine="482"/>
        <w:rPr>
          <w:rFonts w:ascii="宋体" w:hAnsi="宋体"/>
          <w:b/>
          <w:sz w:val="24"/>
        </w:rPr>
      </w:pPr>
      <w:r>
        <w:rPr>
          <w:rFonts w:hint="eastAsia" w:ascii="宋体" w:hAnsi="宋体"/>
          <w:b/>
          <w:sz w:val="24"/>
        </w:rPr>
        <w:t>三、价款</w:t>
      </w:r>
    </w:p>
    <w:p>
      <w:pPr>
        <w:spacing w:line="360" w:lineRule="auto"/>
        <w:ind w:firstLine="480" w:firstLineChars="200"/>
        <w:rPr>
          <w:rFonts w:ascii="宋体" w:hAnsi="宋体"/>
          <w:sz w:val="24"/>
        </w:rPr>
      </w:pPr>
      <w:r>
        <w:rPr>
          <w:rFonts w:hint="eastAsia" w:ascii="宋体" w:hAnsi="宋体"/>
          <w:sz w:val="24"/>
        </w:rPr>
        <w:t>本合同总价为：</w:t>
      </w:r>
      <w:r>
        <w:rPr>
          <w:rFonts w:hint="eastAsia" w:ascii="宋体" w:hAnsi="宋体" w:cs="宋体"/>
          <w:sz w:val="24"/>
          <w:u w:val="single"/>
        </w:rPr>
        <w:t xml:space="preserve">¥        </w:t>
      </w:r>
      <w:r>
        <w:rPr>
          <w:rFonts w:hint="eastAsia" w:ascii="宋体" w:hAnsi="宋体"/>
          <w:sz w:val="24"/>
        </w:rPr>
        <w:t>（大写：元人民币，</w:t>
      </w:r>
      <w:r>
        <w:rPr>
          <w:rFonts w:hint="eastAsia" w:ascii="宋体" w:hAnsi="宋体" w:cs="仿宋_GB2312"/>
          <w:sz w:val="24"/>
        </w:rPr>
        <w:t>注：投标报价一次报定：包括但不限于规划编制方案费、调研费、交通费、税费、培训费、差旅费、保险、利润、税金、政策性文件规定费用及合同包含的所有风险、责任等其他一切费用</w:t>
      </w:r>
      <w:r>
        <w:rPr>
          <w:rFonts w:hint="eastAsia" w:ascii="宋体" w:hAnsi="宋体"/>
          <w:sz w:val="24"/>
        </w:rPr>
        <w:t>。</w:t>
      </w:r>
    </w:p>
    <w:p>
      <w:pPr>
        <w:spacing w:line="360" w:lineRule="auto"/>
        <w:ind w:firstLine="480" w:firstLineChars="200"/>
        <w:rPr>
          <w:rFonts w:ascii="宋体" w:hAnsi="宋体"/>
          <w:sz w:val="24"/>
          <w:u w:val="single"/>
        </w:rPr>
      </w:pPr>
      <w:r>
        <w:rPr>
          <w:rFonts w:hint="eastAsia" w:ascii="宋体" w:hAnsi="宋体"/>
          <w:sz w:val="24"/>
        </w:rPr>
        <w:t>分项价格：</w:t>
      </w:r>
    </w:p>
    <w:tbl>
      <w:tblPr>
        <w:tblStyle w:val="53"/>
        <w:tblW w:w="8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4678"/>
        <w:gridCol w:w="3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pPr>
              <w:pStyle w:val="565"/>
              <w:jc w:val="center"/>
              <w:rPr>
                <w:rFonts w:hAnsi="宋体"/>
                <w:szCs w:val="24"/>
              </w:rPr>
            </w:pPr>
            <w:r>
              <w:rPr>
                <w:rFonts w:hint="eastAsia" w:hAnsi="宋体"/>
                <w:szCs w:val="24"/>
              </w:rPr>
              <w:t>序号</w:t>
            </w:r>
          </w:p>
        </w:tc>
        <w:tc>
          <w:tcPr>
            <w:tcW w:w="4678" w:type="dxa"/>
            <w:vAlign w:val="center"/>
          </w:tcPr>
          <w:p>
            <w:pPr>
              <w:pStyle w:val="565"/>
              <w:ind w:firstLine="480"/>
              <w:jc w:val="center"/>
              <w:rPr>
                <w:rFonts w:hAnsi="宋体"/>
                <w:szCs w:val="24"/>
              </w:rPr>
            </w:pPr>
            <w:r>
              <w:rPr>
                <w:rFonts w:hint="eastAsia" w:hAnsi="宋体"/>
                <w:szCs w:val="24"/>
              </w:rPr>
              <w:t>分项名称</w:t>
            </w:r>
          </w:p>
        </w:tc>
        <w:tc>
          <w:tcPr>
            <w:tcW w:w="3478" w:type="dxa"/>
            <w:vAlign w:val="center"/>
          </w:tcPr>
          <w:p>
            <w:pPr>
              <w:pStyle w:val="565"/>
              <w:jc w:val="center"/>
              <w:rPr>
                <w:rFonts w:hAnsi="宋体"/>
                <w:szCs w:val="24"/>
              </w:rPr>
            </w:pPr>
            <w:r>
              <w:rPr>
                <w:rFonts w:hint="eastAsia" w:hAnsi="宋体"/>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pPr>
              <w:pStyle w:val="565"/>
              <w:ind w:firstLine="480"/>
              <w:jc w:val="center"/>
              <w:rPr>
                <w:rFonts w:hAnsi="宋体"/>
                <w:szCs w:val="24"/>
              </w:rPr>
            </w:pPr>
          </w:p>
        </w:tc>
        <w:tc>
          <w:tcPr>
            <w:tcW w:w="4678" w:type="dxa"/>
            <w:vAlign w:val="center"/>
          </w:tcPr>
          <w:p>
            <w:pPr>
              <w:pStyle w:val="565"/>
              <w:ind w:firstLine="480"/>
              <w:jc w:val="center"/>
              <w:rPr>
                <w:rFonts w:hAnsi="宋体"/>
                <w:szCs w:val="24"/>
              </w:rPr>
            </w:pPr>
          </w:p>
        </w:tc>
        <w:tc>
          <w:tcPr>
            <w:tcW w:w="3478" w:type="dxa"/>
            <w:vAlign w:val="center"/>
          </w:tcPr>
          <w:p>
            <w:pPr>
              <w:pStyle w:val="565"/>
              <w:ind w:firstLine="480"/>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pPr>
              <w:pStyle w:val="565"/>
              <w:ind w:firstLine="480"/>
              <w:jc w:val="center"/>
              <w:rPr>
                <w:rFonts w:hAnsi="宋体"/>
                <w:szCs w:val="24"/>
              </w:rPr>
            </w:pPr>
          </w:p>
        </w:tc>
        <w:tc>
          <w:tcPr>
            <w:tcW w:w="4678" w:type="dxa"/>
            <w:vAlign w:val="center"/>
          </w:tcPr>
          <w:p>
            <w:pPr>
              <w:pStyle w:val="565"/>
              <w:ind w:firstLine="480"/>
              <w:jc w:val="center"/>
              <w:rPr>
                <w:rFonts w:hAnsi="宋体"/>
                <w:szCs w:val="24"/>
              </w:rPr>
            </w:pPr>
          </w:p>
        </w:tc>
        <w:tc>
          <w:tcPr>
            <w:tcW w:w="3478" w:type="dxa"/>
            <w:vAlign w:val="center"/>
          </w:tcPr>
          <w:p>
            <w:pPr>
              <w:pStyle w:val="565"/>
              <w:ind w:firstLine="480"/>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pPr>
              <w:pStyle w:val="565"/>
              <w:ind w:firstLine="480"/>
              <w:jc w:val="center"/>
              <w:rPr>
                <w:rFonts w:hAnsi="宋体"/>
                <w:szCs w:val="24"/>
              </w:rPr>
            </w:pPr>
          </w:p>
        </w:tc>
        <w:tc>
          <w:tcPr>
            <w:tcW w:w="4678" w:type="dxa"/>
            <w:vAlign w:val="center"/>
          </w:tcPr>
          <w:p>
            <w:pPr>
              <w:pStyle w:val="565"/>
              <w:ind w:firstLine="480"/>
              <w:jc w:val="center"/>
              <w:rPr>
                <w:rFonts w:hAnsi="宋体"/>
                <w:szCs w:val="24"/>
              </w:rPr>
            </w:pPr>
          </w:p>
        </w:tc>
        <w:tc>
          <w:tcPr>
            <w:tcW w:w="3478" w:type="dxa"/>
            <w:vAlign w:val="center"/>
          </w:tcPr>
          <w:p>
            <w:pPr>
              <w:pStyle w:val="565"/>
              <w:ind w:firstLine="480"/>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pPr>
              <w:pStyle w:val="565"/>
              <w:ind w:firstLine="480"/>
              <w:jc w:val="center"/>
              <w:rPr>
                <w:rFonts w:hAnsi="宋体"/>
                <w:szCs w:val="24"/>
              </w:rPr>
            </w:pPr>
          </w:p>
        </w:tc>
        <w:tc>
          <w:tcPr>
            <w:tcW w:w="4678" w:type="dxa"/>
            <w:vAlign w:val="center"/>
          </w:tcPr>
          <w:p>
            <w:pPr>
              <w:pStyle w:val="565"/>
              <w:ind w:firstLine="480"/>
              <w:jc w:val="center"/>
              <w:rPr>
                <w:rFonts w:hAnsi="宋体"/>
                <w:szCs w:val="24"/>
              </w:rPr>
            </w:pPr>
          </w:p>
        </w:tc>
        <w:tc>
          <w:tcPr>
            <w:tcW w:w="3478" w:type="dxa"/>
            <w:vAlign w:val="center"/>
          </w:tcPr>
          <w:p>
            <w:pPr>
              <w:pStyle w:val="565"/>
              <w:ind w:firstLine="480"/>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10" w:type="dxa"/>
            <w:gridSpan w:val="2"/>
            <w:vAlign w:val="center"/>
          </w:tcPr>
          <w:p>
            <w:pPr>
              <w:pStyle w:val="565"/>
              <w:ind w:firstLine="480"/>
              <w:jc w:val="center"/>
              <w:rPr>
                <w:rFonts w:hAnsi="宋体"/>
                <w:szCs w:val="24"/>
              </w:rPr>
            </w:pPr>
            <w:r>
              <w:rPr>
                <w:rFonts w:hint="eastAsia" w:hAnsi="宋体"/>
                <w:szCs w:val="24"/>
              </w:rPr>
              <w:t>总价</w:t>
            </w:r>
          </w:p>
        </w:tc>
        <w:tc>
          <w:tcPr>
            <w:tcW w:w="3478" w:type="dxa"/>
            <w:vAlign w:val="center"/>
          </w:tcPr>
          <w:p>
            <w:pPr>
              <w:pStyle w:val="565"/>
              <w:ind w:firstLine="480"/>
              <w:jc w:val="center"/>
              <w:rPr>
                <w:rFonts w:hAnsi="宋体"/>
                <w:szCs w:val="24"/>
              </w:rPr>
            </w:pPr>
          </w:p>
        </w:tc>
      </w:tr>
    </w:tbl>
    <w:p>
      <w:pPr>
        <w:spacing w:line="360" w:lineRule="auto"/>
        <w:ind w:firstLine="482"/>
        <w:rPr>
          <w:rFonts w:ascii="宋体" w:hAnsi="宋体"/>
          <w:b/>
          <w:sz w:val="24"/>
        </w:rPr>
      </w:pPr>
      <w:r>
        <w:rPr>
          <w:rFonts w:hint="eastAsia" w:ascii="宋体" w:hAnsi="宋体"/>
          <w:b/>
          <w:sz w:val="24"/>
        </w:rPr>
        <w:t>四、服务期限</w:t>
      </w:r>
    </w:p>
    <w:p>
      <w:pPr>
        <w:spacing w:line="360" w:lineRule="auto"/>
        <w:ind w:firstLine="480" w:firstLineChars="200"/>
        <w:rPr>
          <w:rFonts w:ascii="宋体" w:hAnsi="宋体"/>
          <w:color w:val="FF0000"/>
          <w:sz w:val="24"/>
        </w:rPr>
      </w:pPr>
      <w:r>
        <w:rPr>
          <w:rFonts w:hint="eastAsia" w:ascii="宋体" w:hAnsi="宋体"/>
          <w:sz w:val="24"/>
        </w:rPr>
        <w:t>合同签订之日起4个月内提交《碧湖新城智慧城市总体规划方案》、《碧湖新城智慧城市重点项目建设清单》征求意见稿，征求意见后1个月内提交评审稿。</w:t>
      </w:r>
    </w:p>
    <w:p>
      <w:pPr>
        <w:tabs>
          <w:tab w:val="left" w:pos="795"/>
        </w:tabs>
        <w:snapToGrid w:val="0"/>
        <w:spacing w:before="238" w:line="360" w:lineRule="auto"/>
        <w:ind w:firstLine="482"/>
        <w:rPr>
          <w:rFonts w:ascii="宋体" w:hAnsi="宋体"/>
          <w:b/>
          <w:sz w:val="24"/>
        </w:rPr>
      </w:pPr>
      <w:r>
        <w:rPr>
          <w:rFonts w:hint="eastAsia" w:ascii="宋体" w:hAnsi="宋体"/>
          <w:b/>
          <w:sz w:val="24"/>
        </w:rPr>
        <w:t>五、付款方式</w:t>
      </w:r>
    </w:p>
    <w:p>
      <w:pPr>
        <w:pStyle w:val="51"/>
        <w:ind w:firstLine="480"/>
      </w:pPr>
      <w:r>
        <w:rPr>
          <w:rFonts w:hint="eastAsia"/>
        </w:rPr>
        <w:t>合同签订且收到乙方开具的正式发票后7个工作日内支付合同金额的40%作为预付款；规划方案和建设清单完成评审并经甲方验收合格且收到乙方开具的正式发票后7个工作日内支付合同剩余款项。</w:t>
      </w:r>
    </w:p>
    <w:p>
      <w:pPr>
        <w:tabs>
          <w:tab w:val="left" w:pos="795"/>
        </w:tabs>
        <w:snapToGrid w:val="0"/>
        <w:spacing w:before="238" w:line="419" w:lineRule="atLeast"/>
        <w:ind w:firstLine="482"/>
        <w:rPr>
          <w:rFonts w:ascii="宋体" w:hAnsi="宋体"/>
          <w:b/>
          <w:sz w:val="24"/>
        </w:rPr>
      </w:pPr>
      <w:r>
        <w:rPr>
          <w:rFonts w:hint="eastAsia" w:ascii="宋体" w:hAnsi="宋体"/>
          <w:b/>
          <w:sz w:val="24"/>
        </w:rPr>
        <w:t>六、成果编制要求</w:t>
      </w:r>
    </w:p>
    <w:p>
      <w:pPr>
        <w:tabs>
          <w:tab w:val="left" w:pos="795"/>
        </w:tabs>
        <w:snapToGrid w:val="0"/>
        <w:spacing w:before="238" w:line="360" w:lineRule="auto"/>
        <w:ind w:firstLine="480" w:firstLineChars="200"/>
        <w:rPr>
          <w:rFonts w:ascii="宋体" w:hAnsi="宋体"/>
          <w:b/>
          <w:sz w:val="24"/>
        </w:rPr>
      </w:pPr>
      <w:r>
        <w:rPr>
          <w:rFonts w:ascii="宋体" w:hAnsi="宋体"/>
          <w:sz w:val="24"/>
        </w:rPr>
        <w:t>1.对</w:t>
      </w:r>
      <w:r>
        <w:rPr>
          <w:rFonts w:hint="eastAsia" w:ascii="宋体" w:hAnsi="宋体"/>
          <w:sz w:val="24"/>
        </w:rPr>
        <w:t>碧湖新城</w:t>
      </w:r>
      <w:r>
        <w:rPr>
          <w:rFonts w:ascii="宋体" w:hAnsi="宋体"/>
          <w:sz w:val="24"/>
        </w:rPr>
        <w:t>社会经济发展、</w:t>
      </w:r>
      <w:r>
        <w:rPr>
          <w:rFonts w:hint="eastAsia" w:ascii="宋体" w:hAnsi="宋体"/>
          <w:sz w:val="24"/>
        </w:rPr>
        <w:t>数字</w:t>
      </w:r>
      <w:r>
        <w:rPr>
          <w:rFonts w:ascii="宋体" w:hAnsi="宋体"/>
          <w:sz w:val="24"/>
        </w:rPr>
        <w:t>基础设施、信息化发展环境建设等现状进行</w:t>
      </w:r>
      <w:r>
        <w:rPr>
          <w:rFonts w:hint="eastAsia" w:ascii="宋体" w:hAnsi="宋体"/>
          <w:sz w:val="24"/>
        </w:rPr>
        <w:t>充分调研。</w:t>
      </w:r>
      <w:r>
        <w:rPr>
          <w:rFonts w:ascii="宋体" w:hAnsi="宋体"/>
          <w:sz w:val="24"/>
        </w:rPr>
        <w:t>立足国内外智慧城市发展</w:t>
      </w:r>
      <w:r>
        <w:rPr>
          <w:rFonts w:hint="eastAsia" w:ascii="宋体" w:hAnsi="宋体"/>
          <w:sz w:val="24"/>
        </w:rPr>
        <w:t>最新</w:t>
      </w:r>
      <w:r>
        <w:rPr>
          <w:rFonts w:ascii="宋体" w:hAnsi="宋体"/>
          <w:sz w:val="24"/>
        </w:rPr>
        <w:t>趋势，结合</w:t>
      </w:r>
      <w:r>
        <w:rPr>
          <w:rFonts w:hint="eastAsia" w:ascii="宋体" w:hAnsi="宋体"/>
          <w:sz w:val="24"/>
        </w:rPr>
        <w:t>碧湖</w:t>
      </w:r>
      <w:r>
        <w:rPr>
          <w:rFonts w:ascii="宋体" w:hAnsi="宋体"/>
          <w:sz w:val="24"/>
        </w:rPr>
        <w:t>发展现状和需求，编制</w:t>
      </w:r>
      <w:r>
        <w:rPr>
          <w:rFonts w:ascii="宋体" w:hAnsi="宋体"/>
          <w:b/>
          <w:sz w:val="24"/>
        </w:rPr>
        <w:t>《</w:t>
      </w:r>
      <w:r>
        <w:rPr>
          <w:rFonts w:hint="eastAsia" w:ascii="宋体" w:hAnsi="宋体"/>
          <w:b/>
          <w:sz w:val="24"/>
        </w:rPr>
        <w:t>碧湖新城智慧城市总体规划方案》</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b/>
          <w:sz w:val="24"/>
        </w:rPr>
        <w:t>在《碧湖新城智慧城市总体规划方案》</w:t>
      </w:r>
      <w:r>
        <w:rPr>
          <w:rFonts w:hint="eastAsia" w:ascii="宋体" w:hAnsi="宋体"/>
          <w:sz w:val="24"/>
        </w:rPr>
        <w:t>基础上，编制</w:t>
      </w:r>
      <w:r>
        <w:rPr>
          <w:rFonts w:hint="eastAsia" w:ascii="宋体" w:hAnsi="宋体"/>
          <w:b/>
          <w:sz w:val="24"/>
        </w:rPr>
        <w:t>《碧湖新城智慧城市重点项目建设清单》</w:t>
      </w:r>
      <w:r>
        <w:rPr>
          <w:rFonts w:hint="eastAsia" w:ascii="宋体" w:hAnsi="宋体"/>
          <w:sz w:val="24"/>
        </w:rPr>
        <w:t>，清单内容包括但不限于：</w:t>
      </w:r>
    </w:p>
    <w:p>
      <w:pPr>
        <w:spacing w:line="360" w:lineRule="auto"/>
        <w:ind w:firstLine="480" w:firstLineChars="200"/>
        <w:rPr>
          <w:rFonts w:ascii="宋体" w:hAnsi="宋体"/>
          <w:sz w:val="24"/>
        </w:rPr>
      </w:pPr>
      <w:r>
        <w:rPr>
          <w:rFonts w:hint="eastAsia" w:ascii="宋体" w:hAnsi="宋体"/>
          <w:sz w:val="24"/>
        </w:rPr>
        <w:t>（1）全面涵盖数字碧湖各领域重点建设项目，项目不少于20个；</w:t>
      </w:r>
    </w:p>
    <w:p>
      <w:pPr>
        <w:spacing w:line="360" w:lineRule="auto"/>
        <w:ind w:firstLine="480" w:firstLineChars="200"/>
        <w:rPr>
          <w:rFonts w:ascii="宋体" w:hAnsi="宋体"/>
          <w:sz w:val="24"/>
        </w:rPr>
      </w:pPr>
      <w:r>
        <w:rPr>
          <w:rFonts w:hint="eastAsia" w:ascii="宋体" w:hAnsi="宋体"/>
          <w:sz w:val="24"/>
        </w:rPr>
        <w:t>（2）各领域重点建设项目逐一详细阐述细化方案，包括但不限于建设内容、建设范围、项目建设年度与周期、投资金额概算、建设运营主体等。</w:t>
      </w:r>
    </w:p>
    <w:p>
      <w:pPr>
        <w:tabs>
          <w:tab w:val="left" w:pos="795"/>
        </w:tabs>
        <w:snapToGrid w:val="0"/>
        <w:spacing w:before="238" w:line="419" w:lineRule="atLeast"/>
        <w:ind w:firstLine="482"/>
        <w:rPr>
          <w:rFonts w:ascii="宋体" w:hAnsi="宋体"/>
          <w:b/>
          <w:sz w:val="24"/>
        </w:rPr>
      </w:pPr>
      <w:r>
        <w:rPr>
          <w:rFonts w:hint="eastAsia" w:ascii="宋体" w:hAnsi="宋体"/>
          <w:b/>
          <w:sz w:val="24"/>
        </w:rPr>
        <w:t>七、技术规范</w:t>
      </w:r>
    </w:p>
    <w:p>
      <w:pPr>
        <w:tabs>
          <w:tab w:val="left" w:pos="795"/>
        </w:tabs>
        <w:snapToGrid w:val="0"/>
        <w:spacing w:before="238" w:line="419" w:lineRule="atLeast"/>
        <w:ind w:firstLine="480" w:firstLineChars="200"/>
        <w:rPr>
          <w:rFonts w:ascii="宋体" w:hAnsi="宋体" w:cs="宋体"/>
          <w:kern w:val="0"/>
          <w:sz w:val="24"/>
        </w:rPr>
      </w:pPr>
      <w:r>
        <w:rPr>
          <w:rFonts w:hint="eastAsia" w:ascii="宋体" w:hAnsi="宋体" w:cs="宋体"/>
          <w:kern w:val="0"/>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tabs>
          <w:tab w:val="left" w:pos="795"/>
        </w:tabs>
        <w:snapToGrid w:val="0"/>
        <w:spacing w:before="238" w:line="419" w:lineRule="atLeast"/>
        <w:ind w:firstLine="482"/>
        <w:rPr>
          <w:rFonts w:ascii="宋体" w:hAnsi="宋体"/>
          <w:b/>
          <w:sz w:val="24"/>
        </w:rPr>
      </w:pPr>
      <w:r>
        <w:rPr>
          <w:rFonts w:hint="eastAsia" w:ascii="宋体" w:hAnsi="宋体"/>
          <w:b/>
          <w:sz w:val="24"/>
        </w:rPr>
        <w:t>八、保密条款</w:t>
      </w:r>
    </w:p>
    <w:p>
      <w:pPr>
        <w:tabs>
          <w:tab w:val="left" w:pos="795"/>
        </w:tabs>
        <w:snapToGrid w:val="0"/>
        <w:spacing w:before="238" w:line="419" w:lineRule="atLeast"/>
        <w:ind w:firstLine="480" w:firstLineChars="200"/>
        <w:rPr>
          <w:rFonts w:ascii="宋体" w:hAnsi="宋体" w:cs="宋体"/>
          <w:kern w:val="0"/>
          <w:sz w:val="24"/>
        </w:rPr>
      </w:pPr>
      <w:r>
        <w:rPr>
          <w:rFonts w:hint="eastAsia" w:ascii="宋体" w:hAnsi="宋体" w:cs="宋体"/>
          <w:kern w:val="0"/>
          <w:sz w:val="24"/>
        </w:rPr>
        <w:t>1.在执行合同时，乙方未经甲方事先书面同意，不得将所接触到的技术、业务资料、数据以及其他甲方提供的任何资料用作本合同目的之外的其他用途或以任何形式泄露给任何第三方，否则乙方将承担由此引起的法律责任和甲方损失。双方对所有本外包项目的有关资料，不得向第三方透露。</w:t>
      </w:r>
    </w:p>
    <w:p>
      <w:pPr>
        <w:tabs>
          <w:tab w:val="left" w:pos="795"/>
        </w:tabs>
        <w:snapToGrid w:val="0"/>
        <w:spacing w:before="238" w:line="419" w:lineRule="atLeast"/>
        <w:ind w:firstLine="480" w:firstLineChars="200"/>
        <w:rPr>
          <w:rFonts w:ascii="宋体" w:hAnsi="宋体" w:cs="宋体"/>
          <w:kern w:val="0"/>
          <w:sz w:val="24"/>
        </w:rPr>
      </w:pPr>
      <w:r>
        <w:rPr>
          <w:rFonts w:hint="eastAsia" w:ascii="宋体" w:hAnsi="宋体" w:cs="宋体"/>
          <w:kern w:val="0"/>
          <w:sz w:val="24"/>
        </w:rPr>
        <w:t>2.乙方人员为履行本项目而接触的甲方相关保密信息，应当予以严格保密，若乙方人员违反本保密条款，视为乙方严重违约并承担全部赔偿责任。</w:t>
      </w:r>
    </w:p>
    <w:p>
      <w:pPr>
        <w:tabs>
          <w:tab w:val="left" w:pos="795"/>
        </w:tabs>
        <w:snapToGrid w:val="0"/>
        <w:spacing w:before="238" w:line="419" w:lineRule="atLeast"/>
        <w:ind w:firstLine="480" w:firstLineChars="200"/>
        <w:rPr>
          <w:rFonts w:ascii="宋体" w:hAnsi="宋体" w:cs="宋体"/>
          <w:kern w:val="0"/>
          <w:sz w:val="24"/>
        </w:rPr>
      </w:pPr>
      <w:r>
        <w:rPr>
          <w:rFonts w:hint="eastAsia" w:ascii="宋体" w:hAnsi="宋体" w:cs="宋体"/>
          <w:kern w:val="0"/>
          <w:sz w:val="24"/>
        </w:rPr>
        <w:t>3.本保密条款持续有效，不随本协议的解除或终止而失效。</w:t>
      </w:r>
    </w:p>
    <w:p>
      <w:pPr>
        <w:tabs>
          <w:tab w:val="left" w:pos="795"/>
        </w:tabs>
        <w:snapToGrid w:val="0"/>
        <w:spacing w:before="238" w:line="419" w:lineRule="atLeast"/>
        <w:ind w:firstLine="482"/>
        <w:rPr>
          <w:rFonts w:ascii="宋体" w:hAnsi="宋体" w:cs="宋体"/>
          <w:kern w:val="0"/>
          <w:sz w:val="24"/>
        </w:rPr>
      </w:pPr>
      <w:r>
        <w:rPr>
          <w:rFonts w:hint="eastAsia" w:ascii="宋体" w:hAnsi="宋体"/>
          <w:b/>
          <w:sz w:val="24"/>
        </w:rPr>
        <w:t>九、知识产权</w:t>
      </w:r>
    </w:p>
    <w:p>
      <w:pPr>
        <w:tabs>
          <w:tab w:val="left" w:pos="795"/>
        </w:tabs>
        <w:snapToGrid w:val="0"/>
        <w:spacing w:before="238" w:line="419" w:lineRule="atLeast"/>
        <w:ind w:firstLine="480" w:firstLineChars="200"/>
        <w:rPr>
          <w:rFonts w:ascii="宋体" w:hAnsi="宋体" w:cs="宋体"/>
          <w:kern w:val="0"/>
          <w:sz w:val="24"/>
        </w:rPr>
      </w:pPr>
      <w:r>
        <w:rPr>
          <w:rFonts w:hint="eastAsia" w:ascii="宋体" w:hAnsi="宋体" w:cs="宋体"/>
          <w:kern w:val="0"/>
          <w:sz w:val="24"/>
        </w:rPr>
        <w:t>1.乙方保证对其交付的应用系统享有合法的权利。乙方保证在其交付的信息系统上不存在任何未曾向甲方透露的担保物权或其他权利负担，如抵押权、质押权、留置权等。</w:t>
      </w:r>
    </w:p>
    <w:p>
      <w:pPr>
        <w:tabs>
          <w:tab w:val="left" w:pos="795"/>
        </w:tabs>
        <w:snapToGrid w:val="0"/>
        <w:spacing w:before="238" w:line="419" w:lineRule="atLeast"/>
        <w:ind w:firstLine="480" w:firstLineChars="200"/>
        <w:rPr>
          <w:rFonts w:ascii="宋体" w:hAnsi="宋体" w:cs="宋体"/>
          <w:kern w:val="0"/>
          <w:sz w:val="24"/>
        </w:rPr>
      </w:pPr>
      <w:r>
        <w:rPr>
          <w:rFonts w:hint="eastAsia" w:ascii="宋体" w:hAnsi="宋体" w:cs="宋体"/>
          <w:kern w:val="0"/>
          <w:sz w:val="24"/>
        </w:rPr>
        <w:t>2. 乙方应保证其提供的服务不受任何第三方提出的侵犯其著作权、商标权、专利权等知识产权方面的起诉；如果任何第三方提出侵权指控，那么乙方须与该第三方交涉并承担由此发生的一切责任、费用和赔偿；</w:t>
      </w:r>
    </w:p>
    <w:p>
      <w:pPr>
        <w:tabs>
          <w:tab w:val="left" w:pos="795"/>
        </w:tabs>
        <w:snapToGrid w:val="0"/>
        <w:spacing w:before="238" w:line="419" w:lineRule="atLeast"/>
        <w:ind w:firstLine="480" w:firstLineChars="200"/>
        <w:rPr>
          <w:rFonts w:ascii="宋体" w:hAnsi="宋体" w:cs="宋体"/>
          <w:kern w:val="0"/>
          <w:sz w:val="24"/>
        </w:rPr>
      </w:pPr>
      <w:r>
        <w:rPr>
          <w:rFonts w:hint="eastAsia" w:ascii="宋体" w:hAnsi="宋体" w:cs="宋体"/>
          <w:kern w:val="0"/>
          <w:sz w:val="24"/>
        </w:rPr>
        <w:t>3. 如果甲方或乙方提供的内容属于保密的，必须事先签订书面保密协议，甲乙双方均有保密义务。</w:t>
      </w:r>
    </w:p>
    <w:p>
      <w:pPr>
        <w:tabs>
          <w:tab w:val="left" w:pos="795"/>
        </w:tabs>
        <w:snapToGrid w:val="0"/>
        <w:spacing w:before="238" w:line="419" w:lineRule="atLeast"/>
        <w:ind w:firstLine="480" w:firstLineChars="200"/>
        <w:rPr>
          <w:rFonts w:ascii="宋体" w:hAnsi="宋体" w:cs="宋体"/>
          <w:kern w:val="0"/>
          <w:sz w:val="24"/>
        </w:rPr>
      </w:pPr>
      <w:r>
        <w:rPr>
          <w:rFonts w:hint="eastAsia" w:ascii="宋体" w:hAnsi="宋体" w:cs="宋体"/>
          <w:kern w:val="0"/>
          <w:sz w:val="24"/>
        </w:rPr>
        <w:t>4. 该项目涉及的知识产权归甲方所有，未经甲方书面同意，乙方不得另做他用。如有违约乙方承担由此产生的全部经济责任和法律责任。</w:t>
      </w:r>
    </w:p>
    <w:p>
      <w:pPr>
        <w:tabs>
          <w:tab w:val="left" w:pos="795"/>
        </w:tabs>
        <w:snapToGrid w:val="0"/>
        <w:spacing w:before="238" w:line="419" w:lineRule="atLeast"/>
        <w:ind w:firstLine="482"/>
        <w:rPr>
          <w:rFonts w:ascii="宋体" w:hAnsi="宋体"/>
          <w:b/>
          <w:sz w:val="24"/>
        </w:rPr>
      </w:pPr>
      <w:r>
        <w:rPr>
          <w:rFonts w:hint="eastAsia" w:ascii="宋体" w:hAnsi="宋体"/>
          <w:b/>
          <w:sz w:val="24"/>
        </w:rPr>
        <w:t>十、质量保证</w:t>
      </w:r>
    </w:p>
    <w:p>
      <w:pPr>
        <w:tabs>
          <w:tab w:val="left" w:pos="795"/>
        </w:tabs>
        <w:snapToGrid w:val="0"/>
        <w:spacing w:before="238" w:line="419" w:lineRule="atLeast"/>
        <w:ind w:firstLine="480" w:firstLineChars="200"/>
        <w:rPr>
          <w:rFonts w:ascii="宋体" w:hAnsi="宋体" w:cs="宋体"/>
          <w:kern w:val="0"/>
          <w:sz w:val="24"/>
        </w:rPr>
      </w:pPr>
      <w:r>
        <w:rPr>
          <w:rFonts w:hint="eastAsia" w:ascii="宋体" w:hAnsi="宋体" w:cs="宋体"/>
          <w:kern w:val="0"/>
          <w:sz w:val="24"/>
        </w:rPr>
        <w:t>1. 乙方应建立和完善履行合同的内部质量保证体系，并提供相关内部规章制度给甲方，以便甲方进行监督检查；</w:t>
      </w:r>
    </w:p>
    <w:p>
      <w:pPr>
        <w:tabs>
          <w:tab w:val="left" w:pos="795"/>
        </w:tabs>
        <w:snapToGrid w:val="0"/>
        <w:spacing w:before="238" w:line="419" w:lineRule="atLeast"/>
        <w:ind w:firstLine="480" w:firstLineChars="200"/>
        <w:rPr>
          <w:rFonts w:ascii="宋体" w:hAnsi="宋体" w:cs="宋体"/>
          <w:kern w:val="0"/>
          <w:sz w:val="24"/>
        </w:rPr>
      </w:pPr>
      <w:r>
        <w:rPr>
          <w:rFonts w:hint="eastAsia" w:ascii="宋体" w:hAnsi="宋体" w:cs="宋体"/>
          <w:kern w:val="0"/>
          <w:sz w:val="24"/>
        </w:rPr>
        <w:t>2.乙方应保证履行合同的人员数量和素质、软件等的配置、场地、环境和设施等满足全面履行合同的要求，并应接受甲方的监督检查。</w:t>
      </w:r>
    </w:p>
    <w:p>
      <w:pPr>
        <w:tabs>
          <w:tab w:val="left" w:pos="795"/>
        </w:tabs>
        <w:snapToGrid w:val="0"/>
        <w:spacing w:before="238" w:line="419" w:lineRule="atLeast"/>
        <w:ind w:firstLine="482"/>
        <w:rPr>
          <w:rFonts w:ascii="宋体" w:hAnsi="宋体"/>
          <w:b/>
          <w:sz w:val="24"/>
        </w:rPr>
      </w:pPr>
      <w:r>
        <w:rPr>
          <w:rFonts w:hint="eastAsia" w:ascii="宋体" w:hAnsi="宋体"/>
          <w:b/>
          <w:sz w:val="24"/>
        </w:rPr>
        <w:t>十一、延迟履行</w:t>
      </w:r>
    </w:p>
    <w:p>
      <w:pPr>
        <w:tabs>
          <w:tab w:val="left" w:pos="795"/>
        </w:tabs>
        <w:snapToGrid w:val="0"/>
        <w:spacing w:before="238" w:line="419" w:lineRule="atLeast"/>
        <w:ind w:firstLine="480" w:firstLineChars="200"/>
        <w:rPr>
          <w:rFonts w:ascii="宋体" w:hAnsi="宋体" w:cs="宋体"/>
          <w:kern w:val="0"/>
          <w:sz w:val="24"/>
        </w:rPr>
      </w:pPr>
      <w:r>
        <w:rPr>
          <w:rFonts w:hint="eastAsia" w:ascii="宋体" w:hAnsi="宋体" w:cs="宋体"/>
          <w:kern w:val="0"/>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tabs>
          <w:tab w:val="left" w:pos="795"/>
        </w:tabs>
        <w:snapToGrid w:val="0"/>
        <w:spacing w:before="238" w:line="419" w:lineRule="atLeast"/>
        <w:ind w:firstLine="482"/>
        <w:rPr>
          <w:rFonts w:ascii="宋体" w:hAnsi="宋体"/>
          <w:b/>
          <w:sz w:val="24"/>
        </w:rPr>
      </w:pPr>
      <w:r>
        <w:rPr>
          <w:rFonts w:hint="eastAsia" w:ascii="宋体" w:hAnsi="宋体"/>
          <w:b/>
          <w:sz w:val="24"/>
        </w:rPr>
        <w:t>十二、合同变更</w:t>
      </w:r>
    </w:p>
    <w:p>
      <w:pPr>
        <w:tabs>
          <w:tab w:val="left" w:pos="795"/>
        </w:tabs>
        <w:snapToGrid w:val="0"/>
        <w:spacing w:before="238" w:line="419" w:lineRule="atLeast"/>
        <w:ind w:firstLine="480" w:firstLineChars="200"/>
        <w:rPr>
          <w:rFonts w:ascii="宋体" w:hAnsi="宋体" w:cs="宋体"/>
          <w:kern w:val="0"/>
          <w:sz w:val="24"/>
        </w:rPr>
      </w:pPr>
      <w:r>
        <w:rPr>
          <w:rFonts w:hint="eastAsia" w:ascii="宋体" w:hAnsi="宋体" w:cs="宋体"/>
          <w:kern w:val="0"/>
          <w:sz w:val="24"/>
        </w:rPr>
        <w:t>1. 双方当事人协商一致，可以签订书面补充合同的形式变更合同，但不得违背采购文件确定的事项，且如果系追加与合同标的相同的服务的，那么所有补充合同的采购金额不得超过原合同价的10%；</w:t>
      </w:r>
    </w:p>
    <w:p>
      <w:pPr>
        <w:tabs>
          <w:tab w:val="left" w:pos="795"/>
        </w:tabs>
        <w:snapToGrid w:val="0"/>
        <w:spacing w:before="238" w:line="419" w:lineRule="atLeast"/>
        <w:ind w:firstLine="480" w:firstLineChars="200"/>
        <w:rPr>
          <w:rFonts w:ascii="宋体" w:hAnsi="宋体" w:cs="宋体"/>
          <w:kern w:val="0"/>
          <w:sz w:val="24"/>
        </w:rPr>
      </w:pPr>
      <w:r>
        <w:rPr>
          <w:rFonts w:hint="eastAsia" w:ascii="宋体" w:hAnsi="宋体" w:cs="宋体"/>
          <w:kern w:val="0"/>
          <w:sz w:val="24"/>
        </w:rPr>
        <w:t>2. 如果合同履行过程中出现危害国家利益和社会公众利益的，甲方有权在任何时候发出书面通知解除合同，乙方需在合同解除后天内退回所有甲方已支付款项。</w:t>
      </w:r>
    </w:p>
    <w:p>
      <w:pPr>
        <w:tabs>
          <w:tab w:val="left" w:pos="795"/>
        </w:tabs>
        <w:snapToGrid w:val="0"/>
        <w:spacing w:before="238" w:line="419" w:lineRule="atLeast"/>
        <w:ind w:firstLine="482"/>
        <w:rPr>
          <w:rFonts w:ascii="宋体" w:hAnsi="宋体"/>
          <w:b/>
          <w:sz w:val="24"/>
        </w:rPr>
      </w:pPr>
      <w:r>
        <w:rPr>
          <w:rFonts w:hint="eastAsia" w:ascii="宋体" w:hAnsi="宋体"/>
          <w:b/>
          <w:sz w:val="24"/>
        </w:rPr>
        <w:t>十三、合同转让和分包</w:t>
      </w:r>
    </w:p>
    <w:p>
      <w:pPr>
        <w:tabs>
          <w:tab w:val="left" w:pos="795"/>
        </w:tabs>
        <w:snapToGrid w:val="0"/>
        <w:spacing w:before="238" w:line="419" w:lineRule="atLeast"/>
        <w:ind w:firstLine="480" w:firstLineChars="200"/>
        <w:rPr>
          <w:rFonts w:ascii="宋体" w:hAnsi="宋体" w:cs="宋体"/>
          <w:kern w:val="0"/>
          <w:sz w:val="24"/>
        </w:rPr>
      </w:pPr>
      <w:r>
        <w:rPr>
          <w:rFonts w:hint="eastAsia" w:ascii="宋体" w:hAnsi="宋体" w:cs="宋体"/>
          <w:kern w:val="0"/>
          <w:sz w:val="24"/>
        </w:rPr>
        <w:t>1.不允许转包。</w:t>
      </w:r>
    </w:p>
    <w:p>
      <w:pPr>
        <w:tabs>
          <w:tab w:val="left" w:pos="795"/>
        </w:tabs>
        <w:snapToGrid w:val="0"/>
        <w:spacing w:before="238" w:line="419" w:lineRule="atLeast"/>
        <w:ind w:firstLine="480" w:firstLineChars="200"/>
        <w:rPr>
          <w:rFonts w:ascii="宋体" w:hAnsi="宋体" w:cs="宋体"/>
          <w:kern w:val="0"/>
          <w:sz w:val="24"/>
        </w:rPr>
      </w:pPr>
      <w:r>
        <w:rPr>
          <w:rFonts w:hint="eastAsia" w:ascii="宋体" w:hAnsi="宋体" w:cs="宋体"/>
          <w:kern w:val="0"/>
          <w:sz w:val="24"/>
        </w:rPr>
        <w:t>2.允许分包非主体、非关键性工作。</w:t>
      </w:r>
    </w:p>
    <w:p>
      <w:pPr>
        <w:tabs>
          <w:tab w:val="left" w:pos="795"/>
        </w:tabs>
        <w:snapToGrid w:val="0"/>
        <w:spacing w:before="238" w:line="419" w:lineRule="atLeast"/>
        <w:ind w:firstLine="480" w:firstLineChars="200"/>
        <w:rPr>
          <w:rFonts w:ascii="宋体" w:hAnsi="宋体" w:cs="宋体"/>
          <w:kern w:val="0"/>
          <w:sz w:val="24"/>
        </w:rPr>
      </w:pPr>
      <w:r>
        <w:rPr>
          <w:rFonts w:hint="eastAsia" w:ascii="宋体" w:hAnsi="宋体" w:cs="宋体"/>
          <w:kern w:val="0"/>
          <w:sz w:val="24"/>
        </w:rPr>
        <w:t>3.如乙方将项目转包或将不允许分包部分进行分包，甲方有权解除合同，并要求乙方一次性支付元违约金。</w:t>
      </w:r>
    </w:p>
    <w:p>
      <w:pPr>
        <w:tabs>
          <w:tab w:val="left" w:pos="795"/>
        </w:tabs>
        <w:snapToGrid w:val="0"/>
        <w:spacing w:before="238" w:line="419" w:lineRule="atLeast"/>
        <w:ind w:firstLine="482"/>
        <w:rPr>
          <w:rFonts w:ascii="宋体" w:hAnsi="宋体"/>
          <w:b/>
          <w:sz w:val="24"/>
        </w:rPr>
      </w:pPr>
      <w:r>
        <w:rPr>
          <w:rFonts w:hint="eastAsia" w:ascii="宋体" w:hAnsi="宋体"/>
          <w:b/>
          <w:sz w:val="24"/>
        </w:rPr>
        <w:t>十四、不可抗力</w:t>
      </w:r>
    </w:p>
    <w:p>
      <w:pPr>
        <w:tabs>
          <w:tab w:val="left" w:pos="795"/>
        </w:tabs>
        <w:snapToGrid w:val="0"/>
        <w:spacing w:before="238" w:line="419" w:lineRule="atLeast"/>
        <w:ind w:firstLine="480" w:firstLineChars="200"/>
        <w:rPr>
          <w:rFonts w:ascii="宋体" w:hAnsi="宋体" w:cs="宋体"/>
          <w:kern w:val="0"/>
          <w:sz w:val="24"/>
        </w:rPr>
      </w:pPr>
      <w:r>
        <w:rPr>
          <w:rFonts w:hint="eastAsia" w:ascii="宋体" w:hAnsi="宋体" w:cs="宋体"/>
          <w:kern w:val="0"/>
          <w:sz w:val="24"/>
        </w:rPr>
        <w:t>1.如果任何一方遭遇法律规定的不可抗力，致使合同履行受阻时，履行合同的期限应予延长，延长的期限应相当于不可抗力所影响的时间；</w:t>
      </w:r>
    </w:p>
    <w:p>
      <w:pPr>
        <w:tabs>
          <w:tab w:val="left" w:pos="795"/>
        </w:tabs>
        <w:snapToGrid w:val="0"/>
        <w:spacing w:before="238" w:line="419" w:lineRule="atLeast"/>
        <w:ind w:firstLine="480" w:firstLineChars="200"/>
        <w:rPr>
          <w:rFonts w:ascii="宋体" w:hAnsi="宋体" w:cs="宋体"/>
          <w:kern w:val="0"/>
          <w:sz w:val="24"/>
        </w:rPr>
      </w:pPr>
      <w:r>
        <w:rPr>
          <w:rFonts w:hint="eastAsia" w:ascii="宋体" w:hAnsi="宋体" w:cs="宋体"/>
          <w:kern w:val="0"/>
          <w:sz w:val="24"/>
        </w:rPr>
        <w:t>2.因不可抗力致使不能实现合同目的的，当事人可以解除合同；</w:t>
      </w:r>
    </w:p>
    <w:p>
      <w:pPr>
        <w:tabs>
          <w:tab w:val="left" w:pos="795"/>
        </w:tabs>
        <w:snapToGrid w:val="0"/>
        <w:spacing w:before="238" w:line="419" w:lineRule="atLeast"/>
        <w:ind w:firstLine="480" w:firstLineChars="200"/>
        <w:rPr>
          <w:rFonts w:ascii="宋体" w:hAnsi="宋体" w:cs="宋体"/>
          <w:kern w:val="0"/>
          <w:sz w:val="24"/>
        </w:rPr>
      </w:pPr>
      <w:r>
        <w:rPr>
          <w:rFonts w:hint="eastAsia" w:ascii="宋体" w:hAnsi="宋体" w:cs="宋体"/>
          <w:kern w:val="0"/>
          <w:sz w:val="24"/>
        </w:rPr>
        <w:t>3.因不可抗力致使合同有变更必要的，双方当事人应立即以书面形式通知时对方，并递交有关部门出具的证明文件，双方通过友好协商，确定是否继续履行合同。</w:t>
      </w:r>
    </w:p>
    <w:p>
      <w:pPr>
        <w:tabs>
          <w:tab w:val="left" w:pos="795"/>
        </w:tabs>
        <w:snapToGrid w:val="0"/>
        <w:spacing w:before="238" w:line="419" w:lineRule="atLeast"/>
        <w:ind w:firstLine="482"/>
        <w:rPr>
          <w:rFonts w:ascii="宋体" w:hAnsi="宋体"/>
          <w:b/>
          <w:sz w:val="24"/>
        </w:rPr>
      </w:pPr>
      <w:r>
        <w:rPr>
          <w:rFonts w:hint="eastAsia" w:ascii="宋体" w:hAnsi="宋体"/>
          <w:b/>
          <w:sz w:val="24"/>
        </w:rPr>
        <w:t>十五、税费</w:t>
      </w:r>
    </w:p>
    <w:p>
      <w:pPr>
        <w:tabs>
          <w:tab w:val="left" w:pos="795"/>
        </w:tabs>
        <w:snapToGrid w:val="0"/>
        <w:spacing w:before="238" w:line="419" w:lineRule="atLeast"/>
        <w:ind w:firstLine="480" w:firstLineChars="200"/>
        <w:rPr>
          <w:rFonts w:ascii="宋体" w:hAnsi="宋体" w:cs="宋体"/>
          <w:kern w:val="0"/>
          <w:sz w:val="24"/>
        </w:rPr>
      </w:pPr>
      <w:r>
        <w:rPr>
          <w:rFonts w:hint="eastAsia" w:ascii="宋体" w:hAnsi="宋体" w:cs="宋体"/>
          <w:kern w:val="0"/>
          <w:sz w:val="24"/>
        </w:rPr>
        <w:t>与合同有关的一切税费，均按照中华人民共和国法律的相关规定缴纳。</w:t>
      </w:r>
    </w:p>
    <w:p>
      <w:pPr>
        <w:tabs>
          <w:tab w:val="left" w:pos="795"/>
        </w:tabs>
        <w:snapToGrid w:val="0"/>
        <w:spacing w:before="238" w:line="419" w:lineRule="atLeast"/>
        <w:ind w:firstLine="482"/>
        <w:rPr>
          <w:rFonts w:ascii="宋体" w:hAnsi="宋体"/>
          <w:b/>
          <w:sz w:val="24"/>
        </w:rPr>
      </w:pPr>
      <w:r>
        <w:rPr>
          <w:rFonts w:hint="eastAsia" w:ascii="宋体" w:hAnsi="宋体"/>
          <w:b/>
          <w:sz w:val="24"/>
        </w:rPr>
        <w:t>十六、乙方破产</w:t>
      </w:r>
    </w:p>
    <w:p>
      <w:pPr>
        <w:tabs>
          <w:tab w:val="left" w:pos="795"/>
        </w:tabs>
        <w:snapToGrid w:val="0"/>
        <w:spacing w:before="238" w:line="419" w:lineRule="atLeast"/>
        <w:ind w:firstLine="480" w:firstLineChars="200"/>
        <w:rPr>
          <w:rFonts w:ascii="宋体" w:hAnsi="宋体" w:cs="宋体"/>
          <w:kern w:val="0"/>
          <w:sz w:val="24"/>
        </w:rPr>
      </w:pPr>
      <w:r>
        <w:rPr>
          <w:rFonts w:hint="eastAsia" w:ascii="宋体" w:hAnsi="宋体" w:cs="宋体"/>
          <w:kern w:val="0"/>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tabs>
          <w:tab w:val="left" w:pos="795"/>
        </w:tabs>
        <w:snapToGrid w:val="0"/>
        <w:spacing w:before="238" w:line="419" w:lineRule="atLeast"/>
        <w:ind w:firstLine="482"/>
        <w:rPr>
          <w:rFonts w:ascii="宋体" w:hAnsi="宋体"/>
          <w:b/>
          <w:sz w:val="24"/>
        </w:rPr>
      </w:pPr>
      <w:r>
        <w:rPr>
          <w:rFonts w:hint="eastAsia" w:ascii="宋体" w:hAnsi="宋体"/>
          <w:b/>
          <w:sz w:val="24"/>
        </w:rPr>
        <w:t>十七、合同中止、终止</w:t>
      </w:r>
    </w:p>
    <w:p>
      <w:pPr>
        <w:tabs>
          <w:tab w:val="left" w:pos="795"/>
        </w:tabs>
        <w:snapToGrid w:val="0"/>
        <w:spacing w:before="238" w:line="419" w:lineRule="atLeast"/>
        <w:ind w:firstLine="480" w:firstLineChars="200"/>
        <w:rPr>
          <w:rFonts w:ascii="宋体" w:hAnsi="宋体" w:cs="宋体"/>
          <w:kern w:val="0"/>
          <w:sz w:val="24"/>
        </w:rPr>
      </w:pPr>
      <w:r>
        <w:rPr>
          <w:rFonts w:hint="eastAsia" w:ascii="宋体" w:hAnsi="宋体" w:cs="宋体"/>
          <w:kern w:val="0"/>
          <w:sz w:val="24"/>
        </w:rPr>
        <w:t>1.双方当事人不得擅自中止或者终止合同；</w:t>
      </w:r>
    </w:p>
    <w:p>
      <w:pPr>
        <w:tabs>
          <w:tab w:val="left" w:pos="795"/>
        </w:tabs>
        <w:snapToGrid w:val="0"/>
        <w:spacing w:before="238" w:line="419" w:lineRule="atLeast"/>
        <w:ind w:firstLine="480" w:firstLineChars="200"/>
        <w:rPr>
          <w:rFonts w:ascii="宋体" w:hAnsi="宋体" w:cs="宋体"/>
          <w:kern w:val="0"/>
          <w:sz w:val="24"/>
        </w:rPr>
      </w:pPr>
      <w:r>
        <w:rPr>
          <w:rFonts w:hint="eastAsia" w:ascii="宋体" w:hAnsi="宋体" w:cs="宋体"/>
          <w:kern w:val="0"/>
          <w:sz w:val="24"/>
        </w:rPr>
        <w:t>2.合同继续履行将损害国家利益和社会公共利益的，双方当事人应当中止或者终止合同。有过错的一方应当承担赔偿责任，双方当事人都有过错的，各自承担相应的责任。</w:t>
      </w:r>
    </w:p>
    <w:p>
      <w:pPr>
        <w:tabs>
          <w:tab w:val="left" w:pos="795"/>
        </w:tabs>
        <w:snapToGrid w:val="0"/>
        <w:spacing w:before="238" w:line="419" w:lineRule="atLeast"/>
        <w:ind w:firstLine="482"/>
        <w:rPr>
          <w:rFonts w:ascii="宋体" w:hAnsi="宋体"/>
          <w:b/>
          <w:sz w:val="24"/>
        </w:rPr>
      </w:pPr>
      <w:bookmarkStart w:id="100" w:name="_Toc32454"/>
      <w:bookmarkStart w:id="101" w:name="_Toc9497"/>
      <w:bookmarkStart w:id="102" w:name="_Toc18683"/>
      <w:bookmarkStart w:id="103" w:name="_Toc26807"/>
      <w:bookmarkStart w:id="104" w:name="_Toc30329"/>
      <w:r>
        <w:rPr>
          <w:rFonts w:hint="eastAsia" w:ascii="宋体" w:hAnsi="宋体"/>
          <w:b/>
          <w:sz w:val="24"/>
        </w:rPr>
        <w:t>十八、违约责任</w:t>
      </w:r>
    </w:p>
    <w:p>
      <w:pPr>
        <w:tabs>
          <w:tab w:val="left" w:pos="795"/>
        </w:tabs>
        <w:snapToGrid w:val="0"/>
        <w:spacing w:before="238" w:line="419" w:lineRule="atLeast"/>
        <w:ind w:firstLine="480" w:firstLineChars="200"/>
        <w:rPr>
          <w:rFonts w:ascii="宋体" w:hAnsi="宋体" w:cs="宋体"/>
          <w:kern w:val="0"/>
          <w:sz w:val="24"/>
        </w:rPr>
      </w:pPr>
      <w:r>
        <w:rPr>
          <w:rFonts w:hint="eastAsia" w:ascii="宋体" w:hAnsi="宋体" w:cs="宋体"/>
          <w:kern w:val="0"/>
          <w:sz w:val="24"/>
        </w:rPr>
        <w:t>1.甲方无正当理由拒收接受乙方服务，使合同无法继续履行时，</w:t>
      </w:r>
      <w:bookmarkStart w:id="105" w:name="_Hlk149767901"/>
      <w:r>
        <w:rPr>
          <w:rFonts w:hint="eastAsia" w:ascii="宋体" w:hAnsi="宋体" w:cs="宋体"/>
          <w:kern w:val="0"/>
          <w:sz w:val="24"/>
        </w:rPr>
        <w:t>甲方向乙方偿付合同款项百分之 5 作为违约金。</w:t>
      </w:r>
      <w:bookmarkEnd w:id="105"/>
    </w:p>
    <w:p>
      <w:pPr>
        <w:tabs>
          <w:tab w:val="left" w:pos="795"/>
        </w:tabs>
        <w:snapToGrid w:val="0"/>
        <w:spacing w:before="238" w:line="419" w:lineRule="atLeast"/>
        <w:ind w:firstLine="480" w:firstLineChars="200"/>
        <w:rPr>
          <w:rFonts w:ascii="宋体" w:hAnsi="宋体" w:cs="宋体"/>
          <w:color w:val="auto"/>
          <w:kern w:val="0"/>
          <w:sz w:val="24"/>
        </w:rPr>
      </w:pPr>
      <w:r>
        <w:rPr>
          <w:rFonts w:ascii="宋体" w:hAnsi="宋体" w:cs="宋体"/>
          <w:color w:val="auto"/>
          <w:kern w:val="0"/>
          <w:sz w:val="24"/>
        </w:rPr>
        <w:t>2</w:t>
      </w:r>
      <w:r>
        <w:rPr>
          <w:rFonts w:hint="eastAsia" w:ascii="宋体" w:hAnsi="宋体" w:cs="宋体"/>
          <w:color w:val="auto"/>
          <w:kern w:val="0"/>
          <w:sz w:val="24"/>
        </w:rPr>
        <w:t>.</w:t>
      </w:r>
      <w:r>
        <w:rPr>
          <w:rFonts w:hint="eastAsia"/>
          <w:color w:val="auto"/>
        </w:rPr>
        <w:t xml:space="preserve"> </w:t>
      </w:r>
      <w:r>
        <w:rPr>
          <w:rFonts w:hint="eastAsia" w:ascii="宋体" w:hAnsi="宋体" w:cs="宋体"/>
          <w:color w:val="auto"/>
          <w:kern w:val="0"/>
          <w:sz w:val="24"/>
        </w:rPr>
        <w:t>甲方未按合同规定的期限向乙方支付费用的，每逾期1天甲方向乙方偿付欠款总额的5‰滞纳金，但累计滞纳金总额不超过欠款总额的3% 。</w:t>
      </w:r>
    </w:p>
    <w:p>
      <w:pPr>
        <w:tabs>
          <w:tab w:val="left" w:pos="795"/>
        </w:tabs>
        <w:snapToGrid w:val="0"/>
        <w:spacing w:before="238" w:line="419" w:lineRule="atLeast"/>
        <w:ind w:firstLine="480" w:firstLineChars="200"/>
        <w:rPr>
          <w:rFonts w:ascii="宋体" w:hAnsi="宋体" w:cs="宋体"/>
          <w:kern w:val="0"/>
          <w:sz w:val="24"/>
        </w:rPr>
      </w:pPr>
      <w:r>
        <w:rPr>
          <w:rFonts w:ascii="宋体" w:hAnsi="宋体" w:cs="宋体"/>
          <w:kern w:val="0"/>
          <w:sz w:val="24"/>
        </w:rPr>
        <w:t>3</w:t>
      </w:r>
      <w:r>
        <w:rPr>
          <w:rFonts w:hint="eastAsia" w:ascii="宋体" w:hAnsi="宋体" w:cs="宋体"/>
          <w:kern w:val="0"/>
          <w:sz w:val="24"/>
        </w:rPr>
        <w:t>.乙方单方面违约造成乙方无法继续为甲方提供服务的，乙方需赔偿甲方相应损失，并向甲方偿付合同款项百分之 5 作为违约金。</w:t>
      </w:r>
    </w:p>
    <w:p>
      <w:pPr>
        <w:tabs>
          <w:tab w:val="left" w:pos="795"/>
        </w:tabs>
        <w:snapToGrid w:val="0"/>
        <w:spacing w:before="238" w:line="419" w:lineRule="atLeast"/>
        <w:ind w:firstLine="480" w:firstLineChars="200"/>
        <w:rPr>
          <w:rFonts w:ascii="宋体" w:hAnsi="宋体" w:cs="宋体"/>
          <w:kern w:val="0"/>
          <w:sz w:val="24"/>
        </w:rPr>
      </w:pPr>
      <w:r>
        <w:rPr>
          <w:rFonts w:hint="eastAsia" w:ascii="宋体" w:hAnsi="宋体" w:cs="宋体"/>
          <w:kern w:val="0"/>
          <w:sz w:val="24"/>
        </w:rPr>
        <w:t>4.乙方应在合同生效当日起安排投标文件中承诺的项目团队人员进行工作。乙方有项目团队人员需更换但未经甲方书面同意，除不可抗力原因外，甲方有权要求乙方进行赔偿。乙方应向甲方支付合同总值 5%的违约金，如造成甲方损失超过违约金的，超出部分由乙方继续承担赔偿责任。</w:t>
      </w:r>
    </w:p>
    <w:p>
      <w:pPr>
        <w:tabs>
          <w:tab w:val="left" w:pos="795"/>
        </w:tabs>
        <w:snapToGrid w:val="0"/>
        <w:spacing w:before="238" w:line="419" w:lineRule="atLeast"/>
        <w:ind w:firstLine="480" w:firstLineChars="200"/>
        <w:rPr>
          <w:rFonts w:ascii="宋体" w:hAnsi="宋体" w:cs="宋体"/>
          <w:kern w:val="0"/>
          <w:sz w:val="24"/>
        </w:rPr>
      </w:pPr>
      <w:r>
        <w:rPr>
          <w:rFonts w:hint="eastAsia" w:ascii="宋体" w:hAnsi="宋体" w:cs="宋体"/>
          <w:kern w:val="0"/>
          <w:sz w:val="24"/>
        </w:rPr>
        <w:t>5.乙方提供的绩效评价服务未按要求进行评价，甲方有权解除本合同，乙方应向甲方退还已支付款项并支付合同总值 5%的违约金，如造成甲方损失超过违约金的，超出部分由乙方继续承担赔偿责任。</w:t>
      </w:r>
    </w:p>
    <w:p>
      <w:pPr>
        <w:tabs>
          <w:tab w:val="left" w:pos="795"/>
        </w:tabs>
        <w:snapToGrid w:val="0"/>
        <w:spacing w:before="238" w:line="419" w:lineRule="atLeast"/>
        <w:ind w:firstLine="480" w:firstLineChars="200"/>
        <w:rPr>
          <w:rFonts w:ascii="宋体" w:hAnsi="宋体" w:cs="宋体"/>
          <w:kern w:val="0"/>
          <w:sz w:val="24"/>
        </w:rPr>
      </w:pPr>
      <w:r>
        <w:rPr>
          <w:rFonts w:hint="eastAsia" w:ascii="宋体" w:hAnsi="宋体" w:cs="宋体"/>
          <w:kern w:val="0"/>
          <w:sz w:val="24"/>
        </w:rPr>
        <w:t>6.乙方提供的服务发生质量问题，乙方应负责提供后续服务，对达不到要求者，根据实际情况，甲方有权按以下办法处理：</w:t>
      </w:r>
    </w:p>
    <w:p>
      <w:pPr>
        <w:tabs>
          <w:tab w:val="left" w:pos="795"/>
        </w:tabs>
        <w:snapToGrid w:val="0"/>
        <w:spacing w:before="238" w:line="419" w:lineRule="atLeast"/>
        <w:ind w:firstLine="480" w:firstLineChars="200"/>
        <w:rPr>
          <w:rFonts w:ascii="宋体" w:hAnsi="宋体" w:cs="宋体"/>
          <w:kern w:val="0"/>
          <w:sz w:val="24"/>
        </w:rPr>
      </w:pPr>
      <w:r>
        <w:rPr>
          <w:rFonts w:hint="eastAsia" w:ascii="宋体" w:hAnsi="宋体" w:cs="宋体"/>
          <w:kern w:val="0"/>
          <w:sz w:val="24"/>
        </w:rPr>
        <w:t>（1）重做：由乙方承担所发生的全部费用；</w:t>
      </w:r>
    </w:p>
    <w:p>
      <w:pPr>
        <w:tabs>
          <w:tab w:val="left" w:pos="795"/>
        </w:tabs>
        <w:snapToGrid w:val="0"/>
        <w:spacing w:before="238" w:line="419" w:lineRule="atLeast"/>
        <w:ind w:firstLine="480" w:firstLineChars="200"/>
        <w:rPr>
          <w:rFonts w:ascii="宋体" w:hAnsi="宋体" w:cs="宋体"/>
          <w:kern w:val="0"/>
          <w:sz w:val="24"/>
        </w:rPr>
      </w:pPr>
      <w:r>
        <w:rPr>
          <w:rFonts w:hint="eastAsia" w:ascii="宋体" w:hAnsi="宋体" w:cs="宋体"/>
          <w:kern w:val="0"/>
          <w:sz w:val="24"/>
        </w:rPr>
        <w:t>（2）贬值处理：由甲乙双方合议定价；</w:t>
      </w:r>
    </w:p>
    <w:p>
      <w:pPr>
        <w:tabs>
          <w:tab w:val="left" w:pos="795"/>
        </w:tabs>
        <w:snapToGrid w:val="0"/>
        <w:spacing w:before="238" w:line="419" w:lineRule="atLeast"/>
        <w:ind w:firstLine="480" w:firstLineChars="200"/>
        <w:rPr>
          <w:rFonts w:ascii="宋体" w:hAnsi="宋体" w:cs="宋体"/>
          <w:kern w:val="0"/>
          <w:sz w:val="24"/>
        </w:rPr>
      </w:pPr>
      <w:r>
        <w:rPr>
          <w:rFonts w:hint="eastAsia" w:ascii="宋体" w:hAnsi="宋体" w:cs="宋体"/>
          <w:kern w:val="0"/>
          <w:sz w:val="24"/>
        </w:rPr>
        <w:t>（3）解除合同。</w:t>
      </w:r>
      <w:bookmarkEnd w:id="100"/>
      <w:bookmarkEnd w:id="101"/>
      <w:bookmarkEnd w:id="102"/>
      <w:bookmarkEnd w:id="103"/>
      <w:bookmarkEnd w:id="104"/>
    </w:p>
    <w:p>
      <w:pPr>
        <w:tabs>
          <w:tab w:val="left" w:pos="795"/>
        </w:tabs>
        <w:snapToGrid w:val="0"/>
        <w:spacing w:before="238" w:line="419" w:lineRule="atLeast"/>
        <w:ind w:firstLine="482"/>
        <w:rPr>
          <w:rFonts w:ascii="宋体" w:hAnsi="宋体"/>
          <w:b/>
          <w:sz w:val="24"/>
        </w:rPr>
      </w:pPr>
      <w:r>
        <w:rPr>
          <w:rFonts w:hint="eastAsia" w:ascii="宋体" w:hAnsi="宋体"/>
          <w:b/>
          <w:sz w:val="24"/>
        </w:rPr>
        <w:t>十九、其他约定事项：</w:t>
      </w:r>
    </w:p>
    <w:p>
      <w:pPr>
        <w:tabs>
          <w:tab w:val="left" w:pos="795"/>
        </w:tabs>
        <w:snapToGrid w:val="0"/>
        <w:spacing w:before="238" w:line="419" w:lineRule="atLeast"/>
        <w:ind w:firstLine="482"/>
        <w:rPr>
          <w:rFonts w:ascii="宋体" w:hAnsi="宋体"/>
          <w:b/>
          <w:sz w:val="24"/>
        </w:rPr>
      </w:pPr>
      <w:r>
        <w:rPr>
          <w:rFonts w:hint="eastAsia" w:ascii="宋体" w:hAnsi="宋体"/>
          <w:b/>
          <w:sz w:val="24"/>
        </w:rPr>
        <w:t>二十、争议的解决</w:t>
      </w:r>
    </w:p>
    <w:p>
      <w:pPr>
        <w:tabs>
          <w:tab w:val="left" w:pos="795"/>
        </w:tabs>
        <w:snapToGrid w:val="0"/>
        <w:spacing w:before="238" w:line="419" w:lineRule="atLeast"/>
        <w:ind w:firstLine="480" w:firstLineChars="200"/>
        <w:rPr>
          <w:rFonts w:ascii="宋体" w:hAnsi="宋体" w:cs="宋体"/>
          <w:kern w:val="0"/>
          <w:sz w:val="24"/>
        </w:rPr>
      </w:pPr>
      <w:r>
        <w:rPr>
          <w:rFonts w:hint="eastAsia" w:ascii="宋体" w:hAnsi="宋体" w:cs="宋体"/>
          <w:kern w:val="0"/>
          <w:sz w:val="24"/>
        </w:rPr>
        <w:t>合同未尽事宜，应双方友好协调解决。协商不一致，任何一方均可向丽水仲裁委员会申请仲裁。</w:t>
      </w:r>
    </w:p>
    <w:p>
      <w:pPr>
        <w:tabs>
          <w:tab w:val="left" w:pos="795"/>
        </w:tabs>
        <w:snapToGrid w:val="0"/>
        <w:spacing w:before="238" w:line="419" w:lineRule="atLeast"/>
        <w:ind w:firstLine="482"/>
        <w:rPr>
          <w:rFonts w:ascii="宋体" w:hAnsi="宋体"/>
          <w:b/>
          <w:sz w:val="24"/>
        </w:rPr>
      </w:pPr>
      <w:r>
        <w:rPr>
          <w:rFonts w:hint="eastAsia" w:ascii="宋体" w:hAnsi="宋体"/>
          <w:b/>
          <w:sz w:val="24"/>
        </w:rPr>
        <w:t>二十一、合同生效</w:t>
      </w:r>
    </w:p>
    <w:p>
      <w:pPr>
        <w:tabs>
          <w:tab w:val="left" w:pos="795"/>
        </w:tabs>
        <w:snapToGrid w:val="0"/>
        <w:spacing w:before="238" w:line="419" w:lineRule="atLeast"/>
        <w:ind w:firstLine="480" w:firstLineChars="200"/>
        <w:rPr>
          <w:rFonts w:ascii="宋体" w:hAnsi="宋体" w:cs="宋体"/>
          <w:kern w:val="0"/>
          <w:sz w:val="24"/>
        </w:rPr>
      </w:pPr>
      <w:r>
        <w:rPr>
          <w:rFonts w:hint="eastAsia" w:ascii="宋体" w:hAnsi="宋体" w:cs="宋体"/>
          <w:kern w:val="0"/>
          <w:sz w:val="24"/>
        </w:rPr>
        <w:t>（一）本合同一式肆份，具同等法律效力，双方各执贰份。合同经双方授权代表签署并加盖公章时生效。</w:t>
      </w:r>
    </w:p>
    <w:p>
      <w:pPr>
        <w:tabs>
          <w:tab w:val="left" w:pos="795"/>
        </w:tabs>
        <w:snapToGrid w:val="0"/>
        <w:spacing w:before="238" w:line="419" w:lineRule="atLeast"/>
        <w:ind w:firstLine="480" w:firstLineChars="200"/>
        <w:rPr>
          <w:rFonts w:ascii="宋体" w:hAnsi="宋体" w:cs="宋体"/>
          <w:kern w:val="0"/>
          <w:sz w:val="24"/>
        </w:rPr>
      </w:pPr>
      <w:r>
        <w:rPr>
          <w:rFonts w:hint="eastAsia" w:ascii="宋体" w:hAnsi="宋体" w:cs="宋体"/>
          <w:kern w:val="0"/>
          <w:sz w:val="24"/>
        </w:rPr>
        <w:t>（二）本合同未尽事宜，遵照《中华人民共和国民法典》有关条文执行。</w:t>
      </w:r>
    </w:p>
    <w:p>
      <w:pPr>
        <w:snapToGrid w:val="0"/>
        <w:spacing w:before="119" w:line="272" w:lineRule="atLeast"/>
        <w:ind w:firstLine="480" w:firstLineChars="200"/>
        <w:rPr>
          <w:rFonts w:cs="Tahoma" w:asciiTheme="majorEastAsia" w:hAnsiTheme="majorEastAsia" w:eastAsiaTheme="majorEastAsia"/>
          <w:sz w:val="24"/>
        </w:rPr>
      </w:pPr>
      <w:r>
        <w:rPr>
          <w:rFonts w:hint="eastAsia" w:ascii="宋体" w:hAnsi="宋体" w:cs="宋体"/>
          <w:kern w:val="0"/>
          <w:sz w:val="24"/>
        </w:rPr>
        <w:t>（三）本合同自甲乙双方签字盖章之日起生效。</w:t>
      </w:r>
    </w:p>
    <w:p>
      <w:pPr>
        <w:snapToGrid w:val="0"/>
        <w:spacing w:before="119" w:line="272" w:lineRule="atLeast"/>
        <w:rPr>
          <w:rFonts w:cs="Tahoma" w:asciiTheme="majorEastAsia" w:hAnsiTheme="majorEastAsia" w:eastAsiaTheme="majorEastAsia"/>
          <w:sz w:val="24"/>
        </w:rPr>
      </w:pPr>
    </w:p>
    <w:p>
      <w:pPr>
        <w:snapToGrid w:val="0"/>
        <w:spacing w:before="119" w:line="272" w:lineRule="atLeast"/>
        <w:rPr>
          <w:rFonts w:cs="Tahoma" w:asciiTheme="majorEastAsia" w:hAnsiTheme="majorEastAsia" w:eastAsiaTheme="majorEastAsia"/>
          <w:sz w:val="24"/>
        </w:rPr>
      </w:pPr>
    </w:p>
    <w:p>
      <w:pPr>
        <w:snapToGrid w:val="0"/>
        <w:spacing w:before="119" w:line="272" w:lineRule="atLeast"/>
        <w:rPr>
          <w:rFonts w:cs="Tahoma" w:asciiTheme="majorEastAsia" w:hAnsiTheme="majorEastAsia" w:eastAsiaTheme="majorEastAsia"/>
          <w:sz w:val="24"/>
        </w:rPr>
      </w:pPr>
    </w:p>
    <w:p>
      <w:pPr>
        <w:snapToGrid w:val="0"/>
        <w:spacing w:before="119" w:line="272" w:lineRule="atLeast"/>
        <w:rPr>
          <w:rFonts w:cs="Tahoma" w:asciiTheme="majorEastAsia" w:hAnsiTheme="majorEastAsia" w:eastAsiaTheme="majorEastAsia"/>
          <w:sz w:val="24"/>
        </w:rPr>
      </w:pPr>
      <w:r>
        <w:rPr>
          <w:rFonts w:cs="Tahoma" w:asciiTheme="majorEastAsia" w:hAnsiTheme="majorEastAsia" w:eastAsiaTheme="majorEastAsia"/>
          <w:sz w:val="24"/>
        </w:rPr>
        <w:t>甲 方：</w:t>
      </w:r>
      <w:r>
        <w:rPr>
          <w:rFonts w:cs="Tahoma" w:asciiTheme="majorEastAsia" w:hAnsiTheme="majorEastAsia" w:eastAsiaTheme="majorEastAsia"/>
          <w:sz w:val="24"/>
        </w:rPr>
        <w:tab/>
      </w:r>
      <w:r>
        <w:rPr>
          <w:rFonts w:hint="eastAsia" w:cs="Tahoma" w:asciiTheme="majorEastAsia" w:hAnsiTheme="majorEastAsia" w:eastAsiaTheme="majorEastAsia"/>
          <w:sz w:val="24"/>
        </w:rPr>
        <w:t xml:space="preserve">                          </w:t>
      </w:r>
      <w:r>
        <w:rPr>
          <w:rFonts w:cs="Tahoma" w:asciiTheme="majorEastAsia" w:hAnsiTheme="majorEastAsia" w:eastAsiaTheme="majorEastAsia"/>
          <w:sz w:val="24"/>
        </w:rPr>
        <w:t>乙 方：</w:t>
      </w:r>
    </w:p>
    <w:p>
      <w:pPr>
        <w:snapToGrid w:val="0"/>
        <w:spacing w:before="119" w:after="120" w:line="272" w:lineRule="atLeast"/>
        <w:ind w:left="2220" w:firstLine="480"/>
        <w:rPr>
          <w:rFonts w:cs="Tahoma" w:asciiTheme="majorEastAsia" w:hAnsiTheme="majorEastAsia" w:eastAsiaTheme="majorEastAsia"/>
          <w:sz w:val="24"/>
        </w:rPr>
      </w:pPr>
    </w:p>
    <w:p>
      <w:pPr>
        <w:snapToGrid w:val="0"/>
        <w:spacing w:before="119" w:line="272" w:lineRule="atLeast"/>
        <w:rPr>
          <w:rFonts w:cs="Tahoma" w:asciiTheme="majorEastAsia" w:hAnsiTheme="majorEastAsia" w:eastAsiaTheme="majorEastAsia"/>
          <w:sz w:val="24"/>
        </w:rPr>
      </w:pPr>
      <w:r>
        <w:rPr>
          <w:rFonts w:cs="Tahoma" w:asciiTheme="majorEastAsia" w:hAnsiTheme="majorEastAsia" w:eastAsiaTheme="majorEastAsia"/>
          <w:sz w:val="24"/>
        </w:rPr>
        <w:t>名 称：(印章)</w:t>
      </w:r>
      <w:r>
        <w:rPr>
          <w:rFonts w:cs="Tahoma" w:asciiTheme="majorEastAsia" w:hAnsiTheme="majorEastAsia" w:eastAsiaTheme="majorEastAsia"/>
          <w:sz w:val="24"/>
        </w:rPr>
        <w:tab/>
      </w:r>
      <w:r>
        <w:rPr>
          <w:rFonts w:hint="eastAsia" w:cs="Tahoma" w:asciiTheme="majorEastAsia" w:hAnsiTheme="majorEastAsia" w:eastAsiaTheme="majorEastAsia"/>
          <w:sz w:val="24"/>
        </w:rPr>
        <w:t xml:space="preserve">                      </w:t>
      </w:r>
      <w:r>
        <w:rPr>
          <w:rFonts w:cs="Tahoma" w:asciiTheme="majorEastAsia" w:hAnsiTheme="majorEastAsia" w:eastAsiaTheme="majorEastAsia"/>
          <w:sz w:val="24"/>
        </w:rPr>
        <w:t xml:space="preserve">名 称：(印章)            </w:t>
      </w:r>
    </w:p>
    <w:p>
      <w:pPr>
        <w:snapToGrid w:val="0"/>
        <w:spacing w:before="119" w:line="272" w:lineRule="atLeast"/>
        <w:rPr>
          <w:rFonts w:cs="Tahoma" w:asciiTheme="majorEastAsia" w:hAnsiTheme="majorEastAsia" w:eastAsiaTheme="majorEastAsia"/>
          <w:sz w:val="24"/>
        </w:rPr>
      </w:pPr>
    </w:p>
    <w:p>
      <w:pPr>
        <w:snapToGrid w:val="0"/>
        <w:spacing w:before="119" w:line="272" w:lineRule="atLeast"/>
        <w:ind w:firstLine="720" w:firstLineChars="300"/>
        <w:rPr>
          <w:rFonts w:cs="Tahoma" w:asciiTheme="majorEastAsia" w:hAnsiTheme="majorEastAsia" w:eastAsiaTheme="majorEastAsia"/>
          <w:sz w:val="24"/>
        </w:rPr>
      </w:pPr>
      <w:r>
        <w:rPr>
          <w:rFonts w:cs="Tahoma" w:asciiTheme="majorEastAsia" w:hAnsiTheme="majorEastAsia" w:eastAsiaTheme="majorEastAsia"/>
          <w:sz w:val="24"/>
        </w:rPr>
        <w:t xml:space="preserve">年 月 日       </w:t>
      </w:r>
      <w:r>
        <w:rPr>
          <w:rFonts w:hint="eastAsia" w:cs="Tahoma" w:asciiTheme="majorEastAsia" w:hAnsiTheme="majorEastAsia" w:eastAsiaTheme="majorEastAsia"/>
          <w:sz w:val="24"/>
        </w:rPr>
        <w:t xml:space="preserve">                       </w:t>
      </w:r>
      <w:r>
        <w:rPr>
          <w:rFonts w:cs="Tahoma" w:asciiTheme="majorEastAsia" w:hAnsiTheme="majorEastAsia" w:eastAsiaTheme="majorEastAsia"/>
          <w:sz w:val="24"/>
        </w:rPr>
        <w:t>年 月 日</w:t>
      </w:r>
    </w:p>
    <w:p>
      <w:pPr>
        <w:snapToGrid w:val="0"/>
        <w:spacing w:before="119" w:line="272" w:lineRule="atLeast"/>
        <w:rPr>
          <w:rFonts w:cs="Tahoma" w:asciiTheme="majorEastAsia" w:hAnsiTheme="majorEastAsia" w:eastAsiaTheme="majorEastAsia"/>
          <w:sz w:val="24"/>
        </w:rPr>
      </w:pPr>
    </w:p>
    <w:p>
      <w:pPr>
        <w:snapToGrid w:val="0"/>
        <w:spacing w:before="119" w:line="272" w:lineRule="atLeast"/>
        <w:rPr>
          <w:rFonts w:cs="Tahoma" w:asciiTheme="majorEastAsia" w:hAnsiTheme="majorEastAsia" w:eastAsiaTheme="majorEastAsia"/>
          <w:sz w:val="24"/>
        </w:rPr>
      </w:pPr>
      <w:r>
        <w:rPr>
          <w:rFonts w:cs="Tahoma" w:asciiTheme="majorEastAsia" w:hAnsiTheme="majorEastAsia" w:eastAsiaTheme="majorEastAsia"/>
          <w:sz w:val="24"/>
        </w:rPr>
        <w:t>授权代表(签字或盖章)：</w:t>
      </w:r>
      <w:r>
        <w:rPr>
          <w:rFonts w:cs="Tahoma" w:asciiTheme="majorEastAsia" w:hAnsiTheme="majorEastAsia" w:eastAsiaTheme="majorEastAsia"/>
          <w:sz w:val="24"/>
        </w:rPr>
        <w:tab/>
      </w:r>
      <w:r>
        <w:rPr>
          <w:rFonts w:hint="eastAsia" w:cs="Tahoma" w:asciiTheme="majorEastAsia" w:hAnsiTheme="majorEastAsia" w:eastAsiaTheme="majorEastAsia"/>
          <w:sz w:val="24"/>
        </w:rPr>
        <w:t xml:space="preserve">           </w:t>
      </w:r>
      <w:r>
        <w:rPr>
          <w:rFonts w:cs="Tahoma" w:asciiTheme="majorEastAsia" w:hAnsiTheme="majorEastAsia" w:eastAsiaTheme="majorEastAsia"/>
          <w:sz w:val="24"/>
        </w:rPr>
        <w:t>授权代表(签字或盖章)：</w:t>
      </w:r>
    </w:p>
    <w:p>
      <w:pPr>
        <w:snapToGrid w:val="0"/>
        <w:spacing w:before="119" w:line="272" w:lineRule="atLeast"/>
        <w:rPr>
          <w:rFonts w:cs="Tahoma" w:asciiTheme="majorEastAsia" w:hAnsiTheme="majorEastAsia" w:eastAsiaTheme="majorEastAsia"/>
          <w:sz w:val="24"/>
          <w:u w:val="single"/>
        </w:rPr>
      </w:pPr>
      <w:r>
        <w:rPr>
          <w:rFonts w:cs="Tahoma" w:asciiTheme="majorEastAsia" w:hAnsiTheme="majorEastAsia" w:eastAsiaTheme="majorEastAsia"/>
          <w:sz w:val="24"/>
        </w:rPr>
        <w:t xml:space="preserve">地  </w:t>
      </w:r>
      <w:r>
        <w:rPr>
          <w:rFonts w:hint="eastAsia" w:cs="Tahoma" w:asciiTheme="majorEastAsia" w:hAnsiTheme="majorEastAsia" w:eastAsiaTheme="majorEastAsia"/>
          <w:sz w:val="24"/>
        </w:rPr>
        <w:t xml:space="preserve">  </w:t>
      </w:r>
      <w:r>
        <w:rPr>
          <w:rFonts w:cs="Tahoma" w:asciiTheme="majorEastAsia" w:hAnsiTheme="majorEastAsia" w:eastAsiaTheme="majorEastAsia"/>
          <w:sz w:val="24"/>
        </w:rPr>
        <w:t>址：</w:t>
      </w:r>
      <w:r>
        <w:rPr>
          <w:rFonts w:cs="Tahoma" w:asciiTheme="majorEastAsia" w:hAnsiTheme="majorEastAsia" w:eastAsiaTheme="majorEastAsia"/>
          <w:sz w:val="24"/>
          <w:u w:val="single"/>
        </w:rPr>
        <w:tab/>
      </w:r>
      <w:r>
        <w:rPr>
          <w:rFonts w:cs="Tahoma" w:asciiTheme="majorEastAsia" w:hAnsiTheme="majorEastAsia" w:eastAsiaTheme="majorEastAsia"/>
          <w:sz w:val="24"/>
          <w:u w:val="single"/>
        </w:rPr>
        <w:tab/>
      </w:r>
      <w:r>
        <w:rPr>
          <w:rFonts w:cs="Tahoma" w:asciiTheme="majorEastAsia" w:hAnsiTheme="majorEastAsia" w:eastAsiaTheme="majorEastAsia"/>
          <w:sz w:val="24"/>
          <w:u w:val="single"/>
        </w:rPr>
        <w:tab/>
      </w:r>
      <w:r>
        <w:rPr>
          <w:rFonts w:cs="Tahoma" w:asciiTheme="majorEastAsia" w:hAnsiTheme="majorEastAsia" w:eastAsiaTheme="majorEastAsia"/>
          <w:sz w:val="24"/>
        </w:rPr>
        <w:tab/>
      </w:r>
      <w:r>
        <w:rPr>
          <w:rFonts w:cs="Tahoma" w:asciiTheme="majorEastAsia" w:hAnsiTheme="majorEastAsia" w:eastAsiaTheme="majorEastAsia"/>
          <w:sz w:val="24"/>
        </w:rPr>
        <w:tab/>
      </w:r>
      <w:r>
        <w:rPr>
          <w:rFonts w:hint="eastAsia" w:cs="Tahoma" w:asciiTheme="majorEastAsia" w:hAnsiTheme="majorEastAsia" w:eastAsiaTheme="majorEastAsia"/>
          <w:sz w:val="24"/>
        </w:rPr>
        <w:t xml:space="preserve">           </w:t>
      </w:r>
      <w:r>
        <w:rPr>
          <w:rFonts w:cs="Tahoma" w:asciiTheme="majorEastAsia" w:hAnsiTheme="majorEastAsia" w:eastAsiaTheme="majorEastAsia"/>
          <w:sz w:val="24"/>
        </w:rPr>
        <w:t xml:space="preserve">地  </w:t>
      </w:r>
      <w:r>
        <w:rPr>
          <w:rFonts w:hint="eastAsia" w:cs="Tahoma" w:asciiTheme="majorEastAsia" w:hAnsiTheme="majorEastAsia" w:eastAsiaTheme="majorEastAsia"/>
          <w:sz w:val="24"/>
        </w:rPr>
        <w:t xml:space="preserve">  </w:t>
      </w:r>
      <w:r>
        <w:rPr>
          <w:rFonts w:cs="Tahoma" w:asciiTheme="majorEastAsia" w:hAnsiTheme="majorEastAsia" w:eastAsiaTheme="majorEastAsia"/>
          <w:sz w:val="24"/>
        </w:rPr>
        <w:t>址：</w:t>
      </w:r>
      <w:r>
        <w:rPr>
          <w:rFonts w:cs="Tahoma" w:asciiTheme="majorEastAsia" w:hAnsiTheme="majorEastAsia" w:eastAsiaTheme="majorEastAsia"/>
          <w:sz w:val="24"/>
          <w:u w:val="single"/>
        </w:rPr>
        <w:tab/>
      </w:r>
      <w:r>
        <w:rPr>
          <w:rFonts w:cs="Tahoma" w:asciiTheme="majorEastAsia" w:hAnsiTheme="majorEastAsia" w:eastAsiaTheme="majorEastAsia"/>
          <w:sz w:val="24"/>
          <w:u w:val="single"/>
        </w:rPr>
        <w:tab/>
      </w:r>
      <w:r>
        <w:rPr>
          <w:rFonts w:hint="eastAsia" w:cs="Tahoma" w:asciiTheme="majorEastAsia" w:hAnsiTheme="majorEastAsia" w:eastAsiaTheme="majorEastAsia"/>
          <w:sz w:val="24"/>
          <w:u w:val="single"/>
        </w:rPr>
        <w:t xml:space="preserve">   </w:t>
      </w:r>
    </w:p>
    <w:p>
      <w:pPr>
        <w:snapToGrid w:val="0"/>
        <w:spacing w:before="119" w:line="272" w:lineRule="atLeast"/>
        <w:rPr>
          <w:rFonts w:cs="Tahoma" w:asciiTheme="majorEastAsia" w:hAnsiTheme="majorEastAsia" w:eastAsiaTheme="majorEastAsia"/>
          <w:sz w:val="24"/>
          <w:u w:val="single"/>
        </w:rPr>
      </w:pPr>
      <w:r>
        <w:rPr>
          <w:rFonts w:cs="Tahoma" w:asciiTheme="majorEastAsia" w:hAnsiTheme="majorEastAsia" w:eastAsiaTheme="majorEastAsia"/>
          <w:sz w:val="24"/>
        </w:rPr>
        <w:t>邮政编码：</w:t>
      </w:r>
      <w:r>
        <w:rPr>
          <w:rFonts w:cs="Tahoma" w:asciiTheme="majorEastAsia" w:hAnsiTheme="majorEastAsia" w:eastAsiaTheme="majorEastAsia"/>
          <w:sz w:val="24"/>
          <w:u w:val="single"/>
        </w:rPr>
        <w:tab/>
      </w:r>
      <w:r>
        <w:rPr>
          <w:rFonts w:cs="Tahoma" w:asciiTheme="majorEastAsia" w:hAnsiTheme="majorEastAsia" w:eastAsiaTheme="majorEastAsia"/>
          <w:sz w:val="24"/>
          <w:u w:val="single"/>
        </w:rPr>
        <w:tab/>
      </w:r>
      <w:r>
        <w:rPr>
          <w:rFonts w:cs="Tahoma" w:asciiTheme="majorEastAsia" w:hAnsiTheme="majorEastAsia" w:eastAsiaTheme="majorEastAsia"/>
          <w:sz w:val="24"/>
          <w:u w:val="single"/>
        </w:rPr>
        <w:tab/>
      </w:r>
      <w:r>
        <w:rPr>
          <w:rFonts w:cs="Tahoma" w:asciiTheme="majorEastAsia" w:hAnsiTheme="majorEastAsia" w:eastAsiaTheme="majorEastAsia"/>
          <w:sz w:val="24"/>
        </w:rPr>
        <w:tab/>
      </w:r>
      <w:r>
        <w:rPr>
          <w:rFonts w:cs="Tahoma" w:asciiTheme="majorEastAsia" w:hAnsiTheme="majorEastAsia" w:eastAsiaTheme="majorEastAsia"/>
          <w:sz w:val="24"/>
        </w:rPr>
        <w:tab/>
      </w:r>
      <w:r>
        <w:rPr>
          <w:rFonts w:hint="eastAsia" w:cs="Tahoma" w:asciiTheme="majorEastAsia" w:hAnsiTheme="majorEastAsia" w:eastAsiaTheme="majorEastAsia"/>
          <w:sz w:val="24"/>
        </w:rPr>
        <w:t xml:space="preserve">           </w:t>
      </w:r>
      <w:r>
        <w:rPr>
          <w:rFonts w:cs="Tahoma" w:asciiTheme="majorEastAsia" w:hAnsiTheme="majorEastAsia" w:eastAsiaTheme="majorEastAsia"/>
          <w:sz w:val="24"/>
        </w:rPr>
        <w:t>邮政编码：</w:t>
      </w:r>
      <w:r>
        <w:rPr>
          <w:rFonts w:cs="Tahoma" w:asciiTheme="majorEastAsia" w:hAnsiTheme="majorEastAsia" w:eastAsiaTheme="majorEastAsia"/>
          <w:sz w:val="24"/>
          <w:u w:val="single"/>
        </w:rPr>
        <w:tab/>
      </w:r>
      <w:r>
        <w:rPr>
          <w:rFonts w:cs="Tahoma" w:asciiTheme="majorEastAsia" w:hAnsiTheme="majorEastAsia" w:eastAsiaTheme="majorEastAsia"/>
          <w:sz w:val="24"/>
          <w:u w:val="single"/>
        </w:rPr>
        <w:tab/>
      </w:r>
      <w:r>
        <w:rPr>
          <w:rFonts w:cs="Tahoma" w:asciiTheme="majorEastAsia" w:hAnsiTheme="majorEastAsia" w:eastAsiaTheme="majorEastAsia"/>
          <w:sz w:val="24"/>
          <w:u w:val="single"/>
        </w:rPr>
        <w:tab/>
      </w:r>
    </w:p>
    <w:p>
      <w:pPr>
        <w:snapToGrid w:val="0"/>
        <w:spacing w:before="119" w:line="272" w:lineRule="atLeast"/>
        <w:rPr>
          <w:rFonts w:cs="Tahoma" w:asciiTheme="majorEastAsia" w:hAnsiTheme="majorEastAsia" w:eastAsiaTheme="majorEastAsia"/>
          <w:sz w:val="24"/>
          <w:u w:val="single"/>
        </w:rPr>
      </w:pPr>
      <w:r>
        <w:rPr>
          <w:rFonts w:cs="Tahoma" w:asciiTheme="majorEastAsia" w:hAnsiTheme="majorEastAsia" w:eastAsiaTheme="majorEastAsia"/>
          <w:sz w:val="24"/>
        </w:rPr>
        <w:t xml:space="preserve">电  </w:t>
      </w:r>
      <w:r>
        <w:rPr>
          <w:rFonts w:hint="eastAsia" w:cs="Tahoma" w:asciiTheme="majorEastAsia" w:hAnsiTheme="majorEastAsia" w:eastAsiaTheme="majorEastAsia"/>
          <w:sz w:val="24"/>
        </w:rPr>
        <w:t xml:space="preserve">  </w:t>
      </w:r>
      <w:r>
        <w:rPr>
          <w:rFonts w:cs="Tahoma" w:asciiTheme="majorEastAsia" w:hAnsiTheme="majorEastAsia" w:eastAsiaTheme="majorEastAsia"/>
          <w:sz w:val="24"/>
        </w:rPr>
        <w:t>话：</w:t>
      </w:r>
      <w:r>
        <w:rPr>
          <w:rFonts w:cs="Tahoma" w:asciiTheme="majorEastAsia" w:hAnsiTheme="majorEastAsia" w:eastAsiaTheme="majorEastAsia"/>
          <w:sz w:val="24"/>
          <w:u w:val="single"/>
        </w:rPr>
        <w:tab/>
      </w:r>
      <w:r>
        <w:rPr>
          <w:rFonts w:cs="Tahoma" w:asciiTheme="majorEastAsia" w:hAnsiTheme="majorEastAsia" w:eastAsiaTheme="majorEastAsia"/>
          <w:sz w:val="24"/>
          <w:u w:val="single"/>
        </w:rPr>
        <w:tab/>
      </w:r>
      <w:r>
        <w:rPr>
          <w:rFonts w:cs="Tahoma" w:asciiTheme="majorEastAsia" w:hAnsiTheme="majorEastAsia" w:eastAsiaTheme="majorEastAsia"/>
          <w:sz w:val="24"/>
          <w:u w:val="single"/>
        </w:rPr>
        <w:tab/>
      </w:r>
      <w:r>
        <w:rPr>
          <w:rFonts w:cs="Tahoma" w:asciiTheme="majorEastAsia" w:hAnsiTheme="majorEastAsia" w:eastAsiaTheme="majorEastAsia"/>
          <w:sz w:val="24"/>
        </w:rPr>
        <w:tab/>
      </w:r>
      <w:r>
        <w:rPr>
          <w:rFonts w:cs="Tahoma" w:asciiTheme="majorEastAsia" w:hAnsiTheme="majorEastAsia" w:eastAsiaTheme="majorEastAsia"/>
          <w:sz w:val="24"/>
        </w:rPr>
        <w:tab/>
      </w:r>
      <w:r>
        <w:rPr>
          <w:rFonts w:hint="eastAsia" w:cs="Tahoma" w:asciiTheme="majorEastAsia" w:hAnsiTheme="majorEastAsia" w:eastAsiaTheme="majorEastAsia"/>
          <w:sz w:val="24"/>
        </w:rPr>
        <w:t xml:space="preserve">           </w:t>
      </w:r>
      <w:r>
        <w:rPr>
          <w:rFonts w:cs="Tahoma" w:asciiTheme="majorEastAsia" w:hAnsiTheme="majorEastAsia" w:eastAsiaTheme="majorEastAsia"/>
          <w:sz w:val="24"/>
        </w:rPr>
        <w:t xml:space="preserve">电  </w:t>
      </w:r>
      <w:r>
        <w:rPr>
          <w:rFonts w:hint="eastAsia" w:cs="Tahoma" w:asciiTheme="majorEastAsia" w:hAnsiTheme="majorEastAsia" w:eastAsiaTheme="majorEastAsia"/>
          <w:sz w:val="24"/>
        </w:rPr>
        <w:t xml:space="preserve">  </w:t>
      </w:r>
      <w:r>
        <w:rPr>
          <w:rFonts w:cs="Tahoma" w:asciiTheme="majorEastAsia" w:hAnsiTheme="majorEastAsia" w:eastAsiaTheme="majorEastAsia"/>
          <w:sz w:val="24"/>
        </w:rPr>
        <w:t>话：</w:t>
      </w:r>
      <w:r>
        <w:rPr>
          <w:rFonts w:cs="Tahoma" w:asciiTheme="majorEastAsia" w:hAnsiTheme="majorEastAsia" w:eastAsiaTheme="majorEastAsia"/>
          <w:sz w:val="24"/>
          <w:u w:val="single"/>
        </w:rPr>
        <w:tab/>
      </w:r>
      <w:r>
        <w:rPr>
          <w:rFonts w:cs="Tahoma" w:asciiTheme="majorEastAsia" w:hAnsiTheme="majorEastAsia" w:eastAsiaTheme="majorEastAsia"/>
          <w:sz w:val="24"/>
          <w:u w:val="single"/>
        </w:rPr>
        <w:tab/>
      </w:r>
      <w:r>
        <w:rPr>
          <w:rFonts w:hint="eastAsia" w:cs="Tahoma" w:asciiTheme="majorEastAsia" w:hAnsiTheme="majorEastAsia" w:eastAsiaTheme="majorEastAsia"/>
          <w:sz w:val="24"/>
          <w:u w:val="single"/>
        </w:rPr>
        <w:t xml:space="preserve">   </w:t>
      </w:r>
    </w:p>
    <w:p>
      <w:pPr>
        <w:snapToGrid w:val="0"/>
        <w:spacing w:before="119" w:line="272" w:lineRule="atLeast"/>
        <w:rPr>
          <w:rFonts w:cs="Tahoma" w:asciiTheme="majorEastAsia" w:hAnsiTheme="majorEastAsia" w:eastAsiaTheme="majorEastAsia"/>
          <w:sz w:val="24"/>
        </w:rPr>
      </w:pPr>
      <w:r>
        <w:rPr>
          <w:rFonts w:cs="Tahoma" w:asciiTheme="majorEastAsia" w:hAnsiTheme="majorEastAsia" w:eastAsiaTheme="majorEastAsia"/>
          <w:sz w:val="24"/>
        </w:rPr>
        <w:t>开户银行：</w:t>
      </w:r>
      <w:r>
        <w:rPr>
          <w:rFonts w:cs="Tahoma" w:asciiTheme="majorEastAsia" w:hAnsiTheme="majorEastAsia" w:eastAsiaTheme="majorEastAsia"/>
          <w:sz w:val="24"/>
          <w:u w:val="single"/>
        </w:rPr>
        <w:tab/>
      </w:r>
      <w:r>
        <w:rPr>
          <w:rFonts w:cs="Tahoma" w:asciiTheme="majorEastAsia" w:hAnsiTheme="majorEastAsia" w:eastAsiaTheme="majorEastAsia"/>
          <w:sz w:val="24"/>
          <w:u w:val="single"/>
        </w:rPr>
        <w:tab/>
      </w:r>
      <w:r>
        <w:rPr>
          <w:rFonts w:cs="Tahoma" w:asciiTheme="majorEastAsia" w:hAnsiTheme="majorEastAsia" w:eastAsiaTheme="majorEastAsia"/>
          <w:sz w:val="24"/>
          <w:u w:val="single"/>
        </w:rPr>
        <w:tab/>
      </w:r>
      <w:r>
        <w:rPr>
          <w:rFonts w:cs="Tahoma" w:asciiTheme="majorEastAsia" w:hAnsiTheme="majorEastAsia" w:eastAsiaTheme="majorEastAsia"/>
          <w:sz w:val="24"/>
        </w:rPr>
        <w:tab/>
      </w:r>
      <w:r>
        <w:rPr>
          <w:rFonts w:cs="Tahoma" w:asciiTheme="majorEastAsia" w:hAnsiTheme="majorEastAsia" w:eastAsiaTheme="majorEastAsia"/>
          <w:sz w:val="24"/>
        </w:rPr>
        <w:tab/>
      </w:r>
      <w:r>
        <w:rPr>
          <w:rFonts w:hint="eastAsia" w:cs="Tahoma" w:asciiTheme="majorEastAsia" w:hAnsiTheme="majorEastAsia" w:eastAsiaTheme="majorEastAsia"/>
          <w:sz w:val="24"/>
        </w:rPr>
        <w:t xml:space="preserve">          </w:t>
      </w:r>
      <w:r>
        <w:rPr>
          <w:rFonts w:cs="Tahoma" w:asciiTheme="majorEastAsia" w:hAnsiTheme="majorEastAsia" w:eastAsiaTheme="majorEastAsia"/>
          <w:sz w:val="24"/>
        </w:rPr>
        <w:t>开户银行：</w:t>
      </w:r>
      <w:r>
        <w:rPr>
          <w:rFonts w:cs="Tahoma" w:asciiTheme="majorEastAsia" w:hAnsiTheme="majorEastAsia" w:eastAsiaTheme="majorEastAsia"/>
          <w:sz w:val="24"/>
          <w:u w:val="single"/>
        </w:rPr>
        <w:tab/>
      </w:r>
      <w:r>
        <w:rPr>
          <w:rFonts w:cs="Tahoma" w:asciiTheme="majorEastAsia" w:hAnsiTheme="majorEastAsia" w:eastAsiaTheme="majorEastAsia"/>
          <w:sz w:val="24"/>
          <w:u w:val="single"/>
        </w:rPr>
        <w:tab/>
      </w:r>
      <w:r>
        <w:rPr>
          <w:rFonts w:hint="eastAsia" w:cs="Tahoma" w:asciiTheme="majorEastAsia" w:hAnsiTheme="majorEastAsia" w:eastAsiaTheme="majorEastAsia"/>
          <w:sz w:val="24"/>
          <w:u w:val="single"/>
        </w:rPr>
        <w:t xml:space="preserve">   </w:t>
      </w:r>
      <w:r>
        <w:rPr>
          <w:rFonts w:hint="eastAsia" w:cs="Tahoma" w:asciiTheme="majorEastAsia" w:hAnsiTheme="majorEastAsia" w:eastAsiaTheme="majorEastAsia"/>
          <w:sz w:val="24"/>
        </w:rPr>
        <w:t xml:space="preserve"> </w:t>
      </w:r>
    </w:p>
    <w:p>
      <w:pPr>
        <w:snapToGrid w:val="0"/>
        <w:spacing w:before="119" w:line="272" w:lineRule="atLeast"/>
        <w:rPr>
          <w:rFonts w:cs="Tahoma" w:asciiTheme="majorEastAsia" w:hAnsiTheme="majorEastAsia" w:eastAsiaTheme="majorEastAsia"/>
          <w:b/>
          <w:bCs/>
          <w:sz w:val="24"/>
        </w:rPr>
      </w:pPr>
      <w:r>
        <w:rPr>
          <w:rFonts w:cs="Tahoma" w:asciiTheme="majorEastAsia" w:hAnsiTheme="majorEastAsia" w:eastAsiaTheme="majorEastAsia"/>
          <w:sz w:val="24"/>
        </w:rPr>
        <w:t xml:space="preserve">账 </w:t>
      </w:r>
      <w:r>
        <w:rPr>
          <w:rFonts w:hint="eastAsia" w:cs="Tahoma" w:asciiTheme="majorEastAsia" w:hAnsiTheme="majorEastAsia" w:eastAsiaTheme="majorEastAsia"/>
          <w:sz w:val="24"/>
        </w:rPr>
        <w:t xml:space="preserve">  </w:t>
      </w:r>
      <w:r>
        <w:rPr>
          <w:rFonts w:cs="Tahoma" w:asciiTheme="majorEastAsia" w:hAnsiTheme="majorEastAsia" w:eastAsiaTheme="majorEastAsia"/>
          <w:sz w:val="24"/>
        </w:rPr>
        <w:t xml:space="preserve"> 号：</w:t>
      </w:r>
      <w:r>
        <w:rPr>
          <w:rFonts w:cs="Tahoma" w:asciiTheme="majorEastAsia" w:hAnsiTheme="majorEastAsia" w:eastAsiaTheme="majorEastAsia"/>
          <w:sz w:val="24"/>
          <w:u w:val="single"/>
        </w:rPr>
        <w:tab/>
      </w:r>
      <w:r>
        <w:rPr>
          <w:rFonts w:cs="Tahoma" w:asciiTheme="majorEastAsia" w:hAnsiTheme="majorEastAsia" w:eastAsiaTheme="majorEastAsia"/>
          <w:sz w:val="24"/>
          <w:u w:val="single"/>
        </w:rPr>
        <w:tab/>
      </w:r>
      <w:r>
        <w:rPr>
          <w:rFonts w:cs="Tahoma" w:asciiTheme="majorEastAsia" w:hAnsiTheme="majorEastAsia" w:eastAsiaTheme="majorEastAsia"/>
          <w:sz w:val="24"/>
          <w:u w:val="single"/>
        </w:rPr>
        <w:tab/>
      </w:r>
      <w:r>
        <w:rPr>
          <w:rFonts w:cs="Tahoma" w:asciiTheme="majorEastAsia" w:hAnsiTheme="majorEastAsia" w:eastAsiaTheme="majorEastAsia"/>
          <w:sz w:val="24"/>
        </w:rPr>
        <w:tab/>
      </w:r>
      <w:r>
        <w:rPr>
          <w:rFonts w:hint="eastAsia" w:cs="Tahoma" w:asciiTheme="majorEastAsia" w:hAnsiTheme="majorEastAsia" w:eastAsiaTheme="majorEastAsia"/>
          <w:sz w:val="24"/>
        </w:rPr>
        <w:t xml:space="preserve">             </w:t>
      </w:r>
      <w:r>
        <w:rPr>
          <w:rFonts w:cs="Tahoma" w:asciiTheme="majorEastAsia" w:hAnsiTheme="majorEastAsia" w:eastAsiaTheme="majorEastAsia"/>
          <w:sz w:val="24"/>
        </w:rPr>
        <w:t xml:space="preserve">账 </w:t>
      </w:r>
      <w:r>
        <w:rPr>
          <w:rFonts w:hint="eastAsia" w:cs="Tahoma" w:asciiTheme="majorEastAsia" w:hAnsiTheme="majorEastAsia" w:eastAsiaTheme="majorEastAsia"/>
          <w:sz w:val="24"/>
        </w:rPr>
        <w:t xml:space="preserve">  </w:t>
      </w:r>
      <w:r>
        <w:rPr>
          <w:rFonts w:cs="Tahoma" w:asciiTheme="majorEastAsia" w:hAnsiTheme="majorEastAsia" w:eastAsiaTheme="majorEastAsia"/>
          <w:sz w:val="24"/>
        </w:rPr>
        <w:t xml:space="preserve"> 号：</w:t>
      </w:r>
      <w:r>
        <w:rPr>
          <w:rFonts w:cs="Tahoma" w:asciiTheme="majorEastAsia" w:hAnsiTheme="majorEastAsia" w:eastAsiaTheme="majorEastAsia"/>
          <w:sz w:val="24"/>
          <w:u w:val="single"/>
        </w:rPr>
        <w:tab/>
      </w:r>
      <w:r>
        <w:rPr>
          <w:rFonts w:cs="Tahoma" w:asciiTheme="majorEastAsia" w:hAnsiTheme="majorEastAsia" w:eastAsiaTheme="majorEastAsia"/>
          <w:sz w:val="24"/>
          <w:u w:val="single"/>
        </w:rPr>
        <w:tab/>
      </w:r>
      <w:r>
        <w:rPr>
          <w:rFonts w:hint="eastAsia" w:cs="Tahoma" w:asciiTheme="majorEastAsia" w:hAnsiTheme="majorEastAsia" w:eastAsiaTheme="majorEastAsia"/>
          <w:sz w:val="24"/>
          <w:u w:val="single"/>
        </w:rPr>
        <w:t xml:space="preserve">   </w:t>
      </w:r>
    </w:p>
    <w:p>
      <w:pPr>
        <w:spacing w:after="240" w:line="360" w:lineRule="auto"/>
        <w:ind w:firstLine="482"/>
        <w:rPr>
          <w:rFonts w:ascii="Tahoma" w:hAnsi="Tahoma" w:cs="Tahoma"/>
          <w:b/>
          <w:bCs/>
          <w:sz w:val="24"/>
          <w:szCs w:val="28"/>
        </w:rPr>
      </w:pPr>
    </w:p>
    <w:p>
      <w:pPr>
        <w:spacing w:after="240" w:line="360" w:lineRule="auto"/>
        <w:ind w:firstLine="482"/>
        <w:rPr>
          <w:rFonts w:ascii="Tahoma" w:hAnsi="Tahoma" w:cs="Tahoma"/>
          <w:b/>
          <w:bCs/>
          <w:sz w:val="24"/>
          <w:szCs w:val="28"/>
        </w:rPr>
      </w:pPr>
      <w:r>
        <w:rPr>
          <w:rFonts w:hint="eastAsia" w:ascii="Tahoma" w:hAnsi="Tahoma" w:cs="Tahoma"/>
          <w:b/>
          <w:bCs/>
          <w:sz w:val="24"/>
          <w:szCs w:val="28"/>
        </w:rPr>
        <w:t>注：本合同仅作示范文本，具体以双方签订的正式合同为准，合同内容不得违背本招标文件实质性要求。</w:t>
      </w:r>
    </w:p>
    <w:p>
      <w:pPr>
        <w:widowControl/>
        <w:ind w:firstLine="480"/>
        <w:jc w:val="left"/>
        <w:rPr>
          <w:rFonts w:ascii="仿宋_GB2312" w:eastAsia="仿宋_GB2312"/>
          <w:sz w:val="28"/>
        </w:rPr>
      </w:pPr>
      <w:r>
        <w:br w:type="page"/>
      </w:r>
    </w:p>
    <w:p>
      <w:pPr>
        <w:pStyle w:val="19"/>
        <w:ind w:firstLine="560"/>
      </w:pPr>
    </w:p>
    <w:p>
      <w:pPr>
        <w:pStyle w:val="19"/>
        <w:ind w:firstLine="560"/>
      </w:pPr>
    </w:p>
    <w:p>
      <w:pPr>
        <w:pStyle w:val="19"/>
        <w:ind w:firstLine="560"/>
      </w:pPr>
    </w:p>
    <w:p>
      <w:pPr>
        <w:pStyle w:val="19"/>
        <w:ind w:firstLine="560"/>
      </w:pPr>
    </w:p>
    <w:p>
      <w:pPr>
        <w:pStyle w:val="2"/>
        <w:spacing w:line="560" w:lineRule="exact"/>
        <w:ind w:firstLine="643"/>
        <w:rPr>
          <w:rFonts w:ascii="宋体" w:hAnsi="宋体" w:eastAsia="宋体"/>
          <w:sz w:val="32"/>
        </w:rPr>
      </w:pPr>
      <w:bookmarkStart w:id="106" w:name="_Toc15775"/>
      <w:r>
        <w:rPr>
          <w:rFonts w:hint="eastAsia" w:ascii="宋体" w:hAnsi="宋体" w:eastAsia="宋体"/>
          <w:sz w:val="32"/>
        </w:rPr>
        <w:t>第五章　投标相关文件格式</w:t>
      </w:r>
      <w:bookmarkEnd w:id="106"/>
      <w:bookmarkStart w:id="107" w:name="_Toc47756041"/>
      <w:bookmarkStart w:id="108" w:name="_Toc15805942"/>
      <w:bookmarkStart w:id="109" w:name="_Toc45506740"/>
      <w:bookmarkStart w:id="110" w:name="_Toc15813259"/>
    </w:p>
    <w:p>
      <w:pPr>
        <w:ind w:firstLine="480"/>
      </w:pPr>
    </w:p>
    <w:p>
      <w:pPr>
        <w:ind w:firstLine="480"/>
      </w:pPr>
    </w:p>
    <w:p>
      <w:pPr>
        <w:ind w:firstLine="480"/>
      </w:pPr>
    </w:p>
    <w:p>
      <w:pPr>
        <w:ind w:firstLine="480"/>
      </w:pPr>
    </w:p>
    <w:p>
      <w:pPr>
        <w:pStyle w:val="4"/>
        <w:ind w:firstLine="3120" w:firstLineChars="1040"/>
        <w:rPr>
          <w:rFonts w:ascii="宋体" w:hAnsi="宋体" w:eastAsia="宋体"/>
          <w:b w:val="0"/>
          <w:bCs w:val="0"/>
        </w:rPr>
      </w:pPr>
      <w:bookmarkStart w:id="111" w:name="_Toc20011"/>
      <w:r>
        <w:rPr>
          <w:rFonts w:hint="eastAsia" w:ascii="宋体" w:hAnsi="宋体" w:eastAsia="宋体"/>
          <w:b w:val="0"/>
          <w:bCs w:val="0"/>
        </w:rPr>
        <w:t>一   资格文件格式</w:t>
      </w:r>
      <w:bookmarkEnd w:id="111"/>
    </w:p>
    <w:p>
      <w:pPr>
        <w:pStyle w:val="5"/>
        <w:ind w:firstLine="1974" w:firstLineChars="940"/>
      </w:pPr>
    </w:p>
    <w:p>
      <w:pPr>
        <w:pStyle w:val="5"/>
        <w:ind w:firstLine="480"/>
        <w:jc w:val="center"/>
        <w:rPr>
          <w:rFonts w:ascii="宋体" w:hAnsi="宋体"/>
        </w:rPr>
      </w:pPr>
      <w:r>
        <w:rPr>
          <w:rFonts w:ascii="宋体" w:hAnsi="宋体"/>
        </w:rPr>
        <w:br w:type="page"/>
      </w:r>
    </w:p>
    <w:p>
      <w:pPr>
        <w:spacing w:line="360" w:lineRule="auto"/>
        <w:ind w:firstLine="602"/>
        <w:jc w:val="center"/>
        <w:rPr>
          <w:rFonts w:ascii="宋体" w:hAnsi="宋体"/>
          <w:b/>
          <w:sz w:val="30"/>
        </w:rPr>
      </w:pPr>
    </w:p>
    <w:p>
      <w:pPr>
        <w:spacing w:line="360" w:lineRule="auto"/>
        <w:ind w:firstLine="602"/>
        <w:jc w:val="center"/>
        <w:rPr>
          <w:rFonts w:ascii="宋体" w:hAnsi="宋体"/>
          <w:b/>
          <w:sz w:val="30"/>
        </w:rPr>
      </w:pPr>
    </w:p>
    <w:p>
      <w:pPr>
        <w:spacing w:line="360" w:lineRule="auto"/>
        <w:ind w:firstLine="723"/>
        <w:jc w:val="center"/>
        <w:rPr>
          <w:rFonts w:ascii="宋体" w:hAnsi="宋体"/>
          <w:b/>
          <w:sz w:val="30"/>
        </w:rPr>
      </w:pPr>
      <w:r>
        <w:rPr>
          <w:rFonts w:hint="eastAsia" w:ascii="宋体" w:hAnsi="宋体"/>
          <w:b/>
          <w:sz w:val="36"/>
        </w:rPr>
        <w:t>资格文件封面</w:t>
      </w:r>
    </w:p>
    <w:p>
      <w:pPr>
        <w:pStyle w:val="5"/>
        <w:ind w:firstLine="1497" w:firstLineChars="416"/>
        <w:rPr>
          <w:rFonts w:ascii="宋体" w:hAnsi="宋体"/>
          <w:sz w:val="36"/>
        </w:rPr>
      </w:pPr>
    </w:p>
    <w:p>
      <w:pPr>
        <w:pStyle w:val="5"/>
        <w:ind w:firstLine="1331" w:firstLineChars="416"/>
        <w:rPr>
          <w:rFonts w:ascii="宋体" w:hAnsi="宋体"/>
          <w:sz w:val="32"/>
          <w:szCs w:val="32"/>
        </w:rPr>
      </w:pPr>
    </w:p>
    <w:p>
      <w:pPr>
        <w:pStyle w:val="5"/>
        <w:ind w:firstLine="1497" w:firstLineChars="416"/>
        <w:rPr>
          <w:rFonts w:ascii="宋体" w:hAnsi="宋体"/>
          <w:sz w:val="36"/>
          <w:szCs w:val="32"/>
        </w:rPr>
      </w:pPr>
      <w:r>
        <w:rPr>
          <w:rFonts w:hint="eastAsia" w:ascii="宋体" w:hAnsi="宋体"/>
          <w:sz w:val="36"/>
          <w:szCs w:val="32"/>
        </w:rPr>
        <w:t>项目编号</w:t>
      </w:r>
      <w:r>
        <w:rPr>
          <w:rFonts w:ascii="宋体" w:hAnsi="宋体"/>
          <w:sz w:val="36"/>
          <w:szCs w:val="32"/>
        </w:rPr>
        <w:t>：</w:t>
      </w:r>
    </w:p>
    <w:p>
      <w:pPr>
        <w:pStyle w:val="5"/>
        <w:ind w:firstLine="1497" w:firstLineChars="416"/>
        <w:rPr>
          <w:rFonts w:ascii="宋体" w:hAnsi="宋体"/>
          <w:sz w:val="36"/>
          <w:szCs w:val="32"/>
        </w:rPr>
      </w:pPr>
    </w:p>
    <w:p>
      <w:pPr>
        <w:pStyle w:val="5"/>
        <w:ind w:firstLine="1497" w:firstLineChars="416"/>
        <w:rPr>
          <w:rFonts w:ascii="宋体" w:hAnsi="宋体"/>
          <w:sz w:val="36"/>
          <w:szCs w:val="32"/>
        </w:rPr>
      </w:pPr>
    </w:p>
    <w:p>
      <w:pPr>
        <w:pStyle w:val="5"/>
        <w:ind w:firstLine="1497" w:firstLineChars="416"/>
        <w:rPr>
          <w:rFonts w:ascii="宋体" w:hAnsi="宋体"/>
          <w:sz w:val="36"/>
          <w:szCs w:val="32"/>
        </w:rPr>
      </w:pPr>
    </w:p>
    <w:p>
      <w:pPr>
        <w:pStyle w:val="5"/>
        <w:ind w:firstLine="1497" w:firstLineChars="416"/>
        <w:rPr>
          <w:rFonts w:ascii="宋体" w:hAnsi="宋体"/>
          <w:sz w:val="36"/>
          <w:szCs w:val="32"/>
        </w:rPr>
      </w:pPr>
    </w:p>
    <w:p>
      <w:pPr>
        <w:pStyle w:val="5"/>
        <w:ind w:firstLine="1497" w:firstLineChars="416"/>
        <w:rPr>
          <w:rFonts w:ascii="宋体" w:hAnsi="宋体"/>
          <w:sz w:val="36"/>
          <w:szCs w:val="32"/>
        </w:rPr>
      </w:pPr>
      <w:r>
        <w:rPr>
          <w:rFonts w:ascii="宋体" w:hAnsi="宋体"/>
          <w:sz w:val="36"/>
          <w:szCs w:val="32"/>
        </w:rPr>
        <w:t>项目名称</w:t>
      </w:r>
      <w:r>
        <w:rPr>
          <w:rFonts w:hint="eastAsia" w:ascii="宋体" w:hAnsi="宋体"/>
          <w:sz w:val="36"/>
          <w:szCs w:val="32"/>
        </w:rPr>
        <w:t xml:space="preserve">：                   </w:t>
      </w:r>
    </w:p>
    <w:p>
      <w:pPr>
        <w:pStyle w:val="5"/>
        <w:ind w:firstLine="1497" w:firstLineChars="416"/>
        <w:rPr>
          <w:rFonts w:ascii="宋体" w:hAnsi="宋体"/>
          <w:sz w:val="36"/>
          <w:szCs w:val="32"/>
        </w:rPr>
      </w:pPr>
    </w:p>
    <w:p>
      <w:pPr>
        <w:pStyle w:val="5"/>
        <w:ind w:firstLine="1497" w:firstLineChars="416"/>
        <w:rPr>
          <w:rFonts w:ascii="宋体" w:hAnsi="宋体"/>
          <w:sz w:val="36"/>
          <w:szCs w:val="32"/>
        </w:rPr>
      </w:pPr>
    </w:p>
    <w:p>
      <w:pPr>
        <w:pStyle w:val="5"/>
        <w:ind w:firstLine="1497" w:firstLineChars="416"/>
        <w:rPr>
          <w:rFonts w:ascii="宋体" w:hAnsi="宋体"/>
          <w:sz w:val="36"/>
          <w:szCs w:val="32"/>
        </w:rPr>
      </w:pPr>
    </w:p>
    <w:p>
      <w:pPr>
        <w:pStyle w:val="5"/>
        <w:ind w:firstLine="1497" w:firstLineChars="416"/>
        <w:rPr>
          <w:rFonts w:ascii="宋体" w:hAnsi="宋体"/>
          <w:sz w:val="36"/>
          <w:szCs w:val="32"/>
        </w:rPr>
      </w:pPr>
      <w:r>
        <w:rPr>
          <w:rFonts w:ascii="宋体" w:hAnsi="宋体"/>
          <w:sz w:val="36"/>
          <w:szCs w:val="32"/>
        </w:rPr>
        <w:t>投标文件名称：</w:t>
      </w:r>
      <w:r>
        <w:rPr>
          <w:rFonts w:hint="eastAsia" w:ascii="宋体" w:hAnsi="宋体"/>
          <w:sz w:val="36"/>
          <w:szCs w:val="32"/>
        </w:rPr>
        <w:t>资格文件</w:t>
      </w:r>
    </w:p>
    <w:p>
      <w:pPr>
        <w:pStyle w:val="5"/>
        <w:ind w:firstLine="1497" w:firstLineChars="416"/>
        <w:rPr>
          <w:rFonts w:ascii="宋体" w:hAnsi="宋体"/>
          <w:sz w:val="36"/>
          <w:szCs w:val="32"/>
        </w:rPr>
      </w:pPr>
    </w:p>
    <w:p>
      <w:pPr>
        <w:pStyle w:val="5"/>
        <w:ind w:firstLine="1497" w:firstLineChars="416"/>
        <w:rPr>
          <w:rFonts w:ascii="宋体" w:hAnsi="宋体"/>
          <w:sz w:val="36"/>
          <w:szCs w:val="32"/>
        </w:rPr>
      </w:pPr>
    </w:p>
    <w:p>
      <w:pPr>
        <w:pStyle w:val="5"/>
        <w:ind w:firstLine="1497" w:firstLineChars="416"/>
        <w:rPr>
          <w:rFonts w:ascii="宋体" w:hAnsi="宋体"/>
          <w:sz w:val="36"/>
          <w:szCs w:val="32"/>
        </w:rPr>
      </w:pPr>
    </w:p>
    <w:p>
      <w:pPr>
        <w:pStyle w:val="5"/>
        <w:ind w:firstLine="1497" w:firstLineChars="416"/>
        <w:rPr>
          <w:rFonts w:ascii="宋体" w:hAnsi="宋体"/>
          <w:sz w:val="36"/>
          <w:szCs w:val="32"/>
        </w:rPr>
      </w:pPr>
    </w:p>
    <w:p>
      <w:pPr>
        <w:pStyle w:val="5"/>
        <w:ind w:firstLine="1497" w:firstLineChars="416"/>
        <w:rPr>
          <w:rFonts w:ascii="宋体" w:hAnsi="宋体"/>
          <w:sz w:val="36"/>
          <w:szCs w:val="32"/>
        </w:rPr>
      </w:pPr>
      <w:r>
        <w:rPr>
          <w:rFonts w:ascii="宋体" w:hAnsi="宋体"/>
          <w:sz w:val="36"/>
          <w:szCs w:val="32"/>
        </w:rPr>
        <w:t>投标人名称（</w:t>
      </w:r>
      <w:r>
        <w:rPr>
          <w:rFonts w:hint="eastAsia" w:ascii="宋体" w:hAnsi="宋体"/>
          <w:sz w:val="36"/>
          <w:szCs w:val="32"/>
        </w:rPr>
        <w:t>CA签章</w:t>
      </w:r>
      <w:r>
        <w:rPr>
          <w:rFonts w:ascii="宋体" w:hAnsi="宋体"/>
          <w:sz w:val="36"/>
          <w:szCs w:val="32"/>
        </w:rPr>
        <w:t>）</w:t>
      </w:r>
      <w:r>
        <w:rPr>
          <w:rFonts w:ascii="宋体" w:hAnsi="宋体"/>
          <w:sz w:val="36"/>
        </w:rPr>
        <w:t>：</w:t>
      </w:r>
    </w:p>
    <w:p>
      <w:pPr>
        <w:pStyle w:val="5"/>
        <w:ind w:firstLine="720"/>
        <w:rPr>
          <w:rFonts w:ascii="宋体" w:hAnsi="宋体"/>
          <w:sz w:val="36"/>
          <w:szCs w:val="32"/>
        </w:rPr>
      </w:pPr>
    </w:p>
    <w:p>
      <w:pPr>
        <w:pStyle w:val="5"/>
        <w:ind w:firstLine="720"/>
        <w:rPr>
          <w:rFonts w:ascii="宋体" w:hAnsi="宋体"/>
          <w:sz w:val="36"/>
          <w:szCs w:val="32"/>
        </w:rPr>
      </w:pPr>
    </w:p>
    <w:p>
      <w:pPr>
        <w:pStyle w:val="5"/>
        <w:ind w:firstLine="720"/>
        <w:rPr>
          <w:rFonts w:ascii="宋体" w:hAnsi="宋体"/>
          <w:sz w:val="36"/>
          <w:szCs w:val="32"/>
        </w:rPr>
      </w:pPr>
    </w:p>
    <w:p>
      <w:pPr>
        <w:pStyle w:val="5"/>
        <w:ind w:firstLine="1497" w:firstLineChars="416"/>
        <w:rPr>
          <w:rFonts w:ascii="宋体" w:hAnsi="宋体"/>
          <w:sz w:val="36"/>
          <w:szCs w:val="32"/>
        </w:rPr>
      </w:pPr>
      <w:r>
        <w:rPr>
          <w:rFonts w:ascii="宋体" w:hAnsi="宋体"/>
          <w:sz w:val="36"/>
          <w:szCs w:val="32"/>
        </w:rPr>
        <w:t>投标人地址：</w:t>
      </w:r>
    </w:p>
    <w:p>
      <w:pPr>
        <w:pStyle w:val="5"/>
        <w:ind w:firstLine="720"/>
        <w:rPr>
          <w:rFonts w:ascii="宋体" w:hAnsi="宋体"/>
          <w:sz w:val="36"/>
        </w:rPr>
      </w:pPr>
    </w:p>
    <w:p>
      <w:pPr>
        <w:pStyle w:val="5"/>
        <w:ind w:firstLine="720"/>
        <w:rPr>
          <w:rFonts w:ascii="宋体" w:hAnsi="宋体"/>
          <w:sz w:val="36"/>
        </w:rPr>
      </w:pPr>
    </w:p>
    <w:p>
      <w:pPr>
        <w:pStyle w:val="5"/>
        <w:ind w:firstLine="1137" w:firstLineChars="316"/>
        <w:rPr>
          <w:rFonts w:ascii="宋体" w:hAnsi="宋体"/>
          <w:sz w:val="36"/>
          <w:szCs w:val="32"/>
        </w:rPr>
      </w:pPr>
      <w:r>
        <w:rPr>
          <w:rFonts w:hint="eastAsia" w:ascii="宋体" w:hAnsi="宋体"/>
          <w:sz w:val="36"/>
          <w:szCs w:val="32"/>
        </w:rPr>
        <w:t>（联合体投标的，由牵头人CA签章）</w:t>
      </w:r>
    </w:p>
    <w:p>
      <w:pPr>
        <w:pStyle w:val="5"/>
        <w:ind w:firstLine="1440" w:firstLineChars="400"/>
        <w:rPr>
          <w:rFonts w:ascii="宋体" w:hAnsi="宋体"/>
          <w:sz w:val="36"/>
        </w:rPr>
      </w:pPr>
    </w:p>
    <w:p>
      <w:pPr>
        <w:spacing w:line="360" w:lineRule="auto"/>
        <w:ind w:firstLine="602"/>
        <w:jc w:val="center"/>
        <w:rPr>
          <w:rFonts w:ascii="宋体" w:hAnsi="宋体"/>
          <w:b/>
          <w:sz w:val="30"/>
        </w:rPr>
      </w:pPr>
    </w:p>
    <w:p>
      <w:pPr>
        <w:spacing w:line="360" w:lineRule="auto"/>
        <w:ind w:firstLine="602"/>
        <w:jc w:val="center"/>
        <w:rPr>
          <w:rFonts w:ascii="宋体" w:hAnsi="宋体"/>
          <w:b/>
          <w:sz w:val="30"/>
        </w:rPr>
      </w:pPr>
      <w:r>
        <w:rPr>
          <w:rFonts w:hint="eastAsia" w:ascii="宋体" w:hAnsi="宋体"/>
          <w:b/>
          <w:sz w:val="30"/>
        </w:rPr>
        <w:t>▲1、公司有效营业执照</w:t>
      </w:r>
    </w:p>
    <w:p>
      <w:pPr>
        <w:spacing w:line="360" w:lineRule="auto"/>
        <w:rPr>
          <w:rFonts w:ascii="宋体" w:hAnsi="宋体"/>
          <w:sz w:val="24"/>
        </w:rPr>
      </w:pPr>
      <w:r>
        <w:rPr>
          <w:rFonts w:hint="eastAsia" w:ascii="宋体" w:hAnsi="宋体"/>
          <w:sz w:val="24"/>
        </w:rPr>
        <w:t>要求：</w:t>
      </w:r>
    </w:p>
    <w:p>
      <w:pPr>
        <w:spacing w:line="360" w:lineRule="auto"/>
        <w:ind w:firstLine="480" w:firstLineChars="200"/>
        <w:rPr>
          <w:rFonts w:ascii="宋体" w:hAnsi="宋体"/>
          <w:sz w:val="24"/>
        </w:rPr>
      </w:pPr>
      <w:r>
        <w:rPr>
          <w:rFonts w:hint="eastAsia" w:ascii="宋体" w:hAnsi="宋体"/>
          <w:sz w:val="24"/>
        </w:rPr>
        <w:t>提供</w:t>
      </w:r>
      <w:r>
        <w:rPr>
          <w:rFonts w:ascii="宋体" w:hAnsi="宋体"/>
          <w:sz w:val="24"/>
        </w:rPr>
        <w:t>有效的营业执照</w:t>
      </w:r>
      <w:r>
        <w:rPr>
          <w:rFonts w:hint="eastAsia" w:ascii="宋体" w:hAnsi="宋体"/>
          <w:sz w:val="24"/>
        </w:rPr>
        <w:t>扫描件</w:t>
      </w:r>
      <w:r>
        <w:rPr>
          <w:rFonts w:hint="eastAsia" w:ascii="宋体" w:hAnsi="宋体"/>
          <w:b/>
          <w:sz w:val="24"/>
        </w:rPr>
        <w:t>（若为联合体参与投标的，须提供联合体各方有效的营业执照扫描件）</w:t>
      </w:r>
      <w:r>
        <w:rPr>
          <w:rFonts w:hint="eastAsia" w:ascii="宋体" w:hAnsi="宋体"/>
          <w:sz w:val="24"/>
        </w:rPr>
        <w:t>。</w:t>
      </w:r>
    </w:p>
    <w:p>
      <w:pPr>
        <w:spacing w:line="360" w:lineRule="auto"/>
        <w:rPr>
          <w:rFonts w:ascii="宋体" w:hAnsi="宋体"/>
          <w:sz w:val="24"/>
        </w:rPr>
      </w:pPr>
    </w:p>
    <w:p>
      <w:pPr>
        <w:spacing w:line="360" w:lineRule="auto"/>
        <w:rPr>
          <w:rFonts w:ascii="宋体" w:hAnsi="宋体"/>
          <w:sz w:val="24"/>
        </w:rPr>
      </w:pPr>
    </w:p>
    <w:p>
      <w:pPr>
        <w:spacing w:line="360" w:lineRule="auto"/>
        <w:ind w:firstLine="482"/>
        <w:rPr>
          <w:rFonts w:ascii="宋体" w:hAnsi="宋体" w:cs="仿宋_GB2312"/>
          <w:b/>
          <w:sz w:val="24"/>
        </w:rPr>
      </w:pPr>
    </w:p>
    <w:p>
      <w:pPr>
        <w:spacing w:line="360" w:lineRule="auto"/>
        <w:ind w:firstLine="482"/>
        <w:rPr>
          <w:rFonts w:ascii="宋体" w:hAnsi="宋体" w:cs="仿宋_GB2312"/>
          <w:b/>
          <w:sz w:val="24"/>
        </w:rPr>
      </w:pPr>
    </w:p>
    <w:p>
      <w:pPr>
        <w:spacing w:line="360" w:lineRule="auto"/>
        <w:ind w:firstLine="482"/>
        <w:rPr>
          <w:rFonts w:ascii="宋体" w:hAnsi="宋体" w:cs="仿宋_GB2312"/>
          <w:b/>
          <w:sz w:val="24"/>
        </w:rPr>
      </w:pPr>
    </w:p>
    <w:p>
      <w:pPr>
        <w:spacing w:line="360" w:lineRule="auto"/>
        <w:ind w:firstLine="482"/>
        <w:jc w:val="center"/>
        <w:rPr>
          <w:rFonts w:ascii="宋体" w:hAnsi="宋体"/>
          <w:b/>
          <w:sz w:val="30"/>
        </w:rPr>
      </w:pPr>
      <w:r>
        <w:rPr>
          <w:rFonts w:ascii="宋体" w:hAnsi="宋体" w:cs="仿宋_GB2312"/>
          <w:b/>
          <w:sz w:val="24"/>
        </w:rPr>
        <w:br w:type="page"/>
      </w:r>
      <w:r>
        <w:rPr>
          <w:rFonts w:hint="eastAsia" w:ascii="宋体" w:hAnsi="宋体"/>
          <w:b/>
          <w:sz w:val="30"/>
        </w:rPr>
        <w:t>2、联合体协议书或分包意向协议</w:t>
      </w:r>
    </w:p>
    <w:p>
      <w:pPr>
        <w:spacing w:line="360" w:lineRule="auto"/>
        <w:ind w:firstLine="602"/>
        <w:jc w:val="center"/>
        <w:rPr>
          <w:rFonts w:ascii="宋体" w:hAnsi="宋体"/>
          <w:b/>
          <w:sz w:val="30"/>
        </w:rPr>
      </w:pPr>
      <w:r>
        <w:rPr>
          <w:rFonts w:hint="eastAsia" w:ascii="宋体" w:hAnsi="宋体"/>
          <w:b/>
          <w:sz w:val="30"/>
        </w:rPr>
        <w:t>2.1联合体协议书（▲联合体投标时须提供）</w:t>
      </w:r>
    </w:p>
    <w:p>
      <w:pPr>
        <w:pStyle w:val="556"/>
        <w:spacing w:before="0" w:beforeAutospacing="0" w:after="0" w:afterAutospacing="0" w:line="360" w:lineRule="auto"/>
        <w:ind w:firstLine="480" w:firstLineChars="200"/>
        <w:rPr>
          <w:szCs w:val="24"/>
        </w:rPr>
      </w:pPr>
      <w:r>
        <w:rPr>
          <w:rFonts w:hint="eastAsia"/>
          <w:szCs w:val="24"/>
        </w:rPr>
        <w:t>甲方：</w:t>
      </w:r>
    </w:p>
    <w:p>
      <w:pPr>
        <w:pStyle w:val="556"/>
        <w:spacing w:before="0" w:beforeAutospacing="0" w:after="0" w:afterAutospacing="0" w:line="360" w:lineRule="auto"/>
        <w:ind w:firstLine="480" w:firstLineChars="200"/>
        <w:rPr>
          <w:szCs w:val="24"/>
        </w:rPr>
      </w:pPr>
      <w:r>
        <w:rPr>
          <w:rFonts w:hint="eastAsia"/>
          <w:szCs w:val="24"/>
        </w:rPr>
        <w:t>乙方：</w:t>
      </w:r>
    </w:p>
    <w:p>
      <w:pPr>
        <w:pStyle w:val="556"/>
        <w:spacing w:before="0" w:beforeAutospacing="0" w:after="0" w:afterAutospacing="0" w:line="360" w:lineRule="auto"/>
        <w:ind w:firstLine="480" w:firstLineChars="200"/>
        <w:rPr>
          <w:szCs w:val="24"/>
        </w:rPr>
      </w:pPr>
      <w:r>
        <w:rPr>
          <w:rFonts w:hint="eastAsia"/>
          <w:szCs w:val="24"/>
        </w:rPr>
        <w:t xml:space="preserve">各方经协商，就响应 </w:t>
      </w:r>
      <w:r>
        <w:rPr>
          <w:rFonts w:hint="eastAsia"/>
          <w:szCs w:val="24"/>
          <w:u w:val="single"/>
        </w:rPr>
        <w:t xml:space="preserve">      （采购人）</w:t>
      </w:r>
      <w:r>
        <w:rPr>
          <w:rFonts w:hint="eastAsia"/>
          <w:szCs w:val="24"/>
        </w:rPr>
        <w:t>组织实施的项目（项目编号：招标活动联合进行投标之事宜，达成如下协议：</w:t>
      </w:r>
    </w:p>
    <w:p>
      <w:pPr>
        <w:pStyle w:val="556"/>
        <w:spacing w:before="0" w:beforeAutospacing="0" w:after="0" w:afterAutospacing="0" w:line="360" w:lineRule="auto"/>
        <w:ind w:firstLine="480" w:firstLineChars="200"/>
        <w:rPr>
          <w:szCs w:val="24"/>
        </w:rPr>
      </w:pPr>
      <w:r>
        <w:rPr>
          <w:rFonts w:hint="eastAsia"/>
          <w:szCs w:val="24"/>
        </w:rPr>
        <w:t>一、各方一致决定，以 为联合体牵头人，为联合体成员，共同进行投标，并按照招标文件的规定提交投标文件。</w:t>
      </w:r>
    </w:p>
    <w:p>
      <w:pPr>
        <w:pStyle w:val="556"/>
        <w:spacing w:before="0" w:beforeAutospacing="0" w:after="0" w:afterAutospacing="0" w:line="360" w:lineRule="auto"/>
        <w:ind w:firstLine="480" w:firstLineChars="200"/>
        <w:rPr>
          <w:szCs w:val="24"/>
        </w:rPr>
      </w:pPr>
      <w:r>
        <w:rPr>
          <w:rFonts w:hint="eastAsia"/>
          <w:szCs w:val="24"/>
        </w:rPr>
        <w:t>二、在本次投标过程中，联合体牵头人的法定代表人或投标人代表根据招标文件规定及投标内容而对采购人所作的任何合法承诺，包括书面澄清及响应等均对联合投标各方产生约束力。如果中标并签订合同，则联合投标各方将共同履行对采购人所负有的全部义务并就采购合同约定的事项对采购人承担连带责任。</w:t>
      </w:r>
    </w:p>
    <w:p>
      <w:pPr>
        <w:pStyle w:val="556"/>
        <w:spacing w:before="0" w:beforeAutospacing="0" w:after="0" w:afterAutospacing="0" w:line="360" w:lineRule="auto"/>
        <w:ind w:firstLine="480" w:firstLineChars="200"/>
        <w:rPr>
          <w:szCs w:val="24"/>
        </w:rPr>
      </w:pPr>
      <w:r>
        <w:rPr>
          <w:rFonts w:hint="eastAsia"/>
          <w:szCs w:val="24"/>
        </w:rPr>
        <w:t>三、联合投标的成员方对联合体牵头人为响应本次招标而提供的产品和服务提供全部质量保证及售后服务支持。</w:t>
      </w:r>
    </w:p>
    <w:p>
      <w:pPr>
        <w:pStyle w:val="556"/>
        <w:spacing w:before="0" w:beforeAutospacing="0" w:after="0" w:afterAutospacing="0" w:line="360" w:lineRule="auto"/>
        <w:ind w:firstLine="480" w:firstLineChars="200"/>
        <w:rPr>
          <w:szCs w:val="24"/>
          <w:u w:val="single"/>
        </w:rPr>
      </w:pPr>
      <w:r>
        <w:rPr>
          <w:rFonts w:hint="eastAsia"/>
          <w:szCs w:val="24"/>
        </w:rPr>
        <w:t>四、本次联合投标中，甲方承担的工作和义务为：</w:t>
      </w:r>
    </w:p>
    <w:p>
      <w:pPr>
        <w:pStyle w:val="556"/>
        <w:spacing w:before="0" w:beforeAutospacing="0" w:after="0" w:afterAutospacing="0" w:line="360" w:lineRule="auto"/>
        <w:ind w:firstLine="960" w:firstLineChars="400"/>
        <w:rPr>
          <w:szCs w:val="24"/>
        </w:rPr>
      </w:pPr>
      <w:r>
        <w:rPr>
          <w:rFonts w:hint="eastAsia"/>
          <w:szCs w:val="24"/>
        </w:rPr>
        <w:t>甲方承担本项目的合同金额占合同总金额的%</w:t>
      </w:r>
    </w:p>
    <w:p>
      <w:pPr>
        <w:pStyle w:val="556"/>
        <w:spacing w:before="0" w:beforeAutospacing="0" w:after="0" w:afterAutospacing="0" w:line="360" w:lineRule="auto"/>
        <w:ind w:firstLine="480" w:firstLineChars="200"/>
        <w:rPr>
          <w:szCs w:val="24"/>
          <w:u w:val="single"/>
        </w:rPr>
      </w:pPr>
      <w:r>
        <w:rPr>
          <w:rFonts w:hint="eastAsia"/>
          <w:szCs w:val="24"/>
        </w:rPr>
        <w:t xml:space="preserve">    乙方承担的工作和义务为：</w:t>
      </w:r>
    </w:p>
    <w:p>
      <w:pPr>
        <w:pStyle w:val="556"/>
        <w:spacing w:before="0" w:beforeAutospacing="0" w:after="0" w:afterAutospacing="0" w:line="360" w:lineRule="auto"/>
        <w:ind w:firstLine="480" w:firstLineChars="200"/>
        <w:rPr>
          <w:szCs w:val="24"/>
        </w:rPr>
      </w:pPr>
      <w:r>
        <w:rPr>
          <w:rFonts w:hint="eastAsia"/>
          <w:szCs w:val="24"/>
        </w:rPr>
        <w:t xml:space="preserve">    乙方承担本项目的合同金额占合同总金额的%</w:t>
      </w:r>
    </w:p>
    <w:p>
      <w:pPr>
        <w:pStyle w:val="556"/>
        <w:spacing w:before="0" w:beforeAutospacing="0" w:after="0" w:afterAutospacing="0" w:line="360" w:lineRule="auto"/>
        <w:ind w:firstLine="480" w:firstLineChars="200"/>
        <w:rPr>
          <w:szCs w:val="24"/>
          <w:u w:val="single"/>
        </w:rPr>
      </w:pPr>
      <w:r>
        <w:rPr>
          <w:rFonts w:hint="eastAsia"/>
          <w:szCs w:val="24"/>
        </w:rPr>
        <w:t>五、有关本次联合投标的其他事宜：</w:t>
      </w:r>
    </w:p>
    <w:p>
      <w:pPr>
        <w:pStyle w:val="556"/>
        <w:spacing w:before="0" w:beforeAutospacing="0" w:after="0" w:afterAutospacing="0" w:line="360" w:lineRule="auto"/>
        <w:ind w:firstLine="480" w:firstLineChars="200"/>
        <w:rPr>
          <w:szCs w:val="24"/>
        </w:rPr>
      </w:pPr>
      <w:r>
        <w:rPr>
          <w:rFonts w:hint="eastAsia"/>
          <w:szCs w:val="24"/>
        </w:rPr>
        <w:t>六、双方协商一致，由牵头方提供公司账户与采购人对接合同款项。</w:t>
      </w:r>
    </w:p>
    <w:p>
      <w:pPr>
        <w:pStyle w:val="556"/>
        <w:spacing w:before="0" w:beforeAutospacing="0" w:after="0" w:afterAutospacing="0" w:line="360" w:lineRule="auto"/>
        <w:ind w:firstLine="480" w:firstLineChars="200"/>
        <w:rPr>
          <w:szCs w:val="24"/>
        </w:rPr>
      </w:pPr>
      <w:r>
        <w:rPr>
          <w:rFonts w:hint="eastAsia"/>
          <w:szCs w:val="24"/>
        </w:rPr>
        <w:t>七、本协议提交采购人后，联合投标各方不得以任何形式对上述实质内容进行修改或撤销。</w:t>
      </w:r>
    </w:p>
    <w:p>
      <w:pPr>
        <w:pStyle w:val="556"/>
        <w:spacing w:before="0" w:beforeAutospacing="0" w:after="0" w:afterAutospacing="0" w:line="360" w:lineRule="auto"/>
        <w:ind w:firstLine="480" w:firstLineChars="200"/>
        <w:rPr>
          <w:szCs w:val="24"/>
        </w:rPr>
      </w:pPr>
      <w:r>
        <w:rPr>
          <w:rFonts w:hint="eastAsia"/>
          <w:szCs w:val="24"/>
        </w:rPr>
        <w:t>八、本协议一式份，签约各方各持一份。</w:t>
      </w:r>
    </w:p>
    <w:p>
      <w:pPr>
        <w:pStyle w:val="20"/>
        <w:spacing w:line="360" w:lineRule="auto"/>
        <w:ind w:left="840" w:firstLine="480"/>
        <w:rPr>
          <w:rFonts w:ascii="宋体" w:hAnsi="宋体"/>
          <w:sz w:val="24"/>
          <w:szCs w:val="24"/>
        </w:rPr>
      </w:pPr>
    </w:p>
    <w:p>
      <w:pPr>
        <w:pStyle w:val="20"/>
        <w:spacing w:line="360" w:lineRule="auto"/>
        <w:ind w:left="840" w:firstLine="480"/>
        <w:rPr>
          <w:rFonts w:ascii="宋体" w:hAnsi="宋体"/>
          <w:sz w:val="24"/>
          <w:szCs w:val="24"/>
        </w:rPr>
      </w:pPr>
      <w:r>
        <w:rPr>
          <w:rFonts w:hint="eastAsia" w:ascii="宋体" w:hAnsi="宋体"/>
          <w:sz w:val="24"/>
          <w:szCs w:val="24"/>
        </w:rPr>
        <w:t xml:space="preserve">甲方（盖章）：                        乙方（盖章）：           </w:t>
      </w:r>
    </w:p>
    <w:p>
      <w:pPr>
        <w:pStyle w:val="20"/>
        <w:spacing w:line="360" w:lineRule="auto"/>
        <w:ind w:left="840" w:firstLine="480"/>
        <w:rPr>
          <w:rFonts w:ascii="宋体" w:hAnsi="宋体"/>
          <w:sz w:val="24"/>
          <w:szCs w:val="24"/>
        </w:rPr>
      </w:pPr>
      <w:r>
        <w:rPr>
          <w:rFonts w:hint="eastAsia" w:ascii="宋体" w:hAnsi="宋体"/>
          <w:sz w:val="24"/>
          <w:szCs w:val="24"/>
        </w:rPr>
        <w:t>日期：202  年  月   日                日期：202  年  月   日</w:t>
      </w:r>
    </w:p>
    <w:p>
      <w:pPr>
        <w:snapToGrid w:val="0"/>
        <w:spacing w:line="360" w:lineRule="auto"/>
        <w:ind w:firstLine="482" w:firstLineChars="200"/>
        <w:rPr>
          <w:rFonts w:ascii="宋体" w:hAnsi="宋体"/>
          <w:b/>
          <w:sz w:val="24"/>
          <w:lang w:val="zh-CN"/>
        </w:rPr>
      </w:pPr>
      <w:r>
        <w:rPr>
          <w:rFonts w:hint="eastAsia" w:ascii="宋体" w:hAnsi="宋体"/>
          <w:b/>
          <w:sz w:val="24"/>
          <w:lang w:val="zh-CN"/>
        </w:rPr>
        <w:t>注：1.本协议书的单位公章可为CA章，也可盖好实体章后进行扫描上传。</w:t>
      </w:r>
    </w:p>
    <w:p>
      <w:pPr>
        <w:spacing w:line="360" w:lineRule="auto"/>
        <w:ind w:firstLine="602"/>
        <w:jc w:val="center"/>
        <w:rPr>
          <w:rFonts w:ascii="宋体" w:hAnsi="宋体" w:cs="宋体"/>
          <w:b/>
          <w:sz w:val="30"/>
        </w:rPr>
      </w:pPr>
      <w:r>
        <w:rPr>
          <w:rFonts w:ascii="宋体" w:hAnsi="宋体" w:cs="宋体"/>
          <w:b/>
          <w:sz w:val="30"/>
        </w:rPr>
        <w:br w:type="page"/>
      </w:r>
    </w:p>
    <w:p>
      <w:pPr>
        <w:spacing w:line="360" w:lineRule="auto"/>
        <w:ind w:firstLine="602"/>
        <w:jc w:val="center"/>
        <w:rPr>
          <w:rFonts w:ascii="宋体" w:hAnsi="宋体" w:cs="宋体"/>
          <w:b/>
          <w:sz w:val="30"/>
        </w:rPr>
      </w:pPr>
      <w:r>
        <w:rPr>
          <w:rFonts w:hint="eastAsia" w:ascii="宋体" w:hAnsi="宋体" w:cs="宋体"/>
          <w:b/>
          <w:sz w:val="30"/>
        </w:rPr>
        <w:t>2.2分包意向协议</w:t>
      </w:r>
      <w:r>
        <w:rPr>
          <w:rFonts w:hint="eastAsia" w:ascii="宋体" w:hAnsi="宋体"/>
          <w:b/>
          <w:sz w:val="30"/>
        </w:rPr>
        <w:t>（▲合同分包的须提供）</w:t>
      </w:r>
    </w:p>
    <w:p>
      <w:pPr>
        <w:snapToGrid w:val="0"/>
        <w:spacing w:line="360" w:lineRule="auto"/>
        <w:ind w:firstLine="360" w:firstLineChars="150"/>
        <w:rPr>
          <w:rFonts w:ascii="宋体" w:hAnsi="宋体"/>
          <w:sz w:val="24"/>
          <w:lang w:val="zh-CN"/>
        </w:rPr>
      </w:pPr>
      <w:r>
        <w:rPr>
          <w:rFonts w:hint="eastAsia" w:ascii="宋体" w:hAnsi="宋体"/>
          <w:sz w:val="24"/>
        </w:rPr>
        <w:t>（</w:t>
      </w:r>
      <w:r>
        <w:rPr>
          <w:rFonts w:hint="eastAsia" w:ascii="宋体" w:hAnsi="宋体"/>
          <w:sz w:val="24"/>
          <w:u w:val="single"/>
        </w:rPr>
        <w:t xml:space="preserve">投标人名称    </w:t>
      </w:r>
      <w:r>
        <w:rPr>
          <w:rFonts w:hint="eastAsia" w:ascii="宋体" w:hAnsi="宋体"/>
          <w:sz w:val="24"/>
        </w:rPr>
        <w:t>）</w:t>
      </w:r>
      <w:r>
        <w:rPr>
          <w:rFonts w:hint="eastAsia" w:ascii="宋体" w:hAnsi="宋体"/>
          <w:sz w:val="24"/>
          <w:lang w:val="zh-CN"/>
        </w:rPr>
        <w:t>若成为</w:t>
      </w:r>
      <w:r>
        <w:rPr>
          <w:rFonts w:hint="eastAsia" w:ascii="宋体" w:hAnsi="宋体"/>
          <w:sz w:val="24"/>
        </w:rPr>
        <w:t>（</w:t>
      </w:r>
      <w:r>
        <w:rPr>
          <w:rFonts w:hint="eastAsia" w:ascii="宋体" w:hAnsi="宋体"/>
          <w:sz w:val="24"/>
          <w:u w:val="single"/>
        </w:rPr>
        <w:t xml:space="preserve">项目名称            </w:t>
      </w:r>
      <w:r>
        <w:rPr>
          <w:rFonts w:hint="eastAsia" w:ascii="宋体" w:hAnsi="宋体"/>
          <w:sz w:val="24"/>
        </w:rPr>
        <w:t>）(</w:t>
      </w:r>
      <w:r>
        <w:rPr>
          <w:rFonts w:hint="eastAsia" w:ascii="宋体" w:hAnsi="宋体"/>
          <w:sz w:val="24"/>
          <w:u w:val="single"/>
        </w:rPr>
        <w:t xml:space="preserve">项目编号：   </w:t>
      </w:r>
      <w:r>
        <w:rPr>
          <w:rFonts w:hint="eastAsia" w:ascii="宋体" w:hAnsi="宋体"/>
          <w:sz w:val="24"/>
        </w:rPr>
        <w:t>）</w:t>
      </w:r>
      <w:r>
        <w:rPr>
          <w:rFonts w:hint="eastAsia" w:ascii="宋体" w:hAnsi="宋体"/>
          <w:sz w:val="24"/>
          <w:lang w:val="zh-CN"/>
        </w:rPr>
        <w:t>的中标（成交）人，将依法采取分包方式履行合同。</w:t>
      </w:r>
      <w:r>
        <w:rPr>
          <w:rFonts w:hint="eastAsia" w:ascii="宋体" w:hAnsi="宋体"/>
          <w:sz w:val="24"/>
        </w:rPr>
        <w:t>（</w:t>
      </w:r>
      <w:r>
        <w:rPr>
          <w:rFonts w:hint="eastAsia" w:ascii="宋体" w:hAnsi="宋体"/>
          <w:sz w:val="24"/>
          <w:u w:val="single"/>
        </w:rPr>
        <w:t xml:space="preserve">投标人名称    </w:t>
      </w:r>
      <w:r>
        <w:rPr>
          <w:rFonts w:hint="eastAsia" w:ascii="宋体" w:hAnsi="宋体"/>
          <w:sz w:val="24"/>
        </w:rPr>
        <w:t>）与（</w:t>
      </w:r>
      <w:r>
        <w:rPr>
          <w:rFonts w:hint="eastAsia" w:ascii="宋体" w:hAnsi="宋体"/>
          <w:sz w:val="24"/>
          <w:u w:val="single"/>
        </w:rPr>
        <w:t xml:space="preserve">所有分包投标人名称    </w:t>
      </w:r>
      <w:r>
        <w:rPr>
          <w:rFonts w:hint="eastAsia" w:ascii="宋体" w:hAnsi="宋体"/>
          <w:sz w:val="24"/>
        </w:rPr>
        <w:t>）达成分包意向协议</w:t>
      </w:r>
      <w:r>
        <w:rPr>
          <w:rFonts w:hint="eastAsia" w:ascii="宋体" w:hAnsi="宋体"/>
          <w:sz w:val="24"/>
          <w:lang w:val="zh-CN"/>
        </w:rPr>
        <w:t xml:space="preserve">。 </w:t>
      </w:r>
      <w:r>
        <w:rPr>
          <w:rFonts w:hint="eastAsia" w:ascii="宋体" w:hAnsi="宋体"/>
          <w:sz w:val="24"/>
        </w:rPr>
        <w:t>（</w:t>
      </w:r>
      <w:r>
        <w:rPr>
          <w:rFonts w:hint="eastAsia" w:ascii="宋体" w:hAnsi="宋体"/>
          <w:sz w:val="24"/>
          <w:u w:val="single"/>
        </w:rPr>
        <w:t xml:space="preserve">投标人名称    </w:t>
      </w:r>
      <w:r>
        <w:rPr>
          <w:rFonts w:hint="eastAsia" w:ascii="宋体" w:hAnsi="宋体"/>
          <w:sz w:val="24"/>
        </w:rPr>
        <w:t>）负责签署投标文件，（</w:t>
      </w:r>
      <w:r>
        <w:rPr>
          <w:rFonts w:hint="eastAsia" w:ascii="宋体" w:hAnsi="宋体"/>
          <w:sz w:val="24"/>
          <w:u w:val="single"/>
        </w:rPr>
        <w:t xml:space="preserve">投标人名称     </w:t>
      </w:r>
      <w:r>
        <w:rPr>
          <w:rFonts w:hint="eastAsia" w:ascii="宋体" w:hAnsi="宋体"/>
          <w:sz w:val="24"/>
        </w:rPr>
        <w:t>）的所有承诺均认为代表了（</w:t>
      </w:r>
      <w:r>
        <w:rPr>
          <w:rFonts w:hint="eastAsia" w:ascii="宋体" w:hAnsi="宋体"/>
          <w:sz w:val="24"/>
          <w:u w:val="single"/>
        </w:rPr>
        <w:t xml:space="preserve">所有分包投标人名称       </w:t>
      </w:r>
      <w:r>
        <w:rPr>
          <w:rFonts w:hint="eastAsia" w:ascii="宋体" w:hAnsi="宋体"/>
          <w:sz w:val="24"/>
        </w:rPr>
        <w:t>）意愿。</w:t>
      </w:r>
    </w:p>
    <w:p>
      <w:pPr>
        <w:snapToGrid w:val="0"/>
        <w:spacing w:line="360" w:lineRule="auto"/>
        <w:ind w:firstLine="600" w:firstLineChars="250"/>
        <w:rPr>
          <w:rFonts w:ascii="宋体" w:hAnsi="宋体"/>
          <w:sz w:val="24"/>
          <w:lang w:val="zh-CN"/>
        </w:rPr>
      </w:pPr>
      <w:r>
        <w:rPr>
          <w:rFonts w:hint="eastAsia" w:ascii="宋体" w:hAnsi="宋体"/>
          <w:sz w:val="24"/>
          <w:lang w:val="zh-CN"/>
        </w:rPr>
        <w:t>一、分包内容在采购文件分包要求的范围内，并符合相关法律规定等</w:t>
      </w:r>
    </w:p>
    <w:p>
      <w:pPr>
        <w:snapToGrid w:val="0"/>
        <w:spacing w:line="360" w:lineRule="auto"/>
        <w:ind w:firstLine="600" w:firstLineChars="250"/>
        <w:rPr>
          <w:rFonts w:ascii="宋体" w:hAnsi="宋体"/>
          <w:sz w:val="24"/>
          <w:lang w:val="zh-CN"/>
        </w:rPr>
      </w:pPr>
      <w:r>
        <w:rPr>
          <w:rFonts w:hint="eastAsia" w:ascii="宋体" w:hAnsi="宋体"/>
          <w:sz w:val="24"/>
          <w:lang w:val="zh-CN"/>
        </w:rPr>
        <w:t>二、分包标的及数量</w:t>
      </w:r>
    </w:p>
    <w:p>
      <w:pPr>
        <w:snapToGrid w:val="0"/>
        <w:spacing w:line="360" w:lineRule="auto"/>
        <w:ind w:firstLine="480" w:firstLineChars="200"/>
        <w:rPr>
          <w:rFonts w:ascii="宋体" w:hAnsi="宋体"/>
          <w:sz w:val="24"/>
          <w:lang w:val="zh-CN"/>
        </w:rPr>
      </w:pPr>
      <w:r>
        <w:rPr>
          <w:rFonts w:hint="eastAsia" w:ascii="宋体" w:hAnsi="宋体"/>
          <w:sz w:val="24"/>
        </w:rPr>
        <w:t>（</w:t>
      </w:r>
      <w:r>
        <w:rPr>
          <w:rFonts w:hint="eastAsia" w:ascii="宋体" w:hAnsi="宋体"/>
          <w:sz w:val="24"/>
          <w:u w:val="single"/>
        </w:rPr>
        <w:t xml:space="preserve">投标人名称     </w:t>
      </w:r>
      <w:r>
        <w:rPr>
          <w:rFonts w:hint="eastAsia" w:ascii="宋体" w:hAnsi="宋体"/>
          <w:sz w:val="24"/>
        </w:rPr>
        <w:t>）</w:t>
      </w:r>
      <w:r>
        <w:rPr>
          <w:rFonts w:hint="eastAsia" w:ascii="宋体" w:hAnsi="宋体"/>
          <w:sz w:val="24"/>
          <w:lang w:val="zh-CN"/>
        </w:rPr>
        <w:t>将</w:t>
      </w:r>
      <w:r>
        <w:rPr>
          <w:rFonts w:hint="eastAsia" w:ascii="宋体" w:hAnsi="宋体"/>
          <w:sz w:val="24"/>
          <w:u w:val="single"/>
        </w:rPr>
        <w:t xml:space="preserve">   工作内容   </w:t>
      </w:r>
      <w:r>
        <w:rPr>
          <w:rFonts w:hint="eastAsia" w:ascii="宋体" w:hAnsi="宋体"/>
          <w:sz w:val="24"/>
        </w:rPr>
        <w:t>分包给（</w:t>
      </w:r>
      <w:r>
        <w:rPr>
          <w:rFonts w:hint="eastAsia" w:ascii="宋体" w:hAnsi="宋体"/>
          <w:sz w:val="24"/>
          <w:u w:val="single"/>
        </w:rPr>
        <w:t xml:space="preserve">分包投标人名称      </w:t>
      </w:r>
      <w:r>
        <w:rPr>
          <w:rFonts w:hint="eastAsia" w:ascii="宋体" w:hAnsi="宋体"/>
          <w:sz w:val="24"/>
        </w:rPr>
        <w:t>）</w:t>
      </w:r>
      <w:r>
        <w:rPr>
          <w:rFonts w:hint="eastAsia" w:ascii="宋体" w:hAnsi="宋体"/>
          <w:sz w:val="24"/>
          <w:lang w:val="zh-CN"/>
        </w:rPr>
        <w:t>，</w:t>
      </w:r>
      <w:r>
        <w:rPr>
          <w:rFonts w:hint="eastAsia" w:ascii="宋体" w:hAnsi="宋体"/>
          <w:sz w:val="24"/>
        </w:rPr>
        <w:t>（</w:t>
      </w:r>
      <w:r>
        <w:rPr>
          <w:rFonts w:hint="eastAsia" w:ascii="宋体" w:hAnsi="宋体"/>
          <w:sz w:val="24"/>
          <w:u w:val="single"/>
        </w:rPr>
        <w:t xml:space="preserve">分包投标人名称       </w:t>
      </w:r>
      <w:r>
        <w:rPr>
          <w:rFonts w:hint="eastAsia" w:ascii="宋体" w:hAnsi="宋体"/>
          <w:sz w:val="24"/>
        </w:rPr>
        <w:t>），</w:t>
      </w:r>
      <w:r>
        <w:rPr>
          <w:rFonts w:hint="eastAsia" w:ascii="宋体" w:hAnsi="宋体"/>
          <w:sz w:val="24"/>
          <w:lang w:val="zh-CN"/>
        </w:rPr>
        <w:t>具备承</w:t>
      </w:r>
      <w:r>
        <w:rPr>
          <w:rFonts w:hint="eastAsia" w:ascii="宋体" w:hAnsi="宋体"/>
          <w:sz w:val="24"/>
        </w:rPr>
        <w:t>担</w:t>
      </w:r>
      <w:r>
        <w:rPr>
          <w:rFonts w:hint="eastAsia" w:ascii="宋体" w:hAnsi="宋体"/>
          <w:sz w:val="24"/>
          <w:u w:val="single"/>
          <w:lang w:val="zh-CN"/>
        </w:rPr>
        <w:t xml:space="preserve">工作内容  </w:t>
      </w:r>
      <w:r>
        <w:rPr>
          <w:rFonts w:hint="eastAsia" w:ascii="宋体" w:hAnsi="宋体"/>
          <w:sz w:val="24"/>
          <w:lang w:val="zh-CN"/>
        </w:rPr>
        <w:t>相应资质条件且不得再次分包；</w:t>
      </w:r>
    </w:p>
    <w:p>
      <w:pPr>
        <w:snapToGrid w:val="0"/>
        <w:spacing w:line="360" w:lineRule="auto"/>
        <w:ind w:firstLine="720" w:firstLineChars="300"/>
        <w:rPr>
          <w:rFonts w:ascii="宋体" w:hAnsi="宋体"/>
          <w:sz w:val="24"/>
        </w:rPr>
      </w:pPr>
      <w:r>
        <w:rPr>
          <w:rFonts w:hint="eastAsia" w:ascii="宋体" w:hAnsi="宋体"/>
          <w:sz w:val="24"/>
        </w:rPr>
        <w:t>……</w:t>
      </w:r>
    </w:p>
    <w:p>
      <w:pPr>
        <w:snapToGrid w:val="0"/>
        <w:spacing w:line="360" w:lineRule="auto"/>
        <w:ind w:firstLine="600" w:firstLineChars="250"/>
        <w:rPr>
          <w:rFonts w:ascii="宋体" w:hAnsi="宋体"/>
          <w:sz w:val="24"/>
          <w:u w:val="single"/>
        </w:rPr>
      </w:pPr>
      <w:r>
        <w:rPr>
          <w:rFonts w:hint="eastAsia" w:ascii="宋体" w:hAnsi="宋体"/>
          <w:sz w:val="24"/>
          <w:lang w:val="zh-CN"/>
        </w:rPr>
        <w:t>三、分包工作履行期限、地点、方式：</w:t>
      </w:r>
      <w:r>
        <w:rPr>
          <w:rFonts w:hint="eastAsia" w:ascii="宋体" w:hAnsi="宋体"/>
          <w:sz w:val="24"/>
          <w:u w:val="single"/>
          <w:lang w:val="zh-CN"/>
        </w:rPr>
        <w:tab/>
      </w:r>
      <w:r>
        <w:rPr>
          <w:rFonts w:hint="eastAsia" w:ascii="宋体" w:hAnsi="宋体"/>
          <w:sz w:val="24"/>
          <w:u w:val="single"/>
          <w:lang w:val="zh-CN"/>
        </w:rPr>
        <w:tab/>
      </w:r>
      <w:r>
        <w:rPr>
          <w:rFonts w:hint="eastAsia" w:ascii="宋体" w:hAnsi="宋体"/>
          <w:sz w:val="24"/>
          <w:u w:val="single"/>
          <w:lang w:val="zh-CN"/>
        </w:rPr>
        <w:tab/>
      </w:r>
      <w:r>
        <w:rPr>
          <w:rFonts w:hint="eastAsia" w:ascii="宋体" w:hAnsi="宋体"/>
          <w:sz w:val="24"/>
          <w:u w:val="single"/>
          <w:lang w:val="zh-CN"/>
        </w:rPr>
        <w:tab/>
      </w:r>
      <w:r>
        <w:rPr>
          <w:rFonts w:hint="eastAsia" w:ascii="宋体" w:hAnsi="宋体"/>
          <w:sz w:val="24"/>
          <w:u w:val="single"/>
          <w:lang w:val="zh-CN"/>
        </w:rPr>
        <w:tab/>
      </w:r>
    </w:p>
    <w:p>
      <w:pPr>
        <w:snapToGrid w:val="0"/>
        <w:spacing w:line="360" w:lineRule="auto"/>
        <w:ind w:firstLine="600" w:firstLineChars="250"/>
        <w:rPr>
          <w:rFonts w:ascii="宋体" w:hAnsi="宋体"/>
          <w:sz w:val="24"/>
          <w:u w:val="single"/>
          <w:lang w:val="zh-CN"/>
        </w:rPr>
      </w:pPr>
      <w:r>
        <w:rPr>
          <w:rFonts w:hint="eastAsia" w:ascii="宋体" w:hAnsi="宋体"/>
          <w:sz w:val="24"/>
          <w:lang w:val="zh-CN"/>
        </w:rPr>
        <w:t>四、质量要求：</w:t>
      </w:r>
      <w:r>
        <w:rPr>
          <w:rFonts w:hint="eastAsia" w:ascii="宋体" w:hAnsi="宋体"/>
          <w:sz w:val="24"/>
          <w:u w:val="single"/>
          <w:lang w:val="zh-CN"/>
        </w:rPr>
        <w:tab/>
      </w:r>
      <w:r>
        <w:rPr>
          <w:rFonts w:hint="eastAsia" w:ascii="宋体" w:hAnsi="宋体"/>
          <w:sz w:val="24"/>
          <w:u w:val="single"/>
          <w:lang w:val="zh-CN"/>
        </w:rPr>
        <w:tab/>
      </w:r>
      <w:r>
        <w:rPr>
          <w:rFonts w:hint="eastAsia" w:ascii="宋体" w:hAnsi="宋体"/>
          <w:sz w:val="24"/>
          <w:u w:val="single"/>
          <w:lang w:val="zh-CN"/>
        </w:rPr>
        <w:tab/>
      </w:r>
      <w:r>
        <w:rPr>
          <w:rFonts w:hint="eastAsia" w:ascii="宋体" w:hAnsi="宋体"/>
          <w:sz w:val="24"/>
          <w:u w:val="single"/>
          <w:lang w:val="zh-CN"/>
        </w:rPr>
        <w:tab/>
      </w:r>
      <w:r>
        <w:rPr>
          <w:rFonts w:hint="eastAsia" w:ascii="宋体" w:hAnsi="宋体"/>
          <w:sz w:val="24"/>
          <w:u w:val="single"/>
          <w:lang w:val="zh-CN"/>
        </w:rPr>
        <w:tab/>
      </w:r>
    </w:p>
    <w:p>
      <w:pPr>
        <w:snapToGrid w:val="0"/>
        <w:spacing w:line="360" w:lineRule="auto"/>
        <w:ind w:firstLine="600" w:firstLineChars="250"/>
        <w:rPr>
          <w:rFonts w:ascii="宋体" w:hAnsi="宋体"/>
          <w:sz w:val="24"/>
          <w:lang w:val="zh-CN"/>
        </w:rPr>
      </w:pPr>
      <w:r>
        <w:rPr>
          <w:rFonts w:hint="eastAsia" w:ascii="宋体" w:hAnsi="宋体"/>
          <w:sz w:val="24"/>
          <w:lang w:val="zh-CN"/>
        </w:rPr>
        <w:t>五、违约责任：</w:t>
      </w:r>
      <w:r>
        <w:rPr>
          <w:rFonts w:hint="eastAsia" w:ascii="宋体" w:hAnsi="宋体"/>
          <w:sz w:val="24"/>
          <w:u w:val="single"/>
          <w:lang w:val="zh-CN"/>
        </w:rPr>
        <w:tab/>
      </w:r>
      <w:r>
        <w:rPr>
          <w:rFonts w:hint="eastAsia" w:ascii="宋体" w:hAnsi="宋体"/>
          <w:sz w:val="24"/>
          <w:u w:val="single"/>
          <w:lang w:val="zh-CN"/>
        </w:rPr>
        <w:tab/>
      </w:r>
      <w:r>
        <w:rPr>
          <w:rFonts w:hint="eastAsia" w:ascii="宋体" w:hAnsi="宋体"/>
          <w:sz w:val="24"/>
          <w:u w:val="single"/>
          <w:lang w:val="zh-CN"/>
        </w:rPr>
        <w:tab/>
      </w:r>
      <w:r>
        <w:rPr>
          <w:rFonts w:hint="eastAsia" w:ascii="宋体" w:hAnsi="宋体"/>
          <w:sz w:val="24"/>
          <w:u w:val="single"/>
          <w:lang w:val="zh-CN"/>
        </w:rPr>
        <w:tab/>
      </w:r>
      <w:r>
        <w:rPr>
          <w:rFonts w:hint="eastAsia" w:ascii="宋体" w:hAnsi="宋体"/>
          <w:sz w:val="24"/>
          <w:u w:val="single"/>
          <w:lang w:val="zh-CN"/>
        </w:rPr>
        <w:tab/>
      </w:r>
    </w:p>
    <w:p>
      <w:pPr>
        <w:snapToGrid w:val="0"/>
        <w:spacing w:line="360" w:lineRule="auto"/>
        <w:ind w:firstLine="600" w:firstLineChars="250"/>
        <w:rPr>
          <w:rFonts w:ascii="宋体" w:hAnsi="宋体"/>
          <w:sz w:val="24"/>
          <w:u w:val="single"/>
          <w:lang w:val="zh-CN"/>
        </w:rPr>
      </w:pPr>
      <w:r>
        <w:rPr>
          <w:rFonts w:hint="eastAsia" w:ascii="宋体" w:hAnsi="宋体"/>
          <w:sz w:val="24"/>
          <w:lang w:val="zh-CN"/>
        </w:rPr>
        <w:t>六、争议解决的办法：</w:t>
      </w:r>
      <w:r>
        <w:rPr>
          <w:rFonts w:hint="eastAsia" w:ascii="宋体" w:hAnsi="宋体"/>
          <w:sz w:val="24"/>
          <w:u w:val="single"/>
          <w:lang w:val="zh-CN"/>
        </w:rPr>
        <w:tab/>
      </w:r>
      <w:r>
        <w:rPr>
          <w:rFonts w:hint="eastAsia" w:ascii="宋体" w:hAnsi="宋体"/>
          <w:sz w:val="24"/>
          <w:u w:val="single"/>
          <w:lang w:val="zh-CN"/>
        </w:rPr>
        <w:tab/>
      </w:r>
      <w:r>
        <w:rPr>
          <w:rFonts w:hint="eastAsia" w:ascii="宋体" w:hAnsi="宋体"/>
          <w:sz w:val="24"/>
          <w:u w:val="single"/>
          <w:lang w:val="zh-CN"/>
        </w:rPr>
        <w:tab/>
      </w:r>
      <w:r>
        <w:rPr>
          <w:rFonts w:hint="eastAsia" w:ascii="宋体" w:hAnsi="宋体"/>
          <w:sz w:val="24"/>
          <w:u w:val="single"/>
          <w:lang w:val="zh-CN"/>
        </w:rPr>
        <w:tab/>
      </w:r>
      <w:r>
        <w:rPr>
          <w:rFonts w:hint="eastAsia" w:ascii="宋体" w:hAnsi="宋体"/>
          <w:sz w:val="24"/>
          <w:u w:val="single"/>
          <w:lang w:val="zh-CN"/>
        </w:rPr>
        <w:tab/>
      </w:r>
    </w:p>
    <w:p>
      <w:pPr>
        <w:snapToGrid w:val="0"/>
        <w:spacing w:line="360" w:lineRule="auto"/>
        <w:ind w:firstLine="600" w:firstLineChars="250"/>
        <w:rPr>
          <w:rFonts w:ascii="宋体" w:hAnsi="宋体"/>
          <w:sz w:val="24"/>
          <w:u w:val="single"/>
          <w:lang w:val="zh-CN"/>
        </w:rPr>
      </w:pPr>
      <w:r>
        <w:rPr>
          <w:rFonts w:hint="eastAsia" w:ascii="宋体" w:hAnsi="宋体"/>
          <w:sz w:val="24"/>
          <w:lang w:val="zh-CN"/>
        </w:rPr>
        <w:t>七、其他：</w:t>
      </w:r>
      <w:r>
        <w:rPr>
          <w:rFonts w:hint="eastAsia" w:ascii="宋体" w:hAnsi="宋体"/>
          <w:sz w:val="24"/>
          <w:u w:val="single"/>
          <w:lang w:val="zh-CN"/>
        </w:rPr>
        <w:tab/>
      </w:r>
      <w:r>
        <w:rPr>
          <w:rFonts w:hint="eastAsia" w:ascii="宋体" w:hAnsi="宋体"/>
          <w:sz w:val="24"/>
          <w:u w:val="single"/>
          <w:lang w:val="zh-CN"/>
        </w:rPr>
        <w:tab/>
      </w:r>
      <w:r>
        <w:rPr>
          <w:rFonts w:hint="eastAsia" w:ascii="宋体" w:hAnsi="宋体"/>
          <w:sz w:val="24"/>
          <w:u w:val="single"/>
          <w:lang w:val="zh-CN"/>
        </w:rPr>
        <w:tab/>
      </w:r>
      <w:r>
        <w:rPr>
          <w:rFonts w:hint="eastAsia" w:ascii="宋体" w:hAnsi="宋体"/>
          <w:sz w:val="24"/>
          <w:u w:val="single"/>
          <w:lang w:val="zh-CN"/>
        </w:rPr>
        <w:tab/>
      </w:r>
      <w:r>
        <w:rPr>
          <w:rFonts w:hint="eastAsia" w:ascii="宋体" w:hAnsi="宋体"/>
          <w:sz w:val="24"/>
          <w:u w:val="single"/>
          <w:lang w:val="zh-CN"/>
        </w:rPr>
        <w:tab/>
      </w:r>
    </w:p>
    <w:p>
      <w:pPr>
        <w:snapToGrid w:val="0"/>
        <w:spacing w:line="360" w:lineRule="auto"/>
        <w:ind w:firstLine="360" w:firstLineChars="150"/>
        <w:rPr>
          <w:rFonts w:ascii="宋体" w:hAnsi="宋体"/>
          <w:sz w:val="24"/>
          <w:lang w:val="zh-CN"/>
        </w:rPr>
      </w:pPr>
      <w:r>
        <w:rPr>
          <w:rFonts w:hint="eastAsia" w:ascii="宋体" w:hAnsi="宋体"/>
          <w:sz w:val="24"/>
          <w:lang w:val="zh-CN"/>
        </w:rPr>
        <w:t>（分包</w:t>
      </w:r>
      <w:r>
        <w:rPr>
          <w:rFonts w:hint="eastAsia" w:ascii="宋体" w:hAnsi="宋体"/>
          <w:sz w:val="24"/>
          <w:u w:val="single"/>
        </w:rPr>
        <w:t>投标人</w:t>
      </w:r>
      <w:r>
        <w:rPr>
          <w:rFonts w:hint="eastAsia" w:ascii="宋体" w:hAnsi="宋体"/>
          <w:sz w:val="24"/>
          <w:lang w:val="zh-CN"/>
        </w:rPr>
        <w:t>名称）的合同份额占到合同总金额</w:t>
      </w:r>
      <w:r>
        <w:rPr>
          <w:rFonts w:hint="eastAsia" w:ascii="宋体" w:hAnsi="宋体"/>
          <w:sz w:val="24"/>
          <w:u w:val="single"/>
          <w:lang w:val="zh-CN"/>
        </w:rPr>
        <w:t xml:space="preserve">   %</w:t>
      </w:r>
      <w:r>
        <w:rPr>
          <w:rFonts w:hint="eastAsia" w:ascii="宋体" w:hAnsi="宋体"/>
          <w:sz w:val="24"/>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auto"/>
        <w:ind w:firstLine="720" w:firstLineChars="300"/>
        <w:rPr>
          <w:rFonts w:ascii="宋体" w:hAnsi="宋体"/>
          <w:sz w:val="24"/>
          <w:lang w:val="zh-CN"/>
        </w:rPr>
      </w:pPr>
    </w:p>
    <w:p>
      <w:pPr>
        <w:snapToGrid w:val="0"/>
        <w:spacing w:line="360" w:lineRule="auto"/>
        <w:ind w:firstLine="720" w:firstLineChars="300"/>
        <w:rPr>
          <w:rFonts w:ascii="宋体" w:hAnsi="宋体"/>
          <w:sz w:val="24"/>
          <w:lang w:val="zh-CN"/>
        </w:rPr>
      </w:pPr>
      <w:r>
        <w:rPr>
          <w:rFonts w:hint="eastAsia" w:ascii="宋体" w:hAnsi="宋体"/>
          <w:sz w:val="24"/>
          <w:u w:val="single"/>
        </w:rPr>
        <w:t>投标人</w:t>
      </w:r>
      <w:r>
        <w:rPr>
          <w:rFonts w:hint="eastAsia" w:ascii="宋体" w:hAnsi="宋体"/>
          <w:sz w:val="24"/>
        </w:rPr>
        <w:t>名称</w:t>
      </w:r>
      <w:r>
        <w:rPr>
          <w:rFonts w:hint="eastAsia" w:ascii="宋体" w:hAnsi="宋体"/>
          <w:sz w:val="24"/>
          <w:lang w:val="zh-CN"/>
        </w:rPr>
        <w:t>(</w:t>
      </w:r>
      <w:r>
        <w:rPr>
          <w:rFonts w:hint="eastAsia" w:ascii="宋体" w:hAnsi="宋体"/>
          <w:sz w:val="24"/>
        </w:rPr>
        <w:t>盖公章</w:t>
      </w:r>
      <w:r>
        <w:rPr>
          <w:rFonts w:hint="eastAsia" w:ascii="宋体" w:hAnsi="宋体"/>
          <w:sz w:val="24"/>
          <w:lang w:val="zh-CN"/>
        </w:rPr>
        <w:t>)：</w:t>
      </w:r>
      <w:r>
        <w:rPr>
          <w:rFonts w:hint="eastAsia" w:ascii="宋体" w:hAnsi="宋体"/>
          <w:sz w:val="24"/>
          <w:u w:val="single"/>
          <w:lang w:val="zh-CN"/>
        </w:rPr>
        <w:tab/>
      </w:r>
      <w:r>
        <w:rPr>
          <w:rFonts w:hint="eastAsia" w:ascii="宋体" w:hAnsi="宋体"/>
          <w:sz w:val="24"/>
          <w:u w:val="single"/>
          <w:lang w:val="zh-CN"/>
        </w:rPr>
        <w:tab/>
      </w:r>
      <w:r>
        <w:rPr>
          <w:rFonts w:hint="eastAsia" w:ascii="宋体" w:hAnsi="宋体"/>
          <w:sz w:val="24"/>
          <w:u w:val="single"/>
          <w:lang w:val="zh-CN"/>
        </w:rPr>
        <w:tab/>
      </w:r>
      <w:r>
        <w:rPr>
          <w:rFonts w:hint="eastAsia" w:ascii="宋体" w:hAnsi="宋体"/>
          <w:sz w:val="24"/>
          <w:u w:val="single"/>
          <w:lang w:val="zh-CN"/>
        </w:rPr>
        <w:tab/>
      </w:r>
      <w:r>
        <w:rPr>
          <w:rFonts w:hint="eastAsia" w:ascii="宋体" w:hAnsi="宋体"/>
          <w:sz w:val="24"/>
          <w:u w:val="single"/>
          <w:lang w:val="zh-CN"/>
        </w:rPr>
        <w:tab/>
      </w:r>
    </w:p>
    <w:p>
      <w:pPr>
        <w:snapToGrid w:val="0"/>
        <w:spacing w:line="360" w:lineRule="auto"/>
        <w:ind w:firstLine="720" w:firstLineChars="300"/>
        <w:rPr>
          <w:rFonts w:ascii="宋体" w:hAnsi="宋体"/>
          <w:sz w:val="24"/>
          <w:lang w:val="zh-CN"/>
        </w:rPr>
      </w:pPr>
      <w:r>
        <w:rPr>
          <w:rFonts w:hint="eastAsia" w:ascii="宋体" w:hAnsi="宋体"/>
          <w:sz w:val="24"/>
          <w:lang w:val="zh-CN"/>
        </w:rPr>
        <w:t>分包投标人名称（</w:t>
      </w:r>
      <w:r>
        <w:rPr>
          <w:rFonts w:hint="eastAsia" w:ascii="宋体" w:hAnsi="宋体"/>
          <w:sz w:val="24"/>
        </w:rPr>
        <w:t>盖公章</w:t>
      </w:r>
      <w:r>
        <w:rPr>
          <w:rFonts w:hint="eastAsia" w:ascii="宋体" w:hAnsi="宋体"/>
          <w:sz w:val="24"/>
          <w:lang w:val="zh-CN"/>
        </w:rPr>
        <w:t>）：</w:t>
      </w:r>
      <w:r>
        <w:rPr>
          <w:rFonts w:hint="eastAsia" w:ascii="宋体" w:hAnsi="宋体"/>
          <w:sz w:val="24"/>
          <w:u w:val="single"/>
          <w:lang w:val="zh-CN"/>
        </w:rPr>
        <w:tab/>
      </w:r>
      <w:r>
        <w:rPr>
          <w:rFonts w:hint="eastAsia" w:ascii="宋体" w:hAnsi="宋体"/>
          <w:sz w:val="24"/>
          <w:u w:val="single"/>
          <w:lang w:val="zh-CN"/>
        </w:rPr>
        <w:tab/>
      </w:r>
      <w:r>
        <w:rPr>
          <w:rFonts w:hint="eastAsia" w:ascii="宋体" w:hAnsi="宋体"/>
          <w:sz w:val="24"/>
          <w:u w:val="single"/>
          <w:lang w:val="zh-CN"/>
        </w:rPr>
        <w:tab/>
      </w:r>
      <w:r>
        <w:rPr>
          <w:rFonts w:hint="eastAsia" w:ascii="宋体" w:hAnsi="宋体"/>
          <w:sz w:val="24"/>
          <w:u w:val="single"/>
          <w:lang w:val="zh-CN"/>
        </w:rPr>
        <w:tab/>
      </w:r>
      <w:r>
        <w:rPr>
          <w:rFonts w:hint="eastAsia" w:ascii="宋体" w:hAnsi="宋体"/>
          <w:sz w:val="24"/>
          <w:u w:val="single"/>
          <w:lang w:val="zh-CN"/>
        </w:rPr>
        <w:tab/>
      </w:r>
      <w:r>
        <w:rPr>
          <w:rFonts w:hint="eastAsia" w:ascii="宋体" w:hAnsi="宋体"/>
          <w:sz w:val="24"/>
          <w:u w:val="single"/>
          <w:lang w:val="zh-CN"/>
        </w:rPr>
        <w:tab/>
      </w:r>
    </w:p>
    <w:p>
      <w:pPr>
        <w:snapToGrid w:val="0"/>
        <w:spacing w:line="360" w:lineRule="auto"/>
        <w:ind w:firstLine="720" w:firstLineChars="300"/>
        <w:rPr>
          <w:rFonts w:ascii="宋体" w:hAnsi="宋体"/>
          <w:sz w:val="24"/>
        </w:rPr>
      </w:pPr>
      <w:r>
        <w:rPr>
          <w:rFonts w:hint="eastAsia" w:ascii="宋体" w:hAnsi="宋体"/>
          <w:sz w:val="24"/>
          <w:lang w:val="zh-CN"/>
        </w:rPr>
        <w:t>……</w:t>
      </w:r>
    </w:p>
    <w:p>
      <w:pPr>
        <w:snapToGrid w:val="0"/>
        <w:spacing w:line="360" w:lineRule="auto"/>
        <w:ind w:firstLine="720" w:firstLineChars="300"/>
        <w:rPr>
          <w:rFonts w:ascii="宋体" w:hAnsi="宋体"/>
          <w:sz w:val="24"/>
        </w:rPr>
      </w:pPr>
      <w:r>
        <w:rPr>
          <w:rFonts w:hint="eastAsia" w:ascii="宋体" w:hAnsi="宋体"/>
          <w:sz w:val="24"/>
          <w:lang w:val="zh-CN"/>
        </w:rPr>
        <w:t xml:space="preserve">                                 日期：</w:t>
      </w:r>
      <w:r>
        <w:rPr>
          <w:rFonts w:hint="eastAsia" w:ascii="宋体" w:hAnsi="宋体"/>
          <w:sz w:val="24"/>
          <w:u w:val="single"/>
          <w:lang w:val="zh-CN"/>
        </w:rPr>
        <w:t xml:space="preserve">  年  月   日</w:t>
      </w:r>
    </w:p>
    <w:p>
      <w:pPr>
        <w:snapToGrid w:val="0"/>
        <w:spacing w:line="360" w:lineRule="auto"/>
        <w:ind w:firstLine="361" w:firstLineChars="150"/>
        <w:rPr>
          <w:rFonts w:ascii="宋体" w:hAnsi="宋体"/>
          <w:b/>
          <w:sz w:val="24"/>
          <w:lang w:val="zh-CN"/>
        </w:rPr>
      </w:pPr>
      <w:r>
        <w:rPr>
          <w:rFonts w:hint="eastAsia" w:ascii="宋体" w:hAnsi="宋体"/>
          <w:b/>
          <w:sz w:val="24"/>
          <w:lang w:val="zh-CN"/>
        </w:rPr>
        <w:t>注：1.小微企业不得将合同分包给中型企业，中型企业不得将合同分包给大型企业。</w:t>
      </w:r>
    </w:p>
    <w:p>
      <w:pPr>
        <w:snapToGrid w:val="0"/>
        <w:spacing w:line="360" w:lineRule="auto"/>
        <w:ind w:firstLine="834" w:firstLineChars="346"/>
        <w:rPr>
          <w:rFonts w:ascii="宋体" w:hAnsi="宋体"/>
          <w:b/>
          <w:sz w:val="24"/>
          <w:lang w:val="zh-CN"/>
        </w:rPr>
      </w:pPr>
      <w:r>
        <w:rPr>
          <w:rFonts w:hint="eastAsia" w:ascii="宋体" w:hAnsi="宋体"/>
          <w:b/>
          <w:sz w:val="24"/>
          <w:lang w:val="zh-CN"/>
        </w:rPr>
        <w:t>2.本协议的单位公章可为CA章，也可盖好实体章后进行扫描上传。</w:t>
      </w:r>
      <w:r>
        <w:rPr>
          <w:rFonts w:hAnsi="宋体"/>
          <w:b/>
          <w:sz w:val="32"/>
        </w:rPr>
        <w:br w:type="page"/>
      </w:r>
    </w:p>
    <w:p>
      <w:pPr>
        <w:spacing w:line="360" w:lineRule="auto"/>
        <w:ind w:firstLine="602"/>
        <w:jc w:val="center"/>
        <w:rPr>
          <w:sz w:val="24"/>
        </w:rPr>
      </w:pPr>
      <w:r>
        <w:rPr>
          <w:rFonts w:hint="eastAsia" w:hAnsi="宋体"/>
          <w:b/>
          <w:sz w:val="30"/>
        </w:rPr>
        <w:t>▲3、投标人代表委派书</w:t>
      </w:r>
    </w:p>
    <w:p>
      <w:pPr>
        <w:spacing w:line="360" w:lineRule="auto"/>
        <w:ind w:firstLine="602"/>
        <w:jc w:val="center"/>
        <w:rPr>
          <w:rFonts w:ascii="宋体" w:hAnsi="宋体"/>
          <w:b/>
          <w:sz w:val="30"/>
        </w:rPr>
      </w:pPr>
      <w:r>
        <w:rPr>
          <w:rFonts w:hint="eastAsia" w:ascii="宋体" w:hAnsi="宋体"/>
          <w:b/>
          <w:sz w:val="30"/>
        </w:rPr>
        <w:t>3.1联合体投标人代表委派书（▲联合体投标时须提供）</w:t>
      </w:r>
    </w:p>
    <w:p>
      <w:pPr>
        <w:spacing w:line="360" w:lineRule="auto"/>
        <w:rPr>
          <w:rFonts w:ascii="宋体" w:hAnsi="宋体"/>
          <w:sz w:val="24"/>
          <w:szCs w:val="21"/>
          <w:u w:val="single"/>
        </w:rPr>
      </w:pPr>
    </w:p>
    <w:p>
      <w:pPr>
        <w:spacing w:line="360" w:lineRule="auto"/>
        <w:rPr>
          <w:rFonts w:ascii="宋体" w:hAnsi="宋体"/>
          <w:b/>
          <w:sz w:val="24"/>
          <w:szCs w:val="21"/>
        </w:rPr>
      </w:pPr>
      <w:r>
        <w:rPr>
          <w:rFonts w:hint="eastAsia" w:ascii="宋体" w:hAnsi="宋体"/>
          <w:sz w:val="24"/>
          <w:szCs w:val="21"/>
          <w:u w:val="single"/>
        </w:rPr>
        <w:t>（代理机构名称）</w:t>
      </w:r>
      <w:r>
        <w:rPr>
          <w:rFonts w:hint="eastAsia" w:ascii="宋体" w:hAnsi="宋体"/>
          <w:sz w:val="24"/>
          <w:szCs w:val="21"/>
        </w:rPr>
        <w:t>：</w:t>
      </w:r>
    </w:p>
    <w:p>
      <w:pPr>
        <w:pStyle w:val="129"/>
        <w:autoSpaceDE w:val="0"/>
        <w:autoSpaceDN w:val="0"/>
        <w:spacing w:line="440" w:lineRule="exact"/>
        <w:textAlignment w:val="bottom"/>
        <w:rPr>
          <w:rFonts w:ascii="宋体" w:hAnsi="宋体"/>
          <w:sz w:val="24"/>
          <w:szCs w:val="20"/>
        </w:rPr>
      </w:pPr>
      <w:r>
        <w:rPr>
          <w:rFonts w:hint="eastAsia" w:ascii="宋体" w:hAnsi="宋体"/>
          <w:sz w:val="24"/>
          <w:szCs w:val="20"/>
        </w:rPr>
        <w:t xml:space="preserve">  我单位</w:t>
      </w:r>
      <w:r>
        <w:rPr>
          <w:rFonts w:hint="eastAsia" w:ascii="宋体" w:hAnsi="宋体"/>
          <w:sz w:val="24"/>
          <w:szCs w:val="20"/>
          <w:u w:val="single"/>
        </w:rPr>
        <w:t xml:space="preserve">    （联合体牵头人）  </w:t>
      </w:r>
      <w:r>
        <w:rPr>
          <w:rFonts w:hint="eastAsia" w:ascii="宋体" w:hAnsi="宋体"/>
          <w:sz w:val="24"/>
          <w:szCs w:val="20"/>
        </w:rPr>
        <w:t>现委派</w:t>
      </w:r>
      <w:r>
        <w:rPr>
          <w:rFonts w:hint="eastAsia" w:ascii="宋体" w:hAnsi="宋体"/>
          <w:b/>
          <w:sz w:val="24"/>
          <w:szCs w:val="20"/>
        </w:rPr>
        <w:t>本单位在职职工</w:t>
      </w:r>
      <w:r>
        <w:rPr>
          <w:rFonts w:hint="eastAsia" w:ascii="宋体" w:hAnsi="宋体"/>
          <w:sz w:val="24"/>
          <w:szCs w:val="20"/>
          <w:u w:val="single"/>
        </w:rPr>
        <w:t xml:space="preserve">              （姓名及联系电话）</w:t>
      </w:r>
      <w:r>
        <w:rPr>
          <w:rFonts w:hint="eastAsia" w:ascii="宋体" w:hAnsi="宋体"/>
          <w:sz w:val="24"/>
          <w:szCs w:val="20"/>
        </w:rPr>
        <w:t>以我方的名义参加就贵方组织的</w:t>
      </w:r>
      <w:r>
        <w:rPr>
          <w:rFonts w:hint="eastAsia" w:ascii="宋体" w:hAnsi="宋体"/>
          <w:sz w:val="24"/>
          <w:szCs w:val="20"/>
          <w:u w:val="single"/>
        </w:rPr>
        <w:t xml:space="preserve">                         （采购项目名称）</w:t>
      </w:r>
      <w:r>
        <w:rPr>
          <w:rFonts w:hint="eastAsia" w:ascii="宋体" w:hAnsi="宋体"/>
          <w:sz w:val="24"/>
          <w:szCs w:val="20"/>
        </w:rPr>
        <w:t>（项目编号：</w:t>
      </w:r>
      <w:r>
        <w:rPr>
          <w:rFonts w:hint="eastAsia" w:ascii="宋体" w:hAnsi="宋体"/>
          <w:sz w:val="24"/>
          <w:szCs w:val="20"/>
          <w:u w:val="single"/>
        </w:rPr>
        <w:t>　　　　</w:t>
      </w:r>
      <w:r>
        <w:rPr>
          <w:rFonts w:hint="eastAsia" w:ascii="宋体" w:hAnsi="宋体"/>
          <w:sz w:val="24"/>
          <w:szCs w:val="20"/>
        </w:rPr>
        <w:t>）项目的投标活动，并代表我方全权办理针对上述项目的投标、开标、评审、签约等具体事务和签署相关文件。</w:t>
      </w:r>
    </w:p>
    <w:p>
      <w:pPr>
        <w:pStyle w:val="129"/>
        <w:autoSpaceDE w:val="0"/>
        <w:autoSpaceDN w:val="0"/>
        <w:spacing w:line="440" w:lineRule="exact"/>
        <w:textAlignment w:val="bottom"/>
        <w:rPr>
          <w:rFonts w:ascii="宋体" w:hAnsi="宋体"/>
          <w:sz w:val="24"/>
          <w:szCs w:val="20"/>
        </w:rPr>
      </w:pPr>
      <w:r>
        <w:rPr>
          <w:rFonts w:hint="eastAsia" w:ascii="宋体" w:hAnsi="宋体"/>
          <w:sz w:val="24"/>
          <w:szCs w:val="20"/>
        </w:rPr>
        <w:t xml:space="preserve">    我方对投标人代表的签字或盖章事项负全部责任。</w:t>
      </w:r>
    </w:p>
    <w:p>
      <w:pPr>
        <w:pStyle w:val="129"/>
        <w:spacing w:line="440" w:lineRule="exact"/>
        <w:ind w:firstLine="480"/>
        <w:rPr>
          <w:rFonts w:ascii="宋体" w:hAnsi="宋体"/>
          <w:sz w:val="24"/>
          <w:szCs w:val="21"/>
        </w:rPr>
      </w:pPr>
      <w:r>
        <w:rPr>
          <w:rFonts w:hint="eastAsia" w:ascii="宋体" w:hAnsi="宋体"/>
          <w:sz w:val="24"/>
          <w:szCs w:val="21"/>
        </w:rPr>
        <w:t>本委派书自签署之日起生效，在撤销委派的书面通知送达贵方以前，本委派书一直有效。投标人代表在委派书有效期内签署的所有文件不因授权的撤销而失效。</w:t>
      </w:r>
    </w:p>
    <w:p>
      <w:pPr>
        <w:pStyle w:val="129"/>
        <w:spacing w:line="440" w:lineRule="exact"/>
        <w:ind w:firstLine="480"/>
        <w:rPr>
          <w:rFonts w:ascii="宋体" w:hAnsi="宋体"/>
          <w:sz w:val="24"/>
          <w:szCs w:val="21"/>
        </w:rPr>
      </w:pPr>
      <w:r>
        <w:rPr>
          <w:rFonts w:hint="eastAsia" w:ascii="宋体" w:hAnsi="宋体"/>
          <w:sz w:val="24"/>
          <w:szCs w:val="21"/>
        </w:rPr>
        <w:t>投标人代表无转委托权，特此声明。</w:t>
      </w:r>
    </w:p>
    <w:p>
      <w:pPr>
        <w:pStyle w:val="129"/>
        <w:spacing w:line="440" w:lineRule="exact"/>
        <w:ind w:firstLine="480"/>
        <w:rPr>
          <w:rFonts w:ascii="宋体" w:hAnsi="宋体"/>
          <w:sz w:val="24"/>
          <w:szCs w:val="21"/>
        </w:rPr>
      </w:pPr>
    </w:p>
    <w:p>
      <w:pPr>
        <w:pStyle w:val="129"/>
        <w:spacing w:line="440" w:lineRule="exact"/>
        <w:rPr>
          <w:rFonts w:ascii="宋体" w:hAnsi="宋体"/>
          <w:sz w:val="24"/>
          <w:szCs w:val="21"/>
        </w:rPr>
      </w:pPr>
    </w:p>
    <w:p>
      <w:pPr>
        <w:pStyle w:val="129"/>
        <w:spacing w:line="440" w:lineRule="exact"/>
        <w:ind w:firstLine="3512" w:firstLineChars="1250"/>
        <w:rPr>
          <w:rFonts w:ascii="宋体" w:hAnsi="宋体"/>
          <w:spacing w:val="20"/>
          <w:sz w:val="24"/>
          <w:szCs w:val="21"/>
          <w:u w:val="single"/>
        </w:rPr>
      </w:pPr>
      <w:r>
        <w:rPr>
          <w:rFonts w:hint="eastAsia" w:ascii="宋体" w:hAnsi="宋体"/>
          <w:b/>
          <w:spacing w:val="20"/>
          <w:sz w:val="24"/>
          <w:szCs w:val="21"/>
        </w:rPr>
        <w:t>联合体牵头人CA签章</w:t>
      </w:r>
      <w:r>
        <w:rPr>
          <w:rFonts w:ascii="宋体" w:hAnsi="宋体"/>
          <w:spacing w:val="20"/>
          <w:sz w:val="24"/>
          <w:szCs w:val="21"/>
        </w:rPr>
        <w:t>：</w:t>
      </w:r>
    </w:p>
    <w:p>
      <w:pPr>
        <w:pStyle w:val="129"/>
        <w:spacing w:line="440" w:lineRule="exact"/>
        <w:ind w:firstLine="4900" w:firstLineChars="1750"/>
        <w:rPr>
          <w:rFonts w:ascii="宋体" w:hAnsi="宋体"/>
          <w:spacing w:val="20"/>
          <w:sz w:val="24"/>
          <w:szCs w:val="21"/>
          <w:u w:val="single"/>
        </w:rPr>
      </w:pPr>
      <w:r>
        <w:rPr>
          <w:rFonts w:ascii="宋体" w:hAnsi="宋体"/>
          <w:spacing w:val="20"/>
          <w:sz w:val="24"/>
          <w:szCs w:val="21"/>
        </w:rPr>
        <w:t>日    期：</w:t>
      </w:r>
    </w:p>
    <w:p>
      <w:pPr>
        <w:pStyle w:val="128"/>
        <w:spacing w:line="440" w:lineRule="exact"/>
        <w:rPr>
          <w:rFonts w:hAnsi="宋体"/>
          <w:bCs/>
          <w:sz w:val="24"/>
        </w:rPr>
      </w:pPr>
      <w:r>
        <w:rPr>
          <w:rFonts w:hint="eastAsia" w:hAnsi="宋体"/>
          <w:bCs/>
          <w:sz w:val="24"/>
        </w:rPr>
        <w:t>投标人代表身份证件扫描件：</w:t>
      </w:r>
    </w:p>
    <w:tbl>
      <w:tblPr>
        <w:tblStyle w:val="53"/>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8528" w:type="dxa"/>
          </w:tcPr>
          <w:p>
            <w:pPr>
              <w:pStyle w:val="128"/>
              <w:spacing w:line="440" w:lineRule="exact"/>
              <w:rPr>
                <w:rFonts w:hAnsi="宋体"/>
                <w:bCs/>
                <w:sz w:val="24"/>
              </w:rPr>
            </w:pPr>
            <w:r>
              <w:rPr>
                <w:rFonts w:hint="eastAsia" w:hAnsi="宋体"/>
                <w:bCs/>
                <w:sz w:val="24"/>
              </w:rPr>
              <w:t>正面</w:t>
            </w:r>
            <w:r>
              <w:rPr>
                <w:rFonts w:hAnsi="宋体"/>
                <w:bCs/>
                <w:sz w:val="24"/>
              </w:rPr>
              <w:t>：</w:t>
            </w:r>
            <w:r>
              <w:rPr>
                <w:rFonts w:hint="eastAsia" w:hAnsi="宋体"/>
                <w:bCs/>
                <w:sz w:val="24"/>
              </w:rPr>
              <w:t xml:space="preserve">                                 反面</w:t>
            </w:r>
            <w:r>
              <w:rPr>
                <w:rFonts w:hAnsi="宋体"/>
                <w:bCs/>
                <w:sz w:val="24"/>
              </w:rPr>
              <w:t>：</w:t>
            </w:r>
          </w:p>
          <w:p>
            <w:pPr>
              <w:pStyle w:val="128"/>
              <w:spacing w:line="440" w:lineRule="exact"/>
              <w:rPr>
                <w:rFonts w:hAnsi="宋体"/>
                <w:bCs/>
                <w:sz w:val="24"/>
              </w:rPr>
            </w:pPr>
          </w:p>
        </w:tc>
      </w:tr>
    </w:tbl>
    <w:p>
      <w:pPr>
        <w:pStyle w:val="128"/>
        <w:spacing w:line="440" w:lineRule="exact"/>
        <w:rPr>
          <w:rFonts w:hAnsi="宋体"/>
          <w:bCs/>
          <w:sz w:val="24"/>
        </w:rPr>
      </w:pPr>
    </w:p>
    <w:p>
      <w:pPr>
        <w:spacing w:line="360" w:lineRule="auto"/>
        <w:rPr>
          <w:rFonts w:ascii="宋体" w:hAnsi="宋体"/>
          <w:sz w:val="24"/>
        </w:rPr>
      </w:pPr>
    </w:p>
    <w:p>
      <w:pPr>
        <w:pStyle w:val="27"/>
        <w:spacing w:before="120" w:after="120" w:line="360" w:lineRule="auto"/>
        <w:ind w:firstLine="643"/>
        <w:jc w:val="center"/>
        <w:rPr>
          <w:rFonts w:hAnsi="宋体"/>
          <w:b/>
          <w:sz w:val="24"/>
        </w:rPr>
      </w:pPr>
      <w:r>
        <w:rPr>
          <w:rFonts w:hint="eastAsia" w:hAnsi="宋体"/>
          <w:b/>
          <w:sz w:val="32"/>
        </w:rPr>
        <w:t>3.2投标人代表委派书（</w:t>
      </w:r>
      <w:r>
        <w:rPr>
          <w:rFonts w:hint="eastAsia" w:hAnsi="宋体"/>
          <w:b/>
          <w:spacing w:val="-8"/>
          <w:sz w:val="32"/>
        </w:rPr>
        <w:t>▲</w:t>
      </w:r>
      <w:r>
        <w:rPr>
          <w:rFonts w:hint="eastAsia" w:hAnsi="宋体"/>
          <w:b/>
          <w:sz w:val="32"/>
        </w:rPr>
        <w:t>非联合体投标时须提供）</w:t>
      </w:r>
    </w:p>
    <w:p>
      <w:pPr>
        <w:spacing w:line="440" w:lineRule="exact"/>
        <w:rPr>
          <w:rFonts w:ascii="宋体" w:hAnsi="宋体"/>
          <w:b/>
          <w:sz w:val="24"/>
          <w:szCs w:val="21"/>
        </w:rPr>
      </w:pPr>
      <w:r>
        <w:rPr>
          <w:rFonts w:hint="eastAsia" w:ascii="宋体" w:hAnsi="宋体"/>
          <w:sz w:val="24"/>
          <w:szCs w:val="21"/>
          <w:u w:val="single"/>
        </w:rPr>
        <w:t xml:space="preserve">（代理机构名称）     </w:t>
      </w:r>
      <w:r>
        <w:rPr>
          <w:rFonts w:hint="eastAsia" w:ascii="宋体" w:hAnsi="宋体"/>
          <w:sz w:val="24"/>
          <w:szCs w:val="21"/>
        </w:rPr>
        <w:t>：</w:t>
      </w:r>
    </w:p>
    <w:p>
      <w:pPr>
        <w:autoSpaceDE w:val="0"/>
        <w:autoSpaceDN w:val="0"/>
        <w:spacing w:line="440" w:lineRule="exact"/>
        <w:textAlignment w:val="bottom"/>
        <w:rPr>
          <w:rFonts w:ascii="宋体" w:hAnsi="宋体"/>
          <w:sz w:val="24"/>
          <w:szCs w:val="20"/>
        </w:rPr>
      </w:pPr>
      <w:r>
        <w:rPr>
          <w:rFonts w:hint="eastAsia" w:ascii="宋体" w:hAnsi="宋体"/>
          <w:sz w:val="24"/>
          <w:szCs w:val="20"/>
        </w:rPr>
        <w:t xml:space="preserve">     本单位委派在职工作人员</w:t>
      </w:r>
      <w:r>
        <w:rPr>
          <w:rFonts w:hint="eastAsia" w:ascii="宋体" w:hAnsi="宋体"/>
          <w:sz w:val="24"/>
          <w:szCs w:val="20"/>
          <w:u w:val="single"/>
        </w:rPr>
        <w:t xml:space="preserve">    （姓名）  </w:t>
      </w:r>
      <w:r>
        <w:rPr>
          <w:rFonts w:hint="eastAsia" w:ascii="宋体" w:hAnsi="宋体"/>
          <w:sz w:val="24"/>
          <w:szCs w:val="20"/>
        </w:rPr>
        <w:t xml:space="preserve"> 以我方名义参加贵公司组织的</w:t>
      </w:r>
      <w:r>
        <w:rPr>
          <w:rFonts w:hint="eastAsia" w:ascii="宋体" w:hAnsi="宋体"/>
          <w:sz w:val="24"/>
          <w:szCs w:val="20"/>
          <w:u w:val="single"/>
        </w:rPr>
        <w:t xml:space="preserve">                           （采购项目名称）  </w:t>
      </w:r>
      <w:r>
        <w:rPr>
          <w:rFonts w:hint="eastAsia" w:ascii="宋体" w:hAnsi="宋体"/>
          <w:sz w:val="24"/>
          <w:szCs w:val="20"/>
        </w:rPr>
        <w:t>（项目编号：</w:t>
      </w:r>
      <w:r>
        <w:rPr>
          <w:rFonts w:hint="eastAsia" w:ascii="宋体" w:hAnsi="宋体"/>
          <w:sz w:val="24"/>
          <w:szCs w:val="20"/>
          <w:u w:val="single"/>
        </w:rPr>
        <w:t>　　　　</w:t>
      </w:r>
      <w:r>
        <w:rPr>
          <w:rFonts w:hint="eastAsia" w:ascii="宋体" w:hAnsi="宋体"/>
          <w:sz w:val="24"/>
          <w:szCs w:val="20"/>
        </w:rPr>
        <w:t>）项目的投标活动，并代表我单位全权办理针对上述项目的投标、开标、评审、签约等具体事务和签署相关文件，且对签字或盖章事项负全部责任。</w:t>
      </w:r>
    </w:p>
    <w:p>
      <w:pPr>
        <w:spacing w:line="440" w:lineRule="exact"/>
        <w:ind w:firstLine="480"/>
        <w:rPr>
          <w:rFonts w:ascii="宋体" w:hAnsi="宋体"/>
          <w:sz w:val="24"/>
          <w:szCs w:val="21"/>
        </w:rPr>
      </w:pPr>
      <w:r>
        <w:rPr>
          <w:rFonts w:hint="eastAsia" w:ascii="宋体" w:hAnsi="宋体"/>
          <w:sz w:val="24"/>
          <w:szCs w:val="21"/>
        </w:rPr>
        <w:t>本委派书自盖章之日起生效，在撤销委派的书面通知送达贵方以前，本委派书一直有效。投标人代表在委派书有效期内签署的所有文件不因委派的撤销而失效。</w:t>
      </w:r>
    </w:p>
    <w:p>
      <w:pPr>
        <w:spacing w:line="440" w:lineRule="exact"/>
        <w:ind w:firstLine="480"/>
        <w:rPr>
          <w:rFonts w:ascii="宋体" w:hAnsi="宋体"/>
          <w:sz w:val="24"/>
          <w:szCs w:val="21"/>
        </w:rPr>
      </w:pPr>
      <w:r>
        <w:rPr>
          <w:rFonts w:hint="eastAsia" w:ascii="宋体" w:hAnsi="宋体"/>
          <w:sz w:val="24"/>
          <w:szCs w:val="21"/>
        </w:rPr>
        <w:t>投标人代表无转委派权，特此声明。</w:t>
      </w:r>
    </w:p>
    <w:p>
      <w:pPr>
        <w:spacing w:line="440" w:lineRule="exact"/>
        <w:ind w:firstLine="3512" w:firstLineChars="1250"/>
        <w:rPr>
          <w:rFonts w:ascii="宋体" w:hAnsi="宋体"/>
          <w:b/>
          <w:spacing w:val="20"/>
          <w:sz w:val="24"/>
          <w:szCs w:val="21"/>
        </w:rPr>
      </w:pPr>
    </w:p>
    <w:p>
      <w:pPr>
        <w:spacing w:line="440" w:lineRule="exact"/>
        <w:ind w:firstLine="3512" w:firstLineChars="1250"/>
        <w:rPr>
          <w:rFonts w:ascii="宋体" w:hAnsi="宋体"/>
          <w:spacing w:val="20"/>
          <w:sz w:val="24"/>
          <w:szCs w:val="21"/>
          <w:u w:val="single"/>
        </w:rPr>
      </w:pPr>
      <w:r>
        <w:rPr>
          <w:rFonts w:hint="eastAsia" w:ascii="宋体" w:hAnsi="宋体"/>
          <w:b/>
          <w:spacing w:val="20"/>
          <w:sz w:val="24"/>
          <w:szCs w:val="21"/>
        </w:rPr>
        <w:t>投标人</w:t>
      </w:r>
      <w:r>
        <w:rPr>
          <w:rFonts w:ascii="宋体" w:hAnsi="宋体"/>
          <w:b/>
          <w:spacing w:val="20"/>
          <w:sz w:val="24"/>
          <w:szCs w:val="21"/>
        </w:rPr>
        <w:t>盖章</w:t>
      </w:r>
      <w:r>
        <w:rPr>
          <w:rFonts w:hint="eastAsia" w:ascii="宋体" w:hAnsi="宋体"/>
          <w:b/>
          <w:spacing w:val="20"/>
          <w:sz w:val="24"/>
          <w:szCs w:val="21"/>
        </w:rPr>
        <w:t>（CA签章）</w:t>
      </w:r>
      <w:r>
        <w:rPr>
          <w:rFonts w:ascii="宋体" w:hAnsi="宋体"/>
          <w:spacing w:val="20"/>
          <w:sz w:val="24"/>
          <w:szCs w:val="21"/>
        </w:rPr>
        <w:t>：</w:t>
      </w:r>
    </w:p>
    <w:p>
      <w:pPr>
        <w:spacing w:line="440" w:lineRule="exact"/>
        <w:ind w:firstLine="4900" w:firstLineChars="1750"/>
        <w:rPr>
          <w:rFonts w:ascii="宋体" w:hAnsi="宋体"/>
          <w:spacing w:val="20"/>
          <w:sz w:val="24"/>
          <w:szCs w:val="21"/>
          <w:u w:val="single"/>
        </w:rPr>
      </w:pPr>
      <w:r>
        <w:rPr>
          <w:rFonts w:ascii="宋体" w:hAnsi="宋体"/>
          <w:spacing w:val="20"/>
          <w:sz w:val="24"/>
          <w:szCs w:val="21"/>
        </w:rPr>
        <w:t>日     期：</w:t>
      </w:r>
    </w:p>
    <w:p>
      <w:pPr>
        <w:spacing w:line="440" w:lineRule="exact"/>
        <w:rPr>
          <w:rFonts w:ascii="宋体" w:hAnsi="宋体"/>
          <w:sz w:val="24"/>
          <w:szCs w:val="21"/>
        </w:rPr>
      </w:pPr>
      <w:r>
        <w:rPr>
          <w:rFonts w:ascii="宋体" w:hAnsi="宋体"/>
          <w:sz w:val="24"/>
          <w:szCs w:val="21"/>
        </w:rPr>
        <w:t>___________________________________________________________________</w:t>
      </w:r>
    </w:p>
    <w:p>
      <w:pPr>
        <w:spacing w:line="360" w:lineRule="auto"/>
        <w:ind w:firstLine="482"/>
        <w:rPr>
          <w:rFonts w:ascii="宋体" w:hAnsi="宋体"/>
          <w:sz w:val="24"/>
          <w:szCs w:val="21"/>
        </w:rPr>
      </w:pPr>
      <w:r>
        <w:rPr>
          <w:rFonts w:hint="eastAsia" w:ascii="宋体" w:hAnsi="宋体"/>
          <w:b/>
          <w:sz w:val="24"/>
          <w:szCs w:val="21"/>
        </w:rPr>
        <w:t>注：本“委派书”应附投标人代表身份证扫描件，如扫描件不清晰或错误的，后果由投标人自行承担。</w:t>
      </w:r>
    </w:p>
    <w:p>
      <w:pPr>
        <w:spacing w:line="440" w:lineRule="exact"/>
        <w:rPr>
          <w:rFonts w:ascii="宋体" w:hAnsi="宋体" w:cs="宋体"/>
          <w:bCs/>
          <w:sz w:val="24"/>
          <w:szCs w:val="21"/>
        </w:rPr>
      </w:pPr>
      <w:r>
        <w:rPr>
          <w:rFonts w:hint="eastAsia" w:ascii="宋体" w:hAnsi="宋体" w:cs="宋体"/>
          <w:sz w:val="24"/>
          <w:szCs w:val="21"/>
        </w:rPr>
        <w:t>投标人代表</w:t>
      </w:r>
      <w:r>
        <w:rPr>
          <w:rFonts w:hint="eastAsia" w:ascii="宋体" w:hAnsi="宋体" w:cs="宋体"/>
          <w:bCs/>
          <w:sz w:val="24"/>
          <w:szCs w:val="21"/>
        </w:rPr>
        <w:t>身份证件扫描件：</w:t>
      </w:r>
    </w:p>
    <w:tbl>
      <w:tblPr>
        <w:tblStyle w:val="53"/>
        <w:tblW w:w="8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7" w:hRule="atLeast"/>
          <w:jc w:val="center"/>
        </w:trPr>
        <w:tc>
          <w:tcPr>
            <w:tcW w:w="8490" w:type="dxa"/>
          </w:tcPr>
          <w:p>
            <w:pPr>
              <w:spacing w:line="440" w:lineRule="exact"/>
              <w:rPr>
                <w:rFonts w:ascii="宋体" w:hAnsi="宋体" w:cs="宋体"/>
                <w:bCs/>
                <w:sz w:val="24"/>
                <w:szCs w:val="21"/>
              </w:rPr>
            </w:pPr>
            <w:r>
              <w:rPr>
                <w:rFonts w:hint="eastAsia" w:ascii="宋体" w:hAnsi="宋体" w:cs="宋体"/>
                <w:bCs/>
                <w:sz w:val="24"/>
                <w:szCs w:val="21"/>
              </w:rPr>
              <w:t>正面</w:t>
            </w:r>
            <w:r>
              <w:rPr>
                <w:rFonts w:ascii="宋体" w:hAnsi="宋体" w:cs="宋体"/>
                <w:bCs/>
                <w:sz w:val="24"/>
                <w:szCs w:val="21"/>
              </w:rPr>
              <w:t>：</w:t>
            </w:r>
            <w:r>
              <w:rPr>
                <w:rFonts w:hint="eastAsia" w:ascii="宋体" w:hAnsi="宋体" w:cs="宋体"/>
                <w:bCs/>
                <w:sz w:val="24"/>
                <w:szCs w:val="21"/>
              </w:rPr>
              <w:t xml:space="preserve">                                 反面</w:t>
            </w:r>
            <w:r>
              <w:rPr>
                <w:rFonts w:ascii="宋体" w:hAnsi="宋体" w:cs="宋体"/>
                <w:bCs/>
                <w:sz w:val="24"/>
                <w:szCs w:val="21"/>
              </w:rPr>
              <w:t>：</w:t>
            </w:r>
          </w:p>
          <w:p>
            <w:pPr>
              <w:tabs>
                <w:tab w:val="left" w:pos="1560"/>
              </w:tabs>
              <w:spacing w:line="440" w:lineRule="exact"/>
              <w:rPr>
                <w:rFonts w:ascii="宋体" w:hAnsi="宋体" w:cs="宋体"/>
                <w:bCs/>
                <w:sz w:val="24"/>
                <w:szCs w:val="21"/>
              </w:rPr>
            </w:pPr>
            <w:r>
              <w:rPr>
                <w:rFonts w:ascii="宋体" w:hAnsi="宋体" w:cs="宋体"/>
                <w:bCs/>
                <w:sz w:val="24"/>
                <w:szCs w:val="21"/>
              </w:rPr>
              <w:tab/>
            </w:r>
          </w:p>
        </w:tc>
      </w:tr>
    </w:tbl>
    <w:p>
      <w:pPr>
        <w:spacing w:line="360" w:lineRule="auto"/>
        <w:ind w:firstLine="643"/>
        <w:jc w:val="center"/>
        <w:rPr>
          <w:rFonts w:hAnsi="宋体"/>
          <w:b/>
          <w:sz w:val="32"/>
        </w:rPr>
      </w:pPr>
    </w:p>
    <w:p>
      <w:pPr>
        <w:spacing w:line="360" w:lineRule="auto"/>
        <w:ind w:firstLine="643"/>
        <w:jc w:val="center"/>
        <w:rPr>
          <w:rFonts w:hAnsi="宋体"/>
          <w:b/>
          <w:sz w:val="32"/>
        </w:rPr>
      </w:pPr>
    </w:p>
    <w:p>
      <w:pPr>
        <w:spacing w:line="360" w:lineRule="auto"/>
        <w:ind w:firstLine="643"/>
        <w:jc w:val="center"/>
        <w:rPr>
          <w:rFonts w:hAnsi="宋体"/>
          <w:b/>
          <w:sz w:val="32"/>
        </w:rPr>
      </w:pPr>
    </w:p>
    <w:p>
      <w:pPr>
        <w:spacing w:line="360" w:lineRule="auto"/>
        <w:ind w:firstLine="643"/>
        <w:jc w:val="center"/>
        <w:rPr>
          <w:rFonts w:hAnsi="宋体"/>
          <w:b/>
          <w:sz w:val="32"/>
        </w:rPr>
      </w:pPr>
    </w:p>
    <w:p>
      <w:pPr>
        <w:spacing w:line="360" w:lineRule="auto"/>
        <w:ind w:firstLine="611"/>
        <w:jc w:val="center"/>
        <w:rPr>
          <w:rFonts w:ascii="宋体" w:hAnsi="宋体"/>
          <w:sz w:val="30"/>
        </w:rPr>
      </w:pPr>
      <w:r>
        <w:rPr>
          <w:rFonts w:hint="eastAsia" w:hAnsi="宋体"/>
          <w:b/>
          <w:spacing w:val="-8"/>
          <w:sz w:val="32"/>
        </w:rPr>
        <w:t>▲4、政府采购资格承诺函</w:t>
      </w:r>
      <w:r>
        <w:rPr>
          <w:rFonts w:hint="eastAsia" w:ascii="宋体" w:hAnsi="宋体"/>
          <w:sz w:val="30"/>
        </w:rPr>
        <w:t>（如为联合体，各方均须提供）</w:t>
      </w:r>
    </w:p>
    <w:p>
      <w:pPr>
        <w:spacing w:line="400" w:lineRule="exact"/>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我单位——</w:t>
      </w:r>
      <w:r>
        <w:rPr>
          <w:rFonts w:hint="eastAsia" w:ascii="宋体" w:hAnsi="宋体" w:cs="宋体"/>
          <w:sz w:val="24"/>
          <w:u w:val="single"/>
        </w:rPr>
        <w:t xml:space="preserve">                  （投标人全称）</w:t>
      </w:r>
      <w:r>
        <w:rPr>
          <w:rFonts w:hint="eastAsia" w:ascii="宋体" w:hAnsi="宋体" w:cs="宋体"/>
          <w:bCs/>
          <w:sz w:val="24"/>
        </w:rPr>
        <w:t>参与</w:t>
      </w:r>
      <w:r>
        <w:rPr>
          <w:rFonts w:hint="eastAsia" w:ascii="宋体" w:hAnsi="宋体" w:cs="宋体"/>
          <w:sz w:val="24"/>
          <w:u w:val="single"/>
        </w:rPr>
        <w:t>（项目名称）</w:t>
      </w:r>
      <w:r>
        <w:rPr>
          <w:rFonts w:hint="eastAsia" w:ascii="宋体" w:hAnsi="宋体" w:cs="宋体"/>
          <w:bCs/>
          <w:sz w:val="24"/>
        </w:rPr>
        <w:t>（项目编号：）投标活动，郑重</w:t>
      </w:r>
      <w:r>
        <w:rPr>
          <w:rFonts w:hint="eastAsia" w:ascii="宋体" w:hAnsi="宋体" w:cs="宋体"/>
          <w:sz w:val="24"/>
        </w:rPr>
        <w:t>承诺具备下列条件：</w:t>
      </w:r>
    </w:p>
    <w:p>
      <w:pPr>
        <w:spacing w:line="360" w:lineRule="auto"/>
        <w:ind w:firstLine="480" w:firstLineChars="200"/>
        <w:rPr>
          <w:rFonts w:ascii="宋体" w:hAnsi="宋体" w:cs="宋体"/>
          <w:bCs/>
          <w:sz w:val="24"/>
        </w:rPr>
      </w:pPr>
      <w:r>
        <w:rPr>
          <w:rFonts w:hint="eastAsia" w:ascii="宋体" w:hAnsi="宋体" w:cs="宋体"/>
          <w:bCs/>
          <w:sz w:val="24"/>
        </w:rPr>
        <w:t>1.具有独立承担民事责任的能力；</w:t>
      </w:r>
    </w:p>
    <w:p>
      <w:pPr>
        <w:spacing w:line="360" w:lineRule="auto"/>
        <w:ind w:firstLine="480" w:firstLineChars="200"/>
        <w:rPr>
          <w:rFonts w:ascii="宋体" w:hAnsi="宋体" w:cs="宋体"/>
          <w:bCs/>
          <w:sz w:val="24"/>
        </w:rPr>
      </w:pPr>
      <w:r>
        <w:rPr>
          <w:rFonts w:hint="eastAsia" w:ascii="宋体" w:hAnsi="宋体" w:cs="宋体"/>
          <w:bCs/>
          <w:sz w:val="24"/>
        </w:rPr>
        <w:t>2.具有良好的商业信誉和健全的财务会计制度；</w:t>
      </w:r>
    </w:p>
    <w:p>
      <w:pPr>
        <w:spacing w:line="360" w:lineRule="auto"/>
        <w:ind w:firstLine="480" w:firstLineChars="200"/>
        <w:rPr>
          <w:rFonts w:ascii="宋体" w:hAnsi="宋体" w:cs="宋体"/>
          <w:bCs/>
          <w:sz w:val="24"/>
        </w:rPr>
      </w:pPr>
      <w:r>
        <w:rPr>
          <w:rFonts w:hint="eastAsia" w:ascii="宋体" w:hAnsi="宋体" w:cs="宋体"/>
          <w:bCs/>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bCs/>
          <w:sz w:val="24"/>
        </w:rPr>
        <w:t>4.有依法缴纳税收和社会保障资金的良好记</w:t>
      </w:r>
      <w:r>
        <w:rPr>
          <w:rFonts w:hint="eastAsia" w:ascii="宋体" w:hAnsi="宋体" w:cs="宋体"/>
          <w:sz w:val="24"/>
        </w:rPr>
        <w:t>录；</w:t>
      </w:r>
    </w:p>
    <w:p>
      <w:pPr>
        <w:snapToGrid w:val="0"/>
        <w:spacing w:line="360" w:lineRule="auto"/>
        <w:ind w:firstLine="480" w:firstLineChars="200"/>
        <w:rPr>
          <w:rFonts w:ascii="宋体" w:hAnsi="宋体" w:cs="宋体"/>
          <w:sz w:val="24"/>
        </w:rPr>
      </w:pPr>
      <w:r>
        <w:rPr>
          <w:rFonts w:hint="eastAsia" w:ascii="宋体" w:hAnsi="宋体" w:cs="宋体"/>
          <w:sz w:val="24"/>
        </w:rPr>
        <w:t>5.参加</w:t>
      </w:r>
      <w:r>
        <w:rPr>
          <w:rFonts w:hint="eastAsia" w:ascii="宋体" w:hAnsi="宋体" w:cs="宋体"/>
          <w:bCs/>
          <w:sz w:val="24"/>
        </w:rPr>
        <w:t>本项目采购活动前三</w:t>
      </w:r>
      <w:r>
        <w:rPr>
          <w:rFonts w:hint="eastAsia" w:ascii="宋体" w:hAnsi="宋体" w:cs="宋体"/>
          <w:sz w:val="24"/>
        </w:rPr>
        <w:t>年内,在经营活动中没有重大违法记录（包括行贿犯罪记录）；</w:t>
      </w:r>
    </w:p>
    <w:p>
      <w:pPr>
        <w:snapToGrid w:val="0"/>
        <w:spacing w:line="360" w:lineRule="auto"/>
        <w:ind w:firstLine="480" w:firstLineChars="200"/>
        <w:rPr>
          <w:rFonts w:ascii="宋体" w:hAnsi="宋体"/>
          <w:sz w:val="24"/>
        </w:rPr>
      </w:pPr>
      <w:r>
        <w:rPr>
          <w:rFonts w:hint="eastAsia" w:ascii="宋体" w:hAnsi="宋体" w:cs="宋体"/>
          <w:sz w:val="24"/>
        </w:rPr>
        <w:t>6.</w:t>
      </w:r>
      <w:r>
        <w:rPr>
          <w:rFonts w:hint="eastAsia" w:ascii="宋体" w:hAnsi="宋体"/>
          <w:sz w:val="24"/>
        </w:rPr>
        <w:t>开标截止时间前未被信用中国网（www.creditchina.gov.cn）、中国政府采购网（www.ccgp.gov.cn）列入失信被执行人、重大税收违法当事人名单、政府采购严重违法失信行为记录名单</w:t>
      </w:r>
      <w:r>
        <w:rPr>
          <w:rFonts w:hint="eastAsia" w:ascii="宋体" w:hAnsi="宋体"/>
          <w:b/>
          <w:sz w:val="24"/>
        </w:rPr>
        <w:t>（注：本项内容以代理机构在资格审查现场查询为准）；</w:t>
      </w:r>
    </w:p>
    <w:p>
      <w:pPr>
        <w:snapToGrid w:val="0"/>
        <w:spacing w:line="400" w:lineRule="exact"/>
        <w:ind w:firstLine="482" w:firstLineChars="200"/>
        <w:rPr>
          <w:rFonts w:ascii="宋体" w:hAnsi="宋体" w:cs="宋体"/>
          <w:sz w:val="24"/>
        </w:rPr>
      </w:pPr>
      <w:r>
        <w:rPr>
          <w:rFonts w:hint="eastAsia" w:ascii="宋体" w:hAnsi="宋体" w:cs="宋体"/>
          <w:b/>
          <w:sz w:val="24"/>
        </w:rPr>
        <w:t>7.</w:t>
      </w:r>
      <w:r>
        <w:rPr>
          <w:rFonts w:hint="eastAsia" w:ascii="宋体" w:hAnsi="宋体"/>
          <w:b/>
          <w:sz w:val="24"/>
        </w:rPr>
        <w:t>未为本项目提供整体设计、规范编制或者项目管理、监理、检测等服务。</w:t>
      </w:r>
    </w:p>
    <w:p>
      <w:pPr>
        <w:snapToGrid w:val="0"/>
        <w:spacing w:line="400" w:lineRule="exact"/>
        <w:ind w:firstLine="482" w:firstLineChars="200"/>
        <w:rPr>
          <w:rFonts w:ascii="宋体" w:hAnsi="宋体" w:cs="宋体"/>
          <w:b/>
          <w:sz w:val="24"/>
        </w:rPr>
      </w:pPr>
      <w:r>
        <w:rPr>
          <w:rFonts w:hint="eastAsia" w:ascii="宋体" w:hAnsi="宋体" w:cs="宋体"/>
          <w:b/>
          <w:sz w:val="24"/>
        </w:rPr>
        <w:t>如有虚假，采购人可取消我单位任何资格（投标/中标（成交）/签订合同），我单位对此无任何异议。</w:t>
      </w:r>
    </w:p>
    <w:p>
      <w:pPr>
        <w:snapToGrid w:val="0"/>
        <w:spacing w:line="400" w:lineRule="exact"/>
        <w:ind w:firstLine="482" w:firstLineChars="200"/>
        <w:rPr>
          <w:rFonts w:ascii="宋体" w:hAnsi="宋体" w:cs="宋体"/>
          <w:b/>
          <w:sz w:val="24"/>
        </w:rPr>
      </w:pPr>
    </w:p>
    <w:p>
      <w:pPr>
        <w:snapToGrid w:val="0"/>
        <w:spacing w:line="400" w:lineRule="exact"/>
        <w:ind w:firstLine="482" w:firstLineChars="200"/>
        <w:rPr>
          <w:rFonts w:ascii="宋体" w:hAnsi="宋体" w:cs="宋体"/>
          <w:b/>
          <w:sz w:val="24"/>
        </w:rPr>
      </w:pPr>
      <w:r>
        <w:rPr>
          <w:rFonts w:hint="eastAsia" w:ascii="宋体" w:hAnsi="宋体" w:cs="宋体"/>
          <w:b/>
          <w:sz w:val="24"/>
        </w:rPr>
        <w:t>特此承诺！</w:t>
      </w:r>
    </w:p>
    <w:p>
      <w:pPr>
        <w:tabs>
          <w:tab w:val="left" w:pos="9180"/>
        </w:tabs>
        <w:spacing w:line="400" w:lineRule="exact"/>
        <w:ind w:firstLine="480" w:firstLineChars="200"/>
        <w:rPr>
          <w:rFonts w:ascii="宋体" w:hAnsi="宋体" w:cs="宋体"/>
          <w:snapToGrid w:val="0"/>
          <w:sz w:val="24"/>
        </w:rPr>
      </w:pPr>
    </w:p>
    <w:p>
      <w:pPr>
        <w:spacing w:line="360" w:lineRule="auto"/>
        <w:ind w:firstLine="600"/>
        <w:rPr>
          <w:rFonts w:ascii="宋体" w:hAnsi="宋体"/>
          <w:sz w:val="30"/>
        </w:rPr>
      </w:pPr>
    </w:p>
    <w:p>
      <w:pPr>
        <w:spacing w:line="360" w:lineRule="auto"/>
        <w:ind w:firstLine="611"/>
        <w:rPr>
          <w:rFonts w:ascii="宋体" w:hAnsi="宋体"/>
          <w:sz w:val="30"/>
        </w:rPr>
      </w:pPr>
      <w:bookmarkStart w:id="112" w:name="_Toc493956056"/>
      <w:r>
        <w:rPr>
          <w:rFonts w:hAnsi="宋体"/>
          <w:b/>
          <w:spacing w:val="-8"/>
          <w:sz w:val="32"/>
        </w:rPr>
        <w:br w:type="page"/>
      </w:r>
      <w:r>
        <w:rPr>
          <w:rFonts w:hint="eastAsia" w:hAnsi="宋体"/>
          <w:b/>
          <w:spacing w:val="-8"/>
          <w:sz w:val="32"/>
        </w:rPr>
        <w:t>▲</w:t>
      </w:r>
      <w:r>
        <w:rPr>
          <w:rFonts w:hint="eastAsia" w:hAnsi="宋体"/>
          <w:b/>
          <w:sz w:val="32"/>
        </w:rPr>
        <w:t>5、无重大违法记录声明书</w:t>
      </w:r>
      <w:bookmarkEnd w:id="112"/>
      <w:r>
        <w:rPr>
          <w:rFonts w:hint="eastAsia" w:ascii="宋体" w:hAnsi="宋体"/>
          <w:sz w:val="30"/>
        </w:rPr>
        <w:t>（如为联合体，各方均须提供）</w:t>
      </w:r>
    </w:p>
    <w:p>
      <w:pPr>
        <w:pStyle w:val="129"/>
        <w:spacing w:before="120" w:line="480" w:lineRule="auto"/>
        <w:rPr>
          <w:rFonts w:ascii="宋体" w:hAnsi="宋体"/>
          <w:spacing w:val="6"/>
          <w:sz w:val="28"/>
          <w:szCs w:val="28"/>
          <w:u w:val="single"/>
        </w:rPr>
      </w:pPr>
      <w:r>
        <w:rPr>
          <w:rFonts w:hint="eastAsia" w:ascii="宋体" w:hAnsi="宋体"/>
          <w:spacing w:val="6"/>
          <w:sz w:val="28"/>
          <w:szCs w:val="28"/>
          <w:u w:val="single"/>
        </w:rPr>
        <w:t>（代理机构名称）：</w:t>
      </w:r>
    </w:p>
    <w:p>
      <w:pPr>
        <w:pStyle w:val="123"/>
        <w:spacing w:before="120" w:beforeLines="50" w:line="480" w:lineRule="auto"/>
        <w:ind w:firstLine="584" w:firstLineChars="200"/>
        <w:rPr>
          <w:rFonts w:ascii="宋体" w:hAnsi="宋体"/>
          <w:spacing w:val="6"/>
          <w:sz w:val="28"/>
          <w:szCs w:val="28"/>
        </w:rPr>
      </w:pPr>
      <w:r>
        <w:rPr>
          <w:rFonts w:hint="eastAsia" w:ascii="宋体" w:hAnsi="宋体"/>
          <w:spacing w:val="6"/>
          <w:sz w:val="28"/>
          <w:szCs w:val="28"/>
        </w:rPr>
        <w:t>我方</w:t>
      </w:r>
      <w:r>
        <w:rPr>
          <w:rFonts w:hint="eastAsia" w:ascii="宋体" w:hAnsi="宋体"/>
          <w:spacing w:val="6"/>
          <w:sz w:val="28"/>
          <w:szCs w:val="28"/>
          <w:u w:val="single"/>
        </w:rPr>
        <w:t>（投标人全称）</w:t>
      </w:r>
      <w:r>
        <w:rPr>
          <w:rFonts w:hint="eastAsia" w:ascii="宋体" w:hAnsi="宋体"/>
          <w:spacing w:val="6"/>
          <w:sz w:val="28"/>
          <w:szCs w:val="28"/>
        </w:rPr>
        <w:t>参与的</w:t>
      </w:r>
      <w:r>
        <w:rPr>
          <w:rFonts w:hint="eastAsia" w:ascii="宋体" w:hAnsi="宋体"/>
          <w:spacing w:val="6"/>
          <w:sz w:val="28"/>
          <w:szCs w:val="28"/>
          <w:u w:val="single"/>
        </w:rPr>
        <w:t xml:space="preserve">   （采购项目名称）</w:t>
      </w:r>
      <w:r>
        <w:rPr>
          <w:rFonts w:hint="eastAsia" w:ascii="宋体" w:hAnsi="宋体"/>
          <w:spacing w:val="6"/>
          <w:sz w:val="28"/>
          <w:szCs w:val="28"/>
        </w:rPr>
        <w:t>（项目编号：</w:t>
      </w:r>
      <w:r>
        <w:rPr>
          <w:rFonts w:hint="eastAsia" w:ascii="宋体" w:hAnsi="宋体"/>
          <w:spacing w:val="6"/>
          <w:sz w:val="28"/>
          <w:szCs w:val="28"/>
          <w:u w:val="single"/>
        </w:rPr>
        <w:t>　　  　　</w:t>
      </w:r>
      <w:r>
        <w:rPr>
          <w:rFonts w:hint="eastAsia" w:ascii="宋体" w:hAnsi="宋体"/>
          <w:spacing w:val="6"/>
          <w:sz w:val="28"/>
          <w:szCs w:val="28"/>
        </w:rPr>
        <w:t>）项目的投标活动，我方郑重声明，我方参加本项目投标活动前三年内无重大违法记录（</w:t>
      </w:r>
      <w:r>
        <w:rPr>
          <w:rFonts w:hint="eastAsia" w:ascii="宋体" w:hAnsi="宋体"/>
          <w:b/>
          <w:spacing w:val="6"/>
          <w:sz w:val="28"/>
          <w:szCs w:val="28"/>
        </w:rPr>
        <w:t>重大违法记录是指投标人因违法经营受到刑事处罚或者责令停产停业、吊销许可证或者执照、较大数额罚款等行政处罚）</w:t>
      </w:r>
      <w:r>
        <w:rPr>
          <w:rFonts w:hint="eastAsia" w:ascii="宋体" w:hAnsi="宋体"/>
          <w:spacing w:val="6"/>
          <w:sz w:val="28"/>
          <w:szCs w:val="28"/>
        </w:rPr>
        <w:t>，符合《中华人民共和国政府采购法》、《中华人民共和国政府采购法实施条例》的规定。我方对此声明负全部法律责任。</w:t>
      </w:r>
    </w:p>
    <w:p>
      <w:pPr>
        <w:pStyle w:val="123"/>
        <w:spacing w:before="120" w:beforeLines="50" w:line="480" w:lineRule="auto"/>
        <w:ind w:firstLine="584" w:firstLineChars="200"/>
        <w:rPr>
          <w:rFonts w:hAnsi="宋体"/>
          <w:sz w:val="30"/>
        </w:rPr>
      </w:pPr>
      <w:r>
        <w:rPr>
          <w:rFonts w:hint="eastAsia" w:hAnsi="宋体"/>
          <w:spacing w:val="6"/>
          <w:sz w:val="28"/>
          <w:szCs w:val="28"/>
        </w:rPr>
        <w:t>特此声明。</w:t>
      </w:r>
    </w:p>
    <w:p>
      <w:pPr>
        <w:spacing w:line="360" w:lineRule="auto"/>
        <w:ind w:firstLine="600"/>
        <w:jc w:val="center"/>
        <w:rPr>
          <w:rFonts w:hAnsi="宋体"/>
          <w:sz w:val="30"/>
        </w:rPr>
      </w:pPr>
    </w:p>
    <w:p>
      <w:pPr>
        <w:widowControl/>
        <w:spacing w:line="360" w:lineRule="auto"/>
        <w:ind w:firstLine="600"/>
        <w:jc w:val="center"/>
        <w:rPr>
          <w:rFonts w:hAnsi="宋体"/>
          <w:b/>
          <w:sz w:val="30"/>
        </w:rPr>
      </w:pPr>
      <w:r>
        <w:rPr>
          <w:rFonts w:hAnsi="宋体"/>
          <w:sz w:val="30"/>
        </w:rPr>
        <w:br w:type="page"/>
      </w:r>
    </w:p>
    <w:p>
      <w:pPr>
        <w:spacing w:line="360" w:lineRule="auto"/>
        <w:ind w:firstLine="600"/>
        <w:rPr>
          <w:rFonts w:hAnsi="宋体"/>
          <w:sz w:val="30"/>
        </w:rPr>
      </w:pPr>
    </w:p>
    <w:p>
      <w:pPr>
        <w:pStyle w:val="19"/>
        <w:ind w:firstLine="600"/>
        <w:rPr>
          <w:rFonts w:hAnsi="宋体"/>
          <w:sz w:val="30"/>
        </w:rPr>
      </w:pPr>
    </w:p>
    <w:p>
      <w:pPr>
        <w:pStyle w:val="19"/>
        <w:ind w:firstLine="600"/>
        <w:rPr>
          <w:rFonts w:hAnsi="宋体"/>
          <w:sz w:val="30"/>
        </w:rPr>
      </w:pPr>
    </w:p>
    <w:p>
      <w:pPr>
        <w:pStyle w:val="4"/>
        <w:ind w:firstLine="0" w:firstLineChars="0"/>
        <w:jc w:val="center"/>
        <w:rPr>
          <w:rFonts w:ascii="宋体" w:hAnsi="宋体" w:eastAsia="宋体"/>
          <w:b w:val="0"/>
          <w:bCs w:val="0"/>
        </w:rPr>
      </w:pPr>
      <w:bookmarkStart w:id="113" w:name="_Toc12813"/>
      <w:r>
        <w:rPr>
          <w:rFonts w:hint="eastAsia" w:ascii="宋体" w:hAnsi="宋体" w:eastAsia="宋体"/>
          <w:b w:val="0"/>
          <w:bCs w:val="0"/>
        </w:rPr>
        <w:t>二   商务技术文件格式</w:t>
      </w:r>
      <w:bookmarkEnd w:id="113"/>
    </w:p>
    <w:p>
      <w:pPr>
        <w:spacing w:line="360" w:lineRule="auto"/>
        <w:ind w:firstLine="600"/>
        <w:jc w:val="center"/>
        <w:rPr>
          <w:rFonts w:ascii="宋体" w:hAnsi="宋体"/>
          <w:sz w:val="30"/>
        </w:rPr>
      </w:pPr>
    </w:p>
    <w:p>
      <w:pPr>
        <w:spacing w:line="360" w:lineRule="auto"/>
        <w:ind w:firstLine="600"/>
        <w:jc w:val="center"/>
        <w:rPr>
          <w:rFonts w:ascii="宋体" w:hAnsi="宋体"/>
          <w:sz w:val="30"/>
        </w:rPr>
      </w:pPr>
    </w:p>
    <w:p>
      <w:pPr>
        <w:spacing w:line="360" w:lineRule="auto"/>
        <w:ind w:firstLine="600"/>
        <w:jc w:val="center"/>
        <w:rPr>
          <w:rFonts w:ascii="宋体" w:hAnsi="宋体"/>
          <w:sz w:val="30"/>
        </w:rPr>
      </w:pPr>
    </w:p>
    <w:p>
      <w:pPr>
        <w:spacing w:line="360" w:lineRule="auto"/>
        <w:ind w:firstLine="600"/>
        <w:jc w:val="center"/>
        <w:rPr>
          <w:rFonts w:ascii="宋体" w:hAnsi="宋体"/>
          <w:sz w:val="30"/>
        </w:rPr>
      </w:pPr>
    </w:p>
    <w:p>
      <w:pPr>
        <w:spacing w:line="360" w:lineRule="auto"/>
        <w:ind w:firstLine="600"/>
        <w:jc w:val="center"/>
        <w:rPr>
          <w:rFonts w:ascii="宋体" w:hAnsi="宋体"/>
          <w:sz w:val="30"/>
        </w:rPr>
      </w:pPr>
    </w:p>
    <w:p>
      <w:pPr>
        <w:spacing w:line="360" w:lineRule="auto"/>
        <w:ind w:firstLine="600"/>
        <w:jc w:val="center"/>
        <w:rPr>
          <w:rFonts w:ascii="宋体" w:hAnsi="宋体"/>
          <w:sz w:val="30"/>
        </w:rPr>
      </w:pPr>
    </w:p>
    <w:p>
      <w:pPr>
        <w:spacing w:line="360" w:lineRule="auto"/>
        <w:ind w:firstLine="600"/>
        <w:jc w:val="center"/>
        <w:rPr>
          <w:rFonts w:ascii="宋体" w:hAnsi="宋体"/>
          <w:sz w:val="30"/>
        </w:rPr>
      </w:pPr>
    </w:p>
    <w:p>
      <w:pPr>
        <w:spacing w:line="360" w:lineRule="auto"/>
        <w:ind w:firstLine="600"/>
        <w:jc w:val="center"/>
        <w:rPr>
          <w:rFonts w:ascii="宋体" w:hAnsi="宋体"/>
          <w:sz w:val="30"/>
        </w:rPr>
      </w:pPr>
    </w:p>
    <w:p>
      <w:pPr>
        <w:spacing w:line="360" w:lineRule="auto"/>
        <w:ind w:firstLine="600"/>
        <w:jc w:val="center"/>
        <w:rPr>
          <w:rFonts w:ascii="宋体" w:hAnsi="宋体"/>
          <w:sz w:val="30"/>
        </w:rPr>
      </w:pPr>
    </w:p>
    <w:p>
      <w:pPr>
        <w:spacing w:line="360" w:lineRule="auto"/>
        <w:ind w:firstLine="600"/>
        <w:jc w:val="center"/>
        <w:rPr>
          <w:rFonts w:ascii="宋体" w:hAnsi="宋体"/>
          <w:sz w:val="30"/>
        </w:rPr>
      </w:pPr>
      <w:r>
        <w:rPr>
          <w:rFonts w:ascii="宋体" w:hAnsi="宋体"/>
          <w:sz w:val="30"/>
        </w:rPr>
        <w:br w:type="page"/>
      </w:r>
    </w:p>
    <w:p>
      <w:pPr>
        <w:spacing w:line="360" w:lineRule="auto"/>
        <w:ind w:firstLine="600"/>
        <w:jc w:val="center"/>
        <w:rPr>
          <w:rFonts w:ascii="宋体" w:hAnsi="宋体"/>
          <w:sz w:val="30"/>
        </w:rPr>
      </w:pPr>
    </w:p>
    <w:p>
      <w:pPr>
        <w:spacing w:line="360" w:lineRule="auto"/>
        <w:ind w:firstLine="600"/>
        <w:jc w:val="center"/>
        <w:rPr>
          <w:rFonts w:ascii="宋体" w:hAnsi="宋体"/>
          <w:sz w:val="30"/>
        </w:rPr>
      </w:pPr>
    </w:p>
    <w:p>
      <w:pPr>
        <w:spacing w:line="360" w:lineRule="auto"/>
        <w:ind w:firstLine="720"/>
        <w:jc w:val="center"/>
        <w:rPr>
          <w:rFonts w:ascii="宋体" w:hAnsi="宋体"/>
          <w:sz w:val="32"/>
        </w:rPr>
      </w:pPr>
      <w:r>
        <w:rPr>
          <w:rFonts w:hint="eastAsia" w:ascii="宋体" w:hAnsi="宋体"/>
          <w:sz w:val="36"/>
        </w:rPr>
        <w:t>商务技术文件封面</w:t>
      </w:r>
    </w:p>
    <w:p>
      <w:pPr>
        <w:pStyle w:val="5"/>
        <w:ind w:firstLine="1497" w:firstLineChars="416"/>
        <w:rPr>
          <w:rFonts w:ascii="宋体" w:hAnsi="宋体"/>
          <w:sz w:val="36"/>
          <w:szCs w:val="32"/>
        </w:rPr>
      </w:pPr>
    </w:p>
    <w:p>
      <w:pPr>
        <w:pStyle w:val="5"/>
        <w:ind w:firstLine="1497" w:firstLineChars="416"/>
        <w:rPr>
          <w:rFonts w:ascii="宋体" w:hAnsi="宋体"/>
          <w:sz w:val="36"/>
          <w:szCs w:val="32"/>
        </w:rPr>
      </w:pPr>
    </w:p>
    <w:p>
      <w:pPr>
        <w:pStyle w:val="5"/>
        <w:ind w:firstLine="1497" w:firstLineChars="416"/>
        <w:rPr>
          <w:rFonts w:ascii="宋体" w:hAnsi="宋体"/>
          <w:sz w:val="36"/>
          <w:szCs w:val="32"/>
        </w:rPr>
      </w:pPr>
      <w:r>
        <w:rPr>
          <w:rFonts w:hint="eastAsia" w:ascii="宋体" w:hAnsi="宋体"/>
          <w:sz w:val="36"/>
          <w:szCs w:val="32"/>
        </w:rPr>
        <w:t>项目编号</w:t>
      </w:r>
      <w:r>
        <w:rPr>
          <w:rFonts w:ascii="宋体" w:hAnsi="宋体"/>
          <w:sz w:val="36"/>
          <w:szCs w:val="32"/>
        </w:rPr>
        <w:t>：</w:t>
      </w:r>
    </w:p>
    <w:p>
      <w:pPr>
        <w:pStyle w:val="5"/>
        <w:ind w:firstLine="1497" w:firstLineChars="416"/>
        <w:rPr>
          <w:rFonts w:ascii="宋体" w:hAnsi="宋体"/>
          <w:sz w:val="36"/>
          <w:szCs w:val="32"/>
        </w:rPr>
      </w:pPr>
    </w:p>
    <w:p>
      <w:pPr>
        <w:pStyle w:val="5"/>
        <w:ind w:firstLine="1497" w:firstLineChars="416"/>
        <w:rPr>
          <w:rFonts w:ascii="宋体" w:hAnsi="宋体"/>
          <w:sz w:val="36"/>
          <w:szCs w:val="32"/>
        </w:rPr>
      </w:pPr>
    </w:p>
    <w:p>
      <w:pPr>
        <w:pStyle w:val="5"/>
        <w:ind w:firstLine="1497" w:firstLineChars="416"/>
        <w:rPr>
          <w:rFonts w:ascii="宋体" w:hAnsi="宋体"/>
          <w:sz w:val="36"/>
          <w:szCs w:val="32"/>
        </w:rPr>
      </w:pPr>
    </w:p>
    <w:p>
      <w:pPr>
        <w:pStyle w:val="5"/>
        <w:ind w:firstLine="1497" w:firstLineChars="416"/>
        <w:rPr>
          <w:rFonts w:ascii="宋体" w:hAnsi="宋体"/>
          <w:sz w:val="36"/>
          <w:szCs w:val="32"/>
        </w:rPr>
      </w:pPr>
      <w:r>
        <w:rPr>
          <w:rFonts w:ascii="宋体" w:hAnsi="宋体"/>
          <w:sz w:val="36"/>
          <w:szCs w:val="32"/>
        </w:rPr>
        <w:t>项目名称</w:t>
      </w:r>
      <w:r>
        <w:rPr>
          <w:rFonts w:hint="eastAsia" w:ascii="宋体" w:hAnsi="宋体"/>
          <w:sz w:val="36"/>
          <w:szCs w:val="32"/>
        </w:rPr>
        <w:t xml:space="preserve">：                </w:t>
      </w:r>
    </w:p>
    <w:p>
      <w:pPr>
        <w:pStyle w:val="5"/>
        <w:ind w:firstLine="1497" w:firstLineChars="416"/>
        <w:rPr>
          <w:rFonts w:ascii="宋体" w:hAnsi="宋体"/>
          <w:sz w:val="36"/>
          <w:szCs w:val="32"/>
        </w:rPr>
      </w:pPr>
    </w:p>
    <w:p>
      <w:pPr>
        <w:pStyle w:val="5"/>
        <w:ind w:firstLine="1497" w:firstLineChars="416"/>
        <w:rPr>
          <w:rFonts w:ascii="宋体" w:hAnsi="宋体"/>
          <w:sz w:val="36"/>
          <w:szCs w:val="32"/>
        </w:rPr>
      </w:pPr>
    </w:p>
    <w:p>
      <w:pPr>
        <w:pStyle w:val="5"/>
        <w:ind w:firstLine="1497" w:firstLineChars="416"/>
        <w:rPr>
          <w:rFonts w:ascii="宋体" w:hAnsi="宋体"/>
          <w:sz w:val="36"/>
          <w:szCs w:val="32"/>
        </w:rPr>
      </w:pPr>
    </w:p>
    <w:p>
      <w:pPr>
        <w:pStyle w:val="5"/>
        <w:ind w:firstLine="1497" w:firstLineChars="416"/>
        <w:rPr>
          <w:rFonts w:ascii="宋体" w:hAnsi="宋体"/>
          <w:sz w:val="36"/>
          <w:szCs w:val="32"/>
        </w:rPr>
      </w:pPr>
      <w:r>
        <w:rPr>
          <w:rFonts w:ascii="宋体" w:hAnsi="宋体"/>
          <w:sz w:val="36"/>
          <w:szCs w:val="32"/>
        </w:rPr>
        <w:t>投标文件名称：</w:t>
      </w:r>
      <w:r>
        <w:rPr>
          <w:rFonts w:hint="eastAsia" w:ascii="宋体" w:hAnsi="宋体"/>
          <w:sz w:val="36"/>
          <w:szCs w:val="32"/>
        </w:rPr>
        <w:t>商务技术文件</w:t>
      </w:r>
    </w:p>
    <w:p>
      <w:pPr>
        <w:pStyle w:val="5"/>
        <w:ind w:firstLine="1497" w:firstLineChars="416"/>
        <w:rPr>
          <w:rFonts w:ascii="宋体" w:hAnsi="宋体"/>
          <w:sz w:val="36"/>
          <w:szCs w:val="32"/>
        </w:rPr>
      </w:pPr>
    </w:p>
    <w:p>
      <w:pPr>
        <w:pStyle w:val="5"/>
        <w:ind w:firstLine="1497" w:firstLineChars="416"/>
        <w:rPr>
          <w:rFonts w:ascii="宋体" w:hAnsi="宋体"/>
          <w:sz w:val="36"/>
          <w:szCs w:val="32"/>
        </w:rPr>
      </w:pPr>
    </w:p>
    <w:p>
      <w:pPr>
        <w:pStyle w:val="5"/>
        <w:ind w:firstLine="1497" w:firstLineChars="416"/>
        <w:rPr>
          <w:rFonts w:ascii="宋体" w:hAnsi="宋体"/>
          <w:sz w:val="36"/>
          <w:szCs w:val="32"/>
        </w:rPr>
      </w:pPr>
    </w:p>
    <w:p>
      <w:pPr>
        <w:pStyle w:val="5"/>
        <w:ind w:firstLine="1497" w:firstLineChars="416"/>
        <w:rPr>
          <w:rFonts w:ascii="宋体" w:hAnsi="宋体"/>
          <w:sz w:val="36"/>
          <w:szCs w:val="32"/>
        </w:rPr>
      </w:pPr>
      <w:r>
        <w:rPr>
          <w:rFonts w:ascii="宋体" w:hAnsi="宋体"/>
          <w:sz w:val="36"/>
          <w:szCs w:val="32"/>
        </w:rPr>
        <w:t>投标人名称（</w:t>
      </w:r>
      <w:r>
        <w:rPr>
          <w:rFonts w:hint="eastAsia" w:ascii="宋体" w:hAnsi="宋体"/>
          <w:sz w:val="36"/>
          <w:szCs w:val="32"/>
        </w:rPr>
        <w:t>CA签章</w:t>
      </w:r>
      <w:r>
        <w:rPr>
          <w:rFonts w:ascii="宋体" w:hAnsi="宋体"/>
          <w:sz w:val="36"/>
          <w:szCs w:val="32"/>
        </w:rPr>
        <w:t>）：</w:t>
      </w:r>
    </w:p>
    <w:p>
      <w:pPr>
        <w:pStyle w:val="5"/>
        <w:ind w:firstLine="1497" w:firstLineChars="416"/>
        <w:rPr>
          <w:rFonts w:ascii="宋体" w:hAnsi="宋体"/>
          <w:sz w:val="36"/>
          <w:szCs w:val="32"/>
        </w:rPr>
      </w:pPr>
    </w:p>
    <w:p>
      <w:pPr>
        <w:pStyle w:val="5"/>
        <w:ind w:firstLine="720"/>
        <w:rPr>
          <w:rFonts w:ascii="宋体" w:hAnsi="宋体"/>
          <w:sz w:val="36"/>
          <w:szCs w:val="32"/>
        </w:rPr>
      </w:pPr>
    </w:p>
    <w:p>
      <w:pPr>
        <w:pStyle w:val="5"/>
        <w:ind w:firstLine="1497" w:firstLineChars="416"/>
        <w:rPr>
          <w:rFonts w:ascii="宋体" w:hAnsi="宋体"/>
          <w:sz w:val="36"/>
          <w:szCs w:val="32"/>
        </w:rPr>
      </w:pPr>
    </w:p>
    <w:p>
      <w:pPr>
        <w:pStyle w:val="5"/>
        <w:ind w:firstLine="1497" w:firstLineChars="416"/>
        <w:rPr>
          <w:rFonts w:ascii="宋体" w:hAnsi="宋体"/>
          <w:sz w:val="36"/>
          <w:szCs w:val="32"/>
        </w:rPr>
      </w:pPr>
      <w:r>
        <w:rPr>
          <w:rFonts w:ascii="宋体" w:hAnsi="宋体"/>
          <w:sz w:val="36"/>
          <w:szCs w:val="32"/>
        </w:rPr>
        <w:t>投标人地址：</w:t>
      </w:r>
    </w:p>
    <w:p>
      <w:pPr>
        <w:pStyle w:val="5"/>
        <w:ind w:firstLine="480"/>
      </w:pPr>
    </w:p>
    <w:p>
      <w:pPr>
        <w:spacing w:line="360" w:lineRule="auto"/>
        <w:ind w:firstLine="600"/>
        <w:jc w:val="center"/>
        <w:rPr>
          <w:rFonts w:ascii="宋体" w:hAnsi="宋体"/>
          <w:sz w:val="30"/>
        </w:rPr>
      </w:pPr>
    </w:p>
    <w:p>
      <w:pPr>
        <w:spacing w:line="360" w:lineRule="auto"/>
        <w:ind w:firstLine="640"/>
        <w:jc w:val="center"/>
        <w:rPr>
          <w:rFonts w:ascii="宋体" w:hAnsi="宋体"/>
          <w:sz w:val="32"/>
          <w:szCs w:val="32"/>
        </w:rPr>
      </w:pPr>
      <w:r>
        <w:rPr>
          <w:rFonts w:hint="eastAsia" w:ascii="宋体" w:hAnsi="宋体"/>
          <w:sz w:val="32"/>
          <w:szCs w:val="32"/>
        </w:rPr>
        <w:t>（联合体投标的，由牵头人CA签章）</w:t>
      </w:r>
    </w:p>
    <w:p>
      <w:pPr>
        <w:spacing w:line="360" w:lineRule="auto"/>
        <w:ind w:firstLine="600"/>
        <w:jc w:val="center"/>
        <w:rPr>
          <w:rFonts w:ascii="宋体" w:hAnsi="宋体"/>
          <w:b/>
          <w:sz w:val="30"/>
        </w:rPr>
      </w:pPr>
      <w:r>
        <w:rPr>
          <w:rFonts w:ascii="宋体" w:hAnsi="宋体"/>
          <w:sz w:val="30"/>
        </w:rPr>
        <w:br w:type="page"/>
      </w:r>
      <w:bookmarkEnd w:id="107"/>
      <w:bookmarkEnd w:id="108"/>
      <w:bookmarkEnd w:id="109"/>
      <w:bookmarkEnd w:id="110"/>
      <w:bookmarkStart w:id="114" w:name="_Toc173728539"/>
      <w:bookmarkStart w:id="115" w:name="_Toc105230662"/>
      <w:r>
        <w:rPr>
          <w:rFonts w:hint="eastAsia" w:ascii="宋体" w:hAnsi="宋体"/>
          <w:sz w:val="30"/>
        </w:rPr>
        <w:t>▲</w:t>
      </w:r>
      <w:r>
        <w:rPr>
          <w:rFonts w:hint="eastAsia" w:ascii="宋体" w:hAnsi="宋体"/>
          <w:b/>
          <w:sz w:val="30"/>
        </w:rPr>
        <w:t>1.</w:t>
      </w:r>
      <w:r>
        <w:rPr>
          <w:rFonts w:ascii="宋体" w:hAnsi="宋体"/>
          <w:b/>
          <w:sz w:val="30"/>
        </w:rPr>
        <w:t>投标声明书</w:t>
      </w:r>
      <w:r>
        <w:rPr>
          <w:rFonts w:hint="eastAsia" w:ascii="宋体" w:hAnsi="宋体"/>
          <w:sz w:val="30"/>
        </w:rPr>
        <w:t>（如为联合体，各方均须提供）</w:t>
      </w:r>
    </w:p>
    <w:p>
      <w:pPr>
        <w:pStyle w:val="129"/>
        <w:spacing w:line="360" w:lineRule="auto"/>
        <w:rPr>
          <w:rFonts w:ascii="宋体" w:hAnsi="宋体"/>
          <w:kern w:val="0"/>
          <w:sz w:val="24"/>
          <w:szCs w:val="21"/>
          <w:u w:val="single"/>
        </w:rPr>
      </w:pPr>
      <w:r>
        <w:rPr>
          <w:rFonts w:hint="eastAsia" w:ascii="宋体" w:hAnsi="宋体"/>
          <w:kern w:val="0"/>
          <w:sz w:val="24"/>
          <w:szCs w:val="21"/>
          <w:u w:val="single"/>
        </w:rPr>
        <w:t>浙江建航工程咨询有限公司：</w:t>
      </w:r>
    </w:p>
    <w:p>
      <w:pPr>
        <w:pStyle w:val="113"/>
        <w:spacing w:line="360" w:lineRule="auto"/>
        <w:ind w:firstLine="480" w:firstLineChars="200"/>
        <w:rPr>
          <w:rFonts w:hAnsi="宋体"/>
          <w:sz w:val="24"/>
          <w:szCs w:val="21"/>
        </w:rPr>
      </w:pPr>
      <w:r>
        <w:rPr>
          <w:rFonts w:hint="eastAsia" w:hAnsi="宋体"/>
          <w:sz w:val="24"/>
          <w:szCs w:val="21"/>
          <w:u w:val="single"/>
        </w:rPr>
        <w:t xml:space="preserve"> (投标人全称</w:t>
      </w:r>
      <w:r>
        <w:rPr>
          <w:rFonts w:hint="eastAsia" w:hAnsi="宋体"/>
          <w:sz w:val="24"/>
          <w:szCs w:val="21"/>
        </w:rPr>
        <w:t>)系中华人民共和国合法企业，经营地址。</w:t>
      </w:r>
    </w:p>
    <w:p>
      <w:pPr>
        <w:pStyle w:val="113"/>
        <w:spacing w:line="360" w:lineRule="auto"/>
        <w:ind w:firstLine="480" w:firstLineChars="200"/>
        <w:rPr>
          <w:rFonts w:hAnsi="宋体"/>
          <w:sz w:val="24"/>
          <w:szCs w:val="21"/>
        </w:rPr>
      </w:pPr>
      <w:r>
        <w:rPr>
          <w:rFonts w:hint="eastAsia" w:hAnsi="宋体"/>
          <w:sz w:val="24"/>
          <w:szCs w:val="21"/>
        </w:rPr>
        <w:t>我</w:t>
      </w:r>
      <w:r>
        <w:rPr>
          <w:rFonts w:hAnsi="宋体"/>
          <w:sz w:val="24"/>
          <w:szCs w:val="21"/>
          <w:u w:val="single"/>
        </w:rPr>
        <w:t>(</w:t>
      </w:r>
      <w:r>
        <w:rPr>
          <w:rFonts w:hint="eastAsia" w:hAnsi="宋体"/>
          <w:sz w:val="24"/>
          <w:szCs w:val="21"/>
          <w:u w:val="single"/>
        </w:rPr>
        <w:t>法定代表人或负责人名字</w:t>
      </w:r>
      <w:r>
        <w:rPr>
          <w:rFonts w:hAnsi="宋体"/>
          <w:sz w:val="24"/>
          <w:szCs w:val="21"/>
          <w:u w:val="single"/>
        </w:rPr>
        <w:t>)</w:t>
      </w:r>
      <w:r>
        <w:rPr>
          <w:rFonts w:hint="eastAsia" w:hAnsi="宋体"/>
          <w:sz w:val="24"/>
          <w:szCs w:val="21"/>
        </w:rPr>
        <w:t>系</w:t>
      </w:r>
      <w:r>
        <w:rPr>
          <w:rFonts w:hAnsi="宋体"/>
          <w:sz w:val="24"/>
          <w:szCs w:val="21"/>
          <w:u w:val="single"/>
        </w:rPr>
        <w:t>(</w:t>
      </w:r>
      <w:r>
        <w:rPr>
          <w:rFonts w:hint="eastAsia" w:hAnsi="宋体"/>
          <w:sz w:val="24"/>
          <w:szCs w:val="21"/>
          <w:u w:val="single"/>
        </w:rPr>
        <w:t>投标人名称</w:t>
      </w:r>
      <w:r>
        <w:rPr>
          <w:rFonts w:hAnsi="宋体"/>
          <w:sz w:val="24"/>
          <w:szCs w:val="21"/>
          <w:u w:val="single"/>
        </w:rPr>
        <w:t>)</w:t>
      </w:r>
      <w:r>
        <w:rPr>
          <w:rFonts w:hint="eastAsia" w:hAnsi="宋体"/>
          <w:sz w:val="24"/>
          <w:szCs w:val="21"/>
        </w:rPr>
        <w:t>的负责人，我方愿意参加贵方组织的</w:t>
      </w:r>
      <w:r>
        <w:rPr>
          <w:rFonts w:hint="eastAsia" w:hAnsi="宋体"/>
          <w:sz w:val="24"/>
          <w:szCs w:val="21"/>
          <w:u w:val="single"/>
        </w:rPr>
        <w:t xml:space="preserve">    （</w:t>
      </w:r>
      <w:r>
        <w:rPr>
          <w:rFonts w:hAnsi="宋体"/>
          <w:sz w:val="24"/>
          <w:szCs w:val="21"/>
          <w:u w:val="single"/>
        </w:rPr>
        <w:t>项目名称</w:t>
      </w:r>
      <w:r>
        <w:rPr>
          <w:rFonts w:hint="eastAsia" w:hAnsi="宋体"/>
          <w:sz w:val="24"/>
          <w:szCs w:val="21"/>
          <w:u w:val="single"/>
        </w:rPr>
        <w:t>）   （项目编号：   ）</w:t>
      </w:r>
      <w:r>
        <w:rPr>
          <w:rFonts w:hint="eastAsia" w:hAnsi="宋体"/>
          <w:sz w:val="24"/>
          <w:szCs w:val="21"/>
        </w:rPr>
        <w:t>的投标。为便于贵方公正、择优地确定中标人以及投标产品和服务，我方就本次投标有关事项郑重承诺如下：</w:t>
      </w:r>
    </w:p>
    <w:p>
      <w:pPr>
        <w:pStyle w:val="113"/>
        <w:spacing w:line="360" w:lineRule="auto"/>
        <w:ind w:firstLine="480" w:firstLineChars="200"/>
        <w:rPr>
          <w:rFonts w:hAnsi="宋体"/>
          <w:sz w:val="24"/>
          <w:szCs w:val="21"/>
        </w:rPr>
      </w:pPr>
      <w:r>
        <w:rPr>
          <w:rFonts w:hint="eastAsia" w:hAnsi="宋体"/>
          <w:sz w:val="24"/>
          <w:szCs w:val="21"/>
        </w:rPr>
        <w:t>1.我方向贵方提交的所有投标文件、资料都是准确的和真实的。</w:t>
      </w:r>
    </w:p>
    <w:p>
      <w:pPr>
        <w:pStyle w:val="113"/>
        <w:spacing w:line="360" w:lineRule="auto"/>
        <w:ind w:firstLine="480" w:firstLineChars="200"/>
        <w:rPr>
          <w:rFonts w:hAnsi="宋体"/>
          <w:sz w:val="24"/>
          <w:szCs w:val="21"/>
        </w:rPr>
      </w:pPr>
      <w:r>
        <w:rPr>
          <w:rFonts w:hint="eastAsia" w:hAnsi="宋体"/>
          <w:sz w:val="24"/>
          <w:szCs w:val="21"/>
        </w:rPr>
        <w:t>2.我方承诺已经具备《中华人民共和国政府采购法》、《中华人民共和国政府采购法实施条例》中规定的参加政府采购活动的投标人应当具备的条件，并真实提供相关材料。</w:t>
      </w:r>
    </w:p>
    <w:p>
      <w:pPr>
        <w:pStyle w:val="113"/>
        <w:spacing w:line="360" w:lineRule="auto"/>
        <w:ind w:firstLine="480" w:firstLineChars="200"/>
        <w:rPr>
          <w:rFonts w:hAnsi="宋体"/>
          <w:sz w:val="24"/>
          <w:szCs w:val="21"/>
        </w:rPr>
      </w:pPr>
      <w:r>
        <w:rPr>
          <w:rFonts w:hint="eastAsia" w:hAnsi="宋体"/>
          <w:sz w:val="24"/>
          <w:szCs w:val="21"/>
        </w:rPr>
        <w:t>3.提供投标人须知规定的全部投标文件，包括：</w:t>
      </w:r>
    </w:p>
    <w:p>
      <w:pPr>
        <w:pStyle w:val="113"/>
        <w:spacing w:line="360" w:lineRule="auto"/>
        <w:ind w:firstLine="480" w:firstLineChars="200"/>
        <w:rPr>
          <w:rFonts w:hAnsi="宋体"/>
          <w:sz w:val="24"/>
          <w:szCs w:val="21"/>
        </w:rPr>
      </w:pPr>
      <w:r>
        <w:rPr>
          <w:rFonts w:hint="eastAsia" w:hAnsi="宋体"/>
          <w:sz w:val="24"/>
          <w:szCs w:val="21"/>
        </w:rPr>
        <w:t>（1）电子投标</w:t>
      </w:r>
      <w:r>
        <w:rPr>
          <w:rFonts w:hAnsi="宋体"/>
          <w:sz w:val="24"/>
          <w:szCs w:val="21"/>
        </w:rPr>
        <w:t>文件</w:t>
      </w:r>
      <w:r>
        <w:rPr>
          <w:rFonts w:hint="eastAsia" w:hAnsi="宋体"/>
          <w:sz w:val="24"/>
          <w:szCs w:val="21"/>
        </w:rPr>
        <w:t>；</w:t>
      </w:r>
    </w:p>
    <w:p>
      <w:pPr>
        <w:pStyle w:val="113"/>
        <w:spacing w:line="360" w:lineRule="auto"/>
        <w:ind w:firstLine="480" w:firstLineChars="200"/>
        <w:rPr>
          <w:rFonts w:hAnsi="宋体"/>
          <w:sz w:val="24"/>
          <w:szCs w:val="21"/>
        </w:rPr>
      </w:pPr>
      <w:r>
        <w:rPr>
          <w:rFonts w:hint="eastAsia" w:hAnsi="宋体"/>
          <w:sz w:val="24"/>
          <w:szCs w:val="21"/>
        </w:rPr>
        <w:t>（2）备份投标文件（注：是否提交由投标人自行决定，如不提交，本条可删除）。</w:t>
      </w:r>
    </w:p>
    <w:p>
      <w:pPr>
        <w:pStyle w:val="113"/>
        <w:spacing w:line="360" w:lineRule="auto"/>
        <w:ind w:firstLine="480" w:firstLineChars="200"/>
        <w:rPr>
          <w:rFonts w:hAnsi="宋体"/>
          <w:sz w:val="24"/>
          <w:szCs w:val="21"/>
        </w:rPr>
      </w:pPr>
      <w:r>
        <w:rPr>
          <w:rFonts w:hint="eastAsia" w:hAnsi="宋体"/>
          <w:sz w:val="24"/>
          <w:szCs w:val="21"/>
        </w:rPr>
        <w:t>4.如果我方中标，将派出</w:t>
      </w:r>
      <w:r>
        <w:rPr>
          <w:rFonts w:hint="eastAsia" w:hAnsi="宋体"/>
          <w:sz w:val="24"/>
          <w:szCs w:val="21"/>
          <w:u w:val="single"/>
        </w:rPr>
        <w:t xml:space="preserve">  （姓名及身份证号码）</w:t>
      </w:r>
      <w:r>
        <w:rPr>
          <w:rFonts w:hint="eastAsia" w:hAnsi="宋体"/>
          <w:sz w:val="24"/>
          <w:szCs w:val="21"/>
        </w:rPr>
        <w:t>，作为本项目与采购人联系的项目实施负责人，联系手机号码：。在项目实施过程中，并承诺项目实施负责人不更换，若确需要更换的，书面征得采购人同意后才准予更换。</w:t>
      </w:r>
    </w:p>
    <w:p>
      <w:pPr>
        <w:pStyle w:val="113"/>
        <w:spacing w:line="440" w:lineRule="exact"/>
        <w:ind w:firstLine="480" w:firstLineChars="200"/>
        <w:rPr>
          <w:rFonts w:hAnsi="宋体"/>
          <w:sz w:val="24"/>
          <w:szCs w:val="21"/>
        </w:rPr>
      </w:pPr>
      <w:r>
        <w:rPr>
          <w:rFonts w:hint="eastAsia" w:hAnsi="宋体"/>
          <w:sz w:val="24"/>
          <w:szCs w:val="21"/>
        </w:rPr>
        <w:t>5.我方的投标有效期自</w:t>
      </w:r>
      <w:r>
        <w:rPr>
          <w:rFonts w:hint="eastAsia" w:hAnsi="宋体"/>
          <w:bCs/>
          <w:snapToGrid w:val="0"/>
          <w:kern w:val="2"/>
          <w:sz w:val="24"/>
          <w:szCs w:val="24"/>
        </w:rPr>
        <w:t>提交投标文件的截止之日起</w:t>
      </w:r>
      <w:r>
        <w:rPr>
          <w:rFonts w:hint="eastAsia" w:hAnsi="宋体"/>
          <w:sz w:val="24"/>
          <w:szCs w:val="21"/>
          <w:u w:val="single"/>
        </w:rPr>
        <w:t>90</w:t>
      </w:r>
      <w:r>
        <w:rPr>
          <w:rFonts w:hint="eastAsia" w:hAnsi="宋体"/>
          <w:sz w:val="24"/>
          <w:szCs w:val="21"/>
        </w:rPr>
        <w:t>天内有效。</w:t>
      </w:r>
    </w:p>
    <w:p>
      <w:pPr>
        <w:pStyle w:val="113"/>
        <w:spacing w:line="440" w:lineRule="exact"/>
        <w:ind w:firstLine="480" w:firstLineChars="200"/>
        <w:rPr>
          <w:rFonts w:hAnsi="宋体"/>
          <w:sz w:val="24"/>
          <w:szCs w:val="21"/>
        </w:rPr>
      </w:pPr>
      <w:r>
        <w:rPr>
          <w:rFonts w:hint="eastAsia" w:hAnsi="宋体"/>
          <w:sz w:val="24"/>
          <w:szCs w:val="21"/>
        </w:rPr>
        <w:t>6.我方在投标之前已经与贵方进行了充分的沟通，完全理解并接受招标文件的各项规定和要求，对招标文件的合理性、合法性不再有异议。</w:t>
      </w:r>
    </w:p>
    <w:p>
      <w:pPr>
        <w:pStyle w:val="113"/>
        <w:spacing w:line="440" w:lineRule="exact"/>
        <w:ind w:firstLine="480" w:firstLineChars="200"/>
        <w:rPr>
          <w:rFonts w:hAnsi="宋体"/>
          <w:sz w:val="24"/>
          <w:szCs w:val="21"/>
        </w:rPr>
      </w:pPr>
      <w:r>
        <w:rPr>
          <w:rFonts w:hint="eastAsia" w:hAnsi="宋体"/>
          <w:sz w:val="24"/>
          <w:szCs w:val="21"/>
        </w:rPr>
        <w:t>我方愿意向贵方提供真实完整的任何与该项投标有关的数据、情况和技术资料。若贵方需要，我方愿意提供我方作出的一切承诺的证明材料。</w:t>
      </w:r>
    </w:p>
    <w:p>
      <w:pPr>
        <w:pStyle w:val="113"/>
        <w:spacing w:line="440" w:lineRule="exact"/>
        <w:ind w:firstLine="480" w:firstLineChars="200"/>
        <w:rPr>
          <w:rFonts w:hAnsi="宋体"/>
          <w:sz w:val="24"/>
          <w:szCs w:val="21"/>
        </w:rPr>
      </w:pPr>
      <w:r>
        <w:rPr>
          <w:rFonts w:hint="eastAsia" w:hAnsi="宋体"/>
          <w:sz w:val="24"/>
          <w:szCs w:val="21"/>
        </w:rPr>
        <w:t>7.我方已详细审核全部招标文件，包括招标文件的澄清或修改文件（如有）、参考资料及有关附件，已经了解我方对于招标文件、采购过程、采购结果有依法进行询问、质疑、投诉的权利及相关渠道和要求。</w:t>
      </w:r>
    </w:p>
    <w:p>
      <w:pPr>
        <w:pStyle w:val="113"/>
        <w:spacing w:line="440" w:lineRule="exact"/>
        <w:ind w:firstLine="480" w:firstLineChars="200"/>
        <w:rPr>
          <w:rFonts w:hAnsi="宋体"/>
          <w:sz w:val="24"/>
          <w:szCs w:val="21"/>
        </w:rPr>
      </w:pPr>
      <w:r>
        <w:rPr>
          <w:rFonts w:hint="eastAsia" w:hAnsi="宋体"/>
          <w:sz w:val="24"/>
          <w:szCs w:val="21"/>
        </w:rPr>
        <w:t>8.我方不是采购人的附属机构，并未为本项目提供整体设计、规范编制或者项目管理、监理、监测等服务。</w:t>
      </w:r>
    </w:p>
    <w:p>
      <w:pPr>
        <w:pStyle w:val="113"/>
        <w:spacing w:line="440" w:lineRule="exact"/>
        <w:ind w:firstLine="480" w:firstLineChars="200"/>
        <w:rPr>
          <w:rFonts w:hAnsi="宋体"/>
          <w:sz w:val="24"/>
          <w:szCs w:val="21"/>
        </w:rPr>
      </w:pPr>
      <w:r>
        <w:rPr>
          <w:rFonts w:hint="eastAsia" w:hAnsi="宋体"/>
          <w:sz w:val="24"/>
          <w:szCs w:val="21"/>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113"/>
        <w:spacing w:line="440" w:lineRule="exact"/>
        <w:ind w:firstLine="240" w:firstLineChars="100"/>
        <w:rPr>
          <w:rFonts w:hAnsi="宋体"/>
          <w:sz w:val="24"/>
          <w:szCs w:val="21"/>
        </w:rPr>
      </w:pPr>
      <w:r>
        <w:rPr>
          <w:rFonts w:hint="eastAsia" w:hAnsi="宋体"/>
          <w:sz w:val="24"/>
          <w:szCs w:val="21"/>
        </w:rPr>
        <w:t>（1）提供虚假材料谋取中标、中标的；</w:t>
      </w:r>
    </w:p>
    <w:p>
      <w:pPr>
        <w:pStyle w:val="113"/>
        <w:spacing w:line="440" w:lineRule="exact"/>
        <w:ind w:firstLine="240" w:firstLineChars="100"/>
        <w:rPr>
          <w:rFonts w:hAnsi="宋体"/>
          <w:sz w:val="24"/>
          <w:szCs w:val="21"/>
        </w:rPr>
      </w:pPr>
      <w:r>
        <w:rPr>
          <w:rFonts w:hint="eastAsia" w:hAnsi="宋体"/>
          <w:sz w:val="24"/>
          <w:szCs w:val="21"/>
        </w:rPr>
        <w:t>（2）采取不正当手段诋毁、排挤其他投标人的；</w:t>
      </w:r>
    </w:p>
    <w:p>
      <w:pPr>
        <w:pStyle w:val="113"/>
        <w:spacing w:line="440" w:lineRule="exact"/>
        <w:ind w:firstLine="240" w:firstLineChars="100"/>
        <w:rPr>
          <w:rFonts w:hAnsi="宋体"/>
          <w:sz w:val="24"/>
          <w:szCs w:val="21"/>
        </w:rPr>
      </w:pPr>
      <w:r>
        <w:rPr>
          <w:rFonts w:hint="eastAsia" w:hAnsi="宋体"/>
          <w:sz w:val="24"/>
          <w:szCs w:val="21"/>
        </w:rPr>
        <w:t>（3）与采购人、其它投标人或者采购代理机构恶意串通的；</w:t>
      </w:r>
    </w:p>
    <w:p>
      <w:pPr>
        <w:pStyle w:val="113"/>
        <w:spacing w:line="440" w:lineRule="exact"/>
        <w:ind w:firstLine="240" w:firstLineChars="100"/>
        <w:rPr>
          <w:rFonts w:hAnsi="宋体"/>
          <w:sz w:val="24"/>
          <w:szCs w:val="21"/>
        </w:rPr>
      </w:pPr>
      <w:r>
        <w:rPr>
          <w:rFonts w:hint="eastAsia" w:hAnsi="宋体"/>
          <w:sz w:val="24"/>
          <w:szCs w:val="21"/>
        </w:rPr>
        <w:t>（4）向采购人、采购代理机构行贿或者提供其他不正当利益的；</w:t>
      </w:r>
    </w:p>
    <w:p>
      <w:pPr>
        <w:pStyle w:val="113"/>
        <w:spacing w:line="440" w:lineRule="exact"/>
        <w:ind w:firstLine="240" w:firstLineChars="100"/>
        <w:rPr>
          <w:rFonts w:hAnsi="宋体"/>
          <w:sz w:val="24"/>
          <w:szCs w:val="21"/>
        </w:rPr>
      </w:pPr>
      <w:r>
        <w:rPr>
          <w:rFonts w:hint="eastAsia" w:hAnsi="宋体"/>
          <w:sz w:val="24"/>
          <w:szCs w:val="21"/>
        </w:rPr>
        <w:t>（5）在招标采购过程中与采购人进行协商谈判的；</w:t>
      </w:r>
    </w:p>
    <w:p>
      <w:pPr>
        <w:pStyle w:val="113"/>
        <w:spacing w:line="440" w:lineRule="exact"/>
        <w:ind w:firstLine="240" w:firstLineChars="100"/>
        <w:rPr>
          <w:rFonts w:hAnsi="宋体"/>
          <w:sz w:val="24"/>
          <w:szCs w:val="21"/>
        </w:rPr>
      </w:pPr>
      <w:r>
        <w:rPr>
          <w:rFonts w:hint="eastAsia" w:hAnsi="宋体"/>
          <w:sz w:val="24"/>
          <w:szCs w:val="21"/>
        </w:rPr>
        <w:t>（6）拒绝有关部门监督检查或提供虚假情况的。</w:t>
      </w:r>
    </w:p>
    <w:p>
      <w:pPr>
        <w:pStyle w:val="113"/>
        <w:spacing w:line="440" w:lineRule="exact"/>
        <w:ind w:firstLine="480" w:firstLineChars="200"/>
        <w:rPr>
          <w:rFonts w:hAnsi="宋体"/>
          <w:sz w:val="24"/>
          <w:szCs w:val="21"/>
        </w:rPr>
      </w:pPr>
      <w:r>
        <w:rPr>
          <w:rFonts w:hint="eastAsia" w:hAnsi="宋体"/>
          <w:sz w:val="24"/>
          <w:szCs w:val="21"/>
        </w:rPr>
        <w:t>10.如中标，本投标文件至本项目合同履行完毕止均保持有效，我方将按招标文件及政府采购法律、法规的规定履行合同责任和义务。</w:t>
      </w:r>
    </w:p>
    <w:p>
      <w:pPr>
        <w:pStyle w:val="113"/>
        <w:spacing w:line="440" w:lineRule="exact"/>
        <w:ind w:firstLine="480" w:firstLineChars="200"/>
        <w:rPr>
          <w:rFonts w:hAnsi="宋体"/>
          <w:sz w:val="24"/>
          <w:szCs w:val="21"/>
        </w:rPr>
      </w:pPr>
      <w:r>
        <w:rPr>
          <w:rFonts w:hint="eastAsia" w:hAnsi="宋体"/>
          <w:sz w:val="24"/>
          <w:szCs w:val="21"/>
        </w:rPr>
        <w:t>11.以上事项如有虚假或隐瞒，我方愿意承担一切不利后果，并不再寻求任何旨在减轻或免除法律责任。</w:t>
      </w:r>
    </w:p>
    <w:p>
      <w:pPr>
        <w:pStyle w:val="113"/>
        <w:spacing w:line="440" w:lineRule="exact"/>
        <w:ind w:firstLine="480"/>
        <w:rPr>
          <w:rFonts w:hAnsi="宋体"/>
          <w:sz w:val="24"/>
          <w:szCs w:val="21"/>
        </w:rPr>
      </w:pPr>
      <w:r>
        <w:rPr>
          <w:rFonts w:hint="eastAsia" w:hAnsi="宋体"/>
          <w:sz w:val="24"/>
          <w:szCs w:val="21"/>
        </w:rPr>
        <w:t>与本次投标有关的一切正式往来信函请寄：</w:t>
      </w:r>
    </w:p>
    <w:p>
      <w:pPr>
        <w:pStyle w:val="113"/>
        <w:spacing w:line="440" w:lineRule="exact"/>
        <w:ind w:firstLine="480"/>
        <w:rPr>
          <w:rFonts w:hAnsi="宋体"/>
          <w:sz w:val="24"/>
          <w:szCs w:val="21"/>
        </w:rPr>
      </w:pPr>
      <w:r>
        <w:rPr>
          <w:rFonts w:hAnsi="宋体"/>
          <w:sz w:val="24"/>
          <w:szCs w:val="21"/>
        </w:rPr>
        <w:t xml:space="preserve">地址：   </w:t>
      </w:r>
      <w:r>
        <w:rPr>
          <w:rFonts w:hint="eastAsia" w:hAnsi="宋体"/>
          <w:sz w:val="24"/>
          <w:szCs w:val="21"/>
        </w:rPr>
        <w:t xml:space="preserve">    </w:t>
      </w:r>
      <w:r>
        <w:rPr>
          <w:rFonts w:hint="eastAsia" w:hAnsi="宋体"/>
          <w:sz w:val="24"/>
          <w:szCs w:val="21"/>
          <w:lang w:val="en-US" w:eastAsia="zh-CN"/>
        </w:rPr>
        <w:t xml:space="preserve">        </w:t>
      </w:r>
      <w:r>
        <w:rPr>
          <w:rFonts w:hAnsi="宋体"/>
          <w:sz w:val="24"/>
          <w:szCs w:val="21"/>
        </w:rPr>
        <w:t xml:space="preserve">  邮编：　</w:t>
      </w:r>
    </w:p>
    <w:p>
      <w:pPr>
        <w:pStyle w:val="27"/>
        <w:spacing w:line="440" w:lineRule="exact"/>
        <w:ind w:firstLine="480" w:firstLineChars="200"/>
        <w:rPr>
          <w:rFonts w:hAnsi="宋体"/>
          <w:spacing w:val="20"/>
          <w:sz w:val="24"/>
        </w:rPr>
      </w:pPr>
      <w:r>
        <w:rPr>
          <w:rFonts w:hAnsi="宋体"/>
          <w:sz w:val="24"/>
          <w:szCs w:val="21"/>
        </w:rPr>
        <w:t xml:space="preserve">电话：   </w:t>
      </w:r>
      <w:r>
        <w:rPr>
          <w:rFonts w:hint="eastAsia" w:hAnsi="宋体"/>
          <w:sz w:val="24"/>
          <w:szCs w:val="21"/>
        </w:rPr>
        <w:t xml:space="preserve">    </w:t>
      </w:r>
      <w:r>
        <w:rPr>
          <w:rFonts w:hAnsi="宋体"/>
          <w:sz w:val="24"/>
          <w:szCs w:val="21"/>
        </w:rPr>
        <w:t xml:space="preserve">  </w:t>
      </w:r>
      <w:r>
        <w:rPr>
          <w:rFonts w:hint="eastAsia" w:hAnsi="宋体"/>
          <w:sz w:val="24"/>
          <w:szCs w:val="21"/>
          <w:lang w:val="en-US" w:eastAsia="zh-CN"/>
        </w:rPr>
        <w:t xml:space="preserve">        </w:t>
      </w:r>
      <w:r>
        <w:rPr>
          <w:rFonts w:hAnsi="宋体"/>
          <w:sz w:val="24"/>
          <w:szCs w:val="21"/>
        </w:rPr>
        <w:t>传真：</w:t>
      </w:r>
    </w:p>
    <w:p>
      <w:pPr>
        <w:pStyle w:val="118"/>
        <w:spacing w:line="520" w:lineRule="exact"/>
        <w:ind w:firstLine="5320" w:firstLineChars="1900"/>
        <w:rPr>
          <w:rFonts w:hAnsi="宋体"/>
          <w:spacing w:val="20"/>
          <w:sz w:val="24"/>
          <w:u w:val="single"/>
        </w:rPr>
      </w:pPr>
    </w:p>
    <w:p>
      <w:pPr>
        <w:pStyle w:val="118"/>
        <w:spacing w:line="520" w:lineRule="exact"/>
        <w:ind w:firstLine="5320" w:firstLineChars="1900"/>
        <w:rPr>
          <w:rFonts w:hAnsi="宋体"/>
          <w:spacing w:val="20"/>
          <w:sz w:val="24"/>
          <w:u w:val="single"/>
        </w:rPr>
      </w:pPr>
    </w:p>
    <w:p>
      <w:pPr>
        <w:pStyle w:val="118"/>
        <w:spacing w:line="520" w:lineRule="exact"/>
        <w:ind w:firstLine="5320" w:firstLineChars="1900"/>
        <w:rPr>
          <w:rFonts w:hAnsi="宋体"/>
          <w:spacing w:val="20"/>
          <w:sz w:val="24"/>
          <w:u w:val="single"/>
        </w:rPr>
      </w:pPr>
    </w:p>
    <w:p>
      <w:pPr>
        <w:pStyle w:val="118"/>
        <w:spacing w:line="520" w:lineRule="exact"/>
        <w:ind w:firstLine="5320" w:firstLineChars="1900"/>
        <w:rPr>
          <w:rFonts w:hAnsi="宋体"/>
          <w:spacing w:val="20"/>
          <w:sz w:val="24"/>
          <w:u w:val="single"/>
        </w:rPr>
      </w:pPr>
    </w:p>
    <w:p>
      <w:pPr>
        <w:pStyle w:val="118"/>
        <w:spacing w:line="520" w:lineRule="exact"/>
        <w:ind w:firstLine="5320" w:firstLineChars="1900"/>
        <w:rPr>
          <w:rFonts w:hAnsi="宋体"/>
          <w:spacing w:val="20"/>
          <w:sz w:val="24"/>
          <w:u w:val="single"/>
        </w:rPr>
      </w:pPr>
    </w:p>
    <w:p>
      <w:pPr>
        <w:pStyle w:val="118"/>
        <w:spacing w:line="520" w:lineRule="exact"/>
        <w:ind w:firstLine="5320" w:firstLineChars="1900"/>
        <w:rPr>
          <w:rFonts w:hAnsi="宋体"/>
          <w:spacing w:val="20"/>
          <w:sz w:val="24"/>
          <w:u w:val="single"/>
        </w:rPr>
      </w:pPr>
    </w:p>
    <w:p>
      <w:pPr>
        <w:spacing w:line="360" w:lineRule="auto"/>
        <w:ind w:firstLine="602"/>
        <w:jc w:val="center"/>
        <w:rPr>
          <w:rFonts w:hAnsi="宋体"/>
          <w:b/>
          <w:sz w:val="30"/>
        </w:rPr>
      </w:pPr>
      <w:r>
        <w:rPr>
          <w:rFonts w:ascii="宋体" w:hAnsi="宋体"/>
          <w:b/>
          <w:sz w:val="30"/>
        </w:rPr>
        <w:br w:type="page"/>
      </w:r>
      <w:r>
        <w:rPr>
          <w:rFonts w:hint="eastAsia" w:ascii="宋体" w:hAnsi="宋体"/>
          <w:b/>
          <w:sz w:val="30"/>
          <w:szCs w:val="20"/>
        </w:rPr>
        <w:t>2.</w:t>
      </w:r>
      <w:r>
        <w:rPr>
          <w:rFonts w:hint="eastAsia" w:hAnsi="宋体"/>
          <w:b/>
          <w:sz w:val="30"/>
        </w:rPr>
        <w:t>代理服务费支付承诺书</w:t>
      </w:r>
    </w:p>
    <w:p>
      <w:pPr>
        <w:spacing w:line="360" w:lineRule="auto"/>
        <w:jc w:val="left"/>
        <w:rPr>
          <w:rFonts w:ascii="宋体" w:hAnsi="宋体"/>
          <w:sz w:val="28"/>
          <w:szCs w:val="28"/>
        </w:rPr>
      </w:pPr>
      <w:r>
        <w:rPr>
          <w:rFonts w:hint="eastAsia" w:ascii="宋体" w:hAnsi="宋体"/>
          <w:sz w:val="28"/>
          <w:szCs w:val="28"/>
        </w:rPr>
        <w:t>浙江建航工程咨询有限公司：</w:t>
      </w:r>
    </w:p>
    <w:p>
      <w:pPr>
        <w:spacing w:line="360" w:lineRule="auto"/>
        <w:ind w:firstLine="560" w:firstLineChars="200"/>
        <w:jc w:val="left"/>
        <w:rPr>
          <w:rFonts w:hAnsi="宋体"/>
          <w:sz w:val="24"/>
        </w:rPr>
      </w:pPr>
      <w:r>
        <w:rPr>
          <w:rFonts w:ascii="宋体" w:hAnsi="宋体"/>
          <w:sz w:val="28"/>
          <w:szCs w:val="28"/>
        </w:rPr>
        <w:t>如确定我公司为该项目</w:t>
      </w:r>
      <w:r>
        <w:rPr>
          <w:rFonts w:hint="eastAsia" w:ascii="宋体" w:hAnsi="宋体"/>
          <w:sz w:val="28"/>
          <w:szCs w:val="28"/>
        </w:rPr>
        <w:t>中标（</w:t>
      </w:r>
      <w:r>
        <w:rPr>
          <w:rFonts w:ascii="宋体" w:hAnsi="宋体"/>
          <w:sz w:val="28"/>
          <w:szCs w:val="28"/>
        </w:rPr>
        <w:t>成交</w:t>
      </w:r>
      <w:r>
        <w:rPr>
          <w:rFonts w:hint="eastAsia" w:ascii="宋体" w:hAnsi="宋体"/>
          <w:sz w:val="28"/>
          <w:szCs w:val="28"/>
        </w:rPr>
        <w:t>）</w:t>
      </w:r>
      <w:r>
        <w:rPr>
          <w:rFonts w:ascii="宋体" w:hAnsi="宋体"/>
          <w:sz w:val="28"/>
          <w:szCs w:val="28"/>
        </w:rPr>
        <w:t>人，我公司承诺在</w:t>
      </w:r>
      <w:r>
        <w:rPr>
          <w:rFonts w:hint="eastAsia" w:ascii="宋体" w:hAnsi="宋体"/>
          <w:sz w:val="28"/>
          <w:szCs w:val="28"/>
        </w:rPr>
        <w:t>中标（</w:t>
      </w:r>
      <w:r>
        <w:rPr>
          <w:rFonts w:ascii="宋体" w:hAnsi="宋体"/>
          <w:sz w:val="28"/>
          <w:szCs w:val="28"/>
        </w:rPr>
        <w:t>成交</w:t>
      </w:r>
      <w:r>
        <w:rPr>
          <w:rFonts w:hint="eastAsia" w:ascii="宋体" w:hAnsi="宋体"/>
          <w:sz w:val="28"/>
          <w:szCs w:val="28"/>
        </w:rPr>
        <w:t>）公告</w:t>
      </w:r>
      <w:r>
        <w:rPr>
          <w:rFonts w:ascii="宋体" w:hAnsi="宋体"/>
          <w:sz w:val="28"/>
          <w:szCs w:val="28"/>
        </w:rPr>
        <w:t>发出之日起5个工作日之内向贵公司按</w:t>
      </w:r>
      <w:r>
        <w:rPr>
          <w:rFonts w:hint="eastAsia" w:ascii="宋体" w:hAnsi="宋体"/>
          <w:sz w:val="28"/>
          <w:szCs w:val="28"/>
        </w:rPr>
        <w:t>招标</w:t>
      </w:r>
      <w:r>
        <w:rPr>
          <w:rFonts w:ascii="宋体" w:hAnsi="宋体"/>
          <w:sz w:val="28"/>
          <w:szCs w:val="28"/>
        </w:rPr>
        <w:t>文件约定一次性支付代理服务费。逾期未支付的，贵公司有权就此事项向我公司提出赔偿，我公司</w:t>
      </w:r>
      <w:r>
        <w:rPr>
          <w:rFonts w:hint="eastAsia" w:ascii="宋体" w:hAnsi="宋体"/>
          <w:sz w:val="28"/>
          <w:szCs w:val="28"/>
        </w:rPr>
        <w:t>愿意</w:t>
      </w:r>
      <w:r>
        <w:rPr>
          <w:rFonts w:ascii="宋体" w:hAnsi="宋体"/>
          <w:sz w:val="28"/>
          <w:szCs w:val="28"/>
        </w:rPr>
        <w:t>承担由此产生的全部赔偿责任。</w:t>
      </w:r>
    </w:p>
    <w:p>
      <w:pPr>
        <w:pStyle w:val="27"/>
        <w:spacing w:line="360" w:lineRule="auto"/>
        <w:ind w:right="480"/>
        <w:jc w:val="center"/>
        <w:rPr>
          <w:rFonts w:hAnsi="宋体"/>
          <w:sz w:val="24"/>
          <w:szCs w:val="24"/>
        </w:rPr>
      </w:pPr>
    </w:p>
    <w:p>
      <w:pPr>
        <w:pStyle w:val="27"/>
        <w:spacing w:line="360" w:lineRule="auto"/>
        <w:ind w:right="480"/>
        <w:jc w:val="center"/>
        <w:rPr>
          <w:rFonts w:hAnsi="宋体"/>
          <w:sz w:val="24"/>
          <w:szCs w:val="24"/>
        </w:rPr>
      </w:pPr>
    </w:p>
    <w:p>
      <w:pPr>
        <w:spacing w:line="360" w:lineRule="auto"/>
        <w:ind w:firstLine="562"/>
        <w:jc w:val="left"/>
        <w:rPr>
          <w:rFonts w:ascii="宋体" w:hAnsi="宋体"/>
          <w:b/>
          <w:sz w:val="28"/>
          <w:szCs w:val="28"/>
        </w:rPr>
      </w:pPr>
      <w:r>
        <w:rPr>
          <w:rFonts w:hint="eastAsia" w:ascii="宋体" w:hAnsi="宋体"/>
          <w:b/>
          <w:sz w:val="28"/>
          <w:szCs w:val="28"/>
        </w:rPr>
        <w:t>注：</w:t>
      </w:r>
    </w:p>
    <w:p>
      <w:pPr>
        <w:spacing w:line="360" w:lineRule="auto"/>
        <w:ind w:firstLine="560"/>
        <w:jc w:val="left"/>
        <w:rPr>
          <w:rFonts w:ascii="宋体" w:hAnsi="宋体"/>
          <w:sz w:val="28"/>
          <w:szCs w:val="28"/>
        </w:rPr>
      </w:pPr>
      <w:r>
        <w:rPr>
          <w:rFonts w:hint="eastAsia" w:ascii="宋体" w:hAnsi="宋体"/>
          <w:sz w:val="28"/>
          <w:szCs w:val="28"/>
        </w:rPr>
        <w:t>代理服务费收取账户信息：</w:t>
      </w:r>
    </w:p>
    <w:p>
      <w:pPr>
        <w:spacing w:line="360" w:lineRule="auto"/>
        <w:ind w:firstLine="560"/>
        <w:jc w:val="left"/>
        <w:rPr>
          <w:rFonts w:ascii="宋体" w:hAnsi="宋体"/>
          <w:sz w:val="28"/>
          <w:szCs w:val="28"/>
        </w:rPr>
      </w:pPr>
      <w:r>
        <w:rPr>
          <w:rFonts w:hint="eastAsia" w:ascii="宋体" w:hAnsi="宋体"/>
          <w:sz w:val="28"/>
          <w:szCs w:val="28"/>
        </w:rPr>
        <w:t>户名：浙江建航工程咨询有限公司</w:t>
      </w:r>
    </w:p>
    <w:p>
      <w:pPr>
        <w:spacing w:line="360" w:lineRule="auto"/>
        <w:ind w:firstLine="560"/>
        <w:jc w:val="left"/>
        <w:rPr>
          <w:rFonts w:ascii="宋体" w:hAnsi="宋体"/>
          <w:sz w:val="28"/>
          <w:szCs w:val="28"/>
        </w:rPr>
      </w:pPr>
      <w:r>
        <w:rPr>
          <w:rFonts w:hint="eastAsia" w:ascii="宋体" w:hAnsi="宋体"/>
          <w:sz w:val="28"/>
          <w:szCs w:val="28"/>
        </w:rPr>
        <w:t>账号：</w:t>
      </w:r>
      <w:r>
        <w:rPr>
          <w:rFonts w:ascii="宋体" w:hAnsi="宋体"/>
          <w:sz w:val="28"/>
          <w:szCs w:val="28"/>
        </w:rPr>
        <w:t>33001696161053001468</w:t>
      </w:r>
    </w:p>
    <w:p>
      <w:pPr>
        <w:spacing w:line="360" w:lineRule="auto"/>
        <w:ind w:firstLine="560"/>
        <w:jc w:val="left"/>
        <w:rPr>
          <w:rFonts w:ascii="宋体" w:hAnsi="宋体"/>
          <w:b/>
          <w:sz w:val="30"/>
        </w:rPr>
      </w:pPr>
      <w:r>
        <w:rPr>
          <w:rFonts w:hint="eastAsia" w:ascii="宋体" w:hAnsi="宋体"/>
          <w:sz w:val="28"/>
          <w:szCs w:val="28"/>
        </w:rPr>
        <w:t>开户行：建行丽水万丰支行</w:t>
      </w:r>
    </w:p>
    <w:bookmarkEnd w:id="114"/>
    <w:bookmarkEnd w:id="115"/>
    <w:p>
      <w:pPr>
        <w:ind w:firstLine="640"/>
        <w:jc w:val="center"/>
        <w:rPr>
          <w:rFonts w:ascii="宋体" w:hAnsi="宋体"/>
          <w:sz w:val="32"/>
        </w:rPr>
      </w:pPr>
      <w:bookmarkStart w:id="116" w:name="_Toc208049590"/>
    </w:p>
    <w:p>
      <w:pPr>
        <w:pStyle w:val="19"/>
        <w:ind w:firstLine="560"/>
      </w:pPr>
    </w:p>
    <w:p>
      <w:pPr>
        <w:ind w:firstLine="602"/>
        <w:jc w:val="center"/>
        <w:rPr>
          <w:rFonts w:ascii="宋体" w:hAnsi="宋体"/>
          <w:b/>
          <w:sz w:val="30"/>
          <w:szCs w:val="20"/>
        </w:rPr>
      </w:pPr>
      <w:r>
        <w:rPr>
          <w:rFonts w:hint="eastAsia" w:ascii="宋体" w:hAnsi="宋体"/>
          <w:b/>
          <w:sz w:val="30"/>
          <w:szCs w:val="20"/>
        </w:rPr>
        <w:t>3.</w:t>
      </w:r>
      <w:r>
        <w:rPr>
          <w:rFonts w:hint="eastAsia"/>
        </w:rPr>
        <w:t xml:space="preserve"> </w:t>
      </w:r>
      <w:r>
        <w:rPr>
          <w:rFonts w:hint="eastAsia" w:ascii="宋体" w:hAnsi="宋体"/>
          <w:b/>
          <w:sz w:val="30"/>
          <w:szCs w:val="20"/>
        </w:rPr>
        <w:t>投标人能力</w:t>
      </w:r>
    </w:p>
    <w:p>
      <w:pPr>
        <w:ind w:firstLine="602"/>
        <w:jc w:val="center"/>
        <w:rPr>
          <w:rFonts w:ascii="宋体" w:hAnsi="宋体"/>
          <w:b/>
          <w:sz w:val="30"/>
          <w:szCs w:val="20"/>
        </w:rPr>
      </w:pPr>
    </w:p>
    <w:p>
      <w:pPr>
        <w:ind w:firstLine="602"/>
        <w:jc w:val="center"/>
        <w:rPr>
          <w:rFonts w:ascii="宋体" w:hAnsi="宋体"/>
          <w:b/>
          <w:sz w:val="30"/>
          <w:szCs w:val="20"/>
        </w:rPr>
      </w:pPr>
    </w:p>
    <w:p>
      <w:pPr>
        <w:ind w:firstLine="602"/>
        <w:jc w:val="center"/>
        <w:rPr>
          <w:rFonts w:ascii="宋体" w:hAnsi="宋体"/>
          <w:b/>
          <w:sz w:val="30"/>
          <w:szCs w:val="20"/>
        </w:rPr>
      </w:pPr>
    </w:p>
    <w:p>
      <w:pPr>
        <w:ind w:firstLine="602"/>
        <w:jc w:val="center"/>
        <w:rPr>
          <w:rFonts w:ascii="宋体" w:hAnsi="宋体"/>
          <w:b/>
          <w:sz w:val="30"/>
          <w:szCs w:val="20"/>
        </w:rPr>
      </w:pPr>
    </w:p>
    <w:p>
      <w:pPr>
        <w:ind w:firstLine="602"/>
        <w:jc w:val="center"/>
        <w:rPr>
          <w:rFonts w:ascii="宋体" w:hAnsi="宋体"/>
          <w:sz w:val="32"/>
        </w:rPr>
      </w:pPr>
      <w:r>
        <w:rPr>
          <w:rFonts w:hint="eastAsia" w:ascii="宋体" w:hAnsi="宋体"/>
          <w:b/>
          <w:sz w:val="30"/>
          <w:szCs w:val="20"/>
        </w:rPr>
        <w:t>4.投标人</w:t>
      </w:r>
      <w:r>
        <w:rPr>
          <w:rFonts w:hint="eastAsia" w:hAnsi="宋体"/>
          <w:b/>
          <w:sz w:val="30"/>
        </w:rPr>
        <w:t>业绩</w:t>
      </w:r>
    </w:p>
    <w:p>
      <w:pPr>
        <w:ind w:firstLine="640"/>
        <w:jc w:val="center"/>
        <w:rPr>
          <w:rFonts w:ascii="宋体" w:hAnsi="宋体"/>
          <w:sz w:val="32"/>
        </w:rPr>
      </w:pPr>
    </w:p>
    <w:p>
      <w:pPr>
        <w:pStyle w:val="19"/>
        <w:ind w:firstLine="560"/>
      </w:pPr>
    </w:p>
    <w:p>
      <w:pPr>
        <w:pStyle w:val="19"/>
        <w:ind w:firstLine="560"/>
      </w:pPr>
    </w:p>
    <w:p>
      <w:pPr>
        <w:pStyle w:val="19"/>
        <w:ind w:firstLine="560"/>
      </w:pPr>
    </w:p>
    <w:p>
      <w:pPr>
        <w:widowControl/>
        <w:ind w:firstLine="602"/>
        <w:jc w:val="left"/>
        <w:rPr>
          <w:rFonts w:ascii="宋体" w:hAnsi="宋体"/>
          <w:b/>
          <w:sz w:val="30"/>
          <w:szCs w:val="20"/>
        </w:rPr>
      </w:pPr>
      <w:r>
        <w:rPr>
          <w:rFonts w:hAnsi="宋体"/>
          <w:b/>
          <w:sz w:val="30"/>
        </w:rPr>
        <w:br w:type="page"/>
      </w:r>
    </w:p>
    <w:p>
      <w:pPr>
        <w:pStyle w:val="118"/>
        <w:spacing w:line="520" w:lineRule="exact"/>
        <w:ind w:firstLine="602"/>
        <w:jc w:val="center"/>
        <w:rPr>
          <w:rFonts w:hAnsi="宋体"/>
          <w:b/>
          <w:sz w:val="30"/>
        </w:rPr>
      </w:pPr>
      <w:r>
        <w:rPr>
          <w:rFonts w:hint="eastAsia" w:hAnsi="宋体"/>
          <w:b/>
          <w:sz w:val="30"/>
        </w:rPr>
        <w:t>5、规划理解</w:t>
      </w:r>
    </w:p>
    <w:p>
      <w:pPr>
        <w:pStyle w:val="118"/>
        <w:spacing w:line="520" w:lineRule="exact"/>
        <w:ind w:firstLine="602"/>
        <w:jc w:val="center"/>
        <w:rPr>
          <w:rFonts w:hAnsi="宋体"/>
          <w:b/>
          <w:sz w:val="30"/>
        </w:rPr>
      </w:pPr>
    </w:p>
    <w:p>
      <w:pPr>
        <w:pStyle w:val="118"/>
        <w:spacing w:line="520" w:lineRule="exact"/>
        <w:ind w:firstLine="602"/>
        <w:jc w:val="center"/>
        <w:rPr>
          <w:rFonts w:hAnsi="宋体"/>
          <w:b/>
          <w:sz w:val="30"/>
        </w:rPr>
      </w:pPr>
    </w:p>
    <w:p>
      <w:pPr>
        <w:pStyle w:val="118"/>
        <w:spacing w:line="520" w:lineRule="exact"/>
        <w:ind w:firstLine="602"/>
        <w:jc w:val="center"/>
        <w:rPr>
          <w:rFonts w:hAnsi="宋体"/>
          <w:b/>
          <w:sz w:val="30"/>
        </w:rPr>
      </w:pPr>
    </w:p>
    <w:p>
      <w:pPr>
        <w:pStyle w:val="118"/>
        <w:spacing w:line="520" w:lineRule="exact"/>
        <w:ind w:firstLine="602"/>
        <w:jc w:val="center"/>
        <w:rPr>
          <w:rFonts w:hAnsi="宋体"/>
          <w:b/>
          <w:sz w:val="30"/>
        </w:rPr>
      </w:pPr>
    </w:p>
    <w:p>
      <w:pPr>
        <w:pStyle w:val="118"/>
        <w:spacing w:line="520" w:lineRule="exact"/>
        <w:ind w:firstLine="602"/>
        <w:jc w:val="center"/>
        <w:rPr>
          <w:rFonts w:hAnsi="宋体"/>
          <w:b/>
          <w:sz w:val="30"/>
        </w:rPr>
      </w:pPr>
    </w:p>
    <w:p>
      <w:pPr>
        <w:pStyle w:val="118"/>
        <w:spacing w:line="520" w:lineRule="exact"/>
        <w:ind w:firstLine="602"/>
        <w:jc w:val="center"/>
        <w:rPr>
          <w:rFonts w:hAnsi="宋体"/>
          <w:b/>
          <w:sz w:val="30"/>
        </w:rPr>
      </w:pPr>
      <w:r>
        <w:rPr>
          <w:rFonts w:hint="eastAsia" w:hAnsi="宋体"/>
          <w:b/>
          <w:sz w:val="30"/>
        </w:rPr>
        <w:t>6、规划方案</w:t>
      </w:r>
    </w:p>
    <w:p>
      <w:pPr>
        <w:spacing w:line="360" w:lineRule="auto"/>
        <w:ind w:firstLine="602"/>
        <w:rPr>
          <w:rFonts w:ascii="宋体" w:hAnsi="宋体"/>
          <w:b/>
          <w:sz w:val="30"/>
        </w:rPr>
      </w:pPr>
    </w:p>
    <w:p>
      <w:pPr>
        <w:ind w:firstLine="640"/>
        <w:jc w:val="center"/>
        <w:rPr>
          <w:rFonts w:ascii="宋体" w:hAnsi="宋体"/>
          <w:sz w:val="32"/>
        </w:rPr>
      </w:pPr>
    </w:p>
    <w:p>
      <w:pPr>
        <w:pStyle w:val="118"/>
        <w:spacing w:line="520" w:lineRule="exact"/>
        <w:ind w:firstLine="602"/>
        <w:jc w:val="center"/>
        <w:rPr>
          <w:rFonts w:hAnsi="宋体"/>
          <w:b/>
          <w:sz w:val="30"/>
        </w:rPr>
      </w:pPr>
    </w:p>
    <w:p>
      <w:pPr>
        <w:pStyle w:val="118"/>
        <w:spacing w:line="520" w:lineRule="exact"/>
        <w:ind w:firstLine="602"/>
        <w:jc w:val="center"/>
        <w:rPr>
          <w:rFonts w:hAnsi="宋体"/>
          <w:b/>
          <w:sz w:val="32"/>
          <w:szCs w:val="32"/>
        </w:rPr>
      </w:pPr>
      <w:r>
        <w:rPr>
          <w:rFonts w:hint="eastAsia" w:hAnsi="宋体"/>
          <w:b/>
          <w:sz w:val="30"/>
        </w:rPr>
        <w:t>7、</w:t>
      </w:r>
      <w:r>
        <w:rPr>
          <w:rFonts w:hint="eastAsia" w:hAnsi="宋体"/>
          <w:b/>
          <w:sz w:val="32"/>
          <w:szCs w:val="32"/>
        </w:rPr>
        <w:t>拟投入人员配备情况表</w:t>
      </w:r>
    </w:p>
    <w:p>
      <w:pPr>
        <w:pStyle w:val="118"/>
        <w:spacing w:line="520" w:lineRule="exact"/>
        <w:jc w:val="left"/>
        <w:rPr>
          <w:rFonts w:hAnsi="宋体"/>
          <w:bCs/>
          <w:sz w:val="24"/>
          <w:szCs w:val="24"/>
        </w:rPr>
      </w:pPr>
      <w:r>
        <w:rPr>
          <w:rFonts w:hint="eastAsia" w:hAnsi="宋体"/>
          <w:bCs/>
          <w:sz w:val="24"/>
          <w:szCs w:val="24"/>
        </w:rPr>
        <w:t>项目编号：</w:t>
      </w:r>
    </w:p>
    <w:p>
      <w:pPr>
        <w:pStyle w:val="118"/>
        <w:spacing w:line="520" w:lineRule="exact"/>
        <w:jc w:val="left"/>
        <w:rPr>
          <w:rFonts w:hAnsi="宋体"/>
          <w:bCs/>
          <w:sz w:val="24"/>
          <w:szCs w:val="24"/>
        </w:rPr>
      </w:pPr>
      <w:r>
        <w:rPr>
          <w:rFonts w:hint="eastAsia" w:hAnsi="宋体"/>
          <w:bCs/>
          <w:sz w:val="24"/>
          <w:szCs w:val="24"/>
        </w:rPr>
        <w:t>项目名称：</w:t>
      </w:r>
    </w:p>
    <w:tbl>
      <w:tblPr>
        <w:tblStyle w:val="53"/>
        <w:tblW w:w="9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707"/>
        <w:gridCol w:w="1113"/>
        <w:gridCol w:w="1524"/>
        <w:gridCol w:w="2268"/>
        <w:gridCol w:w="2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60" w:type="dxa"/>
            <w:vAlign w:val="center"/>
          </w:tcPr>
          <w:p>
            <w:pPr>
              <w:spacing w:line="360" w:lineRule="auto"/>
              <w:jc w:val="center"/>
              <w:rPr>
                <w:sz w:val="24"/>
              </w:rPr>
            </w:pPr>
            <w:r>
              <w:rPr>
                <w:rFonts w:hint="eastAsia"/>
                <w:sz w:val="24"/>
              </w:rPr>
              <w:t>序号</w:t>
            </w:r>
          </w:p>
        </w:tc>
        <w:tc>
          <w:tcPr>
            <w:tcW w:w="1707" w:type="dxa"/>
            <w:vAlign w:val="center"/>
          </w:tcPr>
          <w:p>
            <w:pPr>
              <w:spacing w:line="360" w:lineRule="auto"/>
              <w:jc w:val="center"/>
              <w:rPr>
                <w:sz w:val="24"/>
              </w:rPr>
            </w:pPr>
            <w:r>
              <w:rPr>
                <w:rFonts w:hint="eastAsia"/>
                <w:sz w:val="24"/>
              </w:rPr>
              <w:t>姓名</w:t>
            </w:r>
          </w:p>
        </w:tc>
        <w:tc>
          <w:tcPr>
            <w:tcW w:w="1113" w:type="dxa"/>
            <w:vAlign w:val="center"/>
          </w:tcPr>
          <w:p>
            <w:pPr>
              <w:spacing w:line="360" w:lineRule="auto"/>
              <w:jc w:val="center"/>
              <w:rPr>
                <w:sz w:val="24"/>
              </w:rPr>
            </w:pPr>
            <w:r>
              <w:rPr>
                <w:rFonts w:hint="eastAsia"/>
                <w:sz w:val="24"/>
              </w:rPr>
              <w:t>性别</w:t>
            </w:r>
          </w:p>
        </w:tc>
        <w:tc>
          <w:tcPr>
            <w:tcW w:w="1524" w:type="dxa"/>
            <w:vAlign w:val="center"/>
          </w:tcPr>
          <w:p>
            <w:pPr>
              <w:spacing w:line="360" w:lineRule="auto"/>
              <w:jc w:val="center"/>
              <w:rPr>
                <w:sz w:val="24"/>
              </w:rPr>
            </w:pPr>
            <w:r>
              <w:rPr>
                <w:rFonts w:hint="eastAsia"/>
                <w:sz w:val="24"/>
              </w:rPr>
              <w:t>职务</w:t>
            </w:r>
          </w:p>
        </w:tc>
        <w:tc>
          <w:tcPr>
            <w:tcW w:w="2268" w:type="dxa"/>
            <w:vAlign w:val="center"/>
          </w:tcPr>
          <w:p>
            <w:pPr>
              <w:spacing w:line="360" w:lineRule="auto"/>
              <w:jc w:val="center"/>
              <w:rPr>
                <w:sz w:val="24"/>
              </w:rPr>
            </w:pPr>
            <w:r>
              <w:rPr>
                <w:rFonts w:hint="eastAsia"/>
                <w:sz w:val="24"/>
              </w:rPr>
              <w:t>现场承担工作</w:t>
            </w:r>
          </w:p>
        </w:tc>
        <w:tc>
          <w:tcPr>
            <w:tcW w:w="2526" w:type="dxa"/>
            <w:vAlign w:val="center"/>
          </w:tcPr>
          <w:p>
            <w:pPr>
              <w:jc w:val="center"/>
              <w:rPr>
                <w:sz w:val="24"/>
              </w:rPr>
            </w:pPr>
            <w:r>
              <w:rPr>
                <w:rFonts w:hint="eastAsia"/>
                <w:sz w:val="24"/>
              </w:rPr>
              <w:t>资历及近期承担主要工作情况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60" w:type="dxa"/>
            <w:vAlign w:val="center"/>
          </w:tcPr>
          <w:p>
            <w:pPr>
              <w:spacing w:line="360" w:lineRule="auto"/>
              <w:jc w:val="center"/>
              <w:rPr>
                <w:sz w:val="24"/>
              </w:rPr>
            </w:pPr>
            <w:r>
              <w:rPr>
                <w:rFonts w:hint="eastAsia"/>
                <w:sz w:val="24"/>
              </w:rPr>
              <w:t>1</w:t>
            </w:r>
          </w:p>
        </w:tc>
        <w:tc>
          <w:tcPr>
            <w:tcW w:w="1707" w:type="dxa"/>
            <w:vAlign w:val="center"/>
          </w:tcPr>
          <w:p>
            <w:pPr>
              <w:spacing w:line="360" w:lineRule="auto"/>
              <w:rPr>
                <w:sz w:val="24"/>
              </w:rPr>
            </w:pPr>
          </w:p>
        </w:tc>
        <w:tc>
          <w:tcPr>
            <w:tcW w:w="1113" w:type="dxa"/>
            <w:vAlign w:val="center"/>
          </w:tcPr>
          <w:p>
            <w:pPr>
              <w:spacing w:line="360" w:lineRule="auto"/>
              <w:rPr>
                <w:sz w:val="24"/>
              </w:rPr>
            </w:pPr>
          </w:p>
        </w:tc>
        <w:tc>
          <w:tcPr>
            <w:tcW w:w="1524" w:type="dxa"/>
            <w:vAlign w:val="center"/>
          </w:tcPr>
          <w:p>
            <w:pPr>
              <w:spacing w:line="360" w:lineRule="auto"/>
              <w:jc w:val="center"/>
              <w:rPr>
                <w:sz w:val="24"/>
              </w:rPr>
            </w:pPr>
            <w:r>
              <w:rPr>
                <w:rFonts w:hint="eastAsia" w:ascii="宋体" w:hAnsi="宋体"/>
                <w:sz w:val="24"/>
              </w:rPr>
              <w:t>项目负责人</w:t>
            </w:r>
          </w:p>
        </w:tc>
        <w:tc>
          <w:tcPr>
            <w:tcW w:w="2268" w:type="dxa"/>
            <w:vAlign w:val="center"/>
          </w:tcPr>
          <w:p>
            <w:pPr>
              <w:spacing w:line="360" w:lineRule="auto"/>
              <w:jc w:val="center"/>
              <w:rPr>
                <w:sz w:val="24"/>
              </w:rPr>
            </w:pPr>
          </w:p>
        </w:tc>
        <w:tc>
          <w:tcPr>
            <w:tcW w:w="2526" w:type="dxa"/>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760" w:type="dxa"/>
            <w:vAlign w:val="center"/>
          </w:tcPr>
          <w:p>
            <w:pPr>
              <w:spacing w:line="360" w:lineRule="auto"/>
              <w:jc w:val="center"/>
              <w:rPr>
                <w:sz w:val="24"/>
              </w:rPr>
            </w:pPr>
            <w:r>
              <w:rPr>
                <w:rFonts w:hint="eastAsia"/>
                <w:sz w:val="24"/>
              </w:rPr>
              <w:t>2</w:t>
            </w:r>
          </w:p>
        </w:tc>
        <w:tc>
          <w:tcPr>
            <w:tcW w:w="1707" w:type="dxa"/>
            <w:vAlign w:val="center"/>
          </w:tcPr>
          <w:p>
            <w:pPr>
              <w:spacing w:line="360" w:lineRule="auto"/>
              <w:rPr>
                <w:sz w:val="24"/>
              </w:rPr>
            </w:pPr>
          </w:p>
        </w:tc>
        <w:tc>
          <w:tcPr>
            <w:tcW w:w="1113" w:type="dxa"/>
            <w:vAlign w:val="center"/>
          </w:tcPr>
          <w:p>
            <w:pPr>
              <w:spacing w:line="360" w:lineRule="auto"/>
              <w:rPr>
                <w:sz w:val="24"/>
              </w:rPr>
            </w:pPr>
          </w:p>
        </w:tc>
        <w:tc>
          <w:tcPr>
            <w:tcW w:w="1524" w:type="dxa"/>
            <w:vAlign w:val="center"/>
          </w:tcPr>
          <w:p>
            <w:pPr>
              <w:spacing w:line="360" w:lineRule="auto"/>
              <w:rPr>
                <w:sz w:val="24"/>
              </w:rPr>
            </w:pPr>
          </w:p>
        </w:tc>
        <w:tc>
          <w:tcPr>
            <w:tcW w:w="2268" w:type="dxa"/>
            <w:vAlign w:val="center"/>
          </w:tcPr>
          <w:p>
            <w:pPr>
              <w:spacing w:line="360" w:lineRule="auto"/>
              <w:rPr>
                <w:sz w:val="24"/>
              </w:rPr>
            </w:pPr>
          </w:p>
        </w:tc>
        <w:tc>
          <w:tcPr>
            <w:tcW w:w="2526" w:type="dxa"/>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760" w:type="dxa"/>
            <w:vAlign w:val="center"/>
          </w:tcPr>
          <w:p>
            <w:pPr>
              <w:spacing w:line="360" w:lineRule="auto"/>
              <w:jc w:val="center"/>
              <w:rPr>
                <w:sz w:val="24"/>
              </w:rPr>
            </w:pPr>
            <w:r>
              <w:rPr>
                <w:rFonts w:hint="eastAsia"/>
                <w:sz w:val="24"/>
              </w:rPr>
              <w:t>3</w:t>
            </w:r>
          </w:p>
        </w:tc>
        <w:tc>
          <w:tcPr>
            <w:tcW w:w="1707" w:type="dxa"/>
            <w:vAlign w:val="center"/>
          </w:tcPr>
          <w:p>
            <w:pPr>
              <w:spacing w:line="360" w:lineRule="auto"/>
              <w:rPr>
                <w:sz w:val="24"/>
              </w:rPr>
            </w:pPr>
          </w:p>
        </w:tc>
        <w:tc>
          <w:tcPr>
            <w:tcW w:w="1113" w:type="dxa"/>
            <w:vAlign w:val="center"/>
          </w:tcPr>
          <w:p>
            <w:pPr>
              <w:spacing w:line="360" w:lineRule="auto"/>
              <w:rPr>
                <w:sz w:val="24"/>
              </w:rPr>
            </w:pPr>
          </w:p>
        </w:tc>
        <w:tc>
          <w:tcPr>
            <w:tcW w:w="1524" w:type="dxa"/>
            <w:vAlign w:val="center"/>
          </w:tcPr>
          <w:p>
            <w:pPr>
              <w:spacing w:line="360" w:lineRule="auto"/>
              <w:rPr>
                <w:sz w:val="24"/>
              </w:rPr>
            </w:pPr>
          </w:p>
        </w:tc>
        <w:tc>
          <w:tcPr>
            <w:tcW w:w="2268" w:type="dxa"/>
            <w:vAlign w:val="center"/>
          </w:tcPr>
          <w:p>
            <w:pPr>
              <w:spacing w:line="360" w:lineRule="auto"/>
              <w:rPr>
                <w:sz w:val="24"/>
              </w:rPr>
            </w:pPr>
          </w:p>
        </w:tc>
        <w:tc>
          <w:tcPr>
            <w:tcW w:w="2526" w:type="dxa"/>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760" w:type="dxa"/>
            <w:vAlign w:val="center"/>
          </w:tcPr>
          <w:p>
            <w:pPr>
              <w:spacing w:line="360" w:lineRule="auto"/>
              <w:jc w:val="center"/>
              <w:rPr>
                <w:sz w:val="24"/>
              </w:rPr>
            </w:pPr>
            <w:r>
              <w:rPr>
                <w:rFonts w:hint="eastAsia"/>
                <w:sz w:val="24"/>
              </w:rPr>
              <w:t>4</w:t>
            </w:r>
          </w:p>
        </w:tc>
        <w:tc>
          <w:tcPr>
            <w:tcW w:w="1707" w:type="dxa"/>
            <w:vAlign w:val="center"/>
          </w:tcPr>
          <w:p>
            <w:pPr>
              <w:spacing w:line="360" w:lineRule="auto"/>
              <w:rPr>
                <w:sz w:val="24"/>
              </w:rPr>
            </w:pPr>
          </w:p>
        </w:tc>
        <w:tc>
          <w:tcPr>
            <w:tcW w:w="1113" w:type="dxa"/>
            <w:vAlign w:val="center"/>
          </w:tcPr>
          <w:p>
            <w:pPr>
              <w:spacing w:line="360" w:lineRule="auto"/>
              <w:rPr>
                <w:sz w:val="24"/>
              </w:rPr>
            </w:pPr>
          </w:p>
        </w:tc>
        <w:tc>
          <w:tcPr>
            <w:tcW w:w="1524" w:type="dxa"/>
            <w:vAlign w:val="center"/>
          </w:tcPr>
          <w:p>
            <w:pPr>
              <w:spacing w:line="360" w:lineRule="auto"/>
              <w:rPr>
                <w:sz w:val="24"/>
              </w:rPr>
            </w:pPr>
          </w:p>
        </w:tc>
        <w:tc>
          <w:tcPr>
            <w:tcW w:w="2268" w:type="dxa"/>
            <w:vAlign w:val="center"/>
          </w:tcPr>
          <w:p>
            <w:pPr>
              <w:spacing w:line="360" w:lineRule="auto"/>
              <w:rPr>
                <w:sz w:val="24"/>
              </w:rPr>
            </w:pPr>
          </w:p>
        </w:tc>
        <w:tc>
          <w:tcPr>
            <w:tcW w:w="2526" w:type="dxa"/>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760" w:type="dxa"/>
            <w:vAlign w:val="center"/>
          </w:tcPr>
          <w:p>
            <w:pPr>
              <w:spacing w:line="360" w:lineRule="auto"/>
              <w:jc w:val="center"/>
              <w:rPr>
                <w:sz w:val="24"/>
              </w:rPr>
            </w:pPr>
            <w:r>
              <w:rPr>
                <w:rFonts w:hint="eastAsia"/>
                <w:sz w:val="24"/>
              </w:rPr>
              <w:t>5</w:t>
            </w:r>
          </w:p>
        </w:tc>
        <w:tc>
          <w:tcPr>
            <w:tcW w:w="1707" w:type="dxa"/>
            <w:vAlign w:val="center"/>
          </w:tcPr>
          <w:p>
            <w:pPr>
              <w:spacing w:line="360" w:lineRule="auto"/>
              <w:rPr>
                <w:sz w:val="24"/>
              </w:rPr>
            </w:pPr>
          </w:p>
        </w:tc>
        <w:tc>
          <w:tcPr>
            <w:tcW w:w="1113" w:type="dxa"/>
            <w:vAlign w:val="center"/>
          </w:tcPr>
          <w:p>
            <w:pPr>
              <w:spacing w:line="360" w:lineRule="auto"/>
              <w:rPr>
                <w:sz w:val="24"/>
              </w:rPr>
            </w:pPr>
          </w:p>
        </w:tc>
        <w:tc>
          <w:tcPr>
            <w:tcW w:w="1524" w:type="dxa"/>
            <w:vAlign w:val="center"/>
          </w:tcPr>
          <w:p>
            <w:pPr>
              <w:spacing w:line="360" w:lineRule="auto"/>
              <w:rPr>
                <w:sz w:val="24"/>
              </w:rPr>
            </w:pPr>
          </w:p>
        </w:tc>
        <w:tc>
          <w:tcPr>
            <w:tcW w:w="2268" w:type="dxa"/>
            <w:vAlign w:val="center"/>
          </w:tcPr>
          <w:p>
            <w:pPr>
              <w:spacing w:line="360" w:lineRule="auto"/>
              <w:rPr>
                <w:sz w:val="24"/>
              </w:rPr>
            </w:pPr>
          </w:p>
        </w:tc>
        <w:tc>
          <w:tcPr>
            <w:tcW w:w="2526" w:type="dxa"/>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760" w:type="dxa"/>
            <w:vAlign w:val="center"/>
          </w:tcPr>
          <w:p>
            <w:pPr>
              <w:spacing w:line="360" w:lineRule="auto"/>
              <w:jc w:val="center"/>
              <w:rPr>
                <w:sz w:val="24"/>
              </w:rPr>
            </w:pPr>
            <w:r>
              <w:rPr>
                <w:sz w:val="24"/>
              </w:rPr>
              <w:t>……</w:t>
            </w:r>
          </w:p>
        </w:tc>
        <w:tc>
          <w:tcPr>
            <w:tcW w:w="1707" w:type="dxa"/>
            <w:vAlign w:val="center"/>
          </w:tcPr>
          <w:p>
            <w:pPr>
              <w:spacing w:line="360" w:lineRule="auto"/>
              <w:rPr>
                <w:sz w:val="24"/>
              </w:rPr>
            </w:pPr>
          </w:p>
        </w:tc>
        <w:tc>
          <w:tcPr>
            <w:tcW w:w="1113" w:type="dxa"/>
            <w:vAlign w:val="center"/>
          </w:tcPr>
          <w:p>
            <w:pPr>
              <w:spacing w:line="360" w:lineRule="auto"/>
              <w:rPr>
                <w:sz w:val="24"/>
              </w:rPr>
            </w:pPr>
          </w:p>
        </w:tc>
        <w:tc>
          <w:tcPr>
            <w:tcW w:w="1524" w:type="dxa"/>
            <w:vAlign w:val="center"/>
          </w:tcPr>
          <w:p>
            <w:pPr>
              <w:spacing w:line="360" w:lineRule="auto"/>
              <w:rPr>
                <w:sz w:val="24"/>
              </w:rPr>
            </w:pPr>
          </w:p>
        </w:tc>
        <w:tc>
          <w:tcPr>
            <w:tcW w:w="2268" w:type="dxa"/>
            <w:vAlign w:val="center"/>
          </w:tcPr>
          <w:p>
            <w:pPr>
              <w:spacing w:line="360" w:lineRule="auto"/>
              <w:rPr>
                <w:sz w:val="24"/>
              </w:rPr>
            </w:pPr>
          </w:p>
        </w:tc>
        <w:tc>
          <w:tcPr>
            <w:tcW w:w="2526" w:type="dxa"/>
            <w:vAlign w:val="center"/>
          </w:tcPr>
          <w:p>
            <w:pPr>
              <w:spacing w:line="360" w:lineRule="auto"/>
              <w:rPr>
                <w:sz w:val="24"/>
              </w:rPr>
            </w:pPr>
          </w:p>
        </w:tc>
      </w:tr>
    </w:tbl>
    <w:p>
      <w:pPr>
        <w:tabs>
          <w:tab w:val="left" w:pos="2355"/>
          <w:tab w:val="center" w:pos="4513"/>
        </w:tabs>
        <w:spacing w:line="360" w:lineRule="auto"/>
        <w:jc w:val="center"/>
        <w:rPr>
          <w:rFonts w:ascii="宋体" w:hAnsi="宋体" w:cs="宋体"/>
          <w:sz w:val="24"/>
        </w:rPr>
      </w:pPr>
    </w:p>
    <w:p>
      <w:pPr>
        <w:pStyle w:val="27"/>
        <w:spacing w:line="360" w:lineRule="auto"/>
        <w:ind w:firstLine="560"/>
        <w:rPr>
          <w:rFonts w:hAnsi="宋体"/>
          <w:spacing w:val="20"/>
          <w:sz w:val="24"/>
        </w:rPr>
      </w:pPr>
      <w:r>
        <w:rPr>
          <w:rFonts w:hint="eastAsia" w:hAnsi="宋体"/>
          <w:spacing w:val="20"/>
          <w:sz w:val="24"/>
        </w:rPr>
        <w:t>注：</w:t>
      </w:r>
    </w:p>
    <w:p>
      <w:pPr>
        <w:pStyle w:val="27"/>
        <w:spacing w:before="120" w:after="120" w:line="360" w:lineRule="auto"/>
        <w:ind w:firstLine="560"/>
        <w:rPr>
          <w:rFonts w:hAnsi="宋体"/>
          <w:spacing w:val="20"/>
          <w:sz w:val="24"/>
        </w:rPr>
      </w:pPr>
      <w:r>
        <w:rPr>
          <w:rFonts w:hint="eastAsia" w:hAnsi="宋体"/>
          <w:spacing w:val="20"/>
          <w:sz w:val="24"/>
        </w:rPr>
        <w:t>1、证书、相关经验证明材料扫描件和社保证明附后。</w:t>
      </w:r>
    </w:p>
    <w:p>
      <w:pPr>
        <w:tabs>
          <w:tab w:val="left" w:pos="2355"/>
          <w:tab w:val="center" w:pos="4513"/>
        </w:tabs>
        <w:spacing w:line="360" w:lineRule="auto"/>
        <w:jc w:val="center"/>
        <w:rPr>
          <w:rFonts w:ascii="宋体" w:hAnsi="宋体" w:cs="宋体"/>
          <w:sz w:val="24"/>
        </w:rPr>
      </w:pPr>
    </w:p>
    <w:p>
      <w:pPr>
        <w:pStyle w:val="118"/>
        <w:spacing w:line="520" w:lineRule="exact"/>
        <w:ind w:firstLine="602"/>
        <w:jc w:val="center"/>
        <w:rPr>
          <w:rFonts w:hAnsi="宋体"/>
          <w:b/>
          <w:sz w:val="30"/>
        </w:rPr>
      </w:pPr>
    </w:p>
    <w:p>
      <w:pPr>
        <w:pStyle w:val="118"/>
        <w:spacing w:line="520" w:lineRule="exact"/>
        <w:ind w:firstLine="643"/>
        <w:jc w:val="center"/>
        <w:rPr>
          <w:rFonts w:hAnsi="宋体"/>
          <w:b/>
          <w:sz w:val="32"/>
        </w:rPr>
      </w:pPr>
      <w:r>
        <w:rPr>
          <w:rFonts w:hint="eastAsia" w:hAnsi="宋体"/>
          <w:b/>
          <w:sz w:val="32"/>
        </w:rPr>
        <w:t>8、创新点与合理化建议</w:t>
      </w:r>
    </w:p>
    <w:p>
      <w:pPr>
        <w:pStyle w:val="118"/>
        <w:spacing w:line="520" w:lineRule="exact"/>
        <w:ind w:firstLine="643"/>
        <w:jc w:val="center"/>
        <w:rPr>
          <w:rFonts w:hAnsi="宋体"/>
          <w:b/>
          <w:sz w:val="32"/>
        </w:rPr>
      </w:pPr>
    </w:p>
    <w:p>
      <w:pPr>
        <w:pStyle w:val="118"/>
        <w:spacing w:line="520" w:lineRule="exact"/>
        <w:ind w:firstLine="643"/>
        <w:jc w:val="center"/>
        <w:rPr>
          <w:rFonts w:hAnsi="宋体"/>
          <w:b/>
          <w:sz w:val="32"/>
        </w:rPr>
      </w:pPr>
    </w:p>
    <w:p>
      <w:pPr>
        <w:pStyle w:val="118"/>
        <w:spacing w:line="520" w:lineRule="exact"/>
        <w:ind w:firstLine="643"/>
        <w:jc w:val="center"/>
        <w:rPr>
          <w:rFonts w:hAnsi="宋体"/>
          <w:b/>
          <w:sz w:val="32"/>
        </w:rPr>
      </w:pPr>
    </w:p>
    <w:p>
      <w:pPr>
        <w:pStyle w:val="118"/>
        <w:spacing w:line="520" w:lineRule="exact"/>
        <w:ind w:firstLine="643"/>
        <w:jc w:val="center"/>
        <w:rPr>
          <w:rFonts w:hAnsi="宋体"/>
          <w:b/>
          <w:sz w:val="32"/>
        </w:rPr>
      </w:pPr>
    </w:p>
    <w:p>
      <w:pPr>
        <w:pStyle w:val="118"/>
        <w:spacing w:line="520" w:lineRule="exact"/>
        <w:ind w:left="643" w:firstLine="643"/>
        <w:jc w:val="center"/>
        <w:rPr>
          <w:rFonts w:hAnsi="宋体"/>
          <w:b/>
          <w:sz w:val="32"/>
        </w:rPr>
      </w:pPr>
      <w:r>
        <w:rPr>
          <w:rFonts w:hint="eastAsia" w:hAnsi="宋体"/>
          <w:b/>
          <w:sz w:val="32"/>
        </w:rPr>
        <w:t>9、服务质量保障措施</w:t>
      </w:r>
    </w:p>
    <w:p>
      <w:pPr>
        <w:pStyle w:val="118"/>
        <w:spacing w:line="520" w:lineRule="exact"/>
        <w:ind w:firstLine="643"/>
        <w:jc w:val="center"/>
        <w:rPr>
          <w:rFonts w:hAnsi="宋体"/>
          <w:b/>
          <w:sz w:val="32"/>
        </w:rPr>
      </w:pPr>
    </w:p>
    <w:p>
      <w:pPr>
        <w:pStyle w:val="118"/>
        <w:spacing w:line="520" w:lineRule="exact"/>
        <w:ind w:firstLine="643"/>
        <w:jc w:val="center"/>
        <w:rPr>
          <w:rFonts w:hAnsi="宋体"/>
          <w:b/>
          <w:sz w:val="32"/>
        </w:rPr>
      </w:pPr>
    </w:p>
    <w:p>
      <w:pPr>
        <w:pStyle w:val="118"/>
        <w:spacing w:line="520" w:lineRule="exact"/>
        <w:ind w:firstLine="643"/>
        <w:jc w:val="center"/>
        <w:rPr>
          <w:rFonts w:hAnsi="宋体"/>
          <w:b/>
          <w:sz w:val="32"/>
        </w:rPr>
      </w:pPr>
    </w:p>
    <w:p>
      <w:pPr>
        <w:pStyle w:val="118"/>
        <w:spacing w:line="520" w:lineRule="exact"/>
        <w:ind w:firstLine="643"/>
        <w:jc w:val="center"/>
        <w:rPr>
          <w:rFonts w:hAnsi="宋体"/>
          <w:b/>
          <w:sz w:val="32"/>
        </w:rPr>
      </w:pPr>
    </w:p>
    <w:p>
      <w:pPr>
        <w:pStyle w:val="118"/>
        <w:spacing w:line="520" w:lineRule="exact"/>
        <w:ind w:firstLine="643"/>
        <w:jc w:val="center"/>
        <w:rPr>
          <w:rFonts w:hAnsi="宋体"/>
          <w:b/>
          <w:sz w:val="32"/>
        </w:rPr>
      </w:pPr>
      <w:r>
        <w:rPr>
          <w:rFonts w:hint="eastAsia" w:hAnsi="宋体"/>
          <w:b/>
          <w:sz w:val="32"/>
        </w:rPr>
        <w:t>10、其  他</w:t>
      </w:r>
    </w:p>
    <w:p>
      <w:pPr>
        <w:pStyle w:val="118"/>
        <w:spacing w:line="520" w:lineRule="exact"/>
        <w:ind w:firstLine="643"/>
        <w:jc w:val="center"/>
        <w:rPr>
          <w:rFonts w:hAnsi="宋体"/>
          <w:b/>
          <w:sz w:val="32"/>
        </w:rPr>
      </w:pPr>
    </w:p>
    <w:p>
      <w:pPr>
        <w:pStyle w:val="118"/>
        <w:spacing w:line="520" w:lineRule="exact"/>
        <w:ind w:firstLine="643"/>
        <w:jc w:val="center"/>
        <w:rPr>
          <w:rFonts w:hAnsi="宋体"/>
          <w:b/>
          <w:sz w:val="32"/>
        </w:rPr>
      </w:pPr>
    </w:p>
    <w:p>
      <w:pPr>
        <w:pStyle w:val="118"/>
        <w:spacing w:line="520" w:lineRule="exact"/>
        <w:ind w:firstLine="643"/>
        <w:jc w:val="center"/>
        <w:rPr>
          <w:rFonts w:hAnsi="宋体"/>
          <w:b/>
          <w:sz w:val="32"/>
        </w:rPr>
      </w:pPr>
    </w:p>
    <w:p>
      <w:pPr>
        <w:pStyle w:val="135"/>
        <w:spacing w:line="360" w:lineRule="auto"/>
        <w:ind w:firstLine="480" w:firstLineChars="200"/>
        <w:rPr>
          <w:rFonts w:hAnsi="宋体"/>
          <w:sz w:val="24"/>
          <w:szCs w:val="21"/>
        </w:rPr>
      </w:pPr>
      <w:r>
        <w:rPr>
          <w:rFonts w:hint="eastAsia" w:hAnsi="宋体"/>
          <w:sz w:val="24"/>
          <w:szCs w:val="21"/>
        </w:rPr>
        <w:t>除上述内容外，投标人还可以提供如下证明材料：</w:t>
      </w:r>
    </w:p>
    <w:p>
      <w:pPr>
        <w:pStyle w:val="135"/>
        <w:spacing w:line="360" w:lineRule="auto"/>
        <w:ind w:firstLine="840" w:firstLineChars="350"/>
        <w:rPr>
          <w:rFonts w:hAnsi="宋体"/>
          <w:sz w:val="24"/>
          <w:szCs w:val="21"/>
        </w:rPr>
      </w:pPr>
      <w:r>
        <w:rPr>
          <w:rFonts w:hint="eastAsia" w:hAnsi="宋体"/>
          <w:sz w:val="24"/>
          <w:szCs w:val="21"/>
        </w:rPr>
        <w:t>（1）投标人认为有必要提供和评分办法中要求提供的其他资料；</w:t>
      </w:r>
    </w:p>
    <w:p>
      <w:pPr>
        <w:pStyle w:val="135"/>
        <w:spacing w:line="360" w:lineRule="auto"/>
        <w:ind w:firstLine="840" w:firstLineChars="350"/>
        <w:rPr>
          <w:rFonts w:hAnsi="宋体"/>
          <w:sz w:val="24"/>
          <w:szCs w:val="21"/>
        </w:rPr>
      </w:pPr>
      <w:r>
        <w:rPr>
          <w:rFonts w:hint="eastAsia" w:hAnsi="宋体"/>
          <w:sz w:val="24"/>
          <w:szCs w:val="21"/>
        </w:rPr>
        <w:t>（2）投标人认为可以证明其能力的其他材料，</w:t>
      </w:r>
      <w:r>
        <w:rPr>
          <w:rFonts w:hint="eastAsia" w:hAnsi="宋体"/>
          <w:b/>
          <w:sz w:val="24"/>
          <w:szCs w:val="21"/>
        </w:rPr>
        <w:t>但不得出现报价</w:t>
      </w:r>
      <w:r>
        <w:rPr>
          <w:rFonts w:hint="eastAsia" w:hAnsi="宋体"/>
          <w:sz w:val="24"/>
          <w:szCs w:val="21"/>
        </w:rPr>
        <w:t>；</w:t>
      </w:r>
    </w:p>
    <w:p>
      <w:pPr>
        <w:pStyle w:val="135"/>
        <w:spacing w:line="360" w:lineRule="auto"/>
        <w:ind w:firstLine="840" w:firstLineChars="350"/>
        <w:rPr>
          <w:rFonts w:hAnsi="宋体"/>
          <w:b/>
          <w:sz w:val="24"/>
        </w:rPr>
      </w:pPr>
      <w:r>
        <w:rPr>
          <w:rFonts w:hint="eastAsia" w:hAnsi="宋体"/>
          <w:sz w:val="24"/>
          <w:szCs w:val="21"/>
        </w:rPr>
        <w:t>（3）若是联合体投标，还需提供联合体成员单位的相关资料。</w:t>
      </w:r>
    </w:p>
    <w:p>
      <w:pPr>
        <w:spacing w:line="360" w:lineRule="auto"/>
        <w:ind w:firstLine="482"/>
        <w:rPr>
          <w:rFonts w:ascii="宋体" w:hAnsi="宋体"/>
          <w:b/>
          <w:sz w:val="24"/>
        </w:rPr>
      </w:pPr>
      <w:r>
        <w:rPr>
          <w:rFonts w:ascii="宋体" w:hAnsi="宋体"/>
          <w:b/>
          <w:sz w:val="24"/>
        </w:rPr>
        <w:br w:type="page"/>
      </w:r>
    </w:p>
    <w:p>
      <w:pPr>
        <w:spacing w:line="360" w:lineRule="auto"/>
        <w:ind w:firstLine="482"/>
        <w:rPr>
          <w:rFonts w:ascii="宋体" w:hAnsi="宋体"/>
          <w:b/>
          <w:sz w:val="24"/>
        </w:rPr>
      </w:pPr>
    </w:p>
    <w:p>
      <w:pPr>
        <w:spacing w:line="360" w:lineRule="auto"/>
        <w:ind w:firstLine="482"/>
        <w:rPr>
          <w:rFonts w:ascii="宋体" w:hAnsi="宋体"/>
          <w:b/>
          <w:sz w:val="24"/>
        </w:rPr>
      </w:pPr>
    </w:p>
    <w:bookmarkEnd w:id="116"/>
    <w:p>
      <w:pPr>
        <w:pStyle w:val="4"/>
        <w:ind w:firstLine="0" w:firstLineChars="0"/>
        <w:jc w:val="center"/>
        <w:rPr>
          <w:rFonts w:ascii="宋体" w:hAnsi="宋体" w:eastAsia="宋体"/>
          <w:b w:val="0"/>
          <w:bCs w:val="0"/>
        </w:rPr>
      </w:pPr>
      <w:bookmarkStart w:id="117" w:name="_Toc69635465"/>
      <w:bookmarkStart w:id="118" w:name="_Toc25994"/>
      <w:r>
        <w:rPr>
          <w:rFonts w:hint="eastAsia" w:ascii="宋体" w:hAnsi="宋体" w:eastAsia="宋体"/>
          <w:b w:val="0"/>
          <w:bCs w:val="0"/>
        </w:rPr>
        <w:t>三   报价文件格式</w:t>
      </w:r>
      <w:bookmarkEnd w:id="117"/>
      <w:bookmarkEnd w:id="118"/>
    </w:p>
    <w:p>
      <w:pPr>
        <w:pStyle w:val="5"/>
        <w:ind w:firstLine="480"/>
        <w:jc w:val="center"/>
      </w:pPr>
    </w:p>
    <w:p>
      <w:pPr>
        <w:spacing w:line="360" w:lineRule="auto"/>
        <w:ind w:firstLine="480"/>
        <w:jc w:val="center"/>
        <w:rPr>
          <w:rFonts w:ascii="宋体" w:hAnsi="宋体"/>
        </w:rPr>
      </w:pPr>
      <w:r>
        <w:rPr>
          <w:rFonts w:ascii="宋体" w:hAnsi="宋体"/>
        </w:rPr>
        <w:br w:type="page"/>
      </w:r>
    </w:p>
    <w:p>
      <w:pPr>
        <w:spacing w:line="360" w:lineRule="auto"/>
        <w:ind w:firstLine="600"/>
        <w:jc w:val="center"/>
        <w:rPr>
          <w:rFonts w:ascii="宋体" w:hAnsi="宋体"/>
          <w:sz w:val="30"/>
        </w:rPr>
      </w:pPr>
    </w:p>
    <w:p>
      <w:pPr>
        <w:spacing w:line="360" w:lineRule="auto"/>
        <w:ind w:firstLine="720"/>
        <w:jc w:val="center"/>
        <w:rPr>
          <w:rFonts w:ascii="宋体" w:hAnsi="宋体"/>
          <w:sz w:val="32"/>
        </w:rPr>
      </w:pPr>
      <w:r>
        <w:rPr>
          <w:rFonts w:hint="eastAsia" w:ascii="宋体" w:hAnsi="宋体"/>
          <w:sz w:val="36"/>
        </w:rPr>
        <w:t>报价文件封面</w:t>
      </w:r>
    </w:p>
    <w:p>
      <w:pPr>
        <w:pStyle w:val="5"/>
        <w:ind w:firstLine="1497" w:firstLineChars="416"/>
        <w:rPr>
          <w:rFonts w:ascii="宋体" w:hAnsi="宋体"/>
          <w:sz w:val="36"/>
          <w:szCs w:val="32"/>
        </w:rPr>
      </w:pPr>
    </w:p>
    <w:p>
      <w:pPr>
        <w:pStyle w:val="5"/>
        <w:ind w:firstLine="1497" w:firstLineChars="416"/>
        <w:rPr>
          <w:rFonts w:ascii="宋体" w:hAnsi="宋体"/>
          <w:sz w:val="36"/>
          <w:szCs w:val="32"/>
        </w:rPr>
      </w:pPr>
    </w:p>
    <w:p>
      <w:pPr>
        <w:pStyle w:val="5"/>
        <w:ind w:firstLine="1497" w:firstLineChars="416"/>
        <w:rPr>
          <w:rFonts w:ascii="宋体" w:hAnsi="宋体"/>
          <w:sz w:val="36"/>
          <w:szCs w:val="32"/>
        </w:rPr>
      </w:pPr>
    </w:p>
    <w:p>
      <w:pPr>
        <w:pStyle w:val="5"/>
        <w:ind w:firstLine="1497" w:firstLineChars="416"/>
        <w:rPr>
          <w:rFonts w:ascii="宋体" w:hAnsi="宋体"/>
          <w:sz w:val="36"/>
          <w:szCs w:val="32"/>
        </w:rPr>
      </w:pPr>
      <w:r>
        <w:rPr>
          <w:rFonts w:hint="eastAsia" w:ascii="宋体" w:hAnsi="宋体"/>
          <w:sz w:val="36"/>
          <w:szCs w:val="32"/>
        </w:rPr>
        <w:t>项目编号</w:t>
      </w:r>
      <w:r>
        <w:rPr>
          <w:rFonts w:ascii="宋体" w:hAnsi="宋体"/>
          <w:sz w:val="36"/>
          <w:szCs w:val="32"/>
        </w:rPr>
        <w:t>：</w:t>
      </w:r>
    </w:p>
    <w:p>
      <w:pPr>
        <w:pStyle w:val="5"/>
        <w:ind w:firstLine="1497" w:firstLineChars="416"/>
        <w:rPr>
          <w:rFonts w:ascii="宋体" w:hAnsi="宋体"/>
          <w:sz w:val="36"/>
          <w:szCs w:val="32"/>
        </w:rPr>
      </w:pPr>
    </w:p>
    <w:p>
      <w:pPr>
        <w:pStyle w:val="5"/>
        <w:ind w:firstLine="1497" w:firstLineChars="416"/>
        <w:rPr>
          <w:rFonts w:ascii="宋体" w:hAnsi="宋体"/>
          <w:sz w:val="36"/>
          <w:szCs w:val="32"/>
        </w:rPr>
      </w:pPr>
    </w:p>
    <w:p>
      <w:pPr>
        <w:pStyle w:val="5"/>
        <w:ind w:firstLine="1497" w:firstLineChars="416"/>
        <w:rPr>
          <w:rFonts w:ascii="宋体" w:hAnsi="宋体"/>
          <w:sz w:val="36"/>
          <w:szCs w:val="32"/>
        </w:rPr>
      </w:pPr>
    </w:p>
    <w:p>
      <w:pPr>
        <w:pStyle w:val="5"/>
        <w:ind w:firstLine="1497" w:firstLineChars="416"/>
        <w:rPr>
          <w:rFonts w:ascii="宋体" w:hAnsi="宋体"/>
          <w:sz w:val="36"/>
          <w:szCs w:val="32"/>
        </w:rPr>
      </w:pPr>
      <w:r>
        <w:rPr>
          <w:rFonts w:ascii="宋体" w:hAnsi="宋体"/>
          <w:sz w:val="36"/>
          <w:szCs w:val="32"/>
        </w:rPr>
        <w:t>项目名称</w:t>
      </w:r>
      <w:r>
        <w:rPr>
          <w:rFonts w:hint="eastAsia" w:ascii="宋体" w:hAnsi="宋体"/>
          <w:sz w:val="36"/>
          <w:szCs w:val="32"/>
        </w:rPr>
        <w:t xml:space="preserve">：                 </w:t>
      </w:r>
    </w:p>
    <w:p>
      <w:pPr>
        <w:pStyle w:val="5"/>
        <w:ind w:firstLine="1497" w:firstLineChars="416"/>
        <w:rPr>
          <w:rFonts w:ascii="宋体" w:hAnsi="宋体"/>
          <w:sz w:val="36"/>
          <w:szCs w:val="32"/>
        </w:rPr>
      </w:pPr>
    </w:p>
    <w:p>
      <w:pPr>
        <w:pStyle w:val="5"/>
        <w:ind w:firstLine="1497" w:firstLineChars="416"/>
        <w:rPr>
          <w:rFonts w:ascii="宋体" w:hAnsi="宋体"/>
          <w:sz w:val="36"/>
          <w:szCs w:val="32"/>
        </w:rPr>
      </w:pPr>
    </w:p>
    <w:p>
      <w:pPr>
        <w:pStyle w:val="5"/>
        <w:ind w:firstLine="1497" w:firstLineChars="416"/>
        <w:rPr>
          <w:rFonts w:ascii="宋体" w:hAnsi="宋体"/>
          <w:sz w:val="36"/>
          <w:szCs w:val="32"/>
        </w:rPr>
      </w:pPr>
    </w:p>
    <w:p>
      <w:pPr>
        <w:pStyle w:val="5"/>
        <w:ind w:firstLine="1497" w:firstLineChars="416"/>
        <w:rPr>
          <w:rFonts w:ascii="宋体" w:hAnsi="宋体"/>
          <w:sz w:val="36"/>
          <w:szCs w:val="32"/>
        </w:rPr>
      </w:pPr>
      <w:r>
        <w:rPr>
          <w:rFonts w:ascii="宋体" w:hAnsi="宋体"/>
          <w:sz w:val="36"/>
          <w:szCs w:val="32"/>
        </w:rPr>
        <w:t>投标文件名称：</w:t>
      </w:r>
      <w:r>
        <w:rPr>
          <w:rFonts w:hint="eastAsia" w:ascii="宋体" w:hAnsi="宋体"/>
          <w:sz w:val="36"/>
        </w:rPr>
        <w:t>报价文件</w:t>
      </w:r>
    </w:p>
    <w:p>
      <w:pPr>
        <w:pStyle w:val="5"/>
        <w:ind w:firstLine="1497" w:firstLineChars="416"/>
        <w:rPr>
          <w:rFonts w:ascii="宋体" w:hAnsi="宋体"/>
          <w:sz w:val="36"/>
          <w:szCs w:val="32"/>
        </w:rPr>
      </w:pPr>
    </w:p>
    <w:p>
      <w:pPr>
        <w:pStyle w:val="5"/>
        <w:ind w:firstLine="1497" w:firstLineChars="416"/>
        <w:rPr>
          <w:rFonts w:ascii="宋体" w:hAnsi="宋体"/>
          <w:sz w:val="36"/>
          <w:szCs w:val="32"/>
        </w:rPr>
      </w:pPr>
    </w:p>
    <w:p>
      <w:pPr>
        <w:pStyle w:val="5"/>
        <w:ind w:firstLine="1497" w:firstLineChars="416"/>
        <w:rPr>
          <w:rFonts w:ascii="宋体" w:hAnsi="宋体"/>
          <w:sz w:val="36"/>
          <w:szCs w:val="32"/>
        </w:rPr>
      </w:pPr>
    </w:p>
    <w:p>
      <w:pPr>
        <w:pStyle w:val="5"/>
        <w:ind w:firstLine="1497" w:firstLineChars="416"/>
        <w:rPr>
          <w:rFonts w:ascii="宋体" w:hAnsi="宋体"/>
          <w:sz w:val="36"/>
          <w:szCs w:val="32"/>
        </w:rPr>
      </w:pPr>
      <w:r>
        <w:rPr>
          <w:rFonts w:ascii="宋体" w:hAnsi="宋体"/>
          <w:sz w:val="36"/>
          <w:szCs w:val="32"/>
        </w:rPr>
        <w:t>投标人名称（</w:t>
      </w:r>
      <w:r>
        <w:rPr>
          <w:rFonts w:hint="eastAsia" w:ascii="宋体" w:hAnsi="宋体"/>
          <w:sz w:val="36"/>
          <w:szCs w:val="32"/>
        </w:rPr>
        <w:t>CA签章</w:t>
      </w:r>
      <w:r>
        <w:rPr>
          <w:rFonts w:ascii="宋体" w:hAnsi="宋体"/>
          <w:sz w:val="36"/>
          <w:szCs w:val="32"/>
        </w:rPr>
        <w:t>）：</w:t>
      </w:r>
    </w:p>
    <w:p>
      <w:pPr>
        <w:pStyle w:val="5"/>
        <w:ind w:firstLine="1444" w:firstLineChars="516"/>
        <w:rPr>
          <w:rFonts w:ascii="宋体" w:hAnsi="宋体"/>
          <w:sz w:val="28"/>
          <w:szCs w:val="28"/>
        </w:rPr>
      </w:pPr>
    </w:p>
    <w:p>
      <w:pPr>
        <w:pStyle w:val="5"/>
        <w:ind w:firstLine="1497" w:firstLineChars="416"/>
        <w:rPr>
          <w:rFonts w:ascii="宋体" w:hAnsi="宋体"/>
          <w:sz w:val="36"/>
          <w:szCs w:val="32"/>
        </w:rPr>
      </w:pPr>
    </w:p>
    <w:p>
      <w:pPr>
        <w:pStyle w:val="5"/>
        <w:ind w:firstLine="1497" w:firstLineChars="416"/>
        <w:rPr>
          <w:rFonts w:ascii="宋体" w:hAnsi="宋体"/>
          <w:sz w:val="36"/>
          <w:szCs w:val="32"/>
        </w:rPr>
      </w:pPr>
    </w:p>
    <w:p>
      <w:pPr>
        <w:pStyle w:val="5"/>
        <w:ind w:firstLine="1497" w:firstLineChars="416"/>
        <w:rPr>
          <w:rFonts w:ascii="宋体" w:hAnsi="宋体"/>
          <w:sz w:val="36"/>
          <w:szCs w:val="32"/>
        </w:rPr>
      </w:pPr>
    </w:p>
    <w:p>
      <w:pPr>
        <w:pStyle w:val="5"/>
        <w:ind w:firstLine="1497" w:firstLineChars="416"/>
        <w:rPr>
          <w:rFonts w:ascii="宋体" w:hAnsi="宋体"/>
          <w:sz w:val="36"/>
          <w:szCs w:val="32"/>
        </w:rPr>
      </w:pPr>
      <w:r>
        <w:rPr>
          <w:rFonts w:ascii="宋体" w:hAnsi="宋体"/>
          <w:sz w:val="36"/>
          <w:szCs w:val="32"/>
        </w:rPr>
        <w:t>投标人地址：</w:t>
      </w:r>
    </w:p>
    <w:p>
      <w:pPr>
        <w:spacing w:line="360" w:lineRule="auto"/>
        <w:ind w:firstLine="600"/>
        <w:jc w:val="center"/>
        <w:rPr>
          <w:rFonts w:ascii="宋体" w:hAnsi="宋体"/>
          <w:sz w:val="30"/>
        </w:rPr>
      </w:pPr>
    </w:p>
    <w:p>
      <w:pPr>
        <w:spacing w:line="360" w:lineRule="auto"/>
        <w:ind w:firstLine="600"/>
        <w:jc w:val="center"/>
        <w:rPr>
          <w:rFonts w:ascii="宋体" w:hAnsi="宋体"/>
          <w:sz w:val="30"/>
        </w:rPr>
      </w:pPr>
    </w:p>
    <w:p>
      <w:pPr>
        <w:spacing w:line="360" w:lineRule="auto"/>
        <w:ind w:firstLine="480"/>
        <w:jc w:val="center"/>
        <w:rPr>
          <w:rFonts w:ascii="宋体" w:hAnsi="宋体"/>
        </w:rPr>
      </w:pPr>
    </w:p>
    <w:p>
      <w:pPr>
        <w:spacing w:line="360" w:lineRule="auto"/>
        <w:ind w:firstLine="560"/>
        <w:jc w:val="center"/>
        <w:rPr>
          <w:rFonts w:ascii="宋体" w:hAnsi="宋体"/>
          <w:sz w:val="30"/>
        </w:rPr>
      </w:pPr>
      <w:r>
        <w:rPr>
          <w:rFonts w:hint="eastAsia" w:ascii="宋体" w:hAnsi="宋体"/>
          <w:sz w:val="28"/>
          <w:szCs w:val="28"/>
        </w:rPr>
        <w:t>（联合体投标的，由牵头人CA签章）</w:t>
      </w:r>
    </w:p>
    <w:p>
      <w:pPr>
        <w:spacing w:line="360" w:lineRule="auto"/>
        <w:ind w:firstLine="600"/>
        <w:jc w:val="center"/>
        <w:rPr>
          <w:rFonts w:ascii="宋体" w:hAnsi="宋体"/>
          <w:sz w:val="30"/>
        </w:rPr>
      </w:pPr>
    </w:p>
    <w:p>
      <w:pPr>
        <w:spacing w:line="360" w:lineRule="auto"/>
        <w:ind w:firstLine="602"/>
        <w:jc w:val="center"/>
        <w:rPr>
          <w:rFonts w:ascii="宋体" w:hAnsi="宋体"/>
          <w:b/>
          <w:sz w:val="30"/>
        </w:rPr>
      </w:pPr>
      <w:r>
        <w:rPr>
          <w:rFonts w:hint="eastAsia" w:ascii="宋体" w:hAnsi="宋体"/>
          <w:b/>
          <w:sz w:val="30"/>
        </w:rPr>
        <w:t>1.报价书（开标一览表）</w:t>
      </w:r>
    </w:p>
    <w:p>
      <w:pPr>
        <w:pStyle w:val="19"/>
        <w:ind w:firstLine="560"/>
      </w:pPr>
    </w:p>
    <w:p>
      <w:pPr>
        <w:spacing w:line="360" w:lineRule="auto"/>
        <w:ind w:firstLine="560"/>
        <w:rPr>
          <w:rFonts w:ascii="宋体" w:hAnsi="宋体"/>
          <w:spacing w:val="20"/>
          <w:sz w:val="24"/>
        </w:rPr>
      </w:pPr>
      <w:r>
        <w:rPr>
          <w:rFonts w:hint="eastAsia" w:ascii="宋体" w:hAnsi="宋体"/>
          <w:spacing w:val="20"/>
          <w:sz w:val="24"/>
        </w:rPr>
        <w:t>项目编号：</w:t>
      </w:r>
    </w:p>
    <w:p>
      <w:pPr>
        <w:spacing w:line="360" w:lineRule="auto"/>
        <w:ind w:firstLine="560"/>
        <w:rPr>
          <w:rFonts w:ascii="宋体" w:hAnsi="宋体"/>
          <w:spacing w:val="20"/>
          <w:sz w:val="24"/>
        </w:rPr>
      </w:pPr>
      <w:r>
        <w:rPr>
          <w:rFonts w:hint="eastAsia" w:ascii="宋体" w:hAnsi="宋体"/>
          <w:spacing w:val="20"/>
          <w:sz w:val="24"/>
        </w:rPr>
        <w:t>项目名称：</w:t>
      </w:r>
    </w:p>
    <w:tbl>
      <w:tblPr>
        <w:tblStyle w:val="53"/>
        <w:tblW w:w="8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2771"/>
        <w:gridCol w:w="1553"/>
        <w:gridCol w:w="3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933" w:type="dxa"/>
            <w:vAlign w:val="center"/>
          </w:tcPr>
          <w:p>
            <w:pPr>
              <w:snapToGrid w:val="0"/>
              <w:jc w:val="center"/>
              <w:rPr>
                <w:rFonts w:ascii="宋体" w:hAnsi="宋体"/>
                <w:b/>
                <w:bCs/>
                <w:sz w:val="24"/>
                <w:szCs w:val="21"/>
              </w:rPr>
            </w:pPr>
            <w:r>
              <w:rPr>
                <w:rFonts w:hint="eastAsia" w:ascii="宋体" w:hAnsi="宋体"/>
                <w:b/>
                <w:bCs/>
                <w:sz w:val="24"/>
                <w:szCs w:val="21"/>
              </w:rPr>
              <w:t>序号</w:t>
            </w:r>
          </w:p>
        </w:tc>
        <w:tc>
          <w:tcPr>
            <w:tcW w:w="2771" w:type="dxa"/>
            <w:vAlign w:val="center"/>
          </w:tcPr>
          <w:p>
            <w:pPr>
              <w:snapToGrid w:val="0"/>
              <w:ind w:firstLine="482"/>
              <w:jc w:val="center"/>
              <w:rPr>
                <w:rFonts w:ascii="宋体" w:hAnsi="宋体"/>
                <w:b/>
                <w:bCs/>
                <w:sz w:val="24"/>
                <w:szCs w:val="21"/>
              </w:rPr>
            </w:pPr>
            <w:r>
              <w:rPr>
                <w:rFonts w:hint="eastAsia" w:ascii="宋体" w:hAnsi="宋体"/>
                <w:b/>
                <w:bCs/>
                <w:sz w:val="24"/>
                <w:szCs w:val="21"/>
              </w:rPr>
              <w:t>采购内容</w:t>
            </w:r>
          </w:p>
        </w:tc>
        <w:tc>
          <w:tcPr>
            <w:tcW w:w="1553" w:type="dxa"/>
            <w:vAlign w:val="center"/>
          </w:tcPr>
          <w:p>
            <w:pPr>
              <w:snapToGrid w:val="0"/>
              <w:jc w:val="center"/>
              <w:rPr>
                <w:rFonts w:ascii="宋体" w:hAnsi="宋体"/>
                <w:b/>
                <w:bCs/>
                <w:sz w:val="24"/>
                <w:szCs w:val="21"/>
              </w:rPr>
            </w:pPr>
            <w:r>
              <w:rPr>
                <w:rFonts w:hint="eastAsia" w:ascii="宋体" w:hAnsi="宋体"/>
                <w:b/>
                <w:bCs/>
                <w:sz w:val="24"/>
                <w:szCs w:val="21"/>
              </w:rPr>
              <w:t>最高限价（元）</w:t>
            </w:r>
          </w:p>
        </w:tc>
        <w:tc>
          <w:tcPr>
            <w:tcW w:w="3375" w:type="dxa"/>
            <w:vAlign w:val="center"/>
          </w:tcPr>
          <w:p>
            <w:pPr>
              <w:snapToGrid w:val="0"/>
              <w:ind w:firstLine="482"/>
              <w:jc w:val="center"/>
              <w:rPr>
                <w:rFonts w:ascii="宋体" w:hAnsi="宋体"/>
                <w:b/>
                <w:bCs/>
                <w:sz w:val="24"/>
                <w:szCs w:val="21"/>
              </w:rPr>
            </w:pPr>
            <w:r>
              <w:rPr>
                <w:rFonts w:hint="eastAsia" w:ascii="宋体" w:hAnsi="宋体"/>
                <w:b/>
                <w:bCs/>
                <w:sz w:val="24"/>
                <w:szCs w:val="21"/>
              </w:rPr>
              <w:t>投标</w:t>
            </w:r>
            <w:r>
              <w:rPr>
                <w:rFonts w:hint="eastAsia" w:ascii="宋体" w:hAnsi="宋体"/>
                <w:b/>
                <w:spacing w:val="20"/>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6" w:hRule="atLeast"/>
          <w:jc w:val="center"/>
        </w:trPr>
        <w:tc>
          <w:tcPr>
            <w:tcW w:w="933" w:type="dxa"/>
            <w:vAlign w:val="center"/>
          </w:tcPr>
          <w:p>
            <w:pPr>
              <w:snapToGrid w:val="0"/>
              <w:jc w:val="center"/>
              <w:rPr>
                <w:rFonts w:ascii="宋体" w:hAnsi="宋体"/>
                <w:sz w:val="24"/>
              </w:rPr>
            </w:pPr>
            <w:r>
              <w:rPr>
                <w:rFonts w:hint="eastAsia" w:ascii="宋体" w:hAnsi="宋体"/>
                <w:sz w:val="24"/>
              </w:rPr>
              <w:t>1</w:t>
            </w:r>
          </w:p>
        </w:tc>
        <w:tc>
          <w:tcPr>
            <w:tcW w:w="2771" w:type="dxa"/>
            <w:vAlign w:val="center"/>
          </w:tcPr>
          <w:p>
            <w:pPr>
              <w:snapToGrid w:val="0"/>
              <w:spacing w:line="360" w:lineRule="auto"/>
              <w:jc w:val="both"/>
              <w:rPr>
                <w:rFonts w:ascii="宋体" w:hAnsi="宋体"/>
                <w:sz w:val="24"/>
              </w:rPr>
            </w:pPr>
            <w:r>
              <w:rPr>
                <w:rFonts w:hint="eastAsia" w:ascii="宋体" w:hAnsi="宋体"/>
                <w:spacing w:val="20"/>
                <w:sz w:val="24"/>
              </w:rPr>
              <w:t>碧湖新城智慧城市规划编制项目</w:t>
            </w:r>
          </w:p>
        </w:tc>
        <w:tc>
          <w:tcPr>
            <w:tcW w:w="1553" w:type="dxa"/>
            <w:vAlign w:val="center"/>
          </w:tcPr>
          <w:p>
            <w:pPr>
              <w:snapToGrid w:val="0"/>
              <w:jc w:val="left"/>
              <w:rPr>
                <w:rFonts w:ascii="宋体" w:hAnsi="宋体"/>
                <w:sz w:val="24"/>
              </w:rPr>
            </w:pPr>
            <w:r>
              <w:rPr>
                <w:rFonts w:hint="eastAsia" w:ascii="宋体" w:hAnsi="宋体"/>
                <w:sz w:val="24"/>
              </w:rPr>
              <w:t>800000.00</w:t>
            </w:r>
          </w:p>
        </w:tc>
        <w:tc>
          <w:tcPr>
            <w:tcW w:w="3375" w:type="dxa"/>
            <w:vAlign w:val="center"/>
          </w:tcPr>
          <w:p>
            <w:pPr>
              <w:snapToGrid w:val="0"/>
              <w:jc w:val="left"/>
              <w:rPr>
                <w:rFonts w:ascii="宋体" w:hAnsi="宋体"/>
                <w:sz w:val="24"/>
              </w:rPr>
            </w:pPr>
            <w:r>
              <w:rPr>
                <w:rFonts w:hint="eastAsia" w:ascii="宋体" w:hAnsi="宋体"/>
                <w:sz w:val="24"/>
              </w:rPr>
              <w:t>小写：</w:t>
            </w:r>
          </w:p>
          <w:p>
            <w:pPr>
              <w:snapToGrid w:val="0"/>
              <w:jc w:val="left"/>
              <w:rPr>
                <w:rFonts w:ascii="宋体" w:hAnsi="宋体"/>
                <w:sz w:val="24"/>
              </w:rPr>
            </w:pPr>
          </w:p>
          <w:p>
            <w:pPr>
              <w:snapToGrid w:val="0"/>
              <w:jc w:val="left"/>
              <w:rPr>
                <w:rFonts w:ascii="宋体" w:hAnsi="宋体"/>
                <w:sz w:val="24"/>
              </w:rPr>
            </w:pPr>
          </w:p>
          <w:p>
            <w:pPr>
              <w:snapToGrid w:val="0"/>
              <w:jc w:val="left"/>
              <w:rPr>
                <w:rFonts w:ascii="宋体" w:hAnsi="宋体"/>
                <w:sz w:val="24"/>
              </w:rPr>
            </w:pPr>
          </w:p>
          <w:p>
            <w:pPr>
              <w:snapToGrid w:val="0"/>
              <w:jc w:val="left"/>
              <w:rPr>
                <w:rFonts w:ascii="宋体" w:hAnsi="宋体"/>
                <w:sz w:val="24"/>
              </w:rPr>
            </w:pPr>
            <w:r>
              <w:rPr>
                <w:rFonts w:hint="eastAsia" w:ascii="宋体" w:hAnsi="宋体"/>
                <w:sz w:val="24"/>
              </w:rPr>
              <w:t>大写：</w:t>
            </w:r>
          </w:p>
        </w:tc>
      </w:tr>
    </w:tbl>
    <w:p>
      <w:pPr>
        <w:spacing w:line="360" w:lineRule="auto"/>
        <w:ind w:firstLine="560"/>
        <w:rPr>
          <w:rFonts w:ascii="宋体" w:hAnsi="宋体"/>
          <w:spacing w:val="20"/>
          <w:sz w:val="24"/>
          <w:u w:val="single"/>
        </w:rPr>
      </w:pPr>
      <w:r>
        <w:rPr>
          <w:rFonts w:hint="eastAsia" w:ascii="宋体" w:hAnsi="宋体"/>
          <w:spacing w:val="20"/>
          <w:sz w:val="24"/>
        </w:rPr>
        <w:t xml:space="preserve">    </w:t>
      </w:r>
    </w:p>
    <w:p>
      <w:pPr>
        <w:spacing w:before="120" w:beforeLines="50" w:line="360" w:lineRule="auto"/>
        <w:ind w:firstLine="562"/>
        <w:rPr>
          <w:rFonts w:ascii="宋体" w:hAnsi="宋体"/>
          <w:b/>
          <w:spacing w:val="20"/>
          <w:sz w:val="24"/>
          <w:szCs w:val="20"/>
        </w:rPr>
      </w:pPr>
      <w:r>
        <w:rPr>
          <w:rFonts w:hint="eastAsia" w:ascii="宋体" w:hAnsi="宋体"/>
          <w:b/>
          <w:spacing w:val="20"/>
          <w:sz w:val="24"/>
          <w:szCs w:val="20"/>
        </w:rPr>
        <w:t>注：</w:t>
      </w:r>
    </w:p>
    <w:p>
      <w:pPr>
        <w:snapToGrid w:val="0"/>
        <w:spacing w:line="500" w:lineRule="exact"/>
        <w:ind w:firstLine="472" w:firstLineChars="196"/>
        <w:rPr>
          <w:rFonts w:ascii="宋体" w:hAnsi="宋体"/>
          <w:sz w:val="24"/>
        </w:rPr>
      </w:pPr>
      <w:r>
        <w:rPr>
          <w:rFonts w:hint="eastAsia" w:ascii="宋体" w:hAnsi="宋体"/>
          <w:b/>
          <w:sz w:val="24"/>
        </w:rPr>
        <w:t>1、报价应包含</w:t>
      </w:r>
      <w:r>
        <w:rPr>
          <w:rFonts w:hint="eastAsia" w:ascii="宋体" w:hAnsi="宋体" w:cs="宋体"/>
          <w:b/>
          <w:bCs/>
          <w:sz w:val="24"/>
        </w:rPr>
        <w:t>规划编制方案费、调研费、交通费、税费、培训费、差旅费、保险、利润、税金、政策性文件规定费用及合同包含的所有风险、责任等其他一切费用，</w:t>
      </w:r>
      <w:r>
        <w:rPr>
          <w:rFonts w:hint="eastAsia" w:ascii="宋体" w:hAnsi="宋体"/>
          <w:b/>
          <w:sz w:val="24"/>
        </w:rPr>
        <w:t>采购单位不另行支付任何费用</w:t>
      </w:r>
      <w:r>
        <w:rPr>
          <w:rFonts w:hint="eastAsia" w:ascii="宋体" w:hAnsi="宋体"/>
          <w:b/>
          <w:spacing w:val="20"/>
          <w:sz w:val="24"/>
          <w:szCs w:val="20"/>
        </w:rPr>
        <w:t>。</w:t>
      </w:r>
    </w:p>
    <w:p>
      <w:pPr>
        <w:spacing w:line="500" w:lineRule="exact"/>
        <w:ind w:firstLine="472" w:firstLineChars="196"/>
        <w:textAlignment w:val="baseline"/>
        <w:rPr>
          <w:rFonts w:ascii="宋体" w:hAnsi="宋体"/>
          <w:b/>
          <w:spacing w:val="20"/>
          <w:sz w:val="24"/>
        </w:rPr>
      </w:pPr>
      <w:r>
        <w:rPr>
          <w:rFonts w:hint="eastAsia" w:ascii="宋体" w:hAnsi="宋体"/>
          <w:b/>
          <w:sz w:val="24"/>
        </w:rPr>
        <w:t>▲2.</w:t>
      </w:r>
      <w:r>
        <w:rPr>
          <w:rFonts w:hint="eastAsia" w:ascii="宋体" w:hAnsi="宋体"/>
          <w:b/>
          <w:bCs/>
          <w:sz w:val="24"/>
          <w:szCs w:val="21"/>
        </w:rPr>
        <w:t>投标报价高于最高限价的作无效标处理</w:t>
      </w:r>
      <w:r>
        <w:rPr>
          <w:rFonts w:hint="eastAsia" w:ascii="宋体" w:hAnsi="宋体"/>
          <w:b/>
          <w:sz w:val="24"/>
        </w:rPr>
        <w:t>。</w:t>
      </w:r>
    </w:p>
    <w:p>
      <w:pPr>
        <w:spacing w:line="360" w:lineRule="auto"/>
        <w:ind w:firstLine="480"/>
        <w:rPr>
          <w:rFonts w:ascii="宋体" w:hAnsi="宋体"/>
        </w:rPr>
      </w:pPr>
    </w:p>
    <w:p>
      <w:pPr>
        <w:spacing w:line="360" w:lineRule="auto"/>
        <w:ind w:firstLine="480"/>
        <w:rPr>
          <w:rFonts w:ascii="宋体" w:hAnsi="宋体"/>
        </w:rPr>
      </w:pPr>
    </w:p>
    <w:p>
      <w:pPr>
        <w:spacing w:line="360" w:lineRule="auto"/>
        <w:ind w:firstLine="600"/>
        <w:jc w:val="center"/>
        <w:rPr>
          <w:rFonts w:ascii="宋体" w:hAnsi="宋体"/>
          <w:sz w:val="30"/>
        </w:rPr>
      </w:pPr>
      <w:bookmarkStart w:id="119" w:name="_Hlk63239113"/>
      <w:bookmarkStart w:id="120" w:name="_Toc119229667"/>
      <w:bookmarkStart w:id="121" w:name="_Toc497376120"/>
      <w:r>
        <w:rPr>
          <w:rFonts w:ascii="宋体" w:hAnsi="宋体"/>
          <w:sz w:val="30"/>
        </w:rPr>
        <w:br w:type="page"/>
      </w:r>
      <w:bookmarkEnd w:id="119"/>
      <w:r>
        <w:rPr>
          <w:rFonts w:hint="eastAsia" w:ascii="宋体" w:hAnsi="宋体"/>
          <w:sz w:val="30"/>
        </w:rPr>
        <w:t>2、分项报价表</w:t>
      </w:r>
    </w:p>
    <w:p>
      <w:pPr>
        <w:spacing w:line="360" w:lineRule="auto"/>
        <w:rPr>
          <w:rFonts w:ascii="宋体" w:hAnsi="宋体"/>
          <w:sz w:val="24"/>
        </w:rPr>
      </w:pPr>
      <w:r>
        <w:rPr>
          <w:rFonts w:hint="eastAsia" w:ascii="宋体" w:hAnsi="宋体"/>
          <w:sz w:val="24"/>
        </w:rPr>
        <w:t>要求：</w:t>
      </w:r>
    </w:p>
    <w:p>
      <w:pPr>
        <w:spacing w:line="360" w:lineRule="auto"/>
        <w:ind w:firstLine="548" w:firstLineChars="196"/>
        <w:rPr>
          <w:rFonts w:ascii="宋体" w:hAnsi="宋体"/>
          <w:sz w:val="24"/>
        </w:rPr>
      </w:pPr>
      <w:r>
        <w:rPr>
          <w:rFonts w:hint="eastAsia" w:ascii="宋体" w:hAnsi="宋体"/>
          <w:spacing w:val="20"/>
          <w:sz w:val="24"/>
        </w:rPr>
        <w:t>1</w:t>
      </w:r>
      <w:r>
        <w:rPr>
          <w:rFonts w:hint="eastAsia" w:ascii="宋体" w:hAnsi="宋体"/>
          <w:bCs/>
          <w:sz w:val="24"/>
        </w:rPr>
        <w:t>、</w:t>
      </w:r>
      <w:r>
        <w:rPr>
          <w:rFonts w:hint="eastAsia" w:ascii="宋体" w:hAnsi="宋体" w:cs="宋体"/>
          <w:bCs/>
          <w:sz w:val="24"/>
        </w:rPr>
        <w:t>投标人的投标报价包含</w:t>
      </w:r>
      <w:r>
        <w:rPr>
          <w:rFonts w:hint="eastAsia" w:hAnsi="宋体"/>
          <w:sz w:val="24"/>
        </w:rPr>
        <w:t>规划编制方案费、调研费、交通费、税费、培训费</w:t>
      </w:r>
      <w:r>
        <w:rPr>
          <w:rFonts w:hint="eastAsia" w:ascii="宋体" w:hAnsi="宋体" w:cs="宋体"/>
          <w:bCs/>
          <w:sz w:val="24"/>
        </w:rPr>
        <w:t>、差旅费、保险、利润、税金、政策性文件规定费用及合同包含的所有风险、责任等</w:t>
      </w:r>
      <w:r>
        <w:rPr>
          <w:rFonts w:hint="eastAsia" w:ascii="宋体" w:hAnsi="宋体" w:cs="仿宋_GB2312"/>
          <w:sz w:val="24"/>
        </w:rPr>
        <w:t>其他一切费用</w:t>
      </w:r>
      <w:r>
        <w:rPr>
          <w:rFonts w:hint="eastAsia" w:ascii="宋体" w:hAnsi="宋体" w:cs="宋体"/>
          <w:bCs/>
          <w:sz w:val="24"/>
        </w:rPr>
        <w:t>，采购人不另行支付其他任何费用。</w:t>
      </w:r>
    </w:p>
    <w:p>
      <w:pPr>
        <w:pStyle w:val="27"/>
        <w:spacing w:line="360" w:lineRule="auto"/>
        <w:ind w:firstLine="480" w:firstLineChars="200"/>
        <w:rPr>
          <w:rFonts w:hAnsi="宋体"/>
          <w:sz w:val="24"/>
          <w:szCs w:val="24"/>
        </w:rPr>
      </w:pPr>
      <w:r>
        <w:rPr>
          <w:rFonts w:hint="eastAsia" w:hAnsi="宋体"/>
          <w:sz w:val="24"/>
          <w:szCs w:val="24"/>
        </w:rPr>
        <w:t>2、表格可自行设制，但总计金额必须与开标一览表报价相同。</w:t>
      </w:r>
    </w:p>
    <w:p>
      <w:pPr>
        <w:ind w:firstLine="480" w:firstLineChars="200"/>
        <w:rPr>
          <w:rFonts w:ascii="宋体" w:hAnsi="宋体" w:cs="宋体"/>
          <w:b/>
          <w:sz w:val="30"/>
        </w:rPr>
      </w:pPr>
      <w:r>
        <w:rPr>
          <w:rFonts w:hint="eastAsia" w:hAnsi="宋体"/>
          <w:sz w:val="24"/>
        </w:rPr>
        <w:t>▲3、所有单项报价均不得为0，否则作无效标处理。</w:t>
      </w:r>
      <w:r>
        <w:rPr>
          <w:rFonts w:hint="eastAsia" w:ascii="宋体" w:hAnsi="宋体" w:cs="宋体"/>
          <w:b/>
          <w:sz w:val="30"/>
        </w:rPr>
        <w:br w:type="page"/>
      </w:r>
    </w:p>
    <w:p>
      <w:pPr>
        <w:spacing w:line="360" w:lineRule="auto"/>
        <w:ind w:firstLine="602"/>
        <w:jc w:val="center"/>
        <w:rPr>
          <w:rFonts w:ascii="宋体" w:hAnsi="宋体" w:cs="宋体"/>
          <w:b/>
          <w:sz w:val="30"/>
        </w:rPr>
      </w:pPr>
      <w:r>
        <w:rPr>
          <w:rFonts w:hint="eastAsia" w:ascii="宋体" w:hAnsi="宋体" w:cs="宋体"/>
          <w:b/>
          <w:sz w:val="30"/>
        </w:rPr>
        <w:t>3.企业类型声明函</w:t>
      </w:r>
    </w:p>
    <w:p>
      <w:pPr>
        <w:spacing w:line="360" w:lineRule="auto"/>
        <w:ind w:firstLine="602"/>
        <w:jc w:val="center"/>
        <w:rPr>
          <w:rFonts w:ascii="宋体" w:hAnsi="宋体" w:cs="宋体"/>
          <w:sz w:val="30"/>
        </w:rPr>
      </w:pPr>
      <w:r>
        <w:rPr>
          <w:rFonts w:hint="eastAsia" w:ascii="宋体" w:hAnsi="宋体" w:cs="宋体"/>
          <w:b/>
          <w:sz w:val="30"/>
        </w:rPr>
        <w:t>3.1</w:t>
      </w:r>
      <w:r>
        <w:rPr>
          <w:rFonts w:hint="eastAsia" w:ascii="宋体" w:hAnsi="宋体" w:cs="宋体"/>
          <w:b/>
          <w:bCs/>
          <w:sz w:val="30"/>
        </w:rPr>
        <w:t>中小微企业声明函</w:t>
      </w:r>
    </w:p>
    <w:p>
      <w:pPr>
        <w:spacing w:line="360" w:lineRule="auto"/>
        <w:ind w:firstLine="560" w:firstLineChars="200"/>
        <w:rPr>
          <w:rFonts w:ascii="宋体" w:hAnsi="宋体" w:cs="宋体"/>
          <w:sz w:val="28"/>
          <w:szCs w:val="28"/>
        </w:rPr>
      </w:pPr>
      <w:r>
        <w:rPr>
          <w:rFonts w:hint="eastAsia" w:ascii="宋体" w:hAnsi="宋体" w:cs="宋体"/>
          <w:sz w:val="28"/>
          <w:szCs w:val="28"/>
        </w:rPr>
        <w:t>本公司（联合体）郑重声明，根据《政府采购促进中小企业发展管理办法》（财库﹝2020﹞46 号）的规定，本公司（联合体）参加</w:t>
      </w:r>
      <w:r>
        <w:rPr>
          <w:rFonts w:hint="eastAsia" w:ascii="宋体" w:hAnsi="宋体" w:cs="宋体"/>
          <w:sz w:val="28"/>
          <w:szCs w:val="28"/>
          <w:u w:val="single"/>
        </w:rPr>
        <w:t xml:space="preserve">  （采购单位名称）</w:t>
      </w:r>
      <w:r>
        <w:rPr>
          <w:rFonts w:hint="eastAsia" w:ascii="宋体" w:hAnsi="宋体" w:cs="宋体"/>
          <w:sz w:val="28"/>
          <w:szCs w:val="28"/>
        </w:rPr>
        <w:t>的</w:t>
      </w:r>
      <w:r>
        <w:rPr>
          <w:rFonts w:hint="eastAsia" w:ascii="宋体" w:hAnsi="宋体" w:cs="宋体"/>
          <w:sz w:val="28"/>
          <w:szCs w:val="28"/>
          <w:u w:val="single"/>
        </w:rPr>
        <w:t xml:space="preserve">  （项目名称）</w:t>
      </w:r>
      <w:r>
        <w:rPr>
          <w:rFonts w:hint="eastAsia" w:ascii="宋体" w:hAnsi="宋体" w:cs="宋体"/>
          <w:sz w:val="28"/>
          <w:szCs w:val="28"/>
        </w:rPr>
        <w:t>采购活动，服务全部由符合政策要求的中小企业承接。相关企业（含联合体中的中小企业、签订分包意向协议的中小企业）的具体情况如下：</w:t>
      </w:r>
    </w:p>
    <w:p>
      <w:pPr>
        <w:spacing w:line="360" w:lineRule="auto"/>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b/>
          <w:sz w:val="28"/>
          <w:szCs w:val="28"/>
          <w:u w:val="single"/>
        </w:rPr>
        <w:t>碧湖新城智慧城市规划编制项目</w:t>
      </w:r>
      <w:r>
        <w:rPr>
          <w:rFonts w:hint="eastAsia" w:ascii="宋体" w:hAnsi="宋体" w:cs="宋体"/>
          <w:sz w:val="28"/>
          <w:szCs w:val="28"/>
        </w:rPr>
        <w:t>，属于</w:t>
      </w:r>
      <w:r>
        <w:rPr>
          <w:rFonts w:hint="eastAsia" w:ascii="宋体" w:hAnsi="宋体" w:cs="宋体"/>
          <w:b/>
          <w:bCs/>
          <w:sz w:val="28"/>
          <w:szCs w:val="28"/>
          <w:u w:val="single"/>
        </w:rPr>
        <w:t>其他未列明行业</w:t>
      </w:r>
      <w:r>
        <w:rPr>
          <w:rFonts w:hint="eastAsia" w:ascii="宋体" w:hAnsi="宋体" w:cs="宋体"/>
          <w:sz w:val="28"/>
          <w:szCs w:val="28"/>
        </w:rPr>
        <w:t>；承接企业为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 xml:space="preserve">     </w:t>
      </w:r>
      <w:r>
        <w:rPr>
          <w:rFonts w:hint="eastAsia" w:ascii="宋体" w:hAnsi="宋体" w:cs="宋体"/>
          <w:sz w:val="28"/>
          <w:szCs w:val="28"/>
        </w:rPr>
        <w:t>万元，属于</w:t>
      </w:r>
      <w:r>
        <w:rPr>
          <w:rFonts w:hint="eastAsia" w:ascii="宋体" w:hAnsi="宋体" w:cs="宋体"/>
          <w:sz w:val="28"/>
          <w:szCs w:val="28"/>
          <w:u w:val="single"/>
        </w:rPr>
        <w:t xml:space="preserve">       （中型企业、小型企业、微型企业，三选一进行承诺）</w:t>
      </w:r>
      <w:r>
        <w:rPr>
          <w:rFonts w:hint="eastAsia" w:ascii="宋体" w:hAnsi="宋体" w:cs="宋体"/>
          <w:sz w:val="28"/>
          <w:szCs w:val="28"/>
        </w:rPr>
        <w:t xml:space="preserve">； </w:t>
      </w:r>
    </w:p>
    <w:p>
      <w:pPr>
        <w:spacing w:line="360" w:lineRule="auto"/>
        <w:ind w:firstLine="560"/>
        <w:rPr>
          <w:rFonts w:ascii="宋体" w:hAnsi="宋体" w:cs="宋体"/>
          <w:sz w:val="28"/>
          <w:szCs w:val="28"/>
        </w:rPr>
      </w:pPr>
      <w:r>
        <w:rPr>
          <w:rFonts w:hint="eastAsia" w:ascii="宋体" w:hAnsi="宋体" w:cs="宋体"/>
          <w:sz w:val="28"/>
          <w:szCs w:val="28"/>
        </w:rPr>
        <w:t>……</w:t>
      </w:r>
    </w:p>
    <w:p>
      <w:pPr>
        <w:spacing w:line="360" w:lineRule="auto"/>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360" w:lineRule="auto"/>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360" w:lineRule="auto"/>
        <w:ind w:firstLine="480" w:firstLineChars="200"/>
        <w:rPr>
          <w:rFonts w:ascii="宋体" w:hAnsi="宋体" w:cs="宋体"/>
          <w:kern w:val="0"/>
          <w:sz w:val="24"/>
        </w:rPr>
      </w:pPr>
    </w:p>
    <w:p>
      <w:pPr>
        <w:spacing w:line="360" w:lineRule="auto"/>
        <w:ind w:firstLine="480" w:firstLineChars="200"/>
        <w:rPr>
          <w:rFonts w:ascii="宋体" w:hAnsi="宋体" w:cs="宋体"/>
          <w:kern w:val="0"/>
          <w:sz w:val="24"/>
        </w:rPr>
      </w:pPr>
    </w:p>
    <w:p>
      <w:pPr>
        <w:widowControl/>
        <w:spacing w:line="360" w:lineRule="auto"/>
        <w:jc w:val="left"/>
        <w:rPr>
          <w:rFonts w:ascii="宋体" w:hAnsi="宋体" w:cs="宋体"/>
          <w:kern w:val="0"/>
          <w:sz w:val="24"/>
        </w:rPr>
      </w:pPr>
    </w:p>
    <w:p>
      <w:pPr>
        <w:pStyle w:val="27"/>
        <w:spacing w:line="360" w:lineRule="auto"/>
        <w:ind w:firstLine="482"/>
        <w:rPr>
          <w:rFonts w:hAnsi="宋体" w:cs="宋体"/>
          <w:b/>
          <w:bCs/>
          <w:kern w:val="0"/>
          <w:szCs w:val="21"/>
        </w:rPr>
      </w:pPr>
      <w:r>
        <w:rPr>
          <w:rFonts w:hint="eastAsia" w:hAnsi="宋体" w:cs="宋体"/>
          <w:b/>
          <w:bCs/>
          <w:kern w:val="0"/>
          <w:szCs w:val="21"/>
        </w:rPr>
        <w:t>注：</w:t>
      </w:r>
    </w:p>
    <w:p>
      <w:pPr>
        <w:pStyle w:val="27"/>
        <w:spacing w:line="360" w:lineRule="auto"/>
        <w:ind w:firstLine="413" w:firstLineChars="196"/>
        <w:rPr>
          <w:rFonts w:hAnsi="宋体" w:cs="宋体"/>
          <w:b/>
          <w:bCs/>
          <w:kern w:val="0"/>
          <w:szCs w:val="21"/>
        </w:rPr>
      </w:pPr>
      <w:r>
        <w:rPr>
          <w:rFonts w:hint="eastAsia" w:hAnsi="宋体" w:cs="宋体"/>
          <w:b/>
          <w:bCs/>
          <w:kern w:val="0"/>
          <w:szCs w:val="21"/>
        </w:rPr>
        <w:t>1.从业人员、营业收入、资产总额填报上一年度数据，无上一年度数据的新成立企业可不填报。</w:t>
      </w:r>
    </w:p>
    <w:p>
      <w:pPr>
        <w:pStyle w:val="27"/>
        <w:spacing w:line="360" w:lineRule="auto"/>
        <w:ind w:firstLine="413" w:firstLineChars="196"/>
        <w:rPr>
          <w:rFonts w:hAnsi="宋体" w:cs="宋体"/>
          <w:b/>
          <w:bCs/>
          <w:kern w:val="0"/>
          <w:szCs w:val="21"/>
        </w:rPr>
      </w:pPr>
      <w:r>
        <w:rPr>
          <w:rFonts w:hint="eastAsia" w:hAnsi="宋体" w:cs="宋体"/>
          <w:b/>
          <w:bCs/>
          <w:kern w:val="0"/>
          <w:szCs w:val="21"/>
        </w:rPr>
        <w:t>2.</w:t>
      </w:r>
      <w:r>
        <w:rPr>
          <w:rFonts w:hint="eastAsia" w:hAnsi="宋体" w:cs="宋体"/>
          <w:b/>
          <w:bCs/>
          <w:kern w:val="0"/>
          <w:szCs w:val="21"/>
          <w:lang w:bidi="ar"/>
        </w:rPr>
        <w:t>其他未列明行业划分标准：从业人员300人以下的为中小微型企业。其中，从业人员100人及以上的为中型企业；从业人员10人及以上的为小型企业；从业人员10人以下的为微型企业。</w:t>
      </w:r>
    </w:p>
    <w:p>
      <w:pPr>
        <w:spacing w:line="324" w:lineRule="auto"/>
        <w:ind w:firstLine="560"/>
        <w:rPr>
          <w:rFonts w:ascii="宋体" w:hAnsi="宋体" w:cs="宋体"/>
          <w:sz w:val="28"/>
          <w:szCs w:val="28"/>
        </w:rPr>
      </w:pPr>
    </w:p>
    <w:p>
      <w:pPr>
        <w:spacing w:line="360" w:lineRule="auto"/>
        <w:ind w:firstLine="602"/>
        <w:rPr>
          <w:rFonts w:ascii="宋体" w:hAnsi="宋体" w:cs="宋体"/>
          <w:b/>
          <w:bCs/>
          <w:sz w:val="30"/>
          <w:szCs w:val="30"/>
        </w:rPr>
      </w:pPr>
    </w:p>
    <w:p>
      <w:pPr>
        <w:ind w:firstLine="602"/>
        <w:rPr>
          <w:rFonts w:ascii="宋体" w:hAnsi="宋体" w:cs="宋体"/>
          <w:b/>
          <w:bCs/>
          <w:sz w:val="30"/>
        </w:rPr>
      </w:pPr>
      <w:r>
        <w:rPr>
          <w:rFonts w:hint="eastAsia" w:ascii="宋体" w:hAnsi="宋体" w:cs="宋体"/>
          <w:b/>
          <w:bCs/>
          <w:sz w:val="30"/>
        </w:rPr>
        <w:br w:type="page"/>
      </w:r>
    </w:p>
    <w:p>
      <w:pPr>
        <w:widowControl/>
        <w:spacing w:line="480" w:lineRule="auto"/>
        <w:ind w:firstLine="602"/>
        <w:jc w:val="center"/>
        <w:rPr>
          <w:rFonts w:ascii="Calibri" w:hAnsi="Calibri" w:eastAsia="方正小标宋_GBK" w:cs="宋体"/>
          <w:bCs/>
          <w:spacing w:val="6"/>
          <w:sz w:val="36"/>
          <w:szCs w:val="36"/>
        </w:rPr>
      </w:pPr>
      <w:r>
        <w:rPr>
          <w:rFonts w:hint="eastAsia" w:ascii="宋体" w:hAnsi="宋体" w:cs="宋体"/>
          <w:b/>
          <w:bCs/>
          <w:sz w:val="30"/>
        </w:rPr>
        <w:t>3.2残疾人福利性单位声明函</w:t>
      </w:r>
    </w:p>
    <w:p>
      <w:pPr>
        <w:widowControl/>
        <w:spacing w:before="100" w:beforeAutospacing="1" w:after="100" w:afterAutospacing="1" w:line="360" w:lineRule="auto"/>
        <w:ind w:firstLine="560"/>
        <w:jc w:val="left"/>
        <w:rPr>
          <w:rFonts w:ascii="宋体" w:hAnsi="宋体"/>
          <w:sz w:val="28"/>
          <w:szCs w:val="28"/>
        </w:rPr>
      </w:pPr>
      <w:r>
        <w:rPr>
          <w:rFonts w:hint="eastAsia" w:ascii="宋体" w:hAnsi="宋体"/>
          <w:sz w:val="28"/>
          <w:szCs w:val="28"/>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widowControl/>
        <w:spacing w:before="100" w:beforeAutospacing="1" w:after="100" w:afterAutospacing="1" w:line="360" w:lineRule="auto"/>
        <w:ind w:firstLine="560"/>
        <w:jc w:val="left"/>
        <w:rPr>
          <w:rFonts w:ascii="宋体" w:hAnsi="宋体"/>
          <w:sz w:val="28"/>
          <w:szCs w:val="28"/>
        </w:rPr>
      </w:pPr>
      <w:r>
        <w:rPr>
          <w:rFonts w:hint="eastAsia" w:ascii="宋体" w:hAnsi="宋体"/>
          <w:sz w:val="28"/>
          <w:szCs w:val="28"/>
        </w:rPr>
        <w:t>本单位对上述声明的真实性负责。如有虚假，将依法承担相应责任。</w:t>
      </w:r>
    </w:p>
    <w:p>
      <w:pPr>
        <w:widowControl/>
        <w:spacing w:before="100" w:beforeAutospacing="1" w:after="100" w:afterAutospacing="1" w:line="360" w:lineRule="auto"/>
        <w:ind w:firstLine="624"/>
        <w:jc w:val="left"/>
        <w:rPr>
          <w:rFonts w:ascii="仿宋_GB2312" w:eastAsia="仿宋_GB2312"/>
          <w:spacing w:val="6"/>
          <w:kern w:val="0"/>
          <w:sz w:val="30"/>
          <w:szCs w:val="30"/>
        </w:rPr>
      </w:pPr>
    </w:p>
    <w:p>
      <w:pPr>
        <w:spacing w:line="360" w:lineRule="auto"/>
        <w:ind w:firstLine="624"/>
        <w:jc w:val="center"/>
        <w:rPr>
          <w:rFonts w:ascii="仿宋_GB2312" w:hAnsi="Calibri" w:eastAsia="仿宋_GB2312" w:cs="宋体"/>
          <w:spacing w:val="6"/>
          <w:sz w:val="30"/>
          <w:szCs w:val="30"/>
        </w:rPr>
      </w:pPr>
    </w:p>
    <w:p>
      <w:pPr>
        <w:spacing w:line="360" w:lineRule="auto"/>
        <w:ind w:firstLine="624"/>
        <w:rPr>
          <w:rFonts w:ascii="仿宋_GB2312" w:hAnsi="Calibri" w:eastAsia="仿宋_GB2312" w:cs="宋体"/>
          <w:spacing w:val="6"/>
          <w:sz w:val="30"/>
          <w:szCs w:val="30"/>
        </w:rPr>
      </w:pPr>
    </w:p>
    <w:p>
      <w:pPr>
        <w:spacing w:line="360" w:lineRule="auto"/>
        <w:ind w:firstLine="602"/>
        <w:jc w:val="center"/>
        <w:rPr>
          <w:rFonts w:ascii="宋体" w:hAnsi="宋体" w:cs="宋体"/>
          <w:b/>
          <w:bCs/>
          <w:sz w:val="30"/>
          <w:szCs w:val="20"/>
        </w:rPr>
      </w:pPr>
      <w:r>
        <w:rPr>
          <w:rFonts w:hint="eastAsia" w:ascii="宋体" w:hAnsi="宋体" w:cs="宋体"/>
          <w:b/>
          <w:bCs/>
          <w:sz w:val="30"/>
          <w:szCs w:val="20"/>
        </w:rPr>
        <w:t>3.3监狱企业证明</w:t>
      </w:r>
    </w:p>
    <w:p>
      <w:pPr>
        <w:spacing w:line="360" w:lineRule="auto"/>
        <w:jc w:val="center"/>
        <w:rPr>
          <w:rFonts w:ascii="仿宋_GB2312" w:hAnsi="Calibri" w:eastAsia="仿宋_GB2312" w:cs="宋体"/>
          <w:sz w:val="24"/>
        </w:rPr>
      </w:pPr>
    </w:p>
    <w:p>
      <w:pPr>
        <w:spacing w:line="360" w:lineRule="auto"/>
        <w:ind w:firstLine="562" w:firstLineChars="200"/>
        <w:jc w:val="left"/>
        <w:rPr>
          <w:rFonts w:ascii="宋体" w:hAnsi="宋体" w:cs="宋体"/>
          <w:sz w:val="24"/>
          <w:szCs w:val="20"/>
        </w:rPr>
      </w:pPr>
      <w:r>
        <w:rPr>
          <w:rFonts w:hint="eastAsia" w:ascii="宋体" w:hAnsi="宋体" w:cs="宋体"/>
          <w:b/>
          <w:sz w:val="28"/>
          <w:szCs w:val="28"/>
        </w:rPr>
        <w:t>注</w:t>
      </w:r>
      <w:r>
        <w:rPr>
          <w:rFonts w:ascii="宋体" w:hAnsi="宋体" w:cs="宋体"/>
          <w:b/>
          <w:sz w:val="28"/>
          <w:szCs w:val="28"/>
        </w:rPr>
        <w:t>：</w:t>
      </w:r>
      <w:r>
        <w:rPr>
          <w:rFonts w:hint="eastAsia" w:ascii="宋体" w:hAnsi="宋体" w:cs="宋体"/>
          <w:sz w:val="28"/>
          <w:szCs w:val="28"/>
        </w:rPr>
        <w:t>须</w:t>
      </w:r>
      <w:r>
        <w:rPr>
          <w:rFonts w:ascii="宋体" w:hAnsi="宋体" w:cs="宋体"/>
          <w:sz w:val="28"/>
          <w:szCs w:val="28"/>
        </w:rPr>
        <w:t>提供</w:t>
      </w:r>
      <w:r>
        <w:rPr>
          <w:rFonts w:hint="eastAsia" w:ascii="宋体" w:hAnsi="宋体" w:cs="宋体"/>
          <w:sz w:val="28"/>
          <w:szCs w:val="28"/>
        </w:rPr>
        <w:t>省级以上监狱管理局、戒毒管理局（含新疆生产建设兵团）出具的属于监狱企业的证明文件</w:t>
      </w:r>
    </w:p>
    <w:p>
      <w:pPr>
        <w:pStyle w:val="122"/>
        <w:rPr>
          <w:rFonts w:hAnsi="宋体"/>
          <w:sz w:val="30"/>
        </w:rPr>
      </w:pPr>
    </w:p>
    <w:p>
      <w:pPr>
        <w:pStyle w:val="122"/>
        <w:rPr>
          <w:rFonts w:hAnsi="宋体"/>
          <w:sz w:val="30"/>
        </w:rPr>
      </w:pPr>
    </w:p>
    <w:p>
      <w:pPr>
        <w:pStyle w:val="122"/>
        <w:rPr>
          <w:rFonts w:hAnsi="宋体"/>
          <w:sz w:val="30"/>
        </w:rPr>
      </w:pPr>
    </w:p>
    <w:p>
      <w:pPr>
        <w:pStyle w:val="122"/>
        <w:rPr>
          <w:rFonts w:hAnsi="宋体"/>
          <w:sz w:val="30"/>
        </w:rPr>
      </w:pPr>
    </w:p>
    <w:p>
      <w:pPr>
        <w:pStyle w:val="122"/>
        <w:rPr>
          <w:rFonts w:hAnsi="宋体"/>
          <w:sz w:val="30"/>
        </w:rPr>
      </w:pPr>
    </w:p>
    <w:p>
      <w:pPr>
        <w:pStyle w:val="122"/>
        <w:rPr>
          <w:rFonts w:hAnsi="宋体"/>
          <w:sz w:val="30"/>
        </w:rPr>
      </w:pPr>
    </w:p>
    <w:p>
      <w:pPr>
        <w:spacing w:line="360" w:lineRule="auto"/>
        <w:rPr>
          <w:rFonts w:ascii="宋体" w:hAnsi="宋体"/>
          <w:sz w:val="24"/>
        </w:rPr>
      </w:pPr>
    </w:p>
    <w:bookmarkEnd w:id="120"/>
    <w:bookmarkEnd w:id="121"/>
    <w:p>
      <w:pPr>
        <w:pStyle w:val="4"/>
        <w:ind w:firstLine="600"/>
        <w:jc w:val="center"/>
        <w:rPr>
          <w:rFonts w:ascii="宋体" w:hAnsi="宋体" w:eastAsia="宋体"/>
          <w:b w:val="0"/>
          <w:bCs w:val="0"/>
        </w:rPr>
      </w:pPr>
      <w:bookmarkStart w:id="122" w:name="_Toc432670427"/>
      <w:bookmarkStart w:id="123" w:name="_Toc3736"/>
      <w:r>
        <w:rPr>
          <w:rFonts w:hint="eastAsia" w:ascii="宋体" w:hAnsi="宋体" w:eastAsia="宋体"/>
          <w:b w:val="0"/>
          <w:bCs w:val="0"/>
        </w:rPr>
        <w:t xml:space="preserve">四  </w:t>
      </w:r>
      <w:bookmarkEnd w:id="122"/>
      <w:r>
        <w:rPr>
          <w:rFonts w:hint="eastAsia" w:ascii="宋体" w:hAnsi="宋体" w:eastAsia="宋体"/>
          <w:b w:val="0"/>
          <w:bCs w:val="0"/>
        </w:rPr>
        <w:t xml:space="preserve"> 中标人公告内容</w:t>
      </w:r>
      <w:bookmarkEnd w:id="123"/>
    </w:p>
    <w:p>
      <w:pPr>
        <w:spacing w:line="360" w:lineRule="auto"/>
        <w:ind w:firstLine="560"/>
        <w:rPr>
          <w:rFonts w:ascii="宋体" w:hAnsi="宋体"/>
          <w:spacing w:val="20"/>
          <w:sz w:val="24"/>
        </w:rPr>
      </w:pPr>
      <w:r>
        <w:rPr>
          <w:rFonts w:hint="eastAsia" w:ascii="宋体" w:hAnsi="宋体"/>
          <w:spacing w:val="20"/>
          <w:sz w:val="24"/>
        </w:rPr>
        <w:t>采购项目：</w:t>
      </w:r>
    </w:p>
    <w:p>
      <w:pPr>
        <w:spacing w:line="360" w:lineRule="auto"/>
        <w:ind w:firstLine="560"/>
        <w:rPr>
          <w:rFonts w:ascii="宋体" w:hAnsi="宋体"/>
          <w:spacing w:val="20"/>
          <w:sz w:val="24"/>
        </w:rPr>
      </w:pPr>
      <w:r>
        <w:rPr>
          <w:rFonts w:hint="eastAsia" w:ascii="宋体" w:hAnsi="宋体"/>
          <w:spacing w:val="20"/>
          <w:sz w:val="24"/>
        </w:rPr>
        <w:t>项目编号</w:t>
      </w:r>
      <w:r>
        <w:rPr>
          <w:rFonts w:hint="eastAsia" w:ascii="宋体" w:hAnsi="宋体"/>
          <w:sz w:val="24"/>
          <w:szCs w:val="28"/>
        </w:rPr>
        <w:t>：</w:t>
      </w:r>
    </w:p>
    <w:tbl>
      <w:tblPr>
        <w:tblStyle w:val="53"/>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5"/>
        <w:gridCol w:w="1200"/>
        <w:gridCol w:w="1110"/>
        <w:gridCol w:w="166"/>
        <w:gridCol w:w="1843"/>
        <w:gridCol w:w="302"/>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60"/>
              <w:jc w:val="center"/>
              <w:rPr>
                <w:rFonts w:ascii="宋体" w:hAnsi="宋体"/>
                <w:spacing w:val="20"/>
                <w:sz w:val="24"/>
              </w:rPr>
            </w:pPr>
            <w:r>
              <w:rPr>
                <w:rFonts w:hint="eastAsia" w:ascii="宋体" w:hAnsi="宋体"/>
                <w:spacing w:val="20"/>
                <w:sz w:val="24"/>
              </w:rPr>
              <w:t>中标人名称</w:t>
            </w:r>
          </w:p>
        </w:tc>
        <w:tc>
          <w:tcPr>
            <w:tcW w:w="23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60"/>
              <w:jc w:val="center"/>
              <w:rPr>
                <w:rFonts w:ascii="宋体" w:hAnsi="宋体"/>
                <w:spacing w:val="20"/>
                <w:sz w:val="24"/>
              </w:rPr>
            </w:pPr>
          </w:p>
        </w:tc>
        <w:tc>
          <w:tcPr>
            <w:tcW w:w="231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spacing w:val="20"/>
                <w:sz w:val="24"/>
              </w:rPr>
            </w:pPr>
            <w:r>
              <w:rPr>
                <w:rFonts w:hint="eastAsia" w:ascii="宋体" w:hAnsi="宋体"/>
                <w:spacing w:val="20"/>
                <w:sz w:val="24"/>
              </w:rPr>
              <w:t>中标人负责人</w:t>
            </w:r>
          </w:p>
        </w:tc>
        <w:tc>
          <w:tcPr>
            <w:tcW w:w="1541" w:type="dxa"/>
            <w:tcBorders>
              <w:top w:val="single" w:color="auto" w:sz="4" w:space="0"/>
              <w:left w:val="single" w:color="auto" w:sz="4" w:space="0"/>
              <w:bottom w:val="single" w:color="auto" w:sz="4" w:space="0"/>
              <w:right w:val="single" w:color="auto" w:sz="4" w:space="0"/>
            </w:tcBorders>
            <w:vAlign w:val="center"/>
          </w:tcPr>
          <w:p>
            <w:pPr>
              <w:spacing w:line="360" w:lineRule="auto"/>
              <w:ind w:firstLine="560"/>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60"/>
              <w:jc w:val="center"/>
              <w:rPr>
                <w:rFonts w:ascii="宋体" w:hAnsi="宋体"/>
                <w:spacing w:val="20"/>
                <w:sz w:val="24"/>
              </w:rPr>
            </w:pPr>
            <w:r>
              <w:rPr>
                <w:rFonts w:hint="eastAsia" w:ascii="宋体" w:hAnsi="宋体"/>
                <w:spacing w:val="20"/>
                <w:sz w:val="24"/>
              </w:rPr>
              <w:t>中标人地址</w:t>
            </w:r>
          </w:p>
        </w:tc>
        <w:tc>
          <w:tcPr>
            <w:tcW w:w="6162"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ind w:firstLine="560"/>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ind w:firstLine="560"/>
              <w:jc w:val="center"/>
              <w:rPr>
                <w:rFonts w:ascii="宋体" w:hAnsi="宋体"/>
                <w:spacing w:val="20"/>
                <w:sz w:val="24"/>
              </w:rPr>
            </w:pPr>
            <w:r>
              <w:rPr>
                <w:rFonts w:hint="eastAsia" w:ascii="宋体" w:hAnsi="宋体"/>
                <w:spacing w:val="20"/>
                <w:sz w:val="24"/>
              </w:rPr>
              <w:t>中标标的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ind w:firstLine="560"/>
              <w:jc w:val="both"/>
              <w:rPr>
                <w:rFonts w:ascii="宋体" w:hAnsi="宋体"/>
                <w:spacing w:val="20"/>
                <w:sz w:val="24"/>
              </w:rPr>
            </w:pPr>
            <w:r>
              <w:rPr>
                <w:rFonts w:ascii="宋体" w:hAnsi="宋体"/>
                <w:spacing w:val="20"/>
                <w:sz w:val="24"/>
              </w:rPr>
              <w:t>内容</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20"/>
                <w:sz w:val="24"/>
              </w:rPr>
            </w:pPr>
            <w:r>
              <w:rPr>
                <w:rFonts w:hint="eastAsia" w:ascii="宋体" w:hAnsi="宋体"/>
                <w:spacing w:val="20"/>
                <w:sz w:val="24"/>
              </w:rPr>
              <w:t>单位</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20"/>
                <w:sz w:val="24"/>
              </w:rPr>
            </w:pPr>
            <w:r>
              <w:rPr>
                <w:rFonts w:hint="eastAsia" w:ascii="宋体" w:hAnsi="宋体"/>
                <w:spacing w:val="20"/>
                <w:sz w:val="24"/>
              </w:rPr>
              <w:t>数量</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20"/>
                <w:sz w:val="24"/>
              </w:rPr>
            </w:pPr>
            <w:r>
              <w:rPr>
                <w:rFonts w:hint="eastAsia" w:ascii="宋体" w:hAnsi="宋体"/>
                <w:spacing w:val="20"/>
                <w:sz w:val="24"/>
              </w:rPr>
              <w:t>单价（元）</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20"/>
                <w:sz w:val="24"/>
              </w:rPr>
            </w:pPr>
            <w:r>
              <w:rPr>
                <w:rFonts w:hint="eastAsia" w:ascii="宋体" w:hAnsi="宋体"/>
                <w:spacing w:val="20"/>
                <w:sz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ind w:firstLine="560"/>
              <w:jc w:val="center"/>
              <w:rPr>
                <w:rFonts w:ascii="宋体" w:hAnsi="宋体"/>
                <w:spacing w:val="20"/>
                <w:sz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60"/>
              <w:jc w:val="center"/>
              <w:rPr>
                <w:rFonts w:ascii="宋体" w:hAnsi="宋体"/>
                <w:spacing w:val="20"/>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60"/>
              <w:jc w:val="center"/>
              <w:rPr>
                <w:rFonts w:ascii="宋体" w:hAnsi="宋体"/>
                <w:spacing w:val="20"/>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560"/>
              <w:jc w:val="center"/>
              <w:rPr>
                <w:rFonts w:ascii="宋体" w:hAnsi="宋体"/>
                <w:spacing w:val="20"/>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60"/>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ind w:firstLine="560"/>
              <w:rPr>
                <w:rFonts w:ascii="宋体" w:hAnsi="宋体"/>
                <w:spacing w:val="20"/>
                <w:sz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60"/>
              <w:rPr>
                <w:rFonts w:ascii="宋体" w:hAnsi="宋体"/>
                <w:spacing w:val="20"/>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60"/>
              <w:rPr>
                <w:rFonts w:ascii="宋体" w:hAnsi="宋体"/>
                <w:spacing w:val="20"/>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560"/>
              <w:rPr>
                <w:rFonts w:ascii="宋体" w:hAnsi="宋体"/>
                <w:spacing w:val="20"/>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60"/>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ind w:firstLine="560"/>
              <w:rPr>
                <w:rFonts w:ascii="宋体" w:hAnsi="宋体"/>
                <w:spacing w:val="20"/>
                <w:sz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60"/>
              <w:rPr>
                <w:rFonts w:ascii="宋体" w:hAnsi="宋体"/>
                <w:spacing w:val="20"/>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60"/>
              <w:rPr>
                <w:rFonts w:ascii="宋体" w:hAnsi="宋体"/>
                <w:spacing w:val="20"/>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560"/>
              <w:rPr>
                <w:rFonts w:ascii="宋体" w:hAnsi="宋体"/>
                <w:spacing w:val="20"/>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60"/>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ind w:firstLine="560"/>
              <w:rPr>
                <w:rFonts w:ascii="宋体" w:hAnsi="宋体"/>
                <w:spacing w:val="20"/>
                <w:sz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60"/>
              <w:rPr>
                <w:rFonts w:ascii="宋体" w:hAnsi="宋体"/>
                <w:spacing w:val="20"/>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60"/>
              <w:rPr>
                <w:rFonts w:ascii="宋体" w:hAnsi="宋体"/>
                <w:spacing w:val="20"/>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560"/>
              <w:rPr>
                <w:rFonts w:ascii="宋体" w:hAnsi="宋体"/>
                <w:spacing w:val="20"/>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60"/>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ind w:firstLine="560"/>
              <w:rPr>
                <w:rFonts w:ascii="宋体" w:hAnsi="宋体"/>
                <w:spacing w:val="20"/>
                <w:sz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60"/>
              <w:rPr>
                <w:rFonts w:ascii="宋体" w:hAnsi="宋体"/>
                <w:spacing w:val="20"/>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60"/>
              <w:rPr>
                <w:rFonts w:ascii="宋体" w:hAnsi="宋体"/>
                <w:spacing w:val="20"/>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560"/>
              <w:rPr>
                <w:rFonts w:ascii="宋体" w:hAnsi="宋体"/>
                <w:spacing w:val="20"/>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60"/>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ind w:firstLine="560"/>
              <w:rPr>
                <w:rFonts w:ascii="宋体" w:hAnsi="宋体"/>
                <w:spacing w:val="20"/>
                <w:sz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60"/>
              <w:rPr>
                <w:rFonts w:ascii="宋体" w:hAnsi="宋体"/>
                <w:spacing w:val="20"/>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60"/>
              <w:rPr>
                <w:rFonts w:ascii="宋体" w:hAnsi="宋体"/>
                <w:spacing w:val="20"/>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560"/>
              <w:rPr>
                <w:rFonts w:ascii="宋体" w:hAnsi="宋体"/>
                <w:spacing w:val="20"/>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60"/>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ind w:firstLine="560"/>
              <w:jc w:val="center"/>
              <w:rPr>
                <w:rFonts w:ascii="宋体" w:hAnsi="宋体"/>
                <w:spacing w:val="20"/>
                <w:sz w:val="24"/>
              </w:rPr>
            </w:pPr>
            <w:r>
              <w:rPr>
                <w:rFonts w:hint="eastAsia" w:ascii="宋体" w:hAnsi="宋体"/>
                <w:spacing w:val="20"/>
                <w:sz w:val="24"/>
              </w:rPr>
              <w:t>中标金额合计</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60"/>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8472"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20"/>
                <w:sz w:val="24"/>
              </w:rPr>
            </w:pPr>
            <w:r>
              <w:rPr>
                <w:rFonts w:hint="eastAsia" w:ascii="宋体" w:hAnsi="宋体"/>
                <w:spacing w:val="20"/>
                <w:sz w:val="24"/>
              </w:rPr>
              <w:t>服务承诺：</w:t>
            </w:r>
          </w:p>
          <w:p>
            <w:pPr>
              <w:spacing w:line="360" w:lineRule="auto"/>
              <w:ind w:firstLine="560"/>
              <w:rPr>
                <w:rFonts w:ascii="宋体" w:hAnsi="宋体"/>
                <w:spacing w:val="20"/>
                <w:sz w:val="24"/>
              </w:rPr>
            </w:pPr>
          </w:p>
          <w:p>
            <w:pPr>
              <w:spacing w:line="360" w:lineRule="auto"/>
              <w:ind w:firstLine="560"/>
              <w:rPr>
                <w:rFonts w:ascii="宋体" w:hAnsi="宋体"/>
                <w:spacing w:val="20"/>
                <w:sz w:val="24"/>
              </w:rPr>
            </w:pPr>
          </w:p>
        </w:tc>
      </w:tr>
    </w:tbl>
    <w:p>
      <w:pPr>
        <w:ind w:firstLine="560"/>
        <w:rPr>
          <w:rFonts w:ascii="宋体" w:hAnsi="宋体"/>
          <w:spacing w:val="20"/>
          <w:szCs w:val="21"/>
        </w:rPr>
      </w:pPr>
      <w:r>
        <w:rPr>
          <w:rFonts w:hint="eastAsia" w:ascii="宋体" w:hAnsi="宋体"/>
          <w:spacing w:val="20"/>
          <w:szCs w:val="21"/>
        </w:rPr>
        <w:t>注：</w:t>
      </w:r>
    </w:p>
    <w:p>
      <w:pPr>
        <w:ind w:firstLine="500" w:firstLineChars="200"/>
        <w:rPr>
          <w:rFonts w:ascii="宋体" w:hAnsi="宋体"/>
          <w:spacing w:val="20"/>
          <w:szCs w:val="21"/>
        </w:rPr>
      </w:pPr>
      <w:r>
        <w:rPr>
          <w:rFonts w:hint="eastAsia" w:ascii="宋体" w:hAnsi="宋体"/>
          <w:spacing w:val="20"/>
          <w:szCs w:val="21"/>
        </w:rPr>
        <w:t>1.中标人应根据其投标情况填写该表，并保证其与投标文件内容的一致性、正确性和真实性；</w:t>
      </w:r>
    </w:p>
    <w:p>
      <w:pPr>
        <w:ind w:firstLine="490" w:firstLineChars="196"/>
        <w:rPr>
          <w:rFonts w:ascii="宋体" w:hAnsi="宋体"/>
          <w:spacing w:val="20"/>
          <w:szCs w:val="21"/>
        </w:rPr>
      </w:pPr>
      <w:r>
        <w:rPr>
          <w:rFonts w:hint="eastAsia" w:ascii="宋体" w:hAnsi="宋体"/>
          <w:spacing w:val="20"/>
          <w:szCs w:val="21"/>
        </w:rPr>
        <w:t>2.填写该表不代表中标人已具有中标人资格。本表只作为中标结果公告内容的一部分，进行公告使用；</w:t>
      </w:r>
    </w:p>
    <w:p>
      <w:pPr>
        <w:ind w:firstLine="490" w:firstLineChars="196"/>
        <w:rPr>
          <w:rFonts w:ascii="宋体" w:hAnsi="宋体"/>
          <w:spacing w:val="20"/>
          <w:szCs w:val="21"/>
        </w:rPr>
      </w:pPr>
      <w:r>
        <w:rPr>
          <w:rFonts w:hint="eastAsia" w:ascii="宋体" w:hAnsi="宋体"/>
          <w:spacing w:val="20"/>
          <w:szCs w:val="21"/>
        </w:rPr>
        <w:t>3.本表内容涉及较多，中标人可以适当增减表格行数，以保证表格内容的完整；</w:t>
      </w:r>
    </w:p>
    <w:p>
      <w:pPr>
        <w:ind w:firstLine="490" w:firstLineChars="196"/>
        <w:rPr>
          <w:rFonts w:ascii="宋体" w:hAnsi="宋体"/>
          <w:spacing w:val="20"/>
          <w:szCs w:val="21"/>
        </w:rPr>
      </w:pPr>
      <w:r>
        <w:rPr>
          <w:rFonts w:hint="eastAsia" w:ascii="宋体" w:hAnsi="宋体"/>
          <w:spacing w:val="20"/>
          <w:szCs w:val="21"/>
        </w:rPr>
        <w:t>4.评审结果排名第一的中标人在评审结束后</w:t>
      </w:r>
      <w:r>
        <w:rPr>
          <w:rFonts w:hint="eastAsia" w:ascii="宋体" w:hAnsi="宋体"/>
          <w:b/>
          <w:spacing w:val="20"/>
          <w:szCs w:val="21"/>
        </w:rPr>
        <w:t>2个工作日内</w:t>
      </w:r>
      <w:r>
        <w:rPr>
          <w:rFonts w:hint="eastAsia" w:ascii="宋体" w:hAnsi="宋体"/>
          <w:spacing w:val="20"/>
          <w:szCs w:val="21"/>
        </w:rPr>
        <w:t>将该表格提交给代理机构的项目负责人。未按时提交规定内容造成后果由中标人自行承担；</w:t>
      </w:r>
    </w:p>
    <w:p>
      <w:pPr>
        <w:ind w:firstLine="490" w:firstLineChars="196"/>
        <w:rPr>
          <w:rFonts w:ascii="宋体" w:hAnsi="宋体"/>
          <w:spacing w:val="20"/>
          <w:szCs w:val="21"/>
        </w:rPr>
      </w:pPr>
      <w:r>
        <w:rPr>
          <w:rFonts w:hint="eastAsia" w:ascii="宋体" w:hAnsi="宋体"/>
          <w:spacing w:val="20"/>
          <w:szCs w:val="21"/>
        </w:rPr>
        <w:t>5.中标结果公告内容如涉及中标人的商业秘密等法律法规规定可以不予公告的情形，中标人应另附书面说明，如未事前书面说明造成的后果由中标人自行承担。</w:t>
      </w:r>
    </w:p>
    <w:p>
      <w:pPr>
        <w:ind w:firstLine="560"/>
        <w:rPr>
          <w:rFonts w:ascii="宋体" w:hAnsi="宋体"/>
          <w:spacing w:val="20"/>
          <w:sz w:val="24"/>
        </w:rPr>
      </w:pPr>
    </w:p>
    <w:p>
      <w:pPr>
        <w:pStyle w:val="572"/>
        <w:snapToGrid w:val="0"/>
        <w:ind w:firstLine="560"/>
        <w:jc w:val="center"/>
        <w:rPr>
          <w:rFonts w:hAnsi="宋体"/>
          <w:spacing w:val="20"/>
        </w:rPr>
      </w:pPr>
    </w:p>
    <w:p>
      <w:pPr>
        <w:widowControl/>
        <w:ind w:firstLine="480"/>
        <w:jc w:val="left"/>
        <w:rPr>
          <w:rFonts w:hAnsi="宋体"/>
          <w:b/>
          <w:sz w:val="30"/>
          <w:szCs w:val="20"/>
        </w:rPr>
      </w:pPr>
      <w:r>
        <w:rPr>
          <w:rFonts w:hAnsi="宋体"/>
          <w:bCs/>
        </w:rPr>
        <w:br w:type="page"/>
      </w:r>
    </w:p>
    <w:p>
      <w:pPr>
        <w:pStyle w:val="4"/>
        <w:spacing w:before="120" w:after="120"/>
        <w:ind w:firstLine="600"/>
        <w:jc w:val="center"/>
        <w:rPr>
          <w:rFonts w:ascii="宋体" w:hAnsi="宋体" w:eastAsia="宋体"/>
          <w:b w:val="0"/>
          <w:bCs w:val="0"/>
        </w:rPr>
      </w:pPr>
      <w:bookmarkStart w:id="124" w:name="_Toc26125"/>
      <w:r>
        <w:rPr>
          <w:rFonts w:hint="eastAsia" w:ascii="宋体" w:hAnsi="宋体" w:eastAsia="宋体"/>
          <w:b w:val="0"/>
          <w:bCs w:val="0"/>
        </w:rPr>
        <w:t xml:space="preserve">五   </w:t>
      </w:r>
      <w:r>
        <w:rPr>
          <w:rFonts w:ascii="宋体" w:hAnsi="宋体" w:eastAsia="宋体"/>
          <w:b w:val="0"/>
          <w:bCs w:val="0"/>
        </w:rPr>
        <w:t>现场确认声明书</w:t>
      </w:r>
      <w:bookmarkEnd w:id="124"/>
    </w:p>
    <w:p>
      <w:pPr>
        <w:pStyle w:val="5"/>
        <w:ind w:firstLine="600"/>
        <w:jc w:val="center"/>
      </w:pPr>
      <w:r>
        <w:rPr>
          <w:rFonts w:hint="eastAsia" w:ascii="宋体" w:hAnsi="宋体"/>
          <w:sz w:val="30"/>
        </w:rPr>
        <w:t>（如为联合体，各方均须提供。）</w:t>
      </w:r>
    </w:p>
    <w:p>
      <w:pPr>
        <w:spacing w:line="440" w:lineRule="exact"/>
        <w:jc w:val="left"/>
        <w:rPr>
          <w:rFonts w:ascii="宋体" w:hAnsi="宋体"/>
          <w:sz w:val="24"/>
          <w:u w:val="single"/>
        </w:rPr>
      </w:pPr>
      <w:r>
        <w:rPr>
          <w:rFonts w:hint="eastAsia" w:ascii="宋体" w:hAnsi="宋体"/>
          <w:sz w:val="24"/>
          <w:u w:val="single"/>
        </w:rPr>
        <w:t>浙江建航工程咨询有限公司：</w:t>
      </w:r>
    </w:p>
    <w:p>
      <w:pPr>
        <w:spacing w:line="440" w:lineRule="exact"/>
        <w:rPr>
          <w:rFonts w:ascii="宋体" w:hAnsi="宋体"/>
          <w:sz w:val="24"/>
        </w:rPr>
      </w:pPr>
      <w:r>
        <w:rPr>
          <w:rFonts w:hint="eastAsia" w:ascii="宋体" w:hAnsi="宋体"/>
          <w:sz w:val="24"/>
        </w:rPr>
        <w:t xml:space="preserve">    本人经由</w:t>
      </w:r>
      <w:r>
        <w:rPr>
          <w:rFonts w:hint="eastAsia" w:ascii="宋体" w:hAnsi="宋体"/>
          <w:sz w:val="24"/>
          <w:u w:val="single"/>
        </w:rPr>
        <w:t xml:space="preserve">                        （公司</w:t>
      </w:r>
      <w:r>
        <w:rPr>
          <w:rFonts w:ascii="宋体" w:hAnsi="宋体"/>
          <w:sz w:val="24"/>
          <w:u w:val="single"/>
        </w:rPr>
        <w:t>名称</w:t>
      </w:r>
      <w:r>
        <w:rPr>
          <w:rFonts w:hint="eastAsia" w:ascii="宋体" w:hAnsi="宋体"/>
          <w:sz w:val="24"/>
          <w:u w:val="single"/>
        </w:rPr>
        <w:t>）</w:t>
      </w:r>
      <w:r>
        <w:rPr>
          <w:rFonts w:hint="eastAsia" w:ascii="宋体" w:hAnsi="宋体"/>
          <w:sz w:val="24"/>
        </w:rPr>
        <w:t>委派参加</w:t>
      </w:r>
      <w:r>
        <w:rPr>
          <w:rFonts w:hint="eastAsia" w:ascii="宋体" w:hAnsi="宋体"/>
          <w:sz w:val="24"/>
          <w:u w:val="single"/>
        </w:rPr>
        <w:t>碧湖新城智慧城市规划编制项目</w:t>
      </w:r>
      <w:r>
        <w:rPr>
          <w:rFonts w:ascii="宋体" w:hAnsi="宋体"/>
          <w:sz w:val="24"/>
          <w:u w:val="single"/>
        </w:rPr>
        <w:t>（</w:t>
      </w:r>
      <w:r>
        <w:rPr>
          <w:rFonts w:hint="eastAsia" w:ascii="宋体" w:hAnsi="宋体"/>
          <w:sz w:val="24"/>
          <w:u w:val="single"/>
        </w:rPr>
        <w:t>项目编号</w:t>
      </w:r>
      <w:r>
        <w:rPr>
          <w:rFonts w:ascii="宋体" w:hAnsi="宋体"/>
          <w:sz w:val="24"/>
          <w:u w:val="single"/>
        </w:rPr>
        <w:t>：</w:t>
      </w:r>
      <w:r>
        <w:rPr>
          <w:rFonts w:hint="eastAsia" w:ascii="宋体" w:hAnsi="宋体"/>
          <w:sz w:val="24"/>
          <w:u w:val="single"/>
        </w:rPr>
        <w:t>浙建航招2024102号</w:t>
      </w:r>
      <w:r>
        <w:rPr>
          <w:rFonts w:ascii="宋体" w:hAnsi="宋体"/>
          <w:sz w:val="24"/>
          <w:u w:val="single"/>
        </w:rPr>
        <w:t>）</w:t>
      </w:r>
      <w:r>
        <w:rPr>
          <w:rFonts w:hint="eastAsia" w:ascii="宋体" w:hAnsi="宋体"/>
          <w:sz w:val="24"/>
        </w:rPr>
        <w:t>政府采购活动，经与本单位法人代表（负责人）联系确认，现就有关公平竞争事项郑重声明如下：</w:t>
      </w:r>
    </w:p>
    <w:p>
      <w:pPr>
        <w:spacing w:line="440" w:lineRule="exact"/>
        <w:rPr>
          <w:rFonts w:ascii="宋体" w:hAnsi="宋体"/>
          <w:sz w:val="24"/>
        </w:rPr>
      </w:pPr>
      <w:r>
        <w:rPr>
          <w:rFonts w:hint="eastAsia" w:ascii="宋体" w:hAnsi="宋体"/>
          <w:sz w:val="24"/>
        </w:rPr>
        <w:t xml:space="preserve">    一、本单位与采购人之间 </w:t>
      </w:r>
      <w:r>
        <w:rPr>
          <w:rFonts w:hint="eastAsia" w:ascii="宋体" w:hAnsi="宋体"/>
          <w:b/>
          <w:sz w:val="24"/>
        </w:rPr>
        <w:t>□不存在利害关系</w:t>
      </w:r>
      <w:r>
        <w:rPr>
          <w:rFonts w:hint="eastAsia" w:ascii="宋体" w:hAnsi="宋体"/>
          <w:sz w:val="24"/>
        </w:rPr>
        <w:t xml:space="preserve"> □存在下列利害关系</w:t>
      </w:r>
      <w:r>
        <w:rPr>
          <w:rFonts w:hint="eastAsia" w:ascii="宋体" w:hAnsi="宋体"/>
          <w:sz w:val="24"/>
          <w:u w:val="single"/>
        </w:rPr>
        <w:t>：</w:t>
      </w:r>
    </w:p>
    <w:p>
      <w:pPr>
        <w:spacing w:line="440" w:lineRule="exact"/>
        <w:rPr>
          <w:rFonts w:ascii="宋体" w:hAnsi="宋体"/>
          <w:sz w:val="24"/>
        </w:rPr>
      </w:pPr>
      <w:r>
        <w:rPr>
          <w:rFonts w:hint="eastAsia" w:ascii="宋体" w:hAnsi="宋体"/>
          <w:sz w:val="24"/>
        </w:rPr>
        <w:t xml:space="preserve">    A.投资关系    B.行政隶属关系    C.业务指导关系</w:t>
      </w:r>
    </w:p>
    <w:p>
      <w:pPr>
        <w:spacing w:line="440" w:lineRule="exact"/>
        <w:ind w:firstLine="480"/>
        <w:rPr>
          <w:rFonts w:ascii="宋体" w:hAnsi="宋体"/>
          <w:sz w:val="24"/>
          <w:u w:val="single"/>
        </w:rPr>
      </w:pPr>
      <w:r>
        <w:rPr>
          <w:rFonts w:hint="eastAsia" w:ascii="宋体" w:hAnsi="宋体"/>
          <w:sz w:val="24"/>
        </w:rPr>
        <w:t>D.其他可能影响采购公正的利害关系（如有，请如实说明）</w:t>
      </w:r>
    </w:p>
    <w:p>
      <w:pPr>
        <w:spacing w:line="440" w:lineRule="exact"/>
        <w:ind w:firstLine="480"/>
        <w:rPr>
          <w:rFonts w:ascii="宋体" w:hAnsi="宋体"/>
          <w:sz w:val="24"/>
        </w:rPr>
      </w:pPr>
      <w:r>
        <w:rPr>
          <w:rFonts w:hint="eastAsia" w:ascii="宋体" w:hAnsi="宋体"/>
          <w:sz w:val="24"/>
        </w:rPr>
        <w:t>二、现已清楚知道参加本项目采购活动的其他所有投标人名称，本单位</w:t>
      </w:r>
    </w:p>
    <w:p>
      <w:pPr>
        <w:spacing w:line="440" w:lineRule="exact"/>
        <w:ind w:firstLine="482"/>
        <w:rPr>
          <w:rFonts w:ascii="宋体" w:hAnsi="宋体"/>
          <w:sz w:val="24"/>
        </w:rPr>
      </w:pPr>
      <w:r>
        <w:rPr>
          <w:rFonts w:hint="eastAsia" w:ascii="宋体" w:hAnsi="宋体"/>
          <w:b/>
          <w:sz w:val="24"/>
        </w:rPr>
        <w:t>□与其他所有投标人之间均不存在利害关系</w:t>
      </w:r>
      <w:r>
        <w:rPr>
          <w:rFonts w:hint="eastAsia" w:ascii="宋体" w:hAnsi="宋体"/>
          <w:sz w:val="24"/>
        </w:rPr>
        <w:t xml:space="preserve">  □与</w:t>
      </w:r>
      <w:r>
        <w:rPr>
          <w:rFonts w:hint="eastAsia" w:ascii="宋体" w:hAnsi="宋体"/>
          <w:sz w:val="24"/>
          <w:u w:val="single"/>
        </w:rPr>
        <w:t xml:space="preserve">（投标人名称）  </w:t>
      </w:r>
      <w:r>
        <w:rPr>
          <w:rFonts w:hint="eastAsia" w:ascii="宋体" w:hAnsi="宋体"/>
          <w:sz w:val="24"/>
        </w:rPr>
        <w:t>之间存在下列利害关系：</w:t>
      </w:r>
    </w:p>
    <w:p>
      <w:pPr>
        <w:spacing w:line="440" w:lineRule="exact"/>
        <w:rPr>
          <w:rFonts w:ascii="宋体" w:hAnsi="宋体"/>
          <w:sz w:val="24"/>
        </w:rPr>
      </w:pPr>
      <w:r>
        <w:rPr>
          <w:rFonts w:hint="eastAsia" w:ascii="宋体" w:hAnsi="宋体"/>
          <w:sz w:val="24"/>
        </w:rPr>
        <w:t xml:space="preserve">    A.法定代表人或负责人或实际控制人是同一人</w:t>
      </w:r>
    </w:p>
    <w:p>
      <w:pPr>
        <w:spacing w:line="440" w:lineRule="exact"/>
        <w:rPr>
          <w:rFonts w:ascii="宋体" w:hAnsi="宋体"/>
          <w:sz w:val="24"/>
        </w:rPr>
      </w:pPr>
      <w:r>
        <w:rPr>
          <w:rFonts w:hint="eastAsia" w:ascii="宋体" w:hAnsi="宋体"/>
          <w:sz w:val="24"/>
        </w:rPr>
        <w:t xml:space="preserve">    B.法定代表人或负责人或实际控制人是夫妻关系</w:t>
      </w:r>
    </w:p>
    <w:p>
      <w:pPr>
        <w:spacing w:line="440" w:lineRule="exact"/>
        <w:rPr>
          <w:rFonts w:ascii="宋体" w:hAnsi="宋体"/>
          <w:sz w:val="24"/>
        </w:rPr>
      </w:pPr>
      <w:r>
        <w:rPr>
          <w:rFonts w:hint="eastAsia" w:ascii="宋体" w:hAnsi="宋体"/>
          <w:sz w:val="24"/>
        </w:rPr>
        <w:t xml:space="preserve">    C.法定代表人或负责人或实际控制人是直系血亲关系</w:t>
      </w:r>
    </w:p>
    <w:p>
      <w:pPr>
        <w:spacing w:line="440" w:lineRule="exact"/>
        <w:rPr>
          <w:rFonts w:ascii="宋体" w:hAnsi="宋体"/>
          <w:sz w:val="24"/>
        </w:rPr>
      </w:pPr>
      <w:r>
        <w:rPr>
          <w:rFonts w:hint="eastAsia" w:ascii="宋体" w:hAnsi="宋体"/>
          <w:sz w:val="24"/>
        </w:rPr>
        <w:t xml:space="preserve">    D.法定代表人或负责人或实际控制人存在三代以内旁系血亲关系</w:t>
      </w:r>
    </w:p>
    <w:p>
      <w:pPr>
        <w:spacing w:line="440" w:lineRule="exact"/>
        <w:rPr>
          <w:rFonts w:ascii="宋体" w:hAnsi="宋体"/>
          <w:sz w:val="24"/>
        </w:rPr>
      </w:pPr>
      <w:r>
        <w:rPr>
          <w:rFonts w:hint="eastAsia" w:ascii="宋体" w:hAnsi="宋体"/>
          <w:sz w:val="24"/>
        </w:rPr>
        <w:t xml:space="preserve">    E.法定代表人或负责人或实际控制人存在近姻亲关系</w:t>
      </w:r>
    </w:p>
    <w:p>
      <w:pPr>
        <w:spacing w:line="440" w:lineRule="exact"/>
        <w:rPr>
          <w:rFonts w:ascii="宋体" w:hAnsi="宋体"/>
          <w:sz w:val="24"/>
        </w:rPr>
      </w:pPr>
      <w:r>
        <w:rPr>
          <w:rFonts w:hint="eastAsia" w:ascii="宋体" w:hAnsi="宋体"/>
          <w:sz w:val="24"/>
        </w:rPr>
        <w:t xml:space="preserve">    F.法定代表人或负责人或实际控制人存在股份控制或实际控制关系</w:t>
      </w:r>
    </w:p>
    <w:p>
      <w:pPr>
        <w:spacing w:line="440" w:lineRule="exact"/>
        <w:rPr>
          <w:rFonts w:ascii="宋体" w:hAnsi="宋体"/>
          <w:sz w:val="24"/>
        </w:rPr>
      </w:pPr>
      <w:r>
        <w:rPr>
          <w:rFonts w:hint="eastAsia" w:ascii="宋体" w:hAnsi="宋体"/>
          <w:sz w:val="24"/>
        </w:rPr>
        <w:t xml:space="preserve">    G.存在共同直接或间接投资设立子公司、联营企业和合营企业情况</w:t>
      </w:r>
    </w:p>
    <w:p>
      <w:pPr>
        <w:spacing w:line="440" w:lineRule="exact"/>
        <w:rPr>
          <w:rFonts w:ascii="宋体" w:hAnsi="宋体"/>
          <w:sz w:val="24"/>
        </w:rPr>
      </w:pPr>
      <w:r>
        <w:rPr>
          <w:rFonts w:hint="eastAsia" w:ascii="宋体" w:hAnsi="宋体"/>
          <w:sz w:val="24"/>
        </w:rPr>
        <w:t xml:space="preserve">    H.存在分级代理或代销关系、同一生产制造商关系、管理关系、重要业务（占主营业务收入50%以上）或重要财务往来关系（如融资）等其他实质性控制关系</w:t>
      </w:r>
    </w:p>
    <w:p>
      <w:pPr>
        <w:spacing w:line="440" w:lineRule="exact"/>
        <w:ind w:left="240" w:hanging="240" w:hangingChars="100"/>
        <w:rPr>
          <w:rFonts w:ascii="宋体" w:hAnsi="宋体"/>
          <w:sz w:val="24"/>
        </w:rPr>
      </w:pPr>
      <w:r>
        <w:rPr>
          <w:rFonts w:hint="eastAsia" w:ascii="宋体" w:hAnsi="宋体"/>
          <w:sz w:val="24"/>
        </w:rPr>
        <w:t xml:space="preserve">    I.其他利害关系情况 </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spacing w:line="440" w:lineRule="exact"/>
        <w:ind w:firstLine="480"/>
        <w:rPr>
          <w:rFonts w:ascii="宋体" w:hAnsi="宋体"/>
          <w:sz w:val="24"/>
        </w:rPr>
      </w:pPr>
      <w:r>
        <w:rPr>
          <w:rFonts w:hint="eastAsia" w:ascii="宋体" w:hAnsi="宋体"/>
          <w:sz w:val="24"/>
        </w:rPr>
        <w:t>三、现已清楚知道并严格遵守政府采购法律法规和现场纪律。</w:t>
      </w:r>
    </w:p>
    <w:p>
      <w:pPr>
        <w:spacing w:line="440" w:lineRule="exact"/>
        <w:ind w:firstLine="480"/>
        <w:rPr>
          <w:rFonts w:ascii="宋体" w:hAnsi="宋体"/>
          <w:sz w:val="24"/>
        </w:rPr>
      </w:pPr>
      <w:r>
        <w:rPr>
          <w:rFonts w:hint="eastAsia" w:ascii="宋体" w:hAnsi="宋体"/>
          <w:sz w:val="24"/>
        </w:rPr>
        <w:t xml:space="preserve">四、我发现和投标人之间存在或可能存在上述第二条第项利害关系。 </w:t>
      </w:r>
    </w:p>
    <w:p>
      <w:pPr>
        <w:spacing w:line="276" w:lineRule="auto"/>
        <w:ind w:right="480" w:firstLine="120" w:firstLineChars="50"/>
        <w:jc w:val="center"/>
        <w:rPr>
          <w:rFonts w:ascii="宋体" w:hAnsi="宋体"/>
          <w:sz w:val="24"/>
        </w:rPr>
      </w:pPr>
      <w:r>
        <w:rPr>
          <w:rFonts w:hint="eastAsia" w:ascii="宋体" w:hAnsi="宋体"/>
          <w:sz w:val="24"/>
        </w:rPr>
        <w:t xml:space="preserve">                                 （</w:t>
      </w:r>
      <w:r>
        <w:rPr>
          <w:rFonts w:ascii="宋体" w:hAnsi="宋体"/>
          <w:sz w:val="24"/>
        </w:rPr>
        <w:t>负责人或投标人代表签名</w:t>
      </w:r>
      <w:r>
        <w:rPr>
          <w:rFonts w:hint="eastAsia" w:ascii="宋体" w:hAnsi="宋体"/>
          <w:sz w:val="24"/>
        </w:rPr>
        <w:t xml:space="preserve">）： </w:t>
      </w:r>
    </w:p>
    <w:p>
      <w:pPr>
        <w:spacing w:line="276" w:lineRule="auto"/>
        <w:jc w:val="right"/>
        <w:rPr>
          <w:rFonts w:hAnsi="宋体"/>
        </w:rPr>
      </w:pPr>
      <w:r>
        <w:rPr>
          <w:rFonts w:hint="eastAsia" w:ascii="宋体" w:hAnsi="宋体"/>
          <w:sz w:val="24"/>
        </w:rPr>
        <w:t xml:space="preserve">   年   月   日</w:t>
      </w:r>
      <w:r>
        <w:rPr>
          <w:rFonts w:hint="eastAsia" w:ascii="宋体" w:hAnsi="宋体"/>
          <w:sz w:val="24"/>
        </w:rPr>
        <w:tab/>
      </w:r>
    </w:p>
    <w:p>
      <w:pPr>
        <w:spacing w:line="276" w:lineRule="auto"/>
        <w:ind w:firstLine="472" w:firstLineChars="196"/>
        <w:rPr>
          <w:rFonts w:ascii="宋体" w:hAnsi="宋体"/>
          <w:b/>
          <w:sz w:val="24"/>
        </w:rPr>
      </w:pPr>
      <w:r>
        <w:rPr>
          <w:rFonts w:hint="eastAsia" w:ascii="宋体" w:hAnsi="宋体"/>
          <w:b/>
          <w:sz w:val="24"/>
        </w:rPr>
        <w:t>注：1.投标人认为有利害关系和需要回避的人员，应提供相关证明材料，与本声明书一同提交。由采购代理</w:t>
      </w:r>
      <w:r>
        <w:rPr>
          <w:rFonts w:ascii="宋体" w:hAnsi="宋体"/>
          <w:b/>
          <w:sz w:val="24"/>
        </w:rPr>
        <w:t>机构</w:t>
      </w:r>
      <w:r>
        <w:rPr>
          <w:rFonts w:hint="eastAsia" w:ascii="宋体" w:hAnsi="宋体"/>
          <w:b/>
          <w:sz w:val="24"/>
        </w:rPr>
        <w:t>和财政监督</w:t>
      </w:r>
      <w:r>
        <w:rPr>
          <w:rFonts w:ascii="宋体" w:hAnsi="宋体"/>
          <w:b/>
          <w:sz w:val="24"/>
        </w:rPr>
        <w:t>部门</w:t>
      </w:r>
      <w:r>
        <w:rPr>
          <w:rFonts w:hint="eastAsia" w:ascii="宋体" w:hAnsi="宋体"/>
          <w:b/>
          <w:sz w:val="24"/>
        </w:rPr>
        <w:t>负责询问核查。</w:t>
      </w:r>
    </w:p>
    <w:p>
      <w:pPr>
        <w:spacing w:line="276" w:lineRule="auto"/>
        <w:ind w:firstLine="836" w:firstLineChars="347"/>
        <w:rPr>
          <w:rFonts w:ascii="宋体" w:hAnsi="宋体"/>
          <w:sz w:val="24"/>
        </w:rPr>
      </w:pPr>
      <w:r>
        <w:rPr>
          <w:rFonts w:hint="eastAsia" w:ascii="宋体" w:hAnsi="宋体"/>
          <w:b/>
          <w:sz w:val="24"/>
        </w:rPr>
        <w:t>2.投标人根据解密后交易平台公布的投标人名单及信息，通过现场或邮件方式提交《政府采购活动现场确认声明书》，提交时间在名单公布后的20分钟内，未按规定提交的，视为均无利害关系。</w:t>
      </w:r>
    </w:p>
    <w:p>
      <w:pPr>
        <w:pStyle w:val="3"/>
        <w:spacing w:line="560" w:lineRule="exact"/>
        <w:ind w:firstLine="723"/>
        <w:rPr>
          <w:rFonts w:ascii="宋体" w:hAnsi="宋体" w:eastAsia="宋体"/>
        </w:rPr>
      </w:pPr>
      <w:bookmarkStart w:id="125" w:name="_Toc20543"/>
      <w:r>
        <w:rPr>
          <w:rFonts w:hint="eastAsia" w:ascii="宋体" w:hAnsi="宋体" w:eastAsia="宋体"/>
        </w:rPr>
        <w:t>第六章评标办法和细则</w:t>
      </w:r>
      <w:bookmarkEnd w:id="125"/>
    </w:p>
    <w:p>
      <w:pPr>
        <w:pStyle w:val="30"/>
        <w:snapToGrid/>
        <w:spacing w:line="360" w:lineRule="auto"/>
        <w:ind w:firstLineChars="200"/>
        <w:rPr>
          <w:rFonts w:ascii="宋体" w:hAnsi="宋体" w:eastAsia="宋体"/>
        </w:rPr>
      </w:pPr>
      <w:r>
        <w:rPr>
          <w:rFonts w:hint="eastAsia" w:ascii="宋体" w:hAnsi="宋体" w:eastAsia="宋体"/>
        </w:rPr>
        <w:t>根据《中华人民共和国政府采购法》等有关法律法规的规定，并结合本项目的实际，按照公正、公平、科学、择优的原则选择中标人，特制定本办法。</w:t>
      </w:r>
    </w:p>
    <w:p>
      <w:pPr>
        <w:pStyle w:val="4"/>
        <w:spacing w:line="560" w:lineRule="exact"/>
        <w:ind w:firstLine="300" w:firstLineChars="100"/>
        <w:rPr>
          <w:rFonts w:ascii="宋体" w:hAnsi="宋体" w:eastAsia="宋体"/>
          <w:b w:val="0"/>
          <w:bCs w:val="0"/>
        </w:rPr>
      </w:pPr>
      <w:bookmarkStart w:id="126" w:name="_Toc18083"/>
      <w:r>
        <w:rPr>
          <w:rFonts w:hint="eastAsia" w:ascii="宋体" w:hAnsi="宋体" w:eastAsia="宋体"/>
          <w:b w:val="0"/>
          <w:bCs w:val="0"/>
        </w:rPr>
        <w:t>一   总则</w:t>
      </w:r>
      <w:bookmarkEnd w:id="126"/>
    </w:p>
    <w:p>
      <w:pPr>
        <w:spacing w:line="360" w:lineRule="auto"/>
        <w:ind w:firstLine="480" w:firstLineChars="200"/>
        <w:rPr>
          <w:rFonts w:ascii="宋体" w:hAnsi="宋体"/>
          <w:sz w:val="24"/>
        </w:rPr>
      </w:pPr>
      <w:r>
        <w:rPr>
          <w:rFonts w:hint="eastAsia" w:ascii="宋体" w:hAnsi="宋体"/>
          <w:sz w:val="24"/>
        </w:rPr>
        <w:t>1.1为最大限度地保护各当事人的权益，评审委员会应严格按照招标文件的商务技术、报价要求，对</w:t>
      </w:r>
      <w:r>
        <w:rPr>
          <w:rFonts w:hint="eastAsia" w:ascii="宋体" w:hAnsi="宋体"/>
          <w:kern w:val="0"/>
          <w:sz w:val="24"/>
        </w:rPr>
        <w:t>投标文件</w:t>
      </w:r>
      <w:r>
        <w:rPr>
          <w:rFonts w:hint="eastAsia" w:ascii="宋体" w:hAnsi="宋体"/>
          <w:sz w:val="24"/>
        </w:rPr>
        <w:t>进行综合分析评价并编制评标报告。评审专家必须严格遵守保密规定，不得泄漏评标有关的情况，不得索贿受贿，不得参加影响评标的任何活动。</w:t>
      </w:r>
    </w:p>
    <w:p>
      <w:pPr>
        <w:spacing w:line="360" w:lineRule="auto"/>
        <w:ind w:firstLine="482" w:firstLineChars="200"/>
        <w:rPr>
          <w:rFonts w:ascii="宋体" w:hAnsi="宋体"/>
          <w:b/>
          <w:sz w:val="24"/>
        </w:rPr>
      </w:pPr>
      <w:r>
        <w:rPr>
          <w:rFonts w:hint="eastAsia" w:ascii="宋体" w:hAnsi="宋体"/>
          <w:b/>
          <w:sz w:val="24"/>
        </w:rPr>
        <w:t>1.</w:t>
      </w:r>
      <w:r>
        <w:rPr>
          <w:rFonts w:ascii="宋体" w:hAnsi="宋体"/>
          <w:b/>
          <w:sz w:val="24"/>
        </w:rPr>
        <w:t>2</w:t>
      </w:r>
      <w:r>
        <w:rPr>
          <w:rFonts w:hint="eastAsia" w:ascii="宋体" w:hAnsi="宋体"/>
          <w:b/>
          <w:sz w:val="24"/>
        </w:rPr>
        <w:t>本次评审方法采取百分制综合评分法，按总得分由高到低顺序排列。总得分相同的，按报价得分由高到低顺序排列；总得分和报价得分均相同的，按技术部分得分由高到低顺序排列；以上得分均相同的，由采购人抽签确定排名（即第一抽出人为第一名，以此类推）。评审委员会按总得分从高到低推荐一名中标候选人，由采购人确定本项目中标人。</w:t>
      </w:r>
    </w:p>
    <w:p>
      <w:pPr>
        <w:pStyle w:val="4"/>
        <w:spacing w:line="560" w:lineRule="exact"/>
        <w:ind w:firstLine="300" w:firstLineChars="100"/>
        <w:rPr>
          <w:rFonts w:ascii="宋体" w:hAnsi="宋体" w:eastAsia="宋体"/>
          <w:b w:val="0"/>
          <w:bCs w:val="0"/>
        </w:rPr>
      </w:pPr>
      <w:bookmarkStart w:id="127" w:name="_Toc28793"/>
      <w:r>
        <w:rPr>
          <w:rFonts w:hint="eastAsia" w:ascii="宋体" w:hAnsi="宋体" w:eastAsia="宋体"/>
          <w:b w:val="0"/>
          <w:bCs w:val="0"/>
        </w:rPr>
        <w:t>二   评审委员会</w:t>
      </w:r>
      <w:bookmarkEnd w:id="127"/>
    </w:p>
    <w:p>
      <w:pPr>
        <w:spacing w:line="360" w:lineRule="auto"/>
        <w:ind w:firstLine="480" w:firstLineChars="200"/>
        <w:rPr>
          <w:rFonts w:ascii="宋体" w:hAnsi="宋体"/>
          <w:sz w:val="24"/>
          <w:szCs w:val="20"/>
        </w:rPr>
      </w:pPr>
      <w:r>
        <w:rPr>
          <w:rFonts w:hint="eastAsia" w:ascii="宋体" w:hAnsi="宋体"/>
          <w:sz w:val="24"/>
        </w:rPr>
        <w:t>2.1</w:t>
      </w:r>
      <w:r>
        <w:rPr>
          <w:rFonts w:ascii="宋体" w:hAnsi="宋体"/>
          <w:sz w:val="24"/>
        </w:rPr>
        <w:t>评审委员会</w:t>
      </w:r>
    </w:p>
    <w:p>
      <w:pPr>
        <w:spacing w:line="360" w:lineRule="auto"/>
        <w:ind w:firstLine="480" w:firstLineChars="200"/>
        <w:rPr>
          <w:rFonts w:ascii="宋体" w:hAnsi="宋体"/>
          <w:sz w:val="24"/>
        </w:rPr>
      </w:pPr>
      <w:r>
        <w:rPr>
          <w:rFonts w:hint="eastAsia" w:ascii="宋体" w:hAnsi="宋体"/>
          <w:sz w:val="24"/>
        </w:rPr>
        <w:t>2.1.1</w:t>
      </w:r>
      <w:r>
        <w:rPr>
          <w:rFonts w:ascii="宋体" w:hAnsi="宋体"/>
          <w:sz w:val="24"/>
        </w:rPr>
        <w:t>成员：由</w:t>
      </w:r>
      <w:r>
        <w:rPr>
          <w:rFonts w:hint="eastAsia" w:ascii="宋体" w:hAnsi="宋体"/>
          <w:sz w:val="24"/>
        </w:rPr>
        <w:t>采购人代表和评审专家</w:t>
      </w:r>
      <w:r>
        <w:rPr>
          <w:rFonts w:ascii="宋体" w:hAnsi="宋体"/>
          <w:sz w:val="24"/>
        </w:rPr>
        <w:t>组成</w:t>
      </w:r>
      <w:r>
        <w:rPr>
          <w:rFonts w:hint="eastAsia" w:ascii="宋体" w:hAnsi="宋体"/>
          <w:sz w:val="24"/>
        </w:rPr>
        <w:t>五人及以上单数</w:t>
      </w:r>
      <w:r>
        <w:rPr>
          <w:rFonts w:ascii="宋体" w:hAnsi="宋体"/>
          <w:sz w:val="24"/>
        </w:rPr>
        <w:t>，其中</w:t>
      </w:r>
      <w:r>
        <w:rPr>
          <w:rFonts w:hint="eastAsia" w:ascii="宋体" w:hAnsi="宋体"/>
          <w:sz w:val="24"/>
        </w:rPr>
        <w:t>评审专家不得少于</w:t>
      </w:r>
      <w:r>
        <w:rPr>
          <w:rFonts w:ascii="宋体" w:hAnsi="宋体"/>
          <w:sz w:val="24"/>
        </w:rPr>
        <w:t>评审委员会</w:t>
      </w:r>
      <w:r>
        <w:rPr>
          <w:rFonts w:hint="eastAsia" w:ascii="宋体" w:hAnsi="宋体"/>
          <w:sz w:val="24"/>
        </w:rPr>
        <w:t>总</w:t>
      </w:r>
      <w:r>
        <w:rPr>
          <w:rFonts w:ascii="宋体" w:hAnsi="宋体"/>
          <w:sz w:val="24"/>
        </w:rPr>
        <w:t>人数的三分之二。</w:t>
      </w:r>
      <w:r>
        <w:rPr>
          <w:rFonts w:hint="eastAsia" w:ascii="宋体" w:hAnsi="宋体"/>
          <w:sz w:val="24"/>
        </w:rPr>
        <w:t>除国务院财政部门规定的情形外，评审专家由采购代理机构在政府采购专家库中随机抽取。评审委员会</w:t>
      </w:r>
      <w:r>
        <w:rPr>
          <w:rFonts w:hint="eastAsia" w:ascii="宋体" w:hAnsi="宋体"/>
          <w:kern w:val="0"/>
          <w:sz w:val="24"/>
        </w:rPr>
        <w:t>对投标文件进行符合性审查、询标、评审和推荐中标候选人。</w:t>
      </w:r>
    </w:p>
    <w:p>
      <w:pPr>
        <w:spacing w:line="360" w:lineRule="auto"/>
        <w:ind w:firstLine="480" w:firstLineChars="200"/>
        <w:rPr>
          <w:rFonts w:ascii="宋体" w:hAnsi="宋体"/>
          <w:sz w:val="24"/>
        </w:rPr>
      </w:pPr>
      <w:r>
        <w:rPr>
          <w:rFonts w:hint="eastAsia" w:ascii="宋体" w:hAnsi="宋体"/>
          <w:sz w:val="24"/>
        </w:rPr>
        <w:t>2.1.2职责</w:t>
      </w:r>
      <w:r>
        <w:rPr>
          <w:rFonts w:ascii="宋体" w:hAnsi="宋体"/>
          <w:sz w:val="24"/>
        </w:rPr>
        <w:t>：</w:t>
      </w:r>
      <w:r>
        <w:rPr>
          <w:rFonts w:hint="eastAsia" w:ascii="宋体" w:hAnsi="宋体"/>
          <w:sz w:val="24"/>
        </w:rPr>
        <w:t>严格按政府采购法律法规的有关规定执行，评审专家应按招标文件规定的评审要求、评审程序、评审内容、评审方法和评审标准进行评审，对评审意见承担个人责任。</w:t>
      </w:r>
    </w:p>
    <w:p>
      <w:pPr>
        <w:spacing w:line="360" w:lineRule="auto"/>
        <w:rPr>
          <w:rFonts w:ascii="宋体" w:hAnsi="宋体"/>
          <w:sz w:val="24"/>
        </w:rPr>
      </w:pPr>
      <w:r>
        <w:rPr>
          <w:rFonts w:hint="eastAsia" w:ascii="宋体" w:hAnsi="宋体"/>
          <w:sz w:val="24"/>
        </w:rPr>
        <w:t xml:space="preserve">    2.2评审专家的评审情况和评审意见受监督人员和采购代理机构审查，如发现评审专家的评审意见带有明显倾向性，或不按规定程序和标准评审、计分的，可要求评审专家进行书面澄清和说明。</w:t>
      </w:r>
    </w:p>
    <w:p>
      <w:pPr>
        <w:pStyle w:val="4"/>
        <w:spacing w:line="560" w:lineRule="exact"/>
        <w:ind w:firstLine="300" w:firstLineChars="100"/>
        <w:rPr>
          <w:rFonts w:ascii="宋体" w:hAnsi="宋体" w:eastAsia="宋体"/>
          <w:b w:val="0"/>
          <w:bCs w:val="0"/>
        </w:rPr>
      </w:pPr>
      <w:bookmarkStart w:id="128" w:name="_Toc2084"/>
      <w:r>
        <w:rPr>
          <w:rFonts w:hint="eastAsia" w:ascii="宋体" w:hAnsi="宋体" w:eastAsia="宋体"/>
          <w:b w:val="0"/>
          <w:bCs w:val="0"/>
        </w:rPr>
        <w:t>三   评标程序</w:t>
      </w:r>
      <w:bookmarkEnd w:id="128"/>
    </w:p>
    <w:p>
      <w:pPr>
        <w:spacing w:line="360" w:lineRule="auto"/>
        <w:ind w:firstLine="482" w:firstLineChars="200"/>
        <w:rPr>
          <w:rFonts w:ascii="宋体" w:hAnsi="宋体"/>
          <w:b/>
          <w:sz w:val="24"/>
        </w:rPr>
      </w:pPr>
      <w:r>
        <w:rPr>
          <w:rFonts w:hint="eastAsia" w:ascii="宋体" w:hAnsi="宋体"/>
          <w:b/>
          <w:sz w:val="24"/>
        </w:rPr>
        <w:t>3.</w:t>
      </w:r>
      <w:r>
        <w:rPr>
          <w:rFonts w:ascii="宋体" w:hAnsi="宋体"/>
          <w:b/>
          <w:sz w:val="24"/>
        </w:rPr>
        <w:t xml:space="preserve">1 </w:t>
      </w:r>
      <w:r>
        <w:rPr>
          <w:rFonts w:hint="eastAsia" w:ascii="宋体" w:hAnsi="宋体"/>
          <w:b/>
          <w:sz w:val="24"/>
        </w:rPr>
        <w:t>符合性</w:t>
      </w:r>
      <w:r>
        <w:rPr>
          <w:rFonts w:ascii="宋体" w:hAnsi="宋体"/>
          <w:b/>
          <w:sz w:val="24"/>
        </w:rPr>
        <w:t>审查</w:t>
      </w:r>
    </w:p>
    <w:p>
      <w:pPr>
        <w:spacing w:line="360" w:lineRule="auto"/>
        <w:ind w:firstLine="480" w:firstLineChars="200"/>
        <w:rPr>
          <w:rFonts w:ascii="宋体" w:hAnsi="宋体"/>
          <w:sz w:val="24"/>
        </w:rPr>
      </w:pPr>
      <w:r>
        <w:rPr>
          <w:rFonts w:hint="eastAsia" w:ascii="宋体" w:hAnsi="宋体"/>
          <w:sz w:val="24"/>
        </w:rPr>
        <w:t>评审委员会依据招标</w:t>
      </w:r>
      <w:r>
        <w:rPr>
          <w:rFonts w:ascii="宋体" w:hAnsi="宋体"/>
          <w:sz w:val="24"/>
        </w:rPr>
        <w:t>文件的规定，从</w:t>
      </w:r>
      <w:r>
        <w:rPr>
          <w:rFonts w:hint="eastAsia" w:ascii="宋体" w:hAnsi="宋体"/>
          <w:sz w:val="24"/>
        </w:rPr>
        <w:t>投标文件</w:t>
      </w:r>
      <w:r>
        <w:rPr>
          <w:rFonts w:ascii="宋体" w:hAnsi="宋体"/>
          <w:sz w:val="24"/>
        </w:rPr>
        <w:t>的有效性、完整性和对招标文件的响应程度</w:t>
      </w:r>
      <w:r>
        <w:rPr>
          <w:rFonts w:hint="eastAsia" w:ascii="宋体" w:hAnsi="宋体"/>
          <w:sz w:val="24"/>
        </w:rPr>
        <w:t>进行</w:t>
      </w:r>
      <w:r>
        <w:rPr>
          <w:rFonts w:ascii="宋体" w:hAnsi="宋体"/>
          <w:sz w:val="24"/>
        </w:rPr>
        <w:t>审查，以确定</w:t>
      </w:r>
      <w:r>
        <w:rPr>
          <w:rFonts w:hint="eastAsia" w:ascii="宋体" w:hAnsi="宋体"/>
          <w:sz w:val="24"/>
        </w:rPr>
        <w:t>是否</w:t>
      </w:r>
      <w:r>
        <w:rPr>
          <w:rFonts w:ascii="宋体" w:hAnsi="宋体"/>
          <w:sz w:val="24"/>
        </w:rPr>
        <w:t>对招标文件的实质性要求作出响应。</w:t>
      </w:r>
      <w:r>
        <w:rPr>
          <w:rFonts w:hint="eastAsia" w:ascii="宋体" w:hAnsi="宋体"/>
          <w:sz w:val="24"/>
        </w:rPr>
        <w:t>通过符合性审查不足</w:t>
      </w:r>
      <w:r>
        <w:rPr>
          <w:rFonts w:ascii="宋体" w:hAnsi="宋体"/>
          <w:sz w:val="24"/>
        </w:rPr>
        <w:t>三家的</w:t>
      </w:r>
      <w:r>
        <w:rPr>
          <w:rFonts w:hint="eastAsia" w:ascii="宋体" w:hAnsi="宋体"/>
          <w:sz w:val="24"/>
        </w:rPr>
        <w:t>，</w:t>
      </w:r>
      <w:r>
        <w:rPr>
          <w:rFonts w:ascii="宋体" w:hAnsi="宋体"/>
          <w:sz w:val="24"/>
        </w:rPr>
        <w:t>除采购任务取消</w:t>
      </w:r>
      <w:r>
        <w:rPr>
          <w:rFonts w:hint="eastAsia" w:ascii="宋体" w:hAnsi="宋体"/>
          <w:sz w:val="24"/>
        </w:rPr>
        <w:t>情形</w:t>
      </w:r>
      <w:r>
        <w:rPr>
          <w:rFonts w:ascii="宋体" w:hAnsi="宋体"/>
          <w:sz w:val="24"/>
        </w:rPr>
        <w:t>外</w:t>
      </w:r>
      <w:r>
        <w:rPr>
          <w:rFonts w:hint="eastAsia" w:ascii="宋体" w:hAnsi="宋体"/>
          <w:sz w:val="24"/>
        </w:rPr>
        <w:t>，</w:t>
      </w:r>
      <w:r>
        <w:rPr>
          <w:rFonts w:ascii="宋体" w:hAnsi="宋体"/>
          <w:sz w:val="24"/>
        </w:rPr>
        <w:t>按</w:t>
      </w:r>
      <w:r>
        <w:rPr>
          <w:rFonts w:hint="eastAsia" w:ascii="宋体" w:hAnsi="宋体"/>
          <w:sz w:val="24"/>
        </w:rPr>
        <w:t>相关</w:t>
      </w:r>
      <w:r>
        <w:rPr>
          <w:rFonts w:ascii="宋体" w:hAnsi="宋体"/>
          <w:sz w:val="24"/>
        </w:rPr>
        <w:t>规定</w:t>
      </w:r>
      <w:r>
        <w:rPr>
          <w:rFonts w:hint="eastAsia" w:ascii="宋体" w:hAnsi="宋体"/>
          <w:sz w:val="24"/>
        </w:rPr>
        <w:t>重新组织招标。</w:t>
      </w:r>
    </w:p>
    <w:p>
      <w:pPr>
        <w:spacing w:line="360" w:lineRule="auto"/>
        <w:ind w:firstLine="482" w:firstLineChars="200"/>
        <w:rPr>
          <w:rFonts w:ascii="宋体" w:hAnsi="宋体"/>
          <w:b/>
          <w:sz w:val="24"/>
        </w:rPr>
      </w:pPr>
      <w:r>
        <w:rPr>
          <w:rFonts w:hint="eastAsia" w:ascii="宋体" w:hAnsi="宋体"/>
          <w:b/>
          <w:sz w:val="24"/>
        </w:rPr>
        <w:t>3.2商务技术文件评审</w:t>
      </w:r>
    </w:p>
    <w:p>
      <w:pPr>
        <w:spacing w:line="360" w:lineRule="auto"/>
        <w:ind w:firstLine="480" w:firstLineChars="200"/>
        <w:rPr>
          <w:rFonts w:ascii="宋体" w:hAnsi="宋体"/>
          <w:sz w:val="24"/>
        </w:rPr>
      </w:pPr>
      <w:r>
        <w:rPr>
          <w:rFonts w:hint="eastAsia" w:ascii="宋体" w:hAnsi="宋体"/>
          <w:sz w:val="24"/>
        </w:rPr>
        <w:t>3.2.1评审委员会依据招标</w:t>
      </w:r>
      <w:r>
        <w:rPr>
          <w:rFonts w:ascii="宋体" w:hAnsi="宋体"/>
          <w:sz w:val="24"/>
        </w:rPr>
        <w:t>文件</w:t>
      </w:r>
      <w:r>
        <w:rPr>
          <w:rFonts w:hint="eastAsia" w:ascii="宋体" w:hAnsi="宋体"/>
          <w:sz w:val="24"/>
        </w:rPr>
        <w:t>的规定，对各</w:t>
      </w:r>
      <w:r>
        <w:rPr>
          <w:rFonts w:hint="eastAsia" w:ascii="宋体" w:hAnsi="宋体"/>
          <w:kern w:val="0"/>
          <w:sz w:val="24"/>
        </w:rPr>
        <w:t>投标人的</w:t>
      </w:r>
      <w:r>
        <w:rPr>
          <w:rFonts w:hint="eastAsia" w:ascii="宋体" w:hAnsi="宋体"/>
          <w:sz w:val="24"/>
        </w:rPr>
        <w:t>商务技术文件进行独立评审，对各</w:t>
      </w:r>
      <w:r>
        <w:rPr>
          <w:rFonts w:hint="eastAsia" w:ascii="宋体" w:hAnsi="宋体"/>
          <w:kern w:val="0"/>
          <w:sz w:val="24"/>
        </w:rPr>
        <w:t>投标文件</w:t>
      </w:r>
      <w:r>
        <w:rPr>
          <w:rFonts w:hint="eastAsia" w:ascii="宋体" w:hAnsi="宋体"/>
          <w:sz w:val="24"/>
        </w:rPr>
        <w:t>进行比较和必要的澄清，若有</w:t>
      </w:r>
      <w:r>
        <w:rPr>
          <w:rFonts w:ascii="宋体" w:hAnsi="宋体"/>
          <w:sz w:val="24"/>
        </w:rPr>
        <w:t>演示</w:t>
      </w:r>
      <w:r>
        <w:rPr>
          <w:rFonts w:hint="eastAsia" w:ascii="宋体" w:hAnsi="宋体"/>
          <w:sz w:val="24"/>
        </w:rPr>
        <w:t>（或述标）、</w:t>
      </w:r>
      <w:r>
        <w:rPr>
          <w:rFonts w:ascii="宋体" w:hAnsi="宋体"/>
          <w:sz w:val="24"/>
        </w:rPr>
        <w:t>样品</w:t>
      </w:r>
      <w:r>
        <w:rPr>
          <w:rFonts w:hint="eastAsia" w:ascii="宋体" w:hAnsi="宋体"/>
          <w:sz w:val="24"/>
        </w:rPr>
        <w:t>要求</w:t>
      </w:r>
      <w:r>
        <w:rPr>
          <w:rFonts w:ascii="宋体" w:hAnsi="宋体"/>
          <w:sz w:val="24"/>
        </w:rPr>
        <w:t>和技术文件</w:t>
      </w:r>
      <w:r>
        <w:rPr>
          <w:rFonts w:hint="eastAsia" w:ascii="宋体" w:hAnsi="宋体"/>
          <w:sz w:val="24"/>
        </w:rPr>
        <w:t>评审同步进行，演示（或述标）顺</w:t>
      </w:r>
      <w:r>
        <w:rPr>
          <w:rFonts w:ascii="宋体" w:hAnsi="宋体"/>
          <w:sz w:val="24"/>
        </w:rPr>
        <w:t>序</w:t>
      </w:r>
      <w:r>
        <w:rPr>
          <w:rFonts w:hint="eastAsia" w:ascii="宋体" w:hAnsi="宋体"/>
          <w:b/>
          <w:sz w:val="24"/>
        </w:rPr>
        <w:t>为电子交易平台解密后自动生成的“</w:t>
      </w:r>
      <w:r>
        <w:rPr>
          <w:rFonts w:ascii="宋体" w:hAnsi="宋体"/>
          <w:b/>
          <w:sz w:val="24"/>
        </w:rPr>
        <w:t>投标（响应）文件签收登记表”</w:t>
      </w:r>
      <w:r>
        <w:rPr>
          <w:rFonts w:hint="eastAsia" w:ascii="宋体" w:hAnsi="宋体"/>
          <w:b/>
          <w:sz w:val="24"/>
        </w:rPr>
        <w:t>名单顺序</w:t>
      </w:r>
      <w:r>
        <w:rPr>
          <w:rFonts w:hint="eastAsia" w:ascii="宋体" w:hAnsi="宋体"/>
          <w:sz w:val="24"/>
        </w:rPr>
        <w:t>，</w:t>
      </w:r>
      <w:r>
        <w:rPr>
          <w:rFonts w:ascii="宋体" w:hAnsi="宋体"/>
          <w:sz w:val="24"/>
        </w:rPr>
        <w:t>并根据</w:t>
      </w:r>
      <w:r>
        <w:rPr>
          <w:rFonts w:hint="eastAsia" w:ascii="宋体" w:hAnsi="宋体"/>
          <w:sz w:val="24"/>
        </w:rPr>
        <w:t>审查、澄清、演示（或述标）</w:t>
      </w:r>
      <w:r>
        <w:rPr>
          <w:rFonts w:ascii="宋体" w:hAnsi="宋体"/>
          <w:sz w:val="24"/>
        </w:rPr>
        <w:t>、样品等情况</w:t>
      </w:r>
      <w:r>
        <w:rPr>
          <w:rFonts w:hint="eastAsia" w:ascii="宋体" w:hAnsi="宋体"/>
          <w:sz w:val="24"/>
        </w:rPr>
        <w:t>结合评审</w:t>
      </w:r>
      <w:r>
        <w:rPr>
          <w:rFonts w:ascii="宋体" w:hAnsi="宋体"/>
          <w:sz w:val="24"/>
        </w:rPr>
        <w:t>办法</w:t>
      </w:r>
      <w:r>
        <w:rPr>
          <w:rFonts w:hint="eastAsia" w:ascii="宋体" w:hAnsi="宋体"/>
          <w:sz w:val="24"/>
        </w:rPr>
        <w:t>进行独立打分；</w:t>
      </w:r>
    </w:p>
    <w:p>
      <w:pPr>
        <w:spacing w:line="360" w:lineRule="auto"/>
        <w:ind w:firstLine="480" w:firstLineChars="200"/>
        <w:rPr>
          <w:rFonts w:ascii="宋体" w:hAnsi="宋体"/>
          <w:sz w:val="24"/>
        </w:rPr>
      </w:pPr>
      <w:r>
        <w:rPr>
          <w:rFonts w:hint="eastAsia" w:ascii="宋体" w:hAnsi="宋体"/>
          <w:sz w:val="24"/>
        </w:rPr>
        <w:t>3.2.2各投标人的商务技术得分，为各评审专家对该投标人的评分汇总后的算术平均数。</w:t>
      </w:r>
    </w:p>
    <w:p>
      <w:pPr>
        <w:spacing w:line="360" w:lineRule="auto"/>
        <w:ind w:firstLine="482" w:firstLineChars="200"/>
        <w:rPr>
          <w:rFonts w:ascii="宋体" w:hAnsi="宋体"/>
          <w:b/>
          <w:sz w:val="24"/>
        </w:rPr>
      </w:pPr>
      <w:r>
        <w:rPr>
          <w:rFonts w:ascii="宋体" w:hAnsi="宋体"/>
          <w:b/>
          <w:sz w:val="24"/>
        </w:rPr>
        <w:t>3.</w:t>
      </w:r>
      <w:r>
        <w:rPr>
          <w:rFonts w:hint="eastAsia" w:ascii="宋体" w:hAnsi="宋体"/>
          <w:b/>
          <w:sz w:val="24"/>
        </w:rPr>
        <w:t>3通过政采云平台公布各投标人的商务技术得分，开启有效投标人的报价文件。</w:t>
      </w:r>
    </w:p>
    <w:p>
      <w:pPr>
        <w:spacing w:line="360" w:lineRule="auto"/>
        <w:ind w:firstLine="482" w:firstLineChars="200"/>
        <w:rPr>
          <w:rFonts w:ascii="宋体" w:hAnsi="宋体"/>
          <w:b/>
          <w:sz w:val="24"/>
        </w:rPr>
      </w:pPr>
      <w:r>
        <w:rPr>
          <w:rFonts w:ascii="宋体" w:hAnsi="宋体"/>
          <w:b/>
          <w:sz w:val="24"/>
        </w:rPr>
        <w:t>3.</w:t>
      </w:r>
      <w:r>
        <w:rPr>
          <w:rFonts w:hint="eastAsia" w:ascii="宋体" w:hAnsi="宋体"/>
          <w:b/>
          <w:sz w:val="24"/>
        </w:rPr>
        <w:t>4报价文件评审</w:t>
      </w:r>
    </w:p>
    <w:p>
      <w:pPr>
        <w:spacing w:line="360" w:lineRule="auto"/>
        <w:ind w:firstLine="480" w:firstLineChars="200"/>
        <w:rPr>
          <w:rFonts w:ascii="宋体" w:hAnsi="宋体"/>
          <w:sz w:val="24"/>
        </w:rPr>
      </w:pPr>
      <w:r>
        <w:rPr>
          <w:rFonts w:hint="eastAsia" w:ascii="宋体" w:hAnsi="宋体"/>
          <w:sz w:val="24"/>
        </w:rPr>
        <w:t>3.4.1评审委员会依据招标文件的规定，对各投标</w:t>
      </w:r>
      <w:r>
        <w:rPr>
          <w:rFonts w:ascii="宋体" w:hAnsi="宋体"/>
          <w:sz w:val="24"/>
        </w:rPr>
        <w:t>人的</w:t>
      </w:r>
      <w:r>
        <w:rPr>
          <w:rFonts w:hint="eastAsia" w:ascii="宋体" w:hAnsi="宋体"/>
          <w:sz w:val="24"/>
        </w:rPr>
        <w:t>报价的符合性进行审查，必要时可要求投标人对其报价做出澄清、说明；</w:t>
      </w:r>
    </w:p>
    <w:p>
      <w:pPr>
        <w:spacing w:line="360" w:lineRule="auto"/>
        <w:ind w:firstLine="480" w:firstLineChars="200"/>
        <w:rPr>
          <w:rFonts w:ascii="宋体" w:hAnsi="宋体"/>
          <w:sz w:val="24"/>
        </w:rPr>
      </w:pPr>
      <w:r>
        <w:rPr>
          <w:rFonts w:hint="eastAsia" w:ascii="宋体" w:hAnsi="宋体"/>
          <w:sz w:val="24"/>
        </w:rPr>
        <w:t>3.4.2报价修正；</w:t>
      </w:r>
    </w:p>
    <w:p>
      <w:pPr>
        <w:pStyle w:val="19"/>
        <w:spacing w:line="360" w:lineRule="auto"/>
        <w:ind w:firstLine="480" w:firstLineChars="200"/>
        <w:rPr>
          <w:rFonts w:ascii="宋体" w:hAnsi="宋体" w:eastAsia="宋体"/>
          <w:sz w:val="24"/>
        </w:rPr>
      </w:pPr>
      <w:r>
        <w:rPr>
          <w:rFonts w:hint="eastAsia" w:ascii="宋体" w:hAnsi="宋体" w:eastAsia="宋体"/>
          <w:sz w:val="24"/>
        </w:rPr>
        <w:t>3.4.3政策优惠扣除；</w:t>
      </w:r>
    </w:p>
    <w:p>
      <w:pPr>
        <w:spacing w:line="360" w:lineRule="auto"/>
        <w:ind w:firstLine="480" w:firstLineChars="200"/>
        <w:rPr>
          <w:rFonts w:ascii="宋体" w:hAnsi="宋体"/>
          <w:sz w:val="24"/>
        </w:rPr>
      </w:pPr>
      <w:r>
        <w:rPr>
          <w:rFonts w:hint="eastAsia" w:ascii="宋体" w:hAnsi="宋体"/>
          <w:sz w:val="24"/>
        </w:rPr>
        <w:t>3.4.4评审委员会根据投标人的报价和评审</w:t>
      </w:r>
      <w:r>
        <w:rPr>
          <w:rFonts w:ascii="宋体" w:hAnsi="宋体"/>
          <w:sz w:val="24"/>
        </w:rPr>
        <w:t>标准</w:t>
      </w:r>
      <w:r>
        <w:rPr>
          <w:rFonts w:hint="eastAsia" w:ascii="宋体" w:hAnsi="宋体"/>
          <w:sz w:val="24"/>
        </w:rPr>
        <w:t>，计算各投标人的报价得分。</w:t>
      </w:r>
    </w:p>
    <w:p>
      <w:pPr>
        <w:spacing w:line="360" w:lineRule="auto"/>
        <w:ind w:firstLine="482" w:firstLineChars="200"/>
        <w:rPr>
          <w:rFonts w:ascii="宋体" w:hAnsi="宋体"/>
          <w:b/>
          <w:sz w:val="24"/>
        </w:rPr>
      </w:pPr>
      <w:r>
        <w:rPr>
          <w:rFonts w:ascii="宋体" w:hAnsi="宋体"/>
          <w:b/>
          <w:sz w:val="24"/>
        </w:rPr>
        <w:t>3.</w:t>
      </w:r>
      <w:r>
        <w:rPr>
          <w:rFonts w:hint="eastAsia" w:ascii="宋体" w:hAnsi="宋体"/>
          <w:b/>
          <w:sz w:val="24"/>
        </w:rPr>
        <w:t>5 评标结果</w:t>
      </w:r>
    </w:p>
    <w:p>
      <w:pPr>
        <w:spacing w:line="360" w:lineRule="auto"/>
        <w:ind w:firstLine="480" w:firstLineChars="200"/>
        <w:rPr>
          <w:rFonts w:ascii="宋体" w:hAnsi="宋体"/>
          <w:sz w:val="24"/>
        </w:rPr>
      </w:pPr>
      <w:r>
        <w:rPr>
          <w:rFonts w:hint="eastAsia" w:ascii="宋体" w:hAnsi="宋体"/>
          <w:sz w:val="24"/>
        </w:rPr>
        <w:t>3.5.1 评审结果汇总，投标人结果排序；</w:t>
      </w:r>
    </w:p>
    <w:p>
      <w:pPr>
        <w:spacing w:line="360" w:lineRule="auto"/>
        <w:ind w:firstLine="480" w:firstLineChars="200"/>
        <w:rPr>
          <w:rFonts w:ascii="宋体" w:hAnsi="宋体"/>
          <w:sz w:val="24"/>
        </w:rPr>
      </w:pPr>
      <w:r>
        <w:rPr>
          <w:rFonts w:hint="eastAsia" w:ascii="宋体" w:hAnsi="宋体"/>
          <w:sz w:val="24"/>
        </w:rPr>
        <w:t>3.5.2 起草评标报告，确定中标候选人；</w:t>
      </w:r>
    </w:p>
    <w:p>
      <w:pPr>
        <w:spacing w:line="360" w:lineRule="auto"/>
        <w:ind w:firstLine="480" w:firstLineChars="200"/>
        <w:rPr>
          <w:rFonts w:ascii="宋体" w:hAnsi="宋体"/>
          <w:sz w:val="24"/>
        </w:rPr>
      </w:pPr>
      <w:r>
        <w:rPr>
          <w:rFonts w:hint="eastAsia" w:ascii="宋体" w:hAnsi="宋体"/>
          <w:sz w:val="24"/>
        </w:rPr>
        <w:t>3.5.2.1 评标报告</w:t>
      </w:r>
      <w:r>
        <w:rPr>
          <w:rFonts w:ascii="宋体" w:hAnsi="宋体"/>
          <w:sz w:val="24"/>
        </w:rPr>
        <w:t>应包括以下内容：</w:t>
      </w:r>
    </w:p>
    <w:p>
      <w:pPr>
        <w:spacing w:line="360" w:lineRule="auto"/>
        <w:ind w:firstLine="480" w:firstLineChars="200"/>
        <w:rPr>
          <w:rFonts w:ascii="宋体" w:hAnsi="宋体"/>
          <w:sz w:val="24"/>
        </w:rPr>
      </w:pPr>
      <w:r>
        <w:rPr>
          <w:rFonts w:hint="eastAsia" w:ascii="宋体" w:hAnsi="宋体"/>
          <w:sz w:val="24"/>
        </w:rPr>
        <w:t>（1）招标公告刊登的媒体名称、开标日期和地点；</w:t>
      </w:r>
    </w:p>
    <w:p>
      <w:pPr>
        <w:spacing w:line="360" w:lineRule="auto"/>
        <w:ind w:firstLine="480" w:firstLineChars="200"/>
        <w:rPr>
          <w:rFonts w:ascii="宋体" w:hAnsi="宋体"/>
          <w:sz w:val="24"/>
        </w:rPr>
      </w:pPr>
      <w:r>
        <w:rPr>
          <w:rFonts w:hint="eastAsia" w:ascii="宋体" w:hAnsi="宋体"/>
          <w:sz w:val="24"/>
        </w:rPr>
        <w:t>（2）投标人名单和评审委员会成员名单；</w:t>
      </w:r>
    </w:p>
    <w:p>
      <w:pPr>
        <w:spacing w:line="360" w:lineRule="auto"/>
        <w:ind w:firstLine="480" w:firstLineChars="200"/>
        <w:rPr>
          <w:rFonts w:ascii="宋体" w:hAnsi="宋体"/>
          <w:sz w:val="24"/>
        </w:rPr>
      </w:pPr>
      <w:r>
        <w:rPr>
          <w:rFonts w:hint="eastAsia" w:ascii="宋体" w:hAnsi="宋体"/>
          <w:sz w:val="24"/>
        </w:rPr>
        <w:t>（3）评审方法和标准；</w:t>
      </w:r>
    </w:p>
    <w:p>
      <w:pPr>
        <w:spacing w:line="360" w:lineRule="auto"/>
        <w:ind w:firstLine="480" w:firstLineChars="200"/>
        <w:rPr>
          <w:rFonts w:ascii="宋体" w:hAnsi="宋体"/>
          <w:sz w:val="24"/>
        </w:rPr>
      </w:pPr>
      <w:r>
        <w:rPr>
          <w:rFonts w:hint="eastAsia" w:ascii="宋体" w:hAnsi="宋体"/>
          <w:sz w:val="24"/>
        </w:rPr>
        <w:t>（4）资格审查记录；</w:t>
      </w:r>
    </w:p>
    <w:p>
      <w:pPr>
        <w:spacing w:line="360" w:lineRule="auto"/>
        <w:ind w:firstLine="480" w:firstLineChars="200"/>
        <w:rPr>
          <w:rFonts w:ascii="宋体" w:hAnsi="宋体"/>
          <w:sz w:val="24"/>
        </w:rPr>
      </w:pPr>
      <w:r>
        <w:rPr>
          <w:rFonts w:hint="eastAsia" w:ascii="宋体" w:hAnsi="宋体"/>
          <w:sz w:val="24"/>
        </w:rPr>
        <w:t>（5）开标记录和评审情况及说明，包括无效投标人名单及原因；</w:t>
      </w:r>
    </w:p>
    <w:p>
      <w:pPr>
        <w:spacing w:line="360" w:lineRule="auto"/>
        <w:ind w:firstLine="480" w:firstLineChars="200"/>
        <w:rPr>
          <w:rFonts w:ascii="宋体" w:hAnsi="宋体"/>
          <w:sz w:val="24"/>
        </w:rPr>
      </w:pPr>
      <w:r>
        <w:rPr>
          <w:rFonts w:hint="eastAsia" w:ascii="宋体" w:hAnsi="宋体"/>
          <w:sz w:val="24"/>
        </w:rPr>
        <w:t>（6）评审结果，确定的中标候选人名单；</w:t>
      </w:r>
    </w:p>
    <w:p>
      <w:pPr>
        <w:spacing w:line="360" w:lineRule="auto"/>
        <w:ind w:firstLine="480" w:firstLineChars="200"/>
        <w:rPr>
          <w:rFonts w:ascii="宋体" w:hAnsi="宋体"/>
          <w:sz w:val="24"/>
        </w:rPr>
      </w:pPr>
      <w:r>
        <w:rPr>
          <w:rFonts w:hint="eastAsia" w:ascii="宋体" w:hAnsi="宋体"/>
          <w:sz w:val="24"/>
        </w:rPr>
        <w:t>（7）其他需要说明的情况，包括评审过程中投标人根据评审委员会要求进行的澄清、说明或者补正，评审委员会成员的更换等。</w:t>
      </w:r>
    </w:p>
    <w:p>
      <w:pPr>
        <w:spacing w:line="360" w:lineRule="auto"/>
        <w:ind w:firstLine="480" w:firstLineChars="200"/>
        <w:rPr>
          <w:rFonts w:ascii="宋体" w:hAnsi="宋体"/>
          <w:sz w:val="24"/>
        </w:rPr>
      </w:pPr>
      <w:r>
        <w:rPr>
          <w:rFonts w:hint="eastAsia" w:ascii="宋体" w:hAnsi="宋体"/>
          <w:sz w:val="24"/>
        </w:rPr>
        <w:t>3.6 评标</w:t>
      </w:r>
      <w:r>
        <w:rPr>
          <w:rFonts w:ascii="宋体" w:hAnsi="宋体"/>
          <w:sz w:val="24"/>
        </w:rPr>
        <w:t>报告由全体</w:t>
      </w:r>
      <w:r>
        <w:rPr>
          <w:rFonts w:hint="eastAsia" w:ascii="宋体" w:hAnsi="宋体"/>
          <w:sz w:val="24"/>
        </w:rPr>
        <w:t>评审委员会</w:t>
      </w:r>
      <w:r>
        <w:rPr>
          <w:rFonts w:ascii="宋体" w:hAnsi="宋体"/>
          <w:sz w:val="24"/>
        </w:rPr>
        <w:t>成员</w:t>
      </w:r>
      <w:r>
        <w:rPr>
          <w:rFonts w:hint="eastAsia" w:ascii="宋体" w:hAnsi="宋体"/>
          <w:sz w:val="24"/>
        </w:rPr>
        <w:t>确认后提交。</w:t>
      </w:r>
    </w:p>
    <w:p>
      <w:pPr>
        <w:spacing w:line="360" w:lineRule="auto"/>
        <w:ind w:firstLine="480" w:firstLineChars="200"/>
        <w:rPr>
          <w:rFonts w:ascii="宋体" w:hAnsi="宋体"/>
          <w:sz w:val="24"/>
        </w:rPr>
      </w:pPr>
      <w:r>
        <w:rPr>
          <w:rFonts w:hint="eastAsia" w:ascii="宋体" w:hAnsi="宋体"/>
          <w:sz w:val="24"/>
        </w:rPr>
        <w:t>3.7评审结束后，由电子交易平台自动生成评审结果，采购人确定中标人后2个工作日内，发出中标通知书，并在相关媒体上公告中标结果。</w:t>
      </w:r>
    </w:p>
    <w:p>
      <w:pPr>
        <w:pStyle w:val="4"/>
        <w:spacing w:line="240" w:lineRule="auto"/>
        <w:ind w:firstLine="300" w:firstLineChars="100"/>
        <w:rPr>
          <w:rFonts w:ascii="宋体" w:hAnsi="宋体" w:eastAsia="宋体"/>
          <w:b w:val="0"/>
          <w:bCs w:val="0"/>
        </w:rPr>
      </w:pPr>
      <w:bookmarkStart w:id="129" w:name="_Toc3343"/>
      <w:r>
        <w:rPr>
          <w:rFonts w:hint="eastAsia" w:ascii="宋体" w:hAnsi="宋体" w:eastAsia="宋体"/>
          <w:b w:val="0"/>
          <w:bCs w:val="0"/>
        </w:rPr>
        <w:t>四   评标一般规定</w:t>
      </w:r>
      <w:bookmarkEnd w:id="129"/>
    </w:p>
    <w:p>
      <w:pPr>
        <w:spacing w:line="360" w:lineRule="auto"/>
        <w:ind w:firstLine="480" w:firstLineChars="200"/>
        <w:rPr>
          <w:rFonts w:ascii="宋体" w:hAnsi="宋体"/>
          <w:sz w:val="24"/>
        </w:rPr>
      </w:pPr>
      <w:r>
        <w:rPr>
          <w:rFonts w:hint="eastAsia" w:ascii="宋体" w:hAnsi="宋体"/>
          <w:sz w:val="24"/>
        </w:rPr>
        <w:t>4.本评标办法采用综合评分法,总分100分。</w:t>
      </w:r>
    </w:p>
    <w:p>
      <w:pPr>
        <w:spacing w:line="360" w:lineRule="auto"/>
        <w:ind w:firstLine="482" w:firstLineChars="200"/>
        <w:rPr>
          <w:rFonts w:ascii="宋体" w:hAnsi="宋体"/>
          <w:sz w:val="24"/>
        </w:rPr>
      </w:pPr>
      <w:r>
        <w:rPr>
          <w:rFonts w:hint="eastAsia" w:ascii="宋体" w:hAnsi="宋体"/>
          <w:b/>
          <w:sz w:val="24"/>
        </w:rPr>
        <w:t>4.1商务技术权重为90%，分值为90分</w:t>
      </w:r>
      <w:r>
        <w:rPr>
          <w:rFonts w:hint="eastAsia" w:ascii="宋体" w:hAnsi="宋体"/>
          <w:sz w:val="24"/>
        </w:rPr>
        <w:t>，评委对各投标人的商务技术文件经充分审核后，在规定的分值内由评委单独评定打分；</w:t>
      </w:r>
    </w:p>
    <w:p>
      <w:pPr>
        <w:spacing w:line="360" w:lineRule="auto"/>
        <w:ind w:firstLine="480" w:firstLineChars="200"/>
        <w:rPr>
          <w:rFonts w:ascii="宋体" w:hAnsi="宋体"/>
          <w:sz w:val="24"/>
        </w:rPr>
      </w:pPr>
      <w:r>
        <w:rPr>
          <w:rFonts w:hint="eastAsia" w:ascii="宋体" w:hAnsi="宋体"/>
          <w:sz w:val="24"/>
        </w:rPr>
        <w:t>4.2报价权重为10%，分值为10分，由评委按各投标人的报价统一计算。</w:t>
      </w:r>
    </w:p>
    <w:p>
      <w:pPr>
        <w:pStyle w:val="4"/>
        <w:spacing w:line="240" w:lineRule="auto"/>
        <w:ind w:firstLine="300" w:firstLineChars="100"/>
        <w:rPr>
          <w:rFonts w:ascii="宋体" w:hAnsi="宋体" w:eastAsia="宋体"/>
          <w:b w:val="0"/>
          <w:bCs w:val="0"/>
        </w:rPr>
      </w:pPr>
      <w:bookmarkStart w:id="130" w:name="_Toc55802765"/>
      <w:bookmarkStart w:id="131" w:name="_Toc14394"/>
      <w:r>
        <w:rPr>
          <w:rFonts w:hint="eastAsia" w:ascii="宋体" w:hAnsi="宋体" w:eastAsia="宋体"/>
          <w:b w:val="0"/>
          <w:bCs w:val="0"/>
        </w:rPr>
        <w:t xml:space="preserve">五  </w:t>
      </w:r>
      <w:r>
        <w:rPr>
          <w:rFonts w:ascii="宋体" w:hAnsi="宋体" w:eastAsia="宋体"/>
          <w:b w:val="0"/>
          <w:bCs w:val="0"/>
        </w:rPr>
        <w:t>评标办法和细则</w:t>
      </w:r>
      <w:bookmarkEnd w:id="130"/>
      <w:bookmarkEnd w:id="131"/>
    </w:p>
    <w:p>
      <w:pPr>
        <w:spacing w:line="276" w:lineRule="auto"/>
        <w:ind w:firstLine="482" w:firstLineChars="200"/>
        <w:rPr>
          <w:rFonts w:ascii="宋体" w:hAnsi="宋体"/>
          <w:b/>
          <w:bCs/>
          <w:sz w:val="24"/>
        </w:rPr>
      </w:pPr>
      <w:r>
        <w:rPr>
          <w:rFonts w:hint="eastAsia" w:ascii="宋体" w:hAnsi="宋体"/>
          <w:b/>
          <w:sz w:val="24"/>
        </w:rPr>
        <w:t>5.1.商务技术分值为90分，权重为90%。</w:t>
      </w:r>
      <w:r>
        <w:rPr>
          <w:rFonts w:hint="eastAsia" w:ascii="宋体" w:hAnsi="宋体"/>
          <w:b/>
          <w:bCs/>
          <w:sz w:val="24"/>
        </w:rPr>
        <w:t>（若为联合体参加的，联合体各方的业绩及荣誉等所有涉及内容均予以认可）</w:t>
      </w:r>
    </w:p>
    <w:tbl>
      <w:tblPr>
        <w:tblStyle w:val="53"/>
        <w:tblW w:w="903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55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69" w:type="dxa"/>
            <w:tcBorders>
              <w:top w:val="single" w:color="auto" w:sz="4" w:space="0"/>
              <w:left w:val="single" w:color="auto" w:sz="4" w:space="0"/>
              <w:bottom w:val="single" w:color="auto" w:sz="4" w:space="0"/>
              <w:right w:val="single" w:color="auto" w:sz="4" w:space="0"/>
            </w:tcBorders>
            <w:vAlign w:val="center"/>
          </w:tcPr>
          <w:p>
            <w:pPr>
              <w:spacing w:line="276" w:lineRule="auto"/>
              <w:ind w:left="-50"/>
              <w:jc w:val="center"/>
              <w:rPr>
                <w:rFonts w:ascii="宋体" w:hAnsi="宋体"/>
                <w:b/>
                <w:bCs/>
                <w:color w:val="auto"/>
                <w:sz w:val="24"/>
              </w:rPr>
            </w:pPr>
            <w:r>
              <w:rPr>
                <w:rFonts w:hint="eastAsia" w:ascii="宋体" w:hAnsi="宋体"/>
                <w:b/>
                <w:bCs/>
                <w:color w:val="auto"/>
                <w:sz w:val="24"/>
              </w:rPr>
              <w:t>序号</w:t>
            </w:r>
          </w:p>
        </w:tc>
        <w:tc>
          <w:tcPr>
            <w:tcW w:w="1559" w:type="dxa"/>
            <w:tcBorders>
              <w:top w:val="single" w:color="auto" w:sz="4" w:space="0"/>
              <w:left w:val="single" w:color="auto" w:sz="4" w:space="0"/>
              <w:bottom w:val="single" w:color="auto" w:sz="6" w:space="0"/>
              <w:right w:val="single" w:color="auto" w:sz="6" w:space="0"/>
            </w:tcBorders>
            <w:vAlign w:val="center"/>
          </w:tcPr>
          <w:p>
            <w:pPr>
              <w:spacing w:line="276" w:lineRule="auto"/>
              <w:ind w:left="-50"/>
              <w:jc w:val="center"/>
              <w:rPr>
                <w:rFonts w:ascii="宋体" w:hAnsi="宋体"/>
                <w:b/>
                <w:bCs/>
                <w:color w:val="auto"/>
                <w:sz w:val="24"/>
              </w:rPr>
            </w:pPr>
            <w:r>
              <w:rPr>
                <w:rFonts w:ascii="宋体" w:hAnsi="宋体"/>
                <w:b/>
                <w:bCs/>
                <w:color w:val="auto"/>
                <w:sz w:val="24"/>
              </w:rPr>
              <w:t>评分</w:t>
            </w:r>
            <w:r>
              <w:rPr>
                <w:rFonts w:hint="eastAsia" w:ascii="宋体" w:hAnsi="宋体"/>
                <w:b/>
                <w:bCs/>
                <w:color w:val="auto"/>
                <w:sz w:val="24"/>
              </w:rPr>
              <w:t>内容</w:t>
            </w:r>
          </w:p>
        </w:tc>
        <w:tc>
          <w:tcPr>
            <w:tcW w:w="6804" w:type="dxa"/>
            <w:tcBorders>
              <w:top w:val="single" w:color="auto" w:sz="4" w:space="0"/>
              <w:left w:val="single" w:color="auto" w:sz="4" w:space="0"/>
              <w:bottom w:val="single" w:color="auto" w:sz="6" w:space="0"/>
              <w:right w:val="single" w:color="auto" w:sz="4" w:space="0"/>
            </w:tcBorders>
            <w:vAlign w:val="center"/>
          </w:tcPr>
          <w:p>
            <w:pPr>
              <w:spacing w:line="276" w:lineRule="auto"/>
              <w:ind w:left="-50" w:firstLine="482"/>
              <w:jc w:val="center"/>
              <w:rPr>
                <w:rFonts w:ascii="宋体" w:hAnsi="宋体"/>
                <w:b/>
                <w:color w:val="auto"/>
                <w:sz w:val="24"/>
              </w:rPr>
            </w:pPr>
            <w:r>
              <w:rPr>
                <w:rFonts w:hint="eastAsia" w:ascii="宋体" w:hAnsi="宋体"/>
                <w:b/>
                <w:bCs/>
                <w:color w:val="auto"/>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69" w:type="dxa"/>
            <w:tcBorders>
              <w:top w:val="single" w:color="auto" w:sz="4" w:space="0"/>
              <w:left w:val="single" w:color="auto" w:sz="4" w:space="0"/>
              <w:bottom w:val="single" w:color="auto" w:sz="4" w:space="0"/>
              <w:right w:val="single" w:color="auto" w:sz="4" w:space="0"/>
            </w:tcBorders>
            <w:vAlign w:val="center"/>
          </w:tcPr>
          <w:p>
            <w:pPr>
              <w:spacing w:line="276" w:lineRule="auto"/>
              <w:ind w:left="-50"/>
              <w:jc w:val="center"/>
              <w:rPr>
                <w:rFonts w:ascii="宋体" w:hAnsi="宋体"/>
                <w:b/>
                <w:color w:val="auto"/>
                <w:sz w:val="24"/>
                <w:lang w:val="zh-CN"/>
              </w:rPr>
            </w:pPr>
            <w:r>
              <w:rPr>
                <w:rFonts w:hint="eastAsia" w:ascii="宋体" w:hAnsi="宋体" w:cs="宋体"/>
                <w:color w:val="auto"/>
                <w:sz w:val="24"/>
              </w:rPr>
              <w:t>1</w:t>
            </w:r>
          </w:p>
        </w:tc>
        <w:tc>
          <w:tcPr>
            <w:tcW w:w="1559" w:type="dxa"/>
            <w:tcBorders>
              <w:top w:val="single" w:color="auto" w:sz="4" w:space="0"/>
              <w:left w:val="single" w:color="auto" w:sz="4" w:space="0"/>
              <w:bottom w:val="single" w:color="auto" w:sz="6" w:space="0"/>
              <w:right w:val="single" w:color="auto" w:sz="6" w:space="0"/>
            </w:tcBorders>
            <w:vAlign w:val="center"/>
          </w:tcPr>
          <w:p>
            <w:pPr>
              <w:spacing w:line="276" w:lineRule="auto"/>
              <w:jc w:val="center"/>
              <w:rPr>
                <w:rFonts w:ascii="宋体" w:hAnsi="宋体" w:cs="宋体"/>
                <w:color w:val="auto"/>
                <w:sz w:val="24"/>
              </w:rPr>
            </w:pPr>
            <w:r>
              <w:rPr>
                <w:rFonts w:hint="eastAsia" w:ascii="宋体" w:hAnsi="宋体" w:cs="宋体"/>
                <w:color w:val="auto"/>
                <w:sz w:val="24"/>
              </w:rPr>
              <w:t>投标人能力（共3分）</w:t>
            </w:r>
          </w:p>
        </w:tc>
        <w:tc>
          <w:tcPr>
            <w:tcW w:w="6804" w:type="dxa"/>
            <w:tcBorders>
              <w:top w:val="single" w:color="auto" w:sz="4" w:space="0"/>
              <w:left w:val="single" w:color="auto" w:sz="4" w:space="0"/>
              <w:bottom w:val="single" w:color="auto" w:sz="6" w:space="0"/>
              <w:right w:val="single" w:color="auto" w:sz="4" w:space="0"/>
            </w:tcBorders>
            <w:vAlign w:val="center"/>
          </w:tcPr>
          <w:p>
            <w:pPr>
              <w:spacing w:line="276" w:lineRule="auto"/>
              <w:jc w:val="left"/>
              <w:rPr>
                <w:rFonts w:ascii="宋体" w:hAnsi="宋体" w:cs="宋体"/>
                <w:color w:val="auto"/>
                <w:sz w:val="24"/>
              </w:rPr>
            </w:pPr>
            <w:r>
              <w:rPr>
                <w:rFonts w:hint="eastAsia" w:ascii="宋体" w:hAnsi="宋体" w:cs="宋体"/>
                <w:color w:val="auto"/>
                <w:sz w:val="24"/>
              </w:rPr>
              <w:t>拥有信息系统建设和服务能力CS4及以上的得3分，未提供不得分。</w:t>
            </w:r>
          </w:p>
          <w:p>
            <w:pPr>
              <w:spacing w:line="276" w:lineRule="auto"/>
              <w:ind w:firstLine="482"/>
              <w:jc w:val="left"/>
              <w:rPr>
                <w:rFonts w:ascii="宋体" w:hAnsi="宋体" w:cs="宋体"/>
                <w:color w:val="auto"/>
                <w:sz w:val="24"/>
              </w:rPr>
            </w:pPr>
            <w:r>
              <w:rPr>
                <w:rFonts w:ascii="宋体" w:hAnsi="宋体" w:cs="宋体"/>
                <w:b/>
                <w:color w:val="auto"/>
                <w:sz w:val="24"/>
              </w:rPr>
              <w:t>注</w:t>
            </w:r>
            <w:r>
              <w:rPr>
                <w:rFonts w:hint="eastAsia" w:ascii="宋体" w:hAnsi="宋体" w:cs="宋体"/>
                <w:b/>
                <w:color w:val="auto"/>
                <w:sz w:val="24"/>
              </w:rPr>
              <w:t>：提供有效期内的证书扫描件导入商务技术文件中，否则不得分。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1" w:hRule="atLeast"/>
        </w:trPr>
        <w:tc>
          <w:tcPr>
            <w:tcW w:w="669" w:type="dxa"/>
            <w:vAlign w:val="center"/>
          </w:tcPr>
          <w:p>
            <w:pPr>
              <w:spacing w:line="276" w:lineRule="auto"/>
              <w:jc w:val="center"/>
              <w:rPr>
                <w:rFonts w:ascii="宋体" w:hAnsi="宋体" w:cs="宋体"/>
                <w:color w:val="auto"/>
                <w:sz w:val="24"/>
              </w:rPr>
            </w:pPr>
            <w:r>
              <w:rPr>
                <w:rFonts w:hint="eastAsia" w:ascii="宋体" w:hAnsi="宋体" w:cs="宋体"/>
                <w:color w:val="auto"/>
                <w:sz w:val="24"/>
              </w:rPr>
              <w:t>2</w:t>
            </w:r>
          </w:p>
        </w:tc>
        <w:tc>
          <w:tcPr>
            <w:tcW w:w="1559" w:type="dxa"/>
            <w:vAlign w:val="center"/>
          </w:tcPr>
          <w:p>
            <w:pPr>
              <w:spacing w:line="276" w:lineRule="auto"/>
              <w:jc w:val="center"/>
              <w:rPr>
                <w:rFonts w:ascii="宋体" w:hAnsi="宋体" w:cs="宋体"/>
                <w:color w:val="auto"/>
                <w:sz w:val="24"/>
              </w:rPr>
            </w:pPr>
            <w:r>
              <w:rPr>
                <w:rFonts w:hint="eastAsia" w:ascii="宋体" w:hAnsi="宋体" w:cs="宋体"/>
                <w:color w:val="auto"/>
                <w:sz w:val="24"/>
              </w:rPr>
              <w:t>投标人业绩</w:t>
            </w:r>
          </w:p>
          <w:p>
            <w:pPr>
              <w:spacing w:line="276" w:lineRule="auto"/>
              <w:jc w:val="center"/>
              <w:rPr>
                <w:rFonts w:ascii="宋体" w:hAnsi="宋体" w:cs="宋体"/>
                <w:color w:val="auto"/>
                <w:sz w:val="24"/>
              </w:rPr>
            </w:pPr>
            <w:r>
              <w:rPr>
                <w:rFonts w:hint="eastAsia" w:ascii="宋体" w:hAnsi="宋体" w:cs="宋体"/>
                <w:color w:val="auto"/>
                <w:sz w:val="24"/>
              </w:rPr>
              <w:t>（共1分）</w:t>
            </w:r>
          </w:p>
        </w:tc>
        <w:tc>
          <w:tcPr>
            <w:tcW w:w="6804" w:type="dxa"/>
            <w:vAlign w:val="center"/>
          </w:tcPr>
          <w:p>
            <w:pPr>
              <w:snapToGrid w:val="0"/>
              <w:spacing w:line="276" w:lineRule="auto"/>
              <w:rPr>
                <w:rFonts w:ascii="宋体" w:hAnsi="宋体"/>
                <w:color w:val="auto"/>
                <w:sz w:val="24"/>
              </w:rPr>
            </w:pPr>
            <w:r>
              <w:rPr>
                <w:rFonts w:hint="eastAsia" w:ascii="宋体" w:hAnsi="宋体"/>
                <w:color w:val="auto"/>
                <w:sz w:val="24"/>
              </w:rPr>
              <w:t>自</w:t>
            </w:r>
            <w:r>
              <w:rPr>
                <w:rFonts w:ascii="宋体" w:hAnsi="宋体"/>
                <w:color w:val="auto"/>
                <w:sz w:val="24"/>
              </w:rPr>
              <w:t>20</w:t>
            </w:r>
            <w:r>
              <w:rPr>
                <w:rFonts w:hint="eastAsia" w:ascii="宋体" w:hAnsi="宋体"/>
                <w:color w:val="auto"/>
                <w:sz w:val="24"/>
              </w:rPr>
              <w:t>21年</w:t>
            </w:r>
            <w:r>
              <w:rPr>
                <w:rFonts w:ascii="宋体" w:hAnsi="宋体"/>
                <w:color w:val="auto"/>
                <w:sz w:val="24"/>
              </w:rPr>
              <w:t>1</w:t>
            </w:r>
            <w:r>
              <w:rPr>
                <w:rFonts w:hint="eastAsia" w:ascii="宋体" w:hAnsi="宋体"/>
                <w:color w:val="auto"/>
                <w:sz w:val="24"/>
              </w:rPr>
              <w:t>月</w:t>
            </w:r>
            <w:r>
              <w:rPr>
                <w:rFonts w:ascii="宋体" w:hAnsi="宋体"/>
                <w:color w:val="auto"/>
                <w:sz w:val="24"/>
              </w:rPr>
              <w:t>1</w:t>
            </w:r>
            <w:r>
              <w:rPr>
                <w:rFonts w:hint="eastAsia" w:ascii="宋体" w:hAnsi="宋体"/>
                <w:color w:val="auto"/>
                <w:sz w:val="24"/>
              </w:rPr>
              <w:t>日起至投标截止之日止（以合同签订时间为准），投标人具有县（市、区）及以上、开发区或新区智慧城市、数字政府规划类似项目业绩的，每提供一个得0.2分，</w:t>
            </w:r>
            <w:r>
              <w:rPr>
                <w:rFonts w:hint="eastAsia" w:ascii="宋体" w:hAnsi="宋体" w:cs="宋体"/>
                <w:color w:val="auto"/>
                <w:sz w:val="24"/>
              </w:rPr>
              <w:t>本项</w:t>
            </w:r>
            <w:r>
              <w:rPr>
                <w:rFonts w:hint="eastAsia" w:ascii="宋体" w:hAnsi="宋体"/>
                <w:color w:val="auto"/>
                <w:sz w:val="24"/>
              </w:rPr>
              <w:t>最高得1分。</w:t>
            </w:r>
          </w:p>
          <w:p>
            <w:pPr>
              <w:spacing w:line="276" w:lineRule="auto"/>
              <w:ind w:firstLine="482"/>
              <w:jc w:val="left"/>
              <w:rPr>
                <w:rFonts w:ascii="宋体" w:hAnsi="宋体" w:cs="宋体"/>
                <w:b/>
                <w:color w:val="auto"/>
                <w:sz w:val="24"/>
              </w:rPr>
            </w:pPr>
            <w:r>
              <w:rPr>
                <w:rFonts w:hint="eastAsia" w:ascii="宋体" w:hAnsi="宋体" w:cs="宋体"/>
                <w:b/>
                <w:color w:val="auto"/>
                <w:sz w:val="24"/>
              </w:rPr>
              <w:t>注：</w:t>
            </w:r>
          </w:p>
          <w:p>
            <w:pPr>
              <w:spacing w:line="276" w:lineRule="auto"/>
              <w:ind w:firstLine="482"/>
              <w:jc w:val="left"/>
              <w:rPr>
                <w:rFonts w:ascii="宋体" w:hAnsi="宋体" w:cs="宋体"/>
                <w:b/>
                <w:color w:val="auto"/>
                <w:sz w:val="24"/>
              </w:rPr>
            </w:pPr>
            <w:r>
              <w:rPr>
                <w:rFonts w:hint="eastAsia" w:ascii="宋体" w:hAnsi="宋体" w:cs="宋体"/>
                <w:b/>
                <w:color w:val="auto"/>
                <w:sz w:val="24"/>
              </w:rPr>
              <w:t>1.须将合同扫描件（合同首页、服务内容页、服务金额、落款盖章页等关键页面）导入商务技术文件中，否则不得分。</w:t>
            </w:r>
          </w:p>
          <w:p>
            <w:pPr>
              <w:spacing w:line="276" w:lineRule="auto"/>
              <w:ind w:firstLine="482"/>
              <w:jc w:val="left"/>
              <w:rPr>
                <w:rFonts w:ascii="宋体" w:hAnsi="宋体" w:cs="宋体"/>
                <w:b/>
                <w:color w:val="auto"/>
                <w:sz w:val="24"/>
              </w:rPr>
            </w:pPr>
            <w:r>
              <w:rPr>
                <w:rFonts w:hint="eastAsia" w:ascii="宋体" w:hAnsi="宋体" w:cs="宋体"/>
                <w:b/>
                <w:color w:val="auto"/>
                <w:sz w:val="24"/>
              </w:rPr>
              <w:t>2.是否属于类似项目由评审委员会根据合同的内容、特点以及与本项目的类似程度等进行认定。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69" w:type="dxa"/>
            <w:vMerge w:val="restart"/>
            <w:vAlign w:val="center"/>
          </w:tcPr>
          <w:p>
            <w:pPr>
              <w:spacing w:line="276" w:lineRule="auto"/>
              <w:jc w:val="center"/>
              <w:rPr>
                <w:rFonts w:ascii="宋体" w:hAnsi="宋体" w:cs="宋体"/>
                <w:color w:val="auto"/>
                <w:sz w:val="24"/>
              </w:rPr>
            </w:pPr>
            <w:r>
              <w:rPr>
                <w:rFonts w:hint="eastAsia" w:ascii="宋体" w:hAnsi="宋体" w:cs="宋体"/>
                <w:color w:val="auto"/>
                <w:sz w:val="24"/>
              </w:rPr>
              <w:t>3</w:t>
            </w:r>
          </w:p>
        </w:tc>
        <w:tc>
          <w:tcPr>
            <w:tcW w:w="1559" w:type="dxa"/>
            <w:vMerge w:val="restart"/>
            <w:vAlign w:val="center"/>
          </w:tcPr>
          <w:p>
            <w:pPr>
              <w:widowControl/>
              <w:snapToGrid w:val="0"/>
              <w:jc w:val="center"/>
              <w:rPr>
                <w:rFonts w:ascii="宋体" w:hAnsi="宋体" w:cs="宋体"/>
                <w:bCs/>
                <w:color w:val="auto"/>
                <w:sz w:val="24"/>
              </w:rPr>
            </w:pPr>
            <w:r>
              <w:rPr>
                <w:rFonts w:ascii="宋体" w:hAnsi="宋体" w:cs="宋体"/>
                <w:bCs/>
                <w:color w:val="auto"/>
                <w:sz w:val="24"/>
              </w:rPr>
              <w:t>规划理解</w:t>
            </w:r>
          </w:p>
          <w:p>
            <w:pPr>
              <w:widowControl/>
              <w:snapToGrid w:val="0"/>
              <w:jc w:val="center"/>
              <w:rPr>
                <w:rFonts w:ascii="宋体" w:hAnsi="宋体"/>
                <w:color w:val="auto"/>
                <w:sz w:val="24"/>
              </w:rPr>
            </w:pPr>
            <w:r>
              <w:rPr>
                <w:rFonts w:hint="eastAsia" w:ascii="宋体" w:hAnsi="宋体" w:cs="宋体"/>
                <w:color w:val="auto"/>
                <w:sz w:val="24"/>
              </w:rPr>
              <w:t>（20分）</w:t>
            </w:r>
          </w:p>
        </w:tc>
        <w:tc>
          <w:tcPr>
            <w:tcW w:w="6804" w:type="dxa"/>
            <w:vAlign w:val="center"/>
          </w:tcPr>
          <w:p>
            <w:pPr>
              <w:widowControl/>
              <w:snapToGrid w:val="0"/>
              <w:jc w:val="left"/>
              <w:rPr>
                <w:rFonts w:ascii="宋体" w:hAnsi="宋体"/>
                <w:color w:val="auto"/>
                <w:sz w:val="24"/>
              </w:rPr>
            </w:pPr>
            <w:r>
              <w:rPr>
                <w:rFonts w:hint="eastAsia" w:ascii="宋体" w:hAnsi="宋体"/>
                <w:color w:val="auto"/>
                <w:sz w:val="24"/>
              </w:rPr>
              <w:t>根据投标人对国家、省级新城智慧城市领域政策文件的研究与理解程度和深度，对各项政策及文件理解程度和深度情况</w:t>
            </w:r>
            <w:r>
              <w:rPr>
                <w:rFonts w:hint="eastAsia" w:ascii="宋体" w:hAnsi="宋体" w:cs="宋体"/>
                <w:color w:val="auto"/>
                <w:kern w:val="0"/>
                <w:sz w:val="24"/>
              </w:rPr>
              <w:t>，由评委在规定分值内打分，0-5分。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69" w:type="dxa"/>
            <w:vMerge w:val="continue"/>
            <w:vAlign w:val="center"/>
          </w:tcPr>
          <w:p>
            <w:pPr>
              <w:spacing w:line="276" w:lineRule="auto"/>
              <w:jc w:val="center"/>
              <w:rPr>
                <w:rFonts w:ascii="宋体" w:hAnsi="宋体" w:cs="宋体"/>
                <w:color w:val="auto"/>
                <w:sz w:val="24"/>
              </w:rPr>
            </w:pPr>
          </w:p>
        </w:tc>
        <w:tc>
          <w:tcPr>
            <w:tcW w:w="1559" w:type="dxa"/>
            <w:vMerge w:val="continue"/>
            <w:vAlign w:val="center"/>
          </w:tcPr>
          <w:p>
            <w:pPr>
              <w:widowControl/>
              <w:snapToGrid w:val="0"/>
              <w:jc w:val="center"/>
              <w:rPr>
                <w:rFonts w:ascii="宋体" w:hAnsi="宋体" w:cs="宋体"/>
                <w:bCs/>
                <w:color w:val="auto"/>
                <w:sz w:val="24"/>
              </w:rPr>
            </w:pPr>
          </w:p>
        </w:tc>
        <w:tc>
          <w:tcPr>
            <w:tcW w:w="6804" w:type="dxa"/>
            <w:vAlign w:val="center"/>
          </w:tcPr>
          <w:p>
            <w:pPr>
              <w:widowControl/>
              <w:snapToGrid w:val="0"/>
              <w:jc w:val="left"/>
              <w:rPr>
                <w:rFonts w:ascii="宋体" w:hAnsi="宋体"/>
                <w:color w:val="auto"/>
                <w:sz w:val="24"/>
              </w:rPr>
            </w:pPr>
            <w:r>
              <w:rPr>
                <w:rFonts w:hint="eastAsia" w:ascii="宋体" w:hAnsi="宋体"/>
                <w:color w:val="auto"/>
                <w:sz w:val="24"/>
              </w:rPr>
              <w:t>根据投标人对碧湖新城智慧城市建设现状、需求以及机遇和挑战理解分析深度</w:t>
            </w:r>
            <w:r>
              <w:rPr>
                <w:rFonts w:hint="eastAsia" w:ascii="宋体" w:hAnsi="宋体" w:cs="宋体"/>
                <w:color w:val="auto"/>
                <w:kern w:val="0"/>
                <w:sz w:val="24"/>
              </w:rPr>
              <w:t>，由评委在规定分值内打分，0-5分。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69" w:type="dxa"/>
            <w:vMerge w:val="continue"/>
            <w:vAlign w:val="center"/>
          </w:tcPr>
          <w:p>
            <w:pPr>
              <w:spacing w:line="276" w:lineRule="auto"/>
              <w:jc w:val="center"/>
              <w:rPr>
                <w:rFonts w:ascii="宋体" w:hAnsi="宋体" w:cs="宋体"/>
                <w:color w:val="auto"/>
                <w:sz w:val="24"/>
              </w:rPr>
            </w:pPr>
          </w:p>
        </w:tc>
        <w:tc>
          <w:tcPr>
            <w:tcW w:w="1559" w:type="dxa"/>
            <w:vMerge w:val="continue"/>
            <w:vAlign w:val="center"/>
          </w:tcPr>
          <w:p>
            <w:pPr>
              <w:widowControl/>
              <w:snapToGrid w:val="0"/>
              <w:jc w:val="center"/>
              <w:rPr>
                <w:rFonts w:ascii="宋体" w:hAnsi="宋体" w:cs="宋体"/>
                <w:bCs/>
                <w:color w:val="auto"/>
                <w:sz w:val="24"/>
              </w:rPr>
            </w:pPr>
          </w:p>
        </w:tc>
        <w:tc>
          <w:tcPr>
            <w:tcW w:w="6804" w:type="dxa"/>
            <w:vAlign w:val="center"/>
          </w:tcPr>
          <w:p>
            <w:pPr>
              <w:widowControl/>
              <w:snapToGrid w:val="0"/>
              <w:jc w:val="left"/>
              <w:rPr>
                <w:rFonts w:ascii="宋体" w:hAnsi="宋体"/>
                <w:color w:val="auto"/>
                <w:sz w:val="24"/>
              </w:rPr>
            </w:pPr>
            <w:r>
              <w:rPr>
                <w:rFonts w:hint="eastAsia" w:ascii="宋体" w:hAnsi="宋体"/>
                <w:color w:val="auto"/>
                <w:sz w:val="24"/>
              </w:rPr>
              <w:t>围绕推进碧湖新城公共服务便捷化、城市管理精细化、生活环境宜居化、基础设施智能化等目标的实现，提出思路对策，具有针对性和可行性的</w:t>
            </w:r>
            <w:r>
              <w:rPr>
                <w:rFonts w:hint="eastAsia" w:ascii="宋体" w:hAnsi="宋体" w:cs="宋体"/>
                <w:color w:val="auto"/>
                <w:kern w:val="0"/>
                <w:sz w:val="24"/>
              </w:rPr>
              <w:t>，由评委在规定分值内打分，0-5分。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69" w:type="dxa"/>
            <w:vMerge w:val="continue"/>
            <w:vAlign w:val="center"/>
          </w:tcPr>
          <w:p>
            <w:pPr>
              <w:spacing w:line="276" w:lineRule="auto"/>
              <w:jc w:val="center"/>
              <w:rPr>
                <w:rFonts w:ascii="宋体" w:hAnsi="宋体" w:cs="宋体"/>
                <w:color w:val="auto"/>
                <w:sz w:val="24"/>
              </w:rPr>
            </w:pPr>
          </w:p>
        </w:tc>
        <w:tc>
          <w:tcPr>
            <w:tcW w:w="1559" w:type="dxa"/>
            <w:vMerge w:val="continue"/>
            <w:vAlign w:val="center"/>
          </w:tcPr>
          <w:p>
            <w:pPr>
              <w:widowControl/>
              <w:snapToGrid w:val="0"/>
              <w:jc w:val="center"/>
              <w:rPr>
                <w:rFonts w:ascii="宋体" w:hAnsi="宋体" w:cs="宋体"/>
                <w:color w:val="auto"/>
                <w:sz w:val="24"/>
              </w:rPr>
            </w:pPr>
          </w:p>
        </w:tc>
        <w:tc>
          <w:tcPr>
            <w:tcW w:w="6804" w:type="dxa"/>
            <w:vAlign w:val="center"/>
          </w:tcPr>
          <w:p>
            <w:pPr>
              <w:widowControl/>
              <w:snapToGrid w:val="0"/>
              <w:jc w:val="left"/>
              <w:rPr>
                <w:rFonts w:ascii="宋体" w:hAnsi="宋体" w:cs="宋体"/>
                <w:color w:val="auto"/>
                <w:kern w:val="0"/>
                <w:sz w:val="24"/>
              </w:rPr>
            </w:pPr>
            <w:r>
              <w:rPr>
                <w:rFonts w:hint="eastAsia" w:ascii="宋体" w:hAnsi="宋体" w:cs="宋体"/>
                <w:color w:val="auto"/>
                <w:kern w:val="0"/>
                <w:sz w:val="24"/>
              </w:rPr>
              <w:t>根据投标人对本项目重点难点分析</w:t>
            </w:r>
            <w:r>
              <w:rPr>
                <w:rFonts w:hint="eastAsia" w:ascii="宋体" w:hAnsi="宋体"/>
                <w:color w:val="auto"/>
                <w:sz w:val="24"/>
              </w:rPr>
              <w:t>的准确性</w:t>
            </w:r>
            <w:r>
              <w:rPr>
                <w:rFonts w:hint="eastAsia" w:ascii="宋体" w:hAnsi="宋体" w:cs="宋体"/>
                <w:color w:val="auto"/>
                <w:sz w:val="24"/>
              </w:rPr>
              <w:t>和对策措施</w:t>
            </w:r>
            <w:r>
              <w:rPr>
                <w:rFonts w:hint="eastAsia" w:ascii="宋体" w:hAnsi="宋体" w:cs="宋体"/>
                <w:bCs/>
                <w:color w:val="auto"/>
                <w:sz w:val="24"/>
              </w:rPr>
              <w:t>的优劣</w:t>
            </w:r>
            <w:r>
              <w:rPr>
                <w:rFonts w:hint="eastAsia" w:ascii="宋体" w:hAnsi="宋体"/>
                <w:color w:val="auto"/>
                <w:sz w:val="24"/>
              </w:rPr>
              <w:t>情况，</w:t>
            </w:r>
            <w:r>
              <w:rPr>
                <w:rFonts w:hint="eastAsia" w:ascii="宋体" w:hAnsi="宋体" w:cs="宋体"/>
                <w:color w:val="auto"/>
                <w:kern w:val="0"/>
                <w:sz w:val="24"/>
              </w:rPr>
              <w:t>理解清晰、</w:t>
            </w:r>
            <w:r>
              <w:rPr>
                <w:rFonts w:hint="eastAsia" w:ascii="宋体" w:hAnsi="宋体"/>
                <w:color w:val="auto"/>
                <w:sz w:val="24"/>
              </w:rPr>
              <w:t>分析准确以及</w:t>
            </w:r>
            <w:r>
              <w:rPr>
                <w:rFonts w:hint="eastAsia" w:ascii="宋体" w:hAnsi="宋体" w:cs="宋体"/>
                <w:color w:val="auto"/>
                <w:kern w:val="0"/>
                <w:sz w:val="24"/>
              </w:rPr>
              <w:t>符合采购需求，由评委在规定分值内打分，0-5分。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69" w:type="dxa"/>
            <w:vMerge w:val="restart"/>
            <w:vAlign w:val="center"/>
          </w:tcPr>
          <w:p>
            <w:pPr>
              <w:spacing w:line="276" w:lineRule="auto"/>
              <w:jc w:val="center"/>
              <w:rPr>
                <w:rFonts w:ascii="宋体" w:hAnsi="宋体" w:cs="宋体"/>
                <w:color w:val="auto"/>
                <w:sz w:val="24"/>
              </w:rPr>
            </w:pPr>
            <w:r>
              <w:rPr>
                <w:rFonts w:hint="eastAsia" w:ascii="宋体" w:hAnsi="宋体" w:cs="宋体"/>
                <w:color w:val="auto"/>
                <w:sz w:val="24"/>
              </w:rPr>
              <w:t>4</w:t>
            </w:r>
          </w:p>
        </w:tc>
        <w:tc>
          <w:tcPr>
            <w:tcW w:w="1559" w:type="dxa"/>
            <w:vMerge w:val="restart"/>
            <w:vAlign w:val="center"/>
          </w:tcPr>
          <w:p>
            <w:pPr>
              <w:widowControl/>
              <w:snapToGrid w:val="0"/>
              <w:jc w:val="center"/>
              <w:rPr>
                <w:rFonts w:ascii="宋体" w:hAnsi="宋体"/>
                <w:color w:val="auto"/>
                <w:sz w:val="24"/>
              </w:rPr>
            </w:pPr>
            <w:r>
              <w:rPr>
                <w:rFonts w:hint="eastAsia" w:ascii="宋体" w:hAnsi="宋体"/>
                <w:color w:val="auto"/>
                <w:sz w:val="24"/>
              </w:rPr>
              <w:t>规划方案</w:t>
            </w:r>
          </w:p>
          <w:p>
            <w:pPr>
              <w:widowControl/>
              <w:snapToGrid w:val="0"/>
              <w:jc w:val="center"/>
              <w:rPr>
                <w:rFonts w:ascii="宋体" w:hAnsi="宋体" w:cs="宋体"/>
                <w:color w:val="auto"/>
                <w:sz w:val="24"/>
              </w:rPr>
            </w:pPr>
            <w:r>
              <w:rPr>
                <w:rFonts w:hint="eastAsia" w:ascii="宋体" w:hAnsi="宋体"/>
                <w:color w:val="auto"/>
                <w:sz w:val="24"/>
              </w:rPr>
              <w:t>（</w:t>
            </w:r>
            <w:r>
              <w:rPr>
                <w:rFonts w:ascii="宋体" w:hAnsi="宋体"/>
                <w:color w:val="auto"/>
                <w:sz w:val="24"/>
              </w:rPr>
              <w:t>25分）</w:t>
            </w:r>
          </w:p>
        </w:tc>
        <w:tc>
          <w:tcPr>
            <w:tcW w:w="6804" w:type="dxa"/>
            <w:vAlign w:val="center"/>
          </w:tcPr>
          <w:p>
            <w:pPr>
              <w:widowControl/>
              <w:snapToGrid w:val="0"/>
              <w:jc w:val="left"/>
              <w:rPr>
                <w:rFonts w:ascii="宋体" w:hAnsi="宋体" w:cs="宋体"/>
                <w:color w:val="auto"/>
                <w:kern w:val="0"/>
                <w:sz w:val="24"/>
              </w:rPr>
            </w:pPr>
            <w:r>
              <w:rPr>
                <w:rFonts w:hint="eastAsia" w:ascii="宋体" w:hAnsi="宋体" w:cs="宋体"/>
                <w:color w:val="auto"/>
                <w:kern w:val="0"/>
                <w:sz w:val="24"/>
              </w:rPr>
              <w:t>投标人对碧湖新城智慧城市设计的建设思路、建设原则及目标、总体架构、技术架构、应用架构等方面，内容具有完整性、科学性以及可行性，同时具有一定的前瞻性、创新性等。由评委在规定分值内打分，</w:t>
            </w:r>
            <w:r>
              <w:rPr>
                <w:rFonts w:ascii="宋体" w:hAnsi="宋体" w:cs="宋体"/>
                <w:color w:val="auto"/>
                <w:kern w:val="0"/>
                <w:sz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69" w:type="dxa"/>
            <w:vMerge w:val="continue"/>
            <w:vAlign w:val="center"/>
          </w:tcPr>
          <w:p>
            <w:pPr>
              <w:spacing w:line="276" w:lineRule="auto"/>
              <w:jc w:val="center"/>
              <w:rPr>
                <w:rFonts w:ascii="宋体" w:hAnsi="宋体" w:cs="宋体"/>
                <w:color w:val="auto"/>
                <w:sz w:val="24"/>
              </w:rPr>
            </w:pPr>
          </w:p>
        </w:tc>
        <w:tc>
          <w:tcPr>
            <w:tcW w:w="1559" w:type="dxa"/>
            <w:vMerge w:val="continue"/>
            <w:vAlign w:val="center"/>
          </w:tcPr>
          <w:p>
            <w:pPr>
              <w:widowControl/>
              <w:snapToGrid w:val="0"/>
              <w:ind w:firstLine="482"/>
              <w:jc w:val="center"/>
              <w:rPr>
                <w:rFonts w:ascii="宋体" w:hAnsi="宋体"/>
                <w:b/>
                <w:color w:val="auto"/>
                <w:sz w:val="24"/>
              </w:rPr>
            </w:pPr>
          </w:p>
        </w:tc>
        <w:tc>
          <w:tcPr>
            <w:tcW w:w="6804" w:type="dxa"/>
            <w:vAlign w:val="center"/>
          </w:tcPr>
          <w:p>
            <w:pPr>
              <w:widowControl/>
              <w:snapToGrid w:val="0"/>
              <w:jc w:val="left"/>
              <w:rPr>
                <w:rFonts w:ascii="宋体" w:hAnsi="宋体" w:cs="宋体"/>
                <w:color w:val="auto"/>
                <w:kern w:val="0"/>
                <w:sz w:val="24"/>
              </w:rPr>
            </w:pPr>
            <w:r>
              <w:rPr>
                <w:rFonts w:hint="eastAsia" w:ascii="宋体" w:hAnsi="宋体"/>
                <w:color w:val="auto"/>
                <w:sz w:val="24"/>
              </w:rPr>
              <w:t>对投标人提出的数字碧湖建设内容是否具备体系性、针对性、可行性、全面性等进行综合评价。如是否符合政府有导向性、市场有积极性、公众有体验感的要求，谋划的建设项目是否针对生产、生活、生态维度中高频事项和场景，是否针对性解决工作中的堵点问题等。</w:t>
            </w:r>
            <w:r>
              <w:rPr>
                <w:rFonts w:hint="eastAsia" w:ascii="宋体" w:hAnsi="宋体" w:cs="宋体"/>
                <w:color w:val="auto"/>
                <w:kern w:val="0"/>
                <w:sz w:val="24"/>
              </w:rPr>
              <w:t>由评委在规定分值内打分，</w:t>
            </w:r>
            <w:r>
              <w:rPr>
                <w:rFonts w:ascii="宋体" w:hAnsi="宋体" w:cs="宋体"/>
                <w:color w:val="auto"/>
                <w:kern w:val="0"/>
                <w:sz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69" w:type="dxa"/>
            <w:vMerge w:val="continue"/>
            <w:vAlign w:val="center"/>
          </w:tcPr>
          <w:p>
            <w:pPr>
              <w:spacing w:line="276" w:lineRule="auto"/>
              <w:jc w:val="center"/>
              <w:rPr>
                <w:rFonts w:ascii="宋体" w:hAnsi="宋体" w:cs="宋体"/>
                <w:color w:val="auto"/>
                <w:sz w:val="24"/>
              </w:rPr>
            </w:pPr>
          </w:p>
        </w:tc>
        <w:tc>
          <w:tcPr>
            <w:tcW w:w="1559" w:type="dxa"/>
            <w:vMerge w:val="continue"/>
            <w:vAlign w:val="center"/>
          </w:tcPr>
          <w:p>
            <w:pPr>
              <w:widowControl/>
              <w:snapToGrid w:val="0"/>
              <w:jc w:val="center"/>
              <w:rPr>
                <w:rFonts w:ascii="宋体" w:hAnsi="宋体" w:cs="宋体"/>
                <w:color w:val="auto"/>
                <w:sz w:val="24"/>
              </w:rPr>
            </w:pPr>
          </w:p>
        </w:tc>
        <w:tc>
          <w:tcPr>
            <w:tcW w:w="6804" w:type="dxa"/>
            <w:vAlign w:val="center"/>
          </w:tcPr>
          <w:p>
            <w:pPr>
              <w:widowControl/>
              <w:snapToGrid w:val="0"/>
              <w:jc w:val="left"/>
              <w:rPr>
                <w:rFonts w:ascii="宋体" w:hAnsi="宋体" w:cs="宋体"/>
                <w:color w:val="auto"/>
                <w:kern w:val="0"/>
                <w:sz w:val="24"/>
              </w:rPr>
            </w:pPr>
            <w:r>
              <w:rPr>
                <w:rFonts w:hint="eastAsia" w:ascii="宋体" w:hAnsi="宋体" w:cs="宋体"/>
                <w:color w:val="auto"/>
                <w:kern w:val="0"/>
                <w:sz w:val="24"/>
              </w:rPr>
              <w:t>对项目团队提出的智慧城市项目运营方案、保障举措进行综合评价，如提出项目的运营主体、运营模式，是否能够做到可持续、稳定、高质量运营。</w:t>
            </w:r>
            <w:r>
              <w:rPr>
                <w:rFonts w:hint="eastAsia" w:ascii="宋体" w:hAnsi="宋体"/>
                <w:color w:val="auto"/>
                <w:sz w:val="24"/>
              </w:rPr>
              <w:t>由评委在分值范围内进行打分，</w:t>
            </w:r>
            <w:r>
              <w:rPr>
                <w:rFonts w:ascii="宋体" w:hAnsi="宋体"/>
                <w:color w:val="auto"/>
                <w:sz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69" w:type="dxa"/>
            <w:vMerge w:val="continue"/>
            <w:vAlign w:val="center"/>
          </w:tcPr>
          <w:p>
            <w:pPr>
              <w:spacing w:line="276" w:lineRule="auto"/>
              <w:jc w:val="center"/>
              <w:rPr>
                <w:rFonts w:ascii="宋体" w:hAnsi="宋体" w:cs="宋体"/>
                <w:color w:val="auto"/>
                <w:sz w:val="24"/>
              </w:rPr>
            </w:pPr>
          </w:p>
        </w:tc>
        <w:tc>
          <w:tcPr>
            <w:tcW w:w="1559" w:type="dxa"/>
            <w:vMerge w:val="continue"/>
            <w:vAlign w:val="center"/>
          </w:tcPr>
          <w:p>
            <w:pPr>
              <w:widowControl/>
              <w:snapToGrid w:val="0"/>
              <w:jc w:val="center"/>
              <w:rPr>
                <w:rFonts w:ascii="宋体" w:hAnsi="宋体" w:cs="宋体"/>
                <w:color w:val="auto"/>
                <w:sz w:val="24"/>
              </w:rPr>
            </w:pPr>
          </w:p>
        </w:tc>
        <w:tc>
          <w:tcPr>
            <w:tcW w:w="6804" w:type="dxa"/>
            <w:vAlign w:val="center"/>
          </w:tcPr>
          <w:p>
            <w:pPr>
              <w:widowControl/>
              <w:snapToGrid w:val="0"/>
              <w:jc w:val="left"/>
              <w:rPr>
                <w:rFonts w:ascii="宋体" w:hAnsi="宋体" w:cs="宋体"/>
                <w:color w:val="auto"/>
                <w:kern w:val="0"/>
                <w:sz w:val="24"/>
              </w:rPr>
            </w:pPr>
            <w:r>
              <w:rPr>
                <w:rFonts w:hint="eastAsia" w:ascii="宋体" w:hAnsi="宋体" w:cs="宋体"/>
                <w:color w:val="auto"/>
                <w:kern w:val="0"/>
                <w:sz w:val="24"/>
              </w:rPr>
              <w:t>对投标人提出的智慧城市建设项目概算、建设主体、商务模式、投融资方案进行综合评价。如提出的建设主体是否准确、商务模式是否具有可支撑性，融资方案是否具备创新性和实践性，对拟实施的项目，是否体现多方参与投资建设，尽可能减少政府投资的要求。由评委在规定分值内打分，</w:t>
            </w:r>
            <w:r>
              <w:rPr>
                <w:rFonts w:ascii="宋体" w:hAnsi="宋体" w:cs="宋体"/>
                <w:color w:val="auto"/>
                <w:kern w:val="0"/>
                <w:sz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69" w:type="dxa"/>
            <w:vMerge w:val="continue"/>
            <w:vAlign w:val="center"/>
          </w:tcPr>
          <w:p>
            <w:pPr>
              <w:spacing w:line="276" w:lineRule="auto"/>
              <w:jc w:val="center"/>
              <w:rPr>
                <w:rFonts w:ascii="宋体" w:hAnsi="宋体" w:cs="宋体"/>
                <w:color w:val="auto"/>
                <w:sz w:val="24"/>
              </w:rPr>
            </w:pPr>
          </w:p>
        </w:tc>
        <w:tc>
          <w:tcPr>
            <w:tcW w:w="1559" w:type="dxa"/>
            <w:vMerge w:val="continue"/>
            <w:vAlign w:val="center"/>
          </w:tcPr>
          <w:p>
            <w:pPr>
              <w:widowControl/>
              <w:snapToGrid w:val="0"/>
              <w:jc w:val="center"/>
              <w:rPr>
                <w:rFonts w:ascii="宋体" w:hAnsi="宋体" w:cs="宋体"/>
                <w:color w:val="auto"/>
                <w:sz w:val="24"/>
              </w:rPr>
            </w:pPr>
          </w:p>
        </w:tc>
        <w:tc>
          <w:tcPr>
            <w:tcW w:w="6804" w:type="dxa"/>
            <w:vAlign w:val="center"/>
          </w:tcPr>
          <w:p>
            <w:pPr>
              <w:widowControl/>
              <w:snapToGrid w:val="0"/>
              <w:jc w:val="left"/>
              <w:rPr>
                <w:rFonts w:ascii="宋体" w:hAnsi="宋体" w:cs="宋体"/>
                <w:color w:val="auto"/>
                <w:kern w:val="0"/>
                <w:sz w:val="24"/>
              </w:rPr>
            </w:pPr>
            <w:r>
              <w:rPr>
                <w:rFonts w:hint="eastAsia" w:ascii="宋体" w:hAnsi="宋体" w:cs="宋体"/>
                <w:color w:val="auto"/>
                <w:kern w:val="0"/>
                <w:sz w:val="24"/>
              </w:rPr>
              <w:t>对投标人根据项目编制方案所提供的碧湖新城智慧城市规划编制流程是否完整详细、安排是否合理，是否具备可操作性，编制思路是否清晰流畅，分析是否精准到位等因素。</w:t>
            </w:r>
            <w:r>
              <w:rPr>
                <w:rFonts w:hint="eastAsia" w:ascii="宋体" w:hAnsi="宋体"/>
                <w:color w:val="auto"/>
                <w:sz w:val="24"/>
              </w:rPr>
              <w:t>由评委在分值范围内进行打分，</w:t>
            </w:r>
            <w:r>
              <w:rPr>
                <w:rFonts w:ascii="宋体" w:hAnsi="宋体"/>
                <w:color w:val="auto"/>
                <w:sz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669" w:type="dxa"/>
            <w:vMerge w:val="restart"/>
            <w:vAlign w:val="center"/>
          </w:tcPr>
          <w:p>
            <w:pPr>
              <w:spacing w:line="276" w:lineRule="auto"/>
              <w:jc w:val="center"/>
              <w:rPr>
                <w:rFonts w:ascii="宋体" w:hAnsi="宋体"/>
                <w:color w:val="auto"/>
                <w:sz w:val="24"/>
              </w:rPr>
            </w:pPr>
            <w:r>
              <w:rPr>
                <w:rFonts w:hint="eastAsia" w:ascii="宋体" w:hAnsi="宋体"/>
                <w:color w:val="auto"/>
                <w:sz w:val="24"/>
              </w:rPr>
              <w:t>5</w:t>
            </w:r>
          </w:p>
        </w:tc>
        <w:tc>
          <w:tcPr>
            <w:tcW w:w="1559" w:type="dxa"/>
            <w:vMerge w:val="restart"/>
            <w:vAlign w:val="center"/>
          </w:tcPr>
          <w:p>
            <w:pPr>
              <w:widowControl/>
              <w:snapToGrid w:val="0"/>
              <w:jc w:val="center"/>
              <w:rPr>
                <w:rFonts w:ascii="宋体" w:hAnsi="宋体"/>
                <w:color w:val="auto"/>
                <w:sz w:val="24"/>
              </w:rPr>
            </w:pPr>
            <w:r>
              <w:rPr>
                <w:rFonts w:hint="eastAsia" w:ascii="宋体" w:hAnsi="宋体"/>
                <w:color w:val="auto"/>
                <w:sz w:val="24"/>
              </w:rPr>
              <w:t>团队人员情况（1</w:t>
            </w:r>
            <w:r>
              <w:rPr>
                <w:rFonts w:hint="eastAsia" w:ascii="宋体" w:hAnsi="宋体"/>
                <w:color w:val="auto"/>
                <w:sz w:val="24"/>
                <w:lang w:val="en-US" w:eastAsia="zh-CN"/>
              </w:rPr>
              <w:t>5</w:t>
            </w:r>
            <w:r>
              <w:rPr>
                <w:rFonts w:hint="eastAsia" w:ascii="宋体" w:hAnsi="宋体"/>
                <w:color w:val="auto"/>
                <w:sz w:val="24"/>
              </w:rPr>
              <w:t>分）</w:t>
            </w:r>
          </w:p>
        </w:tc>
        <w:tc>
          <w:tcPr>
            <w:tcW w:w="6804" w:type="dxa"/>
            <w:vAlign w:val="center"/>
          </w:tcPr>
          <w:p>
            <w:pPr>
              <w:rPr>
                <w:rFonts w:ascii="宋体" w:hAnsi="宋体" w:cs="宋体"/>
                <w:color w:val="auto"/>
                <w:kern w:val="0"/>
                <w:sz w:val="24"/>
              </w:rPr>
            </w:pPr>
            <w:r>
              <w:rPr>
                <w:rFonts w:ascii="宋体" w:hAnsi="宋体" w:cs="宋体"/>
                <w:color w:val="auto"/>
                <w:kern w:val="0"/>
                <w:sz w:val="24"/>
              </w:rPr>
              <w:t>拟派一位项目负责人</w:t>
            </w:r>
            <w:r>
              <w:rPr>
                <w:rFonts w:hint="eastAsia" w:ascii="宋体" w:hAnsi="宋体" w:cs="宋体"/>
                <w:color w:val="auto"/>
                <w:kern w:val="0"/>
                <w:sz w:val="24"/>
              </w:rPr>
              <w:t>:</w:t>
            </w:r>
          </w:p>
          <w:p>
            <w:pPr>
              <w:rPr>
                <w:rFonts w:ascii="宋体" w:hAnsi="宋体" w:cs="宋体"/>
                <w:color w:val="auto"/>
                <w:kern w:val="0"/>
                <w:sz w:val="24"/>
              </w:rPr>
            </w:pPr>
            <w:r>
              <w:rPr>
                <w:rFonts w:ascii="宋体" w:hAnsi="宋体" w:cs="宋体"/>
                <w:color w:val="auto"/>
                <w:kern w:val="0"/>
                <w:sz w:val="24"/>
              </w:rPr>
              <w:t>（</w:t>
            </w:r>
            <w:r>
              <w:rPr>
                <w:rFonts w:hint="eastAsia" w:ascii="宋体" w:hAnsi="宋体" w:cs="宋体"/>
                <w:color w:val="auto"/>
                <w:kern w:val="0"/>
                <w:sz w:val="24"/>
              </w:rPr>
              <w:t>1</w:t>
            </w:r>
            <w:r>
              <w:rPr>
                <w:rFonts w:ascii="宋体" w:hAnsi="宋体" w:cs="宋体"/>
                <w:color w:val="auto"/>
                <w:kern w:val="0"/>
                <w:sz w:val="24"/>
              </w:rPr>
              <w:t>）具备正高级及以上职称、注册咨询工程师的得4分；具备高级职称及注册咨询工程师得2分；具备高级及以上职称或注册咨询工程师的得</w:t>
            </w:r>
            <w:r>
              <w:rPr>
                <w:rFonts w:hint="eastAsia" w:ascii="宋体" w:hAnsi="宋体" w:cs="宋体"/>
                <w:color w:val="auto"/>
                <w:kern w:val="0"/>
                <w:sz w:val="24"/>
              </w:rPr>
              <w:t>1分；</w:t>
            </w:r>
            <w:r>
              <w:rPr>
                <w:rFonts w:ascii="宋体" w:hAnsi="宋体" w:cs="宋体"/>
                <w:color w:val="auto"/>
                <w:kern w:val="0"/>
                <w:sz w:val="24"/>
              </w:rPr>
              <w:t>高级及以下不得分；本项最高得4</w:t>
            </w:r>
            <w:r>
              <w:rPr>
                <w:rFonts w:hint="eastAsia" w:ascii="宋体" w:hAnsi="宋体" w:cs="宋体"/>
                <w:color w:val="auto"/>
                <w:kern w:val="0"/>
                <w:sz w:val="24"/>
              </w:rPr>
              <w:t>分。</w:t>
            </w:r>
          </w:p>
          <w:p>
            <w:pPr>
              <w:rPr>
                <w:rFonts w:ascii="宋体" w:hAnsi="宋体" w:cs="宋体"/>
                <w:color w:val="auto"/>
                <w:kern w:val="0"/>
                <w:sz w:val="24"/>
              </w:rPr>
            </w:pPr>
            <w:r>
              <w:rPr>
                <w:rFonts w:ascii="宋体" w:hAnsi="宋体" w:cs="宋体"/>
                <w:color w:val="auto"/>
                <w:kern w:val="0"/>
                <w:sz w:val="24"/>
              </w:rPr>
              <w:t>（</w:t>
            </w:r>
            <w:r>
              <w:rPr>
                <w:rFonts w:hint="eastAsia" w:ascii="宋体" w:hAnsi="宋体" w:cs="宋体"/>
                <w:color w:val="auto"/>
                <w:kern w:val="0"/>
                <w:sz w:val="24"/>
              </w:rPr>
              <w:t>2</w:t>
            </w:r>
            <w:r>
              <w:rPr>
                <w:rFonts w:ascii="宋体" w:hAnsi="宋体" w:cs="宋体"/>
                <w:color w:val="auto"/>
                <w:kern w:val="0"/>
                <w:sz w:val="24"/>
              </w:rPr>
              <w:t>）</w:t>
            </w:r>
            <w:r>
              <w:rPr>
                <w:rFonts w:hint="eastAsia" w:ascii="宋体" w:hAnsi="宋体" w:cs="宋体"/>
                <w:color w:val="auto"/>
                <w:kern w:val="0"/>
                <w:sz w:val="24"/>
              </w:rPr>
              <w:t>每具备1个</w:t>
            </w:r>
            <w:r>
              <w:rPr>
                <w:rFonts w:ascii="宋体" w:hAnsi="宋体" w:cs="宋体"/>
                <w:color w:val="auto"/>
                <w:kern w:val="0"/>
                <w:sz w:val="24"/>
              </w:rPr>
              <w:t>智慧城市、数字政府等</w:t>
            </w:r>
            <w:r>
              <w:rPr>
                <w:rFonts w:hint="eastAsia" w:ascii="宋体" w:hAnsi="宋体" w:cs="宋体"/>
                <w:color w:val="auto"/>
                <w:kern w:val="0"/>
                <w:sz w:val="24"/>
              </w:rPr>
              <w:t>规划咨询项目经验的</w:t>
            </w:r>
            <w:r>
              <w:rPr>
                <w:rFonts w:ascii="宋体" w:hAnsi="宋体" w:cs="宋体"/>
                <w:color w:val="auto"/>
                <w:kern w:val="0"/>
                <w:sz w:val="24"/>
              </w:rPr>
              <w:t>得</w:t>
            </w:r>
            <w:r>
              <w:rPr>
                <w:rFonts w:hint="eastAsia" w:ascii="宋体" w:hAnsi="宋体" w:cs="宋体"/>
                <w:color w:val="auto"/>
                <w:kern w:val="0"/>
                <w:sz w:val="24"/>
              </w:rPr>
              <w:t>1分，没有不得分</w:t>
            </w:r>
            <w:r>
              <w:rPr>
                <w:rFonts w:ascii="宋体" w:hAnsi="宋体" w:cs="宋体"/>
                <w:color w:val="auto"/>
                <w:kern w:val="0"/>
                <w:sz w:val="24"/>
              </w:rPr>
              <w:t>。本项最高得</w:t>
            </w:r>
            <w:r>
              <w:rPr>
                <w:rFonts w:hint="eastAsia" w:ascii="宋体" w:hAnsi="宋体" w:cs="宋体"/>
                <w:color w:val="auto"/>
                <w:kern w:val="0"/>
                <w:sz w:val="24"/>
              </w:rPr>
              <w:t>2分。</w:t>
            </w:r>
          </w:p>
          <w:p>
            <w:pPr>
              <w:ind w:firstLine="482"/>
              <w:rPr>
                <w:rFonts w:ascii="宋体" w:hAnsi="宋体"/>
                <w:b/>
                <w:bCs/>
                <w:color w:val="auto"/>
                <w:sz w:val="24"/>
              </w:rPr>
            </w:pPr>
            <w:r>
              <w:rPr>
                <w:rFonts w:hint="eastAsia" w:ascii="宋体" w:hAnsi="宋体" w:cs="宋体"/>
                <w:b/>
                <w:color w:val="auto"/>
                <w:kern w:val="0"/>
                <w:sz w:val="24"/>
              </w:rPr>
              <w:t>注：提供项目负责人证书、相关经验证明材料扫描件和社保证明导入商务技术文件中，否则不得分。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69" w:type="dxa"/>
            <w:vMerge w:val="continue"/>
            <w:vAlign w:val="center"/>
          </w:tcPr>
          <w:p>
            <w:pPr>
              <w:spacing w:line="276" w:lineRule="auto"/>
              <w:jc w:val="center"/>
              <w:rPr>
                <w:rFonts w:ascii="宋体" w:hAnsi="宋体"/>
                <w:color w:val="auto"/>
                <w:sz w:val="24"/>
              </w:rPr>
            </w:pPr>
          </w:p>
        </w:tc>
        <w:tc>
          <w:tcPr>
            <w:tcW w:w="1559" w:type="dxa"/>
            <w:vMerge w:val="continue"/>
            <w:vAlign w:val="center"/>
          </w:tcPr>
          <w:p>
            <w:pPr>
              <w:widowControl/>
              <w:snapToGrid w:val="0"/>
              <w:jc w:val="center"/>
              <w:rPr>
                <w:rFonts w:ascii="宋体" w:hAnsi="宋体"/>
                <w:color w:val="auto"/>
                <w:sz w:val="24"/>
              </w:rPr>
            </w:pPr>
          </w:p>
        </w:tc>
        <w:tc>
          <w:tcPr>
            <w:tcW w:w="6804" w:type="dxa"/>
            <w:vAlign w:val="center"/>
          </w:tcPr>
          <w:p>
            <w:pPr>
              <w:spacing w:line="340" w:lineRule="exact"/>
              <w:rPr>
                <w:rFonts w:ascii="宋体" w:hAnsi="宋体"/>
                <w:b/>
                <w:bCs/>
                <w:color w:val="auto"/>
                <w:sz w:val="24"/>
              </w:rPr>
            </w:pPr>
            <w:r>
              <w:rPr>
                <w:rFonts w:ascii="宋体" w:hAnsi="宋体"/>
                <w:b/>
                <w:bCs/>
                <w:color w:val="auto"/>
                <w:sz w:val="24"/>
              </w:rPr>
              <w:t>团队成员（除项目负责人外）</w:t>
            </w:r>
            <w:r>
              <w:rPr>
                <w:rFonts w:hint="eastAsia" w:ascii="宋体" w:hAnsi="宋体"/>
                <w:b/>
                <w:bCs/>
                <w:color w:val="auto"/>
                <w:sz w:val="24"/>
              </w:rPr>
              <w:t>：</w:t>
            </w:r>
          </w:p>
          <w:p>
            <w:pPr>
              <w:spacing w:line="340" w:lineRule="exact"/>
              <w:rPr>
                <w:rFonts w:ascii="宋体" w:hAnsi="宋体"/>
                <w:bCs/>
                <w:color w:val="auto"/>
                <w:sz w:val="24"/>
              </w:rPr>
            </w:pPr>
            <w:r>
              <w:rPr>
                <w:rFonts w:ascii="宋体" w:hAnsi="宋体" w:cs="宋体"/>
                <w:color w:val="auto"/>
                <w:kern w:val="0"/>
                <w:sz w:val="24"/>
              </w:rPr>
              <w:t>（</w:t>
            </w:r>
            <w:r>
              <w:rPr>
                <w:rFonts w:hint="eastAsia" w:ascii="宋体" w:hAnsi="宋体" w:cs="宋体"/>
                <w:color w:val="auto"/>
                <w:kern w:val="0"/>
                <w:sz w:val="24"/>
              </w:rPr>
              <w:t>1</w:t>
            </w:r>
            <w:r>
              <w:rPr>
                <w:rFonts w:ascii="宋体" w:hAnsi="宋体" w:cs="宋体"/>
                <w:color w:val="auto"/>
                <w:kern w:val="0"/>
                <w:sz w:val="24"/>
              </w:rPr>
              <w:t>）</w:t>
            </w:r>
            <w:r>
              <w:rPr>
                <w:rFonts w:hint="eastAsia" w:ascii="宋体" w:hAnsi="宋体"/>
                <w:bCs/>
                <w:color w:val="auto"/>
                <w:sz w:val="24"/>
              </w:rPr>
              <w:t>每配备一位有高级及以上职称人员且具备智慧城市、数字政府等领域规划编制经验，得</w:t>
            </w:r>
            <w:r>
              <w:rPr>
                <w:rFonts w:ascii="宋体" w:hAnsi="宋体"/>
                <w:bCs/>
                <w:color w:val="auto"/>
                <w:sz w:val="24"/>
              </w:rPr>
              <w:t>2</w:t>
            </w:r>
            <w:r>
              <w:rPr>
                <w:rFonts w:hint="eastAsia" w:ascii="宋体" w:hAnsi="宋体"/>
                <w:bCs/>
                <w:color w:val="auto"/>
                <w:sz w:val="24"/>
              </w:rPr>
              <w:t>分；</w:t>
            </w:r>
            <w:r>
              <w:rPr>
                <w:rFonts w:hint="eastAsia" w:ascii="宋体" w:hAnsi="宋体"/>
                <w:b/>
                <w:bCs/>
                <w:color w:val="auto"/>
                <w:sz w:val="24"/>
              </w:rPr>
              <w:t>本条最高得6分。</w:t>
            </w:r>
          </w:p>
          <w:p>
            <w:pPr>
              <w:spacing w:line="340" w:lineRule="exact"/>
              <w:rPr>
                <w:rFonts w:ascii="宋体" w:hAnsi="宋体" w:cs="宋体"/>
                <w:color w:val="auto"/>
                <w:kern w:val="0"/>
                <w:sz w:val="24"/>
              </w:rPr>
            </w:pPr>
            <w:r>
              <w:rPr>
                <w:rFonts w:ascii="宋体" w:hAnsi="宋体" w:cs="宋体"/>
                <w:color w:val="auto"/>
                <w:kern w:val="0"/>
                <w:sz w:val="24"/>
              </w:rPr>
              <w:t>（</w:t>
            </w:r>
            <w:r>
              <w:rPr>
                <w:rFonts w:hint="eastAsia" w:ascii="宋体" w:hAnsi="宋体" w:cs="宋体"/>
                <w:color w:val="auto"/>
                <w:kern w:val="0"/>
                <w:sz w:val="24"/>
              </w:rPr>
              <w:t>2</w:t>
            </w:r>
            <w:r>
              <w:rPr>
                <w:rFonts w:ascii="宋体" w:hAnsi="宋体" w:cs="宋体"/>
                <w:color w:val="auto"/>
                <w:kern w:val="0"/>
                <w:sz w:val="24"/>
              </w:rPr>
              <w:t>）</w:t>
            </w:r>
            <w:r>
              <w:rPr>
                <w:rFonts w:hint="eastAsia" w:ascii="宋体" w:hAnsi="宋体"/>
                <w:bCs/>
                <w:color w:val="auto"/>
                <w:sz w:val="24"/>
              </w:rPr>
              <w:t>每配备一位有高级及以上职称人员的得0.5分，本条最高得1.5分。</w:t>
            </w:r>
          </w:p>
          <w:p>
            <w:pPr>
              <w:spacing w:line="340" w:lineRule="exact"/>
              <w:rPr>
                <w:rFonts w:ascii="宋体" w:hAnsi="宋体"/>
                <w:bCs/>
                <w:color w:val="auto"/>
                <w:sz w:val="24"/>
              </w:rPr>
            </w:pPr>
            <w:r>
              <w:rPr>
                <w:rFonts w:ascii="宋体" w:hAnsi="宋体" w:cs="宋体"/>
                <w:color w:val="auto"/>
                <w:kern w:val="0"/>
                <w:sz w:val="24"/>
              </w:rPr>
              <w:t>（</w:t>
            </w:r>
            <w:r>
              <w:rPr>
                <w:rFonts w:hint="eastAsia" w:ascii="宋体" w:hAnsi="宋体" w:cs="宋体"/>
                <w:color w:val="auto"/>
                <w:kern w:val="0"/>
                <w:sz w:val="24"/>
              </w:rPr>
              <w:t>3</w:t>
            </w:r>
            <w:r>
              <w:rPr>
                <w:rFonts w:ascii="宋体" w:hAnsi="宋体" w:cs="宋体"/>
                <w:color w:val="auto"/>
                <w:kern w:val="0"/>
                <w:sz w:val="24"/>
              </w:rPr>
              <w:t>）</w:t>
            </w:r>
            <w:r>
              <w:rPr>
                <w:rFonts w:hint="eastAsia" w:ascii="宋体" w:hAnsi="宋体"/>
                <w:bCs/>
                <w:color w:val="auto"/>
                <w:sz w:val="24"/>
              </w:rPr>
              <w:t>每配备一位具备智慧城市、数字政府等领域规划编制经验的得0.5分，本条最高得1.5分。</w:t>
            </w:r>
          </w:p>
          <w:p>
            <w:pPr>
              <w:spacing w:line="340" w:lineRule="exact"/>
              <w:ind w:firstLine="482"/>
              <w:rPr>
                <w:rFonts w:eastAsia="仿宋"/>
                <w:bCs/>
                <w:color w:val="auto"/>
                <w:sz w:val="24"/>
              </w:rPr>
            </w:pPr>
            <w:r>
              <w:rPr>
                <w:rFonts w:hint="eastAsia" w:ascii="宋体" w:hAnsi="宋体" w:cs="宋体"/>
                <w:b/>
                <w:color w:val="auto"/>
                <w:kern w:val="0"/>
                <w:sz w:val="24"/>
              </w:rPr>
              <w:t>注：提供人员证书、相关经验证明材料扫描件和社保证明导入商务技术文件中，否则不得分；</w:t>
            </w:r>
            <w:r>
              <w:rPr>
                <w:rFonts w:hint="eastAsia" w:ascii="宋体" w:hAnsi="宋体"/>
                <w:b/>
                <w:bCs/>
                <w:color w:val="auto"/>
                <w:sz w:val="24"/>
              </w:rPr>
              <w:t>本项最高得6分。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669" w:type="dxa"/>
            <w:vMerge w:val="continue"/>
            <w:vAlign w:val="center"/>
          </w:tcPr>
          <w:p>
            <w:pPr>
              <w:spacing w:line="276" w:lineRule="auto"/>
              <w:jc w:val="center"/>
              <w:rPr>
                <w:rFonts w:ascii="宋体" w:hAnsi="宋体"/>
                <w:color w:val="auto"/>
                <w:sz w:val="24"/>
              </w:rPr>
            </w:pPr>
          </w:p>
        </w:tc>
        <w:tc>
          <w:tcPr>
            <w:tcW w:w="1559" w:type="dxa"/>
            <w:vMerge w:val="continue"/>
            <w:vAlign w:val="center"/>
          </w:tcPr>
          <w:p>
            <w:pPr>
              <w:widowControl/>
              <w:snapToGrid w:val="0"/>
              <w:jc w:val="center"/>
              <w:rPr>
                <w:rFonts w:ascii="宋体" w:hAnsi="宋体"/>
                <w:color w:val="auto"/>
                <w:sz w:val="24"/>
              </w:rPr>
            </w:pPr>
          </w:p>
        </w:tc>
        <w:tc>
          <w:tcPr>
            <w:tcW w:w="6804" w:type="dxa"/>
            <w:vAlign w:val="center"/>
          </w:tcPr>
          <w:p>
            <w:pPr>
              <w:widowControl/>
              <w:snapToGrid w:val="0"/>
              <w:jc w:val="left"/>
              <w:rPr>
                <w:rFonts w:ascii="宋体" w:hAnsi="宋体" w:cs="楷体"/>
                <w:color w:val="auto"/>
                <w:sz w:val="24"/>
              </w:rPr>
            </w:pPr>
            <w:r>
              <w:rPr>
                <w:rFonts w:hint="eastAsia" w:ascii="宋体" w:hAnsi="宋体"/>
                <w:color w:val="auto"/>
                <w:sz w:val="24"/>
              </w:rPr>
              <w:t>拟派本项目的团队人员（除项目负责人外）应符合采购需求，提供配备团队人员的综合素质、</w:t>
            </w:r>
            <w:r>
              <w:rPr>
                <w:rFonts w:hint="eastAsia" w:ascii="宋体" w:hAnsi="宋体" w:cs="楷体"/>
                <w:color w:val="auto"/>
                <w:sz w:val="24"/>
              </w:rPr>
              <w:t>专业情况</w:t>
            </w:r>
            <w:r>
              <w:rPr>
                <w:rFonts w:hint="eastAsia" w:ascii="宋体" w:hAnsi="宋体"/>
                <w:color w:val="auto"/>
                <w:sz w:val="24"/>
              </w:rPr>
              <w:t>、人数及职责分工</w:t>
            </w:r>
            <w:r>
              <w:rPr>
                <w:rFonts w:hint="eastAsia" w:ascii="宋体" w:hAnsi="宋体" w:cs="宋体"/>
                <w:color w:val="auto"/>
                <w:sz w:val="24"/>
              </w:rPr>
              <w:t>等</w:t>
            </w:r>
            <w:r>
              <w:rPr>
                <w:rFonts w:hint="eastAsia" w:ascii="宋体" w:hAnsi="宋体"/>
                <w:color w:val="auto"/>
                <w:sz w:val="24"/>
              </w:rPr>
              <w:t>，由评委在分值范围内打分（0-3分）</w:t>
            </w:r>
            <w:r>
              <w:rPr>
                <w:rFonts w:hint="eastAsia" w:ascii="宋体" w:hAnsi="宋体" w:cs="楷体"/>
                <w:color w:val="auto"/>
                <w:sz w:val="24"/>
              </w:rPr>
              <w:t>。</w:t>
            </w:r>
          </w:p>
          <w:p>
            <w:pPr>
              <w:widowControl/>
              <w:snapToGrid w:val="0"/>
              <w:ind w:firstLine="482"/>
              <w:jc w:val="left"/>
              <w:rPr>
                <w:rFonts w:ascii="宋体" w:hAnsi="宋体"/>
                <w:color w:val="auto"/>
                <w:sz w:val="24"/>
              </w:rPr>
            </w:pPr>
            <w:r>
              <w:rPr>
                <w:rFonts w:hint="eastAsia" w:ascii="宋体" w:hAnsi="宋体" w:cs="宋体"/>
                <w:b/>
                <w:color w:val="auto"/>
                <w:kern w:val="0"/>
                <w:sz w:val="24"/>
              </w:rPr>
              <w:t>注：提供人员证书和社保证明导入商务技术文件中，未提供相应扣分。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669" w:type="dxa"/>
            <w:vAlign w:val="center"/>
          </w:tcPr>
          <w:p>
            <w:pPr>
              <w:spacing w:line="276" w:lineRule="auto"/>
              <w:jc w:val="center"/>
              <w:rPr>
                <w:rFonts w:ascii="宋体" w:hAnsi="宋体"/>
                <w:color w:val="auto"/>
                <w:sz w:val="24"/>
              </w:rPr>
            </w:pPr>
            <w:r>
              <w:rPr>
                <w:rFonts w:hint="eastAsia" w:ascii="宋体" w:hAnsi="宋体"/>
                <w:color w:val="auto"/>
                <w:sz w:val="24"/>
              </w:rPr>
              <w:t>6</w:t>
            </w:r>
          </w:p>
        </w:tc>
        <w:tc>
          <w:tcPr>
            <w:tcW w:w="1559" w:type="dxa"/>
            <w:vAlign w:val="center"/>
          </w:tcPr>
          <w:p>
            <w:pPr>
              <w:jc w:val="center"/>
              <w:rPr>
                <w:rFonts w:ascii="宋体" w:hAnsi="宋体"/>
                <w:color w:val="auto"/>
                <w:sz w:val="24"/>
              </w:rPr>
            </w:pPr>
            <w:r>
              <w:rPr>
                <w:rFonts w:hint="eastAsia" w:ascii="宋体" w:hAnsi="宋体"/>
                <w:color w:val="auto"/>
                <w:sz w:val="24"/>
              </w:rPr>
              <w:t>创新点与合理化建议</w:t>
            </w:r>
          </w:p>
          <w:p>
            <w:pPr>
              <w:jc w:val="center"/>
              <w:rPr>
                <w:rFonts w:ascii="宋体" w:hAnsi="宋体"/>
                <w:color w:val="auto"/>
                <w:sz w:val="24"/>
              </w:rPr>
            </w:pPr>
            <w:r>
              <w:rPr>
                <w:rFonts w:hint="eastAsia" w:ascii="宋体" w:hAnsi="宋体"/>
                <w:color w:val="auto"/>
                <w:sz w:val="24"/>
              </w:rPr>
              <w:t>（5分）</w:t>
            </w:r>
          </w:p>
        </w:tc>
        <w:tc>
          <w:tcPr>
            <w:tcW w:w="6804" w:type="dxa"/>
          </w:tcPr>
          <w:p>
            <w:pPr>
              <w:spacing w:line="320" w:lineRule="exact"/>
              <w:rPr>
                <w:rFonts w:ascii="宋体" w:hAnsi="宋体"/>
                <w:color w:val="auto"/>
                <w:szCs w:val="21"/>
              </w:rPr>
            </w:pPr>
            <w:r>
              <w:rPr>
                <w:rFonts w:hint="eastAsia" w:ascii="宋体" w:hAnsi="宋体"/>
                <w:color w:val="auto"/>
                <w:sz w:val="24"/>
              </w:rPr>
              <w:t>投标人对碧湖新城智慧城市建设和大数据发展提供独到见解，结合莲都区特点和发展实际及发展目标提出合理化的咨询服务建议，由评委在分值范围内打分（0-5分）。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669" w:type="dxa"/>
            <w:vAlign w:val="center"/>
          </w:tcPr>
          <w:p>
            <w:pPr>
              <w:spacing w:line="276" w:lineRule="auto"/>
              <w:jc w:val="center"/>
              <w:rPr>
                <w:rFonts w:ascii="宋体" w:hAnsi="宋体"/>
                <w:color w:val="auto"/>
                <w:sz w:val="24"/>
              </w:rPr>
            </w:pPr>
            <w:r>
              <w:rPr>
                <w:rFonts w:hint="eastAsia" w:ascii="宋体" w:hAnsi="宋体"/>
                <w:color w:val="auto"/>
                <w:sz w:val="24"/>
              </w:rPr>
              <w:t>7</w:t>
            </w:r>
          </w:p>
        </w:tc>
        <w:tc>
          <w:tcPr>
            <w:tcW w:w="1559" w:type="dxa"/>
            <w:vAlign w:val="center"/>
          </w:tcPr>
          <w:p>
            <w:pPr>
              <w:adjustRightInd w:val="0"/>
              <w:snapToGrid w:val="0"/>
              <w:spacing w:before="48" w:beforeLines="20" w:after="48" w:afterLines="20"/>
              <w:jc w:val="center"/>
              <w:rPr>
                <w:rFonts w:ascii="宋体" w:hAnsi="宋体"/>
                <w:color w:val="auto"/>
                <w:sz w:val="24"/>
              </w:rPr>
            </w:pPr>
            <w:r>
              <w:rPr>
                <w:rFonts w:hint="eastAsia" w:ascii="宋体" w:hAnsi="宋体"/>
                <w:color w:val="auto"/>
                <w:sz w:val="24"/>
              </w:rPr>
              <w:t>服务质量保障措施</w:t>
            </w:r>
          </w:p>
          <w:p>
            <w:pPr>
              <w:adjustRightInd w:val="0"/>
              <w:snapToGrid w:val="0"/>
              <w:spacing w:before="48" w:beforeLines="20" w:after="48" w:afterLines="20"/>
              <w:jc w:val="center"/>
              <w:rPr>
                <w:rFonts w:ascii="宋体" w:hAnsi="宋体"/>
                <w:color w:val="auto"/>
                <w:sz w:val="24"/>
              </w:rPr>
            </w:pPr>
            <w:r>
              <w:rPr>
                <w:rFonts w:hint="eastAsia" w:ascii="宋体" w:hAnsi="宋体"/>
                <w:color w:val="auto"/>
                <w:sz w:val="24"/>
              </w:rPr>
              <w:t>（5分）</w:t>
            </w:r>
          </w:p>
        </w:tc>
        <w:tc>
          <w:tcPr>
            <w:tcW w:w="6804" w:type="dxa"/>
            <w:vAlign w:val="center"/>
          </w:tcPr>
          <w:p>
            <w:pPr>
              <w:adjustRightInd w:val="0"/>
              <w:snapToGrid w:val="0"/>
              <w:spacing w:line="25" w:lineRule="atLeast"/>
              <w:jc w:val="left"/>
              <w:rPr>
                <w:rFonts w:ascii="宋体" w:hAnsi="宋体" w:cs="宋体"/>
                <w:color w:val="auto"/>
                <w:sz w:val="24"/>
              </w:rPr>
            </w:pPr>
            <w:r>
              <w:rPr>
                <w:rFonts w:hint="eastAsia" w:ascii="宋体" w:hAnsi="宋体" w:cs="宋体"/>
                <w:color w:val="auto"/>
                <w:sz w:val="24"/>
              </w:rPr>
              <w:t>根据投标人提供相关质量保障措施，包括但不限于项目进度安排、团队人员管理情况。应突出工作实施计划方案的可行性、工作安排的合理性和科学性，管理方式先进性、其他服务承诺等内容。</w:t>
            </w:r>
            <w:r>
              <w:rPr>
                <w:rFonts w:hint="eastAsia" w:ascii="宋体" w:hAnsi="宋体"/>
                <w:color w:val="auto"/>
                <w:sz w:val="24"/>
              </w:rPr>
              <w:t>由评委在分值范围内进行打分，0-</w:t>
            </w:r>
            <w:r>
              <w:rPr>
                <w:rFonts w:ascii="宋体" w:hAnsi="宋体"/>
                <w:color w:val="auto"/>
                <w:sz w:val="24"/>
              </w:rPr>
              <w:t>5</w:t>
            </w:r>
            <w:r>
              <w:rPr>
                <w:rFonts w:hint="eastAsia" w:ascii="宋体" w:hAnsi="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669" w:type="dxa"/>
            <w:vAlign w:val="center"/>
          </w:tcPr>
          <w:p>
            <w:pPr>
              <w:spacing w:line="276" w:lineRule="auto"/>
              <w:jc w:val="center"/>
              <w:rPr>
                <w:rFonts w:ascii="宋体" w:hAnsi="宋体"/>
                <w:color w:val="auto"/>
                <w:sz w:val="24"/>
              </w:rPr>
            </w:pPr>
            <w:r>
              <w:rPr>
                <w:rFonts w:hint="eastAsia" w:ascii="宋体" w:hAnsi="宋体"/>
                <w:color w:val="auto"/>
                <w:sz w:val="24"/>
              </w:rPr>
              <w:t>8</w:t>
            </w:r>
          </w:p>
        </w:tc>
        <w:tc>
          <w:tcPr>
            <w:tcW w:w="1559" w:type="dxa"/>
            <w:vAlign w:val="center"/>
          </w:tcPr>
          <w:p>
            <w:pPr>
              <w:adjustRightInd w:val="0"/>
              <w:snapToGrid w:val="0"/>
              <w:spacing w:before="48" w:beforeLines="20" w:after="48" w:afterLines="20"/>
              <w:jc w:val="center"/>
              <w:rPr>
                <w:rFonts w:ascii="宋体" w:hAnsi="宋体"/>
                <w:color w:val="auto"/>
                <w:sz w:val="24"/>
              </w:rPr>
            </w:pPr>
            <w:r>
              <w:rPr>
                <w:rFonts w:hint="eastAsia" w:ascii="宋体" w:hAnsi="宋体"/>
                <w:color w:val="auto"/>
                <w:sz w:val="24"/>
              </w:rPr>
              <w:t>视频述标</w:t>
            </w:r>
          </w:p>
          <w:p>
            <w:pPr>
              <w:adjustRightInd w:val="0"/>
              <w:snapToGrid w:val="0"/>
              <w:spacing w:before="48" w:beforeLines="20" w:after="48" w:afterLines="20"/>
              <w:jc w:val="center"/>
              <w:rPr>
                <w:rFonts w:ascii="宋体" w:hAnsi="宋体"/>
                <w:color w:val="auto"/>
                <w:sz w:val="24"/>
              </w:rPr>
            </w:pPr>
            <w:r>
              <w:rPr>
                <w:rFonts w:hint="eastAsia" w:ascii="宋体" w:hAnsi="宋体"/>
                <w:color w:val="auto"/>
                <w:sz w:val="24"/>
              </w:rPr>
              <w:t>(1</w:t>
            </w:r>
            <w:r>
              <w:rPr>
                <w:rFonts w:ascii="宋体" w:hAnsi="宋体"/>
                <w:color w:val="auto"/>
                <w:sz w:val="24"/>
              </w:rPr>
              <w:t>6分</w:t>
            </w:r>
            <w:r>
              <w:rPr>
                <w:rFonts w:hint="eastAsia" w:ascii="宋体" w:hAnsi="宋体"/>
                <w:color w:val="auto"/>
                <w:sz w:val="24"/>
              </w:rPr>
              <w:t>)</w:t>
            </w:r>
          </w:p>
        </w:tc>
        <w:tc>
          <w:tcPr>
            <w:tcW w:w="6804" w:type="dxa"/>
            <w:vAlign w:val="center"/>
          </w:tcPr>
          <w:p>
            <w:pPr>
              <w:adjustRightInd w:val="0"/>
              <w:snapToGrid w:val="0"/>
              <w:spacing w:line="25" w:lineRule="atLeast"/>
              <w:jc w:val="left"/>
              <w:rPr>
                <w:rFonts w:asciiTheme="majorEastAsia" w:hAnsiTheme="majorEastAsia" w:eastAsiaTheme="majorEastAsia"/>
                <w:color w:val="auto"/>
                <w:sz w:val="24"/>
              </w:rPr>
            </w:pPr>
            <w:r>
              <w:rPr>
                <w:rFonts w:hint="eastAsia" w:ascii="宋体" w:hAnsi="宋体" w:cs="宋体"/>
                <w:color w:val="auto"/>
                <w:sz w:val="24"/>
              </w:rPr>
              <w:t>拟派本项目负责人进行</w:t>
            </w:r>
            <w:r>
              <w:rPr>
                <w:rFonts w:hint="eastAsia" w:asciiTheme="majorEastAsia" w:hAnsiTheme="majorEastAsia" w:eastAsiaTheme="majorEastAsia"/>
                <w:color w:val="auto"/>
                <w:sz w:val="24"/>
              </w:rPr>
              <w:t>方案述标：</w:t>
            </w:r>
          </w:p>
          <w:p>
            <w:pPr>
              <w:adjustRightInd w:val="0"/>
              <w:snapToGrid w:val="0"/>
              <w:spacing w:line="25" w:lineRule="atLeast"/>
              <w:jc w:val="left"/>
              <w:rPr>
                <w:rFonts w:ascii="宋体" w:hAnsi="宋体"/>
                <w:color w:val="auto"/>
                <w:sz w:val="24"/>
              </w:rPr>
            </w:pPr>
            <w:r>
              <w:rPr>
                <w:rFonts w:hint="eastAsia" w:asciiTheme="majorEastAsia" w:hAnsiTheme="majorEastAsia" w:eastAsiaTheme="majorEastAsia"/>
                <w:color w:val="auto"/>
                <w:sz w:val="24"/>
              </w:rPr>
              <w:t>1.对本项目建设的理解（0-3分），规划思路的阐述（0-5分）理解深入、</w:t>
            </w:r>
            <w:r>
              <w:rPr>
                <w:rFonts w:hint="eastAsia" w:ascii="宋体" w:hAnsi="宋体" w:cs="宋体"/>
                <w:color w:val="auto"/>
                <w:sz w:val="24"/>
              </w:rPr>
              <w:t>思路清晰、要点明确，</w:t>
            </w:r>
            <w:r>
              <w:rPr>
                <w:rFonts w:hint="eastAsia" w:ascii="宋体" w:hAnsi="宋体"/>
                <w:color w:val="auto"/>
                <w:sz w:val="24"/>
              </w:rPr>
              <w:t>由评委在分值范围内进行打分。</w:t>
            </w:r>
          </w:p>
          <w:p>
            <w:pPr>
              <w:adjustRightInd w:val="0"/>
              <w:snapToGrid w:val="0"/>
              <w:spacing w:line="25" w:lineRule="atLeast"/>
              <w:jc w:val="left"/>
              <w:rPr>
                <w:rFonts w:ascii="宋体" w:hAnsi="宋体" w:cs="宋体"/>
                <w:color w:val="auto"/>
                <w:sz w:val="24"/>
              </w:rPr>
            </w:pPr>
            <w:r>
              <w:rPr>
                <w:rFonts w:hint="eastAsia" w:ascii="宋体" w:hAnsi="宋体"/>
                <w:color w:val="auto"/>
                <w:sz w:val="24"/>
              </w:rPr>
              <w:t>2.</w:t>
            </w:r>
            <w:r>
              <w:rPr>
                <w:rFonts w:hint="eastAsia" w:ascii="宋体" w:hAnsi="宋体" w:cs="宋体"/>
                <w:color w:val="auto"/>
                <w:sz w:val="24"/>
              </w:rPr>
              <w:t>思路清晰、要点明确，能够充分展示规划方案（0-5分），项目整体编制方案，内容符合采购人需求，思路清晰的</w:t>
            </w:r>
            <w:r>
              <w:rPr>
                <w:rFonts w:hint="eastAsia" w:asciiTheme="majorEastAsia" w:hAnsiTheme="majorEastAsia" w:eastAsiaTheme="majorEastAsia"/>
                <w:color w:val="auto"/>
                <w:sz w:val="24"/>
              </w:rPr>
              <w:t>（0-3分），</w:t>
            </w:r>
            <w:r>
              <w:rPr>
                <w:rFonts w:hint="eastAsia" w:ascii="宋体" w:hAnsi="宋体"/>
                <w:color w:val="auto"/>
                <w:sz w:val="24"/>
              </w:rPr>
              <w:t>由评委在分值范围内进行打分。</w:t>
            </w:r>
          </w:p>
          <w:p>
            <w:pPr>
              <w:adjustRightInd w:val="0"/>
              <w:snapToGrid w:val="0"/>
              <w:spacing w:line="25" w:lineRule="atLeast"/>
              <w:jc w:val="left"/>
              <w:rPr>
                <w:rFonts w:ascii="宋体" w:hAnsi="宋体" w:cs="宋体"/>
                <w:color w:val="auto"/>
                <w:sz w:val="24"/>
              </w:rPr>
            </w:pPr>
            <w:r>
              <w:rPr>
                <w:rFonts w:hint="eastAsia" w:ascii="宋体" w:hAnsi="宋体" w:cs="宋体"/>
                <w:color w:val="auto"/>
                <w:sz w:val="24"/>
              </w:rPr>
              <w:t>注：投标人若不派本项目负责人进行视频述标的。视频讲解时，应显示项目负责人影像及身份证。应将述标资料压缩加密（密码由投标人自行保管），并在投标时间截止时间前将加密述标视频一次性（限时内多次发送的，以最后一次为准，其余无效）发送至代理机构指定邮箱（236287981@qq.com），同时备注项目名称，述标开始后，代理机构按照述标顺序向投标人获取视频密码，未在规定时间内发送述标视频或无法打开的或非拟派本项目负责人进行述标的，此项不得分。</w:t>
            </w:r>
          </w:p>
        </w:tc>
      </w:tr>
    </w:tbl>
    <w:p>
      <w:pPr>
        <w:spacing w:line="360" w:lineRule="auto"/>
        <w:ind w:right="-105" w:rightChars="-50" w:firstLine="482" w:firstLineChars="200"/>
        <w:rPr>
          <w:rFonts w:ascii="宋体" w:hAnsi="宋体"/>
          <w:b/>
          <w:sz w:val="24"/>
        </w:rPr>
      </w:pPr>
      <w:r>
        <w:rPr>
          <w:rFonts w:hint="eastAsia" w:ascii="宋体" w:hAnsi="宋体"/>
          <w:b/>
          <w:sz w:val="24"/>
        </w:rPr>
        <w:t>5.2报价分值均为10分，权重为10%，由评审委员会根据以下内容统一打分：</w:t>
      </w:r>
    </w:p>
    <w:p>
      <w:pPr>
        <w:spacing w:line="360" w:lineRule="auto"/>
        <w:ind w:firstLine="480" w:firstLineChars="200"/>
        <w:rPr>
          <w:rFonts w:ascii="宋体" w:hAnsi="宋体"/>
          <w:sz w:val="24"/>
        </w:rPr>
      </w:pPr>
      <w:r>
        <w:rPr>
          <w:rFonts w:hint="eastAsia" w:ascii="宋体" w:hAnsi="宋体"/>
          <w:sz w:val="24"/>
        </w:rPr>
        <w:t>5.2.1报价评分应在投标报价范围口径一致的评标价基础上进行。属招标文件不清楚引起的报价内容和口径不一致的，则按有关规定统一调整投标报价内容和口径，计算出投标人的最终评定价。属投标人失误造成的报价差错和遗漏，不得调整。</w:t>
      </w:r>
    </w:p>
    <w:p>
      <w:pPr>
        <w:spacing w:line="360" w:lineRule="auto"/>
        <w:ind w:firstLine="482" w:firstLineChars="200"/>
        <w:rPr>
          <w:rFonts w:ascii="宋体" w:hAnsi="宋体"/>
          <w:b/>
          <w:sz w:val="24"/>
        </w:rPr>
      </w:pPr>
      <w:r>
        <w:rPr>
          <w:rFonts w:hint="eastAsia" w:ascii="宋体" w:hAnsi="宋体"/>
          <w:b/>
          <w:sz w:val="24"/>
        </w:rPr>
        <w:t>5.2.2报价得分计算：</w:t>
      </w:r>
    </w:p>
    <w:p>
      <w:pPr>
        <w:spacing w:line="360" w:lineRule="auto"/>
        <w:ind w:firstLine="480" w:firstLineChars="200"/>
        <w:rPr>
          <w:rFonts w:ascii="宋体" w:hAnsi="宋体"/>
          <w:sz w:val="24"/>
        </w:rPr>
      </w:pPr>
      <w:r>
        <w:rPr>
          <w:rFonts w:hint="eastAsia" w:ascii="宋体" w:hAnsi="宋体"/>
          <w:sz w:val="24"/>
        </w:rPr>
        <w:t>（1）小微企业、监狱企业和残疾人福利企业（统称为小微企业）报价给予10%的扣除；联合协议约定小微企业的合同份额占到合同总金额30%以上的，对投标人的报价给予4%的扣除；</w:t>
      </w:r>
    </w:p>
    <w:p>
      <w:pPr>
        <w:spacing w:line="360" w:lineRule="auto"/>
        <w:ind w:firstLine="480" w:firstLineChars="200"/>
        <w:rPr>
          <w:rFonts w:ascii="宋体" w:hAnsi="宋体"/>
          <w:sz w:val="24"/>
        </w:rPr>
      </w:pPr>
      <w:r>
        <w:rPr>
          <w:rFonts w:hint="eastAsia" w:asciiTheme="minorEastAsia" w:hAnsiTheme="minorEastAsia" w:eastAsiaTheme="minorEastAsia"/>
          <w:sz w:val="24"/>
        </w:rPr>
        <w:t>（2）</w:t>
      </w:r>
      <w:r>
        <w:rPr>
          <w:rFonts w:hint="eastAsia" w:ascii="宋体" w:hAnsi="宋体"/>
          <w:sz w:val="24"/>
        </w:rPr>
        <w:t>评标价=有效报价×（100%-10%或4%）；</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（3）并以调整后的价格计算评标基准价和投标报价；</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（4）评标基准价=进入报价评分的各投标人有效评标价中的</w:t>
      </w:r>
      <w:r>
        <w:rPr>
          <w:rFonts w:hint="eastAsia" w:asciiTheme="minorEastAsia" w:hAnsiTheme="minorEastAsia" w:eastAsiaTheme="minorEastAsia"/>
          <w:b/>
          <w:bCs/>
          <w:sz w:val="24"/>
        </w:rPr>
        <w:t>最低评标价；</w:t>
      </w:r>
    </w:p>
    <w:p>
      <w:pPr>
        <w:spacing w:line="360" w:lineRule="auto"/>
        <w:ind w:firstLine="480" w:firstLineChars="200"/>
        <w:rPr>
          <w:rFonts w:ascii="宋体" w:hAnsi="宋体"/>
          <w:sz w:val="24"/>
        </w:rPr>
      </w:pPr>
      <w:r>
        <w:rPr>
          <w:rFonts w:hint="eastAsia" w:asciiTheme="minorEastAsia" w:hAnsiTheme="minorEastAsia" w:eastAsiaTheme="minorEastAsia"/>
          <w:sz w:val="24"/>
        </w:rPr>
        <w:t>（5）评标价等于</w:t>
      </w:r>
      <w:r>
        <w:rPr>
          <w:rFonts w:hint="eastAsia" w:ascii="宋体" w:hAnsi="宋体"/>
          <w:sz w:val="24"/>
        </w:rPr>
        <w:t>评标基准价的得10分，其他投标人的报价得分按下列公式计算：</w:t>
      </w:r>
      <w:r>
        <w:rPr>
          <w:rFonts w:hint="eastAsia" w:ascii="宋体" w:hAnsi="宋体"/>
          <w:b/>
          <w:sz w:val="24"/>
        </w:rPr>
        <w:t>投标报价得分=（评标基准价/评标价）×报价权重×100。</w:t>
      </w:r>
    </w:p>
    <w:p>
      <w:pPr>
        <w:spacing w:line="360" w:lineRule="auto"/>
        <w:ind w:firstLine="482" w:firstLineChars="200"/>
        <w:rPr>
          <w:rFonts w:ascii="宋体" w:hAnsi="宋体"/>
        </w:rPr>
      </w:pPr>
      <w:r>
        <w:rPr>
          <w:rFonts w:hint="eastAsia" w:ascii="宋体" w:hAnsi="宋体"/>
          <w:b/>
          <w:sz w:val="24"/>
        </w:rPr>
        <w:t>5.3本项目最终得分=商务技术得分＋报价得分。</w:t>
      </w:r>
    </w:p>
    <w:p>
      <w:pPr>
        <w:pStyle w:val="4"/>
        <w:spacing w:before="240" w:after="240"/>
        <w:ind w:firstLine="0" w:firstLineChars="0"/>
        <w:rPr>
          <w:rFonts w:ascii="宋体" w:hAnsi="宋体" w:eastAsia="宋体"/>
          <w:bCs w:val="0"/>
        </w:rPr>
      </w:pPr>
      <w:bookmarkStart w:id="132" w:name="_Toc335664301"/>
      <w:bookmarkStart w:id="133" w:name="_Toc494555896"/>
      <w:bookmarkStart w:id="134" w:name="_Toc493956082"/>
      <w:bookmarkStart w:id="135" w:name="_Toc28642"/>
      <w:r>
        <w:rPr>
          <w:rFonts w:hint="eastAsia" w:ascii="宋体" w:hAnsi="宋体" w:eastAsia="宋体"/>
          <w:bCs w:val="0"/>
        </w:rPr>
        <w:t>六  评审纪律和要求</w:t>
      </w:r>
      <w:bookmarkEnd w:id="132"/>
      <w:bookmarkEnd w:id="133"/>
      <w:bookmarkEnd w:id="134"/>
      <w:bookmarkEnd w:id="135"/>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.1评审专家必须公平、公正评审，遵纪守法，客观、廉洁地履行职责。</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.2评审专家在评审开始前，应关闭并上交随身携带的各种通信工具。</w:t>
      </w:r>
    </w:p>
    <w:p>
      <w:pPr>
        <w:spacing w:line="360" w:lineRule="auto"/>
        <w:ind w:right="-210" w:rightChars="-100" w:firstLine="480" w:firstLineChars="200"/>
        <w:rPr>
          <w:rFonts w:ascii="宋体" w:hAnsi="宋体"/>
          <w:sz w:val="24"/>
        </w:rPr>
      </w:pPr>
      <w:r>
        <w:rPr>
          <w:rFonts w:ascii="宋体" w:hAnsi="宋体"/>
          <w:sz w:val="24"/>
        </w:rPr>
        <w:t>6</w:t>
      </w:r>
      <w:r>
        <w:rPr>
          <w:rFonts w:hint="eastAsia" w:ascii="宋体" w:hAnsi="宋体"/>
          <w:sz w:val="24"/>
        </w:rPr>
        <w:t>.3评审专家在评审过程中，未经许可不得中途离开评审现场，不得迟到早退。</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.4评审专家和工作人员不得透露评审过程中的讨论情况和评审结果。</w:t>
      </w:r>
    </w:p>
    <w:p>
      <w:pPr>
        <w:spacing w:line="360" w:lineRule="auto"/>
        <w:ind w:firstLine="480"/>
        <w:rPr>
          <w:rFonts w:ascii="宋体" w:hAnsi="宋体"/>
          <w:sz w:val="24"/>
        </w:rPr>
      </w:pPr>
      <w:r>
        <w:rPr>
          <w:rFonts w:ascii="宋体" w:hAnsi="宋体"/>
          <w:sz w:val="24"/>
        </w:rPr>
        <w:t>6</w:t>
      </w:r>
      <w:r>
        <w:rPr>
          <w:rFonts w:hint="eastAsia" w:ascii="宋体" w:hAnsi="宋体"/>
          <w:sz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.6采购人、采购代理机构不得向评审委员会的评审专家作倾向性、误导性的解释或者说明。</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评审小组成员个人主观打分偏离所有评审小组成员主观打分平均值30%以上的），提醒相关评审专家进行复核或书面说明理由。</w:t>
      </w:r>
    </w:p>
    <w:p>
      <w:pPr>
        <w:spacing w:line="360" w:lineRule="auto"/>
        <w:ind w:firstLine="480" w:firstLineChars="200"/>
        <w:rPr>
          <w:rFonts w:ascii="宋体" w:hAnsi="宋体"/>
          <w:sz w:val="24"/>
        </w:rPr>
      </w:pPr>
      <w:r>
        <w:rPr>
          <w:rFonts w:ascii="宋体" w:hAnsi="宋体"/>
          <w:sz w:val="24"/>
          <w:szCs w:val="21"/>
        </w:rPr>
        <w:t>6</w:t>
      </w:r>
      <w:r>
        <w:rPr>
          <w:rFonts w:hint="eastAsia" w:ascii="宋体" w:hAnsi="宋体"/>
          <w:sz w:val="24"/>
          <w:szCs w:val="21"/>
        </w:rPr>
        <w:t>.8评审专家在评审过程中不得将自己的观点强加给其他评审专家，评审专家应自主发表见解，对评审意见承担个人责任。</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.10评审专家应当独立、客观、公正地提出评审意见，不得带有倾向性，不得影响其他评审专家评审，并在评审报告上签字；如对评审报告有异议的，可在报告上签署不同意见，并说明理由，否则将视为同意。</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.11评审专家应当遵守评审工作纪律，不得泄露评审文件、评审情况和评审中获悉的商业秘密。</w:t>
      </w:r>
    </w:p>
    <w:p>
      <w:pPr>
        <w:spacing w:line="360" w:lineRule="auto"/>
        <w:ind w:firstLine="480" w:firstLineChars="200"/>
        <w:rPr>
          <w:rFonts w:ascii="宋体" w:hAnsi="宋体"/>
          <w:sz w:val="24"/>
        </w:rPr>
      </w:pPr>
      <w:r>
        <w:rPr>
          <w:rFonts w:hint="eastAsia" w:ascii="宋体" w:hAnsi="宋体"/>
          <w:sz w:val="24"/>
        </w:rPr>
        <w:t>评审委员会在评审过程中发现投标人有行贿、提供虚假材料或者串通等违法行为的，应当及时向财政部门报告。</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.12招标文件内容违反国家有关强制性规定的，评审委员会应当停止评审并向采购代理机构说明情况。</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.13评审专家应当配合采购代理机构答复投标人提出的质疑。</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.14评审专家应当配合财政部门的投诉处理工作。</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.15评审专家有如下行为之一的，责令改正，给予警告，可以并处一千元以下的罚款：</w:t>
      </w:r>
    </w:p>
    <w:p>
      <w:pPr>
        <w:spacing w:line="360" w:lineRule="auto"/>
        <w:ind w:firstLine="480" w:firstLineChars="200"/>
        <w:rPr>
          <w:rFonts w:ascii="宋体" w:hAnsi="宋体"/>
          <w:sz w:val="24"/>
        </w:rPr>
      </w:pPr>
      <w:r>
        <w:rPr>
          <w:rFonts w:hint="eastAsia" w:ascii="宋体" w:hAnsi="宋体"/>
          <w:sz w:val="24"/>
        </w:rPr>
        <w:t>（1）明知应当回避而未主动回避的；</w:t>
      </w:r>
    </w:p>
    <w:p>
      <w:pPr>
        <w:spacing w:line="360" w:lineRule="auto"/>
        <w:ind w:right="-105" w:rightChars="-50" w:firstLine="480" w:firstLineChars="200"/>
        <w:rPr>
          <w:rFonts w:ascii="宋体" w:hAnsi="宋体"/>
          <w:sz w:val="24"/>
        </w:rPr>
      </w:pPr>
      <w:r>
        <w:rPr>
          <w:rFonts w:hint="eastAsia" w:ascii="宋体" w:hAnsi="宋体"/>
          <w:sz w:val="24"/>
        </w:rPr>
        <w:t>（2）在知道自己为评审专家身份后至评审结束前的时段内私下接触投标人的；</w:t>
      </w:r>
    </w:p>
    <w:p>
      <w:pPr>
        <w:spacing w:line="360" w:lineRule="auto"/>
        <w:ind w:firstLine="480" w:firstLineChars="200"/>
        <w:rPr>
          <w:rFonts w:ascii="宋体" w:hAnsi="宋体"/>
          <w:sz w:val="24"/>
        </w:rPr>
      </w:pPr>
      <w:r>
        <w:rPr>
          <w:rFonts w:hint="eastAsia" w:ascii="宋体" w:hAnsi="宋体"/>
          <w:sz w:val="24"/>
        </w:rPr>
        <w:t>（3）在评审过程中擅离职守，影响评审程序正常进行的；</w:t>
      </w:r>
    </w:p>
    <w:p>
      <w:pPr>
        <w:spacing w:line="360" w:lineRule="auto"/>
        <w:ind w:firstLine="480" w:firstLineChars="200"/>
        <w:rPr>
          <w:rFonts w:ascii="宋体" w:hAnsi="宋体"/>
          <w:sz w:val="24"/>
        </w:rPr>
      </w:pPr>
      <w:r>
        <w:rPr>
          <w:rFonts w:hint="eastAsia" w:ascii="宋体" w:hAnsi="宋体"/>
          <w:sz w:val="24"/>
        </w:rPr>
        <w:t>（4）在评审过程有明显不合理或者不正当倾向性的；</w:t>
      </w:r>
    </w:p>
    <w:p>
      <w:pPr>
        <w:spacing w:line="360" w:lineRule="auto"/>
        <w:ind w:firstLine="480" w:firstLineChars="200"/>
        <w:rPr>
          <w:rFonts w:ascii="宋体" w:hAnsi="宋体"/>
          <w:sz w:val="24"/>
        </w:rPr>
      </w:pPr>
      <w:r>
        <w:rPr>
          <w:rFonts w:hint="eastAsia" w:ascii="宋体" w:hAnsi="宋体"/>
          <w:sz w:val="24"/>
        </w:rPr>
        <w:t>（5）未按招标文件规定的评审方法和标准进行评审的。</w:t>
      </w:r>
    </w:p>
    <w:p>
      <w:pPr>
        <w:spacing w:line="360" w:lineRule="auto"/>
        <w:ind w:firstLine="480" w:firstLineChars="200"/>
        <w:rPr>
          <w:rFonts w:ascii="宋体" w:hAnsi="宋体"/>
          <w:sz w:val="24"/>
        </w:rPr>
      </w:pPr>
      <w:r>
        <w:rPr>
          <w:rFonts w:hint="eastAsia" w:ascii="宋体" w:hAnsi="宋体"/>
          <w:sz w:val="24"/>
        </w:rPr>
        <w:t>（6）上述（1）至（5）行为影响中标结果的，中标结果无效。</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.16采购代理机构可对各评审专家的专业技术水平和职业道德素质等情况进行评价，并可将评价意见在评审结束后2个工作日内反馈给财政部门，财政部门以此作为对评审专家的考核管理依据。</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17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spacing w:line="360" w:lineRule="auto"/>
        <w:ind w:firstLine="480" w:firstLineChars="200"/>
        <w:rPr>
          <w:rFonts w:ascii="宋体" w:hAnsi="宋体"/>
          <w:sz w:val="24"/>
        </w:rPr>
      </w:pPr>
      <w:r>
        <w:rPr>
          <w:rFonts w:hint="eastAsia" w:ascii="宋体" w:hAnsi="宋体"/>
          <w:sz w:val="24"/>
        </w:rPr>
        <w:t>政府采购评审专家与投标人存在利害关系未回避的，处2万元以上5万元以下的罚款，禁止其参加政府采购评审活动。</w:t>
      </w:r>
    </w:p>
    <w:p>
      <w:pPr>
        <w:spacing w:line="360" w:lineRule="auto"/>
        <w:ind w:firstLine="480" w:firstLineChars="200"/>
        <w:rPr>
          <w:rFonts w:ascii="宋体" w:hAnsi="宋体"/>
          <w:sz w:val="24"/>
        </w:rPr>
      </w:pPr>
      <w:r>
        <w:rPr>
          <w:rFonts w:hint="eastAsia" w:ascii="宋体" w:hAnsi="宋体"/>
          <w:sz w:val="24"/>
        </w:rPr>
        <w:t>政府采购评审专家收受采购人、采购代理机构、投标人贿赂或者获取其他不正当利益，构成犯罪的，依法追究刑事责任；尚不构成犯罪的，处2万元以上5万元以下的罚款，禁止其参加政府采购评审活动。</w:t>
      </w:r>
    </w:p>
    <w:p>
      <w:pPr>
        <w:spacing w:line="360" w:lineRule="auto"/>
        <w:ind w:firstLine="480" w:firstLineChars="200"/>
        <w:rPr>
          <w:rFonts w:ascii="宋体" w:hAnsi="宋体"/>
        </w:rPr>
      </w:pPr>
      <w:r>
        <w:rPr>
          <w:rFonts w:hint="eastAsia" w:ascii="宋体" w:hAnsi="宋体"/>
          <w:sz w:val="24"/>
        </w:rPr>
        <w:t>政府采购评审专家有上述违法行为的，其评审意见无效，不得获取评审费；有违法所得的，没收违法所得；给他人造成损失的，依法承担民事责任。</w:t>
      </w:r>
    </w:p>
    <w:sectPr>
      <w:footerReference r:id="rId7" w:type="first"/>
      <w:headerReference r:id="rId3" w:type="default"/>
      <w:footerReference r:id="rId5" w:type="default"/>
      <w:headerReference r:id="rId4" w:type="even"/>
      <w:footerReference r:id="rId6" w:type="even"/>
      <w:pgSz w:w="11906" w:h="16838"/>
      <w:pgMar w:top="1440" w:right="1797" w:bottom="1440" w:left="179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apple-system">
    <w:altName w:val="微软雅黑"/>
    <w:panose1 w:val="00000000000000000000"/>
    <w:charset w:val="00"/>
    <w:family w:val="auto"/>
    <w:pitch w:val="default"/>
    <w:sig w:usb0="00000000" w:usb1="00000000" w:usb2="00000000" w:usb3="00000000" w:csb0="00040001" w:csb1="00000000"/>
  </w:font>
  <w:font w:name="楷体_gb18030">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Noto Sans CJK JP Regular">
    <w:altName w:val="Arial"/>
    <w:panose1 w:val="00000000000000000000"/>
    <w:charset w:val="00"/>
    <w:family w:val="swiss"/>
    <w:pitch w:val="default"/>
    <w:sig w:usb0="00000000" w:usb1="00000000" w:usb2="00000000" w:usb3="00000000" w:csb0="00040001" w:csb1="00000000"/>
  </w:font>
  <w:font w:name="DotumChe">
    <w:altName w:val="Malgun Gothic"/>
    <w:panose1 w:val="020B0609000101010101"/>
    <w:charset w:val="81"/>
    <w:family w:val="modern"/>
    <w:pitch w:val="default"/>
    <w:sig w:usb0="00000000" w:usb1="00000000" w:usb2="00000030" w:usb3="00000000" w:csb0="0008009F" w:csb1="00000000"/>
  </w:font>
  <w:font w:name="新宋体">
    <w:panose1 w:val="02010609030101010101"/>
    <w:charset w:val="86"/>
    <w:family w:val="modern"/>
    <w:pitch w:val="default"/>
    <w:sig w:usb0="00000283" w:usb1="288F0000" w:usb2="00000006" w:usb3="00000000" w:csb0="00040001" w:csb1="00000000"/>
  </w:font>
  <w:font w:name="微软雅黑 Light">
    <w:panose1 w:val="020B0502040204020203"/>
    <w:charset w:val="86"/>
    <w:family w:val="swiss"/>
    <w:pitch w:val="default"/>
    <w:sig w:usb0="80000287" w:usb1="2ACF0010" w:usb2="00000016" w:usb3="00000000" w:csb0="0004001F" w:csb1="00000000"/>
  </w:font>
  <w:font w:name="方正小标宋_GBK">
    <w:altName w:val="微软雅黑"/>
    <w:panose1 w:val="00000000000000000000"/>
    <w:charset w:val="86"/>
    <w:family w:val="auto"/>
    <w:pitch w:val="default"/>
    <w:sig w:usb0="00000000" w:usb1="00000000" w:usb2="00000000" w:usb3="00000000" w:csb0="0004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360" w:firstLine="360"/>
    </w:pPr>
    <w:r>
      <w:rPr>
        <w:rFonts w:hint="eastAsia"/>
      </w:rPr>
      <w:t xml:space="preserve">招标代理机构：浙江建航工程咨询有限公司                      电话：0578-2139203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ind w:firstLine="360"/>
      <w:rPr>
        <w:rStyle w:val="59"/>
      </w:rPr>
    </w:pPr>
    <w:r>
      <w:fldChar w:fldCharType="begin"/>
    </w:r>
    <w:r>
      <w:rPr>
        <w:rStyle w:val="59"/>
      </w:rPr>
      <w:instrText xml:space="preserve">PAGE  </w:instrText>
    </w:r>
    <w:r>
      <w:fldChar w:fldCharType="end"/>
    </w:r>
  </w:p>
  <w:p>
    <w:pPr>
      <w:pStyle w:val="32"/>
      <w:ind w:firstLine="360"/>
    </w:pPr>
  </w:p>
  <w:p/>
  <w:p/>
  <w:p/>
  <w:p/>
  <w:p/>
  <w:p/>
  <w:p/>
  <w:p/>
  <w:p/>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jc w:val="both"/>
      <w:rPr>
        <w:szCs w:val="18"/>
      </w:rPr>
    </w:pPr>
    <w:r>
      <w:rPr>
        <w:rFonts w:hint="eastAsia" w:ascii="宋体" w:hAnsi="宋体"/>
        <w:color w:val="000000"/>
        <w:szCs w:val="18"/>
      </w:rPr>
      <w:t xml:space="preserve">碧湖新城智慧城市规划编制项目招标文件                                                </w:t>
    </w:r>
    <w:r>
      <w:rPr>
        <w:rFonts w:ascii="宋体" w:hAnsi="宋体"/>
        <w:color w:val="000000"/>
        <w:szCs w:val="18"/>
      </w:rPr>
      <w:fldChar w:fldCharType="begin"/>
    </w:r>
    <w:r>
      <w:rPr>
        <w:rFonts w:ascii="宋体" w:hAnsi="宋体"/>
        <w:color w:val="000000"/>
        <w:szCs w:val="18"/>
      </w:rPr>
      <w:instrText xml:space="preserve">PAGE   \* MERGEFORMAT</w:instrText>
    </w:r>
    <w:r>
      <w:rPr>
        <w:rFonts w:ascii="宋体" w:hAnsi="宋体"/>
        <w:color w:val="000000"/>
        <w:szCs w:val="18"/>
      </w:rPr>
      <w:fldChar w:fldCharType="separate"/>
    </w:r>
    <w:r>
      <w:rPr>
        <w:rFonts w:ascii="宋体" w:hAnsi="宋体"/>
        <w:color w:val="000000"/>
        <w:szCs w:val="18"/>
        <w:lang w:val="zh-CN"/>
      </w:rPr>
      <w:t>68</w:t>
    </w:r>
    <w:r>
      <w:rPr>
        <w:rFonts w:ascii="宋体" w:hAnsi="宋体"/>
        <w:color w:val="000000"/>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p>
  <w:p/>
  <w:p/>
  <w:p/>
  <w:p/>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24623D"/>
    <w:multiLevelType w:val="multilevel"/>
    <w:tmpl w:val="0924623D"/>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0B7F435E"/>
    <w:multiLevelType w:val="multilevel"/>
    <w:tmpl w:val="0B7F435E"/>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1A8D4895"/>
    <w:multiLevelType w:val="multilevel"/>
    <w:tmpl w:val="1A8D4895"/>
    <w:lvl w:ilvl="0" w:tentative="0">
      <w:start w:val="1"/>
      <w:numFmt w:val="decimalEnclosedCircle"/>
      <w:lvlText w:val="%1"/>
      <w:lvlJc w:val="left"/>
      <w:pPr>
        <w:ind w:left="842" w:hanging="36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1696"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1A944FAC"/>
    <w:multiLevelType w:val="multilevel"/>
    <w:tmpl w:val="1A944FAC"/>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6912244D"/>
    <w:multiLevelType w:val="multilevel"/>
    <w:tmpl w:val="6912244D"/>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zOWExNTQ0NzE3NDI1YTVmYzU0YjJlZmNkMzJjM2IifQ=="/>
    <w:docVar w:name="KSO_WPS_MARK_KEY" w:val="ed6c22aa-e77a-43be-a4f7-5cc1c8fa7ee1"/>
  </w:docVars>
  <w:rsids>
    <w:rsidRoot w:val="00172A27"/>
    <w:rsid w:val="00000151"/>
    <w:rsid w:val="00000257"/>
    <w:rsid w:val="00000347"/>
    <w:rsid w:val="0000089F"/>
    <w:rsid w:val="00000EFC"/>
    <w:rsid w:val="00001953"/>
    <w:rsid w:val="00001B64"/>
    <w:rsid w:val="000026C1"/>
    <w:rsid w:val="00002915"/>
    <w:rsid w:val="00002998"/>
    <w:rsid w:val="00002DA3"/>
    <w:rsid w:val="000036BF"/>
    <w:rsid w:val="00004103"/>
    <w:rsid w:val="000045FE"/>
    <w:rsid w:val="0000488C"/>
    <w:rsid w:val="00005B52"/>
    <w:rsid w:val="00006BDD"/>
    <w:rsid w:val="00006DA8"/>
    <w:rsid w:val="00006DDE"/>
    <w:rsid w:val="00007361"/>
    <w:rsid w:val="0000761C"/>
    <w:rsid w:val="00007965"/>
    <w:rsid w:val="00007BB8"/>
    <w:rsid w:val="00007C9A"/>
    <w:rsid w:val="00007E72"/>
    <w:rsid w:val="000103DA"/>
    <w:rsid w:val="000103DD"/>
    <w:rsid w:val="000109A8"/>
    <w:rsid w:val="00010AD0"/>
    <w:rsid w:val="000110E5"/>
    <w:rsid w:val="0001145B"/>
    <w:rsid w:val="000118F5"/>
    <w:rsid w:val="00012260"/>
    <w:rsid w:val="0001237A"/>
    <w:rsid w:val="0001262C"/>
    <w:rsid w:val="0001289B"/>
    <w:rsid w:val="000128E2"/>
    <w:rsid w:val="00012AF5"/>
    <w:rsid w:val="00012E3D"/>
    <w:rsid w:val="000131A2"/>
    <w:rsid w:val="00013676"/>
    <w:rsid w:val="000139CD"/>
    <w:rsid w:val="00013A8E"/>
    <w:rsid w:val="00013C08"/>
    <w:rsid w:val="00013C39"/>
    <w:rsid w:val="00014116"/>
    <w:rsid w:val="00014553"/>
    <w:rsid w:val="000146EA"/>
    <w:rsid w:val="000147DC"/>
    <w:rsid w:val="000148CB"/>
    <w:rsid w:val="00015297"/>
    <w:rsid w:val="00015555"/>
    <w:rsid w:val="000156DC"/>
    <w:rsid w:val="00015CA7"/>
    <w:rsid w:val="00015E70"/>
    <w:rsid w:val="00016557"/>
    <w:rsid w:val="00016630"/>
    <w:rsid w:val="000168E3"/>
    <w:rsid w:val="00016AB8"/>
    <w:rsid w:val="00016C63"/>
    <w:rsid w:val="00016CFC"/>
    <w:rsid w:val="00017192"/>
    <w:rsid w:val="00017946"/>
    <w:rsid w:val="00017D32"/>
    <w:rsid w:val="00017DF1"/>
    <w:rsid w:val="00017FBA"/>
    <w:rsid w:val="0002040F"/>
    <w:rsid w:val="000209C6"/>
    <w:rsid w:val="00020A2F"/>
    <w:rsid w:val="00020B3D"/>
    <w:rsid w:val="00020DF3"/>
    <w:rsid w:val="0002102A"/>
    <w:rsid w:val="0002139F"/>
    <w:rsid w:val="0002156B"/>
    <w:rsid w:val="000216F7"/>
    <w:rsid w:val="00021872"/>
    <w:rsid w:val="00021C09"/>
    <w:rsid w:val="00021C8F"/>
    <w:rsid w:val="00021FE4"/>
    <w:rsid w:val="00022219"/>
    <w:rsid w:val="000223D9"/>
    <w:rsid w:val="00022AD6"/>
    <w:rsid w:val="00023018"/>
    <w:rsid w:val="00023072"/>
    <w:rsid w:val="00023230"/>
    <w:rsid w:val="00023262"/>
    <w:rsid w:val="000236A3"/>
    <w:rsid w:val="0002392B"/>
    <w:rsid w:val="00023E55"/>
    <w:rsid w:val="0002400D"/>
    <w:rsid w:val="000241B3"/>
    <w:rsid w:val="00024E4D"/>
    <w:rsid w:val="00024F82"/>
    <w:rsid w:val="00025087"/>
    <w:rsid w:val="000250A0"/>
    <w:rsid w:val="000256B1"/>
    <w:rsid w:val="000257A7"/>
    <w:rsid w:val="00025FCC"/>
    <w:rsid w:val="00026FDA"/>
    <w:rsid w:val="0002731D"/>
    <w:rsid w:val="00030176"/>
    <w:rsid w:val="000310D3"/>
    <w:rsid w:val="0003161E"/>
    <w:rsid w:val="000319B3"/>
    <w:rsid w:val="0003238A"/>
    <w:rsid w:val="000326BA"/>
    <w:rsid w:val="000326FB"/>
    <w:rsid w:val="000328DF"/>
    <w:rsid w:val="000329E0"/>
    <w:rsid w:val="00032CF1"/>
    <w:rsid w:val="00032D43"/>
    <w:rsid w:val="00032DA9"/>
    <w:rsid w:val="00033065"/>
    <w:rsid w:val="0003316D"/>
    <w:rsid w:val="000335C4"/>
    <w:rsid w:val="00033721"/>
    <w:rsid w:val="0003398D"/>
    <w:rsid w:val="00033B08"/>
    <w:rsid w:val="00033E85"/>
    <w:rsid w:val="00034628"/>
    <w:rsid w:val="00034684"/>
    <w:rsid w:val="00034A02"/>
    <w:rsid w:val="00034B5D"/>
    <w:rsid w:val="00034D5F"/>
    <w:rsid w:val="0003500B"/>
    <w:rsid w:val="000358E8"/>
    <w:rsid w:val="00035C7A"/>
    <w:rsid w:val="00035DAC"/>
    <w:rsid w:val="00035DDA"/>
    <w:rsid w:val="000370EF"/>
    <w:rsid w:val="0003758B"/>
    <w:rsid w:val="00037AC2"/>
    <w:rsid w:val="00037BEA"/>
    <w:rsid w:val="0004021C"/>
    <w:rsid w:val="00040F1B"/>
    <w:rsid w:val="0004108C"/>
    <w:rsid w:val="0004120C"/>
    <w:rsid w:val="000413A0"/>
    <w:rsid w:val="00041810"/>
    <w:rsid w:val="00041DFC"/>
    <w:rsid w:val="0004208A"/>
    <w:rsid w:val="000425A9"/>
    <w:rsid w:val="00042741"/>
    <w:rsid w:val="00042AB2"/>
    <w:rsid w:val="000433A7"/>
    <w:rsid w:val="000435B2"/>
    <w:rsid w:val="0004399D"/>
    <w:rsid w:val="00043AC4"/>
    <w:rsid w:val="00043B97"/>
    <w:rsid w:val="00043CA2"/>
    <w:rsid w:val="000440E8"/>
    <w:rsid w:val="0004467D"/>
    <w:rsid w:val="0004496A"/>
    <w:rsid w:val="00045070"/>
    <w:rsid w:val="00045BF2"/>
    <w:rsid w:val="0004603F"/>
    <w:rsid w:val="00046146"/>
    <w:rsid w:val="00046DBC"/>
    <w:rsid w:val="00046E3A"/>
    <w:rsid w:val="00046EA0"/>
    <w:rsid w:val="00046F60"/>
    <w:rsid w:val="0004715C"/>
    <w:rsid w:val="000472BE"/>
    <w:rsid w:val="00047921"/>
    <w:rsid w:val="00047BC9"/>
    <w:rsid w:val="0005010D"/>
    <w:rsid w:val="00050159"/>
    <w:rsid w:val="000501D0"/>
    <w:rsid w:val="000505A6"/>
    <w:rsid w:val="00050BAD"/>
    <w:rsid w:val="00050DF5"/>
    <w:rsid w:val="000511B6"/>
    <w:rsid w:val="000512EF"/>
    <w:rsid w:val="00051590"/>
    <w:rsid w:val="0005163A"/>
    <w:rsid w:val="00051A6A"/>
    <w:rsid w:val="00051D86"/>
    <w:rsid w:val="0005208E"/>
    <w:rsid w:val="0005215A"/>
    <w:rsid w:val="00052386"/>
    <w:rsid w:val="000527C6"/>
    <w:rsid w:val="0005280E"/>
    <w:rsid w:val="00053169"/>
    <w:rsid w:val="00053781"/>
    <w:rsid w:val="00053869"/>
    <w:rsid w:val="00053EF6"/>
    <w:rsid w:val="00054228"/>
    <w:rsid w:val="00054244"/>
    <w:rsid w:val="000544FB"/>
    <w:rsid w:val="0005450F"/>
    <w:rsid w:val="00054665"/>
    <w:rsid w:val="00054759"/>
    <w:rsid w:val="000549BA"/>
    <w:rsid w:val="00054A05"/>
    <w:rsid w:val="00054A7A"/>
    <w:rsid w:val="00054EC4"/>
    <w:rsid w:val="00055161"/>
    <w:rsid w:val="0005523F"/>
    <w:rsid w:val="0005654C"/>
    <w:rsid w:val="00056784"/>
    <w:rsid w:val="000569D7"/>
    <w:rsid w:val="00056A04"/>
    <w:rsid w:val="00056BCB"/>
    <w:rsid w:val="0005764D"/>
    <w:rsid w:val="00057AA3"/>
    <w:rsid w:val="00057D77"/>
    <w:rsid w:val="0006013F"/>
    <w:rsid w:val="00060155"/>
    <w:rsid w:val="00060459"/>
    <w:rsid w:val="00060A09"/>
    <w:rsid w:val="00060C53"/>
    <w:rsid w:val="00060D7C"/>
    <w:rsid w:val="00061009"/>
    <w:rsid w:val="0006120B"/>
    <w:rsid w:val="0006170B"/>
    <w:rsid w:val="00061916"/>
    <w:rsid w:val="00061A0E"/>
    <w:rsid w:val="00061F76"/>
    <w:rsid w:val="00061F80"/>
    <w:rsid w:val="00062902"/>
    <w:rsid w:val="00062A26"/>
    <w:rsid w:val="00062D9B"/>
    <w:rsid w:val="00063156"/>
    <w:rsid w:val="00063B4E"/>
    <w:rsid w:val="00064727"/>
    <w:rsid w:val="000648C6"/>
    <w:rsid w:val="000650EA"/>
    <w:rsid w:val="00065686"/>
    <w:rsid w:val="00065F47"/>
    <w:rsid w:val="00066053"/>
    <w:rsid w:val="000662BF"/>
    <w:rsid w:val="000665E1"/>
    <w:rsid w:val="00066894"/>
    <w:rsid w:val="00066E4E"/>
    <w:rsid w:val="00066EE8"/>
    <w:rsid w:val="00066F83"/>
    <w:rsid w:val="00067223"/>
    <w:rsid w:val="000678CA"/>
    <w:rsid w:val="000679C9"/>
    <w:rsid w:val="00067B68"/>
    <w:rsid w:val="00070042"/>
    <w:rsid w:val="000701CF"/>
    <w:rsid w:val="00070454"/>
    <w:rsid w:val="00070456"/>
    <w:rsid w:val="00070609"/>
    <w:rsid w:val="00070F9C"/>
    <w:rsid w:val="00071023"/>
    <w:rsid w:val="000714F8"/>
    <w:rsid w:val="00072216"/>
    <w:rsid w:val="00072297"/>
    <w:rsid w:val="00072805"/>
    <w:rsid w:val="00072F1D"/>
    <w:rsid w:val="000734EB"/>
    <w:rsid w:val="00073C0B"/>
    <w:rsid w:val="000742D6"/>
    <w:rsid w:val="0007479C"/>
    <w:rsid w:val="00074EC0"/>
    <w:rsid w:val="00074FBC"/>
    <w:rsid w:val="00075439"/>
    <w:rsid w:val="000757FE"/>
    <w:rsid w:val="0007598B"/>
    <w:rsid w:val="000759CD"/>
    <w:rsid w:val="00075E0D"/>
    <w:rsid w:val="00076023"/>
    <w:rsid w:val="0007623C"/>
    <w:rsid w:val="000764EA"/>
    <w:rsid w:val="000764F4"/>
    <w:rsid w:val="0007674C"/>
    <w:rsid w:val="00076C45"/>
    <w:rsid w:val="00076E1D"/>
    <w:rsid w:val="0007757D"/>
    <w:rsid w:val="000776E0"/>
    <w:rsid w:val="00077E05"/>
    <w:rsid w:val="00077FDE"/>
    <w:rsid w:val="000800CB"/>
    <w:rsid w:val="00080156"/>
    <w:rsid w:val="00080486"/>
    <w:rsid w:val="000811C7"/>
    <w:rsid w:val="000817D6"/>
    <w:rsid w:val="000818CA"/>
    <w:rsid w:val="0008194E"/>
    <w:rsid w:val="00081AE4"/>
    <w:rsid w:val="00081CC1"/>
    <w:rsid w:val="0008208D"/>
    <w:rsid w:val="000820B7"/>
    <w:rsid w:val="000825DD"/>
    <w:rsid w:val="00082668"/>
    <w:rsid w:val="00083194"/>
    <w:rsid w:val="000833C9"/>
    <w:rsid w:val="000833D3"/>
    <w:rsid w:val="000833E2"/>
    <w:rsid w:val="000835AF"/>
    <w:rsid w:val="000836D1"/>
    <w:rsid w:val="000836F5"/>
    <w:rsid w:val="00083A61"/>
    <w:rsid w:val="00083E23"/>
    <w:rsid w:val="00083EBD"/>
    <w:rsid w:val="0008436B"/>
    <w:rsid w:val="00084ADE"/>
    <w:rsid w:val="00086DD2"/>
    <w:rsid w:val="00086FF2"/>
    <w:rsid w:val="00087179"/>
    <w:rsid w:val="00087E98"/>
    <w:rsid w:val="000901A3"/>
    <w:rsid w:val="00090218"/>
    <w:rsid w:val="00090268"/>
    <w:rsid w:val="000903B2"/>
    <w:rsid w:val="0009041D"/>
    <w:rsid w:val="00090B6C"/>
    <w:rsid w:val="00090D46"/>
    <w:rsid w:val="000912F2"/>
    <w:rsid w:val="0009169E"/>
    <w:rsid w:val="0009186D"/>
    <w:rsid w:val="0009187C"/>
    <w:rsid w:val="00092863"/>
    <w:rsid w:val="0009355E"/>
    <w:rsid w:val="00094B07"/>
    <w:rsid w:val="00094B68"/>
    <w:rsid w:val="00094F3B"/>
    <w:rsid w:val="00095CAB"/>
    <w:rsid w:val="00095E92"/>
    <w:rsid w:val="00095FCB"/>
    <w:rsid w:val="00096382"/>
    <w:rsid w:val="00096480"/>
    <w:rsid w:val="000966E9"/>
    <w:rsid w:val="00096864"/>
    <w:rsid w:val="00096878"/>
    <w:rsid w:val="000969AA"/>
    <w:rsid w:val="00096A00"/>
    <w:rsid w:val="00096AA9"/>
    <w:rsid w:val="00096C61"/>
    <w:rsid w:val="00096C91"/>
    <w:rsid w:val="00097480"/>
    <w:rsid w:val="000977A2"/>
    <w:rsid w:val="0009784B"/>
    <w:rsid w:val="00097D68"/>
    <w:rsid w:val="00097E0A"/>
    <w:rsid w:val="00097F6C"/>
    <w:rsid w:val="000A04FD"/>
    <w:rsid w:val="000A05F7"/>
    <w:rsid w:val="000A088D"/>
    <w:rsid w:val="000A0954"/>
    <w:rsid w:val="000A0D98"/>
    <w:rsid w:val="000A147E"/>
    <w:rsid w:val="000A1AB9"/>
    <w:rsid w:val="000A1B3E"/>
    <w:rsid w:val="000A1D62"/>
    <w:rsid w:val="000A1FA2"/>
    <w:rsid w:val="000A22EE"/>
    <w:rsid w:val="000A2315"/>
    <w:rsid w:val="000A27E4"/>
    <w:rsid w:val="000A293A"/>
    <w:rsid w:val="000A2B08"/>
    <w:rsid w:val="000A2B95"/>
    <w:rsid w:val="000A3379"/>
    <w:rsid w:val="000A39D3"/>
    <w:rsid w:val="000A3CE2"/>
    <w:rsid w:val="000A4229"/>
    <w:rsid w:val="000A56C1"/>
    <w:rsid w:val="000A5DC3"/>
    <w:rsid w:val="000A6014"/>
    <w:rsid w:val="000A63AD"/>
    <w:rsid w:val="000A6681"/>
    <w:rsid w:val="000A67D1"/>
    <w:rsid w:val="000A7154"/>
    <w:rsid w:val="000A7DB6"/>
    <w:rsid w:val="000A7DFA"/>
    <w:rsid w:val="000A7F6F"/>
    <w:rsid w:val="000B004A"/>
    <w:rsid w:val="000B0188"/>
    <w:rsid w:val="000B01F1"/>
    <w:rsid w:val="000B0738"/>
    <w:rsid w:val="000B08E5"/>
    <w:rsid w:val="000B0C51"/>
    <w:rsid w:val="000B0DA0"/>
    <w:rsid w:val="000B12C3"/>
    <w:rsid w:val="000B12ED"/>
    <w:rsid w:val="000B1F08"/>
    <w:rsid w:val="000B2620"/>
    <w:rsid w:val="000B2765"/>
    <w:rsid w:val="000B2CCA"/>
    <w:rsid w:val="000B3744"/>
    <w:rsid w:val="000B4011"/>
    <w:rsid w:val="000B4344"/>
    <w:rsid w:val="000B4377"/>
    <w:rsid w:val="000B46BC"/>
    <w:rsid w:val="000B50CF"/>
    <w:rsid w:val="000B51C0"/>
    <w:rsid w:val="000B528E"/>
    <w:rsid w:val="000B53D6"/>
    <w:rsid w:val="000B5441"/>
    <w:rsid w:val="000B562A"/>
    <w:rsid w:val="000B5688"/>
    <w:rsid w:val="000B5707"/>
    <w:rsid w:val="000B59D4"/>
    <w:rsid w:val="000B5AF7"/>
    <w:rsid w:val="000B5EE8"/>
    <w:rsid w:val="000B65AA"/>
    <w:rsid w:val="000B695E"/>
    <w:rsid w:val="000B6E04"/>
    <w:rsid w:val="000B6EEA"/>
    <w:rsid w:val="000B6FA5"/>
    <w:rsid w:val="000B73BB"/>
    <w:rsid w:val="000B7C7B"/>
    <w:rsid w:val="000B7FF6"/>
    <w:rsid w:val="000C012F"/>
    <w:rsid w:val="000C0A21"/>
    <w:rsid w:val="000C0CD1"/>
    <w:rsid w:val="000C0DDD"/>
    <w:rsid w:val="000C0E8E"/>
    <w:rsid w:val="000C18A4"/>
    <w:rsid w:val="000C22CA"/>
    <w:rsid w:val="000C3765"/>
    <w:rsid w:val="000C3B5D"/>
    <w:rsid w:val="000C3B92"/>
    <w:rsid w:val="000C3F37"/>
    <w:rsid w:val="000C485B"/>
    <w:rsid w:val="000C48DF"/>
    <w:rsid w:val="000C49FC"/>
    <w:rsid w:val="000C5478"/>
    <w:rsid w:val="000C5A03"/>
    <w:rsid w:val="000C5D8A"/>
    <w:rsid w:val="000C5E23"/>
    <w:rsid w:val="000C5E30"/>
    <w:rsid w:val="000C5F87"/>
    <w:rsid w:val="000C60DA"/>
    <w:rsid w:val="000C6428"/>
    <w:rsid w:val="000C6473"/>
    <w:rsid w:val="000C7457"/>
    <w:rsid w:val="000C755E"/>
    <w:rsid w:val="000C7567"/>
    <w:rsid w:val="000D0317"/>
    <w:rsid w:val="000D0415"/>
    <w:rsid w:val="000D0ACB"/>
    <w:rsid w:val="000D0F2F"/>
    <w:rsid w:val="000D124C"/>
    <w:rsid w:val="000D159E"/>
    <w:rsid w:val="000D1A7E"/>
    <w:rsid w:val="000D1ADD"/>
    <w:rsid w:val="000D1E6B"/>
    <w:rsid w:val="000D1E89"/>
    <w:rsid w:val="000D20A2"/>
    <w:rsid w:val="000D23FB"/>
    <w:rsid w:val="000D267F"/>
    <w:rsid w:val="000D26ED"/>
    <w:rsid w:val="000D2B96"/>
    <w:rsid w:val="000D2D6C"/>
    <w:rsid w:val="000D2DBA"/>
    <w:rsid w:val="000D39E8"/>
    <w:rsid w:val="000D3E45"/>
    <w:rsid w:val="000D447D"/>
    <w:rsid w:val="000D476F"/>
    <w:rsid w:val="000D4CCE"/>
    <w:rsid w:val="000D52AF"/>
    <w:rsid w:val="000D534C"/>
    <w:rsid w:val="000D59C1"/>
    <w:rsid w:val="000D610F"/>
    <w:rsid w:val="000D682D"/>
    <w:rsid w:val="000D6911"/>
    <w:rsid w:val="000D6CF2"/>
    <w:rsid w:val="000D6D21"/>
    <w:rsid w:val="000D7492"/>
    <w:rsid w:val="000D7862"/>
    <w:rsid w:val="000D79FC"/>
    <w:rsid w:val="000D7DAF"/>
    <w:rsid w:val="000E039A"/>
    <w:rsid w:val="000E03F7"/>
    <w:rsid w:val="000E0617"/>
    <w:rsid w:val="000E0636"/>
    <w:rsid w:val="000E0CF2"/>
    <w:rsid w:val="000E1000"/>
    <w:rsid w:val="000E10C7"/>
    <w:rsid w:val="000E12C5"/>
    <w:rsid w:val="000E1669"/>
    <w:rsid w:val="000E166E"/>
    <w:rsid w:val="000E16CC"/>
    <w:rsid w:val="000E1990"/>
    <w:rsid w:val="000E20B1"/>
    <w:rsid w:val="000E21CC"/>
    <w:rsid w:val="000E2239"/>
    <w:rsid w:val="000E28C7"/>
    <w:rsid w:val="000E2A4A"/>
    <w:rsid w:val="000E3067"/>
    <w:rsid w:val="000E3374"/>
    <w:rsid w:val="000E3438"/>
    <w:rsid w:val="000E3AC9"/>
    <w:rsid w:val="000E42F2"/>
    <w:rsid w:val="000E469B"/>
    <w:rsid w:val="000E4987"/>
    <w:rsid w:val="000E49D9"/>
    <w:rsid w:val="000E4C38"/>
    <w:rsid w:val="000E4CE5"/>
    <w:rsid w:val="000E4E76"/>
    <w:rsid w:val="000E51C5"/>
    <w:rsid w:val="000E525D"/>
    <w:rsid w:val="000E5827"/>
    <w:rsid w:val="000E585C"/>
    <w:rsid w:val="000E59CC"/>
    <w:rsid w:val="000E5ADE"/>
    <w:rsid w:val="000E5DE9"/>
    <w:rsid w:val="000E640C"/>
    <w:rsid w:val="000E64CB"/>
    <w:rsid w:val="000E6610"/>
    <w:rsid w:val="000E72E5"/>
    <w:rsid w:val="000E7392"/>
    <w:rsid w:val="000E756B"/>
    <w:rsid w:val="000E7A16"/>
    <w:rsid w:val="000E7F0F"/>
    <w:rsid w:val="000F013C"/>
    <w:rsid w:val="000F05F5"/>
    <w:rsid w:val="000F0C44"/>
    <w:rsid w:val="000F1120"/>
    <w:rsid w:val="000F12EC"/>
    <w:rsid w:val="000F198C"/>
    <w:rsid w:val="000F1E99"/>
    <w:rsid w:val="000F218D"/>
    <w:rsid w:val="000F2240"/>
    <w:rsid w:val="000F26E0"/>
    <w:rsid w:val="000F29A5"/>
    <w:rsid w:val="000F2EE0"/>
    <w:rsid w:val="000F2F23"/>
    <w:rsid w:val="000F30E5"/>
    <w:rsid w:val="000F31F9"/>
    <w:rsid w:val="000F3207"/>
    <w:rsid w:val="000F3AA7"/>
    <w:rsid w:val="000F3B88"/>
    <w:rsid w:val="000F3BA3"/>
    <w:rsid w:val="000F3D40"/>
    <w:rsid w:val="000F3FF4"/>
    <w:rsid w:val="000F45A9"/>
    <w:rsid w:val="000F4672"/>
    <w:rsid w:val="000F5611"/>
    <w:rsid w:val="000F5A80"/>
    <w:rsid w:val="000F5C00"/>
    <w:rsid w:val="000F5E1D"/>
    <w:rsid w:val="000F5E9A"/>
    <w:rsid w:val="000F648B"/>
    <w:rsid w:val="000F6AA1"/>
    <w:rsid w:val="000F700F"/>
    <w:rsid w:val="000F72F9"/>
    <w:rsid w:val="000F75C6"/>
    <w:rsid w:val="00100AB6"/>
    <w:rsid w:val="00100B34"/>
    <w:rsid w:val="0010128F"/>
    <w:rsid w:val="00101CD7"/>
    <w:rsid w:val="00102063"/>
    <w:rsid w:val="0010215A"/>
    <w:rsid w:val="00102286"/>
    <w:rsid w:val="0010231C"/>
    <w:rsid w:val="001023B7"/>
    <w:rsid w:val="00102D03"/>
    <w:rsid w:val="00102D44"/>
    <w:rsid w:val="001032EF"/>
    <w:rsid w:val="00103C77"/>
    <w:rsid w:val="00104A90"/>
    <w:rsid w:val="00104B89"/>
    <w:rsid w:val="00104CC0"/>
    <w:rsid w:val="00104EE9"/>
    <w:rsid w:val="00105598"/>
    <w:rsid w:val="00106695"/>
    <w:rsid w:val="001066B7"/>
    <w:rsid w:val="0010685A"/>
    <w:rsid w:val="00106DFC"/>
    <w:rsid w:val="00106E2C"/>
    <w:rsid w:val="001077ED"/>
    <w:rsid w:val="00107BDD"/>
    <w:rsid w:val="00110111"/>
    <w:rsid w:val="001103A9"/>
    <w:rsid w:val="00110770"/>
    <w:rsid w:val="00110958"/>
    <w:rsid w:val="00111202"/>
    <w:rsid w:val="001115B8"/>
    <w:rsid w:val="00111777"/>
    <w:rsid w:val="001118A4"/>
    <w:rsid w:val="0011196E"/>
    <w:rsid w:val="00111D5E"/>
    <w:rsid w:val="00111F5F"/>
    <w:rsid w:val="00112137"/>
    <w:rsid w:val="00112489"/>
    <w:rsid w:val="0011282E"/>
    <w:rsid w:val="00112BD1"/>
    <w:rsid w:val="00112F72"/>
    <w:rsid w:val="001131AA"/>
    <w:rsid w:val="0011348A"/>
    <w:rsid w:val="001135FE"/>
    <w:rsid w:val="00113792"/>
    <w:rsid w:val="001140D1"/>
    <w:rsid w:val="001140E7"/>
    <w:rsid w:val="001146B0"/>
    <w:rsid w:val="00115EF1"/>
    <w:rsid w:val="001164A8"/>
    <w:rsid w:val="001164FC"/>
    <w:rsid w:val="00116896"/>
    <w:rsid w:val="00117210"/>
    <w:rsid w:val="001176BB"/>
    <w:rsid w:val="00120A4E"/>
    <w:rsid w:val="00120E77"/>
    <w:rsid w:val="00121688"/>
    <w:rsid w:val="00121FBC"/>
    <w:rsid w:val="001222CD"/>
    <w:rsid w:val="0012252B"/>
    <w:rsid w:val="00122796"/>
    <w:rsid w:val="00122A2E"/>
    <w:rsid w:val="00122F06"/>
    <w:rsid w:val="0012326E"/>
    <w:rsid w:val="00123511"/>
    <w:rsid w:val="0012367D"/>
    <w:rsid w:val="001237DE"/>
    <w:rsid w:val="00123B28"/>
    <w:rsid w:val="00123B34"/>
    <w:rsid w:val="00124099"/>
    <w:rsid w:val="0012413A"/>
    <w:rsid w:val="0012441C"/>
    <w:rsid w:val="00124586"/>
    <w:rsid w:val="0012542F"/>
    <w:rsid w:val="00126B86"/>
    <w:rsid w:val="00126C10"/>
    <w:rsid w:val="00127259"/>
    <w:rsid w:val="001276D2"/>
    <w:rsid w:val="00127DF2"/>
    <w:rsid w:val="001303B2"/>
    <w:rsid w:val="00130B2E"/>
    <w:rsid w:val="00130CB2"/>
    <w:rsid w:val="001311BE"/>
    <w:rsid w:val="0013129D"/>
    <w:rsid w:val="00131C82"/>
    <w:rsid w:val="00132243"/>
    <w:rsid w:val="00132597"/>
    <w:rsid w:val="001329C7"/>
    <w:rsid w:val="00132A59"/>
    <w:rsid w:val="00132CD3"/>
    <w:rsid w:val="0013305D"/>
    <w:rsid w:val="00133095"/>
    <w:rsid w:val="00133179"/>
    <w:rsid w:val="001334F2"/>
    <w:rsid w:val="001336A6"/>
    <w:rsid w:val="00133ACE"/>
    <w:rsid w:val="00133D33"/>
    <w:rsid w:val="001341D1"/>
    <w:rsid w:val="00134274"/>
    <w:rsid w:val="0013485C"/>
    <w:rsid w:val="00134948"/>
    <w:rsid w:val="00134D5C"/>
    <w:rsid w:val="00134DC1"/>
    <w:rsid w:val="00135162"/>
    <w:rsid w:val="001357F7"/>
    <w:rsid w:val="00135F9E"/>
    <w:rsid w:val="00136029"/>
    <w:rsid w:val="001361AF"/>
    <w:rsid w:val="001361E5"/>
    <w:rsid w:val="00136A73"/>
    <w:rsid w:val="00136E87"/>
    <w:rsid w:val="001372D5"/>
    <w:rsid w:val="00137660"/>
    <w:rsid w:val="00137749"/>
    <w:rsid w:val="001377A8"/>
    <w:rsid w:val="00140244"/>
    <w:rsid w:val="001409E3"/>
    <w:rsid w:val="0014133E"/>
    <w:rsid w:val="00141A48"/>
    <w:rsid w:val="00141BC4"/>
    <w:rsid w:val="00141D82"/>
    <w:rsid w:val="001420DB"/>
    <w:rsid w:val="00142654"/>
    <w:rsid w:val="00142897"/>
    <w:rsid w:val="001432D8"/>
    <w:rsid w:val="00143573"/>
    <w:rsid w:val="00143787"/>
    <w:rsid w:val="0014384E"/>
    <w:rsid w:val="00143E6A"/>
    <w:rsid w:val="001444DB"/>
    <w:rsid w:val="00145437"/>
    <w:rsid w:val="0014548F"/>
    <w:rsid w:val="00145A94"/>
    <w:rsid w:val="00145AE0"/>
    <w:rsid w:val="00145CE6"/>
    <w:rsid w:val="0014638F"/>
    <w:rsid w:val="00146503"/>
    <w:rsid w:val="001466C2"/>
    <w:rsid w:val="00146A47"/>
    <w:rsid w:val="00146A97"/>
    <w:rsid w:val="00146B92"/>
    <w:rsid w:val="00146C31"/>
    <w:rsid w:val="001473CF"/>
    <w:rsid w:val="0014759A"/>
    <w:rsid w:val="001477CA"/>
    <w:rsid w:val="00147A89"/>
    <w:rsid w:val="00147ECB"/>
    <w:rsid w:val="001505E4"/>
    <w:rsid w:val="00150C8E"/>
    <w:rsid w:val="00151002"/>
    <w:rsid w:val="0015106E"/>
    <w:rsid w:val="001510DD"/>
    <w:rsid w:val="001511BD"/>
    <w:rsid w:val="00151292"/>
    <w:rsid w:val="00151D71"/>
    <w:rsid w:val="00151F2E"/>
    <w:rsid w:val="00152025"/>
    <w:rsid w:val="001520B1"/>
    <w:rsid w:val="00152278"/>
    <w:rsid w:val="0015240F"/>
    <w:rsid w:val="001524BB"/>
    <w:rsid w:val="001526E1"/>
    <w:rsid w:val="00152F3E"/>
    <w:rsid w:val="00153B43"/>
    <w:rsid w:val="00153DD4"/>
    <w:rsid w:val="0015486B"/>
    <w:rsid w:val="00154CA3"/>
    <w:rsid w:val="00154D11"/>
    <w:rsid w:val="00154F13"/>
    <w:rsid w:val="00155416"/>
    <w:rsid w:val="00155956"/>
    <w:rsid w:val="00155C39"/>
    <w:rsid w:val="00156725"/>
    <w:rsid w:val="00156996"/>
    <w:rsid w:val="00157144"/>
    <w:rsid w:val="00157471"/>
    <w:rsid w:val="00157F6A"/>
    <w:rsid w:val="001601B0"/>
    <w:rsid w:val="00160213"/>
    <w:rsid w:val="00160297"/>
    <w:rsid w:val="0016034E"/>
    <w:rsid w:val="00160395"/>
    <w:rsid w:val="00160926"/>
    <w:rsid w:val="00160BE3"/>
    <w:rsid w:val="00160C32"/>
    <w:rsid w:val="001616AB"/>
    <w:rsid w:val="00161A36"/>
    <w:rsid w:val="00162064"/>
    <w:rsid w:val="00162A7E"/>
    <w:rsid w:val="00162F0B"/>
    <w:rsid w:val="00163199"/>
    <w:rsid w:val="00163B74"/>
    <w:rsid w:val="00163E68"/>
    <w:rsid w:val="00164022"/>
    <w:rsid w:val="00164685"/>
    <w:rsid w:val="00164D1D"/>
    <w:rsid w:val="00164F57"/>
    <w:rsid w:val="00165030"/>
    <w:rsid w:val="00165CAC"/>
    <w:rsid w:val="00165DF2"/>
    <w:rsid w:val="00165E38"/>
    <w:rsid w:val="00165EB4"/>
    <w:rsid w:val="00166230"/>
    <w:rsid w:val="00166430"/>
    <w:rsid w:val="00166769"/>
    <w:rsid w:val="00166A47"/>
    <w:rsid w:val="00167438"/>
    <w:rsid w:val="0016764B"/>
    <w:rsid w:val="00167855"/>
    <w:rsid w:val="00167D78"/>
    <w:rsid w:val="00170651"/>
    <w:rsid w:val="0017071C"/>
    <w:rsid w:val="0017078E"/>
    <w:rsid w:val="001707F4"/>
    <w:rsid w:val="00170A06"/>
    <w:rsid w:val="00171159"/>
    <w:rsid w:val="001711E3"/>
    <w:rsid w:val="001714DE"/>
    <w:rsid w:val="00171577"/>
    <w:rsid w:val="0017172A"/>
    <w:rsid w:val="00171799"/>
    <w:rsid w:val="00171EA1"/>
    <w:rsid w:val="00171F2D"/>
    <w:rsid w:val="0017217B"/>
    <w:rsid w:val="00172516"/>
    <w:rsid w:val="00172981"/>
    <w:rsid w:val="00172A15"/>
    <w:rsid w:val="00172A27"/>
    <w:rsid w:val="00172BC5"/>
    <w:rsid w:val="00172DB5"/>
    <w:rsid w:val="00173117"/>
    <w:rsid w:val="00173349"/>
    <w:rsid w:val="00173432"/>
    <w:rsid w:val="00173446"/>
    <w:rsid w:val="001739F2"/>
    <w:rsid w:val="00173F9B"/>
    <w:rsid w:val="00174134"/>
    <w:rsid w:val="001741E7"/>
    <w:rsid w:val="001744AA"/>
    <w:rsid w:val="00174863"/>
    <w:rsid w:val="001748B1"/>
    <w:rsid w:val="00174DA0"/>
    <w:rsid w:val="0017557F"/>
    <w:rsid w:val="001756CA"/>
    <w:rsid w:val="001757AD"/>
    <w:rsid w:val="00175AE9"/>
    <w:rsid w:val="00176483"/>
    <w:rsid w:val="001767DF"/>
    <w:rsid w:val="00176BD0"/>
    <w:rsid w:val="00176C21"/>
    <w:rsid w:val="00176C9D"/>
    <w:rsid w:val="00176CF0"/>
    <w:rsid w:val="001770A7"/>
    <w:rsid w:val="001771FA"/>
    <w:rsid w:val="00177FD6"/>
    <w:rsid w:val="001801A6"/>
    <w:rsid w:val="0018022C"/>
    <w:rsid w:val="001802A5"/>
    <w:rsid w:val="001806C6"/>
    <w:rsid w:val="001809A0"/>
    <w:rsid w:val="00180E6D"/>
    <w:rsid w:val="0018138E"/>
    <w:rsid w:val="001818C5"/>
    <w:rsid w:val="00181B95"/>
    <w:rsid w:val="00181DB7"/>
    <w:rsid w:val="001826ED"/>
    <w:rsid w:val="001827C2"/>
    <w:rsid w:val="00182AA4"/>
    <w:rsid w:val="00182D2F"/>
    <w:rsid w:val="001830ED"/>
    <w:rsid w:val="00183AAF"/>
    <w:rsid w:val="001840A2"/>
    <w:rsid w:val="001844F8"/>
    <w:rsid w:val="001847DF"/>
    <w:rsid w:val="0018502B"/>
    <w:rsid w:val="001852CA"/>
    <w:rsid w:val="00185369"/>
    <w:rsid w:val="001855A1"/>
    <w:rsid w:val="00185BA2"/>
    <w:rsid w:val="00185F6A"/>
    <w:rsid w:val="001860D3"/>
    <w:rsid w:val="00186241"/>
    <w:rsid w:val="0018647B"/>
    <w:rsid w:val="00186B00"/>
    <w:rsid w:val="00186DF5"/>
    <w:rsid w:val="001870E2"/>
    <w:rsid w:val="001870F5"/>
    <w:rsid w:val="00187427"/>
    <w:rsid w:val="001877B5"/>
    <w:rsid w:val="001877CA"/>
    <w:rsid w:val="00187838"/>
    <w:rsid w:val="00187E8C"/>
    <w:rsid w:val="001901A1"/>
    <w:rsid w:val="00190363"/>
    <w:rsid w:val="0019048F"/>
    <w:rsid w:val="00190559"/>
    <w:rsid w:val="0019058A"/>
    <w:rsid w:val="001907E9"/>
    <w:rsid w:val="00190AD7"/>
    <w:rsid w:val="00190ADB"/>
    <w:rsid w:val="00190B94"/>
    <w:rsid w:val="00190C84"/>
    <w:rsid w:val="00190D04"/>
    <w:rsid w:val="001920CC"/>
    <w:rsid w:val="0019230D"/>
    <w:rsid w:val="001925ED"/>
    <w:rsid w:val="00192610"/>
    <w:rsid w:val="00192F7B"/>
    <w:rsid w:val="001932C9"/>
    <w:rsid w:val="0019338E"/>
    <w:rsid w:val="00193E0D"/>
    <w:rsid w:val="001943C5"/>
    <w:rsid w:val="001948A8"/>
    <w:rsid w:val="00194BE0"/>
    <w:rsid w:val="00194D45"/>
    <w:rsid w:val="00194EB0"/>
    <w:rsid w:val="00194EB7"/>
    <w:rsid w:val="001954E7"/>
    <w:rsid w:val="001962A1"/>
    <w:rsid w:val="00196320"/>
    <w:rsid w:val="0019653B"/>
    <w:rsid w:val="00197346"/>
    <w:rsid w:val="00197744"/>
    <w:rsid w:val="0019777C"/>
    <w:rsid w:val="00197A11"/>
    <w:rsid w:val="00197F54"/>
    <w:rsid w:val="001A0001"/>
    <w:rsid w:val="001A00BF"/>
    <w:rsid w:val="001A0118"/>
    <w:rsid w:val="001A082E"/>
    <w:rsid w:val="001A0865"/>
    <w:rsid w:val="001A1295"/>
    <w:rsid w:val="001A193D"/>
    <w:rsid w:val="001A19A6"/>
    <w:rsid w:val="001A1A25"/>
    <w:rsid w:val="001A2183"/>
    <w:rsid w:val="001A26C3"/>
    <w:rsid w:val="001A2728"/>
    <w:rsid w:val="001A2DDF"/>
    <w:rsid w:val="001A2FA4"/>
    <w:rsid w:val="001A3108"/>
    <w:rsid w:val="001A3557"/>
    <w:rsid w:val="001A3579"/>
    <w:rsid w:val="001A3614"/>
    <w:rsid w:val="001A3966"/>
    <w:rsid w:val="001A3B3F"/>
    <w:rsid w:val="001A3EE8"/>
    <w:rsid w:val="001A493B"/>
    <w:rsid w:val="001A5598"/>
    <w:rsid w:val="001A5688"/>
    <w:rsid w:val="001A5922"/>
    <w:rsid w:val="001A5F79"/>
    <w:rsid w:val="001A5FEC"/>
    <w:rsid w:val="001A6254"/>
    <w:rsid w:val="001A6628"/>
    <w:rsid w:val="001A6B31"/>
    <w:rsid w:val="001A6C82"/>
    <w:rsid w:val="001A70C8"/>
    <w:rsid w:val="001A73A6"/>
    <w:rsid w:val="001A7A12"/>
    <w:rsid w:val="001A7B6D"/>
    <w:rsid w:val="001B01CE"/>
    <w:rsid w:val="001B0451"/>
    <w:rsid w:val="001B0EE2"/>
    <w:rsid w:val="001B17B8"/>
    <w:rsid w:val="001B189C"/>
    <w:rsid w:val="001B1C8C"/>
    <w:rsid w:val="001B23DF"/>
    <w:rsid w:val="001B251E"/>
    <w:rsid w:val="001B2635"/>
    <w:rsid w:val="001B2D73"/>
    <w:rsid w:val="001B3268"/>
    <w:rsid w:val="001B353C"/>
    <w:rsid w:val="001B36FA"/>
    <w:rsid w:val="001B3888"/>
    <w:rsid w:val="001B42C7"/>
    <w:rsid w:val="001B4709"/>
    <w:rsid w:val="001B49B4"/>
    <w:rsid w:val="001B49E5"/>
    <w:rsid w:val="001B4BF9"/>
    <w:rsid w:val="001B4F36"/>
    <w:rsid w:val="001B4F6D"/>
    <w:rsid w:val="001B54D4"/>
    <w:rsid w:val="001B58A4"/>
    <w:rsid w:val="001B5A25"/>
    <w:rsid w:val="001B6C7A"/>
    <w:rsid w:val="001B6F2F"/>
    <w:rsid w:val="001B7398"/>
    <w:rsid w:val="001C002A"/>
    <w:rsid w:val="001C02C4"/>
    <w:rsid w:val="001C03A0"/>
    <w:rsid w:val="001C043F"/>
    <w:rsid w:val="001C1833"/>
    <w:rsid w:val="001C1DEB"/>
    <w:rsid w:val="001C1EA6"/>
    <w:rsid w:val="001C27F6"/>
    <w:rsid w:val="001C2815"/>
    <w:rsid w:val="001C3505"/>
    <w:rsid w:val="001C3529"/>
    <w:rsid w:val="001C35DC"/>
    <w:rsid w:val="001C36C8"/>
    <w:rsid w:val="001C3AD9"/>
    <w:rsid w:val="001C3B75"/>
    <w:rsid w:val="001C3FF5"/>
    <w:rsid w:val="001C4045"/>
    <w:rsid w:val="001C4317"/>
    <w:rsid w:val="001C4362"/>
    <w:rsid w:val="001C44C5"/>
    <w:rsid w:val="001C501F"/>
    <w:rsid w:val="001C542C"/>
    <w:rsid w:val="001C62DE"/>
    <w:rsid w:val="001C6F03"/>
    <w:rsid w:val="001C7199"/>
    <w:rsid w:val="001C71A3"/>
    <w:rsid w:val="001C75E9"/>
    <w:rsid w:val="001C7695"/>
    <w:rsid w:val="001C79A0"/>
    <w:rsid w:val="001C7AAF"/>
    <w:rsid w:val="001D00F0"/>
    <w:rsid w:val="001D0857"/>
    <w:rsid w:val="001D0AB3"/>
    <w:rsid w:val="001D0F13"/>
    <w:rsid w:val="001D1335"/>
    <w:rsid w:val="001D15A7"/>
    <w:rsid w:val="001D19DA"/>
    <w:rsid w:val="001D1D46"/>
    <w:rsid w:val="001D1DCF"/>
    <w:rsid w:val="001D2B5F"/>
    <w:rsid w:val="001D33A8"/>
    <w:rsid w:val="001D34BB"/>
    <w:rsid w:val="001D34D7"/>
    <w:rsid w:val="001D3711"/>
    <w:rsid w:val="001D3A3F"/>
    <w:rsid w:val="001D3BE0"/>
    <w:rsid w:val="001D40F4"/>
    <w:rsid w:val="001D4425"/>
    <w:rsid w:val="001D469C"/>
    <w:rsid w:val="001D4A6E"/>
    <w:rsid w:val="001D4B1E"/>
    <w:rsid w:val="001D522B"/>
    <w:rsid w:val="001D565E"/>
    <w:rsid w:val="001D57A9"/>
    <w:rsid w:val="001D61DE"/>
    <w:rsid w:val="001D6414"/>
    <w:rsid w:val="001D6915"/>
    <w:rsid w:val="001D6DC9"/>
    <w:rsid w:val="001D6ED1"/>
    <w:rsid w:val="001D742B"/>
    <w:rsid w:val="001D783F"/>
    <w:rsid w:val="001D7924"/>
    <w:rsid w:val="001D7CB7"/>
    <w:rsid w:val="001D7E48"/>
    <w:rsid w:val="001E04E1"/>
    <w:rsid w:val="001E05F7"/>
    <w:rsid w:val="001E0851"/>
    <w:rsid w:val="001E0A2F"/>
    <w:rsid w:val="001E0CE3"/>
    <w:rsid w:val="001E0F29"/>
    <w:rsid w:val="001E1838"/>
    <w:rsid w:val="001E1C13"/>
    <w:rsid w:val="001E1E90"/>
    <w:rsid w:val="001E222F"/>
    <w:rsid w:val="001E2DC4"/>
    <w:rsid w:val="001E2E81"/>
    <w:rsid w:val="001E2F7D"/>
    <w:rsid w:val="001E347A"/>
    <w:rsid w:val="001E35B2"/>
    <w:rsid w:val="001E4AFD"/>
    <w:rsid w:val="001E4C17"/>
    <w:rsid w:val="001E514B"/>
    <w:rsid w:val="001E5694"/>
    <w:rsid w:val="001E6645"/>
    <w:rsid w:val="001E68FF"/>
    <w:rsid w:val="001E6AC6"/>
    <w:rsid w:val="001E6C86"/>
    <w:rsid w:val="001E6E9B"/>
    <w:rsid w:val="001E714D"/>
    <w:rsid w:val="001E71A9"/>
    <w:rsid w:val="001E7350"/>
    <w:rsid w:val="001E79AC"/>
    <w:rsid w:val="001E7BC9"/>
    <w:rsid w:val="001F04CB"/>
    <w:rsid w:val="001F074D"/>
    <w:rsid w:val="001F0A03"/>
    <w:rsid w:val="001F0A16"/>
    <w:rsid w:val="001F0DC5"/>
    <w:rsid w:val="001F0ED3"/>
    <w:rsid w:val="001F0EFA"/>
    <w:rsid w:val="001F0F2C"/>
    <w:rsid w:val="001F149B"/>
    <w:rsid w:val="001F1D11"/>
    <w:rsid w:val="001F1F4D"/>
    <w:rsid w:val="001F2431"/>
    <w:rsid w:val="001F278F"/>
    <w:rsid w:val="001F2863"/>
    <w:rsid w:val="001F2991"/>
    <w:rsid w:val="001F2ADB"/>
    <w:rsid w:val="001F2D49"/>
    <w:rsid w:val="001F2E52"/>
    <w:rsid w:val="001F2E57"/>
    <w:rsid w:val="001F2E67"/>
    <w:rsid w:val="001F309B"/>
    <w:rsid w:val="001F3337"/>
    <w:rsid w:val="001F34C2"/>
    <w:rsid w:val="001F35D8"/>
    <w:rsid w:val="001F383D"/>
    <w:rsid w:val="001F412B"/>
    <w:rsid w:val="001F4272"/>
    <w:rsid w:val="001F43EB"/>
    <w:rsid w:val="001F48D5"/>
    <w:rsid w:val="001F49BD"/>
    <w:rsid w:val="001F4B7F"/>
    <w:rsid w:val="001F4D04"/>
    <w:rsid w:val="001F4D12"/>
    <w:rsid w:val="001F4FDD"/>
    <w:rsid w:val="001F50E3"/>
    <w:rsid w:val="001F5190"/>
    <w:rsid w:val="001F5C98"/>
    <w:rsid w:val="001F6048"/>
    <w:rsid w:val="001F6F3B"/>
    <w:rsid w:val="001F7003"/>
    <w:rsid w:val="001F737A"/>
    <w:rsid w:val="001F7580"/>
    <w:rsid w:val="0020028B"/>
    <w:rsid w:val="0020070C"/>
    <w:rsid w:val="0020087B"/>
    <w:rsid w:val="00200D0C"/>
    <w:rsid w:val="00201698"/>
    <w:rsid w:val="002016E1"/>
    <w:rsid w:val="0020185B"/>
    <w:rsid w:val="00201CDA"/>
    <w:rsid w:val="00201E00"/>
    <w:rsid w:val="00202049"/>
    <w:rsid w:val="00202102"/>
    <w:rsid w:val="00202336"/>
    <w:rsid w:val="00202340"/>
    <w:rsid w:val="0020266B"/>
    <w:rsid w:val="00202FA3"/>
    <w:rsid w:val="00203086"/>
    <w:rsid w:val="002035B1"/>
    <w:rsid w:val="00203796"/>
    <w:rsid w:val="00203999"/>
    <w:rsid w:val="00203AC4"/>
    <w:rsid w:val="00203DC5"/>
    <w:rsid w:val="00204322"/>
    <w:rsid w:val="0020476B"/>
    <w:rsid w:val="00205430"/>
    <w:rsid w:val="00205A7B"/>
    <w:rsid w:val="00206480"/>
    <w:rsid w:val="00206A73"/>
    <w:rsid w:val="00206E11"/>
    <w:rsid w:val="002070AB"/>
    <w:rsid w:val="002073CF"/>
    <w:rsid w:val="002074F9"/>
    <w:rsid w:val="00207778"/>
    <w:rsid w:val="00207B9A"/>
    <w:rsid w:val="00207C4F"/>
    <w:rsid w:val="002103C5"/>
    <w:rsid w:val="00210454"/>
    <w:rsid w:val="002104A5"/>
    <w:rsid w:val="002106EC"/>
    <w:rsid w:val="002106F0"/>
    <w:rsid w:val="0021089B"/>
    <w:rsid w:val="00210A3C"/>
    <w:rsid w:val="00211343"/>
    <w:rsid w:val="002113DF"/>
    <w:rsid w:val="002117E8"/>
    <w:rsid w:val="00211978"/>
    <w:rsid w:val="00212046"/>
    <w:rsid w:val="00212370"/>
    <w:rsid w:val="0021282E"/>
    <w:rsid w:val="002128B9"/>
    <w:rsid w:val="00212A96"/>
    <w:rsid w:val="0021321F"/>
    <w:rsid w:val="00213279"/>
    <w:rsid w:val="00213590"/>
    <w:rsid w:val="0021359C"/>
    <w:rsid w:val="002136A2"/>
    <w:rsid w:val="00213A44"/>
    <w:rsid w:val="00213AFF"/>
    <w:rsid w:val="00213F5F"/>
    <w:rsid w:val="00214515"/>
    <w:rsid w:val="002146AD"/>
    <w:rsid w:val="00215268"/>
    <w:rsid w:val="0021544F"/>
    <w:rsid w:val="0021562D"/>
    <w:rsid w:val="00215896"/>
    <w:rsid w:val="002158F8"/>
    <w:rsid w:val="00215C50"/>
    <w:rsid w:val="002167E2"/>
    <w:rsid w:val="00216D61"/>
    <w:rsid w:val="00216E53"/>
    <w:rsid w:val="00216EF9"/>
    <w:rsid w:val="002172DF"/>
    <w:rsid w:val="002172E3"/>
    <w:rsid w:val="002173E2"/>
    <w:rsid w:val="002173E5"/>
    <w:rsid w:val="00217425"/>
    <w:rsid w:val="0021761D"/>
    <w:rsid w:val="002179B4"/>
    <w:rsid w:val="00217A8C"/>
    <w:rsid w:val="00217DE2"/>
    <w:rsid w:val="00217E67"/>
    <w:rsid w:val="00217EDC"/>
    <w:rsid w:val="0022007B"/>
    <w:rsid w:val="00220374"/>
    <w:rsid w:val="002203BE"/>
    <w:rsid w:val="0022109B"/>
    <w:rsid w:val="002210BE"/>
    <w:rsid w:val="002212AF"/>
    <w:rsid w:val="002213FF"/>
    <w:rsid w:val="002219C4"/>
    <w:rsid w:val="00221E9C"/>
    <w:rsid w:val="002222FD"/>
    <w:rsid w:val="002225E4"/>
    <w:rsid w:val="002226C4"/>
    <w:rsid w:val="0022309D"/>
    <w:rsid w:val="00223127"/>
    <w:rsid w:val="002232BE"/>
    <w:rsid w:val="002233CE"/>
    <w:rsid w:val="00223845"/>
    <w:rsid w:val="00223A29"/>
    <w:rsid w:val="00224264"/>
    <w:rsid w:val="00224C9E"/>
    <w:rsid w:val="00225297"/>
    <w:rsid w:val="002257B7"/>
    <w:rsid w:val="00226246"/>
    <w:rsid w:val="0022693C"/>
    <w:rsid w:val="00226B60"/>
    <w:rsid w:val="00226DCF"/>
    <w:rsid w:val="00226F18"/>
    <w:rsid w:val="00227088"/>
    <w:rsid w:val="00227578"/>
    <w:rsid w:val="00227984"/>
    <w:rsid w:val="00227C59"/>
    <w:rsid w:val="00227E9A"/>
    <w:rsid w:val="002305EC"/>
    <w:rsid w:val="0023167E"/>
    <w:rsid w:val="00231A3E"/>
    <w:rsid w:val="00231ADA"/>
    <w:rsid w:val="00232220"/>
    <w:rsid w:val="0023392B"/>
    <w:rsid w:val="00233AE4"/>
    <w:rsid w:val="00233B9B"/>
    <w:rsid w:val="00233DA7"/>
    <w:rsid w:val="00233EBA"/>
    <w:rsid w:val="00233FE8"/>
    <w:rsid w:val="0023411B"/>
    <w:rsid w:val="002342BB"/>
    <w:rsid w:val="002344AB"/>
    <w:rsid w:val="0023479C"/>
    <w:rsid w:val="00234967"/>
    <w:rsid w:val="00234A32"/>
    <w:rsid w:val="00234E2D"/>
    <w:rsid w:val="00234E75"/>
    <w:rsid w:val="00234FCB"/>
    <w:rsid w:val="00235315"/>
    <w:rsid w:val="002353D3"/>
    <w:rsid w:val="00235D49"/>
    <w:rsid w:val="00235FCD"/>
    <w:rsid w:val="00236101"/>
    <w:rsid w:val="00236235"/>
    <w:rsid w:val="00236443"/>
    <w:rsid w:val="00236615"/>
    <w:rsid w:val="002366DC"/>
    <w:rsid w:val="00236766"/>
    <w:rsid w:val="00236809"/>
    <w:rsid w:val="00236C23"/>
    <w:rsid w:val="00237655"/>
    <w:rsid w:val="002377F2"/>
    <w:rsid w:val="00237C8A"/>
    <w:rsid w:val="002402B4"/>
    <w:rsid w:val="002404EC"/>
    <w:rsid w:val="0024060B"/>
    <w:rsid w:val="00240616"/>
    <w:rsid w:val="00240DA4"/>
    <w:rsid w:val="00241025"/>
    <w:rsid w:val="00241079"/>
    <w:rsid w:val="0024130B"/>
    <w:rsid w:val="002413C4"/>
    <w:rsid w:val="00241DEE"/>
    <w:rsid w:val="00241F21"/>
    <w:rsid w:val="0024201D"/>
    <w:rsid w:val="00242230"/>
    <w:rsid w:val="002426AD"/>
    <w:rsid w:val="00242AFC"/>
    <w:rsid w:val="00242B60"/>
    <w:rsid w:val="00242C24"/>
    <w:rsid w:val="00242C4F"/>
    <w:rsid w:val="00242EC3"/>
    <w:rsid w:val="002430FA"/>
    <w:rsid w:val="00243528"/>
    <w:rsid w:val="00243A86"/>
    <w:rsid w:val="00243DBA"/>
    <w:rsid w:val="00243DF6"/>
    <w:rsid w:val="00243E24"/>
    <w:rsid w:val="00244373"/>
    <w:rsid w:val="0024449B"/>
    <w:rsid w:val="00244658"/>
    <w:rsid w:val="00244C3C"/>
    <w:rsid w:val="0024509C"/>
    <w:rsid w:val="0024548E"/>
    <w:rsid w:val="002455B1"/>
    <w:rsid w:val="002455DA"/>
    <w:rsid w:val="002458B3"/>
    <w:rsid w:val="0024601D"/>
    <w:rsid w:val="00246698"/>
    <w:rsid w:val="00246786"/>
    <w:rsid w:val="002469DF"/>
    <w:rsid w:val="0024754D"/>
    <w:rsid w:val="002479F0"/>
    <w:rsid w:val="00247A3D"/>
    <w:rsid w:val="00247E4F"/>
    <w:rsid w:val="00250323"/>
    <w:rsid w:val="00250472"/>
    <w:rsid w:val="0025099B"/>
    <w:rsid w:val="00250C5C"/>
    <w:rsid w:val="00250CC2"/>
    <w:rsid w:val="00250E80"/>
    <w:rsid w:val="00250EDB"/>
    <w:rsid w:val="00250EEF"/>
    <w:rsid w:val="00251212"/>
    <w:rsid w:val="0025160E"/>
    <w:rsid w:val="00251652"/>
    <w:rsid w:val="00251B86"/>
    <w:rsid w:val="00251D03"/>
    <w:rsid w:val="00251FEC"/>
    <w:rsid w:val="00252023"/>
    <w:rsid w:val="00252A7F"/>
    <w:rsid w:val="00253780"/>
    <w:rsid w:val="002537C6"/>
    <w:rsid w:val="002542ED"/>
    <w:rsid w:val="00254437"/>
    <w:rsid w:val="00254D2E"/>
    <w:rsid w:val="00255EB9"/>
    <w:rsid w:val="00256A1F"/>
    <w:rsid w:val="00256E26"/>
    <w:rsid w:val="002578BF"/>
    <w:rsid w:val="00257C2A"/>
    <w:rsid w:val="00257E1F"/>
    <w:rsid w:val="00260006"/>
    <w:rsid w:val="00260016"/>
    <w:rsid w:val="00260703"/>
    <w:rsid w:val="00260927"/>
    <w:rsid w:val="00260C34"/>
    <w:rsid w:val="00260C96"/>
    <w:rsid w:val="00261B94"/>
    <w:rsid w:val="002622ED"/>
    <w:rsid w:val="00262328"/>
    <w:rsid w:val="00262730"/>
    <w:rsid w:val="00262DA8"/>
    <w:rsid w:val="002643DF"/>
    <w:rsid w:val="002648B7"/>
    <w:rsid w:val="002653CC"/>
    <w:rsid w:val="002656B7"/>
    <w:rsid w:val="00265DE2"/>
    <w:rsid w:val="0026628D"/>
    <w:rsid w:val="002664CC"/>
    <w:rsid w:val="002665A8"/>
    <w:rsid w:val="00266831"/>
    <w:rsid w:val="00266A2C"/>
    <w:rsid w:val="00266F1E"/>
    <w:rsid w:val="00267486"/>
    <w:rsid w:val="002676FC"/>
    <w:rsid w:val="00267932"/>
    <w:rsid w:val="002679E5"/>
    <w:rsid w:val="00267BEC"/>
    <w:rsid w:val="00267EF8"/>
    <w:rsid w:val="002700DC"/>
    <w:rsid w:val="00270EC4"/>
    <w:rsid w:val="00271275"/>
    <w:rsid w:val="00271F50"/>
    <w:rsid w:val="00272282"/>
    <w:rsid w:val="00272E9C"/>
    <w:rsid w:val="00273174"/>
    <w:rsid w:val="00273596"/>
    <w:rsid w:val="0027366D"/>
    <w:rsid w:val="00273872"/>
    <w:rsid w:val="0027453F"/>
    <w:rsid w:val="00274847"/>
    <w:rsid w:val="00274C45"/>
    <w:rsid w:val="00274F49"/>
    <w:rsid w:val="00275118"/>
    <w:rsid w:val="00275344"/>
    <w:rsid w:val="00275402"/>
    <w:rsid w:val="00275703"/>
    <w:rsid w:val="00275981"/>
    <w:rsid w:val="00276117"/>
    <w:rsid w:val="0027648F"/>
    <w:rsid w:val="0027657C"/>
    <w:rsid w:val="00276967"/>
    <w:rsid w:val="0027743C"/>
    <w:rsid w:val="00277DA1"/>
    <w:rsid w:val="00280D1D"/>
    <w:rsid w:val="0028169C"/>
    <w:rsid w:val="00281E80"/>
    <w:rsid w:val="00281E84"/>
    <w:rsid w:val="00281F7F"/>
    <w:rsid w:val="002826AA"/>
    <w:rsid w:val="002827FD"/>
    <w:rsid w:val="00282906"/>
    <w:rsid w:val="0028295B"/>
    <w:rsid w:val="00282E5B"/>
    <w:rsid w:val="00282E5F"/>
    <w:rsid w:val="00282F2D"/>
    <w:rsid w:val="00283AE4"/>
    <w:rsid w:val="00283FFB"/>
    <w:rsid w:val="0028429E"/>
    <w:rsid w:val="00284D99"/>
    <w:rsid w:val="0028509A"/>
    <w:rsid w:val="0028530F"/>
    <w:rsid w:val="0028569B"/>
    <w:rsid w:val="00285A30"/>
    <w:rsid w:val="002862DE"/>
    <w:rsid w:val="002863E3"/>
    <w:rsid w:val="00286467"/>
    <w:rsid w:val="0028674D"/>
    <w:rsid w:val="00286882"/>
    <w:rsid w:val="00286F26"/>
    <w:rsid w:val="00286FD4"/>
    <w:rsid w:val="00287002"/>
    <w:rsid w:val="0028721F"/>
    <w:rsid w:val="00287261"/>
    <w:rsid w:val="002874C3"/>
    <w:rsid w:val="00287C3E"/>
    <w:rsid w:val="00287EC2"/>
    <w:rsid w:val="00287FB4"/>
    <w:rsid w:val="0029017E"/>
    <w:rsid w:val="0029054C"/>
    <w:rsid w:val="0029104B"/>
    <w:rsid w:val="0029151B"/>
    <w:rsid w:val="00292019"/>
    <w:rsid w:val="00292214"/>
    <w:rsid w:val="00292713"/>
    <w:rsid w:val="00292DD3"/>
    <w:rsid w:val="00293C4A"/>
    <w:rsid w:val="00293CBD"/>
    <w:rsid w:val="0029436D"/>
    <w:rsid w:val="002948E3"/>
    <w:rsid w:val="002949A2"/>
    <w:rsid w:val="00294F8A"/>
    <w:rsid w:val="002951D9"/>
    <w:rsid w:val="002954A8"/>
    <w:rsid w:val="002954CD"/>
    <w:rsid w:val="002958C8"/>
    <w:rsid w:val="00295945"/>
    <w:rsid w:val="00295ACF"/>
    <w:rsid w:val="00295B8F"/>
    <w:rsid w:val="00295D2D"/>
    <w:rsid w:val="0029655D"/>
    <w:rsid w:val="00296AA5"/>
    <w:rsid w:val="00297621"/>
    <w:rsid w:val="002979F1"/>
    <w:rsid w:val="00297CB5"/>
    <w:rsid w:val="00297DE2"/>
    <w:rsid w:val="002A1037"/>
    <w:rsid w:val="002A125C"/>
    <w:rsid w:val="002A12EA"/>
    <w:rsid w:val="002A1691"/>
    <w:rsid w:val="002A1908"/>
    <w:rsid w:val="002A2111"/>
    <w:rsid w:val="002A2376"/>
    <w:rsid w:val="002A2805"/>
    <w:rsid w:val="002A2B65"/>
    <w:rsid w:val="002A2C54"/>
    <w:rsid w:val="002A39D1"/>
    <w:rsid w:val="002A3FC2"/>
    <w:rsid w:val="002A4D28"/>
    <w:rsid w:val="002A52BE"/>
    <w:rsid w:val="002A5469"/>
    <w:rsid w:val="002A5FE5"/>
    <w:rsid w:val="002A63F6"/>
    <w:rsid w:val="002A6B75"/>
    <w:rsid w:val="002A6DDB"/>
    <w:rsid w:val="002A72B8"/>
    <w:rsid w:val="002A72BD"/>
    <w:rsid w:val="002A7324"/>
    <w:rsid w:val="002A74FB"/>
    <w:rsid w:val="002A76D5"/>
    <w:rsid w:val="002B034C"/>
    <w:rsid w:val="002B03DC"/>
    <w:rsid w:val="002B03E8"/>
    <w:rsid w:val="002B0F63"/>
    <w:rsid w:val="002B1290"/>
    <w:rsid w:val="002B1438"/>
    <w:rsid w:val="002B15BA"/>
    <w:rsid w:val="002B1885"/>
    <w:rsid w:val="002B1AFA"/>
    <w:rsid w:val="002B1DF5"/>
    <w:rsid w:val="002B1EB3"/>
    <w:rsid w:val="002B204A"/>
    <w:rsid w:val="002B2582"/>
    <w:rsid w:val="002B268B"/>
    <w:rsid w:val="002B2846"/>
    <w:rsid w:val="002B2972"/>
    <w:rsid w:val="002B2B4B"/>
    <w:rsid w:val="002B3409"/>
    <w:rsid w:val="002B356A"/>
    <w:rsid w:val="002B35A2"/>
    <w:rsid w:val="002B360A"/>
    <w:rsid w:val="002B3C09"/>
    <w:rsid w:val="002B3F42"/>
    <w:rsid w:val="002B4434"/>
    <w:rsid w:val="002B45E8"/>
    <w:rsid w:val="002B4755"/>
    <w:rsid w:val="002B4A67"/>
    <w:rsid w:val="002B4FA8"/>
    <w:rsid w:val="002B51C0"/>
    <w:rsid w:val="002B538A"/>
    <w:rsid w:val="002B5E13"/>
    <w:rsid w:val="002B654D"/>
    <w:rsid w:val="002B6CD5"/>
    <w:rsid w:val="002B6D5C"/>
    <w:rsid w:val="002B6E48"/>
    <w:rsid w:val="002B705F"/>
    <w:rsid w:val="002B73E5"/>
    <w:rsid w:val="002B7563"/>
    <w:rsid w:val="002B7EA9"/>
    <w:rsid w:val="002C003B"/>
    <w:rsid w:val="002C05CF"/>
    <w:rsid w:val="002C05F2"/>
    <w:rsid w:val="002C0A37"/>
    <w:rsid w:val="002C1304"/>
    <w:rsid w:val="002C1833"/>
    <w:rsid w:val="002C18C1"/>
    <w:rsid w:val="002C1D12"/>
    <w:rsid w:val="002C1F2B"/>
    <w:rsid w:val="002C2199"/>
    <w:rsid w:val="002C2251"/>
    <w:rsid w:val="002C2797"/>
    <w:rsid w:val="002C2A15"/>
    <w:rsid w:val="002C2D05"/>
    <w:rsid w:val="002C2FE8"/>
    <w:rsid w:val="002C31DC"/>
    <w:rsid w:val="002C3366"/>
    <w:rsid w:val="002C3F02"/>
    <w:rsid w:val="002C4053"/>
    <w:rsid w:val="002C41A0"/>
    <w:rsid w:val="002C5548"/>
    <w:rsid w:val="002C55C1"/>
    <w:rsid w:val="002C5A46"/>
    <w:rsid w:val="002C5CF3"/>
    <w:rsid w:val="002C6025"/>
    <w:rsid w:val="002C619D"/>
    <w:rsid w:val="002C648A"/>
    <w:rsid w:val="002C65A7"/>
    <w:rsid w:val="002C699F"/>
    <w:rsid w:val="002C6AC2"/>
    <w:rsid w:val="002C6FEF"/>
    <w:rsid w:val="002C71D8"/>
    <w:rsid w:val="002C7564"/>
    <w:rsid w:val="002C7606"/>
    <w:rsid w:val="002C7661"/>
    <w:rsid w:val="002C7E3B"/>
    <w:rsid w:val="002D07F2"/>
    <w:rsid w:val="002D1418"/>
    <w:rsid w:val="002D15A6"/>
    <w:rsid w:val="002D16D1"/>
    <w:rsid w:val="002D2593"/>
    <w:rsid w:val="002D2A1C"/>
    <w:rsid w:val="002D2A3A"/>
    <w:rsid w:val="002D2C80"/>
    <w:rsid w:val="002D2CB2"/>
    <w:rsid w:val="002D2EB3"/>
    <w:rsid w:val="002D300B"/>
    <w:rsid w:val="002D3536"/>
    <w:rsid w:val="002D3D29"/>
    <w:rsid w:val="002D3F62"/>
    <w:rsid w:val="002D43B2"/>
    <w:rsid w:val="002D4D2A"/>
    <w:rsid w:val="002D5132"/>
    <w:rsid w:val="002D5996"/>
    <w:rsid w:val="002D5ECE"/>
    <w:rsid w:val="002D627D"/>
    <w:rsid w:val="002D65AA"/>
    <w:rsid w:val="002D6973"/>
    <w:rsid w:val="002D6E1A"/>
    <w:rsid w:val="002D6FD9"/>
    <w:rsid w:val="002D704D"/>
    <w:rsid w:val="002D7145"/>
    <w:rsid w:val="002D735B"/>
    <w:rsid w:val="002D7507"/>
    <w:rsid w:val="002D7F8B"/>
    <w:rsid w:val="002E18B7"/>
    <w:rsid w:val="002E1CEE"/>
    <w:rsid w:val="002E1E40"/>
    <w:rsid w:val="002E2BF7"/>
    <w:rsid w:val="002E2DCA"/>
    <w:rsid w:val="002E3405"/>
    <w:rsid w:val="002E3872"/>
    <w:rsid w:val="002E39F1"/>
    <w:rsid w:val="002E430E"/>
    <w:rsid w:val="002E48BA"/>
    <w:rsid w:val="002E4A30"/>
    <w:rsid w:val="002E4B12"/>
    <w:rsid w:val="002E4C77"/>
    <w:rsid w:val="002E4FC7"/>
    <w:rsid w:val="002E5134"/>
    <w:rsid w:val="002E57A2"/>
    <w:rsid w:val="002E57F1"/>
    <w:rsid w:val="002E5EBE"/>
    <w:rsid w:val="002E6624"/>
    <w:rsid w:val="002E6859"/>
    <w:rsid w:val="002E69F6"/>
    <w:rsid w:val="002E6A5A"/>
    <w:rsid w:val="002E6E80"/>
    <w:rsid w:val="002E6EA5"/>
    <w:rsid w:val="002E70FC"/>
    <w:rsid w:val="002E71D7"/>
    <w:rsid w:val="002E74AC"/>
    <w:rsid w:val="002E7604"/>
    <w:rsid w:val="002E7E44"/>
    <w:rsid w:val="002E7F14"/>
    <w:rsid w:val="002E7F88"/>
    <w:rsid w:val="002F051D"/>
    <w:rsid w:val="002F061D"/>
    <w:rsid w:val="002F191E"/>
    <w:rsid w:val="002F227C"/>
    <w:rsid w:val="002F26B4"/>
    <w:rsid w:val="002F26CC"/>
    <w:rsid w:val="002F337E"/>
    <w:rsid w:val="002F3449"/>
    <w:rsid w:val="002F3C80"/>
    <w:rsid w:val="002F43FF"/>
    <w:rsid w:val="002F442D"/>
    <w:rsid w:val="002F4BDD"/>
    <w:rsid w:val="002F4C1F"/>
    <w:rsid w:val="002F4D95"/>
    <w:rsid w:val="002F5159"/>
    <w:rsid w:val="002F53C0"/>
    <w:rsid w:val="002F624A"/>
    <w:rsid w:val="002F67A4"/>
    <w:rsid w:val="002F6CBB"/>
    <w:rsid w:val="002F71B1"/>
    <w:rsid w:val="002F726B"/>
    <w:rsid w:val="002F72D3"/>
    <w:rsid w:val="002F7D13"/>
    <w:rsid w:val="003002CD"/>
    <w:rsid w:val="003005E3"/>
    <w:rsid w:val="00300651"/>
    <w:rsid w:val="00300CEA"/>
    <w:rsid w:val="0030175D"/>
    <w:rsid w:val="003017AA"/>
    <w:rsid w:val="00301DFC"/>
    <w:rsid w:val="0030208B"/>
    <w:rsid w:val="003022CA"/>
    <w:rsid w:val="0030231F"/>
    <w:rsid w:val="0030244F"/>
    <w:rsid w:val="003028D7"/>
    <w:rsid w:val="00302953"/>
    <w:rsid w:val="00302E42"/>
    <w:rsid w:val="003036FD"/>
    <w:rsid w:val="003037BE"/>
    <w:rsid w:val="003037CC"/>
    <w:rsid w:val="00303AE7"/>
    <w:rsid w:val="00303B5F"/>
    <w:rsid w:val="00303DDD"/>
    <w:rsid w:val="00303F86"/>
    <w:rsid w:val="00304199"/>
    <w:rsid w:val="003042AF"/>
    <w:rsid w:val="00304479"/>
    <w:rsid w:val="00304730"/>
    <w:rsid w:val="00304B2C"/>
    <w:rsid w:val="00304BA3"/>
    <w:rsid w:val="00305306"/>
    <w:rsid w:val="00305DAC"/>
    <w:rsid w:val="00305F49"/>
    <w:rsid w:val="0030600C"/>
    <w:rsid w:val="0030629B"/>
    <w:rsid w:val="003063AA"/>
    <w:rsid w:val="0030667D"/>
    <w:rsid w:val="00307018"/>
    <w:rsid w:val="003070B1"/>
    <w:rsid w:val="003074AB"/>
    <w:rsid w:val="00307995"/>
    <w:rsid w:val="00307A0C"/>
    <w:rsid w:val="00307CB2"/>
    <w:rsid w:val="003103C9"/>
    <w:rsid w:val="00310791"/>
    <w:rsid w:val="0031160B"/>
    <w:rsid w:val="00311806"/>
    <w:rsid w:val="0031182C"/>
    <w:rsid w:val="00311CC7"/>
    <w:rsid w:val="00312847"/>
    <w:rsid w:val="003128BD"/>
    <w:rsid w:val="00313761"/>
    <w:rsid w:val="0031393D"/>
    <w:rsid w:val="00314117"/>
    <w:rsid w:val="0031457E"/>
    <w:rsid w:val="003145C4"/>
    <w:rsid w:val="003146CF"/>
    <w:rsid w:val="00314C50"/>
    <w:rsid w:val="00314FB3"/>
    <w:rsid w:val="003152C7"/>
    <w:rsid w:val="00315CE1"/>
    <w:rsid w:val="00315F70"/>
    <w:rsid w:val="00315F9F"/>
    <w:rsid w:val="003160DC"/>
    <w:rsid w:val="0031626F"/>
    <w:rsid w:val="00316AC0"/>
    <w:rsid w:val="00317131"/>
    <w:rsid w:val="00317AF8"/>
    <w:rsid w:val="003200BD"/>
    <w:rsid w:val="00320551"/>
    <w:rsid w:val="003205D2"/>
    <w:rsid w:val="00320802"/>
    <w:rsid w:val="00320D46"/>
    <w:rsid w:val="00320EAA"/>
    <w:rsid w:val="00320F0C"/>
    <w:rsid w:val="003212D9"/>
    <w:rsid w:val="00321436"/>
    <w:rsid w:val="0032167F"/>
    <w:rsid w:val="0032209D"/>
    <w:rsid w:val="003221D2"/>
    <w:rsid w:val="003222E4"/>
    <w:rsid w:val="00322FC3"/>
    <w:rsid w:val="0032327F"/>
    <w:rsid w:val="003235BC"/>
    <w:rsid w:val="0032361C"/>
    <w:rsid w:val="00323EA0"/>
    <w:rsid w:val="0032450D"/>
    <w:rsid w:val="0032503E"/>
    <w:rsid w:val="00325094"/>
    <w:rsid w:val="00325562"/>
    <w:rsid w:val="00325947"/>
    <w:rsid w:val="003264DB"/>
    <w:rsid w:val="00326588"/>
    <w:rsid w:val="00326B3F"/>
    <w:rsid w:val="00327455"/>
    <w:rsid w:val="003275D1"/>
    <w:rsid w:val="00327A12"/>
    <w:rsid w:val="00327C01"/>
    <w:rsid w:val="0033020C"/>
    <w:rsid w:val="00330356"/>
    <w:rsid w:val="00330584"/>
    <w:rsid w:val="00330C45"/>
    <w:rsid w:val="00330D04"/>
    <w:rsid w:val="00330EAB"/>
    <w:rsid w:val="0033251D"/>
    <w:rsid w:val="00332BAA"/>
    <w:rsid w:val="00332E58"/>
    <w:rsid w:val="003330A5"/>
    <w:rsid w:val="00333869"/>
    <w:rsid w:val="00333A75"/>
    <w:rsid w:val="00333A87"/>
    <w:rsid w:val="00333E86"/>
    <w:rsid w:val="00334619"/>
    <w:rsid w:val="00334A4D"/>
    <w:rsid w:val="00334BED"/>
    <w:rsid w:val="00335379"/>
    <w:rsid w:val="00335387"/>
    <w:rsid w:val="003353AC"/>
    <w:rsid w:val="003356B6"/>
    <w:rsid w:val="003357A2"/>
    <w:rsid w:val="00335898"/>
    <w:rsid w:val="0033597F"/>
    <w:rsid w:val="0033612F"/>
    <w:rsid w:val="0033630A"/>
    <w:rsid w:val="0033682D"/>
    <w:rsid w:val="00336FB3"/>
    <w:rsid w:val="003375DE"/>
    <w:rsid w:val="00337633"/>
    <w:rsid w:val="00337C6F"/>
    <w:rsid w:val="00337CA4"/>
    <w:rsid w:val="00337CF9"/>
    <w:rsid w:val="00340292"/>
    <w:rsid w:val="003405D9"/>
    <w:rsid w:val="0034071C"/>
    <w:rsid w:val="00340996"/>
    <w:rsid w:val="00340B74"/>
    <w:rsid w:val="00340BDF"/>
    <w:rsid w:val="00341618"/>
    <w:rsid w:val="00341B33"/>
    <w:rsid w:val="00341D08"/>
    <w:rsid w:val="00341E7B"/>
    <w:rsid w:val="003421CD"/>
    <w:rsid w:val="00342348"/>
    <w:rsid w:val="00342A72"/>
    <w:rsid w:val="00343345"/>
    <w:rsid w:val="00343474"/>
    <w:rsid w:val="0034347C"/>
    <w:rsid w:val="003436CE"/>
    <w:rsid w:val="003438D7"/>
    <w:rsid w:val="00343F65"/>
    <w:rsid w:val="003443F7"/>
    <w:rsid w:val="0034495E"/>
    <w:rsid w:val="00344E94"/>
    <w:rsid w:val="00345150"/>
    <w:rsid w:val="00345223"/>
    <w:rsid w:val="0034525E"/>
    <w:rsid w:val="00345473"/>
    <w:rsid w:val="003454C9"/>
    <w:rsid w:val="00345EDB"/>
    <w:rsid w:val="0034623E"/>
    <w:rsid w:val="003465A1"/>
    <w:rsid w:val="00346867"/>
    <w:rsid w:val="00347536"/>
    <w:rsid w:val="0034766F"/>
    <w:rsid w:val="0034784B"/>
    <w:rsid w:val="00350109"/>
    <w:rsid w:val="00350775"/>
    <w:rsid w:val="0035119C"/>
    <w:rsid w:val="003516F0"/>
    <w:rsid w:val="00351A5F"/>
    <w:rsid w:val="00351FAA"/>
    <w:rsid w:val="00352D6B"/>
    <w:rsid w:val="00352F84"/>
    <w:rsid w:val="00353E16"/>
    <w:rsid w:val="00353E19"/>
    <w:rsid w:val="003541DD"/>
    <w:rsid w:val="0035564C"/>
    <w:rsid w:val="00356185"/>
    <w:rsid w:val="00356760"/>
    <w:rsid w:val="003567BF"/>
    <w:rsid w:val="00357019"/>
    <w:rsid w:val="003571CA"/>
    <w:rsid w:val="003574DC"/>
    <w:rsid w:val="003576EC"/>
    <w:rsid w:val="003577F4"/>
    <w:rsid w:val="00357B20"/>
    <w:rsid w:val="00357D20"/>
    <w:rsid w:val="00360112"/>
    <w:rsid w:val="00360981"/>
    <w:rsid w:val="003609D4"/>
    <w:rsid w:val="003613ED"/>
    <w:rsid w:val="00361408"/>
    <w:rsid w:val="0036146C"/>
    <w:rsid w:val="00361529"/>
    <w:rsid w:val="00361629"/>
    <w:rsid w:val="00361FB2"/>
    <w:rsid w:val="003622CD"/>
    <w:rsid w:val="00362450"/>
    <w:rsid w:val="00362DE0"/>
    <w:rsid w:val="00362FD2"/>
    <w:rsid w:val="003630E6"/>
    <w:rsid w:val="003633CD"/>
    <w:rsid w:val="00363911"/>
    <w:rsid w:val="0036391A"/>
    <w:rsid w:val="00363D6A"/>
    <w:rsid w:val="00363E3F"/>
    <w:rsid w:val="00363F6A"/>
    <w:rsid w:val="00364672"/>
    <w:rsid w:val="00364847"/>
    <w:rsid w:val="003656DA"/>
    <w:rsid w:val="003659BC"/>
    <w:rsid w:val="00365B6E"/>
    <w:rsid w:val="0036625C"/>
    <w:rsid w:val="00366926"/>
    <w:rsid w:val="00366E6A"/>
    <w:rsid w:val="00366EF6"/>
    <w:rsid w:val="00366F66"/>
    <w:rsid w:val="003678F0"/>
    <w:rsid w:val="0036790B"/>
    <w:rsid w:val="00367B53"/>
    <w:rsid w:val="00367FB1"/>
    <w:rsid w:val="00367FE5"/>
    <w:rsid w:val="00370710"/>
    <w:rsid w:val="003709A8"/>
    <w:rsid w:val="00370BCB"/>
    <w:rsid w:val="00370C4B"/>
    <w:rsid w:val="003716AF"/>
    <w:rsid w:val="00371E2B"/>
    <w:rsid w:val="003727C2"/>
    <w:rsid w:val="00372CA7"/>
    <w:rsid w:val="003738F6"/>
    <w:rsid w:val="00373E23"/>
    <w:rsid w:val="00373E88"/>
    <w:rsid w:val="00374026"/>
    <w:rsid w:val="00374549"/>
    <w:rsid w:val="003745A0"/>
    <w:rsid w:val="0037466D"/>
    <w:rsid w:val="00374FD4"/>
    <w:rsid w:val="00375167"/>
    <w:rsid w:val="00375579"/>
    <w:rsid w:val="0037590C"/>
    <w:rsid w:val="00376814"/>
    <w:rsid w:val="003769FC"/>
    <w:rsid w:val="0037709B"/>
    <w:rsid w:val="00377F07"/>
    <w:rsid w:val="00377FC5"/>
    <w:rsid w:val="00380011"/>
    <w:rsid w:val="003802BC"/>
    <w:rsid w:val="0038040D"/>
    <w:rsid w:val="003807B1"/>
    <w:rsid w:val="00380894"/>
    <w:rsid w:val="0038096D"/>
    <w:rsid w:val="00380D3B"/>
    <w:rsid w:val="003813CF"/>
    <w:rsid w:val="00381EFF"/>
    <w:rsid w:val="003825B6"/>
    <w:rsid w:val="0038261F"/>
    <w:rsid w:val="00382895"/>
    <w:rsid w:val="0038295D"/>
    <w:rsid w:val="003829C9"/>
    <w:rsid w:val="00382C0A"/>
    <w:rsid w:val="00382E73"/>
    <w:rsid w:val="00383059"/>
    <w:rsid w:val="00383283"/>
    <w:rsid w:val="003834D4"/>
    <w:rsid w:val="003837AE"/>
    <w:rsid w:val="003838EB"/>
    <w:rsid w:val="00383949"/>
    <w:rsid w:val="00383C3B"/>
    <w:rsid w:val="00383C98"/>
    <w:rsid w:val="00384490"/>
    <w:rsid w:val="003844CA"/>
    <w:rsid w:val="003846E7"/>
    <w:rsid w:val="00384BC9"/>
    <w:rsid w:val="00384C18"/>
    <w:rsid w:val="00385024"/>
    <w:rsid w:val="003856F5"/>
    <w:rsid w:val="00385801"/>
    <w:rsid w:val="00385B35"/>
    <w:rsid w:val="00385D75"/>
    <w:rsid w:val="00385F3A"/>
    <w:rsid w:val="003868BF"/>
    <w:rsid w:val="00386B33"/>
    <w:rsid w:val="00386CAF"/>
    <w:rsid w:val="00387010"/>
    <w:rsid w:val="003873BA"/>
    <w:rsid w:val="00387503"/>
    <w:rsid w:val="00387CE5"/>
    <w:rsid w:val="00390267"/>
    <w:rsid w:val="0039033C"/>
    <w:rsid w:val="003906BF"/>
    <w:rsid w:val="003909BC"/>
    <w:rsid w:val="0039159C"/>
    <w:rsid w:val="00391970"/>
    <w:rsid w:val="00391F5B"/>
    <w:rsid w:val="00391FAE"/>
    <w:rsid w:val="00392718"/>
    <w:rsid w:val="00392B7A"/>
    <w:rsid w:val="003931FD"/>
    <w:rsid w:val="00393205"/>
    <w:rsid w:val="0039355B"/>
    <w:rsid w:val="003935CC"/>
    <w:rsid w:val="00393C9B"/>
    <w:rsid w:val="00393D2B"/>
    <w:rsid w:val="00393FEB"/>
    <w:rsid w:val="00394066"/>
    <w:rsid w:val="00394908"/>
    <w:rsid w:val="00394CA3"/>
    <w:rsid w:val="00395708"/>
    <w:rsid w:val="00395B39"/>
    <w:rsid w:val="00395DBD"/>
    <w:rsid w:val="00396626"/>
    <w:rsid w:val="0039699C"/>
    <w:rsid w:val="00396BBE"/>
    <w:rsid w:val="003972A0"/>
    <w:rsid w:val="0039739D"/>
    <w:rsid w:val="00397747"/>
    <w:rsid w:val="00397CF2"/>
    <w:rsid w:val="00397E85"/>
    <w:rsid w:val="003A0893"/>
    <w:rsid w:val="003A0C82"/>
    <w:rsid w:val="003A0D9B"/>
    <w:rsid w:val="003A1346"/>
    <w:rsid w:val="003A1670"/>
    <w:rsid w:val="003A1A5B"/>
    <w:rsid w:val="003A1AB9"/>
    <w:rsid w:val="003A1F03"/>
    <w:rsid w:val="003A2245"/>
    <w:rsid w:val="003A25E8"/>
    <w:rsid w:val="003A2E14"/>
    <w:rsid w:val="003A3240"/>
    <w:rsid w:val="003A357E"/>
    <w:rsid w:val="003A3892"/>
    <w:rsid w:val="003A392A"/>
    <w:rsid w:val="003A39E4"/>
    <w:rsid w:val="003A3EDC"/>
    <w:rsid w:val="003A413C"/>
    <w:rsid w:val="003A4458"/>
    <w:rsid w:val="003A46D5"/>
    <w:rsid w:val="003A4784"/>
    <w:rsid w:val="003A4908"/>
    <w:rsid w:val="003A4928"/>
    <w:rsid w:val="003A4ACD"/>
    <w:rsid w:val="003A4D4B"/>
    <w:rsid w:val="003A4DFB"/>
    <w:rsid w:val="003A4F2E"/>
    <w:rsid w:val="003A505C"/>
    <w:rsid w:val="003A51AD"/>
    <w:rsid w:val="003A5257"/>
    <w:rsid w:val="003A59F7"/>
    <w:rsid w:val="003A5C12"/>
    <w:rsid w:val="003A5F2A"/>
    <w:rsid w:val="003A633A"/>
    <w:rsid w:val="003A6663"/>
    <w:rsid w:val="003A6FEA"/>
    <w:rsid w:val="003A75B5"/>
    <w:rsid w:val="003A77F0"/>
    <w:rsid w:val="003A7804"/>
    <w:rsid w:val="003A7950"/>
    <w:rsid w:val="003A7E8F"/>
    <w:rsid w:val="003B003B"/>
    <w:rsid w:val="003B0C62"/>
    <w:rsid w:val="003B1355"/>
    <w:rsid w:val="003B16A8"/>
    <w:rsid w:val="003B1AB9"/>
    <w:rsid w:val="003B1B75"/>
    <w:rsid w:val="003B1FA3"/>
    <w:rsid w:val="003B27EC"/>
    <w:rsid w:val="003B2832"/>
    <w:rsid w:val="003B34D6"/>
    <w:rsid w:val="003B3ADC"/>
    <w:rsid w:val="003B41B0"/>
    <w:rsid w:val="003B41C1"/>
    <w:rsid w:val="003B4406"/>
    <w:rsid w:val="003B4AB4"/>
    <w:rsid w:val="003B4EDD"/>
    <w:rsid w:val="003B557F"/>
    <w:rsid w:val="003B5B61"/>
    <w:rsid w:val="003B5C58"/>
    <w:rsid w:val="003B7131"/>
    <w:rsid w:val="003B71BF"/>
    <w:rsid w:val="003B7629"/>
    <w:rsid w:val="003B77A3"/>
    <w:rsid w:val="003B7918"/>
    <w:rsid w:val="003B7AAF"/>
    <w:rsid w:val="003B7C70"/>
    <w:rsid w:val="003B7E3F"/>
    <w:rsid w:val="003C02E8"/>
    <w:rsid w:val="003C032B"/>
    <w:rsid w:val="003C098C"/>
    <w:rsid w:val="003C0CDA"/>
    <w:rsid w:val="003C0F3C"/>
    <w:rsid w:val="003C1091"/>
    <w:rsid w:val="003C1452"/>
    <w:rsid w:val="003C1B4D"/>
    <w:rsid w:val="003C1C5C"/>
    <w:rsid w:val="003C1FE2"/>
    <w:rsid w:val="003C2028"/>
    <w:rsid w:val="003C2155"/>
    <w:rsid w:val="003C2316"/>
    <w:rsid w:val="003C2A65"/>
    <w:rsid w:val="003C2EED"/>
    <w:rsid w:val="003C3234"/>
    <w:rsid w:val="003C32E7"/>
    <w:rsid w:val="003C331D"/>
    <w:rsid w:val="003C3659"/>
    <w:rsid w:val="003C3952"/>
    <w:rsid w:val="003C3EBD"/>
    <w:rsid w:val="003C4084"/>
    <w:rsid w:val="003C47C0"/>
    <w:rsid w:val="003C49CD"/>
    <w:rsid w:val="003C4B1F"/>
    <w:rsid w:val="003C4D85"/>
    <w:rsid w:val="003C52EC"/>
    <w:rsid w:val="003C56F4"/>
    <w:rsid w:val="003C5B58"/>
    <w:rsid w:val="003C5BBB"/>
    <w:rsid w:val="003C5DA2"/>
    <w:rsid w:val="003C62AC"/>
    <w:rsid w:val="003C646F"/>
    <w:rsid w:val="003C6BA6"/>
    <w:rsid w:val="003C757D"/>
    <w:rsid w:val="003C781C"/>
    <w:rsid w:val="003C7A8C"/>
    <w:rsid w:val="003D00F0"/>
    <w:rsid w:val="003D0381"/>
    <w:rsid w:val="003D0B72"/>
    <w:rsid w:val="003D0D4A"/>
    <w:rsid w:val="003D10D6"/>
    <w:rsid w:val="003D1333"/>
    <w:rsid w:val="003D14A2"/>
    <w:rsid w:val="003D14DE"/>
    <w:rsid w:val="003D179A"/>
    <w:rsid w:val="003D17DB"/>
    <w:rsid w:val="003D18A6"/>
    <w:rsid w:val="003D1F73"/>
    <w:rsid w:val="003D2246"/>
    <w:rsid w:val="003D22CC"/>
    <w:rsid w:val="003D2497"/>
    <w:rsid w:val="003D24C8"/>
    <w:rsid w:val="003D24D9"/>
    <w:rsid w:val="003D25BD"/>
    <w:rsid w:val="003D2C18"/>
    <w:rsid w:val="003D31ED"/>
    <w:rsid w:val="003D3CBB"/>
    <w:rsid w:val="003D432A"/>
    <w:rsid w:val="003D4526"/>
    <w:rsid w:val="003D475D"/>
    <w:rsid w:val="003D47C0"/>
    <w:rsid w:val="003D4A12"/>
    <w:rsid w:val="003D4AAC"/>
    <w:rsid w:val="003D4B90"/>
    <w:rsid w:val="003D53B5"/>
    <w:rsid w:val="003D5946"/>
    <w:rsid w:val="003D5A1F"/>
    <w:rsid w:val="003D5BA9"/>
    <w:rsid w:val="003D5E50"/>
    <w:rsid w:val="003D62AE"/>
    <w:rsid w:val="003D71F9"/>
    <w:rsid w:val="003D73E8"/>
    <w:rsid w:val="003E03DE"/>
    <w:rsid w:val="003E043B"/>
    <w:rsid w:val="003E0656"/>
    <w:rsid w:val="003E06A2"/>
    <w:rsid w:val="003E09AC"/>
    <w:rsid w:val="003E0C80"/>
    <w:rsid w:val="003E0D53"/>
    <w:rsid w:val="003E1570"/>
    <w:rsid w:val="003E1943"/>
    <w:rsid w:val="003E200E"/>
    <w:rsid w:val="003E2051"/>
    <w:rsid w:val="003E2720"/>
    <w:rsid w:val="003E31E5"/>
    <w:rsid w:val="003E3555"/>
    <w:rsid w:val="003E3902"/>
    <w:rsid w:val="003E3A14"/>
    <w:rsid w:val="003E3BE4"/>
    <w:rsid w:val="003E4018"/>
    <w:rsid w:val="003E41A3"/>
    <w:rsid w:val="003E4329"/>
    <w:rsid w:val="003E4891"/>
    <w:rsid w:val="003E4C5E"/>
    <w:rsid w:val="003E50D8"/>
    <w:rsid w:val="003E52A5"/>
    <w:rsid w:val="003E5573"/>
    <w:rsid w:val="003E58C9"/>
    <w:rsid w:val="003E5C93"/>
    <w:rsid w:val="003E6040"/>
    <w:rsid w:val="003E646B"/>
    <w:rsid w:val="003E646E"/>
    <w:rsid w:val="003E64A8"/>
    <w:rsid w:val="003E6740"/>
    <w:rsid w:val="003E68CB"/>
    <w:rsid w:val="003E6BA2"/>
    <w:rsid w:val="003E6CB6"/>
    <w:rsid w:val="003E6D39"/>
    <w:rsid w:val="003E6E46"/>
    <w:rsid w:val="003E7815"/>
    <w:rsid w:val="003E7A06"/>
    <w:rsid w:val="003E7B3C"/>
    <w:rsid w:val="003E7B40"/>
    <w:rsid w:val="003E7CED"/>
    <w:rsid w:val="003E7DD8"/>
    <w:rsid w:val="003F0028"/>
    <w:rsid w:val="003F00A9"/>
    <w:rsid w:val="003F0113"/>
    <w:rsid w:val="003F0132"/>
    <w:rsid w:val="003F0592"/>
    <w:rsid w:val="003F0AF4"/>
    <w:rsid w:val="003F113B"/>
    <w:rsid w:val="003F1493"/>
    <w:rsid w:val="003F1B61"/>
    <w:rsid w:val="003F1D40"/>
    <w:rsid w:val="003F2B38"/>
    <w:rsid w:val="003F2E16"/>
    <w:rsid w:val="003F33E7"/>
    <w:rsid w:val="003F3A8F"/>
    <w:rsid w:val="003F4010"/>
    <w:rsid w:val="003F4044"/>
    <w:rsid w:val="003F44CF"/>
    <w:rsid w:val="003F4CE5"/>
    <w:rsid w:val="003F4F73"/>
    <w:rsid w:val="003F55A9"/>
    <w:rsid w:val="003F591B"/>
    <w:rsid w:val="003F626A"/>
    <w:rsid w:val="003F634A"/>
    <w:rsid w:val="003F6640"/>
    <w:rsid w:val="003F66DF"/>
    <w:rsid w:val="003F675D"/>
    <w:rsid w:val="003F67E3"/>
    <w:rsid w:val="003F7285"/>
    <w:rsid w:val="003F7679"/>
    <w:rsid w:val="003F77B2"/>
    <w:rsid w:val="003F79DE"/>
    <w:rsid w:val="003F7A5C"/>
    <w:rsid w:val="00400279"/>
    <w:rsid w:val="00400726"/>
    <w:rsid w:val="004007EB"/>
    <w:rsid w:val="004010BD"/>
    <w:rsid w:val="00401D54"/>
    <w:rsid w:val="00402089"/>
    <w:rsid w:val="004034A0"/>
    <w:rsid w:val="004034F5"/>
    <w:rsid w:val="0040358A"/>
    <w:rsid w:val="00403EE3"/>
    <w:rsid w:val="004040BE"/>
    <w:rsid w:val="0040427E"/>
    <w:rsid w:val="00404707"/>
    <w:rsid w:val="00404AE3"/>
    <w:rsid w:val="00404BDE"/>
    <w:rsid w:val="00404DBA"/>
    <w:rsid w:val="00405044"/>
    <w:rsid w:val="00405315"/>
    <w:rsid w:val="004060D5"/>
    <w:rsid w:val="00406211"/>
    <w:rsid w:val="00406F8C"/>
    <w:rsid w:val="00406F9B"/>
    <w:rsid w:val="0040708E"/>
    <w:rsid w:val="004071AE"/>
    <w:rsid w:val="004072C3"/>
    <w:rsid w:val="00407698"/>
    <w:rsid w:val="00407DF6"/>
    <w:rsid w:val="004104E2"/>
    <w:rsid w:val="004113A1"/>
    <w:rsid w:val="0041147B"/>
    <w:rsid w:val="0041187D"/>
    <w:rsid w:val="0041252D"/>
    <w:rsid w:val="0041279C"/>
    <w:rsid w:val="00412B7E"/>
    <w:rsid w:val="00412E80"/>
    <w:rsid w:val="00413111"/>
    <w:rsid w:val="0041324A"/>
    <w:rsid w:val="0041350B"/>
    <w:rsid w:val="004135A8"/>
    <w:rsid w:val="004137BD"/>
    <w:rsid w:val="00413BB9"/>
    <w:rsid w:val="004143C7"/>
    <w:rsid w:val="0041471F"/>
    <w:rsid w:val="00414AA3"/>
    <w:rsid w:val="00414B6C"/>
    <w:rsid w:val="00414C3B"/>
    <w:rsid w:val="00415793"/>
    <w:rsid w:val="004159A1"/>
    <w:rsid w:val="00415BC4"/>
    <w:rsid w:val="00415D6B"/>
    <w:rsid w:val="00416749"/>
    <w:rsid w:val="004167DB"/>
    <w:rsid w:val="0041688D"/>
    <w:rsid w:val="00416C25"/>
    <w:rsid w:val="00416EAB"/>
    <w:rsid w:val="0041723D"/>
    <w:rsid w:val="004172C8"/>
    <w:rsid w:val="004173B3"/>
    <w:rsid w:val="00417479"/>
    <w:rsid w:val="0041764A"/>
    <w:rsid w:val="004177A1"/>
    <w:rsid w:val="00417A5B"/>
    <w:rsid w:val="00417EA8"/>
    <w:rsid w:val="004200A1"/>
    <w:rsid w:val="00420576"/>
    <w:rsid w:val="0042087A"/>
    <w:rsid w:val="004211B9"/>
    <w:rsid w:val="00421364"/>
    <w:rsid w:val="00421400"/>
    <w:rsid w:val="00421F4D"/>
    <w:rsid w:val="00421FB0"/>
    <w:rsid w:val="00422662"/>
    <w:rsid w:val="0042284F"/>
    <w:rsid w:val="004228D2"/>
    <w:rsid w:val="004229AF"/>
    <w:rsid w:val="00423396"/>
    <w:rsid w:val="00423570"/>
    <w:rsid w:val="00423A57"/>
    <w:rsid w:val="00423BF7"/>
    <w:rsid w:val="00423CBD"/>
    <w:rsid w:val="00423FC7"/>
    <w:rsid w:val="0042431F"/>
    <w:rsid w:val="0042442F"/>
    <w:rsid w:val="00424A0B"/>
    <w:rsid w:val="00424A0C"/>
    <w:rsid w:val="00424D7B"/>
    <w:rsid w:val="00424E54"/>
    <w:rsid w:val="00425446"/>
    <w:rsid w:val="004256A0"/>
    <w:rsid w:val="00425718"/>
    <w:rsid w:val="00425758"/>
    <w:rsid w:val="00425BAD"/>
    <w:rsid w:val="00425BE7"/>
    <w:rsid w:val="00425D14"/>
    <w:rsid w:val="0042645F"/>
    <w:rsid w:val="00426708"/>
    <w:rsid w:val="00426CC1"/>
    <w:rsid w:val="004270DC"/>
    <w:rsid w:val="0042723C"/>
    <w:rsid w:val="0042769A"/>
    <w:rsid w:val="00427A4C"/>
    <w:rsid w:val="00427BBC"/>
    <w:rsid w:val="00427FDF"/>
    <w:rsid w:val="004310BB"/>
    <w:rsid w:val="0043140C"/>
    <w:rsid w:val="004317E2"/>
    <w:rsid w:val="00431B0C"/>
    <w:rsid w:val="00432143"/>
    <w:rsid w:val="0043257E"/>
    <w:rsid w:val="00432ABE"/>
    <w:rsid w:val="004334AB"/>
    <w:rsid w:val="0043360B"/>
    <w:rsid w:val="0043363F"/>
    <w:rsid w:val="0043381D"/>
    <w:rsid w:val="00433917"/>
    <w:rsid w:val="00433E95"/>
    <w:rsid w:val="004342EE"/>
    <w:rsid w:val="004345D9"/>
    <w:rsid w:val="00435245"/>
    <w:rsid w:val="004354EE"/>
    <w:rsid w:val="004356B7"/>
    <w:rsid w:val="004357BB"/>
    <w:rsid w:val="00435BE4"/>
    <w:rsid w:val="00435CB2"/>
    <w:rsid w:val="0043604C"/>
    <w:rsid w:val="00436E1D"/>
    <w:rsid w:val="00436EBE"/>
    <w:rsid w:val="00436F27"/>
    <w:rsid w:val="004371D9"/>
    <w:rsid w:val="00437493"/>
    <w:rsid w:val="004375F0"/>
    <w:rsid w:val="00437B62"/>
    <w:rsid w:val="00437E33"/>
    <w:rsid w:val="00440020"/>
    <w:rsid w:val="00440323"/>
    <w:rsid w:val="004404AC"/>
    <w:rsid w:val="00440799"/>
    <w:rsid w:val="004411B5"/>
    <w:rsid w:val="0044130C"/>
    <w:rsid w:val="00441760"/>
    <w:rsid w:val="004418D2"/>
    <w:rsid w:val="0044190F"/>
    <w:rsid w:val="00441A5D"/>
    <w:rsid w:val="00441C8D"/>
    <w:rsid w:val="004420F7"/>
    <w:rsid w:val="00442380"/>
    <w:rsid w:val="0044253C"/>
    <w:rsid w:val="00442845"/>
    <w:rsid w:val="00442ACD"/>
    <w:rsid w:val="00442D37"/>
    <w:rsid w:val="00442EA2"/>
    <w:rsid w:val="0044328C"/>
    <w:rsid w:val="004436E6"/>
    <w:rsid w:val="00443CC2"/>
    <w:rsid w:val="00443E5E"/>
    <w:rsid w:val="00443ECD"/>
    <w:rsid w:val="00443FA6"/>
    <w:rsid w:val="0044435B"/>
    <w:rsid w:val="00444DB0"/>
    <w:rsid w:val="00444E1F"/>
    <w:rsid w:val="00445612"/>
    <w:rsid w:val="00445D8D"/>
    <w:rsid w:val="0044614E"/>
    <w:rsid w:val="004461EB"/>
    <w:rsid w:val="00446809"/>
    <w:rsid w:val="00446AA4"/>
    <w:rsid w:val="0044700D"/>
    <w:rsid w:val="004473E5"/>
    <w:rsid w:val="00447B95"/>
    <w:rsid w:val="00447BAF"/>
    <w:rsid w:val="00447CF6"/>
    <w:rsid w:val="00447F5E"/>
    <w:rsid w:val="0045008A"/>
    <w:rsid w:val="004502A1"/>
    <w:rsid w:val="00450486"/>
    <w:rsid w:val="00450E85"/>
    <w:rsid w:val="004512CD"/>
    <w:rsid w:val="0045141A"/>
    <w:rsid w:val="004518E8"/>
    <w:rsid w:val="0045192B"/>
    <w:rsid w:val="00451D41"/>
    <w:rsid w:val="004520E2"/>
    <w:rsid w:val="004522D7"/>
    <w:rsid w:val="0045267D"/>
    <w:rsid w:val="004526EA"/>
    <w:rsid w:val="00452C2E"/>
    <w:rsid w:val="004531BD"/>
    <w:rsid w:val="00453F90"/>
    <w:rsid w:val="004544AF"/>
    <w:rsid w:val="00454509"/>
    <w:rsid w:val="0045452E"/>
    <w:rsid w:val="004547D5"/>
    <w:rsid w:val="0045483E"/>
    <w:rsid w:val="0045484E"/>
    <w:rsid w:val="00454C97"/>
    <w:rsid w:val="00455964"/>
    <w:rsid w:val="00455EBA"/>
    <w:rsid w:val="0045609D"/>
    <w:rsid w:val="00456489"/>
    <w:rsid w:val="0045662A"/>
    <w:rsid w:val="0045666F"/>
    <w:rsid w:val="004566A4"/>
    <w:rsid w:val="00456706"/>
    <w:rsid w:val="004567A1"/>
    <w:rsid w:val="004567EE"/>
    <w:rsid w:val="00456BDE"/>
    <w:rsid w:val="00456E20"/>
    <w:rsid w:val="00456EA5"/>
    <w:rsid w:val="004571F4"/>
    <w:rsid w:val="0045721E"/>
    <w:rsid w:val="0045730A"/>
    <w:rsid w:val="00457BFA"/>
    <w:rsid w:val="00457DD8"/>
    <w:rsid w:val="00457DFF"/>
    <w:rsid w:val="00457F91"/>
    <w:rsid w:val="00460130"/>
    <w:rsid w:val="00460263"/>
    <w:rsid w:val="0046089A"/>
    <w:rsid w:val="00460B1B"/>
    <w:rsid w:val="00460C4E"/>
    <w:rsid w:val="004610A7"/>
    <w:rsid w:val="004613E6"/>
    <w:rsid w:val="0046147F"/>
    <w:rsid w:val="0046149F"/>
    <w:rsid w:val="00461874"/>
    <w:rsid w:val="00461952"/>
    <w:rsid w:val="00461BFF"/>
    <w:rsid w:val="00461E35"/>
    <w:rsid w:val="004622FC"/>
    <w:rsid w:val="00462689"/>
    <w:rsid w:val="00462F28"/>
    <w:rsid w:val="0046321E"/>
    <w:rsid w:val="00463573"/>
    <w:rsid w:val="0046365A"/>
    <w:rsid w:val="0046437F"/>
    <w:rsid w:val="004648F9"/>
    <w:rsid w:val="00464EEB"/>
    <w:rsid w:val="004651BF"/>
    <w:rsid w:val="0046530F"/>
    <w:rsid w:val="004655EA"/>
    <w:rsid w:val="004657EF"/>
    <w:rsid w:val="00465EBA"/>
    <w:rsid w:val="00466E1A"/>
    <w:rsid w:val="00466E21"/>
    <w:rsid w:val="00466EA4"/>
    <w:rsid w:val="00466F37"/>
    <w:rsid w:val="00467085"/>
    <w:rsid w:val="004677FA"/>
    <w:rsid w:val="0046795B"/>
    <w:rsid w:val="00467B9D"/>
    <w:rsid w:val="0047019E"/>
    <w:rsid w:val="0047078D"/>
    <w:rsid w:val="00470AF5"/>
    <w:rsid w:val="00470B78"/>
    <w:rsid w:val="00470D9F"/>
    <w:rsid w:val="00470F85"/>
    <w:rsid w:val="0047118C"/>
    <w:rsid w:val="004712E0"/>
    <w:rsid w:val="00472C4E"/>
    <w:rsid w:val="00473011"/>
    <w:rsid w:val="00473B12"/>
    <w:rsid w:val="00474249"/>
    <w:rsid w:val="00474447"/>
    <w:rsid w:val="0047457C"/>
    <w:rsid w:val="00474AC4"/>
    <w:rsid w:val="00474BA5"/>
    <w:rsid w:val="00474D58"/>
    <w:rsid w:val="00474ECD"/>
    <w:rsid w:val="00475414"/>
    <w:rsid w:val="0047566E"/>
    <w:rsid w:val="0047575B"/>
    <w:rsid w:val="0047599E"/>
    <w:rsid w:val="00475A6C"/>
    <w:rsid w:val="00476017"/>
    <w:rsid w:val="00476142"/>
    <w:rsid w:val="004761E5"/>
    <w:rsid w:val="004767A3"/>
    <w:rsid w:val="00477087"/>
    <w:rsid w:val="00477205"/>
    <w:rsid w:val="004772D3"/>
    <w:rsid w:val="0047793B"/>
    <w:rsid w:val="00477CB1"/>
    <w:rsid w:val="00477CC9"/>
    <w:rsid w:val="00477D18"/>
    <w:rsid w:val="00477F33"/>
    <w:rsid w:val="004801BC"/>
    <w:rsid w:val="004806ED"/>
    <w:rsid w:val="004809CE"/>
    <w:rsid w:val="00480A6F"/>
    <w:rsid w:val="00481074"/>
    <w:rsid w:val="004811A1"/>
    <w:rsid w:val="004818F3"/>
    <w:rsid w:val="00482442"/>
    <w:rsid w:val="00482EDA"/>
    <w:rsid w:val="00483536"/>
    <w:rsid w:val="00483B08"/>
    <w:rsid w:val="00483C4D"/>
    <w:rsid w:val="00483F18"/>
    <w:rsid w:val="00483FD1"/>
    <w:rsid w:val="00484029"/>
    <w:rsid w:val="00484388"/>
    <w:rsid w:val="0048447E"/>
    <w:rsid w:val="00484805"/>
    <w:rsid w:val="00484E1D"/>
    <w:rsid w:val="0048529C"/>
    <w:rsid w:val="00485318"/>
    <w:rsid w:val="00485577"/>
    <w:rsid w:val="00485883"/>
    <w:rsid w:val="00485C83"/>
    <w:rsid w:val="0048631D"/>
    <w:rsid w:val="0048635A"/>
    <w:rsid w:val="004863D4"/>
    <w:rsid w:val="004864EA"/>
    <w:rsid w:val="00486656"/>
    <w:rsid w:val="004866CD"/>
    <w:rsid w:val="00486AC8"/>
    <w:rsid w:val="00486BEC"/>
    <w:rsid w:val="00486C2B"/>
    <w:rsid w:val="00486EE4"/>
    <w:rsid w:val="00487172"/>
    <w:rsid w:val="004873F2"/>
    <w:rsid w:val="004875FF"/>
    <w:rsid w:val="004876FD"/>
    <w:rsid w:val="004878EA"/>
    <w:rsid w:val="00487B97"/>
    <w:rsid w:val="00487DC3"/>
    <w:rsid w:val="00487F0A"/>
    <w:rsid w:val="004905D3"/>
    <w:rsid w:val="00490915"/>
    <w:rsid w:val="00490A13"/>
    <w:rsid w:val="00490A9F"/>
    <w:rsid w:val="00490AD7"/>
    <w:rsid w:val="00491AF2"/>
    <w:rsid w:val="00491D48"/>
    <w:rsid w:val="00492081"/>
    <w:rsid w:val="004920A2"/>
    <w:rsid w:val="00492276"/>
    <w:rsid w:val="00492716"/>
    <w:rsid w:val="0049342F"/>
    <w:rsid w:val="00493484"/>
    <w:rsid w:val="004940AE"/>
    <w:rsid w:val="00494903"/>
    <w:rsid w:val="00494B8F"/>
    <w:rsid w:val="004954DE"/>
    <w:rsid w:val="004956EE"/>
    <w:rsid w:val="00495F16"/>
    <w:rsid w:val="00496435"/>
    <w:rsid w:val="00496A08"/>
    <w:rsid w:val="004970CD"/>
    <w:rsid w:val="00497200"/>
    <w:rsid w:val="00497292"/>
    <w:rsid w:val="00497496"/>
    <w:rsid w:val="00497B92"/>
    <w:rsid w:val="00497C32"/>
    <w:rsid w:val="004A02EB"/>
    <w:rsid w:val="004A0974"/>
    <w:rsid w:val="004A0ACB"/>
    <w:rsid w:val="004A0F9C"/>
    <w:rsid w:val="004A1049"/>
    <w:rsid w:val="004A1699"/>
    <w:rsid w:val="004A1A82"/>
    <w:rsid w:val="004A1ED7"/>
    <w:rsid w:val="004A1F95"/>
    <w:rsid w:val="004A2E0F"/>
    <w:rsid w:val="004A3150"/>
    <w:rsid w:val="004A342D"/>
    <w:rsid w:val="004A361F"/>
    <w:rsid w:val="004A3DF6"/>
    <w:rsid w:val="004A400F"/>
    <w:rsid w:val="004A4031"/>
    <w:rsid w:val="004A44A5"/>
    <w:rsid w:val="004A4C54"/>
    <w:rsid w:val="004A4F2F"/>
    <w:rsid w:val="004A55BC"/>
    <w:rsid w:val="004A5779"/>
    <w:rsid w:val="004A57E9"/>
    <w:rsid w:val="004A5A84"/>
    <w:rsid w:val="004A5CD3"/>
    <w:rsid w:val="004A5EF1"/>
    <w:rsid w:val="004A5EF7"/>
    <w:rsid w:val="004A5F10"/>
    <w:rsid w:val="004A674A"/>
    <w:rsid w:val="004A68BD"/>
    <w:rsid w:val="004A6B93"/>
    <w:rsid w:val="004A6F5C"/>
    <w:rsid w:val="004A71C8"/>
    <w:rsid w:val="004A7A99"/>
    <w:rsid w:val="004A7EB3"/>
    <w:rsid w:val="004B02E1"/>
    <w:rsid w:val="004B02F8"/>
    <w:rsid w:val="004B044F"/>
    <w:rsid w:val="004B0452"/>
    <w:rsid w:val="004B0549"/>
    <w:rsid w:val="004B0969"/>
    <w:rsid w:val="004B1315"/>
    <w:rsid w:val="004B1437"/>
    <w:rsid w:val="004B1B06"/>
    <w:rsid w:val="004B1D67"/>
    <w:rsid w:val="004B1E55"/>
    <w:rsid w:val="004B213A"/>
    <w:rsid w:val="004B22F1"/>
    <w:rsid w:val="004B264B"/>
    <w:rsid w:val="004B2F9B"/>
    <w:rsid w:val="004B2FF6"/>
    <w:rsid w:val="004B3045"/>
    <w:rsid w:val="004B316D"/>
    <w:rsid w:val="004B31BF"/>
    <w:rsid w:val="004B3446"/>
    <w:rsid w:val="004B3646"/>
    <w:rsid w:val="004B3872"/>
    <w:rsid w:val="004B3F05"/>
    <w:rsid w:val="004B3F1A"/>
    <w:rsid w:val="004B4469"/>
    <w:rsid w:val="004B47F7"/>
    <w:rsid w:val="004B4C7C"/>
    <w:rsid w:val="004B4E83"/>
    <w:rsid w:val="004B4EBE"/>
    <w:rsid w:val="004B5389"/>
    <w:rsid w:val="004B5566"/>
    <w:rsid w:val="004B55B3"/>
    <w:rsid w:val="004B599A"/>
    <w:rsid w:val="004B5B5E"/>
    <w:rsid w:val="004B5CD2"/>
    <w:rsid w:val="004B5EF5"/>
    <w:rsid w:val="004B6572"/>
    <w:rsid w:val="004B6667"/>
    <w:rsid w:val="004B7082"/>
    <w:rsid w:val="004B7242"/>
    <w:rsid w:val="004B732E"/>
    <w:rsid w:val="004B757C"/>
    <w:rsid w:val="004B75D2"/>
    <w:rsid w:val="004B7CB9"/>
    <w:rsid w:val="004C00C4"/>
    <w:rsid w:val="004C02B9"/>
    <w:rsid w:val="004C0DB6"/>
    <w:rsid w:val="004C10C6"/>
    <w:rsid w:val="004C14FC"/>
    <w:rsid w:val="004C1A41"/>
    <w:rsid w:val="004C20D5"/>
    <w:rsid w:val="004C39AA"/>
    <w:rsid w:val="004C3A12"/>
    <w:rsid w:val="004C3A87"/>
    <w:rsid w:val="004C3B37"/>
    <w:rsid w:val="004C3B59"/>
    <w:rsid w:val="004C3E10"/>
    <w:rsid w:val="004C3E38"/>
    <w:rsid w:val="004C4014"/>
    <w:rsid w:val="004C458E"/>
    <w:rsid w:val="004C465E"/>
    <w:rsid w:val="004C488D"/>
    <w:rsid w:val="004C501C"/>
    <w:rsid w:val="004C502B"/>
    <w:rsid w:val="004C5488"/>
    <w:rsid w:val="004C55D5"/>
    <w:rsid w:val="004C5681"/>
    <w:rsid w:val="004C56B1"/>
    <w:rsid w:val="004C62F1"/>
    <w:rsid w:val="004C65C8"/>
    <w:rsid w:val="004C6855"/>
    <w:rsid w:val="004C740B"/>
    <w:rsid w:val="004C74E4"/>
    <w:rsid w:val="004C7610"/>
    <w:rsid w:val="004C7817"/>
    <w:rsid w:val="004C7B2E"/>
    <w:rsid w:val="004C7BA6"/>
    <w:rsid w:val="004D03AE"/>
    <w:rsid w:val="004D05A7"/>
    <w:rsid w:val="004D0943"/>
    <w:rsid w:val="004D0D95"/>
    <w:rsid w:val="004D0F6C"/>
    <w:rsid w:val="004D1250"/>
    <w:rsid w:val="004D190E"/>
    <w:rsid w:val="004D1A1B"/>
    <w:rsid w:val="004D1B78"/>
    <w:rsid w:val="004D23DB"/>
    <w:rsid w:val="004D28C4"/>
    <w:rsid w:val="004D2956"/>
    <w:rsid w:val="004D2C28"/>
    <w:rsid w:val="004D3454"/>
    <w:rsid w:val="004D3B7F"/>
    <w:rsid w:val="004D3D41"/>
    <w:rsid w:val="004D3D4D"/>
    <w:rsid w:val="004D3F8F"/>
    <w:rsid w:val="004D4268"/>
    <w:rsid w:val="004D4E8D"/>
    <w:rsid w:val="004D546C"/>
    <w:rsid w:val="004D593A"/>
    <w:rsid w:val="004D6592"/>
    <w:rsid w:val="004D6891"/>
    <w:rsid w:val="004D6AA5"/>
    <w:rsid w:val="004D6C52"/>
    <w:rsid w:val="004D76CB"/>
    <w:rsid w:val="004D79BC"/>
    <w:rsid w:val="004D7CBA"/>
    <w:rsid w:val="004D7EB3"/>
    <w:rsid w:val="004E0738"/>
    <w:rsid w:val="004E0C74"/>
    <w:rsid w:val="004E13B5"/>
    <w:rsid w:val="004E13E7"/>
    <w:rsid w:val="004E1EB7"/>
    <w:rsid w:val="004E20FE"/>
    <w:rsid w:val="004E22BC"/>
    <w:rsid w:val="004E2629"/>
    <w:rsid w:val="004E360E"/>
    <w:rsid w:val="004E3AA2"/>
    <w:rsid w:val="004E42D2"/>
    <w:rsid w:val="004E518E"/>
    <w:rsid w:val="004E5302"/>
    <w:rsid w:val="004E5FFA"/>
    <w:rsid w:val="004E6047"/>
    <w:rsid w:val="004E62B6"/>
    <w:rsid w:val="004E6C48"/>
    <w:rsid w:val="004E6FCA"/>
    <w:rsid w:val="004E731D"/>
    <w:rsid w:val="004E7772"/>
    <w:rsid w:val="004E7CCD"/>
    <w:rsid w:val="004E7F3F"/>
    <w:rsid w:val="004F0AFD"/>
    <w:rsid w:val="004F0E1C"/>
    <w:rsid w:val="004F1590"/>
    <w:rsid w:val="004F1974"/>
    <w:rsid w:val="004F1B3D"/>
    <w:rsid w:val="004F2523"/>
    <w:rsid w:val="004F271A"/>
    <w:rsid w:val="004F2874"/>
    <w:rsid w:val="004F2E31"/>
    <w:rsid w:val="004F318B"/>
    <w:rsid w:val="004F3738"/>
    <w:rsid w:val="004F3799"/>
    <w:rsid w:val="004F430D"/>
    <w:rsid w:val="004F46DF"/>
    <w:rsid w:val="004F4AB2"/>
    <w:rsid w:val="004F4D86"/>
    <w:rsid w:val="004F4DD9"/>
    <w:rsid w:val="004F53D7"/>
    <w:rsid w:val="004F55A2"/>
    <w:rsid w:val="004F55CC"/>
    <w:rsid w:val="004F5A56"/>
    <w:rsid w:val="004F5B96"/>
    <w:rsid w:val="004F64F6"/>
    <w:rsid w:val="004F6556"/>
    <w:rsid w:val="004F65C4"/>
    <w:rsid w:val="004F6D9B"/>
    <w:rsid w:val="004F6F9A"/>
    <w:rsid w:val="004F7A4C"/>
    <w:rsid w:val="004F7AD1"/>
    <w:rsid w:val="004F7DB7"/>
    <w:rsid w:val="00500404"/>
    <w:rsid w:val="00500482"/>
    <w:rsid w:val="0050081B"/>
    <w:rsid w:val="005010E9"/>
    <w:rsid w:val="005010EB"/>
    <w:rsid w:val="00501131"/>
    <w:rsid w:val="0050130C"/>
    <w:rsid w:val="005016E5"/>
    <w:rsid w:val="00501818"/>
    <w:rsid w:val="0050188E"/>
    <w:rsid w:val="00501DCE"/>
    <w:rsid w:val="00501E32"/>
    <w:rsid w:val="00502282"/>
    <w:rsid w:val="005025F5"/>
    <w:rsid w:val="00502B91"/>
    <w:rsid w:val="00502F4F"/>
    <w:rsid w:val="00503161"/>
    <w:rsid w:val="00503260"/>
    <w:rsid w:val="005035EC"/>
    <w:rsid w:val="00503F90"/>
    <w:rsid w:val="00503F9C"/>
    <w:rsid w:val="00504B14"/>
    <w:rsid w:val="00505552"/>
    <w:rsid w:val="005055FD"/>
    <w:rsid w:val="0050575D"/>
    <w:rsid w:val="005058C0"/>
    <w:rsid w:val="00505B3F"/>
    <w:rsid w:val="00505FE6"/>
    <w:rsid w:val="00506001"/>
    <w:rsid w:val="0050679A"/>
    <w:rsid w:val="00506A63"/>
    <w:rsid w:val="00506F60"/>
    <w:rsid w:val="005071B6"/>
    <w:rsid w:val="005074AA"/>
    <w:rsid w:val="0050756F"/>
    <w:rsid w:val="0050767F"/>
    <w:rsid w:val="00507D39"/>
    <w:rsid w:val="00510113"/>
    <w:rsid w:val="00510835"/>
    <w:rsid w:val="00510BBD"/>
    <w:rsid w:val="00511B3B"/>
    <w:rsid w:val="00512904"/>
    <w:rsid w:val="00512D40"/>
    <w:rsid w:val="0051365B"/>
    <w:rsid w:val="005136E4"/>
    <w:rsid w:val="005139FE"/>
    <w:rsid w:val="00513D5A"/>
    <w:rsid w:val="00513FA2"/>
    <w:rsid w:val="0051469A"/>
    <w:rsid w:val="00514997"/>
    <w:rsid w:val="00514F9E"/>
    <w:rsid w:val="00515343"/>
    <w:rsid w:val="0051546D"/>
    <w:rsid w:val="0051605A"/>
    <w:rsid w:val="0051632D"/>
    <w:rsid w:val="005169AD"/>
    <w:rsid w:val="00516E0C"/>
    <w:rsid w:val="00516F96"/>
    <w:rsid w:val="00516FA0"/>
    <w:rsid w:val="0051722F"/>
    <w:rsid w:val="0051723F"/>
    <w:rsid w:val="005174F8"/>
    <w:rsid w:val="00517869"/>
    <w:rsid w:val="005179A7"/>
    <w:rsid w:val="00520D04"/>
    <w:rsid w:val="00520E33"/>
    <w:rsid w:val="00520FF3"/>
    <w:rsid w:val="00521403"/>
    <w:rsid w:val="00521553"/>
    <w:rsid w:val="005218CB"/>
    <w:rsid w:val="005218E8"/>
    <w:rsid w:val="00521A99"/>
    <w:rsid w:val="00522028"/>
    <w:rsid w:val="005225CE"/>
    <w:rsid w:val="00523147"/>
    <w:rsid w:val="005236E3"/>
    <w:rsid w:val="00523A5F"/>
    <w:rsid w:val="00523D3C"/>
    <w:rsid w:val="00523D57"/>
    <w:rsid w:val="00523D64"/>
    <w:rsid w:val="00524212"/>
    <w:rsid w:val="0052491F"/>
    <w:rsid w:val="00524966"/>
    <w:rsid w:val="00524F4D"/>
    <w:rsid w:val="005250D0"/>
    <w:rsid w:val="00525281"/>
    <w:rsid w:val="0052600B"/>
    <w:rsid w:val="0052624F"/>
    <w:rsid w:val="005262EF"/>
    <w:rsid w:val="00526E21"/>
    <w:rsid w:val="005272B5"/>
    <w:rsid w:val="00527337"/>
    <w:rsid w:val="005275FE"/>
    <w:rsid w:val="00527A68"/>
    <w:rsid w:val="00527C70"/>
    <w:rsid w:val="00527E3E"/>
    <w:rsid w:val="00530001"/>
    <w:rsid w:val="005300E3"/>
    <w:rsid w:val="00530E2C"/>
    <w:rsid w:val="005318CF"/>
    <w:rsid w:val="00531A22"/>
    <w:rsid w:val="00531B4F"/>
    <w:rsid w:val="005320AC"/>
    <w:rsid w:val="00532542"/>
    <w:rsid w:val="005325C4"/>
    <w:rsid w:val="00532FAA"/>
    <w:rsid w:val="00533407"/>
    <w:rsid w:val="005335EF"/>
    <w:rsid w:val="00533827"/>
    <w:rsid w:val="00533F9F"/>
    <w:rsid w:val="00534396"/>
    <w:rsid w:val="0053470A"/>
    <w:rsid w:val="005348AD"/>
    <w:rsid w:val="005348CD"/>
    <w:rsid w:val="00534A3E"/>
    <w:rsid w:val="00534AC5"/>
    <w:rsid w:val="00535346"/>
    <w:rsid w:val="0053547A"/>
    <w:rsid w:val="005354C6"/>
    <w:rsid w:val="0053559B"/>
    <w:rsid w:val="005357EB"/>
    <w:rsid w:val="00535A3A"/>
    <w:rsid w:val="00535D39"/>
    <w:rsid w:val="00535E0A"/>
    <w:rsid w:val="00536278"/>
    <w:rsid w:val="00536343"/>
    <w:rsid w:val="00536B2D"/>
    <w:rsid w:val="00536B5B"/>
    <w:rsid w:val="00536DF3"/>
    <w:rsid w:val="00536ED7"/>
    <w:rsid w:val="005372B3"/>
    <w:rsid w:val="00537318"/>
    <w:rsid w:val="005378C9"/>
    <w:rsid w:val="00540360"/>
    <w:rsid w:val="005403BA"/>
    <w:rsid w:val="005406DF"/>
    <w:rsid w:val="00540EE2"/>
    <w:rsid w:val="00540FDF"/>
    <w:rsid w:val="005414BF"/>
    <w:rsid w:val="005416B4"/>
    <w:rsid w:val="005416BA"/>
    <w:rsid w:val="0054184B"/>
    <w:rsid w:val="00541BE0"/>
    <w:rsid w:val="00541DD5"/>
    <w:rsid w:val="005425AF"/>
    <w:rsid w:val="00542EB0"/>
    <w:rsid w:val="0054301B"/>
    <w:rsid w:val="00543AC1"/>
    <w:rsid w:val="00544142"/>
    <w:rsid w:val="00544AED"/>
    <w:rsid w:val="00544B70"/>
    <w:rsid w:val="0054505D"/>
    <w:rsid w:val="00545082"/>
    <w:rsid w:val="0054534F"/>
    <w:rsid w:val="0054592D"/>
    <w:rsid w:val="00545ADA"/>
    <w:rsid w:val="00545E4E"/>
    <w:rsid w:val="0054630D"/>
    <w:rsid w:val="00546F4A"/>
    <w:rsid w:val="005471AF"/>
    <w:rsid w:val="005471C2"/>
    <w:rsid w:val="005472A8"/>
    <w:rsid w:val="00547D2E"/>
    <w:rsid w:val="00547F33"/>
    <w:rsid w:val="005506DB"/>
    <w:rsid w:val="00550987"/>
    <w:rsid w:val="00550CB2"/>
    <w:rsid w:val="00551097"/>
    <w:rsid w:val="005513DB"/>
    <w:rsid w:val="005515AB"/>
    <w:rsid w:val="005517EB"/>
    <w:rsid w:val="00551EBE"/>
    <w:rsid w:val="00552456"/>
    <w:rsid w:val="005525D9"/>
    <w:rsid w:val="0055289A"/>
    <w:rsid w:val="00552933"/>
    <w:rsid w:val="00552974"/>
    <w:rsid w:val="00552B0D"/>
    <w:rsid w:val="00552BA9"/>
    <w:rsid w:val="00552C07"/>
    <w:rsid w:val="0055325F"/>
    <w:rsid w:val="0055333B"/>
    <w:rsid w:val="00553703"/>
    <w:rsid w:val="00553B21"/>
    <w:rsid w:val="00553B47"/>
    <w:rsid w:val="00553ED9"/>
    <w:rsid w:val="0055454E"/>
    <w:rsid w:val="00554B4E"/>
    <w:rsid w:val="00554FD3"/>
    <w:rsid w:val="0055503B"/>
    <w:rsid w:val="005551F1"/>
    <w:rsid w:val="005553DA"/>
    <w:rsid w:val="005554FA"/>
    <w:rsid w:val="00555535"/>
    <w:rsid w:val="0055558B"/>
    <w:rsid w:val="00555BBA"/>
    <w:rsid w:val="005560BD"/>
    <w:rsid w:val="0055640E"/>
    <w:rsid w:val="0055642A"/>
    <w:rsid w:val="00556690"/>
    <w:rsid w:val="005568AA"/>
    <w:rsid w:val="005568D2"/>
    <w:rsid w:val="00556C73"/>
    <w:rsid w:val="00556F36"/>
    <w:rsid w:val="005570D4"/>
    <w:rsid w:val="00557126"/>
    <w:rsid w:val="00557404"/>
    <w:rsid w:val="005575B8"/>
    <w:rsid w:val="005578E1"/>
    <w:rsid w:val="0056037F"/>
    <w:rsid w:val="0056038D"/>
    <w:rsid w:val="00560401"/>
    <w:rsid w:val="005605B0"/>
    <w:rsid w:val="00561CAF"/>
    <w:rsid w:val="00561CEA"/>
    <w:rsid w:val="0056220B"/>
    <w:rsid w:val="0056364A"/>
    <w:rsid w:val="005638E3"/>
    <w:rsid w:val="00564001"/>
    <w:rsid w:val="005640D7"/>
    <w:rsid w:val="005649C4"/>
    <w:rsid w:val="00564D48"/>
    <w:rsid w:val="00564E95"/>
    <w:rsid w:val="00564F45"/>
    <w:rsid w:val="00565314"/>
    <w:rsid w:val="00565878"/>
    <w:rsid w:val="0056590C"/>
    <w:rsid w:val="00565A9A"/>
    <w:rsid w:val="00565B77"/>
    <w:rsid w:val="00565D15"/>
    <w:rsid w:val="00565DFF"/>
    <w:rsid w:val="0056614C"/>
    <w:rsid w:val="005666C2"/>
    <w:rsid w:val="005671E0"/>
    <w:rsid w:val="00567205"/>
    <w:rsid w:val="0056790C"/>
    <w:rsid w:val="00567B13"/>
    <w:rsid w:val="0057017D"/>
    <w:rsid w:val="00570E07"/>
    <w:rsid w:val="00571480"/>
    <w:rsid w:val="005715B4"/>
    <w:rsid w:val="00571C5B"/>
    <w:rsid w:val="00571DF8"/>
    <w:rsid w:val="005726A3"/>
    <w:rsid w:val="005728AF"/>
    <w:rsid w:val="00573792"/>
    <w:rsid w:val="00573B16"/>
    <w:rsid w:val="00573ED4"/>
    <w:rsid w:val="00574685"/>
    <w:rsid w:val="00574BDB"/>
    <w:rsid w:val="00574EAF"/>
    <w:rsid w:val="00575179"/>
    <w:rsid w:val="005760D8"/>
    <w:rsid w:val="005762DB"/>
    <w:rsid w:val="00576ACF"/>
    <w:rsid w:val="00576F3E"/>
    <w:rsid w:val="005775D4"/>
    <w:rsid w:val="0057765D"/>
    <w:rsid w:val="00577736"/>
    <w:rsid w:val="00577CC1"/>
    <w:rsid w:val="00580188"/>
    <w:rsid w:val="00580BA7"/>
    <w:rsid w:val="00580BDF"/>
    <w:rsid w:val="00581408"/>
    <w:rsid w:val="0058158E"/>
    <w:rsid w:val="005817C5"/>
    <w:rsid w:val="00581A25"/>
    <w:rsid w:val="00581CB5"/>
    <w:rsid w:val="00581EA8"/>
    <w:rsid w:val="005822C2"/>
    <w:rsid w:val="00582481"/>
    <w:rsid w:val="00582FB5"/>
    <w:rsid w:val="00582FDC"/>
    <w:rsid w:val="0058376F"/>
    <w:rsid w:val="00583831"/>
    <w:rsid w:val="00583A4E"/>
    <w:rsid w:val="00583D98"/>
    <w:rsid w:val="00583EEB"/>
    <w:rsid w:val="00583FDB"/>
    <w:rsid w:val="00584195"/>
    <w:rsid w:val="005841BF"/>
    <w:rsid w:val="005844EC"/>
    <w:rsid w:val="00584943"/>
    <w:rsid w:val="00584F16"/>
    <w:rsid w:val="0058529E"/>
    <w:rsid w:val="0058539B"/>
    <w:rsid w:val="00585419"/>
    <w:rsid w:val="005854A8"/>
    <w:rsid w:val="005855FE"/>
    <w:rsid w:val="005856AC"/>
    <w:rsid w:val="00585B05"/>
    <w:rsid w:val="00585B9A"/>
    <w:rsid w:val="00585C14"/>
    <w:rsid w:val="00586043"/>
    <w:rsid w:val="005860A6"/>
    <w:rsid w:val="0058643D"/>
    <w:rsid w:val="00586535"/>
    <w:rsid w:val="00586C0B"/>
    <w:rsid w:val="00587421"/>
    <w:rsid w:val="00587731"/>
    <w:rsid w:val="005902EC"/>
    <w:rsid w:val="00590316"/>
    <w:rsid w:val="005905E6"/>
    <w:rsid w:val="005906BE"/>
    <w:rsid w:val="005906DB"/>
    <w:rsid w:val="0059088D"/>
    <w:rsid w:val="00590D57"/>
    <w:rsid w:val="00590D85"/>
    <w:rsid w:val="005918A3"/>
    <w:rsid w:val="00591A7C"/>
    <w:rsid w:val="00591CDC"/>
    <w:rsid w:val="00592245"/>
    <w:rsid w:val="0059263F"/>
    <w:rsid w:val="005937D0"/>
    <w:rsid w:val="00593CFD"/>
    <w:rsid w:val="00593D2F"/>
    <w:rsid w:val="00594054"/>
    <w:rsid w:val="005945D3"/>
    <w:rsid w:val="005947A7"/>
    <w:rsid w:val="00594807"/>
    <w:rsid w:val="005963F5"/>
    <w:rsid w:val="00596429"/>
    <w:rsid w:val="00596871"/>
    <w:rsid w:val="00596C56"/>
    <w:rsid w:val="00596F9A"/>
    <w:rsid w:val="005970EC"/>
    <w:rsid w:val="0059716E"/>
    <w:rsid w:val="005974C1"/>
    <w:rsid w:val="00597A5B"/>
    <w:rsid w:val="00597ABC"/>
    <w:rsid w:val="00597B4E"/>
    <w:rsid w:val="005A037E"/>
    <w:rsid w:val="005A0ACD"/>
    <w:rsid w:val="005A0F40"/>
    <w:rsid w:val="005A1326"/>
    <w:rsid w:val="005A16F6"/>
    <w:rsid w:val="005A2083"/>
    <w:rsid w:val="005A219E"/>
    <w:rsid w:val="005A2668"/>
    <w:rsid w:val="005A284D"/>
    <w:rsid w:val="005A2D7D"/>
    <w:rsid w:val="005A3215"/>
    <w:rsid w:val="005A346F"/>
    <w:rsid w:val="005A347F"/>
    <w:rsid w:val="005A3701"/>
    <w:rsid w:val="005A392E"/>
    <w:rsid w:val="005A3A36"/>
    <w:rsid w:val="005A3D1F"/>
    <w:rsid w:val="005A4011"/>
    <w:rsid w:val="005A4075"/>
    <w:rsid w:val="005A4158"/>
    <w:rsid w:val="005A4B12"/>
    <w:rsid w:val="005A4CFD"/>
    <w:rsid w:val="005A4D23"/>
    <w:rsid w:val="005A547A"/>
    <w:rsid w:val="005A54F2"/>
    <w:rsid w:val="005A58DD"/>
    <w:rsid w:val="005A5B3E"/>
    <w:rsid w:val="005A5DC4"/>
    <w:rsid w:val="005A6150"/>
    <w:rsid w:val="005A67AA"/>
    <w:rsid w:val="005A6DFC"/>
    <w:rsid w:val="005A70FB"/>
    <w:rsid w:val="005A7203"/>
    <w:rsid w:val="005A7419"/>
    <w:rsid w:val="005A7539"/>
    <w:rsid w:val="005A7571"/>
    <w:rsid w:val="005A7710"/>
    <w:rsid w:val="005A7C00"/>
    <w:rsid w:val="005A7EDC"/>
    <w:rsid w:val="005B0B92"/>
    <w:rsid w:val="005B0DE3"/>
    <w:rsid w:val="005B0E5D"/>
    <w:rsid w:val="005B1A0A"/>
    <w:rsid w:val="005B1CBF"/>
    <w:rsid w:val="005B1D35"/>
    <w:rsid w:val="005B1FB9"/>
    <w:rsid w:val="005B259C"/>
    <w:rsid w:val="005B2879"/>
    <w:rsid w:val="005B2944"/>
    <w:rsid w:val="005B2EE5"/>
    <w:rsid w:val="005B2F99"/>
    <w:rsid w:val="005B30F6"/>
    <w:rsid w:val="005B3932"/>
    <w:rsid w:val="005B39BE"/>
    <w:rsid w:val="005B3A67"/>
    <w:rsid w:val="005B3D35"/>
    <w:rsid w:val="005B3E51"/>
    <w:rsid w:val="005B4346"/>
    <w:rsid w:val="005B5050"/>
    <w:rsid w:val="005B5C01"/>
    <w:rsid w:val="005B6200"/>
    <w:rsid w:val="005B646E"/>
    <w:rsid w:val="005B6494"/>
    <w:rsid w:val="005B6B67"/>
    <w:rsid w:val="005B6CA4"/>
    <w:rsid w:val="005B6FF1"/>
    <w:rsid w:val="005B766F"/>
    <w:rsid w:val="005B7CA5"/>
    <w:rsid w:val="005B7F42"/>
    <w:rsid w:val="005C01E6"/>
    <w:rsid w:val="005C09DA"/>
    <w:rsid w:val="005C1102"/>
    <w:rsid w:val="005C119F"/>
    <w:rsid w:val="005C1A3D"/>
    <w:rsid w:val="005C21D4"/>
    <w:rsid w:val="005C2282"/>
    <w:rsid w:val="005C278A"/>
    <w:rsid w:val="005C2833"/>
    <w:rsid w:val="005C2B57"/>
    <w:rsid w:val="005C2F7B"/>
    <w:rsid w:val="005C3098"/>
    <w:rsid w:val="005C3411"/>
    <w:rsid w:val="005C3448"/>
    <w:rsid w:val="005C3955"/>
    <w:rsid w:val="005C39CA"/>
    <w:rsid w:val="005C3FDF"/>
    <w:rsid w:val="005C40BE"/>
    <w:rsid w:val="005C50D2"/>
    <w:rsid w:val="005C5252"/>
    <w:rsid w:val="005C5312"/>
    <w:rsid w:val="005C5600"/>
    <w:rsid w:val="005C5763"/>
    <w:rsid w:val="005C5789"/>
    <w:rsid w:val="005C58FC"/>
    <w:rsid w:val="005C5BA5"/>
    <w:rsid w:val="005C5EE3"/>
    <w:rsid w:val="005C5F67"/>
    <w:rsid w:val="005C6813"/>
    <w:rsid w:val="005C6F1C"/>
    <w:rsid w:val="005C7CD3"/>
    <w:rsid w:val="005C7F8B"/>
    <w:rsid w:val="005D0442"/>
    <w:rsid w:val="005D0906"/>
    <w:rsid w:val="005D09BD"/>
    <w:rsid w:val="005D10C8"/>
    <w:rsid w:val="005D169F"/>
    <w:rsid w:val="005D16F5"/>
    <w:rsid w:val="005D1BF9"/>
    <w:rsid w:val="005D1CE2"/>
    <w:rsid w:val="005D1D90"/>
    <w:rsid w:val="005D21A9"/>
    <w:rsid w:val="005D3A24"/>
    <w:rsid w:val="005D3E4C"/>
    <w:rsid w:val="005D45F0"/>
    <w:rsid w:val="005D49C1"/>
    <w:rsid w:val="005D4C4E"/>
    <w:rsid w:val="005D4C89"/>
    <w:rsid w:val="005D4CE8"/>
    <w:rsid w:val="005D5234"/>
    <w:rsid w:val="005D5763"/>
    <w:rsid w:val="005D5BE6"/>
    <w:rsid w:val="005D5C69"/>
    <w:rsid w:val="005D6299"/>
    <w:rsid w:val="005D6D05"/>
    <w:rsid w:val="005D6D5F"/>
    <w:rsid w:val="005D709F"/>
    <w:rsid w:val="005D7631"/>
    <w:rsid w:val="005D7719"/>
    <w:rsid w:val="005D782E"/>
    <w:rsid w:val="005D7B61"/>
    <w:rsid w:val="005D7B8C"/>
    <w:rsid w:val="005E04BB"/>
    <w:rsid w:val="005E0598"/>
    <w:rsid w:val="005E0E86"/>
    <w:rsid w:val="005E0FE9"/>
    <w:rsid w:val="005E11B6"/>
    <w:rsid w:val="005E1832"/>
    <w:rsid w:val="005E1920"/>
    <w:rsid w:val="005E1C9F"/>
    <w:rsid w:val="005E1F25"/>
    <w:rsid w:val="005E2C34"/>
    <w:rsid w:val="005E2E0C"/>
    <w:rsid w:val="005E2E92"/>
    <w:rsid w:val="005E3098"/>
    <w:rsid w:val="005E32DD"/>
    <w:rsid w:val="005E32E9"/>
    <w:rsid w:val="005E346D"/>
    <w:rsid w:val="005E35DC"/>
    <w:rsid w:val="005E38EC"/>
    <w:rsid w:val="005E3AED"/>
    <w:rsid w:val="005E3C41"/>
    <w:rsid w:val="005E3D38"/>
    <w:rsid w:val="005E3EAA"/>
    <w:rsid w:val="005E417A"/>
    <w:rsid w:val="005E4449"/>
    <w:rsid w:val="005E4577"/>
    <w:rsid w:val="005E47D6"/>
    <w:rsid w:val="005E49C5"/>
    <w:rsid w:val="005E4B85"/>
    <w:rsid w:val="005E5248"/>
    <w:rsid w:val="005E53CF"/>
    <w:rsid w:val="005E53EB"/>
    <w:rsid w:val="005E55FD"/>
    <w:rsid w:val="005E580F"/>
    <w:rsid w:val="005E61D3"/>
    <w:rsid w:val="005E6378"/>
    <w:rsid w:val="005E6533"/>
    <w:rsid w:val="005E68F0"/>
    <w:rsid w:val="005E6A2A"/>
    <w:rsid w:val="005E7846"/>
    <w:rsid w:val="005E787B"/>
    <w:rsid w:val="005E7B28"/>
    <w:rsid w:val="005F02B1"/>
    <w:rsid w:val="005F0AC2"/>
    <w:rsid w:val="005F114C"/>
    <w:rsid w:val="005F137D"/>
    <w:rsid w:val="005F1484"/>
    <w:rsid w:val="005F16D6"/>
    <w:rsid w:val="005F16DA"/>
    <w:rsid w:val="005F1BAF"/>
    <w:rsid w:val="005F1FC4"/>
    <w:rsid w:val="005F2385"/>
    <w:rsid w:val="005F2714"/>
    <w:rsid w:val="005F282C"/>
    <w:rsid w:val="005F28DF"/>
    <w:rsid w:val="005F2D7C"/>
    <w:rsid w:val="005F2FDD"/>
    <w:rsid w:val="005F3480"/>
    <w:rsid w:val="005F366C"/>
    <w:rsid w:val="005F36F7"/>
    <w:rsid w:val="005F3705"/>
    <w:rsid w:val="005F37A3"/>
    <w:rsid w:val="005F4266"/>
    <w:rsid w:val="005F4582"/>
    <w:rsid w:val="005F4654"/>
    <w:rsid w:val="005F4933"/>
    <w:rsid w:val="005F526D"/>
    <w:rsid w:val="005F5327"/>
    <w:rsid w:val="005F5330"/>
    <w:rsid w:val="005F5579"/>
    <w:rsid w:val="005F56F6"/>
    <w:rsid w:val="005F5C0C"/>
    <w:rsid w:val="005F5C47"/>
    <w:rsid w:val="005F646D"/>
    <w:rsid w:val="005F6984"/>
    <w:rsid w:val="005F6B87"/>
    <w:rsid w:val="005F73F6"/>
    <w:rsid w:val="005F7CE8"/>
    <w:rsid w:val="005F7DE9"/>
    <w:rsid w:val="00600288"/>
    <w:rsid w:val="006003C6"/>
    <w:rsid w:val="0060055B"/>
    <w:rsid w:val="006007E6"/>
    <w:rsid w:val="00600AEA"/>
    <w:rsid w:val="00600B7F"/>
    <w:rsid w:val="00600C0A"/>
    <w:rsid w:val="00600DEA"/>
    <w:rsid w:val="00600F73"/>
    <w:rsid w:val="00600FDD"/>
    <w:rsid w:val="0060129F"/>
    <w:rsid w:val="00601C76"/>
    <w:rsid w:val="00602D0D"/>
    <w:rsid w:val="00602DBD"/>
    <w:rsid w:val="006031FF"/>
    <w:rsid w:val="0060320B"/>
    <w:rsid w:val="006032BA"/>
    <w:rsid w:val="006034B3"/>
    <w:rsid w:val="006035D4"/>
    <w:rsid w:val="00603781"/>
    <w:rsid w:val="00603885"/>
    <w:rsid w:val="006038E6"/>
    <w:rsid w:val="006041BE"/>
    <w:rsid w:val="00604A29"/>
    <w:rsid w:val="00604DCF"/>
    <w:rsid w:val="00604F4C"/>
    <w:rsid w:val="006054CE"/>
    <w:rsid w:val="00605D84"/>
    <w:rsid w:val="00605E5D"/>
    <w:rsid w:val="006072D0"/>
    <w:rsid w:val="00607829"/>
    <w:rsid w:val="006078E4"/>
    <w:rsid w:val="00607EB5"/>
    <w:rsid w:val="006104ED"/>
    <w:rsid w:val="00610BFA"/>
    <w:rsid w:val="00610E33"/>
    <w:rsid w:val="00610FEE"/>
    <w:rsid w:val="006114CD"/>
    <w:rsid w:val="00611F00"/>
    <w:rsid w:val="00612311"/>
    <w:rsid w:val="006126C2"/>
    <w:rsid w:val="00612844"/>
    <w:rsid w:val="00613479"/>
    <w:rsid w:val="006134A7"/>
    <w:rsid w:val="00613824"/>
    <w:rsid w:val="006140F9"/>
    <w:rsid w:val="00614171"/>
    <w:rsid w:val="00615440"/>
    <w:rsid w:val="00616298"/>
    <w:rsid w:val="006165AC"/>
    <w:rsid w:val="006169B6"/>
    <w:rsid w:val="00617636"/>
    <w:rsid w:val="006179F7"/>
    <w:rsid w:val="00617A74"/>
    <w:rsid w:val="00617FE0"/>
    <w:rsid w:val="00620C7A"/>
    <w:rsid w:val="00620CCE"/>
    <w:rsid w:val="00620CEF"/>
    <w:rsid w:val="006219AB"/>
    <w:rsid w:val="00622CD3"/>
    <w:rsid w:val="0062314E"/>
    <w:rsid w:val="006235B4"/>
    <w:rsid w:val="00623931"/>
    <w:rsid w:val="00623C01"/>
    <w:rsid w:val="00623C47"/>
    <w:rsid w:val="00623CF1"/>
    <w:rsid w:val="00624085"/>
    <w:rsid w:val="006249EE"/>
    <w:rsid w:val="00624DDE"/>
    <w:rsid w:val="00624E08"/>
    <w:rsid w:val="00625231"/>
    <w:rsid w:val="006252B5"/>
    <w:rsid w:val="006254B1"/>
    <w:rsid w:val="00625549"/>
    <w:rsid w:val="0062566C"/>
    <w:rsid w:val="00625C9B"/>
    <w:rsid w:val="006260AD"/>
    <w:rsid w:val="0062680F"/>
    <w:rsid w:val="00626BFA"/>
    <w:rsid w:val="00626D05"/>
    <w:rsid w:val="00626D67"/>
    <w:rsid w:val="00626DD9"/>
    <w:rsid w:val="00627073"/>
    <w:rsid w:val="006273AA"/>
    <w:rsid w:val="006275A9"/>
    <w:rsid w:val="00627938"/>
    <w:rsid w:val="00627B4C"/>
    <w:rsid w:val="00627FD6"/>
    <w:rsid w:val="00630293"/>
    <w:rsid w:val="0063051A"/>
    <w:rsid w:val="00630573"/>
    <w:rsid w:val="00630712"/>
    <w:rsid w:val="00630E97"/>
    <w:rsid w:val="00631170"/>
    <w:rsid w:val="0063132F"/>
    <w:rsid w:val="006319B5"/>
    <w:rsid w:val="00631C83"/>
    <w:rsid w:val="00632DBD"/>
    <w:rsid w:val="006332A9"/>
    <w:rsid w:val="006338DB"/>
    <w:rsid w:val="0063399F"/>
    <w:rsid w:val="00633B4C"/>
    <w:rsid w:val="00633D01"/>
    <w:rsid w:val="00634144"/>
    <w:rsid w:val="006344C9"/>
    <w:rsid w:val="00634A9F"/>
    <w:rsid w:val="00634F37"/>
    <w:rsid w:val="00634FFF"/>
    <w:rsid w:val="0063512C"/>
    <w:rsid w:val="006358C3"/>
    <w:rsid w:val="00635923"/>
    <w:rsid w:val="00635BD3"/>
    <w:rsid w:val="00635C0A"/>
    <w:rsid w:val="00635D06"/>
    <w:rsid w:val="00635F0D"/>
    <w:rsid w:val="00636230"/>
    <w:rsid w:val="00636894"/>
    <w:rsid w:val="006374DE"/>
    <w:rsid w:val="006403CE"/>
    <w:rsid w:val="006406E3"/>
    <w:rsid w:val="006408A8"/>
    <w:rsid w:val="00640EC9"/>
    <w:rsid w:val="00641394"/>
    <w:rsid w:val="006414C4"/>
    <w:rsid w:val="006414F2"/>
    <w:rsid w:val="0064155E"/>
    <w:rsid w:val="0064162D"/>
    <w:rsid w:val="0064183E"/>
    <w:rsid w:val="006418F1"/>
    <w:rsid w:val="00641B49"/>
    <w:rsid w:val="00642207"/>
    <w:rsid w:val="00642968"/>
    <w:rsid w:val="00642A0E"/>
    <w:rsid w:val="00642E3F"/>
    <w:rsid w:val="0064327E"/>
    <w:rsid w:val="00643F4F"/>
    <w:rsid w:val="00644EAE"/>
    <w:rsid w:val="0064528F"/>
    <w:rsid w:val="006452D8"/>
    <w:rsid w:val="00645B3F"/>
    <w:rsid w:val="006461F8"/>
    <w:rsid w:val="006463FC"/>
    <w:rsid w:val="0064676B"/>
    <w:rsid w:val="00646C1C"/>
    <w:rsid w:val="00647108"/>
    <w:rsid w:val="006474C1"/>
    <w:rsid w:val="00647833"/>
    <w:rsid w:val="00647A05"/>
    <w:rsid w:val="00647CDA"/>
    <w:rsid w:val="00650027"/>
    <w:rsid w:val="00650798"/>
    <w:rsid w:val="006508CB"/>
    <w:rsid w:val="00650DB9"/>
    <w:rsid w:val="00651B2D"/>
    <w:rsid w:val="006522C9"/>
    <w:rsid w:val="00652F73"/>
    <w:rsid w:val="006530AE"/>
    <w:rsid w:val="006531DE"/>
    <w:rsid w:val="006536A3"/>
    <w:rsid w:val="00653A7D"/>
    <w:rsid w:val="006540D2"/>
    <w:rsid w:val="006542B3"/>
    <w:rsid w:val="006547F7"/>
    <w:rsid w:val="0065483C"/>
    <w:rsid w:val="00654A91"/>
    <w:rsid w:val="006550BC"/>
    <w:rsid w:val="006557F4"/>
    <w:rsid w:val="00655AB0"/>
    <w:rsid w:val="00655EA3"/>
    <w:rsid w:val="00655F45"/>
    <w:rsid w:val="006565E0"/>
    <w:rsid w:val="00657345"/>
    <w:rsid w:val="006574A8"/>
    <w:rsid w:val="006579D8"/>
    <w:rsid w:val="006605B6"/>
    <w:rsid w:val="006606D8"/>
    <w:rsid w:val="0066088B"/>
    <w:rsid w:val="00660AD5"/>
    <w:rsid w:val="00660C1E"/>
    <w:rsid w:val="00660C97"/>
    <w:rsid w:val="006612D7"/>
    <w:rsid w:val="0066164B"/>
    <w:rsid w:val="00661707"/>
    <w:rsid w:val="00661A74"/>
    <w:rsid w:val="00661B4F"/>
    <w:rsid w:val="00661B62"/>
    <w:rsid w:val="00662566"/>
    <w:rsid w:val="00662C89"/>
    <w:rsid w:val="0066317E"/>
    <w:rsid w:val="00663237"/>
    <w:rsid w:val="006636AA"/>
    <w:rsid w:val="00663734"/>
    <w:rsid w:val="00663F83"/>
    <w:rsid w:val="00664230"/>
    <w:rsid w:val="006642F7"/>
    <w:rsid w:val="006644D0"/>
    <w:rsid w:val="00664EE8"/>
    <w:rsid w:val="00665132"/>
    <w:rsid w:val="006659C6"/>
    <w:rsid w:val="00666B92"/>
    <w:rsid w:val="00666BED"/>
    <w:rsid w:val="00666DDF"/>
    <w:rsid w:val="00667912"/>
    <w:rsid w:val="00667A8F"/>
    <w:rsid w:val="00667D4E"/>
    <w:rsid w:val="00667DDC"/>
    <w:rsid w:val="0067043B"/>
    <w:rsid w:val="006706C2"/>
    <w:rsid w:val="006709A7"/>
    <w:rsid w:val="00670AE4"/>
    <w:rsid w:val="00670AFF"/>
    <w:rsid w:val="00671107"/>
    <w:rsid w:val="006719E4"/>
    <w:rsid w:val="00671CC3"/>
    <w:rsid w:val="00671E6A"/>
    <w:rsid w:val="00672085"/>
    <w:rsid w:val="00672096"/>
    <w:rsid w:val="0067215E"/>
    <w:rsid w:val="00672517"/>
    <w:rsid w:val="006729AA"/>
    <w:rsid w:val="00673022"/>
    <w:rsid w:val="006730C8"/>
    <w:rsid w:val="0067319C"/>
    <w:rsid w:val="006735FF"/>
    <w:rsid w:val="006737FD"/>
    <w:rsid w:val="00673987"/>
    <w:rsid w:val="00673A28"/>
    <w:rsid w:val="00673CDE"/>
    <w:rsid w:val="00673FE3"/>
    <w:rsid w:val="006741E9"/>
    <w:rsid w:val="00674268"/>
    <w:rsid w:val="006744E8"/>
    <w:rsid w:val="00674750"/>
    <w:rsid w:val="006749EC"/>
    <w:rsid w:val="00674B56"/>
    <w:rsid w:val="00675719"/>
    <w:rsid w:val="0067579A"/>
    <w:rsid w:val="00675DE8"/>
    <w:rsid w:val="00675F2B"/>
    <w:rsid w:val="00676344"/>
    <w:rsid w:val="0067657F"/>
    <w:rsid w:val="00676605"/>
    <w:rsid w:val="006768B8"/>
    <w:rsid w:val="006769C6"/>
    <w:rsid w:val="0067714A"/>
    <w:rsid w:val="006774BC"/>
    <w:rsid w:val="0067756D"/>
    <w:rsid w:val="00677C1C"/>
    <w:rsid w:val="00677E78"/>
    <w:rsid w:val="00680226"/>
    <w:rsid w:val="006802EF"/>
    <w:rsid w:val="006805FE"/>
    <w:rsid w:val="00680B7F"/>
    <w:rsid w:val="00680C75"/>
    <w:rsid w:val="00680CDE"/>
    <w:rsid w:val="0068130F"/>
    <w:rsid w:val="00681452"/>
    <w:rsid w:val="0068192B"/>
    <w:rsid w:val="00682060"/>
    <w:rsid w:val="00682156"/>
    <w:rsid w:val="00682749"/>
    <w:rsid w:val="00682866"/>
    <w:rsid w:val="0068301F"/>
    <w:rsid w:val="00683161"/>
    <w:rsid w:val="00683471"/>
    <w:rsid w:val="00683AD1"/>
    <w:rsid w:val="00683AD2"/>
    <w:rsid w:val="00683C1A"/>
    <w:rsid w:val="00684746"/>
    <w:rsid w:val="006851C3"/>
    <w:rsid w:val="00685403"/>
    <w:rsid w:val="006857AC"/>
    <w:rsid w:val="00686270"/>
    <w:rsid w:val="006862A9"/>
    <w:rsid w:val="00686360"/>
    <w:rsid w:val="00686391"/>
    <w:rsid w:val="00686897"/>
    <w:rsid w:val="00687558"/>
    <w:rsid w:val="0069022A"/>
    <w:rsid w:val="006904FD"/>
    <w:rsid w:val="0069067D"/>
    <w:rsid w:val="00690765"/>
    <w:rsid w:val="00690C75"/>
    <w:rsid w:val="006913AE"/>
    <w:rsid w:val="006914AA"/>
    <w:rsid w:val="0069162F"/>
    <w:rsid w:val="00691B38"/>
    <w:rsid w:val="00691BC6"/>
    <w:rsid w:val="00692347"/>
    <w:rsid w:val="0069238E"/>
    <w:rsid w:val="0069261E"/>
    <w:rsid w:val="00692C19"/>
    <w:rsid w:val="00693095"/>
    <w:rsid w:val="006937B6"/>
    <w:rsid w:val="00693B1B"/>
    <w:rsid w:val="006940F3"/>
    <w:rsid w:val="0069450D"/>
    <w:rsid w:val="006945E3"/>
    <w:rsid w:val="00694886"/>
    <w:rsid w:val="00694959"/>
    <w:rsid w:val="00694BF4"/>
    <w:rsid w:val="0069537F"/>
    <w:rsid w:val="006956E2"/>
    <w:rsid w:val="00695D41"/>
    <w:rsid w:val="00696135"/>
    <w:rsid w:val="0069620A"/>
    <w:rsid w:val="006966E7"/>
    <w:rsid w:val="00697076"/>
    <w:rsid w:val="006973E2"/>
    <w:rsid w:val="00697962"/>
    <w:rsid w:val="00697B28"/>
    <w:rsid w:val="006A0545"/>
    <w:rsid w:val="006A06A4"/>
    <w:rsid w:val="006A071F"/>
    <w:rsid w:val="006A0771"/>
    <w:rsid w:val="006A0AEA"/>
    <w:rsid w:val="006A1187"/>
    <w:rsid w:val="006A136E"/>
    <w:rsid w:val="006A1C59"/>
    <w:rsid w:val="006A226C"/>
    <w:rsid w:val="006A266F"/>
    <w:rsid w:val="006A2933"/>
    <w:rsid w:val="006A2D21"/>
    <w:rsid w:val="006A2F26"/>
    <w:rsid w:val="006A318A"/>
    <w:rsid w:val="006A3263"/>
    <w:rsid w:val="006A3398"/>
    <w:rsid w:val="006A4145"/>
    <w:rsid w:val="006A430A"/>
    <w:rsid w:val="006A4C8A"/>
    <w:rsid w:val="006A50D5"/>
    <w:rsid w:val="006A52D2"/>
    <w:rsid w:val="006A57E3"/>
    <w:rsid w:val="006A57EC"/>
    <w:rsid w:val="006A5C07"/>
    <w:rsid w:val="006A5C39"/>
    <w:rsid w:val="006A5DAC"/>
    <w:rsid w:val="006A651C"/>
    <w:rsid w:val="006A6911"/>
    <w:rsid w:val="006A69B6"/>
    <w:rsid w:val="006A6A64"/>
    <w:rsid w:val="006A6C52"/>
    <w:rsid w:val="006A6D7E"/>
    <w:rsid w:val="006A7365"/>
    <w:rsid w:val="006A7AF5"/>
    <w:rsid w:val="006A7FC6"/>
    <w:rsid w:val="006B073C"/>
    <w:rsid w:val="006B0856"/>
    <w:rsid w:val="006B09BD"/>
    <w:rsid w:val="006B1A63"/>
    <w:rsid w:val="006B1F0E"/>
    <w:rsid w:val="006B294B"/>
    <w:rsid w:val="006B29E3"/>
    <w:rsid w:val="006B2A03"/>
    <w:rsid w:val="006B2E19"/>
    <w:rsid w:val="006B3098"/>
    <w:rsid w:val="006B37BB"/>
    <w:rsid w:val="006B403A"/>
    <w:rsid w:val="006B416E"/>
    <w:rsid w:val="006B4205"/>
    <w:rsid w:val="006B42A5"/>
    <w:rsid w:val="006B431F"/>
    <w:rsid w:val="006B46A9"/>
    <w:rsid w:val="006B4D54"/>
    <w:rsid w:val="006B5043"/>
    <w:rsid w:val="006B5092"/>
    <w:rsid w:val="006B5184"/>
    <w:rsid w:val="006B533D"/>
    <w:rsid w:val="006B5B2E"/>
    <w:rsid w:val="006B5DF4"/>
    <w:rsid w:val="006B5ED9"/>
    <w:rsid w:val="006B6265"/>
    <w:rsid w:val="006B6484"/>
    <w:rsid w:val="006B68C5"/>
    <w:rsid w:val="006B6B4F"/>
    <w:rsid w:val="006B6BAC"/>
    <w:rsid w:val="006B7019"/>
    <w:rsid w:val="006B723E"/>
    <w:rsid w:val="006B74A4"/>
    <w:rsid w:val="006B76A1"/>
    <w:rsid w:val="006C0747"/>
    <w:rsid w:val="006C0801"/>
    <w:rsid w:val="006C179C"/>
    <w:rsid w:val="006C1CA7"/>
    <w:rsid w:val="006C1DAB"/>
    <w:rsid w:val="006C1F2B"/>
    <w:rsid w:val="006C209D"/>
    <w:rsid w:val="006C2131"/>
    <w:rsid w:val="006C218D"/>
    <w:rsid w:val="006C21C7"/>
    <w:rsid w:val="006C2394"/>
    <w:rsid w:val="006C28CA"/>
    <w:rsid w:val="006C291D"/>
    <w:rsid w:val="006C2D2B"/>
    <w:rsid w:val="006C3269"/>
    <w:rsid w:val="006C35CF"/>
    <w:rsid w:val="006C35F7"/>
    <w:rsid w:val="006C3FAA"/>
    <w:rsid w:val="006C4002"/>
    <w:rsid w:val="006C4C1C"/>
    <w:rsid w:val="006C4D84"/>
    <w:rsid w:val="006C4EE0"/>
    <w:rsid w:val="006C51C2"/>
    <w:rsid w:val="006C57D5"/>
    <w:rsid w:val="006C58DB"/>
    <w:rsid w:val="006C5991"/>
    <w:rsid w:val="006C5AFD"/>
    <w:rsid w:val="006C6035"/>
    <w:rsid w:val="006C62E0"/>
    <w:rsid w:val="006C666E"/>
    <w:rsid w:val="006C6EB2"/>
    <w:rsid w:val="006C7284"/>
    <w:rsid w:val="006C72A6"/>
    <w:rsid w:val="006C788E"/>
    <w:rsid w:val="006C7B78"/>
    <w:rsid w:val="006C7EAD"/>
    <w:rsid w:val="006C7F70"/>
    <w:rsid w:val="006D02F1"/>
    <w:rsid w:val="006D0597"/>
    <w:rsid w:val="006D16D9"/>
    <w:rsid w:val="006D2046"/>
    <w:rsid w:val="006D2055"/>
    <w:rsid w:val="006D2224"/>
    <w:rsid w:val="006D236F"/>
    <w:rsid w:val="006D26EE"/>
    <w:rsid w:val="006D2BF1"/>
    <w:rsid w:val="006D2D00"/>
    <w:rsid w:val="006D3A20"/>
    <w:rsid w:val="006D3A26"/>
    <w:rsid w:val="006D3A33"/>
    <w:rsid w:val="006D3F8F"/>
    <w:rsid w:val="006D4043"/>
    <w:rsid w:val="006D43A5"/>
    <w:rsid w:val="006D4757"/>
    <w:rsid w:val="006D497A"/>
    <w:rsid w:val="006D4FF1"/>
    <w:rsid w:val="006D591F"/>
    <w:rsid w:val="006D5DBB"/>
    <w:rsid w:val="006D5F6E"/>
    <w:rsid w:val="006D6C26"/>
    <w:rsid w:val="006D6FD1"/>
    <w:rsid w:val="006D71DC"/>
    <w:rsid w:val="006D736D"/>
    <w:rsid w:val="006D7A9D"/>
    <w:rsid w:val="006D7AA2"/>
    <w:rsid w:val="006D7CD1"/>
    <w:rsid w:val="006E00B9"/>
    <w:rsid w:val="006E08AE"/>
    <w:rsid w:val="006E0A65"/>
    <w:rsid w:val="006E1477"/>
    <w:rsid w:val="006E1865"/>
    <w:rsid w:val="006E1E62"/>
    <w:rsid w:val="006E2015"/>
    <w:rsid w:val="006E218B"/>
    <w:rsid w:val="006E2520"/>
    <w:rsid w:val="006E2769"/>
    <w:rsid w:val="006E28FF"/>
    <w:rsid w:val="006E2D0B"/>
    <w:rsid w:val="006E3415"/>
    <w:rsid w:val="006E3B76"/>
    <w:rsid w:val="006E3E63"/>
    <w:rsid w:val="006E4893"/>
    <w:rsid w:val="006E48AC"/>
    <w:rsid w:val="006E4AB9"/>
    <w:rsid w:val="006E503C"/>
    <w:rsid w:val="006E553D"/>
    <w:rsid w:val="006E56C9"/>
    <w:rsid w:val="006E57E3"/>
    <w:rsid w:val="006E5AB1"/>
    <w:rsid w:val="006E5D04"/>
    <w:rsid w:val="006E620C"/>
    <w:rsid w:val="006E6C21"/>
    <w:rsid w:val="006E7366"/>
    <w:rsid w:val="006E7972"/>
    <w:rsid w:val="006E7DA2"/>
    <w:rsid w:val="006F0369"/>
    <w:rsid w:val="006F03D2"/>
    <w:rsid w:val="006F07C7"/>
    <w:rsid w:val="006F0899"/>
    <w:rsid w:val="006F0952"/>
    <w:rsid w:val="006F0E51"/>
    <w:rsid w:val="006F0EF3"/>
    <w:rsid w:val="006F137C"/>
    <w:rsid w:val="006F1633"/>
    <w:rsid w:val="006F1774"/>
    <w:rsid w:val="006F1C85"/>
    <w:rsid w:val="006F22FD"/>
    <w:rsid w:val="006F2674"/>
    <w:rsid w:val="006F27AC"/>
    <w:rsid w:val="006F2C5D"/>
    <w:rsid w:val="006F3479"/>
    <w:rsid w:val="006F34BD"/>
    <w:rsid w:val="006F36A0"/>
    <w:rsid w:val="006F3B3B"/>
    <w:rsid w:val="006F3C11"/>
    <w:rsid w:val="006F3C35"/>
    <w:rsid w:val="006F3E0D"/>
    <w:rsid w:val="006F4209"/>
    <w:rsid w:val="006F4679"/>
    <w:rsid w:val="006F4FDF"/>
    <w:rsid w:val="006F52BD"/>
    <w:rsid w:val="006F53BA"/>
    <w:rsid w:val="006F566F"/>
    <w:rsid w:val="006F5AC0"/>
    <w:rsid w:val="006F5AD7"/>
    <w:rsid w:val="006F5CF8"/>
    <w:rsid w:val="006F5E46"/>
    <w:rsid w:val="006F602B"/>
    <w:rsid w:val="006F610D"/>
    <w:rsid w:val="006F6614"/>
    <w:rsid w:val="006F66CA"/>
    <w:rsid w:val="006F66E4"/>
    <w:rsid w:val="006F6836"/>
    <w:rsid w:val="006F7062"/>
    <w:rsid w:val="006F7548"/>
    <w:rsid w:val="006F7BA3"/>
    <w:rsid w:val="006F7E15"/>
    <w:rsid w:val="00700176"/>
    <w:rsid w:val="00700298"/>
    <w:rsid w:val="007006EC"/>
    <w:rsid w:val="00701370"/>
    <w:rsid w:val="0070140F"/>
    <w:rsid w:val="00701658"/>
    <w:rsid w:val="00701C86"/>
    <w:rsid w:val="00701C8E"/>
    <w:rsid w:val="007023CD"/>
    <w:rsid w:val="007023EA"/>
    <w:rsid w:val="0070255B"/>
    <w:rsid w:val="00702AF0"/>
    <w:rsid w:val="007031D2"/>
    <w:rsid w:val="007032CF"/>
    <w:rsid w:val="00703349"/>
    <w:rsid w:val="00703391"/>
    <w:rsid w:val="0070342B"/>
    <w:rsid w:val="00703A45"/>
    <w:rsid w:val="0070428A"/>
    <w:rsid w:val="007043C8"/>
    <w:rsid w:val="00704429"/>
    <w:rsid w:val="00704503"/>
    <w:rsid w:val="0070489D"/>
    <w:rsid w:val="0070521B"/>
    <w:rsid w:val="007058E7"/>
    <w:rsid w:val="00705A8F"/>
    <w:rsid w:val="00705D4E"/>
    <w:rsid w:val="00705E71"/>
    <w:rsid w:val="007060C5"/>
    <w:rsid w:val="007063C1"/>
    <w:rsid w:val="00706B23"/>
    <w:rsid w:val="00706D94"/>
    <w:rsid w:val="0070718B"/>
    <w:rsid w:val="00710312"/>
    <w:rsid w:val="0071036D"/>
    <w:rsid w:val="00710434"/>
    <w:rsid w:val="007110C0"/>
    <w:rsid w:val="007111DC"/>
    <w:rsid w:val="007115C5"/>
    <w:rsid w:val="0071163D"/>
    <w:rsid w:val="0071178F"/>
    <w:rsid w:val="00711875"/>
    <w:rsid w:val="00711F87"/>
    <w:rsid w:val="00712174"/>
    <w:rsid w:val="0071252B"/>
    <w:rsid w:val="00712A45"/>
    <w:rsid w:val="00712F50"/>
    <w:rsid w:val="007135A1"/>
    <w:rsid w:val="007135A2"/>
    <w:rsid w:val="007137B6"/>
    <w:rsid w:val="00713860"/>
    <w:rsid w:val="007140E1"/>
    <w:rsid w:val="00714466"/>
    <w:rsid w:val="00714A41"/>
    <w:rsid w:val="00714E08"/>
    <w:rsid w:val="00715A99"/>
    <w:rsid w:val="00716A6A"/>
    <w:rsid w:val="00716D75"/>
    <w:rsid w:val="00716E1B"/>
    <w:rsid w:val="007170FB"/>
    <w:rsid w:val="00717259"/>
    <w:rsid w:val="007173B0"/>
    <w:rsid w:val="0071763B"/>
    <w:rsid w:val="007200D9"/>
    <w:rsid w:val="00720370"/>
    <w:rsid w:val="00720646"/>
    <w:rsid w:val="0072082D"/>
    <w:rsid w:val="00720D89"/>
    <w:rsid w:val="00720EC1"/>
    <w:rsid w:val="00720F10"/>
    <w:rsid w:val="00720FDC"/>
    <w:rsid w:val="0072128E"/>
    <w:rsid w:val="0072153B"/>
    <w:rsid w:val="00721707"/>
    <w:rsid w:val="00721C6A"/>
    <w:rsid w:val="00721FF9"/>
    <w:rsid w:val="00722064"/>
    <w:rsid w:val="00722573"/>
    <w:rsid w:val="00722741"/>
    <w:rsid w:val="00722773"/>
    <w:rsid w:val="00722AF0"/>
    <w:rsid w:val="00722CCB"/>
    <w:rsid w:val="00722DDC"/>
    <w:rsid w:val="007232D1"/>
    <w:rsid w:val="00723626"/>
    <w:rsid w:val="00723D6D"/>
    <w:rsid w:val="00723DD6"/>
    <w:rsid w:val="007242ED"/>
    <w:rsid w:val="00724545"/>
    <w:rsid w:val="007246D9"/>
    <w:rsid w:val="00724C4B"/>
    <w:rsid w:val="00724E19"/>
    <w:rsid w:val="007252BF"/>
    <w:rsid w:val="00725B82"/>
    <w:rsid w:val="00725D0F"/>
    <w:rsid w:val="00725FC4"/>
    <w:rsid w:val="0072614A"/>
    <w:rsid w:val="007261BF"/>
    <w:rsid w:val="007262AD"/>
    <w:rsid w:val="00726558"/>
    <w:rsid w:val="007265FF"/>
    <w:rsid w:val="0072680E"/>
    <w:rsid w:val="00726887"/>
    <w:rsid w:val="00726EB0"/>
    <w:rsid w:val="007279E1"/>
    <w:rsid w:val="00727E0B"/>
    <w:rsid w:val="00727ED3"/>
    <w:rsid w:val="007301D9"/>
    <w:rsid w:val="00730BBE"/>
    <w:rsid w:val="00730BEA"/>
    <w:rsid w:val="007314C9"/>
    <w:rsid w:val="007318C8"/>
    <w:rsid w:val="00731A15"/>
    <w:rsid w:val="00731CFC"/>
    <w:rsid w:val="00731D2C"/>
    <w:rsid w:val="00732114"/>
    <w:rsid w:val="00732D3F"/>
    <w:rsid w:val="00733074"/>
    <w:rsid w:val="007333FF"/>
    <w:rsid w:val="00733437"/>
    <w:rsid w:val="00733A81"/>
    <w:rsid w:val="00733CA5"/>
    <w:rsid w:val="00734017"/>
    <w:rsid w:val="00734617"/>
    <w:rsid w:val="00734A49"/>
    <w:rsid w:val="00734FF4"/>
    <w:rsid w:val="00734FF9"/>
    <w:rsid w:val="00735761"/>
    <w:rsid w:val="007358C5"/>
    <w:rsid w:val="00735966"/>
    <w:rsid w:val="00735A68"/>
    <w:rsid w:val="00735A70"/>
    <w:rsid w:val="00735BB3"/>
    <w:rsid w:val="00735D68"/>
    <w:rsid w:val="00736879"/>
    <w:rsid w:val="007368CE"/>
    <w:rsid w:val="00736921"/>
    <w:rsid w:val="007370F2"/>
    <w:rsid w:val="00737456"/>
    <w:rsid w:val="00737A07"/>
    <w:rsid w:val="00737D4C"/>
    <w:rsid w:val="00737F86"/>
    <w:rsid w:val="0074000D"/>
    <w:rsid w:val="007404AB"/>
    <w:rsid w:val="007404DB"/>
    <w:rsid w:val="00740956"/>
    <w:rsid w:val="007413E8"/>
    <w:rsid w:val="007419F1"/>
    <w:rsid w:val="0074247A"/>
    <w:rsid w:val="00742576"/>
    <w:rsid w:val="00742C9E"/>
    <w:rsid w:val="00742D96"/>
    <w:rsid w:val="007435E6"/>
    <w:rsid w:val="007436CD"/>
    <w:rsid w:val="00743943"/>
    <w:rsid w:val="00743FA9"/>
    <w:rsid w:val="007440F4"/>
    <w:rsid w:val="007441F0"/>
    <w:rsid w:val="00744416"/>
    <w:rsid w:val="0074486C"/>
    <w:rsid w:val="00744A6D"/>
    <w:rsid w:val="00744ACB"/>
    <w:rsid w:val="00744AD2"/>
    <w:rsid w:val="00744F1D"/>
    <w:rsid w:val="00744FDD"/>
    <w:rsid w:val="007451C9"/>
    <w:rsid w:val="00745395"/>
    <w:rsid w:val="0074561A"/>
    <w:rsid w:val="00745683"/>
    <w:rsid w:val="007457ED"/>
    <w:rsid w:val="00745BEA"/>
    <w:rsid w:val="00745E5A"/>
    <w:rsid w:val="007461E8"/>
    <w:rsid w:val="007467D5"/>
    <w:rsid w:val="007468F1"/>
    <w:rsid w:val="00746AAF"/>
    <w:rsid w:val="00746FBB"/>
    <w:rsid w:val="00747266"/>
    <w:rsid w:val="00747F58"/>
    <w:rsid w:val="00750328"/>
    <w:rsid w:val="00750491"/>
    <w:rsid w:val="007513C1"/>
    <w:rsid w:val="00751719"/>
    <w:rsid w:val="00752667"/>
    <w:rsid w:val="00752954"/>
    <w:rsid w:val="00752B5C"/>
    <w:rsid w:val="00752E9D"/>
    <w:rsid w:val="00753190"/>
    <w:rsid w:val="00753625"/>
    <w:rsid w:val="007539FB"/>
    <w:rsid w:val="00753A70"/>
    <w:rsid w:val="00753B4C"/>
    <w:rsid w:val="00754009"/>
    <w:rsid w:val="007543E5"/>
    <w:rsid w:val="00755031"/>
    <w:rsid w:val="00755252"/>
    <w:rsid w:val="0075591E"/>
    <w:rsid w:val="00755F8A"/>
    <w:rsid w:val="0075640A"/>
    <w:rsid w:val="00756D10"/>
    <w:rsid w:val="00756DB3"/>
    <w:rsid w:val="007571A2"/>
    <w:rsid w:val="00757433"/>
    <w:rsid w:val="007576DD"/>
    <w:rsid w:val="007578FA"/>
    <w:rsid w:val="00757CFB"/>
    <w:rsid w:val="0076056B"/>
    <w:rsid w:val="0076086E"/>
    <w:rsid w:val="00760AD7"/>
    <w:rsid w:val="00760AF1"/>
    <w:rsid w:val="00760C47"/>
    <w:rsid w:val="007611D3"/>
    <w:rsid w:val="007611EA"/>
    <w:rsid w:val="00761550"/>
    <w:rsid w:val="0076185A"/>
    <w:rsid w:val="00761A49"/>
    <w:rsid w:val="00761D19"/>
    <w:rsid w:val="00762612"/>
    <w:rsid w:val="00762A12"/>
    <w:rsid w:val="00762C2F"/>
    <w:rsid w:val="00762C9B"/>
    <w:rsid w:val="00762EAC"/>
    <w:rsid w:val="0076367E"/>
    <w:rsid w:val="00763B12"/>
    <w:rsid w:val="00763E99"/>
    <w:rsid w:val="00764EAF"/>
    <w:rsid w:val="00764F25"/>
    <w:rsid w:val="007651F5"/>
    <w:rsid w:val="007657FE"/>
    <w:rsid w:val="00765D0D"/>
    <w:rsid w:val="0076696F"/>
    <w:rsid w:val="007669BC"/>
    <w:rsid w:val="007669FD"/>
    <w:rsid w:val="00766E06"/>
    <w:rsid w:val="007673A0"/>
    <w:rsid w:val="0076745D"/>
    <w:rsid w:val="00767550"/>
    <w:rsid w:val="007704B3"/>
    <w:rsid w:val="007709FC"/>
    <w:rsid w:val="00770A0A"/>
    <w:rsid w:val="00770A27"/>
    <w:rsid w:val="00770A89"/>
    <w:rsid w:val="007710C1"/>
    <w:rsid w:val="00772326"/>
    <w:rsid w:val="007726E6"/>
    <w:rsid w:val="0077271B"/>
    <w:rsid w:val="00772B38"/>
    <w:rsid w:val="00772CA2"/>
    <w:rsid w:val="00772E25"/>
    <w:rsid w:val="00772E9B"/>
    <w:rsid w:val="00773068"/>
    <w:rsid w:val="00773084"/>
    <w:rsid w:val="00773169"/>
    <w:rsid w:val="007732EB"/>
    <w:rsid w:val="00773987"/>
    <w:rsid w:val="00773D66"/>
    <w:rsid w:val="00773DDE"/>
    <w:rsid w:val="00774191"/>
    <w:rsid w:val="00775417"/>
    <w:rsid w:val="00775C27"/>
    <w:rsid w:val="00776032"/>
    <w:rsid w:val="0077614B"/>
    <w:rsid w:val="00776189"/>
    <w:rsid w:val="0077696E"/>
    <w:rsid w:val="00776AFF"/>
    <w:rsid w:val="00776D9D"/>
    <w:rsid w:val="007775BD"/>
    <w:rsid w:val="007776DA"/>
    <w:rsid w:val="0078080E"/>
    <w:rsid w:val="00780C76"/>
    <w:rsid w:val="00780D79"/>
    <w:rsid w:val="00780EA2"/>
    <w:rsid w:val="007810DF"/>
    <w:rsid w:val="00781329"/>
    <w:rsid w:val="0078184C"/>
    <w:rsid w:val="00781ED2"/>
    <w:rsid w:val="00781FC1"/>
    <w:rsid w:val="0078220E"/>
    <w:rsid w:val="007822F6"/>
    <w:rsid w:val="00782524"/>
    <w:rsid w:val="007829AF"/>
    <w:rsid w:val="0078319C"/>
    <w:rsid w:val="00783292"/>
    <w:rsid w:val="00783986"/>
    <w:rsid w:val="007841EC"/>
    <w:rsid w:val="007844CB"/>
    <w:rsid w:val="007848D2"/>
    <w:rsid w:val="00784E2E"/>
    <w:rsid w:val="007851B1"/>
    <w:rsid w:val="007853D4"/>
    <w:rsid w:val="007854A1"/>
    <w:rsid w:val="007854BA"/>
    <w:rsid w:val="007855C9"/>
    <w:rsid w:val="00785970"/>
    <w:rsid w:val="00785A05"/>
    <w:rsid w:val="00785A67"/>
    <w:rsid w:val="0078625C"/>
    <w:rsid w:val="007863A7"/>
    <w:rsid w:val="00786441"/>
    <w:rsid w:val="007865AD"/>
    <w:rsid w:val="007869E1"/>
    <w:rsid w:val="00786ED5"/>
    <w:rsid w:val="00787506"/>
    <w:rsid w:val="00790472"/>
    <w:rsid w:val="007907E6"/>
    <w:rsid w:val="007907ED"/>
    <w:rsid w:val="00790B83"/>
    <w:rsid w:val="00790BF2"/>
    <w:rsid w:val="00790CA1"/>
    <w:rsid w:val="00790DA3"/>
    <w:rsid w:val="00790DF7"/>
    <w:rsid w:val="00790ECB"/>
    <w:rsid w:val="00791983"/>
    <w:rsid w:val="00792963"/>
    <w:rsid w:val="00792AAC"/>
    <w:rsid w:val="00792B13"/>
    <w:rsid w:val="00793309"/>
    <w:rsid w:val="00793390"/>
    <w:rsid w:val="007933EA"/>
    <w:rsid w:val="00793BCE"/>
    <w:rsid w:val="00794994"/>
    <w:rsid w:val="00794B03"/>
    <w:rsid w:val="00795623"/>
    <w:rsid w:val="0079593A"/>
    <w:rsid w:val="00795BE7"/>
    <w:rsid w:val="007967A3"/>
    <w:rsid w:val="00796D20"/>
    <w:rsid w:val="00796E34"/>
    <w:rsid w:val="0079722B"/>
    <w:rsid w:val="0079750B"/>
    <w:rsid w:val="00797881"/>
    <w:rsid w:val="007979C6"/>
    <w:rsid w:val="00797C63"/>
    <w:rsid w:val="00797FC9"/>
    <w:rsid w:val="007A0150"/>
    <w:rsid w:val="007A0200"/>
    <w:rsid w:val="007A0214"/>
    <w:rsid w:val="007A02B8"/>
    <w:rsid w:val="007A02BF"/>
    <w:rsid w:val="007A07DB"/>
    <w:rsid w:val="007A15B2"/>
    <w:rsid w:val="007A1773"/>
    <w:rsid w:val="007A1B42"/>
    <w:rsid w:val="007A1D1A"/>
    <w:rsid w:val="007A2059"/>
    <w:rsid w:val="007A2192"/>
    <w:rsid w:val="007A21C7"/>
    <w:rsid w:val="007A2324"/>
    <w:rsid w:val="007A249B"/>
    <w:rsid w:val="007A2B3D"/>
    <w:rsid w:val="007A2BEE"/>
    <w:rsid w:val="007A2D79"/>
    <w:rsid w:val="007A33B0"/>
    <w:rsid w:val="007A40AD"/>
    <w:rsid w:val="007A56CC"/>
    <w:rsid w:val="007A5861"/>
    <w:rsid w:val="007A5B4C"/>
    <w:rsid w:val="007A5B55"/>
    <w:rsid w:val="007A618E"/>
    <w:rsid w:val="007A61EA"/>
    <w:rsid w:val="007A6627"/>
    <w:rsid w:val="007A6DEE"/>
    <w:rsid w:val="007A6E19"/>
    <w:rsid w:val="007A6E77"/>
    <w:rsid w:val="007A6F7C"/>
    <w:rsid w:val="007A7304"/>
    <w:rsid w:val="007A7343"/>
    <w:rsid w:val="007A74D7"/>
    <w:rsid w:val="007B06AF"/>
    <w:rsid w:val="007B0730"/>
    <w:rsid w:val="007B1443"/>
    <w:rsid w:val="007B166C"/>
    <w:rsid w:val="007B1950"/>
    <w:rsid w:val="007B1989"/>
    <w:rsid w:val="007B1B4B"/>
    <w:rsid w:val="007B2430"/>
    <w:rsid w:val="007B2651"/>
    <w:rsid w:val="007B2A2C"/>
    <w:rsid w:val="007B30D0"/>
    <w:rsid w:val="007B35B9"/>
    <w:rsid w:val="007B3730"/>
    <w:rsid w:val="007B37D9"/>
    <w:rsid w:val="007B3D58"/>
    <w:rsid w:val="007B3E1E"/>
    <w:rsid w:val="007B4E2C"/>
    <w:rsid w:val="007B555E"/>
    <w:rsid w:val="007B5795"/>
    <w:rsid w:val="007B5BED"/>
    <w:rsid w:val="007B5BF3"/>
    <w:rsid w:val="007B5F5C"/>
    <w:rsid w:val="007B64F4"/>
    <w:rsid w:val="007B6BF5"/>
    <w:rsid w:val="007B6D5B"/>
    <w:rsid w:val="007B6EBE"/>
    <w:rsid w:val="007B7500"/>
    <w:rsid w:val="007B7B51"/>
    <w:rsid w:val="007B7EA7"/>
    <w:rsid w:val="007C034B"/>
    <w:rsid w:val="007C054C"/>
    <w:rsid w:val="007C0BF6"/>
    <w:rsid w:val="007C1167"/>
    <w:rsid w:val="007C1379"/>
    <w:rsid w:val="007C18B8"/>
    <w:rsid w:val="007C1E16"/>
    <w:rsid w:val="007C2020"/>
    <w:rsid w:val="007C2230"/>
    <w:rsid w:val="007C22FE"/>
    <w:rsid w:val="007C247A"/>
    <w:rsid w:val="007C275D"/>
    <w:rsid w:val="007C296E"/>
    <w:rsid w:val="007C2C33"/>
    <w:rsid w:val="007C31EF"/>
    <w:rsid w:val="007C32A2"/>
    <w:rsid w:val="007C332D"/>
    <w:rsid w:val="007C36C0"/>
    <w:rsid w:val="007C3DA5"/>
    <w:rsid w:val="007C3F6E"/>
    <w:rsid w:val="007C43B5"/>
    <w:rsid w:val="007C4473"/>
    <w:rsid w:val="007C44D7"/>
    <w:rsid w:val="007C49C4"/>
    <w:rsid w:val="007C5487"/>
    <w:rsid w:val="007C55A0"/>
    <w:rsid w:val="007C5B66"/>
    <w:rsid w:val="007C5D7B"/>
    <w:rsid w:val="007C66D4"/>
    <w:rsid w:val="007C69C5"/>
    <w:rsid w:val="007C6F67"/>
    <w:rsid w:val="007C7429"/>
    <w:rsid w:val="007C75E9"/>
    <w:rsid w:val="007C7B8E"/>
    <w:rsid w:val="007D0067"/>
    <w:rsid w:val="007D0329"/>
    <w:rsid w:val="007D0E9A"/>
    <w:rsid w:val="007D14C1"/>
    <w:rsid w:val="007D187E"/>
    <w:rsid w:val="007D291F"/>
    <w:rsid w:val="007D2FF6"/>
    <w:rsid w:val="007D3599"/>
    <w:rsid w:val="007D3A14"/>
    <w:rsid w:val="007D3A65"/>
    <w:rsid w:val="007D3DD5"/>
    <w:rsid w:val="007D438C"/>
    <w:rsid w:val="007D4530"/>
    <w:rsid w:val="007D474C"/>
    <w:rsid w:val="007D4DE7"/>
    <w:rsid w:val="007D4E19"/>
    <w:rsid w:val="007D5255"/>
    <w:rsid w:val="007D5584"/>
    <w:rsid w:val="007D5BFE"/>
    <w:rsid w:val="007D5D54"/>
    <w:rsid w:val="007D5E56"/>
    <w:rsid w:val="007D60D0"/>
    <w:rsid w:val="007D647D"/>
    <w:rsid w:val="007D651B"/>
    <w:rsid w:val="007D65AD"/>
    <w:rsid w:val="007D6B61"/>
    <w:rsid w:val="007D6DBE"/>
    <w:rsid w:val="007D6F58"/>
    <w:rsid w:val="007D70BB"/>
    <w:rsid w:val="007E0600"/>
    <w:rsid w:val="007E0790"/>
    <w:rsid w:val="007E0FC3"/>
    <w:rsid w:val="007E1174"/>
    <w:rsid w:val="007E1C5D"/>
    <w:rsid w:val="007E2EE6"/>
    <w:rsid w:val="007E2F8F"/>
    <w:rsid w:val="007E353F"/>
    <w:rsid w:val="007E3567"/>
    <w:rsid w:val="007E3AD5"/>
    <w:rsid w:val="007E3BD5"/>
    <w:rsid w:val="007E3D82"/>
    <w:rsid w:val="007E4E25"/>
    <w:rsid w:val="007E50E9"/>
    <w:rsid w:val="007E5214"/>
    <w:rsid w:val="007E53B7"/>
    <w:rsid w:val="007E5A03"/>
    <w:rsid w:val="007E5AFA"/>
    <w:rsid w:val="007E5BFF"/>
    <w:rsid w:val="007E6618"/>
    <w:rsid w:val="007E6DD4"/>
    <w:rsid w:val="007E6E05"/>
    <w:rsid w:val="007E6F14"/>
    <w:rsid w:val="007E70A5"/>
    <w:rsid w:val="007E7237"/>
    <w:rsid w:val="007E72A8"/>
    <w:rsid w:val="007E7417"/>
    <w:rsid w:val="007E7421"/>
    <w:rsid w:val="007E7B9E"/>
    <w:rsid w:val="007E7C0A"/>
    <w:rsid w:val="007F012A"/>
    <w:rsid w:val="007F0290"/>
    <w:rsid w:val="007F07BE"/>
    <w:rsid w:val="007F0800"/>
    <w:rsid w:val="007F1396"/>
    <w:rsid w:val="007F155D"/>
    <w:rsid w:val="007F179C"/>
    <w:rsid w:val="007F190E"/>
    <w:rsid w:val="007F19C7"/>
    <w:rsid w:val="007F1AA9"/>
    <w:rsid w:val="007F1C54"/>
    <w:rsid w:val="007F295D"/>
    <w:rsid w:val="007F2D8C"/>
    <w:rsid w:val="007F2E49"/>
    <w:rsid w:val="007F2ECE"/>
    <w:rsid w:val="007F2F43"/>
    <w:rsid w:val="007F3575"/>
    <w:rsid w:val="007F3635"/>
    <w:rsid w:val="007F36A6"/>
    <w:rsid w:val="007F36C8"/>
    <w:rsid w:val="007F3815"/>
    <w:rsid w:val="007F3C16"/>
    <w:rsid w:val="007F497A"/>
    <w:rsid w:val="007F49A5"/>
    <w:rsid w:val="007F4C24"/>
    <w:rsid w:val="007F4C75"/>
    <w:rsid w:val="007F4EE9"/>
    <w:rsid w:val="007F5184"/>
    <w:rsid w:val="007F5302"/>
    <w:rsid w:val="007F580D"/>
    <w:rsid w:val="007F59E1"/>
    <w:rsid w:val="007F5C03"/>
    <w:rsid w:val="007F5FE9"/>
    <w:rsid w:val="007F6229"/>
    <w:rsid w:val="007F65CF"/>
    <w:rsid w:val="007F73E5"/>
    <w:rsid w:val="007F76D8"/>
    <w:rsid w:val="007F7856"/>
    <w:rsid w:val="007F7DF3"/>
    <w:rsid w:val="007F7FFB"/>
    <w:rsid w:val="00800323"/>
    <w:rsid w:val="00800407"/>
    <w:rsid w:val="008004F0"/>
    <w:rsid w:val="008007B1"/>
    <w:rsid w:val="008015E7"/>
    <w:rsid w:val="008018B4"/>
    <w:rsid w:val="0080262B"/>
    <w:rsid w:val="00802AA4"/>
    <w:rsid w:val="00802C41"/>
    <w:rsid w:val="0080331A"/>
    <w:rsid w:val="008035B9"/>
    <w:rsid w:val="008035FC"/>
    <w:rsid w:val="00803AC7"/>
    <w:rsid w:val="00803FE2"/>
    <w:rsid w:val="00804268"/>
    <w:rsid w:val="0080458B"/>
    <w:rsid w:val="008045E5"/>
    <w:rsid w:val="00804A3C"/>
    <w:rsid w:val="00804AB6"/>
    <w:rsid w:val="0080539E"/>
    <w:rsid w:val="00805457"/>
    <w:rsid w:val="00805790"/>
    <w:rsid w:val="008058F0"/>
    <w:rsid w:val="00805C6B"/>
    <w:rsid w:val="00805DCB"/>
    <w:rsid w:val="00806200"/>
    <w:rsid w:val="00806BB6"/>
    <w:rsid w:val="00806BD4"/>
    <w:rsid w:val="00806DAC"/>
    <w:rsid w:val="00806E61"/>
    <w:rsid w:val="00806F44"/>
    <w:rsid w:val="008073FB"/>
    <w:rsid w:val="0080751D"/>
    <w:rsid w:val="008077EF"/>
    <w:rsid w:val="00807F27"/>
    <w:rsid w:val="00810140"/>
    <w:rsid w:val="00810150"/>
    <w:rsid w:val="008101DF"/>
    <w:rsid w:val="008101EF"/>
    <w:rsid w:val="008106B2"/>
    <w:rsid w:val="00810784"/>
    <w:rsid w:val="00810C2B"/>
    <w:rsid w:val="00810C2E"/>
    <w:rsid w:val="00810D6D"/>
    <w:rsid w:val="0081137D"/>
    <w:rsid w:val="008113BD"/>
    <w:rsid w:val="00811C6A"/>
    <w:rsid w:val="0081265E"/>
    <w:rsid w:val="00812D92"/>
    <w:rsid w:val="00812F3D"/>
    <w:rsid w:val="00813AFA"/>
    <w:rsid w:val="008146DA"/>
    <w:rsid w:val="00814810"/>
    <w:rsid w:val="00814A18"/>
    <w:rsid w:val="00814A4D"/>
    <w:rsid w:val="00814A7F"/>
    <w:rsid w:val="00814F53"/>
    <w:rsid w:val="00815346"/>
    <w:rsid w:val="008154FB"/>
    <w:rsid w:val="00815788"/>
    <w:rsid w:val="00815A82"/>
    <w:rsid w:val="00815E77"/>
    <w:rsid w:val="00816085"/>
    <w:rsid w:val="008164A5"/>
    <w:rsid w:val="008165F0"/>
    <w:rsid w:val="0081663E"/>
    <w:rsid w:val="0081674D"/>
    <w:rsid w:val="00816AD1"/>
    <w:rsid w:val="00816BDC"/>
    <w:rsid w:val="00816D34"/>
    <w:rsid w:val="0081784D"/>
    <w:rsid w:val="008179DA"/>
    <w:rsid w:val="00817AB8"/>
    <w:rsid w:val="00817AC5"/>
    <w:rsid w:val="00817AF6"/>
    <w:rsid w:val="00820045"/>
    <w:rsid w:val="00820810"/>
    <w:rsid w:val="00820ED8"/>
    <w:rsid w:val="00820F7C"/>
    <w:rsid w:val="00821552"/>
    <w:rsid w:val="00821568"/>
    <w:rsid w:val="00821981"/>
    <w:rsid w:val="008219C8"/>
    <w:rsid w:val="00821AAD"/>
    <w:rsid w:val="00821E92"/>
    <w:rsid w:val="00821FC3"/>
    <w:rsid w:val="0082218D"/>
    <w:rsid w:val="00822418"/>
    <w:rsid w:val="00822515"/>
    <w:rsid w:val="008229DF"/>
    <w:rsid w:val="00822F8A"/>
    <w:rsid w:val="0082312F"/>
    <w:rsid w:val="00823992"/>
    <w:rsid w:val="00823AE4"/>
    <w:rsid w:val="00823FFA"/>
    <w:rsid w:val="008244E3"/>
    <w:rsid w:val="0082488C"/>
    <w:rsid w:val="00824AD4"/>
    <w:rsid w:val="00824EEE"/>
    <w:rsid w:val="00824FA5"/>
    <w:rsid w:val="00825058"/>
    <w:rsid w:val="008253A6"/>
    <w:rsid w:val="00825971"/>
    <w:rsid w:val="0082608F"/>
    <w:rsid w:val="00826435"/>
    <w:rsid w:val="00826A19"/>
    <w:rsid w:val="008271ED"/>
    <w:rsid w:val="0082742B"/>
    <w:rsid w:val="008275AA"/>
    <w:rsid w:val="0082793A"/>
    <w:rsid w:val="00827A76"/>
    <w:rsid w:val="00827BF2"/>
    <w:rsid w:val="00827E86"/>
    <w:rsid w:val="00830104"/>
    <w:rsid w:val="0083024A"/>
    <w:rsid w:val="00830413"/>
    <w:rsid w:val="008305A3"/>
    <w:rsid w:val="00830687"/>
    <w:rsid w:val="008306AE"/>
    <w:rsid w:val="00830E8A"/>
    <w:rsid w:val="008313F6"/>
    <w:rsid w:val="0083207B"/>
    <w:rsid w:val="008322C7"/>
    <w:rsid w:val="0083243A"/>
    <w:rsid w:val="00833317"/>
    <w:rsid w:val="0083383A"/>
    <w:rsid w:val="0083396D"/>
    <w:rsid w:val="008339A7"/>
    <w:rsid w:val="00833BDB"/>
    <w:rsid w:val="00833E65"/>
    <w:rsid w:val="00833F0D"/>
    <w:rsid w:val="00833FC6"/>
    <w:rsid w:val="00834B29"/>
    <w:rsid w:val="008360C2"/>
    <w:rsid w:val="00836C2A"/>
    <w:rsid w:val="00837A48"/>
    <w:rsid w:val="00837B75"/>
    <w:rsid w:val="00840068"/>
    <w:rsid w:val="0084057A"/>
    <w:rsid w:val="008407CF"/>
    <w:rsid w:val="00840FAC"/>
    <w:rsid w:val="00841518"/>
    <w:rsid w:val="00841809"/>
    <w:rsid w:val="008418F5"/>
    <w:rsid w:val="00842032"/>
    <w:rsid w:val="00842079"/>
    <w:rsid w:val="00842816"/>
    <w:rsid w:val="00842D81"/>
    <w:rsid w:val="00842F1E"/>
    <w:rsid w:val="008435E8"/>
    <w:rsid w:val="008439F6"/>
    <w:rsid w:val="00843BAE"/>
    <w:rsid w:val="00844791"/>
    <w:rsid w:val="00844B82"/>
    <w:rsid w:val="00844E0F"/>
    <w:rsid w:val="00845285"/>
    <w:rsid w:val="0084545E"/>
    <w:rsid w:val="008460F6"/>
    <w:rsid w:val="0084670E"/>
    <w:rsid w:val="00846848"/>
    <w:rsid w:val="008469F7"/>
    <w:rsid w:val="00846ABF"/>
    <w:rsid w:val="00846E5E"/>
    <w:rsid w:val="00846EA6"/>
    <w:rsid w:val="00846FAC"/>
    <w:rsid w:val="008470E5"/>
    <w:rsid w:val="008471FF"/>
    <w:rsid w:val="0084783A"/>
    <w:rsid w:val="00847B7C"/>
    <w:rsid w:val="00847BB9"/>
    <w:rsid w:val="0085001C"/>
    <w:rsid w:val="00850049"/>
    <w:rsid w:val="008500C7"/>
    <w:rsid w:val="0085023C"/>
    <w:rsid w:val="0085098C"/>
    <w:rsid w:val="00850A4A"/>
    <w:rsid w:val="0085178D"/>
    <w:rsid w:val="00851A7C"/>
    <w:rsid w:val="00851CBF"/>
    <w:rsid w:val="00851E9C"/>
    <w:rsid w:val="00852177"/>
    <w:rsid w:val="008521D9"/>
    <w:rsid w:val="008521F1"/>
    <w:rsid w:val="008524CB"/>
    <w:rsid w:val="00852501"/>
    <w:rsid w:val="00852871"/>
    <w:rsid w:val="00853224"/>
    <w:rsid w:val="00853239"/>
    <w:rsid w:val="008534C1"/>
    <w:rsid w:val="00853998"/>
    <w:rsid w:val="008547D2"/>
    <w:rsid w:val="00854EE6"/>
    <w:rsid w:val="0085578F"/>
    <w:rsid w:val="0085598E"/>
    <w:rsid w:val="00855EAB"/>
    <w:rsid w:val="0085675E"/>
    <w:rsid w:val="00856AE2"/>
    <w:rsid w:val="00856E18"/>
    <w:rsid w:val="00857065"/>
    <w:rsid w:val="008571E6"/>
    <w:rsid w:val="0085783C"/>
    <w:rsid w:val="008578C4"/>
    <w:rsid w:val="008579E5"/>
    <w:rsid w:val="00857D3D"/>
    <w:rsid w:val="0086046F"/>
    <w:rsid w:val="00860DA8"/>
    <w:rsid w:val="008619C2"/>
    <w:rsid w:val="00861A07"/>
    <w:rsid w:val="00861B88"/>
    <w:rsid w:val="00861DE2"/>
    <w:rsid w:val="00861EDA"/>
    <w:rsid w:val="00862068"/>
    <w:rsid w:val="00862B7A"/>
    <w:rsid w:val="0086316E"/>
    <w:rsid w:val="008634FF"/>
    <w:rsid w:val="008636EA"/>
    <w:rsid w:val="00863BC3"/>
    <w:rsid w:val="00864126"/>
    <w:rsid w:val="00864C30"/>
    <w:rsid w:val="00864E3F"/>
    <w:rsid w:val="00865206"/>
    <w:rsid w:val="00865872"/>
    <w:rsid w:val="0086680D"/>
    <w:rsid w:val="00866FAD"/>
    <w:rsid w:val="008675D1"/>
    <w:rsid w:val="008678A8"/>
    <w:rsid w:val="00867B60"/>
    <w:rsid w:val="00867F2F"/>
    <w:rsid w:val="00867FD7"/>
    <w:rsid w:val="008701E6"/>
    <w:rsid w:val="0087022A"/>
    <w:rsid w:val="00870451"/>
    <w:rsid w:val="00870461"/>
    <w:rsid w:val="00870ADD"/>
    <w:rsid w:val="00871273"/>
    <w:rsid w:val="0087152C"/>
    <w:rsid w:val="0087199C"/>
    <w:rsid w:val="00871BFE"/>
    <w:rsid w:val="00871C8A"/>
    <w:rsid w:val="00871C9B"/>
    <w:rsid w:val="00871DD9"/>
    <w:rsid w:val="00872391"/>
    <w:rsid w:val="00872A99"/>
    <w:rsid w:val="00872BE2"/>
    <w:rsid w:val="0087304A"/>
    <w:rsid w:val="00873825"/>
    <w:rsid w:val="00873844"/>
    <w:rsid w:val="0087388D"/>
    <w:rsid w:val="00873EF5"/>
    <w:rsid w:val="008741F5"/>
    <w:rsid w:val="008744EF"/>
    <w:rsid w:val="008746AE"/>
    <w:rsid w:val="0087478D"/>
    <w:rsid w:val="0087490B"/>
    <w:rsid w:val="0087498B"/>
    <w:rsid w:val="00874A9B"/>
    <w:rsid w:val="00874C5D"/>
    <w:rsid w:val="00875674"/>
    <w:rsid w:val="008763FF"/>
    <w:rsid w:val="00876599"/>
    <w:rsid w:val="00876A0E"/>
    <w:rsid w:val="00876ACD"/>
    <w:rsid w:val="00876B5A"/>
    <w:rsid w:val="00877879"/>
    <w:rsid w:val="00880146"/>
    <w:rsid w:val="008801E3"/>
    <w:rsid w:val="008801EC"/>
    <w:rsid w:val="0088034E"/>
    <w:rsid w:val="00880A37"/>
    <w:rsid w:val="00880ADE"/>
    <w:rsid w:val="00880BE5"/>
    <w:rsid w:val="00880C56"/>
    <w:rsid w:val="008811E7"/>
    <w:rsid w:val="008811E9"/>
    <w:rsid w:val="008812B5"/>
    <w:rsid w:val="00881D41"/>
    <w:rsid w:val="00881F43"/>
    <w:rsid w:val="008822E8"/>
    <w:rsid w:val="008823CD"/>
    <w:rsid w:val="008826E0"/>
    <w:rsid w:val="008828EC"/>
    <w:rsid w:val="00882901"/>
    <w:rsid w:val="008829F3"/>
    <w:rsid w:val="00882C3C"/>
    <w:rsid w:val="0088311E"/>
    <w:rsid w:val="008831B8"/>
    <w:rsid w:val="00883340"/>
    <w:rsid w:val="00883787"/>
    <w:rsid w:val="00883C6A"/>
    <w:rsid w:val="00883E71"/>
    <w:rsid w:val="00883FB2"/>
    <w:rsid w:val="008841F9"/>
    <w:rsid w:val="0088459B"/>
    <w:rsid w:val="0088492C"/>
    <w:rsid w:val="00884F2A"/>
    <w:rsid w:val="00885179"/>
    <w:rsid w:val="0088544A"/>
    <w:rsid w:val="00885658"/>
    <w:rsid w:val="008856C5"/>
    <w:rsid w:val="0088583F"/>
    <w:rsid w:val="008858ED"/>
    <w:rsid w:val="00885E3A"/>
    <w:rsid w:val="008863C6"/>
    <w:rsid w:val="00886511"/>
    <w:rsid w:val="00886668"/>
    <w:rsid w:val="008869B7"/>
    <w:rsid w:val="00886B9F"/>
    <w:rsid w:val="00886D1D"/>
    <w:rsid w:val="0088700F"/>
    <w:rsid w:val="008874BD"/>
    <w:rsid w:val="0089006C"/>
    <w:rsid w:val="00890B44"/>
    <w:rsid w:val="00890B50"/>
    <w:rsid w:val="00891355"/>
    <w:rsid w:val="00891596"/>
    <w:rsid w:val="00891CC2"/>
    <w:rsid w:val="00891E52"/>
    <w:rsid w:val="00891F8B"/>
    <w:rsid w:val="0089223A"/>
    <w:rsid w:val="008923BE"/>
    <w:rsid w:val="008923EF"/>
    <w:rsid w:val="0089243D"/>
    <w:rsid w:val="00892990"/>
    <w:rsid w:val="00892FFC"/>
    <w:rsid w:val="00893234"/>
    <w:rsid w:val="00894107"/>
    <w:rsid w:val="00894C7E"/>
    <w:rsid w:val="008951CF"/>
    <w:rsid w:val="008955DD"/>
    <w:rsid w:val="008963E6"/>
    <w:rsid w:val="00896440"/>
    <w:rsid w:val="00896AC8"/>
    <w:rsid w:val="00896D10"/>
    <w:rsid w:val="00897256"/>
    <w:rsid w:val="0089739E"/>
    <w:rsid w:val="008979C9"/>
    <w:rsid w:val="00897C32"/>
    <w:rsid w:val="008A015E"/>
    <w:rsid w:val="008A0501"/>
    <w:rsid w:val="008A09C8"/>
    <w:rsid w:val="008A1007"/>
    <w:rsid w:val="008A11A8"/>
    <w:rsid w:val="008A165C"/>
    <w:rsid w:val="008A1A3D"/>
    <w:rsid w:val="008A1E2F"/>
    <w:rsid w:val="008A2805"/>
    <w:rsid w:val="008A2990"/>
    <w:rsid w:val="008A2D77"/>
    <w:rsid w:val="008A2E88"/>
    <w:rsid w:val="008A36D8"/>
    <w:rsid w:val="008A3BAE"/>
    <w:rsid w:val="008A3CE7"/>
    <w:rsid w:val="008A429A"/>
    <w:rsid w:val="008A4307"/>
    <w:rsid w:val="008A439A"/>
    <w:rsid w:val="008A4763"/>
    <w:rsid w:val="008A4938"/>
    <w:rsid w:val="008A52F2"/>
    <w:rsid w:val="008A54B9"/>
    <w:rsid w:val="008A5772"/>
    <w:rsid w:val="008A6057"/>
    <w:rsid w:val="008A63A4"/>
    <w:rsid w:val="008A649C"/>
    <w:rsid w:val="008A7765"/>
    <w:rsid w:val="008A787D"/>
    <w:rsid w:val="008A789C"/>
    <w:rsid w:val="008A78F4"/>
    <w:rsid w:val="008A7E89"/>
    <w:rsid w:val="008A7EE9"/>
    <w:rsid w:val="008A7FD7"/>
    <w:rsid w:val="008B07F5"/>
    <w:rsid w:val="008B0ED0"/>
    <w:rsid w:val="008B10F0"/>
    <w:rsid w:val="008B119D"/>
    <w:rsid w:val="008B139D"/>
    <w:rsid w:val="008B1670"/>
    <w:rsid w:val="008B1F95"/>
    <w:rsid w:val="008B2393"/>
    <w:rsid w:val="008B2474"/>
    <w:rsid w:val="008B27F0"/>
    <w:rsid w:val="008B2F58"/>
    <w:rsid w:val="008B3717"/>
    <w:rsid w:val="008B374F"/>
    <w:rsid w:val="008B389C"/>
    <w:rsid w:val="008B3C29"/>
    <w:rsid w:val="008B3E45"/>
    <w:rsid w:val="008B458B"/>
    <w:rsid w:val="008B4B1F"/>
    <w:rsid w:val="008B4F3F"/>
    <w:rsid w:val="008B506D"/>
    <w:rsid w:val="008B556F"/>
    <w:rsid w:val="008B5581"/>
    <w:rsid w:val="008B6067"/>
    <w:rsid w:val="008B616A"/>
    <w:rsid w:val="008B63BC"/>
    <w:rsid w:val="008B6A45"/>
    <w:rsid w:val="008B6BB4"/>
    <w:rsid w:val="008B6C71"/>
    <w:rsid w:val="008B722E"/>
    <w:rsid w:val="008B7416"/>
    <w:rsid w:val="008B7AC9"/>
    <w:rsid w:val="008C0276"/>
    <w:rsid w:val="008C0633"/>
    <w:rsid w:val="008C0A0E"/>
    <w:rsid w:val="008C0AA6"/>
    <w:rsid w:val="008C11AC"/>
    <w:rsid w:val="008C178F"/>
    <w:rsid w:val="008C1895"/>
    <w:rsid w:val="008C18E8"/>
    <w:rsid w:val="008C1CED"/>
    <w:rsid w:val="008C1DD0"/>
    <w:rsid w:val="008C1EBB"/>
    <w:rsid w:val="008C1F51"/>
    <w:rsid w:val="008C1F8F"/>
    <w:rsid w:val="008C20CC"/>
    <w:rsid w:val="008C245B"/>
    <w:rsid w:val="008C30E0"/>
    <w:rsid w:val="008C329B"/>
    <w:rsid w:val="008C33E1"/>
    <w:rsid w:val="008C36A6"/>
    <w:rsid w:val="008C3A75"/>
    <w:rsid w:val="008C4151"/>
    <w:rsid w:val="008C4A17"/>
    <w:rsid w:val="008C4B77"/>
    <w:rsid w:val="008C4DAA"/>
    <w:rsid w:val="008C5396"/>
    <w:rsid w:val="008C5442"/>
    <w:rsid w:val="008C5D8A"/>
    <w:rsid w:val="008C5E88"/>
    <w:rsid w:val="008C6069"/>
    <w:rsid w:val="008C6C6F"/>
    <w:rsid w:val="008C71C5"/>
    <w:rsid w:val="008C72F2"/>
    <w:rsid w:val="008C7587"/>
    <w:rsid w:val="008C7820"/>
    <w:rsid w:val="008C7831"/>
    <w:rsid w:val="008C7C8F"/>
    <w:rsid w:val="008C7DED"/>
    <w:rsid w:val="008D0253"/>
    <w:rsid w:val="008D02E8"/>
    <w:rsid w:val="008D06CF"/>
    <w:rsid w:val="008D0721"/>
    <w:rsid w:val="008D0C01"/>
    <w:rsid w:val="008D0CBA"/>
    <w:rsid w:val="008D11F0"/>
    <w:rsid w:val="008D12A5"/>
    <w:rsid w:val="008D14EA"/>
    <w:rsid w:val="008D175A"/>
    <w:rsid w:val="008D1D61"/>
    <w:rsid w:val="008D25E1"/>
    <w:rsid w:val="008D291C"/>
    <w:rsid w:val="008D2CEA"/>
    <w:rsid w:val="008D2EB0"/>
    <w:rsid w:val="008D3691"/>
    <w:rsid w:val="008D36CC"/>
    <w:rsid w:val="008D3A3B"/>
    <w:rsid w:val="008D3A3D"/>
    <w:rsid w:val="008D3C40"/>
    <w:rsid w:val="008D3D4B"/>
    <w:rsid w:val="008D3DD4"/>
    <w:rsid w:val="008D4083"/>
    <w:rsid w:val="008D42EC"/>
    <w:rsid w:val="008D45D1"/>
    <w:rsid w:val="008D47A3"/>
    <w:rsid w:val="008D4EA3"/>
    <w:rsid w:val="008D517E"/>
    <w:rsid w:val="008D58B1"/>
    <w:rsid w:val="008D5CBE"/>
    <w:rsid w:val="008D5E2A"/>
    <w:rsid w:val="008D623D"/>
    <w:rsid w:val="008D732A"/>
    <w:rsid w:val="008D738B"/>
    <w:rsid w:val="008D745B"/>
    <w:rsid w:val="008D7C95"/>
    <w:rsid w:val="008D7E60"/>
    <w:rsid w:val="008E019F"/>
    <w:rsid w:val="008E04E1"/>
    <w:rsid w:val="008E06DF"/>
    <w:rsid w:val="008E09BB"/>
    <w:rsid w:val="008E0A83"/>
    <w:rsid w:val="008E0AA3"/>
    <w:rsid w:val="008E0BEF"/>
    <w:rsid w:val="008E1D56"/>
    <w:rsid w:val="008E215E"/>
    <w:rsid w:val="008E21FF"/>
    <w:rsid w:val="008E26C5"/>
    <w:rsid w:val="008E27EA"/>
    <w:rsid w:val="008E34E3"/>
    <w:rsid w:val="008E355D"/>
    <w:rsid w:val="008E4542"/>
    <w:rsid w:val="008E45BF"/>
    <w:rsid w:val="008E4936"/>
    <w:rsid w:val="008E57A6"/>
    <w:rsid w:val="008E6061"/>
    <w:rsid w:val="008E621A"/>
    <w:rsid w:val="008E7160"/>
    <w:rsid w:val="008E75F7"/>
    <w:rsid w:val="008E7C75"/>
    <w:rsid w:val="008E7FF4"/>
    <w:rsid w:val="008F00C3"/>
    <w:rsid w:val="008F013A"/>
    <w:rsid w:val="008F01D9"/>
    <w:rsid w:val="008F0446"/>
    <w:rsid w:val="008F0641"/>
    <w:rsid w:val="008F064C"/>
    <w:rsid w:val="008F0679"/>
    <w:rsid w:val="008F06BB"/>
    <w:rsid w:val="008F0EEB"/>
    <w:rsid w:val="008F109B"/>
    <w:rsid w:val="008F1FD6"/>
    <w:rsid w:val="008F2171"/>
    <w:rsid w:val="008F2675"/>
    <w:rsid w:val="008F2A82"/>
    <w:rsid w:val="008F2D6B"/>
    <w:rsid w:val="008F3222"/>
    <w:rsid w:val="008F32C2"/>
    <w:rsid w:val="008F385A"/>
    <w:rsid w:val="008F3C9A"/>
    <w:rsid w:val="008F4182"/>
    <w:rsid w:val="008F4311"/>
    <w:rsid w:val="008F4D09"/>
    <w:rsid w:val="008F4F79"/>
    <w:rsid w:val="008F4FF2"/>
    <w:rsid w:val="008F5590"/>
    <w:rsid w:val="008F56A6"/>
    <w:rsid w:val="008F574D"/>
    <w:rsid w:val="008F5A46"/>
    <w:rsid w:val="008F6854"/>
    <w:rsid w:val="008F6DFE"/>
    <w:rsid w:val="008F7403"/>
    <w:rsid w:val="008F77AE"/>
    <w:rsid w:val="008F7861"/>
    <w:rsid w:val="00900104"/>
    <w:rsid w:val="00900246"/>
    <w:rsid w:val="0090082A"/>
    <w:rsid w:val="00900A5B"/>
    <w:rsid w:val="00900E54"/>
    <w:rsid w:val="0090106F"/>
    <w:rsid w:val="009012F5"/>
    <w:rsid w:val="0090141E"/>
    <w:rsid w:val="009015F3"/>
    <w:rsid w:val="0090161B"/>
    <w:rsid w:val="00901B13"/>
    <w:rsid w:val="009027F2"/>
    <w:rsid w:val="00902AF2"/>
    <w:rsid w:val="00902DD0"/>
    <w:rsid w:val="00902EAB"/>
    <w:rsid w:val="009031F8"/>
    <w:rsid w:val="00903374"/>
    <w:rsid w:val="00903550"/>
    <w:rsid w:val="00904359"/>
    <w:rsid w:val="009046AD"/>
    <w:rsid w:val="00904804"/>
    <w:rsid w:val="00904AF4"/>
    <w:rsid w:val="00904F38"/>
    <w:rsid w:val="0090503D"/>
    <w:rsid w:val="0090516B"/>
    <w:rsid w:val="00905459"/>
    <w:rsid w:val="009061E9"/>
    <w:rsid w:val="00906DE3"/>
    <w:rsid w:val="00906E85"/>
    <w:rsid w:val="00907077"/>
    <w:rsid w:val="0090755D"/>
    <w:rsid w:val="00907563"/>
    <w:rsid w:val="00907B1C"/>
    <w:rsid w:val="009100A5"/>
    <w:rsid w:val="0091022D"/>
    <w:rsid w:val="009106DB"/>
    <w:rsid w:val="00910BB9"/>
    <w:rsid w:val="00910C47"/>
    <w:rsid w:val="0091140C"/>
    <w:rsid w:val="0091150B"/>
    <w:rsid w:val="00911F8E"/>
    <w:rsid w:val="0091283A"/>
    <w:rsid w:val="00912B37"/>
    <w:rsid w:val="00912CB1"/>
    <w:rsid w:val="00912F8D"/>
    <w:rsid w:val="0091345D"/>
    <w:rsid w:val="00913553"/>
    <w:rsid w:val="0091364B"/>
    <w:rsid w:val="009139BB"/>
    <w:rsid w:val="00913A53"/>
    <w:rsid w:val="00913D3A"/>
    <w:rsid w:val="00913DA1"/>
    <w:rsid w:val="00913FE1"/>
    <w:rsid w:val="009151D9"/>
    <w:rsid w:val="009156BF"/>
    <w:rsid w:val="009160F4"/>
    <w:rsid w:val="00916649"/>
    <w:rsid w:val="00916F44"/>
    <w:rsid w:val="00917716"/>
    <w:rsid w:val="0091772B"/>
    <w:rsid w:val="009179E3"/>
    <w:rsid w:val="00917A69"/>
    <w:rsid w:val="00917C03"/>
    <w:rsid w:val="00920AF4"/>
    <w:rsid w:val="00920BE3"/>
    <w:rsid w:val="00920D27"/>
    <w:rsid w:val="009210C5"/>
    <w:rsid w:val="00921195"/>
    <w:rsid w:val="009212B1"/>
    <w:rsid w:val="009213C5"/>
    <w:rsid w:val="0092158F"/>
    <w:rsid w:val="00921895"/>
    <w:rsid w:val="00921A50"/>
    <w:rsid w:val="00921EC9"/>
    <w:rsid w:val="00922592"/>
    <w:rsid w:val="00922608"/>
    <w:rsid w:val="00922870"/>
    <w:rsid w:val="00922EAB"/>
    <w:rsid w:val="00922F7A"/>
    <w:rsid w:val="009233BE"/>
    <w:rsid w:val="009239C3"/>
    <w:rsid w:val="00923B18"/>
    <w:rsid w:val="00923C98"/>
    <w:rsid w:val="00923E6E"/>
    <w:rsid w:val="00923F91"/>
    <w:rsid w:val="0092415E"/>
    <w:rsid w:val="00924412"/>
    <w:rsid w:val="00924957"/>
    <w:rsid w:val="00924AA8"/>
    <w:rsid w:val="00925155"/>
    <w:rsid w:val="00925588"/>
    <w:rsid w:val="00925D5C"/>
    <w:rsid w:val="009261E8"/>
    <w:rsid w:val="00926988"/>
    <w:rsid w:val="009270C9"/>
    <w:rsid w:val="00927528"/>
    <w:rsid w:val="009301CD"/>
    <w:rsid w:val="00930270"/>
    <w:rsid w:val="009308B2"/>
    <w:rsid w:val="00930C60"/>
    <w:rsid w:val="00930EDE"/>
    <w:rsid w:val="009310E5"/>
    <w:rsid w:val="00931142"/>
    <w:rsid w:val="009314A6"/>
    <w:rsid w:val="00931BCF"/>
    <w:rsid w:val="00932107"/>
    <w:rsid w:val="0093215C"/>
    <w:rsid w:val="009321CF"/>
    <w:rsid w:val="009324F8"/>
    <w:rsid w:val="009329E3"/>
    <w:rsid w:val="00933111"/>
    <w:rsid w:val="00933255"/>
    <w:rsid w:val="00933581"/>
    <w:rsid w:val="009336B0"/>
    <w:rsid w:val="00933C04"/>
    <w:rsid w:val="0093438F"/>
    <w:rsid w:val="00934486"/>
    <w:rsid w:val="009344AC"/>
    <w:rsid w:val="009344DC"/>
    <w:rsid w:val="0093450B"/>
    <w:rsid w:val="009349BE"/>
    <w:rsid w:val="00935823"/>
    <w:rsid w:val="00935A7A"/>
    <w:rsid w:val="009360DD"/>
    <w:rsid w:val="00936944"/>
    <w:rsid w:val="00936A4F"/>
    <w:rsid w:val="00936FD0"/>
    <w:rsid w:val="00937024"/>
    <w:rsid w:val="009371DA"/>
    <w:rsid w:val="009373EB"/>
    <w:rsid w:val="0093753F"/>
    <w:rsid w:val="0093758A"/>
    <w:rsid w:val="00937A7F"/>
    <w:rsid w:val="0094089C"/>
    <w:rsid w:val="0094090A"/>
    <w:rsid w:val="00940B51"/>
    <w:rsid w:val="00940D42"/>
    <w:rsid w:val="0094129B"/>
    <w:rsid w:val="009417D7"/>
    <w:rsid w:val="00941962"/>
    <w:rsid w:val="00941D01"/>
    <w:rsid w:val="009423DF"/>
    <w:rsid w:val="009427F7"/>
    <w:rsid w:val="00942C61"/>
    <w:rsid w:val="00942CE5"/>
    <w:rsid w:val="00942DC8"/>
    <w:rsid w:val="009430C1"/>
    <w:rsid w:val="00943168"/>
    <w:rsid w:val="00943414"/>
    <w:rsid w:val="0094374C"/>
    <w:rsid w:val="009439F5"/>
    <w:rsid w:val="009442FB"/>
    <w:rsid w:val="0094451C"/>
    <w:rsid w:val="00944648"/>
    <w:rsid w:val="00944EEF"/>
    <w:rsid w:val="009459E9"/>
    <w:rsid w:val="00945C0B"/>
    <w:rsid w:val="00945E12"/>
    <w:rsid w:val="00945F1B"/>
    <w:rsid w:val="00947015"/>
    <w:rsid w:val="00947026"/>
    <w:rsid w:val="00947126"/>
    <w:rsid w:val="009472E4"/>
    <w:rsid w:val="0094755E"/>
    <w:rsid w:val="00947680"/>
    <w:rsid w:val="009478B9"/>
    <w:rsid w:val="00947A78"/>
    <w:rsid w:val="00947EF9"/>
    <w:rsid w:val="0095008E"/>
    <w:rsid w:val="009502FD"/>
    <w:rsid w:val="00950A7D"/>
    <w:rsid w:val="00950F83"/>
    <w:rsid w:val="009512EC"/>
    <w:rsid w:val="009514ED"/>
    <w:rsid w:val="00951F13"/>
    <w:rsid w:val="009523DD"/>
    <w:rsid w:val="009524F9"/>
    <w:rsid w:val="00952C1F"/>
    <w:rsid w:val="00952E41"/>
    <w:rsid w:val="00952F56"/>
    <w:rsid w:val="0095378C"/>
    <w:rsid w:val="00953C76"/>
    <w:rsid w:val="0095410E"/>
    <w:rsid w:val="00954342"/>
    <w:rsid w:val="00954B55"/>
    <w:rsid w:val="00955061"/>
    <w:rsid w:val="009551F0"/>
    <w:rsid w:val="009553D3"/>
    <w:rsid w:val="00955940"/>
    <w:rsid w:val="00955998"/>
    <w:rsid w:val="00955DB7"/>
    <w:rsid w:val="00955E36"/>
    <w:rsid w:val="009571EA"/>
    <w:rsid w:val="00957902"/>
    <w:rsid w:val="0095797E"/>
    <w:rsid w:val="00957A58"/>
    <w:rsid w:val="00957B71"/>
    <w:rsid w:val="00957C03"/>
    <w:rsid w:val="00957D6E"/>
    <w:rsid w:val="00957E48"/>
    <w:rsid w:val="009600FA"/>
    <w:rsid w:val="00960CAF"/>
    <w:rsid w:val="00960D16"/>
    <w:rsid w:val="00960F1A"/>
    <w:rsid w:val="009611F3"/>
    <w:rsid w:val="009615B4"/>
    <w:rsid w:val="0096212B"/>
    <w:rsid w:val="0096259E"/>
    <w:rsid w:val="009625AA"/>
    <w:rsid w:val="00962969"/>
    <w:rsid w:val="00962EF3"/>
    <w:rsid w:val="009632DD"/>
    <w:rsid w:val="00963635"/>
    <w:rsid w:val="0096377C"/>
    <w:rsid w:val="00963CB0"/>
    <w:rsid w:val="00963D9E"/>
    <w:rsid w:val="00963E68"/>
    <w:rsid w:val="00963F34"/>
    <w:rsid w:val="0096401D"/>
    <w:rsid w:val="009647F0"/>
    <w:rsid w:val="009649FF"/>
    <w:rsid w:val="00964CFE"/>
    <w:rsid w:val="0096539B"/>
    <w:rsid w:val="0096563D"/>
    <w:rsid w:val="009657D1"/>
    <w:rsid w:val="009662AC"/>
    <w:rsid w:val="009662F8"/>
    <w:rsid w:val="00966524"/>
    <w:rsid w:val="009665D8"/>
    <w:rsid w:val="00966DDA"/>
    <w:rsid w:val="00966F5E"/>
    <w:rsid w:val="00966F85"/>
    <w:rsid w:val="00967533"/>
    <w:rsid w:val="00967563"/>
    <w:rsid w:val="009676B5"/>
    <w:rsid w:val="009676C8"/>
    <w:rsid w:val="009676CF"/>
    <w:rsid w:val="009676D5"/>
    <w:rsid w:val="00967905"/>
    <w:rsid w:val="00967A64"/>
    <w:rsid w:val="00967B7C"/>
    <w:rsid w:val="00967D27"/>
    <w:rsid w:val="00967FEA"/>
    <w:rsid w:val="00970142"/>
    <w:rsid w:val="00970529"/>
    <w:rsid w:val="0097065E"/>
    <w:rsid w:val="00970872"/>
    <w:rsid w:val="00970B28"/>
    <w:rsid w:val="00970CAB"/>
    <w:rsid w:val="0097121E"/>
    <w:rsid w:val="00971242"/>
    <w:rsid w:val="00971303"/>
    <w:rsid w:val="00971660"/>
    <w:rsid w:val="00971E1F"/>
    <w:rsid w:val="00972286"/>
    <w:rsid w:val="00972438"/>
    <w:rsid w:val="009726AC"/>
    <w:rsid w:val="009727E9"/>
    <w:rsid w:val="00972904"/>
    <w:rsid w:val="00972CE1"/>
    <w:rsid w:val="00972EAA"/>
    <w:rsid w:val="00973304"/>
    <w:rsid w:val="009733BD"/>
    <w:rsid w:val="009735E9"/>
    <w:rsid w:val="00973C2E"/>
    <w:rsid w:val="00975096"/>
    <w:rsid w:val="009756CB"/>
    <w:rsid w:val="00975722"/>
    <w:rsid w:val="00975883"/>
    <w:rsid w:val="00975DE2"/>
    <w:rsid w:val="00976915"/>
    <w:rsid w:val="00976BCA"/>
    <w:rsid w:val="00976C72"/>
    <w:rsid w:val="00976CFC"/>
    <w:rsid w:val="00976F51"/>
    <w:rsid w:val="00977D6B"/>
    <w:rsid w:val="009808EA"/>
    <w:rsid w:val="00980F0B"/>
    <w:rsid w:val="009813C0"/>
    <w:rsid w:val="009813CA"/>
    <w:rsid w:val="009818C6"/>
    <w:rsid w:val="00981BF0"/>
    <w:rsid w:val="00981FED"/>
    <w:rsid w:val="009823AD"/>
    <w:rsid w:val="0098253D"/>
    <w:rsid w:val="009827AD"/>
    <w:rsid w:val="0098280B"/>
    <w:rsid w:val="009829DC"/>
    <w:rsid w:val="00982E63"/>
    <w:rsid w:val="00982EC1"/>
    <w:rsid w:val="009835B2"/>
    <w:rsid w:val="00983893"/>
    <w:rsid w:val="009838E9"/>
    <w:rsid w:val="009839DF"/>
    <w:rsid w:val="00983A1E"/>
    <w:rsid w:val="00983B54"/>
    <w:rsid w:val="00983C71"/>
    <w:rsid w:val="009844DE"/>
    <w:rsid w:val="00984F07"/>
    <w:rsid w:val="009850F6"/>
    <w:rsid w:val="00985BBF"/>
    <w:rsid w:val="00985F7F"/>
    <w:rsid w:val="00987964"/>
    <w:rsid w:val="00987C0B"/>
    <w:rsid w:val="00987DB4"/>
    <w:rsid w:val="0099006B"/>
    <w:rsid w:val="00990296"/>
    <w:rsid w:val="009902A2"/>
    <w:rsid w:val="0099033E"/>
    <w:rsid w:val="0099044D"/>
    <w:rsid w:val="00990885"/>
    <w:rsid w:val="00990A17"/>
    <w:rsid w:val="0099130A"/>
    <w:rsid w:val="00991825"/>
    <w:rsid w:val="009918AC"/>
    <w:rsid w:val="0099197A"/>
    <w:rsid w:val="00991C4F"/>
    <w:rsid w:val="00991D2C"/>
    <w:rsid w:val="0099235F"/>
    <w:rsid w:val="009923A6"/>
    <w:rsid w:val="00992E73"/>
    <w:rsid w:val="00993B34"/>
    <w:rsid w:val="00993B85"/>
    <w:rsid w:val="0099414D"/>
    <w:rsid w:val="00994313"/>
    <w:rsid w:val="009944DD"/>
    <w:rsid w:val="009946BB"/>
    <w:rsid w:val="00994704"/>
    <w:rsid w:val="00994C73"/>
    <w:rsid w:val="00994E0B"/>
    <w:rsid w:val="00996F39"/>
    <w:rsid w:val="009971A0"/>
    <w:rsid w:val="0099753D"/>
    <w:rsid w:val="009A01D3"/>
    <w:rsid w:val="009A0D40"/>
    <w:rsid w:val="009A0EC0"/>
    <w:rsid w:val="009A109F"/>
    <w:rsid w:val="009A1612"/>
    <w:rsid w:val="009A1B1D"/>
    <w:rsid w:val="009A23AC"/>
    <w:rsid w:val="009A2536"/>
    <w:rsid w:val="009A2A3C"/>
    <w:rsid w:val="009A3117"/>
    <w:rsid w:val="009A33D5"/>
    <w:rsid w:val="009A38AF"/>
    <w:rsid w:val="009A3CC5"/>
    <w:rsid w:val="009A3D43"/>
    <w:rsid w:val="009A3EBF"/>
    <w:rsid w:val="009A3FAC"/>
    <w:rsid w:val="009A4554"/>
    <w:rsid w:val="009A46FA"/>
    <w:rsid w:val="009A47D0"/>
    <w:rsid w:val="009A537E"/>
    <w:rsid w:val="009A5CB7"/>
    <w:rsid w:val="009A5E1E"/>
    <w:rsid w:val="009A6C2A"/>
    <w:rsid w:val="009A7330"/>
    <w:rsid w:val="009A73B6"/>
    <w:rsid w:val="009A7963"/>
    <w:rsid w:val="009A7AEB"/>
    <w:rsid w:val="009A7F9A"/>
    <w:rsid w:val="009B004E"/>
    <w:rsid w:val="009B071E"/>
    <w:rsid w:val="009B092B"/>
    <w:rsid w:val="009B0967"/>
    <w:rsid w:val="009B126B"/>
    <w:rsid w:val="009B1321"/>
    <w:rsid w:val="009B14CE"/>
    <w:rsid w:val="009B1CBA"/>
    <w:rsid w:val="009B1E24"/>
    <w:rsid w:val="009B25A2"/>
    <w:rsid w:val="009B30FA"/>
    <w:rsid w:val="009B32C4"/>
    <w:rsid w:val="009B36A7"/>
    <w:rsid w:val="009B3925"/>
    <w:rsid w:val="009B3B16"/>
    <w:rsid w:val="009B3CD4"/>
    <w:rsid w:val="009B3D78"/>
    <w:rsid w:val="009B3D84"/>
    <w:rsid w:val="009B3F86"/>
    <w:rsid w:val="009B4454"/>
    <w:rsid w:val="009B5133"/>
    <w:rsid w:val="009B532E"/>
    <w:rsid w:val="009B5B91"/>
    <w:rsid w:val="009B6141"/>
    <w:rsid w:val="009B6235"/>
    <w:rsid w:val="009B62CA"/>
    <w:rsid w:val="009B62EB"/>
    <w:rsid w:val="009B652E"/>
    <w:rsid w:val="009B6853"/>
    <w:rsid w:val="009B6A7D"/>
    <w:rsid w:val="009B6BD4"/>
    <w:rsid w:val="009B6C32"/>
    <w:rsid w:val="009B7083"/>
    <w:rsid w:val="009B7B86"/>
    <w:rsid w:val="009B7C2D"/>
    <w:rsid w:val="009B7C49"/>
    <w:rsid w:val="009C0B02"/>
    <w:rsid w:val="009C1272"/>
    <w:rsid w:val="009C19EB"/>
    <w:rsid w:val="009C1C3E"/>
    <w:rsid w:val="009C21D1"/>
    <w:rsid w:val="009C273A"/>
    <w:rsid w:val="009C2A74"/>
    <w:rsid w:val="009C2B58"/>
    <w:rsid w:val="009C2EDD"/>
    <w:rsid w:val="009C30AB"/>
    <w:rsid w:val="009C3468"/>
    <w:rsid w:val="009C3B5D"/>
    <w:rsid w:val="009C3C21"/>
    <w:rsid w:val="009C3E19"/>
    <w:rsid w:val="009C3EAE"/>
    <w:rsid w:val="009C4134"/>
    <w:rsid w:val="009C4318"/>
    <w:rsid w:val="009C45B7"/>
    <w:rsid w:val="009C4975"/>
    <w:rsid w:val="009C4DAC"/>
    <w:rsid w:val="009C4DEE"/>
    <w:rsid w:val="009C4FF3"/>
    <w:rsid w:val="009C5AB5"/>
    <w:rsid w:val="009C5BDD"/>
    <w:rsid w:val="009C5CB6"/>
    <w:rsid w:val="009C5D81"/>
    <w:rsid w:val="009C5E25"/>
    <w:rsid w:val="009C665D"/>
    <w:rsid w:val="009C6A8F"/>
    <w:rsid w:val="009C6AD9"/>
    <w:rsid w:val="009C730A"/>
    <w:rsid w:val="009C7DDC"/>
    <w:rsid w:val="009D012E"/>
    <w:rsid w:val="009D03C4"/>
    <w:rsid w:val="009D047F"/>
    <w:rsid w:val="009D04FC"/>
    <w:rsid w:val="009D05E2"/>
    <w:rsid w:val="009D06CD"/>
    <w:rsid w:val="009D0A57"/>
    <w:rsid w:val="009D0BA9"/>
    <w:rsid w:val="009D0E98"/>
    <w:rsid w:val="009D1C30"/>
    <w:rsid w:val="009D30C2"/>
    <w:rsid w:val="009D38F0"/>
    <w:rsid w:val="009D3C40"/>
    <w:rsid w:val="009D4894"/>
    <w:rsid w:val="009D4B7A"/>
    <w:rsid w:val="009D4EBE"/>
    <w:rsid w:val="009D5769"/>
    <w:rsid w:val="009D5973"/>
    <w:rsid w:val="009D5FDD"/>
    <w:rsid w:val="009D60B3"/>
    <w:rsid w:val="009D63A7"/>
    <w:rsid w:val="009D644B"/>
    <w:rsid w:val="009D663A"/>
    <w:rsid w:val="009D6884"/>
    <w:rsid w:val="009D6991"/>
    <w:rsid w:val="009D7368"/>
    <w:rsid w:val="009D7AB0"/>
    <w:rsid w:val="009D7F4E"/>
    <w:rsid w:val="009D7FE7"/>
    <w:rsid w:val="009E01FF"/>
    <w:rsid w:val="009E05B0"/>
    <w:rsid w:val="009E0611"/>
    <w:rsid w:val="009E07F2"/>
    <w:rsid w:val="009E0E59"/>
    <w:rsid w:val="009E10BC"/>
    <w:rsid w:val="009E10F9"/>
    <w:rsid w:val="009E11FA"/>
    <w:rsid w:val="009E14E3"/>
    <w:rsid w:val="009E1896"/>
    <w:rsid w:val="009E19DA"/>
    <w:rsid w:val="009E1B5A"/>
    <w:rsid w:val="009E1F12"/>
    <w:rsid w:val="009E293F"/>
    <w:rsid w:val="009E2C2A"/>
    <w:rsid w:val="009E2DAA"/>
    <w:rsid w:val="009E350E"/>
    <w:rsid w:val="009E36C9"/>
    <w:rsid w:val="009E3789"/>
    <w:rsid w:val="009E38CA"/>
    <w:rsid w:val="009E38E3"/>
    <w:rsid w:val="009E3AE7"/>
    <w:rsid w:val="009E3BE8"/>
    <w:rsid w:val="009E40F3"/>
    <w:rsid w:val="009E4193"/>
    <w:rsid w:val="009E44EC"/>
    <w:rsid w:val="009E47C1"/>
    <w:rsid w:val="009E49A4"/>
    <w:rsid w:val="009E550D"/>
    <w:rsid w:val="009E5889"/>
    <w:rsid w:val="009E5CE1"/>
    <w:rsid w:val="009E5F17"/>
    <w:rsid w:val="009E6384"/>
    <w:rsid w:val="009E6B36"/>
    <w:rsid w:val="009E6B89"/>
    <w:rsid w:val="009E7417"/>
    <w:rsid w:val="009E7BE4"/>
    <w:rsid w:val="009F0795"/>
    <w:rsid w:val="009F0964"/>
    <w:rsid w:val="009F0D98"/>
    <w:rsid w:val="009F1173"/>
    <w:rsid w:val="009F13C0"/>
    <w:rsid w:val="009F169A"/>
    <w:rsid w:val="009F18CD"/>
    <w:rsid w:val="009F1B6E"/>
    <w:rsid w:val="009F1DBF"/>
    <w:rsid w:val="009F1F58"/>
    <w:rsid w:val="009F2145"/>
    <w:rsid w:val="009F256F"/>
    <w:rsid w:val="009F2C70"/>
    <w:rsid w:val="009F2E79"/>
    <w:rsid w:val="009F32FF"/>
    <w:rsid w:val="009F3310"/>
    <w:rsid w:val="009F345C"/>
    <w:rsid w:val="009F3C2B"/>
    <w:rsid w:val="009F3E87"/>
    <w:rsid w:val="009F445A"/>
    <w:rsid w:val="009F46D4"/>
    <w:rsid w:val="009F4998"/>
    <w:rsid w:val="009F5000"/>
    <w:rsid w:val="009F509D"/>
    <w:rsid w:val="009F5108"/>
    <w:rsid w:val="009F534F"/>
    <w:rsid w:val="009F552A"/>
    <w:rsid w:val="009F56A4"/>
    <w:rsid w:val="009F5A01"/>
    <w:rsid w:val="009F6020"/>
    <w:rsid w:val="009F63E9"/>
    <w:rsid w:val="009F6A28"/>
    <w:rsid w:val="009F7015"/>
    <w:rsid w:val="009F75E3"/>
    <w:rsid w:val="009F75E9"/>
    <w:rsid w:val="009F7B08"/>
    <w:rsid w:val="00A00868"/>
    <w:rsid w:val="00A00BE4"/>
    <w:rsid w:val="00A01040"/>
    <w:rsid w:val="00A0145D"/>
    <w:rsid w:val="00A01EC9"/>
    <w:rsid w:val="00A02442"/>
    <w:rsid w:val="00A02687"/>
    <w:rsid w:val="00A02758"/>
    <w:rsid w:val="00A0316F"/>
    <w:rsid w:val="00A0319B"/>
    <w:rsid w:val="00A03253"/>
    <w:rsid w:val="00A038E3"/>
    <w:rsid w:val="00A0399F"/>
    <w:rsid w:val="00A039A5"/>
    <w:rsid w:val="00A03B24"/>
    <w:rsid w:val="00A03C39"/>
    <w:rsid w:val="00A0441F"/>
    <w:rsid w:val="00A0475E"/>
    <w:rsid w:val="00A048BC"/>
    <w:rsid w:val="00A0514F"/>
    <w:rsid w:val="00A0517D"/>
    <w:rsid w:val="00A055EC"/>
    <w:rsid w:val="00A05B44"/>
    <w:rsid w:val="00A05E44"/>
    <w:rsid w:val="00A06055"/>
    <w:rsid w:val="00A0793B"/>
    <w:rsid w:val="00A07D47"/>
    <w:rsid w:val="00A07F9C"/>
    <w:rsid w:val="00A104FE"/>
    <w:rsid w:val="00A105E8"/>
    <w:rsid w:val="00A10937"/>
    <w:rsid w:val="00A10D17"/>
    <w:rsid w:val="00A110BE"/>
    <w:rsid w:val="00A115F1"/>
    <w:rsid w:val="00A117C6"/>
    <w:rsid w:val="00A11A47"/>
    <w:rsid w:val="00A11F04"/>
    <w:rsid w:val="00A12300"/>
    <w:rsid w:val="00A123A6"/>
    <w:rsid w:val="00A1263B"/>
    <w:rsid w:val="00A12A71"/>
    <w:rsid w:val="00A12AA4"/>
    <w:rsid w:val="00A13601"/>
    <w:rsid w:val="00A13DEA"/>
    <w:rsid w:val="00A140A1"/>
    <w:rsid w:val="00A141A6"/>
    <w:rsid w:val="00A141CF"/>
    <w:rsid w:val="00A1430B"/>
    <w:rsid w:val="00A145A6"/>
    <w:rsid w:val="00A146E2"/>
    <w:rsid w:val="00A14741"/>
    <w:rsid w:val="00A148CC"/>
    <w:rsid w:val="00A14A97"/>
    <w:rsid w:val="00A14F1A"/>
    <w:rsid w:val="00A15393"/>
    <w:rsid w:val="00A155BC"/>
    <w:rsid w:val="00A1578A"/>
    <w:rsid w:val="00A15BDB"/>
    <w:rsid w:val="00A15E6C"/>
    <w:rsid w:val="00A15FAC"/>
    <w:rsid w:val="00A16034"/>
    <w:rsid w:val="00A1653E"/>
    <w:rsid w:val="00A16A82"/>
    <w:rsid w:val="00A1703D"/>
    <w:rsid w:val="00A171E8"/>
    <w:rsid w:val="00A17790"/>
    <w:rsid w:val="00A177F0"/>
    <w:rsid w:val="00A178DB"/>
    <w:rsid w:val="00A17B46"/>
    <w:rsid w:val="00A17DBC"/>
    <w:rsid w:val="00A17E8F"/>
    <w:rsid w:val="00A20165"/>
    <w:rsid w:val="00A20216"/>
    <w:rsid w:val="00A2052B"/>
    <w:rsid w:val="00A2059C"/>
    <w:rsid w:val="00A2061E"/>
    <w:rsid w:val="00A20A8D"/>
    <w:rsid w:val="00A20D85"/>
    <w:rsid w:val="00A20DB6"/>
    <w:rsid w:val="00A20DC7"/>
    <w:rsid w:val="00A20E16"/>
    <w:rsid w:val="00A2109E"/>
    <w:rsid w:val="00A2111A"/>
    <w:rsid w:val="00A2162D"/>
    <w:rsid w:val="00A21F1A"/>
    <w:rsid w:val="00A21F51"/>
    <w:rsid w:val="00A21F74"/>
    <w:rsid w:val="00A22394"/>
    <w:rsid w:val="00A22D90"/>
    <w:rsid w:val="00A22F91"/>
    <w:rsid w:val="00A23110"/>
    <w:rsid w:val="00A2348F"/>
    <w:rsid w:val="00A235E9"/>
    <w:rsid w:val="00A23999"/>
    <w:rsid w:val="00A23A92"/>
    <w:rsid w:val="00A23E89"/>
    <w:rsid w:val="00A2400A"/>
    <w:rsid w:val="00A2424D"/>
    <w:rsid w:val="00A24D1D"/>
    <w:rsid w:val="00A24F18"/>
    <w:rsid w:val="00A24F38"/>
    <w:rsid w:val="00A25679"/>
    <w:rsid w:val="00A25C3B"/>
    <w:rsid w:val="00A2624C"/>
    <w:rsid w:val="00A26B7B"/>
    <w:rsid w:val="00A26F0C"/>
    <w:rsid w:val="00A2701D"/>
    <w:rsid w:val="00A27A39"/>
    <w:rsid w:val="00A27D06"/>
    <w:rsid w:val="00A30099"/>
    <w:rsid w:val="00A30417"/>
    <w:rsid w:val="00A30611"/>
    <w:rsid w:val="00A3099D"/>
    <w:rsid w:val="00A3100B"/>
    <w:rsid w:val="00A31546"/>
    <w:rsid w:val="00A318C7"/>
    <w:rsid w:val="00A31957"/>
    <w:rsid w:val="00A32FDA"/>
    <w:rsid w:val="00A33375"/>
    <w:rsid w:val="00A33467"/>
    <w:rsid w:val="00A3389C"/>
    <w:rsid w:val="00A33ADD"/>
    <w:rsid w:val="00A33C0D"/>
    <w:rsid w:val="00A34169"/>
    <w:rsid w:val="00A34214"/>
    <w:rsid w:val="00A34382"/>
    <w:rsid w:val="00A34721"/>
    <w:rsid w:val="00A3472A"/>
    <w:rsid w:val="00A34984"/>
    <w:rsid w:val="00A349B3"/>
    <w:rsid w:val="00A34E63"/>
    <w:rsid w:val="00A34F81"/>
    <w:rsid w:val="00A35013"/>
    <w:rsid w:val="00A351B8"/>
    <w:rsid w:val="00A3531D"/>
    <w:rsid w:val="00A35469"/>
    <w:rsid w:val="00A35571"/>
    <w:rsid w:val="00A3573A"/>
    <w:rsid w:val="00A35EDE"/>
    <w:rsid w:val="00A36C46"/>
    <w:rsid w:val="00A37451"/>
    <w:rsid w:val="00A37598"/>
    <w:rsid w:val="00A376F8"/>
    <w:rsid w:val="00A37BCA"/>
    <w:rsid w:val="00A37E60"/>
    <w:rsid w:val="00A4040B"/>
    <w:rsid w:val="00A40E23"/>
    <w:rsid w:val="00A40EA6"/>
    <w:rsid w:val="00A41050"/>
    <w:rsid w:val="00A412E0"/>
    <w:rsid w:val="00A4141A"/>
    <w:rsid w:val="00A41D69"/>
    <w:rsid w:val="00A42042"/>
    <w:rsid w:val="00A421CD"/>
    <w:rsid w:val="00A423FD"/>
    <w:rsid w:val="00A4247A"/>
    <w:rsid w:val="00A428D6"/>
    <w:rsid w:val="00A42C27"/>
    <w:rsid w:val="00A42EDC"/>
    <w:rsid w:val="00A4312F"/>
    <w:rsid w:val="00A43389"/>
    <w:rsid w:val="00A433B9"/>
    <w:rsid w:val="00A433D2"/>
    <w:rsid w:val="00A43CC9"/>
    <w:rsid w:val="00A44544"/>
    <w:rsid w:val="00A449E4"/>
    <w:rsid w:val="00A45080"/>
    <w:rsid w:val="00A4533B"/>
    <w:rsid w:val="00A453A4"/>
    <w:rsid w:val="00A455FA"/>
    <w:rsid w:val="00A45AEA"/>
    <w:rsid w:val="00A45EC1"/>
    <w:rsid w:val="00A461B6"/>
    <w:rsid w:val="00A461FB"/>
    <w:rsid w:val="00A46D92"/>
    <w:rsid w:val="00A47D5F"/>
    <w:rsid w:val="00A5037D"/>
    <w:rsid w:val="00A50396"/>
    <w:rsid w:val="00A507EA"/>
    <w:rsid w:val="00A50EAB"/>
    <w:rsid w:val="00A50EDB"/>
    <w:rsid w:val="00A5167E"/>
    <w:rsid w:val="00A52146"/>
    <w:rsid w:val="00A52271"/>
    <w:rsid w:val="00A52757"/>
    <w:rsid w:val="00A52C01"/>
    <w:rsid w:val="00A52CF3"/>
    <w:rsid w:val="00A539BD"/>
    <w:rsid w:val="00A53B7A"/>
    <w:rsid w:val="00A53DB1"/>
    <w:rsid w:val="00A540B2"/>
    <w:rsid w:val="00A5438B"/>
    <w:rsid w:val="00A55756"/>
    <w:rsid w:val="00A55BAA"/>
    <w:rsid w:val="00A562BD"/>
    <w:rsid w:val="00A5669E"/>
    <w:rsid w:val="00A56A7D"/>
    <w:rsid w:val="00A56B99"/>
    <w:rsid w:val="00A57125"/>
    <w:rsid w:val="00A574F4"/>
    <w:rsid w:val="00A5768B"/>
    <w:rsid w:val="00A57702"/>
    <w:rsid w:val="00A57873"/>
    <w:rsid w:val="00A578BF"/>
    <w:rsid w:val="00A57E82"/>
    <w:rsid w:val="00A60D69"/>
    <w:rsid w:val="00A61429"/>
    <w:rsid w:val="00A619B5"/>
    <w:rsid w:val="00A61AA0"/>
    <w:rsid w:val="00A61F8E"/>
    <w:rsid w:val="00A622F7"/>
    <w:rsid w:val="00A625A3"/>
    <w:rsid w:val="00A62C2C"/>
    <w:rsid w:val="00A635BF"/>
    <w:rsid w:val="00A63E05"/>
    <w:rsid w:val="00A64A66"/>
    <w:rsid w:val="00A64AEE"/>
    <w:rsid w:val="00A64E4B"/>
    <w:rsid w:val="00A65067"/>
    <w:rsid w:val="00A651D6"/>
    <w:rsid w:val="00A65498"/>
    <w:rsid w:val="00A655C6"/>
    <w:rsid w:val="00A65779"/>
    <w:rsid w:val="00A65FA1"/>
    <w:rsid w:val="00A66510"/>
    <w:rsid w:val="00A6699D"/>
    <w:rsid w:val="00A66A0F"/>
    <w:rsid w:val="00A66CA3"/>
    <w:rsid w:val="00A66E2E"/>
    <w:rsid w:val="00A66EB2"/>
    <w:rsid w:val="00A66FF3"/>
    <w:rsid w:val="00A67143"/>
    <w:rsid w:val="00A672FD"/>
    <w:rsid w:val="00A67367"/>
    <w:rsid w:val="00A677C7"/>
    <w:rsid w:val="00A70381"/>
    <w:rsid w:val="00A704EE"/>
    <w:rsid w:val="00A713E1"/>
    <w:rsid w:val="00A71474"/>
    <w:rsid w:val="00A7185C"/>
    <w:rsid w:val="00A71B1E"/>
    <w:rsid w:val="00A71C00"/>
    <w:rsid w:val="00A71CB1"/>
    <w:rsid w:val="00A71CE0"/>
    <w:rsid w:val="00A71DF1"/>
    <w:rsid w:val="00A7232C"/>
    <w:rsid w:val="00A7298E"/>
    <w:rsid w:val="00A72A91"/>
    <w:rsid w:val="00A72ADF"/>
    <w:rsid w:val="00A7321B"/>
    <w:rsid w:val="00A73283"/>
    <w:rsid w:val="00A732AC"/>
    <w:rsid w:val="00A73510"/>
    <w:rsid w:val="00A73931"/>
    <w:rsid w:val="00A73F2E"/>
    <w:rsid w:val="00A743DC"/>
    <w:rsid w:val="00A743EB"/>
    <w:rsid w:val="00A74ADF"/>
    <w:rsid w:val="00A74B74"/>
    <w:rsid w:val="00A74D2A"/>
    <w:rsid w:val="00A74E26"/>
    <w:rsid w:val="00A74EB5"/>
    <w:rsid w:val="00A74FD7"/>
    <w:rsid w:val="00A753B6"/>
    <w:rsid w:val="00A75573"/>
    <w:rsid w:val="00A75E12"/>
    <w:rsid w:val="00A760C9"/>
    <w:rsid w:val="00A764BF"/>
    <w:rsid w:val="00A76CA5"/>
    <w:rsid w:val="00A77666"/>
    <w:rsid w:val="00A77717"/>
    <w:rsid w:val="00A77961"/>
    <w:rsid w:val="00A77A30"/>
    <w:rsid w:val="00A77AC3"/>
    <w:rsid w:val="00A77D0D"/>
    <w:rsid w:val="00A802B8"/>
    <w:rsid w:val="00A80B7B"/>
    <w:rsid w:val="00A80B80"/>
    <w:rsid w:val="00A81641"/>
    <w:rsid w:val="00A82101"/>
    <w:rsid w:val="00A8219C"/>
    <w:rsid w:val="00A82556"/>
    <w:rsid w:val="00A82B43"/>
    <w:rsid w:val="00A8356F"/>
    <w:rsid w:val="00A837CE"/>
    <w:rsid w:val="00A8390A"/>
    <w:rsid w:val="00A83FC5"/>
    <w:rsid w:val="00A84188"/>
    <w:rsid w:val="00A841BA"/>
    <w:rsid w:val="00A84D86"/>
    <w:rsid w:val="00A8503B"/>
    <w:rsid w:val="00A854EA"/>
    <w:rsid w:val="00A85522"/>
    <w:rsid w:val="00A857A1"/>
    <w:rsid w:val="00A857E6"/>
    <w:rsid w:val="00A8595E"/>
    <w:rsid w:val="00A85A55"/>
    <w:rsid w:val="00A85BEA"/>
    <w:rsid w:val="00A85C60"/>
    <w:rsid w:val="00A860B1"/>
    <w:rsid w:val="00A86FC8"/>
    <w:rsid w:val="00A87144"/>
    <w:rsid w:val="00A87860"/>
    <w:rsid w:val="00A87D22"/>
    <w:rsid w:val="00A90475"/>
    <w:rsid w:val="00A904F9"/>
    <w:rsid w:val="00A90690"/>
    <w:rsid w:val="00A9073F"/>
    <w:rsid w:val="00A9080C"/>
    <w:rsid w:val="00A9098B"/>
    <w:rsid w:val="00A9106A"/>
    <w:rsid w:val="00A91349"/>
    <w:rsid w:val="00A91866"/>
    <w:rsid w:val="00A91F4B"/>
    <w:rsid w:val="00A91F54"/>
    <w:rsid w:val="00A92FAA"/>
    <w:rsid w:val="00A93862"/>
    <w:rsid w:val="00A939FE"/>
    <w:rsid w:val="00A93DAD"/>
    <w:rsid w:val="00A946A6"/>
    <w:rsid w:val="00A94969"/>
    <w:rsid w:val="00A94C86"/>
    <w:rsid w:val="00A94E72"/>
    <w:rsid w:val="00A95237"/>
    <w:rsid w:val="00A9532A"/>
    <w:rsid w:val="00A9572A"/>
    <w:rsid w:val="00A962DA"/>
    <w:rsid w:val="00A968A2"/>
    <w:rsid w:val="00A96B86"/>
    <w:rsid w:val="00A96F6C"/>
    <w:rsid w:val="00A97217"/>
    <w:rsid w:val="00A973F7"/>
    <w:rsid w:val="00A974E9"/>
    <w:rsid w:val="00A97A39"/>
    <w:rsid w:val="00A97C5E"/>
    <w:rsid w:val="00AA036C"/>
    <w:rsid w:val="00AA0951"/>
    <w:rsid w:val="00AA0D2B"/>
    <w:rsid w:val="00AA1054"/>
    <w:rsid w:val="00AA1BFB"/>
    <w:rsid w:val="00AA2145"/>
    <w:rsid w:val="00AA265B"/>
    <w:rsid w:val="00AA2705"/>
    <w:rsid w:val="00AA2A0D"/>
    <w:rsid w:val="00AA2B96"/>
    <w:rsid w:val="00AA2E1A"/>
    <w:rsid w:val="00AA2E78"/>
    <w:rsid w:val="00AA2F7B"/>
    <w:rsid w:val="00AA3DD0"/>
    <w:rsid w:val="00AA4271"/>
    <w:rsid w:val="00AA4339"/>
    <w:rsid w:val="00AA4D0A"/>
    <w:rsid w:val="00AA4DA0"/>
    <w:rsid w:val="00AA4FE3"/>
    <w:rsid w:val="00AA50F9"/>
    <w:rsid w:val="00AA534F"/>
    <w:rsid w:val="00AA53C9"/>
    <w:rsid w:val="00AA5A2D"/>
    <w:rsid w:val="00AA5C00"/>
    <w:rsid w:val="00AA5D04"/>
    <w:rsid w:val="00AA5D11"/>
    <w:rsid w:val="00AA5F70"/>
    <w:rsid w:val="00AA607E"/>
    <w:rsid w:val="00AA6B0E"/>
    <w:rsid w:val="00AA6B95"/>
    <w:rsid w:val="00AA71FE"/>
    <w:rsid w:val="00AA72DB"/>
    <w:rsid w:val="00AA7555"/>
    <w:rsid w:val="00AA767D"/>
    <w:rsid w:val="00AA799C"/>
    <w:rsid w:val="00AB1954"/>
    <w:rsid w:val="00AB1DED"/>
    <w:rsid w:val="00AB2350"/>
    <w:rsid w:val="00AB2B65"/>
    <w:rsid w:val="00AB2CF9"/>
    <w:rsid w:val="00AB2FF1"/>
    <w:rsid w:val="00AB3C7C"/>
    <w:rsid w:val="00AB3DCD"/>
    <w:rsid w:val="00AB3DE3"/>
    <w:rsid w:val="00AB4172"/>
    <w:rsid w:val="00AB41F9"/>
    <w:rsid w:val="00AB4255"/>
    <w:rsid w:val="00AB4445"/>
    <w:rsid w:val="00AB4701"/>
    <w:rsid w:val="00AB478A"/>
    <w:rsid w:val="00AB4856"/>
    <w:rsid w:val="00AB491A"/>
    <w:rsid w:val="00AB4A05"/>
    <w:rsid w:val="00AB4B5B"/>
    <w:rsid w:val="00AB5A00"/>
    <w:rsid w:val="00AB5E43"/>
    <w:rsid w:val="00AB6663"/>
    <w:rsid w:val="00AB6843"/>
    <w:rsid w:val="00AB75EB"/>
    <w:rsid w:val="00AC01D4"/>
    <w:rsid w:val="00AC06E9"/>
    <w:rsid w:val="00AC143E"/>
    <w:rsid w:val="00AC1C9C"/>
    <w:rsid w:val="00AC1E16"/>
    <w:rsid w:val="00AC2431"/>
    <w:rsid w:val="00AC2F97"/>
    <w:rsid w:val="00AC31D5"/>
    <w:rsid w:val="00AC350E"/>
    <w:rsid w:val="00AC4D9D"/>
    <w:rsid w:val="00AC58AB"/>
    <w:rsid w:val="00AC5A55"/>
    <w:rsid w:val="00AC5F04"/>
    <w:rsid w:val="00AC6061"/>
    <w:rsid w:val="00AC61C2"/>
    <w:rsid w:val="00AC65E8"/>
    <w:rsid w:val="00AC698C"/>
    <w:rsid w:val="00AC7B3F"/>
    <w:rsid w:val="00AC7B77"/>
    <w:rsid w:val="00AC7C02"/>
    <w:rsid w:val="00AC7E1C"/>
    <w:rsid w:val="00AD025C"/>
    <w:rsid w:val="00AD0A79"/>
    <w:rsid w:val="00AD0B94"/>
    <w:rsid w:val="00AD0D40"/>
    <w:rsid w:val="00AD0FEB"/>
    <w:rsid w:val="00AD139D"/>
    <w:rsid w:val="00AD13CF"/>
    <w:rsid w:val="00AD1C11"/>
    <w:rsid w:val="00AD1D0F"/>
    <w:rsid w:val="00AD1D5F"/>
    <w:rsid w:val="00AD1FE9"/>
    <w:rsid w:val="00AD276B"/>
    <w:rsid w:val="00AD2A45"/>
    <w:rsid w:val="00AD2B38"/>
    <w:rsid w:val="00AD2E7B"/>
    <w:rsid w:val="00AD39C9"/>
    <w:rsid w:val="00AD3F8C"/>
    <w:rsid w:val="00AD41F0"/>
    <w:rsid w:val="00AD44CF"/>
    <w:rsid w:val="00AD4F7E"/>
    <w:rsid w:val="00AD512E"/>
    <w:rsid w:val="00AD5788"/>
    <w:rsid w:val="00AD5C67"/>
    <w:rsid w:val="00AD677B"/>
    <w:rsid w:val="00AD6B07"/>
    <w:rsid w:val="00AD6D09"/>
    <w:rsid w:val="00AD73DE"/>
    <w:rsid w:val="00AD78D1"/>
    <w:rsid w:val="00AD7D96"/>
    <w:rsid w:val="00AD7F31"/>
    <w:rsid w:val="00AE00A7"/>
    <w:rsid w:val="00AE00DF"/>
    <w:rsid w:val="00AE10DF"/>
    <w:rsid w:val="00AE148A"/>
    <w:rsid w:val="00AE156A"/>
    <w:rsid w:val="00AE1B1E"/>
    <w:rsid w:val="00AE1B75"/>
    <w:rsid w:val="00AE1BAA"/>
    <w:rsid w:val="00AE1C4C"/>
    <w:rsid w:val="00AE2183"/>
    <w:rsid w:val="00AE2DA8"/>
    <w:rsid w:val="00AE2FFF"/>
    <w:rsid w:val="00AE30A8"/>
    <w:rsid w:val="00AE3525"/>
    <w:rsid w:val="00AE355D"/>
    <w:rsid w:val="00AE3ED3"/>
    <w:rsid w:val="00AE4511"/>
    <w:rsid w:val="00AE475E"/>
    <w:rsid w:val="00AE4FE6"/>
    <w:rsid w:val="00AE5328"/>
    <w:rsid w:val="00AE5481"/>
    <w:rsid w:val="00AE59FD"/>
    <w:rsid w:val="00AE5BC7"/>
    <w:rsid w:val="00AE5C47"/>
    <w:rsid w:val="00AE5D25"/>
    <w:rsid w:val="00AE6B68"/>
    <w:rsid w:val="00AE736B"/>
    <w:rsid w:val="00AE7593"/>
    <w:rsid w:val="00AE789A"/>
    <w:rsid w:val="00AF009B"/>
    <w:rsid w:val="00AF0524"/>
    <w:rsid w:val="00AF05A2"/>
    <w:rsid w:val="00AF0AED"/>
    <w:rsid w:val="00AF134F"/>
    <w:rsid w:val="00AF15E8"/>
    <w:rsid w:val="00AF1D81"/>
    <w:rsid w:val="00AF24DE"/>
    <w:rsid w:val="00AF26CB"/>
    <w:rsid w:val="00AF2D10"/>
    <w:rsid w:val="00AF2D21"/>
    <w:rsid w:val="00AF323D"/>
    <w:rsid w:val="00AF329E"/>
    <w:rsid w:val="00AF3A06"/>
    <w:rsid w:val="00AF3E95"/>
    <w:rsid w:val="00AF3FE9"/>
    <w:rsid w:val="00AF42E0"/>
    <w:rsid w:val="00AF4A86"/>
    <w:rsid w:val="00AF4AF4"/>
    <w:rsid w:val="00AF503B"/>
    <w:rsid w:val="00AF5129"/>
    <w:rsid w:val="00AF57CA"/>
    <w:rsid w:val="00AF5899"/>
    <w:rsid w:val="00AF6729"/>
    <w:rsid w:val="00AF6B5C"/>
    <w:rsid w:val="00AF6E37"/>
    <w:rsid w:val="00AF70B5"/>
    <w:rsid w:val="00AF712C"/>
    <w:rsid w:val="00AF72D4"/>
    <w:rsid w:val="00AF78AE"/>
    <w:rsid w:val="00AF7DE8"/>
    <w:rsid w:val="00B003A2"/>
    <w:rsid w:val="00B008F4"/>
    <w:rsid w:val="00B00EFB"/>
    <w:rsid w:val="00B01122"/>
    <w:rsid w:val="00B017FB"/>
    <w:rsid w:val="00B01A2C"/>
    <w:rsid w:val="00B01C06"/>
    <w:rsid w:val="00B01EA8"/>
    <w:rsid w:val="00B02191"/>
    <w:rsid w:val="00B025E8"/>
    <w:rsid w:val="00B0291C"/>
    <w:rsid w:val="00B03128"/>
    <w:rsid w:val="00B0320B"/>
    <w:rsid w:val="00B032D0"/>
    <w:rsid w:val="00B03411"/>
    <w:rsid w:val="00B036B3"/>
    <w:rsid w:val="00B037F7"/>
    <w:rsid w:val="00B038FA"/>
    <w:rsid w:val="00B03B20"/>
    <w:rsid w:val="00B0415A"/>
    <w:rsid w:val="00B04714"/>
    <w:rsid w:val="00B049F1"/>
    <w:rsid w:val="00B04E68"/>
    <w:rsid w:val="00B05253"/>
    <w:rsid w:val="00B06410"/>
    <w:rsid w:val="00B06A58"/>
    <w:rsid w:val="00B0750D"/>
    <w:rsid w:val="00B0759E"/>
    <w:rsid w:val="00B07714"/>
    <w:rsid w:val="00B07A57"/>
    <w:rsid w:val="00B07AF5"/>
    <w:rsid w:val="00B07B89"/>
    <w:rsid w:val="00B10FCA"/>
    <w:rsid w:val="00B113C4"/>
    <w:rsid w:val="00B115A5"/>
    <w:rsid w:val="00B11708"/>
    <w:rsid w:val="00B11993"/>
    <w:rsid w:val="00B11D9D"/>
    <w:rsid w:val="00B120D8"/>
    <w:rsid w:val="00B12BF3"/>
    <w:rsid w:val="00B12FAD"/>
    <w:rsid w:val="00B133B1"/>
    <w:rsid w:val="00B13AF7"/>
    <w:rsid w:val="00B13D0F"/>
    <w:rsid w:val="00B13DB8"/>
    <w:rsid w:val="00B140FC"/>
    <w:rsid w:val="00B1463D"/>
    <w:rsid w:val="00B14A67"/>
    <w:rsid w:val="00B14A82"/>
    <w:rsid w:val="00B14B1B"/>
    <w:rsid w:val="00B150E3"/>
    <w:rsid w:val="00B1579D"/>
    <w:rsid w:val="00B15AD8"/>
    <w:rsid w:val="00B15BD7"/>
    <w:rsid w:val="00B15C06"/>
    <w:rsid w:val="00B15DDC"/>
    <w:rsid w:val="00B16738"/>
    <w:rsid w:val="00B16CE3"/>
    <w:rsid w:val="00B172A9"/>
    <w:rsid w:val="00B17B6B"/>
    <w:rsid w:val="00B17DAC"/>
    <w:rsid w:val="00B202A3"/>
    <w:rsid w:val="00B204DD"/>
    <w:rsid w:val="00B20C95"/>
    <w:rsid w:val="00B20D74"/>
    <w:rsid w:val="00B21269"/>
    <w:rsid w:val="00B212F8"/>
    <w:rsid w:val="00B2148C"/>
    <w:rsid w:val="00B21764"/>
    <w:rsid w:val="00B217D3"/>
    <w:rsid w:val="00B2195F"/>
    <w:rsid w:val="00B21A4C"/>
    <w:rsid w:val="00B22077"/>
    <w:rsid w:val="00B2234A"/>
    <w:rsid w:val="00B225A0"/>
    <w:rsid w:val="00B228F6"/>
    <w:rsid w:val="00B23005"/>
    <w:rsid w:val="00B23AF7"/>
    <w:rsid w:val="00B241E4"/>
    <w:rsid w:val="00B2431B"/>
    <w:rsid w:val="00B24756"/>
    <w:rsid w:val="00B24950"/>
    <w:rsid w:val="00B2495A"/>
    <w:rsid w:val="00B24F70"/>
    <w:rsid w:val="00B25A47"/>
    <w:rsid w:val="00B25C96"/>
    <w:rsid w:val="00B25E88"/>
    <w:rsid w:val="00B25F5D"/>
    <w:rsid w:val="00B262E0"/>
    <w:rsid w:val="00B2699E"/>
    <w:rsid w:val="00B2708C"/>
    <w:rsid w:val="00B271A5"/>
    <w:rsid w:val="00B274A7"/>
    <w:rsid w:val="00B27513"/>
    <w:rsid w:val="00B27781"/>
    <w:rsid w:val="00B27AF1"/>
    <w:rsid w:val="00B27D68"/>
    <w:rsid w:val="00B307D4"/>
    <w:rsid w:val="00B31500"/>
    <w:rsid w:val="00B315F8"/>
    <w:rsid w:val="00B31672"/>
    <w:rsid w:val="00B32206"/>
    <w:rsid w:val="00B32440"/>
    <w:rsid w:val="00B325DD"/>
    <w:rsid w:val="00B32F8C"/>
    <w:rsid w:val="00B332AB"/>
    <w:rsid w:val="00B336F5"/>
    <w:rsid w:val="00B33FC5"/>
    <w:rsid w:val="00B34352"/>
    <w:rsid w:val="00B347CC"/>
    <w:rsid w:val="00B34A16"/>
    <w:rsid w:val="00B34C32"/>
    <w:rsid w:val="00B34CDB"/>
    <w:rsid w:val="00B353D7"/>
    <w:rsid w:val="00B3547F"/>
    <w:rsid w:val="00B35656"/>
    <w:rsid w:val="00B3565E"/>
    <w:rsid w:val="00B35737"/>
    <w:rsid w:val="00B35CBC"/>
    <w:rsid w:val="00B35DFF"/>
    <w:rsid w:val="00B35EA3"/>
    <w:rsid w:val="00B360E5"/>
    <w:rsid w:val="00B3616F"/>
    <w:rsid w:val="00B3633A"/>
    <w:rsid w:val="00B36444"/>
    <w:rsid w:val="00B36532"/>
    <w:rsid w:val="00B3689F"/>
    <w:rsid w:val="00B36CBC"/>
    <w:rsid w:val="00B36FFC"/>
    <w:rsid w:val="00B3700E"/>
    <w:rsid w:val="00B3754F"/>
    <w:rsid w:val="00B37A54"/>
    <w:rsid w:val="00B37E1D"/>
    <w:rsid w:val="00B37F7A"/>
    <w:rsid w:val="00B409BB"/>
    <w:rsid w:val="00B40CF7"/>
    <w:rsid w:val="00B40FB9"/>
    <w:rsid w:val="00B41A20"/>
    <w:rsid w:val="00B41B3E"/>
    <w:rsid w:val="00B4205C"/>
    <w:rsid w:val="00B421F0"/>
    <w:rsid w:val="00B4228C"/>
    <w:rsid w:val="00B42548"/>
    <w:rsid w:val="00B425D2"/>
    <w:rsid w:val="00B428EE"/>
    <w:rsid w:val="00B42F65"/>
    <w:rsid w:val="00B43035"/>
    <w:rsid w:val="00B4324E"/>
    <w:rsid w:val="00B434DC"/>
    <w:rsid w:val="00B4376D"/>
    <w:rsid w:val="00B438F1"/>
    <w:rsid w:val="00B4391A"/>
    <w:rsid w:val="00B43AC5"/>
    <w:rsid w:val="00B43F36"/>
    <w:rsid w:val="00B44290"/>
    <w:rsid w:val="00B44303"/>
    <w:rsid w:val="00B44FE5"/>
    <w:rsid w:val="00B456D8"/>
    <w:rsid w:val="00B45E41"/>
    <w:rsid w:val="00B45E68"/>
    <w:rsid w:val="00B464D2"/>
    <w:rsid w:val="00B46A00"/>
    <w:rsid w:val="00B46D35"/>
    <w:rsid w:val="00B46D62"/>
    <w:rsid w:val="00B474B7"/>
    <w:rsid w:val="00B47AF0"/>
    <w:rsid w:val="00B47FCE"/>
    <w:rsid w:val="00B5027D"/>
    <w:rsid w:val="00B50374"/>
    <w:rsid w:val="00B504EA"/>
    <w:rsid w:val="00B515C0"/>
    <w:rsid w:val="00B51612"/>
    <w:rsid w:val="00B51916"/>
    <w:rsid w:val="00B521E8"/>
    <w:rsid w:val="00B5243E"/>
    <w:rsid w:val="00B524E0"/>
    <w:rsid w:val="00B52740"/>
    <w:rsid w:val="00B52AAF"/>
    <w:rsid w:val="00B52B55"/>
    <w:rsid w:val="00B53215"/>
    <w:rsid w:val="00B5344D"/>
    <w:rsid w:val="00B5359C"/>
    <w:rsid w:val="00B54235"/>
    <w:rsid w:val="00B543C0"/>
    <w:rsid w:val="00B54439"/>
    <w:rsid w:val="00B54490"/>
    <w:rsid w:val="00B54710"/>
    <w:rsid w:val="00B54C0B"/>
    <w:rsid w:val="00B54EDC"/>
    <w:rsid w:val="00B5514E"/>
    <w:rsid w:val="00B55337"/>
    <w:rsid w:val="00B55437"/>
    <w:rsid w:val="00B55BDC"/>
    <w:rsid w:val="00B55C75"/>
    <w:rsid w:val="00B55E76"/>
    <w:rsid w:val="00B563F6"/>
    <w:rsid w:val="00B57265"/>
    <w:rsid w:val="00B57886"/>
    <w:rsid w:val="00B5797F"/>
    <w:rsid w:val="00B57B34"/>
    <w:rsid w:val="00B60188"/>
    <w:rsid w:val="00B6041F"/>
    <w:rsid w:val="00B60C41"/>
    <w:rsid w:val="00B60E2B"/>
    <w:rsid w:val="00B61A2C"/>
    <w:rsid w:val="00B62401"/>
    <w:rsid w:val="00B62612"/>
    <w:rsid w:val="00B62B84"/>
    <w:rsid w:val="00B62D6D"/>
    <w:rsid w:val="00B62DAA"/>
    <w:rsid w:val="00B632A4"/>
    <w:rsid w:val="00B6334A"/>
    <w:rsid w:val="00B63B40"/>
    <w:rsid w:val="00B63F29"/>
    <w:rsid w:val="00B643C0"/>
    <w:rsid w:val="00B648FE"/>
    <w:rsid w:val="00B64B0E"/>
    <w:rsid w:val="00B64B23"/>
    <w:rsid w:val="00B64D13"/>
    <w:rsid w:val="00B6540A"/>
    <w:rsid w:val="00B654A4"/>
    <w:rsid w:val="00B663F6"/>
    <w:rsid w:val="00B66458"/>
    <w:rsid w:val="00B669F2"/>
    <w:rsid w:val="00B66AE8"/>
    <w:rsid w:val="00B66C01"/>
    <w:rsid w:val="00B677DB"/>
    <w:rsid w:val="00B679E8"/>
    <w:rsid w:val="00B67BDC"/>
    <w:rsid w:val="00B67C48"/>
    <w:rsid w:val="00B67E96"/>
    <w:rsid w:val="00B707B3"/>
    <w:rsid w:val="00B70D37"/>
    <w:rsid w:val="00B70DA7"/>
    <w:rsid w:val="00B70E2A"/>
    <w:rsid w:val="00B71A19"/>
    <w:rsid w:val="00B71CBE"/>
    <w:rsid w:val="00B71CE6"/>
    <w:rsid w:val="00B71DAC"/>
    <w:rsid w:val="00B71DB0"/>
    <w:rsid w:val="00B7242F"/>
    <w:rsid w:val="00B72818"/>
    <w:rsid w:val="00B729A4"/>
    <w:rsid w:val="00B72E3E"/>
    <w:rsid w:val="00B72ED5"/>
    <w:rsid w:val="00B7325D"/>
    <w:rsid w:val="00B7332D"/>
    <w:rsid w:val="00B734B0"/>
    <w:rsid w:val="00B73A24"/>
    <w:rsid w:val="00B73F18"/>
    <w:rsid w:val="00B74323"/>
    <w:rsid w:val="00B74F6E"/>
    <w:rsid w:val="00B754EB"/>
    <w:rsid w:val="00B75CB4"/>
    <w:rsid w:val="00B75D38"/>
    <w:rsid w:val="00B75D6F"/>
    <w:rsid w:val="00B76188"/>
    <w:rsid w:val="00B76AC1"/>
    <w:rsid w:val="00B77223"/>
    <w:rsid w:val="00B773DE"/>
    <w:rsid w:val="00B77413"/>
    <w:rsid w:val="00B77A1B"/>
    <w:rsid w:val="00B8042E"/>
    <w:rsid w:val="00B80547"/>
    <w:rsid w:val="00B80AE9"/>
    <w:rsid w:val="00B80BF6"/>
    <w:rsid w:val="00B81108"/>
    <w:rsid w:val="00B81181"/>
    <w:rsid w:val="00B81202"/>
    <w:rsid w:val="00B81394"/>
    <w:rsid w:val="00B8139F"/>
    <w:rsid w:val="00B815D3"/>
    <w:rsid w:val="00B81E3F"/>
    <w:rsid w:val="00B82447"/>
    <w:rsid w:val="00B8268E"/>
    <w:rsid w:val="00B82864"/>
    <w:rsid w:val="00B82A73"/>
    <w:rsid w:val="00B82A78"/>
    <w:rsid w:val="00B82B09"/>
    <w:rsid w:val="00B82BAB"/>
    <w:rsid w:val="00B83294"/>
    <w:rsid w:val="00B837D9"/>
    <w:rsid w:val="00B841A4"/>
    <w:rsid w:val="00B8430C"/>
    <w:rsid w:val="00B84674"/>
    <w:rsid w:val="00B848D0"/>
    <w:rsid w:val="00B85127"/>
    <w:rsid w:val="00B85649"/>
    <w:rsid w:val="00B85CB7"/>
    <w:rsid w:val="00B8622A"/>
    <w:rsid w:val="00B86297"/>
    <w:rsid w:val="00B862E2"/>
    <w:rsid w:val="00B862EF"/>
    <w:rsid w:val="00B86CE0"/>
    <w:rsid w:val="00B86E2A"/>
    <w:rsid w:val="00B86EBD"/>
    <w:rsid w:val="00B86F62"/>
    <w:rsid w:val="00B87896"/>
    <w:rsid w:val="00B87B88"/>
    <w:rsid w:val="00B87D2A"/>
    <w:rsid w:val="00B908E3"/>
    <w:rsid w:val="00B90A0C"/>
    <w:rsid w:val="00B90BA6"/>
    <w:rsid w:val="00B90E45"/>
    <w:rsid w:val="00B90EF5"/>
    <w:rsid w:val="00B91843"/>
    <w:rsid w:val="00B92508"/>
    <w:rsid w:val="00B925E2"/>
    <w:rsid w:val="00B92816"/>
    <w:rsid w:val="00B92886"/>
    <w:rsid w:val="00B92925"/>
    <w:rsid w:val="00B92D53"/>
    <w:rsid w:val="00B92E3C"/>
    <w:rsid w:val="00B92F5E"/>
    <w:rsid w:val="00B932DF"/>
    <w:rsid w:val="00B93530"/>
    <w:rsid w:val="00B9389F"/>
    <w:rsid w:val="00B9390D"/>
    <w:rsid w:val="00B93969"/>
    <w:rsid w:val="00B93ADD"/>
    <w:rsid w:val="00B93F9D"/>
    <w:rsid w:val="00B943AB"/>
    <w:rsid w:val="00B94443"/>
    <w:rsid w:val="00B94A68"/>
    <w:rsid w:val="00B94F67"/>
    <w:rsid w:val="00B9513C"/>
    <w:rsid w:val="00B952BC"/>
    <w:rsid w:val="00B9540D"/>
    <w:rsid w:val="00B95546"/>
    <w:rsid w:val="00B95586"/>
    <w:rsid w:val="00B95793"/>
    <w:rsid w:val="00B95E33"/>
    <w:rsid w:val="00B95F9E"/>
    <w:rsid w:val="00B96078"/>
    <w:rsid w:val="00B96507"/>
    <w:rsid w:val="00B967D8"/>
    <w:rsid w:val="00B96A38"/>
    <w:rsid w:val="00B9709D"/>
    <w:rsid w:val="00B973C0"/>
    <w:rsid w:val="00B973F4"/>
    <w:rsid w:val="00B97460"/>
    <w:rsid w:val="00B97739"/>
    <w:rsid w:val="00B977DF"/>
    <w:rsid w:val="00B9780C"/>
    <w:rsid w:val="00B97BCA"/>
    <w:rsid w:val="00B97CAE"/>
    <w:rsid w:val="00BA1112"/>
    <w:rsid w:val="00BA114D"/>
    <w:rsid w:val="00BA130A"/>
    <w:rsid w:val="00BA15D5"/>
    <w:rsid w:val="00BA1626"/>
    <w:rsid w:val="00BA190C"/>
    <w:rsid w:val="00BA1B9F"/>
    <w:rsid w:val="00BA1D5C"/>
    <w:rsid w:val="00BA1FF1"/>
    <w:rsid w:val="00BA2147"/>
    <w:rsid w:val="00BA2229"/>
    <w:rsid w:val="00BA24B9"/>
    <w:rsid w:val="00BA25C7"/>
    <w:rsid w:val="00BA26F4"/>
    <w:rsid w:val="00BA2831"/>
    <w:rsid w:val="00BA2D82"/>
    <w:rsid w:val="00BA3130"/>
    <w:rsid w:val="00BA34F1"/>
    <w:rsid w:val="00BA3A7A"/>
    <w:rsid w:val="00BA3A82"/>
    <w:rsid w:val="00BA3E58"/>
    <w:rsid w:val="00BA41DE"/>
    <w:rsid w:val="00BA42C2"/>
    <w:rsid w:val="00BA43E1"/>
    <w:rsid w:val="00BA44E8"/>
    <w:rsid w:val="00BA48BF"/>
    <w:rsid w:val="00BA4A8B"/>
    <w:rsid w:val="00BA59AA"/>
    <w:rsid w:val="00BA5D32"/>
    <w:rsid w:val="00BA61B1"/>
    <w:rsid w:val="00BA61FF"/>
    <w:rsid w:val="00BA6C21"/>
    <w:rsid w:val="00BA728A"/>
    <w:rsid w:val="00BA74E9"/>
    <w:rsid w:val="00BA75AC"/>
    <w:rsid w:val="00BA760B"/>
    <w:rsid w:val="00BA761A"/>
    <w:rsid w:val="00BA7798"/>
    <w:rsid w:val="00BA788A"/>
    <w:rsid w:val="00BA7F82"/>
    <w:rsid w:val="00BB00F2"/>
    <w:rsid w:val="00BB0AA3"/>
    <w:rsid w:val="00BB0BB4"/>
    <w:rsid w:val="00BB0C57"/>
    <w:rsid w:val="00BB12DE"/>
    <w:rsid w:val="00BB132E"/>
    <w:rsid w:val="00BB16D1"/>
    <w:rsid w:val="00BB16E9"/>
    <w:rsid w:val="00BB1A6A"/>
    <w:rsid w:val="00BB1B4D"/>
    <w:rsid w:val="00BB1C4F"/>
    <w:rsid w:val="00BB2451"/>
    <w:rsid w:val="00BB2518"/>
    <w:rsid w:val="00BB2750"/>
    <w:rsid w:val="00BB2EB7"/>
    <w:rsid w:val="00BB344E"/>
    <w:rsid w:val="00BB3567"/>
    <w:rsid w:val="00BB3723"/>
    <w:rsid w:val="00BB3FE9"/>
    <w:rsid w:val="00BB46E4"/>
    <w:rsid w:val="00BB4769"/>
    <w:rsid w:val="00BB5255"/>
    <w:rsid w:val="00BB5A1B"/>
    <w:rsid w:val="00BB69F7"/>
    <w:rsid w:val="00BB70F7"/>
    <w:rsid w:val="00BB7BE6"/>
    <w:rsid w:val="00BB7EB3"/>
    <w:rsid w:val="00BB7F79"/>
    <w:rsid w:val="00BC03DB"/>
    <w:rsid w:val="00BC070E"/>
    <w:rsid w:val="00BC0E26"/>
    <w:rsid w:val="00BC1156"/>
    <w:rsid w:val="00BC1224"/>
    <w:rsid w:val="00BC1DA9"/>
    <w:rsid w:val="00BC1ED5"/>
    <w:rsid w:val="00BC2BCF"/>
    <w:rsid w:val="00BC30C9"/>
    <w:rsid w:val="00BC33A4"/>
    <w:rsid w:val="00BC3748"/>
    <w:rsid w:val="00BC3C26"/>
    <w:rsid w:val="00BC4243"/>
    <w:rsid w:val="00BC430F"/>
    <w:rsid w:val="00BC483F"/>
    <w:rsid w:val="00BC490E"/>
    <w:rsid w:val="00BC496D"/>
    <w:rsid w:val="00BC49E4"/>
    <w:rsid w:val="00BC4B10"/>
    <w:rsid w:val="00BC4E6F"/>
    <w:rsid w:val="00BC50BF"/>
    <w:rsid w:val="00BC5420"/>
    <w:rsid w:val="00BC57E6"/>
    <w:rsid w:val="00BC5F29"/>
    <w:rsid w:val="00BC60CF"/>
    <w:rsid w:val="00BC635D"/>
    <w:rsid w:val="00BC6498"/>
    <w:rsid w:val="00BC67E5"/>
    <w:rsid w:val="00BC6911"/>
    <w:rsid w:val="00BC7867"/>
    <w:rsid w:val="00BC7A79"/>
    <w:rsid w:val="00BC7F01"/>
    <w:rsid w:val="00BD0EBB"/>
    <w:rsid w:val="00BD1388"/>
    <w:rsid w:val="00BD1B7A"/>
    <w:rsid w:val="00BD1E14"/>
    <w:rsid w:val="00BD1EBA"/>
    <w:rsid w:val="00BD22F1"/>
    <w:rsid w:val="00BD2439"/>
    <w:rsid w:val="00BD2592"/>
    <w:rsid w:val="00BD25C4"/>
    <w:rsid w:val="00BD29C5"/>
    <w:rsid w:val="00BD357B"/>
    <w:rsid w:val="00BD373D"/>
    <w:rsid w:val="00BD3831"/>
    <w:rsid w:val="00BD3A4C"/>
    <w:rsid w:val="00BD4130"/>
    <w:rsid w:val="00BD4570"/>
    <w:rsid w:val="00BD47BF"/>
    <w:rsid w:val="00BD4956"/>
    <w:rsid w:val="00BD4E7D"/>
    <w:rsid w:val="00BD5036"/>
    <w:rsid w:val="00BD546D"/>
    <w:rsid w:val="00BD5672"/>
    <w:rsid w:val="00BD5899"/>
    <w:rsid w:val="00BD639F"/>
    <w:rsid w:val="00BD66D3"/>
    <w:rsid w:val="00BD6ACC"/>
    <w:rsid w:val="00BD6AEF"/>
    <w:rsid w:val="00BD6C11"/>
    <w:rsid w:val="00BD6C81"/>
    <w:rsid w:val="00BD6DE0"/>
    <w:rsid w:val="00BD7330"/>
    <w:rsid w:val="00BD79C3"/>
    <w:rsid w:val="00BD7C03"/>
    <w:rsid w:val="00BE014C"/>
    <w:rsid w:val="00BE043C"/>
    <w:rsid w:val="00BE04B7"/>
    <w:rsid w:val="00BE0BF0"/>
    <w:rsid w:val="00BE0C98"/>
    <w:rsid w:val="00BE0EFF"/>
    <w:rsid w:val="00BE12AB"/>
    <w:rsid w:val="00BE17E9"/>
    <w:rsid w:val="00BE20BF"/>
    <w:rsid w:val="00BE24EE"/>
    <w:rsid w:val="00BE2849"/>
    <w:rsid w:val="00BE29B9"/>
    <w:rsid w:val="00BE2A31"/>
    <w:rsid w:val="00BE2ACE"/>
    <w:rsid w:val="00BE30C9"/>
    <w:rsid w:val="00BE3900"/>
    <w:rsid w:val="00BE39D3"/>
    <w:rsid w:val="00BE3A16"/>
    <w:rsid w:val="00BE3A80"/>
    <w:rsid w:val="00BE3E54"/>
    <w:rsid w:val="00BE4076"/>
    <w:rsid w:val="00BE4365"/>
    <w:rsid w:val="00BE4571"/>
    <w:rsid w:val="00BE46D7"/>
    <w:rsid w:val="00BE4C17"/>
    <w:rsid w:val="00BE4CE4"/>
    <w:rsid w:val="00BE4E06"/>
    <w:rsid w:val="00BE50D1"/>
    <w:rsid w:val="00BE5927"/>
    <w:rsid w:val="00BE5C51"/>
    <w:rsid w:val="00BE5D14"/>
    <w:rsid w:val="00BE60A0"/>
    <w:rsid w:val="00BE620F"/>
    <w:rsid w:val="00BE687E"/>
    <w:rsid w:val="00BE6EAF"/>
    <w:rsid w:val="00BE7417"/>
    <w:rsid w:val="00BE74C9"/>
    <w:rsid w:val="00BE7717"/>
    <w:rsid w:val="00BE7751"/>
    <w:rsid w:val="00BE779F"/>
    <w:rsid w:val="00BE7D89"/>
    <w:rsid w:val="00BE7DDB"/>
    <w:rsid w:val="00BF1037"/>
    <w:rsid w:val="00BF1329"/>
    <w:rsid w:val="00BF1378"/>
    <w:rsid w:val="00BF1484"/>
    <w:rsid w:val="00BF18AF"/>
    <w:rsid w:val="00BF1D34"/>
    <w:rsid w:val="00BF2037"/>
    <w:rsid w:val="00BF24BC"/>
    <w:rsid w:val="00BF2620"/>
    <w:rsid w:val="00BF35A6"/>
    <w:rsid w:val="00BF36F5"/>
    <w:rsid w:val="00BF3A24"/>
    <w:rsid w:val="00BF427D"/>
    <w:rsid w:val="00BF46E9"/>
    <w:rsid w:val="00BF49A0"/>
    <w:rsid w:val="00BF4F52"/>
    <w:rsid w:val="00BF519D"/>
    <w:rsid w:val="00BF52C7"/>
    <w:rsid w:val="00BF5686"/>
    <w:rsid w:val="00BF5D71"/>
    <w:rsid w:val="00BF6042"/>
    <w:rsid w:val="00BF625A"/>
    <w:rsid w:val="00BF6574"/>
    <w:rsid w:val="00BF6AAF"/>
    <w:rsid w:val="00BF6E27"/>
    <w:rsid w:val="00BF7326"/>
    <w:rsid w:val="00BF7423"/>
    <w:rsid w:val="00BF7579"/>
    <w:rsid w:val="00BF7B6F"/>
    <w:rsid w:val="00C00DF0"/>
    <w:rsid w:val="00C01118"/>
    <w:rsid w:val="00C01352"/>
    <w:rsid w:val="00C01516"/>
    <w:rsid w:val="00C02474"/>
    <w:rsid w:val="00C0286E"/>
    <w:rsid w:val="00C02A4E"/>
    <w:rsid w:val="00C02E62"/>
    <w:rsid w:val="00C02E6B"/>
    <w:rsid w:val="00C02EF2"/>
    <w:rsid w:val="00C0324B"/>
    <w:rsid w:val="00C0327C"/>
    <w:rsid w:val="00C0344B"/>
    <w:rsid w:val="00C037E5"/>
    <w:rsid w:val="00C04895"/>
    <w:rsid w:val="00C048EC"/>
    <w:rsid w:val="00C04B94"/>
    <w:rsid w:val="00C05439"/>
    <w:rsid w:val="00C0613B"/>
    <w:rsid w:val="00C06596"/>
    <w:rsid w:val="00C06635"/>
    <w:rsid w:val="00C0677A"/>
    <w:rsid w:val="00C06D13"/>
    <w:rsid w:val="00C0723D"/>
    <w:rsid w:val="00C0754B"/>
    <w:rsid w:val="00C07887"/>
    <w:rsid w:val="00C07C33"/>
    <w:rsid w:val="00C100CA"/>
    <w:rsid w:val="00C104AB"/>
    <w:rsid w:val="00C111AB"/>
    <w:rsid w:val="00C11446"/>
    <w:rsid w:val="00C1144A"/>
    <w:rsid w:val="00C11A4A"/>
    <w:rsid w:val="00C11B35"/>
    <w:rsid w:val="00C11CF7"/>
    <w:rsid w:val="00C1208E"/>
    <w:rsid w:val="00C12416"/>
    <w:rsid w:val="00C126AA"/>
    <w:rsid w:val="00C127FB"/>
    <w:rsid w:val="00C1285E"/>
    <w:rsid w:val="00C12FE2"/>
    <w:rsid w:val="00C13148"/>
    <w:rsid w:val="00C131BA"/>
    <w:rsid w:val="00C132E0"/>
    <w:rsid w:val="00C137B2"/>
    <w:rsid w:val="00C13840"/>
    <w:rsid w:val="00C13F22"/>
    <w:rsid w:val="00C14045"/>
    <w:rsid w:val="00C1468A"/>
    <w:rsid w:val="00C148F8"/>
    <w:rsid w:val="00C15181"/>
    <w:rsid w:val="00C15185"/>
    <w:rsid w:val="00C152EC"/>
    <w:rsid w:val="00C1535C"/>
    <w:rsid w:val="00C155E6"/>
    <w:rsid w:val="00C156E6"/>
    <w:rsid w:val="00C159C3"/>
    <w:rsid w:val="00C15DB3"/>
    <w:rsid w:val="00C164BC"/>
    <w:rsid w:val="00C1691F"/>
    <w:rsid w:val="00C16F3C"/>
    <w:rsid w:val="00C173EF"/>
    <w:rsid w:val="00C20222"/>
    <w:rsid w:val="00C204A5"/>
    <w:rsid w:val="00C20C9A"/>
    <w:rsid w:val="00C20E1E"/>
    <w:rsid w:val="00C20F2A"/>
    <w:rsid w:val="00C211C9"/>
    <w:rsid w:val="00C21291"/>
    <w:rsid w:val="00C21671"/>
    <w:rsid w:val="00C21DB9"/>
    <w:rsid w:val="00C21DF2"/>
    <w:rsid w:val="00C221BB"/>
    <w:rsid w:val="00C2256A"/>
    <w:rsid w:val="00C22752"/>
    <w:rsid w:val="00C228CE"/>
    <w:rsid w:val="00C22A89"/>
    <w:rsid w:val="00C23430"/>
    <w:rsid w:val="00C2393E"/>
    <w:rsid w:val="00C23A82"/>
    <w:rsid w:val="00C23CBE"/>
    <w:rsid w:val="00C23D69"/>
    <w:rsid w:val="00C23E09"/>
    <w:rsid w:val="00C23F7D"/>
    <w:rsid w:val="00C244E2"/>
    <w:rsid w:val="00C2464B"/>
    <w:rsid w:val="00C25058"/>
    <w:rsid w:val="00C25201"/>
    <w:rsid w:val="00C2536B"/>
    <w:rsid w:val="00C258D2"/>
    <w:rsid w:val="00C25C97"/>
    <w:rsid w:val="00C25E2E"/>
    <w:rsid w:val="00C260C9"/>
    <w:rsid w:val="00C26498"/>
    <w:rsid w:val="00C27120"/>
    <w:rsid w:val="00C27151"/>
    <w:rsid w:val="00C2747B"/>
    <w:rsid w:val="00C27E1E"/>
    <w:rsid w:val="00C30716"/>
    <w:rsid w:val="00C3074B"/>
    <w:rsid w:val="00C30AE2"/>
    <w:rsid w:val="00C31076"/>
    <w:rsid w:val="00C315BC"/>
    <w:rsid w:val="00C318AE"/>
    <w:rsid w:val="00C31AA0"/>
    <w:rsid w:val="00C31AF8"/>
    <w:rsid w:val="00C31EA1"/>
    <w:rsid w:val="00C320A8"/>
    <w:rsid w:val="00C321AD"/>
    <w:rsid w:val="00C322E4"/>
    <w:rsid w:val="00C3261D"/>
    <w:rsid w:val="00C32C1C"/>
    <w:rsid w:val="00C32FBF"/>
    <w:rsid w:val="00C332D3"/>
    <w:rsid w:val="00C3346F"/>
    <w:rsid w:val="00C33734"/>
    <w:rsid w:val="00C338B1"/>
    <w:rsid w:val="00C33A49"/>
    <w:rsid w:val="00C33F0B"/>
    <w:rsid w:val="00C33F77"/>
    <w:rsid w:val="00C342EB"/>
    <w:rsid w:val="00C3499A"/>
    <w:rsid w:val="00C34A53"/>
    <w:rsid w:val="00C34F16"/>
    <w:rsid w:val="00C3533B"/>
    <w:rsid w:val="00C354ED"/>
    <w:rsid w:val="00C35E59"/>
    <w:rsid w:val="00C35EC1"/>
    <w:rsid w:val="00C3615E"/>
    <w:rsid w:val="00C361F1"/>
    <w:rsid w:val="00C369AC"/>
    <w:rsid w:val="00C36AAC"/>
    <w:rsid w:val="00C36B90"/>
    <w:rsid w:val="00C36E4F"/>
    <w:rsid w:val="00C37592"/>
    <w:rsid w:val="00C40000"/>
    <w:rsid w:val="00C40025"/>
    <w:rsid w:val="00C40ED9"/>
    <w:rsid w:val="00C416C3"/>
    <w:rsid w:val="00C41759"/>
    <w:rsid w:val="00C4224E"/>
    <w:rsid w:val="00C422FC"/>
    <w:rsid w:val="00C42A07"/>
    <w:rsid w:val="00C42A88"/>
    <w:rsid w:val="00C42AA1"/>
    <w:rsid w:val="00C42AE5"/>
    <w:rsid w:val="00C42C05"/>
    <w:rsid w:val="00C42E81"/>
    <w:rsid w:val="00C4322B"/>
    <w:rsid w:val="00C43475"/>
    <w:rsid w:val="00C43D9E"/>
    <w:rsid w:val="00C44132"/>
    <w:rsid w:val="00C44248"/>
    <w:rsid w:val="00C442C8"/>
    <w:rsid w:val="00C44918"/>
    <w:rsid w:val="00C44C05"/>
    <w:rsid w:val="00C45332"/>
    <w:rsid w:val="00C458EE"/>
    <w:rsid w:val="00C45DB4"/>
    <w:rsid w:val="00C45F94"/>
    <w:rsid w:val="00C4600C"/>
    <w:rsid w:val="00C461DF"/>
    <w:rsid w:val="00C4750A"/>
    <w:rsid w:val="00C475AE"/>
    <w:rsid w:val="00C47DFD"/>
    <w:rsid w:val="00C50074"/>
    <w:rsid w:val="00C50128"/>
    <w:rsid w:val="00C501CA"/>
    <w:rsid w:val="00C50F07"/>
    <w:rsid w:val="00C515F0"/>
    <w:rsid w:val="00C51A40"/>
    <w:rsid w:val="00C52286"/>
    <w:rsid w:val="00C526DA"/>
    <w:rsid w:val="00C527A6"/>
    <w:rsid w:val="00C52808"/>
    <w:rsid w:val="00C5296B"/>
    <w:rsid w:val="00C52D9B"/>
    <w:rsid w:val="00C52D9F"/>
    <w:rsid w:val="00C53063"/>
    <w:rsid w:val="00C533C1"/>
    <w:rsid w:val="00C53AE5"/>
    <w:rsid w:val="00C53B78"/>
    <w:rsid w:val="00C53E3E"/>
    <w:rsid w:val="00C5402B"/>
    <w:rsid w:val="00C5409B"/>
    <w:rsid w:val="00C541D3"/>
    <w:rsid w:val="00C542D9"/>
    <w:rsid w:val="00C546EA"/>
    <w:rsid w:val="00C55057"/>
    <w:rsid w:val="00C55AD6"/>
    <w:rsid w:val="00C55C01"/>
    <w:rsid w:val="00C55F13"/>
    <w:rsid w:val="00C55FBA"/>
    <w:rsid w:val="00C561F0"/>
    <w:rsid w:val="00C56610"/>
    <w:rsid w:val="00C568D0"/>
    <w:rsid w:val="00C56BE3"/>
    <w:rsid w:val="00C57008"/>
    <w:rsid w:val="00C574CB"/>
    <w:rsid w:val="00C57A7C"/>
    <w:rsid w:val="00C57BDF"/>
    <w:rsid w:val="00C57EBE"/>
    <w:rsid w:val="00C600E8"/>
    <w:rsid w:val="00C600EA"/>
    <w:rsid w:val="00C60BD5"/>
    <w:rsid w:val="00C60EFB"/>
    <w:rsid w:val="00C60FE3"/>
    <w:rsid w:val="00C61467"/>
    <w:rsid w:val="00C61ADA"/>
    <w:rsid w:val="00C61B12"/>
    <w:rsid w:val="00C61B9B"/>
    <w:rsid w:val="00C62309"/>
    <w:rsid w:val="00C62428"/>
    <w:rsid w:val="00C6255B"/>
    <w:rsid w:val="00C62779"/>
    <w:rsid w:val="00C63041"/>
    <w:rsid w:val="00C6315A"/>
    <w:rsid w:val="00C635E2"/>
    <w:rsid w:val="00C63E3B"/>
    <w:rsid w:val="00C647F4"/>
    <w:rsid w:val="00C64BA2"/>
    <w:rsid w:val="00C650B5"/>
    <w:rsid w:val="00C650F7"/>
    <w:rsid w:val="00C652D3"/>
    <w:rsid w:val="00C653FE"/>
    <w:rsid w:val="00C654E2"/>
    <w:rsid w:val="00C657FA"/>
    <w:rsid w:val="00C65D1B"/>
    <w:rsid w:val="00C65D7E"/>
    <w:rsid w:val="00C663E8"/>
    <w:rsid w:val="00C6685B"/>
    <w:rsid w:val="00C66980"/>
    <w:rsid w:val="00C66A48"/>
    <w:rsid w:val="00C66BF3"/>
    <w:rsid w:val="00C66D76"/>
    <w:rsid w:val="00C675B3"/>
    <w:rsid w:val="00C67626"/>
    <w:rsid w:val="00C67C9B"/>
    <w:rsid w:val="00C67F71"/>
    <w:rsid w:val="00C70AA2"/>
    <w:rsid w:val="00C71948"/>
    <w:rsid w:val="00C71B18"/>
    <w:rsid w:val="00C71B31"/>
    <w:rsid w:val="00C71CF8"/>
    <w:rsid w:val="00C72AF4"/>
    <w:rsid w:val="00C72B52"/>
    <w:rsid w:val="00C72C09"/>
    <w:rsid w:val="00C72E00"/>
    <w:rsid w:val="00C731F5"/>
    <w:rsid w:val="00C734A1"/>
    <w:rsid w:val="00C73681"/>
    <w:rsid w:val="00C736B9"/>
    <w:rsid w:val="00C737F2"/>
    <w:rsid w:val="00C73B93"/>
    <w:rsid w:val="00C73DD9"/>
    <w:rsid w:val="00C74446"/>
    <w:rsid w:val="00C74543"/>
    <w:rsid w:val="00C7488D"/>
    <w:rsid w:val="00C748EB"/>
    <w:rsid w:val="00C74B67"/>
    <w:rsid w:val="00C74EDB"/>
    <w:rsid w:val="00C7506E"/>
    <w:rsid w:val="00C75107"/>
    <w:rsid w:val="00C75555"/>
    <w:rsid w:val="00C7595B"/>
    <w:rsid w:val="00C75B44"/>
    <w:rsid w:val="00C75D51"/>
    <w:rsid w:val="00C763C9"/>
    <w:rsid w:val="00C7668D"/>
    <w:rsid w:val="00C76758"/>
    <w:rsid w:val="00C768CC"/>
    <w:rsid w:val="00C76CE2"/>
    <w:rsid w:val="00C76EE9"/>
    <w:rsid w:val="00C7745B"/>
    <w:rsid w:val="00C77495"/>
    <w:rsid w:val="00C775FD"/>
    <w:rsid w:val="00C77672"/>
    <w:rsid w:val="00C77958"/>
    <w:rsid w:val="00C77E3F"/>
    <w:rsid w:val="00C80120"/>
    <w:rsid w:val="00C80204"/>
    <w:rsid w:val="00C80EEC"/>
    <w:rsid w:val="00C81043"/>
    <w:rsid w:val="00C812D1"/>
    <w:rsid w:val="00C81442"/>
    <w:rsid w:val="00C8159F"/>
    <w:rsid w:val="00C818CE"/>
    <w:rsid w:val="00C81B0D"/>
    <w:rsid w:val="00C81F83"/>
    <w:rsid w:val="00C824ED"/>
    <w:rsid w:val="00C82660"/>
    <w:rsid w:val="00C82B0F"/>
    <w:rsid w:val="00C82D35"/>
    <w:rsid w:val="00C83852"/>
    <w:rsid w:val="00C83B63"/>
    <w:rsid w:val="00C83C28"/>
    <w:rsid w:val="00C8434A"/>
    <w:rsid w:val="00C8436E"/>
    <w:rsid w:val="00C84716"/>
    <w:rsid w:val="00C84891"/>
    <w:rsid w:val="00C848F0"/>
    <w:rsid w:val="00C84B18"/>
    <w:rsid w:val="00C84DBA"/>
    <w:rsid w:val="00C84DF8"/>
    <w:rsid w:val="00C84F76"/>
    <w:rsid w:val="00C85171"/>
    <w:rsid w:val="00C85420"/>
    <w:rsid w:val="00C85C08"/>
    <w:rsid w:val="00C864F4"/>
    <w:rsid w:val="00C86544"/>
    <w:rsid w:val="00C86619"/>
    <w:rsid w:val="00C86AF1"/>
    <w:rsid w:val="00C86B8F"/>
    <w:rsid w:val="00C86EA3"/>
    <w:rsid w:val="00C874F1"/>
    <w:rsid w:val="00C8779C"/>
    <w:rsid w:val="00C87AF5"/>
    <w:rsid w:val="00C90449"/>
    <w:rsid w:val="00C905E2"/>
    <w:rsid w:val="00C90729"/>
    <w:rsid w:val="00C910B8"/>
    <w:rsid w:val="00C91182"/>
    <w:rsid w:val="00C91AF3"/>
    <w:rsid w:val="00C920EE"/>
    <w:rsid w:val="00C922F7"/>
    <w:rsid w:val="00C924C5"/>
    <w:rsid w:val="00C927DD"/>
    <w:rsid w:val="00C92BB0"/>
    <w:rsid w:val="00C92C03"/>
    <w:rsid w:val="00C93005"/>
    <w:rsid w:val="00C935A1"/>
    <w:rsid w:val="00C93891"/>
    <w:rsid w:val="00C93BAC"/>
    <w:rsid w:val="00C93D30"/>
    <w:rsid w:val="00C93EEC"/>
    <w:rsid w:val="00C942F1"/>
    <w:rsid w:val="00C9437D"/>
    <w:rsid w:val="00C943C3"/>
    <w:rsid w:val="00C94903"/>
    <w:rsid w:val="00C94A7A"/>
    <w:rsid w:val="00C94C4A"/>
    <w:rsid w:val="00C94C8F"/>
    <w:rsid w:val="00C953C5"/>
    <w:rsid w:val="00C954DE"/>
    <w:rsid w:val="00C95A4C"/>
    <w:rsid w:val="00C95C32"/>
    <w:rsid w:val="00C95E18"/>
    <w:rsid w:val="00C96032"/>
    <w:rsid w:val="00C960F2"/>
    <w:rsid w:val="00C96192"/>
    <w:rsid w:val="00C968CF"/>
    <w:rsid w:val="00C96923"/>
    <w:rsid w:val="00C96A80"/>
    <w:rsid w:val="00C96AD5"/>
    <w:rsid w:val="00C96B8A"/>
    <w:rsid w:val="00C96DA1"/>
    <w:rsid w:val="00C97D59"/>
    <w:rsid w:val="00C97ED6"/>
    <w:rsid w:val="00C97EF5"/>
    <w:rsid w:val="00CA04B6"/>
    <w:rsid w:val="00CA0742"/>
    <w:rsid w:val="00CA0A9D"/>
    <w:rsid w:val="00CA0C7A"/>
    <w:rsid w:val="00CA0F28"/>
    <w:rsid w:val="00CA1578"/>
    <w:rsid w:val="00CA1BB5"/>
    <w:rsid w:val="00CA2285"/>
    <w:rsid w:val="00CA2BC5"/>
    <w:rsid w:val="00CA2E2F"/>
    <w:rsid w:val="00CA3027"/>
    <w:rsid w:val="00CA31FB"/>
    <w:rsid w:val="00CA351D"/>
    <w:rsid w:val="00CA3FE9"/>
    <w:rsid w:val="00CA4293"/>
    <w:rsid w:val="00CA4D42"/>
    <w:rsid w:val="00CA4FD0"/>
    <w:rsid w:val="00CA530F"/>
    <w:rsid w:val="00CA55EF"/>
    <w:rsid w:val="00CA5988"/>
    <w:rsid w:val="00CA59C7"/>
    <w:rsid w:val="00CA5D9A"/>
    <w:rsid w:val="00CA6241"/>
    <w:rsid w:val="00CA738D"/>
    <w:rsid w:val="00CA7741"/>
    <w:rsid w:val="00CA7BCB"/>
    <w:rsid w:val="00CA7DD7"/>
    <w:rsid w:val="00CA7DFA"/>
    <w:rsid w:val="00CB00CE"/>
    <w:rsid w:val="00CB0525"/>
    <w:rsid w:val="00CB0880"/>
    <w:rsid w:val="00CB1E20"/>
    <w:rsid w:val="00CB1E9D"/>
    <w:rsid w:val="00CB1FA4"/>
    <w:rsid w:val="00CB24C3"/>
    <w:rsid w:val="00CB24F7"/>
    <w:rsid w:val="00CB2E48"/>
    <w:rsid w:val="00CB2F78"/>
    <w:rsid w:val="00CB316D"/>
    <w:rsid w:val="00CB3216"/>
    <w:rsid w:val="00CB3D57"/>
    <w:rsid w:val="00CB44EF"/>
    <w:rsid w:val="00CB5438"/>
    <w:rsid w:val="00CB556A"/>
    <w:rsid w:val="00CB57BD"/>
    <w:rsid w:val="00CB5BC6"/>
    <w:rsid w:val="00CB5E97"/>
    <w:rsid w:val="00CB63D5"/>
    <w:rsid w:val="00CB6746"/>
    <w:rsid w:val="00CB68B8"/>
    <w:rsid w:val="00CB6FEC"/>
    <w:rsid w:val="00CB7480"/>
    <w:rsid w:val="00CB7817"/>
    <w:rsid w:val="00CB7838"/>
    <w:rsid w:val="00CB7A9A"/>
    <w:rsid w:val="00CB7B7E"/>
    <w:rsid w:val="00CC03C4"/>
    <w:rsid w:val="00CC05D9"/>
    <w:rsid w:val="00CC0B67"/>
    <w:rsid w:val="00CC108E"/>
    <w:rsid w:val="00CC126B"/>
    <w:rsid w:val="00CC15AC"/>
    <w:rsid w:val="00CC1653"/>
    <w:rsid w:val="00CC1B4E"/>
    <w:rsid w:val="00CC1C52"/>
    <w:rsid w:val="00CC265D"/>
    <w:rsid w:val="00CC2899"/>
    <w:rsid w:val="00CC2B8D"/>
    <w:rsid w:val="00CC3391"/>
    <w:rsid w:val="00CC3A44"/>
    <w:rsid w:val="00CC3A96"/>
    <w:rsid w:val="00CC3B65"/>
    <w:rsid w:val="00CC3FF6"/>
    <w:rsid w:val="00CC4086"/>
    <w:rsid w:val="00CC4175"/>
    <w:rsid w:val="00CC455C"/>
    <w:rsid w:val="00CC497F"/>
    <w:rsid w:val="00CC5A48"/>
    <w:rsid w:val="00CC5CE8"/>
    <w:rsid w:val="00CC6411"/>
    <w:rsid w:val="00CC6750"/>
    <w:rsid w:val="00CC710B"/>
    <w:rsid w:val="00CC7780"/>
    <w:rsid w:val="00CC79FF"/>
    <w:rsid w:val="00CC7F07"/>
    <w:rsid w:val="00CD00DC"/>
    <w:rsid w:val="00CD0281"/>
    <w:rsid w:val="00CD0B02"/>
    <w:rsid w:val="00CD0CE2"/>
    <w:rsid w:val="00CD130E"/>
    <w:rsid w:val="00CD1395"/>
    <w:rsid w:val="00CD2396"/>
    <w:rsid w:val="00CD25C8"/>
    <w:rsid w:val="00CD27A5"/>
    <w:rsid w:val="00CD2CBD"/>
    <w:rsid w:val="00CD2D35"/>
    <w:rsid w:val="00CD31D5"/>
    <w:rsid w:val="00CD38D7"/>
    <w:rsid w:val="00CD397B"/>
    <w:rsid w:val="00CD3D7B"/>
    <w:rsid w:val="00CD4508"/>
    <w:rsid w:val="00CD4959"/>
    <w:rsid w:val="00CD4B14"/>
    <w:rsid w:val="00CD55CA"/>
    <w:rsid w:val="00CD56E3"/>
    <w:rsid w:val="00CD5C9A"/>
    <w:rsid w:val="00CD5D0A"/>
    <w:rsid w:val="00CD613D"/>
    <w:rsid w:val="00CD629E"/>
    <w:rsid w:val="00CD6ECE"/>
    <w:rsid w:val="00CD790F"/>
    <w:rsid w:val="00CD7C5F"/>
    <w:rsid w:val="00CE001E"/>
    <w:rsid w:val="00CE0323"/>
    <w:rsid w:val="00CE0778"/>
    <w:rsid w:val="00CE0902"/>
    <w:rsid w:val="00CE11EA"/>
    <w:rsid w:val="00CE1204"/>
    <w:rsid w:val="00CE131B"/>
    <w:rsid w:val="00CE1437"/>
    <w:rsid w:val="00CE1514"/>
    <w:rsid w:val="00CE1B76"/>
    <w:rsid w:val="00CE1BC6"/>
    <w:rsid w:val="00CE22D7"/>
    <w:rsid w:val="00CE23E3"/>
    <w:rsid w:val="00CE2AFD"/>
    <w:rsid w:val="00CE2EFA"/>
    <w:rsid w:val="00CE336D"/>
    <w:rsid w:val="00CE37AA"/>
    <w:rsid w:val="00CE3814"/>
    <w:rsid w:val="00CE39E3"/>
    <w:rsid w:val="00CE4248"/>
    <w:rsid w:val="00CE4B25"/>
    <w:rsid w:val="00CE4E41"/>
    <w:rsid w:val="00CE51C8"/>
    <w:rsid w:val="00CE5E74"/>
    <w:rsid w:val="00CE5EE3"/>
    <w:rsid w:val="00CE60C9"/>
    <w:rsid w:val="00CE6536"/>
    <w:rsid w:val="00CE698D"/>
    <w:rsid w:val="00CE6CB7"/>
    <w:rsid w:val="00CE6FBA"/>
    <w:rsid w:val="00CE7CD8"/>
    <w:rsid w:val="00CF0415"/>
    <w:rsid w:val="00CF07C6"/>
    <w:rsid w:val="00CF08F9"/>
    <w:rsid w:val="00CF0B71"/>
    <w:rsid w:val="00CF0CAB"/>
    <w:rsid w:val="00CF0E5E"/>
    <w:rsid w:val="00CF0EA3"/>
    <w:rsid w:val="00CF0FC1"/>
    <w:rsid w:val="00CF104A"/>
    <w:rsid w:val="00CF162E"/>
    <w:rsid w:val="00CF1E7F"/>
    <w:rsid w:val="00CF23B2"/>
    <w:rsid w:val="00CF26A8"/>
    <w:rsid w:val="00CF2CAB"/>
    <w:rsid w:val="00CF2E90"/>
    <w:rsid w:val="00CF39AA"/>
    <w:rsid w:val="00CF42E4"/>
    <w:rsid w:val="00CF4599"/>
    <w:rsid w:val="00CF4873"/>
    <w:rsid w:val="00CF4D85"/>
    <w:rsid w:val="00CF4F51"/>
    <w:rsid w:val="00CF5048"/>
    <w:rsid w:val="00CF560B"/>
    <w:rsid w:val="00CF578C"/>
    <w:rsid w:val="00CF5F76"/>
    <w:rsid w:val="00CF6289"/>
    <w:rsid w:val="00CF6450"/>
    <w:rsid w:val="00CF675E"/>
    <w:rsid w:val="00CF6BE2"/>
    <w:rsid w:val="00D004D6"/>
    <w:rsid w:val="00D006DA"/>
    <w:rsid w:val="00D00846"/>
    <w:rsid w:val="00D0092C"/>
    <w:rsid w:val="00D00EC8"/>
    <w:rsid w:val="00D00F6B"/>
    <w:rsid w:val="00D0114F"/>
    <w:rsid w:val="00D01F0F"/>
    <w:rsid w:val="00D01F5B"/>
    <w:rsid w:val="00D028F0"/>
    <w:rsid w:val="00D02962"/>
    <w:rsid w:val="00D03071"/>
    <w:rsid w:val="00D03203"/>
    <w:rsid w:val="00D032FE"/>
    <w:rsid w:val="00D03532"/>
    <w:rsid w:val="00D037CA"/>
    <w:rsid w:val="00D03895"/>
    <w:rsid w:val="00D03A50"/>
    <w:rsid w:val="00D04454"/>
    <w:rsid w:val="00D0476B"/>
    <w:rsid w:val="00D0551A"/>
    <w:rsid w:val="00D05682"/>
    <w:rsid w:val="00D0582E"/>
    <w:rsid w:val="00D06651"/>
    <w:rsid w:val="00D0672C"/>
    <w:rsid w:val="00D06E2E"/>
    <w:rsid w:val="00D06FC8"/>
    <w:rsid w:val="00D0702F"/>
    <w:rsid w:val="00D07197"/>
    <w:rsid w:val="00D073B6"/>
    <w:rsid w:val="00D07571"/>
    <w:rsid w:val="00D075AB"/>
    <w:rsid w:val="00D07AE4"/>
    <w:rsid w:val="00D07F54"/>
    <w:rsid w:val="00D105EF"/>
    <w:rsid w:val="00D105F7"/>
    <w:rsid w:val="00D108DF"/>
    <w:rsid w:val="00D10B02"/>
    <w:rsid w:val="00D10D39"/>
    <w:rsid w:val="00D10DB8"/>
    <w:rsid w:val="00D1119D"/>
    <w:rsid w:val="00D1178D"/>
    <w:rsid w:val="00D11F5E"/>
    <w:rsid w:val="00D1253D"/>
    <w:rsid w:val="00D12C69"/>
    <w:rsid w:val="00D133B7"/>
    <w:rsid w:val="00D13415"/>
    <w:rsid w:val="00D136BF"/>
    <w:rsid w:val="00D13968"/>
    <w:rsid w:val="00D13BA6"/>
    <w:rsid w:val="00D13E7B"/>
    <w:rsid w:val="00D14552"/>
    <w:rsid w:val="00D14B35"/>
    <w:rsid w:val="00D14BE3"/>
    <w:rsid w:val="00D14FEA"/>
    <w:rsid w:val="00D158D2"/>
    <w:rsid w:val="00D1646B"/>
    <w:rsid w:val="00D167C6"/>
    <w:rsid w:val="00D16AD3"/>
    <w:rsid w:val="00D170CD"/>
    <w:rsid w:val="00D17340"/>
    <w:rsid w:val="00D17344"/>
    <w:rsid w:val="00D17534"/>
    <w:rsid w:val="00D17A02"/>
    <w:rsid w:val="00D17D4B"/>
    <w:rsid w:val="00D20085"/>
    <w:rsid w:val="00D201A6"/>
    <w:rsid w:val="00D20354"/>
    <w:rsid w:val="00D206F4"/>
    <w:rsid w:val="00D2070D"/>
    <w:rsid w:val="00D20826"/>
    <w:rsid w:val="00D20871"/>
    <w:rsid w:val="00D208E1"/>
    <w:rsid w:val="00D20C0D"/>
    <w:rsid w:val="00D20F83"/>
    <w:rsid w:val="00D210A0"/>
    <w:rsid w:val="00D2183C"/>
    <w:rsid w:val="00D21AF1"/>
    <w:rsid w:val="00D21C10"/>
    <w:rsid w:val="00D2226E"/>
    <w:rsid w:val="00D22664"/>
    <w:rsid w:val="00D22EC0"/>
    <w:rsid w:val="00D2319C"/>
    <w:rsid w:val="00D233D1"/>
    <w:rsid w:val="00D23AAB"/>
    <w:rsid w:val="00D24076"/>
    <w:rsid w:val="00D24532"/>
    <w:rsid w:val="00D24623"/>
    <w:rsid w:val="00D24BE6"/>
    <w:rsid w:val="00D24DB7"/>
    <w:rsid w:val="00D24E01"/>
    <w:rsid w:val="00D24E91"/>
    <w:rsid w:val="00D24FDF"/>
    <w:rsid w:val="00D25413"/>
    <w:rsid w:val="00D254D4"/>
    <w:rsid w:val="00D259D4"/>
    <w:rsid w:val="00D25A55"/>
    <w:rsid w:val="00D25F54"/>
    <w:rsid w:val="00D26445"/>
    <w:rsid w:val="00D26A09"/>
    <w:rsid w:val="00D26CA6"/>
    <w:rsid w:val="00D26DAD"/>
    <w:rsid w:val="00D26E48"/>
    <w:rsid w:val="00D270CD"/>
    <w:rsid w:val="00D274A2"/>
    <w:rsid w:val="00D302B7"/>
    <w:rsid w:val="00D30DE9"/>
    <w:rsid w:val="00D30DF3"/>
    <w:rsid w:val="00D314CB"/>
    <w:rsid w:val="00D3172A"/>
    <w:rsid w:val="00D31ACD"/>
    <w:rsid w:val="00D31CEC"/>
    <w:rsid w:val="00D32243"/>
    <w:rsid w:val="00D3229D"/>
    <w:rsid w:val="00D323FA"/>
    <w:rsid w:val="00D324C7"/>
    <w:rsid w:val="00D32616"/>
    <w:rsid w:val="00D32664"/>
    <w:rsid w:val="00D32847"/>
    <w:rsid w:val="00D328F0"/>
    <w:rsid w:val="00D32C83"/>
    <w:rsid w:val="00D34079"/>
    <w:rsid w:val="00D34251"/>
    <w:rsid w:val="00D34461"/>
    <w:rsid w:val="00D345E8"/>
    <w:rsid w:val="00D34A03"/>
    <w:rsid w:val="00D35043"/>
    <w:rsid w:val="00D354D4"/>
    <w:rsid w:val="00D355E1"/>
    <w:rsid w:val="00D356B5"/>
    <w:rsid w:val="00D35E7A"/>
    <w:rsid w:val="00D36036"/>
    <w:rsid w:val="00D36356"/>
    <w:rsid w:val="00D36BFF"/>
    <w:rsid w:val="00D37227"/>
    <w:rsid w:val="00D3744E"/>
    <w:rsid w:val="00D37743"/>
    <w:rsid w:val="00D37D64"/>
    <w:rsid w:val="00D40093"/>
    <w:rsid w:val="00D4015C"/>
    <w:rsid w:val="00D4042F"/>
    <w:rsid w:val="00D40581"/>
    <w:rsid w:val="00D40E95"/>
    <w:rsid w:val="00D413B3"/>
    <w:rsid w:val="00D41AF9"/>
    <w:rsid w:val="00D41B42"/>
    <w:rsid w:val="00D41B8A"/>
    <w:rsid w:val="00D422A3"/>
    <w:rsid w:val="00D42960"/>
    <w:rsid w:val="00D42B4C"/>
    <w:rsid w:val="00D42DAD"/>
    <w:rsid w:val="00D43656"/>
    <w:rsid w:val="00D43B08"/>
    <w:rsid w:val="00D43C0E"/>
    <w:rsid w:val="00D43ED9"/>
    <w:rsid w:val="00D43F39"/>
    <w:rsid w:val="00D441AD"/>
    <w:rsid w:val="00D442A1"/>
    <w:rsid w:val="00D4446A"/>
    <w:rsid w:val="00D44666"/>
    <w:rsid w:val="00D448FC"/>
    <w:rsid w:val="00D45F3E"/>
    <w:rsid w:val="00D466D8"/>
    <w:rsid w:val="00D467A3"/>
    <w:rsid w:val="00D46966"/>
    <w:rsid w:val="00D46CE9"/>
    <w:rsid w:val="00D470C3"/>
    <w:rsid w:val="00D473AB"/>
    <w:rsid w:val="00D473CB"/>
    <w:rsid w:val="00D47F04"/>
    <w:rsid w:val="00D50A78"/>
    <w:rsid w:val="00D50E72"/>
    <w:rsid w:val="00D51767"/>
    <w:rsid w:val="00D51E3E"/>
    <w:rsid w:val="00D51F0D"/>
    <w:rsid w:val="00D522C4"/>
    <w:rsid w:val="00D52312"/>
    <w:rsid w:val="00D52C72"/>
    <w:rsid w:val="00D52DFD"/>
    <w:rsid w:val="00D53292"/>
    <w:rsid w:val="00D533FB"/>
    <w:rsid w:val="00D53794"/>
    <w:rsid w:val="00D537ED"/>
    <w:rsid w:val="00D5388D"/>
    <w:rsid w:val="00D53A95"/>
    <w:rsid w:val="00D53F11"/>
    <w:rsid w:val="00D542E4"/>
    <w:rsid w:val="00D5508C"/>
    <w:rsid w:val="00D55550"/>
    <w:rsid w:val="00D555DD"/>
    <w:rsid w:val="00D55894"/>
    <w:rsid w:val="00D56323"/>
    <w:rsid w:val="00D565ED"/>
    <w:rsid w:val="00D565FE"/>
    <w:rsid w:val="00D569DD"/>
    <w:rsid w:val="00D56B6B"/>
    <w:rsid w:val="00D56BE9"/>
    <w:rsid w:val="00D57108"/>
    <w:rsid w:val="00D57184"/>
    <w:rsid w:val="00D57D4A"/>
    <w:rsid w:val="00D61373"/>
    <w:rsid w:val="00D614A4"/>
    <w:rsid w:val="00D614B1"/>
    <w:rsid w:val="00D61857"/>
    <w:rsid w:val="00D624DA"/>
    <w:rsid w:val="00D62B16"/>
    <w:rsid w:val="00D62BBC"/>
    <w:rsid w:val="00D62C57"/>
    <w:rsid w:val="00D62C60"/>
    <w:rsid w:val="00D62DC9"/>
    <w:rsid w:val="00D630DB"/>
    <w:rsid w:val="00D63282"/>
    <w:rsid w:val="00D63AD6"/>
    <w:rsid w:val="00D63B5A"/>
    <w:rsid w:val="00D63C7A"/>
    <w:rsid w:val="00D63DA5"/>
    <w:rsid w:val="00D643B0"/>
    <w:rsid w:val="00D647A0"/>
    <w:rsid w:val="00D64BAF"/>
    <w:rsid w:val="00D64D3C"/>
    <w:rsid w:val="00D6511F"/>
    <w:rsid w:val="00D658D4"/>
    <w:rsid w:val="00D65C67"/>
    <w:rsid w:val="00D66033"/>
    <w:rsid w:val="00D66617"/>
    <w:rsid w:val="00D669BB"/>
    <w:rsid w:val="00D66D9F"/>
    <w:rsid w:val="00D671D1"/>
    <w:rsid w:val="00D67997"/>
    <w:rsid w:val="00D67BDA"/>
    <w:rsid w:val="00D705D3"/>
    <w:rsid w:val="00D71394"/>
    <w:rsid w:val="00D7142D"/>
    <w:rsid w:val="00D7144C"/>
    <w:rsid w:val="00D71823"/>
    <w:rsid w:val="00D71B93"/>
    <w:rsid w:val="00D71E17"/>
    <w:rsid w:val="00D722C5"/>
    <w:rsid w:val="00D724C4"/>
    <w:rsid w:val="00D72A9C"/>
    <w:rsid w:val="00D72E90"/>
    <w:rsid w:val="00D7390C"/>
    <w:rsid w:val="00D73AA0"/>
    <w:rsid w:val="00D73D07"/>
    <w:rsid w:val="00D73E14"/>
    <w:rsid w:val="00D73F50"/>
    <w:rsid w:val="00D746E3"/>
    <w:rsid w:val="00D74888"/>
    <w:rsid w:val="00D74CB3"/>
    <w:rsid w:val="00D757CB"/>
    <w:rsid w:val="00D7583A"/>
    <w:rsid w:val="00D75A81"/>
    <w:rsid w:val="00D75E00"/>
    <w:rsid w:val="00D75E1B"/>
    <w:rsid w:val="00D75E5C"/>
    <w:rsid w:val="00D7644B"/>
    <w:rsid w:val="00D766FB"/>
    <w:rsid w:val="00D76EEE"/>
    <w:rsid w:val="00D77659"/>
    <w:rsid w:val="00D800A0"/>
    <w:rsid w:val="00D809C1"/>
    <w:rsid w:val="00D80CF3"/>
    <w:rsid w:val="00D80D1F"/>
    <w:rsid w:val="00D80EB2"/>
    <w:rsid w:val="00D80EE8"/>
    <w:rsid w:val="00D81164"/>
    <w:rsid w:val="00D81E27"/>
    <w:rsid w:val="00D81F85"/>
    <w:rsid w:val="00D8306E"/>
    <w:rsid w:val="00D831A3"/>
    <w:rsid w:val="00D83231"/>
    <w:rsid w:val="00D83353"/>
    <w:rsid w:val="00D834E2"/>
    <w:rsid w:val="00D8351C"/>
    <w:rsid w:val="00D836F4"/>
    <w:rsid w:val="00D83998"/>
    <w:rsid w:val="00D83F1E"/>
    <w:rsid w:val="00D848F0"/>
    <w:rsid w:val="00D84C81"/>
    <w:rsid w:val="00D84F4C"/>
    <w:rsid w:val="00D84F78"/>
    <w:rsid w:val="00D8502D"/>
    <w:rsid w:val="00D8558C"/>
    <w:rsid w:val="00D85ACA"/>
    <w:rsid w:val="00D86721"/>
    <w:rsid w:val="00D867A0"/>
    <w:rsid w:val="00D867CD"/>
    <w:rsid w:val="00D868D1"/>
    <w:rsid w:val="00D878F6"/>
    <w:rsid w:val="00D87D55"/>
    <w:rsid w:val="00D902A1"/>
    <w:rsid w:val="00D90501"/>
    <w:rsid w:val="00D90690"/>
    <w:rsid w:val="00D907E5"/>
    <w:rsid w:val="00D9097C"/>
    <w:rsid w:val="00D90AF9"/>
    <w:rsid w:val="00D90C8F"/>
    <w:rsid w:val="00D91091"/>
    <w:rsid w:val="00D910E5"/>
    <w:rsid w:val="00D91160"/>
    <w:rsid w:val="00D91272"/>
    <w:rsid w:val="00D912F9"/>
    <w:rsid w:val="00D9261E"/>
    <w:rsid w:val="00D92A9F"/>
    <w:rsid w:val="00D933FF"/>
    <w:rsid w:val="00D9453B"/>
    <w:rsid w:val="00D94BCD"/>
    <w:rsid w:val="00D94C1C"/>
    <w:rsid w:val="00D94CB3"/>
    <w:rsid w:val="00D94E0F"/>
    <w:rsid w:val="00D94ED2"/>
    <w:rsid w:val="00D955DE"/>
    <w:rsid w:val="00D95645"/>
    <w:rsid w:val="00D95AA8"/>
    <w:rsid w:val="00D965D3"/>
    <w:rsid w:val="00D96C32"/>
    <w:rsid w:val="00D96CBD"/>
    <w:rsid w:val="00D96CC6"/>
    <w:rsid w:val="00D970A5"/>
    <w:rsid w:val="00D97A58"/>
    <w:rsid w:val="00D97ABA"/>
    <w:rsid w:val="00D97BE4"/>
    <w:rsid w:val="00DA003A"/>
    <w:rsid w:val="00DA05E3"/>
    <w:rsid w:val="00DA0DB0"/>
    <w:rsid w:val="00DA0EAD"/>
    <w:rsid w:val="00DA11CC"/>
    <w:rsid w:val="00DA1382"/>
    <w:rsid w:val="00DA15B6"/>
    <w:rsid w:val="00DA1E95"/>
    <w:rsid w:val="00DA2419"/>
    <w:rsid w:val="00DA2630"/>
    <w:rsid w:val="00DA2805"/>
    <w:rsid w:val="00DA2CAC"/>
    <w:rsid w:val="00DA2D67"/>
    <w:rsid w:val="00DA31AF"/>
    <w:rsid w:val="00DA3412"/>
    <w:rsid w:val="00DA37F2"/>
    <w:rsid w:val="00DA39BE"/>
    <w:rsid w:val="00DA3AE4"/>
    <w:rsid w:val="00DA45E1"/>
    <w:rsid w:val="00DA48E0"/>
    <w:rsid w:val="00DA5385"/>
    <w:rsid w:val="00DA5C2A"/>
    <w:rsid w:val="00DA5D43"/>
    <w:rsid w:val="00DA6546"/>
    <w:rsid w:val="00DA6ABD"/>
    <w:rsid w:val="00DA6CB1"/>
    <w:rsid w:val="00DA6D47"/>
    <w:rsid w:val="00DA724E"/>
    <w:rsid w:val="00DA7457"/>
    <w:rsid w:val="00DA77F4"/>
    <w:rsid w:val="00DA7946"/>
    <w:rsid w:val="00DA7AF3"/>
    <w:rsid w:val="00DA7C12"/>
    <w:rsid w:val="00DB05C4"/>
    <w:rsid w:val="00DB0871"/>
    <w:rsid w:val="00DB0999"/>
    <w:rsid w:val="00DB09E2"/>
    <w:rsid w:val="00DB102C"/>
    <w:rsid w:val="00DB11D0"/>
    <w:rsid w:val="00DB11E0"/>
    <w:rsid w:val="00DB13FE"/>
    <w:rsid w:val="00DB1ADD"/>
    <w:rsid w:val="00DB2B81"/>
    <w:rsid w:val="00DB2D76"/>
    <w:rsid w:val="00DB30A8"/>
    <w:rsid w:val="00DB339C"/>
    <w:rsid w:val="00DB37F7"/>
    <w:rsid w:val="00DB427A"/>
    <w:rsid w:val="00DB4C61"/>
    <w:rsid w:val="00DB4F05"/>
    <w:rsid w:val="00DB4FEA"/>
    <w:rsid w:val="00DB50A8"/>
    <w:rsid w:val="00DB50B6"/>
    <w:rsid w:val="00DB5543"/>
    <w:rsid w:val="00DB56D4"/>
    <w:rsid w:val="00DB5A75"/>
    <w:rsid w:val="00DB60EA"/>
    <w:rsid w:val="00DB6439"/>
    <w:rsid w:val="00DB64CD"/>
    <w:rsid w:val="00DB6602"/>
    <w:rsid w:val="00DB662A"/>
    <w:rsid w:val="00DB66F6"/>
    <w:rsid w:val="00DB6B75"/>
    <w:rsid w:val="00DB7011"/>
    <w:rsid w:val="00DB70C1"/>
    <w:rsid w:val="00DB73DC"/>
    <w:rsid w:val="00DB75CF"/>
    <w:rsid w:val="00DB7612"/>
    <w:rsid w:val="00DC023C"/>
    <w:rsid w:val="00DC0771"/>
    <w:rsid w:val="00DC08B8"/>
    <w:rsid w:val="00DC0A6B"/>
    <w:rsid w:val="00DC1439"/>
    <w:rsid w:val="00DC1468"/>
    <w:rsid w:val="00DC18ED"/>
    <w:rsid w:val="00DC1919"/>
    <w:rsid w:val="00DC1C02"/>
    <w:rsid w:val="00DC1DF0"/>
    <w:rsid w:val="00DC223A"/>
    <w:rsid w:val="00DC228A"/>
    <w:rsid w:val="00DC29F6"/>
    <w:rsid w:val="00DC2F87"/>
    <w:rsid w:val="00DC3441"/>
    <w:rsid w:val="00DC35AF"/>
    <w:rsid w:val="00DC3BE5"/>
    <w:rsid w:val="00DC3D87"/>
    <w:rsid w:val="00DC4EC5"/>
    <w:rsid w:val="00DC56F8"/>
    <w:rsid w:val="00DC5A36"/>
    <w:rsid w:val="00DC66F1"/>
    <w:rsid w:val="00DC6754"/>
    <w:rsid w:val="00DC682E"/>
    <w:rsid w:val="00DC68CB"/>
    <w:rsid w:val="00DC69B6"/>
    <w:rsid w:val="00DC6BF7"/>
    <w:rsid w:val="00DC76F9"/>
    <w:rsid w:val="00DC7956"/>
    <w:rsid w:val="00DC7C18"/>
    <w:rsid w:val="00DC7D13"/>
    <w:rsid w:val="00DD0001"/>
    <w:rsid w:val="00DD0E2C"/>
    <w:rsid w:val="00DD1150"/>
    <w:rsid w:val="00DD1BDC"/>
    <w:rsid w:val="00DD25C9"/>
    <w:rsid w:val="00DD26A4"/>
    <w:rsid w:val="00DD2F6D"/>
    <w:rsid w:val="00DD30D7"/>
    <w:rsid w:val="00DD3465"/>
    <w:rsid w:val="00DD407B"/>
    <w:rsid w:val="00DD4169"/>
    <w:rsid w:val="00DD4228"/>
    <w:rsid w:val="00DD446C"/>
    <w:rsid w:val="00DD4A59"/>
    <w:rsid w:val="00DD4DA9"/>
    <w:rsid w:val="00DD526D"/>
    <w:rsid w:val="00DD5C35"/>
    <w:rsid w:val="00DD5D76"/>
    <w:rsid w:val="00DD63CC"/>
    <w:rsid w:val="00DD63F6"/>
    <w:rsid w:val="00DD693A"/>
    <w:rsid w:val="00DD69D7"/>
    <w:rsid w:val="00DD6E24"/>
    <w:rsid w:val="00DD6E5C"/>
    <w:rsid w:val="00DD70DA"/>
    <w:rsid w:val="00DD75CF"/>
    <w:rsid w:val="00DD7823"/>
    <w:rsid w:val="00DD78CA"/>
    <w:rsid w:val="00DD7F8B"/>
    <w:rsid w:val="00DE0036"/>
    <w:rsid w:val="00DE0472"/>
    <w:rsid w:val="00DE07B3"/>
    <w:rsid w:val="00DE0EA5"/>
    <w:rsid w:val="00DE126A"/>
    <w:rsid w:val="00DE1504"/>
    <w:rsid w:val="00DE1AB8"/>
    <w:rsid w:val="00DE1B14"/>
    <w:rsid w:val="00DE1BD9"/>
    <w:rsid w:val="00DE1FBE"/>
    <w:rsid w:val="00DE2538"/>
    <w:rsid w:val="00DE2593"/>
    <w:rsid w:val="00DE265F"/>
    <w:rsid w:val="00DE26C1"/>
    <w:rsid w:val="00DE2CC1"/>
    <w:rsid w:val="00DE2E2A"/>
    <w:rsid w:val="00DE2F03"/>
    <w:rsid w:val="00DE3190"/>
    <w:rsid w:val="00DE3F08"/>
    <w:rsid w:val="00DE43B3"/>
    <w:rsid w:val="00DE4641"/>
    <w:rsid w:val="00DE467C"/>
    <w:rsid w:val="00DE4914"/>
    <w:rsid w:val="00DE4CB1"/>
    <w:rsid w:val="00DE4E61"/>
    <w:rsid w:val="00DE4F52"/>
    <w:rsid w:val="00DE5BE2"/>
    <w:rsid w:val="00DE6B0E"/>
    <w:rsid w:val="00DE6D63"/>
    <w:rsid w:val="00DE76B6"/>
    <w:rsid w:val="00DE78D7"/>
    <w:rsid w:val="00DE7902"/>
    <w:rsid w:val="00DE7B87"/>
    <w:rsid w:val="00DF0456"/>
    <w:rsid w:val="00DF06CC"/>
    <w:rsid w:val="00DF07BA"/>
    <w:rsid w:val="00DF0AD3"/>
    <w:rsid w:val="00DF0EEC"/>
    <w:rsid w:val="00DF144C"/>
    <w:rsid w:val="00DF15CC"/>
    <w:rsid w:val="00DF18FA"/>
    <w:rsid w:val="00DF1DFC"/>
    <w:rsid w:val="00DF20D1"/>
    <w:rsid w:val="00DF22AD"/>
    <w:rsid w:val="00DF307C"/>
    <w:rsid w:val="00DF3321"/>
    <w:rsid w:val="00DF3342"/>
    <w:rsid w:val="00DF3830"/>
    <w:rsid w:val="00DF3CE0"/>
    <w:rsid w:val="00DF4091"/>
    <w:rsid w:val="00DF4C6B"/>
    <w:rsid w:val="00DF5104"/>
    <w:rsid w:val="00DF6018"/>
    <w:rsid w:val="00DF605E"/>
    <w:rsid w:val="00DF62F7"/>
    <w:rsid w:val="00DF675D"/>
    <w:rsid w:val="00DF67F4"/>
    <w:rsid w:val="00DF739C"/>
    <w:rsid w:val="00DF7767"/>
    <w:rsid w:val="00DF79A9"/>
    <w:rsid w:val="00DF7BE2"/>
    <w:rsid w:val="00DF7C5F"/>
    <w:rsid w:val="00E00078"/>
    <w:rsid w:val="00E000C4"/>
    <w:rsid w:val="00E004A2"/>
    <w:rsid w:val="00E007FF"/>
    <w:rsid w:val="00E01019"/>
    <w:rsid w:val="00E012A5"/>
    <w:rsid w:val="00E013AC"/>
    <w:rsid w:val="00E017D8"/>
    <w:rsid w:val="00E01B49"/>
    <w:rsid w:val="00E01D08"/>
    <w:rsid w:val="00E0205C"/>
    <w:rsid w:val="00E02158"/>
    <w:rsid w:val="00E022CB"/>
    <w:rsid w:val="00E02352"/>
    <w:rsid w:val="00E02FAE"/>
    <w:rsid w:val="00E03BC4"/>
    <w:rsid w:val="00E03CFE"/>
    <w:rsid w:val="00E03D63"/>
    <w:rsid w:val="00E03DA1"/>
    <w:rsid w:val="00E03DBB"/>
    <w:rsid w:val="00E04BE4"/>
    <w:rsid w:val="00E04CC7"/>
    <w:rsid w:val="00E0504E"/>
    <w:rsid w:val="00E05735"/>
    <w:rsid w:val="00E05D27"/>
    <w:rsid w:val="00E05DB8"/>
    <w:rsid w:val="00E05E5A"/>
    <w:rsid w:val="00E0681A"/>
    <w:rsid w:val="00E069C0"/>
    <w:rsid w:val="00E06D99"/>
    <w:rsid w:val="00E06F73"/>
    <w:rsid w:val="00E07529"/>
    <w:rsid w:val="00E075C0"/>
    <w:rsid w:val="00E07994"/>
    <w:rsid w:val="00E07B10"/>
    <w:rsid w:val="00E07DBD"/>
    <w:rsid w:val="00E07FC9"/>
    <w:rsid w:val="00E1042B"/>
    <w:rsid w:val="00E10547"/>
    <w:rsid w:val="00E1066E"/>
    <w:rsid w:val="00E106BC"/>
    <w:rsid w:val="00E10CD1"/>
    <w:rsid w:val="00E1158E"/>
    <w:rsid w:val="00E11610"/>
    <w:rsid w:val="00E122B8"/>
    <w:rsid w:val="00E123CC"/>
    <w:rsid w:val="00E1253F"/>
    <w:rsid w:val="00E12C19"/>
    <w:rsid w:val="00E13E09"/>
    <w:rsid w:val="00E14FC9"/>
    <w:rsid w:val="00E1530F"/>
    <w:rsid w:val="00E15504"/>
    <w:rsid w:val="00E15864"/>
    <w:rsid w:val="00E158B1"/>
    <w:rsid w:val="00E1598B"/>
    <w:rsid w:val="00E16215"/>
    <w:rsid w:val="00E16385"/>
    <w:rsid w:val="00E163AC"/>
    <w:rsid w:val="00E16734"/>
    <w:rsid w:val="00E1691D"/>
    <w:rsid w:val="00E16ACA"/>
    <w:rsid w:val="00E16B1E"/>
    <w:rsid w:val="00E16B39"/>
    <w:rsid w:val="00E16D0B"/>
    <w:rsid w:val="00E16F6E"/>
    <w:rsid w:val="00E17101"/>
    <w:rsid w:val="00E17490"/>
    <w:rsid w:val="00E17CCE"/>
    <w:rsid w:val="00E17CFB"/>
    <w:rsid w:val="00E2060A"/>
    <w:rsid w:val="00E2064F"/>
    <w:rsid w:val="00E214DA"/>
    <w:rsid w:val="00E214FC"/>
    <w:rsid w:val="00E22699"/>
    <w:rsid w:val="00E22762"/>
    <w:rsid w:val="00E22B19"/>
    <w:rsid w:val="00E23673"/>
    <w:rsid w:val="00E23B8D"/>
    <w:rsid w:val="00E23BA8"/>
    <w:rsid w:val="00E23C76"/>
    <w:rsid w:val="00E246FC"/>
    <w:rsid w:val="00E258CC"/>
    <w:rsid w:val="00E25E63"/>
    <w:rsid w:val="00E26644"/>
    <w:rsid w:val="00E266F4"/>
    <w:rsid w:val="00E268ED"/>
    <w:rsid w:val="00E26E42"/>
    <w:rsid w:val="00E27541"/>
    <w:rsid w:val="00E3006F"/>
    <w:rsid w:val="00E30EFD"/>
    <w:rsid w:val="00E319AD"/>
    <w:rsid w:val="00E31C83"/>
    <w:rsid w:val="00E322BA"/>
    <w:rsid w:val="00E32367"/>
    <w:rsid w:val="00E324D5"/>
    <w:rsid w:val="00E32788"/>
    <w:rsid w:val="00E329FD"/>
    <w:rsid w:val="00E32DFC"/>
    <w:rsid w:val="00E3324A"/>
    <w:rsid w:val="00E33387"/>
    <w:rsid w:val="00E3358A"/>
    <w:rsid w:val="00E337DA"/>
    <w:rsid w:val="00E34661"/>
    <w:rsid w:val="00E349C1"/>
    <w:rsid w:val="00E34B83"/>
    <w:rsid w:val="00E34D71"/>
    <w:rsid w:val="00E3532B"/>
    <w:rsid w:val="00E35634"/>
    <w:rsid w:val="00E3578F"/>
    <w:rsid w:val="00E357AF"/>
    <w:rsid w:val="00E35C7D"/>
    <w:rsid w:val="00E35D2D"/>
    <w:rsid w:val="00E35E67"/>
    <w:rsid w:val="00E36393"/>
    <w:rsid w:val="00E363DB"/>
    <w:rsid w:val="00E36662"/>
    <w:rsid w:val="00E36755"/>
    <w:rsid w:val="00E368BA"/>
    <w:rsid w:val="00E36B62"/>
    <w:rsid w:val="00E36C8B"/>
    <w:rsid w:val="00E36ECF"/>
    <w:rsid w:val="00E36FD8"/>
    <w:rsid w:val="00E37233"/>
    <w:rsid w:val="00E378F3"/>
    <w:rsid w:val="00E379C7"/>
    <w:rsid w:val="00E37D4D"/>
    <w:rsid w:val="00E37D6A"/>
    <w:rsid w:val="00E4000F"/>
    <w:rsid w:val="00E401CE"/>
    <w:rsid w:val="00E40368"/>
    <w:rsid w:val="00E40460"/>
    <w:rsid w:val="00E405C7"/>
    <w:rsid w:val="00E40BE7"/>
    <w:rsid w:val="00E40EB6"/>
    <w:rsid w:val="00E41E99"/>
    <w:rsid w:val="00E42128"/>
    <w:rsid w:val="00E4263B"/>
    <w:rsid w:val="00E42DA4"/>
    <w:rsid w:val="00E42E69"/>
    <w:rsid w:val="00E42F6B"/>
    <w:rsid w:val="00E42FBF"/>
    <w:rsid w:val="00E43084"/>
    <w:rsid w:val="00E43176"/>
    <w:rsid w:val="00E43AE0"/>
    <w:rsid w:val="00E43F86"/>
    <w:rsid w:val="00E4437B"/>
    <w:rsid w:val="00E44673"/>
    <w:rsid w:val="00E447FC"/>
    <w:rsid w:val="00E448F7"/>
    <w:rsid w:val="00E44CF8"/>
    <w:rsid w:val="00E44DAD"/>
    <w:rsid w:val="00E451F1"/>
    <w:rsid w:val="00E45340"/>
    <w:rsid w:val="00E45E16"/>
    <w:rsid w:val="00E4648E"/>
    <w:rsid w:val="00E46B62"/>
    <w:rsid w:val="00E46C7C"/>
    <w:rsid w:val="00E47275"/>
    <w:rsid w:val="00E47582"/>
    <w:rsid w:val="00E47BEF"/>
    <w:rsid w:val="00E47DAD"/>
    <w:rsid w:val="00E500BD"/>
    <w:rsid w:val="00E505E7"/>
    <w:rsid w:val="00E50E08"/>
    <w:rsid w:val="00E51157"/>
    <w:rsid w:val="00E51AE9"/>
    <w:rsid w:val="00E51E7E"/>
    <w:rsid w:val="00E520CA"/>
    <w:rsid w:val="00E527CF"/>
    <w:rsid w:val="00E52AB5"/>
    <w:rsid w:val="00E52C58"/>
    <w:rsid w:val="00E5394D"/>
    <w:rsid w:val="00E539E0"/>
    <w:rsid w:val="00E54821"/>
    <w:rsid w:val="00E548E5"/>
    <w:rsid w:val="00E54A1F"/>
    <w:rsid w:val="00E54CFC"/>
    <w:rsid w:val="00E55103"/>
    <w:rsid w:val="00E55A16"/>
    <w:rsid w:val="00E55F2E"/>
    <w:rsid w:val="00E55F51"/>
    <w:rsid w:val="00E56519"/>
    <w:rsid w:val="00E56872"/>
    <w:rsid w:val="00E56B43"/>
    <w:rsid w:val="00E56ED5"/>
    <w:rsid w:val="00E5775E"/>
    <w:rsid w:val="00E57880"/>
    <w:rsid w:val="00E608CD"/>
    <w:rsid w:val="00E60D87"/>
    <w:rsid w:val="00E615DE"/>
    <w:rsid w:val="00E61757"/>
    <w:rsid w:val="00E61E07"/>
    <w:rsid w:val="00E61EAB"/>
    <w:rsid w:val="00E6265F"/>
    <w:rsid w:val="00E626F4"/>
    <w:rsid w:val="00E62752"/>
    <w:rsid w:val="00E62A7B"/>
    <w:rsid w:val="00E62B0A"/>
    <w:rsid w:val="00E62BB9"/>
    <w:rsid w:val="00E62C2E"/>
    <w:rsid w:val="00E62F2F"/>
    <w:rsid w:val="00E6310D"/>
    <w:rsid w:val="00E63666"/>
    <w:rsid w:val="00E63970"/>
    <w:rsid w:val="00E63998"/>
    <w:rsid w:val="00E639EF"/>
    <w:rsid w:val="00E63B41"/>
    <w:rsid w:val="00E63F5D"/>
    <w:rsid w:val="00E63FF4"/>
    <w:rsid w:val="00E64B5B"/>
    <w:rsid w:val="00E6514B"/>
    <w:rsid w:val="00E65844"/>
    <w:rsid w:val="00E65A47"/>
    <w:rsid w:val="00E6644F"/>
    <w:rsid w:val="00E66CD0"/>
    <w:rsid w:val="00E6726C"/>
    <w:rsid w:val="00E67459"/>
    <w:rsid w:val="00E6787A"/>
    <w:rsid w:val="00E67A6D"/>
    <w:rsid w:val="00E67E9A"/>
    <w:rsid w:val="00E67F81"/>
    <w:rsid w:val="00E7002A"/>
    <w:rsid w:val="00E702AE"/>
    <w:rsid w:val="00E70380"/>
    <w:rsid w:val="00E70443"/>
    <w:rsid w:val="00E705B9"/>
    <w:rsid w:val="00E708F8"/>
    <w:rsid w:val="00E70925"/>
    <w:rsid w:val="00E71BCE"/>
    <w:rsid w:val="00E71C91"/>
    <w:rsid w:val="00E721F2"/>
    <w:rsid w:val="00E722B1"/>
    <w:rsid w:val="00E72947"/>
    <w:rsid w:val="00E72BF3"/>
    <w:rsid w:val="00E72C5C"/>
    <w:rsid w:val="00E7320B"/>
    <w:rsid w:val="00E733C4"/>
    <w:rsid w:val="00E7353F"/>
    <w:rsid w:val="00E735DF"/>
    <w:rsid w:val="00E73A4A"/>
    <w:rsid w:val="00E73AED"/>
    <w:rsid w:val="00E73D2E"/>
    <w:rsid w:val="00E73D64"/>
    <w:rsid w:val="00E74432"/>
    <w:rsid w:val="00E7445A"/>
    <w:rsid w:val="00E7496B"/>
    <w:rsid w:val="00E74A37"/>
    <w:rsid w:val="00E74BEA"/>
    <w:rsid w:val="00E74C93"/>
    <w:rsid w:val="00E7526C"/>
    <w:rsid w:val="00E754B4"/>
    <w:rsid w:val="00E75BA0"/>
    <w:rsid w:val="00E75E07"/>
    <w:rsid w:val="00E76860"/>
    <w:rsid w:val="00E76E69"/>
    <w:rsid w:val="00E777E6"/>
    <w:rsid w:val="00E77A99"/>
    <w:rsid w:val="00E8049C"/>
    <w:rsid w:val="00E80629"/>
    <w:rsid w:val="00E80787"/>
    <w:rsid w:val="00E80B1B"/>
    <w:rsid w:val="00E81170"/>
    <w:rsid w:val="00E81451"/>
    <w:rsid w:val="00E814B6"/>
    <w:rsid w:val="00E81EB3"/>
    <w:rsid w:val="00E83125"/>
    <w:rsid w:val="00E838F3"/>
    <w:rsid w:val="00E83D69"/>
    <w:rsid w:val="00E83DB4"/>
    <w:rsid w:val="00E83ED4"/>
    <w:rsid w:val="00E84A10"/>
    <w:rsid w:val="00E84EE5"/>
    <w:rsid w:val="00E85209"/>
    <w:rsid w:val="00E85F9A"/>
    <w:rsid w:val="00E860E1"/>
    <w:rsid w:val="00E86183"/>
    <w:rsid w:val="00E8622B"/>
    <w:rsid w:val="00E86480"/>
    <w:rsid w:val="00E866A6"/>
    <w:rsid w:val="00E8679D"/>
    <w:rsid w:val="00E87079"/>
    <w:rsid w:val="00E8733B"/>
    <w:rsid w:val="00E87D59"/>
    <w:rsid w:val="00E90558"/>
    <w:rsid w:val="00E908D3"/>
    <w:rsid w:val="00E908EF"/>
    <w:rsid w:val="00E90DE2"/>
    <w:rsid w:val="00E91110"/>
    <w:rsid w:val="00E9111B"/>
    <w:rsid w:val="00E914C0"/>
    <w:rsid w:val="00E916ED"/>
    <w:rsid w:val="00E91D25"/>
    <w:rsid w:val="00E921C5"/>
    <w:rsid w:val="00E92229"/>
    <w:rsid w:val="00E922E8"/>
    <w:rsid w:val="00E92712"/>
    <w:rsid w:val="00E92878"/>
    <w:rsid w:val="00E932FE"/>
    <w:rsid w:val="00E933EB"/>
    <w:rsid w:val="00E93852"/>
    <w:rsid w:val="00E939A1"/>
    <w:rsid w:val="00E93FE1"/>
    <w:rsid w:val="00E94262"/>
    <w:rsid w:val="00E94D5A"/>
    <w:rsid w:val="00E94DA9"/>
    <w:rsid w:val="00E94DEC"/>
    <w:rsid w:val="00E9532B"/>
    <w:rsid w:val="00E95789"/>
    <w:rsid w:val="00E95D7D"/>
    <w:rsid w:val="00E966FB"/>
    <w:rsid w:val="00E96893"/>
    <w:rsid w:val="00E96976"/>
    <w:rsid w:val="00E96CC1"/>
    <w:rsid w:val="00E96FB0"/>
    <w:rsid w:val="00E9705C"/>
    <w:rsid w:val="00E9735A"/>
    <w:rsid w:val="00E9764F"/>
    <w:rsid w:val="00E979CD"/>
    <w:rsid w:val="00E97D1C"/>
    <w:rsid w:val="00EA02AF"/>
    <w:rsid w:val="00EA0397"/>
    <w:rsid w:val="00EA0570"/>
    <w:rsid w:val="00EA102B"/>
    <w:rsid w:val="00EA104A"/>
    <w:rsid w:val="00EA1074"/>
    <w:rsid w:val="00EA1324"/>
    <w:rsid w:val="00EA157A"/>
    <w:rsid w:val="00EA1664"/>
    <w:rsid w:val="00EA1D10"/>
    <w:rsid w:val="00EA1FAD"/>
    <w:rsid w:val="00EA1FB0"/>
    <w:rsid w:val="00EA1FB9"/>
    <w:rsid w:val="00EA327C"/>
    <w:rsid w:val="00EA33E4"/>
    <w:rsid w:val="00EA3A7D"/>
    <w:rsid w:val="00EA3C2A"/>
    <w:rsid w:val="00EA3C2B"/>
    <w:rsid w:val="00EA3C30"/>
    <w:rsid w:val="00EA3E2D"/>
    <w:rsid w:val="00EA412C"/>
    <w:rsid w:val="00EA4248"/>
    <w:rsid w:val="00EA4486"/>
    <w:rsid w:val="00EA46F1"/>
    <w:rsid w:val="00EA4BCC"/>
    <w:rsid w:val="00EA4CFF"/>
    <w:rsid w:val="00EA584E"/>
    <w:rsid w:val="00EA5DF8"/>
    <w:rsid w:val="00EA5F44"/>
    <w:rsid w:val="00EA62EF"/>
    <w:rsid w:val="00EA6408"/>
    <w:rsid w:val="00EA680D"/>
    <w:rsid w:val="00EA6ADD"/>
    <w:rsid w:val="00EA7005"/>
    <w:rsid w:val="00EA71F5"/>
    <w:rsid w:val="00EA78FC"/>
    <w:rsid w:val="00EA7975"/>
    <w:rsid w:val="00EB0681"/>
    <w:rsid w:val="00EB070D"/>
    <w:rsid w:val="00EB0A6A"/>
    <w:rsid w:val="00EB1656"/>
    <w:rsid w:val="00EB17E9"/>
    <w:rsid w:val="00EB2099"/>
    <w:rsid w:val="00EB22B2"/>
    <w:rsid w:val="00EB2F42"/>
    <w:rsid w:val="00EB331B"/>
    <w:rsid w:val="00EB343E"/>
    <w:rsid w:val="00EB350A"/>
    <w:rsid w:val="00EB35C4"/>
    <w:rsid w:val="00EB3779"/>
    <w:rsid w:val="00EB3A7C"/>
    <w:rsid w:val="00EB4118"/>
    <w:rsid w:val="00EB418D"/>
    <w:rsid w:val="00EB4684"/>
    <w:rsid w:val="00EB4BE9"/>
    <w:rsid w:val="00EB52DF"/>
    <w:rsid w:val="00EB5A34"/>
    <w:rsid w:val="00EB5CAA"/>
    <w:rsid w:val="00EB68C3"/>
    <w:rsid w:val="00EB6BFA"/>
    <w:rsid w:val="00EB6EE3"/>
    <w:rsid w:val="00EB705F"/>
    <w:rsid w:val="00EB71A5"/>
    <w:rsid w:val="00EB74ED"/>
    <w:rsid w:val="00EB75FB"/>
    <w:rsid w:val="00EB78C5"/>
    <w:rsid w:val="00EC001C"/>
    <w:rsid w:val="00EC001F"/>
    <w:rsid w:val="00EC0033"/>
    <w:rsid w:val="00EC0F77"/>
    <w:rsid w:val="00EC17E4"/>
    <w:rsid w:val="00EC1CB6"/>
    <w:rsid w:val="00EC229D"/>
    <w:rsid w:val="00EC27F1"/>
    <w:rsid w:val="00EC2CD7"/>
    <w:rsid w:val="00EC3285"/>
    <w:rsid w:val="00EC399E"/>
    <w:rsid w:val="00EC3E5F"/>
    <w:rsid w:val="00EC40CC"/>
    <w:rsid w:val="00EC41D1"/>
    <w:rsid w:val="00EC46AC"/>
    <w:rsid w:val="00EC484F"/>
    <w:rsid w:val="00EC4C74"/>
    <w:rsid w:val="00EC4E6B"/>
    <w:rsid w:val="00EC587C"/>
    <w:rsid w:val="00EC5AA4"/>
    <w:rsid w:val="00EC5ABC"/>
    <w:rsid w:val="00EC67FD"/>
    <w:rsid w:val="00EC6C27"/>
    <w:rsid w:val="00EC6FEE"/>
    <w:rsid w:val="00EC7934"/>
    <w:rsid w:val="00ED0D2F"/>
    <w:rsid w:val="00ED13E4"/>
    <w:rsid w:val="00ED1A57"/>
    <w:rsid w:val="00ED1DF1"/>
    <w:rsid w:val="00ED22C5"/>
    <w:rsid w:val="00ED2558"/>
    <w:rsid w:val="00ED2710"/>
    <w:rsid w:val="00ED2720"/>
    <w:rsid w:val="00ED2772"/>
    <w:rsid w:val="00ED32A7"/>
    <w:rsid w:val="00ED3A66"/>
    <w:rsid w:val="00ED3C1D"/>
    <w:rsid w:val="00ED3F81"/>
    <w:rsid w:val="00ED4004"/>
    <w:rsid w:val="00ED43C9"/>
    <w:rsid w:val="00ED464A"/>
    <w:rsid w:val="00ED476F"/>
    <w:rsid w:val="00ED47AD"/>
    <w:rsid w:val="00ED4B5E"/>
    <w:rsid w:val="00ED4E2E"/>
    <w:rsid w:val="00ED4E6C"/>
    <w:rsid w:val="00ED50DD"/>
    <w:rsid w:val="00ED5301"/>
    <w:rsid w:val="00ED5398"/>
    <w:rsid w:val="00ED5A9F"/>
    <w:rsid w:val="00ED65D6"/>
    <w:rsid w:val="00ED660A"/>
    <w:rsid w:val="00ED6807"/>
    <w:rsid w:val="00ED6A47"/>
    <w:rsid w:val="00ED6C1F"/>
    <w:rsid w:val="00ED70BE"/>
    <w:rsid w:val="00ED7628"/>
    <w:rsid w:val="00ED7863"/>
    <w:rsid w:val="00ED7D11"/>
    <w:rsid w:val="00ED7F10"/>
    <w:rsid w:val="00EE03FD"/>
    <w:rsid w:val="00EE1032"/>
    <w:rsid w:val="00EE14F8"/>
    <w:rsid w:val="00EE1764"/>
    <w:rsid w:val="00EE19FE"/>
    <w:rsid w:val="00EE220A"/>
    <w:rsid w:val="00EE258E"/>
    <w:rsid w:val="00EE27B1"/>
    <w:rsid w:val="00EE27E9"/>
    <w:rsid w:val="00EE29AD"/>
    <w:rsid w:val="00EE2BA6"/>
    <w:rsid w:val="00EE2EDE"/>
    <w:rsid w:val="00EE38B1"/>
    <w:rsid w:val="00EE3DFE"/>
    <w:rsid w:val="00EE4322"/>
    <w:rsid w:val="00EE4A3E"/>
    <w:rsid w:val="00EE4E17"/>
    <w:rsid w:val="00EE4EC9"/>
    <w:rsid w:val="00EE53C1"/>
    <w:rsid w:val="00EE546E"/>
    <w:rsid w:val="00EE5A95"/>
    <w:rsid w:val="00EE5F93"/>
    <w:rsid w:val="00EE7081"/>
    <w:rsid w:val="00EE7A84"/>
    <w:rsid w:val="00EF0184"/>
    <w:rsid w:val="00EF02FB"/>
    <w:rsid w:val="00EF0C88"/>
    <w:rsid w:val="00EF0EE8"/>
    <w:rsid w:val="00EF0F0B"/>
    <w:rsid w:val="00EF1486"/>
    <w:rsid w:val="00EF14A2"/>
    <w:rsid w:val="00EF1723"/>
    <w:rsid w:val="00EF18F3"/>
    <w:rsid w:val="00EF1D4B"/>
    <w:rsid w:val="00EF20E4"/>
    <w:rsid w:val="00EF2CAB"/>
    <w:rsid w:val="00EF2D7D"/>
    <w:rsid w:val="00EF33BC"/>
    <w:rsid w:val="00EF353A"/>
    <w:rsid w:val="00EF36B9"/>
    <w:rsid w:val="00EF3D3E"/>
    <w:rsid w:val="00EF4266"/>
    <w:rsid w:val="00EF4433"/>
    <w:rsid w:val="00EF44B6"/>
    <w:rsid w:val="00EF4CDD"/>
    <w:rsid w:val="00EF58C5"/>
    <w:rsid w:val="00EF5EAF"/>
    <w:rsid w:val="00EF5F16"/>
    <w:rsid w:val="00EF63C6"/>
    <w:rsid w:val="00EF66C7"/>
    <w:rsid w:val="00EF6704"/>
    <w:rsid w:val="00EF6D11"/>
    <w:rsid w:val="00EF704A"/>
    <w:rsid w:val="00EF709D"/>
    <w:rsid w:val="00EF727B"/>
    <w:rsid w:val="00EF7C13"/>
    <w:rsid w:val="00EF7F2D"/>
    <w:rsid w:val="00F00753"/>
    <w:rsid w:val="00F011D8"/>
    <w:rsid w:val="00F01231"/>
    <w:rsid w:val="00F01442"/>
    <w:rsid w:val="00F017C2"/>
    <w:rsid w:val="00F01896"/>
    <w:rsid w:val="00F01BB1"/>
    <w:rsid w:val="00F028E3"/>
    <w:rsid w:val="00F02A2D"/>
    <w:rsid w:val="00F02E61"/>
    <w:rsid w:val="00F03403"/>
    <w:rsid w:val="00F03557"/>
    <w:rsid w:val="00F0379D"/>
    <w:rsid w:val="00F04559"/>
    <w:rsid w:val="00F046B2"/>
    <w:rsid w:val="00F04AC5"/>
    <w:rsid w:val="00F05118"/>
    <w:rsid w:val="00F052B2"/>
    <w:rsid w:val="00F05948"/>
    <w:rsid w:val="00F05AFA"/>
    <w:rsid w:val="00F05F2B"/>
    <w:rsid w:val="00F06E9C"/>
    <w:rsid w:val="00F07813"/>
    <w:rsid w:val="00F07A44"/>
    <w:rsid w:val="00F07DBD"/>
    <w:rsid w:val="00F1008E"/>
    <w:rsid w:val="00F106A3"/>
    <w:rsid w:val="00F106CD"/>
    <w:rsid w:val="00F1085D"/>
    <w:rsid w:val="00F10A14"/>
    <w:rsid w:val="00F10D45"/>
    <w:rsid w:val="00F110E2"/>
    <w:rsid w:val="00F111E7"/>
    <w:rsid w:val="00F119E0"/>
    <w:rsid w:val="00F120E6"/>
    <w:rsid w:val="00F1246B"/>
    <w:rsid w:val="00F125AC"/>
    <w:rsid w:val="00F125DE"/>
    <w:rsid w:val="00F127A5"/>
    <w:rsid w:val="00F128F3"/>
    <w:rsid w:val="00F12D96"/>
    <w:rsid w:val="00F13205"/>
    <w:rsid w:val="00F13520"/>
    <w:rsid w:val="00F14A93"/>
    <w:rsid w:val="00F14B3B"/>
    <w:rsid w:val="00F14C68"/>
    <w:rsid w:val="00F14F6E"/>
    <w:rsid w:val="00F15090"/>
    <w:rsid w:val="00F150F2"/>
    <w:rsid w:val="00F152B1"/>
    <w:rsid w:val="00F1539A"/>
    <w:rsid w:val="00F15605"/>
    <w:rsid w:val="00F157AA"/>
    <w:rsid w:val="00F15B6A"/>
    <w:rsid w:val="00F15CA3"/>
    <w:rsid w:val="00F16563"/>
    <w:rsid w:val="00F167D2"/>
    <w:rsid w:val="00F16FF9"/>
    <w:rsid w:val="00F17105"/>
    <w:rsid w:val="00F1710E"/>
    <w:rsid w:val="00F173E8"/>
    <w:rsid w:val="00F17C06"/>
    <w:rsid w:val="00F17D98"/>
    <w:rsid w:val="00F17F99"/>
    <w:rsid w:val="00F200CC"/>
    <w:rsid w:val="00F20334"/>
    <w:rsid w:val="00F204F7"/>
    <w:rsid w:val="00F2059B"/>
    <w:rsid w:val="00F20AB6"/>
    <w:rsid w:val="00F20ADA"/>
    <w:rsid w:val="00F216F3"/>
    <w:rsid w:val="00F21BE2"/>
    <w:rsid w:val="00F21EE8"/>
    <w:rsid w:val="00F21F31"/>
    <w:rsid w:val="00F21F43"/>
    <w:rsid w:val="00F22132"/>
    <w:rsid w:val="00F221C7"/>
    <w:rsid w:val="00F2246C"/>
    <w:rsid w:val="00F225D6"/>
    <w:rsid w:val="00F22ABF"/>
    <w:rsid w:val="00F243B6"/>
    <w:rsid w:val="00F2497B"/>
    <w:rsid w:val="00F24E8B"/>
    <w:rsid w:val="00F24FFE"/>
    <w:rsid w:val="00F250CC"/>
    <w:rsid w:val="00F25483"/>
    <w:rsid w:val="00F254B1"/>
    <w:rsid w:val="00F256E1"/>
    <w:rsid w:val="00F25754"/>
    <w:rsid w:val="00F25F94"/>
    <w:rsid w:val="00F26501"/>
    <w:rsid w:val="00F26735"/>
    <w:rsid w:val="00F26948"/>
    <w:rsid w:val="00F2694B"/>
    <w:rsid w:val="00F269D8"/>
    <w:rsid w:val="00F26CB0"/>
    <w:rsid w:val="00F27653"/>
    <w:rsid w:val="00F27A55"/>
    <w:rsid w:val="00F27B21"/>
    <w:rsid w:val="00F27BE4"/>
    <w:rsid w:val="00F27C03"/>
    <w:rsid w:val="00F27CD1"/>
    <w:rsid w:val="00F27FB8"/>
    <w:rsid w:val="00F305CC"/>
    <w:rsid w:val="00F3083C"/>
    <w:rsid w:val="00F31158"/>
    <w:rsid w:val="00F316EA"/>
    <w:rsid w:val="00F31A36"/>
    <w:rsid w:val="00F31C60"/>
    <w:rsid w:val="00F320F4"/>
    <w:rsid w:val="00F32544"/>
    <w:rsid w:val="00F325BC"/>
    <w:rsid w:val="00F32759"/>
    <w:rsid w:val="00F328E2"/>
    <w:rsid w:val="00F329CB"/>
    <w:rsid w:val="00F32AC0"/>
    <w:rsid w:val="00F32BA3"/>
    <w:rsid w:val="00F32F1D"/>
    <w:rsid w:val="00F32FB3"/>
    <w:rsid w:val="00F33110"/>
    <w:rsid w:val="00F33271"/>
    <w:rsid w:val="00F3351D"/>
    <w:rsid w:val="00F33719"/>
    <w:rsid w:val="00F33EE2"/>
    <w:rsid w:val="00F34140"/>
    <w:rsid w:val="00F3465D"/>
    <w:rsid w:val="00F34B20"/>
    <w:rsid w:val="00F34B2C"/>
    <w:rsid w:val="00F34D42"/>
    <w:rsid w:val="00F34FD9"/>
    <w:rsid w:val="00F354DA"/>
    <w:rsid w:val="00F35D76"/>
    <w:rsid w:val="00F35E1F"/>
    <w:rsid w:val="00F360C5"/>
    <w:rsid w:val="00F3651E"/>
    <w:rsid w:val="00F3671E"/>
    <w:rsid w:val="00F36A4E"/>
    <w:rsid w:val="00F36E8B"/>
    <w:rsid w:val="00F373F2"/>
    <w:rsid w:val="00F3793B"/>
    <w:rsid w:val="00F37B2C"/>
    <w:rsid w:val="00F37F60"/>
    <w:rsid w:val="00F40010"/>
    <w:rsid w:val="00F400B4"/>
    <w:rsid w:val="00F40654"/>
    <w:rsid w:val="00F406FA"/>
    <w:rsid w:val="00F4079D"/>
    <w:rsid w:val="00F40856"/>
    <w:rsid w:val="00F40EFB"/>
    <w:rsid w:val="00F40F6B"/>
    <w:rsid w:val="00F41108"/>
    <w:rsid w:val="00F413CF"/>
    <w:rsid w:val="00F41C5F"/>
    <w:rsid w:val="00F41DE4"/>
    <w:rsid w:val="00F421A2"/>
    <w:rsid w:val="00F42450"/>
    <w:rsid w:val="00F42742"/>
    <w:rsid w:val="00F4284E"/>
    <w:rsid w:val="00F43B3A"/>
    <w:rsid w:val="00F43B8E"/>
    <w:rsid w:val="00F43BE9"/>
    <w:rsid w:val="00F44351"/>
    <w:rsid w:val="00F445E2"/>
    <w:rsid w:val="00F449F8"/>
    <w:rsid w:val="00F44FCC"/>
    <w:rsid w:val="00F451FF"/>
    <w:rsid w:val="00F45A0B"/>
    <w:rsid w:val="00F45A0E"/>
    <w:rsid w:val="00F45D1B"/>
    <w:rsid w:val="00F45ED8"/>
    <w:rsid w:val="00F45FED"/>
    <w:rsid w:val="00F4697B"/>
    <w:rsid w:val="00F46CB5"/>
    <w:rsid w:val="00F47035"/>
    <w:rsid w:val="00F470F7"/>
    <w:rsid w:val="00F50303"/>
    <w:rsid w:val="00F5081C"/>
    <w:rsid w:val="00F50E58"/>
    <w:rsid w:val="00F50F04"/>
    <w:rsid w:val="00F510B3"/>
    <w:rsid w:val="00F510EF"/>
    <w:rsid w:val="00F513E7"/>
    <w:rsid w:val="00F517D2"/>
    <w:rsid w:val="00F51C3B"/>
    <w:rsid w:val="00F51FB3"/>
    <w:rsid w:val="00F52CF6"/>
    <w:rsid w:val="00F52EEA"/>
    <w:rsid w:val="00F52F8D"/>
    <w:rsid w:val="00F53108"/>
    <w:rsid w:val="00F5398D"/>
    <w:rsid w:val="00F54682"/>
    <w:rsid w:val="00F54C2F"/>
    <w:rsid w:val="00F55934"/>
    <w:rsid w:val="00F55DC9"/>
    <w:rsid w:val="00F55F63"/>
    <w:rsid w:val="00F562B2"/>
    <w:rsid w:val="00F56384"/>
    <w:rsid w:val="00F56468"/>
    <w:rsid w:val="00F5667A"/>
    <w:rsid w:val="00F56C24"/>
    <w:rsid w:val="00F5771C"/>
    <w:rsid w:val="00F57885"/>
    <w:rsid w:val="00F57CFE"/>
    <w:rsid w:val="00F60133"/>
    <w:rsid w:val="00F60151"/>
    <w:rsid w:val="00F60160"/>
    <w:rsid w:val="00F601F8"/>
    <w:rsid w:val="00F60361"/>
    <w:rsid w:val="00F604C4"/>
    <w:rsid w:val="00F60A11"/>
    <w:rsid w:val="00F60A17"/>
    <w:rsid w:val="00F60F4F"/>
    <w:rsid w:val="00F614B3"/>
    <w:rsid w:val="00F61915"/>
    <w:rsid w:val="00F619A2"/>
    <w:rsid w:val="00F61A5C"/>
    <w:rsid w:val="00F626C0"/>
    <w:rsid w:val="00F627D3"/>
    <w:rsid w:val="00F62D90"/>
    <w:rsid w:val="00F62FE7"/>
    <w:rsid w:val="00F63207"/>
    <w:rsid w:val="00F633C5"/>
    <w:rsid w:val="00F64294"/>
    <w:rsid w:val="00F6430B"/>
    <w:rsid w:val="00F64B35"/>
    <w:rsid w:val="00F64B54"/>
    <w:rsid w:val="00F64CC3"/>
    <w:rsid w:val="00F654E1"/>
    <w:rsid w:val="00F65EDC"/>
    <w:rsid w:val="00F664DE"/>
    <w:rsid w:val="00F66676"/>
    <w:rsid w:val="00F66A93"/>
    <w:rsid w:val="00F66B3D"/>
    <w:rsid w:val="00F66E31"/>
    <w:rsid w:val="00F6707A"/>
    <w:rsid w:val="00F67903"/>
    <w:rsid w:val="00F679D9"/>
    <w:rsid w:val="00F67E56"/>
    <w:rsid w:val="00F67EC0"/>
    <w:rsid w:val="00F700DB"/>
    <w:rsid w:val="00F704D2"/>
    <w:rsid w:val="00F70751"/>
    <w:rsid w:val="00F70796"/>
    <w:rsid w:val="00F707CB"/>
    <w:rsid w:val="00F70AFD"/>
    <w:rsid w:val="00F70DB7"/>
    <w:rsid w:val="00F70F33"/>
    <w:rsid w:val="00F7205A"/>
    <w:rsid w:val="00F72109"/>
    <w:rsid w:val="00F7323C"/>
    <w:rsid w:val="00F73314"/>
    <w:rsid w:val="00F733FA"/>
    <w:rsid w:val="00F7396F"/>
    <w:rsid w:val="00F73A9A"/>
    <w:rsid w:val="00F73FD2"/>
    <w:rsid w:val="00F74086"/>
    <w:rsid w:val="00F7442B"/>
    <w:rsid w:val="00F74438"/>
    <w:rsid w:val="00F7459A"/>
    <w:rsid w:val="00F7518A"/>
    <w:rsid w:val="00F75289"/>
    <w:rsid w:val="00F75C9B"/>
    <w:rsid w:val="00F76526"/>
    <w:rsid w:val="00F7712C"/>
    <w:rsid w:val="00F77193"/>
    <w:rsid w:val="00F774C2"/>
    <w:rsid w:val="00F77618"/>
    <w:rsid w:val="00F77947"/>
    <w:rsid w:val="00F779AB"/>
    <w:rsid w:val="00F800FE"/>
    <w:rsid w:val="00F8058C"/>
    <w:rsid w:val="00F805A9"/>
    <w:rsid w:val="00F80EB1"/>
    <w:rsid w:val="00F811FF"/>
    <w:rsid w:val="00F819E7"/>
    <w:rsid w:val="00F81BC3"/>
    <w:rsid w:val="00F81C2E"/>
    <w:rsid w:val="00F82AE4"/>
    <w:rsid w:val="00F82DBF"/>
    <w:rsid w:val="00F82F87"/>
    <w:rsid w:val="00F82F8F"/>
    <w:rsid w:val="00F83943"/>
    <w:rsid w:val="00F83E7F"/>
    <w:rsid w:val="00F84146"/>
    <w:rsid w:val="00F846DB"/>
    <w:rsid w:val="00F846F0"/>
    <w:rsid w:val="00F84719"/>
    <w:rsid w:val="00F84D27"/>
    <w:rsid w:val="00F8525C"/>
    <w:rsid w:val="00F85741"/>
    <w:rsid w:val="00F859BA"/>
    <w:rsid w:val="00F859EF"/>
    <w:rsid w:val="00F85B7B"/>
    <w:rsid w:val="00F85BC5"/>
    <w:rsid w:val="00F85DFB"/>
    <w:rsid w:val="00F865D5"/>
    <w:rsid w:val="00F8672C"/>
    <w:rsid w:val="00F868FF"/>
    <w:rsid w:val="00F86954"/>
    <w:rsid w:val="00F869BA"/>
    <w:rsid w:val="00F86E7B"/>
    <w:rsid w:val="00F873CE"/>
    <w:rsid w:val="00F876CE"/>
    <w:rsid w:val="00F8786F"/>
    <w:rsid w:val="00F87FC8"/>
    <w:rsid w:val="00F90389"/>
    <w:rsid w:val="00F905B0"/>
    <w:rsid w:val="00F916B6"/>
    <w:rsid w:val="00F924D4"/>
    <w:rsid w:val="00F92BBB"/>
    <w:rsid w:val="00F92DF5"/>
    <w:rsid w:val="00F9300D"/>
    <w:rsid w:val="00F9314E"/>
    <w:rsid w:val="00F93857"/>
    <w:rsid w:val="00F93B1B"/>
    <w:rsid w:val="00F93B93"/>
    <w:rsid w:val="00F93C15"/>
    <w:rsid w:val="00F9400A"/>
    <w:rsid w:val="00F94297"/>
    <w:rsid w:val="00F948B1"/>
    <w:rsid w:val="00F94C5E"/>
    <w:rsid w:val="00F94DFE"/>
    <w:rsid w:val="00F950A7"/>
    <w:rsid w:val="00F9554E"/>
    <w:rsid w:val="00F95799"/>
    <w:rsid w:val="00F95886"/>
    <w:rsid w:val="00F9598A"/>
    <w:rsid w:val="00F961F4"/>
    <w:rsid w:val="00F965D8"/>
    <w:rsid w:val="00F96AA0"/>
    <w:rsid w:val="00F96AD1"/>
    <w:rsid w:val="00F96F64"/>
    <w:rsid w:val="00F97B8A"/>
    <w:rsid w:val="00F97EFD"/>
    <w:rsid w:val="00FA05F6"/>
    <w:rsid w:val="00FA07B6"/>
    <w:rsid w:val="00FA0E89"/>
    <w:rsid w:val="00FA1895"/>
    <w:rsid w:val="00FA189B"/>
    <w:rsid w:val="00FA2113"/>
    <w:rsid w:val="00FA29A7"/>
    <w:rsid w:val="00FA2B78"/>
    <w:rsid w:val="00FA2CC6"/>
    <w:rsid w:val="00FA308A"/>
    <w:rsid w:val="00FA30F2"/>
    <w:rsid w:val="00FA3191"/>
    <w:rsid w:val="00FA3588"/>
    <w:rsid w:val="00FA396D"/>
    <w:rsid w:val="00FA3B09"/>
    <w:rsid w:val="00FA3DF4"/>
    <w:rsid w:val="00FA3FD0"/>
    <w:rsid w:val="00FA43E1"/>
    <w:rsid w:val="00FA46ED"/>
    <w:rsid w:val="00FA4CC9"/>
    <w:rsid w:val="00FA4EC4"/>
    <w:rsid w:val="00FA5484"/>
    <w:rsid w:val="00FA595F"/>
    <w:rsid w:val="00FA5B5C"/>
    <w:rsid w:val="00FA5BD1"/>
    <w:rsid w:val="00FA5C55"/>
    <w:rsid w:val="00FA5DD4"/>
    <w:rsid w:val="00FA5E8A"/>
    <w:rsid w:val="00FA60C8"/>
    <w:rsid w:val="00FA618A"/>
    <w:rsid w:val="00FA6195"/>
    <w:rsid w:val="00FA6263"/>
    <w:rsid w:val="00FA6916"/>
    <w:rsid w:val="00FA6AA3"/>
    <w:rsid w:val="00FA6F20"/>
    <w:rsid w:val="00FA7318"/>
    <w:rsid w:val="00FA7543"/>
    <w:rsid w:val="00FA7751"/>
    <w:rsid w:val="00FA7782"/>
    <w:rsid w:val="00FA77DF"/>
    <w:rsid w:val="00FA7ADF"/>
    <w:rsid w:val="00FA7DDD"/>
    <w:rsid w:val="00FB075B"/>
    <w:rsid w:val="00FB1275"/>
    <w:rsid w:val="00FB16C7"/>
    <w:rsid w:val="00FB1A39"/>
    <w:rsid w:val="00FB1A52"/>
    <w:rsid w:val="00FB1BC4"/>
    <w:rsid w:val="00FB2333"/>
    <w:rsid w:val="00FB2489"/>
    <w:rsid w:val="00FB2C4E"/>
    <w:rsid w:val="00FB2FE3"/>
    <w:rsid w:val="00FB307C"/>
    <w:rsid w:val="00FB3412"/>
    <w:rsid w:val="00FB382F"/>
    <w:rsid w:val="00FB3F98"/>
    <w:rsid w:val="00FB43CF"/>
    <w:rsid w:val="00FB440A"/>
    <w:rsid w:val="00FB477B"/>
    <w:rsid w:val="00FB4A80"/>
    <w:rsid w:val="00FB4B8E"/>
    <w:rsid w:val="00FB53C1"/>
    <w:rsid w:val="00FB586D"/>
    <w:rsid w:val="00FB6330"/>
    <w:rsid w:val="00FB67E0"/>
    <w:rsid w:val="00FB6B63"/>
    <w:rsid w:val="00FB778D"/>
    <w:rsid w:val="00FB7A15"/>
    <w:rsid w:val="00FB7D8E"/>
    <w:rsid w:val="00FC0026"/>
    <w:rsid w:val="00FC00AA"/>
    <w:rsid w:val="00FC0103"/>
    <w:rsid w:val="00FC0378"/>
    <w:rsid w:val="00FC0867"/>
    <w:rsid w:val="00FC105C"/>
    <w:rsid w:val="00FC1235"/>
    <w:rsid w:val="00FC18ED"/>
    <w:rsid w:val="00FC23A8"/>
    <w:rsid w:val="00FC23F6"/>
    <w:rsid w:val="00FC27E4"/>
    <w:rsid w:val="00FC284A"/>
    <w:rsid w:val="00FC2B9B"/>
    <w:rsid w:val="00FC2E96"/>
    <w:rsid w:val="00FC2EE9"/>
    <w:rsid w:val="00FC2F47"/>
    <w:rsid w:val="00FC3038"/>
    <w:rsid w:val="00FC3541"/>
    <w:rsid w:val="00FC3C6F"/>
    <w:rsid w:val="00FC3D7E"/>
    <w:rsid w:val="00FC3F43"/>
    <w:rsid w:val="00FC41E0"/>
    <w:rsid w:val="00FC442D"/>
    <w:rsid w:val="00FC487D"/>
    <w:rsid w:val="00FC4ADC"/>
    <w:rsid w:val="00FC4E49"/>
    <w:rsid w:val="00FC4F91"/>
    <w:rsid w:val="00FC5233"/>
    <w:rsid w:val="00FC5263"/>
    <w:rsid w:val="00FC52DA"/>
    <w:rsid w:val="00FC5539"/>
    <w:rsid w:val="00FC553E"/>
    <w:rsid w:val="00FC57E7"/>
    <w:rsid w:val="00FC60ED"/>
    <w:rsid w:val="00FC6562"/>
    <w:rsid w:val="00FC6740"/>
    <w:rsid w:val="00FC72CA"/>
    <w:rsid w:val="00FC78AD"/>
    <w:rsid w:val="00FC7CD5"/>
    <w:rsid w:val="00FC7E15"/>
    <w:rsid w:val="00FC7EEB"/>
    <w:rsid w:val="00FC7F77"/>
    <w:rsid w:val="00FD0586"/>
    <w:rsid w:val="00FD06B7"/>
    <w:rsid w:val="00FD06DA"/>
    <w:rsid w:val="00FD0AA0"/>
    <w:rsid w:val="00FD0C6D"/>
    <w:rsid w:val="00FD1468"/>
    <w:rsid w:val="00FD1846"/>
    <w:rsid w:val="00FD1986"/>
    <w:rsid w:val="00FD1ACB"/>
    <w:rsid w:val="00FD1E0A"/>
    <w:rsid w:val="00FD2383"/>
    <w:rsid w:val="00FD238E"/>
    <w:rsid w:val="00FD2992"/>
    <w:rsid w:val="00FD2B7C"/>
    <w:rsid w:val="00FD2C9C"/>
    <w:rsid w:val="00FD2D8E"/>
    <w:rsid w:val="00FD2DB6"/>
    <w:rsid w:val="00FD33ED"/>
    <w:rsid w:val="00FD39EB"/>
    <w:rsid w:val="00FD3ACA"/>
    <w:rsid w:val="00FD3F09"/>
    <w:rsid w:val="00FD4146"/>
    <w:rsid w:val="00FD420E"/>
    <w:rsid w:val="00FD4676"/>
    <w:rsid w:val="00FD4801"/>
    <w:rsid w:val="00FD4956"/>
    <w:rsid w:val="00FD4A5C"/>
    <w:rsid w:val="00FD4D69"/>
    <w:rsid w:val="00FD4FEF"/>
    <w:rsid w:val="00FD5720"/>
    <w:rsid w:val="00FD5CAA"/>
    <w:rsid w:val="00FD5CD7"/>
    <w:rsid w:val="00FD641B"/>
    <w:rsid w:val="00FD6714"/>
    <w:rsid w:val="00FD6D38"/>
    <w:rsid w:val="00FD720D"/>
    <w:rsid w:val="00FD724B"/>
    <w:rsid w:val="00FD7419"/>
    <w:rsid w:val="00FD74E7"/>
    <w:rsid w:val="00FD7AD2"/>
    <w:rsid w:val="00FD7C02"/>
    <w:rsid w:val="00FD7E10"/>
    <w:rsid w:val="00FE0295"/>
    <w:rsid w:val="00FE04DF"/>
    <w:rsid w:val="00FE0912"/>
    <w:rsid w:val="00FE09D7"/>
    <w:rsid w:val="00FE0B81"/>
    <w:rsid w:val="00FE176F"/>
    <w:rsid w:val="00FE21A3"/>
    <w:rsid w:val="00FE2974"/>
    <w:rsid w:val="00FE2AB5"/>
    <w:rsid w:val="00FE2D7C"/>
    <w:rsid w:val="00FE35E5"/>
    <w:rsid w:val="00FE390C"/>
    <w:rsid w:val="00FE3EAF"/>
    <w:rsid w:val="00FE445B"/>
    <w:rsid w:val="00FE450D"/>
    <w:rsid w:val="00FE47A0"/>
    <w:rsid w:val="00FE4A42"/>
    <w:rsid w:val="00FE4A6E"/>
    <w:rsid w:val="00FE4AA6"/>
    <w:rsid w:val="00FE4D1F"/>
    <w:rsid w:val="00FE5257"/>
    <w:rsid w:val="00FE5283"/>
    <w:rsid w:val="00FE5A7B"/>
    <w:rsid w:val="00FE5CF3"/>
    <w:rsid w:val="00FE5E80"/>
    <w:rsid w:val="00FE5F31"/>
    <w:rsid w:val="00FE6465"/>
    <w:rsid w:val="00FE6939"/>
    <w:rsid w:val="00FE6F22"/>
    <w:rsid w:val="00FE753A"/>
    <w:rsid w:val="00FE7CA3"/>
    <w:rsid w:val="00FF0404"/>
    <w:rsid w:val="00FF0417"/>
    <w:rsid w:val="00FF0589"/>
    <w:rsid w:val="00FF07B3"/>
    <w:rsid w:val="00FF0B5B"/>
    <w:rsid w:val="00FF0BED"/>
    <w:rsid w:val="00FF0CFF"/>
    <w:rsid w:val="00FF106C"/>
    <w:rsid w:val="00FF198A"/>
    <w:rsid w:val="00FF227A"/>
    <w:rsid w:val="00FF22A4"/>
    <w:rsid w:val="00FF230B"/>
    <w:rsid w:val="00FF252C"/>
    <w:rsid w:val="00FF2723"/>
    <w:rsid w:val="00FF2BDF"/>
    <w:rsid w:val="00FF335F"/>
    <w:rsid w:val="00FF3589"/>
    <w:rsid w:val="00FF371B"/>
    <w:rsid w:val="00FF3BC6"/>
    <w:rsid w:val="00FF3C18"/>
    <w:rsid w:val="00FF409E"/>
    <w:rsid w:val="00FF4194"/>
    <w:rsid w:val="00FF45B2"/>
    <w:rsid w:val="00FF4685"/>
    <w:rsid w:val="00FF4721"/>
    <w:rsid w:val="00FF4908"/>
    <w:rsid w:val="00FF4A93"/>
    <w:rsid w:val="00FF4C0C"/>
    <w:rsid w:val="00FF4D58"/>
    <w:rsid w:val="00FF51AF"/>
    <w:rsid w:val="00FF5F46"/>
    <w:rsid w:val="00FF5F62"/>
    <w:rsid w:val="00FF6069"/>
    <w:rsid w:val="00FF6781"/>
    <w:rsid w:val="00FF6D6A"/>
    <w:rsid w:val="00FF7631"/>
    <w:rsid w:val="00FF7926"/>
    <w:rsid w:val="00FF7AE8"/>
    <w:rsid w:val="00FF7E96"/>
    <w:rsid w:val="00FF7ED8"/>
    <w:rsid w:val="01E10C9F"/>
    <w:rsid w:val="037E3C2D"/>
    <w:rsid w:val="0392496D"/>
    <w:rsid w:val="039B1E88"/>
    <w:rsid w:val="04411C9E"/>
    <w:rsid w:val="068E49EA"/>
    <w:rsid w:val="06A321B1"/>
    <w:rsid w:val="07F57CD8"/>
    <w:rsid w:val="07FA76B5"/>
    <w:rsid w:val="09503F75"/>
    <w:rsid w:val="0958005D"/>
    <w:rsid w:val="09623EC2"/>
    <w:rsid w:val="09AD6658"/>
    <w:rsid w:val="0A9E6A06"/>
    <w:rsid w:val="0AD85DB4"/>
    <w:rsid w:val="0AE72FF9"/>
    <w:rsid w:val="0B6A578C"/>
    <w:rsid w:val="0B6F1203"/>
    <w:rsid w:val="0C337593"/>
    <w:rsid w:val="0C4E21F8"/>
    <w:rsid w:val="0CAD34C3"/>
    <w:rsid w:val="0CBF5A60"/>
    <w:rsid w:val="0D220323"/>
    <w:rsid w:val="0D4618A3"/>
    <w:rsid w:val="0DB37660"/>
    <w:rsid w:val="0E243A0D"/>
    <w:rsid w:val="0EE9081D"/>
    <w:rsid w:val="0EE961C6"/>
    <w:rsid w:val="0EEE12E4"/>
    <w:rsid w:val="1058450E"/>
    <w:rsid w:val="10AB3168"/>
    <w:rsid w:val="10DB7E7E"/>
    <w:rsid w:val="10FD6AA1"/>
    <w:rsid w:val="11375C88"/>
    <w:rsid w:val="126C3173"/>
    <w:rsid w:val="12BF32D9"/>
    <w:rsid w:val="14110250"/>
    <w:rsid w:val="14242DDE"/>
    <w:rsid w:val="149679BA"/>
    <w:rsid w:val="15145DE9"/>
    <w:rsid w:val="157E3458"/>
    <w:rsid w:val="15981F05"/>
    <w:rsid w:val="18FA2A94"/>
    <w:rsid w:val="19D068F6"/>
    <w:rsid w:val="1AE0730B"/>
    <w:rsid w:val="1C502501"/>
    <w:rsid w:val="1C8910CF"/>
    <w:rsid w:val="1E0E2480"/>
    <w:rsid w:val="1E2F5E90"/>
    <w:rsid w:val="1E90774E"/>
    <w:rsid w:val="1EA6609F"/>
    <w:rsid w:val="1ED15ABE"/>
    <w:rsid w:val="20A76190"/>
    <w:rsid w:val="20BE48AC"/>
    <w:rsid w:val="21060278"/>
    <w:rsid w:val="22DE4B14"/>
    <w:rsid w:val="23866E1B"/>
    <w:rsid w:val="2418047D"/>
    <w:rsid w:val="244864AC"/>
    <w:rsid w:val="24533EA6"/>
    <w:rsid w:val="24722B9F"/>
    <w:rsid w:val="24CB4BE4"/>
    <w:rsid w:val="254C40BE"/>
    <w:rsid w:val="258B15CD"/>
    <w:rsid w:val="25EF714A"/>
    <w:rsid w:val="263B17C8"/>
    <w:rsid w:val="269221D6"/>
    <w:rsid w:val="269F4857"/>
    <w:rsid w:val="27425D57"/>
    <w:rsid w:val="278A731A"/>
    <w:rsid w:val="27F25B5E"/>
    <w:rsid w:val="2893640F"/>
    <w:rsid w:val="289C222B"/>
    <w:rsid w:val="290A5F90"/>
    <w:rsid w:val="291D7302"/>
    <w:rsid w:val="294A1318"/>
    <w:rsid w:val="2A6F6C41"/>
    <w:rsid w:val="2C0F7843"/>
    <w:rsid w:val="2D6A5638"/>
    <w:rsid w:val="2E293CDE"/>
    <w:rsid w:val="2E7E6DF2"/>
    <w:rsid w:val="2FFBA06C"/>
    <w:rsid w:val="30DA524D"/>
    <w:rsid w:val="312619F6"/>
    <w:rsid w:val="316C3324"/>
    <w:rsid w:val="31DF08E4"/>
    <w:rsid w:val="31E5546C"/>
    <w:rsid w:val="320E507A"/>
    <w:rsid w:val="32C77BFC"/>
    <w:rsid w:val="350678BF"/>
    <w:rsid w:val="351C7EA7"/>
    <w:rsid w:val="355625B2"/>
    <w:rsid w:val="360228A5"/>
    <w:rsid w:val="36D03BF0"/>
    <w:rsid w:val="36DC74DD"/>
    <w:rsid w:val="36E47B9D"/>
    <w:rsid w:val="37953F6D"/>
    <w:rsid w:val="38A0095B"/>
    <w:rsid w:val="398A5927"/>
    <w:rsid w:val="39AF63EE"/>
    <w:rsid w:val="3AC36C50"/>
    <w:rsid w:val="3B690585"/>
    <w:rsid w:val="3BAB65BE"/>
    <w:rsid w:val="3C111A19"/>
    <w:rsid w:val="3DA753C8"/>
    <w:rsid w:val="3DEC50E1"/>
    <w:rsid w:val="3E2E0410"/>
    <w:rsid w:val="3EB85BC4"/>
    <w:rsid w:val="3EEC29FC"/>
    <w:rsid w:val="3F8743D5"/>
    <w:rsid w:val="402E1919"/>
    <w:rsid w:val="41730C21"/>
    <w:rsid w:val="421A7F0A"/>
    <w:rsid w:val="427D6BF1"/>
    <w:rsid w:val="42C52F81"/>
    <w:rsid w:val="435369BF"/>
    <w:rsid w:val="43FF3E21"/>
    <w:rsid w:val="44702F75"/>
    <w:rsid w:val="44EC64C9"/>
    <w:rsid w:val="456E74C3"/>
    <w:rsid w:val="46B53A33"/>
    <w:rsid w:val="46C840DF"/>
    <w:rsid w:val="47596592"/>
    <w:rsid w:val="47B22C51"/>
    <w:rsid w:val="47DA0E18"/>
    <w:rsid w:val="48C82993"/>
    <w:rsid w:val="49083149"/>
    <w:rsid w:val="49362E6C"/>
    <w:rsid w:val="49FF239B"/>
    <w:rsid w:val="4A113AD2"/>
    <w:rsid w:val="4B6C2783"/>
    <w:rsid w:val="4BDBDF1D"/>
    <w:rsid w:val="4C151959"/>
    <w:rsid w:val="4C4206D4"/>
    <w:rsid w:val="4D1314B3"/>
    <w:rsid w:val="4D1C4B2E"/>
    <w:rsid w:val="4D447DD6"/>
    <w:rsid w:val="4E1622A9"/>
    <w:rsid w:val="4EC13061"/>
    <w:rsid w:val="4F437EEF"/>
    <w:rsid w:val="4F731E3F"/>
    <w:rsid w:val="51483236"/>
    <w:rsid w:val="51B6532C"/>
    <w:rsid w:val="52730954"/>
    <w:rsid w:val="52937E9F"/>
    <w:rsid w:val="53643EDF"/>
    <w:rsid w:val="53772781"/>
    <w:rsid w:val="54C25ABA"/>
    <w:rsid w:val="55033E68"/>
    <w:rsid w:val="551C1419"/>
    <w:rsid w:val="5732547B"/>
    <w:rsid w:val="579F2A7F"/>
    <w:rsid w:val="57CC79AB"/>
    <w:rsid w:val="57EA730E"/>
    <w:rsid w:val="57F53A6D"/>
    <w:rsid w:val="5814764F"/>
    <w:rsid w:val="583053C9"/>
    <w:rsid w:val="58E93E82"/>
    <w:rsid w:val="58F047A2"/>
    <w:rsid w:val="59E9083B"/>
    <w:rsid w:val="5A02069A"/>
    <w:rsid w:val="5BFE0446"/>
    <w:rsid w:val="5C120C28"/>
    <w:rsid w:val="5CA76906"/>
    <w:rsid w:val="5CAD58A7"/>
    <w:rsid w:val="5EF665D7"/>
    <w:rsid w:val="5EFF2174"/>
    <w:rsid w:val="5F9C70EB"/>
    <w:rsid w:val="5FAB2525"/>
    <w:rsid w:val="60C60721"/>
    <w:rsid w:val="61AE58B2"/>
    <w:rsid w:val="62137C39"/>
    <w:rsid w:val="62800225"/>
    <w:rsid w:val="62880810"/>
    <w:rsid w:val="63310220"/>
    <w:rsid w:val="63F93867"/>
    <w:rsid w:val="64EC7A60"/>
    <w:rsid w:val="650D5500"/>
    <w:rsid w:val="656C47B9"/>
    <w:rsid w:val="66E86231"/>
    <w:rsid w:val="675A6D1E"/>
    <w:rsid w:val="680C7556"/>
    <w:rsid w:val="684F7CF9"/>
    <w:rsid w:val="68667E6E"/>
    <w:rsid w:val="69FB3CF8"/>
    <w:rsid w:val="6A364619"/>
    <w:rsid w:val="6B213BD1"/>
    <w:rsid w:val="6B867BE1"/>
    <w:rsid w:val="6C0576C7"/>
    <w:rsid w:val="6C156C89"/>
    <w:rsid w:val="6C95078E"/>
    <w:rsid w:val="6CE51476"/>
    <w:rsid w:val="6D9C7C33"/>
    <w:rsid w:val="6F2A4AF9"/>
    <w:rsid w:val="6FDF8B49"/>
    <w:rsid w:val="6FFFF0A5"/>
    <w:rsid w:val="70116416"/>
    <w:rsid w:val="7063602B"/>
    <w:rsid w:val="70874E81"/>
    <w:rsid w:val="716355F7"/>
    <w:rsid w:val="717E7688"/>
    <w:rsid w:val="71FE9EF6"/>
    <w:rsid w:val="727144C7"/>
    <w:rsid w:val="733657FD"/>
    <w:rsid w:val="737A2A3B"/>
    <w:rsid w:val="74553029"/>
    <w:rsid w:val="74AC105C"/>
    <w:rsid w:val="74CA7CE6"/>
    <w:rsid w:val="7572628A"/>
    <w:rsid w:val="75787FC9"/>
    <w:rsid w:val="75BA64AB"/>
    <w:rsid w:val="75C23881"/>
    <w:rsid w:val="765F29E9"/>
    <w:rsid w:val="768A673F"/>
    <w:rsid w:val="77604066"/>
    <w:rsid w:val="77974AD2"/>
    <w:rsid w:val="781A4BC7"/>
    <w:rsid w:val="78B26191"/>
    <w:rsid w:val="794E44D1"/>
    <w:rsid w:val="7A0D5EC0"/>
    <w:rsid w:val="7A8A15AC"/>
    <w:rsid w:val="7AD55C91"/>
    <w:rsid w:val="7B296475"/>
    <w:rsid w:val="7B630980"/>
    <w:rsid w:val="7B95754E"/>
    <w:rsid w:val="7BEEF1DC"/>
    <w:rsid w:val="7CA76542"/>
    <w:rsid w:val="7CC05A7C"/>
    <w:rsid w:val="7DB57ED8"/>
    <w:rsid w:val="7E5C6CC2"/>
    <w:rsid w:val="7EF61A1B"/>
    <w:rsid w:val="7F6E453C"/>
    <w:rsid w:val="7FFED6BC"/>
    <w:rsid w:val="BB74988A"/>
    <w:rsid w:val="BDAFDDC5"/>
    <w:rsid w:val="DB7F8C0A"/>
    <w:rsid w:val="DDEFF38F"/>
    <w:rsid w:val="EF7CAE65"/>
    <w:rsid w:val="EFFEA813"/>
    <w:rsid w:val="F1F732E0"/>
    <w:rsid w:val="F5230E8F"/>
    <w:rsid w:val="F7DFBE3D"/>
    <w:rsid w:val="FCDC44EE"/>
    <w:rsid w:val="FDFA80FA"/>
    <w:rsid w:val="FF6AB35B"/>
    <w:rsid w:val="FFECEE08"/>
    <w:rsid w:val="FFFD507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99"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qFormat="1"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3"/>
    <w:qFormat/>
    <w:uiPriority w:val="9"/>
    <w:pPr>
      <w:keepNext/>
      <w:autoSpaceDE w:val="0"/>
      <w:autoSpaceDN w:val="0"/>
      <w:spacing w:line="360" w:lineRule="auto"/>
      <w:jc w:val="center"/>
      <w:textAlignment w:val="bottom"/>
      <w:outlineLvl w:val="0"/>
    </w:pPr>
    <w:rPr>
      <w:rFonts w:ascii="仿宋_GB2312" w:eastAsia="仿宋_GB2312"/>
      <w:b/>
      <w:sz w:val="44"/>
    </w:rPr>
  </w:style>
  <w:style w:type="paragraph" w:styleId="3">
    <w:name w:val="heading 2"/>
    <w:basedOn w:val="1"/>
    <w:next w:val="1"/>
    <w:link w:val="74"/>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4">
    <w:name w:val="heading 3"/>
    <w:basedOn w:val="1"/>
    <w:next w:val="5"/>
    <w:link w:val="76"/>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6">
    <w:name w:val="heading 4"/>
    <w:basedOn w:val="1"/>
    <w:next w:val="1"/>
    <w:link w:val="77"/>
    <w:qFormat/>
    <w:uiPriority w:val="0"/>
    <w:pPr>
      <w:keepLines/>
      <w:widowControl/>
      <w:spacing w:before="280" w:after="290" w:line="372" w:lineRule="auto"/>
      <w:outlineLvl w:val="3"/>
    </w:pPr>
    <w:rPr>
      <w:rFonts w:ascii="Arial" w:hAnsi="Arial" w:eastAsia="黑体"/>
      <w:b/>
      <w:color w:val="000000"/>
      <w:sz w:val="28"/>
      <w:szCs w:val="20"/>
    </w:rPr>
  </w:style>
  <w:style w:type="paragraph" w:styleId="7">
    <w:name w:val="heading 5"/>
    <w:basedOn w:val="1"/>
    <w:next w:val="1"/>
    <w:link w:val="78"/>
    <w:qFormat/>
    <w:uiPriority w:val="0"/>
    <w:pPr>
      <w:keepLines/>
      <w:widowControl/>
      <w:spacing w:before="280" w:after="290" w:line="372" w:lineRule="auto"/>
      <w:outlineLvl w:val="4"/>
    </w:pPr>
    <w:rPr>
      <w:b/>
      <w:color w:val="000000"/>
      <w:sz w:val="28"/>
      <w:szCs w:val="20"/>
    </w:rPr>
  </w:style>
  <w:style w:type="paragraph" w:styleId="8">
    <w:name w:val="heading 6"/>
    <w:basedOn w:val="1"/>
    <w:next w:val="1"/>
    <w:link w:val="79"/>
    <w:qFormat/>
    <w:uiPriority w:val="0"/>
    <w:pPr>
      <w:keepLines/>
      <w:widowControl/>
      <w:spacing w:before="240" w:after="64" w:line="312" w:lineRule="auto"/>
      <w:outlineLvl w:val="5"/>
    </w:pPr>
    <w:rPr>
      <w:rFonts w:ascii="Arial" w:hAnsi="Arial" w:eastAsia="黑体"/>
      <w:b/>
      <w:color w:val="000000"/>
      <w:sz w:val="24"/>
      <w:szCs w:val="20"/>
    </w:rPr>
  </w:style>
  <w:style w:type="paragraph" w:styleId="9">
    <w:name w:val="heading 7"/>
    <w:basedOn w:val="1"/>
    <w:next w:val="1"/>
    <w:link w:val="80"/>
    <w:qFormat/>
    <w:uiPriority w:val="0"/>
    <w:pPr>
      <w:keepLines/>
      <w:widowControl/>
      <w:spacing w:before="240" w:after="64" w:line="312" w:lineRule="auto"/>
      <w:outlineLvl w:val="6"/>
    </w:pPr>
    <w:rPr>
      <w:b/>
      <w:color w:val="000000"/>
      <w:sz w:val="24"/>
      <w:szCs w:val="20"/>
    </w:rPr>
  </w:style>
  <w:style w:type="paragraph" w:styleId="10">
    <w:name w:val="heading 8"/>
    <w:basedOn w:val="1"/>
    <w:next w:val="1"/>
    <w:link w:val="81"/>
    <w:qFormat/>
    <w:uiPriority w:val="0"/>
    <w:pPr>
      <w:keepLines/>
      <w:widowControl/>
      <w:spacing w:before="240" w:after="64" w:line="312" w:lineRule="auto"/>
      <w:outlineLvl w:val="7"/>
    </w:pPr>
    <w:rPr>
      <w:rFonts w:ascii="Arial" w:hAnsi="Arial" w:eastAsia="黑体"/>
      <w:color w:val="000000"/>
      <w:sz w:val="24"/>
      <w:szCs w:val="20"/>
    </w:rPr>
  </w:style>
  <w:style w:type="paragraph" w:styleId="11">
    <w:name w:val="heading 9"/>
    <w:basedOn w:val="1"/>
    <w:next w:val="1"/>
    <w:link w:val="82"/>
    <w:qFormat/>
    <w:uiPriority w:val="0"/>
    <w:pPr>
      <w:keepLines/>
      <w:widowControl/>
      <w:spacing w:before="240" w:after="64" w:line="312" w:lineRule="auto"/>
      <w:outlineLvl w:val="8"/>
    </w:pPr>
    <w:rPr>
      <w:rFonts w:ascii="Arial" w:hAnsi="Arial" w:eastAsia="黑体"/>
      <w:color w:val="000000"/>
      <w:szCs w:val="20"/>
    </w:rPr>
  </w:style>
  <w:style w:type="character" w:default="1" w:styleId="57">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75"/>
    <w:qFormat/>
    <w:uiPriority w:val="0"/>
    <w:pPr>
      <w:ind w:firstLine="420"/>
    </w:pPr>
    <w:rPr>
      <w:szCs w:val="20"/>
    </w:rPr>
  </w:style>
  <w:style w:type="paragraph" w:styleId="12">
    <w:name w:val="toc 7"/>
    <w:basedOn w:val="1"/>
    <w:next w:val="1"/>
    <w:qFormat/>
    <w:uiPriority w:val="0"/>
    <w:pPr>
      <w:ind w:left="2520" w:leftChars="1200"/>
    </w:pPr>
    <w:rPr>
      <w:rFonts w:ascii="Calibri" w:hAnsi="Calibri"/>
      <w:szCs w:val="22"/>
    </w:rPr>
  </w:style>
  <w:style w:type="paragraph" w:styleId="13">
    <w:name w:val="table of authorities"/>
    <w:basedOn w:val="1"/>
    <w:next w:val="1"/>
    <w:qFormat/>
    <w:uiPriority w:val="0"/>
    <w:pPr>
      <w:widowControl/>
      <w:tabs>
        <w:tab w:val="left" w:pos="480"/>
        <w:tab w:val="left" w:pos="540"/>
        <w:tab w:val="left" w:pos="720"/>
      </w:tabs>
      <w:spacing w:beforeLines="50" w:line="360" w:lineRule="exact"/>
      <w:ind w:left="420" w:leftChars="200" w:firstLine="200" w:firstLineChars="200"/>
      <w:jc w:val="left"/>
    </w:pPr>
    <w:rPr>
      <w:rFonts w:ascii="仿宋" w:hAnsi="仿宋" w:eastAsia="仿宋" w:cs="仿宋"/>
      <w:bCs/>
      <w:color w:val="000000"/>
      <w:kern w:val="0"/>
      <w:sz w:val="24"/>
    </w:rPr>
  </w:style>
  <w:style w:type="paragraph" w:styleId="14">
    <w:name w:val="caption"/>
    <w:basedOn w:val="1"/>
    <w:next w:val="1"/>
    <w:link w:val="83"/>
    <w:qFormat/>
    <w:uiPriority w:val="0"/>
    <w:pPr>
      <w:spacing w:before="152" w:after="160"/>
    </w:pPr>
    <w:rPr>
      <w:rFonts w:ascii="Arial" w:hAnsi="Arial" w:eastAsia="黑体"/>
      <w:sz w:val="20"/>
      <w:szCs w:val="20"/>
    </w:rPr>
  </w:style>
  <w:style w:type="paragraph" w:styleId="15">
    <w:name w:val="List Bullet"/>
    <w:basedOn w:val="1"/>
    <w:qFormat/>
    <w:uiPriority w:val="0"/>
    <w:pPr>
      <w:tabs>
        <w:tab w:val="left" w:pos="360"/>
      </w:tabs>
      <w:ind w:left="360" w:hanging="360"/>
    </w:pPr>
    <w:rPr>
      <w:szCs w:val="20"/>
    </w:rPr>
  </w:style>
  <w:style w:type="paragraph" w:styleId="16">
    <w:name w:val="Document Map"/>
    <w:basedOn w:val="1"/>
    <w:link w:val="84"/>
    <w:qFormat/>
    <w:uiPriority w:val="0"/>
    <w:pPr>
      <w:widowControl/>
      <w:adjustRightInd w:val="0"/>
      <w:snapToGrid w:val="0"/>
      <w:spacing w:after="200"/>
      <w:jc w:val="left"/>
    </w:pPr>
    <w:rPr>
      <w:rFonts w:ascii="宋体" w:hAnsi="Tahoma"/>
      <w:kern w:val="0"/>
      <w:sz w:val="18"/>
      <w:szCs w:val="18"/>
    </w:rPr>
  </w:style>
  <w:style w:type="paragraph" w:styleId="17">
    <w:name w:val="annotation text"/>
    <w:basedOn w:val="1"/>
    <w:link w:val="85"/>
    <w:qFormat/>
    <w:uiPriority w:val="99"/>
    <w:pPr>
      <w:jc w:val="left"/>
    </w:pPr>
  </w:style>
  <w:style w:type="paragraph" w:styleId="18">
    <w:name w:val="Body Text 3"/>
    <w:basedOn w:val="1"/>
    <w:link w:val="86"/>
    <w:qFormat/>
    <w:uiPriority w:val="99"/>
    <w:pPr>
      <w:widowControl/>
      <w:spacing w:line="360" w:lineRule="auto"/>
    </w:pPr>
    <w:rPr>
      <w:rFonts w:ascii="仿宋_GB2312" w:eastAsia="仿宋_GB2312"/>
      <w:sz w:val="24"/>
      <w:szCs w:val="20"/>
    </w:rPr>
  </w:style>
  <w:style w:type="paragraph" w:styleId="19">
    <w:name w:val="Body Text"/>
    <w:basedOn w:val="1"/>
    <w:link w:val="72"/>
    <w:qFormat/>
    <w:uiPriority w:val="0"/>
    <w:pPr>
      <w:tabs>
        <w:tab w:val="left" w:pos="208"/>
      </w:tabs>
      <w:spacing w:line="432" w:lineRule="auto"/>
    </w:pPr>
    <w:rPr>
      <w:rFonts w:ascii="仿宋_GB2312" w:eastAsia="仿宋_GB2312"/>
      <w:sz w:val="28"/>
    </w:rPr>
  </w:style>
  <w:style w:type="paragraph" w:styleId="20">
    <w:name w:val="Body Text Indent"/>
    <w:basedOn w:val="1"/>
    <w:link w:val="87"/>
    <w:qFormat/>
    <w:uiPriority w:val="0"/>
    <w:pPr>
      <w:ind w:firstLine="540"/>
    </w:pPr>
    <w:rPr>
      <w:sz w:val="28"/>
      <w:szCs w:val="20"/>
    </w:rPr>
  </w:style>
  <w:style w:type="paragraph" w:styleId="21">
    <w:name w:val="List Number 3"/>
    <w:basedOn w:val="1"/>
    <w:qFormat/>
    <w:uiPriority w:val="0"/>
    <w:pPr>
      <w:tabs>
        <w:tab w:val="left" w:pos="1200"/>
      </w:tabs>
      <w:spacing w:beforeLines="40" w:afterLines="40" w:line="300" w:lineRule="auto"/>
      <w:ind w:left="1200" w:hanging="360"/>
    </w:pPr>
    <w:rPr>
      <w:sz w:val="24"/>
    </w:rPr>
  </w:style>
  <w:style w:type="paragraph" w:styleId="22">
    <w:name w:val="List 2"/>
    <w:basedOn w:val="1"/>
    <w:qFormat/>
    <w:uiPriority w:val="0"/>
    <w:pPr>
      <w:widowControl/>
      <w:spacing w:after="160"/>
      <w:ind w:left="100" w:leftChars="200" w:hanging="200" w:hangingChars="200"/>
      <w:jc w:val="left"/>
    </w:pPr>
    <w:rPr>
      <w:kern w:val="0"/>
      <w:szCs w:val="20"/>
      <w:lang w:eastAsia="en-US"/>
    </w:rPr>
  </w:style>
  <w:style w:type="paragraph" w:styleId="23">
    <w:name w:val="List Continue"/>
    <w:basedOn w:val="1"/>
    <w:qFormat/>
    <w:uiPriority w:val="99"/>
    <w:pPr>
      <w:widowControl/>
      <w:spacing w:after="120"/>
      <w:ind w:left="420" w:leftChars="200"/>
      <w:jc w:val="left"/>
    </w:pPr>
    <w:rPr>
      <w:szCs w:val="20"/>
    </w:rPr>
  </w:style>
  <w:style w:type="paragraph" w:styleId="24">
    <w:name w:val="index 4"/>
    <w:basedOn w:val="1"/>
    <w:next w:val="1"/>
    <w:qFormat/>
    <w:uiPriority w:val="0"/>
    <w:pPr>
      <w:ind w:left="600" w:leftChars="600"/>
    </w:pPr>
  </w:style>
  <w:style w:type="paragraph" w:styleId="25">
    <w:name w:val="toc 5"/>
    <w:basedOn w:val="1"/>
    <w:next w:val="1"/>
    <w:link w:val="88"/>
    <w:qFormat/>
    <w:uiPriority w:val="0"/>
    <w:pPr>
      <w:ind w:left="1680" w:leftChars="800"/>
    </w:pPr>
    <w:rPr>
      <w:rFonts w:ascii="Calibri" w:hAnsi="Calibri"/>
      <w:szCs w:val="22"/>
    </w:rPr>
  </w:style>
  <w:style w:type="paragraph" w:styleId="26">
    <w:name w:val="toc 3"/>
    <w:basedOn w:val="1"/>
    <w:next w:val="1"/>
    <w:link w:val="89"/>
    <w:qFormat/>
    <w:uiPriority w:val="39"/>
    <w:pPr>
      <w:tabs>
        <w:tab w:val="right" w:leader="dot" w:pos="9060"/>
      </w:tabs>
      <w:ind w:left="750" w:leftChars="300" w:hanging="120" w:hangingChars="50"/>
    </w:pPr>
    <w:rPr>
      <w:rFonts w:ascii="仿宋_GB2312" w:eastAsia="仿宋_GB2312"/>
      <w:sz w:val="24"/>
      <w:szCs w:val="36"/>
    </w:rPr>
  </w:style>
  <w:style w:type="paragraph" w:styleId="27">
    <w:name w:val="Plain Text"/>
    <w:basedOn w:val="1"/>
    <w:link w:val="90"/>
    <w:qFormat/>
    <w:uiPriority w:val="0"/>
    <w:rPr>
      <w:rFonts w:ascii="宋体" w:hAnsi="Courier New"/>
      <w:szCs w:val="20"/>
    </w:rPr>
  </w:style>
  <w:style w:type="paragraph" w:styleId="28">
    <w:name w:val="toc 8"/>
    <w:basedOn w:val="1"/>
    <w:next w:val="1"/>
    <w:qFormat/>
    <w:uiPriority w:val="0"/>
    <w:pPr>
      <w:ind w:left="2940" w:leftChars="1400"/>
    </w:pPr>
    <w:rPr>
      <w:rFonts w:ascii="Calibri" w:hAnsi="Calibri"/>
      <w:szCs w:val="22"/>
    </w:rPr>
  </w:style>
  <w:style w:type="paragraph" w:styleId="29">
    <w:name w:val="Date"/>
    <w:basedOn w:val="1"/>
    <w:next w:val="1"/>
    <w:link w:val="91"/>
    <w:qFormat/>
    <w:uiPriority w:val="0"/>
    <w:pPr>
      <w:adjustRightInd w:val="0"/>
      <w:spacing w:line="312" w:lineRule="atLeast"/>
    </w:pPr>
    <w:rPr>
      <w:rFonts w:ascii="仿宋_GB2312" w:eastAsia="仿宋_GB2312"/>
      <w:kern w:val="0"/>
      <w:sz w:val="28"/>
      <w:szCs w:val="20"/>
    </w:rPr>
  </w:style>
  <w:style w:type="paragraph" w:styleId="30">
    <w:name w:val="Body Text Indent 2"/>
    <w:basedOn w:val="1"/>
    <w:link w:val="92"/>
    <w:qFormat/>
    <w:uiPriority w:val="99"/>
    <w:pPr>
      <w:snapToGrid w:val="0"/>
      <w:spacing w:line="400" w:lineRule="exact"/>
      <w:ind w:firstLine="480"/>
    </w:pPr>
    <w:rPr>
      <w:rFonts w:eastAsia="仿宋_GB2312"/>
      <w:sz w:val="24"/>
    </w:rPr>
  </w:style>
  <w:style w:type="paragraph" w:styleId="31">
    <w:name w:val="Balloon Text"/>
    <w:basedOn w:val="1"/>
    <w:link w:val="93"/>
    <w:qFormat/>
    <w:uiPriority w:val="0"/>
    <w:rPr>
      <w:sz w:val="18"/>
      <w:szCs w:val="18"/>
    </w:rPr>
  </w:style>
  <w:style w:type="paragraph" w:styleId="32">
    <w:name w:val="footer"/>
    <w:basedOn w:val="1"/>
    <w:link w:val="94"/>
    <w:qFormat/>
    <w:uiPriority w:val="99"/>
    <w:pPr>
      <w:tabs>
        <w:tab w:val="center" w:pos="4153"/>
        <w:tab w:val="right" w:pos="8306"/>
      </w:tabs>
      <w:snapToGrid w:val="0"/>
      <w:jc w:val="left"/>
    </w:pPr>
    <w:rPr>
      <w:sz w:val="18"/>
      <w:szCs w:val="18"/>
    </w:rPr>
  </w:style>
  <w:style w:type="paragraph" w:styleId="33">
    <w:name w:val="header"/>
    <w:basedOn w:val="1"/>
    <w:link w:val="95"/>
    <w:qFormat/>
    <w:uiPriority w:val="0"/>
    <w:pPr>
      <w:pBdr>
        <w:bottom w:val="single" w:color="auto" w:sz="6" w:space="1"/>
      </w:pBdr>
      <w:tabs>
        <w:tab w:val="center" w:pos="4153"/>
        <w:tab w:val="right" w:pos="8306"/>
      </w:tabs>
      <w:adjustRightInd w:val="0"/>
      <w:spacing w:line="240" w:lineRule="atLeast"/>
      <w:jc w:val="center"/>
    </w:pPr>
    <w:rPr>
      <w:kern w:val="0"/>
      <w:sz w:val="18"/>
      <w:szCs w:val="20"/>
    </w:rPr>
  </w:style>
  <w:style w:type="paragraph" w:styleId="34">
    <w:name w:val="Signature"/>
    <w:basedOn w:val="1"/>
    <w:next w:val="1"/>
    <w:link w:val="96"/>
    <w:qFormat/>
    <w:uiPriority w:val="0"/>
    <w:pPr>
      <w:keepNext/>
      <w:widowControl/>
      <w:tabs>
        <w:tab w:val="left" w:pos="780"/>
      </w:tabs>
      <w:adjustRightInd w:val="0"/>
      <w:spacing w:line="220" w:lineRule="atLeast"/>
      <w:ind w:hanging="360"/>
      <w:jc w:val="right"/>
      <w:textAlignment w:val="baseline"/>
    </w:pPr>
    <w:rPr>
      <w:rFonts w:ascii="Arial" w:hAnsi="Arial"/>
      <w:spacing w:val="-5"/>
      <w:kern w:val="0"/>
      <w:sz w:val="24"/>
      <w:szCs w:val="20"/>
    </w:rPr>
  </w:style>
  <w:style w:type="paragraph" w:styleId="35">
    <w:name w:val="toc 1"/>
    <w:basedOn w:val="1"/>
    <w:next w:val="1"/>
    <w:qFormat/>
    <w:uiPriority w:val="39"/>
    <w:pPr>
      <w:tabs>
        <w:tab w:val="left" w:pos="1470"/>
        <w:tab w:val="right" w:leader="dot" w:pos="9016"/>
      </w:tabs>
      <w:ind w:firstLine="480"/>
    </w:pPr>
    <w:rPr>
      <w:rFonts w:ascii="宋体" w:hAnsi="宋体" w:eastAsia="仿宋_GB2312"/>
      <w:b/>
      <w:sz w:val="30"/>
      <w:szCs w:val="30"/>
    </w:rPr>
  </w:style>
  <w:style w:type="paragraph" w:styleId="36">
    <w:name w:val="toc 4"/>
    <w:basedOn w:val="1"/>
    <w:next w:val="1"/>
    <w:link w:val="97"/>
    <w:qFormat/>
    <w:uiPriority w:val="0"/>
    <w:pPr>
      <w:ind w:left="1260" w:leftChars="600"/>
    </w:pPr>
    <w:rPr>
      <w:rFonts w:ascii="Calibri" w:hAnsi="Calibri"/>
      <w:szCs w:val="22"/>
    </w:rPr>
  </w:style>
  <w:style w:type="paragraph" w:styleId="37">
    <w:name w:val="index heading"/>
    <w:basedOn w:val="1"/>
    <w:next w:val="38"/>
    <w:qFormat/>
    <w:uiPriority w:val="0"/>
    <w:rPr>
      <w:szCs w:val="20"/>
    </w:rPr>
  </w:style>
  <w:style w:type="paragraph" w:styleId="38">
    <w:name w:val="index 1"/>
    <w:basedOn w:val="1"/>
    <w:next w:val="1"/>
    <w:qFormat/>
    <w:uiPriority w:val="99"/>
  </w:style>
  <w:style w:type="paragraph" w:styleId="39">
    <w:name w:val="Subtitle"/>
    <w:basedOn w:val="1"/>
    <w:link w:val="98"/>
    <w:qFormat/>
    <w:uiPriority w:val="0"/>
    <w:pPr>
      <w:spacing w:before="240" w:after="60" w:line="312" w:lineRule="auto"/>
      <w:jc w:val="center"/>
      <w:outlineLvl w:val="1"/>
    </w:pPr>
    <w:rPr>
      <w:rFonts w:ascii="Cambria" w:hAnsi="Cambria"/>
      <w:b/>
      <w:bCs/>
      <w:kern w:val="28"/>
      <w:sz w:val="32"/>
      <w:szCs w:val="32"/>
    </w:rPr>
  </w:style>
  <w:style w:type="paragraph" w:styleId="40">
    <w:name w:val="List"/>
    <w:basedOn w:val="1"/>
    <w:qFormat/>
    <w:uiPriority w:val="0"/>
    <w:pPr>
      <w:widowControl/>
      <w:ind w:firstLine="420" w:firstLineChars="200"/>
      <w:jc w:val="left"/>
    </w:pPr>
    <w:rPr>
      <w:rFonts w:ascii="宋体" w:hAnsi="宋体"/>
      <w:kern w:val="0"/>
      <w:sz w:val="24"/>
    </w:rPr>
  </w:style>
  <w:style w:type="paragraph" w:styleId="41">
    <w:name w:val="footnote text"/>
    <w:basedOn w:val="1"/>
    <w:link w:val="99"/>
    <w:qFormat/>
    <w:uiPriority w:val="0"/>
    <w:pPr>
      <w:widowControl/>
      <w:snapToGrid w:val="0"/>
      <w:jc w:val="left"/>
    </w:pPr>
    <w:rPr>
      <w:rFonts w:ascii="Calibri" w:hAnsi="Calibri"/>
      <w:sz w:val="18"/>
      <w:szCs w:val="18"/>
    </w:rPr>
  </w:style>
  <w:style w:type="paragraph" w:styleId="42">
    <w:name w:val="toc 6"/>
    <w:basedOn w:val="1"/>
    <w:next w:val="1"/>
    <w:qFormat/>
    <w:uiPriority w:val="0"/>
    <w:pPr>
      <w:ind w:left="2100" w:leftChars="1000"/>
    </w:pPr>
    <w:rPr>
      <w:rFonts w:ascii="Calibri" w:hAnsi="Calibri"/>
      <w:szCs w:val="22"/>
    </w:rPr>
  </w:style>
  <w:style w:type="paragraph" w:styleId="43">
    <w:name w:val="Body Text Indent 3"/>
    <w:basedOn w:val="1"/>
    <w:link w:val="100"/>
    <w:qFormat/>
    <w:uiPriority w:val="0"/>
    <w:pPr>
      <w:spacing w:line="360" w:lineRule="auto"/>
      <w:ind w:left="220"/>
      <w:jc w:val="left"/>
    </w:pPr>
    <w:rPr>
      <w:rFonts w:ascii="仿宋_GB2312" w:eastAsia="仿宋_GB2312"/>
      <w:color w:val="000000"/>
      <w:sz w:val="24"/>
    </w:rPr>
  </w:style>
  <w:style w:type="paragraph" w:styleId="44">
    <w:name w:val="toc 2"/>
    <w:basedOn w:val="1"/>
    <w:next w:val="1"/>
    <w:qFormat/>
    <w:uiPriority w:val="39"/>
    <w:pPr>
      <w:tabs>
        <w:tab w:val="right" w:leader="dot" w:pos="9060"/>
      </w:tabs>
      <w:ind w:left="525" w:leftChars="250"/>
      <w:jc w:val="center"/>
    </w:pPr>
    <w:rPr>
      <w:rFonts w:ascii="宋体" w:hAnsi="宋体" w:eastAsia="仿宋_GB2312"/>
      <w:b/>
      <w:bCs/>
      <w:sz w:val="30"/>
      <w:szCs w:val="30"/>
    </w:rPr>
  </w:style>
  <w:style w:type="paragraph" w:styleId="45">
    <w:name w:val="toc 9"/>
    <w:basedOn w:val="1"/>
    <w:next w:val="1"/>
    <w:qFormat/>
    <w:uiPriority w:val="0"/>
    <w:pPr>
      <w:ind w:left="3360" w:leftChars="1600"/>
    </w:pPr>
    <w:rPr>
      <w:rFonts w:ascii="Calibri" w:hAnsi="Calibri"/>
      <w:szCs w:val="22"/>
    </w:rPr>
  </w:style>
  <w:style w:type="paragraph" w:styleId="46">
    <w:name w:val="Body Text 2"/>
    <w:basedOn w:val="1"/>
    <w:link w:val="101"/>
    <w:qFormat/>
    <w:uiPriority w:val="0"/>
    <w:pPr>
      <w:spacing w:line="560" w:lineRule="exact"/>
    </w:pPr>
    <w:rPr>
      <w:rFonts w:ascii="仿宋_GB2312" w:eastAsia="仿宋_GB2312"/>
      <w:sz w:val="24"/>
    </w:rPr>
  </w:style>
  <w:style w:type="paragraph" w:styleId="47">
    <w:name w:val="HTML Preformatted"/>
    <w:basedOn w:val="1"/>
    <w:link w:val="102"/>
    <w:qFormat/>
    <w:uiPriority w:val="99"/>
    <w:rPr>
      <w:rFonts w:ascii="Arial Unicode MS" w:hAnsi="Arial Unicode MS" w:eastAsia="Arial Unicode MS"/>
      <w:kern w:val="0"/>
      <w:sz w:val="20"/>
      <w:szCs w:val="20"/>
    </w:rPr>
  </w:style>
  <w:style w:type="paragraph" w:styleId="48">
    <w:name w:val="Normal (Web)"/>
    <w:basedOn w:val="1"/>
    <w:link w:val="103"/>
    <w:qFormat/>
    <w:uiPriority w:val="0"/>
    <w:pPr>
      <w:widowControl/>
      <w:jc w:val="left"/>
    </w:pPr>
    <w:rPr>
      <w:rFonts w:ascii="宋体" w:hAnsi="宋体"/>
      <w:kern w:val="0"/>
      <w:sz w:val="24"/>
    </w:rPr>
  </w:style>
  <w:style w:type="paragraph" w:styleId="49">
    <w:name w:val="Title"/>
    <w:basedOn w:val="1"/>
    <w:link w:val="104"/>
    <w:qFormat/>
    <w:uiPriority w:val="0"/>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50">
    <w:name w:val="annotation subject"/>
    <w:basedOn w:val="17"/>
    <w:next w:val="17"/>
    <w:link w:val="105"/>
    <w:qFormat/>
    <w:uiPriority w:val="0"/>
    <w:rPr>
      <w:rFonts w:ascii="Calibri" w:hAnsi="Calibri"/>
      <w:b/>
      <w:bCs/>
      <w:szCs w:val="22"/>
    </w:rPr>
  </w:style>
  <w:style w:type="paragraph" w:styleId="51">
    <w:name w:val="Body Text First Indent"/>
    <w:basedOn w:val="19"/>
    <w:next w:val="1"/>
    <w:link w:val="106"/>
    <w:qFormat/>
    <w:uiPriority w:val="0"/>
    <w:pPr>
      <w:tabs>
        <w:tab w:val="clear" w:pos="208"/>
      </w:tabs>
      <w:spacing w:after="120" w:line="360" w:lineRule="auto"/>
      <w:ind w:firstLine="420"/>
    </w:pPr>
    <w:rPr>
      <w:rFonts w:ascii="宋体" w:hAnsi="宋体" w:eastAsia="宋体"/>
      <w:sz w:val="24"/>
    </w:rPr>
  </w:style>
  <w:style w:type="paragraph" w:styleId="52">
    <w:name w:val="Body Text First Indent 2"/>
    <w:basedOn w:val="20"/>
    <w:link w:val="107"/>
    <w:qFormat/>
    <w:uiPriority w:val="0"/>
    <w:pPr>
      <w:ind w:firstLine="420" w:firstLineChars="200"/>
      <w:jc w:val="left"/>
    </w:pPr>
    <w:rPr>
      <w:rFonts w:ascii="Calibri" w:hAnsi="Calibri"/>
      <w:b/>
      <w:kern w:val="1"/>
      <w:szCs w:val="24"/>
    </w:rPr>
  </w:style>
  <w:style w:type="table" w:styleId="54">
    <w:name w:val="Table Grid"/>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5">
    <w:name w:val="Table Elegant"/>
    <w:basedOn w:val="53"/>
    <w:qFormat/>
    <w:uiPriority w:val="0"/>
    <w:pPr>
      <w:widowControl w:val="0"/>
      <w:jc w:val="both"/>
    </w:p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6">
    <w:name w:val="Table Grid 4"/>
    <w:basedOn w:val="53"/>
    <w:qFormat/>
    <w:uiPriority w:val="0"/>
    <w:pPr>
      <w:overflowPunct w:val="0"/>
      <w:autoSpaceDE w:val="0"/>
      <w:autoSpaceDN w:val="0"/>
      <w:adjustRightInd w:val="0"/>
      <w:ind w:firstLine="425"/>
      <w:textAlignment w:val="baseline"/>
    </w:pPr>
    <w:tblPr>
      <w:tblBorders>
        <w:left w:val="single" w:color="auto" w:sz="12" w:space="0"/>
        <w:right w:val="single" w:color="auto" w:sz="12" w:space="0"/>
        <w:insideH w:val="single" w:color="auto" w:sz="6" w:space="0"/>
        <w:insideV w:val="single" w:color="auto" w:sz="6" w:space="0"/>
      </w:tblBorders>
    </w:tblPr>
    <w:tcPr>
      <w:shd w:val="clear" w:color="auto" w:fill="auto"/>
    </w:tcPr>
    <w:tblStylePr w:type="firstRow">
      <w:rPr>
        <w:color w:val="auto"/>
      </w:rPr>
      <w:tblPr/>
      <w:tcPr>
        <w:tcBorders>
          <w:top w:val="nil"/>
          <w:left w:val="single" w:color="auto"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auto"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8">
    <w:name w:val="Strong"/>
    <w:qFormat/>
    <w:uiPriority w:val="0"/>
    <w:rPr>
      <w:rFonts w:ascii="Times New Roman" w:hAnsi="Times New Roman" w:eastAsia="宋体" w:cs="Times New Roman"/>
    </w:rPr>
  </w:style>
  <w:style w:type="character" w:styleId="59">
    <w:name w:val="page number"/>
    <w:qFormat/>
    <w:uiPriority w:val="0"/>
    <w:rPr>
      <w:rFonts w:ascii="Times New Roman" w:hAnsi="Times New Roman" w:eastAsia="宋体" w:cs="Times New Roman"/>
    </w:rPr>
  </w:style>
  <w:style w:type="character" w:styleId="60">
    <w:name w:val="FollowedHyperlink"/>
    <w:qFormat/>
    <w:uiPriority w:val="99"/>
    <w:rPr>
      <w:rFonts w:ascii="Times New Roman" w:hAnsi="Times New Roman" w:eastAsia="宋体" w:cs="Times New Roman"/>
      <w:color w:val="800080"/>
      <w:u w:val="single"/>
    </w:rPr>
  </w:style>
  <w:style w:type="character" w:styleId="61">
    <w:name w:val="Emphasis"/>
    <w:qFormat/>
    <w:uiPriority w:val="0"/>
    <w:rPr>
      <w:rFonts w:ascii="Times New Roman" w:hAnsi="Times New Roman" w:eastAsia="宋体" w:cs="Times New Roman"/>
      <w:color w:val="CC0000"/>
    </w:rPr>
  </w:style>
  <w:style w:type="character" w:styleId="62">
    <w:name w:val="line number"/>
    <w:qFormat/>
    <w:uiPriority w:val="0"/>
    <w:rPr>
      <w:rFonts w:ascii="Times New Roman" w:hAnsi="Times New Roman" w:eastAsia="宋体" w:cs="Times New Roman"/>
    </w:rPr>
  </w:style>
  <w:style w:type="character" w:styleId="63">
    <w:name w:val="HTML Definition"/>
    <w:qFormat/>
    <w:uiPriority w:val="0"/>
    <w:rPr>
      <w:rFonts w:ascii="Times New Roman" w:hAnsi="Times New Roman" w:eastAsia="宋体" w:cs="Times New Roman"/>
    </w:rPr>
  </w:style>
  <w:style w:type="character" w:styleId="64">
    <w:name w:val="HTML Acronym"/>
    <w:qFormat/>
    <w:uiPriority w:val="0"/>
    <w:rPr>
      <w:rFonts w:ascii="Times New Roman" w:hAnsi="Times New Roman" w:eastAsia="宋体" w:cs="Times New Roman"/>
    </w:rPr>
  </w:style>
  <w:style w:type="character" w:styleId="65">
    <w:name w:val="HTML Variable"/>
    <w:qFormat/>
    <w:uiPriority w:val="0"/>
    <w:rPr>
      <w:rFonts w:ascii="Times New Roman" w:hAnsi="Times New Roman" w:eastAsia="宋体" w:cs="Times New Roman"/>
    </w:rPr>
  </w:style>
  <w:style w:type="character" w:styleId="66">
    <w:name w:val="Hyperlink"/>
    <w:qFormat/>
    <w:uiPriority w:val="99"/>
    <w:rPr>
      <w:rFonts w:ascii="Times New Roman" w:hAnsi="Times New Roman" w:eastAsia="宋体" w:cs="Times New Roman"/>
      <w:color w:val="0000FF"/>
      <w:u w:val="single"/>
    </w:rPr>
  </w:style>
  <w:style w:type="character" w:styleId="67">
    <w:name w:val="HTML Code"/>
    <w:qFormat/>
    <w:uiPriority w:val="0"/>
    <w:rPr>
      <w:rFonts w:ascii="Courier New" w:hAnsi="Courier New" w:eastAsia="宋体" w:cs="Times New Roman"/>
      <w:sz w:val="20"/>
    </w:rPr>
  </w:style>
  <w:style w:type="character" w:styleId="68">
    <w:name w:val="annotation reference"/>
    <w:qFormat/>
    <w:uiPriority w:val="99"/>
    <w:rPr>
      <w:rFonts w:ascii="Times New Roman" w:hAnsi="Times New Roman" w:eastAsia="宋体" w:cs="Times New Roman"/>
      <w:sz w:val="21"/>
      <w:szCs w:val="21"/>
    </w:rPr>
  </w:style>
  <w:style w:type="character" w:styleId="69">
    <w:name w:val="HTML Cite"/>
    <w:qFormat/>
    <w:uiPriority w:val="0"/>
    <w:rPr>
      <w:rFonts w:ascii="Times New Roman" w:hAnsi="Times New Roman" w:eastAsia="宋体" w:cs="Times New Roman"/>
    </w:rPr>
  </w:style>
  <w:style w:type="character" w:styleId="70">
    <w:name w:val="footnote reference"/>
    <w:qFormat/>
    <w:uiPriority w:val="0"/>
    <w:rPr>
      <w:rFonts w:ascii="Times New Roman" w:hAnsi="Times New Roman" w:eastAsia="宋体" w:cs="Times New Roman"/>
      <w:vertAlign w:val="superscript"/>
    </w:rPr>
  </w:style>
  <w:style w:type="character" w:styleId="71">
    <w:name w:val="HTML Keyboard"/>
    <w:qFormat/>
    <w:uiPriority w:val="0"/>
    <w:rPr>
      <w:rFonts w:ascii="-apple-system" w:hAnsi="-apple-system" w:eastAsia="-apple-system" w:cs="-apple-system"/>
      <w:sz w:val="21"/>
      <w:szCs w:val="21"/>
    </w:rPr>
  </w:style>
  <w:style w:type="character" w:customStyle="1" w:styleId="72">
    <w:name w:val="正文文本 Char"/>
    <w:link w:val="19"/>
    <w:qFormat/>
    <w:uiPriority w:val="0"/>
    <w:rPr>
      <w:rFonts w:ascii="仿宋_GB2312" w:hAnsi="Times New Roman" w:eastAsia="仿宋_GB2312" w:cs="Times New Roman"/>
      <w:kern w:val="2"/>
      <w:sz w:val="28"/>
      <w:szCs w:val="24"/>
    </w:rPr>
  </w:style>
  <w:style w:type="character" w:customStyle="1" w:styleId="73">
    <w:name w:val="标题 1 Char"/>
    <w:link w:val="2"/>
    <w:qFormat/>
    <w:uiPriority w:val="9"/>
    <w:rPr>
      <w:rFonts w:ascii="仿宋_GB2312" w:hAnsi="Times New Roman" w:eastAsia="仿宋_GB2312" w:cs="Times New Roman"/>
      <w:b/>
      <w:kern w:val="2"/>
      <w:sz w:val="44"/>
      <w:szCs w:val="24"/>
      <w:lang w:val="en-US" w:eastAsia="zh-CN" w:bidi="ar-SA"/>
    </w:rPr>
  </w:style>
  <w:style w:type="character" w:customStyle="1" w:styleId="74">
    <w:name w:val="标题 2 Char"/>
    <w:link w:val="3"/>
    <w:qFormat/>
    <w:uiPriority w:val="0"/>
    <w:rPr>
      <w:rFonts w:ascii="仿宋_GB2312" w:hAnsi="Times New Roman" w:eastAsia="仿宋_GB2312" w:cs="Times New Roman"/>
      <w:b/>
      <w:sz w:val="36"/>
    </w:rPr>
  </w:style>
  <w:style w:type="character" w:customStyle="1" w:styleId="75">
    <w:name w:val="正文缩进 Char"/>
    <w:link w:val="5"/>
    <w:qFormat/>
    <w:uiPriority w:val="0"/>
    <w:rPr>
      <w:rFonts w:ascii="Times New Roman" w:hAnsi="Times New Roman" w:eastAsia="宋体" w:cs="Times New Roman"/>
      <w:kern w:val="2"/>
      <w:sz w:val="21"/>
    </w:rPr>
  </w:style>
  <w:style w:type="character" w:customStyle="1" w:styleId="76">
    <w:name w:val="标题 3 Char"/>
    <w:link w:val="4"/>
    <w:qFormat/>
    <w:uiPriority w:val="0"/>
    <w:rPr>
      <w:rFonts w:ascii="仿宋_GB2312" w:hAnsi="Times New Roman" w:eastAsia="仿宋_GB2312" w:cs="Times New Roman"/>
      <w:b/>
      <w:bCs/>
      <w:kern w:val="2"/>
      <w:sz w:val="30"/>
    </w:rPr>
  </w:style>
  <w:style w:type="character" w:customStyle="1" w:styleId="77">
    <w:name w:val="标题 4 Char"/>
    <w:link w:val="6"/>
    <w:qFormat/>
    <w:uiPriority w:val="0"/>
    <w:rPr>
      <w:rFonts w:ascii="Arial" w:hAnsi="Arial" w:eastAsia="黑体" w:cs="Times New Roman"/>
      <w:b/>
      <w:color w:val="000000"/>
      <w:kern w:val="2"/>
      <w:sz w:val="28"/>
    </w:rPr>
  </w:style>
  <w:style w:type="character" w:customStyle="1" w:styleId="78">
    <w:name w:val="标题 5 Char"/>
    <w:link w:val="7"/>
    <w:qFormat/>
    <w:uiPriority w:val="0"/>
    <w:rPr>
      <w:rFonts w:ascii="Times New Roman" w:hAnsi="Times New Roman" w:eastAsia="宋体" w:cs="Times New Roman"/>
      <w:b/>
      <w:color w:val="000000"/>
      <w:kern w:val="2"/>
      <w:sz w:val="28"/>
    </w:rPr>
  </w:style>
  <w:style w:type="character" w:customStyle="1" w:styleId="79">
    <w:name w:val="标题 6 Char"/>
    <w:link w:val="8"/>
    <w:qFormat/>
    <w:uiPriority w:val="0"/>
    <w:rPr>
      <w:rFonts w:ascii="Arial" w:hAnsi="Arial" w:eastAsia="黑体" w:cs="Times New Roman"/>
      <w:b/>
      <w:color w:val="000000"/>
      <w:kern w:val="2"/>
      <w:sz w:val="24"/>
    </w:rPr>
  </w:style>
  <w:style w:type="character" w:customStyle="1" w:styleId="80">
    <w:name w:val="标题 7 Char"/>
    <w:link w:val="9"/>
    <w:qFormat/>
    <w:uiPriority w:val="0"/>
    <w:rPr>
      <w:rFonts w:ascii="Times New Roman" w:hAnsi="Times New Roman" w:eastAsia="宋体" w:cs="Times New Roman"/>
      <w:b/>
      <w:color w:val="000000"/>
      <w:kern w:val="2"/>
      <w:sz w:val="24"/>
    </w:rPr>
  </w:style>
  <w:style w:type="character" w:customStyle="1" w:styleId="81">
    <w:name w:val="标题 8 Char"/>
    <w:link w:val="10"/>
    <w:qFormat/>
    <w:uiPriority w:val="0"/>
    <w:rPr>
      <w:rFonts w:ascii="Arial" w:hAnsi="Arial" w:eastAsia="黑体" w:cs="Times New Roman"/>
      <w:color w:val="000000"/>
      <w:kern w:val="2"/>
      <w:sz w:val="24"/>
    </w:rPr>
  </w:style>
  <w:style w:type="character" w:customStyle="1" w:styleId="82">
    <w:name w:val="标题 9 Char"/>
    <w:link w:val="11"/>
    <w:qFormat/>
    <w:uiPriority w:val="0"/>
    <w:rPr>
      <w:rFonts w:ascii="Arial" w:hAnsi="Arial" w:eastAsia="黑体" w:cs="Times New Roman"/>
      <w:color w:val="000000"/>
      <w:kern w:val="2"/>
      <w:sz w:val="21"/>
    </w:rPr>
  </w:style>
  <w:style w:type="character" w:customStyle="1" w:styleId="83">
    <w:name w:val="题注 Char"/>
    <w:link w:val="14"/>
    <w:qFormat/>
    <w:uiPriority w:val="0"/>
    <w:rPr>
      <w:rFonts w:ascii="Arial" w:hAnsi="Arial" w:eastAsia="黑体" w:cs="Arial"/>
      <w:kern w:val="2"/>
    </w:rPr>
  </w:style>
  <w:style w:type="character" w:customStyle="1" w:styleId="84">
    <w:name w:val="文档结构图 Char"/>
    <w:link w:val="16"/>
    <w:qFormat/>
    <w:uiPriority w:val="0"/>
    <w:rPr>
      <w:rFonts w:ascii="宋体" w:hAnsi="Tahoma" w:eastAsia="宋体" w:cs="黑体"/>
      <w:sz w:val="18"/>
      <w:szCs w:val="18"/>
    </w:rPr>
  </w:style>
  <w:style w:type="character" w:customStyle="1" w:styleId="85">
    <w:name w:val="批注文字 Char1"/>
    <w:link w:val="17"/>
    <w:qFormat/>
    <w:uiPriority w:val="99"/>
    <w:rPr>
      <w:rFonts w:ascii="Times New Roman" w:hAnsi="Times New Roman" w:eastAsia="宋体" w:cs="Times New Roman"/>
      <w:kern w:val="2"/>
      <w:sz w:val="21"/>
      <w:szCs w:val="24"/>
    </w:rPr>
  </w:style>
  <w:style w:type="character" w:customStyle="1" w:styleId="86">
    <w:name w:val="正文文本 3 Char"/>
    <w:link w:val="18"/>
    <w:qFormat/>
    <w:uiPriority w:val="99"/>
    <w:rPr>
      <w:rFonts w:ascii="仿宋_GB2312" w:hAnsi="Times New Roman" w:eastAsia="仿宋_GB2312" w:cs="Times New Roman"/>
      <w:kern w:val="2"/>
      <w:sz w:val="24"/>
    </w:rPr>
  </w:style>
  <w:style w:type="character" w:customStyle="1" w:styleId="87">
    <w:name w:val="正文文本缩进 Char"/>
    <w:link w:val="20"/>
    <w:qFormat/>
    <w:uiPriority w:val="0"/>
    <w:rPr>
      <w:rFonts w:ascii="Times New Roman" w:hAnsi="Times New Roman" w:eastAsia="宋体" w:cs="Times New Roman"/>
      <w:kern w:val="2"/>
      <w:sz w:val="28"/>
    </w:rPr>
  </w:style>
  <w:style w:type="character" w:customStyle="1" w:styleId="88">
    <w:name w:val="目录 5 Char"/>
    <w:link w:val="25"/>
    <w:qFormat/>
    <w:uiPriority w:val="0"/>
    <w:rPr>
      <w:rFonts w:ascii="Calibri" w:hAnsi="Calibri" w:eastAsia="宋体" w:cs="Times New Roman"/>
      <w:kern w:val="2"/>
      <w:sz w:val="21"/>
      <w:szCs w:val="22"/>
    </w:rPr>
  </w:style>
  <w:style w:type="character" w:customStyle="1" w:styleId="89">
    <w:name w:val="目录 3 Char"/>
    <w:link w:val="26"/>
    <w:qFormat/>
    <w:uiPriority w:val="39"/>
    <w:rPr>
      <w:rFonts w:ascii="仿宋_GB2312" w:hAnsi="Times New Roman" w:eastAsia="仿宋_GB2312" w:cs="Times New Roman"/>
      <w:kern w:val="2"/>
      <w:sz w:val="24"/>
      <w:szCs w:val="36"/>
    </w:rPr>
  </w:style>
  <w:style w:type="character" w:customStyle="1" w:styleId="90">
    <w:name w:val="纯文本 Char"/>
    <w:link w:val="27"/>
    <w:qFormat/>
    <w:uiPriority w:val="0"/>
    <w:rPr>
      <w:rFonts w:ascii="宋体" w:hAnsi="Courier New" w:eastAsia="宋体" w:cs="Times New Roman"/>
      <w:kern w:val="2"/>
      <w:sz w:val="21"/>
      <w:lang w:val="en-US" w:eastAsia="zh-CN" w:bidi="ar-SA"/>
    </w:rPr>
  </w:style>
  <w:style w:type="character" w:customStyle="1" w:styleId="91">
    <w:name w:val="日期 Char"/>
    <w:link w:val="29"/>
    <w:qFormat/>
    <w:uiPriority w:val="0"/>
    <w:rPr>
      <w:rFonts w:ascii="仿宋_GB2312" w:hAnsi="Times New Roman" w:eastAsia="仿宋_GB2312" w:cs="Times New Roman"/>
      <w:sz w:val="28"/>
    </w:rPr>
  </w:style>
  <w:style w:type="character" w:customStyle="1" w:styleId="92">
    <w:name w:val="正文文本缩进 2 Char1"/>
    <w:link w:val="30"/>
    <w:qFormat/>
    <w:uiPriority w:val="99"/>
    <w:rPr>
      <w:rFonts w:ascii="Times New Roman" w:hAnsi="Times New Roman" w:eastAsia="仿宋_GB2312" w:cs="Times New Roman"/>
      <w:kern w:val="2"/>
      <w:sz w:val="24"/>
      <w:szCs w:val="24"/>
    </w:rPr>
  </w:style>
  <w:style w:type="character" w:customStyle="1" w:styleId="93">
    <w:name w:val="批注框文本 Char"/>
    <w:link w:val="31"/>
    <w:qFormat/>
    <w:uiPriority w:val="0"/>
    <w:rPr>
      <w:rFonts w:ascii="Times New Roman" w:hAnsi="Times New Roman" w:eastAsia="宋体" w:cs="Times New Roman"/>
      <w:kern w:val="2"/>
      <w:sz w:val="18"/>
      <w:szCs w:val="18"/>
    </w:rPr>
  </w:style>
  <w:style w:type="character" w:customStyle="1" w:styleId="94">
    <w:name w:val="页脚 Char"/>
    <w:link w:val="32"/>
    <w:qFormat/>
    <w:uiPriority w:val="99"/>
    <w:rPr>
      <w:rFonts w:ascii="Times New Roman" w:hAnsi="Times New Roman" w:eastAsia="宋体" w:cs="Times New Roman"/>
      <w:kern w:val="2"/>
      <w:sz w:val="18"/>
      <w:szCs w:val="18"/>
    </w:rPr>
  </w:style>
  <w:style w:type="character" w:customStyle="1" w:styleId="95">
    <w:name w:val="页眉 Char"/>
    <w:link w:val="33"/>
    <w:qFormat/>
    <w:uiPriority w:val="0"/>
    <w:rPr>
      <w:rFonts w:ascii="Times New Roman" w:hAnsi="Times New Roman" w:eastAsia="宋体" w:cs="Times New Roman"/>
      <w:sz w:val="18"/>
    </w:rPr>
  </w:style>
  <w:style w:type="character" w:customStyle="1" w:styleId="96">
    <w:name w:val="签名 Char"/>
    <w:link w:val="34"/>
    <w:qFormat/>
    <w:uiPriority w:val="0"/>
    <w:rPr>
      <w:rFonts w:ascii="Arial" w:hAnsi="Arial" w:eastAsia="宋体" w:cs="Times New Roman"/>
      <w:spacing w:val="-5"/>
      <w:sz w:val="24"/>
    </w:rPr>
  </w:style>
  <w:style w:type="character" w:customStyle="1" w:styleId="97">
    <w:name w:val="目录 4 Char"/>
    <w:link w:val="36"/>
    <w:qFormat/>
    <w:uiPriority w:val="0"/>
    <w:rPr>
      <w:rFonts w:ascii="Calibri" w:hAnsi="Calibri" w:eastAsia="宋体" w:cs="Times New Roman"/>
      <w:kern w:val="2"/>
      <w:sz w:val="21"/>
      <w:szCs w:val="22"/>
    </w:rPr>
  </w:style>
  <w:style w:type="character" w:customStyle="1" w:styleId="98">
    <w:name w:val="副标题 Char"/>
    <w:link w:val="39"/>
    <w:qFormat/>
    <w:uiPriority w:val="0"/>
    <w:rPr>
      <w:rFonts w:ascii="Cambria" w:hAnsi="Cambria" w:eastAsia="宋体" w:cs="Times New Roman"/>
      <w:b/>
      <w:bCs/>
      <w:kern w:val="28"/>
      <w:sz w:val="32"/>
      <w:szCs w:val="32"/>
    </w:rPr>
  </w:style>
  <w:style w:type="character" w:customStyle="1" w:styleId="99">
    <w:name w:val="脚注文本 Char"/>
    <w:link w:val="41"/>
    <w:qFormat/>
    <w:uiPriority w:val="0"/>
    <w:rPr>
      <w:rFonts w:ascii="Calibri" w:hAnsi="Calibri" w:eastAsia="宋体" w:cs="Times New Roman"/>
      <w:kern w:val="2"/>
      <w:sz w:val="18"/>
      <w:szCs w:val="18"/>
    </w:rPr>
  </w:style>
  <w:style w:type="character" w:customStyle="1" w:styleId="100">
    <w:name w:val="正文文本缩进 3 Char"/>
    <w:link w:val="43"/>
    <w:qFormat/>
    <w:uiPriority w:val="0"/>
    <w:rPr>
      <w:rFonts w:ascii="仿宋_GB2312" w:hAnsi="Times New Roman" w:eastAsia="仿宋_GB2312" w:cs="Times New Roman"/>
      <w:color w:val="000000"/>
      <w:kern w:val="2"/>
      <w:sz w:val="24"/>
      <w:szCs w:val="24"/>
    </w:rPr>
  </w:style>
  <w:style w:type="character" w:customStyle="1" w:styleId="101">
    <w:name w:val="正文文本 2 Char"/>
    <w:link w:val="46"/>
    <w:qFormat/>
    <w:uiPriority w:val="0"/>
    <w:rPr>
      <w:rFonts w:ascii="仿宋_GB2312" w:hAnsi="Times New Roman" w:eastAsia="仿宋_GB2312" w:cs="Times New Roman"/>
      <w:kern w:val="2"/>
      <w:sz w:val="24"/>
      <w:szCs w:val="24"/>
    </w:rPr>
  </w:style>
  <w:style w:type="character" w:customStyle="1" w:styleId="102">
    <w:name w:val="HTML 预设格式 Char"/>
    <w:link w:val="47"/>
    <w:qFormat/>
    <w:uiPriority w:val="99"/>
    <w:rPr>
      <w:rFonts w:ascii="Arial Unicode MS" w:hAnsi="Arial Unicode MS" w:eastAsia="Arial Unicode MS" w:cs="Times New Roman"/>
    </w:rPr>
  </w:style>
  <w:style w:type="character" w:customStyle="1" w:styleId="103">
    <w:name w:val="普通(网站) Char"/>
    <w:link w:val="48"/>
    <w:qFormat/>
    <w:uiPriority w:val="0"/>
    <w:rPr>
      <w:rFonts w:ascii="宋体" w:hAnsi="宋体" w:eastAsia="宋体" w:cs="宋体"/>
      <w:sz w:val="24"/>
      <w:szCs w:val="24"/>
    </w:rPr>
  </w:style>
  <w:style w:type="character" w:customStyle="1" w:styleId="104">
    <w:name w:val="标题 Char"/>
    <w:link w:val="49"/>
    <w:qFormat/>
    <w:uiPriority w:val="0"/>
    <w:rPr>
      <w:rFonts w:ascii="Times New Roman" w:hAnsi="Times New Roman" w:eastAsia="黑体" w:cs="Times New Roman"/>
      <w:b/>
      <w:sz w:val="28"/>
      <w:lang w:val="en-GB"/>
    </w:rPr>
  </w:style>
  <w:style w:type="character" w:customStyle="1" w:styleId="105">
    <w:name w:val="批注主题 Char"/>
    <w:link w:val="50"/>
    <w:qFormat/>
    <w:uiPriority w:val="0"/>
    <w:rPr>
      <w:rFonts w:ascii="Calibri" w:hAnsi="Calibri" w:eastAsia="宋体" w:cs="Times New Roman"/>
      <w:b/>
      <w:bCs/>
      <w:kern w:val="2"/>
      <w:sz w:val="21"/>
      <w:szCs w:val="22"/>
    </w:rPr>
  </w:style>
  <w:style w:type="character" w:customStyle="1" w:styleId="106">
    <w:name w:val="正文首行缩进 Char"/>
    <w:link w:val="51"/>
    <w:qFormat/>
    <w:uiPriority w:val="0"/>
    <w:rPr>
      <w:rFonts w:ascii="宋体" w:hAnsi="宋体"/>
      <w:kern w:val="2"/>
      <w:sz w:val="24"/>
      <w:szCs w:val="24"/>
    </w:rPr>
  </w:style>
  <w:style w:type="character" w:customStyle="1" w:styleId="107">
    <w:name w:val="正文首行缩进 2 Char"/>
    <w:link w:val="52"/>
    <w:qFormat/>
    <w:uiPriority w:val="0"/>
    <w:rPr>
      <w:rFonts w:ascii="Calibri" w:hAnsi="Calibri" w:eastAsia="宋体" w:cs="Times New Roman"/>
      <w:b/>
      <w:kern w:val="1"/>
      <w:sz w:val="28"/>
      <w:szCs w:val="24"/>
    </w:rPr>
  </w:style>
  <w:style w:type="character" w:customStyle="1" w:styleId="108">
    <w:name w:val="font01"/>
    <w:qFormat/>
    <w:uiPriority w:val="0"/>
    <w:rPr>
      <w:rFonts w:hint="default" w:ascii="Times New Roman" w:hAnsi="Times New Roman" w:eastAsia="宋体" w:cs="Times New Roman"/>
      <w:color w:val="000000"/>
      <w:sz w:val="20"/>
      <w:szCs w:val="20"/>
      <w:u w:val="none"/>
    </w:rPr>
  </w:style>
  <w:style w:type="character" w:customStyle="1" w:styleId="109">
    <w:name w:val="SANGFOR_6_正文 Char"/>
    <w:link w:val="110"/>
    <w:qFormat/>
    <w:uiPriority w:val="0"/>
    <w:rPr>
      <w:rFonts w:ascii="楷体_gb18030" w:hAnsi="Verdana" w:eastAsia="楷体_gb18030" w:cs="Times New Roman"/>
      <w:color w:val="000000"/>
      <w:kern w:val="2"/>
      <w:sz w:val="28"/>
      <w:szCs w:val="28"/>
    </w:rPr>
  </w:style>
  <w:style w:type="paragraph" w:customStyle="1" w:styleId="110">
    <w:name w:val="SANGFOR_6_正文"/>
    <w:basedOn w:val="1"/>
    <w:link w:val="109"/>
    <w:qFormat/>
    <w:uiPriority w:val="0"/>
    <w:pPr>
      <w:spacing w:line="400" w:lineRule="exact"/>
      <w:ind w:firstLine="560" w:firstLineChars="200"/>
    </w:pPr>
    <w:rPr>
      <w:rFonts w:ascii="楷体_gb18030" w:hAnsi="Verdana" w:eastAsia="楷体_gb18030"/>
      <w:color w:val="000000"/>
      <w:sz w:val="28"/>
      <w:szCs w:val="28"/>
    </w:rPr>
  </w:style>
  <w:style w:type="character" w:customStyle="1" w:styleId="111">
    <w:name w:val="font151"/>
    <w:qFormat/>
    <w:uiPriority w:val="0"/>
    <w:rPr>
      <w:rFonts w:ascii="Calibri" w:hAnsi="Calibri" w:eastAsia="宋体" w:cs="Calibri"/>
      <w:color w:val="000000"/>
      <w:sz w:val="24"/>
      <w:szCs w:val="24"/>
      <w:u w:val="none"/>
    </w:rPr>
  </w:style>
  <w:style w:type="character" w:customStyle="1" w:styleId="112">
    <w:name w:val="纯文本 Char1_0"/>
    <w:link w:val="113"/>
    <w:qFormat/>
    <w:uiPriority w:val="0"/>
    <w:rPr>
      <w:rFonts w:ascii="宋体" w:hAnsi="Courier New" w:eastAsia="宋体" w:cs="Times New Roman"/>
    </w:rPr>
  </w:style>
  <w:style w:type="paragraph" w:customStyle="1" w:styleId="113">
    <w:name w:val="纯文本_0"/>
    <w:basedOn w:val="1"/>
    <w:link w:val="112"/>
    <w:qFormat/>
    <w:uiPriority w:val="0"/>
    <w:rPr>
      <w:rFonts w:ascii="宋体" w:hAnsi="Courier New"/>
      <w:kern w:val="0"/>
      <w:sz w:val="20"/>
      <w:szCs w:val="20"/>
    </w:rPr>
  </w:style>
  <w:style w:type="character" w:customStyle="1" w:styleId="114">
    <w:name w:val="HTML 预设格式 Char1"/>
    <w:qFormat/>
    <w:uiPriority w:val="99"/>
    <w:rPr>
      <w:rFonts w:ascii="Courier New" w:hAnsi="Courier New" w:eastAsia="宋体" w:cs="Courier New"/>
      <w:kern w:val="2"/>
    </w:rPr>
  </w:style>
  <w:style w:type="character" w:customStyle="1" w:styleId="115">
    <w:name w:val="正文2 Char"/>
    <w:link w:val="116"/>
    <w:qFormat/>
    <w:uiPriority w:val="0"/>
    <w:rPr>
      <w:rFonts w:ascii="Times New Roman" w:hAnsi="Times New Roman" w:eastAsia="宋体" w:cs="Times New Roman"/>
    </w:rPr>
  </w:style>
  <w:style w:type="paragraph" w:customStyle="1" w:styleId="116">
    <w:name w:val="正文2"/>
    <w:basedOn w:val="1"/>
    <w:link w:val="115"/>
    <w:qFormat/>
    <w:uiPriority w:val="0"/>
    <w:pPr>
      <w:spacing w:line="300" w:lineRule="auto"/>
      <w:ind w:left="500" w:leftChars="500"/>
    </w:pPr>
    <w:rPr>
      <w:kern w:val="0"/>
      <w:sz w:val="20"/>
      <w:szCs w:val="20"/>
    </w:rPr>
  </w:style>
  <w:style w:type="character" w:customStyle="1" w:styleId="117">
    <w:name w:val="纯文本 Char1_1"/>
    <w:link w:val="118"/>
    <w:qFormat/>
    <w:uiPriority w:val="0"/>
    <w:rPr>
      <w:rFonts w:ascii="宋体" w:hAnsi="Courier New" w:eastAsia="宋体" w:cs="Times New Roman"/>
      <w:kern w:val="2"/>
      <w:sz w:val="21"/>
    </w:rPr>
  </w:style>
  <w:style w:type="paragraph" w:customStyle="1" w:styleId="118">
    <w:name w:val="纯文本_1"/>
    <w:basedOn w:val="1"/>
    <w:link w:val="117"/>
    <w:qFormat/>
    <w:uiPriority w:val="0"/>
    <w:rPr>
      <w:rFonts w:ascii="宋体" w:hAnsi="Courier New"/>
      <w:szCs w:val="20"/>
    </w:rPr>
  </w:style>
  <w:style w:type="character" w:customStyle="1" w:styleId="119">
    <w:name w:val="style251"/>
    <w:qFormat/>
    <w:uiPriority w:val="0"/>
    <w:rPr>
      <w:rFonts w:ascii="Times New Roman" w:hAnsi="Times New Roman" w:eastAsia="宋体" w:cs="Times New Roman"/>
      <w:color w:val="000000"/>
    </w:rPr>
  </w:style>
  <w:style w:type="character" w:customStyle="1" w:styleId="120">
    <w:name w:val="font81"/>
    <w:qFormat/>
    <w:uiPriority w:val="0"/>
    <w:rPr>
      <w:rFonts w:hint="eastAsia" w:ascii="宋体" w:hAnsi="宋体" w:eastAsia="宋体" w:cs="宋体"/>
      <w:color w:val="000000"/>
      <w:sz w:val="24"/>
      <w:szCs w:val="24"/>
      <w:u w:val="none"/>
    </w:rPr>
  </w:style>
  <w:style w:type="character" w:customStyle="1" w:styleId="121">
    <w:name w:val="纯文本 Char1_3"/>
    <w:link w:val="122"/>
    <w:qFormat/>
    <w:uiPriority w:val="0"/>
    <w:rPr>
      <w:rFonts w:ascii="宋体" w:hAnsi="Courier New" w:eastAsia="宋体" w:cs="Times New Roman"/>
      <w:kern w:val="2"/>
      <w:sz w:val="21"/>
    </w:rPr>
  </w:style>
  <w:style w:type="paragraph" w:customStyle="1" w:styleId="122">
    <w:name w:val="纯文本_3"/>
    <w:basedOn w:val="123"/>
    <w:link w:val="121"/>
    <w:qFormat/>
    <w:uiPriority w:val="0"/>
    <w:rPr>
      <w:rFonts w:ascii="宋体" w:hAnsi="Courier New"/>
      <w:szCs w:val="20"/>
    </w:rPr>
  </w:style>
  <w:style w:type="paragraph" w:customStyle="1" w:styleId="123">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4">
    <w:name w:val="标题 3 字符"/>
    <w:qFormat/>
    <w:uiPriority w:val="0"/>
    <w:rPr>
      <w:rFonts w:ascii="仿宋_GB2312" w:hAnsi="Times New Roman" w:eastAsia="仿宋_GB2312" w:cs="Times New Roman"/>
      <w:b/>
      <w:bCs/>
      <w:kern w:val="2"/>
      <w:sz w:val="30"/>
    </w:rPr>
  </w:style>
  <w:style w:type="character" w:customStyle="1" w:styleId="125">
    <w:name w:val="titlestylelight1"/>
    <w:qFormat/>
    <w:uiPriority w:val="0"/>
    <w:rPr>
      <w:rFonts w:hint="default" w:ascii="Arial" w:hAnsi="Arial" w:eastAsia="宋体" w:cs="Arial"/>
      <w:b/>
      <w:bCs/>
      <w:color w:val="666666"/>
      <w:sz w:val="18"/>
      <w:szCs w:val="18"/>
    </w:rPr>
  </w:style>
  <w:style w:type="character" w:customStyle="1" w:styleId="126">
    <w:name w:val="htd0"/>
    <w:qFormat/>
    <w:uiPriority w:val="0"/>
    <w:rPr>
      <w:rFonts w:ascii="Times New Roman" w:hAnsi="Times New Roman" w:eastAsia="宋体" w:cs="Times New Roman"/>
    </w:rPr>
  </w:style>
  <w:style w:type="character" w:customStyle="1" w:styleId="127">
    <w:name w:val="纯文本 Char_0"/>
    <w:link w:val="128"/>
    <w:qFormat/>
    <w:uiPriority w:val="0"/>
    <w:rPr>
      <w:rFonts w:ascii="宋体" w:hAnsi="Courier New" w:eastAsia="宋体" w:cs="Times New Roman"/>
      <w:kern w:val="2"/>
      <w:sz w:val="21"/>
      <w:szCs w:val="21"/>
    </w:rPr>
  </w:style>
  <w:style w:type="paragraph" w:customStyle="1" w:styleId="128">
    <w:name w:val="纯文本_0_0"/>
    <w:basedOn w:val="129"/>
    <w:link w:val="127"/>
    <w:qFormat/>
    <w:uiPriority w:val="0"/>
    <w:rPr>
      <w:rFonts w:ascii="宋体" w:hAnsi="Courier New"/>
      <w:szCs w:val="21"/>
    </w:rPr>
  </w:style>
  <w:style w:type="paragraph" w:customStyle="1" w:styleId="12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0">
    <w:name w:val="font171"/>
    <w:qFormat/>
    <w:uiPriority w:val="0"/>
    <w:rPr>
      <w:rFonts w:ascii="Arial Unicode MS" w:hAnsi="Arial Unicode MS" w:eastAsia="Arial Unicode MS" w:cs="Arial Unicode MS"/>
      <w:color w:val="000000"/>
      <w:sz w:val="24"/>
      <w:szCs w:val="24"/>
      <w:u w:val="none"/>
    </w:rPr>
  </w:style>
  <w:style w:type="character" w:customStyle="1" w:styleId="131">
    <w:name w:val="页脚 Char Char"/>
    <w:qFormat/>
    <w:uiPriority w:val="0"/>
    <w:rPr>
      <w:rFonts w:ascii="Times New Roman" w:hAnsi="Times New Roman" w:eastAsia="宋体" w:cs="Times New Roman"/>
      <w:sz w:val="18"/>
    </w:rPr>
  </w:style>
  <w:style w:type="character" w:customStyle="1" w:styleId="132">
    <w:name w:val="列出段落 Char"/>
    <w:link w:val="133"/>
    <w:qFormat/>
    <w:uiPriority w:val="34"/>
    <w:rPr>
      <w:rFonts w:ascii="Calibri" w:hAnsi="Calibri" w:eastAsia="宋体" w:cs="Times New Roman"/>
      <w:kern w:val="2"/>
      <w:sz w:val="21"/>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纯文本 Char1_4_3"/>
    <w:link w:val="135"/>
    <w:qFormat/>
    <w:uiPriority w:val="0"/>
    <w:rPr>
      <w:rFonts w:ascii="宋体" w:hAnsi="Courier New" w:eastAsia="宋体" w:cs="Times New Roman"/>
      <w:kern w:val="2"/>
      <w:sz w:val="21"/>
    </w:rPr>
  </w:style>
  <w:style w:type="paragraph" w:customStyle="1" w:styleId="135">
    <w:name w:val="纯文本_5_0"/>
    <w:basedOn w:val="1"/>
    <w:link w:val="134"/>
    <w:qFormat/>
    <w:uiPriority w:val="0"/>
    <w:rPr>
      <w:rFonts w:ascii="宋体" w:hAnsi="Courier New"/>
      <w:szCs w:val="20"/>
    </w:rPr>
  </w:style>
  <w:style w:type="character" w:customStyle="1" w:styleId="136">
    <w:name w:val="Char Char1"/>
    <w:link w:val="137"/>
    <w:qFormat/>
    <w:uiPriority w:val="0"/>
    <w:rPr>
      <w:rFonts w:ascii="Tahoma" w:hAnsi="Tahoma" w:eastAsia="宋体" w:cs="仿宋_GB2312"/>
      <w:kern w:val="2"/>
      <w:sz w:val="24"/>
      <w:szCs w:val="28"/>
    </w:rPr>
  </w:style>
  <w:style w:type="paragraph" w:customStyle="1" w:styleId="137">
    <w:name w:val="Char"/>
    <w:basedOn w:val="1"/>
    <w:link w:val="136"/>
    <w:qFormat/>
    <w:uiPriority w:val="0"/>
    <w:rPr>
      <w:rFonts w:ascii="Tahoma" w:hAnsi="Tahoma"/>
      <w:sz w:val="24"/>
      <w:szCs w:val="28"/>
    </w:rPr>
  </w:style>
  <w:style w:type="character" w:customStyle="1" w:styleId="138">
    <w:name w:val="font181"/>
    <w:qFormat/>
    <w:uiPriority w:val="0"/>
    <w:rPr>
      <w:rFonts w:ascii="Wingdings 2" w:hAnsi="Wingdings 2" w:eastAsia="Wingdings 2" w:cs="Wingdings 2"/>
      <w:color w:val="000000"/>
      <w:sz w:val="24"/>
      <w:szCs w:val="24"/>
      <w:u w:val="none"/>
    </w:rPr>
  </w:style>
  <w:style w:type="character" w:customStyle="1" w:styleId="139">
    <w:name w:val="_Style 137"/>
    <w:qFormat/>
    <w:uiPriority w:val="0"/>
    <w:rPr>
      <w:rFonts w:ascii="Times New Roman" w:hAnsi="Times New Roman" w:eastAsia="宋体" w:cs="Times New Roman"/>
      <w:b/>
      <w:bCs/>
      <w:smallCaps/>
      <w:spacing w:val="5"/>
    </w:rPr>
  </w:style>
  <w:style w:type="character" w:customStyle="1" w:styleId="140">
    <w:name w:val="样式 宋体 小四 加粗 Char Char Char"/>
    <w:qFormat/>
    <w:uiPriority w:val="0"/>
    <w:rPr>
      <w:rFonts w:ascii="宋体" w:hAnsi="宋体" w:eastAsia="宋体" w:cs="宋体"/>
      <w:b/>
      <w:color w:val="auto"/>
      <w:sz w:val="24"/>
      <w:szCs w:val="24"/>
      <w:lang w:val="en-US" w:eastAsia="zh-CN" w:bidi="ar-SA"/>
    </w:rPr>
  </w:style>
  <w:style w:type="character" w:customStyle="1" w:styleId="141">
    <w:name w:val="font21"/>
    <w:qFormat/>
    <w:uiPriority w:val="0"/>
    <w:rPr>
      <w:rFonts w:hint="eastAsia" w:ascii="宋体" w:hAnsi="宋体" w:eastAsia="宋体" w:cs="宋体"/>
      <w:color w:val="000000"/>
      <w:sz w:val="20"/>
      <w:szCs w:val="20"/>
      <w:u w:val="none"/>
    </w:rPr>
  </w:style>
  <w:style w:type="character" w:customStyle="1" w:styleId="142">
    <w:name w:val="apple-converted-space"/>
    <w:qFormat/>
    <w:uiPriority w:val="0"/>
    <w:rPr>
      <w:rFonts w:ascii="Times New Roman" w:hAnsi="Times New Roman" w:eastAsia="宋体" w:cs="Times New Roman"/>
    </w:rPr>
  </w:style>
  <w:style w:type="character" w:customStyle="1" w:styleId="143">
    <w:name w:val="SANGFOR_4_标题4 Char"/>
    <w:link w:val="144"/>
    <w:qFormat/>
    <w:uiPriority w:val="0"/>
    <w:rPr>
      <w:rFonts w:ascii="Arial" w:hAnsi="Arial" w:eastAsia="黑体" w:cs="Times New Roman"/>
      <w:b/>
      <w:bCs/>
      <w:kern w:val="2"/>
      <w:sz w:val="24"/>
      <w:szCs w:val="24"/>
    </w:rPr>
  </w:style>
  <w:style w:type="paragraph" w:customStyle="1" w:styleId="144">
    <w:name w:val="SANGFOR_4_标题4"/>
    <w:basedOn w:val="6"/>
    <w:next w:val="110"/>
    <w:link w:val="143"/>
    <w:qFormat/>
    <w:uiPriority w:val="0"/>
    <w:pPr>
      <w:keepNext/>
      <w:widowControl w:val="0"/>
      <w:tabs>
        <w:tab w:val="left" w:pos="567"/>
      </w:tabs>
      <w:spacing w:beforeLines="50" w:afterLines="50" w:line="240" w:lineRule="auto"/>
      <w:ind w:left="720" w:hanging="720"/>
    </w:pPr>
    <w:rPr>
      <w:bCs/>
      <w:color w:val="auto"/>
      <w:sz w:val="24"/>
      <w:szCs w:val="24"/>
    </w:rPr>
  </w:style>
  <w:style w:type="character" w:customStyle="1" w:styleId="145">
    <w:name w:val="0- 正文 Char"/>
    <w:link w:val="146"/>
    <w:qFormat/>
    <w:uiPriority w:val="0"/>
    <w:rPr>
      <w:rFonts w:ascii="Times New Roman" w:hAnsi="Times New Roman" w:eastAsia="宋体" w:cs="Times New Roman"/>
      <w:kern w:val="2"/>
      <w:sz w:val="24"/>
      <w:lang w:val="zh-CN"/>
    </w:rPr>
  </w:style>
  <w:style w:type="paragraph" w:customStyle="1" w:styleId="146">
    <w:name w:val="0- 正文"/>
    <w:basedOn w:val="1"/>
    <w:link w:val="145"/>
    <w:qFormat/>
    <w:uiPriority w:val="0"/>
    <w:pPr>
      <w:widowControl/>
      <w:spacing w:line="360" w:lineRule="auto"/>
      <w:ind w:firstLine="482"/>
      <w:jc w:val="left"/>
    </w:pPr>
    <w:rPr>
      <w:sz w:val="24"/>
      <w:szCs w:val="20"/>
      <w:lang w:val="zh-CN"/>
    </w:rPr>
  </w:style>
  <w:style w:type="character" w:customStyle="1" w:styleId="147">
    <w:name w:val="图片 Char"/>
    <w:link w:val="148"/>
    <w:qFormat/>
    <w:uiPriority w:val="99"/>
    <w:rPr>
      <w:rFonts w:ascii="宋体" w:hAnsi="宋体" w:eastAsia="宋体" w:cs="Times New Roman"/>
      <w:kern w:val="2"/>
      <w:sz w:val="24"/>
      <w:szCs w:val="22"/>
    </w:rPr>
  </w:style>
  <w:style w:type="paragraph" w:customStyle="1" w:styleId="148">
    <w:name w:val="图片"/>
    <w:basedOn w:val="1"/>
    <w:link w:val="147"/>
    <w:qFormat/>
    <w:uiPriority w:val="99"/>
    <w:pPr>
      <w:widowControl/>
      <w:spacing w:after="200" w:line="360" w:lineRule="auto"/>
      <w:jc w:val="center"/>
    </w:pPr>
    <w:rPr>
      <w:rFonts w:ascii="宋体" w:hAnsi="宋体"/>
      <w:sz w:val="24"/>
      <w:szCs w:val="22"/>
    </w:rPr>
  </w:style>
  <w:style w:type="character" w:customStyle="1" w:styleId="149">
    <w:name w:val="head 1.1.1 Char"/>
    <w:link w:val="150"/>
    <w:qFormat/>
    <w:uiPriority w:val="0"/>
    <w:rPr>
      <w:rFonts w:ascii="Times New Roman" w:hAnsi="Times New Roman" w:eastAsia="宋体" w:cs="Times New Roman"/>
      <w:bCs/>
      <w:kern w:val="2"/>
      <w:sz w:val="21"/>
      <w:szCs w:val="24"/>
    </w:rPr>
  </w:style>
  <w:style w:type="paragraph" w:customStyle="1" w:styleId="150">
    <w:name w:val="head 1.1.1"/>
    <w:basedOn w:val="133"/>
    <w:link w:val="149"/>
    <w:qFormat/>
    <w:uiPriority w:val="0"/>
    <w:pPr>
      <w:ind w:left="720" w:firstLine="0" w:firstLineChars="0"/>
    </w:pPr>
    <w:rPr>
      <w:rFonts w:ascii="Times New Roman" w:hAnsi="Times New Roman"/>
      <w:bCs/>
      <w:szCs w:val="24"/>
    </w:rPr>
  </w:style>
  <w:style w:type="character" w:customStyle="1" w:styleId="151">
    <w:name w:val="font111"/>
    <w:qFormat/>
    <w:uiPriority w:val="0"/>
    <w:rPr>
      <w:rFonts w:hint="default" w:ascii="Calibri" w:hAnsi="Calibri" w:eastAsia="宋体" w:cs="Calibri"/>
      <w:color w:val="000000"/>
      <w:sz w:val="20"/>
      <w:szCs w:val="20"/>
      <w:u w:val="none"/>
    </w:rPr>
  </w:style>
  <w:style w:type="character" w:customStyle="1" w:styleId="152">
    <w:name w:val="正文缩进 Char1"/>
    <w:qFormat/>
    <w:uiPriority w:val="0"/>
    <w:rPr>
      <w:rFonts w:ascii="Times New Roman" w:hAnsi="Times New Roman" w:eastAsia="宋体" w:cs="Times New Roman"/>
      <w:szCs w:val="20"/>
    </w:rPr>
  </w:style>
  <w:style w:type="character" w:customStyle="1" w:styleId="153">
    <w:name w:val="textfont1"/>
    <w:qFormat/>
    <w:uiPriority w:val="0"/>
    <w:rPr>
      <w:rFonts w:ascii="Times New Roman" w:hAnsi="Times New Roman" w:eastAsia="宋体" w:cs="Times New Roman"/>
    </w:rPr>
  </w:style>
  <w:style w:type="character" w:customStyle="1" w:styleId="154">
    <w:name w:val="font131"/>
    <w:qFormat/>
    <w:uiPriority w:val="0"/>
    <w:rPr>
      <w:rFonts w:hint="default" w:ascii="Calibri" w:hAnsi="Calibri" w:eastAsia="宋体" w:cs="Calibri"/>
      <w:color w:val="000000"/>
      <w:sz w:val="24"/>
      <w:szCs w:val="24"/>
      <w:u w:val="none"/>
    </w:rPr>
  </w:style>
  <w:style w:type="character" w:customStyle="1" w:styleId="155">
    <w:name w:val="SANGFOR_3_标题3 Char"/>
    <w:link w:val="156"/>
    <w:qFormat/>
    <w:uiPriority w:val="0"/>
    <w:rPr>
      <w:rFonts w:ascii="黑体" w:hAnsi="黑体" w:eastAsia="黑体" w:cs="Times New Roman"/>
      <w:b/>
      <w:bCs/>
      <w:kern w:val="2"/>
      <w:sz w:val="36"/>
      <w:szCs w:val="36"/>
    </w:rPr>
  </w:style>
  <w:style w:type="paragraph" w:customStyle="1" w:styleId="156">
    <w:name w:val="SANGFOR_3_标题3"/>
    <w:basedOn w:val="4"/>
    <w:next w:val="1"/>
    <w:link w:val="155"/>
    <w:qFormat/>
    <w:uiPriority w:val="0"/>
    <w:pPr>
      <w:spacing w:beforeLines="50" w:afterLines="50" w:line="240" w:lineRule="auto"/>
      <w:ind w:left="142" w:firstLine="0" w:firstLineChars="0"/>
    </w:pPr>
    <w:rPr>
      <w:rFonts w:ascii="黑体" w:hAnsi="黑体" w:eastAsia="黑体"/>
      <w:sz w:val="36"/>
      <w:szCs w:val="36"/>
    </w:rPr>
  </w:style>
  <w:style w:type="character" w:customStyle="1" w:styleId="157">
    <w:name w:val="font41"/>
    <w:qFormat/>
    <w:uiPriority w:val="0"/>
    <w:rPr>
      <w:rFonts w:hint="eastAsia" w:ascii="宋体" w:hAnsi="宋体" w:eastAsia="宋体" w:cs="宋体"/>
      <w:color w:val="000000"/>
      <w:sz w:val="24"/>
      <w:szCs w:val="24"/>
      <w:u w:val="none"/>
    </w:rPr>
  </w:style>
  <w:style w:type="character" w:customStyle="1" w:styleId="158">
    <w:name w:val="无间隔 字符"/>
    <w:link w:val="159"/>
    <w:qFormat/>
    <w:uiPriority w:val="99"/>
    <w:rPr>
      <w:rFonts w:ascii="等线" w:hAnsi="等线" w:eastAsia="等线"/>
      <w:sz w:val="22"/>
      <w:szCs w:val="22"/>
      <w:lang w:val="en-US" w:eastAsia="zh-CN" w:bidi="ar-SA"/>
    </w:rPr>
  </w:style>
  <w:style w:type="paragraph" w:customStyle="1" w:styleId="159">
    <w:name w:val="无间隔1"/>
    <w:link w:val="158"/>
    <w:qFormat/>
    <w:uiPriority w:val="99"/>
    <w:rPr>
      <w:rFonts w:ascii="等线" w:hAnsi="等线" w:eastAsia="等线" w:cs="Times New Roman"/>
      <w:sz w:val="22"/>
      <w:szCs w:val="22"/>
      <w:lang w:val="en-US" w:eastAsia="zh-CN" w:bidi="ar-SA"/>
    </w:rPr>
  </w:style>
  <w:style w:type="character" w:customStyle="1" w:styleId="160">
    <w:name w:val="font31"/>
    <w:qFormat/>
    <w:uiPriority w:val="0"/>
    <w:rPr>
      <w:rFonts w:ascii="Arial" w:hAnsi="Arial" w:eastAsia="宋体" w:cs="Arial"/>
      <w:color w:val="000000"/>
      <w:sz w:val="21"/>
      <w:szCs w:val="21"/>
      <w:u w:val="none"/>
    </w:rPr>
  </w:style>
  <w:style w:type="character" w:customStyle="1" w:styleId="161">
    <w:name w:val="我的正文 Char"/>
    <w:link w:val="162"/>
    <w:qFormat/>
    <w:uiPriority w:val="0"/>
    <w:rPr>
      <w:rFonts w:ascii="Times New Roman" w:hAnsi="Times New Roman" w:eastAsia="宋体" w:cs="Times New Roman"/>
      <w:sz w:val="24"/>
      <w:szCs w:val="24"/>
    </w:rPr>
  </w:style>
  <w:style w:type="paragraph" w:customStyle="1" w:styleId="162">
    <w:name w:val="我的正文"/>
    <w:basedOn w:val="1"/>
    <w:link w:val="161"/>
    <w:qFormat/>
    <w:uiPriority w:val="0"/>
    <w:pPr>
      <w:spacing w:line="360" w:lineRule="auto"/>
      <w:ind w:hanging="202" w:hangingChars="202"/>
      <w:jc w:val="left"/>
    </w:pPr>
    <w:rPr>
      <w:kern w:val="0"/>
      <w:sz w:val="24"/>
    </w:rPr>
  </w:style>
  <w:style w:type="character" w:customStyle="1" w:styleId="163">
    <w:name w:val="font101"/>
    <w:qFormat/>
    <w:uiPriority w:val="0"/>
    <w:rPr>
      <w:rFonts w:ascii="Symbol" w:hAnsi="Symbol" w:eastAsia="宋体" w:cs="Symbol"/>
      <w:color w:val="000000"/>
      <w:sz w:val="20"/>
      <w:szCs w:val="20"/>
      <w:u w:val="none"/>
    </w:rPr>
  </w:style>
  <w:style w:type="character" w:customStyle="1" w:styleId="164">
    <w:name w:val="普通文字 Char Char1"/>
    <w:link w:val="165"/>
    <w:qFormat/>
    <w:uiPriority w:val="0"/>
    <w:rPr>
      <w:rFonts w:ascii="宋体" w:hAnsi="Courier New" w:eastAsia="宋体" w:cs="Times New Roman"/>
      <w:kern w:val="2"/>
      <w:sz w:val="21"/>
      <w:lang w:val="en-US" w:eastAsia="zh-CN" w:bidi="ar-SA"/>
    </w:rPr>
  </w:style>
  <w:style w:type="paragraph" w:customStyle="1" w:styleId="165">
    <w:name w:val="Plain Text1"/>
    <w:basedOn w:val="1"/>
    <w:link w:val="164"/>
    <w:qFormat/>
    <w:uiPriority w:val="0"/>
    <w:pPr>
      <w:widowControl/>
      <w:spacing w:line="360" w:lineRule="auto"/>
      <w:jc w:val="left"/>
    </w:pPr>
    <w:rPr>
      <w:rFonts w:ascii="宋体" w:hAnsi="Courier New"/>
      <w:szCs w:val="20"/>
    </w:rPr>
  </w:style>
  <w:style w:type="character" w:customStyle="1" w:styleId="166">
    <w:name w:val="正文缩 Char"/>
    <w:link w:val="167"/>
    <w:qFormat/>
    <w:uiPriority w:val="0"/>
    <w:rPr>
      <w:rFonts w:ascii="仿宋" w:hAnsi="仿宋" w:eastAsia="仿宋" w:cs="Times New Roman"/>
      <w:kern w:val="2"/>
      <w:sz w:val="24"/>
      <w:szCs w:val="24"/>
    </w:rPr>
  </w:style>
  <w:style w:type="paragraph" w:customStyle="1" w:styleId="167">
    <w:name w:val="正文缩"/>
    <w:basedOn w:val="1"/>
    <w:link w:val="166"/>
    <w:qFormat/>
    <w:uiPriority w:val="0"/>
    <w:pPr>
      <w:widowControl/>
      <w:spacing w:beforeLines="50" w:line="360" w:lineRule="atLeast"/>
      <w:ind w:firstLine="200" w:firstLineChars="200"/>
      <w:jc w:val="left"/>
    </w:pPr>
    <w:rPr>
      <w:rFonts w:ascii="仿宋" w:hAnsi="仿宋" w:eastAsia="仿宋"/>
      <w:sz w:val="24"/>
    </w:rPr>
  </w:style>
  <w:style w:type="character" w:customStyle="1" w:styleId="168">
    <w:name w:val="签名 Char1"/>
    <w:qFormat/>
    <w:uiPriority w:val="0"/>
    <w:rPr>
      <w:rFonts w:ascii="Times New Roman" w:hAnsi="Times New Roman" w:eastAsia="宋体" w:cs="Times New Roman"/>
      <w:kern w:val="2"/>
      <w:sz w:val="21"/>
      <w:szCs w:val="24"/>
    </w:rPr>
  </w:style>
  <w:style w:type="character" w:customStyle="1" w:styleId="169">
    <w:name w:val="font71"/>
    <w:qFormat/>
    <w:uiPriority w:val="0"/>
    <w:rPr>
      <w:rFonts w:hint="eastAsia" w:ascii="宋体" w:hAnsi="宋体" w:eastAsia="宋体" w:cs="宋体"/>
      <w:color w:val="000000"/>
      <w:sz w:val="20"/>
      <w:szCs w:val="20"/>
      <w:u w:val="none"/>
    </w:rPr>
  </w:style>
  <w:style w:type="character" w:customStyle="1" w:styleId="170">
    <w:name w:val="_Style 168"/>
    <w:qFormat/>
    <w:uiPriority w:val="0"/>
    <w:rPr>
      <w:rFonts w:ascii="Times New Roman" w:hAnsi="Times New Roman" w:eastAsia="宋体" w:cs="Times New Roman"/>
      <w:smallCaps/>
      <w:color w:val="C0504D"/>
      <w:u w:val="single"/>
    </w:rPr>
  </w:style>
  <w:style w:type="character" w:customStyle="1" w:styleId="171">
    <w:name w:val="font161"/>
    <w:qFormat/>
    <w:uiPriority w:val="0"/>
    <w:rPr>
      <w:rFonts w:hint="default" w:ascii="Times New Roman" w:hAnsi="Times New Roman" w:eastAsia="宋体" w:cs="Times New Roman"/>
      <w:color w:val="000000"/>
      <w:sz w:val="24"/>
      <w:szCs w:val="24"/>
      <w:u w:val="none"/>
    </w:rPr>
  </w:style>
  <w:style w:type="character" w:customStyle="1" w:styleId="172">
    <w:name w:val="style21"/>
    <w:qFormat/>
    <w:uiPriority w:val="0"/>
    <w:rPr>
      <w:rFonts w:ascii="Times New Roman" w:hAnsi="Times New Roman" w:eastAsia="宋体" w:cs="Times New Roman"/>
      <w:color w:val="003366"/>
    </w:rPr>
  </w:style>
  <w:style w:type="character" w:customStyle="1" w:styleId="173">
    <w:name w:val="Char Char11"/>
    <w:link w:val="174"/>
    <w:qFormat/>
    <w:uiPriority w:val="0"/>
    <w:rPr>
      <w:rFonts w:ascii="Tahoma" w:hAnsi="Tahoma" w:eastAsia="宋体" w:cs="Times New Roman"/>
      <w:kern w:val="2"/>
      <w:sz w:val="24"/>
    </w:rPr>
  </w:style>
  <w:style w:type="paragraph" w:customStyle="1" w:styleId="174">
    <w:name w:val="Char12"/>
    <w:basedOn w:val="1"/>
    <w:link w:val="173"/>
    <w:qFormat/>
    <w:uiPriority w:val="0"/>
    <w:rPr>
      <w:rFonts w:ascii="Tahoma" w:hAnsi="Tahoma"/>
      <w:sz w:val="24"/>
      <w:szCs w:val="20"/>
    </w:rPr>
  </w:style>
  <w:style w:type="character" w:customStyle="1" w:styleId="175">
    <w:name w:val="批注文字 Char"/>
    <w:qFormat/>
    <w:uiPriority w:val="99"/>
    <w:rPr>
      <w:rFonts w:ascii="Times New Roman" w:hAnsi="Times New Roman" w:eastAsia="宋体" w:cs="Times New Roman"/>
    </w:rPr>
  </w:style>
  <w:style w:type="character" w:customStyle="1" w:styleId="176">
    <w:name w:val="标题 3 Char1"/>
    <w:qFormat/>
    <w:uiPriority w:val="0"/>
    <w:rPr>
      <w:rFonts w:ascii="仿宋_GB2312" w:hAnsi="Times New Roman" w:eastAsia="仿宋_GB2312" w:cs="Times New Roman"/>
      <w:b/>
      <w:bCs/>
      <w:kern w:val="2"/>
      <w:sz w:val="30"/>
    </w:rPr>
  </w:style>
  <w:style w:type="character" w:customStyle="1" w:styleId="177">
    <w:name w:val="明显强调1"/>
    <w:qFormat/>
    <w:uiPriority w:val="0"/>
    <w:rPr>
      <w:rFonts w:ascii="Times New Roman" w:hAnsi="Times New Roman" w:eastAsia="宋体" w:cs="Times New Roman"/>
      <w:b/>
      <w:bCs/>
      <w:i/>
      <w:iCs/>
      <w:color w:val="4F81BD"/>
    </w:rPr>
  </w:style>
  <w:style w:type="character" w:customStyle="1" w:styleId="178">
    <w:name w:val="正文缩进 字符"/>
    <w:qFormat/>
    <w:uiPriority w:val="0"/>
    <w:rPr>
      <w:rFonts w:ascii="Times New Roman" w:hAnsi="Times New Roman" w:eastAsia="宋体" w:cs="Times New Roman"/>
      <w:kern w:val="2"/>
      <w:sz w:val="21"/>
    </w:rPr>
  </w:style>
  <w:style w:type="character" w:customStyle="1" w:styleId="179">
    <w:name w:val="_Style 177"/>
    <w:qFormat/>
    <w:uiPriority w:val="0"/>
    <w:rPr>
      <w:rFonts w:ascii="Times New Roman" w:hAnsi="Times New Roman" w:eastAsia="宋体" w:cs="Times New Roman"/>
      <w:b/>
      <w:bCs/>
      <w:i/>
      <w:iCs/>
      <w:color w:val="4F81BD"/>
    </w:rPr>
  </w:style>
  <w:style w:type="character" w:customStyle="1" w:styleId="180">
    <w:name w:val="纯文本 Char1_4_0"/>
    <w:link w:val="181"/>
    <w:qFormat/>
    <w:uiPriority w:val="0"/>
    <w:rPr>
      <w:rFonts w:ascii="宋体" w:hAnsi="Courier New" w:eastAsia="宋体" w:cs="Times New Roman"/>
      <w:kern w:val="2"/>
      <w:sz w:val="21"/>
    </w:rPr>
  </w:style>
  <w:style w:type="paragraph" w:customStyle="1" w:styleId="181">
    <w:name w:val="纯文本_4_0"/>
    <w:basedOn w:val="1"/>
    <w:link w:val="180"/>
    <w:qFormat/>
    <w:uiPriority w:val="0"/>
    <w:rPr>
      <w:rFonts w:ascii="宋体" w:hAnsi="Courier New"/>
      <w:szCs w:val="20"/>
    </w:rPr>
  </w:style>
  <w:style w:type="character" w:customStyle="1" w:styleId="182">
    <w:name w:val="图题 Char"/>
    <w:link w:val="183"/>
    <w:qFormat/>
    <w:uiPriority w:val="0"/>
    <w:rPr>
      <w:rFonts w:ascii="仿宋" w:hAnsi="仿宋" w:eastAsia="仿宋" w:cs="Times New Roman"/>
      <w:kern w:val="2"/>
      <w:sz w:val="21"/>
      <w:szCs w:val="24"/>
    </w:rPr>
  </w:style>
  <w:style w:type="paragraph" w:customStyle="1" w:styleId="183">
    <w:name w:val="图题"/>
    <w:basedOn w:val="1"/>
    <w:link w:val="182"/>
    <w:qFormat/>
    <w:uiPriority w:val="0"/>
    <w:pPr>
      <w:widowControl/>
      <w:spacing w:beforeLines="25" w:line="300" w:lineRule="auto"/>
      <w:jc w:val="center"/>
    </w:pPr>
    <w:rPr>
      <w:rFonts w:ascii="仿宋" w:hAnsi="仿宋" w:eastAsia="仿宋"/>
    </w:rPr>
  </w:style>
  <w:style w:type="character" w:customStyle="1" w:styleId="184">
    <w:name w:val="不明显强调1"/>
    <w:qFormat/>
    <w:uiPriority w:val="19"/>
    <w:rPr>
      <w:rFonts w:ascii="Times New Roman" w:hAnsi="Times New Roman" w:eastAsia="宋体" w:cs="Times New Roman"/>
      <w:i/>
      <w:color w:val="808080"/>
    </w:rPr>
  </w:style>
  <w:style w:type="character" w:customStyle="1" w:styleId="185">
    <w:name w:val="style271"/>
    <w:qFormat/>
    <w:uiPriority w:val="0"/>
    <w:rPr>
      <w:rFonts w:ascii="Times New Roman" w:hAnsi="Times New Roman" w:eastAsia="宋体" w:cs="Times New Roman"/>
      <w:sz w:val="14"/>
      <w:szCs w:val="14"/>
    </w:rPr>
  </w:style>
  <w:style w:type="character" w:customStyle="1" w:styleId="186">
    <w:name w:val="Item List Char"/>
    <w:link w:val="187"/>
    <w:qFormat/>
    <w:uiPriority w:val="0"/>
    <w:rPr>
      <w:rFonts w:ascii="Arial" w:hAnsi="Arial"/>
      <w:sz w:val="21"/>
      <w:szCs w:val="21"/>
      <w:lang w:val="en-US" w:eastAsia="zh-CN" w:bidi="ar-SA"/>
    </w:rPr>
  </w:style>
  <w:style w:type="paragraph" w:customStyle="1" w:styleId="187">
    <w:name w:val="Item List"/>
    <w:link w:val="186"/>
    <w:qFormat/>
    <w:uiPriority w:val="0"/>
    <w:pPr>
      <w:tabs>
        <w:tab w:val="left" w:pos="482"/>
      </w:tabs>
      <w:spacing w:line="300" w:lineRule="auto"/>
      <w:ind w:left="709" w:hanging="284"/>
      <w:jc w:val="both"/>
    </w:pPr>
    <w:rPr>
      <w:rFonts w:ascii="Arial" w:hAnsi="Arial" w:eastAsia="宋体" w:cs="Times New Roman"/>
      <w:sz w:val="21"/>
      <w:szCs w:val="21"/>
      <w:lang w:val="en-US" w:eastAsia="zh-CN" w:bidi="ar-SA"/>
    </w:rPr>
  </w:style>
  <w:style w:type="character" w:customStyle="1" w:styleId="188">
    <w:name w:val="表正文 Char"/>
    <w:qFormat/>
    <w:uiPriority w:val="0"/>
    <w:rPr>
      <w:rFonts w:ascii="Times New Roman" w:hAnsi="Times New Roman" w:eastAsia="宋体" w:cs="Times New Roman"/>
      <w:kern w:val="2"/>
      <w:sz w:val="21"/>
      <w:lang w:val="en-US" w:eastAsia="zh-CN" w:bidi="ar-SA"/>
    </w:rPr>
  </w:style>
  <w:style w:type="character" w:customStyle="1" w:styleId="189">
    <w:name w:val="font51"/>
    <w:qFormat/>
    <w:uiPriority w:val="0"/>
    <w:rPr>
      <w:rFonts w:hint="eastAsia" w:ascii="宋体" w:hAnsi="宋体" w:eastAsia="宋体" w:cs="宋体"/>
      <w:color w:val="000000"/>
      <w:sz w:val="24"/>
      <w:szCs w:val="24"/>
      <w:u w:val="none"/>
    </w:rPr>
  </w:style>
  <w:style w:type="character" w:customStyle="1" w:styleId="190">
    <w:name w:val="font91"/>
    <w:qFormat/>
    <w:uiPriority w:val="0"/>
    <w:rPr>
      <w:rFonts w:hint="eastAsia" w:ascii="宋体" w:hAnsi="宋体" w:eastAsia="宋体" w:cs="宋体"/>
      <w:color w:val="000000"/>
      <w:sz w:val="24"/>
      <w:szCs w:val="24"/>
      <w:u w:val="none"/>
    </w:rPr>
  </w:style>
  <w:style w:type="character" w:customStyle="1" w:styleId="191">
    <w:name w:val="无间隔 Char"/>
    <w:link w:val="192"/>
    <w:qFormat/>
    <w:uiPriority w:val="99"/>
    <w:rPr>
      <w:rFonts w:ascii="Calibri" w:hAnsi="Calibri" w:eastAsia="宋体" w:cs="Times New Roman"/>
      <w:kern w:val="2"/>
      <w:sz w:val="21"/>
      <w:szCs w:val="22"/>
    </w:rPr>
  </w:style>
  <w:style w:type="paragraph" w:styleId="192">
    <w:name w:val="No Spacing"/>
    <w:basedOn w:val="1"/>
    <w:link w:val="191"/>
    <w:qFormat/>
    <w:uiPriority w:val="99"/>
    <w:rPr>
      <w:rFonts w:ascii="Calibri" w:hAnsi="Calibri"/>
      <w:szCs w:val="22"/>
    </w:rPr>
  </w:style>
  <w:style w:type="character" w:customStyle="1" w:styleId="193">
    <w:name w:val="Char Char1_0"/>
    <w:link w:val="194"/>
    <w:qFormat/>
    <w:uiPriority w:val="0"/>
    <w:rPr>
      <w:rFonts w:ascii="Tahoma" w:hAnsi="Tahoma" w:eastAsia="宋体" w:cs="Times New Roman"/>
      <w:kern w:val="2"/>
      <w:sz w:val="24"/>
    </w:rPr>
  </w:style>
  <w:style w:type="paragraph" w:customStyle="1" w:styleId="194">
    <w:name w:val="Char_0"/>
    <w:basedOn w:val="195"/>
    <w:link w:val="193"/>
    <w:qFormat/>
    <w:uiPriority w:val="0"/>
    <w:rPr>
      <w:rFonts w:ascii="Tahoma" w:hAnsi="Tahoma"/>
      <w:sz w:val="24"/>
      <w:szCs w:val="20"/>
    </w:rPr>
  </w:style>
  <w:style w:type="paragraph" w:customStyle="1" w:styleId="195">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6">
    <w:name w:val="样式 正文缩进 + 首行缩进:  2 字符 Char"/>
    <w:link w:val="197"/>
    <w:qFormat/>
    <w:uiPriority w:val="0"/>
    <w:rPr>
      <w:rFonts w:ascii="Tahoma" w:hAnsi="Tahoma" w:eastAsia="宋体" w:cs="Times New Roman"/>
    </w:rPr>
  </w:style>
  <w:style w:type="paragraph" w:customStyle="1" w:styleId="197">
    <w:name w:val="样式 正文缩进 + 首行缩进:  2 字符"/>
    <w:basedOn w:val="5"/>
    <w:link w:val="196"/>
    <w:qFormat/>
    <w:uiPriority w:val="0"/>
    <w:pPr>
      <w:spacing w:line="360" w:lineRule="auto"/>
      <w:ind w:firstLine="200" w:firstLineChars="200"/>
    </w:pPr>
    <w:rPr>
      <w:rFonts w:ascii="Tahoma" w:hAnsi="Tahoma"/>
      <w:kern w:val="0"/>
      <w:sz w:val="20"/>
    </w:rPr>
  </w:style>
  <w:style w:type="character" w:customStyle="1" w:styleId="198">
    <w:name w:val="17"/>
    <w:qFormat/>
    <w:uiPriority w:val="0"/>
    <w:rPr>
      <w:rFonts w:hint="default" w:ascii="Arial" w:hAnsi="Arial" w:eastAsia="宋体" w:cs="Arial"/>
      <w:b/>
      <w:bCs/>
      <w:sz w:val="23"/>
      <w:szCs w:val="23"/>
    </w:rPr>
  </w:style>
  <w:style w:type="character" w:customStyle="1" w:styleId="199">
    <w:name w:val="current"/>
    <w:qFormat/>
    <w:uiPriority w:val="0"/>
    <w:rPr>
      <w:rFonts w:ascii="Times New Roman" w:hAnsi="Times New Roman" w:eastAsia="宋体" w:cs="Times New Roman"/>
      <w:b/>
      <w:color w:val="FFFFFF"/>
      <w:bdr w:val="single" w:color="0C64AB" w:sz="6" w:space="0"/>
      <w:shd w:val="clear" w:color="auto" w:fill="0C64AB"/>
    </w:rPr>
  </w:style>
  <w:style w:type="character" w:customStyle="1" w:styleId="200">
    <w:name w:val="p141"/>
    <w:qFormat/>
    <w:uiPriority w:val="0"/>
    <w:rPr>
      <w:rFonts w:ascii="Times New Roman" w:hAnsi="Times New Roman" w:eastAsia="宋体" w:cs="Times New Roman"/>
      <w:sz w:val="21"/>
      <w:szCs w:val="21"/>
      <w:u w:val="none"/>
    </w:rPr>
  </w:style>
  <w:style w:type="character" w:customStyle="1" w:styleId="201">
    <w:name w:val="正文文本缩进 2 Char"/>
    <w:link w:val="202"/>
    <w:qFormat/>
    <w:uiPriority w:val="0"/>
    <w:rPr>
      <w:rFonts w:ascii="Times New Roman" w:hAnsi="Times New Roman" w:eastAsia="宋体" w:cs="Times New Roman"/>
    </w:rPr>
  </w:style>
  <w:style w:type="paragraph" w:customStyle="1" w:styleId="202">
    <w:name w:val="正文文本缩进 2_0"/>
    <w:basedOn w:val="203"/>
    <w:link w:val="201"/>
    <w:unhideWhenUsed/>
    <w:qFormat/>
    <w:uiPriority w:val="0"/>
    <w:pPr>
      <w:snapToGrid w:val="0"/>
      <w:spacing w:line="400" w:lineRule="exact"/>
      <w:ind w:firstLine="480"/>
    </w:pPr>
    <w:rPr>
      <w:kern w:val="0"/>
      <w:sz w:val="20"/>
      <w:szCs w:val="20"/>
    </w:rPr>
  </w:style>
  <w:style w:type="paragraph" w:customStyle="1" w:styleId="20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4">
    <w:name w:val="_Style 200"/>
    <w:qFormat/>
    <w:uiPriority w:val="0"/>
    <w:rPr>
      <w:rFonts w:ascii="Times New Roman" w:hAnsi="Times New Roman" w:eastAsia="宋体" w:cs="Times New Roman"/>
      <w:b/>
      <w:bCs/>
      <w:smallCaps/>
      <w:color w:val="C0504D"/>
      <w:spacing w:val="5"/>
      <w:u w:val="single"/>
    </w:rPr>
  </w:style>
  <w:style w:type="character" w:customStyle="1" w:styleId="205">
    <w:name w:val="_Style 201"/>
    <w:qFormat/>
    <w:uiPriority w:val="0"/>
    <w:rPr>
      <w:rFonts w:ascii="Times New Roman" w:hAnsi="Times New Roman" w:eastAsia="宋体" w:cs="Times New Roman"/>
      <w:i/>
      <w:iCs/>
      <w:color w:val="808080"/>
    </w:rPr>
  </w:style>
  <w:style w:type="character" w:customStyle="1" w:styleId="206">
    <w:name w:val="明显引用 Char"/>
    <w:link w:val="207"/>
    <w:qFormat/>
    <w:uiPriority w:val="30"/>
    <w:rPr>
      <w:rFonts w:ascii="Calibri" w:hAnsi="Calibri" w:eastAsia="宋体" w:cs="Times New Roman"/>
      <w:b/>
      <w:bCs/>
      <w:i/>
      <w:iCs/>
      <w:color w:val="4F81BD"/>
      <w:kern w:val="2"/>
      <w:sz w:val="21"/>
      <w:szCs w:val="22"/>
    </w:rPr>
  </w:style>
  <w:style w:type="paragraph" w:styleId="207">
    <w:name w:val="Intense Quote"/>
    <w:basedOn w:val="1"/>
    <w:next w:val="1"/>
    <w:link w:val="206"/>
    <w:qFormat/>
    <w:uiPriority w:val="30"/>
    <w:pPr>
      <w:pBdr>
        <w:bottom w:val="single" w:color="4F81BD" w:sz="4" w:space="4"/>
      </w:pBdr>
      <w:spacing w:before="200" w:after="280"/>
      <w:ind w:left="936" w:right="936"/>
    </w:pPr>
    <w:rPr>
      <w:rFonts w:ascii="Calibri" w:hAnsi="Calibri"/>
      <w:b/>
      <w:bCs/>
      <w:i/>
      <w:iCs/>
      <w:color w:val="4F81BD"/>
      <w:szCs w:val="22"/>
    </w:rPr>
  </w:style>
  <w:style w:type="character" w:customStyle="1" w:styleId="208">
    <w:name w:val="引用 Char"/>
    <w:link w:val="209"/>
    <w:qFormat/>
    <w:uiPriority w:val="99"/>
    <w:rPr>
      <w:rFonts w:ascii="Calibri" w:hAnsi="Calibri" w:eastAsia="宋体" w:cs="Times New Roman"/>
      <w:i/>
      <w:iCs/>
      <w:color w:val="000000"/>
      <w:kern w:val="2"/>
      <w:sz w:val="21"/>
      <w:szCs w:val="22"/>
    </w:rPr>
  </w:style>
  <w:style w:type="paragraph" w:styleId="209">
    <w:name w:val="Quote"/>
    <w:basedOn w:val="1"/>
    <w:next w:val="1"/>
    <w:link w:val="208"/>
    <w:qFormat/>
    <w:uiPriority w:val="99"/>
    <w:rPr>
      <w:rFonts w:ascii="Calibri" w:hAnsi="Calibri"/>
      <w:i/>
      <w:iCs/>
      <w:color w:val="000000"/>
      <w:szCs w:val="22"/>
    </w:rPr>
  </w:style>
  <w:style w:type="character" w:customStyle="1" w:styleId="210">
    <w:name w:val="disabled"/>
    <w:qFormat/>
    <w:uiPriority w:val="0"/>
    <w:rPr>
      <w:rFonts w:ascii="Times New Roman" w:hAnsi="Times New Roman" w:eastAsia="宋体" w:cs="Times New Roman"/>
      <w:color w:val="999999"/>
      <w:bdr w:val="single" w:color="C5C5C5" w:sz="6" w:space="0"/>
    </w:rPr>
  </w:style>
  <w:style w:type="character" w:customStyle="1" w:styleId="211">
    <w:name w:val="style261"/>
    <w:qFormat/>
    <w:uiPriority w:val="0"/>
    <w:rPr>
      <w:rFonts w:ascii="Times New Roman" w:hAnsi="Times New Roman" w:eastAsia="宋体" w:cs="Times New Roman"/>
      <w:color w:val="000000"/>
      <w:sz w:val="18"/>
      <w:szCs w:val="18"/>
    </w:rPr>
  </w:style>
  <w:style w:type="character" w:customStyle="1" w:styleId="212">
    <w:name w:val="apple-style-span"/>
    <w:qFormat/>
    <w:uiPriority w:val="0"/>
    <w:rPr>
      <w:rFonts w:ascii="Times New Roman" w:hAnsi="Times New Roman" w:eastAsia="宋体" w:cs="Times New Roman"/>
    </w:rPr>
  </w:style>
  <w:style w:type="character" w:customStyle="1" w:styleId="213">
    <w:name w:val="样式 宋体 小四 加粗 Char"/>
    <w:link w:val="214"/>
    <w:qFormat/>
    <w:uiPriority w:val="0"/>
    <w:rPr>
      <w:rFonts w:ascii="宋体" w:hAnsi="宋体" w:eastAsia="宋体" w:cs="Times New Roman"/>
      <w:b/>
      <w:sz w:val="24"/>
      <w:szCs w:val="24"/>
      <w:lang w:val="zh-CN"/>
    </w:rPr>
  </w:style>
  <w:style w:type="paragraph" w:customStyle="1" w:styleId="214">
    <w:name w:val="样式 宋体 小四 加粗"/>
    <w:basedOn w:val="1"/>
    <w:next w:val="1"/>
    <w:link w:val="213"/>
    <w:qFormat/>
    <w:uiPriority w:val="0"/>
    <w:pPr>
      <w:widowControl/>
      <w:adjustRightInd w:val="0"/>
      <w:snapToGrid w:val="0"/>
      <w:spacing w:line="440" w:lineRule="exact"/>
      <w:ind w:firstLine="482" w:firstLineChars="200"/>
      <w:jc w:val="left"/>
    </w:pPr>
    <w:rPr>
      <w:rFonts w:ascii="宋体" w:hAnsi="宋体"/>
      <w:b/>
      <w:kern w:val="0"/>
      <w:sz w:val="24"/>
      <w:lang w:val="zh-CN"/>
    </w:rPr>
  </w:style>
  <w:style w:type="character" w:customStyle="1" w:styleId="215">
    <w:name w:val="用 Char"/>
    <w:link w:val="216"/>
    <w:qFormat/>
    <w:uiPriority w:val="0"/>
    <w:rPr>
      <w:rFonts w:ascii="宋体" w:hAnsi="宋体" w:eastAsia="宋体" w:cs="Times New Roman"/>
      <w:color w:val="000000"/>
      <w:kern w:val="2"/>
      <w:sz w:val="21"/>
      <w:lang w:val="zh-CN"/>
    </w:rPr>
  </w:style>
  <w:style w:type="paragraph" w:customStyle="1" w:styleId="216">
    <w:name w:val="用"/>
    <w:basedOn w:val="1"/>
    <w:link w:val="215"/>
    <w:qFormat/>
    <w:uiPriority w:val="0"/>
    <w:pPr>
      <w:widowControl/>
      <w:tabs>
        <w:tab w:val="left" w:pos="480"/>
        <w:tab w:val="left" w:pos="540"/>
        <w:tab w:val="left" w:pos="720"/>
      </w:tabs>
      <w:spacing w:beforeLines="50"/>
      <w:ind w:firstLine="200" w:firstLineChars="200"/>
      <w:jc w:val="left"/>
    </w:pPr>
    <w:rPr>
      <w:rFonts w:ascii="宋体" w:hAnsi="宋体"/>
      <w:color w:val="000000"/>
      <w:szCs w:val="20"/>
      <w:lang w:val="zh-CN"/>
    </w:rPr>
  </w:style>
  <w:style w:type="character" w:customStyle="1" w:styleId="217">
    <w:name w:val="论文正文 Char"/>
    <w:link w:val="218"/>
    <w:qFormat/>
    <w:uiPriority w:val="0"/>
    <w:rPr>
      <w:rFonts w:ascii="Times New Roman" w:hAnsi="Times New Roman" w:eastAsia="仿宋" w:cs="Times New Roman"/>
      <w:sz w:val="24"/>
      <w:lang w:val="zh-CN"/>
    </w:rPr>
  </w:style>
  <w:style w:type="paragraph" w:customStyle="1" w:styleId="218">
    <w:name w:val="招标正文"/>
    <w:basedOn w:val="1"/>
    <w:link w:val="217"/>
    <w:qFormat/>
    <w:uiPriority w:val="0"/>
    <w:pPr>
      <w:widowControl/>
      <w:spacing w:line="360" w:lineRule="auto"/>
      <w:ind w:firstLine="1680" w:firstLineChars="200"/>
      <w:jc w:val="left"/>
    </w:pPr>
    <w:rPr>
      <w:rFonts w:eastAsia="仿宋"/>
      <w:kern w:val="0"/>
      <w:sz w:val="24"/>
      <w:szCs w:val="20"/>
      <w:lang w:val="zh-CN"/>
    </w:rPr>
  </w:style>
  <w:style w:type="character" w:customStyle="1" w:styleId="219">
    <w:name w:val="表内容 Char"/>
    <w:link w:val="220"/>
    <w:qFormat/>
    <w:uiPriority w:val="0"/>
    <w:rPr>
      <w:rFonts w:ascii="仿宋" w:hAnsi="仿宋" w:eastAsia="仿宋" w:cs="Times New Roman"/>
      <w:kern w:val="2"/>
      <w:sz w:val="24"/>
      <w:szCs w:val="24"/>
    </w:rPr>
  </w:style>
  <w:style w:type="paragraph" w:customStyle="1" w:styleId="220">
    <w:name w:val="表内容"/>
    <w:basedOn w:val="1"/>
    <w:link w:val="219"/>
    <w:qFormat/>
    <w:uiPriority w:val="0"/>
    <w:pPr>
      <w:widowControl/>
      <w:jc w:val="left"/>
    </w:pPr>
    <w:rPr>
      <w:rFonts w:ascii="仿宋" w:hAnsi="仿宋" w:eastAsia="仿宋"/>
      <w:sz w:val="24"/>
    </w:rPr>
  </w:style>
  <w:style w:type="character" w:customStyle="1" w:styleId="221">
    <w:name w:val="建设方案正文 Char"/>
    <w:link w:val="222"/>
    <w:qFormat/>
    <w:uiPriority w:val="99"/>
    <w:rPr>
      <w:rFonts w:ascii="仿宋_GB2312" w:hAnsi="Times New Roman" w:eastAsia="仿宋_GB2312" w:cs="Times New Roman"/>
      <w:color w:val="000000"/>
      <w:kern w:val="2"/>
      <w:sz w:val="24"/>
      <w:szCs w:val="24"/>
      <w:lang w:val="zh-CN"/>
    </w:rPr>
  </w:style>
  <w:style w:type="paragraph" w:customStyle="1" w:styleId="222">
    <w:name w:val="建设方案正文"/>
    <w:basedOn w:val="1"/>
    <w:link w:val="221"/>
    <w:qFormat/>
    <w:uiPriority w:val="99"/>
    <w:pPr>
      <w:widowControl/>
      <w:spacing w:line="360" w:lineRule="auto"/>
      <w:ind w:firstLine="200" w:firstLineChars="200"/>
      <w:jc w:val="left"/>
    </w:pPr>
    <w:rPr>
      <w:rFonts w:ascii="仿宋_GB2312" w:eastAsia="仿宋_GB2312"/>
      <w:color w:val="000000"/>
      <w:sz w:val="24"/>
      <w:lang w:val="zh-CN"/>
    </w:rPr>
  </w:style>
  <w:style w:type="character" w:customStyle="1" w:styleId="223">
    <w:name w:val="style10"/>
    <w:qFormat/>
    <w:uiPriority w:val="0"/>
    <w:rPr>
      <w:rFonts w:ascii="Times New Roman" w:hAnsi="Times New Roman" w:eastAsia="宋体" w:cs="Times New Roman"/>
    </w:rPr>
  </w:style>
  <w:style w:type="character" w:customStyle="1" w:styleId="224">
    <w:name w:val="页脚 Char1"/>
    <w:qFormat/>
    <w:uiPriority w:val="99"/>
    <w:rPr>
      <w:rFonts w:hint="eastAsia" w:ascii="仿宋" w:hAnsi="仿宋" w:eastAsia="仿宋" w:cs="Times New Roman"/>
      <w:kern w:val="2"/>
      <w:sz w:val="18"/>
      <w:szCs w:val="18"/>
    </w:rPr>
  </w:style>
  <w:style w:type="character" w:customStyle="1" w:styleId="225">
    <w:name w:val="页眉 Char1"/>
    <w:qFormat/>
    <w:uiPriority w:val="99"/>
    <w:rPr>
      <w:rFonts w:hint="eastAsia" w:ascii="仿宋" w:hAnsi="仿宋" w:eastAsia="仿宋" w:cs="Times New Roman"/>
      <w:kern w:val="2"/>
      <w:sz w:val="18"/>
      <w:szCs w:val="18"/>
    </w:rPr>
  </w:style>
  <w:style w:type="character" w:customStyle="1" w:styleId="226">
    <w:name w:val="标题 Char1"/>
    <w:qFormat/>
    <w:uiPriority w:val="10"/>
    <w:rPr>
      <w:rFonts w:hint="default" w:ascii="Cambria" w:hAnsi="Cambria" w:eastAsia="宋体" w:cs="Times New Roman"/>
      <w:b/>
      <w:bCs/>
      <w:kern w:val="2"/>
      <w:sz w:val="32"/>
      <w:szCs w:val="32"/>
    </w:rPr>
  </w:style>
  <w:style w:type="character" w:customStyle="1" w:styleId="227">
    <w:name w:val="文档结构图 Char1"/>
    <w:qFormat/>
    <w:uiPriority w:val="99"/>
    <w:rPr>
      <w:rFonts w:hint="eastAsia" w:ascii="宋体" w:hAnsi="Times New Roman" w:eastAsia="宋体" w:cs="Times New Roman"/>
      <w:kern w:val="2"/>
      <w:sz w:val="18"/>
      <w:szCs w:val="18"/>
    </w:rPr>
  </w:style>
  <w:style w:type="character" w:customStyle="1" w:styleId="228">
    <w:name w:val="样式 仿宋"/>
    <w:qFormat/>
    <w:uiPriority w:val="0"/>
    <w:rPr>
      <w:rFonts w:hint="eastAsia" w:ascii="仿宋" w:hAnsi="仿宋" w:eastAsia="仿宋" w:cs="Times New Roman"/>
      <w:kern w:val="2"/>
    </w:rPr>
  </w:style>
  <w:style w:type="character" w:customStyle="1" w:styleId="229">
    <w:name w:val="副标题 Char1"/>
    <w:qFormat/>
    <w:uiPriority w:val="11"/>
    <w:rPr>
      <w:rFonts w:hint="default" w:ascii="Cambria" w:hAnsi="Cambria" w:eastAsia="宋体" w:cs="Times New Roman"/>
      <w:b/>
      <w:bCs/>
      <w:kern w:val="28"/>
      <w:sz w:val="32"/>
      <w:szCs w:val="32"/>
    </w:rPr>
  </w:style>
  <w:style w:type="character" w:customStyle="1" w:styleId="230">
    <w:name w:val="正文文本缩进 Char1"/>
    <w:qFormat/>
    <w:uiPriority w:val="99"/>
    <w:rPr>
      <w:rFonts w:hint="default" w:ascii="Times New Roman" w:hAnsi="Times New Roman" w:eastAsia="宋体" w:cs="Times New Roman"/>
      <w:kern w:val="2"/>
      <w:sz w:val="24"/>
      <w:szCs w:val="22"/>
    </w:rPr>
  </w:style>
  <w:style w:type="character" w:customStyle="1" w:styleId="231">
    <w:name w:val="日期 Char1"/>
    <w:qFormat/>
    <w:uiPriority w:val="99"/>
    <w:rPr>
      <w:rFonts w:hint="default" w:ascii="Times New Roman" w:hAnsi="Times New Roman" w:eastAsia="宋体" w:cs="Times New Roman"/>
      <w:kern w:val="2"/>
      <w:sz w:val="24"/>
      <w:szCs w:val="22"/>
    </w:rPr>
  </w:style>
  <w:style w:type="character" w:customStyle="1" w:styleId="232">
    <w:name w:val="正文文本 3 Char1"/>
    <w:qFormat/>
    <w:uiPriority w:val="99"/>
    <w:rPr>
      <w:rFonts w:hint="default" w:ascii="Times New Roman" w:hAnsi="Times New Roman" w:eastAsia="宋体" w:cs="Times New Roman"/>
      <w:kern w:val="2"/>
      <w:sz w:val="16"/>
      <w:szCs w:val="16"/>
    </w:rPr>
  </w:style>
  <w:style w:type="character" w:customStyle="1" w:styleId="233">
    <w:name w:val="15"/>
    <w:qFormat/>
    <w:uiPriority w:val="99"/>
    <w:rPr>
      <w:rFonts w:hint="default" w:ascii="Calibri" w:hAnsi="Calibri" w:eastAsia="宋体" w:cs="Times New Roman"/>
      <w:b/>
      <w:bCs/>
    </w:rPr>
  </w:style>
  <w:style w:type="character" w:customStyle="1" w:styleId="234">
    <w:name w:val="正文文本缩进 3 Char1"/>
    <w:qFormat/>
    <w:uiPriority w:val="99"/>
    <w:rPr>
      <w:rFonts w:hint="default" w:ascii="Times New Roman" w:hAnsi="Times New Roman" w:eastAsia="宋体" w:cs="Times New Roman"/>
      <w:kern w:val="2"/>
      <w:sz w:val="16"/>
      <w:szCs w:val="16"/>
    </w:rPr>
  </w:style>
  <w:style w:type="character" w:customStyle="1" w:styleId="235">
    <w:name w:val="副标题 Char2"/>
    <w:qFormat/>
    <w:uiPriority w:val="11"/>
    <w:rPr>
      <w:rFonts w:hint="default" w:ascii="Cambria" w:hAnsi="Cambria" w:eastAsia="宋体" w:cs="Times New Roman"/>
      <w:b/>
      <w:bCs/>
      <w:kern w:val="28"/>
      <w:sz w:val="32"/>
      <w:szCs w:val="32"/>
    </w:rPr>
  </w:style>
  <w:style w:type="character" w:customStyle="1" w:styleId="236">
    <w:name w:val="标题 Char2"/>
    <w:qFormat/>
    <w:uiPriority w:val="10"/>
    <w:rPr>
      <w:rFonts w:hint="default" w:ascii="Cambria" w:hAnsi="Cambria" w:eastAsia="宋体" w:cs="Times New Roman"/>
      <w:b/>
      <w:bCs/>
      <w:kern w:val="2"/>
      <w:sz w:val="32"/>
      <w:szCs w:val="32"/>
    </w:rPr>
  </w:style>
  <w:style w:type="character" w:customStyle="1" w:styleId="237">
    <w:name w:val="文档结构图 Char2"/>
    <w:qFormat/>
    <w:uiPriority w:val="99"/>
    <w:rPr>
      <w:rFonts w:hint="eastAsia" w:ascii="宋体" w:hAnsi="Times New Roman" w:eastAsia="宋体" w:cs="Times New Roman"/>
      <w:sz w:val="18"/>
      <w:szCs w:val="18"/>
    </w:rPr>
  </w:style>
  <w:style w:type="character" w:customStyle="1" w:styleId="238">
    <w:name w:val="纯文本 Char2"/>
    <w:qFormat/>
    <w:uiPriority w:val="0"/>
    <w:rPr>
      <w:rFonts w:hint="eastAsia" w:ascii="宋体" w:hAnsi="Courier New" w:eastAsia="宋体" w:cs="Courier New"/>
      <w:szCs w:val="21"/>
    </w:rPr>
  </w:style>
  <w:style w:type="character" w:customStyle="1" w:styleId="239">
    <w:name w:val="副标题 Char3"/>
    <w:qFormat/>
    <w:uiPriority w:val="11"/>
    <w:rPr>
      <w:rFonts w:hint="default" w:ascii="Cambria" w:hAnsi="Cambria" w:eastAsia="宋体" w:cs="Times New Roman"/>
      <w:b/>
      <w:bCs/>
      <w:kern w:val="28"/>
      <w:sz w:val="32"/>
      <w:szCs w:val="32"/>
    </w:rPr>
  </w:style>
  <w:style w:type="character" w:customStyle="1" w:styleId="240">
    <w:name w:val="正文文本缩进 3 Char2"/>
    <w:qFormat/>
    <w:uiPriority w:val="99"/>
    <w:rPr>
      <w:rFonts w:hint="default" w:ascii="Times New Roman" w:hAnsi="Times New Roman" w:eastAsia="宋体" w:cs="Times New Roman"/>
      <w:sz w:val="16"/>
      <w:szCs w:val="16"/>
    </w:rPr>
  </w:style>
  <w:style w:type="character" w:customStyle="1" w:styleId="241">
    <w:name w:val="标题 Char3"/>
    <w:qFormat/>
    <w:uiPriority w:val="10"/>
    <w:rPr>
      <w:rFonts w:hint="default" w:ascii="Cambria" w:hAnsi="Cambria" w:eastAsia="宋体" w:cs="Times New Roman"/>
      <w:b/>
      <w:bCs/>
      <w:sz w:val="32"/>
      <w:szCs w:val="32"/>
    </w:rPr>
  </w:style>
  <w:style w:type="character" w:customStyle="1" w:styleId="242">
    <w:name w:val="title-text"/>
    <w:qFormat/>
    <w:uiPriority w:val="0"/>
    <w:rPr>
      <w:rFonts w:ascii="Times New Roman" w:hAnsi="Times New Roman" w:eastAsia="宋体" w:cs="Times New Roman"/>
    </w:rPr>
  </w:style>
  <w:style w:type="character" w:customStyle="1" w:styleId="243">
    <w:name w:val="Balloon Text Char"/>
    <w:qFormat/>
    <w:uiPriority w:val="99"/>
    <w:rPr>
      <w:rFonts w:ascii="Times New Roman" w:hAnsi="Times New Roman" w:eastAsia="宋体" w:cs="Times New Roman"/>
      <w:kern w:val="2"/>
      <w:sz w:val="18"/>
      <w:szCs w:val="18"/>
    </w:rPr>
  </w:style>
  <w:style w:type="character" w:customStyle="1" w:styleId="244">
    <w:name w:val="Subtitle Char"/>
    <w:qFormat/>
    <w:uiPriority w:val="0"/>
    <w:rPr>
      <w:rFonts w:ascii="Cambria" w:hAnsi="Cambria" w:eastAsia="楷体" w:cs="Times New Roman"/>
      <w:b/>
      <w:bCs/>
      <w:kern w:val="28"/>
      <w:sz w:val="32"/>
      <w:szCs w:val="32"/>
    </w:rPr>
  </w:style>
  <w:style w:type="character" w:customStyle="1" w:styleId="245">
    <w:name w:val="eng"/>
    <w:qFormat/>
    <w:uiPriority w:val="0"/>
    <w:rPr>
      <w:rFonts w:ascii="Times New Roman" w:hAnsi="Times New Roman" w:eastAsia="宋体" w:cs="Times New Roman"/>
      <w:sz w:val="24"/>
    </w:rPr>
  </w:style>
  <w:style w:type="character" w:customStyle="1" w:styleId="246">
    <w:name w:val="Heading 3 Char"/>
    <w:qFormat/>
    <w:uiPriority w:val="0"/>
    <w:rPr>
      <w:rFonts w:ascii="Times New Roman" w:hAnsi="Times New Roman" w:eastAsia="宋体" w:cs="Times New Roman"/>
      <w:b/>
      <w:bCs/>
      <w:sz w:val="32"/>
      <w:szCs w:val="32"/>
    </w:rPr>
  </w:style>
  <w:style w:type="character" w:customStyle="1" w:styleId="247">
    <w:name w:val="Footer Char"/>
    <w:qFormat/>
    <w:uiPriority w:val="99"/>
    <w:rPr>
      <w:rFonts w:ascii="Times New Roman" w:hAnsi="Times New Roman" w:eastAsia="宋体" w:cs="Times New Roman"/>
      <w:sz w:val="18"/>
    </w:rPr>
  </w:style>
  <w:style w:type="character" w:customStyle="1" w:styleId="248">
    <w:name w:val="Heading 1 Char"/>
    <w:qFormat/>
    <w:uiPriority w:val="0"/>
    <w:rPr>
      <w:rFonts w:ascii="Times New Roman" w:hAnsi="Times New Roman" w:eastAsia="宋体" w:cs="Times New Roman"/>
      <w:b/>
      <w:bCs/>
      <w:kern w:val="44"/>
      <w:sz w:val="44"/>
      <w:szCs w:val="44"/>
    </w:rPr>
  </w:style>
  <w:style w:type="character" w:customStyle="1" w:styleId="249">
    <w:name w:val="10"/>
    <w:qFormat/>
    <w:uiPriority w:val="0"/>
    <w:rPr>
      <w:rFonts w:hint="default" w:ascii="Times New Roman" w:hAnsi="Times New Roman" w:eastAsia="宋体" w:cs="Times New Roman"/>
      <w:sz w:val="24"/>
    </w:rPr>
  </w:style>
  <w:style w:type="character" w:customStyle="1" w:styleId="250">
    <w:name w:val="Header Char"/>
    <w:qFormat/>
    <w:uiPriority w:val="99"/>
    <w:rPr>
      <w:rFonts w:ascii="宋体" w:hAnsi="Times New Roman" w:eastAsia="宋体" w:cs="Times New Roman"/>
      <w:sz w:val="18"/>
    </w:rPr>
  </w:style>
  <w:style w:type="character" w:customStyle="1" w:styleId="251">
    <w:name w:val="No Spacing Char"/>
    <w:qFormat/>
    <w:uiPriority w:val="0"/>
    <w:rPr>
      <w:rFonts w:ascii="Calibri" w:hAnsi="Calibri" w:eastAsia="宋体" w:cs="Times New Roman"/>
      <w:sz w:val="22"/>
      <w:szCs w:val="22"/>
    </w:rPr>
  </w:style>
  <w:style w:type="character" w:customStyle="1" w:styleId="252">
    <w:name w:val="16"/>
    <w:qFormat/>
    <w:uiPriority w:val="0"/>
    <w:rPr>
      <w:rFonts w:hint="default" w:ascii="Times New Roman" w:hAnsi="Times New Roman" w:eastAsia="宋体" w:cs="Times New Roman"/>
      <w:sz w:val="24"/>
    </w:rPr>
  </w:style>
  <w:style w:type="character" w:customStyle="1" w:styleId="253">
    <w:name w:val="论文目录两字 Char"/>
    <w:link w:val="254"/>
    <w:qFormat/>
    <w:uiPriority w:val="0"/>
    <w:rPr>
      <w:rFonts w:ascii="Times New Roman" w:hAnsi="宋体" w:eastAsia="黑体" w:cs="Times New Roman"/>
      <w:b/>
      <w:sz w:val="32"/>
    </w:rPr>
  </w:style>
  <w:style w:type="paragraph" w:customStyle="1" w:styleId="254">
    <w:name w:val="论文目录两字"/>
    <w:basedOn w:val="27"/>
    <w:link w:val="253"/>
    <w:qFormat/>
    <w:uiPriority w:val="0"/>
    <w:pPr>
      <w:widowControl/>
      <w:spacing w:beforeLines="50" w:afterLines="50"/>
      <w:jc w:val="center"/>
    </w:pPr>
    <w:rPr>
      <w:rFonts w:ascii="Times New Roman" w:hAnsi="宋体" w:eastAsia="黑体"/>
      <w:b/>
      <w:kern w:val="0"/>
      <w:sz w:val="32"/>
    </w:rPr>
  </w:style>
  <w:style w:type="character" w:customStyle="1" w:styleId="255">
    <w:name w:val="Heading 2 Char"/>
    <w:qFormat/>
    <w:uiPriority w:val="0"/>
    <w:rPr>
      <w:rFonts w:ascii="Arial" w:hAnsi="Arial" w:eastAsia="黑体" w:cs="Times New Roman"/>
      <w:b/>
      <w:bCs/>
      <w:sz w:val="32"/>
      <w:szCs w:val="32"/>
    </w:rPr>
  </w:style>
  <w:style w:type="character" w:customStyle="1" w:styleId="256">
    <w:name w:val="批注文字 Char2"/>
    <w:qFormat/>
    <w:uiPriority w:val="99"/>
    <w:rPr>
      <w:rFonts w:ascii="Times New Roman" w:hAnsi="Times New Roman" w:eastAsia="宋体" w:cs="Times New Roman"/>
      <w:kern w:val="2"/>
      <w:sz w:val="21"/>
      <w:szCs w:val="22"/>
    </w:rPr>
  </w:style>
  <w:style w:type="character" w:customStyle="1" w:styleId="257">
    <w:name w:val="Text Char"/>
    <w:link w:val="258"/>
    <w:qFormat/>
    <w:uiPriority w:val="0"/>
    <w:rPr>
      <w:rFonts w:ascii="Times New Roman" w:hAnsi="Times New Roman" w:eastAsia="宋体" w:cs="Times New Roman"/>
      <w:sz w:val="24"/>
      <w:lang w:val="zh-CN" w:eastAsia="en-US"/>
    </w:rPr>
  </w:style>
  <w:style w:type="paragraph" w:customStyle="1" w:styleId="258">
    <w:name w:val="Text"/>
    <w:basedOn w:val="1"/>
    <w:link w:val="257"/>
    <w:qFormat/>
    <w:uiPriority w:val="0"/>
    <w:pPr>
      <w:widowControl/>
      <w:overflowPunct w:val="0"/>
      <w:autoSpaceDE w:val="0"/>
      <w:autoSpaceDN w:val="0"/>
      <w:adjustRightInd w:val="0"/>
      <w:spacing w:before="130"/>
      <w:jc w:val="left"/>
      <w:textAlignment w:val="baseline"/>
    </w:pPr>
    <w:rPr>
      <w:kern w:val="0"/>
      <w:sz w:val="24"/>
      <w:szCs w:val="20"/>
      <w:lang w:val="zh-CN" w:eastAsia="en-US"/>
    </w:rPr>
  </w:style>
  <w:style w:type="character" w:customStyle="1" w:styleId="259">
    <w:name w:val="Text Aufzählung Zchn"/>
    <w:link w:val="260"/>
    <w:qFormat/>
    <w:uiPriority w:val="0"/>
    <w:rPr>
      <w:rFonts w:ascii="Arial" w:hAnsi="Arial" w:eastAsia="Times New Roman" w:cs="Times New Roman"/>
      <w:lang w:val="zh-CN" w:eastAsia="de-DE"/>
    </w:rPr>
  </w:style>
  <w:style w:type="paragraph" w:customStyle="1" w:styleId="260">
    <w:name w:val="Text Aufzählung"/>
    <w:basedOn w:val="258"/>
    <w:link w:val="259"/>
    <w:qFormat/>
    <w:uiPriority w:val="0"/>
    <w:pPr>
      <w:suppressAutoHyphens/>
      <w:overflowPunct/>
      <w:autoSpaceDE/>
      <w:autoSpaceDN/>
      <w:adjustRightInd/>
      <w:spacing w:before="0" w:line="264" w:lineRule="auto"/>
      <w:ind w:left="720" w:hanging="360"/>
      <w:textAlignment w:val="auto"/>
    </w:pPr>
    <w:rPr>
      <w:rFonts w:ascii="Arial" w:hAnsi="Arial" w:eastAsia="Times New Roman"/>
      <w:sz w:val="20"/>
      <w:lang w:eastAsia="de-DE"/>
    </w:rPr>
  </w:style>
  <w:style w:type="character" w:customStyle="1" w:styleId="261">
    <w:name w:val="图 Char"/>
    <w:link w:val="262"/>
    <w:qFormat/>
    <w:uiPriority w:val="3"/>
    <w:rPr>
      <w:rFonts w:ascii="Times New Roman" w:hAnsi="Times New Roman" w:eastAsia="仿宋" w:cs="Times New Roman"/>
      <w:kern w:val="2"/>
      <w:sz w:val="24"/>
      <w:szCs w:val="21"/>
    </w:rPr>
  </w:style>
  <w:style w:type="paragraph" w:customStyle="1" w:styleId="262">
    <w:name w:val="图"/>
    <w:basedOn w:val="1"/>
    <w:next w:val="1"/>
    <w:link w:val="261"/>
    <w:qFormat/>
    <w:uiPriority w:val="3"/>
    <w:pPr>
      <w:widowControl/>
      <w:spacing w:line="360" w:lineRule="auto"/>
      <w:jc w:val="center"/>
    </w:pPr>
    <w:rPr>
      <w:rFonts w:eastAsia="仿宋"/>
      <w:sz w:val="24"/>
      <w:szCs w:val="21"/>
    </w:rPr>
  </w:style>
  <w:style w:type="character" w:customStyle="1" w:styleId="263">
    <w:name w:val="文字内容1"/>
    <w:qFormat/>
    <w:uiPriority w:val="0"/>
    <w:rPr>
      <w:rFonts w:hint="eastAsia" w:ascii="宋体" w:hAnsi="宋体" w:eastAsia="宋体" w:cs="Times New Roman"/>
      <w:color w:val="000000"/>
      <w:sz w:val="18"/>
      <w:szCs w:val="18"/>
    </w:rPr>
  </w:style>
  <w:style w:type="character" w:customStyle="1" w:styleId="264">
    <w:name w:val="Char Char7"/>
    <w:qFormat/>
    <w:uiPriority w:val="0"/>
    <w:rPr>
      <w:rFonts w:ascii="Times New Roman" w:hAnsi="Times New Roman" w:eastAsia="宋体" w:cs="Times New Roman"/>
      <w:kern w:val="2"/>
      <w:sz w:val="18"/>
      <w:szCs w:val="18"/>
    </w:rPr>
  </w:style>
  <w:style w:type="character" w:customStyle="1" w:styleId="265">
    <w:name w:val="storycontent"/>
    <w:qFormat/>
    <w:uiPriority w:val="0"/>
    <w:rPr>
      <w:rFonts w:ascii="Times New Roman" w:hAnsi="Times New Roman" w:eastAsia="宋体" w:cs="Times New Roman"/>
    </w:rPr>
  </w:style>
  <w:style w:type="character" w:customStyle="1" w:styleId="266">
    <w:name w:val="建设方案正文 Char Char"/>
    <w:qFormat/>
    <w:uiPriority w:val="0"/>
    <w:rPr>
      <w:rFonts w:ascii="仿宋_GB2312" w:hAnsi="Times New Roman" w:eastAsia="仿宋_GB2312" w:cs="Times New Roman"/>
      <w:color w:val="000000"/>
      <w:kern w:val="2"/>
      <w:sz w:val="24"/>
      <w:lang w:val="en-US" w:eastAsia="zh-CN"/>
    </w:rPr>
  </w:style>
  <w:style w:type="character" w:customStyle="1" w:styleId="267">
    <w:name w:val="！正文 Char"/>
    <w:link w:val="268"/>
    <w:qFormat/>
    <w:uiPriority w:val="0"/>
    <w:rPr>
      <w:rFonts w:ascii="宋体" w:hAnsi="宋体" w:eastAsia="宋体" w:cs="仿宋_GB2312"/>
      <w:color w:val="000000"/>
      <w:sz w:val="21"/>
      <w:szCs w:val="21"/>
    </w:rPr>
  </w:style>
  <w:style w:type="paragraph" w:customStyle="1" w:styleId="268">
    <w:name w:val="！正文"/>
    <w:basedOn w:val="1"/>
    <w:link w:val="267"/>
    <w:qFormat/>
    <w:uiPriority w:val="0"/>
    <w:pPr>
      <w:widowControl/>
      <w:spacing w:beforeLines="20" w:afterLines="20" w:line="360" w:lineRule="auto"/>
      <w:ind w:firstLine="412" w:firstLineChars="196"/>
      <w:jc w:val="left"/>
    </w:pPr>
    <w:rPr>
      <w:rFonts w:ascii="宋体" w:hAnsi="宋体"/>
      <w:color w:val="000000"/>
      <w:kern w:val="0"/>
      <w:szCs w:val="21"/>
    </w:rPr>
  </w:style>
  <w:style w:type="character" w:customStyle="1" w:styleId="269">
    <w:name w:val="自定义正文 Char Char Char"/>
    <w:link w:val="270"/>
    <w:qFormat/>
    <w:uiPriority w:val="0"/>
    <w:rPr>
      <w:rFonts w:ascii="宋体" w:hAnsi="宋体" w:eastAsia="宋体" w:cs="Times New Roman"/>
      <w:kern w:val="2"/>
      <w:sz w:val="24"/>
      <w:szCs w:val="28"/>
    </w:rPr>
  </w:style>
  <w:style w:type="paragraph" w:customStyle="1" w:styleId="270">
    <w:name w:val="自定义正文 Char Char"/>
    <w:basedOn w:val="1"/>
    <w:next w:val="1"/>
    <w:link w:val="269"/>
    <w:qFormat/>
    <w:uiPriority w:val="0"/>
    <w:pPr>
      <w:widowControl/>
      <w:spacing w:line="420" w:lineRule="exact"/>
      <w:ind w:firstLine="480" w:firstLineChars="200"/>
      <w:jc w:val="left"/>
    </w:pPr>
    <w:rPr>
      <w:rFonts w:ascii="宋体" w:hAnsi="宋体"/>
      <w:sz w:val="24"/>
      <w:szCs w:val="28"/>
    </w:rPr>
  </w:style>
  <w:style w:type="character" w:customStyle="1" w:styleId="271">
    <w:name w:val="style131"/>
    <w:qFormat/>
    <w:uiPriority w:val="0"/>
    <w:rPr>
      <w:rFonts w:ascii="Times New Roman" w:hAnsi="Times New Roman" w:eastAsia="宋体" w:cs="Times New Roman"/>
      <w:b/>
      <w:bCs/>
      <w:color w:val="006600"/>
      <w:sz w:val="21"/>
      <w:szCs w:val="21"/>
    </w:rPr>
  </w:style>
  <w:style w:type="character" w:customStyle="1" w:styleId="272">
    <w:name w:val="st1"/>
    <w:qFormat/>
    <w:uiPriority w:val="0"/>
    <w:rPr>
      <w:rFonts w:ascii="Times New Roman" w:hAnsi="Times New Roman" w:eastAsia="宋体" w:cs="Times New Roman"/>
    </w:rPr>
  </w:style>
  <w:style w:type="character" w:customStyle="1" w:styleId="273">
    <w:name w:val="！课程标准2 Char"/>
    <w:link w:val="274"/>
    <w:qFormat/>
    <w:uiPriority w:val="0"/>
    <w:rPr>
      <w:rFonts w:ascii="黑体" w:hAnsi="宋体" w:eastAsia="黑体" w:cs="Times New Roman"/>
      <w:b/>
      <w:kern w:val="2"/>
      <w:sz w:val="32"/>
      <w:szCs w:val="32"/>
      <w:lang w:val="zh-CN"/>
    </w:rPr>
  </w:style>
  <w:style w:type="paragraph" w:customStyle="1" w:styleId="274">
    <w:name w:val="！课程标准2"/>
    <w:basedOn w:val="3"/>
    <w:link w:val="273"/>
    <w:qFormat/>
    <w:uiPriority w:val="0"/>
    <w:pPr>
      <w:keepLines/>
      <w:widowControl/>
      <w:adjustRightInd/>
      <w:snapToGrid/>
      <w:spacing w:beforeLines="50" w:afterLines="50"/>
      <w:textAlignment w:val="auto"/>
    </w:pPr>
    <w:rPr>
      <w:rFonts w:ascii="黑体" w:hAnsi="宋体" w:eastAsia="黑体"/>
      <w:kern w:val="2"/>
      <w:sz w:val="32"/>
      <w:szCs w:val="32"/>
      <w:lang w:val="zh-CN"/>
    </w:rPr>
  </w:style>
  <w:style w:type="character" w:customStyle="1" w:styleId="275">
    <w:name w:val="脚注文本 Char1"/>
    <w:qFormat/>
    <w:uiPriority w:val="0"/>
    <w:rPr>
      <w:rFonts w:ascii="Times New Roman" w:hAnsi="Times New Roman" w:eastAsia="宋体" w:cs="Times New Roman"/>
      <w:kern w:val="2"/>
      <w:sz w:val="18"/>
      <w:szCs w:val="18"/>
    </w:rPr>
  </w:style>
  <w:style w:type="character" w:customStyle="1" w:styleId="276">
    <w:name w:val="一级标题 Char"/>
    <w:link w:val="277"/>
    <w:qFormat/>
    <w:uiPriority w:val="0"/>
    <w:rPr>
      <w:rFonts w:ascii="Cambria" w:hAnsi="Cambria" w:eastAsia="宋体" w:cs="Times New Roman"/>
      <w:b/>
      <w:bCs/>
      <w:kern w:val="2"/>
      <w:sz w:val="32"/>
      <w:szCs w:val="32"/>
      <w:lang w:val="zh-CN"/>
    </w:rPr>
  </w:style>
  <w:style w:type="paragraph" w:customStyle="1" w:styleId="277">
    <w:name w:val="一级标题"/>
    <w:basedOn w:val="49"/>
    <w:link w:val="276"/>
    <w:qFormat/>
    <w:uiPriority w:val="0"/>
    <w:pPr>
      <w:overflowPunct/>
      <w:autoSpaceDE/>
      <w:autoSpaceDN/>
      <w:adjustRightInd/>
      <w:spacing w:before="240" w:after="60" w:line="240" w:lineRule="auto"/>
      <w:textAlignment w:val="auto"/>
      <w:outlineLvl w:val="0"/>
    </w:pPr>
    <w:rPr>
      <w:rFonts w:ascii="Cambria" w:hAnsi="Cambria" w:eastAsia="宋体"/>
      <w:bCs/>
      <w:kern w:val="2"/>
      <w:sz w:val="32"/>
      <w:szCs w:val="32"/>
      <w:lang w:val="zh-CN"/>
    </w:rPr>
  </w:style>
  <w:style w:type="character" w:customStyle="1" w:styleId="278">
    <w:name w:val="二级标题 Char"/>
    <w:link w:val="279"/>
    <w:qFormat/>
    <w:uiPriority w:val="0"/>
    <w:rPr>
      <w:rFonts w:ascii="黑体" w:hAnsi="黑体" w:eastAsia="黑体" w:cs="Times New Roman"/>
      <w:bCs/>
      <w:color w:val="000000"/>
      <w:kern w:val="2"/>
      <w:sz w:val="24"/>
      <w:szCs w:val="24"/>
      <w:lang w:val="zh-CN"/>
    </w:rPr>
  </w:style>
  <w:style w:type="paragraph" w:customStyle="1" w:styleId="279">
    <w:name w:val="二级标题"/>
    <w:basedOn w:val="274"/>
    <w:link w:val="278"/>
    <w:qFormat/>
    <w:uiPriority w:val="0"/>
    <w:pPr>
      <w:jc w:val="left"/>
    </w:pPr>
    <w:rPr>
      <w:rFonts w:hAnsi="黑体"/>
      <w:b w:val="0"/>
      <w:bCs/>
      <w:color w:val="000000"/>
      <w:sz w:val="24"/>
      <w:szCs w:val="24"/>
    </w:rPr>
  </w:style>
  <w:style w:type="character" w:customStyle="1" w:styleId="280">
    <w:name w:val="附录 Char"/>
    <w:link w:val="281"/>
    <w:qFormat/>
    <w:uiPriority w:val="0"/>
    <w:rPr>
      <w:rFonts w:ascii="Cambria" w:hAnsi="Cambria" w:eastAsia="宋体" w:cs="Times New Roman"/>
      <w:b/>
      <w:bCs/>
      <w:kern w:val="2"/>
      <w:sz w:val="32"/>
      <w:szCs w:val="32"/>
      <w:lang w:val="zh-CN"/>
    </w:rPr>
  </w:style>
  <w:style w:type="paragraph" w:customStyle="1" w:styleId="281">
    <w:name w:val="附录"/>
    <w:basedOn w:val="277"/>
    <w:link w:val="280"/>
    <w:qFormat/>
    <w:uiPriority w:val="0"/>
    <w:pPr>
      <w:jc w:val="both"/>
    </w:pPr>
  </w:style>
  <w:style w:type="character" w:customStyle="1" w:styleId="282">
    <w:name w:val="课程标准 Char"/>
    <w:link w:val="283"/>
    <w:qFormat/>
    <w:uiPriority w:val="0"/>
    <w:rPr>
      <w:rFonts w:ascii="黑体" w:hAnsi="黑体" w:eastAsia="黑体" w:cs="Times New Roman"/>
      <w:b/>
      <w:bCs/>
      <w:color w:val="000000"/>
      <w:kern w:val="2"/>
      <w:sz w:val="32"/>
      <w:szCs w:val="32"/>
      <w:lang w:val="zh-CN"/>
    </w:rPr>
  </w:style>
  <w:style w:type="paragraph" w:customStyle="1" w:styleId="283">
    <w:name w:val="课程标准"/>
    <w:basedOn w:val="279"/>
    <w:link w:val="282"/>
    <w:qFormat/>
    <w:uiPriority w:val="0"/>
    <w:pPr>
      <w:jc w:val="center"/>
    </w:pPr>
    <w:rPr>
      <w:sz w:val="32"/>
      <w:szCs w:val="32"/>
    </w:rPr>
  </w:style>
  <w:style w:type="character" w:customStyle="1" w:styleId="284">
    <w:name w:val="trans"/>
    <w:qFormat/>
    <w:uiPriority w:val="99"/>
    <w:rPr>
      <w:rFonts w:ascii="Times New Roman" w:hAnsi="Times New Roman" w:eastAsia="宋体" w:cs="Times New Roman"/>
    </w:rPr>
  </w:style>
  <w:style w:type="character" w:customStyle="1" w:styleId="285">
    <w:name w:val="inner_title1"/>
    <w:qFormat/>
    <w:uiPriority w:val="99"/>
    <w:rPr>
      <w:rFonts w:hint="default" w:ascii="Arial" w:hAnsi="Arial" w:eastAsia="宋体" w:cs="Arial"/>
      <w:b/>
      <w:bCs/>
      <w:sz w:val="23"/>
      <w:szCs w:val="23"/>
      <w:rtl/>
    </w:rPr>
  </w:style>
  <w:style w:type="character" w:customStyle="1" w:styleId="286">
    <w:name w:val="标题8 Char"/>
    <w:link w:val="287"/>
    <w:qFormat/>
    <w:uiPriority w:val="0"/>
    <w:rPr>
      <w:rFonts w:ascii="Times New Roman" w:hAnsi="Times New Roman" w:eastAsia="仿宋" w:cs="Times New Roman"/>
      <w:sz w:val="24"/>
      <w:szCs w:val="24"/>
      <w:lang w:val="zh-CN"/>
    </w:rPr>
  </w:style>
  <w:style w:type="paragraph" w:customStyle="1" w:styleId="287">
    <w:name w:val="标题8"/>
    <w:basedOn w:val="1"/>
    <w:next w:val="1"/>
    <w:link w:val="286"/>
    <w:qFormat/>
    <w:uiPriority w:val="0"/>
    <w:pPr>
      <w:widowControl/>
      <w:spacing w:line="360" w:lineRule="auto"/>
      <w:jc w:val="left"/>
    </w:pPr>
    <w:rPr>
      <w:rFonts w:eastAsia="仿宋"/>
      <w:kern w:val="0"/>
      <w:sz w:val="24"/>
      <w:lang w:val="zh-CN"/>
    </w:rPr>
  </w:style>
  <w:style w:type="character" w:customStyle="1" w:styleId="288">
    <w:name w:val="标题 2 Char1"/>
    <w:qFormat/>
    <w:uiPriority w:val="0"/>
    <w:rPr>
      <w:rFonts w:ascii="Arial" w:hAnsi="Arial" w:eastAsia="仿宋" w:cs="Times New Roman"/>
      <w:b/>
      <w:kern w:val="2"/>
      <w:sz w:val="30"/>
      <w:szCs w:val="22"/>
    </w:rPr>
  </w:style>
  <w:style w:type="character" w:customStyle="1" w:styleId="289">
    <w:name w:val="表格 Char"/>
    <w:link w:val="290"/>
    <w:qFormat/>
    <w:uiPriority w:val="0"/>
    <w:rPr>
      <w:rFonts w:ascii="Times New Roman" w:hAnsi="Times New Roman" w:eastAsia="宋体" w:cs="Times New Roman"/>
      <w:kern w:val="2"/>
      <w:sz w:val="21"/>
      <w:szCs w:val="24"/>
    </w:rPr>
  </w:style>
  <w:style w:type="paragraph" w:customStyle="1" w:styleId="290">
    <w:name w:val="表格"/>
    <w:basedOn w:val="159"/>
    <w:link w:val="289"/>
    <w:qFormat/>
    <w:uiPriority w:val="0"/>
    <w:pPr>
      <w:widowControl w:val="0"/>
      <w:jc w:val="both"/>
    </w:pPr>
    <w:rPr>
      <w:rFonts w:ascii="Times New Roman" w:hAnsi="Times New Roman" w:eastAsia="宋体"/>
      <w:kern w:val="2"/>
      <w:sz w:val="21"/>
      <w:szCs w:val="24"/>
    </w:rPr>
  </w:style>
  <w:style w:type="character" w:customStyle="1" w:styleId="291">
    <w:name w:val="已访问的超链接1"/>
    <w:qFormat/>
    <w:uiPriority w:val="99"/>
    <w:rPr>
      <w:rFonts w:ascii="Times New Roman" w:hAnsi="Times New Roman" w:eastAsia="宋体" w:cs="Times New Roman"/>
      <w:color w:val="800080"/>
      <w:u w:val="single"/>
    </w:rPr>
  </w:style>
  <w:style w:type="character" w:customStyle="1" w:styleId="292">
    <w:name w:val="招标正文 Char"/>
    <w:qFormat/>
    <w:uiPriority w:val="0"/>
    <w:rPr>
      <w:rFonts w:ascii="仿宋" w:hAnsi="仿宋" w:eastAsia="仿宋" w:cs="仿宋"/>
      <w:bCs/>
      <w:color w:val="000000"/>
      <w:sz w:val="24"/>
    </w:rPr>
  </w:style>
  <w:style w:type="character" w:customStyle="1" w:styleId="293">
    <w:name w:val="内容"/>
    <w:qFormat/>
    <w:uiPriority w:val="0"/>
    <w:rPr>
      <w:rFonts w:ascii="Times New Roman" w:hAnsi="Times New Roman" w:eastAsia="宋体" w:cs="Times New Roman"/>
      <w:sz w:val="24"/>
    </w:rPr>
  </w:style>
  <w:style w:type="character" w:customStyle="1" w:styleId="294">
    <w:name w:val="书籍标题1"/>
    <w:qFormat/>
    <w:uiPriority w:val="33"/>
    <w:rPr>
      <w:rFonts w:ascii="Times New Roman" w:hAnsi="Times New Roman" w:eastAsia="宋体" w:cs="Times New Roman"/>
      <w:b/>
      <w:bCs/>
      <w:smallCaps/>
      <w:spacing w:val="5"/>
    </w:rPr>
  </w:style>
  <w:style w:type="character" w:customStyle="1" w:styleId="295">
    <w:name w:val="图号 Char"/>
    <w:link w:val="296"/>
    <w:qFormat/>
    <w:uiPriority w:val="0"/>
    <w:rPr>
      <w:rFonts w:ascii="仿宋" w:hAnsi="仿宋" w:eastAsia="宋体" w:cs="Times New Roman"/>
      <w:color w:val="000000"/>
      <w:kern w:val="2"/>
      <w:sz w:val="21"/>
      <w:szCs w:val="24"/>
    </w:rPr>
  </w:style>
  <w:style w:type="paragraph" w:customStyle="1" w:styleId="296">
    <w:name w:val="图号"/>
    <w:basedOn w:val="1"/>
    <w:link w:val="295"/>
    <w:qFormat/>
    <w:uiPriority w:val="0"/>
    <w:pPr>
      <w:widowControl/>
      <w:spacing w:line="440" w:lineRule="exact"/>
      <w:jc w:val="center"/>
    </w:pPr>
    <w:rPr>
      <w:rFonts w:ascii="仿宋" w:hAnsi="仿宋"/>
      <w:color w:val="000000"/>
    </w:rPr>
  </w:style>
  <w:style w:type="character" w:customStyle="1" w:styleId="297">
    <w:name w:val="fontstyle01"/>
    <w:qFormat/>
    <w:uiPriority w:val="0"/>
    <w:rPr>
      <w:rFonts w:hint="eastAsia" w:ascii="宋体" w:hAnsi="宋体" w:eastAsia="宋体" w:cs="Times New Roman"/>
      <w:color w:val="000000"/>
      <w:sz w:val="22"/>
      <w:szCs w:val="22"/>
    </w:rPr>
  </w:style>
  <w:style w:type="character" w:customStyle="1" w:styleId="298">
    <w:name w:val="bjh-p"/>
    <w:qFormat/>
    <w:uiPriority w:val="0"/>
    <w:rPr>
      <w:rFonts w:ascii="Times New Roman" w:hAnsi="Times New Roman" w:eastAsia="宋体" w:cs="Times New Roman"/>
    </w:rPr>
  </w:style>
  <w:style w:type="character" w:customStyle="1" w:styleId="299">
    <w:name w:val="主标题 Char"/>
    <w:link w:val="300"/>
    <w:qFormat/>
    <w:uiPriority w:val="0"/>
    <w:rPr>
      <w:rFonts w:ascii="宋体" w:hAnsi="宋体" w:eastAsia="仿宋" w:cs="Times New Roman"/>
      <w:b/>
      <w:kern w:val="2"/>
      <w:sz w:val="44"/>
      <w:szCs w:val="44"/>
    </w:rPr>
  </w:style>
  <w:style w:type="paragraph" w:customStyle="1" w:styleId="300">
    <w:name w:val="主标题"/>
    <w:basedOn w:val="1"/>
    <w:link w:val="299"/>
    <w:qFormat/>
    <w:uiPriority w:val="0"/>
    <w:pPr>
      <w:snapToGrid w:val="0"/>
      <w:spacing w:beforeLines="100" w:after="200"/>
      <w:jc w:val="center"/>
    </w:pPr>
    <w:rPr>
      <w:rFonts w:ascii="宋体" w:hAnsi="宋体" w:eastAsia="仿宋"/>
      <w:b/>
      <w:sz w:val="44"/>
      <w:szCs w:val="44"/>
    </w:rPr>
  </w:style>
  <w:style w:type="character" w:customStyle="1" w:styleId="301">
    <w:name w:val="书籍标题11"/>
    <w:qFormat/>
    <w:uiPriority w:val="33"/>
    <w:rPr>
      <w:rFonts w:ascii="Times New Roman" w:hAnsi="Times New Roman" w:eastAsia="宋体" w:cs="Times New Roman"/>
      <w:b/>
      <w:bCs/>
      <w:smallCaps/>
      <w:spacing w:val="5"/>
    </w:rPr>
  </w:style>
  <w:style w:type="character" w:customStyle="1" w:styleId="302">
    <w:name w:val="正文文本 2 Char1"/>
    <w:qFormat/>
    <w:uiPriority w:val="99"/>
    <w:rPr>
      <w:rFonts w:ascii="Times New Roman" w:hAnsi="Times New Roman" w:eastAsia="宋体" w:cs="Times New Roman"/>
      <w:kern w:val="2"/>
      <w:sz w:val="24"/>
      <w:szCs w:val="22"/>
    </w:rPr>
  </w:style>
  <w:style w:type="character" w:customStyle="1" w:styleId="303">
    <w:name w:val="标题 4 Char1"/>
    <w:qFormat/>
    <w:uiPriority w:val="0"/>
    <w:rPr>
      <w:rFonts w:hint="default" w:ascii="Cambria" w:hAnsi="Cambria" w:eastAsia="宋体" w:cs="Cambria"/>
      <w:b/>
      <w:kern w:val="2"/>
      <w:sz w:val="28"/>
      <w:szCs w:val="28"/>
      <w:lang w:val="en-US" w:eastAsia="zh-CN"/>
    </w:rPr>
  </w:style>
  <w:style w:type="character" w:customStyle="1" w:styleId="304">
    <w:name w:val="明显引用 Char1"/>
    <w:link w:val="305"/>
    <w:qFormat/>
    <w:uiPriority w:val="30"/>
    <w:rPr>
      <w:rFonts w:ascii="Calibri" w:hAnsi="Calibri" w:eastAsia="宋体" w:cs="Times New Roman"/>
      <w:b/>
      <w:bCs/>
      <w:i/>
      <w:iCs/>
      <w:sz w:val="24"/>
      <w:szCs w:val="22"/>
    </w:rPr>
  </w:style>
  <w:style w:type="paragraph" w:customStyle="1" w:styleId="305">
    <w:name w:val="明显引用1"/>
    <w:basedOn w:val="1"/>
    <w:next w:val="1"/>
    <w:link w:val="304"/>
    <w:qFormat/>
    <w:uiPriority w:val="30"/>
    <w:pPr>
      <w:pBdr>
        <w:bottom w:val="single" w:color="auto" w:sz="4" w:space="1"/>
      </w:pBdr>
      <w:snapToGrid w:val="0"/>
      <w:spacing w:after="280" w:line="360" w:lineRule="auto"/>
      <w:ind w:left="1008" w:right="1152"/>
    </w:pPr>
    <w:rPr>
      <w:rFonts w:ascii="Calibri" w:hAnsi="Calibri"/>
      <w:b/>
      <w:bCs/>
      <w:i/>
      <w:iCs/>
      <w:kern w:val="0"/>
      <w:sz w:val="24"/>
      <w:szCs w:val="22"/>
    </w:rPr>
  </w:style>
  <w:style w:type="character" w:customStyle="1" w:styleId="306">
    <w:name w:val="图片样式 Char"/>
    <w:link w:val="307"/>
    <w:qFormat/>
    <w:uiPriority w:val="0"/>
    <w:rPr>
      <w:rFonts w:ascii="Times New Roman" w:hAnsi="Times New Roman" w:eastAsia="宋体" w:cs="仿宋"/>
      <w:bCs/>
      <w:color w:val="000000"/>
      <w:kern w:val="2"/>
      <w:sz w:val="21"/>
    </w:rPr>
  </w:style>
  <w:style w:type="paragraph" w:customStyle="1" w:styleId="307">
    <w:name w:val="图片样式"/>
    <w:basedOn w:val="308"/>
    <w:link w:val="306"/>
    <w:qFormat/>
    <w:uiPriority w:val="0"/>
    <w:pPr>
      <w:widowControl w:val="0"/>
      <w:tabs>
        <w:tab w:val="left" w:pos="480"/>
        <w:tab w:val="left" w:pos="540"/>
        <w:tab w:val="left" w:pos="720"/>
      </w:tabs>
      <w:snapToGrid w:val="0"/>
      <w:spacing w:beforeLines="0" w:after="40" w:line="440" w:lineRule="exact"/>
    </w:pPr>
    <w:rPr>
      <w:rFonts w:ascii="Times New Roman" w:hAnsi="Times New Roman" w:cs="Times New Roman"/>
      <w:bCs/>
    </w:rPr>
  </w:style>
  <w:style w:type="paragraph" w:customStyle="1" w:styleId="308">
    <w:name w:val="内容正文"/>
    <w:basedOn w:val="1"/>
    <w:qFormat/>
    <w:uiPriority w:val="0"/>
    <w:pPr>
      <w:widowControl/>
      <w:tabs>
        <w:tab w:val="left" w:pos="480"/>
        <w:tab w:val="left" w:pos="540"/>
        <w:tab w:val="left" w:pos="720"/>
      </w:tabs>
      <w:spacing w:beforeLines="50"/>
      <w:ind w:firstLine="420"/>
      <w:jc w:val="left"/>
    </w:pPr>
    <w:rPr>
      <w:rFonts w:ascii="宋体" w:hAnsi="宋体" w:cs="宋体"/>
      <w:color w:val="000000"/>
      <w:szCs w:val="20"/>
    </w:rPr>
  </w:style>
  <w:style w:type="character" w:customStyle="1" w:styleId="309">
    <w:name w:val="不明显强调11"/>
    <w:qFormat/>
    <w:uiPriority w:val="19"/>
    <w:rPr>
      <w:rFonts w:ascii="Times New Roman" w:hAnsi="Times New Roman" w:eastAsia="宋体" w:cs="Times New Roman"/>
      <w:i/>
      <w:iCs/>
    </w:rPr>
  </w:style>
  <w:style w:type="character" w:customStyle="1" w:styleId="310">
    <w:name w:val="正文文本 3 Char2"/>
    <w:qFormat/>
    <w:uiPriority w:val="0"/>
    <w:rPr>
      <w:rFonts w:ascii="Calibri" w:hAnsi="Calibri" w:eastAsia="宋体" w:cs="Times New Roman"/>
      <w:kern w:val="2"/>
      <w:sz w:val="16"/>
      <w:szCs w:val="16"/>
    </w:rPr>
  </w:style>
  <w:style w:type="character" w:customStyle="1" w:styleId="311">
    <w:name w:val="明显参考1"/>
    <w:qFormat/>
    <w:uiPriority w:val="32"/>
    <w:rPr>
      <w:rFonts w:ascii="Times New Roman" w:hAnsi="Times New Roman" w:eastAsia="宋体" w:cs="Times New Roman"/>
      <w:smallCaps/>
      <w:spacing w:val="5"/>
      <w:u w:val="single"/>
    </w:rPr>
  </w:style>
  <w:style w:type="character" w:customStyle="1" w:styleId="312">
    <w:name w:val="访问过的超链接1"/>
    <w:qFormat/>
    <w:uiPriority w:val="99"/>
    <w:rPr>
      <w:rFonts w:ascii="Times New Roman" w:hAnsi="Times New Roman" w:eastAsia="宋体" w:cs="Times New Roman"/>
      <w:color w:val="800080"/>
      <w:sz w:val="24"/>
      <w:u w:val="single"/>
    </w:rPr>
  </w:style>
  <w:style w:type="character" w:customStyle="1" w:styleId="313">
    <w:name w:val="HTML 预设格式 Char2"/>
    <w:qFormat/>
    <w:uiPriority w:val="0"/>
    <w:rPr>
      <w:rFonts w:ascii="Courier New" w:hAnsi="Courier New" w:eastAsia="宋体" w:cs="Courier New"/>
      <w:kern w:val="2"/>
    </w:rPr>
  </w:style>
  <w:style w:type="character" w:customStyle="1" w:styleId="314">
    <w:name w:val="纯文本 Char3"/>
    <w:qFormat/>
    <w:uiPriority w:val="0"/>
    <w:rPr>
      <w:rFonts w:ascii="宋体" w:hAnsi="Courier New" w:eastAsia="宋体" w:cs="Courier New"/>
      <w:kern w:val="2"/>
      <w:sz w:val="21"/>
      <w:szCs w:val="21"/>
    </w:rPr>
  </w:style>
  <w:style w:type="character" w:customStyle="1" w:styleId="315">
    <w:name w:val="明显强调2"/>
    <w:qFormat/>
    <w:uiPriority w:val="21"/>
    <w:rPr>
      <w:rFonts w:ascii="Times New Roman" w:hAnsi="Times New Roman" w:eastAsia="宋体" w:cs="Times New Roman"/>
      <w:b/>
      <w:bCs/>
    </w:rPr>
  </w:style>
  <w:style w:type="character" w:customStyle="1" w:styleId="316">
    <w:name w:val="不明显参考1"/>
    <w:qFormat/>
    <w:uiPriority w:val="31"/>
    <w:rPr>
      <w:rFonts w:ascii="Times New Roman" w:hAnsi="Times New Roman" w:eastAsia="宋体" w:cs="Times New Roman"/>
      <w:smallCaps/>
    </w:rPr>
  </w:style>
  <w:style w:type="character" w:customStyle="1" w:styleId="317">
    <w:name w:val="批注框文本 Char1"/>
    <w:qFormat/>
    <w:uiPriority w:val="99"/>
    <w:rPr>
      <w:rFonts w:ascii="仿宋" w:hAnsi="仿宋" w:eastAsia="仿宋" w:cs="Times New Roman"/>
      <w:kern w:val="2"/>
      <w:sz w:val="18"/>
      <w:szCs w:val="18"/>
    </w:rPr>
  </w:style>
  <w:style w:type="character" w:customStyle="1" w:styleId="318">
    <w:name w:val="正文文本 3 Char3"/>
    <w:qFormat/>
    <w:uiPriority w:val="99"/>
    <w:rPr>
      <w:rFonts w:ascii="Times New Roman" w:hAnsi="Times New Roman" w:eastAsia="宋体" w:cs="Times New Roman"/>
      <w:sz w:val="16"/>
      <w:szCs w:val="16"/>
    </w:rPr>
  </w:style>
  <w:style w:type="character" w:customStyle="1" w:styleId="319">
    <w:name w:val="引用 Char1"/>
    <w:link w:val="320"/>
    <w:qFormat/>
    <w:uiPriority w:val="99"/>
    <w:rPr>
      <w:rFonts w:ascii="Calibri" w:hAnsi="Calibri" w:eastAsia="宋体" w:cs="Times New Roman"/>
      <w:i/>
      <w:iCs/>
      <w:sz w:val="24"/>
      <w:szCs w:val="22"/>
    </w:rPr>
  </w:style>
  <w:style w:type="paragraph" w:customStyle="1" w:styleId="320">
    <w:name w:val="引用1"/>
    <w:basedOn w:val="1"/>
    <w:next w:val="1"/>
    <w:link w:val="319"/>
    <w:qFormat/>
    <w:uiPriority w:val="99"/>
    <w:pPr>
      <w:snapToGrid w:val="0"/>
      <w:spacing w:line="360" w:lineRule="auto"/>
      <w:ind w:left="360" w:right="360"/>
      <w:jc w:val="left"/>
    </w:pPr>
    <w:rPr>
      <w:rFonts w:ascii="Calibri" w:hAnsi="Calibri"/>
      <w:i/>
      <w:iCs/>
      <w:kern w:val="0"/>
      <w:sz w:val="24"/>
      <w:szCs w:val="22"/>
    </w:rPr>
  </w:style>
  <w:style w:type="character" w:customStyle="1" w:styleId="321">
    <w:name w:val="图片居中 Char"/>
    <w:link w:val="322"/>
    <w:qFormat/>
    <w:uiPriority w:val="0"/>
    <w:rPr>
      <w:rFonts w:ascii="Calibri" w:hAnsi="Calibri" w:eastAsia="宋体" w:cs="Times New Roman"/>
      <w:sz w:val="24"/>
      <w:szCs w:val="22"/>
    </w:rPr>
  </w:style>
  <w:style w:type="paragraph" w:customStyle="1" w:styleId="322">
    <w:name w:val="图片居中"/>
    <w:basedOn w:val="1"/>
    <w:link w:val="321"/>
    <w:qFormat/>
    <w:uiPriority w:val="0"/>
    <w:pPr>
      <w:snapToGrid w:val="0"/>
      <w:spacing w:after="200" w:line="360" w:lineRule="auto"/>
      <w:jc w:val="center"/>
    </w:pPr>
    <w:rPr>
      <w:rFonts w:ascii="Calibri" w:hAnsi="Calibri"/>
      <w:kern w:val="0"/>
      <w:sz w:val="24"/>
      <w:szCs w:val="22"/>
    </w:rPr>
  </w:style>
  <w:style w:type="character" w:customStyle="1" w:styleId="323">
    <w:name w:val="正文文本 3 Char4"/>
    <w:qFormat/>
    <w:uiPriority w:val="99"/>
    <w:rPr>
      <w:rFonts w:ascii="仿宋" w:hAnsi="仿宋" w:eastAsia="仿宋" w:cs="仿宋"/>
      <w:bCs/>
      <w:color w:val="000000"/>
      <w:sz w:val="16"/>
      <w:szCs w:val="16"/>
    </w:rPr>
  </w:style>
  <w:style w:type="character" w:customStyle="1" w:styleId="324">
    <w:name w:val="HTML 预设格式 Char4"/>
    <w:qFormat/>
    <w:uiPriority w:val="0"/>
    <w:rPr>
      <w:rFonts w:ascii="Courier New" w:hAnsi="Courier New" w:eastAsia="仿宋" w:cs="Courier New"/>
      <w:bCs/>
      <w:color w:val="000000"/>
    </w:rPr>
  </w:style>
  <w:style w:type="character" w:customStyle="1" w:styleId="325">
    <w:name w:val="正文文本 2 Char2"/>
    <w:qFormat/>
    <w:uiPriority w:val="99"/>
    <w:rPr>
      <w:rFonts w:ascii="仿宋" w:hAnsi="仿宋" w:eastAsia="仿宋" w:cs="仿宋"/>
      <w:bCs/>
      <w:color w:val="000000"/>
      <w:sz w:val="24"/>
      <w:szCs w:val="24"/>
    </w:rPr>
  </w:style>
  <w:style w:type="character" w:customStyle="1" w:styleId="326">
    <w:name w:val="副标题 Char4"/>
    <w:qFormat/>
    <w:uiPriority w:val="99"/>
    <w:rPr>
      <w:rFonts w:ascii="Cambria" w:hAnsi="Cambria" w:eastAsia="宋体" w:cs="Times New Roman"/>
      <w:b/>
      <w:bCs/>
      <w:color w:val="000000"/>
      <w:kern w:val="28"/>
      <w:sz w:val="32"/>
      <w:szCs w:val="32"/>
    </w:rPr>
  </w:style>
  <w:style w:type="character" w:customStyle="1" w:styleId="327">
    <w:name w:val="批注文字 Char4"/>
    <w:qFormat/>
    <w:uiPriority w:val="0"/>
    <w:rPr>
      <w:rFonts w:ascii="仿宋" w:hAnsi="仿宋" w:eastAsia="仿宋" w:cs="仿宋"/>
      <w:bCs/>
      <w:color w:val="000000"/>
      <w:sz w:val="24"/>
      <w:szCs w:val="24"/>
    </w:rPr>
  </w:style>
  <w:style w:type="character" w:customStyle="1" w:styleId="328">
    <w:name w:val="xieceproduwz1"/>
    <w:qFormat/>
    <w:uiPriority w:val="0"/>
    <w:rPr>
      <w:rFonts w:hint="eastAsia" w:ascii="微软雅黑" w:hAnsi="微软雅黑" w:eastAsia="微软雅黑" w:cs="Times New Roman"/>
      <w:sz w:val="21"/>
      <w:szCs w:val="21"/>
    </w:rPr>
  </w:style>
  <w:style w:type="character" w:customStyle="1" w:styleId="329">
    <w:name w:val="标题四 Char"/>
    <w:link w:val="330"/>
    <w:qFormat/>
    <w:uiPriority w:val="0"/>
    <w:rPr>
      <w:rFonts w:ascii="Times New Roman" w:hAnsi="Times New Roman" w:eastAsia="宋体" w:cs="Times New Roman"/>
      <w:b/>
      <w:bCs/>
      <w:kern w:val="2"/>
      <w:sz w:val="28"/>
      <w:szCs w:val="28"/>
    </w:rPr>
  </w:style>
  <w:style w:type="paragraph" w:customStyle="1" w:styleId="330">
    <w:name w:val="标题四"/>
    <w:basedOn w:val="1"/>
    <w:link w:val="329"/>
    <w:qFormat/>
    <w:uiPriority w:val="0"/>
    <w:pPr>
      <w:keepNext/>
      <w:keepLines/>
      <w:spacing w:beforeLines="50" w:line="300" w:lineRule="auto"/>
      <w:contextualSpacing/>
      <w:outlineLvl w:val="3"/>
    </w:pPr>
    <w:rPr>
      <w:b/>
      <w:bCs/>
      <w:sz w:val="28"/>
      <w:szCs w:val="28"/>
    </w:rPr>
  </w:style>
  <w:style w:type="character" w:customStyle="1" w:styleId="331">
    <w:name w:val="tisl-unit-value"/>
    <w:qFormat/>
    <w:uiPriority w:val="0"/>
    <w:rPr>
      <w:rFonts w:ascii="Times New Roman" w:hAnsi="Times New Roman" w:eastAsia="宋体" w:cs="Times New Roman"/>
    </w:rPr>
  </w:style>
  <w:style w:type="character" w:customStyle="1" w:styleId="332">
    <w:name w:val="tisl-unit-unit"/>
    <w:qFormat/>
    <w:uiPriority w:val="0"/>
    <w:rPr>
      <w:rFonts w:ascii="Times New Roman" w:hAnsi="Times New Roman" w:eastAsia="宋体" w:cs="Times New Roman"/>
    </w:rPr>
  </w:style>
  <w:style w:type="character" w:customStyle="1" w:styleId="333">
    <w:name w:val="tisl-fraction"/>
    <w:qFormat/>
    <w:uiPriority w:val="0"/>
    <w:rPr>
      <w:rFonts w:ascii="Times New Roman" w:hAnsi="Times New Roman" w:eastAsia="宋体" w:cs="Times New Roman"/>
    </w:rPr>
  </w:style>
  <w:style w:type="character" w:customStyle="1" w:styleId="334">
    <w:name w:val="tisl-fraction-seperator"/>
    <w:qFormat/>
    <w:uiPriority w:val="0"/>
    <w:rPr>
      <w:rFonts w:ascii="Times New Roman" w:hAnsi="Times New Roman" w:eastAsia="宋体" w:cs="Times New Roman"/>
    </w:rPr>
  </w:style>
  <w:style w:type="character" w:customStyle="1" w:styleId="335">
    <w:name w:val="0-图表编号样式 Char"/>
    <w:link w:val="336"/>
    <w:qFormat/>
    <w:uiPriority w:val="0"/>
    <w:rPr>
      <w:rFonts w:ascii="Times New Roman" w:hAnsi="Times New Roman" w:eastAsia="宋体" w:cs="Times New Roman"/>
      <w:kern w:val="2"/>
      <w:sz w:val="21"/>
      <w:szCs w:val="24"/>
    </w:rPr>
  </w:style>
  <w:style w:type="paragraph" w:customStyle="1" w:styleId="336">
    <w:name w:val="0-图表编号样式"/>
    <w:basedOn w:val="1"/>
    <w:link w:val="335"/>
    <w:qFormat/>
    <w:uiPriority w:val="0"/>
    <w:pPr>
      <w:keepNext/>
      <w:widowControl/>
      <w:spacing w:line="360" w:lineRule="exact"/>
      <w:jc w:val="center"/>
    </w:pPr>
  </w:style>
  <w:style w:type="character" w:customStyle="1" w:styleId="337">
    <w:name w:val="0-页眉 Char"/>
    <w:link w:val="338"/>
    <w:qFormat/>
    <w:uiPriority w:val="0"/>
    <w:rPr>
      <w:rFonts w:ascii="Times New Roman" w:hAnsi="Times New Roman" w:eastAsia="宋体" w:cs="Times New Roman"/>
      <w:i/>
      <w:kern w:val="2"/>
      <w:sz w:val="18"/>
      <w:szCs w:val="18"/>
      <w:lang w:val="zh-CN"/>
    </w:rPr>
  </w:style>
  <w:style w:type="paragraph" w:customStyle="1" w:styleId="338">
    <w:name w:val="0-页眉"/>
    <w:basedOn w:val="33"/>
    <w:link w:val="337"/>
    <w:qFormat/>
    <w:uiPriority w:val="0"/>
    <w:pPr>
      <w:widowControl/>
      <w:adjustRightInd/>
      <w:snapToGrid w:val="0"/>
      <w:spacing w:line="360" w:lineRule="auto"/>
    </w:pPr>
    <w:rPr>
      <w:i/>
      <w:kern w:val="2"/>
      <w:szCs w:val="18"/>
      <w:lang w:val="zh-CN"/>
    </w:rPr>
  </w:style>
  <w:style w:type="character" w:customStyle="1" w:styleId="339">
    <w:name w:val="0-2级标题 Char"/>
    <w:link w:val="340"/>
    <w:qFormat/>
    <w:uiPriority w:val="0"/>
    <w:rPr>
      <w:rFonts w:ascii="Times New Roman" w:hAnsi="Times New Roman" w:eastAsia="宋体" w:cs="Times New Roman"/>
      <w:b/>
      <w:bCs/>
      <w:sz w:val="28"/>
      <w:szCs w:val="28"/>
      <w:lang w:val="zh-CN"/>
    </w:rPr>
  </w:style>
  <w:style w:type="paragraph" w:customStyle="1" w:styleId="340">
    <w:name w:val="0-2级标题"/>
    <w:basedOn w:val="3"/>
    <w:link w:val="339"/>
    <w:qFormat/>
    <w:uiPriority w:val="0"/>
    <w:pPr>
      <w:keepLines/>
      <w:widowControl/>
      <w:tabs>
        <w:tab w:val="left" w:pos="567"/>
      </w:tabs>
      <w:adjustRightInd/>
      <w:snapToGrid/>
      <w:spacing w:before="0" w:after="0"/>
      <w:ind w:hanging="1958" w:hangingChars="1958"/>
      <w:jc w:val="left"/>
      <w:textAlignment w:val="auto"/>
    </w:pPr>
    <w:rPr>
      <w:rFonts w:ascii="Times New Roman" w:eastAsia="宋体"/>
      <w:bCs/>
      <w:sz w:val="28"/>
      <w:szCs w:val="28"/>
      <w:lang w:val="zh-CN"/>
    </w:rPr>
  </w:style>
  <w:style w:type="character" w:customStyle="1" w:styleId="341">
    <w:name w:val="0-3级标题 Char"/>
    <w:link w:val="342"/>
    <w:qFormat/>
    <w:uiPriority w:val="0"/>
    <w:rPr>
      <w:rFonts w:ascii="Times New Roman" w:hAnsi="Times New Roman" w:eastAsia="宋体" w:cs="Times New Roman"/>
      <w:b/>
      <w:bCs/>
      <w:sz w:val="24"/>
      <w:szCs w:val="24"/>
      <w:lang w:val="zh-CN"/>
    </w:rPr>
  </w:style>
  <w:style w:type="paragraph" w:customStyle="1" w:styleId="342">
    <w:name w:val="0-3级标题"/>
    <w:basedOn w:val="4"/>
    <w:link w:val="341"/>
    <w:qFormat/>
    <w:uiPriority w:val="0"/>
    <w:pPr>
      <w:widowControl/>
      <w:tabs>
        <w:tab w:val="left" w:pos="709"/>
      </w:tabs>
      <w:spacing w:before="0" w:after="0"/>
      <w:jc w:val="left"/>
    </w:pPr>
    <w:rPr>
      <w:rFonts w:ascii="Times New Roman" w:eastAsia="宋体"/>
      <w:kern w:val="0"/>
      <w:sz w:val="24"/>
      <w:szCs w:val="24"/>
      <w:lang w:val="zh-CN"/>
    </w:rPr>
  </w:style>
  <w:style w:type="character" w:customStyle="1" w:styleId="343">
    <w:name w:val="列出段落 Char1"/>
    <w:qFormat/>
    <w:uiPriority w:val="34"/>
    <w:rPr>
      <w:rFonts w:ascii="Times New Roman" w:hAnsi="Times New Roman" w:eastAsia="宋体" w:cs="Times New Roman"/>
      <w:kern w:val="2"/>
      <w:sz w:val="21"/>
      <w:szCs w:val="22"/>
    </w:rPr>
  </w:style>
  <w:style w:type="character" w:customStyle="1" w:styleId="344">
    <w:name w:val="标题 2 字符"/>
    <w:qFormat/>
    <w:uiPriority w:val="99"/>
    <w:rPr>
      <w:rFonts w:ascii="仿宋" w:hAnsi="仿宋" w:eastAsia="仿宋" w:cs="Times New Roman"/>
      <w:b/>
      <w:bCs/>
      <w:kern w:val="0"/>
      <w:sz w:val="28"/>
      <w:szCs w:val="32"/>
      <w:lang w:val="zh-CN" w:eastAsia="zh-CN"/>
    </w:rPr>
  </w:style>
  <w:style w:type="character" w:customStyle="1" w:styleId="345">
    <w:name w:val="页眉 字符"/>
    <w:qFormat/>
    <w:uiPriority w:val="99"/>
    <w:rPr>
      <w:rFonts w:ascii="Times New Roman" w:hAnsi="Times New Roman" w:eastAsia="宋体" w:cs="Times New Roman"/>
      <w:sz w:val="18"/>
      <w:szCs w:val="18"/>
    </w:rPr>
  </w:style>
  <w:style w:type="character" w:customStyle="1" w:styleId="346">
    <w:name w:val="页脚 字符"/>
    <w:qFormat/>
    <w:uiPriority w:val="99"/>
    <w:rPr>
      <w:rFonts w:ascii="Times New Roman" w:hAnsi="Times New Roman" w:eastAsia="宋体" w:cs="Times New Roman"/>
      <w:sz w:val="18"/>
      <w:szCs w:val="18"/>
    </w:rPr>
  </w:style>
  <w:style w:type="character" w:customStyle="1" w:styleId="347">
    <w:name w:val="A 正文 Char"/>
    <w:link w:val="348"/>
    <w:qFormat/>
    <w:uiPriority w:val="0"/>
    <w:rPr>
      <w:rFonts w:ascii="Times New Roman" w:hAnsi="Times New Roman" w:eastAsia="宋体" w:cs="宋体"/>
      <w:kern w:val="2"/>
      <w:sz w:val="24"/>
    </w:rPr>
  </w:style>
  <w:style w:type="paragraph" w:customStyle="1" w:styleId="348">
    <w:name w:val="A 正文"/>
    <w:basedOn w:val="1"/>
    <w:link w:val="347"/>
    <w:qFormat/>
    <w:uiPriority w:val="0"/>
    <w:pPr>
      <w:spacing w:line="440" w:lineRule="exact"/>
      <w:ind w:firstLine="480" w:firstLineChars="200"/>
      <w:jc w:val="left"/>
    </w:pPr>
    <w:rPr>
      <w:sz w:val="24"/>
      <w:szCs w:val="20"/>
    </w:rPr>
  </w:style>
  <w:style w:type="character" w:customStyle="1" w:styleId="349">
    <w:name w:val="Default Char"/>
    <w:link w:val="350"/>
    <w:qFormat/>
    <w:uiPriority w:val="0"/>
    <w:rPr>
      <w:rFonts w:ascii="华文细黑" w:eastAsia="华文细黑"/>
      <w:color w:val="000000"/>
      <w:sz w:val="24"/>
      <w:szCs w:val="24"/>
      <w:lang w:val="en-US" w:eastAsia="zh-CN" w:bidi="ar-SA"/>
    </w:rPr>
  </w:style>
  <w:style w:type="paragraph" w:customStyle="1" w:styleId="350">
    <w:name w:val="Default"/>
    <w:link w:val="349"/>
    <w:qFormat/>
    <w:uiPriority w:val="0"/>
    <w:pPr>
      <w:widowControl w:val="0"/>
      <w:autoSpaceDE w:val="0"/>
      <w:autoSpaceDN w:val="0"/>
      <w:adjustRightInd w:val="0"/>
    </w:pPr>
    <w:rPr>
      <w:rFonts w:ascii="华文细黑" w:hAnsi="Times New Roman" w:eastAsia="华文细黑" w:cs="Times New Roman"/>
      <w:color w:val="000000"/>
      <w:sz w:val="24"/>
      <w:szCs w:val="24"/>
      <w:lang w:val="en-US" w:eastAsia="zh-CN" w:bidi="ar-SA"/>
    </w:rPr>
  </w:style>
  <w:style w:type="character" w:customStyle="1" w:styleId="351">
    <w:name w:val="正文（缩进） Char"/>
    <w:link w:val="352"/>
    <w:qFormat/>
    <w:uiPriority w:val="0"/>
    <w:rPr>
      <w:rFonts w:ascii="Arial" w:hAnsi="Arial" w:eastAsia="仿宋" w:cs="Arial"/>
      <w:kern w:val="2"/>
      <w:sz w:val="24"/>
      <w:szCs w:val="24"/>
    </w:rPr>
  </w:style>
  <w:style w:type="paragraph" w:customStyle="1" w:styleId="352">
    <w:name w:val="正文（缩进）"/>
    <w:basedOn w:val="1"/>
    <w:link w:val="351"/>
    <w:qFormat/>
    <w:uiPriority w:val="0"/>
    <w:pPr>
      <w:spacing w:beforeLines="50" w:afterLines="50" w:line="360" w:lineRule="auto"/>
      <w:ind w:firstLine="480" w:firstLineChars="200"/>
    </w:pPr>
    <w:rPr>
      <w:rFonts w:ascii="Arial" w:hAnsi="Arial" w:eastAsia="仿宋"/>
      <w:sz w:val="24"/>
    </w:rPr>
  </w:style>
  <w:style w:type="character" w:customStyle="1" w:styleId="353">
    <w:name w:val="BZ_正文 Char"/>
    <w:link w:val="354"/>
    <w:qFormat/>
    <w:uiPriority w:val="0"/>
    <w:rPr>
      <w:rFonts w:ascii="Times New Roman" w:hAnsi="Times New Roman" w:eastAsia="宋体" w:cs="Times New Roman"/>
      <w:kern w:val="2"/>
      <w:sz w:val="24"/>
      <w:szCs w:val="24"/>
    </w:rPr>
  </w:style>
  <w:style w:type="paragraph" w:customStyle="1" w:styleId="354">
    <w:name w:val="BZ_正文"/>
    <w:basedOn w:val="1"/>
    <w:link w:val="353"/>
    <w:qFormat/>
    <w:uiPriority w:val="0"/>
    <w:pPr>
      <w:widowControl/>
      <w:spacing w:line="360" w:lineRule="auto"/>
      <w:ind w:firstLine="200" w:firstLineChars="200"/>
    </w:pPr>
    <w:rPr>
      <w:sz w:val="24"/>
    </w:rPr>
  </w:style>
  <w:style w:type="character" w:customStyle="1" w:styleId="355">
    <w:name w:val="*正文 Char"/>
    <w:link w:val="356"/>
    <w:qFormat/>
    <w:uiPriority w:val="0"/>
    <w:rPr>
      <w:rFonts w:ascii="宋体" w:hAnsi="Calibri" w:eastAsia="宋体" w:cs="Times New Roman"/>
      <w:kern w:val="2"/>
      <w:sz w:val="30"/>
      <w:szCs w:val="21"/>
      <w:lang w:bidi="en-US"/>
    </w:rPr>
  </w:style>
  <w:style w:type="paragraph" w:customStyle="1" w:styleId="356">
    <w:name w:val="*正文"/>
    <w:basedOn w:val="1"/>
    <w:link w:val="355"/>
    <w:qFormat/>
    <w:uiPriority w:val="0"/>
    <w:pPr>
      <w:spacing w:before="156" w:after="156" w:line="360" w:lineRule="auto"/>
      <w:ind w:firstLine="200" w:firstLineChars="200"/>
      <w:contextualSpacing/>
      <w:jc w:val="left"/>
    </w:pPr>
    <w:rPr>
      <w:rFonts w:ascii="宋体" w:hAnsi="Calibri"/>
      <w:sz w:val="30"/>
      <w:szCs w:val="21"/>
      <w:lang w:bidi="en-US"/>
    </w:rPr>
  </w:style>
  <w:style w:type="character" w:customStyle="1" w:styleId="357">
    <w:name w:val="样式 首行缩进:  0 字符 Char"/>
    <w:link w:val="358"/>
    <w:qFormat/>
    <w:uiPriority w:val="0"/>
    <w:rPr>
      <w:rFonts w:ascii="Arial" w:hAnsi="Arial" w:eastAsia="宋体" w:cs="宋体"/>
      <w:kern w:val="2"/>
      <w:sz w:val="30"/>
    </w:rPr>
  </w:style>
  <w:style w:type="paragraph" w:customStyle="1" w:styleId="358">
    <w:name w:val="样式 首行缩进:  0 字符"/>
    <w:basedOn w:val="1"/>
    <w:link w:val="357"/>
    <w:qFormat/>
    <w:uiPriority w:val="0"/>
    <w:pPr>
      <w:spacing w:line="360" w:lineRule="auto"/>
      <w:ind w:firstLine="200" w:firstLineChars="200"/>
      <w:jc w:val="left"/>
    </w:pPr>
    <w:rPr>
      <w:rFonts w:ascii="Arial" w:hAnsi="Arial"/>
      <w:sz w:val="30"/>
      <w:szCs w:val="20"/>
    </w:rPr>
  </w:style>
  <w:style w:type="character" w:customStyle="1" w:styleId="359">
    <w:name w:val="my正文 Char"/>
    <w:link w:val="360"/>
    <w:qFormat/>
    <w:uiPriority w:val="0"/>
    <w:rPr>
      <w:rFonts w:ascii="宋体" w:hAnsi="宋体" w:eastAsia="仿宋" w:cs="Times New Roman"/>
      <w:sz w:val="28"/>
      <w:szCs w:val="24"/>
    </w:rPr>
  </w:style>
  <w:style w:type="paragraph" w:customStyle="1" w:styleId="360">
    <w:name w:val="my正文"/>
    <w:basedOn w:val="1"/>
    <w:link w:val="359"/>
    <w:qFormat/>
    <w:uiPriority w:val="0"/>
    <w:pPr>
      <w:spacing w:line="360" w:lineRule="auto"/>
      <w:ind w:firstLine="200" w:firstLineChars="200"/>
      <w:jc w:val="left"/>
    </w:pPr>
    <w:rPr>
      <w:rFonts w:ascii="宋体" w:hAnsi="宋体" w:eastAsia="仿宋"/>
      <w:kern w:val="0"/>
      <w:sz w:val="28"/>
    </w:rPr>
  </w:style>
  <w:style w:type="character" w:customStyle="1" w:styleId="361">
    <w:name w:val="标题  4 Char"/>
    <w:link w:val="362"/>
    <w:qFormat/>
    <w:uiPriority w:val="0"/>
    <w:rPr>
      <w:rFonts w:ascii="Cambria" w:hAnsi="Cambria" w:eastAsia="宋体" w:cs="Times New Roman"/>
    </w:rPr>
  </w:style>
  <w:style w:type="paragraph" w:customStyle="1" w:styleId="362">
    <w:name w:val="标题  4"/>
    <w:basedOn w:val="6"/>
    <w:link w:val="361"/>
    <w:qFormat/>
    <w:uiPriority w:val="0"/>
    <w:pPr>
      <w:keepLines w:val="0"/>
      <w:tabs>
        <w:tab w:val="left" w:pos="142"/>
        <w:tab w:val="left" w:pos="2409"/>
      </w:tabs>
      <w:spacing w:before="0" w:after="0" w:line="360" w:lineRule="auto"/>
      <w:jc w:val="left"/>
    </w:pPr>
    <w:rPr>
      <w:rFonts w:ascii="Cambria" w:hAnsi="Cambria" w:eastAsia="宋体"/>
      <w:b w:val="0"/>
      <w:color w:val="auto"/>
      <w:kern w:val="0"/>
      <w:sz w:val="20"/>
    </w:rPr>
  </w:style>
  <w:style w:type="character" w:customStyle="1" w:styleId="363">
    <w:name w:val="Char Char1_01"/>
    <w:link w:val="364"/>
    <w:qFormat/>
    <w:uiPriority w:val="0"/>
    <w:rPr>
      <w:rFonts w:ascii="Times New Roman" w:hAnsi="Times New Roman" w:eastAsia="宋体" w:cs="Times New Roman"/>
      <w:kern w:val="2"/>
      <w:sz w:val="21"/>
      <w:szCs w:val="24"/>
    </w:rPr>
  </w:style>
  <w:style w:type="paragraph" w:customStyle="1" w:styleId="364">
    <w:name w:val="Char_01"/>
    <w:basedOn w:val="1"/>
    <w:link w:val="363"/>
    <w:qFormat/>
    <w:uiPriority w:val="0"/>
  </w:style>
  <w:style w:type="character" w:customStyle="1" w:styleId="365">
    <w:name w:val="普通(网站) Char1"/>
    <w:qFormat/>
    <w:uiPriority w:val="0"/>
    <w:rPr>
      <w:rFonts w:ascii="宋体" w:hAnsi="宋体" w:eastAsia="宋体" w:cs="宋体"/>
      <w:sz w:val="24"/>
      <w:szCs w:val="24"/>
    </w:rPr>
  </w:style>
  <w:style w:type="character" w:customStyle="1" w:styleId="366">
    <w:name w:val="标题 3 Char2"/>
    <w:qFormat/>
    <w:uiPriority w:val="0"/>
    <w:rPr>
      <w:rFonts w:ascii="仿宋_GB2312" w:hAnsi="Times New Roman" w:eastAsia="仿宋_GB2312" w:cs="Times New Roman"/>
      <w:b/>
      <w:bCs/>
      <w:kern w:val="2"/>
      <w:sz w:val="30"/>
    </w:rPr>
  </w:style>
  <w:style w:type="character" w:customStyle="1" w:styleId="367">
    <w:name w:val="bookmark-item"/>
    <w:qFormat/>
    <w:uiPriority w:val="0"/>
    <w:rPr>
      <w:rFonts w:ascii="Times New Roman" w:hAnsi="Times New Roman" w:eastAsia="宋体" w:cs="Times New Roman"/>
    </w:rPr>
  </w:style>
  <w:style w:type="character" w:customStyle="1" w:styleId="368">
    <w:name w:val="正文首行缩进 字符"/>
    <w:qFormat/>
    <w:uiPriority w:val="0"/>
    <w:rPr>
      <w:rFonts w:ascii="仿宋_GB2312" w:eastAsia="仿宋_GB2312"/>
      <w:kern w:val="2"/>
      <w:sz w:val="28"/>
      <w:szCs w:val="24"/>
      <w:lang w:val="zh-CN"/>
    </w:rPr>
  </w:style>
  <w:style w:type="paragraph" w:customStyle="1" w:styleId="369">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370">
    <w:name w:val="样式 目录 1 + 居中 首行缩进:  2 字符"/>
    <w:basedOn w:val="35"/>
    <w:qFormat/>
    <w:uiPriority w:val="0"/>
    <w:pPr>
      <w:widowControl/>
      <w:tabs>
        <w:tab w:val="right" w:leader="dot" w:pos="9231"/>
        <w:tab w:val="clear" w:pos="1470"/>
        <w:tab w:val="clear" w:pos="9016"/>
      </w:tabs>
      <w:spacing w:beforeLines="50" w:afterLines="30" w:line="300" w:lineRule="auto"/>
      <w:ind w:firstLine="482"/>
      <w:jc w:val="left"/>
    </w:pPr>
    <w:rPr>
      <w:rFonts w:ascii="Calibri" w:hAnsi="Calibri" w:eastAsia="仿宋" w:cs="宋体"/>
      <w:b w:val="0"/>
      <w:color w:val="000000"/>
      <w:kern w:val="0"/>
      <w:sz w:val="24"/>
      <w:szCs w:val="20"/>
    </w:rPr>
  </w:style>
  <w:style w:type="paragraph" w:customStyle="1" w:styleId="371">
    <w:name w:val="第四级标题"/>
    <w:basedOn w:val="6"/>
    <w:next w:val="1"/>
    <w:qFormat/>
    <w:uiPriority w:val="0"/>
    <w:pPr>
      <w:keepNext/>
      <w:widowControl w:val="0"/>
      <w:spacing w:before="120" w:after="0" w:line="360" w:lineRule="auto"/>
    </w:pPr>
    <w:rPr>
      <w:rFonts w:ascii="Cambria" w:hAnsi="Cambria" w:eastAsia="仿宋"/>
      <w:bCs/>
      <w:color w:val="auto"/>
      <w:sz w:val="24"/>
      <w:szCs w:val="28"/>
    </w:rPr>
  </w:style>
  <w:style w:type="paragraph" w:customStyle="1" w:styleId="372">
    <w:name w:val="方案3级标题"/>
    <w:basedOn w:val="6"/>
    <w:next w:val="1"/>
    <w:qFormat/>
    <w:uiPriority w:val="0"/>
    <w:pPr>
      <w:keepNext/>
      <w:spacing w:beforeLines="50" w:afterLines="50" w:line="360" w:lineRule="auto"/>
      <w:ind w:firstLine="482" w:firstLineChars="200"/>
      <w:jc w:val="left"/>
    </w:pPr>
    <w:rPr>
      <w:rFonts w:ascii="仿宋_GB2312" w:hAnsi="Times New Roman" w:eastAsia="仿宋_GB2312"/>
      <w:color w:val="auto"/>
      <w:sz w:val="24"/>
      <w:szCs w:val="24"/>
      <w:u w:color="000000"/>
      <w:lang w:val="zh-CN"/>
    </w:rPr>
  </w:style>
  <w:style w:type="paragraph" w:customStyle="1" w:styleId="373">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374">
    <w:name w:val="纯文本11"/>
    <w:basedOn w:val="1"/>
    <w:qFormat/>
    <w:uiPriority w:val="0"/>
    <w:pPr>
      <w:adjustRightInd w:val="0"/>
    </w:pPr>
    <w:rPr>
      <w:rFonts w:hint="eastAsia" w:ascii="宋体" w:hAnsi="Courier New" w:eastAsia="楷体_GB2312"/>
      <w:sz w:val="28"/>
      <w:szCs w:val="20"/>
    </w:rPr>
  </w:style>
  <w:style w:type="paragraph" w:customStyle="1" w:styleId="375">
    <w:name w:val="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376">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7">
    <w:name w:val="正文标题1"/>
    <w:basedOn w:val="1"/>
    <w:qFormat/>
    <w:uiPriority w:val="0"/>
    <w:pPr>
      <w:spacing w:line="360" w:lineRule="auto"/>
    </w:pPr>
    <w:rPr>
      <w:rFonts w:ascii="Calibri" w:hAnsi="Calibri" w:eastAsia="仿宋"/>
      <w:b/>
      <w:sz w:val="24"/>
      <w:szCs w:val="22"/>
    </w:rPr>
  </w:style>
  <w:style w:type="paragraph" w:customStyle="1" w:styleId="378">
    <w:name w:val="表题"/>
    <w:basedOn w:val="1"/>
    <w:qFormat/>
    <w:uiPriority w:val="99"/>
    <w:pPr>
      <w:widowControl/>
      <w:spacing w:beforeLines="100" w:line="360" w:lineRule="auto"/>
      <w:ind w:left="850" w:hanging="850"/>
      <w:jc w:val="center"/>
    </w:pPr>
    <w:rPr>
      <w:rFonts w:eastAsia="仿宋"/>
      <w:b/>
    </w:rPr>
  </w:style>
  <w:style w:type="paragraph" w:customStyle="1" w:styleId="379">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0">
    <w:name w:val="样式 黑体 小四 黑色 左 行距: 1.5 倍行距"/>
    <w:basedOn w:val="1"/>
    <w:qFormat/>
    <w:uiPriority w:val="0"/>
    <w:pPr>
      <w:widowControl/>
      <w:tabs>
        <w:tab w:val="left" w:pos="425"/>
      </w:tabs>
      <w:spacing w:line="360" w:lineRule="auto"/>
      <w:ind w:left="425" w:hanging="425"/>
      <w:jc w:val="left"/>
    </w:pPr>
    <w:rPr>
      <w:rFonts w:ascii="黑体" w:eastAsia="黑体" w:cs="宋体"/>
      <w:color w:val="000000"/>
      <w:kern w:val="0"/>
      <w:sz w:val="24"/>
      <w:szCs w:val="20"/>
    </w:rPr>
  </w:style>
  <w:style w:type="paragraph" w:customStyle="1" w:styleId="381">
    <w:name w:val="head 1.1"/>
    <w:basedOn w:val="133"/>
    <w:qFormat/>
    <w:uiPriority w:val="0"/>
    <w:pPr>
      <w:spacing w:before="260" w:after="260"/>
      <w:ind w:left="644" w:firstLine="0" w:firstLineChars="0"/>
    </w:pPr>
    <w:rPr>
      <w:rFonts w:ascii="宋体" w:hAnsi="宋体"/>
      <w:bCs/>
      <w:szCs w:val="24"/>
    </w:rPr>
  </w:style>
  <w:style w:type="paragraph" w:customStyle="1" w:styleId="382">
    <w:name w:val="正文0"/>
    <w:basedOn w:val="1"/>
    <w:qFormat/>
    <w:uiPriority w:val="0"/>
    <w:pPr>
      <w:widowControl/>
      <w:adjustRightInd w:val="0"/>
      <w:snapToGrid w:val="0"/>
      <w:spacing w:line="360" w:lineRule="auto"/>
      <w:ind w:firstLine="482"/>
      <w:jc w:val="left"/>
    </w:pPr>
    <w:rPr>
      <w:rFonts w:ascii="仿宋" w:hAnsi="仿宋" w:eastAsia="仿宋"/>
      <w:color w:val="000000"/>
      <w:kern w:val="52"/>
      <w:sz w:val="24"/>
    </w:rPr>
  </w:style>
  <w:style w:type="paragraph" w:customStyle="1" w:styleId="383">
    <w:name w:val="_Style 129"/>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385">
    <w:name w:val="_Style 96"/>
    <w:basedOn w:val="1"/>
    <w:qFormat/>
    <w:uiPriority w:val="0"/>
    <w:rPr>
      <w:rFonts w:ascii="Calibri" w:hAnsi="Calibri"/>
      <w:szCs w:val="20"/>
    </w:rPr>
  </w:style>
  <w:style w:type="paragraph" w:customStyle="1" w:styleId="386">
    <w:name w:val="列出段落3"/>
    <w:basedOn w:val="1"/>
    <w:qFormat/>
    <w:uiPriority w:val="99"/>
    <w:pPr>
      <w:widowControl/>
      <w:ind w:firstLine="420" w:firstLineChars="200"/>
      <w:jc w:val="left"/>
    </w:pPr>
  </w:style>
  <w:style w:type="paragraph" w:customStyle="1" w:styleId="38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388">
    <w:name w:val="font10"/>
    <w:basedOn w:val="1"/>
    <w:qFormat/>
    <w:uiPriority w:val="0"/>
    <w:pPr>
      <w:widowControl/>
      <w:spacing w:before="100" w:beforeAutospacing="1" w:after="100" w:afterAutospacing="1"/>
      <w:jc w:val="left"/>
    </w:pPr>
    <w:rPr>
      <w:rFonts w:hint="eastAsia" w:ascii="宋体" w:hAnsi="宋体"/>
      <w:b/>
      <w:bCs/>
      <w:i/>
      <w:iCs/>
      <w:kern w:val="0"/>
      <w:sz w:val="24"/>
    </w:rPr>
  </w:style>
  <w:style w:type="paragraph" w:customStyle="1" w:styleId="389">
    <w:name w:val="tabletext"/>
    <w:basedOn w:val="1"/>
    <w:qFormat/>
    <w:uiPriority w:val="0"/>
    <w:pPr>
      <w:widowControl/>
      <w:spacing w:before="100" w:beforeAutospacing="1" w:after="100" w:afterAutospacing="1"/>
      <w:jc w:val="left"/>
    </w:pPr>
    <w:rPr>
      <w:rFonts w:ascii="宋体" w:hAnsi="宋体"/>
      <w:kern w:val="0"/>
      <w:sz w:val="24"/>
    </w:rPr>
  </w:style>
  <w:style w:type="paragraph" w:customStyle="1" w:styleId="390">
    <w:name w:val="Char Char Char Char Char Char Char Char Char Char Char Char"/>
    <w:basedOn w:val="1"/>
    <w:qFormat/>
    <w:uiPriority w:val="0"/>
    <w:pPr>
      <w:widowControl/>
      <w:spacing w:line="300" w:lineRule="auto"/>
      <w:jc w:val="center"/>
    </w:pPr>
    <w:rPr>
      <w:rFonts w:ascii="宋体" w:hAnsi="宋体"/>
      <w:b/>
      <w:bCs/>
      <w:color w:val="000000"/>
      <w:spacing w:val="8"/>
      <w:kern w:val="0"/>
      <w:sz w:val="24"/>
    </w:rPr>
  </w:style>
  <w:style w:type="paragraph" w:customStyle="1" w:styleId="391">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92">
    <w:name w:val="模板标题1"/>
    <w:basedOn w:val="1"/>
    <w:next w:val="1"/>
    <w:qFormat/>
    <w:uiPriority w:val="0"/>
    <w:pPr>
      <w:keepNext/>
      <w:keepLines/>
      <w:tabs>
        <w:tab w:val="left" w:pos="360"/>
      </w:tabs>
      <w:spacing w:afterLines="50"/>
      <w:jc w:val="left"/>
      <w:outlineLvl w:val="0"/>
    </w:pPr>
    <w:rPr>
      <w:rFonts w:ascii="Arial" w:hAnsi="Arial"/>
      <w:b/>
      <w:kern w:val="32"/>
      <w:sz w:val="32"/>
      <w:szCs w:val="20"/>
    </w:rPr>
  </w:style>
  <w:style w:type="paragraph" w:customStyle="1" w:styleId="393">
    <w:name w:val="_Style 1"/>
    <w:basedOn w:val="1"/>
    <w:qFormat/>
    <w:uiPriority w:val="34"/>
    <w:pPr>
      <w:ind w:firstLine="420"/>
    </w:pPr>
    <w:rPr>
      <w:rFonts w:ascii="Calibri" w:hAnsi="Calibri"/>
      <w:szCs w:val="22"/>
    </w:rPr>
  </w:style>
  <w:style w:type="paragraph" w:customStyle="1" w:styleId="394">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95">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96">
    <w:name w:val="￥正文"/>
    <w:basedOn w:val="1"/>
    <w:qFormat/>
    <w:uiPriority w:val="0"/>
    <w:pPr>
      <w:spacing w:line="360" w:lineRule="auto"/>
      <w:ind w:firstLine="200" w:firstLineChars="200"/>
      <w:jc w:val="left"/>
    </w:pPr>
    <w:rPr>
      <w:rFonts w:ascii="Calibri" w:hAnsi="Calibri" w:eastAsia="仿宋"/>
      <w:kern w:val="0"/>
      <w:sz w:val="30"/>
      <w:szCs w:val="20"/>
    </w:rPr>
  </w:style>
  <w:style w:type="paragraph" w:customStyle="1" w:styleId="397">
    <w:name w:val="四级标题"/>
    <w:basedOn w:val="1"/>
    <w:qFormat/>
    <w:uiPriority w:val="0"/>
    <w:pPr>
      <w:widowControl/>
      <w:adjustRightInd w:val="0"/>
      <w:snapToGrid w:val="0"/>
      <w:spacing w:line="420" w:lineRule="exact"/>
      <w:ind w:firstLine="200" w:firstLineChars="200"/>
      <w:jc w:val="left"/>
    </w:pPr>
    <w:rPr>
      <w:rFonts w:ascii="宋体" w:hAnsi="宋体"/>
      <w:b/>
      <w:bCs/>
      <w:sz w:val="24"/>
    </w:rPr>
  </w:style>
  <w:style w:type="paragraph" w:customStyle="1" w:styleId="398">
    <w:name w:val="样式 仿宋 行距: 1.5 倍行距"/>
    <w:basedOn w:val="1"/>
    <w:qFormat/>
    <w:uiPriority w:val="99"/>
    <w:pPr>
      <w:widowControl/>
      <w:spacing w:line="360" w:lineRule="auto"/>
      <w:jc w:val="left"/>
    </w:pPr>
    <w:rPr>
      <w:rFonts w:ascii="仿宋" w:hAnsi="仿宋" w:eastAsia="仿宋" w:cs="宋体"/>
      <w:sz w:val="24"/>
    </w:rPr>
  </w:style>
  <w:style w:type="paragraph" w:customStyle="1" w:styleId="399">
    <w:name w:val="3级标题"/>
    <w:basedOn w:val="1"/>
    <w:qFormat/>
    <w:uiPriority w:val="0"/>
    <w:pPr>
      <w:keepLines/>
      <w:spacing w:before="120" w:after="120" w:line="360" w:lineRule="auto"/>
      <w:ind w:left="720" w:hanging="720"/>
      <w:contextualSpacing/>
      <w:jc w:val="left"/>
      <w:outlineLvl w:val="2"/>
    </w:pPr>
    <w:rPr>
      <w:rFonts w:ascii="黑体" w:hAnsi="黑体" w:eastAsia="黑体"/>
      <w:kern w:val="0"/>
      <w:sz w:val="28"/>
      <w:szCs w:val="36"/>
      <w:lang w:eastAsia="en-US" w:bidi="en-US"/>
    </w:rPr>
  </w:style>
  <w:style w:type="paragraph" w:customStyle="1" w:styleId="40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401">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402">
    <w:name w:val="样式 标题 1 + 仿宋_GB2312 三号 居中 段前: 3.6 磅 行距: 单倍行距"/>
    <w:basedOn w:val="2"/>
    <w:qFormat/>
    <w:uiPriority w:val="99"/>
    <w:pPr>
      <w:keepLines/>
      <w:widowControl/>
      <w:autoSpaceDE/>
      <w:autoSpaceDN/>
      <w:spacing w:before="300" w:after="330" w:line="240" w:lineRule="auto"/>
      <w:textAlignment w:val="auto"/>
    </w:pPr>
    <w:rPr>
      <w:rFonts w:ascii="Times New Roman" w:hAnsi="宋体" w:eastAsia="宋体" w:cs="宋体"/>
      <w:bCs/>
      <w:kern w:val="44"/>
      <w:sz w:val="32"/>
      <w:szCs w:val="32"/>
    </w:rPr>
  </w:style>
  <w:style w:type="paragraph" w:customStyle="1" w:styleId="403">
    <w:name w:val="样式4"/>
    <w:basedOn w:val="7"/>
    <w:qFormat/>
    <w:uiPriority w:val="0"/>
    <w:pPr>
      <w:keepLines w:val="0"/>
      <w:widowControl w:val="0"/>
      <w:snapToGrid w:val="0"/>
      <w:spacing w:before="120" w:afterLines="50" w:line="360" w:lineRule="auto"/>
      <w:jc w:val="left"/>
    </w:pPr>
    <w:rPr>
      <w:rFonts w:ascii="Cambria" w:hAnsi="Cambria"/>
      <w:bCs/>
      <w:color w:val="7F7F7F"/>
      <w:sz w:val="24"/>
      <w:szCs w:val="22"/>
    </w:rPr>
  </w:style>
  <w:style w:type="paragraph" w:customStyle="1" w:styleId="404">
    <w:name w:val="样式 宋体 左 行距: 固定值 22 磅"/>
    <w:basedOn w:val="1"/>
    <w:qFormat/>
    <w:uiPriority w:val="0"/>
    <w:pPr>
      <w:widowControl/>
      <w:spacing w:line="440" w:lineRule="exact"/>
      <w:ind w:firstLine="480" w:firstLineChars="200"/>
      <w:jc w:val="left"/>
    </w:pPr>
    <w:rPr>
      <w:rFonts w:ascii="宋体" w:hAnsi="宋体" w:cs="宋体"/>
      <w:kern w:val="0"/>
      <w:sz w:val="24"/>
      <w:szCs w:val="20"/>
    </w:rPr>
  </w:style>
  <w:style w:type="paragraph" w:customStyle="1" w:styleId="405">
    <w:name w:val="正文_1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6">
    <w:name w:val="默认段落字体 Para Char Char Char Char Char Char Char Char Char1 Char Char Char Char"/>
    <w:basedOn w:val="1"/>
    <w:qFormat/>
    <w:uiPriority w:val="0"/>
    <w:rPr>
      <w:rFonts w:ascii="Tahoma" w:hAnsi="Tahoma"/>
      <w:sz w:val="24"/>
      <w:szCs w:val="20"/>
    </w:rPr>
  </w:style>
  <w:style w:type="paragraph" w:customStyle="1" w:styleId="407">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408">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0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410">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411">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412">
    <w:name w:val="大连华铁行并列格式"/>
    <w:basedOn w:val="1"/>
    <w:qFormat/>
    <w:uiPriority w:val="0"/>
    <w:pPr>
      <w:widowControl/>
      <w:tabs>
        <w:tab w:val="left" w:pos="456"/>
      </w:tabs>
      <w:ind w:left="456" w:hanging="420"/>
      <w:jc w:val="left"/>
    </w:pPr>
  </w:style>
  <w:style w:type="paragraph" w:customStyle="1" w:styleId="413">
    <w:name w:val="_Style 59"/>
    <w:basedOn w:val="16"/>
    <w:qFormat/>
    <w:uiPriority w:val="99"/>
    <w:pPr>
      <w:shd w:val="clear" w:color="auto" w:fill="000080"/>
      <w:adjustRightInd/>
      <w:snapToGrid/>
      <w:spacing w:beforeLines="30" w:afterLines="30" w:line="360" w:lineRule="auto"/>
      <w:ind w:firstLine="595" w:firstLineChars="248"/>
    </w:pPr>
    <w:rPr>
      <w:rFonts w:ascii="Times New Roman" w:hAnsi="Calibri"/>
      <w:sz w:val="21"/>
      <w:szCs w:val="20"/>
      <w:lang w:val="zh-CN"/>
    </w:rPr>
  </w:style>
  <w:style w:type="paragraph" w:customStyle="1" w:styleId="414">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41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416">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417">
    <w:name w:val="xl65"/>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418">
    <w:name w:val="Char1"/>
    <w:basedOn w:val="1"/>
    <w:qFormat/>
    <w:uiPriority w:val="0"/>
    <w:pPr>
      <w:adjustRightInd w:val="0"/>
      <w:spacing w:line="360" w:lineRule="auto"/>
    </w:pPr>
    <w:rPr>
      <w:kern w:val="0"/>
      <w:sz w:val="24"/>
      <w:szCs w:val="20"/>
    </w:rPr>
  </w:style>
  <w:style w:type="paragraph" w:customStyle="1" w:styleId="419">
    <w:name w:val="样式 宋体 五号 首行缩进:  2 字符"/>
    <w:basedOn w:val="1"/>
    <w:qFormat/>
    <w:uiPriority w:val="0"/>
    <w:pPr>
      <w:widowControl/>
      <w:tabs>
        <w:tab w:val="left" w:pos="480"/>
        <w:tab w:val="left" w:pos="540"/>
        <w:tab w:val="left" w:pos="720"/>
      </w:tabs>
      <w:spacing w:line="360" w:lineRule="auto"/>
      <w:ind w:firstLine="420"/>
      <w:jc w:val="left"/>
    </w:pPr>
    <w:rPr>
      <w:rFonts w:ascii="宋体" w:hAnsi="宋体" w:eastAsia="仿宋" w:cs="宋体"/>
      <w:szCs w:val="20"/>
    </w:rPr>
  </w:style>
  <w:style w:type="paragraph" w:customStyle="1" w:styleId="420">
    <w:name w:val="Char Char Char Char Char1 Char Char Char Char Char Char"/>
    <w:basedOn w:val="1"/>
    <w:qFormat/>
    <w:uiPriority w:val="0"/>
    <w:pPr>
      <w:widowControl/>
      <w:jc w:val="left"/>
    </w:pPr>
  </w:style>
  <w:style w:type="paragraph" w:customStyle="1" w:styleId="421">
    <w:name w:val="正文11"/>
    <w:qFormat/>
    <w:uiPriority w:val="0"/>
    <w:pPr>
      <w:jc w:val="both"/>
    </w:pPr>
    <w:rPr>
      <w:rFonts w:ascii="微软雅黑" w:hAnsi="微软雅黑" w:eastAsia="宋体" w:cs="宋体"/>
      <w:kern w:val="2"/>
      <w:sz w:val="21"/>
      <w:szCs w:val="21"/>
      <w:lang w:val="en-US" w:eastAsia="zh-CN" w:bidi="ar-SA"/>
    </w:rPr>
  </w:style>
  <w:style w:type="paragraph" w:customStyle="1" w:styleId="422">
    <w:name w:val="样式74"/>
    <w:basedOn w:val="1"/>
    <w:qFormat/>
    <w:uiPriority w:val="0"/>
    <w:pPr>
      <w:widowControl/>
      <w:spacing w:before="100" w:beforeAutospacing="1" w:after="100" w:afterAutospacing="1" w:line="450" w:lineRule="atLeast"/>
      <w:jc w:val="left"/>
    </w:pPr>
    <w:rPr>
      <w:rFonts w:ascii="宋体" w:hAnsi="宋体"/>
      <w:color w:val="030303"/>
      <w:kern w:val="0"/>
      <w:sz w:val="20"/>
      <w:szCs w:val="20"/>
    </w:rPr>
  </w:style>
  <w:style w:type="paragraph" w:customStyle="1" w:styleId="423">
    <w:name w:val="标题3"/>
    <w:basedOn w:val="1"/>
    <w:qFormat/>
    <w:uiPriority w:val="0"/>
    <w:pPr>
      <w:widowControl/>
      <w:snapToGrid w:val="0"/>
      <w:spacing w:beforeLines="50" w:afterLines="50" w:line="400" w:lineRule="atLeast"/>
      <w:jc w:val="left"/>
    </w:pPr>
    <w:rPr>
      <w:rFonts w:ascii="Arial" w:hAnsi="Arial" w:eastAsia="黑体"/>
      <w:sz w:val="28"/>
      <w:szCs w:val="20"/>
    </w:rPr>
  </w:style>
  <w:style w:type="paragraph" w:customStyle="1" w:styleId="424">
    <w:name w:val="样式 题注 + 居中2"/>
    <w:basedOn w:val="14"/>
    <w:qFormat/>
    <w:uiPriority w:val="0"/>
    <w:pPr>
      <w:widowControl/>
      <w:spacing w:beforeLines="50" w:afterLines="50" w:line="360" w:lineRule="auto"/>
      <w:jc w:val="center"/>
    </w:pPr>
    <w:rPr>
      <w:rFonts w:ascii="仿宋" w:hAnsi="仿宋" w:eastAsia="仿宋" w:cs="宋体"/>
      <w:color w:val="000000"/>
      <w:sz w:val="21"/>
      <w:szCs w:val="21"/>
    </w:rPr>
  </w:style>
  <w:style w:type="paragraph" w:customStyle="1" w:styleId="425">
    <w:name w:val="样式 标题 2 + 宋体 加粗 行距: 1.5 倍行距"/>
    <w:basedOn w:val="3"/>
    <w:qFormat/>
    <w:uiPriority w:val="0"/>
    <w:pPr>
      <w:keepNext w:val="0"/>
      <w:tabs>
        <w:tab w:val="left" w:pos="432"/>
      </w:tabs>
      <w:autoSpaceDE w:val="0"/>
      <w:autoSpaceDN w:val="0"/>
      <w:snapToGrid/>
      <w:spacing w:before="20" w:after="20" w:line="240" w:lineRule="auto"/>
      <w:ind w:left="432" w:hanging="432"/>
      <w:jc w:val="left"/>
      <w:textAlignment w:val="auto"/>
    </w:pPr>
    <w:rPr>
      <w:rFonts w:ascii="宋体" w:hAnsi="宋体" w:eastAsia="宋体" w:cs="宋体"/>
      <w:bCs/>
      <w:sz w:val="24"/>
    </w:rPr>
  </w:style>
  <w:style w:type="paragraph" w:customStyle="1" w:styleId="426">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7">
    <w:name w:val="config"/>
    <w:basedOn w:val="1"/>
    <w:qFormat/>
    <w:uiPriority w:val="0"/>
    <w:pPr>
      <w:widowControl/>
      <w:spacing w:after="160"/>
      <w:ind w:left="1134"/>
      <w:jc w:val="left"/>
    </w:pPr>
    <w:rPr>
      <w:rFonts w:ascii="Arial" w:hAnsi="Arial" w:eastAsia="Arial"/>
      <w:kern w:val="0"/>
      <w:szCs w:val="20"/>
      <w:lang w:eastAsia="en-US"/>
    </w:rPr>
  </w:style>
  <w:style w:type="paragraph" w:customStyle="1" w:styleId="428">
    <w:name w:val="正文 缩进 22磅"/>
    <w:basedOn w:val="1"/>
    <w:qFormat/>
    <w:uiPriority w:val="0"/>
    <w:pPr>
      <w:widowControl/>
      <w:spacing w:line="440" w:lineRule="exact"/>
      <w:ind w:firstLine="480" w:firstLineChars="200"/>
      <w:jc w:val="left"/>
    </w:pPr>
    <w:rPr>
      <w:rFonts w:ascii="宋体" w:hAnsi="宋体" w:cs="宋体"/>
      <w:kern w:val="0"/>
      <w:sz w:val="24"/>
      <w:szCs w:val="20"/>
    </w:rPr>
  </w:style>
  <w:style w:type="paragraph" w:customStyle="1" w:styleId="429">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30">
    <w:name w:val="正文样式"/>
    <w:basedOn w:val="1"/>
    <w:qFormat/>
    <w:uiPriority w:val="0"/>
    <w:pPr>
      <w:spacing w:line="360" w:lineRule="auto"/>
      <w:ind w:firstLine="480" w:firstLineChars="200"/>
    </w:pPr>
    <w:rPr>
      <w:rFonts w:cs="宋体"/>
      <w:sz w:val="24"/>
      <w:szCs w:val="20"/>
    </w:rPr>
  </w:style>
  <w:style w:type="paragraph" w:customStyle="1" w:styleId="431">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32">
    <w:name w:val="纯文本2"/>
    <w:basedOn w:val="1"/>
    <w:qFormat/>
    <w:uiPriority w:val="0"/>
    <w:pPr>
      <w:adjustRightInd w:val="0"/>
    </w:pPr>
    <w:rPr>
      <w:rFonts w:hint="eastAsia" w:ascii="宋体" w:hAnsi="Courier New" w:eastAsia="楷体_GB2312"/>
      <w:sz w:val="28"/>
      <w:szCs w:val="20"/>
    </w:rPr>
  </w:style>
  <w:style w:type="paragraph" w:customStyle="1" w:styleId="43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434">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5">
    <w:name w:val="普通(网站)_1"/>
    <w:basedOn w:val="195"/>
    <w:qFormat/>
    <w:uiPriority w:val="0"/>
    <w:pPr>
      <w:widowControl/>
      <w:spacing w:before="100" w:beforeAutospacing="1" w:after="100" w:afterAutospacing="1"/>
      <w:jc w:val="left"/>
    </w:pPr>
    <w:rPr>
      <w:rFonts w:ascii="宋体" w:hAnsi="宋体"/>
      <w:kern w:val="0"/>
      <w:sz w:val="24"/>
      <w:szCs w:val="22"/>
    </w:rPr>
  </w:style>
  <w:style w:type="paragraph" w:customStyle="1" w:styleId="436">
    <w:name w:val="正文文本缩进1"/>
    <w:basedOn w:val="1"/>
    <w:qFormat/>
    <w:uiPriority w:val="99"/>
    <w:pPr>
      <w:spacing w:line="360" w:lineRule="auto"/>
      <w:ind w:firstLine="570"/>
    </w:pPr>
    <w:rPr>
      <w:rFonts w:ascii="宋体"/>
      <w:sz w:val="28"/>
      <w:szCs w:val="20"/>
    </w:rPr>
  </w:style>
  <w:style w:type="paragraph" w:customStyle="1" w:styleId="437">
    <w:name w:val="大连华铁并列号码"/>
    <w:basedOn w:val="1"/>
    <w:qFormat/>
    <w:uiPriority w:val="0"/>
    <w:pPr>
      <w:widowControl/>
      <w:tabs>
        <w:tab w:val="left" w:pos="420"/>
      </w:tabs>
      <w:ind w:left="420" w:hanging="420"/>
      <w:jc w:val="left"/>
    </w:pPr>
  </w:style>
  <w:style w:type="paragraph" w:customStyle="1" w:styleId="438">
    <w:name w:val="xl7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439">
    <w:name w:val="B表格正文"/>
    <w:next w:val="1"/>
    <w:qFormat/>
    <w:uiPriority w:val="0"/>
    <w:rPr>
      <w:rFonts w:ascii="Times New Roman" w:hAnsi="Times New Roman" w:eastAsia="黑体" w:cs="Times New Roman"/>
      <w:kern w:val="2"/>
      <w:sz w:val="21"/>
      <w:szCs w:val="21"/>
      <w:lang w:val="en-US" w:eastAsia="zh-CN" w:bidi="ar-SA"/>
    </w:rPr>
  </w:style>
  <w:style w:type="paragraph" w:customStyle="1" w:styleId="440">
    <w:name w:val="Char Char Char"/>
    <w:basedOn w:val="1"/>
    <w:qFormat/>
    <w:uiPriority w:val="0"/>
    <w:pPr>
      <w:widowControl/>
      <w:jc w:val="left"/>
    </w:pPr>
    <w:rPr>
      <w:rFonts w:ascii="Tahoma" w:hAnsi="Tahoma"/>
      <w:sz w:val="24"/>
      <w:szCs w:val="20"/>
    </w:rPr>
  </w:style>
  <w:style w:type="paragraph" w:customStyle="1" w:styleId="441">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2">
    <w:name w:val="B类文档标题1"/>
    <w:basedOn w:val="2"/>
    <w:qFormat/>
    <w:uiPriority w:val="0"/>
    <w:pPr>
      <w:keepLines/>
      <w:tabs>
        <w:tab w:val="left" w:pos="425"/>
        <w:tab w:val="left" w:pos="840"/>
      </w:tabs>
      <w:autoSpaceDE/>
      <w:autoSpaceDN/>
      <w:spacing w:beforeLines="50" w:line="240" w:lineRule="auto"/>
      <w:ind w:left="840" w:hanging="420"/>
      <w:jc w:val="both"/>
      <w:textAlignment w:val="auto"/>
    </w:pPr>
    <w:rPr>
      <w:rFonts w:ascii="Arial" w:hAnsi="Arial" w:eastAsia="黑体"/>
      <w:b w:val="0"/>
      <w:bCs/>
      <w:kern w:val="44"/>
      <w:sz w:val="32"/>
      <w:szCs w:val="44"/>
    </w:rPr>
  </w:style>
  <w:style w:type="paragraph" w:customStyle="1" w:styleId="443">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444">
    <w:name w:val="样式 题注 + 黑体 五号 居中"/>
    <w:basedOn w:val="14"/>
    <w:qFormat/>
    <w:uiPriority w:val="0"/>
    <w:pPr>
      <w:widowControl/>
      <w:spacing w:beforeLines="50" w:afterLines="50" w:line="360" w:lineRule="exact"/>
      <w:ind w:left="420" w:hanging="420"/>
      <w:jc w:val="center"/>
    </w:pPr>
    <w:rPr>
      <w:rFonts w:ascii="仿宋" w:hAnsi="仿宋" w:eastAsia="仿宋" w:cs="宋体"/>
      <w:b/>
      <w:sz w:val="24"/>
      <w:szCs w:val="24"/>
    </w:rPr>
  </w:style>
  <w:style w:type="paragraph" w:customStyle="1" w:styleId="445">
    <w:name w:val="xl82"/>
    <w:basedOn w:val="1"/>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446">
    <w:name w:val="论文正文"/>
    <w:basedOn w:val="1"/>
    <w:qFormat/>
    <w:uiPriority w:val="0"/>
    <w:pPr>
      <w:widowControl/>
      <w:spacing w:line="360" w:lineRule="auto"/>
      <w:ind w:firstLine="480" w:firstLineChars="200"/>
      <w:jc w:val="left"/>
    </w:pPr>
    <w:rPr>
      <w:sz w:val="24"/>
      <w:szCs w:val="20"/>
    </w:rPr>
  </w:style>
  <w:style w:type="paragraph" w:customStyle="1" w:styleId="447">
    <w:name w:val="_Style 5"/>
    <w:basedOn w:val="1"/>
    <w:qFormat/>
    <w:uiPriority w:val="0"/>
    <w:pPr>
      <w:ind w:firstLine="420"/>
    </w:pPr>
    <w:rPr>
      <w:rFonts w:ascii="Calibri" w:hAnsi="Calibri"/>
      <w:szCs w:val="22"/>
    </w:rPr>
  </w:style>
  <w:style w:type="paragraph" w:customStyle="1" w:styleId="448">
    <w:name w:val="样式 段前: 7.8 磅 行距: 1.5 倍行距1"/>
    <w:basedOn w:val="1"/>
    <w:qFormat/>
    <w:uiPriority w:val="0"/>
    <w:pPr>
      <w:widowControl/>
      <w:spacing w:line="360" w:lineRule="auto"/>
      <w:ind w:firstLine="200" w:firstLineChars="200"/>
      <w:jc w:val="left"/>
    </w:pPr>
    <w:rPr>
      <w:rFonts w:cs="宋体"/>
      <w:szCs w:val="20"/>
    </w:rPr>
  </w:style>
  <w:style w:type="paragraph" w:customStyle="1" w:styleId="449">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0">
    <w:name w:val="Char Char"/>
    <w:basedOn w:val="1"/>
    <w:qFormat/>
    <w:uiPriority w:val="0"/>
    <w:pPr>
      <w:adjustRightInd w:val="0"/>
      <w:spacing w:line="360" w:lineRule="auto"/>
    </w:pPr>
    <w:rPr>
      <w:kern w:val="0"/>
      <w:sz w:val="24"/>
      <w:szCs w:val="20"/>
    </w:rPr>
  </w:style>
  <w:style w:type="paragraph" w:customStyle="1" w:styleId="451">
    <w:name w:val="说明内容"/>
    <w:qFormat/>
    <w:uiPriority w:val="0"/>
    <w:pPr>
      <w:pBdr>
        <w:bottom w:val="single" w:color="auto" w:sz="2" w:space="1"/>
      </w:pBdr>
      <w:tabs>
        <w:tab w:val="left" w:pos="2268"/>
      </w:tabs>
      <w:ind w:left="1701"/>
    </w:pPr>
    <w:rPr>
      <w:rFonts w:ascii="Times New Roman" w:hAnsi="Times New Roman" w:eastAsia="仿宋_GB2312" w:cs="Times New Roman"/>
      <w:sz w:val="21"/>
      <w:lang w:val="en-US" w:eastAsia="zh-CN" w:bidi="ar-SA"/>
    </w:rPr>
  </w:style>
  <w:style w:type="paragraph" w:customStyle="1" w:styleId="45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453">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454">
    <w:name w:val="tec_para1"/>
    <w:basedOn w:val="1"/>
    <w:qFormat/>
    <w:uiPriority w:val="0"/>
    <w:pPr>
      <w:widowControl/>
      <w:pBdr>
        <w:top w:val="single" w:color="EEEEEE" w:sz="6" w:space="0"/>
        <w:left w:val="single" w:color="EEEEEE" w:sz="6" w:space="0"/>
      </w:pBdr>
      <w:spacing w:before="75" w:after="100" w:afterAutospacing="1"/>
      <w:jc w:val="center"/>
    </w:pPr>
    <w:rPr>
      <w:rFonts w:ascii="宋体" w:hAnsi="宋体" w:cs="宋体"/>
      <w:kern w:val="0"/>
      <w:sz w:val="24"/>
    </w:rPr>
  </w:style>
  <w:style w:type="paragraph" w:customStyle="1" w:styleId="455">
    <w:name w:val="_Style 451"/>
    <w:basedOn w:val="2"/>
    <w:next w:val="1"/>
    <w:qFormat/>
    <w:uiPriority w:val="0"/>
    <w:pPr>
      <w:keepLines/>
      <w:tabs>
        <w:tab w:val="left" w:pos="360"/>
      </w:tabs>
      <w:autoSpaceDE/>
      <w:autoSpaceDN/>
      <w:spacing w:before="340" w:after="330" w:line="578" w:lineRule="auto"/>
      <w:ind w:left="360" w:hanging="360"/>
      <w:jc w:val="both"/>
      <w:textAlignment w:val="auto"/>
      <w:outlineLvl w:val="9"/>
    </w:pPr>
    <w:rPr>
      <w:rFonts w:ascii="Calibri" w:hAnsi="Calibri" w:eastAsia="宋体"/>
      <w:bCs/>
      <w:kern w:val="44"/>
      <w:szCs w:val="44"/>
    </w:rPr>
  </w:style>
  <w:style w:type="paragraph" w:customStyle="1" w:styleId="456">
    <w:name w:val="TOC 标题111"/>
    <w:basedOn w:val="2"/>
    <w:next w:val="1"/>
    <w:qFormat/>
    <w:uiPriority w:val="39"/>
    <w:pPr>
      <w:keepLines/>
      <w:autoSpaceDE/>
      <w:autoSpaceDN/>
      <w:spacing w:before="480" w:after="120" w:line="276" w:lineRule="auto"/>
      <w:ind w:left="227" w:hanging="227"/>
      <w:jc w:val="left"/>
      <w:textAlignment w:val="auto"/>
      <w:outlineLvl w:val="9"/>
    </w:pPr>
    <w:rPr>
      <w:rFonts w:ascii="Cambria" w:hAnsi="Cambria" w:eastAsia="宋体"/>
      <w:color w:val="365F91"/>
      <w:kern w:val="0"/>
      <w:sz w:val="32"/>
      <w:szCs w:val="28"/>
    </w:rPr>
  </w:style>
  <w:style w:type="paragraph" w:customStyle="1" w:styleId="457">
    <w:name w:val="Item Step"/>
    <w:basedOn w:val="1"/>
    <w:qFormat/>
    <w:uiPriority w:val="0"/>
    <w:pPr>
      <w:widowControl/>
      <w:tabs>
        <w:tab w:val="left" w:pos="1134"/>
      </w:tabs>
      <w:spacing w:afterLines="50"/>
      <w:ind w:left="1554" w:hanging="420" w:firstLineChars="200"/>
      <w:jc w:val="left"/>
    </w:pPr>
    <w:rPr>
      <w:rFonts w:eastAsia="仿宋"/>
    </w:rPr>
  </w:style>
  <w:style w:type="paragraph" w:customStyle="1" w:styleId="458">
    <w:name w:val="Char Char Char Char Char Char Char Char Char Char1"/>
    <w:basedOn w:val="1"/>
    <w:qFormat/>
    <w:uiPriority w:val="0"/>
    <w:pPr>
      <w:widowControl/>
      <w:tabs>
        <w:tab w:val="left" w:pos="360"/>
      </w:tabs>
      <w:ind w:left="360" w:hanging="360" w:hangingChars="200"/>
      <w:jc w:val="left"/>
    </w:pPr>
    <w:rPr>
      <w:sz w:val="24"/>
    </w:rPr>
  </w:style>
  <w:style w:type="paragraph" w:customStyle="1" w:styleId="459">
    <w:name w:val="本文正文"/>
    <w:basedOn w:val="1"/>
    <w:qFormat/>
    <w:uiPriority w:val="99"/>
    <w:pPr>
      <w:widowControl/>
      <w:spacing w:beforeLines="50" w:line="360" w:lineRule="exact"/>
      <w:ind w:firstLine="200" w:firstLineChars="200"/>
      <w:jc w:val="left"/>
    </w:pPr>
    <w:rPr>
      <w:rFonts w:ascii="仿宋" w:hAnsi="宋体" w:eastAsia="仿宋" w:cs="宋体"/>
      <w:kern w:val="0"/>
      <w:sz w:val="24"/>
    </w:rPr>
  </w:style>
  <w:style w:type="paragraph" w:customStyle="1" w:styleId="460">
    <w:name w:val="reader-word-layer reader-word-s1-12"/>
    <w:basedOn w:val="1"/>
    <w:qFormat/>
    <w:uiPriority w:val="0"/>
    <w:pPr>
      <w:widowControl/>
      <w:spacing w:before="100" w:beforeAutospacing="1" w:after="100" w:afterAutospacing="1"/>
      <w:jc w:val="left"/>
    </w:pPr>
    <w:rPr>
      <w:rFonts w:ascii="宋体" w:hAnsi="宋体" w:cs="宋体"/>
      <w:kern w:val="0"/>
      <w:sz w:val="24"/>
    </w:rPr>
  </w:style>
  <w:style w:type="paragraph" w:customStyle="1" w:styleId="461">
    <w:name w:val="SJ2"/>
    <w:basedOn w:val="1"/>
    <w:qFormat/>
    <w:uiPriority w:val="0"/>
    <w:pPr>
      <w:spacing w:line="360" w:lineRule="auto"/>
      <w:ind w:firstLine="480" w:firstLineChars="200"/>
      <w:jc w:val="left"/>
    </w:pPr>
    <w:rPr>
      <w:rFonts w:cs="宋体"/>
      <w:sz w:val="24"/>
      <w:szCs w:val="20"/>
    </w:rPr>
  </w:style>
  <w:style w:type="paragraph" w:customStyle="1" w:styleId="462">
    <w:name w:val="默认段落字体 Para Char"/>
    <w:basedOn w:val="1"/>
    <w:qFormat/>
    <w:uiPriority w:val="0"/>
    <w:pPr>
      <w:widowControl/>
      <w:tabs>
        <w:tab w:val="left" w:pos="480"/>
        <w:tab w:val="left" w:pos="540"/>
        <w:tab w:val="left" w:pos="720"/>
      </w:tabs>
      <w:spacing w:beforeLines="50" w:line="360" w:lineRule="exact"/>
      <w:ind w:firstLine="200" w:firstLineChars="200"/>
      <w:jc w:val="left"/>
    </w:pPr>
    <w:rPr>
      <w:rFonts w:ascii="仿宋" w:hAnsi="仿宋" w:eastAsia="仿宋" w:cs="仿宋"/>
      <w:bCs/>
      <w:color w:val="000000"/>
      <w:kern w:val="0"/>
      <w:sz w:val="24"/>
      <w:szCs w:val="20"/>
    </w:rPr>
  </w:style>
  <w:style w:type="paragraph" w:customStyle="1" w:styleId="463">
    <w:name w:val="标题1"/>
    <w:basedOn w:val="1"/>
    <w:qFormat/>
    <w:uiPriority w:val="0"/>
    <w:pPr>
      <w:widowControl/>
      <w:spacing w:before="100" w:beforeAutospacing="1" w:after="100" w:afterAutospacing="1"/>
      <w:jc w:val="left"/>
    </w:pPr>
    <w:rPr>
      <w:b/>
      <w:bCs/>
      <w:sz w:val="28"/>
      <w:szCs w:val="28"/>
    </w:rPr>
  </w:style>
  <w:style w:type="paragraph" w:customStyle="1" w:styleId="464">
    <w:name w:val="样式 段前: 7.8 磅 行距: 1.5 倍行距"/>
    <w:basedOn w:val="1"/>
    <w:qFormat/>
    <w:uiPriority w:val="0"/>
    <w:pPr>
      <w:widowControl/>
      <w:spacing w:line="360" w:lineRule="auto"/>
      <w:jc w:val="left"/>
    </w:pPr>
    <w:rPr>
      <w:rFonts w:cs="宋体"/>
      <w:szCs w:val="20"/>
    </w:rPr>
  </w:style>
  <w:style w:type="paragraph" w:customStyle="1" w:styleId="465">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466">
    <w:name w:val="偶数页页眉"/>
    <w:basedOn w:val="33"/>
    <w:qFormat/>
    <w:uiPriority w:val="0"/>
    <w:pPr>
      <w:widowControl/>
      <w:pBdr>
        <w:bottom w:val="single" w:color="auto" w:sz="4" w:space="1"/>
      </w:pBdr>
      <w:tabs>
        <w:tab w:val="left" w:pos="480"/>
        <w:tab w:val="left" w:pos="540"/>
        <w:tab w:val="left" w:pos="720"/>
        <w:tab w:val="left" w:pos="4153"/>
        <w:tab w:val="clear" w:pos="8306"/>
      </w:tabs>
      <w:adjustRightInd/>
      <w:snapToGrid w:val="0"/>
      <w:spacing w:beforeLines="50" w:line="240" w:lineRule="auto"/>
      <w:jc w:val="left"/>
    </w:pPr>
    <w:rPr>
      <w:rFonts w:ascii="仿宋" w:hAnsi="仿宋" w:eastAsia="仿宋" w:cs="仿宋"/>
      <w:bCs/>
      <w:color w:val="000000"/>
      <w:sz w:val="21"/>
      <w:szCs w:val="24"/>
      <w:lang w:val="zh-CN"/>
    </w:rPr>
  </w:style>
  <w:style w:type="paragraph" w:customStyle="1" w:styleId="467">
    <w:name w:val="标题一自定义"/>
    <w:basedOn w:val="2"/>
    <w:next w:val="1"/>
    <w:qFormat/>
    <w:uiPriority w:val="0"/>
    <w:pPr>
      <w:keepLines/>
      <w:pageBreakBefore/>
      <w:tabs>
        <w:tab w:val="left" w:pos="980"/>
      </w:tabs>
      <w:autoSpaceDE/>
      <w:autoSpaceDN/>
      <w:ind w:left="980" w:hanging="360"/>
      <w:jc w:val="both"/>
      <w:textAlignment w:val="auto"/>
    </w:pPr>
    <w:rPr>
      <w:rFonts w:ascii="仿宋" w:hAnsi="仿宋" w:eastAsia="仿宋"/>
      <w:kern w:val="44"/>
      <w:sz w:val="32"/>
    </w:rPr>
  </w:style>
  <w:style w:type="paragraph" w:customStyle="1" w:styleId="468">
    <w:name w:val="样式5"/>
    <w:basedOn w:val="7"/>
    <w:qFormat/>
    <w:uiPriority w:val="0"/>
    <w:pPr>
      <w:keepNext/>
      <w:widowControl w:val="0"/>
      <w:tabs>
        <w:tab w:val="left" w:pos="480"/>
        <w:tab w:val="left" w:pos="540"/>
        <w:tab w:val="left" w:pos="720"/>
      </w:tabs>
      <w:spacing w:beforeLines="50" w:afterLines="50" w:line="240" w:lineRule="auto"/>
    </w:pPr>
    <w:rPr>
      <w:rFonts w:ascii="仿宋" w:hAnsi="仿宋" w:eastAsia="仿宋" w:cs="仿宋"/>
      <w:bCs/>
      <w:sz w:val="24"/>
      <w:szCs w:val="24"/>
    </w:rPr>
  </w:style>
  <w:style w:type="paragraph" w:customStyle="1" w:styleId="469">
    <w:name w:val="Char Char Char Char Char Char Char"/>
    <w:basedOn w:val="1"/>
    <w:qFormat/>
    <w:uiPriority w:val="0"/>
    <w:rPr>
      <w:rFonts w:ascii="仿宋_GB2312" w:eastAsia="仿宋_GB2312"/>
      <w:b/>
      <w:sz w:val="32"/>
      <w:szCs w:val="32"/>
    </w:rPr>
  </w:style>
  <w:style w:type="paragraph" w:customStyle="1" w:styleId="470">
    <w:name w:val="目录两字"/>
    <w:basedOn w:val="1"/>
    <w:qFormat/>
    <w:uiPriority w:val="99"/>
    <w:pPr>
      <w:widowControl/>
      <w:spacing w:beforeLines="100" w:afterLines="100" w:line="360" w:lineRule="auto"/>
      <w:jc w:val="center"/>
    </w:pPr>
    <w:rPr>
      <w:rFonts w:ascii="仿宋" w:hAnsi="仿宋" w:eastAsia="仿宋"/>
      <w:b/>
      <w:sz w:val="32"/>
    </w:rPr>
  </w:style>
  <w:style w:type="paragraph" w:customStyle="1" w:styleId="471">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472">
    <w:name w:val="_Style 8"/>
    <w:basedOn w:val="1"/>
    <w:qFormat/>
    <w:uiPriority w:val="0"/>
    <w:pPr>
      <w:ind w:firstLine="420" w:firstLineChars="200"/>
    </w:pPr>
    <w:rPr>
      <w:rFonts w:ascii="仿宋" w:hAnsi="仿宋" w:eastAsia="仿宋"/>
      <w:szCs w:val="22"/>
    </w:rPr>
  </w:style>
  <w:style w:type="paragraph" w:customStyle="1" w:styleId="473">
    <w:name w:val="！调研报告1-1"/>
    <w:qFormat/>
    <w:uiPriority w:val="0"/>
    <w:pPr>
      <w:spacing w:beforeLines="50" w:afterLines="50" w:line="360" w:lineRule="auto"/>
      <w:outlineLvl w:val="1"/>
    </w:pPr>
    <w:rPr>
      <w:rFonts w:ascii="仿宋_GB2312" w:hAnsi="仿宋_GB2312" w:eastAsia="宋体" w:cs="仿宋_GB2312"/>
      <w:b/>
      <w:bCs/>
      <w:kern w:val="2"/>
      <w:sz w:val="28"/>
      <w:szCs w:val="24"/>
      <w:lang w:val="en-US" w:eastAsia="zh-CN" w:bidi="ar-SA"/>
    </w:rPr>
  </w:style>
  <w:style w:type="paragraph" w:customStyle="1" w:styleId="474">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475">
    <w:name w:val="样式 标题 3 + 段前: 1.4 行 段后: 1.4 行"/>
    <w:basedOn w:val="4"/>
    <w:qFormat/>
    <w:uiPriority w:val="0"/>
    <w:pPr>
      <w:widowControl/>
      <w:spacing w:beforeLines="100" w:afterLines="100" w:line="300" w:lineRule="auto"/>
      <w:ind w:firstLine="0" w:firstLineChars="0"/>
      <w:jc w:val="left"/>
    </w:pPr>
    <w:rPr>
      <w:rFonts w:ascii="Times New Roman" w:eastAsia="宋体" w:cs="宋体"/>
      <w:b w:val="0"/>
      <w:kern w:val="0"/>
      <w:sz w:val="24"/>
      <w:lang w:val="zh-CN"/>
    </w:rPr>
  </w:style>
  <w:style w:type="paragraph" w:customStyle="1" w:styleId="476">
    <w:name w:val="_Style 9"/>
    <w:basedOn w:val="1"/>
    <w:qFormat/>
    <w:uiPriority w:val="99"/>
    <w:pPr>
      <w:spacing w:line="360" w:lineRule="auto"/>
      <w:ind w:firstLine="420" w:firstLineChars="200"/>
    </w:pPr>
    <w:rPr>
      <w:rFonts w:ascii="Calibri" w:hAnsi="Calibri" w:eastAsia="仿宋"/>
      <w:sz w:val="24"/>
    </w:rPr>
  </w:style>
  <w:style w:type="paragraph" w:customStyle="1" w:styleId="477">
    <w:name w:val="Char Char Char Char Char Char Char1"/>
    <w:basedOn w:val="1"/>
    <w:qFormat/>
    <w:uiPriority w:val="0"/>
    <w:rPr>
      <w:rFonts w:ascii="仿宋_GB2312" w:eastAsia="仿宋_GB2312"/>
      <w:b/>
      <w:sz w:val="32"/>
      <w:szCs w:val="32"/>
    </w:rPr>
  </w:style>
  <w:style w:type="paragraph" w:customStyle="1" w:styleId="478">
    <w:name w:val="正文3"/>
    <w:qFormat/>
    <w:uiPriority w:val="99"/>
    <w:pPr>
      <w:jc w:val="both"/>
    </w:pPr>
    <w:rPr>
      <w:rFonts w:ascii="Times New Roman" w:hAnsi="Times New Roman" w:eastAsia="宋体" w:cs="Times New Roman"/>
      <w:kern w:val="2"/>
      <w:sz w:val="21"/>
      <w:szCs w:val="21"/>
      <w:lang w:val="en-US" w:eastAsia="zh-CN" w:bidi="ar-SA"/>
    </w:rPr>
  </w:style>
  <w:style w:type="paragraph" w:customStyle="1" w:styleId="479">
    <w:name w:val="Block"/>
    <w:basedOn w:val="1"/>
    <w:next w:val="480"/>
    <w:qFormat/>
    <w:uiPriority w:val="0"/>
    <w:pPr>
      <w:ind w:firstLine="1446" w:firstLineChars="200"/>
      <w:jc w:val="left"/>
    </w:pPr>
    <w:rPr>
      <w:rFonts w:ascii="Arial" w:hAnsi="Arial" w:eastAsia="楷体_GB2312"/>
      <w:color w:val="000080"/>
      <w:sz w:val="28"/>
      <w:szCs w:val="28"/>
    </w:rPr>
  </w:style>
  <w:style w:type="paragraph" w:customStyle="1" w:styleId="480">
    <w:name w:val="常规"/>
    <w:basedOn w:val="1"/>
    <w:qFormat/>
    <w:uiPriority w:val="0"/>
    <w:pPr>
      <w:spacing w:beforeLines="100" w:afterLines="100" w:line="360" w:lineRule="auto"/>
      <w:ind w:left="1134" w:firstLine="420" w:firstLineChars="200"/>
      <w:jc w:val="left"/>
    </w:pPr>
    <w:rPr>
      <w:rFonts w:eastAsia="仿宋"/>
      <w:kern w:val="0"/>
      <w:sz w:val="20"/>
      <w:szCs w:val="21"/>
    </w:rPr>
  </w:style>
  <w:style w:type="paragraph" w:customStyle="1" w:styleId="481">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48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483">
    <w:name w:val="Style26"/>
    <w:basedOn w:val="1"/>
    <w:qFormat/>
    <w:uiPriority w:val="0"/>
    <w:pPr>
      <w:widowControl/>
      <w:adjustRightInd w:val="0"/>
      <w:spacing w:line="481" w:lineRule="exact"/>
      <w:ind w:firstLine="490"/>
      <w:jc w:val="left"/>
    </w:pPr>
    <w:rPr>
      <w:rFonts w:eastAsia="Times New Roman"/>
      <w:kern w:val="0"/>
      <w:sz w:val="24"/>
    </w:rPr>
  </w:style>
  <w:style w:type="paragraph" w:customStyle="1" w:styleId="484">
    <w:name w:val="列出段落21"/>
    <w:basedOn w:val="1"/>
    <w:qFormat/>
    <w:uiPriority w:val="34"/>
    <w:pPr>
      <w:ind w:firstLine="420" w:firstLineChars="200"/>
    </w:pPr>
    <w:rPr>
      <w:szCs w:val="22"/>
    </w:rPr>
  </w:style>
  <w:style w:type="paragraph" w:customStyle="1" w:styleId="485">
    <w:name w:val="List Paragraph2"/>
    <w:basedOn w:val="1"/>
    <w:qFormat/>
    <w:uiPriority w:val="0"/>
    <w:pPr>
      <w:spacing w:line="360" w:lineRule="auto"/>
      <w:ind w:firstLine="420" w:firstLineChars="200"/>
    </w:pPr>
    <w:rPr>
      <w:sz w:val="24"/>
      <w:szCs w:val="22"/>
    </w:rPr>
  </w:style>
  <w:style w:type="paragraph" w:customStyle="1" w:styleId="486">
    <w:name w:val="font7"/>
    <w:basedOn w:val="1"/>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487">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488">
    <w:name w:val="reader-word-layer reader-word-s3-15"/>
    <w:basedOn w:val="1"/>
    <w:qFormat/>
    <w:uiPriority w:val="0"/>
    <w:pPr>
      <w:widowControl/>
      <w:spacing w:before="100" w:beforeAutospacing="1" w:after="100" w:afterAutospacing="1"/>
      <w:jc w:val="left"/>
    </w:pPr>
    <w:rPr>
      <w:rFonts w:ascii="宋体" w:hAnsi="宋体" w:cs="宋体"/>
      <w:kern w:val="0"/>
      <w:sz w:val="24"/>
    </w:rPr>
  </w:style>
  <w:style w:type="paragraph" w:customStyle="1" w:styleId="489">
    <w:name w:val="样式2"/>
    <w:basedOn w:val="1"/>
    <w:qFormat/>
    <w:uiPriority w:val="0"/>
    <w:pPr>
      <w:widowControl/>
      <w:tabs>
        <w:tab w:val="left" w:pos="840"/>
      </w:tabs>
      <w:overflowPunct w:val="0"/>
      <w:autoSpaceDE w:val="0"/>
      <w:autoSpaceDN w:val="0"/>
      <w:adjustRightInd w:val="0"/>
      <w:snapToGrid w:val="0"/>
      <w:spacing w:beforeLines="20" w:afterLines="20" w:line="440" w:lineRule="exact"/>
      <w:ind w:left="840" w:hanging="420"/>
      <w:jc w:val="left"/>
      <w:outlineLvl w:val="0"/>
    </w:pPr>
    <w:rPr>
      <w:rFonts w:ascii="宋体" w:hAnsi="宋体"/>
      <w:kern w:val="0"/>
      <w:szCs w:val="21"/>
      <w:lang w:bidi="he-IL"/>
    </w:rPr>
  </w:style>
  <w:style w:type="paragraph" w:customStyle="1" w:styleId="49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491">
    <w:name w:val="样式 样式 特点标题 + 首行缩进:  2 字符 + 首行缩进:  2 字符"/>
    <w:basedOn w:val="1"/>
    <w:qFormat/>
    <w:uiPriority w:val="0"/>
    <w:pPr>
      <w:widowControl/>
      <w:overflowPunct w:val="0"/>
      <w:autoSpaceDE w:val="0"/>
      <w:autoSpaceDN w:val="0"/>
      <w:adjustRightInd w:val="0"/>
      <w:spacing w:line="360" w:lineRule="auto"/>
      <w:ind w:firstLine="200" w:firstLineChars="200"/>
      <w:jc w:val="left"/>
    </w:pPr>
    <w:rPr>
      <w:rFonts w:cs="宋体"/>
      <w:kern w:val="0"/>
      <w:sz w:val="24"/>
      <w:szCs w:val="20"/>
    </w:rPr>
  </w:style>
  <w:style w:type="paragraph" w:customStyle="1" w:styleId="492">
    <w:name w:val="图示"/>
    <w:basedOn w:val="192"/>
    <w:qFormat/>
    <w:uiPriority w:val="0"/>
    <w:pPr>
      <w:tabs>
        <w:tab w:val="left" w:pos="0"/>
      </w:tabs>
      <w:spacing w:line="360" w:lineRule="auto"/>
      <w:jc w:val="center"/>
    </w:pPr>
    <w:rPr>
      <w:rFonts w:ascii="Times New Roman" w:hAnsi="Times New Roman" w:eastAsia="黑体"/>
      <w:b/>
      <w:szCs w:val="24"/>
    </w:rPr>
  </w:style>
  <w:style w:type="paragraph" w:customStyle="1" w:styleId="493">
    <w:name w:val="页码1"/>
    <w:basedOn w:val="1"/>
    <w:next w:val="1"/>
    <w:qFormat/>
    <w:uiPriority w:val="0"/>
    <w:pPr>
      <w:widowControl/>
    </w:pPr>
    <w:rPr>
      <w:color w:val="000000"/>
      <w:szCs w:val="20"/>
    </w:rPr>
  </w:style>
  <w:style w:type="paragraph" w:customStyle="1" w:styleId="494">
    <w:name w:val="正文标题3"/>
    <w:basedOn w:val="148"/>
    <w:qFormat/>
    <w:uiPriority w:val="0"/>
    <w:pPr>
      <w:widowControl w:val="0"/>
      <w:spacing w:before="50" w:after="0"/>
      <w:ind w:left="820" w:hanging="420"/>
      <w:jc w:val="left"/>
    </w:pPr>
    <w:rPr>
      <w:rFonts w:ascii="仿宋" w:hAnsi="仿宋" w:eastAsia="仿宋"/>
      <w:b/>
      <w:szCs w:val="48"/>
    </w:rPr>
  </w:style>
  <w:style w:type="paragraph" w:customStyle="1" w:styleId="495">
    <w:name w:val="0-1级标题."/>
    <w:basedOn w:val="2"/>
    <w:qFormat/>
    <w:uiPriority w:val="0"/>
    <w:pPr>
      <w:keepLines/>
      <w:pageBreakBefore/>
      <w:widowControl/>
      <w:tabs>
        <w:tab w:val="left" w:pos="425"/>
      </w:tabs>
      <w:autoSpaceDE/>
      <w:autoSpaceDN/>
      <w:textAlignment w:val="auto"/>
    </w:pPr>
    <w:rPr>
      <w:rFonts w:ascii="Times New Roman" w:eastAsia="宋体"/>
      <w:color w:val="000000"/>
      <w:kern w:val="44"/>
      <w:sz w:val="32"/>
      <w:lang w:val="zh-CN"/>
    </w:rPr>
  </w:style>
  <w:style w:type="paragraph" w:customStyle="1" w:styleId="496">
    <w:name w:val="Style6"/>
    <w:basedOn w:val="1"/>
    <w:qFormat/>
    <w:uiPriority w:val="0"/>
    <w:pPr>
      <w:widowControl/>
      <w:adjustRightInd w:val="0"/>
      <w:jc w:val="left"/>
    </w:pPr>
    <w:rPr>
      <w:rFonts w:eastAsia="Times New Roman"/>
      <w:kern w:val="0"/>
      <w:sz w:val="24"/>
    </w:rPr>
  </w:style>
  <w:style w:type="paragraph" w:customStyle="1" w:styleId="497">
    <w:name w:val="[Normal]"/>
    <w:qFormat/>
    <w:uiPriority w:val="0"/>
    <w:rPr>
      <w:rFonts w:ascii="宋体" w:hAnsi="宋体" w:eastAsia="宋体" w:cs="Times New Roman"/>
      <w:sz w:val="24"/>
      <w:szCs w:val="22"/>
      <w:lang w:val="zh-CN" w:eastAsia="zh-CN" w:bidi="ar-SA"/>
    </w:rPr>
  </w:style>
  <w:style w:type="paragraph" w:customStyle="1" w:styleId="498">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00">
    <w:name w:val="样式 标题 3h3H3sect1.2.3 + 五号 段前: 6 磅 段后: 6 磅 行距: 单倍行距"/>
    <w:basedOn w:val="4"/>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kern w:val="0"/>
      <w:sz w:val="21"/>
    </w:rPr>
  </w:style>
  <w:style w:type="paragraph" w:customStyle="1" w:styleId="501">
    <w:name w:val="_Style 2"/>
    <w:basedOn w:val="1"/>
    <w:next w:val="19"/>
    <w:qFormat/>
    <w:uiPriority w:val="99"/>
    <w:rPr>
      <w:sz w:val="28"/>
    </w:rPr>
  </w:style>
  <w:style w:type="paragraph" w:customStyle="1" w:styleId="502">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503">
    <w:name w:val="表内字体2"/>
    <w:basedOn w:val="1"/>
    <w:qFormat/>
    <w:uiPriority w:val="99"/>
    <w:pPr>
      <w:widowControl/>
      <w:autoSpaceDE w:val="0"/>
      <w:autoSpaceDN w:val="0"/>
      <w:adjustRightInd w:val="0"/>
      <w:spacing w:afterLines="50" w:line="400" w:lineRule="exact"/>
      <w:ind w:firstLine="482"/>
      <w:jc w:val="left"/>
    </w:pPr>
    <w:rPr>
      <w:rFonts w:ascii="宋体"/>
      <w:color w:val="000000"/>
      <w:sz w:val="24"/>
    </w:rPr>
  </w:style>
  <w:style w:type="paragraph" w:customStyle="1" w:styleId="504">
    <w:name w:val="列出段落4"/>
    <w:basedOn w:val="1"/>
    <w:qFormat/>
    <w:uiPriority w:val="0"/>
    <w:pPr>
      <w:ind w:firstLine="420" w:firstLineChars="200"/>
    </w:pPr>
    <w:rPr>
      <w:szCs w:val="22"/>
    </w:rPr>
  </w:style>
  <w:style w:type="paragraph" w:customStyle="1" w:styleId="505">
    <w:name w:val="def正文"/>
    <w:basedOn w:val="19"/>
    <w:qFormat/>
    <w:uiPriority w:val="0"/>
    <w:pPr>
      <w:widowControl/>
      <w:tabs>
        <w:tab w:val="clear" w:pos="208"/>
      </w:tabs>
      <w:spacing w:line="360" w:lineRule="auto"/>
      <w:ind w:firstLine="510"/>
      <w:jc w:val="left"/>
    </w:pPr>
    <w:rPr>
      <w:rFonts w:ascii="Times New Roman" w:eastAsia="宋体"/>
      <w:kern w:val="0"/>
      <w:sz w:val="24"/>
    </w:rPr>
  </w:style>
  <w:style w:type="paragraph" w:customStyle="1" w:styleId="506">
    <w:name w:val="List Paragraph11"/>
    <w:basedOn w:val="1"/>
    <w:qFormat/>
    <w:uiPriority w:val="0"/>
    <w:pPr>
      <w:ind w:firstLine="420" w:firstLineChars="200"/>
    </w:pPr>
    <w:rPr>
      <w:szCs w:val="20"/>
    </w:rPr>
  </w:style>
  <w:style w:type="paragraph" w:customStyle="1" w:styleId="507">
    <w:name w:val="样式 正文首行缩进 2 + 左侧:  1.5 字符 首行缩进:  2 字符2"/>
    <w:basedOn w:val="1"/>
    <w:next w:val="1"/>
    <w:qFormat/>
    <w:uiPriority w:val="0"/>
    <w:pPr>
      <w:spacing w:line="360" w:lineRule="auto"/>
      <w:ind w:firstLine="480" w:firstLineChars="200"/>
    </w:pPr>
    <w:rPr>
      <w:rFonts w:ascii="宋体" w:hAnsi="宋体"/>
      <w:sz w:val="24"/>
    </w:rPr>
  </w:style>
  <w:style w:type="paragraph" w:customStyle="1" w:styleId="508">
    <w:name w:val="Normal1"/>
    <w:qFormat/>
    <w:uiPriority w:val="0"/>
    <w:pPr>
      <w:jc w:val="both"/>
    </w:pPr>
    <w:rPr>
      <w:rFonts w:ascii="Times New Roman" w:hAnsi="Times New Roman" w:eastAsia="宋体" w:cs="Times New Roman"/>
      <w:kern w:val="2"/>
      <w:sz w:val="21"/>
      <w:szCs w:val="21"/>
      <w:lang w:val="en-US" w:eastAsia="zh-CN" w:bidi="ar-SA"/>
    </w:rPr>
  </w:style>
  <w:style w:type="paragraph" w:customStyle="1" w:styleId="509">
    <w:name w:val="Char Char Char Char Char Char Char Char Char Char"/>
    <w:basedOn w:val="1"/>
    <w:qFormat/>
    <w:uiPriority w:val="0"/>
    <w:pPr>
      <w:widowControl/>
      <w:tabs>
        <w:tab w:val="left" w:pos="360"/>
      </w:tabs>
      <w:ind w:left="360" w:hanging="360" w:hangingChars="200"/>
      <w:jc w:val="left"/>
    </w:pPr>
    <w:rPr>
      <w:sz w:val="24"/>
      <w:szCs w:val="20"/>
    </w:rPr>
  </w:style>
  <w:style w:type="paragraph" w:customStyle="1" w:styleId="510">
    <w:name w:val="小标题3"/>
    <w:basedOn w:val="1"/>
    <w:next w:val="1"/>
    <w:qFormat/>
    <w:uiPriority w:val="0"/>
    <w:pPr>
      <w:widowControl/>
      <w:spacing w:line="360" w:lineRule="auto"/>
      <w:jc w:val="left"/>
    </w:pPr>
    <w:rPr>
      <w:rFonts w:eastAsia="仿宋"/>
      <w:sz w:val="24"/>
    </w:rPr>
  </w:style>
  <w:style w:type="paragraph" w:customStyle="1" w:styleId="511">
    <w:name w:val="desc"/>
    <w:basedOn w:val="1"/>
    <w:qFormat/>
    <w:uiPriority w:val="0"/>
    <w:pPr>
      <w:widowControl/>
      <w:spacing w:before="100" w:beforeAutospacing="1" w:after="100" w:afterAutospacing="1"/>
      <w:jc w:val="left"/>
    </w:pPr>
    <w:rPr>
      <w:rFonts w:ascii="宋体" w:hAnsi="宋体" w:cs="宋体"/>
      <w:kern w:val="0"/>
      <w:sz w:val="24"/>
    </w:rPr>
  </w:style>
  <w:style w:type="paragraph" w:customStyle="1" w:styleId="512">
    <w:name w:val="标题二自定义"/>
    <w:basedOn w:val="3"/>
    <w:next w:val="1"/>
    <w:qFormat/>
    <w:uiPriority w:val="0"/>
    <w:pPr>
      <w:keepLines/>
      <w:pBdr>
        <w:top w:val="none" w:color="auto" w:sz="0" w:space="1"/>
        <w:left w:val="none" w:color="auto" w:sz="0" w:space="4"/>
        <w:bottom w:val="none" w:color="auto" w:sz="0" w:space="1"/>
        <w:right w:val="none" w:color="auto" w:sz="0" w:space="4"/>
      </w:pBdr>
      <w:adjustRightInd/>
      <w:snapToGrid/>
      <w:spacing w:before="312" w:after="312"/>
      <w:ind w:left="141"/>
      <w:jc w:val="both"/>
      <w:textAlignment w:val="auto"/>
    </w:pPr>
    <w:rPr>
      <w:rFonts w:ascii="仿宋" w:hAnsi="仿宋" w:eastAsia="仿宋"/>
      <w:sz w:val="30"/>
      <w:szCs w:val="24"/>
    </w:rPr>
  </w:style>
  <w:style w:type="paragraph" w:customStyle="1" w:styleId="5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14">
    <w:name w:val="样式 标题 2 + 仿宋_GB2312 小三 段前: 1.5 磅 行距: 单倍行距"/>
    <w:basedOn w:val="3"/>
    <w:qFormat/>
    <w:uiPriority w:val="99"/>
    <w:pPr>
      <w:keepLines/>
      <w:widowControl/>
      <w:adjustRightInd/>
      <w:snapToGrid/>
      <w:spacing w:before="260" w:after="0" w:line="240" w:lineRule="auto"/>
      <w:jc w:val="both"/>
      <w:textAlignment w:val="auto"/>
    </w:pPr>
    <w:rPr>
      <w:rFonts w:ascii="Times New Roman" w:hAnsi="Arial" w:eastAsia="宋体" w:cs="宋体"/>
      <w:bCs/>
      <w:sz w:val="28"/>
      <w:lang w:val="zh-CN"/>
    </w:rPr>
  </w:style>
  <w:style w:type="paragraph" w:customStyle="1" w:styleId="51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516">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517">
    <w:name w:val="xl8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518">
    <w:name w:val="模板标题2"/>
    <w:basedOn w:val="1"/>
    <w:next w:val="1"/>
    <w:qFormat/>
    <w:uiPriority w:val="0"/>
    <w:pPr>
      <w:keepNext/>
      <w:keepLines/>
      <w:tabs>
        <w:tab w:val="left" w:pos="1080"/>
      </w:tabs>
      <w:spacing w:afterLines="50"/>
      <w:outlineLvl w:val="1"/>
    </w:pPr>
    <w:rPr>
      <w:rFonts w:ascii="Arial" w:hAnsi="Arial"/>
      <w:b/>
      <w:kern w:val="32"/>
      <w:sz w:val="28"/>
      <w:szCs w:val="20"/>
    </w:rPr>
  </w:style>
  <w:style w:type="paragraph" w:customStyle="1" w:styleId="519">
    <w:name w:val="第三极标题"/>
    <w:basedOn w:val="4"/>
    <w:next w:val="1"/>
    <w:qFormat/>
    <w:uiPriority w:val="0"/>
    <w:pPr>
      <w:spacing w:before="120" w:after="120"/>
      <w:ind w:left="1418" w:hanging="709" w:firstLineChars="0"/>
    </w:pPr>
    <w:rPr>
      <w:rFonts w:ascii="Calibri" w:hAnsi="Calibri" w:eastAsia="仿宋"/>
      <w:szCs w:val="32"/>
    </w:rPr>
  </w:style>
  <w:style w:type="paragraph" w:customStyle="1" w:styleId="520">
    <w:name w:val="Table Paragraph"/>
    <w:basedOn w:val="1"/>
    <w:qFormat/>
    <w:uiPriority w:val="1"/>
    <w:pPr>
      <w:autoSpaceDE w:val="0"/>
      <w:autoSpaceDN w:val="0"/>
      <w:jc w:val="left"/>
    </w:pPr>
    <w:rPr>
      <w:rFonts w:ascii="Noto Sans CJK JP Regular" w:hAnsi="Noto Sans CJK JP Regular" w:eastAsia="Noto Sans CJK JP Regular" w:cs="Noto Sans CJK JP Regular"/>
      <w:kern w:val="0"/>
      <w:sz w:val="22"/>
      <w:szCs w:val="22"/>
      <w:lang w:eastAsia="en-US" w:bidi="en-US"/>
    </w:rPr>
  </w:style>
  <w:style w:type="paragraph" w:customStyle="1" w:styleId="521">
    <w:name w:val="题注4"/>
    <w:basedOn w:val="1"/>
    <w:next w:val="14"/>
    <w:qFormat/>
    <w:uiPriority w:val="99"/>
    <w:pPr>
      <w:widowControl/>
      <w:ind w:left="-132" w:leftChars="-64" w:right="-105" w:rightChars="-50" w:hanging="2"/>
      <w:jc w:val="center"/>
    </w:pPr>
    <w:rPr>
      <w:b/>
      <w:color w:val="FF0000"/>
      <w:szCs w:val="21"/>
      <w:lang w:val="en-GB"/>
    </w:rPr>
  </w:style>
  <w:style w:type="paragraph" w:customStyle="1" w:styleId="522">
    <w:name w:val="xl5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523">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ind w:firstLine="200" w:firstLineChars="200"/>
      <w:jc w:val="center"/>
    </w:pPr>
    <w:rPr>
      <w:rFonts w:ascii="DotumChe" w:hAnsi="DotumChe" w:eastAsia="DotumChe" w:cs="宋体"/>
      <w:kern w:val="0"/>
      <w:sz w:val="20"/>
      <w:szCs w:val="20"/>
    </w:rPr>
  </w:style>
  <w:style w:type="paragraph" w:customStyle="1" w:styleId="524">
    <w:name w:val="第一级标题"/>
    <w:basedOn w:val="2"/>
    <w:next w:val="1"/>
    <w:qFormat/>
    <w:uiPriority w:val="0"/>
    <w:pPr>
      <w:keepLines/>
      <w:tabs>
        <w:tab w:val="left" w:pos="360"/>
      </w:tabs>
      <w:autoSpaceDE/>
      <w:autoSpaceDN/>
      <w:spacing w:before="340" w:after="330" w:line="578" w:lineRule="auto"/>
      <w:ind w:left="360" w:hanging="360"/>
      <w:jc w:val="both"/>
      <w:textAlignment w:val="auto"/>
    </w:pPr>
    <w:rPr>
      <w:rFonts w:ascii="Calibri" w:hAnsi="Calibri" w:eastAsia="宋体"/>
      <w:bCs/>
      <w:kern w:val="44"/>
      <w:szCs w:val="44"/>
    </w:rPr>
  </w:style>
  <w:style w:type="paragraph" w:customStyle="1" w:styleId="52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526">
    <w:name w:val="！调研报告1"/>
    <w:basedOn w:val="2"/>
    <w:qFormat/>
    <w:uiPriority w:val="0"/>
    <w:pPr>
      <w:keepLines/>
      <w:widowControl/>
      <w:adjustRightInd w:val="0"/>
      <w:spacing w:beforeLines="100" w:afterLines="100"/>
      <w:textAlignment w:val="auto"/>
    </w:pPr>
    <w:rPr>
      <w:rFonts w:ascii="黑体" w:hAnsi="宋体" w:eastAsia="黑体"/>
      <w:bCs/>
      <w:color w:val="000000"/>
      <w:kern w:val="0"/>
      <w:sz w:val="32"/>
      <w:szCs w:val="20"/>
      <w:lang w:val="zh-CN"/>
    </w:rPr>
  </w:style>
  <w:style w:type="paragraph" w:customStyle="1" w:styleId="52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528">
    <w:name w:val="xl64"/>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529">
    <w:name w:val="hik 正文"/>
    <w:basedOn w:val="1"/>
    <w:qFormat/>
    <w:uiPriority w:val="0"/>
    <w:pPr>
      <w:spacing w:line="360" w:lineRule="auto"/>
      <w:ind w:firstLine="480" w:firstLineChars="200"/>
      <w:jc w:val="left"/>
    </w:pPr>
    <w:rPr>
      <w:rFonts w:ascii="Arial" w:hAnsi="Arial"/>
      <w:bCs/>
      <w:sz w:val="24"/>
      <w:lang w:eastAsia="zh-TW"/>
    </w:rPr>
  </w:style>
  <w:style w:type="paragraph" w:customStyle="1" w:styleId="530">
    <w:name w:val="文字"/>
    <w:basedOn w:val="1"/>
    <w:qFormat/>
    <w:uiPriority w:val="0"/>
    <w:pPr>
      <w:widowControl/>
      <w:adjustRightInd w:val="0"/>
      <w:snapToGrid w:val="0"/>
      <w:spacing w:line="312" w:lineRule="auto"/>
      <w:ind w:firstLine="567"/>
      <w:jc w:val="left"/>
      <w:textAlignment w:val="baseline"/>
    </w:pPr>
    <w:rPr>
      <w:rFonts w:ascii="宋体" w:cs="宋体"/>
      <w:spacing w:val="6"/>
      <w:kern w:val="0"/>
      <w:sz w:val="28"/>
      <w:szCs w:val="28"/>
    </w:rPr>
  </w:style>
  <w:style w:type="paragraph" w:customStyle="1" w:styleId="531">
    <w:name w:val="Style4"/>
    <w:basedOn w:val="1"/>
    <w:qFormat/>
    <w:uiPriority w:val="0"/>
    <w:pPr>
      <w:widowControl/>
      <w:adjustRightInd w:val="0"/>
      <w:spacing w:line="482" w:lineRule="exact"/>
      <w:ind w:firstLine="485"/>
      <w:jc w:val="left"/>
    </w:pPr>
    <w:rPr>
      <w:rFonts w:eastAsia="Times New Roman"/>
      <w:kern w:val="0"/>
      <w:sz w:val="24"/>
    </w:rPr>
  </w:style>
  <w:style w:type="paragraph" w:customStyle="1" w:styleId="532">
    <w:name w:val="TOC 标题11"/>
    <w:basedOn w:val="2"/>
    <w:next w:val="1"/>
    <w:qFormat/>
    <w:uiPriority w:val="0"/>
    <w:pPr>
      <w:keepLines/>
      <w:widowControl/>
      <w:autoSpaceDE/>
      <w:autoSpaceDN/>
      <w:spacing w:before="480" w:line="276" w:lineRule="auto"/>
      <w:jc w:val="left"/>
      <w:textAlignment w:val="auto"/>
      <w:outlineLvl w:val="9"/>
    </w:pPr>
    <w:rPr>
      <w:rFonts w:ascii="Cambria" w:hAnsi="Cambria" w:eastAsia="宋体"/>
      <w:bCs/>
      <w:color w:val="365F90"/>
      <w:kern w:val="0"/>
      <w:sz w:val="28"/>
      <w:szCs w:val="28"/>
    </w:rPr>
  </w:style>
  <w:style w:type="paragraph" w:customStyle="1" w:styleId="533">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4">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535">
    <w:name w:val="模板标题3"/>
    <w:basedOn w:val="1"/>
    <w:next w:val="51"/>
    <w:qFormat/>
    <w:uiPriority w:val="0"/>
    <w:pPr>
      <w:keepNext/>
      <w:keepLines/>
      <w:tabs>
        <w:tab w:val="left" w:pos="1080"/>
      </w:tabs>
      <w:spacing w:afterLines="50"/>
      <w:outlineLvl w:val="2"/>
    </w:pPr>
    <w:rPr>
      <w:rFonts w:ascii="Arial" w:hAnsi="Arial"/>
      <w:b/>
      <w:kern w:val="21"/>
      <w:sz w:val="24"/>
      <w:szCs w:val="20"/>
    </w:rPr>
  </w:style>
  <w:style w:type="paragraph" w:customStyle="1" w:styleId="536">
    <w:name w:val="专业项目标题3"/>
    <w:basedOn w:val="3"/>
    <w:qFormat/>
    <w:uiPriority w:val="0"/>
    <w:pPr>
      <w:keepNext w:val="0"/>
      <w:keepLines/>
      <w:widowControl/>
      <w:adjustRightInd/>
      <w:snapToGrid/>
      <w:spacing w:before="260" w:after="260"/>
      <w:ind w:firstLine="200" w:firstLineChars="200"/>
      <w:jc w:val="both"/>
      <w:textAlignment w:val="auto"/>
      <w:outlineLvl w:val="4"/>
    </w:pPr>
    <w:rPr>
      <w:rFonts w:ascii="Times New Roman" w:hAnsi="宋体" w:eastAsia="宋体"/>
      <w:bCs/>
      <w:kern w:val="2"/>
      <w:sz w:val="24"/>
      <w:szCs w:val="24"/>
      <w:lang w:val="zh-CN"/>
    </w:rPr>
  </w:style>
  <w:style w:type="paragraph" w:customStyle="1" w:styleId="537">
    <w:name w:val="模板标题4"/>
    <w:basedOn w:val="1"/>
    <w:next w:val="51"/>
    <w:qFormat/>
    <w:uiPriority w:val="0"/>
    <w:pPr>
      <w:tabs>
        <w:tab w:val="left" w:pos="1440"/>
      </w:tabs>
      <w:spacing w:afterLines="50"/>
      <w:outlineLvl w:val="3"/>
    </w:pPr>
    <w:rPr>
      <w:rFonts w:ascii="宋体" w:hAnsi="宋体"/>
      <w:b/>
      <w:szCs w:val="20"/>
    </w:rPr>
  </w:style>
  <w:style w:type="paragraph" w:customStyle="1" w:styleId="538">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53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540">
    <w:name w:val="索引 11"/>
    <w:basedOn w:val="1"/>
    <w:next w:val="1"/>
    <w:qFormat/>
    <w:uiPriority w:val="0"/>
    <w:pPr>
      <w:spacing w:line="240" w:lineRule="exact"/>
      <w:ind w:firstLine="420" w:firstLineChars="200"/>
    </w:pPr>
    <w:rPr>
      <w:rFonts w:ascii="宋体" w:hAnsi="宋体"/>
      <w:bCs/>
      <w:szCs w:val="21"/>
    </w:rPr>
  </w:style>
  <w:style w:type="paragraph" w:customStyle="1" w:styleId="541">
    <w:name w:val="Char Char Char Char"/>
    <w:basedOn w:val="1"/>
    <w:qFormat/>
    <w:uiPriority w:val="0"/>
    <w:pPr>
      <w:adjustRightInd w:val="0"/>
      <w:spacing w:line="360" w:lineRule="auto"/>
    </w:pPr>
    <w:rPr>
      <w:kern w:val="0"/>
      <w:sz w:val="24"/>
      <w:szCs w:val="20"/>
    </w:rPr>
  </w:style>
  <w:style w:type="paragraph" w:customStyle="1" w:styleId="542">
    <w:name w:val="TOC 标题1"/>
    <w:basedOn w:val="2"/>
    <w:next w:val="1"/>
    <w:qFormat/>
    <w:uiPriority w:val="39"/>
    <w:pPr>
      <w:keepLines/>
      <w:widowControl/>
      <w:autoSpaceDE/>
      <w:autoSpaceDN/>
      <w:spacing w:before="480" w:line="276" w:lineRule="auto"/>
      <w:ind w:left="740" w:hanging="425"/>
      <w:jc w:val="left"/>
      <w:textAlignment w:val="auto"/>
      <w:outlineLvl w:val="9"/>
    </w:pPr>
    <w:rPr>
      <w:rFonts w:ascii="Cambria" w:hAnsi="Cambria" w:eastAsia="宋体"/>
      <w:bCs/>
      <w:color w:val="365F91"/>
      <w:kern w:val="0"/>
      <w:sz w:val="28"/>
      <w:szCs w:val="28"/>
      <w:lang w:val="zh-CN"/>
    </w:rPr>
  </w:style>
  <w:style w:type="paragraph" w:customStyle="1" w:styleId="543">
    <w:name w:val="列出段落1"/>
    <w:basedOn w:val="1"/>
    <w:qFormat/>
    <w:uiPriority w:val="34"/>
    <w:pPr>
      <w:ind w:firstLine="420" w:firstLineChars="200"/>
    </w:pPr>
    <w:rPr>
      <w:rFonts w:ascii="Calibri" w:hAnsi="Calibri"/>
      <w:szCs w:val="22"/>
    </w:rPr>
  </w:style>
  <w:style w:type="paragraph" w:customStyle="1" w:styleId="544">
    <w:name w:val="普通(网站)1"/>
    <w:basedOn w:val="1"/>
    <w:qFormat/>
    <w:uiPriority w:val="0"/>
    <w:pPr>
      <w:widowControl/>
      <w:spacing w:beforeAutospacing="1" w:after="100" w:afterAutospacing="1"/>
      <w:jc w:val="left"/>
    </w:pPr>
    <w:rPr>
      <w:rFonts w:ascii="宋体" w:hAnsi="宋体"/>
      <w:color w:val="000000"/>
      <w:kern w:val="0"/>
      <w:sz w:val="24"/>
    </w:rPr>
  </w:style>
  <w:style w:type="paragraph" w:customStyle="1" w:styleId="545">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546">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547">
    <w:name w:val="图题注"/>
    <w:basedOn w:val="1"/>
    <w:next w:val="1"/>
    <w:qFormat/>
    <w:uiPriority w:val="6"/>
    <w:pPr>
      <w:widowControl/>
      <w:spacing w:afterLines="50" w:line="360" w:lineRule="auto"/>
      <w:jc w:val="center"/>
    </w:pPr>
    <w:rPr>
      <w:rFonts w:eastAsia="仿宋"/>
      <w:b/>
      <w:szCs w:val="21"/>
    </w:rPr>
  </w:style>
  <w:style w:type="paragraph" w:customStyle="1" w:styleId="548">
    <w:name w:val="正文1"/>
    <w:basedOn w:val="1"/>
    <w:qFormat/>
    <w:uiPriority w:val="0"/>
    <w:pPr>
      <w:adjustRightInd w:val="0"/>
      <w:spacing w:line="360" w:lineRule="atLeast"/>
      <w:jc w:val="left"/>
      <w:textAlignment w:val="baseline"/>
    </w:pPr>
    <w:rPr>
      <w:rFonts w:ascii="宋体"/>
      <w:kern w:val="0"/>
      <w:sz w:val="24"/>
      <w:szCs w:val="20"/>
    </w:rPr>
  </w:style>
  <w:style w:type="paragraph" w:customStyle="1" w:styleId="549">
    <w:name w:val="xl5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550">
    <w:name w:val="reader-word-layer reader-word-s1-7"/>
    <w:basedOn w:val="1"/>
    <w:qFormat/>
    <w:uiPriority w:val="0"/>
    <w:pPr>
      <w:widowControl/>
      <w:spacing w:before="100" w:beforeAutospacing="1" w:after="100" w:afterAutospacing="1"/>
      <w:jc w:val="left"/>
    </w:pPr>
    <w:rPr>
      <w:rFonts w:ascii="宋体" w:hAnsi="宋体" w:cs="宋体"/>
      <w:kern w:val="0"/>
      <w:sz w:val="24"/>
    </w:rPr>
  </w:style>
  <w:style w:type="paragraph" w:customStyle="1" w:styleId="551">
    <w:name w:val="xl4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552">
    <w:name w:val="模板标题5"/>
    <w:basedOn w:val="1"/>
    <w:next w:val="51"/>
    <w:qFormat/>
    <w:uiPriority w:val="0"/>
    <w:pPr>
      <w:tabs>
        <w:tab w:val="left" w:pos="1800"/>
      </w:tabs>
      <w:spacing w:afterLines="50"/>
      <w:outlineLvl w:val="4"/>
    </w:pPr>
    <w:rPr>
      <w:rFonts w:ascii="宋体" w:hAnsi="宋体"/>
      <w:b/>
      <w:szCs w:val="20"/>
    </w:rPr>
  </w:style>
  <w:style w:type="paragraph" w:customStyle="1" w:styleId="553">
    <w:name w:val="列出段落5"/>
    <w:basedOn w:val="1"/>
    <w:qFormat/>
    <w:uiPriority w:val="34"/>
    <w:pPr>
      <w:ind w:firstLine="420" w:firstLineChars="200"/>
    </w:pPr>
    <w:rPr>
      <w:rFonts w:ascii="Calibri" w:hAnsi="Calibri"/>
      <w:sz w:val="24"/>
    </w:rPr>
  </w:style>
  <w:style w:type="paragraph" w:customStyle="1" w:styleId="554">
    <w:name w:val="p3 p3 p3"/>
    <w:basedOn w:val="1"/>
    <w:qFormat/>
    <w:uiPriority w:val="0"/>
    <w:pPr>
      <w:widowControl/>
      <w:spacing w:before="100" w:beforeAutospacing="1" w:after="100" w:afterAutospacing="1"/>
      <w:jc w:val="left"/>
    </w:pPr>
    <w:rPr>
      <w:rFonts w:ascii="宋体" w:hAnsi="宋体" w:cs="宋体"/>
      <w:kern w:val="0"/>
      <w:sz w:val="24"/>
    </w:rPr>
  </w:style>
  <w:style w:type="paragraph" w:customStyle="1" w:styleId="555">
    <w:name w:val="标题 1 + 四号"/>
    <w:basedOn w:val="2"/>
    <w:qFormat/>
    <w:uiPriority w:val="0"/>
    <w:pPr>
      <w:keepLines/>
      <w:widowControl/>
      <w:tabs>
        <w:tab w:val="left" w:pos="851"/>
      </w:tabs>
      <w:autoSpaceDE/>
      <w:autoSpaceDN/>
      <w:spacing w:beforeLines="50" w:after="156" w:line="360" w:lineRule="exact"/>
      <w:ind w:left="284"/>
      <w:jc w:val="left"/>
      <w:textAlignment w:val="auto"/>
    </w:pPr>
    <w:rPr>
      <w:rFonts w:ascii="仿宋" w:hAnsi="仿宋" w:eastAsia="仿宋" w:cs="仿宋"/>
      <w:bCs/>
      <w:kern w:val="44"/>
      <w:sz w:val="32"/>
      <w:szCs w:val="28"/>
    </w:rPr>
  </w:style>
  <w:style w:type="paragraph" w:customStyle="1" w:styleId="556">
    <w:name w:val="普通(网站)_0"/>
    <w:basedOn w:val="1"/>
    <w:qFormat/>
    <w:uiPriority w:val="0"/>
    <w:pPr>
      <w:widowControl/>
      <w:spacing w:before="100" w:beforeAutospacing="1" w:after="100" w:afterAutospacing="1"/>
      <w:jc w:val="left"/>
    </w:pPr>
    <w:rPr>
      <w:rFonts w:ascii="宋体" w:hAnsi="宋体"/>
      <w:kern w:val="0"/>
      <w:sz w:val="24"/>
      <w:szCs w:val="22"/>
    </w:rPr>
  </w:style>
  <w:style w:type="paragraph" w:customStyle="1" w:styleId="557">
    <w:name w:val="文章标题4级"/>
    <w:basedOn w:val="1"/>
    <w:next w:val="1"/>
    <w:qFormat/>
    <w:uiPriority w:val="0"/>
    <w:pPr>
      <w:widowControl/>
      <w:tabs>
        <w:tab w:val="left" w:pos="1034"/>
        <w:tab w:val="left" w:pos="1680"/>
        <w:tab w:val="left" w:pos="2760"/>
      </w:tabs>
      <w:spacing w:beforeLines="50" w:afterLines="50"/>
      <w:ind w:left="1680" w:hanging="420"/>
      <w:jc w:val="left"/>
      <w:outlineLvl w:val="3"/>
    </w:pPr>
    <w:rPr>
      <w:b/>
      <w:bCs/>
      <w:caps/>
      <w:sz w:val="24"/>
      <w:szCs w:val="18"/>
    </w:rPr>
  </w:style>
  <w:style w:type="paragraph" w:customStyle="1" w:styleId="558">
    <w:name w:val="表内文字"/>
    <w:basedOn w:val="1"/>
    <w:qFormat/>
    <w:uiPriority w:val="0"/>
    <w:pPr>
      <w:jc w:val="center"/>
    </w:pPr>
    <w:rPr>
      <w:rFonts w:ascii="仿宋_GB2312" w:eastAsia="仿宋_GB2312"/>
      <w:sz w:val="24"/>
    </w:rPr>
  </w:style>
  <w:style w:type="paragraph" w:customStyle="1" w:styleId="559">
    <w:name w:val="font8"/>
    <w:basedOn w:val="1"/>
    <w:qFormat/>
    <w:uiPriority w:val="0"/>
    <w:pPr>
      <w:widowControl/>
      <w:spacing w:before="100" w:beforeAutospacing="1" w:after="100" w:afterAutospacing="1"/>
      <w:jc w:val="left"/>
    </w:pPr>
    <w:rPr>
      <w:kern w:val="0"/>
      <w:sz w:val="20"/>
      <w:szCs w:val="20"/>
    </w:rPr>
  </w:style>
  <w:style w:type="paragraph" w:customStyle="1" w:styleId="560">
    <w:name w:val="样式 宋体 小五 居中 首行缩进:  2 字符 段前: 7.8 磅 段后: 7.8 磅"/>
    <w:basedOn w:val="1"/>
    <w:qFormat/>
    <w:uiPriority w:val="0"/>
    <w:pPr>
      <w:widowControl/>
      <w:tabs>
        <w:tab w:val="left" w:pos="480"/>
        <w:tab w:val="left" w:pos="540"/>
        <w:tab w:val="left" w:pos="720"/>
      </w:tabs>
      <w:spacing w:beforeLines="30" w:afterLines="30"/>
      <w:jc w:val="center"/>
    </w:pPr>
    <w:rPr>
      <w:rFonts w:ascii="宋体" w:hAnsi="宋体" w:cs="宋体"/>
      <w:sz w:val="18"/>
      <w:szCs w:val="20"/>
    </w:rPr>
  </w:style>
  <w:style w:type="paragraph" w:customStyle="1" w:styleId="561">
    <w:name w:val="Char Char Char Char Char Char Char Char Char Char2"/>
    <w:basedOn w:val="1"/>
    <w:qFormat/>
    <w:uiPriority w:val="0"/>
    <w:pPr>
      <w:widowControl/>
      <w:tabs>
        <w:tab w:val="left" w:pos="360"/>
      </w:tabs>
      <w:ind w:left="360" w:hanging="360" w:hangingChars="200"/>
      <w:jc w:val="left"/>
    </w:pPr>
    <w:rPr>
      <w:sz w:val="24"/>
      <w:szCs w:val="20"/>
    </w:rPr>
  </w:style>
  <w:style w:type="paragraph" w:customStyle="1" w:styleId="562">
    <w:name w:val="表注"/>
    <w:basedOn w:val="1"/>
    <w:next w:val="1"/>
    <w:qFormat/>
    <w:uiPriority w:val="0"/>
    <w:pPr>
      <w:widowControl/>
      <w:spacing w:afterLines="50"/>
      <w:jc w:val="center"/>
    </w:pPr>
    <w:rPr>
      <w:rFonts w:ascii="宋体" w:hAnsi="宋体"/>
      <w:b/>
      <w:szCs w:val="21"/>
    </w:rPr>
  </w:style>
  <w:style w:type="paragraph" w:customStyle="1" w:styleId="563">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564">
    <w:name w:val="xl5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565">
    <w:name w:val="纯文本1"/>
    <w:basedOn w:val="1"/>
    <w:qFormat/>
    <w:uiPriority w:val="0"/>
    <w:pPr>
      <w:adjustRightInd w:val="0"/>
      <w:jc w:val="left"/>
      <w:textAlignment w:val="baseline"/>
    </w:pPr>
    <w:rPr>
      <w:rFonts w:ascii="宋体" w:hAnsi="Courier New"/>
      <w:sz w:val="24"/>
      <w:szCs w:val="20"/>
    </w:rPr>
  </w:style>
  <w:style w:type="paragraph" w:customStyle="1" w:styleId="566">
    <w:name w:val="样式 题注 + 居中1"/>
    <w:basedOn w:val="14"/>
    <w:qFormat/>
    <w:uiPriority w:val="0"/>
    <w:pPr>
      <w:widowControl/>
      <w:spacing w:beforeLines="50" w:afterLines="100" w:line="440" w:lineRule="exact"/>
      <w:jc w:val="center"/>
    </w:pPr>
    <w:rPr>
      <w:rFonts w:ascii="Times New Roman" w:hAnsi="Times New Roman" w:eastAsia="宋体" w:cs="宋体"/>
      <w:sz w:val="21"/>
    </w:rPr>
  </w:style>
  <w:style w:type="paragraph" w:customStyle="1" w:styleId="567">
    <w:name w:val="CM106"/>
    <w:basedOn w:val="350"/>
    <w:next w:val="350"/>
    <w:qFormat/>
    <w:uiPriority w:val="0"/>
    <w:rPr>
      <w:rFonts w:ascii="宋体" w:eastAsia="宋体"/>
      <w:color w:val="auto"/>
    </w:rPr>
  </w:style>
  <w:style w:type="paragraph" w:customStyle="1" w:styleId="56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569">
    <w:name w:val="无间隔2"/>
    <w:qFormat/>
    <w:uiPriority w:val="0"/>
    <w:pPr>
      <w:widowControl w:val="0"/>
    </w:pPr>
    <w:rPr>
      <w:rFonts w:ascii="宋体" w:hAnsi="Times New Roman" w:eastAsia="宋体" w:cs="Times New Roman"/>
      <w:kern w:val="2"/>
      <w:sz w:val="24"/>
      <w:szCs w:val="22"/>
      <w:lang w:val="en-US" w:eastAsia="zh-CN" w:bidi="ar-SA"/>
    </w:rPr>
  </w:style>
  <w:style w:type="paragraph" w:customStyle="1" w:styleId="570">
    <w:name w:val="HS 正文"/>
    <w:qFormat/>
    <w:uiPriority w:val="0"/>
    <w:pPr>
      <w:spacing w:line="360" w:lineRule="auto"/>
      <w:ind w:firstLine="200" w:firstLineChars="200"/>
      <w:jc w:val="both"/>
    </w:pPr>
    <w:rPr>
      <w:rFonts w:ascii="宋体" w:hAnsi="宋体" w:eastAsia="仿宋" w:cs="Times New Roman"/>
      <w:kern w:val="2"/>
      <w:sz w:val="30"/>
      <w:szCs w:val="24"/>
      <w:lang w:val="en-US" w:eastAsia="zh-CN" w:bidi="ar-SA"/>
    </w:rPr>
  </w:style>
  <w:style w:type="paragraph" w:customStyle="1" w:styleId="571">
    <w:name w:val="_Style 4"/>
    <w:basedOn w:val="1"/>
    <w:qFormat/>
    <w:uiPriority w:val="99"/>
    <w:pPr>
      <w:ind w:firstLine="420" w:firstLineChars="200"/>
      <w:contextualSpacing/>
    </w:pPr>
  </w:style>
  <w:style w:type="paragraph" w:customStyle="1" w:styleId="572">
    <w:name w:val="纯文本12"/>
    <w:basedOn w:val="1"/>
    <w:qFormat/>
    <w:uiPriority w:val="0"/>
    <w:pPr>
      <w:adjustRightInd w:val="0"/>
      <w:jc w:val="left"/>
    </w:pPr>
    <w:rPr>
      <w:rFonts w:ascii="宋体" w:hAnsi="Courier New"/>
      <w:sz w:val="24"/>
      <w:szCs w:val="20"/>
    </w:rPr>
  </w:style>
  <w:style w:type="paragraph" w:customStyle="1" w:styleId="5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574">
    <w:name w:val="Char Char Char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75">
    <w:name w:val="font11"/>
    <w:basedOn w:val="1"/>
    <w:qFormat/>
    <w:uiPriority w:val="0"/>
    <w:pPr>
      <w:widowControl/>
      <w:spacing w:before="100" w:beforeAutospacing="1" w:after="100" w:afterAutospacing="1"/>
      <w:jc w:val="left"/>
    </w:pPr>
    <w:rPr>
      <w:b/>
      <w:bCs/>
      <w:i/>
      <w:iCs/>
      <w:kern w:val="0"/>
      <w:sz w:val="24"/>
    </w:rPr>
  </w:style>
  <w:style w:type="paragraph" w:customStyle="1" w:styleId="576">
    <w:name w:val="Item List in Table"/>
    <w:basedOn w:val="1"/>
    <w:qFormat/>
    <w:uiPriority w:val="0"/>
    <w:pPr>
      <w:tabs>
        <w:tab w:val="left" w:pos="420"/>
      </w:tabs>
      <w:ind w:left="420" w:hanging="420"/>
    </w:pPr>
    <w:rPr>
      <w:sz w:val="18"/>
    </w:rPr>
  </w:style>
  <w:style w:type="paragraph" w:customStyle="1" w:styleId="57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78">
    <w:name w:val="列出段落7"/>
    <w:basedOn w:val="1"/>
    <w:qFormat/>
    <w:uiPriority w:val="34"/>
    <w:pPr>
      <w:ind w:firstLine="420" w:firstLineChars="200"/>
    </w:pPr>
    <w:rPr>
      <w:rFonts w:ascii="Calibri" w:hAnsi="Calibri"/>
      <w:szCs w:val="22"/>
    </w:rPr>
  </w:style>
  <w:style w:type="paragraph" w:customStyle="1" w:styleId="579">
    <w:name w:val="样式 宋体 小四1 Char"/>
    <w:basedOn w:val="1"/>
    <w:qFormat/>
    <w:uiPriority w:val="0"/>
    <w:pPr>
      <w:spacing w:before="100" w:beforeAutospacing="1" w:after="100" w:afterAutospacing="1" w:line="300" w:lineRule="auto"/>
    </w:pPr>
    <w:rPr>
      <w:rFonts w:ascii="宋体" w:hAnsi="宋体"/>
      <w:szCs w:val="21"/>
    </w:rPr>
  </w:style>
  <w:style w:type="paragraph" w:customStyle="1" w:styleId="580">
    <w:name w:val="列表项目"/>
    <w:basedOn w:val="1"/>
    <w:qFormat/>
    <w:uiPriority w:val="0"/>
    <w:pPr>
      <w:tabs>
        <w:tab w:val="left" w:pos="420"/>
      </w:tabs>
      <w:spacing w:line="288" w:lineRule="auto"/>
      <w:ind w:left="840" w:leftChars="200" w:hanging="420" w:hangingChars="200"/>
    </w:pPr>
    <w:rPr>
      <w:sz w:val="24"/>
      <w:szCs w:val="20"/>
    </w:rPr>
  </w:style>
  <w:style w:type="paragraph" w:customStyle="1" w:styleId="581">
    <w:name w:val="WPSOffice手动目录 1"/>
    <w:qFormat/>
    <w:uiPriority w:val="0"/>
    <w:rPr>
      <w:rFonts w:ascii="Times New Roman" w:hAnsi="Times New Roman" w:eastAsia="宋体" w:cs="Times New Roman"/>
      <w:lang w:val="en-US" w:eastAsia="zh-CN" w:bidi="ar-SA"/>
    </w:rPr>
  </w:style>
  <w:style w:type="paragraph" w:customStyle="1" w:styleId="582">
    <w:name w:val="模板标题6"/>
    <w:basedOn w:val="1"/>
    <w:next w:val="51"/>
    <w:qFormat/>
    <w:uiPriority w:val="0"/>
    <w:pPr>
      <w:tabs>
        <w:tab w:val="left" w:pos="2160"/>
      </w:tabs>
      <w:spacing w:afterLines="50"/>
      <w:outlineLvl w:val="5"/>
    </w:pPr>
    <w:rPr>
      <w:rFonts w:ascii="宋体" w:hAnsi="宋体"/>
      <w:b/>
      <w:szCs w:val="20"/>
    </w:rPr>
  </w:style>
  <w:style w:type="paragraph" w:customStyle="1" w:styleId="583">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4">
    <w:name w:val="xl5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585">
    <w:name w:val="正文文本 21"/>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586">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587">
    <w:name w:val="正文标题2"/>
    <w:basedOn w:val="377"/>
    <w:qFormat/>
    <w:uiPriority w:val="0"/>
    <w:pPr>
      <w:ind w:left="200" w:leftChars="200"/>
    </w:pPr>
    <w:rPr>
      <w:rFonts w:ascii="Times New Roman" w:hAnsi="Times New Roman" w:eastAsia="宋体"/>
    </w:rPr>
  </w:style>
  <w:style w:type="paragraph" w:customStyle="1" w:styleId="588">
    <w:name w:val="！调研报告1-3"/>
    <w:basedOn w:val="1"/>
    <w:qFormat/>
    <w:uiPriority w:val="0"/>
    <w:pPr>
      <w:widowControl/>
      <w:spacing w:beforeLines="50" w:afterLines="50" w:line="360" w:lineRule="auto"/>
      <w:ind w:firstLine="480" w:firstLineChars="200"/>
      <w:jc w:val="left"/>
      <w:outlineLvl w:val="3"/>
    </w:pPr>
    <w:rPr>
      <w:rFonts w:ascii="仿宋_GB2312" w:hAnsi="仿宋_GB2312" w:cs="仿宋_GB2312"/>
      <w:b/>
      <w:kern w:val="0"/>
      <w:sz w:val="24"/>
    </w:rPr>
  </w:style>
  <w:style w:type="paragraph" w:customStyle="1" w:styleId="589">
    <w:name w:val="页眉1"/>
    <w:basedOn w:val="2"/>
    <w:qFormat/>
    <w:uiPriority w:val="0"/>
    <w:pPr>
      <w:keepLines/>
      <w:widowControl/>
      <w:pBdr>
        <w:bottom w:val="single" w:color="auto" w:sz="4" w:space="1"/>
      </w:pBdr>
      <w:autoSpaceDE/>
      <w:autoSpaceDN/>
      <w:snapToGrid w:val="0"/>
      <w:spacing w:before="163" w:after="120" w:line="440" w:lineRule="exact"/>
      <w:textAlignment w:val="auto"/>
    </w:pPr>
    <w:rPr>
      <w:rFonts w:ascii="Calibri" w:hAnsi="Calibri" w:eastAsia="宋体"/>
      <w:bCs/>
      <w:kern w:val="44"/>
      <w:sz w:val="24"/>
      <w:szCs w:val="28"/>
    </w:rPr>
  </w:style>
  <w:style w:type="paragraph" w:customStyle="1" w:styleId="590">
    <w:name w:val="特点标题"/>
    <w:basedOn w:val="1"/>
    <w:next w:val="20"/>
    <w:qFormat/>
    <w:uiPriority w:val="0"/>
    <w:pPr>
      <w:widowControl/>
      <w:overflowPunct w:val="0"/>
      <w:autoSpaceDE w:val="0"/>
      <w:autoSpaceDN w:val="0"/>
      <w:adjustRightInd w:val="0"/>
      <w:spacing w:afterLines="50" w:line="360" w:lineRule="auto"/>
      <w:jc w:val="left"/>
    </w:pPr>
    <w:rPr>
      <w:kern w:val="0"/>
      <w:sz w:val="24"/>
      <w:szCs w:val="20"/>
    </w:rPr>
  </w:style>
  <w:style w:type="paragraph" w:customStyle="1" w:styleId="591">
    <w:name w:val="Style2"/>
    <w:basedOn w:val="1"/>
    <w:qFormat/>
    <w:uiPriority w:val="0"/>
    <w:pPr>
      <w:widowControl/>
      <w:adjustRightInd w:val="0"/>
      <w:jc w:val="left"/>
    </w:pPr>
    <w:rPr>
      <w:rFonts w:eastAsia="Times New Roman"/>
      <w:kern w:val="0"/>
      <w:sz w:val="24"/>
    </w:rPr>
  </w:style>
  <w:style w:type="paragraph" w:customStyle="1" w:styleId="592">
    <w:name w:val="4级目录"/>
    <w:basedOn w:val="6"/>
    <w:next w:val="593"/>
    <w:qFormat/>
    <w:uiPriority w:val="0"/>
    <w:pPr>
      <w:keepNext/>
      <w:widowControl w:val="0"/>
      <w:tabs>
        <w:tab w:val="left" w:pos="0"/>
        <w:tab w:val="left" w:pos="1680"/>
      </w:tabs>
      <w:spacing w:beforeLines="50" w:after="0" w:line="360" w:lineRule="auto"/>
      <w:jc w:val="left"/>
    </w:pPr>
    <w:rPr>
      <w:rFonts w:ascii="Times New Roman" w:hAnsi="Times New Roman" w:eastAsia="仿宋"/>
      <w:bCs/>
      <w:color w:val="auto"/>
      <w:szCs w:val="28"/>
    </w:rPr>
  </w:style>
  <w:style w:type="paragraph" w:customStyle="1" w:styleId="593">
    <w:name w:val="so正文1"/>
    <w:qFormat/>
    <w:uiPriority w:val="0"/>
    <w:pPr>
      <w:widowControl w:val="0"/>
      <w:spacing w:line="360" w:lineRule="auto"/>
      <w:ind w:firstLine="200" w:firstLineChars="200"/>
      <w:jc w:val="both"/>
    </w:pPr>
    <w:rPr>
      <w:rFonts w:ascii="宋体" w:hAnsi="宋体" w:eastAsia="宋体" w:cs="Times New Roman"/>
      <w:kern w:val="2"/>
      <w:sz w:val="24"/>
      <w:szCs w:val="22"/>
      <w:lang w:val="en-US" w:eastAsia="zh-CN" w:bidi="ar-SA"/>
    </w:rPr>
  </w:style>
  <w:style w:type="paragraph" w:customStyle="1" w:styleId="594">
    <w:name w:val="！培养方案1-1"/>
    <w:basedOn w:val="1"/>
    <w:qFormat/>
    <w:uiPriority w:val="0"/>
    <w:pPr>
      <w:widowControl/>
      <w:spacing w:beforeLines="50" w:afterLines="50"/>
      <w:jc w:val="left"/>
      <w:outlineLvl w:val="1"/>
    </w:pPr>
    <w:rPr>
      <w:rFonts w:ascii="黑体" w:hAnsi="宋体" w:eastAsia="黑体"/>
      <w:sz w:val="24"/>
      <w:szCs w:val="20"/>
    </w:rPr>
  </w:style>
  <w:style w:type="paragraph" w:customStyle="1" w:styleId="595">
    <w:name w:val="2章节"/>
    <w:qFormat/>
    <w:uiPriority w:val="0"/>
    <w:pPr>
      <w:spacing w:after="200" w:line="276" w:lineRule="auto"/>
      <w:ind w:right="100" w:rightChars="100"/>
      <w:outlineLvl w:val="0"/>
    </w:pPr>
    <w:rPr>
      <w:rFonts w:ascii="Times New Roman" w:hAnsi="Times New Roman" w:eastAsia="仿宋_GB2312" w:cs="Times New Roman"/>
      <w:b/>
      <w:kern w:val="2"/>
      <w:sz w:val="28"/>
      <w:szCs w:val="22"/>
      <w:lang w:val="en-US" w:eastAsia="zh-CN" w:bidi="ar-SA"/>
    </w:rPr>
  </w:style>
  <w:style w:type="paragraph" w:customStyle="1" w:styleId="596">
    <w:name w:val="p3"/>
    <w:basedOn w:val="1"/>
    <w:qFormat/>
    <w:uiPriority w:val="0"/>
    <w:pPr>
      <w:widowControl/>
      <w:spacing w:before="100" w:beforeAutospacing="1" w:after="100" w:afterAutospacing="1"/>
      <w:jc w:val="left"/>
    </w:pPr>
    <w:rPr>
      <w:rFonts w:ascii="宋体" w:hAnsi="宋体" w:cs="宋体"/>
      <w:kern w:val="0"/>
      <w:sz w:val="24"/>
    </w:rPr>
  </w:style>
  <w:style w:type="paragraph" w:customStyle="1" w:styleId="597">
    <w:name w:val="xl4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598">
    <w:name w:val="正文序号"/>
    <w:basedOn w:val="192"/>
    <w:qFormat/>
    <w:uiPriority w:val="0"/>
    <w:pPr>
      <w:tabs>
        <w:tab w:val="left" w:pos="480"/>
        <w:tab w:val="left" w:pos="540"/>
        <w:tab w:val="left" w:pos="720"/>
      </w:tabs>
      <w:adjustRightInd w:val="0"/>
      <w:snapToGrid w:val="0"/>
      <w:spacing w:beforeLines="50" w:line="360" w:lineRule="exact"/>
      <w:ind w:left="420" w:firstLine="147"/>
    </w:pPr>
    <w:rPr>
      <w:rFonts w:ascii="仿宋" w:hAnsi="仿宋" w:eastAsia="仿宋" w:cs="仿宋"/>
      <w:bCs/>
      <w:color w:val="000000"/>
      <w:sz w:val="24"/>
      <w:szCs w:val="24"/>
    </w:rPr>
  </w:style>
  <w:style w:type="paragraph" w:customStyle="1" w:styleId="599">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600">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1">
    <w:name w:val="SANGFOR_8_表格文字"/>
    <w:basedOn w:val="1"/>
    <w:qFormat/>
    <w:uiPriority w:val="0"/>
    <w:pPr>
      <w:snapToGrid w:val="0"/>
    </w:pPr>
    <w:rPr>
      <w:szCs w:val="21"/>
    </w:rPr>
  </w:style>
  <w:style w:type="paragraph" w:customStyle="1" w:styleId="602">
    <w:name w:val="Body Text 21"/>
    <w:basedOn w:val="1"/>
    <w:next w:val="1"/>
    <w:qFormat/>
    <w:uiPriority w:val="0"/>
    <w:pPr>
      <w:widowControl/>
      <w:spacing w:line="300" w:lineRule="auto"/>
      <w:jc w:val="center"/>
    </w:pPr>
    <w:rPr>
      <w:rFonts w:ascii="宋体"/>
      <w:color w:val="000000"/>
      <w:sz w:val="24"/>
      <w:szCs w:val="20"/>
    </w:rPr>
  </w:style>
  <w:style w:type="paragraph" w:customStyle="1" w:styleId="603">
    <w:name w:val="专业项目标题4"/>
    <w:basedOn w:val="4"/>
    <w:qFormat/>
    <w:uiPriority w:val="0"/>
    <w:pPr>
      <w:widowControl/>
      <w:spacing w:afterLines="50" w:line="440" w:lineRule="exact"/>
      <w:ind w:firstLine="499"/>
      <w:outlineLvl w:val="5"/>
    </w:pPr>
    <w:rPr>
      <w:rFonts w:ascii="Times New Roman" w:hAnsi="仿宋" w:eastAsia="宋体"/>
      <w:bCs w:val="0"/>
      <w:color w:val="000000"/>
      <w:sz w:val="24"/>
      <w:lang w:val="zh-CN"/>
    </w:rPr>
  </w:style>
  <w:style w:type="paragraph" w:customStyle="1" w:styleId="604">
    <w:name w:val="flNote"/>
    <w:basedOn w:val="1"/>
    <w:qFormat/>
    <w:uiPriority w:val="0"/>
    <w:pPr>
      <w:adjustRightInd w:val="0"/>
      <w:spacing w:after="160" w:line="360" w:lineRule="atLeast"/>
      <w:jc w:val="center"/>
      <w:textAlignment w:val="baseline"/>
    </w:pPr>
    <w:rPr>
      <w:rFonts w:ascii="Arial" w:eastAsia="黑体"/>
      <w:kern w:val="0"/>
      <w:sz w:val="30"/>
      <w:szCs w:val="20"/>
    </w:rPr>
  </w:style>
  <w:style w:type="paragraph" w:customStyle="1" w:styleId="60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606">
    <w:name w:val="第二级标题"/>
    <w:basedOn w:val="3"/>
    <w:next w:val="1"/>
    <w:qFormat/>
    <w:uiPriority w:val="0"/>
    <w:pPr>
      <w:keepLines/>
      <w:adjustRightInd/>
      <w:snapToGrid/>
      <w:spacing w:before="260" w:after="260" w:line="416" w:lineRule="auto"/>
      <w:ind w:left="576" w:hanging="576"/>
      <w:jc w:val="both"/>
      <w:textAlignment w:val="auto"/>
    </w:pPr>
    <w:rPr>
      <w:rFonts w:ascii="Cambria" w:hAnsi="Cambria" w:eastAsia="仿宋"/>
      <w:bCs/>
      <w:kern w:val="2"/>
      <w:sz w:val="32"/>
      <w:szCs w:val="32"/>
    </w:rPr>
  </w:style>
  <w:style w:type="paragraph" w:customStyle="1" w:styleId="607">
    <w:name w:val="样式 新宋体 行距: 固定值 20 磅"/>
    <w:basedOn w:val="1"/>
    <w:qFormat/>
    <w:uiPriority w:val="0"/>
    <w:pPr>
      <w:widowControl/>
      <w:spacing w:line="360" w:lineRule="auto"/>
      <w:jc w:val="left"/>
    </w:pPr>
    <w:rPr>
      <w:rFonts w:hint="eastAsia" w:ascii="新宋体" w:hAnsi="新宋体" w:eastAsia="新宋体"/>
      <w:sz w:val="24"/>
    </w:rPr>
  </w:style>
  <w:style w:type="paragraph" w:customStyle="1" w:styleId="608">
    <w:name w:val="正文靠左"/>
    <w:basedOn w:val="1"/>
    <w:qFormat/>
    <w:uiPriority w:val="0"/>
    <w:pPr>
      <w:widowControl/>
      <w:jc w:val="left"/>
    </w:pPr>
    <w:rPr>
      <w:rFonts w:ascii="Calibri" w:hAnsi="Calibri" w:cs="Arial"/>
      <w:szCs w:val="22"/>
    </w:rPr>
  </w:style>
  <w:style w:type="paragraph" w:customStyle="1" w:styleId="609">
    <w:name w:val="Char Char Char Char Char Char1 Char Char Char Char Char Char Char Char Char Char Char Char Char"/>
    <w:basedOn w:val="16"/>
    <w:qFormat/>
    <w:uiPriority w:val="0"/>
    <w:pPr>
      <w:widowControl w:val="0"/>
      <w:shd w:val="clear" w:color="auto" w:fill="000080"/>
      <w:adjustRightInd/>
      <w:snapToGrid/>
      <w:spacing w:after="0"/>
      <w:jc w:val="both"/>
    </w:pPr>
    <w:rPr>
      <w:rFonts w:ascii="Times New Roman" w:hAnsi="Times New Roman"/>
      <w:kern w:val="2"/>
      <w:sz w:val="21"/>
      <w:szCs w:val="24"/>
    </w:rPr>
  </w:style>
  <w:style w:type="paragraph" w:customStyle="1" w:styleId="610">
    <w:name w:val="样式 样式 题注 + 居中 + 居中"/>
    <w:basedOn w:val="611"/>
    <w:qFormat/>
    <w:uiPriority w:val="0"/>
    <w:rPr>
      <w:rFonts w:ascii="Times New Roman" w:hAnsi="Times New Roman" w:eastAsia="宋体" w:cs="Times New Roman"/>
      <w:szCs w:val="20"/>
    </w:rPr>
  </w:style>
  <w:style w:type="paragraph" w:customStyle="1" w:styleId="611">
    <w:name w:val="样式 题注 + 居中"/>
    <w:basedOn w:val="14"/>
    <w:qFormat/>
    <w:uiPriority w:val="0"/>
    <w:pPr>
      <w:widowControl/>
      <w:spacing w:before="0" w:after="0" w:line="360" w:lineRule="exact"/>
      <w:jc w:val="center"/>
    </w:pPr>
    <w:rPr>
      <w:rFonts w:ascii="仿宋" w:hAnsi="仿宋" w:eastAsia="仿宋" w:cs="宋体"/>
      <w:sz w:val="24"/>
      <w:szCs w:val="24"/>
    </w:rPr>
  </w:style>
  <w:style w:type="paragraph" w:customStyle="1" w:styleId="61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613">
    <w:name w:val="样式 仿宋_GB2312 小四 行距: 固定值 22 磅"/>
    <w:basedOn w:val="1"/>
    <w:qFormat/>
    <w:uiPriority w:val="0"/>
    <w:pPr>
      <w:widowControl/>
      <w:tabs>
        <w:tab w:val="left" w:pos="480"/>
        <w:tab w:val="left" w:pos="540"/>
        <w:tab w:val="left" w:pos="720"/>
        <w:tab w:val="left" w:pos="900"/>
      </w:tabs>
      <w:spacing w:line="440" w:lineRule="exact"/>
      <w:ind w:left="900" w:hanging="420"/>
      <w:jc w:val="left"/>
    </w:pPr>
    <w:rPr>
      <w:rFonts w:ascii="仿宋_GB2312" w:hAnsi="宋体" w:eastAsia="仿宋_GB2312" w:cs="宋体"/>
      <w:color w:val="000000"/>
      <w:sz w:val="24"/>
      <w:szCs w:val="20"/>
    </w:rPr>
  </w:style>
  <w:style w:type="paragraph" w:customStyle="1" w:styleId="614">
    <w:name w:val="xl68"/>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b/>
      <w:bCs/>
      <w:kern w:val="0"/>
      <w:sz w:val="20"/>
      <w:szCs w:val="20"/>
    </w:rPr>
  </w:style>
  <w:style w:type="paragraph" w:customStyle="1" w:styleId="615">
    <w:name w:val="pic-info"/>
    <w:basedOn w:val="1"/>
    <w:qFormat/>
    <w:uiPriority w:val="0"/>
    <w:pPr>
      <w:widowControl/>
      <w:spacing w:before="100" w:beforeAutospacing="1" w:after="100" w:afterAutospacing="1"/>
      <w:jc w:val="left"/>
    </w:pPr>
    <w:rPr>
      <w:rFonts w:ascii="宋体" w:hAnsi="宋体" w:cs="宋体"/>
      <w:kern w:val="0"/>
      <w:sz w:val="24"/>
    </w:rPr>
  </w:style>
  <w:style w:type="paragraph" w:customStyle="1" w:styleId="616">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617">
    <w:name w:val="SANGFOR_7_2级编号"/>
    <w:basedOn w:val="1"/>
    <w:qFormat/>
    <w:uiPriority w:val="0"/>
    <w:pPr>
      <w:tabs>
        <w:tab w:val="left" w:pos="709"/>
      </w:tabs>
      <w:spacing w:line="400" w:lineRule="exact"/>
      <w:ind w:left="740" w:hanging="425"/>
    </w:pPr>
    <w:rPr>
      <w:rFonts w:ascii="楷体_gb18030" w:hAnsi="Verdana" w:eastAsia="楷体_gb18030"/>
      <w:color w:val="000000"/>
      <w:sz w:val="28"/>
      <w:szCs w:val="28"/>
    </w:rPr>
  </w:style>
  <w:style w:type="paragraph" w:customStyle="1" w:styleId="618">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619">
    <w:name w:val="5正文"/>
    <w:qFormat/>
    <w:uiPriority w:val="0"/>
    <w:pPr>
      <w:spacing w:after="200"/>
      <w:ind w:left="420" w:right="240" w:rightChars="100"/>
    </w:pPr>
    <w:rPr>
      <w:rFonts w:ascii="宋体" w:hAnsi="宋体" w:eastAsia="宋体" w:cs="Times New Roman"/>
      <w:sz w:val="24"/>
      <w:szCs w:val="28"/>
      <w:lang w:val="en-US" w:eastAsia="zh-CN" w:bidi="ar-SA"/>
    </w:rPr>
  </w:style>
  <w:style w:type="paragraph" w:customStyle="1" w:styleId="620">
    <w:name w:val="列出段落11"/>
    <w:basedOn w:val="1"/>
    <w:qFormat/>
    <w:uiPriority w:val="99"/>
    <w:pPr>
      <w:widowControl/>
      <w:spacing w:line="360" w:lineRule="auto"/>
      <w:ind w:firstLine="420" w:firstLineChars="200"/>
      <w:jc w:val="left"/>
    </w:pPr>
    <w:rPr>
      <w:rFonts w:eastAsia="仿宋"/>
      <w:sz w:val="24"/>
      <w:szCs w:val="21"/>
    </w:rPr>
  </w:style>
  <w:style w:type="paragraph" w:customStyle="1" w:styleId="621">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olor w:val="000000"/>
      <w:kern w:val="0"/>
      <w:sz w:val="20"/>
      <w:szCs w:val="20"/>
    </w:rPr>
  </w:style>
  <w:style w:type="paragraph" w:customStyle="1" w:styleId="622">
    <w:name w:val="表"/>
    <w:basedOn w:val="1"/>
    <w:next w:val="1"/>
    <w:qFormat/>
    <w:uiPriority w:val="7"/>
    <w:pPr>
      <w:widowControl/>
      <w:jc w:val="center"/>
    </w:pPr>
  </w:style>
  <w:style w:type="paragraph" w:customStyle="1" w:styleId="623">
    <w:name w:val="xl69"/>
    <w:basedOn w:val="1"/>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62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olor w:val="000000"/>
      <w:kern w:val="0"/>
      <w:sz w:val="20"/>
      <w:szCs w:val="20"/>
    </w:rPr>
  </w:style>
  <w:style w:type="paragraph" w:customStyle="1" w:styleId="625">
    <w:name w:val="1.5倍行距"/>
    <w:basedOn w:val="1"/>
    <w:qFormat/>
    <w:uiPriority w:val="0"/>
    <w:pPr>
      <w:widowControl/>
      <w:autoSpaceDE w:val="0"/>
      <w:autoSpaceDN w:val="0"/>
      <w:adjustRightInd w:val="0"/>
      <w:snapToGrid w:val="0"/>
      <w:spacing w:after="200"/>
      <w:jc w:val="left"/>
    </w:pPr>
    <w:rPr>
      <w:rFonts w:ascii="宋体" w:hAnsi="宋体"/>
      <w:color w:val="000000"/>
      <w:kern w:val="0"/>
      <w:sz w:val="24"/>
      <w:u w:val="single"/>
      <w:lang w:val="zh-CN"/>
    </w:rPr>
  </w:style>
  <w:style w:type="paragraph" w:customStyle="1" w:styleId="626">
    <w:name w:val="默认段落字体 Para Char Char Char Char Char Char Char Char Char Char1 Char Char Char Char"/>
    <w:basedOn w:val="1"/>
    <w:qFormat/>
    <w:uiPriority w:val="0"/>
    <w:pPr>
      <w:spacing w:line="500" w:lineRule="exact"/>
      <w:ind w:firstLine="200" w:firstLineChars="200"/>
    </w:pPr>
    <w:rPr>
      <w:szCs w:val="20"/>
    </w:rPr>
  </w:style>
  <w:style w:type="paragraph" w:customStyle="1" w:styleId="627">
    <w:name w:val="font0"/>
    <w:basedOn w:val="1"/>
    <w:qFormat/>
    <w:uiPriority w:val="0"/>
    <w:pPr>
      <w:widowControl/>
      <w:spacing w:before="100" w:beforeAutospacing="1" w:after="100" w:afterAutospacing="1"/>
      <w:jc w:val="left"/>
    </w:pPr>
    <w:rPr>
      <w:rFonts w:ascii="宋体" w:hAnsi="宋体"/>
      <w:kern w:val="0"/>
      <w:sz w:val="24"/>
    </w:rPr>
  </w:style>
  <w:style w:type="paragraph" w:customStyle="1" w:styleId="628">
    <w:name w:val="_Style 624"/>
    <w:unhideWhenUsed/>
    <w:qFormat/>
    <w:uiPriority w:val="99"/>
    <w:rPr>
      <w:rFonts w:ascii="Times New Roman" w:hAnsi="Times New Roman" w:eastAsia="宋体" w:cs="Times New Roman"/>
      <w:kern w:val="2"/>
      <w:sz w:val="21"/>
      <w:szCs w:val="24"/>
      <w:lang w:val="en-US" w:eastAsia="zh-CN" w:bidi="ar-SA"/>
    </w:rPr>
  </w:style>
  <w:style w:type="paragraph" w:customStyle="1" w:styleId="629">
    <w:name w:val="xl80"/>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630">
    <w:name w:val="图注"/>
    <w:basedOn w:val="183"/>
    <w:qFormat/>
    <w:uiPriority w:val="99"/>
    <w:pPr>
      <w:spacing w:before="25"/>
    </w:pPr>
    <w:rPr>
      <w:rFonts w:ascii="Times New Roman" w:hAnsi="Times New Roman" w:eastAsia="宋体"/>
      <w:sz w:val="18"/>
    </w:rPr>
  </w:style>
  <w:style w:type="paragraph" w:customStyle="1" w:styleId="631">
    <w:name w:val="标文2"/>
    <w:basedOn w:val="1"/>
    <w:qFormat/>
    <w:uiPriority w:val="0"/>
    <w:pPr>
      <w:adjustRightInd w:val="0"/>
      <w:snapToGrid w:val="0"/>
      <w:spacing w:afterLines="50" w:line="372" w:lineRule="auto"/>
      <w:ind w:firstLine="560" w:firstLineChars="200"/>
    </w:pPr>
    <w:rPr>
      <w:rFonts w:ascii="宋体" w:hAnsi="宋体"/>
      <w:sz w:val="28"/>
      <w:szCs w:val="20"/>
    </w:rPr>
  </w:style>
  <w:style w:type="paragraph" w:customStyle="1" w:styleId="632">
    <w:name w:val="图片标注"/>
    <w:basedOn w:val="1"/>
    <w:next w:val="5"/>
    <w:qFormat/>
    <w:uiPriority w:val="0"/>
    <w:pPr>
      <w:widowControl/>
      <w:spacing w:after="120"/>
      <w:jc w:val="center"/>
    </w:pPr>
    <w:rPr>
      <w:rFonts w:hint="eastAsia" w:ascii="宋体" w:hAnsi="宋体"/>
      <w:szCs w:val="22"/>
    </w:rPr>
  </w:style>
  <w:style w:type="paragraph" w:customStyle="1" w:styleId="633">
    <w:name w:val="正文段"/>
    <w:basedOn w:val="1"/>
    <w:qFormat/>
    <w:uiPriority w:val="0"/>
    <w:pPr>
      <w:widowControl/>
      <w:snapToGrid w:val="0"/>
      <w:spacing w:afterLines="50"/>
      <w:ind w:firstLine="200" w:firstLineChars="200"/>
    </w:pPr>
    <w:rPr>
      <w:kern w:val="0"/>
      <w:sz w:val="24"/>
      <w:szCs w:val="20"/>
    </w:rPr>
  </w:style>
  <w:style w:type="paragraph" w:customStyle="1" w:styleId="634">
    <w:name w:val="表 靠左"/>
    <w:basedOn w:val="1"/>
    <w:qFormat/>
    <w:uiPriority w:val="0"/>
    <w:pPr>
      <w:jc w:val="left"/>
    </w:pPr>
    <w:rPr>
      <w:rFonts w:eastAsia="仿宋"/>
      <w:sz w:val="24"/>
    </w:rPr>
  </w:style>
  <w:style w:type="paragraph" w:customStyle="1" w:styleId="635">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6">
    <w:name w:val="方案2级标题"/>
    <w:basedOn w:val="372"/>
    <w:next w:val="1"/>
    <w:qFormat/>
    <w:uiPriority w:val="0"/>
    <w:rPr>
      <w:rFonts w:ascii="Times New Roman" w:eastAsia="宋体"/>
    </w:rPr>
  </w:style>
  <w:style w:type="paragraph" w:customStyle="1" w:styleId="637">
    <w:name w:val="样式 首行缩进:  2 字符"/>
    <w:basedOn w:val="1"/>
    <w:qFormat/>
    <w:uiPriority w:val="0"/>
    <w:pPr>
      <w:widowControl/>
      <w:tabs>
        <w:tab w:val="left" w:pos="480"/>
        <w:tab w:val="left" w:pos="540"/>
        <w:tab w:val="left" w:pos="720"/>
      </w:tabs>
      <w:spacing w:beforeLines="50"/>
      <w:ind w:firstLine="200" w:firstLineChars="200"/>
      <w:jc w:val="left"/>
    </w:pPr>
    <w:rPr>
      <w:rFonts w:ascii="宋体" w:hAnsi="宋体" w:cs="宋体"/>
      <w:bCs/>
      <w:color w:val="000000"/>
      <w:szCs w:val="20"/>
    </w:rPr>
  </w:style>
  <w:style w:type="paragraph" w:customStyle="1" w:styleId="638">
    <w:name w:val="1firmshort"/>
    <w:basedOn w:val="1"/>
    <w:qFormat/>
    <w:uiPriority w:val="0"/>
    <w:pPr>
      <w:widowControl/>
      <w:autoSpaceDE w:val="0"/>
      <w:autoSpaceDN w:val="0"/>
      <w:jc w:val="left"/>
    </w:pPr>
    <w:rPr>
      <w:kern w:val="0"/>
      <w:sz w:val="24"/>
    </w:rPr>
  </w:style>
  <w:style w:type="paragraph" w:customStyle="1" w:styleId="639">
    <w:name w:val="！调研报告1-2"/>
    <w:qFormat/>
    <w:uiPriority w:val="0"/>
    <w:pPr>
      <w:spacing w:beforeLines="50" w:afterLines="50" w:line="360" w:lineRule="auto"/>
      <w:ind w:firstLine="200" w:firstLineChars="200"/>
      <w:outlineLvl w:val="2"/>
    </w:pPr>
    <w:rPr>
      <w:rFonts w:ascii="仿宋_GB2312" w:hAnsi="仿宋_GB2312" w:eastAsia="宋体" w:cs="仿宋_GB2312"/>
      <w:b/>
      <w:bCs/>
      <w:kern w:val="2"/>
      <w:sz w:val="24"/>
      <w:szCs w:val="24"/>
      <w:lang w:val="en-US" w:eastAsia="zh-CN" w:bidi="ar-SA"/>
    </w:rPr>
  </w:style>
  <w:style w:type="paragraph" w:customStyle="1" w:styleId="640">
    <w:name w:val="List Paragraph1"/>
    <w:basedOn w:val="1"/>
    <w:qFormat/>
    <w:uiPriority w:val="99"/>
    <w:pPr>
      <w:ind w:firstLine="420" w:firstLineChars="200"/>
    </w:pPr>
    <w:rPr>
      <w:rFonts w:ascii="Calibri" w:hAnsi="Calibri"/>
      <w:szCs w:val="22"/>
    </w:rPr>
  </w:style>
  <w:style w:type="paragraph" w:customStyle="1" w:styleId="641">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642">
    <w:name w:val="样式1"/>
    <w:basedOn w:val="3"/>
    <w:qFormat/>
    <w:uiPriority w:val="0"/>
    <w:pPr>
      <w:keepLines/>
      <w:adjustRightInd/>
      <w:snapToGrid/>
      <w:spacing w:before="260" w:after="260" w:line="416" w:lineRule="auto"/>
      <w:textAlignment w:val="auto"/>
    </w:pPr>
    <w:rPr>
      <w:rFonts w:ascii="宋体" w:hAnsi="宋体" w:eastAsia="黑体"/>
      <w:bCs/>
      <w:kern w:val="2"/>
      <w:szCs w:val="36"/>
    </w:rPr>
  </w:style>
  <w:style w:type="paragraph" w:customStyle="1" w:styleId="643">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4">
    <w:name w:val="Char1 Char Char Char Char Char Char"/>
    <w:basedOn w:val="2"/>
    <w:qFormat/>
    <w:uiPriority w:val="0"/>
    <w:pPr>
      <w:adjustRightInd w:val="0"/>
      <w:snapToGrid w:val="0"/>
      <w:spacing w:beforeLines="100" w:afterLines="100" w:line="480" w:lineRule="auto"/>
      <w:jc w:val="both"/>
      <w:textAlignment w:val="auto"/>
    </w:pPr>
    <w:rPr>
      <w:rFonts w:ascii="宋体" w:hAnsi="宋体" w:eastAsia="宋体"/>
      <w:sz w:val="32"/>
    </w:rPr>
  </w:style>
  <w:style w:type="paragraph" w:customStyle="1" w:styleId="645">
    <w:name w:val="默认段落字体 Para Char Char Char Char Char Char Char Char Char1 Char Char Char Char Char Char Char"/>
    <w:basedOn w:val="1"/>
    <w:qFormat/>
    <w:uiPriority w:val="0"/>
    <w:pPr>
      <w:keepNext/>
      <w:autoSpaceDE w:val="0"/>
      <w:autoSpaceDN w:val="0"/>
      <w:spacing w:before="40" w:after="40"/>
      <w:jc w:val="center"/>
    </w:pPr>
    <w:rPr>
      <w:szCs w:val="20"/>
    </w:rPr>
  </w:style>
  <w:style w:type="paragraph" w:customStyle="1" w:styleId="646">
    <w:name w:val="小标题1"/>
    <w:basedOn w:val="1"/>
    <w:next w:val="1"/>
    <w:qFormat/>
    <w:uiPriority w:val="0"/>
    <w:pPr>
      <w:widowControl/>
      <w:spacing w:line="360" w:lineRule="auto"/>
      <w:jc w:val="left"/>
    </w:pPr>
    <w:rPr>
      <w:rFonts w:eastAsia="仿宋"/>
      <w:sz w:val="24"/>
    </w:rPr>
  </w:style>
  <w:style w:type="paragraph" w:customStyle="1" w:styleId="647">
    <w:name w:val="标准正文"/>
    <w:basedOn w:val="1"/>
    <w:qFormat/>
    <w:uiPriority w:val="0"/>
    <w:pPr>
      <w:spacing w:before="156" w:after="156" w:line="360" w:lineRule="auto"/>
      <w:ind w:firstLine="480" w:firstLineChars="200"/>
      <w:jc w:val="left"/>
    </w:pPr>
    <w:rPr>
      <w:rFonts w:cs="宋体"/>
      <w:sz w:val="24"/>
      <w:szCs w:val="20"/>
    </w:rPr>
  </w:style>
  <w:style w:type="paragraph" w:customStyle="1" w:styleId="648">
    <w:name w:val="样式 样式 样式 样式 标题 2 + 橙色 + 宋体 小四 自动设置 行距: 固定值 22 磅 + 左 行距: 固定值 18 磅..."/>
    <w:basedOn w:val="1"/>
    <w:qFormat/>
    <w:uiPriority w:val="0"/>
    <w:pPr>
      <w:widowControl/>
      <w:tabs>
        <w:tab w:val="left" w:pos="113"/>
      </w:tabs>
      <w:ind w:left="425" w:hanging="425"/>
      <w:jc w:val="left"/>
    </w:pPr>
    <w:rPr>
      <w:rFonts w:ascii="Calibri" w:hAnsi="Calibri"/>
      <w:szCs w:val="22"/>
    </w:rPr>
  </w:style>
  <w:style w:type="paragraph" w:customStyle="1" w:styleId="649">
    <w:name w:val="正文缩进1"/>
    <w:basedOn w:val="1"/>
    <w:qFormat/>
    <w:uiPriority w:val="0"/>
    <w:pPr>
      <w:spacing w:line="300" w:lineRule="auto"/>
      <w:ind w:firstLine="425"/>
    </w:pPr>
    <w:rPr>
      <w:szCs w:val="20"/>
    </w:rPr>
  </w:style>
  <w:style w:type="paragraph" w:customStyle="1" w:styleId="650">
    <w:name w:val="CM12"/>
    <w:basedOn w:val="1"/>
    <w:next w:val="1"/>
    <w:qFormat/>
    <w:uiPriority w:val="0"/>
    <w:pPr>
      <w:widowControl/>
      <w:autoSpaceDE w:val="0"/>
      <w:autoSpaceDN w:val="0"/>
      <w:adjustRightInd w:val="0"/>
      <w:spacing w:after="80"/>
      <w:jc w:val="left"/>
    </w:pPr>
    <w:rPr>
      <w:rFonts w:ascii="宋体" w:cs="宋体"/>
      <w:kern w:val="0"/>
      <w:sz w:val="24"/>
    </w:rPr>
  </w:style>
  <w:style w:type="paragraph" w:customStyle="1" w:styleId="651">
    <w:name w:val="日期1"/>
    <w:basedOn w:val="1"/>
    <w:next w:val="1"/>
    <w:qFormat/>
    <w:uiPriority w:val="99"/>
    <w:rPr>
      <w:szCs w:val="20"/>
    </w:rPr>
  </w:style>
  <w:style w:type="paragraph" w:customStyle="1" w:styleId="652">
    <w:name w:val="！课程标准1"/>
    <w:basedOn w:val="2"/>
    <w:qFormat/>
    <w:uiPriority w:val="0"/>
    <w:pPr>
      <w:keepLines/>
      <w:widowControl/>
      <w:adjustRightInd w:val="0"/>
      <w:spacing w:beforeLines="100" w:afterLines="100"/>
      <w:textAlignment w:val="auto"/>
    </w:pPr>
    <w:rPr>
      <w:rFonts w:ascii="黑体" w:hAnsi="宋体" w:eastAsia="黑体"/>
      <w:bCs/>
      <w:color w:val="000000"/>
      <w:kern w:val="0"/>
      <w:sz w:val="32"/>
      <w:szCs w:val="20"/>
      <w:lang w:val="zh-CN"/>
    </w:rPr>
  </w:style>
  <w:style w:type="paragraph" w:customStyle="1" w:styleId="653">
    <w:name w:val="SANGFOR_2_标题2"/>
    <w:basedOn w:val="3"/>
    <w:next w:val="110"/>
    <w:qFormat/>
    <w:uiPriority w:val="0"/>
    <w:pPr>
      <w:keepLines/>
      <w:adjustRightInd/>
      <w:snapToGrid/>
      <w:spacing w:beforeLines="50" w:afterLines="50" w:line="240" w:lineRule="auto"/>
      <w:jc w:val="both"/>
      <w:textAlignment w:val="auto"/>
    </w:pPr>
    <w:rPr>
      <w:rFonts w:ascii="黑体" w:hAnsi="黑体" w:eastAsia="黑体"/>
      <w:bCs/>
      <w:kern w:val="2"/>
      <w:szCs w:val="36"/>
    </w:rPr>
  </w:style>
  <w:style w:type="paragraph" w:customStyle="1" w:styleId="654">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655">
    <w:name w:val="节前说明"/>
    <w:next w:val="451"/>
    <w:qFormat/>
    <w:uiPriority w:val="0"/>
    <w:pPr>
      <w:pBdr>
        <w:top w:val="single" w:color="auto" w:sz="2" w:space="1"/>
      </w:pBdr>
      <w:tabs>
        <w:tab w:val="left" w:pos="928"/>
      </w:tabs>
      <w:spacing w:before="40" w:after="40"/>
      <w:ind w:left="1701"/>
    </w:pPr>
    <w:rPr>
      <w:rFonts w:ascii="Times New Roman" w:hAnsi="Times New Roman" w:eastAsia="黑体" w:cs="Times New Roman"/>
      <w:b/>
      <w:sz w:val="21"/>
      <w:lang w:val="en-US" w:eastAsia="zh-CN" w:bidi="ar-SA"/>
    </w:rPr>
  </w:style>
  <w:style w:type="paragraph" w:customStyle="1" w:styleId="656">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7">
    <w:name w:val="表格文字"/>
    <w:basedOn w:val="1"/>
    <w:next w:val="19"/>
    <w:qFormat/>
    <w:uiPriority w:val="0"/>
    <w:pPr>
      <w:adjustRightInd w:val="0"/>
      <w:spacing w:line="420" w:lineRule="atLeast"/>
      <w:ind w:firstLine="643" w:firstLineChars="200"/>
      <w:textAlignment w:val="baseline"/>
    </w:pPr>
    <w:rPr>
      <w:rFonts w:ascii="仿宋" w:hAnsi="仿宋" w:eastAsia="仿宋"/>
      <w:sz w:val="24"/>
    </w:rPr>
  </w:style>
  <w:style w:type="paragraph" w:customStyle="1" w:styleId="658">
    <w:name w:val="正文首行缩进1"/>
    <w:basedOn w:val="19"/>
    <w:qFormat/>
    <w:uiPriority w:val="0"/>
    <w:pPr>
      <w:tabs>
        <w:tab w:val="clear" w:pos="208"/>
      </w:tabs>
      <w:spacing w:after="120" w:line="240" w:lineRule="auto"/>
      <w:ind w:firstLine="420" w:firstLineChars="100"/>
    </w:pPr>
    <w:rPr>
      <w:rFonts w:ascii="Times New Roman" w:eastAsia="宋体"/>
      <w:sz w:val="21"/>
    </w:rPr>
  </w:style>
  <w:style w:type="paragraph" w:customStyle="1" w:styleId="659">
    <w:name w:val="正文文本缩进 31"/>
    <w:basedOn w:val="1"/>
    <w:qFormat/>
    <w:uiPriority w:val="99"/>
    <w:pPr>
      <w:spacing w:after="120" w:line="360" w:lineRule="auto"/>
      <w:ind w:left="420" w:leftChars="200"/>
    </w:pPr>
    <w:rPr>
      <w:sz w:val="16"/>
      <w:szCs w:val="16"/>
    </w:rPr>
  </w:style>
  <w:style w:type="paragraph" w:customStyle="1" w:styleId="660">
    <w:name w:val="HS 图片"/>
    <w:basedOn w:val="1"/>
    <w:qFormat/>
    <w:uiPriority w:val="0"/>
    <w:pPr>
      <w:spacing w:line="360" w:lineRule="auto"/>
      <w:ind w:firstLine="1446" w:firstLineChars="200"/>
      <w:jc w:val="center"/>
    </w:pPr>
    <w:rPr>
      <w:rFonts w:ascii="宋体" w:hAnsi="宋体"/>
      <w:sz w:val="24"/>
      <w:lang w:val="zh-CN"/>
    </w:rPr>
  </w:style>
  <w:style w:type="paragraph" w:customStyle="1" w:styleId="661">
    <w:name w:val="Char Char Char Char Char Char1 Char Char Char Char Char Char Char Char Char Char Char Char Char1"/>
    <w:basedOn w:val="16"/>
    <w:qFormat/>
    <w:uiPriority w:val="0"/>
    <w:pPr>
      <w:widowControl w:val="0"/>
      <w:shd w:val="clear" w:color="auto" w:fill="000080"/>
      <w:adjustRightInd/>
      <w:snapToGrid/>
      <w:spacing w:after="0"/>
      <w:jc w:val="both"/>
    </w:pPr>
    <w:rPr>
      <w:rFonts w:ascii="Times New Roman" w:hAnsi="Times New Roman"/>
      <w:kern w:val="2"/>
      <w:sz w:val="21"/>
      <w:szCs w:val="24"/>
    </w:rPr>
  </w:style>
  <w:style w:type="paragraph" w:customStyle="1" w:styleId="662">
    <w:name w:val="正文文本 31"/>
    <w:basedOn w:val="1"/>
    <w:qFormat/>
    <w:uiPriority w:val="99"/>
    <w:pPr>
      <w:spacing w:after="120" w:line="360" w:lineRule="auto"/>
    </w:pPr>
    <w:rPr>
      <w:sz w:val="16"/>
      <w:szCs w:val="16"/>
    </w:rPr>
  </w:style>
  <w:style w:type="paragraph" w:customStyle="1" w:styleId="663">
    <w:name w:val="默认段落字体 Para Char Char Char Char Char Char Char Char Char1 Char Char Char Char Char Char Char Char Char Char"/>
    <w:basedOn w:val="16"/>
    <w:qFormat/>
    <w:uiPriority w:val="0"/>
    <w:pPr>
      <w:shd w:val="clear" w:color="auto" w:fill="000080"/>
      <w:adjustRightInd/>
      <w:snapToGrid/>
      <w:spacing w:beforeLines="30" w:afterLines="30" w:line="360" w:lineRule="auto"/>
      <w:ind w:firstLine="595" w:firstLineChars="248"/>
    </w:pPr>
    <w:rPr>
      <w:rFonts w:ascii="Tahoma" w:hAnsi="Times New Roman"/>
      <w:kern w:val="2"/>
      <w:sz w:val="24"/>
      <w:szCs w:val="24"/>
      <w:lang w:val="zh-CN"/>
    </w:rPr>
  </w:style>
  <w:style w:type="paragraph" w:customStyle="1" w:styleId="664">
    <w:name w:val="表格正文"/>
    <w:basedOn w:val="2"/>
    <w:qFormat/>
    <w:uiPriority w:val="0"/>
    <w:pPr>
      <w:keepLines/>
      <w:widowControl/>
      <w:autoSpaceDE/>
      <w:autoSpaceDN/>
      <w:spacing w:beforeLines="100" w:afterLines="100" w:line="240" w:lineRule="auto"/>
      <w:textAlignment w:val="auto"/>
    </w:pPr>
    <w:rPr>
      <w:rFonts w:ascii="Times New Roman" w:eastAsia="宋体"/>
      <w:b w:val="0"/>
      <w:kern w:val="44"/>
      <w:sz w:val="21"/>
      <w:szCs w:val="20"/>
      <w:lang w:val="zh-CN"/>
    </w:rPr>
  </w:style>
  <w:style w:type="paragraph" w:customStyle="1" w:styleId="665">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666">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667">
    <w:name w:val="样式 样式 题注 + 居中1 + 段前: 0.5 行 段后: 1 行"/>
    <w:basedOn w:val="566"/>
    <w:qFormat/>
    <w:uiPriority w:val="0"/>
    <w:pPr>
      <w:spacing w:before="120" w:afterLines="0"/>
    </w:pPr>
    <w:rPr>
      <w:rFonts w:ascii="仿宋" w:hAnsi="仿宋" w:eastAsia="仿宋" w:cs="Times New Roman"/>
    </w:rPr>
  </w:style>
  <w:style w:type="paragraph" w:customStyle="1" w:styleId="668">
    <w:name w:val="缩进正文"/>
    <w:basedOn w:val="1"/>
    <w:qFormat/>
    <w:uiPriority w:val="0"/>
    <w:pPr>
      <w:spacing w:line="300" w:lineRule="auto"/>
      <w:ind w:left="1000" w:leftChars="1000"/>
      <w:jc w:val="left"/>
    </w:pPr>
    <w:rPr>
      <w:rFonts w:ascii="Calibri" w:hAnsi="Calibri" w:eastAsia="微软雅黑 Light"/>
      <w:sz w:val="18"/>
      <w:szCs w:val="22"/>
    </w:rPr>
  </w:style>
  <w:style w:type="paragraph" w:customStyle="1" w:styleId="669">
    <w:name w:val="！培养方案1"/>
    <w:basedOn w:val="2"/>
    <w:qFormat/>
    <w:uiPriority w:val="0"/>
    <w:pPr>
      <w:keepLines/>
      <w:widowControl/>
      <w:adjustRightInd w:val="0"/>
      <w:spacing w:beforeLines="100" w:afterLines="100"/>
      <w:textAlignment w:val="auto"/>
    </w:pPr>
    <w:rPr>
      <w:rFonts w:ascii="黑体" w:hAnsi="宋体" w:eastAsia="黑体"/>
      <w:bCs/>
      <w:color w:val="000000"/>
      <w:kern w:val="0"/>
      <w:sz w:val="32"/>
      <w:szCs w:val="20"/>
      <w:lang w:val="zh-CN"/>
    </w:rPr>
  </w:style>
  <w:style w:type="paragraph" w:customStyle="1" w:styleId="670">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1">
    <w:name w:val="样式 题注 + 居中3"/>
    <w:basedOn w:val="14"/>
    <w:qFormat/>
    <w:uiPriority w:val="0"/>
    <w:pPr>
      <w:widowControl/>
      <w:spacing w:beforeLines="50" w:afterLines="50" w:line="360" w:lineRule="auto"/>
      <w:jc w:val="center"/>
    </w:pPr>
    <w:rPr>
      <w:rFonts w:ascii="仿宋" w:hAnsi="仿宋" w:eastAsia="仿宋" w:cs="宋体"/>
      <w:sz w:val="21"/>
      <w:szCs w:val="21"/>
    </w:rPr>
  </w:style>
  <w:style w:type="paragraph" w:customStyle="1" w:styleId="672">
    <w:name w:val="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73">
    <w:name w:val="xl78"/>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674">
    <w:name w:val="HTML 预设格式1"/>
    <w:basedOn w:val="1"/>
    <w:qFormat/>
    <w:uiPriority w:val="0"/>
    <w:pPr>
      <w:widowControl/>
      <w:jc w:val="left"/>
    </w:pPr>
    <w:rPr>
      <w:rFonts w:ascii="Arial" w:hAnsi="Arial"/>
      <w:kern w:val="0"/>
      <w:sz w:val="24"/>
    </w:rPr>
  </w:style>
  <w:style w:type="paragraph" w:customStyle="1" w:styleId="675">
    <w:name w:val="默认段落字体 Para Char Char Char Char Char Char Char Char Char Char Char Char Char"/>
    <w:basedOn w:val="16"/>
    <w:qFormat/>
    <w:uiPriority w:val="0"/>
    <w:pPr>
      <w:shd w:val="clear" w:color="auto" w:fill="000080"/>
      <w:adjustRightInd/>
      <w:snapToGrid/>
      <w:spacing w:after="0"/>
    </w:pPr>
    <w:rPr>
      <w:rFonts w:ascii="Tahoma" w:hAnsi="Times New Roman"/>
      <w:kern w:val="2"/>
      <w:sz w:val="24"/>
      <w:szCs w:val="24"/>
      <w:lang w:val="zh-CN"/>
    </w:rPr>
  </w:style>
  <w:style w:type="paragraph" w:customStyle="1" w:styleId="67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677">
    <w:name w:val="内容1"/>
    <w:basedOn w:val="6"/>
    <w:qFormat/>
    <w:uiPriority w:val="0"/>
    <w:pPr>
      <w:keepLines w:val="0"/>
      <w:autoSpaceDE w:val="0"/>
      <w:autoSpaceDN w:val="0"/>
      <w:adjustRightInd w:val="0"/>
      <w:spacing w:beforeLines="50" w:after="0" w:line="300" w:lineRule="auto"/>
      <w:ind w:firstLine="200" w:firstLineChars="200"/>
      <w:jc w:val="left"/>
    </w:pPr>
    <w:rPr>
      <w:rFonts w:ascii="宋体" w:hAnsi="宋体" w:eastAsia="宋体"/>
      <w:b w:val="0"/>
      <w:kern w:val="0"/>
      <w:sz w:val="24"/>
      <w:szCs w:val="24"/>
      <w:lang w:val="zh-CN"/>
    </w:rPr>
  </w:style>
  <w:style w:type="paragraph" w:customStyle="1" w:styleId="678">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679">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680">
    <w:name w:val="文档结构图1"/>
    <w:basedOn w:val="1"/>
    <w:qFormat/>
    <w:uiPriority w:val="99"/>
    <w:pPr>
      <w:spacing w:line="360" w:lineRule="auto"/>
    </w:pPr>
    <w:rPr>
      <w:rFonts w:ascii="宋体"/>
      <w:sz w:val="18"/>
      <w:szCs w:val="18"/>
    </w:rPr>
  </w:style>
  <w:style w:type="paragraph" w:customStyle="1" w:styleId="681">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682">
    <w:name w:val="我的正文(首行缩进)"/>
    <w:basedOn w:val="1"/>
    <w:qFormat/>
    <w:uiPriority w:val="0"/>
    <w:pPr>
      <w:spacing w:line="360" w:lineRule="auto"/>
      <w:ind w:firstLine="560" w:firstLineChars="200"/>
      <w:jc w:val="left"/>
    </w:pPr>
    <w:rPr>
      <w:rFonts w:ascii="宋体" w:hAnsi="宋体" w:eastAsia="仿宋"/>
      <w:sz w:val="24"/>
      <w:szCs w:val="21"/>
    </w:rPr>
  </w:style>
  <w:style w:type="table" w:customStyle="1" w:styleId="683">
    <w:name w:val="Table Grid1"/>
    <w:basedOn w:val="5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4">
    <w:name w:val="网格型1"/>
    <w:basedOn w:val="53"/>
    <w:qFormat/>
    <w:uiPriority w:val="0"/>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5">
    <w:name w:val="网格型2"/>
    <w:basedOn w:val="53"/>
    <w:qFormat/>
    <w:uiPriority w:val="0"/>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6">
    <w:name w:val="网格型3"/>
    <w:basedOn w:val="5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87">
    <w:name w:val="Char Char121"/>
    <w:link w:val="688"/>
    <w:qFormat/>
    <w:uiPriority w:val="0"/>
    <w:rPr>
      <w:rFonts w:ascii="Tahoma" w:hAnsi="Tahoma"/>
      <w:kern w:val="2"/>
      <w:sz w:val="24"/>
    </w:rPr>
  </w:style>
  <w:style w:type="paragraph" w:customStyle="1" w:styleId="688">
    <w:name w:val="Char4"/>
    <w:basedOn w:val="1"/>
    <w:link w:val="687"/>
    <w:qFormat/>
    <w:uiPriority w:val="0"/>
    <w:rPr>
      <w:rFonts w:ascii="Tahoma" w:hAnsi="Tahoma"/>
      <w:sz w:val="24"/>
      <w:szCs w:val="20"/>
    </w:rPr>
  </w:style>
  <w:style w:type="character" w:customStyle="1" w:styleId="689">
    <w:name w:val="正文缩进 Char2"/>
    <w:qFormat/>
    <w:uiPriority w:val="0"/>
    <w:rPr>
      <w:kern w:val="2"/>
      <w:sz w:val="21"/>
    </w:rPr>
  </w:style>
  <w:style w:type="character" w:customStyle="1" w:styleId="690">
    <w:name w:val="书籍标题2"/>
    <w:qFormat/>
    <w:uiPriority w:val="33"/>
    <w:rPr>
      <w:b/>
      <w:bCs/>
      <w:smallCaps/>
      <w:spacing w:val="5"/>
    </w:rPr>
  </w:style>
  <w:style w:type="character" w:customStyle="1" w:styleId="691">
    <w:name w:val="不明显参考2"/>
    <w:qFormat/>
    <w:uiPriority w:val="31"/>
    <w:rPr>
      <w:smallCaps/>
      <w:color w:val="C0504D"/>
      <w:u w:val="single"/>
    </w:rPr>
  </w:style>
  <w:style w:type="character" w:customStyle="1" w:styleId="692">
    <w:name w:val="明显强调3"/>
    <w:qFormat/>
    <w:uiPriority w:val="21"/>
    <w:rPr>
      <w:b/>
      <w:bCs/>
      <w:i/>
      <w:iCs/>
      <w:color w:val="4F81BD"/>
    </w:rPr>
  </w:style>
  <w:style w:type="character" w:customStyle="1" w:styleId="693">
    <w:name w:val="Char Char1_02"/>
    <w:link w:val="694"/>
    <w:qFormat/>
    <w:uiPriority w:val="0"/>
    <w:rPr>
      <w:rFonts w:ascii="Tahoma" w:hAnsi="Tahoma"/>
      <w:kern w:val="2"/>
      <w:sz w:val="24"/>
    </w:rPr>
  </w:style>
  <w:style w:type="paragraph" w:customStyle="1" w:styleId="694">
    <w:name w:val="Char_02"/>
    <w:basedOn w:val="195"/>
    <w:link w:val="693"/>
    <w:qFormat/>
    <w:uiPriority w:val="0"/>
    <w:rPr>
      <w:rFonts w:ascii="Tahoma" w:hAnsi="Tahoma"/>
      <w:sz w:val="24"/>
      <w:szCs w:val="20"/>
    </w:rPr>
  </w:style>
  <w:style w:type="character" w:customStyle="1" w:styleId="695">
    <w:name w:val="明显参考2"/>
    <w:qFormat/>
    <w:uiPriority w:val="32"/>
    <w:rPr>
      <w:b/>
      <w:bCs/>
      <w:smallCaps/>
      <w:color w:val="C0504D"/>
      <w:spacing w:val="5"/>
      <w:u w:val="single"/>
    </w:rPr>
  </w:style>
  <w:style w:type="character" w:customStyle="1" w:styleId="696">
    <w:name w:val="不明显强调2"/>
    <w:qFormat/>
    <w:uiPriority w:val="19"/>
    <w:rPr>
      <w:i/>
      <w:iCs/>
      <w:color w:val="808080"/>
    </w:rPr>
  </w:style>
  <w:style w:type="paragraph" w:customStyle="1" w:styleId="697">
    <w:name w:val="Char Char Char Char Char Char Char2"/>
    <w:basedOn w:val="1"/>
    <w:qFormat/>
    <w:uiPriority w:val="0"/>
    <w:rPr>
      <w:rFonts w:ascii="仿宋_GB2312" w:eastAsia="仿宋_GB2312"/>
      <w:b/>
      <w:sz w:val="32"/>
      <w:szCs w:val="32"/>
    </w:rPr>
  </w:style>
  <w:style w:type="paragraph" w:customStyle="1" w:styleId="698">
    <w:name w:val="列出段落2"/>
    <w:basedOn w:val="1"/>
    <w:qFormat/>
    <w:uiPriority w:val="0"/>
    <w:pPr>
      <w:ind w:firstLine="420" w:firstLineChars="200"/>
    </w:pPr>
    <w:rPr>
      <w:szCs w:val="20"/>
    </w:rPr>
  </w:style>
  <w:style w:type="paragraph" w:customStyle="1" w:styleId="699">
    <w:name w:val="Char Char Char Char 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700">
    <w:name w:val="纯文本3"/>
    <w:basedOn w:val="1"/>
    <w:qFormat/>
    <w:uiPriority w:val="0"/>
    <w:pPr>
      <w:adjustRightInd w:val="0"/>
      <w:jc w:val="left"/>
      <w:textAlignment w:val="baseline"/>
    </w:pPr>
    <w:rPr>
      <w:rFonts w:ascii="宋体" w:hAnsi="Courier New"/>
      <w:sz w:val="24"/>
      <w:szCs w:val="20"/>
    </w:rPr>
  </w:style>
  <w:style w:type="paragraph" w:customStyle="1" w:styleId="701">
    <w:name w:val="TOC 标题2"/>
    <w:basedOn w:val="2"/>
    <w:next w:val="1"/>
    <w:qFormat/>
    <w:uiPriority w:val="39"/>
    <w:pPr>
      <w:keepLines/>
      <w:tabs>
        <w:tab w:val="left" w:pos="360"/>
      </w:tabs>
      <w:autoSpaceDE/>
      <w:autoSpaceDN/>
      <w:spacing w:before="340" w:after="330" w:line="578" w:lineRule="auto"/>
      <w:ind w:left="360" w:hanging="360"/>
      <w:jc w:val="both"/>
      <w:textAlignment w:val="auto"/>
      <w:outlineLvl w:val="9"/>
    </w:pPr>
    <w:rPr>
      <w:rFonts w:ascii="Calibri" w:hAnsi="Calibri" w:eastAsia="宋体"/>
      <w:bCs/>
      <w:kern w:val="44"/>
      <w:szCs w:val="44"/>
    </w:rPr>
  </w:style>
  <w:style w:type="paragraph" w:customStyle="1" w:styleId="702">
    <w:name w:val="正文文本 22"/>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703">
    <w:name w:val="Char Char Char Char Char Char1 Char Char Char Char Char Char Char Char Char Char Char Char Char2"/>
    <w:basedOn w:val="16"/>
    <w:qFormat/>
    <w:uiPriority w:val="0"/>
    <w:pPr>
      <w:widowControl w:val="0"/>
      <w:shd w:val="clear" w:color="auto" w:fill="000080"/>
      <w:adjustRightInd/>
      <w:snapToGrid/>
      <w:spacing w:after="0"/>
      <w:jc w:val="both"/>
    </w:pPr>
    <w:rPr>
      <w:rFonts w:ascii="Times New Roman" w:hAnsi="Times New Roman"/>
      <w:kern w:val="2"/>
      <w:sz w:val="21"/>
      <w:szCs w:val="24"/>
    </w:rPr>
  </w:style>
  <w:style w:type="paragraph" w:customStyle="1" w:styleId="704">
    <w:name w:val="Char Char Char1"/>
    <w:basedOn w:val="1"/>
    <w:qFormat/>
    <w:uiPriority w:val="0"/>
    <w:rPr>
      <w:rFonts w:ascii="Tahoma" w:hAnsi="Tahoma"/>
      <w:sz w:val="24"/>
      <w:szCs w:val="20"/>
    </w:rPr>
  </w:style>
  <w:style w:type="paragraph" w:customStyle="1" w:styleId="705">
    <w:name w:val="正文－恩普"/>
    <w:basedOn w:val="5"/>
    <w:qFormat/>
    <w:uiPriority w:val="0"/>
    <w:pPr>
      <w:widowControl/>
      <w:spacing w:afterLines="50" w:line="360" w:lineRule="auto"/>
      <w:ind w:firstLine="480" w:firstLineChars="200"/>
      <w:jc w:val="left"/>
    </w:pPr>
    <w:rPr>
      <w:kern w:val="0"/>
      <w:sz w:val="24"/>
    </w:rPr>
  </w:style>
  <w:style w:type="paragraph" w:customStyle="1" w:styleId="70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07">
    <w:name w:val="样式 标题 3Title3h33rd levelH3l3CTlevel_3PIM 33Heading 3 -..."/>
    <w:basedOn w:val="4"/>
    <w:qFormat/>
    <w:uiPriority w:val="0"/>
    <w:pPr>
      <w:spacing w:line="416" w:lineRule="auto"/>
      <w:ind w:firstLine="0" w:firstLineChars="0"/>
    </w:pPr>
    <w:rPr>
      <w:rFonts w:ascii="Times New Roman" w:hAnsi="Calibri" w:eastAsia="宋体" w:cs="宋体"/>
      <w:sz w:val="36"/>
    </w:rPr>
  </w:style>
  <w:style w:type="paragraph" w:customStyle="1" w:styleId="708">
    <w:name w:val="样式 标题 4h4H4PIM 4Ref Heading 1rh1Heading sqlsect 1.2.3.4h..."/>
    <w:basedOn w:val="6"/>
    <w:qFormat/>
    <w:uiPriority w:val="0"/>
    <w:pPr>
      <w:keepNext/>
      <w:widowControl w:val="0"/>
      <w:spacing w:line="376" w:lineRule="auto"/>
    </w:pPr>
    <w:rPr>
      <w:bCs/>
      <w:color w:val="auto"/>
      <w:sz w:val="32"/>
      <w:szCs w:val="28"/>
    </w:rPr>
  </w:style>
  <w:style w:type="paragraph" w:customStyle="1" w:styleId="709">
    <w:name w:val="标题2正文"/>
    <w:basedOn w:val="1"/>
    <w:qFormat/>
    <w:uiPriority w:val="0"/>
    <w:pPr>
      <w:spacing w:line="360" w:lineRule="auto"/>
      <w:ind w:firstLine="200" w:firstLineChars="200"/>
      <w:jc w:val="left"/>
    </w:pPr>
    <w:rPr>
      <w:rFonts w:ascii="Calibri" w:hAnsi="Calibri"/>
      <w:sz w:val="24"/>
      <w:szCs w:val="22"/>
    </w:rPr>
  </w:style>
  <w:style w:type="paragraph" w:customStyle="1" w:styleId="710">
    <w:name w:val="标题3正文"/>
    <w:basedOn w:val="1"/>
    <w:qFormat/>
    <w:uiPriority w:val="0"/>
    <w:pPr>
      <w:spacing w:line="360" w:lineRule="auto"/>
      <w:ind w:left="200" w:leftChars="200" w:firstLine="200" w:firstLineChars="200"/>
      <w:jc w:val="left"/>
    </w:pPr>
    <w:rPr>
      <w:rFonts w:ascii="Calibri" w:hAnsi="Calibri"/>
      <w:sz w:val="24"/>
      <w:szCs w:val="22"/>
    </w:rPr>
  </w:style>
  <w:style w:type="paragraph" w:customStyle="1" w:styleId="711">
    <w:name w:val="Char Char Char Char1"/>
    <w:basedOn w:val="1"/>
    <w:qFormat/>
    <w:uiPriority w:val="0"/>
    <w:rPr>
      <w:rFonts w:ascii="Tahoma" w:hAnsi="Tahoma"/>
      <w:sz w:val="24"/>
      <w:szCs w:val="20"/>
    </w:rPr>
  </w:style>
  <w:style w:type="paragraph" w:customStyle="1" w:styleId="712">
    <w:name w:val="Char Char Char Char Char Char Char Char Char Char3"/>
    <w:basedOn w:val="16"/>
    <w:qFormat/>
    <w:uiPriority w:val="0"/>
    <w:pPr>
      <w:widowControl w:val="0"/>
      <w:shd w:val="clear" w:color="auto" w:fill="000080"/>
      <w:adjustRightInd/>
      <w:snapToGrid/>
      <w:spacing w:after="0"/>
      <w:jc w:val="both"/>
    </w:pPr>
    <w:rPr>
      <w:rFonts w:ascii="Calibri" w:hAnsi="Calibri"/>
      <w:kern w:val="2"/>
      <w:sz w:val="21"/>
      <w:szCs w:val="20"/>
    </w:rPr>
  </w:style>
  <w:style w:type="paragraph" w:customStyle="1" w:styleId="713">
    <w:name w:val="样式 仿宋_GB2312 小四 加粗 行距: 1.5 倍行距"/>
    <w:basedOn w:val="3"/>
    <w:next w:val="3"/>
    <w:qFormat/>
    <w:uiPriority w:val="0"/>
    <w:pPr>
      <w:keepLines/>
      <w:adjustRightInd/>
      <w:snapToGrid/>
      <w:spacing w:before="260" w:after="260"/>
      <w:jc w:val="both"/>
      <w:textAlignment w:val="auto"/>
    </w:pPr>
    <w:rPr>
      <w:rFonts w:hAnsi="Arial" w:eastAsia="黑体" w:cs="宋体"/>
      <w:kern w:val="2"/>
      <w:sz w:val="28"/>
    </w:rPr>
  </w:style>
  <w:style w:type="paragraph" w:customStyle="1" w:styleId="714">
    <w:name w:val="标书正文格式 Char Char Char Char"/>
    <w:qFormat/>
    <w:uiPriority w:val="0"/>
    <w:pPr>
      <w:spacing w:line="360" w:lineRule="auto"/>
      <w:ind w:firstLine="200" w:firstLineChars="200"/>
    </w:pPr>
    <w:rPr>
      <w:rFonts w:ascii="Times New Roman" w:hAnsi="Times New Roman" w:eastAsia="仿宋_GB2312" w:cs="Times New Roman"/>
      <w:kern w:val="2"/>
      <w:sz w:val="30"/>
      <w:szCs w:val="24"/>
      <w:lang w:val="en-US" w:eastAsia="zh-CN" w:bidi="ar-SA"/>
    </w:rPr>
  </w:style>
  <w:style w:type="paragraph" w:customStyle="1" w:styleId="715">
    <w:name w:val="样式 样式 样式 标题 3列表编号3h33rd level + (符号) 宋体 段前: 1 行 + 段前: 1.36 行 + 段..."/>
    <w:basedOn w:val="1"/>
    <w:qFormat/>
    <w:uiPriority w:val="0"/>
    <w:pPr>
      <w:adjustRightInd w:val="0"/>
      <w:spacing w:beforeLines="100" w:line="360" w:lineRule="auto"/>
      <w:jc w:val="left"/>
      <w:outlineLvl w:val="2"/>
    </w:pPr>
    <w:rPr>
      <w:rFonts w:ascii="宋体" w:hAnsi="宋体"/>
      <w:b/>
      <w:kern w:val="0"/>
      <w:szCs w:val="20"/>
    </w:rPr>
  </w:style>
  <w:style w:type="paragraph" w:customStyle="1" w:styleId="716">
    <w:name w:val="样式 标题 3列表编号3h33rd level + 段前: 1 行"/>
    <w:basedOn w:val="4"/>
    <w:qFormat/>
    <w:uiPriority w:val="0"/>
    <w:pPr>
      <w:keepNext w:val="0"/>
      <w:keepLines w:val="0"/>
      <w:adjustRightInd w:val="0"/>
      <w:spacing w:before="312" w:afterLines="50"/>
      <w:ind w:firstLine="0" w:firstLineChars="0"/>
    </w:pPr>
    <w:rPr>
      <w:rFonts w:ascii="宋体" w:hAnsi="Calibri" w:eastAsia="宋体"/>
      <w:bCs w:val="0"/>
      <w:kern w:val="0"/>
      <w:sz w:val="21"/>
    </w:rPr>
  </w:style>
  <w:style w:type="paragraph" w:customStyle="1" w:styleId="717">
    <w:name w:val="1 Char Char Char Char"/>
    <w:basedOn w:val="1"/>
    <w:qFormat/>
    <w:uiPriority w:val="0"/>
    <w:pPr>
      <w:jc w:val="center"/>
    </w:pPr>
    <w:rPr>
      <w:rFonts w:ascii="Tahoma" w:hAnsi="Tahoma"/>
      <w:sz w:val="24"/>
      <w:szCs w:val="20"/>
    </w:rPr>
  </w:style>
  <w:style w:type="paragraph" w:customStyle="1" w:styleId="718">
    <w:name w:val="标题 3_0"/>
    <w:basedOn w:val="203"/>
    <w:next w:val="719"/>
    <w:link w:val="721"/>
    <w:unhideWhenUsed/>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customStyle="1" w:styleId="719">
    <w:name w:val="正文缩进_0"/>
    <w:basedOn w:val="203"/>
    <w:link w:val="720"/>
    <w:unhideWhenUsed/>
    <w:qFormat/>
    <w:uiPriority w:val="0"/>
    <w:pPr>
      <w:ind w:firstLine="420"/>
    </w:pPr>
    <w:rPr>
      <w:szCs w:val="20"/>
    </w:rPr>
  </w:style>
  <w:style w:type="character" w:customStyle="1" w:styleId="720">
    <w:name w:val="正文缩进 Char_0"/>
    <w:link w:val="719"/>
    <w:qFormat/>
    <w:locked/>
    <w:uiPriority w:val="0"/>
    <w:rPr>
      <w:kern w:val="2"/>
      <w:sz w:val="21"/>
    </w:rPr>
  </w:style>
  <w:style w:type="character" w:customStyle="1" w:styleId="721">
    <w:name w:val="标题 3 Char_0"/>
    <w:link w:val="718"/>
    <w:qFormat/>
    <w:uiPriority w:val="0"/>
    <w:rPr>
      <w:rFonts w:ascii="仿宋_GB2312" w:eastAsia="仿宋_GB2312"/>
      <w:b/>
      <w:bCs/>
      <w:kern w:val="2"/>
      <w:sz w:val="30"/>
    </w:rPr>
  </w:style>
  <w:style w:type="paragraph" w:customStyle="1" w:styleId="722">
    <w:name w:val="正文4"/>
    <w:qFormat/>
    <w:uiPriority w:val="0"/>
    <w:rPr>
      <w:rFonts w:ascii="Times New Roman" w:hAnsi="Times New Roman" w:eastAsia="Times New Roman" w:cs="Times New Roman"/>
      <w:sz w:val="24"/>
      <w:szCs w:val="24"/>
      <w:lang w:val="en-US" w:eastAsia="zh-CN" w:bidi="ar-SA"/>
    </w:rPr>
  </w:style>
  <w:style w:type="paragraph" w:customStyle="1" w:styleId="723">
    <w:name w:val="Normal_0"/>
    <w:qFormat/>
    <w:uiPriority w:val="0"/>
    <w:rPr>
      <w:rFonts w:ascii="黑体" w:hAnsi="黑体" w:eastAsia="黑体" w:cs="Times New Roman"/>
      <w:b/>
      <w:sz w:val="32"/>
      <w:szCs w:val="24"/>
      <w:lang w:val="en-US" w:eastAsia="zh-CN" w:bidi="ar-SA"/>
    </w:rPr>
  </w:style>
  <w:style w:type="paragraph" w:customStyle="1" w:styleId="724">
    <w:name w:val="Normal_1"/>
    <w:qFormat/>
    <w:uiPriority w:val="0"/>
    <w:rPr>
      <w:rFonts w:ascii="黑体" w:hAnsi="黑体" w:eastAsia="黑体" w:cs="Times New Roman"/>
      <w:b/>
      <w:sz w:val="32"/>
      <w:szCs w:val="24"/>
      <w:lang w:val="en-US" w:eastAsia="zh-CN" w:bidi="ar-SA"/>
    </w:rPr>
  </w:style>
  <w:style w:type="paragraph" w:customStyle="1" w:styleId="725">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6">
    <w:name w:val="Normal_2"/>
    <w:qFormat/>
    <w:uiPriority w:val="0"/>
    <w:rPr>
      <w:rFonts w:ascii="黑体" w:hAnsi="黑体" w:eastAsia="黑体" w:cs="Times New Roman"/>
      <w:b/>
      <w:sz w:val="32"/>
      <w:szCs w:val="24"/>
      <w:lang w:val="en-US" w:eastAsia="zh-CN" w:bidi="ar-SA"/>
    </w:rPr>
  </w:style>
  <w:style w:type="paragraph" w:customStyle="1" w:styleId="727">
    <w:name w:val="Normal_3"/>
    <w:qFormat/>
    <w:uiPriority w:val="0"/>
    <w:rPr>
      <w:rFonts w:ascii="黑体" w:hAnsi="黑体" w:eastAsia="黑体" w:cs="Times New Roman"/>
      <w:b/>
      <w:sz w:val="32"/>
      <w:szCs w:val="24"/>
      <w:lang w:val="en-US" w:eastAsia="zh-CN" w:bidi="ar-SA"/>
    </w:rPr>
  </w:style>
  <w:style w:type="paragraph" w:customStyle="1" w:styleId="728">
    <w:name w:val="Normal_4"/>
    <w:qFormat/>
    <w:uiPriority w:val="0"/>
    <w:rPr>
      <w:rFonts w:ascii="黑体" w:hAnsi="黑体" w:eastAsia="黑体" w:cs="Times New Roman"/>
      <w:b/>
      <w:sz w:val="32"/>
      <w:szCs w:val="24"/>
      <w:lang w:val="en-US" w:eastAsia="zh-CN" w:bidi="ar-SA"/>
    </w:rPr>
  </w:style>
  <w:style w:type="paragraph" w:customStyle="1" w:styleId="729">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0">
    <w:name w:val="Normal_5"/>
    <w:qFormat/>
    <w:uiPriority w:val="0"/>
    <w:rPr>
      <w:rFonts w:ascii="黑体" w:hAnsi="黑体" w:eastAsia="黑体" w:cs="Times New Roman"/>
      <w:b/>
      <w:sz w:val="32"/>
      <w:szCs w:val="24"/>
      <w:lang w:val="en-US" w:eastAsia="zh-CN" w:bidi="ar-SA"/>
    </w:rPr>
  </w:style>
  <w:style w:type="paragraph" w:customStyle="1" w:styleId="731">
    <w:name w:val="Normal_6"/>
    <w:qFormat/>
    <w:uiPriority w:val="0"/>
    <w:rPr>
      <w:rFonts w:ascii="黑体" w:hAnsi="黑体" w:eastAsia="黑体" w:cs="Times New Roman"/>
      <w:b/>
      <w:sz w:val="32"/>
      <w:szCs w:val="24"/>
      <w:lang w:val="en-US" w:eastAsia="zh-CN" w:bidi="ar-SA"/>
    </w:rPr>
  </w:style>
  <w:style w:type="paragraph" w:customStyle="1" w:styleId="732">
    <w:name w:val="Normal_7"/>
    <w:qFormat/>
    <w:uiPriority w:val="0"/>
    <w:rPr>
      <w:rFonts w:ascii="黑体" w:hAnsi="黑体" w:eastAsia="黑体" w:cs="Times New Roman"/>
      <w:b/>
      <w:sz w:val="32"/>
      <w:szCs w:val="24"/>
      <w:lang w:val="en-US" w:eastAsia="zh-CN" w:bidi="ar-SA"/>
    </w:rPr>
  </w:style>
  <w:style w:type="paragraph" w:customStyle="1" w:styleId="733">
    <w:name w:val="纯文本_5"/>
    <w:basedOn w:val="734"/>
    <w:link w:val="735"/>
    <w:qFormat/>
    <w:uiPriority w:val="0"/>
    <w:rPr>
      <w:rFonts w:ascii="宋体" w:hAnsi="Courier New"/>
      <w:szCs w:val="20"/>
    </w:rPr>
  </w:style>
  <w:style w:type="paragraph" w:customStyle="1" w:styleId="734">
    <w:name w:val="正文_6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35">
    <w:name w:val="普通文字 Char Char1_2"/>
    <w:link w:val="733"/>
    <w:qFormat/>
    <w:uiPriority w:val="0"/>
    <w:rPr>
      <w:rFonts w:ascii="宋体" w:hAnsi="Courier New"/>
      <w:kern w:val="2"/>
      <w:sz w:val="21"/>
      <w:lang w:val="en-US" w:eastAsia="zh-CN"/>
    </w:rPr>
  </w:style>
  <w:style w:type="paragraph" w:customStyle="1" w:styleId="736">
    <w:name w:val="Normal_8"/>
    <w:qFormat/>
    <w:uiPriority w:val="0"/>
    <w:rPr>
      <w:rFonts w:ascii="黑体" w:hAnsi="黑体" w:eastAsia="黑体" w:cs="Times New Roman"/>
      <w:b/>
      <w:sz w:val="32"/>
      <w:szCs w:val="24"/>
      <w:lang w:val="en-US" w:eastAsia="zh-CN" w:bidi="ar-SA"/>
    </w:rPr>
  </w:style>
  <w:style w:type="paragraph" w:customStyle="1" w:styleId="737">
    <w:name w:val="Normal_9"/>
    <w:qFormat/>
    <w:uiPriority w:val="0"/>
    <w:rPr>
      <w:rFonts w:ascii="黑体" w:hAnsi="黑体" w:eastAsia="黑体" w:cs="Times New Roman"/>
      <w:b/>
      <w:sz w:val="32"/>
      <w:szCs w:val="24"/>
      <w:lang w:val="en-US" w:eastAsia="zh-CN" w:bidi="ar-SA"/>
    </w:rPr>
  </w:style>
  <w:style w:type="paragraph" w:customStyle="1" w:styleId="738">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9">
    <w:name w:val="Normal_10"/>
    <w:qFormat/>
    <w:uiPriority w:val="0"/>
    <w:rPr>
      <w:rFonts w:ascii="黑体" w:hAnsi="黑体" w:eastAsia="黑体" w:cs="Times New Roman"/>
      <w:b/>
      <w:sz w:val="32"/>
      <w:szCs w:val="24"/>
      <w:lang w:val="en-US" w:eastAsia="zh-CN" w:bidi="ar-SA"/>
    </w:rPr>
  </w:style>
  <w:style w:type="paragraph" w:customStyle="1" w:styleId="740">
    <w:name w:val="纯文本_6_0"/>
    <w:basedOn w:val="741"/>
    <w:qFormat/>
    <w:uiPriority w:val="0"/>
    <w:rPr>
      <w:rFonts w:ascii="宋体" w:hAnsi="Courier New"/>
      <w:szCs w:val="20"/>
    </w:rPr>
  </w:style>
  <w:style w:type="paragraph" w:customStyle="1" w:styleId="741">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2">
    <w:name w:val="纯文本_4_1"/>
    <w:basedOn w:val="741"/>
    <w:link w:val="743"/>
    <w:qFormat/>
    <w:uiPriority w:val="0"/>
    <w:rPr>
      <w:rFonts w:ascii="宋体" w:hAnsi="Courier New"/>
      <w:szCs w:val="20"/>
    </w:rPr>
  </w:style>
  <w:style w:type="character" w:customStyle="1" w:styleId="743">
    <w:name w:val="纯文本 Char1_4_1"/>
    <w:link w:val="742"/>
    <w:qFormat/>
    <w:uiPriority w:val="0"/>
    <w:rPr>
      <w:rFonts w:ascii="宋体" w:hAnsi="Courier New"/>
      <w:kern w:val="2"/>
      <w:sz w:val="21"/>
      <w:lang w:val="en-US" w:eastAsia="zh-CN"/>
    </w:rPr>
  </w:style>
  <w:style w:type="paragraph" w:customStyle="1" w:styleId="744">
    <w:name w:val="Normal_11"/>
    <w:qFormat/>
    <w:uiPriority w:val="0"/>
    <w:rPr>
      <w:rFonts w:ascii="黑体" w:hAnsi="黑体" w:eastAsia="黑体" w:cs="Times New Roman"/>
      <w:b/>
      <w:sz w:val="32"/>
      <w:szCs w:val="24"/>
      <w:lang w:val="en-US" w:eastAsia="zh-CN" w:bidi="ar-SA"/>
    </w:rPr>
  </w:style>
  <w:style w:type="paragraph" w:customStyle="1" w:styleId="745">
    <w:name w:val="正文_8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6">
    <w:name w:val="纯文本_6_1"/>
    <w:basedOn w:val="405"/>
    <w:link w:val="747"/>
    <w:qFormat/>
    <w:uiPriority w:val="0"/>
    <w:rPr>
      <w:rFonts w:ascii="宋体" w:hAnsi="Courier New"/>
      <w:szCs w:val="20"/>
    </w:rPr>
  </w:style>
  <w:style w:type="character" w:customStyle="1" w:styleId="747">
    <w:name w:val="纯文本 Char_0_0_0"/>
    <w:link w:val="746"/>
    <w:qFormat/>
    <w:uiPriority w:val="0"/>
    <w:rPr>
      <w:rFonts w:ascii="宋体" w:hAnsi="Courier New"/>
      <w:kern w:val="2"/>
      <w:sz w:val="21"/>
      <w:lang w:val="en-US" w:eastAsia="zh-CN"/>
    </w:rPr>
  </w:style>
  <w:style w:type="paragraph" w:customStyle="1" w:styleId="748">
    <w:name w:val="纯文本_6"/>
    <w:basedOn w:val="749"/>
    <w:link w:val="750"/>
    <w:qFormat/>
    <w:uiPriority w:val="0"/>
    <w:rPr>
      <w:rFonts w:ascii="宋体" w:hAnsi="Courier New"/>
      <w:kern w:val="0"/>
      <w:sz w:val="20"/>
      <w:szCs w:val="20"/>
    </w:rPr>
  </w:style>
  <w:style w:type="paragraph" w:customStyle="1" w:styleId="749">
    <w:name w:val="正文_11"/>
    <w:qFormat/>
    <w:uiPriority w:val="0"/>
    <w:pPr>
      <w:widowControl w:val="0"/>
      <w:jc w:val="both"/>
    </w:pPr>
    <w:rPr>
      <w:rFonts w:ascii="Calibri" w:hAnsi="Calibri" w:eastAsia="宋体" w:cs="Times New Roman"/>
      <w:kern w:val="2"/>
      <w:sz w:val="21"/>
      <w:szCs w:val="22"/>
      <w:lang w:val="en-US" w:eastAsia="zh-CN" w:bidi="ar-SA"/>
    </w:rPr>
  </w:style>
  <w:style w:type="character" w:customStyle="1" w:styleId="750">
    <w:name w:val="纯文本 Char_0_0"/>
    <w:link w:val="748"/>
    <w:qFormat/>
    <w:uiPriority w:val="0"/>
    <w:rPr>
      <w:rFonts w:ascii="宋体" w:hAnsi="Courier New"/>
    </w:rPr>
  </w:style>
  <w:style w:type="paragraph" w:customStyle="1" w:styleId="751">
    <w:name w:val="纯文本_4_2"/>
    <w:basedOn w:val="749"/>
    <w:link w:val="752"/>
    <w:qFormat/>
    <w:uiPriority w:val="0"/>
    <w:rPr>
      <w:rFonts w:ascii="宋体" w:hAnsi="Courier New"/>
      <w:szCs w:val="20"/>
    </w:rPr>
  </w:style>
  <w:style w:type="character" w:customStyle="1" w:styleId="752">
    <w:name w:val="纯文本 Char1_4_2"/>
    <w:link w:val="751"/>
    <w:qFormat/>
    <w:uiPriority w:val="0"/>
    <w:rPr>
      <w:rFonts w:ascii="宋体" w:hAnsi="Courier New"/>
      <w:kern w:val="2"/>
      <w:sz w:val="21"/>
      <w:lang w:val="en-US" w:eastAsia="zh-CN"/>
    </w:rPr>
  </w:style>
  <w:style w:type="paragraph" w:customStyle="1" w:styleId="753">
    <w:name w:val="Normal_12"/>
    <w:qFormat/>
    <w:uiPriority w:val="0"/>
    <w:rPr>
      <w:rFonts w:ascii="黑体" w:hAnsi="黑体" w:eastAsia="黑体" w:cs="Times New Roman"/>
      <w:b/>
      <w:sz w:val="32"/>
      <w:szCs w:val="24"/>
      <w:lang w:val="en-US" w:eastAsia="zh-CN" w:bidi="ar-SA"/>
    </w:rPr>
  </w:style>
  <w:style w:type="paragraph" w:customStyle="1" w:styleId="754">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55">
    <w:name w:val="Normal_13"/>
    <w:qFormat/>
    <w:uiPriority w:val="0"/>
    <w:rPr>
      <w:rFonts w:ascii="黑体" w:hAnsi="黑体" w:eastAsia="黑体" w:cs="Times New Roman"/>
      <w:b/>
      <w:sz w:val="32"/>
      <w:szCs w:val="24"/>
      <w:lang w:val="en-US" w:eastAsia="zh-CN" w:bidi="ar-SA"/>
    </w:rPr>
  </w:style>
  <w:style w:type="paragraph" w:customStyle="1" w:styleId="756">
    <w:name w:val="正文_1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57">
    <w:name w:val="Normal_15"/>
    <w:qFormat/>
    <w:uiPriority w:val="0"/>
    <w:rPr>
      <w:rFonts w:ascii="黑体" w:hAnsi="黑体" w:eastAsia="黑体" w:cs="Times New Roman"/>
      <w:b/>
      <w:sz w:val="32"/>
      <w:szCs w:val="24"/>
      <w:lang w:val="en-US" w:eastAsia="zh-CN" w:bidi="ar-SA"/>
    </w:rPr>
  </w:style>
  <w:style w:type="paragraph" w:customStyle="1" w:styleId="758">
    <w:name w:val="普通(网站)_0_0"/>
    <w:basedOn w:val="759"/>
    <w:unhideWhenUsed/>
    <w:qFormat/>
    <w:uiPriority w:val="99"/>
    <w:pPr>
      <w:widowControl/>
      <w:spacing w:before="100" w:beforeAutospacing="1" w:after="100" w:afterAutospacing="1"/>
      <w:jc w:val="left"/>
    </w:pPr>
    <w:rPr>
      <w:rFonts w:ascii="宋体" w:hAnsi="宋体"/>
      <w:kern w:val="0"/>
      <w:sz w:val="24"/>
      <w:szCs w:val="24"/>
    </w:rPr>
  </w:style>
  <w:style w:type="paragraph" w:customStyle="1" w:styleId="759">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760">
    <w:name w:val="Normal_16"/>
    <w:qFormat/>
    <w:uiPriority w:val="0"/>
    <w:rPr>
      <w:rFonts w:ascii="黑体" w:hAnsi="黑体" w:eastAsia="黑体" w:cs="Times New Roman"/>
      <w:b/>
      <w:sz w:val="32"/>
      <w:szCs w:val="24"/>
      <w:lang w:val="en-US" w:eastAsia="zh-CN" w:bidi="ar-SA"/>
    </w:rPr>
  </w:style>
  <w:style w:type="paragraph" w:customStyle="1" w:styleId="761">
    <w:name w:val="纯文本_4_3"/>
    <w:basedOn w:val="762"/>
    <w:link w:val="763"/>
    <w:qFormat/>
    <w:uiPriority w:val="0"/>
    <w:rPr>
      <w:rFonts w:ascii="宋体" w:hAnsi="Courier New"/>
      <w:szCs w:val="20"/>
    </w:rPr>
  </w:style>
  <w:style w:type="paragraph" w:customStyle="1" w:styleId="762">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63">
    <w:name w:val="纯文本 Char1_4_4"/>
    <w:link w:val="761"/>
    <w:qFormat/>
    <w:uiPriority w:val="0"/>
    <w:rPr>
      <w:rFonts w:ascii="宋体" w:hAnsi="Courier New"/>
      <w:kern w:val="2"/>
      <w:sz w:val="21"/>
      <w:lang w:val="en-US" w:eastAsia="zh-CN"/>
    </w:rPr>
  </w:style>
  <w:style w:type="paragraph" w:customStyle="1" w:styleId="764">
    <w:name w:val="Normal_17"/>
    <w:qFormat/>
    <w:uiPriority w:val="0"/>
    <w:rPr>
      <w:rFonts w:ascii="黑体" w:hAnsi="黑体" w:eastAsia="黑体" w:cs="Times New Roman"/>
      <w:b/>
      <w:sz w:val="32"/>
      <w:szCs w:val="24"/>
      <w:lang w:val="en-US" w:eastAsia="zh-CN" w:bidi="ar-SA"/>
    </w:rPr>
  </w:style>
  <w:style w:type="paragraph" w:customStyle="1" w:styleId="765">
    <w:name w:val="Normal_18"/>
    <w:qFormat/>
    <w:uiPriority w:val="0"/>
    <w:rPr>
      <w:rFonts w:ascii="黑体" w:hAnsi="黑体" w:eastAsia="黑体" w:cs="Times New Roman"/>
      <w:b/>
      <w:sz w:val="32"/>
      <w:szCs w:val="24"/>
      <w:lang w:val="en-US" w:eastAsia="zh-CN" w:bidi="ar-SA"/>
    </w:rPr>
  </w:style>
  <w:style w:type="paragraph" w:customStyle="1" w:styleId="766">
    <w:name w:val="Normal_19"/>
    <w:qFormat/>
    <w:uiPriority w:val="0"/>
    <w:rPr>
      <w:rFonts w:ascii="黑体" w:hAnsi="黑体" w:eastAsia="黑体" w:cs="Times New Roman"/>
      <w:b/>
      <w:sz w:val="32"/>
      <w:szCs w:val="24"/>
      <w:lang w:val="en-US" w:eastAsia="zh-CN" w:bidi="ar-SA"/>
    </w:rPr>
  </w:style>
  <w:style w:type="paragraph" w:customStyle="1" w:styleId="767">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68">
    <w:name w:val="Normal_20"/>
    <w:qFormat/>
    <w:uiPriority w:val="0"/>
    <w:rPr>
      <w:rFonts w:ascii="黑体" w:hAnsi="黑体" w:eastAsia="黑体" w:cs="Times New Roman"/>
      <w:b/>
      <w:sz w:val="32"/>
      <w:szCs w:val="24"/>
      <w:lang w:val="en-US" w:eastAsia="zh-CN" w:bidi="ar-SA"/>
    </w:rPr>
  </w:style>
  <w:style w:type="paragraph" w:customStyle="1" w:styleId="769">
    <w:name w:val="Normal_21"/>
    <w:qFormat/>
    <w:uiPriority w:val="0"/>
    <w:rPr>
      <w:rFonts w:ascii="黑体" w:hAnsi="黑体" w:eastAsia="黑体" w:cs="Times New Roman"/>
      <w:b/>
      <w:sz w:val="32"/>
      <w:szCs w:val="24"/>
      <w:lang w:val="en-US" w:eastAsia="zh-CN" w:bidi="ar-SA"/>
    </w:rPr>
  </w:style>
  <w:style w:type="paragraph" w:customStyle="1" w:styleId="770">
    <w:name w:val="Normal_22"/>
    <w:qFormat/>
    <w:uiPriority w:val="0"/>
    <w:pPr>
      <w:widowControl w:val="0"/>
      <w:jc w:val="both"/>
    </w:pPr>
    <w:rPr>
      <w:rFonts w:ascii="Times New Roman" w:hAnsi="Times New Roman" w:eastAsia="Times New Roman" w:cs="Times New Roman"/>
      <w:lang w:val="en-US" w:eastAsia="zh-CN" w:bidi="ar-SA"/>
    </w:rPr>
  </w:style>
  <w:style w:type="character" w:customStyle="1" w:styleId="771">
    <w:name w:val="Char Char12"/>
    <w:qFormat/>
    <w:locked/>
    <w:uiPriority w:val="0"/>
    <w:rPr>
      <w:sz w:val="18"/>
    </w:rPr>
  </w:style>
  <w:style w:type="character" w:customStyle="1" w:styleId="772">
    <w:name w:val="Char Char16"/>
    <w:qFormat/>
    <w:locked/>
    <w:uiPriority w:val="0"/>
    <w:rPr>
      <w:kern w:val="2"/>
      <w:sz w:val="18"/>
      <w:szCs w:val="18"/>
    </w:rPr>
  </w:style>
  <w:style w:type="paragraph" w:customStyle="1" w:styleId="773">
    <w:name w:val="Other|1"/>
    <w:basedOn w:val="1"/>
    <w:qFormat/>
    <w:uiPriority w:val="0"/>
    <w:pPr>
      <w:spacing w:line="274" w:lineRule="exact"/>
    </w:pPr>
    <w:rPr>
      <w:rFonts w:ascii="宋体" w:hAnsi="宋体" w:cs="宋体"/>
      <w:sz w:val="20"/>
      <w:szCs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71</Pages>
  <Words>33729</Words>
  <Characters>7720</Characters>
  <Lines>64</Lines>
  <Paragraphs>82</Paragraphs>
  <TotalTime>0</TotalTime>
  <ScaleCrop>false</ScaleCrop>
  <LinksUpToDate>false</LinksUpToDate>
  <CharactersWithSpaces>41367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2024-04-19T09:39:00Z</dcterms:created>
  <dc:creator>000</dc:creator>
  <cp:lastModifiedBy>Administrator</cp:lastModifiedBy>
  <cp:lastPrinted>2024-02-07T07:58:00Z</cp:lastPrinted>
  <dcterms:modified xsi:type="dcterms:W3CDTF">2024-05-14T14:10:23Z</dcterms:modified>
  <dc:title>招  标  文  件</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A10DFBBAABED4D80A32D5C891CDB9D34</vt:lpwstr>
  </property>
  <property fmtid="{D5CDD505-2E9C-101B-9397-08002B2CF9AE}" pid="4" name="woSyncTypoMode" linkTarget="0">
    <vt:bool>false</vt:bool>
  </property>
  <property fmtid="{D5CDD505-2E9C-101B-9397-08002B2CF9AE}" pid="5" name="woTypoMode" linkTarget="0">
    <vt:lpwstr>pages</vt:lpwstr>
  </property>
</Properties>
</file>