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auto"/>
        <w:rPr>
          <w:rFonts w:ascii="仿宋" w:hAnsi="仿宋" w:eastAsia="仿宋"/>
          <w:color w:val="auto"/>
          <w:highlight w:val="none"/>
        </w:rPr>
      </w:pPr>
      <w:r>
        <w:rPr>
          <w:rFonts w:hint="eastAsia" w:ascii="仿宋" w:hAnsi="仿宋" w:eastAsia="仿宋"/>
          <w:color w:val="auto"/>
          <w:highlight w:val="none"/>
        </w:rPr>
        <w:drawing>
          <wp:inline distT="0" distB="0" distL="114300" distR="114300">
            <wp:extent cx="1123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1123950" cy="1104900"/>
                    </a:xfrm>
                    <a:prstGeom prst="rect">
                      <a:avLst/>
                    </a:prstGeom>
                    <a:noFill/>
                    <a:ln>
                      <a:noFill/>
                    </a:ln>
                  </pic:spPr>
                </pic:pic>
              </a:graphicData>
            </a:graphic>
          </wp:inline>
        </w:drawing>
      </w:r>
    </w:p>
    <w:p>
      <w:pPr>
        <w:jc w:val="center"/>
        <w:rPr>
          <w:rFonts w:ascii="仿宋" w:hAnsi="仿宋" w:eastAsia="仿宋" w:cs="仿宋"/>
          <w:b/>
          <w:color w:val="auto"/>
          <w:sz w:val="72"/>
          <w:szCs w:val="72"/>
          <w:highlight w:val="none"/>
        </w:rPr>
      </w:pPr>
      <w:bookmarkStart w:id="0" w:name="_Toc493928401"/>
      <w:bookmarkStart w:id="1" w:name="_Toc493956011"/>
      <w:r>
        <w:rPr>
          <w:rFonts w:hint="eastAsia" w:ascii="仿宋" w:hAnsi="仿宋" w:eastAsia="仿宋" w:cs="仿宋"/>
          <w:b/>
          <w:color w:val="auto"/>
          <w:sz w:val="72"/>
          <w:szCs w:val="72"/>
          <w:highlight w:val="none"/>
        </w:rPr>
        <w:t>竞争性磋商文件</w:t>
      </w:r>
      <w:bookmarkEnd w:id="0"/>
      <w:bookmarkEnd w:id="1"/>
    </w:p>
    <w:p>
      <w:pPr>
        <w:spacing w:line="480" w:lineRule="auto"/>
        <w:rPr>
          <w:rFonts w:ascii="仿宋" w:hAnsi="仿宋" w:eastAsia="仿宋" w:cs="仿宋"/>
          <w:color w:val="auto"/>
          <w:highlight w:val="none"/>
        </w:rPr>
      </w:pPr>
    </w:p>
    <w:p>
      <w:pPr>
        <w:spacing w:line="480" w:lineRule="auto"/>
        <w:rPr>
          <w:rFonts w:ascii="仿宋" w:hAnsi="仿宋" w:eastAsia="仿宋" w:cs="仿宋"/>
          <w:color w:val="auto"/>
          <w:highlight w:val="none"/>
        </w:rPr>
      </w:pPr>
    </w:p>
    <w:p>
      <w:pPr>
        <w:spacing w:line="480" w:lineRule="auto"/>
        <w:rPr>
          <w:rFonts w:ascii="仿宋" w:hAnsi="仿宋" w:eastAsia="仿宋" w:cs="仿宋"/>
          <w:color w:val="auto"/>
          <w:highlight w:val="none"/>
        </w:rPr>
      </w:pPr>
    </w:p>
    <w:p>
      <w:pPr>
        <w:spacing w:line="480" w:lineRule="auto"/>
        <w:rPr>
          <w:rFonts w:ascii="仿宋" w:hAnsi="仿宋" w:eastAsia="仿宋" w:cs="仿宋"/>
          <w:color w:val="auto"/>
          <w:highlight w:val="none"/>
        </w:rPr>
      </w:pPr>
    </w:p>
    <w:p>
      <w:pPr>
        <w:spacing w:line="480" w:lineRule="auto"/>
        <w:rPr>
          <w:rFonts w:ascii="仿宋" w:hAnsi="仿宋" w:eastAsia="仿宋" w:cs="仿宋"/>
          <w:color w:val="auto"/>
          <w:highlight w:val="none"/>
        </w:rPr>
      </w:pPr>
    </w:p>
    <w:p>
      <w:pPr>
        <w:spacing w:line="480" w:lineRule="auto"/>
        <w:rPr>
          <w:rFonts w:ascii="仿宋" w:hAnsi="仿宋" w:eastAsia="仿宋" w:cs="仿宋"/>
          <w:color w:val="auto"/>
          <w:highlight w:val="none"/>
        </w:rPr>
      </w:pPr>
    </w:p>
    <w:p>
      <w:pPr>
        <w:spacing w:line="480" w:lineRule="auto"/>
        <w:rPr>
          <w:rFonts w:ascii="仿宋" w:hAnsi="仿宋" w:eastAsia="仿宋" w:cs="仿宋"/>
          <w:color w:val="auto"/>
          <w:highlight w:val="none"/>
        </w:rPr>
      </w:pPr>
    </w:p>
    <w:tbl>
      <w:tblPr>
        <w:tblStyle w:val="20"/>
        <w:tblW w:w="0" w:type="auto"/>
        <w:jc w:val="center"/>
        <w:tblLayout w:type="fixed"/>
        <w:tblCellMar>
          <w:top w:w="0" w:type="dxa"/>
          <w:left w:w="108" w:type="dxa"/>
          <w:bottom w:w="0" w:type="dxa"/>
          <w:right w:w="108" w:type="dxa"/>
        </w:tblCellMar>
      </w:tblPr>
      <w:tblGrid>
        <w:gridCol w:w="2311"/>
        <w:gridCol w:w="5142"/>
      </w:tblGrid>
      <w:tr>
        <w:trPr>
          <w:trHeight w:val="737" w:hRule="atLeast"/>
          <w:jc w:val="center"/>
        </w:trPr>
        <w:tc>
          <w:tcPr>
            <w:tcW w:w="2311" w:type="dxa"/>
            <w:vAlign w:val="center"/>
          </w:tcPr>
          <w:p>
            <w:pPr>
              <w:ind w:right="-109" w:rightChars="-52"/>
              <w:jc w:val="distribute"/>
              <w:rPr>
                <w:rFonts w:ascii="仿宋" w:hAnsi="仿宋" w:eastAsia="仿宋" w:cs="仿宋"/>
                <w:color w:val="auto"/>
                <w:sz w:val="32"/>
                <w:szCs w:val="32"/>
                <w:highlight w:val="none"/>
              </w:rPr>
            </w:pPr>
            <w:bookmarkStart w:id="2" w:name="_Toc493928402"/>
            <w:bookmarkStart w:id="3" w:name="_Toc493956012"/>
            <w:r>
              <w:rPr>
                <w:rFonts w:hint="eastAsia" w:ascii="仿宋" w:hAnsi="仿宋" w:eastAsia="仿宋" w:cs="仿宋"/>
                <w:color w:val="auto"/>
                <w:sz w:val="32"/>
                <w:szCs w:val="32"/>
                <w:highlight w:val="none"/>
              </w:rPr>
              <w:t>项目编号：</w:t>
            </w:r>
            <w:bookmarkEnd w:id="2"/>
            <w:bookmarkEnd w:id="3"/>
          </w:p>
        </w:tc>
        <w:tc>
          <w:tcPr>
            <w:tcW w:w="5142" w:type="dxa"/>
            <w:vAlign w:val="center"/>
          </w:tcPr>
          <w:p>
            <w:pPr>
              <w:ind w:left="-103" w:leftChars="-49"/>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兴华招采(2022 )</w:t>
            </w:r>
            <w:r>
              <w:rPr>
                <w:rFonts w:hint="eastAsia" w:ascii="仿宋" w:hAnsi="仿宋" w:eastAsia="仿宋" w:cs="仿宋"/>
                <w:color w:val="auto"/>
                <w:sz w:val="32"/>
                <w:szCs w:val="32"/>
                <w:highlight w:val="none"/>
                <w:lang w:val="en-US" w:eastAsia="zh-CN"/>
              </w:rPr>
              <w:t>45</w:t>
            </w:r>
            <w:r>
              <w:rPr>
                <w:rFonts w:hint="eastAsia" w:ascii="仿宋" w:hAnsi="仿宋" w:eastAsia="仿宋" w:cs="仿宋"/>
                <w:color w:val="auto"/>
                <w:sz w:val="32"/>
                <w:szCs w:val="32"/>
                <w:highlight w:val="none"/>
              </w:rPr>
              <w:t>号</w:t>
            </w:r>
          </w:p>
        </w:tc>
      </w:tr>
      <w:tr>
        <w:trPr>
          <w:trHeight w:val="737" w:hRule="atLeast"/>
          <w:jc w:val="center"/>
        </w:trPr>
        <w:tc>
          <w:tcPr>
            <w:tcW w:w="2311" w:type="dxa"/>
            <w:vAlign w:val="center"/>
          </w:tcPr>
          <w:p>
            <w:pPr>
              <w:ind w:right="-109" w:rightChars="-52"/>
              <w:jc w:val="distribute"/>
              <w:rPr>
                <w:rFonts w:ascii="仿宋" w:hAnsi="仿宋" w:eastAsia="仿宋" w:cs="仿宋"/>
                <w:color w:val="auto"/>
                <w:sz w:val="32"/>
                <w:szCs w:val="32"/>
                <w:highlight w:val="none"/>
              </w:rPr>
            </w:pPr>
            <w:bookmarkStart w:id="4" w:name="_Toc493928404"/>
            <w:bookmarkStart w:id="5" w:name="_Toc493956014"/>
            <w:r>
              <w:rPr>
                <w:rFonts w:hint="eastAsia" w:ascii="仿宋" w:hAnsi="仿宋" w:eastAsia="仿宋" w:cs="仿宋"/>
                <w:color w:val="auto"/>
                <w:sz w:val="32"/>
                <w:szCs w:val="32"/>
                <w:highlight w:val="none"/>
              </w:rPr>
              <w:t>项目名称：</w:t>
            </w:r>
            <w:bookmarkEnd w:id="4"/>
            <w:bookmarkEnd w:id="5"/>
          </w:p>
        </w:tc>
        <w:tc>
          <w:tcPr>
            <w:tcW w:w="5142" w:type="dxa"/>
            <w:vAlign w:val="center"/>
          </w:tcPr>
          <w:p>
            <w:pPr>
              <w:ind w:left="-103" w:leftChars="-49"/>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庆元县图书馆2022年度省民生实事城市书房图书采购项目   </w:t>
            </w:r>
          </w:p>
        </w:tc>
      </w:tr>
      <w:tr>
        <w:tblPrEx>
          <w:tblCellMar>
            <w:top w:w="0" w:type="dxa"/>
            <w:left w:w="108" w:type="dxa"/>
            <w:bottom w:w="0" w:type="dxa"/>
            <w:right w:w="108" w:type="dxa"/>
          </w:tblCellMar>
        </w:tblPrEx>
        <w:trPr>
          <w:trHeight w:val="724" w:hRule="atLeast"/>
          <w:jc w:val="center"/>
        </w:trPr>
        <w:tc>
          <w:tcPr>
            <w:tcW w:w="2311" w:type="dxa"/>
            <w:vAlign w:val="center"/>
          </w:tcPr>
          <w:p>
            <w:pPr>
              <w:ind w:right="-109" w:rightChars="-52"/>
              <w:jc w:val="distribute"/>
              <w:rPr>
                <w:rFonts w:ascii="仿宋" w:hAnsi="仿宋" w:eastAsia="仿宋" w:cs="仿宋"/>
                <w:color w:val="auto"/>
                <w:sz w:val="32"/>
                <w:szCs w:val="32"/>
                <w:highlight w:val="none"/>
              </w:rPr>
            </w:pPr>
            <w:bookmarkStart w:id="6" w:name="_Toc493928406"/>
            <w:bookmarkStart w:id="7" w:name="_Toc493956016"/>
            <w:r>
              <w:rPr>
                <w:rFonts w:hint="eastAsia" w:ascii="仿宋" w:hAnsi="仿宋" w:eastAsia="仿宋" w:cs="仿宋"/>
                <w:color w:val="auto"/>
                <w:sz w:val="32"/>
                <w:szCs w:val="32"/>
                <w:highlight w:val="none"/>
              </w:rPr>
              <w:t>采 购 人：</w:t>
            </w:r>
            <w:bookmarkEnd w:id="6"/>
            <w:bookmarkEnd w:id="7"/>
          </w:p>
        </w:tc>
        <w:tc>
          <w:tcPr>
            <w:tcW w:w="5142" w:type="dxa"/>
            <w:vAlign w:val="center"/>
          </w:tcPr>
          <w:p>
            <w:pPr>
              <w:ind w:left="-103" w:leftChars="-49"/>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庆元县图书馆</w:t>
            </w: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 w:hAnsi="仿宋" w:eastAsia="仿宋" w:cs="仿宋"/>
                <w:color w:val="auto"/>
                <w:sz w:val="32"/>
                <w:szCs w:val="32"/>
                <w:highlight w:val="none"/>
              </w:rPr>
            </w:pPr>
          </w:p>
        </w:tc>
        <w:tc>
          <w:tcPr>
            <w:tcW w:w="5142" w:type="dxa"/>
            <w:vAlign w:val="center"/>
          </w:tcPr>
          <w:p>
            <w:pPr>
              <w:ind w:left="-103" w:leftChars="-49"/>
              <w:jc w:val="left"/>
              <w:rPr>
                <w:rFonts w:ascii="仿宋" w:hAnsi="仿宋" w:eastAsia="仿宋" w:cs="仿宋"/>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w:t>
            </w:r>
          </w:p>
        </w:tc>
        <w:tc>
          <w:tcPr>
            <w:tcW w:w="5142" w:type="dxa"/>
            <w:vAlign w:val="center"/>
          </w:tcPr>
          <w:p>
            <w:pPr>
              <w:ind w:left="-103" w:leftChars="-49"/>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浙江丽水兴华工程管理有限公司</w:t>
            </w:r>
          </w:p>
        </w:tc>
      </w:tr>
      <w:tr>
        <w:trPr>
          <w:trHeight w:val="737" w:hRule="atLeast"/>
          <w:jc w:val="center"/>
        </w:trPr>
        <w:tc>
          <w:tcPr>
            <w:tcW w:w="2311" w:type="dxa"/>
            <w:vAlign w:val="center"/>
          </w:tcPr>
          <w:p>
            <w:pPr>
              <w:ind w:right="-109" w:rightChars="-52"/>
              <w:jc w:val="distribute"/>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        址：</w:t>
            </w:r>
          </w:p>
        </w:tc>
        <w:tc>
          <w:tcPr>
            <w:tcW w:w="5142" w:type="dxa"/>
            <w:vAlign w:val="center"/>
          </w:tcPr>
          <w:p>
            <w:pPr>
              <w:ind w:left="-103" w:leftChars="-49"/>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庆元县城南中路104号 </w:t>
            </w:r>
          </w:p>
        </w:tc>
      </w:tr>
      <w:tr>
        <w:trPr>
          <w:trHeight w:val="737" w:hRule="atLeast"/>
          <w:jc w:val="center"/>
        </w:trPr>
        <w:tc>
          <w:tcPr>
            <w:tcW w:w="2311" w:type="dxa"/>
            <w:vAlign w:val="center"/>
          </w:tcPr>
          <w:p>
            <w:pPr>
              <w:ind w:right="-84" w:rightChars="-40"/>
              <w:rPr>
                <w:rFonts w:ascii="仿宋" w:hAnsi="仿宋" w:eastAsia="仿宋" w:cs="仿宋"/>
                <w:color w:val="auto"/>
                <w:sz w:val="32"/>
                <w:szCs w:val="32"/>
                <w:highlight w:val="none"/>
              </w:rPr>
            </w:pPr>
          </w:p>
        </w:tc>
        <w:tc>
          <w:tcPr>
            <w:tcW w:w="5142" w:type="dxa"/>
            <w:vAlign w:val="center"/>
          </w:tcPr>
          <w:p>
            <w:pPr>
              <w:ind w:left="-103" w:leftChars="-49"/>
              <w:rPr>
                <w:rFonts w:ascii="仿宋" w:hAnsi="仿宋" w:eastAsia="仿宋" w:cs="仿宋"/>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7453" w:type="dxa"/>
            <w:gridSpan w:val="2"/>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2022年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p>
        </w:tc>
      </w:tr>
    </w:tbl>
    <w:p>
      <w:pPr>
        <w:pStyle w:val="16"/>
        <w:spacing w:after="240"/>
        <w:rPr>
          <w:rFonts w:ascii="仿宋" w:hAnsi="仿宋" w:eastAsia="仿宋" w:cs="仿宋"/>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851" w:gutter="0"/>
          <w:cols w:space="720" w:num="1"/>
          <w:titlePg/>
          <w:docGrid w:linePitch="312" w:charSpace="0"/>
        </w:sectPr>
      </w:pPr>
    </w:p>
    <w:p>
      <w:pPr>
        <w:pStyle w:val="16"/>
        <w:spacing w:after="240"/>
        <w:rPr>
          <w:rFonts w:ascii="仿宋" w:hAnsi="仿宋" w:eastAsia="仿宋" w:cs="仿宋"/>
          <w:color w:val="auto"/>
          <w:highlight w:val="none"/>
        </w:rPr>
      </w:pPr>
      <w:bookmarkStart w:id="8" w:name="_Toc20206"/>
      <w:bookmarkStart w:id="9" w:name="_Toc1506"/>
      <w:bookmarkStart w:id="10" w:name="_Toc18225"/>
      <w:bookmarkStart w:id="11" w:name="_Toc89950962"/>
      <w:bookmarkStart w:id="12" w:name="_Toc13052"/>
      <w:bookmarkStart w:id="13" w:name="_Toc78290309"/>
      <w:bookmarkStart w:id="14" w:name="_Toc82682911"/>
      <w:bookmarkStart w:id="15" w:name="_Toc21021"/>
      <w:bookmarkStart w:id="16" w:name="_Toc12858"/>
      <w:bookmarkStart w:id="17" w:name="_Toc12059"/>
      <w:bookmarkStart w:id="18" w:name="_Toc530551803"/>
      <w:bookmarkStart w:id="19" w:name="_Toc2325"/>
      <w:bookmarkStart w:id="20" w:name="_Toc15156"/>
      <w:bookmarkStart w:id="21" w:name="_Toc22792"/>
      <w:bookmarkStart w:id="22" w:name="_Toc11525"/>
      <w:bookmarkStart w:id="23" w:name="_Toc27944"/>
      <w:bookmarkStart w:id="24" w:name="_Toc22838"/>
      <w:bookmarkStart w:id="25" w:name="_Toc78212304"/>
      <w:bookmarkStart w:id="26" w:name="_Toc531358958"/>
      <w:bookmarkStart w:id="27" w:name="_Toc86677079"/>
      <w:bookmarkStart w:id="28" w:name="_Toc5149"/>
      <w:bookmarkStart w:id="29" w:name="_Toc21327"/>
      <w:r>
        <w:rPr>
          <w:rFonts w:hint="eastAsia" w:ascii="仿宋" w:hAnsi="仿宋" w:eastAsia="仿宋" w:cs="仿宋"/>
          <w:color w:val="auto"/>
          <w:highlight w:val="none"/>
        </w:rPr>
        <w:t>目  录</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Start w:id="30" w:name="_Toc69635410"/>
    </w:p>
    <w:p>
      <w:pPr>
        <w:pStyle w:val="12"/>
        <w:tabs>
          <w:tab w:val="right" w:leader="dot" w:pos="8312"/>
          <w:tab w:val="clear" w:pos="9060"/>
        </w:tabs>
        <w:rPr>
          <w:rFonts w:ascii="仿宋" w:hAnsi="仿宋" w:eastAsia="仿宋" w:cs="仿宋"/>
          <w:b w:val="0"/>
          <w:color w:val="auto"/>
          <w:sz w:val="24"/>
          <w:szCs w:val="24"/>
          <w:highlight w:val="none"/>
        </w:rPr>
      </w:pPr>
    </w:p>
    <w:p>
      <w:pPr>
        <w:pStyle w:val="12"/>
        <w:tabs>
          <w:tab w:val="right" w:leader="dot" w:pos="8312"/>
          <w:tab w:val="clear" w:pos="9060"/>
        </w:tabs>
        <w:rPr>
          <w:color w:val="auto"/>
          <w:sz w:val="24"/>
          <w:szCs w:val="24"/>
          <w:highlight w:val="none"/>
        </w:rPr>
      </w:pP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 TOC \o "1-3" \h \z \u </w:instrText>
      </w:r>
      <w:r>
        <w:rPr>
          <w:rFonts w:hint="eastAsia" w:ascii="仿宋" w:hAnsi="仿宋" w:eastAsia="仿宋" w:cs="仿宋"/>
          <w:b w:val="0"/>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第一章  竞争性磋商采购公告（邀请）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_Toc66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_Toc6669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第二章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_Toc6669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_Toc3052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一、招标内容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_Toc3052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_Toc13499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二、基本条件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_Toc13499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_Toc19066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三、报价要求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_Toc19066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_Toc30314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四、图书验收要求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_Toc30314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_Toc4611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五、货款结算方式及付款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_Toc4611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_Toc27691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六、供货时间和地点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_Toc27691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_Toc30021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七、其他要求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_Toc30021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_Toc30708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第三章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_Toc30708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_Toc10211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供应商须知前附表（一）</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_Toc10211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_Toc31312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供应商须知前附表（二）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_Toc31312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_Toc32203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    总则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_Toc32203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_Toc24258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     适用范围</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_Toc24258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_Toc9880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1.2     定义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_Toc9880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_Toc18449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1.3     供应商应具备资格条件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_Toc18449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_Toc3368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1.4     联合体</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_Toc3368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_Toc17425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1.5     磋商响应文件的语言及计量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_Toc17425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_Toc17598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1.6     磋商费用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_Toc17598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_Toc27308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1.7     现场踏勘</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_Toc27308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_Toc30831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     答疑会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_Toc30831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_Toc10805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1.9     分包</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_Toc10805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_Toc13986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1.10    保密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_Toc13986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_Toc21324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1.11    政府采购政策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_Toc21324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_Toc494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1.12    信用信息记录查询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_Toc494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_Toc18646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1.13    质疑和投诉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_Toc18646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_Toc6564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1.14    特别声明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_Toc6564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_Toc7389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    磋商文件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_Toc7389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_Toc16308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     磋商文件的组成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_Toc16308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_Toc26968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     磋商文件的澄清、修改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_Toc26968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_Toc12000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    磋商响应文件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_Toc12000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_Toc27679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3.1     磋商响应文件的形式和效力</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_Toc27679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_Toc19281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3.2     在线磋商响应（电子投标）说明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_Toc19281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_Toc26523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     磋商响应文件组成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_Toc26523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_Toc10509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3.4     资格审查文件的组成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_Toc10509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_Toc5625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3.5     资信商务及技术文件的组成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_Toc5625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_Toc7901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3.6     报价文件的组成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_Toc7901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_Toc10981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    磋商响应文件的编制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_Toc10981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_Toc4516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4.1     磋商响应文件编制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_Toc4516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4.2     磋商报价要求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_Toc17212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4.3     磋商有效期</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_Toc17212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_Toc11036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4.4     磋商响应文件格式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_Toc11036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_Toc2373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4.5     磋商响应文件份数及签署</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_Toc2373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_Toc28569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    磋商响应文件的提交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_Toc28569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_Toc13215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5.1     磋商响应文件导入和加密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_Toc13215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_Toc22073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5.2     磋商响应文件的提交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_Toc22073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_Toc26456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5.3     磋商响应文件修改和撤回</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_Toc26456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_Toc14956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5.4     备选磋商方案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_Toc14956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_Toc6734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5.5     磋商诚实信用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_Toc6734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_Toc27129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六    开标、资格审查、磋商和评审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_Toc27129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_Toc31984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6.1     开标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_Toc31984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_Toc3673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6.2     资格审查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_Toc3673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_Toc19110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6.3     磋商和评审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_Toc19110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_Toc5589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6.4     磋商响应文件的澄清、说明或补正</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_Toc5589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_Toc32500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6.5     报价错误修正</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_Toc32500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_Toc17086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6.6     评审报告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_Toc17086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_Toc7261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七    响应无效的情形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_Toc7261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_Toc31029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7.1     在开标时，如发现有以下情形之一的，其响应无效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_Toc31029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_Toc23424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7.2     在符合性审查时，如发现下列情形之一的，其响应无效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_Toc23424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_Toc26713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7.3     在资信商务技术评审时，如发现下列情形之一的，其响应无效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_Toc26713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_Toc3086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7.4     在报价评审时，如发现下列情形之一的，其响应无效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_Toc3086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_Toc20961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7.5     如有下列情形之一的，其响应无效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_Toc20961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_Toc32393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八    成交和合同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_Toc32393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_Toc2908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8.1     成交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_Toc2908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_Toc17649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8.2     成交公告和成交通知书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_Toc17649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_Toc28344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8.3     履约保证金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_Toc28344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_Toc18880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8.4     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_Toc18880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_Toc23487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九    其他事项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_Toc23487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_Toc30697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9.1     解释权</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_Toc30697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_Toc15012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9.2     采购代理服务费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_Toc15012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_Toc17337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第四章  合同格式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_Toc17337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_Toc12250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第五章  磋商响应文件格式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_Toc12250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_Toc9157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  资格审查文件格式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_Toc9157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_Toc29645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    资格审查文件封面格式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_Toc29645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_Toc16973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1.2    资格审查文件目录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_Toc16973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_Toc5427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1.3    有效营业执照电子文档</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_Toc5427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_Toc12991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1.4    负责人身份证电子文档</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_Toc12991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_Toc25357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1.5    授权委托书格式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_Toc25357 \h </w:instrText>
      </w:r>
      <w:r>
        <w:rPr>
          <w:color w:val="auto"/>
          <w:sz w:val="24"/>
          <w:szCs w:val="24"/>
          <w:highlight w:val="none"/>
        </w:rPr>
        <w:fldChar w:fldCharType="separate"/>
      </w:r>
      <w:r>
        <w:rPr>
          <w:color w:val="auto"/>
          <w:sz w:val="24"/>
          <w:szCs w:val="24"/>
          <w:highlight w:val="none"/>
        </w:rPr>
        <w:t>41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_Toc5181 </w:instrText>
      </w:r>
      <w:r>
        <w:rPr>
          <w:rFonts w:hint="eastAsia" w:ascii="仿宋" w:hAnsi="仿宋" w:eastAsia="仿宋" w:cs="仿宋"/>
          <w:color w:val="auto"/>
          <w:sz w:val="24"/>
          <w:szCs w:val="24"/>
          <w:highlight w:val="none"/>
        </w:rPr>
        <w:fldChar w:fldCharType="separate"/>
      </w:r>
      <w:r>
        <w:rPr>
          <w:rFonts w:hint="eastAsia" w:ascii="仿宋" w:hAnsi="仿宋" w:eastAsia="仿宋"/>
          <w:color w:val="auto"/>
          <w:sz w:val="24"/>
          <w:szCs w:val="24"/>
          <w:highlight w:val="none"/>
        </w:rPr>
        <w:t>1.6    具有良好的财务会计制度、依法缴纳税收和社会保障资金的承诺函格式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_Toc5181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_Toc25493 </w:instrText>
      </w:r>
      <w:r>
        <w:rPr>
          <w:rFonts w:hint="eastAsia" w:ascii="仿宋" w:hAnsi="仿宋" w:eastAsia="仿宋" w:cs="仿宋"/>
          <w:color w:val="auto"/>
          <w:sz w:val="24"/>
          <w:szCs w:val="24"/>
          <w:highlight w:val="none"/>
        </w:rPr>
        <w:fldChar w:fldCharType="separate"/>
      </w:r>
      <w:r>
        <w:rPr>
          <w:rFonts w:hint="eastAsia" w:ascii="仿宋" w:hAnsi="仿宋" w:eastAsia="仿宋"/>
          <w:color w:val="auto"/>
          <w:sz w:val="24"/>
          <w:szCs w:val="24"/>
          <w:highlight w:val="none"/>
        </w:rPr>
        <w:t>1.</w:t>
      </w:r>
      <w:r>
        <w:rPr>
          <w:rFonts w:ascii="仿宋" w:hAnsi="仿宋" w:eastAsia="仿宋"/>
          <w:color w:val="auto"/>
          <w:sz w:val="24"/>
          <w:szCs w:val="24"/>
          <w:highlight w:val="none"/>
        </w:rPr>
        <w:t>7</w:t>
      </w:r>
      <w:r>
        <w:rPr>
          <w:rFonts w:hint="eastAsia" w:ascii="仿宋" w:hAnsi="仿宋" w:eastAsia="仿宋"/>
          <w:color w:val="auto"/>
          <w:sz w:val="24"/>
          <w:szCs w:val="24"/>
          <w:highlight w:val="none"/>
        </w:rPr>
        <w:t xml:space="preserve">    具有</w:t>
      </w:r>
      <w:r>
        <w:rPr>
          <w:rFonts w:ascii="仿宋" w:hAnsi="仿宋" w:eastAsia="仿宋"/>
          <w:color w:val="auto"/>
          <w:sz w:val="24"/>
          <w:szCs w:val="24"/>
          <w:highlight w:val="none"/>
        </w:rPr>
        <w:t>履行合同</w:t>
      </w:r>
      <w:r>
        <w:rPr>
          <w:rFonts w:hint="eastAsia" w:ascii="仿宋" w:hAnsi="仿宋" w:eastAsia="仿宋"/>
          <w:color w:val="auto"/>
          <w:sz w:val="24"/>
          <w:szCs w:val="24"/>
          <w:highlight w:val="none"/>
        </w:rPr>
        <w:t>所必需</w:t>
      </w:r>
      <w:r>
        <w:rPr>
          <w:rFonts w:ascii="仿宋" w:hAnsi="仿宋" w:eastAsia="仿宋"/>
          <w:color w:val="auto"/>
          <w:sz w:val="24"/>
          <w:szCs w:val="24"/>
          <w:highlight w:val="none"/>
        </w:rPr>
        <w:t>的</w:t>
      </w:r>
      <w:r>
        <w:rPr>
          <w:rFonts w:hint="eastAsia" w:ascii="仿宋" w:hAnsi="仿宋" w:eastAsia="仿宋"/>
          <w:color w:val="auto"/>
          <w:sz w:val="24"/>
          <w:szCs w:val="24"/>
          <w:highlight w:val="none"/>
        </w:rPr>
        <w:t>设备</w:t>
      </w:r>
      <w:r>
        <w:rPr>
          <w:rFonts w:ascii="仿宋" w:hAnsi="仿宋" w:eastAsia="仿宋"/>
          <w:color w:val="auto"/>
          <w:sz w:val="24"/>
          <w:szCs w:val="24"/>
          <w:highlight w:val="none"/>
        </w:rPr>
        <w:t>和</w:t>
      </w:r>
      <w:r>
        <w:rPr>
          <w:rFonts w:hint="eastAsia" w:ascii="仿宋" w:hAnsi="仿宋" w:eastAsia="仿宋"/>
          <w:color w:val="auto"/>
          <w:sz w:val="24"/>
          <w:szCs w:val="24"/>
          <w:highlight w:val="none"/>
        </w:rPr>
        <w:t>专业</w:t>
      </w:r>
      <w:r>
        <w:rPr>
          <w:rFonts w:ascii="仿宋" w:hAnsi="仿宋" w:eastAsia="仿宋"/>
          <w:color w:val="auto"/>
          <w:sz w:val="24"/>
          <w:szCs w:val="24"/>
          <w:highlight w:val="none"/>
        </w:rPr>
        <w:t>技术能力</w:t>
      </w:r>
      <w:r>
        <w:rPr>
          <w:rFonts w:hint="eastAsia" w:ascii="仿宋" w:hAnsi="仿宋" w:eastAsia="仿宋"/>
          <w:color w:val="auto"/>
          <w:sz w:val="24"/>
          <w:szCs w:val="24"/>
          <w:highlight w:val="none"/>
        </w:rPr>
        <w:t>承诺</w:t>
      </w:r>
      <w:r>
        <w:rPr>
          <w:rFonts w:ascii="仿宋" w:hAnsi="仿宋" w:eastAsia="仿宋"/>
          <w:color w:val="auto"/>
          <w:sz w:val="24"/>
          <w:szCs w:val="24"/>
          <w:highlight w:val="none"/>
        </w:rPr>
        <w:t>函格式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_Toc25493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_Toc4425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    无重大违法记录声明书格式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_Toc4425 \h </w:instrText>
      </w:r>
      <w:r>
        <w:rPr>
          <w:color w:val="auto"/>
          <w:sz w:val="24"/>
          <w:szCs w:val="24"/>
          <w:highlight w:val="none"/>
        </w:rPr>
        <w:fldChar w:fldCharType="separate"/>
      </w:r>
      <w:r>
        <w:rPr>
          <w:color w:val="auto"/>
          <w:sz w:val="24"/>
          <w:szCs w:val="24"/>
          <w:highlight w:val="none"/>
        </w:rPr>
        <w:t>44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_Toc10149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1.9     中小企业声明函格式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_Toc10149 \h </w:instrText>
      </w:r>
      <w:r>
        <w:rPr>
          <w:color w:val="auto"/>
          <w:sz w:val="24"/>
          <w:szCs w:val="24"/>
          <w:highlight w:val="none"/>
        </w:rPr>
        <w:fldChar w:fldCharType="separate"/>
      </w:r>
      <w:r>
        <w:rPr>
          <w:color w:val="auto"/>
          <w:sz w:val="24"/>
          <w:szCs w:val="24"/>
          <w:highlight w:val="none"/>
        </w:rPr>
        <w:t>45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_Toc28183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1.10     残疾人福利性单位声明函格式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_Toc28183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_Toc1634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1.11     监狱企业证明格式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_Toc1634 \h </w:instrText>
      </w:r>
      <w:r>
        <w:rPr>
          <w:color w:val="auto"/>
          <w:sz w:val="24"/>
          <w:szCs w:val="24"/>
          <w:highlight w:val="none"/>
        </w:rPr>
        <w:fldChar w:fldCharType="separate"/>
      </w:r>
      <w:r>
        <w:rPr>
          <w:color w:val="auto"/>
          <w:sz w:val="24"/>
          <w:szCs w:val="24"/>
          <w:highlight w:val="none"/>
        </w:rPr>
        <w:t>47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_Toc8714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1.12    联合体协议书格式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_Toc8714 \h </w:instrText>
      </w:r>
      <w:r>
        <w:rPr>
          <w:color w:val="auto"/>
          <w:sz w:val="24"/>
          <w:szCs w:val="24"/>
          <w:highlight w:val="none"/>
        </w:rPr>
        <w:fldChar w:fldCharType="separate"/>
      </w:r>
      <w:r>
        <w:rPr>
          <w:color w:val="auto"/>
          <w:sz w:val="24"/>
          <w:szCs w:val="24"/>
          <w:highlight w:val="none"/>
        </w:rPr>
        <w:t>48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_Toc27438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1.13    特定资格条件证明材料附件（若有）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_Toc27438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_Toc7774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1.14    其他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_Toc7774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_Toc28713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  资信商务及技术文件格式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_Toc28713 \h </w:instrText>
      </w:r>
      <w:r>
        <w:rPr>
          <w:color w:val="auto"/>
          <w:sz w:val="24"/>
          <w:szCs w:val="24"/>
          <w:highlight w:val="none"/>
        </w:rPr>
        <w:fldChar w:fldCharType="separate"/>
      </w:r>
      <w:r>
        <w:rPr>
          <w:color w:val="auto"/>
          <w:sz w:val="24"/>
          <w:szCs w:val="24"/>
          <w:highlight w:val="none"/>
        </w:rPr>
        <w:t>51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_Toc13091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    资信及商务文件封面格式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_Toc13091 \h </w:instrText>
      </w:r>
      <w:r>
        <w:rPr>
          <w:color w:val="auto"/>
          <w:sz w:val="24"/>
          <w:szCs w:val="24"/>
          <w:highlight w:val="none"/>
        </w:rPr>
        <w:fldChar w:fldCharType="separate"/>
      </w:r>
      <w:r>
        <w:rPr>
          <w:color w:val="auto"/>
          <w:sz w:val="24"/>
          <w:szCs w:val="24"/>
          <w:highlight w:val="none"/>
        </w:rPr>
        <w:t>51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_Toc4562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    资信商务及技术文件目录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_Toc4562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_Toc19685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2.3    磋商响应函格式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_Toc19685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_Toc27771 </w:instrText>
      </w:r>
      <w:r>
        <w:rPr>
          <w:rFonts w:hint="eastAsia" w:ascii="仿宋" w:hAnsi="仿宋" w:eastAsia="仿宋" w:cs="仿宋"/>
          <w:color w:val="auto"/>
          <w:sz w:val="24"/>
          <w:szCs w:val="24"/>
          <w:highlight w:val="none"/>
        </w:rPr>
        <w:fldChar w:fldCharType="separate"/>
      </w:r>
      <w:r>
        <w:rPr>
          <w:rFonts w:hint="eastAsia" w:ascii="仿宋" w:hAnsi="仿宋" w:eastAsia="仿宋"/>
          <w:color w:val="auto"/>
          <w:sz w:val="24"/>
          <w:szCs w:val="24"/>
          <w:highlight w:val="none"/>
        </w:rPr>
        <w:t>2.4    节能环保产品格式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_Toc27771 \h </w:instrText>
      </w:r>
      <w:r>
        <w:rPr>
          <w:color w:val="auto"/>
          <w:sz w:val="24"/>
          <w:szCs w:val="24"/>
          <w:highlight w:val="none"/>
        </w:rPr>
        <w:fldChar w:fldCharType="separate"/>
      </w:r>
      <w:r>
        <w:rPr>
          <w:color w:val="auto"/>
          <w:sz w:val="24"/>
          <w:szCs w:val="24"/>
          <w:highlight w:val="none"/>
        </w:rPr>
        <w:t>54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_Toc22710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2.5   成功案例及业绩格式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_Toc22710 \h </w:instrText>
      </w:r>
      <w:r>
        <w:rPr>
          <w:color w:val="auto"/>
          <w:sz w:val="24"/>
          <w:szCs w:val="24"/>
          <w:highlight w:val="none"/>
        </w:rPr>
        <w:fldChar w:fldCharType="separate"/>
      </w:r>
      <w:r>
        <w:rPr>
          <w:color w:val="auto"/>
          <w:sz w:val="24"/>
          <w:szCs w:val="24"/>
          <w:highlight w:val="none"/>
        </w:rPr>
        <w:t>54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_Toc15035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2.6   商务响应表格式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_Toc15035 \h </w:instrText>
      </w:r>
      <w:r>
        <w:rPr>
          <w:color w:val="auto"/>
          <w:sz w:val="24"/>
          <w:szCs w:val="24"/>
          <w:highlight w:val="none"/>
        </w:rPr>
        <w:fldChar w:fldCharType="separate"/>
      </w:r>
      <w:r>
        <w:rPr>
          <w:color w:val="auto"/>
          <w:sz w:val="24"/>
          <w:szCs w:val="24"/>
          <w:highlight w:val="none"/>
        </w:rPr>
        <w:t>55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_Toc18812 </w:instrText>
      </w:r>
      <w:r>
        <w:rPr>
          <w:rFonts w:hint="eastAsia" w:ascii="仿宋" w:hAnsi="仿宋" w:eastAsia="仿宋" w:cs="仿宋"/>
          <w:color w:val="auto"/>
          <w:sz w:val="24"/>
          <w:szCs w:val="24"/>
          <w:highlight w:val="none"/>
        </w:rPr>
        <w:fldChar w:fldCharType="separate"/>
      </w:r>
      <w:r>
        <w:rPr>
          <w:rFonts w:ascii="仿宋" w:hAnsi="仿宋" w:eastAsia="仿宋"/>
          <w:color w:val="auto"/>
          <w:sz w:val="24"/>
          <w:szCs w:val="24"/>
          <w:highlight w:val="none"/>
        </w:rPr>
        <w:t>2.</w:t>
      </w:r>
      <w:r>
        <w:rPr>
          <w:rFonts w:hint="eastAsia" w:ascii="仿宋" w:hAnsi="仿宋" w:eastAsia="仿宋"/>
          <w:color w:val="auto"/>
          <w:sz w:val="24"/>
          <w:szCs w:val="24"/>
          <w:highlight w:val="none"/>
        </w:rPr>
        <w:t>7</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技术服务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_Toc18812 \h </w:instrText>
      </w:r>
      <w:r>
        <w:rPr>
          <w:color w:val="auto"/>
          <w:sz w:val="24"/>
          <w:szCs w:val="24"/>
          <w:highlight w:val="none"/>
        </w:rPr>
        <w:fldChar w:fldCharType="separate"/>
      </w:r>
      <w:r>
        <w:rPr>
          <w:color w:val="auto"/>
          <w:sz w:val="24"/>
          <w:szCs w:val="24"/>
          <w:highlight w:val="none"/>
        </w:rPr>
        <w:t>55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_Toc17403 </w:instrText>
      </w:r>
      <w:r>
        <w:rPr>
          <w:rFonts w:hint="eastAsia" w:ascii="仿宋" w:hAnsi="仿宋" w:eastAsia="仿宋" w:cs="仿宋"/>
          <w:color w:val="auto"/>
          <w:sz w:val="24"/>
          <w:szCs w:val="24"/>
          <w:highlight w:val="none"/>
        </w:rPr>
        <w:fldChar w:fldCharType="separate"/>
      </w:r>
      <w:r>
        <w:rPr>
          <w:rFonts w:hint="eastAsia" w:ascii="仿宋" w:hAnsi="仿宋" w:eastAsia="仿宋"/>
          <w:color w:val="auto"/>
          <w:sz w:val="24"/>
          <w:szCs w:val="24"/>
          <w:highlight w:val="none"/>
        </w:rPr>
        <w:t>2.8    售后服务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_Toc17403 \h </w:instrText>
      </w:r>
      <w:r>
        <w:rPr>
          <w:color w:val="auto"/>
          <w:sz w:val="24"/>
          <w:szCs w:val="24"/>
          <w:highlight w:val="none"/>
        </w:rPr>
        <w:fldChar w:fldCharType="separate"/>
      </w:r>
      <w:r>
        <w:rPr>
          <w:color w:val="auto"/>
          <w:sz w:val="24"/>
          <w:szCs w:val="24"/>
          <w:highlight w:val="none"/>
        </w:rPr>
        <w:t>56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_Toc20649 </w:instrText>
      </w:r>
      <w:r>
        <w:rPr>
          <w:rFonts w:hint="eastAsia" w:ascii="仿宋" w:hAnsi="仿宋" w:eastAsia="仿宋" w:cs="仿宋"/>
          <w:color w:val="auto"/>
          <w:sz w:val="24"/>
          <w:szCs w:val="24"/>
          <w:highlight w:val="none"/>
        </w:rPr>
        <w:fldChar w:fldCharType="separate"/>
      </w:r>
      <w:r>
        <w:rPr>
          <w:rFonts w:hint="eastAsia" w:ascii="仿宋" w:hAnsi="仿宋" w:eastAsia="仿宋"/>
          <w:color w:val="auto"/>
          <w:sz w:val="24"/>
          <w:szCs w:val="24"/>
          <w:highlight w:val="none"/>
        </w:rPr>
        <w:t>2.9    对本项目总体要求的理解</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_Toc20649 \h </w:instrText>
      </w:r>
      <w:r>
        <w:rPr>
          <w:color w:val="auto"/>
          <w:sz w:val="24"/>
          <w:szCs w:val="24"/>
          <w:highlight w:val="none"/>
        </w:rPr>
        <w:fldChar w:fldCharType="separate"/>
      </w:r>
      <w:r>
        <w:rPr>
          <w:color w:val="auto"/>
          <w:sz w:val="24"/>
          <w:szCs w:val="24"/>
          <w:highlight w:val="none"/>
        </w:rPr>
        <w:t>56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_Toc9420 </w:instrText>
      </w:r>
      <w:r>
        <w:rPr>
          <w:rFonts w:hint="eastAsia" w:ascii="仿宋" w:hAnsi="仿宋" w:eastAsia="仿宋" w:cs="仿宋"/>
          <w:color w:val="auto"/>
          <w:sz w:val="24"/>
          <w:szCs w:val="24"/>
          <w:highlight w:val="none"/>
        </w:rPr>
        <w:fldChar w:fldCharType="separate"/>
      </w:r>
      <w:r>
        <w:rPr>
          <w:rFonts w:hint="eastAsia" w:ascii="仿宋" w:hAnsi="仿宋" w:eastAsia="仿宋"/>
          <w:color w:val="auto"/>
          <w:sz w:val="24"/>
          <w:szCs w:val="24"/>
          <w:highlight w:val="none"/>
        </w:rPr>
        <w:t>2.10    实施方案及实施计划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_Toc9420 \h </w:instrText>
      </w:r>
      <w:r>
        <w:rPr>
          <w:color w:val="auto"/>
          <w:sz w:val="24"/>
          <w:szCs w:val="24"/>
          <w:highlight w:val="none"/>
        </w:rPr>
        <w:fldChar w:fldCharType="separate"/>
      </w:r>
      <w:r>
        <w:rPr>
          <w:color w:val="auto"/>
          <w:sz w:val="24"/>
          <w:szCs w:val="24"/>
          <w:highlight w:val="none"/>
        </w:rPr>
        <w:t>56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_Toc11726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2.11    投标产品配置清单格式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_Toc11726 \h </w:instrText>
      </w:r>
      <w:r>
        <w:rPr>
          <w:color w:val="auto"/>
          <w:sz w:val="24"/>
          <w:szCs w:val="24"/>
          <w:highlight w:val="none"/>
        </w:rPr>
        <w:fldChar w:fldCharType="separate"/>
      </w:r>
      <w:r>
        <w:rPr>
          <w:color w:val="auto"/>
          <w:sz w:val="24"/>
          <w:szCs w:val="24"/>
          <w:highlight w:val="none"/>
        </w:rPr>
        <w:t>57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_Toc26293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2.12    技术规格偏离表格式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_Toc26293 \h </w:instrText>
      </w:r>
      <w:r>
        <w:rPr>
          <w:color w:val="auto"/>
          <w:sz w:val="24"/>
          <w:szCs w:val="24"/>
          <w:highlight w:val="none"/>
        </w:rPr>
        <w:fldChar w:fldCharType="separate"/>
      </w:r>
      <w:r>
        <w:rPr>
          <w:color w:val="auto"/>
          <w:sz w:val="24"/>
          <w:szCs w:val="24"/>
          <w:highlight w:val="none"/>
        </w:rPr>
        <w:t>57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_Toc21415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2.17 投标人需要说明的其他文件和说明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_Toc21415 \h </w:instrText>
      </w:r>
      <w:r>
        <w:rPr>
          <w:color w:val="auto"/>
          <w:sz w:val="24"/>
          <w:szCs w:val="24"/>
          <w:highlight w:val="none"/>
        </w:rPr>
        <w:fldChar w:fldCharType="separate"/>
      </w:r>
      <w:r>
        <w:rPr>
          <w:color w:val="auto"/>
          <w:sz w:val="24"/>
          <w:szCs w:val="24"/>
          <w:highlight w:val="none"/>
        </w:rPr>
        <w:t>59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_Toc19343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  报价文件格式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_Toc19343 \h </w:instrText>
      </w:r>
      <w:r>
        <w:rPr>
          <w:color w:val="auto"/>
          <w:sz w:val="24"/>
          <w:szCs w:val="24"/>
          <w:highlight w:val="none"/>
        </w:rPr>
        <w:fldChar w:fldCharType="separate"/>
      </w:r>
      <w:r>
        <w:rPr>
          <w:color w:val="auto"/>
          <w:sz w:val="24"/>
          <w:szCs w:val="24"/>
          <w:highlight w:val="none"/>
        </w:rPr>
        <w:t>60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_Toc22154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3.1     报价文件文件封面格式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_Toc22154 \h </w:instrText>
      </w:r>
      <w:r>
        <w:rPr>
          <w:color w:val="auto"/>
          <w:sz w:val="24"/>
          <w:szCs w:val="24"/>
          <w:highlight w:val="none"/>
        </w:rPr>
        <w:fldChar w:fldCharType="separate"/>
      </w:r>
      <w:r>
        <w:rPr>
          <w:color w:val="auto"/>
          <w:sz w:val="24"/>
          <w:szCs w:val="24"/>
          <w:highlight w:val="none"/>
        </w:rPr>
        <w:t>60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_Toc4273 </w:instrText>
      </w:r>
      <w:r>
        <w:rPr>
          <w:rFonts w:hint="eastAsia" w:ascii="仿宋" w:hAnsi="仿宋" w:eastAsia="仿宋" w:cs="仿宋"/>
          <w:color w:val="auto"/>
          <w:sz w:val="24"/>
          <w:szCs w:val="24"/>
          <w:highlight w:val="none"/>
        </w:rPr>
        <w:fldChar w:fldCharType="separate"/>
      </w:r>
      <w:r>
        <w:rPr>
          <w:rFonts w:ascii="仿宋" w:hAnsi="仿宋" w:eastAsia="仿宋"/>
          <w:color w:val="auto"/>
          <w:sz w:val="24"/>
          <w:szCs w:val="24"/>
          <w:highlight w:val="none"/>
        </w:rPr>
        <w:t>3.2</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报价文件文件</w:t>
      </w:r>
      <w:r>
        <w:rPr>
          <w:rFonts w:ascii="仿宋" w:hAnsi="仿宋" w:eastAsia="仿宋"/>
          <w:color w:val="auto"/>
          <w:sz w:val="24"/>
          <w:szCs w:val="24"/>
          <w:highlight w:val="none"/>
        </w:rPr>
        <w:t>目录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_Toc4273 \h </w:instrText>
      </w:r>
      <w:r>
        <w:rPr>
          <w:color w:val="auto"/>
          <w:sz w:val="24"/>
          <w:szCs w:val="24"/>
          <w:highlight w:val="none"/>
        </w:rPr>
        <w:fldChar w:fldCharType="separate"/>
      </w:r>
      <w:r>
        <w:rPr>
          <w:color w:val="auto"/>
          <w:sz w:val="24"/>
          <w:szCs w:val="24"/>
          <w:highlight w:val="none"/>
        </w:rPr>
        <w:t>60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_Toc30568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     开标一览表格式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_Toc30568 \h </w:instrText>
      </w:r>
      <w:r>
        <w:rPr>
          <w:color w:val="auto"/>
          <w:sz w:val="24"/>
          <w:szCs w:val="24"/>
          <w:highlight w:val="none"/>
        </w:rPr>
        <w:fldChar w:fldCharType="separate"/>
      </w:r>
      <w:r>
        <w:rPr>
          <w:color w:val="auto"/>
          <w:sz w:val="24"/>
          <w:szCs w:val="24"/>
          <w:highlight w:val="none"/>
        </w:rPr>
        <w:t>61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_Toc20591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第六章  评审办法和细则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_Toc20591 \h </w:instrText>
      </w:r>
      <w:r>
        <w:rPr>
          <w:color w:val="auto"/>
          <w:sz w:val="24"/>
          <w:szCs w:val="24"/>
          <w:highlight w:val="none"/>
        </w:rPr>
        <w:fldChar w:fldCharType="separate"/>
      </w:r>
      <w:r>
        <w:rPr>
          <w:color w:val="auto"/>
          <w:sz w:val="24"/>
          <w:szCs w:val="24"/>
          <w:highlight w:val="none"/>
        </w:rPr>
        <w:t>62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_Toc30657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    总则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_Toc30657 \h </w:instrText>
      </w:r>
      <w:r>
        <w:rPr>
          <w:color w:val="auto"/>
          <w:sz w:val="24"/>
          <w:szCs w:val="24"/>
          <w:highlight w:val="none"/>
        </w:rPr>
        <w:fldChar w:fldCharType="separate"/>
      </w:r>
      <w:r>
        <w:rPr>
          <w:color w:val="auto"/>
          <w:sz w:val="24"/>
          <w:szCs w:val="24"/>
          <w:highlight w:val="none"/>
        </w:rPr>
        <w:t>62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_Toc7367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    评审一般规定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_Toc7367 \h </w:instrText>
      </w:r>
      <w:r>
        <w:rPr>
          <w:color w:val="auto"/>
          <w:sz w:val="24"/>
          <w:szCs w:val="24"/>
          <w:highlight w:val="none"/>
        </w:rPr>
        <w:fldChar w:fldCharType="separate"/>
      </w:r>
      <w:r>
        <w:rPr>
          <w:color w:val="auto"/>
          <w:sz w:val="24"/>
          <w:szCs w:val="24"/>
          <w:highlight w:val="none"/>
        </w:rPr>
        <w:t>62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_Toc1587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    评审内容及标准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_Toc1587 \h </w:instrText>
      </w:r>
      <w:r>
        <w:rPr>
          <w:color w:val="auto"/>
          <w:sz w:val="24"/>
          <w:szCs w:val="24"/>
          <w:highlight w:val="none"/>
        </w:rPr>
        <w:fldChar w:fldCharType="separate"/>
      </w:r>
      <w:r>
        <w:rPr>
          <w:color w:val="auto"/>
          <w:sz w:val="24"/>
          <w:szCs w:val="24"/>
          <w:highlight w:val="none"/>
        </w:rPr>
        <w:t>62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_Toc1064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附件：政府采购活动现场确认声明书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_Toc1064 \h </w:instrText>
      </w:r>
      <w:r>
        <w:rPr>
          <w:color w:val="auto"/>
          <w:sz w:val="24"/>
          <w:szCs w:val="24"/>
          <w:highlight w:val="none"/>
        </w:rPr>
        <w:fldChar w:fldCharType="separate"/>
      </w:r>
      <w:r>
        <w:rPr>
          <w:color w:val="auto"/>
          <w:sz w:val="24"/>
          <w:szCs w:val="24"/>
          <w:highlight w:val="none"/>
        </w:rPr>
        <w:t>66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2"/>
        <w:tabs>
          <w:tab w:val="right" w:leader="dot" w:pos="8222"/>
          <w:tab w:val="clear" w:pos="9060"/>
        </w:tabs>
        <w:rPr>
          <w:rFonts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fldChar w:fldCharType="end"/>
      </w:r>
    </w:p>
    <w:bookmarkEnd w:id="30"/>
    <w:p>
      <w:pPr>
        <w:pStyle w:val="3"/>
        <w:spacing w:before="0" w:after="0" w:line="400" w:lineRule="exact"/>
        <w:rPr>
          <w:rFonts w:ascii="仿宋" w:hAnsi="仿宋" w:eastAsia="仿宋" w:cs="仿宋"/>
          <w:b w:val="0"/>
          <w:color w:val="auto"/>
          <w:sz w:val="24"/>
          <w:szCs w:val="24"/>
          <w:highlight w:val="none"/>
        </w:rPr>
        <w:sectPr>
          <w:pgSz w:w="11906" w:h="16838"/>
          <w:pgMar w:top="1440" w:right="1797" w:bottom="1440" w:left="1797" w:header="851" w:footer="851" w:gutter="0"/>
          <w:pgNumType w:start="1"/>
          <w:cols w:space="720" w:num="1"/>
          <w:docGrid w:linePitch="312" w:charSpace="0"/>
        </w:sectPr>
      </w:pPr>
    </w:p>
    <w:p>
      <w:pPr>
        <w:pStyle w:val="16"/>
        <w:spacing w:before="0" w:after="0" w:line="360" w:lineRule="auto"/>
        <w:rPr>
          <w:rFonts w:ascii="仿宋" w:hAnsi="仿宋" w:eastAsia="仿宋" w:cs="仿宋"/>
          <w:color w:val="auto"/>
          <w:sz w:val="36"/>
          <w:szCs w:val="36"/>
          <w:highlight w:val="none"/>
        </w:rPr>
      </w:pPr>
      <w:bookmarkStart w:id="31" w:name="_Toc493956018"/>
      <w:bookmarkStart w:id="32" w:name="_Toc531358959"/>
      <w:bookmarkStart w:id="33" w:name="_Toc530551804"/>
      <w:bookmarkStart w:id="34" w:name="_Toc66"/>
      <w:r>
        <w:rPr>
          <w:rFonts w:hint="eastAsia" w:ascii="仿宋" w:hAnsi="仿宋" w:eastAsia="仿宋" w:cs="仿宋"/>
          <w:color w:val="auto"/>
          <w:sz w:val="36"/>
          <w:szCs w:val="36"/>
          <w:highlight w:val="none"/>
        </w:rPr>
        <w:t xml:space="preserve">第一章  </w:t>
      </w:r>
      <w:bookmarkEnd w:id="31"/>
      <w:r>
        <w:rPr>
          <w:rFonts w:hint="eastAsia" w:ascii="仿宋" w:hAnsi="仿宋" w:eastAsia="仿宋" w:cs="仿宋"/>
          <w:color w:val="auto"/>
          <w:sz w:val="36"/>
          <w:szCs w:val="36"/>
          <w:highlight w:val="none"/>
        </w:rPr>
        <w:t>竞争性磋商采购公告</w:t>
      </w:r>
      <w:bookmarkEnd w:id="32"/>
      <w:bookmarkEnd w:id="33"/>
      <w:r>
        <w:rPr>
          <w:rFonts w:hint="eastAsia" w:ascii="仿宋" w:hAnsi="仿宋" w:eastAsia="仿宋" w:cs="仿宋"/>
          <w:color w:val="auto"/>
          <w:sz w:val="36"/>
          <w:szCs w:val="36"/>
          <w:highlight w:val="none"/>
        </w:rPr>
        <w:t>（邀请）</w:t>
      </w:r>
      <w:bookmarkEnd w:id="34"/>
    </w:p>
    <w:p>
      <w:pPr>
        <w:pBdr>
          <w:top w:val="single" w:color="auto" w:sz="4" w:space="0"/>
          <w:left w:val="single" w:color="auto" w:sz="4" w:space="4"/>
          <w:bottom w:val="single" w:color="auto" w:sz="4" w:space="1"/>
          <w:right w:val="single" w:color="auto" w:sz="4" w:space="4"/>
        </w:pBdr>
        <w:wordWrap w:val="0"/>
        <w:spacing w:line="440" w:lineRule="atLeast"/>
        <w:rPr>
          <w:rFonts w:ascii="仿宋" w:hAnsi="仿宋" w:eastAsia="仿宋" w:cs="仿宋"/>
          <w:color w:val="auto"/>
          <w:sz w:val="24"/>
          <w:szCs w:val="24"/>
          <w:highlight w:val="none"/>
        </w:rPr>
      </w:pPr>
      <w:bookmarkStart w:id="35" w:name="EBf1e27c6183244f4a8f3fc355defd653e"/>
      <w:r>
        <w:rPr>
          <w:rFonts w:hint="eastAsia" w:ascii="仿宋" w:hAnsi="仿宋" w:eastAsia="仿宋" w:cs="仿宋"/>
          <w:color w:val="auto"/>
          <w:sz w:val="24"/>
          <w:szCs w:val="24"/>
          <w:highlight w:val="none"/>
        </w:rPr>
        <w:t>项目概况：</w:t>
      </w:r>
    </w:p>
    <w:p>
      <w:pPr>
        <w:pBdr>
          <w:top w:val="single" w:color="auto" w:sz="4" w:space="0"/>
          <w:left w:val="single" w:color="auto" w:sz="4" w:space="4"/>
          <w:bottom w:val="single" w:color="auto" w:sz="4" w:space="1"/>
          <w:right w:val="single" w:color="auto" w:sz="4" w:space="4"/>
        </w:pBdr>
        <w:wordWrap w:val="0"/>
        <w:spacing w:line="44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庆元县图书馆2022年度省民生实事城市书房图书采购项目</w:t>
      </w:r>
      <w:r>
        <w:rPr>
          <w:rFonts w:hint="eastAsia" w:ascii="仿宋" w:hAnsi="仿宋" w:eastAsia="仿宋" w:cs="仿宋"/>
          <w:color w:val="auto"/>
          <w:sz w:val="24"/>
          <w:szCs w:val="24"/>
          <w:highlight w:val="none"/>
        </w:rPr>
        <w:t>的潜在供应商应在浙江政府采购网（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仿宋" w:hAnsi="仿宋" w:eastAsia="仿宋" w:cs="仿宋"/>
          <w:color w:val="auto"/>
          <w:sz w:val="24"/>
          <w:szCs w:val="24"/>
          <w:highlight w:val="none"/>
          <w:u w:val="single"/>
        </w:rPr>
        <w:t>zfcg.czt.zj.gov.cn</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），丽水市公共资源交易网（</w:t>
      </w:r>
      <w:r>
        <w:rPr>
          <w:rFonts w:hint="eastAsia" w:ascii="仿宋" w:hAnsi="仿宋" w:eastAsia="仿宋" w:cs="仿宋"/>
          <w:color w:val="auto"/>
          <w:sz w:val="24"/>
          <w:szCs w:val="24"/>
          <w:highlight w:val="none"/>
          <w:u w:val="single"/>
        </w:rPr>
        <w:t>lssggzy.lishui.gov.cn/qyweb</w:t>
      </w:r>
      <w:r>
        <w:rPr>
          <w:rFonts w:hint="eastAsia" w:ascii="仿宋" w:hAnsi="仿宋" w:eastAsia="仿宋" w:cs="仿宋"/>
          <w:color w:val="auto"/>
          <w:sz w:val="24"/>
          <w:szCs w:val="24"/>
          <w:highlight w:val="none"/>
        </w:rPr>
        <w:t>）采购公告附件中自行获取采购文件，并于</w:t>
      </w:r>
      <w:r>
        <w:rPr>
          <w:rFonts w:hint="eastAsia" w:ascii="仿宋" w:hAnsi="仿宋" w:eastAsia="仿宋" w:cs="仿宋"/>
          <w:bCs/>
          <w:snapToGrid w:val="0"/>
          <w:color w:val="auto"/>
          <w:sz w:val="24"/>
          <w:szCs w:val="24"/>
          <w:highlight w:val="none"/>
          <w:u w:val="single"/>
        </w:rPr>
        <w:t>2022年</w:t>
      </w:r>
      <w:r>
        <w:rPr>
          <w:rFonts w:hint="eastAsia" w:ascii="仿宋" w:hAnsi="仿宋" w:eastAsia="仿宋" w:cs="仿宋"/>
          <w:bCs/>
          <w:snapToGrid w:val="0"/>
          <w:color w:val="auto"/>
          <w:sz w:val="24"/>
          <w:szCs w:val="24"/>
          <w:highlight w:val="none"/>
          <w:u w:val="single"/>
          <w:lang w:val="en-US" w:eastAsia="zh-CN"/>
        </w:rPr>
        <w:t>6</w:t>
      </w:r>
      <w:r>
        <w:rPr>
          <w:rFonts w:hint="eastAsia" w:ascii="仿宋" w:hAnsi="仿宋" w:eastAsia="仿宋" w:cs="仿宋"/>
          <w:bCs/>
          <w:snapToGrid w:val="0"/>
          <w:color w:val="auto"/>
          <w:sz w:val="24"/>
          <w:szCs w:val="24"/>
          <w:highlight w:val="none"/>
          <w:u w:val="single"/>
        </w:rPr>
        <w:t>月</w:t>
      </w:r>
      <w:r>
        <w:rPr>
          <w:rFonts w:hint="eastAsia" w:ascii="仿宋" w:hAnsi="仿宋" w:eastAsia="仿宋" w:cs="仿宋"/>
          <w:bCs/>
          <w:snapToGrid w:val="0"/>
          <w:color w:val="auto"/>
          <w:sz w:val="24"/>
          <w:szCs w:val="24"/>
          <w:highlight w:val="none"/>
          <w:u w:val="single"/>
          <w:lang w:val="en-US" w:eastAsia="zh-CN"/>
        </w:rPr>
        <w:t xml:space="preserve"> 27</w:t>
      </w:r>
      <w:r>
        <w:rPr>
          <w:rFonts w:hint="eastAsia" w:ascii="仿宋" w:hAnsi="仿宋" w:eastAsia="仿宋" w:cs="仿宋"/>
          <w:bCs/>
          <w:snapToGrid w:val="0"/>
          <w:color w:val="auto"/>
          <w:sz w:val="24"/>
          <w:szCs w:val="24"/>
          <w:highlight w:val="none"/>
          <w:u w:val="single"/>
        </w:rPr>
        <w:t>日9:00</w:t>
      </w:r>
      <w:r>
        <w:rPr>
          <w:rFonts w:hint="eastAsia" w:ascii="仿宋" w:hAnsi="仿宋" w:eastAsia="仿宋" w:cs="仿宋"/>
          <w:bCs/>
          <w:color w:val="auto"/>
          <w:sz w:val="24"/>
          <w:szCs w:val="24"/>
          <w:highlight w:val="none"/>
        </w:rPr>
        <w:t>（北京时间）前提交响应文件</w:t>
      </w:r>
      <w:r>
        <w:rPr>
          <w:rFonts w:hint="eastAsia" w:ascii="仿宋" w:hAnsi="仿宋" w:eastAsia="仿宋" w:cs="仿宋"/>
          <w:color w:val="auto"/>
          <w:sz w:val="24"/>
          <w:szCs w:val="24"/>
          <w:highlight w:val="none"/>
        </w:rPr>
        <w:t>。</w:t>
      </w:r>
    </w:p>
    <w:p>
      <w:pPr>
        <w:wordWrap w:val="0"/>
        <w:spacing w:line="420" w:lineRule="exact"/>
        <w:rPr>
          <w:rFonts w:ascii="仿宋" w:hAnsi="仿宋" w:eastAsia="仿宋" w:cs="仿宋"/>
          <w:b/>
          <w:color w:val="auto"/>
          <w:sz w:val="24"/>
          <w:szCs w:val="24"/>
          <w:highlight w:val="none"/>
        </w:rPr>
      </w:pPr>
      <w:bookmarkStart w:id="36" w:name="_Toc35393629"/>
      <w:bookmarkStart w:id="37" w:name="_Toc28359012"/>
      <w:bookmarkStart w:id="38" w:name="_Toc35393798"/>
      <w:bookmarkStart w:id="39" w:name="_Toc28359089"/>
      <w:r>
        <w:rPr>
          <w:rFonts w:hint="eastAsia" w:ascii="仿宋" w:hAnsi="仿宋" w:eastAsia="仿宋" w:cs="仿宋"/>
          <w:b/>
          <w:color w:val="auto"/>
          <w:sz w:val="24"/>
          <w:szCs w:val="24"/>
          <w:highlight w:val="none"/>
        </w:rPr>
        <w:t>一、项目基本情况</w:t>
      </w:r>
      <w:bookmarkEnd w:id="36"/>
      <w:bookmarkEnd w:id="37"/>
      <w:bookmarkEnd w:id="38"/>
      <w:bookmarkEnd w:id="39"/>
    </w:p>
    <w:p>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bCs/>
          <w:snapToGrid w:val="0"/>
          <w:color w:val="auto"/>
          <w:sz w:val="24"/>
          <w:szCs w:val="24"/>
          <w:highlight w:val="none"/>
        </w:rPr>
        <w:t>兴华招采(2022 )</w:t>
      </w:r>
      <w:r>
        <w:rPr>
          <w:rFonts w:hint="eastAsia" w:ascii="仿宋" w:hAnsi="仿宋" w:eastAsia="仿宋" w:cs="仿宋"/>
          <w:bCs/>
          <w:snapToGrid w:val="0"/>
          <w:color w:val="auto"/>
          <w:sz w:val="24"/>
          <w:szCs w:val="24"/>
          <w:highlight w:val="none"/>
          <w:lang w:val="en-US" w:eastAsia="zh-CN"/>
        </w:rPr>
        <w:t>45</w:t>
      </w:r>
      <w:r>
        <w:rPr>
          <w:rFonts w:hint="eastAsia" w:ascii="仿宋" w:hAnsi="仿宋" w:eastAsia="仿宋" w:cs="仿宋"/>
          <w:bCs/>
          <w:snapToGrid w:val="0"/>
          <w:color w:val="auto"/>
          <w:sz w:val="24"/>
          <w:szCs w:val="24"/>
          <w:highlight w:val="none"/>
        </w:rPr>
        <w:t>号</w:t>
      </w:r>
    </w:p>
    <w:p>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项目名称：庆元县图书馆2022年度省民生实事城市书房图书采购项目</w:t>
      </w:r>
    </w:p>
    <w:p>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采购方式：竞争性磋商</w:t>
      </w:r>
    </w:p>
    <w:p>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采购需求：见采购文件第二章</w:t>
      </w:r>
    </w:p>
    <w:p>
      <w:pPr>
        <w:wordWrap w:val="0"/>
        <w:spacing w:line="44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标项一</w:t>
      </w:r>
    </w:p>
    <w:p>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数量：1</w:t>
      </w:r>
    </w:p>
    <w:p>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w:t>
      </w:r>
    </w:p>
    <w:p>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预算金额：50.8万</w:t>
      </w:r>
    </w:p>
    <w:p>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简要规格描述：见采购文件第二章</w:t>
      </w:r>
    </w:p>
    <w:p>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备注：无</w:t>
      </w:r>
    </w:p>
    <w:p>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合同履行期限：见采购文件第二章</w:t>
      </w:r>
    </w:p>
    <w:p>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不接受</w:t>
      </w:r>
    </w:p>
    <w:p>
      <w:pPr>
        <w:wordWrap w:val="0"/>
        <w:spacing w:line="420" w:lineRule="exact"/>
        <w:rPr>
          <w:rFonts w:ascii="仿宋" w:hAnsi="仿宋" w:eastAsia="仿宋" w:cs="仿宋"/>
          <w:b/>
          <w:color w:val="auto"/>
          <w:sz w:val="24"/>
          <w:szCs w:val="24"/>
          <w:highlight w:val="none"/>
        </w:rPr>
      </w:pPr>
      <w:bookmarkStart w:id="40" w:name="_Toc35393799"/>
      <w:bookmarkStart w:id="41" w:name="_Toc28359013"/>
      <w:bookmarkStart w:id="42" w:name="_Toc28359090"/>
      <w:bookmarkStart w:id="43" w:name="_Toc35393630"/>
      <w:r>
        <w:rPr>
          <w:rFonts w:hint="eastAsia" w:ascii="仿宋" w:hAnsi="仿宋" w:eastAsia="仿宋" w:cs="仿宋"/>
          <w:b/>
          <w:color w:val="auto"/>
          <w:sz w:val="24"/>
          <w:szCs w:val="24"/>
          <w:highlight w:val="none"/>
        </w:rPr>
        <w:t>二、申请人的资格要求</w:t>
      </w:r>
      <w:bookmarkEnd w:id="40"/>
      <w:bookmarkEnd w:id="41"/>
      <w:bookmarkEnd w:id="42"/>
      <w:bookmarkEnd w:id="43"/>
    </w:p>
    <w:p>
      <w:pPr>
        <w:wordWrap w:val="0"/>
        <w:spacing w:line="440" w:lineRule="exact"/>
        <w:ind w:firstLine="480" w:firstLineChars="200"/>
        <w:rPr>
          <w:rFonts w:ascii="仿宋" w:hAnsi="仿宋" w:eastAsia="仿宋" w:cs="仿宋"/>
          <w:color w:val="auto"/>
          <w:sz w:val="24"/>
          <w:szCs w:val="24"/>
          <w:highlight w:val="none"/>
        </w:rPr>
      </w:pPr>
      <w:bookmarkStart w:id="44" w:name="_Toc28359091"/>
      <w:bookmarkStart w:id="45" w:name="_Toc35393800"/>
      <w:bookmarkStart w:id="46" w:name="_Toc35393631"/>
      <w:bookmarkStart w:id="47" w:name="_Toc28359014"/>
      <w:r>
        <w:rPr>
          <w:rFonts w:hint="eastAsia" w:ascii="仿宋" w:hAnsi="仿宋" w:eastAsia="仿宋" w:cs="仿宋"/>
          <w:color w:val="auto"/>
          <w:sz w:val="24"/>
          <w:szCs w:val="24"/>
          <w:highlight w:val="none"/>
        </w:rPr>
        <w:t>1. 满足《中华人民共和国政府采购法》第二十二条规定；未被“信用中国”网站（</w:t>
      </w:r>
      <w:r>
        <w:rPr>
          <w:rFonts w:hint="eastAsia" w:ascii="仿宋" w:hAnsi="仿宋" w:eastAsia="仿宋" w:cs="仿宋"/>
          <w:color w:val="auto"/>
          <w:sz w:val="24"/>
          <w:szCs w:val="24"/>
          <w:highlight w:val="none"/>
          <w:u w:val="single"/>
        </w:rPr>
        <w:t>www.creditchina.gov.cn</w:t>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u w:val="single"/>
        </w:rPr>
        <w:t>www.ccgp.gov.cn</w:t>
      </w:r>
      <w:r>
        <w:rPr>
          <w:rFonts w:hint="eastAsia" w:ascii="仿宋" w:hAnsi="仿宋" w:eastAsia="仿宋" w:cs="仿宋"/>
          <w:color w:val="auto"/>
          <w:sz w:val="24"/>
          <w:szCs w:val="24"/>
          <w:highlight w:val="none"/>
        </w:rPr>
        <w:t>）列入失信被执行人、重大税收违法当事人名单、政府采购严重违法失信行为记录名单；</w:t>
      </w:r>
    </w:p>
    <w:p>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落实政府采购政策需满足的资格要求：专门面向中小企业</w:t>
      </w:r>
    </w:p>
    <w:p>
      <w:pPr>
        <w:wordWrap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本项目的特定资格要求：具有有效的新闻出版机构颁发的出版物经营许可证。</w:t>
      </w:r>
    </w:p>
    <w:bookmarkEnd w:id="44"/>
    <w:bookmarkEnd w:id="45"/>
    <w:bookmarkEnd w:id="46"/>
    <w:bookmarkEnd w:id="47"/>
    <w:p>
      <w:pPr>
        <w:spacing w:line="440" w:lineRule="exact"/>
        <w:jc w:val="left"/>
        <w:rPr>
          <w:rFonts w:ascii="仿宋" w:hAnsi="仿宋" w:eastAsia="仿宋" w:cs="仿宋"/>
          <w:b/>
          <w:color w:val="auto"/>
          <w:sz w:val="24"/>
          <w:szCs w:val="24"/>
          <w:highlight w:val="none"/>
        </w:rPr>
      </w:pPr>
      <w:bookmarkStart w:id="48" w:name="_Toc28359015"/>
      <w:bookmarkStart w:id="49" w:name="_Toc35393801"/>
      <w:bookmarkStart w:id="50" w:name="_Toc35393632"/>
      <w:bookmarkStart w:id="51" w:name="_Toc28359092"/>
      <w:r>
        <w:rPr>
          <w:rFonts w:hint="eastAsia" w:ascii="仿宋" w:hAnsi="仿宋" w:eastAsia="仿宋" w:cs="仿宋"/>
          <w:b/>
          <w:color w:val="auto"/>
          <w:sz w:val="24"/>
          <w:szCs w:val="24"/>
          <w:highlight w:val="none"/>
        </w:rPr>
        <w:t>三、获取（下载）采购文件</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时间：发布公告之日至</w:t>
      </w:r>
      <w:r>
        <w:rPr>
          <w:rFonts w:hint="eastAsia" w:ascii="仿宋" w:hAnsi="仿宋" w:eastAsia="仿宋" w:cs="仿宋"/>
          <w:bCs/>
          <w:snapToGrid w:val="0"/>
          <w:color w:val="auto"/>
          <w:sz w:val="24"/>
          <w:szCs w:val="24"/>
          <w:highlight w:val="none"/>
          <w:u w:val="single"/>
        </w:rPr>
        <w:t>2022年</w:t>
      </w:r>
      <w:r>
        <w:rPr>
          <w:rFonts w:hint="eastAsia" w:ascii="仿宋" w:hAnsi="仿宋" w:eastAsia="仿宋" w:cs="仿宋"/>
          <w:bCs/>
          <w:snapToGrid w:val="0"/>
          <w:color w:val="auto"/>
          <w:sz w:val="24"/>
          <w:szCs w:val="24"/>
          <w:highlight w:val="none"/>
          <w:u w:val="single"/>
          <w:lang w:val="en-US" w:eastAsia="zh-CN"/>
        </w:rPr>
        <w:t>6</w:t>
      </w:r>
      <w:r>
        <w:rPr>
          <w:rFonts w:hint="eastAsia" w:ascii="仿宋" w:hAnsi="仿宋" w:eastAsia="仿宋" w:cs="仿宋"/>
          <w:bCs/>
          <w:snapToGrid w:val="0"/>
          <w:color w:val="auto"/>
          <w:sz w:val="24"/>
          <w:szCs w:val="24"/>
          <w:highlight w:val="none"/>
          <w:u w:val="single"/>
        </w:rPr>
        <w:t>月</w:t>
      </w:r>
      <w:r>
        <w:rPr>
          <w:rFonts w:hint="eastAsia" w:ascii="仿宋" w:hAnsi="仿宋" w:eastAsia="仿宋" w:cs="仿宋"/>
          <w:bCs/>
          <w:snapToGrid w:val="0"/>
          <w:color w:val="auto"/>
          <w:sz w:val="24"/>
          <w:szCs w:val="24"/>
          <w:highlight w:val="none"/>
          <w:u w:val="single"/>
          <w:lang w:val="en-US" w:eastAsia="zh-CN"/>
        </w:rPr>
        <w:t>27</w:t>
      </w:r>
      <w:r>
        <w:rPr>
          <w:rFonts w:hint="eastAsia" w:ascii="仿宋" w:hAnsi="仿宋" w:eastAsia="仿宋" w:cs="仿宋"/>
          <w:bCs/>
          <w:snapToGrid w:val="0"/>
          <w:color w:val="auto"/>
          <w:sz w:val="24"/>
          <w:szCs w:val="24"/>
          <w:highlight w:val="none"/>
          <w:u w:val="single"/>
        </w:rPr>
        <w:t>日</w:t>
      </w:r>
      <w:r>
        <w:rPr>
          <w:rFonts w:hint="eastAsia" w:ascii="仿宋" w:hAnsi="仿宋" w:eastAsia="仿宋" w:cs="仿宋"/>
          <w:color w:val="auto"/>
          <w:sz w:val="24"/>
          <w:szCs w:val="24"/>
          <w:highlight w:val="none"/>
        </w:rPr>
        <w:t>，每天上午00:00至12:00，下午12:00至23:59（北京时间，线上获取法定节假日均可，线下获取文件法定节假日除外）</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地点：浙江政府采购网</w:t>
      </w:r>
      <w:r>
        <w:rPr>
          <w:rFonts w:hint="eastAsia" w:ascii="仿宋" w:hAnsi="仿宋" w:eastAsia="仿宋" w:cs="仿宋"/>
          <w:color w:val="auto"/>
          <w:sz w:val="24"/>
          <w:szCs w:val="24"/>
          <w:highlight w:val="none"/>
          <w:u w:val="single"/>
        </w:rPr>
        <w:t>（</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23"/>
          <w:rFonts w:hint="eastAsia" w:ascii="仿宋" w:hAnsi="仿宋" w:eastAsia="仿宋" w:cs="仿宋"/>
          <w:color w:val="auto"/>
          <w:sz w:val="24"/>
          <w:szCs w:val="24"/>
          <w:highlight w:val="none"/>
        </w:rPr>
        <w:t>http://zfcg.czt.zj.gov.cn</w:t>
      </w:r>
      <w:r>
        <w:rPr>
          <w:rStyle w:val="23"/>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，丽水市公共资源交易网（</w:t>
      </w:r>
      <w:r>
        <w:rPr>
          <w:rFonts w:hint="eastAsia" w:ascii="仿宋" w:hAnsi="仿宋" w:eastAsia="仿宋" w:cs="仿宋"/>
          <w:color w:val="auto"/>
          <w:sz w:val="24"/>
          <w:szCs w:val="24"/>
          <w:highlight w:val="none"/>
          <w:u w:val="single"/>
        </w:rPr>
        <w:t>http://lssggzy.lishui.gov.cn/qyweb</w:t>
      </w:r>
      <w:r>
        <w:rPr>
          <w:rFonts w:hint="eastAsia" w:ascii="仿宋" w:hAnsi="仿宋" w:eastAsia="仿宋" w:cs="仿宋"/>
          <w:color w:val="auto"/>
          <w:sz w:val="24"/>
          <w:szCs w:val="24"/>
          <w:highlight w:val="none"/>
        </w:rPr>
        <w:t>）公告附件</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方式：自行下载获取</w:t>
      </w:r>
    </w:p>
    <w:p>
      <w:pPr>
        <w:wordWrap w:val="0"/>
        <w:snapToGrid w:val="0"/>
        <w:spacing w:line="440" w:lineRule="exact"/>
        <w:ind w:firstLine="51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⑴</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浙江政府采购网注册正式供应商-用户入驻/登录</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用户登录-项目采购-获取采购文件管理；</w:t>
      </w:r>
    </w:p>
    <w:p>
      <w:pPr>
        <w:wordWrap w:val="0"/>
        <w:snapToGrid w:val="0"/>
        <w:spacing w:line="440" w:lineRule="exact"/>
        <w:ind w:firstLine="51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⑵</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未在浙江省政府采购网</w:t>
      </w:r>
      <w:r>
        <w:rPr>
          <w:rFonts w:hint="eastAsia" w:ascii="仿宋" w:hAnsi="仿宋" w:eastAsia="仿宋" w:cs="仿宋"/>
          <w:color w:val="auto"/>
          <w:sz w:val="24"/>
          <w:szCs w:val="24"/>
          <w:highlight w:val="none"/>
          <w:u w:val="single"/>
        </w:rPr>
        <w:t>（</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23"/>
          <w:rFonts w:hint="eastAsia" w:ascii="仿宋" w:hAnsi="仿宋" w:eastAsia="仿宋" w:cs="仿宋"/>
          <w:color w:val="auto"/>
          <w:sz w:val="24"/>
          <w:szCs w:val="24"/>
          <w:highlight w:val="none"/>
        </w:rPr>
        <w:t>http://zfcg.czt.zj.gov.cn</w:t>
      </w:r>
      <w:r>
        <w:rPr>
          <w:rStyle w:val="23"/>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注册成为正式供应商的，请注册完成审核成功后方可登录获取，注册流程见网址：</w:t>
      </w:r>
      <w:r>
        <w:rPr>
          <w:rFonts w:hint="eastAsia" w:ascii="仿宋" w:hAnsi="仿宋" w:eastAsia="仿宋" w:cs="仿宋"/>
          <w:color w:val="auto"/>
          <w:sz w:val="24"/>
          <w:szCs w:val="24"/>
          <w:highlight w:val="none"/>
          <w:u w:val="single"/>
        </w:rPr>
        <w:t>http://</w:t>
      </w:r>
      <w:r>
        <w:rPr>
          <w:color w:val="auto"/>
          <w:highlight w:val="none"/>
        </w:rPr>
        <w:fldChar w:fldCharType="begin"/>
      </w:r>
      <w:r>
        <w:rPr>
          <w:color w:val="auto"/>
          <w:highlight w:val="none"/>
        </w:rPr>
        <w:instrText xml:space="preserve"> HYPERLINK "http://zfcg.czt.zj.gov.cn/register/2017-07-24/6728.html?_=2020-03-09%2006:00:22" </w:instrText>
      </w:r>
      <w:r>
        <w:rPr>
          <w:color w:val="auto"/>
          <w:highlight w:val="none"/>
        </w:rPr>
        <w:fldChar w:fldCharType="separate"/>
      </w:r>
      <w:r>
        <w:rPr>
          <w:rFonts w:hint="eastAsia" w:ascii="仿宋" w:hAnsi="仿宋" w:eastAsia="仿宋" w:cs="仿宋"/>
          <w:color w:val="auto"/>
          <w:sz w:val="24"/>
          <w:szCs w:val="24"/>
          <w:highlight w:val="none"/>
          <w:u w:val="single"/>
        </w:rPr>
        <w:t>zfcg.czt.zj.gov.cn/register/2017-07-24/6728.html?_=2020-03-09%207:</w:t>
      </w:r>
      <w:bookmarkStart w:id="52" w:name="_Hlt34749270"/>
      <w:bookmarkStart w:id="53" w:name="_Hlt34749271"/>
      <w:r>
        <w:rPr>
          <w:rFonts w:hint="eastAsia" w:ascii="仿宋" w:hAnsi="仿宋" w:eastAsia="仿宋" w:cs="仿宋"/>
          <w:color w:val="auto"/>
          <w:sz w:val="24"/>
          <w:szCs w:val="24"/>
          <w:highlight w:val="none"/>
          <w:u w:val="single"/>
        </w:rPr>
        <w:t>0</w:t>
      </w:r>
      <w:bookmarkEnd w:id="52"/>
      <w:bookmarkEnd w:id="53"/>
      <w:r>
        <w:rPr>
          <w:rFonts w:hint="eastAsia" w:ascii="仿宋" w:hAnsi="仿宋" w:eastAsia="仿宋" w:cs="仿宋"/>
          <w:color w:val="auto"/>
          <w:sz w:val="24"/>
          <w:szCs w:val="24"/>
          <w:highlight w:val="none"/>
          <w:u w:val="single"/>
        </w:rPr>
        <w:t>0:22</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，注册咨询电话：400-881-7190；</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3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⑶</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在浙江政府采购网采购公告附件中以“游客”身份（或丽水市公共资源交易网）获取的采购文件在仅供阅览；潜在供应商未按上述第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⑴</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条方式获取采购文件的不得对采购文件提起质疑投诉。</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 售价：0元</w:t>
      </w:r>
    </w:p>
    <w:bookmarkEnd w:id="48"/>
    <w:bookmarkEnd w:id="49"/>
    <w:bookmarkEnd w:id="50"/>
    <w:bookmarkEnd w:id="51"/>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四、响应文件提交（上传）</w:t>
      </w:r>
    </w:p>
    <w:p>
      <w:pPr>
        <w:spacing w:line="44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1. 截止时间：2</w:t>
      </w:r>
      <w:r>
        <w:rPr>
          <w:rFonts w:hint="eastAsia" w:ascii="仿宋" w:hAnsi="仿宋" w:eastAsia="仿宋" w:cs="仿宋"/>
          <w:color w:val="auto"/>
          <w:sz w:val="24"/>
          <w:szCs w:val="24"/>
          <w:highlight w:val="none"/>
          <w:u w:val="single"/>
        </w:rPr>
        <w:t>022年</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日9:00（</w:t>
      </w:r>
      <w:r>
        <w:rPr>
          <w:rFonts w:hint="eastAsia" w:ascii="仿宋" w:hAnsi="仿宋" w:eastAsia="仿宋" w:cs="仿宋"/>
          <w:bCs/>
          <w:color w:val="auto"/>
          <w:sz w:val="24"/>
          <w:szCs w:val="24"/>
          <w:highlight w:val="none"/>
          <w:u w:val="single"/>
        </w:rPr>
        <w:t>北京时间）</w:t>
      </w:r>
      <w:r>
        <w:rPr>
          <w:rFonts w:hint="eastAsia" w:ascii="仿宋" w:hAnsi="仿宋" w:eastAsia="仿宋" w:cs="仿宋"/>
          <w:bCs/>
          <w:color w:val="auto"/>
          <w:sz w:val="24"/>
          <w:szCs w:val="24"/>
          <w:highlight w:val="none"/>
        </w:rPr>
        <w:t>；</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地点：</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⑴</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 电子加密磋商响应文件：在“政府采购云平台”上传提交，“电子加密磋商响应文件”成功上传提交后，供应商自行打印磋商响应文件接收回执。</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⑵</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备份磋商响应文件：供应商自行确定是否提交；若提交请将备份磋商响应文件以电子邮件的形式发送至（23469090@qq.com），备份磋商响应文件在“电子加密磋商响应文件”在线解密失败后启用，否则不予以启用；未在规定时间内发送备份磋商响应文件造成的响应无效或失败由供应商自行承当。</w:t>
      </w:r>
    </w:p>
    <w:p>
      <w:pPr>
        <w:wordWrap w:val="0"/>
        <w:spacing w:line="420" w:lineRule="exact"/>
        <w:rPr>
          <w:rFonts w:ascii="仿宋" w:hAnsi="仿宋" w:eastAsia="仿宋" w:cs="仿宋"/>
          <w:b/>
          <w:color w:val="auto"/>
          <w:sz w:val="24"/>
          <w:szCs w:val="24"/>
          <w:highlight w:val="none"/>
        </w:rPr>
      </w:pPr>
      <w:bookmarkStart w:id="54" w:name="_Toc28359093"/>
      <w:bookmarkStart w:id="55" w:name="_Toc35393633"/>
      <w:bookmarkStart w:id="56" w:name="_Toc28359016"/>
      <w:bookmarkStart w:id="57" w:name="_Toc35393802"/>
      <w:r>
        <w:rPr>
          <w:rFonts w:hint="eastAsia" w:ascii="仿宋" w:hAnsi="仿宋" w:eastAsia="仿宋" w:cs="仿宋"/>
          <w:b/>
          <w:color w:val="auto"/>
          <w:sz w:val="24"/>
          <w:szCs w:val="24"/>
          <w:highlight w:val="none"/>
        </w:rPr>
        <w:t>五、响应文件开启</w:t>
      </w:r>
      <w:bookmarkEnd w:id="54"/>
      <w:bookmarkEnd w:id="55"/>
      <w:bookmarkEnd w:id="56"/>
      <w:bookmarkEnd w:id="57"/>
    </w:p>
    <w:p>
      <w:pPr>
        <w:wordWrap w:val="0"/>
        <w:spacing w:line="42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开启时间：</w:t>
      </w:r>
      <w:r>
        <w:rPr>
          <w:rFonts w:hint="eastAsia" w:ascii="仿宋" w:hAnsi="仿宋" w:eastAsia="仿宋" w:cs="仿宋"/>
          <w:color w:val="auto"/>
          <w:sz w:val="24"/>
          <w:szCs w:val="24"/>
          <w:highlight w:val="none"/>
          <w:u w:val="single"/>
        </w:rPr>
        <w:t>2022年</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日9:00</w:t>
      </w:r>
      <w:r>
        <w:rPr>
          <w:rFonts w:hint="eastAsia" w:ascii="仿宋" w:hAnsi="仿宋" w:eastAsia="仿宋" w:cs="仿宋"/>
          <w:bCs/>
          <w:color w:val="auto"/>
          <w:sz w:val="24"/>
          <w:szCs w:val="24"/>
          <w:highlight w:val="none"/>
          <w:u w:val="single"/>
        </w:rPr>
        <w:t>（北京时间）</w:t>
      </w:r>
    </w:p>
    <w:p>
      <w:pPr>
        <w:wordWrap w:val="0"/>
        <w:spacing w:line="42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地点（网址）：</w:t>
      </w:r>
      <w:r>
        <w:rPr>
          <w:rFonts w:hint="eastAsia" w:ascii="仿宋" w:hAnsi="仿宋" w:eastAsia="仿宋" w:cs="仿宋"/>
          <w:bCs/>
          <w:color w:val="auto"/>
          <w:sz w:val="24"/>
          <w:szCs w:val="24"/>
          <w:highlight w:val="none"/>
        </w:rPr>
        <w:t>浙江政府采购网—用户入驻/登录—用户登录—项目采购—开标评标—进入开标大厅</w:t>
      </w:r>
    </w:p>
    <w:p>
      <w:pPr>
        <w:wordWrap w:val="0"/>
        <w:spacing w:line="420" w:lineRule="exact"/>
        <w:rPr>
          <w:rFonts w:ascii="仿宋" w:hAnsi="仿宋" w:eastAsia="仿宋" w:cs="仿宋"/>
          <w:b/>
          <w:color w:val="auto"/>
          <w:sz w:val="24"/>
          <w:szCs w:val="24"/>
          <w:highlight w:val="none"/>
        </w:rPr>
      </w:pPr>
      <w:bookmarkStart w:id="58" w:name="_Toc35393634"/>
      <w:bookmarkStart w:id="59" w:name="_Toc28359017"/>
      <w:bookmarkStart w:id="60" w:name="_Toc28359094"/>
      <w:bookmarkStart w:id="61" w:name="_Toc35393803"/>
      <w:r>
        <w:rPr>
          <w:rFonts w:hint="eastAsia" w:ascii="仿宋" w:hAnsi="仿宋" w:eastAsia="仿宋" w:cs="仿宋"/>
          <w:b/>
          <w:color w:val="auto"/>
          <w:sz w:val="24"/>
          <w:szCs w:val="24"/>
          <w:highlight w:val="none"/>
        </w:rPr>
        <w:t>六、公告期限</w:t>
      </w:r>
      <w:bookmarkEnd w:id="58"/>
      <w:bookmarkEnd w:id="59"/>
      <w:bookmarkEnd w:id="60"/>
      <w:bookmarkEnd w:id="61"/>
    </w:p>
    <w:p>
      <w:pPr>
        <w:wordWrap w:val="0"/>
        <w:spacing w:line="42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自本公告发布之日起3个工作日。</w:t>
      </w:r>
    </w:p>
    <w:p>
      <w:pPr>
        <w:wordWrap w:val="0"/>
        <w:spacing w:line="420" w:lineRule="exact"/>
        <w:rPr>
          <w:rFonts w:ascii="仿宋" w:hAnsi="仿宋" w:eastAsia="仿宋" w:cs="仿宋"/>
          <w:b/>
          <w:color w:val="auto"/>
          <w:sz w:val="24"/>
          <w:szCs w:val="24"/>
          <w:highlight w:val="none"/>
        </w:rPr>
      </w:pPr>
      <w:bookmarkStart w:id="62" w:name="_Toc35393626"/>
      <w:bookmarkStart w:id="63" w:name="_Toc35393795"/>
      <w:r>
        <w:rPr>
          <w:rFonts w:hint="eastAsia" w:ascii="仿宋" w:hAnsi="仿宋" w:eastAsia="仿宋" w:cs="仿宋"/>
          <w:b/>
          <w:color w:val="auto"/>
          <w:sz w:val="24"/>
          <w:szCs w:val="24"/>
          <w:highlight w:val="none"/>
        </w:rPr>
        <w:t>七、其他补充事宜</w:t>
      </w:r>
      <w:bookmarkEnd w:id="62"/>
      <w:bookmarkEnd w:id="63"/>
    </w:p>
    <w:p>
      <w:pPr>
        <w:wordWrap w:val="0"/>
        <w:snapToGrid w:val="0"/>
        <w:spacing w:line="440" w:lineRule="exact"/>
        <w:ind w:firstLine="51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420" w:lineRule="exact"/>
        <w:ind w:firstLine="51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其他事项：</w:t>
      </w:r>
      <w:r>
        <w:rPr>
          <w:rFonts w:hint="eastAsia" w:ascii="仿宋" w:hAnsi="仿宋" w:eastAsia="仿宋" w:cs="仿宋"/>
          <w:bCs/>
          <w:snapToGrid w:val="0"/>
          <w:color w:val="auto"/>
          <w:sz w:val="24"/>
          <w:szCs w:val="24"/>
          <w:highlight w:val="none"/>
        </w:rPr>
        <w:t>本项目全程电子招投标，相关的操作规程务必关注《政府采购项目电子交易管理操作指南-供应商》（网址：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"https://service.zcygov.cn/" \l "/knowledges/CW1EtGwBFdiHxlNd6I3m/6IMVAG0BFdiHxlNdQ8Na" </w:instrText>
      </w:r>
      <w:r>
        <w:rPr>
          <w:rFonts w:hint="eastAsia" w:ascii="仿宋" w:hAnsi="仿宋" w:eastAsia="仿宋" w:cs="仿宋"/>
          <w:color w:val="auto"/>
          <w:sz w:val="24"/>
          <w:szCs w:val="24"/>
          <w:highlight w:val="none"/>
        </w:rPr>
        <w:fldChar w:fldCharType="separate"/>
      </w:r>
      <w:r>
        <w:rPr>
          <w:rStyle w:val="23"/>
          <w:rFonts w:hint="eastAsia" w:ascii="仿宋" w:hAnsi="仿宋" w:eastAsia="仿宋" w:cs="仿宋"/>
          <w:color w:val="auto"/>
          <w:sz w:val="24"/>
          <w:szCs w:val="24"/>
          <w:highlight w:val="none"/>
        </w:rPr>
        <w:t>https://service.zcygov.cn/#/knowledges/CW1EtGwBFdiHxlNd6I3m/6IMVAG0BFdiHxlNdQ8Na</w:t>
      </w:r>
      <w:r>
        <w:rPr>
          <w:rFonts w:hint="eastAsia" w:ascii="仿宋" w:hAnsi="仿宋" w:eastAsia="仿宋" w:cs="仿宋"/>
          <w:color w:val="auto"/>
          <w:sz w:val="24"/>
          <w:szCs w:val="24"/>
          <w:highlight w:val="none"/>
        </w:rPr>
        <w:fldChar w:fldCharType="end"/>
      </w:r>
      <w:r>
        <w:rPr>
          <w:rFonts w:hint="eastAsia" w:ascii="仿宋" w:hAnsi="仿宋" w:eastAsia="仿宋" w:cs="仿宋"/>
          <w:bCs/>
          <w:snapToGrid w:val="0"/>
          <w:color w:val="auto"/>
          <w:sz w:val="24"/>
          <w:szCs w:val="24"/>
          <w:highlight w:val="none"/>
        </w:rPr>
        <w:t>）</w:t>
      </w:r>
    </w:p>
    <w:p>
      <w:pPr>
        <w:wordWrap w:val="0"/>
        <w:snapToGrid w:val="0"/>
        <w:spacing w:line="440" w:lineRule="exact"/>
        <w:rPr>
          <w:rFonts w:ascii="仿宋" w:hAnsi="仿宋" w:eastAsia="仿宋" w:cs="仿宋"/>
          <w:color w:val="auto"/>
          <w:sz w:val="24"/>
          <w:szCs w:val="24"/>
          <w:highlight w:val="none"/>
        </w:rPr>
      </w:pPr>
      <w:bookmarkStart w:id="64" w:name="_Toc35393627"/>
      <w:bookmarkStart w:id="65" w:name="_Toc28359085"/>
      <w:bookmarkStart w:id="66" w:name="_Toc35393796"/>
      <w:bookmarkStart w:id="67" w:name="_Toc28359008"/>
      <w:r>
        <w:rPr>
          <w:rFonts w:hint="eastAsia" w:ascii="仿宋" w:hAnsi="仿宋" w:eastAsia="仿宋" w:cs="仿宋"/>
          <w:b/>
          <w:color w:val="auto"/>
          <w:sz w:val="24"/>
          <w:szCs w:val="24"/>
          <w:highlight w:val="none"/>
        </w:rPr>
        <w:t>八、</w:t>
      </w:r>
      <w:bookmarkEnd w:id="64"/>
      <w:bookmarkEnd w:id="65"/>
      <w:bookmarkEnd w:id="66"/>
      <w:bookmarkEnd w:id="67"/>
      <w:r>
        <w:rPr>
          <w:rFonts w:hint="eastAsia" w:ascii="仿宋" w:hAnsi="仿宋" w:eastAsia="仿宋" w:cs="仿宋"/>
          <w:b/>
          <w:bCs/>
          <w:color w:val="auto"/>
          <w:sz w:val="24"/>
          <w:szCs w:val="24"/>
          <w:highlight w:val="none"/>
        </w:rPr>
        <w:t>凡对本次采购提出询问、质疑、投诉，请按以下方式联系</w:t>
      </w:r>
    </w:p>
    <w:p>
      <w:pPr>
        <w:wordWrap w:val="0"/>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1. 采购人信息</w:t>
      </w:r>
    </w:p>
    <w:p>
      <w:pPr>
        <w:wordWrap w:val="0"/>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称：庆元县图书馆</w:t>
      </w:r>
    </w:p>
    <w:p>
      <w:pPr>
        <w:wordWrap w:val="0"/>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址：庆元县濛洲街132号城市书房</w:t>
      </w:r>
    </w:p>
    <w:p>
      <w:pPr>
        <w:wordWrap w:val="0"/>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eastAsia="zh-CN"/>
        </w:rPr>
        <w:t>吴祥锦</w:t>
      </w: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color w:val="auto"/>
          <w:sz w:val="24"/>
          <w:szCs w:val="24"/>
          <w:highlight w:val="none"/>
          <w:lang w:eastAsia="zh-CN"/>
        </w:rPr>
        <w:t>13695782561</w:t>
      </w:r>
    </w:p>
    <w:p>
      <w:pPr>
        <w:wordWrap w:val="0"/>
        <w:snapToGrid w:val="0"/>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eastAsia="zh-CN"/>
        </w:rPr>
        <w:t>吴祥锦</w:t>
      </w:r>
      <w:r>
        <w:rPr>
          <w:rFonts w:hint="eastAsia" w:ascii="仿宋" w:hAnsi="仿宋" w:eastAsia="仿宋" w:cs="仿宋"/>
          <w:color w:val="auto"/>
          <w:sz w:val="24"/>
          <w:szCs w:val="24"/>
          <w:highlight w:val="none"/>
        </w:rPr>
        <w:t xml:space="preserve">             质疑联系方式：</w:t>
      </w:r>
      <w:r>
        <w:rPr>
          <w:rFonts w:hint="eastAsia" w:ascii="仿宋" w:hAnsi="仿宋" w:eastAsia="仿宋" w:cs="仿宋"/>
          <w:color w:val="auto"/>
          <w:sz w:val="24"/>
          <w:szCs w:val="24"/>
          <w:highlight w:val="none"/>
          <w:lang w:eastAsia="zh-CN"/>
        </w:rPr>
        <w:t>13695782561</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   </w:t>
      </w:r>
    </w:p>
    <w:p>
      <w:pPr>
        <w:wordWrap w:val="0"/>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采购代理机构信息</w:t>
      </w:r>
    </w:p>
    <w:p>
      <w:pPr>
        <w:wordWrap w:val="0"/>
        <w:snapToGrid w:val="0"/>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称：浙江丽水兴华工程管理有限公司</w:t>
      </w:r>
    </w:p>
    <w:p>
      <w:pPr>
        <w:wordWrap w:val="0"/>
        <w:snapToGrid w:val="0"/>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址：庆元县城南中路104号 </w:t>
      </w:r>
    </w:p>
    <w:p>
      <w:pPr>
        <w:wordWrap w:val="0"/>
        <w:snapToGrid w:val="0"/>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项目联系人（询问）：李琳    项目联系方式（询问）：0578-2360555</w:t>
      </w:r>
    </w:p>
    <w:p>
      <w:pPr>
        <w:wordWrap w:val="0"/>
        <w:snapToGrid w:val="0"/>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bCs/>
          <w:snapToGrid w:val="0"/>
          <w:color w:val="auto"/>
          <w:sz w:val="24"/>
          <w:szCs w:val="24"/>
          <w:highlight w:val="none"/>
        </w:rPr>
        <w:t>洪跃华</w:t>
      </w:r>
      <w:r>
        <w:rPr>
          <w:rFonts w:hint="eastAsia" w:ascii="宋体" w:hAnsi="宋体" w:eastAsia="仿宋" w:cs="宋体"/>
          <w:color w:val="auto"/>
          <w:sz w:val="24"/>
          <w:szCs w:val="24"/>
          <w:highlight w:val="none"/>
        </w:rPr>
        <w:t> </w:t>
      </w:r>
      <w:r>
        <w:rPr>
          <w:rFonts w:hint="eastAsia" w:ascii="仿宋" w:hAnsi="仿宋" w:eastAsia="仿宋" w:cs="仿宋"/>
          <w:color w:val="auto"/>
          <w:sz w:val="24"/>
          <w:szCs w:val="24"/>
          <w:highlight w:val="none"/>
        </w:rPr>
        <w:t xml:space="preserve">        质疑联系方式：0578-2998875</w:t>
      </w:r>
    </w:p>
    <w:p>
      <w:pPr>
        <w:pStyle w:val="24"/>
        <w:rPr>
          <w:rFonts w:ascii="仿宋" w:hAnsi="仿宋" w:eastAsia="仿宋"/>
          <w:color w:val="auto"/>
          <w:highlight w:val="none"/>
        </w:rPr>
      </w:pPr>
      <w:r>
        <w:rPr>
          <w:rFonts w:hint="eastAsia" w:ascii="仿宋" w:hAnsi="仿宋" w:eastAsia="仿宋" w:cs="仿宋"/>
          <w:color w:val="auto"/>
          <w:szCs w:val="24"/>
          <w:highlight w:val="none"/>
        </w:rPr>
        <w:t xml:space="preserve">     传   真：0578-2998875</w:t>
      </w:r>
    </w:p>
    <w:p>
      <w:pPr>
        <w:wordWrap w:val="0"/>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同级政府采购监督管理部门</w:t>
      </w:r>
    </w:p>
    <w:p>
      <w:pPr>
        <w:wordWrap w:val="0"/>
        <w:snapToGrid w:val="0"/>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highlight w:val="none"/>
        </w:rPr>
        <w:t>庆元县财政局</w:t>
      </w:r>
      <w:r>
        <w:rPr>
          <w:rFonts w:hint="eastAsia" w:ascii="仿宋" w:hAnsi="仿宋" w:eastAsia="仿宋" w:cs="仿宋"/>
          <w:color w:val="auto"/>
          <w:sz w:val="24"/>
          <w:szCs w:val="24"/>
          <w:highlight w:val="none"/>
        </w:rPr>
        <w:t> </w:t>
      </w:r>
    </w:p>
    <w:p>
      <w:pPr>
        <w:wordWrap w:val="0"/>
        <w:snapToGrid w:val="0"/>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highlight w:val="none"/>
        </w:rPr>
        <w:t xml:space="preserve">庆元县濛洲街198号    </w:t>
      </w:r>
      <w:r>
        <w:rPr>
          <w:rFonts w:hint="eastAsia" w:ascii="仿宋" w:hAnsi="仿宋" w:eastAsia="仿宋" w:cs="仿宋"/>
          <w:color w:val="auto"/>
          <w:sz w:val="24"/>
          <w:szCs w:val="24"/>
          <w:highlight w:val="none"/>
        </w:rPr>
        <w:t>传  真：/</w:t>
      </w:r>
    </w:p>
    <w:p>
      <w:pPr>
        <w:wordWrap w:val="0"/>
        <w:snapToGrid w:val="0"/>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highlight w:val="none"/>
        </w:rPr>
        <w:t>吴桂菲</w:t>
      </w:r>
      <w:r>
        <w:rPr>
          <w:rFonts w:hint="eastAsia" w:ascii="仿宋" w:hAnsi="仿宋" w:eastAsia="仿宋" w:cs="仿宋"/>
          <w:color w:val="auto"/>
          <w:sz w:val="24"/>
          <w:szCs w:val="24"/>
          <w:highlight w:val="none"/>
        </w:rPr>
        <w:t xml:space="preserve">  监督投诉电话：</w:t>
      </w:r>
      <w:r>
        <w:rPr>
          <w:rFonts w:hint="eastAsia" w:ascii="仿宋" w:hAnsi="仿宋" w:eastAsia="仿宋" w:cs="仿宋"/>
          <w:color w:val="auto"/>
          <w:sz w:val="24"/>
          <w:highlight w:val="none"/>
        </w:rPr>
        <w:t>0578-6019125</w:t>
      </w:r>
      <w:r>
        <w:rPr>
          <w:rFonts w:hint="eastAsia" w:ascii="仿宋" w:hAnsi="仿宋" w:eastAsia="仿宋" w:cs="仿宋"/>
          <w:color w:val="auto"/>
          <w:sz w:val="24"/>
          <w:szCs w:val="24"/>
          <w:highlight w:val="none"/>
        </w:rPr>
        <w:t xml:space="preserve"> </w:t>
      </w:r>
    </w:p>
    <w:p>
      <w:pPr>
        <w:rPr>
          <w:rFonts w:ascii="仿宋" w:hAnsi="仿宋" w:eastAsia="仿宋"/>
          <w:color w:val="auto"/>
          <w:highlight w:val="none"/>
        </w:rPr>
      </w:pPr>
    </w:p>
    <w:p>
      <w:pPr>
        <w:pStyle w:val="17"/>
        <w:ind w:firstLine="210"/>
        <w:rPr>
          <w:color w:val="auto"/>
          <w:highlight w:val="none"/>
        </w:rPr>
      </w:pPr>
    </w:p>
    <w:p>
      <w:pPr>
        <w:tabs>
          <w:tab w:val="left" w:pos="540"/>
        </w:tabs>
        <w:wordWrap w:val="0"/>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tabs>
          <w:tab w:val="left" w:pos="540"/>
        </w:tabs>
        <w:wordWrap w:val="0"/>
        <w:snapToGrid w:val="0"/>
        <w:spacing w:line="440" w:lineRule="exact"/>
        <w:ind w:firstLine="480" w:firstLineChars="200"/>
        <w:rPr>
          <w:rFonts w:ascii="仿宋" w:hAnsi="仿宋" w:eastAsia="仿宋" w:cs="仿宋"/>
          <w:b/>
          <w:strike/>
          <w:color w:val="auto"/>
          <w:szCs w:val="21"/>
          <w:highlight w:val="none"/>
        </w:rPr>
        <w:sectPr>
          <w:footerReference r:id="rId9" w:type="default"/>
          <w:pgSz w:w="11906" w:h="16838"/>
          <w:pgMar w:top="1440" w:right="1797" w:bottom="1440" w:left="1797" w:header="851" w:footer="851" w:gutter="0"/>
          <w:pgNumType w:start="1"/>
          <w:cols w:space="720" w:num="1"/>
          <w:docGrid w:linePitch="312" w:charSpace="0"/>
        </w:sectPr>
      </w:pPr>
      <w:r>
        <w:rPr>
          <w:rFonts w:hint="eastAsia" w:ascii="仿宋" w:hAnsi="仿宋" w:eastAsia="仿宋" w:cs="仿宋"/>
          <w:color w:val="auto"/>
          <w:sz w:val="24"/>
          <w:szCs w:val="24"/>
          <w:highlight w:val="none"/>
        </w:rPr>
        <w:t>CA问题联系电话（人工）：汇信CA 400-888-4636；天谷CA 400-087-8198。</w:t>
      </w:r>
      <w:bookmarkEnd w:id="35"/>
      <w:bookmarkStart w:id="68" w:name="_Toc493956019"/>
    </w:p>
    <w:p>
      <w:pPr>
        <w:pStyle w:val="16"/>
        <w:spacing w:before="0" w:after="0" w:line="400" w:lineRule="exact"/>
        <w:rPr>
          <w:rFonts w:ascii="仿宋" w:hAnsi="仿宋" w:eastAsia="仿宋" w:cs="仿宋"/>
          <w:color w:val="auto"/>
          <w:sz w:val="36"/>
          <w:szCs w:val="36"/>
          <w:highlight w:val="none"/>
        </w:rPr>
        <w:sectPr>
          <w:type w:val="continuous"/>
          <w:pgSz w:w="11906" w:h="16838"/>
          <w:pgMar w:top="1440" w:right="1797" w:bottom="1440" w:left="1797" w:header="851" w:footer="851" w:gutter="0"/>
          <w:cols w:space="720" w:num="1"/>
          <w:titlePg/>
          <w:docGrid w:linePitch="312" w:charSpace="0"/>
        </w:sectPr>
      </w:pPr>
      <w:bookmarkStart w:id="69" w:name="_Toc530551805"/>
      <w:bookmarkStart w:id="70" w:name="_Toc531358960"/>
    </w:p>
    <w:bookmarkEnd w:id="68"/>
    <w:bookmarkEnd w:id="69"/>
    <w:bookmarkEnd w:id="70"/>
    <w:p>
      <w:pPr>
        <w:pStyle w:val="16"/>
        <w:numPr>
          <w:ilvl w:val="0"/>
          <w:numId w:val="1"/>
        </w:numPr>
        <w:spacing w:before="0" w:after="0" w:line="360" w:lineRule="auto"/>
        <w:rPr>
          <w:rFonts w:ascii="仿宋" w:hAnsi="仿宋" w:eastAsia="仿宋" w:cs="仿宋"/>
          <w:color w:val="auto"/>
          <w:sz w:val="36"/>
          <w:szCs w:val="36"/>
          <w:highlight w:val="none"/>
        </w:rPr>
      </w:pPr>
      <w:bookmarkStart w:id="71" w:name="_Toc5453"/>
      <w:bookmarkStart w:id="72" w:name="_Toc25544"/>
      <w:bookmarkStart w:id="73" w:name="_Toc409683143"/>
      <w:bookmarkStart w:id="74" w:name="_Toc493956031"/>
      <w:bookmarkStart w:id="75" w:name="_Toc530551819"/>
      <w:bookmarkStart w:id="76" w:name="_Toc531358974"/>
      <w:r>
        <w:rPr>
          <w:rFonts w:hint="eastAsia" w:ascii="仿宋" w:hAnsi="仿宋" w:eastAsia="仿宋" w:cs="仿宋"/>
          <w:color w:val="auto"/>
          <w:sz w:val="36"/>
          <w:szCs w:val="36"/>
          <w:highlight w:val="none"/>
        </w:rPr>
        <w:t xml:space="preserve"> </w:t>
      </w:r>
      <w:bookmarkStart w:id="77" w:name="_Toc6669"/>
      <w:r>
        <w:rPr>
          <w:rFonts w:hint="eastAsia" w:ascii="仿宋" w:hAnsi="仿宋" w:eastAsia="仿宋" w:cs="仿宋"/>
          <w:color w:val="auto"/>
          <w:sz w:val="36"/>
          <w:szCs w:val="36"/>
          <w:highlight w:val="none"/>
        </w:rPr>
        <w:t>采购需求</w:t>
      </w:r>
      <w:bookmarkEnd w:id="71"/>
      <w:bookmarkEnd w:id="72"/>
      <w:bookmarkEnd w:id="77"/>
    </w:p>
    <w:p>
      <w:pPr>
        <w:pStyle w:val="4"/>
        <w:spacing w:before="200" w:after="200"/>
        <w:ind w:firstLine="321" w:firstLineChars="100"/>
        <w:rPr>
          <w:rFonts w:ascii="仿宋" w:hAnsi="仿宋" w:eastAsia="仿宋" w:cs="仿宋"/>
          <w:color w:val="auto"/>
          <w:sz w:val="32"/>
          <w:szCs w:val="32"/>
          <w:highlight w:val="none"/>
        </w:rPr>
      </w:pPr>
      <w:bookmarkStart w:id="78" w:name="_Toc16893"/>
      <w:bookmarkStart w:id="79" w:name="_Toc3052"/>
      <w:bookmarkStart w:id="80" w:name="_Toc1066"/>
      <w:bookmarkStart w:id="81" w:name="_Toc522718943"/>
      <w:bookmarkStart w:id="82" w:name="_Toc420764130"/>
      <w:bookmarkStart w:id="83" w:name="_Toc11787893"/>
      <w:bookmarkStart w:id="84" w:name="_Toc10183"/>
      <w:r>
        <w:rPr>
          <w:rFonts w:hint="eastAsia" w:ascii="仿宋" w:hAnsi="仿宋" w:eastAsia="仿宋" w:cs="仿宋"/>
          <w:color w:val="auto"/>
          <w:sz w:val="32"/>
          <w:szCs w:val="32"/>
          <w:highlight w:val="none"/>
        </w:rPr>
        <w:t>一、招标内容</w:t>
      </w:r>
      <w:bookmarkEnd w:id="78"/>
      <w:bookmarkEnd w:id="79"/>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所有图</w:t>
      </w:r>
      <w:r>
        <w:rPr>
          <w:rFonts w:hint="eastAsia" w:ascii="仿宋" w:hAnsi="仿宋" w:eastAsia="仿宋" w:cs="仿宋"/>
          <w:color w:val="auto"/>
          <w:highlight w:val="none"/>
        </w:rPr>
        <w:t>书为2021年3月1日以后出版和印刷</w:t>
      </w:r>
      <w:r>
        <w:rPr>
          <w:rFonts w:hint="eastAsia" w:ascii="仿宋" w:hAnsi="仿宋" w:eastAsia="仿宋" w:cs="仿宋"/>
          <w:color w:val="auto"/>
          <w:highlight w:val="none"/>
        </w:rPr>
        <w:t>的常用纸质新图书。供货期限一年，自合同签订之日起计。</w:t>
      </w:r>
    </w:p>
    <w:tbl>
      <w:tblPr>
        <w:tblStyle w:val="20"/>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037"/>
        <w:gridCol w:w="696"/>
        <w:gridCol w:w="762"/>
        <w:gridCol w:w="1188"/>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p>
        </w:tc>
        <w:tc>
          <w:tcPr>
            <w:tcW w:w="2037"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标项内容</w:t>
            </w:r>
          </w:p>
        </w:tc>
        <w:tc>
          <w:tcPr>
            <w:tcW w:w="696"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62"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88"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预算金额(万元)</w:t>
            </w:r>
          </w:p>
        </w:tc>
        <w:tc>
          <w:tcPr>
            <w:tcW w:w="2637"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83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37"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采购哲学、政治、法律、文化、文学、艺术、历史、地理、科学等各类成人、少儿图书</w:t>
            </w:r>
          </w:p>
        </w:tc>
        <w:tc>
          <w:tcPr>
            <w:tcW w:w="696"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62"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c>
          <w:tcPr>
            <w:tcW w:w="1188" w:type="dxa"/>
            <w:vAlign w:val="center"/>
          </w:tcPr>
          <w:p>
            <w:pPr>
              <w:jc w:val="center"/>
              <w:rPr>
                <w:rFonts w:ascii="仿宋" w:hAnsi="仿宋" w:eastAsia="仿宋" w:cs="仿宋"/>
                <w:color w:val="auto"/>
                <w:sz w:val="24"/>
                <w:szCs w:val="24"/>
                <w:highlight w:val="none"/>
              </w:rPr>
            </w:pPr>
            <w:r>
              <w:rPr>
                <w:rFonts w:hint="eastAsia" w:ascii="仿宋" w:hAnsi="仿宋" w:eastAsia="仿宋" w:cs="仿宋"/>
                <w:bCs/>
                <w:snapToGrid w:val="0"/>
                <w:color w:val="auto"/>
                <w:sz w:val="24"/>
                <w:szCs w:val="24"/>
                <w:highlight w:val="none"/>
              </w:rPr>
              <w:t>50.8</w:t>
            </w:r>
          </w:p>
        </w:tc>
        <w:tc>
          <w:tcPr>
            <w:tcW w:w="2637" w:type="dxa"/>
            <w:vAlign w:val="center"/>
          </w:tcPr>
          <w:p>
            <w:pPr>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采购数量由</w:t>
            </w:r>
            <w:r>
              <w:rPr>
                <w:rFonts w:hint="eastAsia" w:ascii="仿宋" w:hAnsi="仿宋" w:eastAsia="仿宋" w:cs="仿宋"/>
                <w:bCs/>
                <w:color w:val="auto"/>
                <w:sz w:val="24"/>
                <w:szCs w:val="24"/>
                <w:highlight w:val="none"/>
              </w:rPr>
              <w:t>采购人</w:t>
            </w:r>
            <w:r>
              <w:rPr>
                <w:rFonts w:hint="eastAsia" w:ascii="仿宋" w:hAnsi="仿宋" w:eastAsia="仿宋" w:cs="仿宋"/>
                <w:bCs/>
                <w:color w:val="auto"/>
                <w:sz w:val="24"/>
                <w:szCs w:val="24"/>
                <w:highlight w:val="none"/>
              </w:rPr>
              <w:t>根据实际需要最终确定，最终以实际供货数量和中标折扣率进行结算。</w:t>
            </w:r>
          </w:p>
        </w:tc>
      </w:tr>
    </w:tbl>
    <w:p>
      <w:pPr>
        <w:pStyle w:val="4"/>
        <w:spacing w:before="200" w:after="200"/>
        <w:ind w:firstLine="321" w:firstLineChars="100"/>
        <w:rPr>
          <w:rFonts w:ascii="仿宋" w:hAnsi="仿宋" w:eastAsia="仿宋" w:cs="仿宋"/>
          <w:color w:val="auto"/>
          <w:sz w:val="32"/>
          <w:szCs w:val="32"/>
          <w:highlight w:val="none"/>
        </w:rPr>
      </w:pPr>
      <w:bookmarkStart w:id="85" w:name="_Toc14397"/>
      <w:bookmarkStart w:id="86" w:name="_Toc13499"/>
      <w:r>
        <w:rPr>
          <w:rFonts w:hint="eastAsia" w:ascii="仿宋" w:hAnsi="仿宋" w:eastAsia="仿宋" w:cs="仿宋"/>
          <w:color w:val="auto"/>
          <w:sz w:val="32"/>
          <w:szCs w:val="32"/>
          <w:highlight w:val="none"/>
        </w:rPr>
        <w:t>二、</w:t>
      </w:r>
      <w:bookmarkEnd w:id="80"/>
      <w:bookmarkEnd w:id="81"/>
      <w:r>
        <w:rPr>
          <w:rFonts w:hint="eastAsia" w:ascii="仿宋" w:hAnsi="仿宋" w:eastAsia="仿宋" w:cs="仿宋"/>
          <w:color w:val="auto"/>
          <w:sz w:val="32"/>
          <w:szCs w:val="32"/>
          <w:highlight w:val="none"/>
        </w:rPr>
        <w:t>基本条件</w:t>
      </w:r>
      <w:bookmarkEnd w:id="85"/>
      <w:bookmarkEnd w:id="86"/>
    </w:p>
    <w:bookmarkEnd w:id="82"/>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bookmarkStart w:id="87" w:name="_Toc420764134"/>
      <w:bookmarkStart w:id="88" w:name="_Toc15368"/>
      <w:bookmarkStart w:id="89" w:name="_Toc522718947"/>
      <w:r>
        <w:rPr>
          <w:rFonts w:hint="eastAsia" w:ascii="仿宋" w:hAnsi="仿宋" w:eastAsia="仿宋" w:cs="仿宋"/>
          <w:color w:val="auto"/>
          <w:highlight w:val="none"/>
        </w:rPr>
        <w:t>1、供应商具有</w:t>
      </w:r>
      <w:r>
        <w:rPr>
          <w:rFonts w:hint="eastAsia" w:ascii="仿宋" w:hAnsi="仿宋" w:eastAsia="仿宋" w:cs="仿宋"/>
          <w:color w:val="auto"/>
          <w:highlight w:val="none"/>
          <w:lang w:eastAsia="zh-CN"/>
        </w:rPr>
        <w:t>新闻出版机构颁发的出版物经营许可证</w:t>
      </w:r>
      <w:r>
        <w:rPr>
          <w:rFonts w:hint="eastAsia" w:ascii="仿宋" w:hAnsi="仿宋" w:eastAsia="仿宋" w:cs="仿宋"/>
          <w:color w:val="auto"/>
          <w:highlight w:val="none"/>
        </w:rPr>
        <w:t>。必须能独立完成下列全部项目：</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⑴本次中标单位所供应图书，要求以国家一级出版社出版的图书为主，供货比例不低于预算金额的95%。</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⑵中标单位需按采购单位提供的书目或供应指定图书。中标单位需每月向</w:t>
      </w:r>
      <w:r>
        <w:rPr>
          <w:rFonts w:hint="eastAsia" w:ascii="仿宋" w:hAnsi="仿宋" w:eastAsia="仿宋" w:cs="仿宋"/>
          <w:color w:val="auto"/>
          <w:highlight w:val="none"/>
        </w:rPr>
        <w:t>采购单位</w:t>
      </w:r>
      <w:r>
        <w:rPr>
          <w:rFonts w:hint="eastAsia" w:ascii="仿宋" w:hAnsi="仿宋" w:eastAsia="仿宋" w:cs="仿宋"/>
          <w:color w:val="auto"/>
          <w:highlight w:val="none"/>
        </w:rPr>
        <w:t>提供新书、畅销书、重点图书书单。</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⑶</w:t>
      </w:r>
      <w:r>
        <w:rPr>
          <w:rFonts w:hint="eastAsia" w:ascii="仿宋" w:hAnsi="仿宋" w:eastAsia="仿宋" w:cs="仿宋"/>
          <w:color w:val="auto"/>
          <w:highlight w:val="none"/>
        </w:rPr>
        <w:t>中标单位</w:t>
      </w:r>
      <w:r>
        <w:rPr>
          <w:rFonts w:hint="eastAsia" w:ascii="仿宋" w:hAnsi="仿宋" w:eastAsia="仿宋" w:cs="仿宋"/>
          <w:color w:val="auto"/>
          <w:highlight w:val="none"/>
        </w:rPr>
        <w:t>须有收集地方版图书的能力，地方版图书或按采购单位要求采购的指定图书供货比例不低于95%。</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⑷为确保新书质量和采购及时性，本馆历年图书采购均以参加浙江省馆藏图书展示会为主（参照浙江图书馆、浙江大学图书馆新书采购），</w:t>
      </w:r>
      <w:r>
        <w:rPr>
          <w:rFonts w:hint="eastAsia" w:ascii="仿宋" w:hAnsi="仿宋" w:eastAsia="仿宋" w:cs="仿宋"/>
          <w:color w:val="auto"/>
          <w:highlight w:val="none"/>
        </w:rPr>
        <w:t>中标单位</w:t>
      </w:r>
      <w:r>
        <w:rPr>
          <w:rFonts w:hint="eastAsia" w:ascii="仿宋" w:hAnsi="仿宋" w:eastAsia="仿宋" w:cs="仿宋"/>
          <w:color w:val="auto"/>
          <w:highlight w:val="none"/>
        </w:rPr>
        <w:t>需具备带领参加全国馆藏展示会进行现场新书采购的条件和能力，采购金额所占总预算比例不低于70%。</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rPr>
        <w:t>中标单位</w:t>
      </w:r>
      <w:r>
        <w:rPr>
          <w:rFonts w:hint="eastAsia" w:ascii="仿宋" w:hAnsi="仿宋" w:eastAsia="仿宋" w:cs="仿宋"/>
          <w:color w:val="auto"/>
          <w:highlight w:val="none"/>
        </w:rPr>
        <w:t>应建有自己的网站，网站要有</w:t>
      </w:r>
      <w:r>
        <w:rPr>
          <w:rFonts w:hint="eastAsia" w:ascii="仿宋" w:hAnsi="仿宋" w:eastAsia="仿宋" w:cs="仿宋"/>
          <w:color w:val="auto"/>
          <w:highlight w:val="none"/>
        </w:rPr>
        <w:t>2021年</w:t>
      </w:r>
      <w:r>
        <w:rPr>
          <w:rFonts w:hint="eastAsia" w:ascii="仿宋" w:hAnsi="仿宋" w:eastAsia="仿宋" w:cs="仿宋"/>
          <w:color w:val="auto"/>
          <w:highlight w:val="none"/>
        </w:rPr>
        <w:t>度后出版的新书商品展示，需具备网上B2C、B2G交易功能，要有网上销售记录。要求可以实现数据的上传和下载。每月一次提供最新出版印刷的图书电子文档荐购书目，能向庆元县图书馆开放书目查询并完成订购，帮助汇总统计网上订购结果，供庆元县图书馆作采访订购的依据。</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3、需向庆元</w:t>
      </w:r>
      <w:r>
        <w:rPr>
          <w:rFonts w:hint="eastAsia" w:ascii="仿宋" w:hAnsi="仿宋" w:eastAsia="仿宋" w:cs="仿宋"/>
          <w:color w:val="auto"/>
          <w:highlight w:val="none"/>
        </w:rPr>
        <w:t>县图书馆提供2021年3月1日以后出版和</w:t>
      </w:r>
      <w:r>
        <w:rPr>
          <w:rFonts w:hint="eastAsia" w:ascii="仿宋" w:hAnsi="仿宋" w:eastAsia="仿宋" w:cs="仿宋"/>
          <w:color w:val="auto"/>
          <w:highlight w:val="none"/>
        </w:rPr>
        <w:t>印刷的，包含全国所有出版社新的中文图书出版发行信息，第一次出版印刷图书所占采购金额比重不低于95%。</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4、中文图书预订部分：采购单位提供的书目订单采购图书时，</w:t>
      </w:r>
      <w:r>
        <w:rPr>
          <w:rFonts w:hint="eastAsia" w:ascii="仿宋" w:hAnsi="仿宋" w:eastAsia="仿宋" w:cs="仿宋"/>
          <w:color w:val="auto"/>
          <w:highlight w:val="none"/>
        </w:rPr>
        <w:t>中标单位</w:t>
      </w:r>
      <w:r>
        <w:rPr>
          <w:rFonts w:hint="eastAsia" w:ascii="仿宋" w:hAnsi="仿宋" w:eastAsia="仿宋" w:cs="仿宋"/>
          <w:color w:val="auto"/>
          <w:highlight w:val="none"/>
        </w:rPr>
        <w:t>要一个星期内将本馆所征订图书的MARC书目数据通过电子邮件的方式传达给</w:t>
      </w:r>
      <w:r>
        <w:rPr>
          <w:rFonts w:hint="eastAsia" w:ascii="仿宋" w:hAnsi="仿宋" w:eastAsia="仿宋" w:cs="仿宋"/>
          <w:color w:val="auto"/>
          <w:highlight w:val="none"/>
        </w:rPr>
        <w:t>庆元县图书馆</w:t>
      </w:r>
      <w:r>
        <w:rPr>
          <w:rFonts w:hint="eastAsia" w:ascii="仿宋" w:hAnsi="仿宋" w:eastAsia="仿宋" w:cs="仿宋"/>
          <w:color w:val="auto"/>
          <w:highlight w:val="none"/>
        </w:rPr>
        <w:t>。中文图书的MARC采购书目数据应包括以下几个字段：图书征订号、书名、著者、出版社、出版日期、单价和ISBN号等。同时字段内容应严格按照社科新书目、科技新书目、沪版图书新书目的内容进行著录。供应商根</w:t>
      </w:r>
      <w:r>
        <w:rPr>
          <w:rFonts w:hint="eastAsia" w:ascii="仿宋" w:hAnsi="仿宋" w:eastAsia="仿宋" w:cs="仿宋"/>
          <w:color w:val="auto"/>
          <w:highlight w:val="none"/>
        </w:rPr>
        <w:t>据馆藏需要提供给庆元县图书馆具有</w:t>
      </w:r>
      <w:r>
        <w:rPr>
          <w:rFonts w:hint="eastAsia" w:ascii="仿宋" w:hAnsi="仿宋" w:eastAsia="仿宋" w:cs="仿宋"/>
          <w:color w:val="auto"/>
          <w:highlight w:val="none"/>
          <w:lang w:eastAsia="zh-CN"/>
        </w:rPr>
        <w:t>新闻出版机构颁发的出版物经营许可证</w:t>
      </w:r>
      <w:r>
        <w:rPr>
          <w:rFonts w:hint="eastAsia" w:ascii="仿宋" w:hAnsi="仿宋" w:eastAsia="仿宋" w:cs="仿宋"/>
          <w:color w:val="auto"/>
          <w:highlight w:val="none"/>
        </w:rPr>
        <w:t>。书单，</w:t>
      </w:r>
      <w:r>
        <w:rPr>
          <w:rFonts w:hint="eastAsia" w:ascii="仿宋" w:hAnsi="仿宋" w:eastAsia="仿宋" w:cs="仿宋"/>
          <w:color w:val="auto"/>
          <w:highlight w:val="none"/>
        </w:rPr>
        <w:t>供应商具有</w:t>
      </w:r>
      <w:r>
        <w:rPr>
          <w:rFonts w:hint="eastAsia" w:ascii="仿宋" w:hAnsi="仿宋" w:eastAsia="仿宋" w:cs="仿宋"/>
          <w:color w:val="auto"/>
          <w:highlight w:val="none"/>
          <w:lang w:eastAsia="zh-CN"/>
        </w:rPr>
        <w:t>新闻出版机构颁发的出版物经营许可证</w:t>
      </w:r>
      <w:r>
        <w:rPr>
          <w:rFonts w:hint="eastAsia" w:ascii="仿宋" w:hAnsi="仿宋" w:eastAsia="仿宋" w:cs="仿宋"/>
          <w:color w:val="auto"/>
          <w:highlight w:val="none"/>
        </w:rPr>
        <w:t>。</w:t>
      </w:r>
      <w:r>
        <w:rPr>
          <w:rFonts w:hint="eastAsia" w:ascii="仿宋" w:hAnsi="仿宋" w:eastAsia="仿宋" w:cs="仿宋"/>
          <w:color w:val="auto"/>
          <w:highlight w:val="none"/>
        </w:rPr>
        <w:t>应有能力及时按庆元县图书馆书订单提供图书。</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5、中文图书现购部分</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馆藏订货会进行现场新书采购的书目，要求按照社科新书目、科技新书目、沪版图书新书目格式编排，中文图书的采购书目应包括以下几项内容：图书编号、书名、著者、出版社、出版日期、ISBN、定价、内容简介和读者对象等。配套的图书征订MARC书目数据格式与预订图书相同。或者由</w:t>
      </w:r>
      <w:r>
        <w:rPr>
          <w:rFonts w:hint="eastAsia" w:ascii="仿宋" w:hAnsi="仿宋" w:eastAsia="仿宋" w:cs="仿宋"/>
          <w:color w:val="auto"/>
          <w:highlight w:val="none"/>
        </w:rPr>
        <w:t>中标单位</w:t>
      </w:r>
      <w:r>
        <w:rPr>
          <w:rFonts w:hint="eastAsia" w:ascii="仿宋" w:hAnsi="仿宋" w:eastAsia="仿宋" w:cs="仿宋"/>
          <w:color w:val="auto"/>
          <w:highlight w:val="none"/>
        </w:rPr>
        <w:t>提供样书及配套的中文图书MARC书目数据。</w:t>
      </w:r>
    </w:p>
    <w:p>
      <w:pPr>
        <w:pStyle w:val="15"/>
        <w:widowControl w:val="0"/>
        <w:snapToGrid w:val="0"/>
        <w:spacing w:before="0" w:beforeAutospacing="0" w:after="0" w:afterAutospacing="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新书订单处理要求：</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1、必须按照庆元县图书馆提供的订单目录（网络订单和人工递送的订单），通过其自有渠道，高效、准确地按订单上图书的品种、数量提供图书的</w:t>
      </w:r>
      <w:r>
        <w:rPr>
          <w:rFonts w:hint="eastAsia" w:ascii="仿宋" w:hAnsi="仿宋" w:eastAsia="仿宋" w:cs="仿宋"/>
          <w:color w:val="auto"/>
          <w:highlight w:val="none"/>
        </w:rPr>
        <w:t>征</w:t>
      </w:r>
      <w:r>
        <w:rPr>
          <w:rFonts w:hint="eastAsia" w:ascii="仿宋" w:hAnsi="仿宋" w:eastAsia="仿宋" w:cs="仿宋"/>
          <w:color w:val="auto"/>
          <w:highlight w:val="none"/>
        </w:rPr>
        <w:t>订、配送及其它服务工作。在收到图书订单后应及时进行订购处理，并将处理情况及时反馈给采购人。</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2、配货之前需查找并剔除整套缺本图书及装帧为活页、散页的图书。</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3、提供的图书必须保证正版，若发现盗版、盗印等情况，一切社会、法律责任均由中标单位承担，而且还须向采购人支付该图书码洋价10倍的违约金。</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4、新书发货差错率应保证低于1‰。图书入馆后，发现所配图书与订购不符时，无论加工与否一律退回。</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图书到货验收时，如有缺页、污损、整套图书缺本、倒装等情况，可随时无条件退换。采购人还将定期对到馆新书进行印刷及装帧等质量抽查，若连续两次抽查不合格率均超过1%，采购人取消中标单位的供货资格并要求其承担相应责任，对采购人误订的图书应酌情予以退换。</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6、中标单位负责提供采购单位指定图书或提供国家一级出版社出版最新一月内的图书书目并保证供货（不含教参、教辅）。</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7、中标单位负责建立用户预订库。做好图书预订、查重。</w:t>
      </w:r>
    </w:p>
    <w:p>
      <w:pPr>
        <w:pStyle w:val="15"/>
        <w:widowControl w:val="0"/>
        <w:snapToGrid w:val="0"/>
        <w:spacing w:before="0" w:beforeAutospacing="0" w:after="0" w:afterAutospacing="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新书到货要求：</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1、发订单与到货时差：要求现采图书10天内到货率不低于95%，预订图书每份订单发出后15天内应到书90％，30天内应到书98％。出版变更或取消应及时通知采购人，如少于规定到货率则由</w:t>
      </w:r>
      <w:r>
        <w:rPr>
          <w:rFonts w:hint="eastAsia" w:ascii="仿宋" w:hAnsi="仿宋" w:eastAsia="仿宋" w:cs="仿宋"/>
          <w:color w:val="auto"/>
          <w:highlight w:val="none"/>
        </w:rPr>
        <w:t>中标方</w:t>
      </w:r>
      <w:r>
        <w:rPr>
          <w:rFonts w:hint="eastAsia" w:ascii="仿宋" w:hAnsi="仿宋" w:eastAsia="仿宋" w:cs="仿宋"/>
          <w:color w:val="auto"/>
          <w:highlight w:val="none"/>
        </w:rPr>
        <w:t>承担违约责任。</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2、图书要求包装完整，附一总清单，做到每批附一清单（一式两份）。图书清单要求与图书包装相符，包内同种书摆放在一起，做到每个批次有一总单，包外</w:t>
      </w:r>
      <w:r>
        <w:rPr>
          <w:rFonts w:hint="eastAsia" w:ascii="仿宋" w:hAnsi="仿宋" w:eastAsia="仿宋" w:cs="仿宋"/>
          <w:color w:val="auto"/>
          <w:highlight w:val="none"/>
        </w:rPr>
        <w:t>需加中标人具有</w:t>
      </w:r>
      <w:r>
        <w:rPr>
          <w:rFonts w:hint="eastAsia" w:ascii="仿宋" w:hAnsi="仿宋" w:eastAsia="仿宋" w:cs="仿宋"/>
          <w:color w:val="auto"/>
          <w:highlight w:val="none"/>
          <w:lang w:eastAsia="zh-CN"/>
        </w:rPr>
        <w:t>新闻出版机构颁发的出版物经营许可证</w:t>
      </w:r>
      <w:r>
        <w:rPr>
          <w:rFonts w:hint="eastAsia" w:ascii="仿宋" w:hAnsi="仿宋" w:eastAsia="仿宋" w:cs="仿宋"/>
          <w:color w:val="auto"/>
          <w:highlight w:val="none"/>
        </w:rPr>
        <w:t>、名称、标项等醒目标志。每册图书在包中的封装顺序应与图书清单顺序一致，即开包后清单中的第一本图书应该处于封面朝上的第一位置，其他类推。</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3、中标单位供货须提前通知采购人，在送交每一批图书时，应同时免费提供该批图书的随书清单包括标项、国际标准书号、书名、出版社、出版年月、单位、</w:t>
      </w:r>
      <w:r>
        <w:rPr>
          <w:rFonts w:hint="eastAsia" w:ascii="仿宋" w:hAnsi="仿宋" w:eastAsia="仿宋" w:cs="仿宋"/>
          <w:color w:val="auto"/>
          <w:highlight w:val="none"/>
        </w:rPr>
        <w:t>册数及总价清单需</w:t>
      </w:r>
      <w:r>
        <w:rPr>
          <w:rFonts w:hint="eastAsia" w:ascii="仿宋" w:hAnsi="仿宋" w:eastAsia="仿宋" w:cs="仿宋"/>
          <w:color w:val="auto"/>
          <w:highlight w:val="none"/>
        </w:rPr>
        <w:t>加</w:t>
      </w:r>
      <w:r>
        <w:rPr>
          <w:rFonts w:hint="eastAsia" w:ascii="仿宋" w:hAnsi="仿宋" w:eastAsia="仿宋" w:cs="仿宋"/>
          <w:color w:val="auto"/>
          <w:highlight w:val="none"/>
        </w:rPr>
        <w:t>中标人</w:t>
      </w:r>
      <w:r>
        <w:rPr>
          <w:rFonts w:hint="eastAsia" w:ascii="仿宋" w:hAnsi="仿宋" w:eastAsia="仿宋" w:cs="仿宋"/>
          <w:color w:val="auto"/>
          <w:highlight w:val="none"/>
        </w:rPr>
        <w:t>具有</w:t>
      </w:r>
      <w:r>
        <w:rPr>
          <w:rFonts w:hint="eastAsia" w:ascii="仿宋" w:hAnsi="仿宋" w:eastAsia="仿宋" w:cs="仿宋"/>
          <w:color w:val="auto"/>
          <w:highlight w:val="none"/>
          <w:lang w:eastAsia="zh-CN"/>
        </w:rPr>
        <w:t>新闻出版机构颁发的出版物经营许可证</w:t>
      </w:r>
      <w:r>
        <w:rPr>
          <w:rFonts w:hint="eastAsia" w:ascii="仿宋" w:hAnsi="仿宋" w:eastAsia="仿宋" w:cs="仿宋"/>
          <w:color w:val="auto"/>
          <w:highlight w:val="none"/>
        </w:rPr>
        <w:t>、公章，并一式三份（两份封装于图书包内，一份送中文图书采购人员）以及规范的机读目录数据。图书清单应注明批号、送书日期、每批合计（种数、册数、码洋）序号、标项、每包详单应注明每种图书的ISBN、书名、著者、出版社、订单价、册数、种数、册数、码洋合计金额和实洋合计金额，标项与总清单对应，便于验收、查对，应保证到书清单的清晰、明了、有序。</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对不能供货的订单，中标单位应在一定期限内（现货订单7天内，预订订单15天）向采购人提供清单，并详细说明不能提供的原因，以便作出是否续订、取消订单或转移订购的安排。中标单位采取相应的补救措施，由此造成的各项损失或增加的各项费用（如折扣损失、邮费、数据费、加工费）等均由中标单位承担。取消出版或发生影响合同履行的不可抗力情况以外，若不能按时供货的图书种数或册数超过现采订单5%或预订图书的10%，采购人可以认定中标单位不具备供货条件，采购人有权要求终止供货，因终止供货而造成的损失由中标单位自行承担。</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5、自发出订单30天后对中标单位无法供货的重点出版社的图书，采购人有权采取相应的补救措施，如直接向出版商购买或在零售店购买，由此造成的损失或增加的费用由中标人支付。</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6、所购图书按采购人要求免费送货到指定的地点。</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7、由中标单位负责办理货物的运输和保险，将货物运抵现场并落地就位。有关运输和保险的一切费用由中标单位自己承担。</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▲特别要求：本次招标各投标人不得提供特价书、盗版、盗印图书及翻版新书，一经发现将取消中标资格，并交新闻出版主管部门处理。</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图书加工要求：</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加工编目人员或加工服务公司必须由采购人确定，中标方需提供编目数据、图书加工服务。所有加工编目服务采购人均不另行付费，如果在后续合作中发现加工服务达不到采购人要求可以中途更换加工编目人员或加工服务公司。对采购人自己收集来的地方文献资料（不超过500本），中标方要无偿提供条码等材料及编目贴标服务。</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rPr>
        <w:t>.中标方需提供包括芯片、芯片外保护标、条码、书标、书标保护膜、色标等材料。所有到馆的图书均应加贴芯片。</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▲3.条码和书标等按图书馆的要求进行粘贴。</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关于中标单位对图书质量的保证：</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1.图书必须保证正版，若发现盗版、盗印等情况，一切社会、法律责任均由中标人承担，而且还须向采购人支付该图书码洋10倍的违约金。</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2.中标人的新书发货差错率应保证低于1‰。图书入馆后，发现所配图书与订购不符时，无论加工与否一律退回。</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3.图书到货验收时，如有缺页、污损等情况，中标人应无条件退换。</w:t>
      </w:r>
    </w:p>
    <w:p>
      <w:pPr>
        <w:pStyle w:val="15"/>
        <w:widowControl w:val="0"/>
        <w:snapToGrid w:val="0"/>
        <w:spacing w:before="0" w:beforeAutospacing="0" w:after="0" w:afterAutospacing="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退换图书：</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1.对装订错误、缺页、破损、印刷不清、倒装、附件缺失等图书由中标人负责更换和补齐。</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2.到馆图书与订单不符无条件退货。</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3.对</w:t>
      </w:r>
      <w:r>
        <w:rPr>
          <w:rFonts w:hint="eastAsia" w:ascii="仿宋" w:hAnsi="仿宋" w:eastAsia="仿宋" w:cs="仿宋"/>
          <w:color w:val="auto"/>
          <w:highlight w:val="none"/>
        </w:rPr>
        <w:t>采购人</w:t>
      </w:r>
      <w:r>
        <w:rPr>
          <w:rFonts w:hint="eastAsia" w:ascii="仿宋" w:hAnsi="仿宋" w:eastAsia="仿宋" w:cs="仿宋"/>
          <w:color w:val="auto"/>
          <w:highlight w:val="none"/>
        </w:rPr>
        <w:t xml:space="preserve">误订的图书尽量退货或为图书馆之间交换提供便利条件。 </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4.对不适合</w:t>
      </w:r>
      <w:r>
        <w:rPr>
          <w:rFonts w:hint="eastAsia" w:ascii="仿宋" w:hAnsi="仿宋" w:eastAsia="仿宋" w:cs="仿宋"/>
          <w:color w:val="auto"/>
          <w:highlight w:val="none"/>
        </w:rPr>
        <w:t>采购人</w:t>
      </w:r>
      <w:r>
        <w:rPr>
          <w:rFonts w:hint="eastAsia" w:ascii="仿宋" w:hAnsi="仿宋" w:eastAsia="仿宋" w:cs="仿宋"/>
          <w:color w:val="auto"/>
          <w:highlight w:val="none"/>
        </w:rPr>
        <w:t>入藏的图书如散页、高职高专、中专中技教材、期刊合订本、中小学少儿图书、时效性高的书、开本过大或过小等，确因书目识别困难而造成误订无条件退货。</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5.整套书不齐全的无条件退货。</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6.运输和打包时造成图书的破损由中标人负责更换。 </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7.退换图书应在10日内完成，并提供图书清单作为凭证。</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8.以上7项造成的各项损失或增加的各项费用（如折扣损失、邮费、数据费、加工费）等均由中标单位承担。</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采访数据要求：</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采用MARC格式的：a.ISBN号需加“—”；b.价格部分需为纯数字，对于价格为上、下册的将上、下册的信息加入到书名字段部分。保证价格为数字格式。</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编目数据要求：（a）编目数据以国家图书馆的编目数据为标准，必须包含以下字段：010、100、101、102、105、106、200、210、215、300、606、690、701或711等、801;（b）编目数据必须与书同时到达。所购的图书免费提供每种中文新书的标准MARC编目的数据。在新书到庆元县图书馆后如发现有缺少或不符合标准MARC编目的数据，应及时补发。（c）编目质量合格，要求准确率达到99.9%。(d)分馆的编目数据、加工服务等的要求与庆元县图书馆本馆一致。</w:t>
      </w:r>
    </w:p>
    <w:p>
      <w:pPr>
        <w:pStyle w:val="4"/>
        <w:spacing w:before="200" w:after="200"/>
        <w:ind w:firstLine="321" w:firstLineChars="100"/>
        <w:rPr>
          <w:rFonts w:ascii="仿宋" w:hAnsi="仿宋" w:eastAsia="仿宋" w:cs="仿宋"/>
          <w:color w:val="auto"/>
          <w:sz w:val="32"/>
          <w:szCs w:val="32"/>
          <w:highlight w:val="none"/>
        </w:rPr>
      </w:pPr>
      <w:bookmarkStart w:id="90" w:name="_Toc19066"/>
      <w:bookmarkStart w:id="91" w:name="_Toc16599"/>
      <w:r>
        <w:rPr>
          <w:rFonts w:hint="eastAsia" w:ascii="仿宋" w:hAnsi="仿宋" w:eastAsia="仿宋" w:cs="仿宋"/>
          <w:color w:val="auto"/>
          <w:sz w:val="32"/>
          <w:szCs w:val="32"/>
          <w:highlight w:val="none"/>
        </w:rPr>
        <w:t>三、报价要求</w:t>
      </w:r>
      <w:bookmarkEnd w:id="90"/>
      <w:bookmarkEnd w:id="91"/>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投标报价：投标人按图书总码洋报综合折扣率。</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▲“图书总码洋报综合折扣率不得高于7</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%”，否则作无效标处理。</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报价（综合折扣率）包括图书、随书附件、专用工具、图书加工、包装、运输、装卸、验收、售后服务、保险、相关检测费用、税金等一切完成本项目所需费用。投标人根据招标项目的技术要求，结合自身的特点和条件进行报价。</w:t>
      </w:r>
    </w:p>
    <w:p>
      <w:pPr>
        <w:pStyle w:val="4"/>
        <w:spacing w:before="200" w:after="200"/>
        <w:ind w:firstLine="321" w:firstLineChars="100"/>
        <w:rPr>
          <w:rFonts w:ascii="仿宋" w:hAnsi="仿宋" w:eastAsia="仿宋" w:cs="仿宋"/>
          <w:color w:val="auto"/>
          <w:sz w:val="32"/>
          <w:szCs w:val="32"/>
          <w:highlight w:val="none"/>
        </w:rPr>
      </w:pPr>
      <w:bookmarkStart w:id="92" w:name="_Toc15019"/>
      <w:bookmarkStart w:id="93" w:name="_Toc30314"/>
      <w:r>
        <w:rPr>
          <w:rFonts w:hint="eastAsia" w:ascii="仿宋" w:hAnsi="仿宋" w:eastAsia="仿宋" w:cs="仿宋"/>
          <w:color w:val="auto"/>
          <w:sz w:val="32"/>
          <w:szCs w:val="32"/>
          <w:highlight w:val="none"/>
        </w:rPr>
        <w:t>四、图书验收要求</w:t>
      </w:r>
      <w:bookmarkEnd w:id="92"/>
      <w:bookmarkEnd w:id="93"/>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▲1、图书采购分批多次采购，</w:t>
      </w:r>
      <w:r>
        <w:rPr>
          <w:rFonts w:hint="eastAsia" w:ascii="仿宋" w:hAnsi="仿宋" w:eastAsia="仿宋" w:cs="仿宋"/>
          <w:color w:val="auto"/>
          <w:highlight w:val="none"/>
        </w:rPr>
        <w:t>采购方可</w:t>
      </w:r>
      <w:r>
        <w:rPr>
          <w:rFonts w:hint="eastAsia" w:ascii="仿宋" w:hAnsi="仿宋" w:eastAsia="仿宋" w:cs="仿宋"/>
          <w:color w:val="auto"/>
          <w:highlight w:val="none"/>
        </w:rPr>
        <w:t>随机抽二批次（现购、预订）检测，需检测批次图书到馆时，图书馆先不拆包，由</w:t>
      </w:r>
      <w:r>
        <w:rPr>
          <w:rFonts w:hint="eastAsia" w:ascii="仿宋" w:hAnsi="仿宋" w:eastAsia="仿宋" w:cs="仿宋"/>
          <w:color w:val="auto"/>
          <w:highlight w:val="none"/>
        </w:rPr>
        <w:t>采购方</w:t>
      </w:r>
      <w:r>
        <w:rPr>
          <w:rFonts w:hint="eastAsia" w:ascii="仿宋" w:hAnsi="仿宋" w:eastAsia="仿宋" w:cs="仿宋"/>
          <w:color w:val="auto"/>
          <w:highlight w:val="none"/>
        </w:rPr>
        <w:t>组织相关人员随机挑选每批次图书样本5—10册(不同出版社出版)，送省级及以上国家法定印刷产品质量检验的专业性机构检测，由检测单位根据国家级行业标准提供检测报告，并由中标单位提供本次检测图书样本5册原出版社出版证明，</w:t>
      </w:r>
      <w:r>
        <w:rPr>
          <w:rFonts w:hint="eastAsia" w:ascii="仿宋" w:hAnsi="仿宋" w:eastAsia="仿宋" w:cs="仿宋"/>
          <w:color w:val="auto"/>
          <w:highlight w:val="none"/>
        </w:rPr>
        <w:t>采购方</w:t>
      </w:r>
      <w:r>
        <w:rPr>
          <w:rFonts w:hint="eastAsia" w:ascii="仿宋" w:hAnsi="仿宋" w:eastAsia="仿宋" w:cs="仿宋"/>
          <w:color w:val="auto"/>
          <w:highlight w:val="none"/>
        </w:rPr>
        <w:t>收到合格检测报告和出版证明后图书馆再进行验收，最后由</w:t>
      </w:r>
      <w:r>
        <w:rPr>
          <w:rFonts w:hint="eastAsia" w:ascii="仿宋" w:hAnsi="仿宋" w:eastAsia="仿宋" w:cs="仿宋"/>
          <w:color w:val="auto"/>
          <w:highlight w:val="none"/>
        </w:rPr>
        <w:t>采购方</w:t>
      </w:r>
      <w:r>
        <w:rPr>
          <w:rFonts w:hint="eastAsia" w:ascii="仿宋" w:hAnsi="仿宋" w:eastAsia="仿宋" w:cs="仿宋"/>
          <w:color w:val="auto"/>
          <w:highlight w:val="none"/>
        </w:rPr>
        <w:t>组织抽验，若</w:t>
      </w:r>
      <w:r>
        <w:rPr>
          <w:rFonts w:hint="eastAsia" w:ascii="仿宋" w:hAnsi="仿宋" w:eastAsia="仿宋" w:cs="仿宋"/>
          <w:color w:val="auto"/>
          <w:highlight w:val="none"/>
        </w:rPr>
        <w:t>采购方</w:t>
      </w:r>
      <w:r>
        <w:rPr>
          <w:rFonts w:hint="eastAsia" w:ascii="仿宋" w:hAnsi="仿宋" w:eastAsia="仿宋" w:cs="仿宋"/>
          <w:color w:val="auto"/>
          <w:highlight w:val="none"/>
        </w:rPr>
        <w:t>收到不合格检测报告或图书样本无法提供原出版社出版证明的将取消中标资格。相关检测费统一纳入报价。</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2、没有抽检批次图书，以图书馆验收为主。</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3、同书异价的，如同版次图书高于或低于浙江图书馆、国家图书馆的图书价格的，作退货处理，浙江图书馆、国家图书馆无此藏书的，由</w:t>
      </w:r>
      <w:r>
        <w:rPr>
          <w:rFonts w:hint="eastAsia" w:ascii="仿宋" w:hAnsi="仿宋" w:eastAsia="仿宋" w:cs="仿宋"/>
          <w:color w:val="auto"/>
          <w:highlight w:val="none"/>
        </w:rPr>
        <w:t>采购方</w:t>
      </w:r>
      <w:r>
        <w:rPr>
          <w:rFonts w:hint="eastAsia" w:ascii="仿宋" w:hAnsi="仿宋" w:eastAsia="仿宋" w:cs="仿宋"/>
          <w:color w:val="auto"/>
          <w:highlight w:val="none"/>
        </w:rPr>
        <w:t>参照国内大中型图书馆的藏书价格来认定。</w:t>
      </w:r>
    </w:p>
    <w:p>
      <w:pPr>
        <w:pStyle w:val="4"/>
        <w:spacing w:before="200" w:after="200"/>
        <w:ind w:firstLine="321" w:firstLineChars="100"/>
        <w:rPr>
          <w:rFonts w:ascii="仿宋" w:hAnsi="仿宋" w:eastAsia="仿宋" w:cs="仿宋"/>
          <w:color w:val="auto"/>
          <w:sz w:val="32"/>
          <w:szCs w:val="32"/>
          <w:highlight w:val="none"/>
        </w:rPr>
      </w:pPr>
      <w:bookmarkStart w:id="94" w:name="_Toc20789"/>
      <w:bookmarkStart w:id="95" w:name="_Toc4611"/>
      <w:r>
        <w:rPr>
          <w:rFonts w:hint="eastAsia" w:ascii="仿宋" w:hAnsi="仿宋" w:eastAsia="仿宋" w:cs="仿宋"/>
          <w:color w:val="auto"/>
          <w:sz w:val="32"/>
          <w:szCs w:val="32"/>
          <w:highlight w:val="none"/>
        </w:rPr>
        <w:t>五、货款结算方式及付款</w:t>
      </w:r>
      <w:bookmarkEnd w:id="94"/>
      <w:bookmarkEnd w:id="95"/>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1、以图书码洋作为计算书款的依据。结算价=图书码洋（出版社定价）×中标综合折扣率。</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2、验收时图书定价、数量如与发货单不符，按照图书定价和实际验收情况核算。</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3、付款条件：图书款项在供货合同到期且验收合格后结清。如遇不可抗力因素不能按时付款，双方协商解决。</w:t>
      </w:r>
    </w:p>
    <w:p>
      <w:pPr>
        <w:pStyle w:val="4"/>
        <w:spacing w:before="200" w:after="200"/>
        <w:ind w:firstLine="321" w:firstLineChars="100"/>
        <w:rPr>
          <w:rFonts w:ascii="仿宋" w:hAnsi="仿宋" w:eastAsia="仿宋" w:cs="仿宋"/>
          <w:color w:val="auto"/>
          <w:sz w:val="32"/>
          <w:szCs w:val="32"/>
          <w:highlight w:val="none"/>
        </w:rPr>
      </w:pPr>
      <w:bookmarkStart w:id="96" w:name="_Toc27691"/>
      <w:bookmarkStart w:id="97" w:name="_Toc1202"/>
      <w:r>
        <w:rPr>
          <w:rFonts w:hint="eastAsia" w:ascii="仿宋" w:hAnsi="仿宋" w:eastAsia="仿宋" w:cs="仿宋"/>
          <w:color w:val="auto"/>
          <w:sz w:val="32"/>
          <w:szCs w:val="32"/>
          <w:highlight w:val="none"/>
        </w:rPr>
        <w:t>六、供货时间和地点</w:t>
      </w:r>
      <w:bookmarkEnd w:id="96"/>
      <w:bookmarkEnd w:id="97"/>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在收到庆元县图书馆订单通知或现场采购完成后15日内送到庆元县图书馆。</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供货要求：现购图书20天内到馆率不得低于95%。预订图书前30天内到馆率不得低于90%；60天内到馆率不得低于98%。达不到上述供货要求的将取消其后期段的采购资格。</w:t>
      </w:r>
    </w:p>
    <w:bookmarkEnd w:id="87"/>
    <w:bookmarkEnd w:id="88"/>
    <w:bookmarkEnd w:id="89"/>
    <w:p>
      <w:pPr>
        <w:pStyle w:val="4"/>
        <w:spacing w:before="200" w:after="200"/>
        <w:ind w:firstLine="321" w:firstLineChars="100"/>
        <w:rPr>
          <w:rFonts w:ascii="仿宋" w:hAnsi="仿宋" w:eastAsia="仿宋" w:cs="仿宋"/>
          <w:color w:val="auto"/>
          <w:sz w:val="32"/>
          <w:szCs w:val="32"/>
          <w:highlight w:val="none"/>
        </w:rPr>
      </w:pPr>
      <w:bookmarkStart w:id="98" w:name="_Toc30021"/>
      <w:bookmarkStart w:id="99" w:name="_Toc16563"/>
      <w:bookmarkStart w:id="100" w:name="_Toc27783"/>
      <w:r>
        <w:rPr>
          <w:rFonts w:hint="eastAsia" w:ascii="仿宋" w:hAnsi="仿宋" w:eastAsia="仿宋" w:cs="仿宋"/>
          <w:color w:val="auto"/>
          <w:sz w:val="32"/>
          <w:szCs w:val="32"/>
          <w:highlight w:val="none"/>
        </w:rPr>
        <w:t>七、其他要求</w:t>
      </w:r>
      <w:bookmarkEnd w:id="83"/>
      <w:bookmarkEnd w:id="84"/>
      <w:bookmarkEnd w:id="98"/>
      <w:bookmarkEnd w:id="99"/>
      <w:bookmarkEnd w:id="100"/>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1、本项目所涉及的安装数量，招标时确认数量不一定准确时，按其中标单价和实际工程量结算。税收、人工费、安装费等一切与之相关的所有费用都需包含在报价中。</w:t>
      </w:r>
    </w:p>
    <w:p>
      <w:pPr>
        <w:pStyle w:val="15"/>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2、本项目排名第一的中标候选人未注册成为“浙江省政府采购投标人”的，采购代理机构将暂缓发布中标通知书，由此造成的不利影响自行承担。</w:t>
      </w:r>
    </w:p>
    <w:p>
      <w:pPr>
        <w:pStyle w:val="15"/>
        <w:widowControl w:val="0"/>
        <w:spacing w:before="0" w:beforeAutospacing="0" w:after="0" w:afterAutospacing="0" w:line="360" w:lineRule="auto"/>
        <w:ind w:firstLine="480" w:firstLineChars="200"/>
        <w:jc w:val="both"/>
        <w:rPr>
          <w:rFonts w:ascii="仿宋" w:hAnsi="仿宋" w:eastAsia="仿宋" w:cs="仿宋"/>
          <w:b/>
          <w:color w:val="auto"/>
          <w:sz w:val="30"/>
          <w:szCs w:val="30"/>
          <w:highlight w:val="none"/>
        </w:rPr>
      </w:pPr>
      <w:r>
        <w:rPr>
          <w:rFonts w:hint="eastAsia" w:ascii="仿宋" w:hAnsi="仿宋" w:eastAsia="仿宋" w:cs="仿宋"/>
          <w:color w:val="auto"/>
          <w:highlight w:val="none"/>
        </w:rPr>
        <w:t>3、有关“浙江省政府采购投标人”注册事宜可向采购代理机构咨询，联系人：李琳，联系电话：0578-2360555。</w:t>
      </w:r>
    </w:p>
    <w:p>
      <w:pPr>
        <w:pStyle w:val="16"/>
        <w:spacing w:before="0" w:after="0" w:line="360" w:lineRule="auto"/>
        <w:rPr>
          <w:rFonts w:ascii="仿宋" w:hAnsi="仿宋" w:eastAsia="仿宋" w:cs="仿宋"/>
          <w:color w:val="auto"/>
          <w:sz w:val="36"/>
          <w:szCs w:val="36"/>
          <w:highlight w:val="none"/>
        </w:rPr>
      </w:pPr>
      <w:bookmarkStart w:id="101" w:name="_Toc30708"/>
      <w:r>
        <w:rPr>
          <w:rFonts w:hint="eastAsia" w:ascii="仿宋" w:hAnsi="仿宋" w:eastAsia="仿宋" w:cs="仿宋"/>
          <w:color w:val="auto"/>
          <w:sz w:val="36"/>
          <w:szCs w:val="36"/>
          <w:highlight w:val="none"/>
        </w:rPr>
        <w:t>第三章  供应商须知</w:t>
      </w:r>
      <w:bookmarkEnd w:id="73"/>
      <w:bookmarkEnd w:id="74"/>
      <w:bookmarkEnd w:id="75"/>
      <w:bookmarkEnd w:id="76"/>
      <w:bookmarkEnd w:id="101"/>
    </w:p>
    <w:p>
      <w:pPr>
        <w:pStyle w:val="16"/>
        <w:spacing w:after="240"/>
        <w:jc w:val="left"/>
        <w:outlineLvl w:val="1"/>
        <w:rPr>
          <w:rFonts w:ascii="仿宋" w:hAnsi="仿宋" w:eastAsia="仿宋" w:cs="仿宋"/>
          <w:color w:val="auto"/>
          <w:sz w:val="30"/>
          <w:szCs w:val="30"/>
          <w:highlight w:val="none"/>
        </w:rPr>
      </w:pPr>
      <w:bookmarkStart w:id="102" w:name="_Toc10211"/>
      <w:bookmarkStart w:id="103" w:name="EB4c7125c6dc654ed08b5f32dccfe34746"/>
      <w:bookmarkStart w:id="104" w:name="_Toc493956033"/>
      <w:r>
        <w:rPr>
          <w:rFonts w:hint="eastAsia" w:ascii="仿宋" w:hAnsi="仿宋" w:eastAsia="仿宋" w:cs="仿宋"/>
          <w:color w:val="auto"/>
          <w:sz w:val="30"/>
          <w:szCs w:val="30"/>
          <w:highlight w:val="none"/>
        </w:rPr>
        <w:t>供应商须知前附表（一）</w:t>
      </w:r>
      <w:bookmarkEnd w:id="102"/>
    </w:p>
    <w:tbl>
      <w:tblPr>
        <w:tblStyle w:val="20"/>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right="-86" w:rightChars="-41"/>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1560" w:type="dxa"/>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6769" w:type="dxa"/>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1.2.1</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w:t>
            </w:r>
          </w:p>
        </w:tc>
        <w:tc>
          <w:tcPr>
            <w:tcW w:w="6769" w:type="dxa"/>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见第一章竞争性磋商采购公告（邀请）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1.2.2</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采购代理机构</w:t>
            </w:r>
          </w:p>
        </w:tc>
        <w:tc>
          <w:tcPr>
            <w:tcW w:w="6769" w:type="dxa"/>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见第一章竞争性磋商采购公告（邀请）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1.4.1</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联合体</w:t>
            </w:r>
          </w:p>
        </w:tc>
        <w:tc>
          <w:tcPr>
            <w:tcW w:w="6769" w:type="dxa"/>
            <w:vAlign w:val="center"/>
          </w:tcPr>
          <w:p>
            <w:pP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sym w:font="Wingdings 2" w:char="0052"/>
            </w:r>
            <w:r>
              <w:rPr>
                <w:rFonts w:hint="eastAsia" w:ascii="仿宋" w:hAnsi="仿宋" w:eastAsia="仿宋" w:cs="仿宋"/>
                <w:color w:val="auto"/>
                <w:sz w:val="24"/>
                <w:szCs w:val="24"/>
                <w:highlight w:val="none"/>
              </w:rPr>
              <w:t xml:space="preserve"> 不接受；</w:t>
            </w:r>
          </w:p>
          <w:p>
            <w:pPr>
              <w:numPr>
                <w:ilvl w:val="0"/>
                <w:numId w:val="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1.7.1</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现场踏勘</w:t>
            </w:r>
          </w:p>
        </w:tc>
        <w:tc>
          <w:tcPr>
            <w:tcW w:w="6769" w:type="dxa"/>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sym w:font="Wingdings 2" w:char="0052"/>
            </w:r>
            <w:r>
              <w:rPr>
                <w:rFonts w:hint="eastAsia" w:ascii="仿宋" w:hAnsi="仿宋" w:eastAsia="仿宋" w:cs="仿宋"/>
                <w:color w:val="auto"/>
                <w:sz w:val="24"/>
                <w:szCs w:val="24"/>
                <w:highlight w:val="none"/>
              </w:rPr>
              <w:t xml:space="preserve"> 不组织。</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sym w:font="Wingdings 2" w:char="F0A3"/>
            </w:r>
            <w:r>
              <w:rPr>
                <w:rFonts w:hint="eastAsia" w:ascii="仿宋" w:hAnsi="仿宋" w:eastAsia="仿宋" w:cs="仿宋"/>
                <w:bCs/>
                <w:color w:val="auto"/>
                <w:sz w:val="24"/>
                <w:szCs w:val="24"/>
                <w:highlight w:val="none"/>
              </w:rPr>
              <w:t xml:space="preserve"> 组织，详见第二章采购需求。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1.8.1</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答疑会</w:t>
            </w:r>
          </w:p>
        </w:tc>
        <w:tc>
          <w:tcPr>
            <w:tcW w:w="6769" w:type="dxa"/>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sym w:font="Wingdings 2" w:char="0052"/>
            </w:r>
            <w:r>
              <w:rPr>
                <w:rFonts w:hint="eastAsia" w:ascii="仿宋" w:hAnsi="仿宋" w:eastAsia="仿宋" w:cs="仿宋"/>
                <w:color w:val="auto"/>
                <w:sz w:val="24"/>
                <w:szCs w:val="24"/>
                <w:highlight w:val="none"/>
              </w:rPr>
              <w:t xml:space="preserve"> 不召开；</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sym w:font="Wingdings 2" w:char="F0A3"/>
            </w:r>
            <w:r>
              <w:rPr>
                <w:rFonts w:hint="eastAsia" w:ascii="仿宋" w:hAnsi="仿宋" w:eastAsia="仿宋" w:cs="仿宋"/>
                <w:bCs/>
                <w:color w:val="auto"/>
                <w:sz w:val="24"/>
                <w:szCs w:val="24"/>
                <w:highlight w:val="none"/>
              </w:rPr>
              <w:t xml:space="preserve"> 召开。时间：   年  月  日  时  分；地点：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1.9.1</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分包</w:t>
            </w:r>
          </w:p>
        </w:tc>
        <w:tc>
          <w:tcPr>
            <w:tcW w:w="6769" w:type="dxa"/>
            <w:vAlign w:val="center"/>
          </w:tcPr>
          <w:p>
            <w:pPr>
              <w:ind w:left="-113" w:leftChars="-54" w:right="-107" w:rightChars="-51" w:firstLine="120" w:firstLineChars="5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sym w:font="Wingdings 2" w:char="0052"/>
            </w:r>
            <w:r>
              <w:rPr>
                <w:rFonts w:hint="eastAsia" w:ascii="仿宋" w:hAnsi="仿宋" w:eastAsia="仿宋" w:cs="仿宋"/>
                <w:bCs/>
                <w:color w:val="auto"/>
                <w:sz w:val="24"/>
                <w:szCs w:val="24"/>
                <w:highlight w:val="none"/>
              </w:rPr>
              <w:t xml:space="preserve"> 1.不允许。</w:t>
            </w:r>
          </w:p>
          <w:p>
            <w:pPr>
              <w:ind w:left="-113" w:leftChars="-54" w:right="-107" w:rightChars="-51" w:firstLine="120" w:firstLineChars="5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2.允许，但主体部分不得分包，详见第二章采购需求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1.11.1</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小型、微型企业的价格扣除</w:t>
            </w:r>
          </w:p>
        </w:tc>
        <w:tc>
          <w:tcPr>
            <w:tcW w:w="6769" w:type="dxa"/>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对小型和微型企业产品给予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的价格扣除；</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联合协议或者分包意向协议约定小微企业的合同份额占到</w:t>
            </w:r>
            <w:r>
              <w:rPr>
                <w:rFonts w:hint="eastAsia" w:ascii="仿宋" w:hAnsi="仿宋" w:eastAsia="仿宋" w:cs="仿宋"/>
                <w:bCs/>
                <w:color w:val="auto"/>
                <w:sz w:val="24"/>
                <w:szCs w:val="24"/>
                <w:highlight w:val="none"/>
              </w:rPr>
              <w:t>合同总金额30%，给予</w:t>
            </w:r>
            <w:r>
              <w:rPr>
                <w:rFonts w:hint="eastAsia" w:ascii="仿宋" w:hAnsi="仿宋" w:eastAsia="仿宋" w:cs="仿宋"/>
                <w:bCs/>
                <w:color w:val="auto"/>
                <w:sz w:val="24"/>
                <w:szCs w:val="24"/>
                <w:highlight w:val="none"/>
                <w:u w:val="single"/>
              </w:rPr>
              <w:t>XX%</w:t>
            </w:r>
            <w:r>
              <w:rPr>
                <w:rFonts w:hint="eastAsia" w:ascii="仿宋" w:hAnsi="仿宋" w:eastAsia="仿宋" w:cs="仿宋"/>
                <w:bCs/>
                <w:color w:val="auto"/>
                <w:sz w:val="24"/>
                <w:szCs w:val="24"/>
                <w:highlight w:val="none"/>
              </w:rPr>
              <w:t>的价格扣除；</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 本项目所属行业：</w:t>
            </w:r>
            <w:r>
              <w:rPr>
                <w:rFonts w:hint="eastAsia" w:ascii="仿宋" w:hAnsi="仿宋" w:eastAsia="仿宋" w:cs="仿宋"/>
                <w:bCs/>
                <w:color w:val="auto"/>
                <w:sz w:val="24"/>
                <w:szCs w:val="24"/>
                <w:highlight w:val="none"/>
                <w:u w:val="single"/>
              </w:rPr>
              <w:t>其他未列明行业。</w:t>
            </w:r>
          </w:p>
          <w:p>
            <w:pPr>
              <w:ind w:left="17" w:leftChars="8" w:right="-113" w:rightChars="-54"/>
              <w:rPr>
                <w:rFonts w:ascii="仿宋" w:hAnsi="仿宋" w:eastAsia="仿宋" w:cs="仿宋"/>
                <w:bCs/>
                <w:snapToGrid w:val="0"/>
                <w:color w:val="auto"/>
                <w:sz w:val="24"/>
                <w:szCs w:val="24"/>
                <w:highlight w:val="none"/>
              </w:rPr>
            </w:pPr>
            <w:r>
              <w:rPr>
                <w:rFonts w:hint="eastAsia" w:ascii="仿宋" w:hAnsi="仿宋" w:eastAsia="仿宋" w:cs="仿宋"/>
                <w:bCs/>
                <w:color w:val="auto"/>
                <w:sz w:val="24"/>
                <w:szCs w:val="24"/>
                <w:highlight w:val="none"/>
              </w:rPr>
              <w:t>4. 专门面向中小企业的项目，不享受价格扣除。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1.13.6</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质疑联系人</w:t>
            </w:r>
          </w:p>
        </w:tc>
        <w:tc>
          <w:tcPr>
            <w:tcW w:w="6769" w:type="dxa"/>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采购需求及供应商资格条件质疑：</w:t>
            </w:r>
          </w:p>
          <w:p>
            <w:pPr>
              <w:spacing w:line="2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单位：浙江丽水兴华工程管理有限公司                      </w:t>
            </w:r>
          </w:p>
          <w:p>
            <w:pPr>
              <w:rPr>
                <w:rFonts w:ascii="仿宋" w:hAnsi="仿宋" w:eastAsia="仿宋" w:cs="仿宋"/>
                <w:bCs/>
                <w:color w:val="auto"/>
                <w:sz w:val="24"/>
                <w:szCs w:val="24"/>
                <w:highlight w:val="none"/>
              </w:rPr>
            </w:pPr>
            <w:r>
              <w:rPr>
                <w:rFonts w:hint="eastAsia" w:ascii="仿宋" w:hAnsi="仿宋" w:eastAsia="仿宋" w:cs="仿宋"/>
                <w:color w:val="auto"/>
                <w:sz w:val="24"/>
                <w:highlight w:val="none"/>
              </w:rPr>
              <w:t>负责人：洪跃华   联系电话：0578-2998875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1.13.11</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同级政府采购监督管理部门</w:t>
            </w:r>
          </w:p>
        </w:tc>
        <w:tc>
          <w:tcPr>
            <w:tcW w:w="6769" w:type="dxa"/>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见第一章竞争性磋商采购公告（邀请）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2.2.4</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澄清、修改发布网址</w:t>
            </w:r>
          </w:p>
        </w:tc>
        <w:tc>
          <w:tcPr>
            <w:tcW w:w="6769" w:type="dxa"/>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浙江政府采购网（</w:t>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"http://www.zjzfcg.gov.cn"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zfcg.czt.zj.gov.cn</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rPr>
              <w:t>）</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丽水市公共资源交易网（</w:t>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"http://www.lssggzy.com/" </w:instrText>
            </w:r>
            <w:r>
              <w:rPr>
                <w:rFonts w:hint="eastAsia" w:ascii="仿宋" w:hAnsi="仿宋" w:eastAsia="仿宋" w:cs="仿宋"/>
                <w:bCs/>
                <w:color w:val="auto"/>
                <w:sz w:val="24"/>
                <w:szCs w:val="24"/>
                <w:highlight w:val="none"/>
              </w:rPr>
              <w:fldChar w:fldCharType="separate"/>
            </w:r>
            <w:r>
              <w:rPr>
                <w:rStyle w:val="23"/>
                <w:rFonts w:hint="eastAsia" w:ascii="仿宋" w:hAnsi="仿宋" w:eastAsia="仿宋" w:cs="仿宋"/>
                <w:bCs/>
                <w:color w:val="auto"/>
                <w:sz w:val="24"/>
                <w:szCs w:val="24"/>
                <w:highlight w:val="none"/>
                <w:u w:val="none"/>
              </w:rPr>
              <w:t>lssggzy.lishui.gov.cn/qyweb</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3.4</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资格审查文件组成</w:t>
            </w:r>
          </w:p>
        </w:tc>
        <w:tc>
          <w:tcPr>
            <w:tcW w:w="6769" w:type="dxa"/>
            <w:vAlign w:val="center"/>
          </w:tcPr>
          <w:p>
            <w:pPr>
              <w:jc w:val="left"/>
              <w:rPr>
                <w:rFonts w:ascii="仿宋" w:hAnsi="仿宋" w:eastAsia="仿宋"/>
                <w:color w:val="auto"/>
                <w:kern w:val="0"/>
                <w:sz w:val="24"/>
                <w:szCs w:val="24"/>
                <w:highlight w:val="none"/>
              </w:rPr>
            </w:pPr>
            <w:r>
              <w:rPr>
                <w:rFonts w:hint="eastAsia" w:ascii="仿宋" w:hAnsi="仿宋" w:eastAsia="仿宋"/>
                <w:bCs/>
                <w:color w:val="auto"/>
                <w:sz w:val="24"/>
                <w:szCs w:val="24"/>
                <w:highlight w:val="none"/>
              </w:rPr>
              <w:t>▲1. 有效的营业执照电子文档；</w:t>
            </w:r>
          </w:p>
          <w:p>
            <w:pPr>
              <w:jc w:val="left"/>
              <w:rPr>
                <w:rFonts w:ascii="仿宋" w:hAnsi="仿宋" w:eastAsia="仿宋"/>
                <w:color w:val="auto"/>
                <w:sz w:val="24"/>
                <w:szCs w:val="24"/>
                <w:highlight w:val="none"/>
              </w:rPr>
            </w:pPr>
            <w:r>
              <w:rPr>
                <w:rFonts w:hint="eastAsia" w:ascii="仿宋" w:hAnsi="仿宋" w:eastAsia="仿宋"/>
                <w:color w:val="auto"/>
                <w:kern w:val="0"/>
                <w:sz w:val="24"/>
                <w:szCs w:val="24"/>
                <w:highlight w:val="none"/>
              </w:rPr>
              <w:t>▲2</w:t>
            </w:r>
            <w:r>
              <w:rPr>
                <w:rFonts w:hint="eastAsia" w:ascii="仿宋" w:hAnsi="仿宋" w:eastAsia="仿宋"/>
                <w:bCs/>
                <w:color w:val="auto"/>
                <w:sz w:val="24"/>
                <w:szCs w:val="24"/>
                <w:highlight w:val="none"/>
              </w:rPr>
              <w:t xml:space="preserve">. </w:t>
            </w:r>
            <w:r>
              <w:rPr>
                <w:rFonts w:hint="eastAsia" w:ascii="仿宋" w:hAnsi="仿宋" w:eastAsia="仿宋"/>
                <w:color w:val="auto"/>
                <w:sz w:val="24"/>
                <w:szCs w:val="24"/>
                <w:highlight w:val="none"/>
              </w:rPr>
              <w:t>负责人身份证</w:t>
            </w:r>
            <w:r>
              <w:rPr>
                <w:rFonts w:hint="eastAsia" w:ascii="仿宋" w:hAnsi="仿宋" w:eastAsia="仿宋"/>
                <w:bCs/>
                <w:color w:val="auto"/>
                <w:sz w:val="24"/>
                <w:szCs w:val="24"/>
                <w:highlight w:val="none"/>
              </w:rPr>
              <w:t>电子文档</w:t>
            </w:r>
            <w:r>
              <w:rPr>
                <w:rFonts w:hint="eastAsia" w:ascii="仿宋" w:hAnsi="仿宋" w:eastAsia="仿宋"/>
                <w:color w:val="auto"/>
                <w:sz w:val="24"/>
                <w:szCs w:val="24"/>
                <w:highlight w:val="none"/>
              </w:rPr>
              <w:t>；</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bCs/>
                <w:color w:val="auto"/>
                <w:sz w:val="24"/>
                <w:szCs w:val="24"/>
                <w:highlight w:val="none"/>
              </w:rPr>
              <w:t xml:space="preserve">. </w:t>
            </w:r>
            <w:r>
              <w:rPr>
                <w:rFonts w:hint="eastAsia" w:ascii="仿宋" w:hAnsi="仿宋" w:eastAsia="仿宋"/>
                <w:color w:val="auto"/>
                <w:sz w:val="24"/>
                <w:szCs w:val="24"/>
                <w:highlight w:val="none"/>
              </w:rPr>
              <w:t>若有委托代理人的，则还应当提供授权委托书及委托代理人的身份证</w:t>
            </w:r>
            <w:r>
              <w:rPr>
                <w:rFonts w:hint="eastAsia" w:ascii="仿宋" w:hAnsi="仿宋" w:eastAsia="仿宋"/>
                <w:bCs/>
                <w:color w:val="auto"/>
                <w:sz w:val="24"/>
                <w:szCs w:val="24"/>
                <w:highlight w:val="none"/>
              </w:rPr>
              <w:t>电子文档</w:t>
            </w:r>
            <w:r>
              <w:rPr>
                <w:rFonts w:hint="eastAsia" w:ascii="仿宋" w:hAnsi="仿宋" w:eastAsia="仿宋"/>
                <w:color w:val="auto"/>
                <w:sz w:val="24"/>
                <w:szCs w:val="24"/>
                <w:highlight w:val="none"/>
              </w:rPr>
              <w:t>；</w:t>
            </w:r>
          </w:p>
          <w:p>
            <w:pPr>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▲4. 具有良好的财务会计制度、依法缴纳税收和社会保障资金的承诺函；</w:t>
            </w:r>
          </w:p>
          <w:p>
            <w:pPr>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▲5. 具有履行合同所必需的设备和专业技术能力的承诺函；</w:t>
            </w:r>
          </w:p>
          <w:p>
            <w:pPr>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▲6. 无重大违法记录声明书；</w:t>
            </w:r>
          </w:p>
          <w:p>
            <w:pPr>
              <w:pStyle w:val="2"/>
              <w:ind w:firstLine="0"/>
              <w:rPr>
                <w:color w:val="auto"/>
                <w:highlight w:val="none"/>
              </w:rPr>
            </w:pPr>
            <w:r>
              <w:rPr>
                <w:rFonts w:hint="eastAsia" w:ascii="仿宋" w:hAnsi="仿宋" w:eastAsia="仿宋"/>
                <w:bCs/>
                <w:color w:val="auto"/>
                <w:sz w:val="24"/>
                <w:szCs w:val="24"/>
                <w:highlight w:val="none"/>
              </w:rPr>
              <w:t>▲7. 中小企业声明函或残疾人福利性单位声明函或监狱企业证明;</w:t>
            </w:r>
          </w:p>
          <w:p>
            <w:pPr>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▲8. 联合体协议书（若有）；</w:t>
            </w:r>
          </w:p>
          <w:p>
            <w:pPr>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▲9. 特定资格条件证明材料电子文档（若有）；</w:t>
            </w:r>
          </w:p>
          <w:p>
            <w:pPr>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▲10. 其他(若有)。</w:t>
            </w:r>
          </w:p>
          <w:p>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3.5</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资信商务及技术文件组成</w:t>
            </w:r>
          </w:p>
        </w:tc>
        <w:tc>
          <w:tcPr>
            <w:tcW w:w="6769" w:type="dxa"/>
            <w:vAlign w:val="center"/>
          </w:tcPr>
          <w:p>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投标函；</w:t>
            </w:r>
          </w:p>
          <w:p>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节能环保产品（若有）</w:t>
            </w:r>
          </w:p>
          <w:p>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 类似案例成功的业绩（若有）</w:t>
            </w:r>
          </w:p>
          <w:p>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 商务响应表；</w:t>
            </w:r>
          </w:p>
          <w:p>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技术服务；</w:t>
            </w:r>
          </w:p>
          <w:p>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 售后服务；</w:t>
            </w:r>
          </w:p>
          <w:p>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 对本项目总体要求的理解；</w:t>
            </w:r>
          </w:p>
          <w:p>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 实施方案及实施计划；</w:t>
            </w:r>
          </w:p>
          <w:p>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 投标产品配置清单；</w:t>
            </w:r>
          </w:p>
          <w:p>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 技术规格偏离表；</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11.项目人员配备方案；</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12.图书编目方案；</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13.图书配送方案；</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14.突发事件应急方案</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15.投标人需要说明的其他文件和说明</w:t>
            </w:r>
          </w:p>
          <w:p>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注：结合“第二章招标需求”和“第六章评标办法和细则”进行编制，编制格式要求见第五章投标文件格式，无格式的自行设计。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3.6</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报价文件组成</w:t>
            </w:r>
          </w:p>
        </w:tc>
        <w:tc>
          <w:tcPr>
            <w:tcW w:w="6769" w:type="dxa"/>
            <w:vAlign w:val="center"/>
          </w:tcPr>
          <w:p>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开标一览表；</w:t>
            </w:r>
          </w:p>
          <w:p>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磋商响应分项报价表；</w:t>
            </w:r>
          </w:p>
          <w:p>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注：编制格式要求见第五章磋商响应文件格式，无格式的自行设计。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4.3.1</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磋商有效期</w:t>
            </w:r>
          </w:p>
        </w:tc>
        <w:tc>
          <w:tcPr>
            <w:tcW w:w="6769"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90 </w:t>
            </w:r>
            <w:r>
              <w:rPr>
                <w:rFonts w:hint="eastAsia" w:ascii="仿宋" w:hAnsi="仿宋" w:eastAsia="仿宋" w:cs="仿宋"/>
                <w:color w:val="auto"/>
                <w:sz w:val="24"/>
                <w:szCs w:val="24"/>
                <w:highlight w:val="non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4.5.1</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磋商响应文件份数</w:t>
            </w:r>
          </w:p>
        </w:tc>
        <w:tc>
          <w:tcPr>
            <w:tcW w:w="6769" w:type="dxa"/>
            <w:vAlign w:val="center"/>
          </w:tcPr>
          <w:p>
            <w:pPr>
              <w:wordWrap w:val="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电子加密磋商响应文件：政府采购云平台在线提交、上传一份；</w:t>
            </w:r>
          </w:p>
          <w:p>
            <w:pPr>
              <w:wordWrap w:val="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备份磋商响应文件：电子邮件提交一份，由供应商自行确定是否提交；若提交请将备份磋商响应文件以电子邮件的形式发送至（23469090@qq.com）。</w:t>
            </w:r>
          </w:p>
          <w:p>
            <w:pP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注：供应商在线解密失败后，启用备份磋商响应文件，否则不启用备份磋商响应文件。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6.1.1</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开启时间和地点</w:t>
            </w:r>
          </w:p>
        </w:tc>
        <w:tc>
          <w:tcPr>
            <w:tcW w:w="6769" w:type="dxa"/>
            <w:vAlign w:val="center"/>
          </w:tcPr>
          <w:p>
            <w:pP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见第一章竞争性磋商采购公告（邀请），</w:t>
            </w:r>
            <w:r>
              <w:rPr>
                <w:rFonts w:hint="eastAsia" w:ascii="仿宋" w:hAnsi="仿宋" w:eastAsia="仿宋" w:cs="仿宋"/>
                <w:b/>
                <w:bCs/>
                <w:color w:val="auto"/>
                <w:sz w:val="24"/>
                <w:szCs w:val="24"/>
                <w:highlight w:val="none"/>
              </w:rPr>
              <w:t>供应商可以远程在线参加，不需现场参加开标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6.3.1</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评审办法</w:t>
            </w:r>
          </w:p>
        </w:tc>
        <w:tc>
          <w:tcPr>
            <w:tcW w:w="6769"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7.3</w:t>
            </w:r>
          </w:p>
        </w:tc>
        <w:tc>
          <w:tcPr>
            <w:tcW w:w="1560" w:type="dxa"/>
            <w:vAlign w:val="center"/>
          </w:tcPr>
          <w:p>
            <w:pPr>
              <w:ind w:left="-99" w:leftChars="-47" w:right="-65" w:rightChars="-31" w:firstLine="26" w:firstLineChars="11"/>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非实质性条款允许偏离项数</w:t>
            </w:r>
          </w:p>
        </w:tc>
        <w:tc>
          <w:tcPr>
            <w:tcW w:w="6769" w:type="dxa"/>
            <w:vAlign w:val="center"/>
          </w:tcPr>
          <w:p>
            <w:pPr>
              <w:ind w:left="-99" w:leftChars="-47" w:right="-65" w:rightChars="-31" w:firstLine="26" w:firstLineChars="11"/>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rPr>
              <w:t xml:space="preserve"> 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color w:val="auto"/>
                <w:sz w:val="24"/>
                <w:highlight w:val="none"/>
              </w:rPr>
              <w:t>8.2.1</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成交公告发布网址</w:t>
            </w:r>
          </w:p>
        </w:tc>
        <w:tc>
          <w:tcPr>
            <w:tcW w:w="6769" w:type="dxa"/>
            <w:vAlign w:val="center"/>
          </w:tcPr>
          <w:p>
            <w:pPr>
              <w:ind w:left="-44" w:leftChars="-53" w:right="-65" w:rightChars="-31" w:hanging="67" w:hangingChars="28"/>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1.浙江政府采购网（</w:t>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"http://www.zjzfcg.gov.cn"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zfcg.czt.zj.gov.cn</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rPr>
              <w:t>）</w:t>
            </w:r>
          </w:p>
          <w:p>
            <w:pPr>
              <w:ind w:left="-44" w:leftChars="-53" w:right="-65" w:rightChars="-31" w:hanging="67" w:hangingChars="28"/>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2.丽水市公共资源交易网（</w:t>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HYPERLINK "http://www.lssggzy.com/"</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lssggzy.lishui.gov.cn/qyweb</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8.3.1</w:t>
            </w:r>
          </w:p>
        </w:tc>
        <w:tc>
          <w:tcPr>
            <w:tcW w:w="1560"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履约保证金</w:t>
            </w:r>
          </w:p>
        </w:tc>
        <w:tc>
          <w:tcPr>
            <w:tcW w:w="6769" w:type="dxa"/>
            <w:vAlign w:val="center"/>
          </w:tcPr>
          <w:p>
            <w:pPr>
              <w:ind w:left="-46" w:leftChars="-22" w:right="-65" w:rightChars="-31" w:firstLine="43" w:firstLineChars="18"/>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本项目不需要缴纳履约保证金</w:t>
            </w:r>
          </w:p>
        </w:tc>
      </w:tr>
    </w:tbl>
    <w:p>
      <w:pPr>
        <w:pStyle w:val="16"/>
        <w:spacing w:after="240"/>
        <w:outlineLvl w:val="1"/>
        <w:rPr>
          <w:rFonts w:ascii="仿宋" w:hAnsi="仿宋" w:eastAsia="仿宋" w:cs="仿宋"/>
          <w:color w:val="auto"/>
          <w:sz w:val="30"/>
          <w:szCs w:val="30"/>
          <w:highlight w:val="none"/>
        </w:rPr>
        <w:sectPr>
          <w:headerReference r:id="rId10" w:type="first"/>
          <w:pgSz w:w="11906" w:h="16838"/>
          <w:pgMar w:top="1440" w:right="1797" w:bottom="1440" w:left="1797" w:header="851" w:footer="851" w:gutter="0"/>
          <w:cols w:space="720" w:num="1"/>
          <w:docGrid w:linePitch="312" w:charSpace="0"/>
        </w:sectPr>
      </w:pPr>
    </w:p>
    <w:p>
      <w:pPr>
        <w:pStyle w:val="16"/>
        <w:spacing w:after="240"/>
        <w:jc w:val="left"/>
        <w:outlineLvl w:val="1"/>
        <w:rPr>
          <w:rFonts w:ascii="仿宋" w:hAnsi="仿宋" w:eastAsia="仿宋" w:cs="仿宋"/>
          <w:color w:val="auto"/>
          <w:sz w:val="30"/>
          <w:szCs w:val="30"/>
          <w:highlight w:val="none"/>
        </w:rPr>
      </w:pPr>
      <w:bookmarkStart w:id="105" w:name="_Toc31312"/>
      <w:r>
        <w:rPr>
          <w:rFonts w:hint="eastAsia" w:ascii="仿宋" w:hAnsi="仿宋" w:eastAsia="仿宋" w:cs="仿宋"/>
          <w:color w:val="auto"/>
          <w:sz w:val="30"/>
          <w:szCs w:val="30"/>
          <w:highlight w:val="none"/>
        </w:rPr>
        <w:t>供应商须知前附表（二）</w:t>
      </w:r>
      <w:bookmarkEnd w:id="105"/>
    </w:p>
    <w:p>
      <w:pPr>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采购活动日程安排表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4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工作内容</w:t>
            </w:r>
          </w:p>
        </w:tc>
        <w:tc>
          <w:tcPr>
            <w:tcW w:w="3969"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时间安排</w:t>
            </w:r>
          </w:p>
        </w:tc>
        <w:tc>
          <w:tcPr>
            <w:tcW w:w="2735"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34" w:type="dxa"/>
            <w:vAlign w:val="center"/>
          </w:tcPr>
          <w:p>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4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发布竞争性磋商采购公告</w:t>
            </w:r>
          </w:p>
        </w:tc>
        <w:tc>
          <w:tcPr>
            <w:tcW w:w="3969"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rPr>
              <w:t>日</w:t>
            </w:r>
          </w:p>
        </w:tc>
        <w:tc>
          <w:tcPr>
            <w:tcW w:w="2735" w:type="dxa"/>
            <w:vAlign w:val="center"/>
          </w:tcPr>
          <w:p>
            <w:pPr>
              <w:wordWrap w:val="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1.浙江政府采购网（</w:t>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"http://www.zjzfcg.gov.cn"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zfcg.czt.zj.gov.cn</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rPr>
              <w:t>）</w:t>
            </w:r>
          </w:p>
          <w:p>
            <w:pPr>
              <w:jc w:val="left"/>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2.丽水市公共资源交易网（lssggzy.lishui.gov.cn/qyweb）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4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发放磋商文件</w:t>
            </w:r>
          </w:p>
        </w:tc>
        <w:tc>
          <w:tcPr>
            <w:tcW w:w="3969"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rPr>
              <w:t>日起</w:t>
            </w:r>
          </w:p>
        </w:tc>
        <w:tc>
          <w:tcPr>
            <w:tcW w:w="2735" w:type="dxa"/>
            <w:vAlign w:val="center"/>
          </w:tcPr>
          <w:p>
            <w:pPr>
              <w:tabs>
                <w:tab w:val="left" w:pos="2752"/>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获取方式：竞争性磋商采购公告附件自行下载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4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现场踏勘和地点</w:t>
            </w:r>
          </w:p>
        </w:tc>
        <w:tc>
          <w:tcPr>
            <w:tcW w:w="3969"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自行前往</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时，</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地点： </w:t>
            </w:r>
          </w:p>
        </w:tc>
        <w:tc>
          <w:tcPr>
            <w:tcW w:w="2735" w:type="dxa"/>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14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更正公告</w:t>
            </w:r>
          </w:p>
        </w:tc>
        <w:tc>
          <w:tcPr>
            <w:tcW w:w="3969"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澄清或修改内容可能影响磋商响应文件编制的，响应文件提交</w:t>
            </w:r>
            <w:r>
              <w:rPr>
                <w:rFonts w:hint="eastAsia" w:ascii="仿宋" w:hAnsi="仿宋" w:eastAsia="仿宋" w:cs="仿宋"/>
                <w:bCs/>
                <w:color w:val="auto"/>
                <w:sz w:val="24"/>
                <w:szCs w:val="24"/>
                <w:highlight w:val="none"/>
              </w:rPr>
              <w:t>截止时间</w:t>
            </w:r>
            <w:r>
              <w:rPr>
                <w:rFonts w:hint="eastAsia" w:ascii="仿宋" w:hAnsi="仿宋" w:eastAsia="仿宋" w:cs="仿宋"/>
                <w:color w:val="auto"/>
                <w:sz w:val="24"/>
                <w:szCs w:val="24"/>
                <w:highlight w:val="none"/>
              </w:rPr>
              <w:t>时间5日前，</w:t>
            </w:r>
            <w:r>
              <w:rPr>
                <w:rFonts w:hint="eastAsia" w:ascii="仿宋" w:hAnsi="仿宋" w:eastAsia="仿宋" w:cs="仿宋"/>
                <w:color w:val="auto"/>
                <w:sz w:val="24"/>
                <w:highlight w:val="none"/>
              </w:rPr>
              <w:t>不足5日的，顺延</w:t>
            </w:r>
            <w:r>
              <w:rPr>
                <w:rFonts w:hint="eastAsia" w:ascii="仿宋" w:hAnsi="仿宋" w:eastAsia="仿宋" w:cs="仿宋"/>
                <w:color w:val="auto"/>
                <w:sz w:val="24"/>
                <w:szCs w:val="24"/>
                <w:highlight w:val="none"/>
              </w:rPr>
              <w:t>响应文件提交</w:t>
            </w:r>
            <w:r>
              <w:rPr>
                <w:rFonts w:hint="eastAsia" w:ascii="仿宋" w:hAnsi="仿宋" w:eastAsia="仿宋" w:cs="仿宋"/>
                <w:bCs/>
                <w:color w:val="auto"/>
                <w:sz w:val="24"/>
                <w:szCs w:val="24"/>
                <w:highlight w:val="none"/>
              </w:rPr>
              <w:t>截止时间</w:t>
            </w:r>
            <w:r>
              <w:rPr>
                <w:rFonts w:hint="eastAsia" w:ascii="仿宋" w:hAnsi="仿宋" w:eastAsia="仿宋" w:cs="仿宋"/>
                <w:color w:val="auto"/>
                <w:sz w:val="24"/>
                <w:highlight w:val="none"/>
              </w:rPr>
              <w:t>；</w:t>
            </w:r>
          </w:p>
        </w:tc>
        <w:tc>
          <w:tcPr>
            <w:tcW w:w="2735"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澄清或修改内容获取方式：更正公告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144" w:type="dxa"/>
            <w:vAlign w:val="center"/>
          </w:tcPr>
          <w:p>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响应文件提交截止时间</w:t>
            </w:r>
          </w:p>
        </w:tc>
        <w:tc>
          <w:tcPr>
            <w:tcW w:w="3969" w:type="dxa"/>
            <w:vAlign w:val="center"/>
          </w:tcPr>
          <w:p>
            <w:pP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见第一章竞争性磋商采购公告（邀请）</w:t>
            </w:r>
          </w:p>
        </w:tc>
        <w:tc>
          <w:tcPr>
            <w:tcW w:w="2735" w:type="dxa"/>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14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开启时间</w:t>
            </w:r>
          </w:p>
        </w:tc>
        <w:tc>
          <w:tcPr>
            <w:tcW w:w="3969" w:type="dxa"/>
            <w:vAlign w:val="center"/>
          </w:tcPr>
          <w:p>
            <w:pPr>
              <w:jc w:val="left"/>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见第一章竞争性磋商采购公告（邀请）</w:t>
            </w:r>
          </w:p>
        </w:tc>
        <w:tc>
          <w:tcPr>
            <w:tcW w:w="2735" w:type="dxa"/>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14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成交公告及成交通知书</w:t>
            </w:r>
          </w:p>
        </w:tc>
        <w:tc>
          <w:tcPr>
            <w:tcW w:w="3969"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highlight w:val="none"/>
              </w:rPr>
              <w:t>成交人确定之日起2个工作日内</w:t>
            </w:r>
          </w:p>
        </w:tc>
        <w:tc>
          <w:tcPr>
            <w:tcW w:w="2735" w:type="dxa"/>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14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成交结果质疑期限</w:t>
            </w:r>
          </w:p>
        </w:tc>
        <w:tc>
          <w:tcPr>
            <w:tcW w:w="3969"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成交结果公告期限届满之日起7个工作日内</w:t>
            </w:r>
          </w:p>
        </w:tc>
        <w:tc>
          <w:tcPr>
            <w:tcW w:w="2735" w:type="dxa"/>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14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成交结果投诉期限</w:t>
            </w:r>
          </w:p>
        </w:tc>
        <w:tc>
          <w:tcPr>
            <w:tcW w:w="3969"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质疑答复期满后15个工作日</w:t>
            </w:r>
          </w:p>
        </w:tc>
        <w:tc>
          <w:tcPr>
            <w:tcW w:w="2735" w:type="dxa"/>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14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w:t>
            </w:r>
          </w:p>
        </w:tc>
        <w:tc>
          <w:tcPr>
            <w:tcW w:w="3969"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成交通知书发出之日起</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日内，</w:t>
            </w:r>
            <w:r>
              <w:rPr>
                <w:rFonts w:hint="eastAsia" w:ascii="仿宋" w:hAnsi="仿宋" w:eastAsia="仿宋" w:cs="仿宋"/>
                <w:color w:val="auto"/>
                <w:sz w:val="24"/>
                <w:highlight w:val="none"/>
              </w:rPr>
              <w:t>按照磋商文件和成交人磋商响应文件的规定，与成交人签订书面合同。</w:t>
            </w:r>
          </w:p>
        </w:tc>
        <w:tc>
          <w:tcPr>
            <w:tcW w:w="2735" w:type="dxa"/>
            <w:vAlign w:val="center"/>
          </w:tcPr>
          <w:p>
            <w:pPr>
              <w:rPr>
                <w:rFonts w:ascii="仿宋" w:hAnsi="仿宋" w:eastAsia="仿宋" w:cs="仿宋"/>
                <w:color w:val="auto"/>
                <w:sz w:val="24"/>
                <w:szCs w:val="24"/>
                <w:highlight w:val="none"/>
              </w:rPr>
            </w:pPr>
          </w:p>
        </w:tc>
      </w:tr>
      <w:bookmarkEnd w:id="103"/>
    </w:tbl>
    <w:p>
      <w:pPr>
        <w:pStyle w:val="16"/>
        <w:spacing w:beforeLines="100" w:after="240" w:afterLines="100"/>
        <w:jc w:val="left"/>
        <w:outlineLvl w:val="1"/>
        <w:rPr>
          <w:rFonts w:ascii="仿宋" w:hAnsi="仿宋" w:eastAsia="仿宋" w:cs="仿宋"/>
          <w:color w:val="auto"/>
          <w:sz w:val="30"/>
          <w:szCs w:val="30"/>
          <w:highlight w:val="none"/>
        </w:rPr>
        <w:sectPr>
          <w:footerReference r:id="rId11" w:type="even"/>
          <w:pgSz w:w="11906" w:h="16838"/>
          <w:pgMar w:top="1440" w:right="1797" w:bottom="1440" w:left="1797" w:header="851" w:footer="851" w:gutter="0"/>
          <w:cols w:space="720" w:num="1"/>
          <w:docGrid w:linePitch="312" w:charSpace="0"/>
        </w:sectPr>
      </w:pPr>
      <w:bookmarkStart w:id="106" w:name="_Toc531358976"/>
      <w:bookmarkStart w:id="107" w:name="_Toc530551821"/>
    </w:p>
    <w:p>
      <w:pPr>
        <w:pStyle w:val="16"/>
        <w:spacing w:beforeLines="100" w:after="240" w:afterLines="100"/>
        <w:jc w:val="left"/>
        <w:outlineLvl w:val="1"/>
        <w:rPr>
          <w:rFonts w:ascii="仿宋" w:hAnsi="仿宋" w:eastAsia="仿宋" w:cs="仿宋"/>
          <w:color w:val="auto"/>
          <w:sz w:val="30"/>
          <w:szCs w:val="30"/>
          <w:highlight w:val="none"/>
        </w:rPr>
      </w:pPr>
      <w:bookmarkStart w:id="108" w:name="_Toc32203"/>
      <w:r>
        <w:rPr>
          <w:rFonts w:hint="eastAsia" w:ascii="仿宋" w:hAnsi="仿宋" w:eastAsia="仿宋" w:cs="仿宋"/>
          <w:color w:val="auto"/>
          <w:sz w:val="30"/>
          <w:szCs w:val="30"/>
          <w:highlight w:val="none"/>
        </w:rPr>
        <w:t>一    总则</w:t>
      </w:r>
      <w:bookmarkEnd w:id="104"/>
      <w:bookmarkEnd w:id="106"/>
      <w:bookmarkEnd w:id="107"/>
      <w:bookmarkEnd w:id="108"/>
    </w:p>
    <w:p>
      <w:pPr>
        <w:pStyle w:val="26"/>
        <w:rPr>
          <w:rFonts w:ascii="仿宋" w:hAnsi="仿宋" w:eastAsia="仿宋" w:cs="仿宋"/>
          <w:color w:val="auto"/>
          <w:highlight w:val="none"/>
        </w:rPr>
      </w:pPr>
      <w:bookmarkStart w:id="109" w:name="_Toc530551822"/>
      <w:bookmarkStart w:id="110" w:name="_Toc24258"/>
      <w:bookmarkStart w:id="111" w:name="_Toc531358977"/>
      <w:r>
        <w:rPr>
          <w:rFonts w:hint="eastAsia" w:ascii="仿宋" w:hAnsi="仿宋" w:eastAsia="仿宋" w:cs="仿宋"/>
          <w:color w:val="auto"/>
          <w:highlight w:val="none"/>
        </w:rPr>
        <w:t>1.1     适用范围</w:t>
      </w:r>
      <w:bookmarkEnd w:id="109"/>
      <w:bookmarkEnd w:id="110"/>
      <w:bookmarkEnd w:id="111"/>
    </w:p>
    <w:p>
      <w:pPr>
        <w:spacing w:line="360" w:lineRule="auto"/>
        <w:ind w:left="840" w:leftChars="4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磋商文件</w:t>
      </w:r>
      <w:r>
        <w:rPr>
          <w:rFonts w:hint="eastAsia" w:ascii="仿宋" w:hAnsi="仿宋" w:eastAsia="仿宋" w:cs="仿宋"/>
          <w:color w:val="auto"/>
          <w:sz w:val="24"/>
          <w:szCs w:val="24"/>
          <w:highlight w:val="none"/>
        </w:rPr>
        <w:t>适用于本次采购项目的采购行为，法律、法规另有规定的，从其规定。</w:t>
      </w:r>
    </w:p>
    <w:p>
      <w:pPr>
        <w:pStyle w:val="26"/>
        <w:rPr>
          <w:rFonts w:ascii="仿宋" w:hAnsi="仿宋" w:eastAsia="仿宋" w:cs="仿宋"/>
          <w:color w:val="auto"/>
          <w:highlight w:val="none"/>
        </w:rPr>
      </w:pPr>
      <w:bookmarkStart w:id="112" w:name="_Toc531358978"/>
      <w:bookmarkStart w:id="113" w:name="_Toc530551823"/>
      <w:bookmarkStart w:id="114" w:name="_Toc9880"/>
      <w:r>
        <w:rPr>
          <w:rFonts w:hint="eastAsia" w:ascii="仿宋" w:hAnsi="仿宋" w:eastAsia="仿宋" w:cs="仿宋"/>
          <w:color w:val="auto"/>
          <w:highlight w:val="none"/>
        </w:rPr>
        <w:t>1.2     定义</w:t>
      </w:r>
      <w:bookmarkEnd w:id="112"/>
      <w:bookmarkEnd w:id="113"/>
      <w:bookmarkEnd w:id="114"/>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1.2.1   “采购人”是指：详见供应商须知前附表（一）；</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1.2.2   “采购代理机构”系指竞争性磋商采购公告中载明的本项目的采购代理机构，详见供应商须知前附表（一）；</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1.2.3   “供应商”系指按照本磋商文件的规定参加并递交磋商响应文件的自然人、法人或其他组织；</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1.2.4   “负责人”系指法人企业的法定代表人，或其他组织为法律、行政法规规定代表单位行使职权的主要负责人，或自然人本人；</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1.2.5   “供应商代表”系指负责人或其授权的委托代理人；</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1.2.6   “合同”系指采购人与成交人双方签署的规定双方权利与义务的协议，以及所有附件、附录、磋商文件和磋商响应文件所提到的构成合同的所有文件；</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1.2.7   “服务”系指供应商按磋商文件规定应承担的服务内容，包括送货上门、安装、调试、技术协助、维修、产品三包制度、校准、培训、技术指导以及其他类似的附随义务；</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1.2.8   “产品”系指供应商按磋商文件规定，须向采购人提供的一切产品（包括：虚拟产品），以及产品相关的保险、税金、备品备件、附件、耗材、工具、手册及其它有关技术资料和材料等；</w:t>
      </w:r>
    </w:p>
    <w:p>
      <w:pPr>
        <w:spacing w:line="360" w:lineRule="auto"/>
        <w:ind w:left="720" w:hanging="720" w:hanging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1.2.9   “项目”系指供应商按磋商文件规定向采购人提供的服务和产品；</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1.2.10  标有“▲”符号均属于“实质性条款”，不允许负偏离；</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1.2.11  </w:t>
      </w:r>
      <w:r>
        <w:rPr>
          <w:rFonts w:hint="eastAsia" w:ascii="仿宋" w:hAnsi="仿宋" w:eastAsia="仿宋" w:cs="仿宋"/>
          <w:color w:val="auto"/>
          <w:sz w:val="24"/>
          <w:szCs w:val="24"/>
          <w:highlight w:val="none"/>
        </w:rPr>
        <w:t>标有“★”系指项目关键核心产品；</w:t>
      </w:r>
    </w:p>
    <w:p>
      <w:pPr>
        <w:spacing w:line="360" w:lineRule="auto"/>
        <w:ind w:left="964" w:hanging="964" w:hangingChars="4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1.2.12  “电子磋商响应文件”系指供应商通过“政采云电子交易客户端”编制的数据电文形式的“电子加密磋商响应文件”。</w:t>
      </w:r>
    </w:p>
    <w:p>
      <w:pPr>
        <w:spacing w:line="360" w:lineRule="auto"/>
        <w:ind w:left="964" w:hanging="964" w:hangingChars="4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1.2.13  “备份磋商响应文件”系指与“电子磋商响应文件”同时生成的数据电文形式的电子文件。</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1.2.14  “磋商响应文件”系指供应商提交的首次响应文件。</w:t>
      </w:r>
    </w:p>
    <w:p>
      <w:pPr>
        <w:pStyle w:val="26"/>
        <w:rPr>
          <w:rFonts w:ascii="仿宋" w:hAnsi="仿宋" w:eastAsia="仿宋" w:cs="仿宋"/>
          <w:color w:val="auto"/>
          <w:highlight w:val="none"/>
        </w:rPr>
      </w:pPr>
      <w:bookmarkStart w:id="115" w:name="_Toc530551825"/>
      <w:bookmarkStart w:id="116" w:name="_Toc531358980"/>
      <w:bookmarkStart w:id="117" w:name="_Toc18449"/>
      <w:r>
        <w:rPr>
          <w:rFonts w:hint="eastAsia" w:ascii="仿宋" w:hAnsi="仿宋" w:eastAsia="仿宋" w:cs="仿宋"/>
          <w:color w:val="auto"/>
          <w:highlight w:val="none"/>
        </w:rPr>
        <w:t>1.3     供应商应具备资格条件</w:t>
      </w:r>
      <w:bookmarkEnd w:id="115"/>
      <w:bookmarkEnd w:id="116"/>
      <w:bookmarkEnd w:id="117"/>
    </w:p>
    <w:p>
      <w:pPr>
        <w:spacing w:line="360" w:lineRule="auto"/>
        <w:ind w:left="960" w:hanging="960" w:hangingChars="400"/>
        <w:rPr>
          <w:rFonts w:ascii="仿宋" w:hAnsi="仿宋" w:eastAsia="仿宋" w:cs="仿宋"/>
          <w:color w:val="auto"/>
          <w:sz w:val="24"/>
          <w:szCs w:val="24"/>
          <w:highlight w:val="none"/>
        </w:rPr>
      </w:pPr>
      <w:bookmarkStart w:id="118" w:name="_Toc530551826"/>
      <w:r>
        <w:rPr>
          <w:rFonts w:hint="eastAsia" w:ascii="仿宋" w:hAnsi="仿宋" w:eastAsia="仿宋" w:cs="仿宋"/>
          <w:color w:val="auto"/>
          <w:sz w:val="24"/>
          <w:szCs w:val="24"/>
          <w:highlight w:val="none"/>
        </w:rPr>
        <w:t>1.3.1   符合本文件第一章“第二条”的规定。</w:t>
      </w:r>
    </w:p>
    <w:p>
      <w:pPr>
        <w:pStyle w:val="26"/>
        <w:rPr>
          <w:rFonts w:ascii="仿宋" w:hAnsi="仿宋" w:eastAsia="仿宋" w:cs="仿宋"/>
          <w:color w:val="auto"/>
          <w:highlight w:val="none"/>
        </w:rPr>
      </w:pPr>
      <w:bookmarkStart w:id="119" w:name="_Toc3368"/>
      <w:bookmarkStart w:id="120" w:name="_Toc531358981"/>
      <w:r>
        <w:rPr>
          <w:rFonts w:hint="eastAsia" w:ascii="仿宋" w:hAnsi="仿宋" w:eastAsia="仿宋" w:cs="仿宋"/>
          <w:color w:val="auto"/>
          <w:highlight w:val="none"/>
        </w:rPr>
        <w:t>1.4     联合体</w:t>
      </w:r>
      <w:bookmarkEnd w:id="118"/>
      <w:bookmarkEnd w:id="119"/>
      <w:bookmarkEnd w:id="120"/>
    </w:p>
    <w:p>
      <w:pPr>
        <w:spacing w:line="360" w:lineRule="auto"/>
        <w:ind w:left="720" w:hanging="720" w:hanging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1.4.1   联合体：见供应商须知前附表（一）；</w:t>
      </w:r>
    </w:p>
    <w:p>
      <w:pPr>
        <w:spacing w:line="360" w:lineRule="auto"/>
        <w:ind w:left="720" w:hanging="720" w:hanging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联合体各方均符合政府采购法第二十二条第一款规定；</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1.4.3   联合体中至少有一方符合本文件规定的特定资质要求。但联合体中有同类资质的供应商按照联合体分工承担相同工作的，应当按照资质等级较低的供应商确定资质等级；</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1.4.4   以联合体形式参加政府采购活动的，联合体各方不得再单独参加或者与其他供应商另外组成联合体参加同一合同项下的政府采购活动；</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1.4.5   联合体参与的，必须提供《联合体协议书》。</w:t>
      </w:r>
    </w:p>
    <w:p>
      <w:pPr>
        <w:pStyle w:val="26"/>
        <w:rPr>
          <w:rFonts w:ascii="仿宋" w:hAnsi="仿宋" w:eastAsia="仿宋" w:cs="仿宋"/>
          <w:color w:val="auto"/>
          <w:highlight w:val="none"/>
        </w:rPr>
      </w:pPr>
      <w:bookmarkStart w:id="121" w:name="_Toc530551827"/>
      <w:bookmarkStart w:id="122" w:name="_Toc531358982"/>
      <w:bookmarkStart w:id="123" w:name="_Toc17425"/>
      <w:r>
        <w:rPr>
          <w:rFonts w:hint="eastAsia" w:ascii="仿宋" w:hAnsi="仿宋" w:eastAsia="仿宋" w:cs="仿宋"/>
          <w:color w:val="auto"/>
          <w:highlight w:val="none"/>
        </w:rPr>
        <w:t>1.5     磋商响应文件的语言及计量</w:t>
      </w:r>
      <w:bookmarkEnd w:id="121"/>
      <w:bookmarkEnd w:id="122"/>
      <w:bookmarkEnd w:id="123"/>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1.5.1   磋商响应文件以及供应商、采购人与采购代理机构就有关磋商事宜的所有来往函电，均应以简体中文书写，除签名、盖章、专用名称等特殊情形外；</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1.5.2   磋商响应资料提供外文证书或者外国语视听资料的，应当附有中文译本，由翻译机构盖章或者翻译人员签名；</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   磋商响应计量单位，磋商文件已有明确规定的，使用磋商文件规定的计量单位；磋商文件没有规定的，应当采用中华人民共和国法定计量单位。</w:t>
      </w:r>
    </w:p>
    <w:p>
      <w:pPr>
        <w:pStyle w:val="26"/>
        <w:rPr>
          <w:rFonts w:ascii="仿宋" w:hAnsi="仿宋" w:eastAsia="仿宋" w:cs="仿宋"/>
          <w:color w:val="auto"/>
          <w:highlight w:val="none"/>
        </w:rPr>
      </w:pPr>
      <w:bookmarkStart w:id="124" w:name="_Toc530551828"/>
      <w:bookmarkStart w:id="125" w:name="_Toc17598"/>
      <w:bookmarkStart w:id="126" w:name="_Toc531358983"/>
      <w:r>
        <w:rPr>
          <w:rFonts w:hint="eastAsia" w:ascii="仿宋" w:hAnsi="仿宋" w:eastAsia="仿宋" w:cs="仿宋"/>
          <w:color w:val="auto"/>
          <w:highlight w:val="none"/>
        </w:rPr>
        <w:t xml:space="preserve">1.6     </w:t>
      </w:r>
      <w:r>
        <w:rPr>
          <w:rFonts w:hint="eastAsia" w:ascii="仿宋" w:hAnsi="仿宋" w:eastAsia="仿宋" w:cs="仿宋"/>
          <w:color w:val="auto"/>
          <w:szCs w:val="24"/>
          <w:highlight w:val="none"/>
        </w:rPr>
        <w:t>磋商</w:t>
      </w:r>
      <w:r>
        <w:rPr>
          <w:rFonts w:hint="eastAsia" w:ascii="仿宋" w:hAnsi="仿宋" w:eastAsia="仿宋" w:cs="仿宋"/>
          <w:color w:val="auto"/>
          <w:highlight w:val="none"/>
        </w:rPr>
        <w:t>费用</w:t>
      </w:r>
      <w:bookmarkEnd w:id="124"/>
      <w:bookmarkEnd w:id="125"/>
      <w:bookmarkEnd w:id="126"/>
    </w:p>
    <w:p>
      <w:pPr>
        <w:spacing w:line="360" w:lineRule="auto"/>
        <w:ind w:left="958" w:leftChars="45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不论磋商的结果如何，供应商均应自行承担所有与磋商有关的全部费用。</w:t>
      </w:r>
    </w:p>
    <w:p>
      <w:pPr>
        <w:pStyle w:val="26"/>
        <w:rPr>
          <w:rFonts w:ascii="仿宋" w:hAnsi="仿宋" w:eastAsia="仿宋" w:cs="仿宋"/>
          <w:color w:val="auto"/>
          <w:highlight w:val="none"/>
        </w:rPr>
      </w:pPr>
      <w:bookmarkStart w:id="127" w:name="_Toc531358984"/>
      <w:bookmarkStart w:id="128" w:name="_Toc27308"/>
      <w:bookmarkStart w:id="129" w:name="_Toc530551829"/>
      <w:r>
        <w:rPr>
          <w:rFonts w:hint="eastAsia" w:ascii="仿宋" w:hAnsi="仿宋" w:eastAsia="仿宋" w:cs="仿宋"/>
          <w:color w:val="auto"/>
          <w:highlight w:val="none"/>
        </w:rPr>
        <w:t>1.7     现场踏勘</w:t>
      </w:r>
      <w:bookmarkEnd w:id="127"/>
      <w:bookmarkEnd w:id="128"/>
      <w:bookmarkEnd w:id="129"/>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1.7.1   采购人按供应商须知前附表（一）规定的时间、地点组织供应商现场踏勘；</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1.7.2   供应商踏勘现场发生的费用自理；</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1.7.3   除采购人的原因外，供应商自行负责在踏勘现场中所发生的人员伤亡和财产损失；</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1.7.4   采购人在现场踏勘中介绍的场地和相关的周边环境情况，供应商在编制磋商响应文件时参考，采购人不对供应商据此作出的判断和决策负责；</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1.7.5   供应商自身原因不参与答疑会的，不得就此提出质疑。</w:t>
      </w:r>
    </w:p>
    <w:p>
      <w:pPr>
        <w:pStyle w:val="26"/>
        <w:rPr>
          <w:rFonts w:ascii="仿宋" w:hAnsi="仿宋" w:eastAsia="仿宋" w:cs="仿宋"/>
          <w:color w:val="auto"/>
          <w:highlight w:val="none"/>
        </w:rPr>
      </w:pPr>
      <w:bookmarkStart w:id="130" w:name="_Toc30831"/>
      <w:bookmarkStart w:id="131" w:name="_Toc531358985"/>
      <w:bookmarkStart w:id="132" w:name="_Toc530551830"/>
      <w:r>
        <w:rPr>
          <w:rFonts w:hint="eastAsia" w:ascii="仿宋" w:hAnsi="仿宋" w:eastAsia="仿宋" w:cs="仿宋"/>
          <w:color w:val="auto"/>
          <w:highlight w:val="none"/>
        </w:rPr>
        <w:t>1.8     答疑会</w:t>
      </w:r>
      <w:bookmarkEnd w:id="130"/>
      <w:bookmarkEnd w:id="131"/>
      <w:bookmarkEnd w:id="132"/>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   采购人或采购代理机构按供应商须知前附表（一）规定的时间和地点召开答疑会；</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   答疑会后，采购人或采购代理机构按本章第2.2款规定对供应商所提问题进行澄清答复；</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1.8.3   供应商自身原因不参与答疑会的，不得就差别待遇或歧视待遇提出质疑。</w:t>
      </w:r>
    </w:p>
    <w:p>
      <w:pPr>
        <w:pStyle w:val="26"/>
        <w:rPr>
          <w:rFonts w:ascii="仿宋" w:hAnsi="仿宋" w:eastAsia="仿宋" w:cs="仿宋"/>
          <w:color w:val="auto"/>
          <w:highlight w:val="none"/>
        </w:rPr>
      </w:pPr>
      <w:bookmarkStart w:id="133" w:name="_Toc531358986"/>
      <w:bookmarkStart w:id="134" w:name="_Toc530551831"/>
      <w:bookmarkStart w:id="135" w:name="_Toc10805"/>
      <w:r>
        <w:rPr>
          <w:rFonts w:hint="eastAsia" w:ascii="仿宋" w:hAnsi="仿宋" w:eastAsia="仿宋" w:cs="仿宋"/>
          <w:color w:val="auto"/>
          <w:highlight w:val="none"/>
        </w:rPr>
        <w:t>1.9     分包</w:t>
      </w:r>
      <w:bookmarkEnd w:id="133"/>
      <w:bookmarkEnd w:id="134"/>
      <w:bookmarkEnd w:id="135"/>
    </w:p>
    <w:p>
      <w:pPr>
        <w:spacing w:line="360" w:lineRule="auto"/>
        <w:ind w:left="720" w:hanging="720" w:hanging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1.9.1   分包：见供应商须知前附表（一）；</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1.9.2   供应商根据磋商文件的规定和采购项目的实际情况，拟在成交后将成交项目的非主体、非关键性工作分包的，应当在磋商响应文件中载明分包承担主体，分包承担主体应当具备相应资质条件且不得再次分包。</w:t>
      </w:r>
    </w:p>
    <w:p>
      <w:pPr>
        <w:pStyle w:val="26"/>
        <w:rPr>
          <w:rFonts w:ascii="仿宋" w:hAnsi="仿宋" w:eastAsia="仿宋" w:cs="仿宋"/>
          <w:color w:val="auto"/>
          <w:highlight w:val="none"/>
        </w:rPr>
      </w:pPr>
      <w:bookmarkStart w:id="136" w:name="_Toc13986"/>
      <w:bookmarkStart w:id="137" w:name="_Toc531358987"/>
      <w:bookmarkStart w:id="138" w:name="_Toc530551832"/>
      <w:r>
        <w:rPr>
          <w:rFonts w:hint="eastAsia" w:ascii="仿宋" w:hAnsi="仿宋" w:eastAsia="仿宋" w:cs="仿宋"/>
          <w:color w:val="auto"/>
          <w:highlight w:val="none"/>
        </w:rPr>
        <w:t>1.10    保密</w:t>
      </w:r>
      <w:bookmarkEnd w:id="136"/>
      <w:bookmarkEnd w:id="137"/>
      <w:bookmarkEnd w:id="138"/>
    </w:p>
    <w:p>
      <w:pPr>
        <w:spacing w:line="360" w:lineRule="auto"/>
        <w:ind w:left="945" w:leftChars="4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参与磋商响应活动的各方当事人应当对评审情况以及在评审过程中的获悉的国家秘密、商业秘密负有保密责任，违者应对由此造成的后果承担法律责任。</w:t>
      </w:r>
    </w:p>
    <w:p>
      <w:pPr>
        <w:pStyle w:val="26"/>
        <w:rPr>
          <w:rFonts w:ascii="仿宋" w:hAnsi="仿宋" w:eastAsia="仿宋" w:cs="仿宋"/>
          <w:color w:val="auto"/>
          <w:highlight w:val="none"/>
        </w:rPr>
      </w:pPr>
      <w:bookmarkStart w:id="139" w:name="_Toc21324"/>
      <w:bookmarkStart w:id="140" w:name="_Toc530551833"/>
      <w:bookmarkStart w:id="141" w:name="_Toc531358988"/>
      <w:r>
        <w:rPr>
          <w:rFonts w:hint="eastAsia" w:ascii="仿宋" w:hAnsi="仿宋" w:eastAsia="仿宋" w:cs="仿宋"/>
          <w:color w:val="auto"/>
          <w:highlight w:val="none"/>
        </w:rPr>
        <w:t>1.11    政府采购政策</w:t>
      </w:r>
      <w:bookmarkEnd w:id="139"/>
      <w:bookmarkEnd w:id="140"/>
      <w:bookmarkEnd w:id="141"/>
    </w:p>
    <w:p>
      <w:pPr>
        <w:spacing w:line="360" w:lineRule="auto"/>
        <w:ind w:left="960" w:hanging="960" w:hangingChars="400"/>
        <w:rPr>
          <w:rFonts w:ascii="仿宋" w:hAnsi="仿宋" w:eastAsia="仿宋" w:cs="仿宋"/>
          <w:bCs/>
          <w:color w:val="auto"/>
          <w:sz w:val="24"/>
          <w:highlight w:val="none"/>
        </w:rPr>
      </w:pPr>
      <w:bookmarkStart w:id="142" w:name="_Toc531358990"/>
      <w:bookmarkStart w:id="143" w:name="_Toc530551835"/>
      <w:r>
        <w:rPr>
          <w:rFonts w:hint="eastAsia" w:ascii="仿宋" w:hAnsi="仿宋" w:eastAsia="仿宋" w:cs="仿宋"/>
          <w:bCs/>
          <w:color w:val="auto"/>
          <w:sz w:val="24"/>
          <w:highlight w:val="none"/>
        </w:rPr>
        <w:t>1.11.1  根据《政府采购促进中小企业发展管理办法》（财库〔2020〕46号）文件要求，在政府采购活动按下列情形之一给予价格扣除：</w:t>
      </w:r>
    </w:p>
    <w:p>
      <w:pPr>
        <w:spacing w:line="360" w:lineRule="auto"/>
        <w:ind w:firstLine="960" w:firstLineChars="400"/>
        <w:rPr>
          <w:rFonts w:ascii="仿宋" w:hAnsi="仿宋" w:eastAsia="仿宋" w:cs="仿宋"/>
          <w:bCs/>
          <w:color w:val="auto"/>
          <w:sz w:val="24"/>
          <w:highlight w:val="none"/>
        </w:rPr>
      </w:pPr>
      <w:r>
        <w:rPr>
          <w:rFonts w:hint="eastAsia" w:ascii="仿宋" w:hAnsi="仿宋" w:eastAsia="仿宋" w:cs="仿宋"/>
          <w:bCs/>
          <w:color w:val="auto"/>
          <w:sz w:val="24"/>
          <w:highlight w:val="none"/>
        </w:rPr>
        <w:t>（1）本项目</w:t>
      </w:r>
      <w:r>
        <w:rPr>
          <w:rFonts w:hint="eastAsia" w:ascii="仿宋" w:hAnsi="仿宋" w:eastAsia="仿宋" w:cs="仿宋"/>
          <w:bCs/>
          <w:color w:val="auto"/>
          <w:sz w:val="24"/>
          <w:highlight w:val="none"/>
          <w:u w:val="single"/>
        </w:rPr>
        <w:t>是</w:t>
      </w:r>
      <w:r>
        <w:rPr>
          <w:rFonts w:hint="eastAsia" w:ascii="仿宋" w:hAnsi="仿宋" w:eastAsia="仿宋" w:cs="仿宋"/>
          <w:bCs/>
          <w:color w:val="auto"/>
          <w:sz w:val="24"/>
          <w:highlight w:val="none"/>
        </w:rPr>
        <w:t>专门面向中小企业采购；</w:t>
      </w:r>
    </w:p>
    <w:p>
      <w:pPr>
        <w:spacing w:line="360" w:lineRule="auto"/>
        <w:ind w:left="1078" w:leftChars="456" w:hanging="120" w:hangingChars="50"/>
        <w:rPr>
          <w:rFonts w:ascii="仿宋" w:hAnsi="仿宋" w:eastAsia="仿宋" w:cs="仿宋"/>
          <w:color w:val="auto"/>
          <w:sz w:val="24"/>
          <w:szCs w:val="24"/>
          <w:highlight w:val="none"/>
        </w:rPr>
      </w:pPr>
      <w:r>
        <w:rPr>
          <w:rFonts w:hint="eastAsia" w:ascii="仿宋" w:hAnsi="仿宋" w:eastAsia="仿宋" w:cs="仿宋"/>
          <w:bCs/>
          <w:color w:val="auto"/>
          <w:sz w:val="24"/>
          <w:highlight w:val="none"/>
        </w:rPr>
        <w:t>（2）对于非专门面向中小企业的项目，对小型和微型企业产品的价格给予</w:t>
      </w:r>
      <w:r>
        <w:rPr>
          <w:rFonts w:hint="eastAsia" w:ascii="仿宋" w:hAnsi="仿宋" w:eastAsia="仿宋" w:cs="仿宋"/>
          <w:color w:val="auto"/>
          <w:sz w:val="24"/>
          <w:szCs w:val="24"/>
          <w:highlight w:val="none"/>
        </w:rPr>
        <w:t>扣除，用扣除后的价格参与评审，价格扣除比例见供应商须知前附表（一）；</w:t>
      </w:r>
    </w:p>
    <w:p>
      <w:pPr>
        <w:spacing w:line="360" w:lineRule="auto"/>
        <w:ind w:left="1065" w:leftChars="450" w:hanging="120" w:hangingChars="50"/>
        <w:rPr>
          <w:rFonts w:ascii="仿宋" w:hAnsi="仿宋" w:eastAsia="仿宋" w:cs="仿宋"/>
          <w:bCs/>
          <w:color w:val="auto"/>
          <w:sz w:val="24"/>
          <w:highlight w:val="none"/>
        </w:rPr>
      </w:pPr>
      <w:r>
        <w:rPr>
          <w:rFonts w:hint="eastAsia" w:ascii="仿宋" w:hAnsi="仿宋" w:eastAsia="仿宋" w:cs="仿宋"/>
          <w:bCs/>
          <w:color w:val="auto"/>
          <w:sz w:val="24"/>
          <w:highlight w:val="none"/>
        </w:rPr>
        <w:t>（3）联合体协议约定，小型、微型企业的协议合同金额占到联合协议合同总金额30%以上的，可给予联合体价格扣除，用扣除后的价格参与评审。联合体各方均为小型、微型企业的，联合体视同为小型、微型企业。价格扣除比例见供应商须知前附表（一）；</w:t>
      </w:r>
    </w:p>
    <w:p>
      <w:pPr>
        <w:spacing w:line="360" w:lineRule="auto"/>
        <w:ind w:left="1185" w:leftChars="450" w:hanging="240" w:hangingChars="100"/>
        <w:rPr>
          <w:color w:val="auto"/>
          <w:highlight w:val="none"/>
        </w:rPr>
      </w:pPr>
      <w:r>
        <w:rPr>
          <w:rFonts w:hint="eastAsia" w:ascii="仿宋" w:hAnsi="仿宋" w:eastAsia="仿宋" w:cs="仿宋"/>
          <w:bCs/>
          <w:color w:val="auto"/>
          <w:sz w:val="24"/>
          <w:highlight w:val="none"/>
        </w:rPr>
        <w:t>（4）参加政府采购活动的中小企业应当提供《中小企业声明函》。</w:t>
      </w:r>
    </w:p>
    <w:p>
      <w:pPr>
        <w:spacing w:line="360" w:lineRule="auto"/>
        <w:ind w:left="960" w:hanging="960" w:hangingChars="400"/>
        <w:rPr>
          <w:rFonts w:ascii="仿宋" w:hAnsi="仿宋" w:eastAsia="仿宋" w:cs="仿宋"/>
          <w:bCs/>
          <w:color w:val="auto"/>
          <w:sz w:val="24"/>
          <w:highlight w:val="none"/>
        </w:rPr>
      </w:pPr>
      <w:r>
        <w:rPr>
          <w:rFonts w:hint="eastAsia" w:ascii="仿宋" w:hAnsi="仿宋" w:eastAsia="仿宋" w:cs="仿宋"/>
          <w:bCs/>
          <w:color w:val="auto"/>
          <w:sz w:val="24"/>
          <w:highlight w:val="none"/>
        </w:rPr>
        <w:t>1.11.2  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spacing w:line="360" w:lineRule="auto"/>
        <w:ind w:left="960" w:hanging="960" w:hangingChars="400"/>
        <w:rPr>
          <w:rFonts w:ascii="仿宋" w:hAnsi="仿宋" w:eastAsia="仿宋" w:cs="仿宋"/>
          <w:bCs/>
          <w:color w:val="auto"/>
          <w:sz w:val="24"/>
          <w:highlight w:val="none"/>
        </w:rPr>
      </w:pPr>
      <w:r>
        <w:rPr>
          <w:rFonts w:hint="eastAsia" w:ascii="仿宋" w:hAnsi="仿宋" w:eastAsia="仿宋" w:cs="仿宋"/>
          <w:bCs/>
          <w:color w:val="auto"/>
          <w:sz w:val="24"/>
          <w:highlight w:val="none"/>
        </w:rPr>
        <w:t>1.11.3  供应商符合《三部门联合发布关于促进残疾人就业政府采购政策的通知》（财库〔2017〕141号）文件要求，并提供《残疾人福利性单位声明函》的，则视同小型、微型企业，享受第1.11.3条的扶持政策。</w:t>
      </w:r>
    </w:p>
    <w:p>
      <w:pPr>
        <w:spacing w:line="360" w:lineRule="auto"/>
        <w:ind w:left="960" w:hanging="960" w:hangingChars="4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1.11.4  ▲采购进口产品：招标需求中未注明进口产品或允许进口产品，不得提供进口产品。</w:t>
      </w:r>
    </w:p>
    <w:p>
      <w:pPr>
        <w:pStyle w:val="26"/>
        <w:rPr>
          <w:rFonts w:ascii="仿宋" w:hAnsi="仿宋" w:eastAsia="仿宋" w:cs="仿宋"/>
          <w:color w:val="auto"/>
          <w:highlight w:val="none"/>
        </w:rPr>
      </w:pPr>
      <w:bookmarkStart w:id="144" w:name="_Toc494"/>
      <w:r>
        <w:rPr>
          <w:rFonts w:hint="eastAsia" w:ascii="仿宋" w:hAnsi="仿宋" w:eastAsia="仿宋" w:cs="仿宋"/>
          <w:color w:val="auto"/>
          <w:highlight w:val="none"/>
        </w:rPr>
        <w:t>1.12    信用信息记录查询</w:t>
      </w:r>
      <w:bookmarkEnd w:id="142"/>
      <w:bookmarkEnd w:id="143"/>
      <w:bookmarkEnd w:id="144"/>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1.12.1  查询渠道：信用中国网站（www.creditchina.gov.cn）、中国政府采购网（www.ccgp.gov.cn）；</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1.12.2  信用信息记录查询截止时间：同资格审查结束时间，网站显示的信用信息记录将作为供应商资格审查的依据；</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1.12.3  查询内容：列入失信被执行人、重大税收违法案件当事人名单、政府采购严重违法失信行为记录名单；</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1.12.4  信用信息留存方式：信用信息查询记录和证据以网页页面打印（或截图）等方式进行留存；</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1.12.5  联合体成员存在不良信用信息记录的，视同联合体存在不良信用记录。</w:t>
      </w:r>
    </w:p>
    <w:p>
      <w:pPr>
        <w:pStyle w:val="26"/>
        <w:rPr>
          <w:rFonts w:ascii="仿宋" w:hAnsi="仿宋" w:eastAsia="仿宋" w:cs="仿宋"/>
          <w:color w:val="auto"/>
          <w:highlight w:val="none"/>
        </w:rPr>
      </w:pPr>
      <w:bookmarkStart w:id="145" w:name="_Toc531358991"/>
      <w:bookmarkStart w:id="146" w:name="_Toc18646"/>
      <w:bookmarkStart w:id="147" w:name="_Toc530551836"/>
      <w:r>
        <w:rPr>
          <w:rFonts w:hint="eastAsia" w:ascii="仿宋" w:hAnsi="仿宋" w:eastAsia="仿宋" w:cs="仿宋"/>
          <w:color w:val="auto"/>
          <w:highlight w:val="none"/>
        </w:rPr>
        <w:t>1.13    质疑和投诉</w:t>
      </w:r>
      <w:bookmarkEnd w:id="145"/>
      <w:bookmarkEnd w:id="146"/>
      <w:bookmarkEnd w:id="147"/>
    </w:p>
    <w:p>
      <w:pPr>
        <w:spacing w:line="360" w:lineRule="auto"/>
        <w:ind w:left="960" w:hanging="960" w:hanging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1.13.1  供应商认为磋商文件、采购过程、成交结果使自己的权益受到损害的，可以在知道或者应知其权益受到损害之日起7个工作日内，以书面形式向采购人、采购代理机构提出质疑。</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1.13.2  提出质疑的供应商应当是参与所质疑项目采购活动的供应商；</w:t>
      </w:r>
    </w:p>
    <w:p>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t>潜在供应商已依法获取其可质疑的磋商文件的，可以对该文件提出质疑。对磋商文件提出质疑的，应当在获取磋商文件或者磋商文件公告期限届满之日起7个工作日内提出；</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1.13.3  同一采购程序环节的质疑，供应商须一次性提出，否则不予以答复；</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1.13.4  质疑主要内容应符合《政府采购质疑和投诉办法》（财政部94号令）等相关规定，质疑内容涉及保密事项，质疑人应提供有效的信息来源或有效证据；</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1.13.5  质疑人可直接提交、传真或邮寄方式提交质疑函（一式三份以上）。以其他方式提出的质疑，采购人或采购代理机构可不予接受、答复。</w:t>
      </w:r>
    </w:p>
    <w:p>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邮寄方式送达质疑函的，以采购人或采购代理机构实际收到邮件之日作为收到质疑的日期。</w:t>
      </w:r>
    </w:p>
    <w:p>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传真方式送达质疑函的，质疑人应当取得采购人或采购代理机构确认收到传真的意见，并及时将质疑函原件送达采购人或采购代理机构。采购人或采购代理机构以实际收到原件之日作为收到质疑的日期。</w:t>
      </w:r>
    </w:p>
    <w:p>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在质疑期限届满前，质疑函已经邮寄或传真成功的，质疑不视为过期。</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1.13.6  质疑联系人：见供应商须知前附表（一）</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1.13.7  相关当事人提供外文证书或者外国语视听资料的，应当附有中文译本，由翻译机构盖章或者翻译人员签名。</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1.13.8  采购人或采购代理机构在收到质疑人的书面质疑后7个工作日内作出答复，并以书面形式答复质疑人；</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1.13.9  质疑人捏造事实、提供虚假材料进行质疑的，采购人或采购代理机构报告同级政府采购监督管理部门，由同级政府采购监督管理部门审查，情况属实的，应列入不良行为记录，并在指定的媒体上公告；</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1.13.10 质疑人对采购人或采购代理机构的答复不满意或者采购人、采购代理机构未在规定时间内答复的，可以在答复期满后15个工作日内向同级政府采购监督管理部门提起投诉；</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1.13.11 同级政府采购监督管理部门：见供应商须知前附表（一）</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1.13.12 质疑函、投诉书范本在浙江政府采购网（zfcg.czt.zj.gov.cn）-下载专区中下载。</w:t>
      </w:r>
    </w:p>
    <w:p>
      <w:pPr>
        <w:pStyle w:val="26"/>
        <w:rPr>
          <w:rFonts w:ascii="仿宋" w:hAnsi="仿宋" w:eastAsia="仿宋" w:cs="仿宋"/>
          <w:color w:val="auto"/>
          <w:highlight w:val="none"/>
        </w:rPr>
      </w:pPr>
      <w:bookmarkStart w:id="148" w:name="_Toc531358992"/>
      <w:bookmarkStart w:id="149" w:name="_Toc530551837"/>
      <w:bookmarkStart w:id="150" w:name="_Toc6564"/>
      <w:r>
        <w:rPr>
          <w:rFonts w:hint="eastAsia" w:ascii="仿宋" w:hAnsi="仿宋" w:eastAsia="仿宋" w:cs="仿宋"/>
          <w:color w:val="auto"/>
          <w:highlight w:val="none"/>
        </w:rPr>
        <w:t>1.14    特别声明</w:t>
      </w:r>
      <w:bookmarkEnd w:id="148"/>
      <w:bookmarkEnd w:id="149"/>
      <w:bookmarkEnd w:id="150"/>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1.14.1   ▲单位负责人为同一人或者存在直接控股、管理关系的不同供应商，以及属于同一母公司或集团的不同供应商不得参加同一合同项下的政府采购活动；</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1.14.2   ▲为采购项目提供整体设计、规范编制或者项目管理、监理、检测等服务的供应商，不得再参加该采购项目的其他采购活动；</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1.14.3  本项目排名第一的成交候选人未注册成为浙江省政府采购网“正式供应商”的，将会影响该项目合同备案及付款，由此造成的不利影响由供应商自行承担。</w:t>
      </w:r>
    </w:p>
    <w:p>
      <w:pPr>
        <w:pStyle w:val="16"/>
        <w:spacing w:beforeLines="100" w:after="240" w:afterLines="100"/>
        <w:jc w:val="left"/>
        <w:outlineLvl w:val="1"/>
        <w:rPr>
          <w:rFonts w:ascii="仿宋" w:hAnsi="仿宋" w:eastAsia="仿宋" w:cs="仿宋"/>
          <w:color w:val="auto"/>
          <w:sz w:val="30"/>
          <w:szCs w:val="30"/>
          <w:highlight w:val="none"/>
        </w:rPr>
      </w:pPr>
      <w:bookmarkStart w:id="151" w:name="_Toc493956034"/>
      <w:bookmarkStart w:id="152" w:name="_Toc7389"/>
      <w:bookmarkStart w:id="153" w:name="_Toc530551838"/>
      <w:bookmarkStart w:id="154" w:name="_Toc531358993"/>
      <w:r>
        <w:rPr>
          <w:rFonts w:hint="eastAsia" w:ascii="仿宋" w:hAnsi="仿宋" w:eastAsia="仿宋" w:cs="仿宋"/>
          <w:color w:val="auto"/>
          <w:sz w:val="30"/>
          <w:szCs w:val="30"/>
          <w:highlight w:val="none"/>
        </w:rPr>
        <w:t>二    磋商文件</w:t>
      </w:r>
      <w:bookmarkEnd w:id="151"/>
      <w:bookmarkEnd w:id="152"/>
      <w:bookmarkEnd w:id="153"/>
      <w:bookmarkEnd w:id="154"/>
    </w:p>
    <w:p>
      <w:pPr>
        <w:pStyle w:val="26"/>
        <w:rPr>
          <w:rFonts w:ascii="仿宋" w:hAnsi="仿宋" w:eastAsia="仿宋" w:cs="仿宋"/>
          <w:color w:val="auto"/>
          <w:highlight w:val="none"/>
        </w:rPr>
      </w:pPr>
      <w:bookmarkStart w:id="155" w:name="_Toc16308"/>
      <w:bookmarkStart w:id="156" w:name="_Toc530551839"/>
      <w:bookmarkStart w:id="157" w:name="_Toc531358994"/>
      <w:r>
        <w:rPr>
          <w:rFonts w:hint="eastAsia" w:ascii="仿宋" w:hAnsi="仿宋" w:eastAsia="仿宋" w:cs="仿宋"/>
          <w:color w:val="auto"/>
          <w:highlight w:val="none"/>
        </w:rPr>
        <w:t>2.1     磋商文件的组成</w:t>
      </w:r>
      <w:bookmarkEnd w:id="155"/>
      <w:bookmarkEnd w:id="156"/>
      <w:bookmarkEnd w:id="157"/>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2.1.1   第一章  竞争性磋商采购公告（邀请）；</w:t>
      </w:r>
    </w:p>
    <w:p>
      <w:pPr>
        <w:spacing w:line="360" w:lineRule="auto"/>
        <w:ind w:left="960" w:hanging="960" w:hangingChars="400"/>
        <w:rPr>
          <w:rFonts w:ascii="仿宋" w:hAnsi="仿宋" w:eastAsia="仿宋" w:cs="仿宋"/>
          <w:color w:val="auto"/>
          <w:sz w:val="24"/>
          <w:szCs w:val="24"/>
          <w:highlight w:val="none"/>
        </w:rPr>
      </w:pPr>
      <w:bookmarkStart w:id="158" w:name="_Toc301187619"/>
      <w:r>
        <w:rPr>
          <w:rFonts w:hint="eastAsia" w:ascii="仿宋" w:hAnsi="仿宋" w:eastAsia="仿宋" w:cs="仿宋"/>
          <w:color w:val="auto"/>
          <w:sz w:val="24"/>
          <w:szCs w:val="24"/>
          <w:highlight w:val="none"/>
        </w:rPr>
        <w:t>2.1.2   第二章  采购需求</w:t>
      </w:r>
      <w:bookmarkEnd w:id="158"/>
      <w:r>
        <w:rPr>
          <w:rFonts w:hint="eastAsia" w:ascii="仿宋" w:hAnsi="仿宋" w:eastAsia="仿宋" w:cs="仿宋"/>
          <w:color w:val="auto"/>
          <w:sz w:val="24"/>
          <w:szCs w:val="24"/>
          <w:highlight w:val="none"/>
        </w:rPr>
        <w:t>；</w:t>
      </w:r>
    </w:p>
    <w:p>
      <w:pPr>
        <w:spacing w:line="360" w:lineRule="auto"/>
        <w:ind w:left="960" w:hanging="960" w:hangingChars="400"/>
        <w:rPr>
          <w:rFonts w:ascii="仿宋" w:hAnsi="仿宋" w:eastAsia="仿宋" w:cs="仿宋"/>
          <w:color w:val="auto"/>
          <w:sz w:val="24"/>
          <w:szCs w:val="24"/>
          <w:highlight w:val="none"/>
        </w:rPr>
      </w:pPr>
      <w:bookmarkStart w:id="159" w:name="_Toc301187620"/>
      <w:r>
        <w:rPr>
          <w:rFonts w:hint="eastAsia" w:ascii="仿宋" w:hAnsi="仿宋" w:eastAsia="仿宋" w:cs="仿宋"/>
          <w:color w:val="auto"/>
          <w:sz w:val="24"/>
          <w:szCs w:val="24"/>
          <w:highlight w:val="none"/>
        </w:rPr>
        <w:t>2.1.3   第三章  供应商须知</w:t>
      </w:r>
      <w:bookmarkEnd w:id="159"/>
      <w:r>
        <w:rPr>
          <w:rFonts w:hint="eastAsia" w:ascii="仿宋" w:hAnsi="仿宋" w:eastAsia="仿宋" w:cs="仿宋"/>
          <w:color w:val="auto"/>
          <w:sz w:val="24"/>
          <w:szCs w:val="24"/>
          <w:highlight w:val="none"/>
        </w:rPr>
        <w:t>；</w:t>
      </w:r>
      <w:bookmarkStart w:id="451" w:name="_GoBack"/>
      <w:bookmarkEnd w:id="451"/>
    </w:p>
    <w:p>
      <w:pPr>
        <w:spacing w:line="360" w:lineRule="auto"/>
        <w:ind w:left="960" w:hanging="960" w:hangingChars="400"/>
        <w:rPr>
          <w:rFonts w:ascii="仿宋" w:hAnsi="仿宋" w:eastAsia="仿宋" w:cs="仿宋"/>
          <w:color w:val="auto"/>
          <w:sz w:val="24"/>
          <w:szCs w:val="24"/>
          <w:highlight w:val="none"/>
        </w:rPr>
      </w:pPr>
      <w:bookmarkStart w:id="160" w:name="_Toc301187621"/>
      <w:r>
        <w:rPr>
          <w:rFonts w:hint="eastAsia" w:ascii="仿宋" w:hAnsi="仿宋" w:eastAsia="仿宋" w:cs="仿宋"/>
          <w:color w:val="auto"/>
          <w:sz w:val="24"/>
          <w:szCs w:val="24"/>
          <w:highlight w:val="none"/>
        </w:rPr>
        <w:t>2.1.4   第四章  政府采购合同格式（范本）；</w:t>
      </w:r>
    </w:p>
    <w:bookmarkEnd w:id="160"/>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2.1.5   第五章  磋商响应文件格式；</w:t>
      </w:r>
    </w:p>
    <w:p>
      <w:pPr>
        <w:spacing w:line="360" w:lineRule="auto"/>
        <w:ind w:left="960" w:hanging="960" w:hangingChars="400"/>
        <w:rPr>
          <w:rFonts w:ascii="仿宋" w:hAnsi="仿宋" w:eastAsia="仿宋" w:cs="仿宋"/>
          <w:color w:val="auto"/>
          <w:sz w:val="24"/>
          <w:szCs w:val="24"/>
          <w:highlight w:val="none"/>
        </w:rPr>
      </w:pPr>
      <w:bookmarkStart w:id="161" w:name="_Toc301187623"/>
      <w:r>
        <w:rPr>
          <w:rFonts w:hint="eastAsia" w:ascii="仿宋" w:hAnsi="仿宋" w:eastAsia="仿宋" w:cs="仿宋"/>
          <w:color w:val="auto"/>
          <w:sz w:val="24"/>
          <w:szCs w:val="24"/>
          <w:highlight w:val="none"/>
        </w:rPr>
        <w:t>2.1.6   第六章  评审办法及标准</w:t>
      </w:r>
      <w:bookmarkEnd w:id="161"/>
      <w:r>
        <w:rPr>
          <w:rFonts w:hint="eastAsia" w:ascii="仿宋" w:hAnsi="仿宋" w:eastAsia="仿宋" w:cs="仿宋"/>
          <w:color w:val="auto"/>
          <w:sz w:val="24"/>
          <w:szCs w:val="24"/>
          <w:highlight w:val="none"/>
        </w:rPr>
        <w:t>；</w:t>
      </w:r>
    </w:p>
    <w:p>
      <w:pPr>
        <w:spacing w:line="360" w:lineRule="auto"/>
        <w:ind w:left="960" w:hanging="960" w:hangingChars="400"/>
        <w:rPr>
          <w:rFonts w:ascii="仿宋" w:hAnsi="仿宋" w:eastAsia="仿宋" w:cs="仿宋"/>
          <w:color w:val="auto"/>
          <w:sz w:val="24"/>
          <w:szCs w:val="24"/>
          <w:highlight w:val="none"/>
        </w:rPr>
      </w:pPr>
      <w:bookmarkStart w:id="162" w:name="_Toc301187624"/>
      <w:r>
        <w:rPr>
          <w:rFonts w:hint="eastAsia" w:ascii="仿宋" w:hAnsi="仿宋" w:eastAsia="仿宋" w:cs="仿宋"/>
          <w:color w:val="auto"/>
          <w:sz w:val="24"/>
          <w:szCs w:val="24"/>
          <w:highlight w:val="none"/>
        </w:rPr>
        <w:t>2.1.7   本项目磋商文件的澄清、修改的内容</w:t>
      </w:r>
      <w:bookmarkEnd w:id="162"/>
      <w:r>
        <w:rPr>
          <w:rFonts w:hint="eastAsia" w:ascii="仿宋" w:hAnsi="仿宋" w:eastAsia="仿宋" w:cs="仿宋"/>
          <w:color w:val="auto"/>
          <w:sz w:val="24"/>
          <w:szCs w:val="24"/>
          <w:highlight w:val="none"/>
        </w:rPr>
        <w:t>。</w:t>
      </w:r>
    </w:p>
    <w:p>
      <w:pPr>
        <w:pStyle w:val="26"/>
        <w:rPr>
          <w:rFonts w:ascii="仿宋" w:hAnsi="仿宋" w:eastAsia="仿宋" w:cs="仿宋"/>
          <w:color w:val="auto"/>
          <w:highlight w:val="none"/>
        </w:rPr>
      </w:pPr>
      <w:bookmarkStart w:id="163" w:name="_Toc531358996"/>
      <w:bookmarkStart w:id="164" w:name="_Toc530551841"/>
      <w:bookmarkStart w:id="165" w:name="_Toc26968"/>
      <w:r>
        <w:rPr>
          <w:rFonts w:hint="eastAsia" w:ascii="仿宋" w:hAnsi="仿宋" w:eastAsia="仿宋" w:cs="仿宋"/>
          <w:color w:val="auto"/>
          <w:highlight w:val="none"/>
        </w:rPr>
        <w:t>2.2     磋商文件的澄清、修改</w:t>
      </w:r>
      <w:bookmarkEnd w:id="163"/>
      <w:bookmarkEnd w:id="164"/>
      <w:bookmarkEnd w:id="165"/>
    </w:p>
    <w:p>
      <w:pPr>
        <w:spacing w:line="360" w:lineRule="auto"/>
        <w:ind w:left="960" w:hanging="960" w:hangingChars="4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2.2.1   </w:t>
      </w:r>
      <w:r>
        <w:rPr>
          <w:rFonts w:hint="eastAsia" w:ascii="仿宋" w:hAnsi="仿宋" w:eastAsia="仿宋" w:cs="仿宋"/>
          <w:color w:val="auto"/>
          <w:sz w:val="24"/>
          <w:szCs w:val="24"/>
          <w:highlight w:val="none"/>
        </w:rPr>
        <w:t>供应商应仔细阅读和检查磋商文件的全部内容。发现其中有误或有不合理要求的，应当在磋商文件的澄清、修改截止时间前以书面形式要求采购人或采购代理机构对磋商文件予以澄清、修改；</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bCs/>
          <w:color w:val="auto"/>
          <w:sz w:val="24"/>
          <w:highlight w:val="none"/>
        </w:rPr>
        <w:t>2.2.2   澄清或修改内容可能影响磋商响应文件编制的，采购代理机构</w:t>
      </w:r>
      <w:r>
        <w:rPr>
          <w:rFonts w:hint="eastAsia" w:ascii="仿宋" w:hAnsi="仿宋" w:eastAsia="仿宋" w:cs="仿宋"/>
          <w:color w:val="auto"/>
          <w:sz w:val="24"/>
          <w:highlight w:val="none"/>
        </w:rPr>
        <w:t>在</w:t>
      </w:r>
      <w:r>
        <w:rPr>
          <w:rFonts w:hint="eastAsia" w:ascii="仿宋" w:hAnsi="仿宋" w:eastAsia="仿宋" w:cs="仿宋"/>
          <w:color w:val="auto"/>
          <w:sz w:val="24"/>
          <w:szCs w:val="24"/>
          <w:highlight w:val="none"/>
        </w:rPr>
        <w:t>响应文件提交</w:t>
      </w:r>
      <w:r>
        <w:rPr>
          <w:rFonts w:hint="eastAsia" w:ascii="仿宋" w:hAnsi="仿宋" w:eastAsia="仿宋" w:cs="仿宋"/>
          <w:bCs/>
          <w:color w:val="auto"/>
          <w:sz w:val="24"/>
          <w:szCs w:val="24"/>
          <w:highlight w:val="none"/>
        </w:rPr>
        <w:t>截止时间</w:t>
      </w:r>
      <w:r>
        <w:rPr>
          <w:rFonts w:hint="eastAsia" w:ascii="仿宋" w:hAnsi="仿宋" w:eastAsia="仿宋" w:cs="仿宋"/>
          <w:color w:val="auto"/>
          <w:sz w:val="24"/>
          <w:highlight w:val="none"/>
        </w:rPr>
        <w:t>5日前，将以发布更正公告的形式通知各潜在的供应商。不足5日的，采购代理机构有权顺延</w:t>
      </w:r>
      <w:r>
        <w:rPr>
          <w:rFonts w:hint="eastAsia" w:ascii="仿宋" w:hAnsi="仿宋" w:eastAsia="仿宋" w:cs="仿宋"/>
          <w:color w:val="auto"/>
          <w:sz w:val="24"/>
          <w:szCs w:val="24"/>
          <w:highlight w:val="none"/>
        </w:rPr>
        <w:t>响应文件提交</w:t>
      </w:r>
      <w:r>
        <w:rPr>
          <w:rFonts w:hint="eastAsia" w:ascii="仿宋" w:hAnsi="仿宋" w:eastAsia="仿宋" w:cs="仿宋"/>
          <w:bCs/>
          <w:color w:val="auto"/>
          <w:sz w:val="24"/>
          <w:szCs w:val="24"/>
          <w:highlight w:val="none"/>
        </w:rPr>
        <w:t>截止时间</w:t>
      </w:r>
      <w:r>
        <w:rPr>
          <w:rFonts w:hint="eastAsia" w:ascii="仿宋" w:hAnsi="仿宋" w:eastAsia="仿宋" w:cs="仿宋"/>
          <w:color w:val="auto"/>
          <w:sz w:val="24"/>
          <w:highlight w:val="none"/>
        </w:rPr>
        <w:t>；</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2.2.3   响应文件提交</w:t>
      </w:r>
      <w:r>
        <w:rPr>
          <w:rFonts w:hint="eastAsia" w:ascii="仿宋" w:hAnsi="仿宋" w:eastAsia="仿宋" w:cs="仿宋"/>
          <w:bCs/>
          <w:color w:val="auto"/>
          <w:sz w:val="24"/>
          <w:szCs w:val="24"/>
          <w:highlight w:val="none"/>
        </w:rPr>
        <w:t>截止时间</w:t>
      </w:r>
      <w:r>
        <w:rPr>
          <w:rFonts w:hint="eastAsia" w:ascii="仿宋" w:hAnsi="仿宋" w:eastAsia="仿宋" w:cs="仿宋"/>
          <w:color w:val="auto"/>
          <w:sz w:val="24"/>
          <w:szCs w:val="24"/>
          <w:highlight w:val="none"/>
        </w:rPr>
        <w:t>前，采购代理机构可以对发出的磋商文件进行必要的澄清或修改，澄清或修改后的补充文件，作为磋商文件的组成部分，对各供应商起同等约束作用；</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2.2.4   澄清、修改等更正内容发布网址：见供应商须知前附表（一）；</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2.2.5   当磋商文件与澄清或修改文件就同一内容的表述不一致时，以最后发出的澄清或修改文件为准。</w:t>
      </w:r>
    </w:p>
    <w:p>
      <w:pPr>
        <w:pStyle w:val="16"/>
        <w:spacing w:beforeLines="100" w:after="240" w:afterLines="100"/>
        <w:jc w:val="left"/>
        <w:outlineLvl w:val="1"/>
        <w:rPr>
          <w:rFonts w:ascii="仿宋" w:hAnsi="仿宋" w:eastAsia="仿宋" w:cs="仿宋"/>
          <w:color w:val="auto"/>
          <w:sz w:val="30"/>
          <w:szCs w:val="30"/>
          <w:highlight w:val="none"/>
        </w:rPr>
      </w:pPr>
      <w:bookmarkStart w:id="166" w:name="_Toc531358997"/>
      <w:bookmarkStart w:id="167" w:name="_Toc530551842"/>
      <w:bookmarkStart w:id="168" w:name="_Toc12000"/>
      <w:r>
        <w:rPr>
          <w:rFonts w:hint="eastAsia" w:ascii="仿宋" w:hAnsi="仿宋" w:eastAsia="仿宋" w:cs="仿宋"/>
          <w:color w:val="auto"/>
          <w:sz w:val="30"/>
          <w:szCs w:val="30"/>
          <w:highlight w:val="none"/>
        </w:rPr>
        <w:t>三    磋商响应文件</w:t>
      </w:r>
      <w:bookmarkEnd w:id="166"/>
      <w:bookmarkEnd w:id="167"/>
      <w:bookmarkEnd w:id="168"/>
    </w:p>
    <w:p>
      <w:pPr>
        <w:pStyle w:val="26"/>
        <w:rPr>
          <w:rFonts w:ascii="仿宋" w:hAnsi="仿宋" w:eastAsia="仿宋" w:cs="仿宋"/>
          <w:color w:val="auto"/>
          <w:highlight w:val="none"/>
        </w:rPr>
      </w:pPr>
      <w:bookmarkStart w:id="169" w:name="_Toc27679"/>
      <w:bookmarkStart w:id="170" w:name="_Toc34895545"/>
      <w:r>
        <w:rPr>
          <w:rFonts w:hint="eastAsia" w:ascii="仿宋" w:hAnsi="仿宋" w:eastAsia="仿宋" w:cs="仿宋"/>
          <w:color w:val="auto"/>
          <w:highlight w:val="none"/>
        </w:rPr>
        <w:t xml:space="preserve">3.1   </w:t>
      </w:r>
      <w:bookmarkStart w:id="171" w:name="_Toc18592302"/>
      <w:r>
        <w:rPr>
          <w:rFonts w:hint="eastAsia" w:ascii="仿宋" w:hAnsi="仿宋" w:eastAsia="仿宋" w:cs="仿宋"/>
          <w:color w:val="auto"/>
          <w:highlight w:val="none"/>
        </w:rPr>
        <w:t xml:space="preserve">  磋商响应文件的形式和效力</w:t>
      </w:r>
      <w:bookmarkEnd w:id="169"/>
      <w:bookmarkEnd w:id="170"/>
      <w:bookmarkEnd w:id="171"/>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3.1.1   磋商响应文件形式：电子磋商响应文件（包括“电子加密磋商响应文件”和“备份磋商响应文件”，“电子加密磋商响应文件”和“备份磋商响应文件”在磋商响应文件编制完成后同时生成）。</w:t>
      </w:r>
    </w:p>
    <w:p>
      <w:pPr>
        <w:spacing w:line="360" w:lineRule="auto"/>
        <w:ind w:left="960" w:hanging="960" w:hangingChars="4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3.1.2   磋商响应文件的效力：“电子加密磋商响应文件”和“备份磋商响应文件”具有同等效力，数据电文内容应完全一致。</w:t>
      </w:r>
    </w:p>
    <w:p>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3.1.3   </w:t>
      </w:r>
      <w:r>
        <w:rPr>
          <w:rFonts w:hint="eastAsia" w:ascii="仿宋" w:hAnsi="仿宋" w:eastAsia="仿宋" w:cs="仿宋"/>
          <w:color w:val="auto"/>
          <w:sz w:val="24"/>
          <w:szCs w:val="24"/>
          <w:highlight w:val="none"/>
        </w:rPr>
        <w:sym w:font="Wingdings 3" w:char="F070"/>
      </w:r>
      <w:r>
        <w:rPr>
          <w:rFonts w:hint="eastAsia" w:ascii="仿宋" w:hAnsi="仿宋" w:eastAsia="仿宋" w:cs="仿宋"/>
          <w:color w:val="auto"/>
          <w:sz w:val="24"/>
          <w:szCs w:val="24"/>
          <w:highlight w:val="none"/>
        </w:rPr>
        <w:t>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pPr>
        <w:pStyle w:val="26"/>
        <w:rPr>
          <w:rFonts w:ascii="仿宋" w:hAnsi="仿宋" w:eastAsia="仿宋" w:cs="仿宋"/>
          <w:color w:val="auto"/>
          <w:highlight w:val="none"/>
        </w:rPr>
      </w:pPr>
      <w:bookmarkStart w:id="172" w:name="_Toc19281"/>
      <w:bookmarkStart w:id="173" w:name="_Toc531358998"/>
      <w:bookmarkStart w:id="174" w:name="_Toc530551843"/>
      <w:r>
        <w:rPr>
          <w:rFonts w:hint="eastAsia" w:ascii="仿宋" w:hAnsi="仿宋" w:eastAsia="仿宋" w:cs="仿宋"/>
          <w:color w:val="auto"/>
          <w:highlight w:val="none"/>
        </w:rPr>
        <w:t>3.2     在线磋商响应（电子投标）说明</w:t>
      </w:r>
      <w:bookmarkEnd w:id="172"/>
    </w:p>
    <w:p>
      <w:pPr>
        <w:wordWrap w:val="0"/>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3.2.1   本项目通过政府采购云平台实行电子磋商，应按照本项目磋商文件和政府采购云平台的要求编制；供应商在使用系统进行磋商的过程中遇到涉及平台使用的任何问题，可致电政府采购云平台技术支持热线咨询，联系方式：400-881-7190。</w:t>
      </w:r>
    </w:p>
    <w:p>
      <w:pPr>
        <w:wordWrap w:val="0"/>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3.2.2   标前准备：各供应商应在开标前确保成为浙江省政府采购网正式注册入库供应商，并完成CA数字证书办理（办理流程详见电子投标工具链接：</w:t>
      </w: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仿宋" w:hAnsi="仿宋" w:eastAsia="仿宋" w:cs="仿宋"/>
          <w:color w:val="auto"/>
          <w:sz w:val="24"/>
          <w:szCs w:val="24"/>
          <w:highlight w:val="none"/>
        </w:rPr>
        <w:t>http://zfcg.czt.zj.gov.cn/bidClientTemplate/2019-05-27/12945.html</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）。因未注册入库、未办理CA数字证书等原因造成无法磋商或磋商失败等后果由供应商自行承担。</w:t>
      </w:r>
    </w:p>
    <w:p>
      <w:pPr>
        <w:wordWrap w:val="0"/>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3.2.3   磋商响应文件制作：供应商通过政府采购云平台电子投标工具制作磋商响应文件，电子投标工具请供应商自行前往浙江省政府采购网下载并安装（下载网址：http://</w:t>
      </w: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仿宋" w:hAnsi="仿宋" w:eastAsia="仿宋" w:cs="仿宋"/>
          <w:color w:val="auto"/>
          <w:sz w:val="24"/>
          <w:szCs w:val="24"/>
          <w:highlight w:val="none"/>
        </w:rPr>
        <w:t>zfcg.czt.zj.gov.cn/bidClientTemplate/2019-09-24/12975.html</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），电子投标具体流程文档详见网址：</w:t>
      </w:r>
      <w:r>
        <w:rPr>
          <w:color w:val="auto"/>
          <w:highlight w:val="none"/>
        </w:rPr>
        <w:fldChar w:fldCharType="begin"/>
      </w:r>
      <w:r>
        <w:rPr>
          <w:color w:val="auto"/>
          <w:highlight w:val="none"/>
        </w:rPr>
        <w:instrText xml:space="preserve"> HYPERLINK "https://service.zcygov.cn/" \l "/knowledges/CW1EtGwBFdiHxlNd6I3m/6IMVAG0BFdiHxlNdQ8Na" </w:instrText>
      </w:r>
      <w:r>
        <w:rPr>
          <w:color w:val="auto"/>
          <w:highlight w:val="none"/>
        </w:rPr>
        <w:fldChar w:fldCharType="separate"/>
      </w:r>
      <w:r>
        <w:rPr>
          <w:rFonts w:hint="eastAsia" w:ascii="仿宋" w:hAnsi="仿宋" w:eastAsia="仿宋" w:cs="仿宋"/>
          <w:color w:val="auto"/>
          <w:sz w:val="24"/>
          <w:szCs w:val="24"/>
          <w:highlight w:val="none"/>
        </w:rPr>
        <w:t>https://se</w:t>
      </w:r>
      <w:bookmarkStart w:id="175" w:name="_Hlt34897594"/>
      <w:r>
        <w:rPr>
          <w:rFonts w:hint="eastAsia" w:ascii="仿宋" w:hAnsi="仿宋" w:eastAsia="仿宋" w:cs="仿宋"/>
          <w:color w:val="auto"/>
          <w:sz w:val="24"/>
          <w:szCs w:val="24"/>
          <w:highlight w:val="none"/>
        </w:rPr>
        <w:t>r</w:t>
      </w:r>
      <w:bookmarkEnd w:id="175"/>
      <w:r>
        <w:rPr>
          <w:rFonts w:hint="eastAsia" w:ascii="仿宋" w:hAnsi="仿宋" w:eastAsia="仿宋" w:cs="仿宋"/>
          <w:color w:val="auto"/>
          <w:sz w:val="24"/>
          <w:szCs w:val="24"/>
          <w:highlight w:val="none"/>
        </w:rPr>
        <w:t>vice.zcygov.cn/#/knowledges/CW1EtGwBFdiHxlNd6I3m/6IMVAG0BFdiHxlNdQ8Na</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pPr>
        <w:wordWrap w:val="0"/>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3.2.4   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pPr>
        <w:pStyle w:val="26"/>
        <w:rPr>
          <w:rFonts w:ascii="仿宋" w:hAnsi="仿宋" w:eastAsia="仿宋" w:cs="仿宋"/>
          <w:color w:val="auto"/>
          <w:highlight w:val="none"/>
        </w:rPr>
      </w:pPr>
      <w:bookmarkStart w:id="176" w:name="_Toc26523"/>
      <w:r>
        <w:rPr>
          <w:rFonts w:hint="eastAsia" w:ascii="仿宋" w:hAnsi="仿宋" w:eastAsia="仿宋" w:cs="仿宋"/>
          <w:color w:val="auto"/>
          <w:highlight w:val="none"/>
        </w:rPr>
        <w:t>3.3     磋商响应文件组成</w:t>
      </w:r>
      <w:bookmarkEnd w:id="173"/>
      <w:bookmarkEnd w:id="174"/>
      <w:bookmarkEnd w:id="176"/>
    </w:p>
    <w:p>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磋商响应文件由资格审查文件、资信商务及技术文件、报价文件三部分组成。</w:t>
      </w:r>
    </w:p>
    <w:p>
      <w:pPr>
        <w:pStyle w:val="26"/>
        <w:rPr>
          <w:rFonts w:ascii="仿宋" w:hAnsi="仿宋" w:eastAsia="仿宋" w:cs="仿宋"/>
          <w:color w:val="auto"/>
          <w:highlight w:val="none"/>
        </w:rPr>
      </w:pPr>
      <w:bookmarkStart w:id="177" w:name="_Toc10509"/>
      <w:bookmarkStart w:id="178" w:name="_Toc531358999"/>
      <w:bookmarkStart w:id="179" w:name="_Toc530551844"/>
      <w:r>
        <w:rPr>
          <w:rFonts w:hint="eastAsia" w:ascii="仿宋" w:hAnsi="仿宋" w:eastAsia="仿宋" w:cs="仿宋"/>
          <w:color w:val="auto"/>
          <w:highlight w:val="none"/>
        </w:rPr>
        <w:t>3.4     资格审查文件的组成</w:t>
      </w:r>
      <w:bookmarkEnd w:id="177"/>
      <w:bookmarkEnd w:id="178"/>
      <w:bookmarkEnd w:id="179"/>
    </w:p>
    <w:p>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资格审查文件的组成：见供应商须知前附表（一）。</w:t>
      </w:r>
    </w:p>
    <w:p>
      <w:pPr>
        <w:pStyle w:val="26"/>
        <w:rPr>
          <w:rFonts w:ascii="仿宋" w:hAnsi="仿宋" w:eastAsia="仿宋" w:cs="仿宋"/>
          <w:color w:val="auto"/>
          <w:highlight w:val="none"/>
        </w:rPr>
      </w:pPr>
      <w:bookmarkStart w:id="180" w:name="_Toc5625"/>
      <w:bookmarkStart w:id="181" w:name="_Toc530551845"/>
      <w:bookmarkStart w:id="182" w:name="_Toc531359000"/>
      <w:r>
        <w:rPr>
          <w:rFonts w:hint="eastAsia" w:ascii="仿宋" w:hAnsi="仿宋" w:eastAsia="仿宋" w:cs="仿宋"/>
          <w:color w:val="auto"/>
          <w:highlight w:val="none"/>
        </w:rPr>
        <w:t>3.5     资信商务及技术文件的组成</w:t>
      </w:r>
      <w:bookmarkEnd w:id="180"/>
      <w:bookmarkEnd w:id="181"/>
      <w:bookmarkEnd w:id="182"/>
    </w:p>
    <w:p>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资信商务及技术文件的组成：见供应商须知前附表（一）。</w:t>
      </w:r>
    </w:p>
    <w:p>
      <w:pPr>
        <w:pStyle w:val="26"/>
        <w:rPr>
          <w:rFonts w:ascii="仿宋" w:hAnsi="仿宋" w:eastAsia="仿宋" w:cs="仿宋"/>
          <w:color w:val="auto"/>
          <w:highlight w:val="none"/>
        </w:rPr>
      </w:pPr>
      <w:bookmarkStart w:id="183" w:name="_Toc531359001"/>
      <w:bookmarkStart w:id="184" w:name="_Toc7901"/>
      <w:bookmarkStart w:id="185" w:name="_Toc530551846"/>
      <w:r>
        <w:rPr>
          <w:rFonts w:hint="eastAsia" w:ascii="仿宋" w:hAnsi="仿宋" w:eastAsia="仿宋" w:cs="仿宋"/>
          <w:color w:val="auto"/>
          <w:highlight w:val="none"/>
        </w:rPr>
        <w:t>3.6     报价文件的组成</w:t>
      </w:r>
      <w:bookmarkEnd w:id="183"/>
      <w:bookmarkEnd w:id="184"/>
      <w:bookmarkEnd w:id="185"/>
    </w:p>
    <w:p>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报价文件的组成：见供应商须知前附表（一）。</w:t>
      </w:r>
    </w:p>
    <w:p>
      <w:pPr>
        <w:pStyle w:val="16"/>
        <w:spacing w:beforeLines="100" w:after="240" w:afterLines="100"/>
        <w:jc w:val="left"/>
        <w:outlineLvl w:val="1"/>
        <w:rPr>
          <w:rFonts w:ascii="仿宋" w:hAnsi="仿宋" w:eastAsia="仿宋" w:cs="仿宋"/>
          <w:color w:val="auto"/>
          <w:sz w:val="30"/>
          <w:szCs w:val="30"/>
          <w:highlight w:val="none"/>
        </w:rPr>
      </w:pPr>
      <w:bookmarkStart w:id="186" w:name="_Toc10981"/>
      <w:bookmarkStart w:id="187" w:name="_Toc531359002"/>
      <w:bookmarkStart w:id="188" w:name="_Toc530551847"/>
      <w:r>
        <w:rPr>
          <w:rFonts w:hint="eastAsia" w:ascii="仿宋" w:hAnsi="仿宋" w:eastAsia="仿宋" w:cs="仿宋"/>
          <w:color w:val="auto"/>
          <w:sz w:val="30"/>
          <w:szCs w:val="30"/>
          <w:highlight w:val="none"/>
        </w:rPr>
        <w:t>四    磋商响应文件的编制</w:t>
      </w:r>
      <w:bookmarkEnd w:id="186"/>
      <w:bookmarkEnd w:id="187"/>
      <w:bookmarkEnd w:id="188"/>
    </w:p>
    <w:p>
      <w:pPr>
        <w:pStyle w:val="26"/>
        <w:rPr>
          <w:rFonts w:ascii="仿宋" w:hAnsi="仿宋" w:eastAsia="仿宋" w:cs="仿宋"/>
          <w:color w:val="auto"/>
          <w:highlight w:val="none"/>
        </w:rPr>
      </w:pPr>
      <w:bookmarkStart w:id="189" w:name="_Toc530551849"/>
      <w:bookmarkStart w:id="190" w:name="_Toc4516"/>
      <w:bookmarkStart w:id="191" w:name="_Toc531359004"/>
      <w:r>
        <w:rPr>
          <w:rFonts w:hint="eastAsia" w:ascii="仿宋" w:hAnsi="仿宋" w:eastAsia="仿宋" w:cs="仿宋"/>
          <w:color w:val="auto"/>
          <w:highlight w:val="none"/>
        </w:rPr>
        <w:t>4.1     磋商响应文件编制</w:t>
      </w:r>
      <w:bookmarkEnd w:id="189"/>
      <w:bookmarkEnd w:id="190"/>
      <w:bookmarkEnd w:id="191"/>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4.1.1   </w:t>
      </w:r>
      <w:r>
        <w:rPr>
          <w:rFonts w:hint="eastAsia" w:ascii="仿宋" w:hAnsi="仿宋" w:eastAsia="仿宋" w:cs="仿宋"/>
          <w:color w:val="auto"/>
          <w:sz w:val="24"/>
          <w:highlight w:val="none"/>
        </w:rPr>
        <w:sym w:font="Wingdings 3" w:char="F070"/>
      </w:r>
      <w:r>
        <w:rPr>
          <w:rFonts w:hint="eastAsia" w:ascii="仿宋" w:hAnsi="仿宋" w:eastAsia="仿宋" w:cs="仿宋"/>
          <w:color w:val="auto"/>
          <w:sz w:val="24"/>
          <w:highlight w:val="none"/>
        </w:rPr>
        <w:t>本磋商文件中若有多标项的，若参与多标项磋商的，则按每个标项分别独立编制磋商响应文件；</w:t>
      </w:r>
    </w:p>
    <w:p>
      <w:pPr>
        <w:wordWrap w:val="0"/>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4.1.2   电子磋商响应文件编制请按政府采购云平台供应商项目采购-电子招投标操作指南（网址：</w:t>
      </w:r>
      <w:r>
        <w:rPr>
          <w:color w:val="auto"/>
          <w:highlight w:val="none"/>
        </w:rPr>
        <w:fldChar w:fldCharType="begin"/>
      </w:r>
      <w:r>
        <w:rPr>
          <w:color w:val="auto"/>
          <w:highlight w:val="none"/>
        </w:rPr>
        <w:instrText xml:space="preserve"> HYPERLINK "https://service.zcygov.cn/" \l "/knowledges/CW1EtGwBFdiHxlNd6I3m/6IMVAG0BFdiHxlNdQ8Na" </w:instrText>
      </w:r>
      <w:r>
        <w:rPr>
          <w:color w:val="auto"/>
          <w:highlight w:val="none"/>
        </w:rPr>
        <w:fldChar w:fldCharType="separate"/>
      </w:r>
      <w:r>
        <w:rPr>
          <w:rStyle w:val="23"/>
          <w:rFonts w:hint="eastAsia" w:ascii="仿宋" w:hAnsi="仿宋" w:eastAsia="仿宋" w:cs="仿宋"/>
          <w:color w:val="auto"/>
          <w:sz w:val="24"/>
          <w:highlight w:val="none"/>
        </w:rPr>
        <w:t>https://service.zcygov.cn/#/knowledges/CW1EtGwBFdiHxlNd6I3m/6IMVAG0BFdiHxlNdQ8Na</w:t>
      </w:r>
      <w:r>
        <w:rPr>
          <w:rStyle w:val="23"/>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）和本磋商文件要求编制并进行关联定位。</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4.1.3   供应商应按磋商文件的要求提供相关资料，并对磋商文件中提出的所有内容要求给予明确响应，须保证磋商响应文件的准确、真实、明确。磋商响应文件响应内容对磋商文件要求如有偏离均应填写偏离表，如不填写，磋商小组有权视作磋商响应文件不完全响应磋商文件要求；</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4.1.4   磋商响应文件编制时应有正确的索引目录及连续页码标注；</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4.1.5   磋商响应文件须清晰可辨，因模糊不清所引起的后果由供应商自行负责。</w:t>
      </w:r>
    </w:p>
    <w:p>
      <w:pPr>
        <w:pStyle w:val="26"/>
        <w:rPr>
          <w:rFonts w:ascii="仿宋" w:hAnsi="仿宋" w:eastAsia="仿宋" w:cs="仿宋"/>
          <w:color w:val="auto"/>
          <w:highlight w:val="none"/>
        </w:rPr>
      </w:pPr>
      <w:bookmarkStart w:id="192" w:name="_Toc530551850"/>
      <w:bookmarkStart w:id="193" w:name="_Toc17"/>
      <w:bookmarkStart w:id="194" w:name="_Toc531359005"/>
      <w:r>
        <w:rPr>
          <w:rFonts w:hint="eastAsia" w:ascii="仿宋" w:hAnsi="仿宋" w:eastAsia="仿宋" w:cs="仿宋"/>
          <w:color w:val="auto"/>
          <w:highlight w:val="none"/>
        </w:rPr>
        <w:t>4.2     磋商报价要求</w:t>
      </w:r>
      <w:bookmarkEnd w:id="192"/>
      <w:bookmarkEnd w:id="193"/>
      <w:bookmarkEnd w:id="194"/>
    </w:p>
    <w:p>
      <w:pPr>
        <w:spacing w:line="360" w:lineRule="auto"/>
        <w:ind w:left="960" w:hanging="960" w:hangingChars="400"/>
        <w:rPr>
          <w:rFonts w:ascii="仿宋" w:hAnsi="仿宋" w:eastAsia="仿宋" w:cs="仿宋"/>
          <w:bCs/>
          <w:color w:val="auto"/>
          <w:sz w:val="24"/>
          <w:highlight w:val="none"/>
        </w:rPr>
      </w:pPr>
      <w:r>
        <w:rPr>
          <w:rFonts w:hint="eastAsia" w:ascii="仿宋" w:hAnsi="仿宋" w:eastAsia="仿宋" w:cs="仿宋"/>
          <w:color w:val="auto"/>
          <w:sz w:val="24"/>
          <w:highlight w:val="none"/>
        </w:rPr>
        <w:t xml:space="preserve">4.2.1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磋商报价是履行合同的最终价格，为</w:t>
      </w:r>
      <w:r>
        <w:rPr>
          <w:rFonts w:hint="eastAsia" w:ascii="仿宋" w:hAnsi="仿宋" w:eastAsia="仿宋" w:cs="仿宋"/>
          <w:bCs/>
          <w:color w:val="auto"/>
          <w:sz w:val="24"/>
          <w:highlight w:val="none"/>
        </w:rPr>
        <w:t>实施本项目所需的一切费用；</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4.2.2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每轮磋商只允许有一个报价，有选择的或有条件的报价将不予接受。</w:t>
      </w:r>
    </w:p>
    <w:p>
      <w:pPr>
        <w:pStyle w:val="26"/>
        <w:rPr>
          <w:rFonts w:ascii="仿宋" w:hAnsi="仿宋" w:eastAsia="仿宋" w:cs="仿宋"/>
          <w:color w:val="auto"/>
          <w:highlight w:val="none"/>
        </w:rPr>
      </w:pPr>
      <w:bookmarkStart w:id="195" w:name="_Toc531359008"/>
      <w:bookmarkStart w:id="196" w:name="_Toc530551853"/>
      <w:bookmarkStart w:id="197" w:name="_Toc17212"/>
      <w:r>
        <w:rPr>
          <w:rFonts w:hint="eastAsia" w:ascii="仿宋" w:hAnsi="仿宋" w:eastAsia="仿宋" w:cs="仿宋"/>
          <w:color w:val="auto"/>
          <w:highlight w:val="none"/>
        </w:rPr>
        <w:t>4.3     磋商有效期</w:t>
      </w:r>
      <w:bookmarkEnd w:id="195"/>
      <w:bookmarkEnd w:id="196"/>
      <w:bookmarkEnd w:id="197"/>
    </w:p>
    <w:p>
      <w:pPr>
        <w:spacing w:line="360" w:lineRule="auto"/>
        <w:ind w:left="960" w:hanging="960" w:hangingChars="400"/>
        <w:rPr>
          <w:rFonts w:ascii="仿宋" w:hAnsi="仿宋" w:eastAsia="仿宋" w:cs="仿宋"/>
          <w:color w:val="auto"/>
          <w:sz w:val="24"/>
          <w:highlight w:val="none"/>
        </w:rPr>
      </w:pPr>
      <w:bookmarkStart w:id="198" w:name="_Toc301187640"/>
      <w:r>
        <w:rPr>
          <w:rFonts w:hint="eastAsia" w:ascii="仿宋" w:hAnsi="仿宋" w:eastAsia="仿宋" w:cs="仿宋"/>
          <w:color w:val="auto"/>
          <w:sz w:val="24"/>
          <w:highlight w:val="none"/>
        </w:rPr>
        <w:t xml:space="preserve">4.3.1   </w:t>
      </w:r>
      <w:r>
        <w:rPr>
          <w:rFonts w:hint="eastAsia" w:ascii="仿宋" w:hAnsi="仿宋" w:eastAsia="仿宋" w:cs="仿宋"/>
          <w:color w:val="auto"/>
          <w:sz w:val="24"/>
          <w:szCs w:val="24"/>
          <w:highlight w:val="none"/>
        </w:rPr>
        <w:t>▲磋商</w:t>
      </w:r>
      <w:r>
        <w:rPr>
          <w:rFonts w:hint="eastAsia" w:ascii="仿宋" w:hAnsi="仿宋" w:eastAsia="仿宋" w:cs="仿宋"/>
          <w:color w:val="auto"/>
          <w:sz w:val="24"/>
          <w:highlight w:val="none"/>
        </w:rPr>
        <w:t>有效期：见供应商须知前附表（一）。</w:t>
      </w:r>
      <w:r>
        <w:rPr>
          <w:rFonts w:hint="eastAsia" w:ascii="仿宋" w:hAnsi="仿宋" w:eastAsia="仿宋" w:cs="仿宋"/>
          <w:color w:val="auto"/>
          <w:sz w:val="24"/>
          <w:szCs w:val="24"/>
          <w:highlight w:val="none"/>
        </w:rPr>
        <w:t>磋商响应</w:t>
      </w:r>
      <w:r>
        <w:rPr>
          <w:rFonts w:hint="eastAsia" w:ascii="仿宋" w:hAnsi="仿宋" w:eastAsia="仿宋" w:cs="仿宋"/>
          <w:color w:val="auto"/>
          <w:sz w:val="24"/>
          <w:highlight w:val="none"/>
        </w:rPr>
        <w:t>有效期从提交磋商响应文件的截止之日起算。磋商响应文件中承诺的</w:t>
      </w:r>
      <w:r>
        <w:rPr>
          <w:rFonts w:hint="eastAsia" w:ascii="仿宋" w:hAnsi="仿宋" w:eastAsia="仿宋" w:cs="仿宋"/>
          <w:color w:val="auto"/>
          <w:sz w:val="24"/>
          <w:szCs w:val="24"/>
          <w:highlight w:val="none"/>
        </w:rPr>
        <w:t>磋商</w:t>
      </w:r>
      <w:r>
        <w:rPr>
          <w:rFonts w:hint="eastAsia" w:ascii="仿宋" w:hAnsi="仿宋" w:eastAsia="仿宋" w:cs="仿宋"/>
          <w:color w:val="auto"/>
          <w:sz w:val="24"/>
          <w:highlight w:val="none"/>
        </w:rPr>
        <w:t>有效期应当不少于磋商文件中载明的</w:t>
      </w:r>
      <w:r>
        <w:rPr>
          <w:rFonts w:hint="eastAsia" w:ascii="仿宋" w:hAnsi="仿宋" w:eastAsia="仿宋" w:cs="仿宋"/>
          <w:color w:val="auto"/>
          <w:sz w:val="24"/>
          <w:szCs w:val="24"/>
          <w:highlight w:val="none"/>
        </w:rPr>
        <w:t>磋商</w:t>
      </w:r>
      <w:r>
        <w:rPr>
          <w:rFonts w:hint="eastAsia" w:ascii="仿宋" w:hAnsi="仿宋" w:eastAsia="仿宋" w:cs="仿宋"/>
          <w:color w:val="auto"/>
          <w:sz w:val="24"/>
          <w:highlight w:val="none"/>
        </w:rPr>
        <w:t>有效期</w:t>
      </w:r>
      <w:bookmarkEnd w:id="198"/>
      <w:r>
        <w:rPr>
          <w:rFonts w:hint="eastAsia" w:ascii="仿宋" w:hAnsi="仿宋" w:eastAsia="仿宋" w:cs="仿宋"/>
          <w:color w:val="auto"/>
          <w:sz w:val="24"/>
          <w:highlight w:val="none"/>
        </w:rPr>
        <w:t>；</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4.3.2   在特殊情况下，采购人可与供应商协商延长磋商的有效期，这种要求和答复均以书面形式进行。</w:t>
      </w:r>
    </w:p>
    <w:p>
      <w:pPr>
        <w:pStyle w:val="26"/>
        <w:rPr>
          <w:rFonts w:ascii="仿宋" w:hAnsi="仿宋" w:eastAsia="仿宋" w:cs="仿宋"/>
          <w:color w:val="auto"/>
          <w:highlight w:val="none"/>
        </w:rPr>
      </w:pPr>
      <w:bookmarkStart w:id="199" w:name="_Toc530551854"/>
      <w:bookmarkStart w:id="200" w:name="_Toc11036"/>
      <w:bookmarkStart w:id="201" w:name="_Toc531359009"/>
      <w:r>
        <w:rPr>
          <w:rFonts w:hint="eastAsia" w:ascii="仿宋" w:hAnsi="仿宋" w:eastAsia="仿宋" w:cs="仿宋"/>
          <w:color w:val="auto"/>
          <w:highlight w:val="none"/>
        </w:rPr>
        <w:t>4.4     磋商响应文件格式</w:t>
      </w:r>
      <w:bookmarkEnd w:id="199"/>
      <w:bookmarkEnd w:id="200"/>
      <w:bookmarkEnd w:id="201"/>
    </w:p>
    <w:p>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t>磋商响应文件格式见磋商文件“第五章磋商响应文件格式”，磋商响应文件应当按照磋商文件已提供的格式填写，无格式的可自行设计。</w:t>
      </w:r>
    </w:p>
    <w:p>
      <w:pPr>
        <w:pStyle w:val="26"/>
        <w:rPr>
          <w:rFonts w:ascii="仿宋" w:hAnsi="仿宋" w:eastAsia="仿宋" w:cs="仿宋"/>
          <w:color w:val="auto"/>
          <w:highlight w:val="none"/>
        </w:rPr>
      </w:pPr>
      <w:bookmarkStart w:id="202" w:name="_Toc531359010"/>
      <w:bookmarkStart w:id="203" w:name="_Toc2373"/>
      <w:bookmarkStart w:id="204" w:name="_Toc530551855"/>
      <w:r>
        <w:rPr>
          <w:rFonts w:hint="eastAsia" w:ascii="仿宋" w:hAnsi="仿宋" w:eastAsia="仿宋" w:cs="仿宋"/>
          <w:color w:val="auto"/>
          <w:highlight w:val="none"/>
        </w:rPr>
        <w:t>4.5     磋商响应文件份数及签署</w:t>
      </w:r>
      <w:bookmarkEnd w:id="202"/>
      <w:bookmarkEnd w:id="203"/>
      <w:bookmarkEnd w:id="204"/>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4.5.1   </w:t>
      </w:r>
      <w:r>
        <w:rPr>
          <w:rFonts w:hint="eastAsia" w:ascii="仿宋" w:hAnsi="仿宋" w:eastAsia="仿宋" w:cs="仿宋"/>
          <w:color w:val="auto"/>
          <w:sz w:val="24"/>
          <w:highlight w:val="none"/>
        </w:rPr>
        <w:sym w:font="Wingdings 3" w:char="F070"/>
      </w:r>
      <w:r>
        <w:rPr>
          <w:rFonts w:hint="eastAsia" w:ascii="仿宋" w:hAnsi="仿宋" w:eastAsia="仿宋" w:cs="仿宋"/>
          <w:color w:val="auto"/>
          <w:sz w:val="24"/>
          <w:highlight w:val="none"/>
        </w:rPr>
        <w:t>磋商响应文件份数：见供应商须知前附表（一）；</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4.5.2   磋商响应文件中所须加盖公章部分均采用CA签章。</w:t>
      </w:r>
    </w:p>
    <w:p>
      <w:pPr>
        <w:pStyle w:val="16"/>
        <w:spacing w:beforeLines="100" w:after="240" w:afterLines="100"/>
        <w:jc w:val="left"/>
        <w:outlineLvl w:val="1"/>
        <w:rPr>
          <w:rFonts w:ascii="仿宋" w:hAnsi="仿宋" w:eastAsia="仿宋" w:cs="仿宋"/>
          <w:color w:val="auto"/>
          <w:sz w:val="30"/>
          <w:szCs w:val="30"/>
          <w:highlight w:val="none"/>
        </w:rPr>
      </w:pPr>
      <w:bookmarkStart w:id="205" w:name="_Toc28569"/>
      <w:bookmarkStart w:id="206" w:name="_Toc531359011"/>
      <w:bookmarkStart w:id="207" w:name="_Toc530551856"/>
      <w:r>
        <w:rPr>
          <w:rFonts w:hint="eastAsia" w:ascii="仿宋" w:hAnsi="仿宋" w:eastAsia="仿宋" w:cs="仿宋"/>
          <w:color w:val="auto"/>
          <w:sz w:val="30"/>
          <w:szCs w:val="30"/>
          <w:highlight w:val="none"/>
        </w:rPr>
        <w:t>五    磋商响应文件的提交</w:t>
      </w:r>
      <w:bookmarkEnd w:id="205"/>
      <w:bookmarkEnd w:id="206"/>
      <w:bookmarkEnd w:id="207"/>
    </w:p>
    <w:p>
      <w:pPr>
        <w:pStyle w:val="26"/>
        <w:rPr>
          <w:rFonts w:ascii="仿宋" w:hAnsi="仿宋" w:eastAsia="仿宋" w:cs="仿宋"/>
          <w:color w:val="auto"/>
          <w:highlight w:val="none"/>
        </w:rPr>
      </w:pPr>
      <w:bookmarkStart w:id="208" w:name="_Toc531359012"/>
      <w:bookmarkStart w:id="209" w:name="_Toc530551857"/>
      <w:bookmarkStart w:id="210" w:name="_Toc13215"/>
      <w:bookmarkStart w:id="211" w:name="_Toc34895557"/>
      <w:r>
        <w:rPr>
          <w:rFonts w:hint="eastAsia" w:ascii="仿宋" w:hAnsi="仿宋" w:eastAsia="仿宋" w:cs="仿宋"/>
          <w:color w:val="auto"/>
          <w:highlight w:val="none"/>
        </w:rPr>
        <w:t>5.1     磋商响应文件导入</w:t>
      </w:r>
      <w:bookmarkEnd w:id="208"/>
      <w:bookmarkEnd w:id="209"/>
      <w:r>
        <w:rPr>
          <w:rFonts w:hint="eastAsia" w:ascii="仿宋" w:hAnsi="仿宋" w:eastAsia="仿宋" w:cs="仿宋"/>
          <w:color w:val="auto"/>
          <w:highlight w:val="none"/>
        </w:rPr>
        <w:t>和加密</w:t>
      </w:r>
      <w:bookmarkEnd w:id="210"/>
      <w:bookmarkEnd w:id="211"/>
    </w:p>
    <w:p>
      <w:pPr>
        <w:wordWrap w:val="0"/>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5.1.1   供应商应当按照资格审查文件、资信商务及技术文件和报价文件三部分分别导入相应位置，各文件之间不得导错位置；</w:t>
      </w:r>
    </w:p>
    <w:p>
      <w:pPr>
        <w:wordWrap w:val="0"/>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5.1.2   磋商响应文件编制好后应当生成电子加密磋商响应文件，生成电子加密磋商响应文件具体操作详见（电子招投标操作指南网址：</w:t>
      </w:r>
      <w:r>
        <w:rPr>
          <w:color w:val="auto"/>
          <w:highlight w:val="none"/>
        </w:rPr>
        <w:fldChar w:fldCharType="begin"/>
      </w:r>
      <w:r>
        <w:rPr>
          <w:color w:val="auto"/>
          <w:highlight w:val="none"/>
        </w:rPr>
        <w:instrText xml:space="preserve"> HYPERLINK "https://service.zcygov.cn/" \l "/knowledges/CW1EtGwBFdiHxlNd6I3m/6IMVAG0BFdiHxlNdQ8Na" </w:instrText>
      </w:r>
      <w:r>
        <w:rPr>
          <w:color w:val="auto"/>
          <w:highlight w:val="none"/>
        </w:rPr>
        <w:fldChar w:fldCharType="separate"/>
      </w:r>
      <w:r>
        <w:rPr>
          <w:rFonts w:hint="eastAsia" w:ascii="仿宋" w:hAnsi="仿宋" w:eastAsia="仿宋" w:cs="仿宋"/>
          <w:color w:val="auto"/>
          <w:sz w:val="24"/>
          <w:highlight w:val="none"/>
        </w:rPr>
        <w:t>https://service.zcygov.cn/#/knowledges/CW1EtGwBFdiHxlNd6I3m/6IMVAG0BFdiHxlNdQ</w:t>
      </w:r>
      <w:bookmarkStart w:id="212" w:name="_Hlt34895752"/>
      <w:r>
        <w:rPr>
          <w:rFonts w:hint="eastAsia" w:ascii="仿宋" w:hAnsi="仿宋" w:eastAsia="仿宋" w:cs="仿宋"/>
          <w:color w:val="auto"/>
          <w:sz w:val="24"/>
          <w:highlight w:val="none"/>
        </w:rPr>
        <w:t>8</w:t>
      </w:r>
      <w:bookmarkEnd w:id="212"/>
      <w:r>
        <w:rPr>
          <w:rFonts w:hint="eastAsia" w:ascii="仿宋" w:hAnsi="仿宋" w:eastAsia="仿宋" w:cs="仿宋"/>
          <w:color w:val="auto"/>
          <w:sz w:val="24"/>
          <w:highlight w:val="none"/>
        </w:rPr>
        <w:t>Na</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pPr>
        <w:pStyle w:val="26"/>
        <w:rPr>
          <w:rFonts w:ascii="仿宋" w:hAnsi="仿宋" w:eastAsia="仿宋" w:cs="仿宋"/>
          <w:color w:val="auto"/>
          <w:highlight w:val="none"/>
        </w:rPr>
      </w:pPr>
      <w:bookmarkStart w:id="213" w:name="_Toc531359013"/>
      <w:bookmarkStart w:id="214" w:name="_Toc22073"/>
      <w:bookmarkStart w:id="215" w:name="_Toc530551858"/>
      <w:r>
        <w:rPr>
          <w:rFonts w:hint="eastAsia" w:ascii="仿宋" w:hAnsi="仿宋" w:eastAsia="仿宋" w:cs="仿宋"/>
          <w:color w:val="auto"/>
          <w:highlight w:val="none"/>
        </w:rPr>
        <w:t>5.2     磋商响应文件的提交</w:t>
      </w:r>
      <w:bookmarkEnd w:id="213"/>
      <w:bookmarkEnd w:id="214"/>
      <w:bookmarkEnd w:id="215"/>
    </w:p>
    <w:p>
      <w:pPr>
        <w:spacing w:line="360" w:lineRule="auto"/>
        <w:ind w:left="960" w:hanging="960" w:hangingChars="400"/>
        <w:rPr>
          <w:rFonts w:ascii="仿宋" w:hAnsi="仿宋" w:eastAsia="仿宋" w:cs="仿宋"/>
          <w:color w:val="auto"/>
          <w:sz w:val="24"/>
          <w:highlight w:val="none"/>
        </w:rPr>
      </w:pPr>
      <w:bookmarkStart w:id="216" w:name="_Toc301187685"/>
      <w:r>
        <w:rPr>
          <w:rFonts w:hint="eastAsia" w:ascii="仿宋" w:hAnsi="仿宋" w:eastAsia="仿宋" w:cs="仿宋"/>
          <w:color w:val="auto"/>
          <w:sz w:val="24"/>
          <w:highlight w:val="none"/>
        </w:rPr>
        <w:t>5.2.1</w:t>
      </w:r>
      <w:bookmarkEnd w:id="216"/>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响应文件提交</w:t>
      </w:r>
      <w:r>
        <w:rPr>
          <w:rFonts w:hint="eastAsia" w:ascii="仿宋" w:hAnsi="仿宋" w:eastAsia="仿宋" w:cs="仿宋"/>
          <w:bCs/>
          <w:color w:val="auto"/>
          <w:sz w:val="24"/>
          <w:szCs w:val="24"/>
          <w:highlight w:val="none"/>
        </w:rPr>
        <w:t>截止时间</w:t>
      </w:r>
      <w:r>
        <w:rPr>
          <w:rFonts w:hint="eastAsia" w:ascii="仿宋" w:hAnsi="仿宋" w:eastAsia="仿宋" w:cs="仿宋"/>
          <w:color w:val="auto"/>
          <w:sz w:val="24"/>
          <w:highlight w:val="none"/>
        </w:rPr>
        <w:t>：见第一章竞争性磋商采购公告（邀请）</w:t>
      </w:r>
    </w:p>
    <w:p>
      <w:pPr>
        <w:spacing w:line="360" w:lineRule="auto"/>
        <w:ind w:left="960" w:hanging="960" w:hangingChars="400"/>
        <w:rPr>
          <w:rFonts w:ascii="仿宋" w:hAnsi="仿宋" w:eastAsia="仿宋" w:cs="仿宋"/>
          <w:color w:val="auto"/>
          <w:sz w:val="24"/>
          <w:highlight w:val="none"/>
        </w:rPr>
      </w:pPr>
      <w:bookmarkStart w:id="217" w:name="_Toc301187686"/>
      <w:r>
        <w:rPr>
          <w:rFonts w:hint="eastAsia" w:ascii="仿宋" w:hAnsi="仿宋" w:eastAsia="仿宋" w:cs="仿宋"/>
          <w:color w:val="auto"/>
          <w:sz w:val="24"/>
          <w:highlight w:val="none"/>
        </w:rPr>
        <w:t xml:space="preserve">5.2.2   </w:t>
      </w:r>
      <w:bookmarkEnd w:id="217"/>
      <w:r>
        <w:rPr>
          <w:rFonts w:hint="eastAsia" w:ascii="仿宋" w:hAnsi="仿宋" w:eastAsia="仿宋" w:cs="仿宋"/>
          <w:color w:val="auto"/>
          <w:sz w:val="24"/>
          <w:highlight w:val="none"/>
        </w:rPr>
        <w:t>响应文件提交地点：见第一章竞争性磋商采购公告（邀请）</w:t>
      </w:r>
    </w:p>
    <w:p>
      <w:pPr>
        <w:spacing w:line="360" w:lineRule="auto"/>
        <w:ind w:left="960" w:hanging="960" w:hangingChars="400"/>
        <w:rPr>
          <w:rFonts w:ascii="仿宋" w:hAnsi="仿宋" w:eastAsia="仿宋" w:cs="仿宋"/>
          <w:color w:val="auto"/>
          <w:sz w:val="24"/>
          <w:highlight w:val="none"/>
        </w:rPr>
      </w:pPr>
      <w:bookmarkStart w:id="218" w:name="_Toc301187687"/>
      <w:r>
        <w:rPr>
          <w:rFonts w:hint="eastAsia" w:ascii="仿宋" w:hAnsi="仿宋" w:eastAsia="仿宋" w:cs="仿宋"/>
          <w:color w:val="auto"/>
          <w:sz w:val="24"/>
          <w:highlight w:val="none"/>
        </w:rPr>
        <w:t>5.2.3   不予接收的磋商响应文件情形</w:t>
      </w:r>
    </w:p>
    <w:bookmarkEnd w:id="218"/>
    <w:p>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响应文件提交截止时间前未完成传输的磋商响应文件；</w:t>
      </w:r>
    </w:p>
    <w:p>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⑵未生成加密的磋商响应文件；</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5.2.4   供应商所提交的磋商响应文件不予退还。</w:t>
      </w:r>
    </w:p>
    <w:p>
      <w:pPr>
        <w:pStyle w:val="26"/>
        <w:rPr>
          <w:rFonts w:ascii="仿宋" w:hAnsi="仿宋" w:eastAsia="仿宋" w:cs="仿宋"/>
          <w:color w:val="auto"/>
          <w:highlight w:val="none"/>
        </w:rPr>
      </w:pPr>
      <w:bookmarkStart w:id="219" w:name="_Toc531359014"/>
      <w:bookmarkStart w:id="220" w:name="_Toc26456"/>
      <w:bookmarkStart w:id="221" w:name="_Toc530551859"/>
      <w:r>
        <w:rPr>
          <w:rFonts w:hint="eastAsia" w:ascii="仿宋" w:hAnsi="仿宋" w:eastAsia="仿宋" w:cs="仿宋"/>
          <w:color w:val="auto"/>
          <w:highlight w:val="none"/>
        </w:rPr>
        <w:t>5.3     磋商响应文件修改和撤回</w:t>
      </w:r>
      <w:bookmarkEnd w:id="219"/>
      <w:bookmarkEnd w:id="220"/>
      <w:bookmarkEnd w:id="221"/>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5.3.1   在</w:t>
      </w:r>
      <w:r>
        <w:rPr>
          <w:rFonts w:hint="eastAsia" w:ascii="仿宋" w:hAnsi="仿宋" w:eastAsia="仿宋" w:cs="仿宋"/>
          <w:color w:val="auto"/>
          <w:sz w:val="24"/>
          <w:szCs w:val="24"/>
          <w:highlight w:val="none"/>
        </w:rPr>
        <w:t>响应文件提交</w:t>
      </w:r>
      <w:r>
        <w:rPr>
          <w:rFonts w:hint="eastAsia" w:ascii="仿宋" w:hAnsi="仿宋" w:eastAsia="仿宋" w:cs="仿宋"/>
          <w:bCs/>
          <w:color w:val="auto"/>
          <w:sz w:val="24"/>
          <w:szCs w:val="24"/>
          <w:highlight w:val="none"/>
        </w:rPr>
        <w:t>截止时间</w:t>
      </w:r>
      <w:r>
        <w:rPr>
          <w:rFonts w:hint="eastAsia" w:ascii="仿宋" w:hAnsi="仿宋" w:eastAsia="仿宋" w:cs="仿宋"/>
          <w:color w:val="auto"/>
          <w:sz w:val="24"/>
          <w:highlight w:val="none"/>
        </w:rPr>
        <w:t>前，供应商可对已提交的</w:t>
      </w:r>
      <w:r>
        <w:rPr>
          <w:rFonts w:hint="eastAsia" w:ascii="仿宋" w:hAnsi="仿宋" w:eastAsia="仿宋" w:cs="仿宋"/>
          <w:color w:val="auto"/>
          <w:kern w:val="0"/>
          <w:sz w:val="24"/>
          <w:highlight w:val="none"/>
        </w:rPr>
        <w:t>磋商响应文件</w:t>
      </w:r>
      <w:r>
        <w:rPr>
          <w:rFonts w:hint="eastAsia" w:ascii="仿宋" w:hAnsi="仿宋" w:eastAsia="仿宋" w:cs="仿宋"/>
          <w:color w:val="auto"/>
          <w:sz w:val="24"/>
          <w:highlight w:val="none"/>
        </w:rPr>
        <w:t>进行补充、修改或撤回。补充、修改磋商响应文件的，应当先行撤回原文件，补充、修改后重新生成加密的磋商响应文件并重新上传提交；</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5.3.2   补充、修改后重新提交的磋商响应文件应按磋商文件的规定编制、加密、导入和提交；</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5.3.3   在</w:t>
      </w:r>
      <w:r>
        <w:rPr>
          <w:rFonts w:hint="eastAsia" w:ascii="仿宋" w:hAnsi="仿宋" w:eastAsia="仿宋" w:cs="仿宋"/>
          <w:color w:val="auto"/>
          <w:sz w:val="24"/>
          <w:szCs w:val="24"/>
          <w:highlight w:val="none"/>
        </w:rPr>
        <w:t>响应文件提交</w:t>
      </w:r>
      <w:r>
        <w:rPr>
          <w:rFonts w:hint="eastAsia" w:ascii="仿宋" w:hAnsi="仿宋" w:eastAsia="仿宋" w:cs="仿宋"/>
          <w:bCs/>
          <w:color w:val="auto"/>
          <w:sz w:val="24"/>
          <w:szCs w:val="24"/>
          <w:highlight w:val="none"/>
        </w:rPr>
        <w:t>截止时间</w:t>
      </w:r>
      <w:r>
        <w:rPr>
          <w:rFonts w:hint="eastAsia" w:ascii="仿宋" w:hAnsi="仿宋" w:eastAsia="仿宋" w:cs="仿宋"/>
          <w:color w:val="auto"/>
          <w:sz w:val="24"/>
          <w:highlight w:val="none"/>
        </w:rPr>
        <w:t>后，供应商不得撤回已提交的磋商响应文件。</w:t>
      </w:r>
    </w:p>
    <w:p>
      <w:pPr>
        <w:pStyle w:val="26"/>
        <w:rPr>
          <w:rFonts w:ascii="仿宋" w:hAnsi="仿宋" w:eastAsia="仿宋" w:cs="仿宋"/>
          <w:color w:val="auto"/>
          <w:highlight w:val="none"/>
        </w:rPr>
      </w:pPr>
      <w:bookmarkStart w:id="222" w:name="_Toc14956"/>
      <w:bookmarkStart w:id="223" w:name="_Toc14077291"/>
      <w:bookmarkStart w:id="224" w:name="_Toc531359015"/>
      <w:bookmarkStart w:id="225" w:name="_Toc530551861"/>
      <w:bookmarkStart w:id="226" w:name="_Toc531359017"/>
      <w:r>
        <w:rPr>
          <w:rFonts w:hint="eastAsia" w:ascii="仿宋" w:hAnsi="仿宋" w:eastAsia="仿宋" w:cs="仿宋"/>
          <w:color w:val="auto"/>
          <w:highlight w:val="none"/>
        </w:rPr>
        <w:t>5.4     备选磋商方案</w:t>
      </w:r>
      <w:bookmarkEnd w:id="222"/>
      <w:bookmarkEnd w:id="223"/>
      <w:bookmarkEnd w:id="224"/>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本项目不接受备选磋商方案。与“电子磋商响应文件”同时生成的“备份磋商响应文件”不是磋商备选（替代）磋商方案。</w:t>
      </w:r>
    </w:p>
    <w:p>
      <w:pPr>
        <w:keepNext/>
        <w:keepLines/>
        <w:spacing w:line="360" w:lineRule="auto"/>
        <w:outlineLvl w:val="2"/>
        <w:rPr>
          <w:rFonts w:ascii="仿宋" w:hAnsi="仿宋" w:eastAsia="仿宋" w:cs="仿宋"/>
          <w:b/>
          <w:bCs/>
          <w:color w:val="auto"/>
          <w:sz w:val="24"/>
          <w:szCs w:val="20"/>
          <w:highlight w:val="none"/>
        </w:rPr>
      </w:pPr>
      <w:bookmarkStart w:id="227" w:name="_Toc34895561"/>
      <w:bookmarkStart w:id="228" w:name="_Toc28354563"/>
      <w:bookmarkStart w:id="229" w:name="_Toc6734"/>
      <w:bookmarkStart w:id="230" w:name="_Toc14170771"/>
      <w:r>
        <w:rPr>
          <w:rFonts w:hint="eastAsia" w:ascii="仿宋" w:hAnsi="仿宋" w:eastAsia="仿宋" w:cs="仿宋"/>
          <w:b/>
          <w:bCs/>
          <w:color w:val="auto"/>
          <w:sz w:val="24"/>
          <w:szCs w:val="20"/>
          <w:highlight w:val="none"/>
        </w:rPr>
        <w:t>5.5     磋商诚实信用</w:t>
      </w:r>
      <w:bookmarkEnd w:id="227"/>
      <w:bookmarkEnd w:id="228"/>
      <w:bookmarkEnd w:id="229"/>
      <w:bookmarkEnd w:id="230"/>
    </w:p>
    <w:p>
      <w:pPr>
        <w:spacing w:line="360" w:lineRule="auto"/>
        <w:ind w:left="960" w:hanging="960" w:hangingChars="400"/>
        <w:rPr>
          <w:rFonts w:ascii="仿宋" w:hAnsi="仿宋" w:eastAsia="仿宋" w:cs="仿宋"/>
          <w:color w:val="auto"/>
          <w:sz w:val="24"/>
          <w:highlight w:val="none"/>
        </w:rPr>
      </w:pPr>
      <w:bookmarkStart w:id="231" w:name="_Toc301187651"/>
      <w:r>
        <w:rPr>
          <w:rFonts w:hint="eastAsia" w:ascii="仿宋" w:hAnsi="仿宋" w:eastAsia="仿宋" w:cs="仿宋"/>
          <w:color w:val="auto"/>
          <w:sz w:val="24"/>
          <w:highlight w:val="none"/>
        </w:rPr>
        <w:t>5.5.1   供应商应当遵守诚实信用原则。</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5.5.2   供应商有下列情形之一的，将会报告财政部门并按照相关规定处理：</w:t>
      </w:r>
      <w:bookmarkEnd w:id="231"/>
    </w:p>
    <w:p>
      <w:pPr>
        <w:spacing w:line="360" w:lineRule="auto"/>
        <w:ind w:left="840" w:leftChars="400" w:firstLine="120" w:firstLineChars="50"/>
        <w:rPr>
          <w:rFonts w:ascii="仿宋" w:hAnsi="仿宋" w:eastAsia="仿宋" w:cs="仿宋"/>
          <w:color w:val="auto"/>
          <w:sz w:val="24"/>
          <w:highlight w:val="none"/>
        </w:rPr>
      </w:pPr>
      <w:bookmarkStart w:id="232" w:name="_Toc301187652"/>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供应商在磋商有效期内撤销磋商响应文件的；</w:t>
      </w:r>
      <w:bookmarkEnd w:id="232"/>
      <w:bookmarkStart w:id="233" w:name="_Toc301187653"/>
    </w:p>
    <w:p>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未按规定提交履约保证金的；</w:t>
      </w:r>
      <w:bookmarkEnd w:id="233"/>
      <w:bookmarkStart w:id="234" w:name="_Toc301187654"/>
    </w:p>
    <w:p>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供应商在磋商过程中弄虚作假，提供虚假材料的；</w:t>
      </w:r>
      <w:bookmarkEnd w:id="234"/>
      <w:bookmarkStart w:id="235" w:name="_Toc301187655"/>
    </w:p>
    <w:p>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成交人无正当理由不与采购人签订合同的；</w:t>
      </w:r>
      <w:bookmarkEnd w:id="235"/>
    </w:p>
    <w:p>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⑸</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供应商有串通磋商行为的；</w:t>
      </w:r>
    </w:p>
    <w:p>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⑹</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严重扰乱政府采购程序的；</w:t>
      </w:r>
      <w:bookmarkStart w:id="236" w:name="_Toc301187658"/>
    </w:p>
    <w:p>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7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⑺</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违反其他法律法规规定的情形。</w:t>
      </w:r>
      <w:bookmarkEnd w:id="236"/>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5.5.3   因供应商有第5.5.2条情形之一造成采购人和采购代理机构损失的，采购人和采购代理机构有权追究供应商赔偿责任。</w:t>
      </w:r>
    </w:p>
    <w:p>
      <w:pPr>
        <w:pStyle w:val="16"/>
        <w:spacing w:beforeLines="100" w:after="240" w:afterLines="100"/>
        <w:jc w:val="left"/>
        <w:outlineLvl w:val="1"/>
        <w:rPr>
          <w:rFonts w:ascii="仿宋" w:hAnsi="仿宋" w:eastAsia="仿宋" w:cs="仿宋"/>
          <w:color w:val="auto"/>
          <w:sz w:val="30"/>
          <w:szCs w:val="30"/>
          <w:highlight w:val="none"/>
        </w:rPr>
      </w:pPr>
      <w:bookmarkStart w:id="237" w:name="_Toc27129"/>
      <w:r>
        <w:rPr>
          <w:rFonts w:hint="eastAsia" w:ascii="仿宋" w:hAnsi="仿宋" w:eastAsia="仿宋" w:cs="仿宋"/>
          <w:color w:val="auto"/>
          <w:sz w:val="30"/>
          <w:szCs w:val="30"/>
          <w:highlight w:val="none"/>
        </w:rPr>
        <w:t>六    开标</w:t>
      </w:r>
      <w:bookmarkEnd w:id="225"/>
      <w:bookmarkEnd w:id="226"/>
      <w:r>
        <w:rPr>
          <w:rFonts w:hint="eastAsia" w:ascii="仿宋" w:hAnsi="仿宋" w:eastAsia="仿宋" w:cs="仿宋"/>
          <w:color w:val="auto"/>
          <w:sz w:val="30"/>
          <w:szCs w:val="30"/>
          <w:highlight w:val="none"/>
        </w:rPr>
        <w:t>、资格审查、磋商和评审</w:t>
      </w:r>
      <w:bookmarkEnd w:id="237"/>
    </w:p>
    <w:p>
      <w:pPr>
        <w:spacing w:line="360" w:lineRule="auto"/>
        <w:ind w:left="945" w:leftChars="450"/>
        <w:rPr>
          <w:rFonts w:ascii="仿宋" w:hAnsi="仿宋" w:eastAsia="仿宋" w:cs="仿宋"/>
          <w:b/>
          <w:color w:val="auto"/>
          <w:sz w:val="24"/>
          <w:highlight w:val="none"/>
        </w:rPr>
      </w:pPr>
      <w:r>
        <w:rPr>
          <w:rFonts w:hint="eastAsia" w:ascii="仿宋" w:hAnsi="仿宋" w:eastAsia="仿宋" w:cs="仿宋"/>
          <w:b/>
          <w:color w:val="auto"/>
          <w:sz w:val="24"/>
          <w:highlight w:val="none"/>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400-881-7190）。</w:t>
      </w:r>
    </w:p>
    <w:p>
      <w:pPr>
        <w:pStyle w:val="26"/>
        <w:rPr>
          <w:rFonts w:ascii="仿宋" w:hAnsi="仿宋" w:eastAsia="仿宋" w:cs="仿宋"/>
          <w:color w:val="auto"/>
          <w:highlight w:val="none"/>
        </w:rPr>
      </w:pPr>
      <w:bookmarkStart w:id="238" w:name="_Toc530551862"/>
      <w:bookmarkStart w:id="239" w:name="_Toc531359018"/>
      <w:bookmarkStart w:id="240" w:name="_Toc31984"/>
      <w:bookmarkStart w:id="241" w:name="_Toc530551863"/>
      <w:bookmarkStart w:id="242" w:name="_Toc531359019"/>
      <w:r>
        <w:rPr>
          <w:rFonts w:hint="eastAsia" w:ascii="仿宋" w:hAnsi="仿宋" w:eastAsia="仿宋" w:cs="仿宋"/>
          <w:color w:val="auto"/>
          <w:highlight w:val="none"/>
        </w:rPr>
        <w:t>6.1     开标</w:t>
      </w:r>
      <w:bookmarkEnd w:id="238"/>
      <w:bookmarkEnd w:id="239"/>
      <w:bookmarkEnd w:id="240"/>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6.1.1   开标时间和地点：见供应商须知前附表（一）</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6.1.2   供应商的供应商代表应当在线参加，否则视同认可开标结果，事后不得对采购相关人员、开标过程和开标结果提出质疑；</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6.1.3   开标程序</w:t>
      </w:r>
    </w:p>
    <w:p>
      <w:pPr>
        <w:spacing w:line="360" w:lineRule="auto"/>
        <w:ind w:left="1200" w:hanging="1200" w:hangingChars="5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主持人宣布项目开标会开始，介绍参加本次开标会的相关人员； </w:t>
      </w:r>
    </w:p>
    <w:p>
      <w:pPr>
        <w:spacing w:line="360" w:lineRule="auto"/>
        <w:ind w:left="1200" w:hanging="1200" w:hangingChars="5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介绍采购项目采购情况，包括采购方式，发布媒体，提交磋商响应文件的供应商家数、供应商名称；</w:t>
      </w:r>
    </w:p>
    <w:p>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宣布开标纪律；</w:t>
      </w:r>
    </w:p>
    <w:p>
      <w:pPr>
        <w:wordWrap w:val="0"/>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供应商进行在线解密（解密时间为响应文件提交截止时间后30分钟内）；解密未成功的，启动备份磋商响应文件，未提供备份磋商响应文件的，视为放弃投标；</w:t>
      </w:r>
    </w:p>
    <w:p>
      <w:pPr>
        <w:wordWrap w:val="0"/>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⑸</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供应商填写并通过邮件发送方式递交《政府采购活动现场确认声明书》（见磋商文件附件），递交时间为解密指令发出后30分钟内； </w:t>
      </w:r>
    </w:p>
    <w:p>
      <w:pPr>
        <w:wordWrap w:val="0"/>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⑹</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采购代理机构做好开标记录，供应商在解密完成后点击【查看开标记录】查看开标记录，并在线确认开标结果；</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6.1.4   供应商代表对开标过程和开标记录有疑义，以及认为采购人、采购代理机构相关工作人员有需要回避的情形，应通过电子邮件、传真等形式向采购代理机构提出询问或回避申请；</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6.1.5   </w:t>
      </w:r>
      <w:r>
        <w:rPr>
          <w:rFonts w:hint="eastAsia" w:ascii="仿宋" w:hAnsi="仿宋" w:eastAsia="仿宋" w:cs="仿宋"/>
          <w:color w:val="auto"/>
          <w:kern w:val="0"/>
          <w:sz w:val="24"/>
          <w:highlight w:val="none"/>
        </w:rPr>
        <w:t>开标会议结束。</w:t>
      </w:r>
      <w:r>
        <w:rPr>
          <w:rFonts w:hint="eastAsia" w:ascii="仿宋" w:hAnsi="仿宋" w:eastAsia="仿宋" w:cs="仿宋"/>
          <w:color w:val="auto"/>
          <w:sz w:val="24"/>
          <w:highlight w:val="none"/>
        </w:rPr>
        <w:t xml:space="preserve"> </w:t>
      </w:r>
    </w:p>
    <w:p>
      <w:pPr>
        <w:pStyle w:val="26"/>
        <w:rPr>
          <w:rFonts w:ascii="仿宋" w:hAnsi="仿宋" w:eastAsia="仿宋" w:cs="仿宋"/>
          <w:color w:val="auto"/>
          <w:highlight w:val="none"/>
        </w:rPr>
      </w:pPr>
      <w:bookmarkStart w:id="243" w:name="_Toc3673"/>
      <w:r>
        <w:rPr>
          <w:rFonts w:hint="eastAsia" w:ascii="仿宋" w:hAnsi="仿宋" w:eastAsia="仿宋" w:cs="仿宋"/>
          <w:color w:val="auto"/>
          <w:highlight w:val="none"/>
        </w:rPr>
        <w:t>6.2     资格审查</w:t>
      </w:r>
      <w:bookmarkEnd w:id="241"/>
      <w:bookmarkEnd w:id="242"/>
      <w:bookmarkEnd w:id="243"/>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6.2.1   资格审查内容：</w:t>
      </w:r>
    </w:p>
    <w:p>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t>采购人或采购代理机构按竞争性磋商采购公告内供应商资格要求及本章第3.4条资格审查文件的组成内容进行审查；</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6.2.2   </w:t>
      </w:r>
      <w:r>
        <w:rPr>
          <w:rFonts w:hint="eastAsia" w:ascii="仿宋" w:hAnsi="仿宋" w:eastAsia="仿宋" w:cs="仿宋"/>
          <w:color w:val="auto"/>
          <w:sz w:val="24"/>
          <w:highlight w:val="none"/>
        </w:rPr>
        <w:sym w:font="Wingdings 3" w:char="F070"/>
      </w:r>
      <w:r>
        <w:rPr>
          <w:rFonts w:hint="eastAsia" w:ascii="仿宋" w:hAnsi="仿宋" w:eastAsia="仿宋" w:cs="仿宋"/>
          <w:color w:val="auto"/>
          <w:sz w:val="24"/>
          <w:highlight w:val="none"/>
        </w:rPr>
        <w:t>资格审查：全部满足下表要求的供应商为合格供应商，否则资格审查不予以通过；</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652"/>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pPr>
              <w:ind w:left="-90" w:leftChars="-43" w:right="-101" w:rightChars="-48"/>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652" w:type="dxa"/>
            <w:vAlign w:val="center"/>
          </w:tcPr>
          <w:p>
            <w:pPr>
              <w:ind w:left="-92" w:leftChars="-44" w:right="-80" w:rightChars="-38"/>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资格审查内容</w:t>
            </w:r>
          </w:p>
        </w:tc>
        <w:tc>
          <w:tcPr>
            <w:tcW w:w="6413" w:type="dxa"/>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52"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6413" w:type="dxa"/>
            <w:vAlign w:val="center"/>
          </w:tcPr>
          <w:p>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营业期限在有效期内；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pPr>
              <w:jc w:val="center"/>
              <w:rPr>
                <w:rFonts w:ascii="仿宋" w:hAnsi="仿宋" w:eastAsia="仿宋" w:cs="仿宋"/>
                <w:color w:val="auto"/>
                <w:sz w:val="24"/>
                <w:highlight w:val="none"/>
              </w:rPr>
            </w:pPr>
          </w:p>
        </w:tc>
        <w:tc>
          <w:tcPr>
            <w:tcW w:w="1652" w:type="dxa"/>
            <w:vAlign w:val="center"/>
          </w:tcPr>
          <w:p>
            <w:pPr>
              <w:ind w:left="-92" w:leftChars="-44" w:right="-80" w:rightChars="-38"/>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负责人身份</w:t>
            </w:r>
          </w:p>
        </w:tc>
        <w:tc>
          <w:tcPr>
            <w:tcW w:w="6413" w:type="dxa"/>
            <w:vAlign w:val="center"/>
          </w:tcPr>
          <w:p>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负责人身份证正、反面电子文档；</w:t>
            </w:r>
          </w:p>
          <w:p>
            <w:pPr>
              <w:ind w:right="-80" w:rightChars="-38"/>
              <w:jc w:val="left"/>
              <w:rPr>
                <w:rFonts w:ascii="仿宋" w:hAnsi="仿宋" w:eastAsia="仿宋" w:cs="仿宋"/>
                <w:color w:val="auto"/>
                <w:sz w:val="24"/>
                <w:highlight w:val="none"/>
              </w:rPr>
            </w:pPr>
            <w:r>
              <w:rPr>
                <w:rFonts w:hint="eastAsia" w:ascii="仿宋" w:hAnsi="仿宋" w:eastAsia="仿宋" w:cs="仿宋"/>
                <w:color w:val="auto"/>
                <w:sz w:val="24"/>
                <w:szCs w:val="24"/>
                <w:highlight w:val="none"/>
              </w:rPr>
              <w:t>2. 和营业执照上的法定代表人或负责人一致；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pPr>
              <w:jc w:val="center"/>
              <w:rPr>
                <w:rFonts w:ascii="仿宋" w:hAnsi="仿宋" w:eastAsia="仿宋" w:cs="仿宋"/>
                <w:color w:val="auto"/>
                <w:sz w:val="24"/>
                <w:highlight w:val="none"/>
              </w:rPr>
            </w:pPr>
          </w:p>
        </w:tc>
        <w:tc>
          <w:tcPr>
            <w:tcW w:w="1652" w:type="dxa"/>
            <w:vAlign w:val="center"/>
          </w:tcPr>
          <w:p>
            <w:pPr>
              <w:ind w:left="-92" w:leftChars="-44" w:right="-80" w:rightChars="-38"/>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授权委托书及委托代理人</w:t>
            </w:r>
          </w:p>
        </w:tc>
        <w:tc>
          <w:tcPr>
            <w:tcW w:w="6413" w:type="dxa"/>
            <w:vAlign w:val="center"/>
          </w:tcPr>
          <w:p>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是否按授权委托书格式内容填写且盖章；</w:t>
            </w:r>
          </w:p>
          <w:p>
            <w:pPr>
              <w:ind w:right="-80" w:rightChars="-38"/>
              <w:jc w:val="left"/>
              <w:rPr>
                <w:rFonts w:ascii="仿宋" w:hAnsi="仿宋" w:eastAsia="仿宋" w:cs="仿宋"/>
                <w:color w:val="auto"/>
                <w:sz w:val="24"/>
                <w:highlight w:val="none"/>
              </w:rPr>
            </w:pPr>
            <w:r>
              <w:rPr>
                <w:rFonts w:hint="eastAsia" w:ascii="仿宋" w:hAnsi="仿宋" w:eastAsia="仿宋" w:cs="仿宋"/>
                <w:color w:val="auto"/>
                <w:sz w:val="24"/>
                <w:szCs w:val="24"/>
                <w:highlight w:val="none"/>
              </w:rPr>
              <w:t>2. 委托代理人的身份证正、反面电子文档；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52" w:type="dxa"/>
            <w:vAlign w:val="center"/>
          </w:tcPr>
          <w:p>
            <w:pPr>
              <w:ind w:left="-92" w:leftChars="-44" w:right="-80" w:rightChars="-38"/>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财务状况报告依法缴纳税收和社会保障资金</w:t>
            </w:r>
          </w:p>
        </w:tc>
        <w:tc>
          <w:tcPr>
            <w:tcW w:w="6413" w:type="dxa"/>
            <w:vAlign w:val="center"/>
          </w:tcPr>
          <w:p>
            <w:pPr>
              <w:rPr>
                <w:rFonts w:ascii="仿宋" w:hAnsi="仿宋" w:eastAsia="仿宋" w:cs="仿宋"/>
                <w:color w:val="auto"/>
                <w:highlight w:val="none"/>
              </w:rPr>
            </w:pPr>
            <w:r>
              <w:rPr>
                <w:rFonts w:hint="eastAsia" w:ascii="仿宋" w:hAnsi="仿宋" w:eastAsia="仿宋" w:cs="仿宋"/>
                <w:color w:val="auto"/>
                <w:sz w:val="24"/>
                <w:szCs w:val="24"/>
                <w:highlight w:val="none"/>
              </w:rPr>
              <w:t>是否按《具有良好的财务会计制度、依法缴纳税收和社会保障资金的承诺函》格式填写且盖章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52" w:type="dxa"/>
            <w:vAlign w:val="center"/>
          </w:tcPr>
          <w:p>
            <w:pPr>
              <w:ind w:left="-92" w:leftChars="-44" w:right="-80" w:rightChars="-38"/>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履行合同所必需的设备和专业技术能力</w:t>
            </w:r>
          </w:p>
        </w:tc>
        <w:tc>
          <w:tcPr>
            <w:tcW w:w="6413" w:type="dxa"/>
            <w:vAlign w:val="center"/>
          </w:tcPr>
          <w:p>
            <w:pPr>
              <w:ind w:left="13" w:leftChars="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是否按《具有履行合同所必需设备和专业技术能力的承诺函》格式填写且盖章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652"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无重大违法记录</w:t>
            </w:r>
          </w:p>
        </w:tc>
        <w:tc>
          <w:tcPr>
            <w:tcW w:w="6413" w:type="dxa"/>
            <w:vAlign w:val="center"/>
          </w:tcPr>
          <w:p>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是否按《无重大违法记录声明书》格式填写且盖章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652"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中小企业声明函或残疾人福利性单位声明函或监狱企业证明</w:t>
            </w:r>
          </w:p>
        </w:tc>
        <w:tc>
          <w:tcPr>
            <w:tcW w:w="6413" w:type="dxa"/>
            <w:vAlign w:val="center"/>
          </w:tcPr>
          <w:p>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是否按格式填写且盖章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652"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信用信息查询</w:t>
            </w:r>
          </w:p>
        </w:tc>
        <w:tc>
          <w:tcPr>
            <w:tcW w:w="6413" w:type="dxa"/>
            <w:vAlign w:val="center"/>
          </w:tcPr>
          <w:p>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查询网址：</w:t>
            </w:r>
          </w:p>
          <w:p>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⑴</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3"/>
                <w:rFonts w:hint="eastAsia" w:ascii="仿宋" w:hAnsi="仿宋" w:eastAsia="仿宋" w:cs="仿宋"/>
                <w:color w:val="auto"/>
                <w:sz w:val="24"/>
                <w:szCs w:val="24"/>
                <w:highlight w:val="none"/>
                <w:u w:val="none"/>
              </w:rPr>
              <w:t>www.creditchina.gov.cn</w:t>
            </w:r>
            <w:r>
              <w:rPr>
                <w:rStyle w:val="23"/>
                <w:rFonts w:hint="eastAsia" w:ascii="仿宋" w:hAnsi="仿宋" w:eastAsia="仿宋" w:cs="仿宋"/>
                <w:color w:val="auto"/>
                <w:sz w:val="24"/>
                <w:szCs w:val="24"/>
                <w:highlight w:val="none"/>
                <w:u w:val="none"/>
              </w:rPr>
              <w:fldChar w:fldCharType="end"/>
            </w:r>
            <w:r>
              <w:rPr>
                <w:rFonts w:hint="eastAsia" w:ascii="仿宋" w:hAnsi="仿宋" w:eastAsia="仿宋" w:cs="仿宋"/>
                <w:color w:val="auto"/>
                <w:sz w:val="24"/>
                <w:szCs w:val="24"/>
                <w:highlight w:val="none"/>
              </w:rPr>
              <w:t>）</w:t>
            </w:r>
          </w:p>
          <w:p>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⑵</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3"/>
                <w:rFonts w:hint="eastAsia" w:ascii="仿宋" w:hAnsi="仿宋" w:eastAsia="仿宋" w:cs="仿宋"/>
                <w:color w:val="auto"/>
                <w:sz w:val="24"/>
                <w:szCs w:val="24"/>
                <w:highlight w:val="none"/>
                <w:u w:val="none"/>
              </w:rPr>
              <w:t>www.ccgp.gov.cn</w:t>
            </w:r>
            <w:r>
              <w:rPr>
                <w:rStyle w:val="23"/>
                <w:rFonts w:hint="eastAsia" w:ascii="仿宋" w:hAnsi="仿宋" w:eastAsia="仿宋" w:cs="仿宋"/>
                <w:color w:val="auto"/>
                <w:sz w:val="24"/>
                <w:szCs w:val="24"/>
                <w:highlight w:val="none"/>
                <w:u w:val="none"/>
              </w:rPr>
              <w:fldChar w:fldCharType="end"/>
            </w:r>
            <w:r>
              <w:rPr>
                <w:rFonts w:hint="eastAsia" w:ascii="仿宋" w:hAnsi="仿宋" w:eastAsia="仿宋" w:cs="仿宋"/>
                <w:color w:val="auto"/>
                <w:sz w:val="24"/>
                <w:szCs w:val="24"/>
                <w:highlight w:val="none"/>
              </w:rPr>
              <w:t>）</w:t>
            </w:r>
          </w:p>
          <w:p>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核对事项：</w:t>
            </w:r>
          </w:p>
          <w:p>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有无被列入失信被执行人、重大税收违法案件当事人名单、政府采购严重违法失信行为记录名单；</w:t>
            </w:r>
          </w:p>
          <w:p>
            <w:pPr>
              <w:ind w:left="-92" w:leftChars="-44" w:firstLine="92" w:firstLineChars="38"/>
              <w:jc w:val="lef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信用信息已修复的，以修复后的信息为准。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652"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特定资格条件（若有）</w:t>
            </w:r>
          </w:p>
        </w:tc>
        <w:tc>
          <w:tcPr>
            <w:tcW w:w="6413" w:type="dxa"/>
            <w:vAlign w:val="center"/>
          </w:tcPr>
          <w:p>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提供特定资格条件相关证书电子文档。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652"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联合体（若有）</w:t>
            </w:r>
          </w:p>
        </w:tc>
        <w:tc>
          <w:tcPr>
            <w:tcW w:w="6413" w:type="dxa"/>
            <w:vAlign w:val="center"/>
          </w:tcPr>
          <w:p>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是否按联合体协议书格式内容填写且盖章；</w:t>
            </w:r>
          </w:p>
          <w:p>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联合体各方资料是否齐全；</w:t>
            </w:r>
          </w:p>
          <w:p>
            <w:pPr>
              <w:ind w:left="347" w:leftChars="-6" w:right="-78" w:rightChars="-37" w:hanging="360" w:hangingChars="15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联合体各方资料审查内容按上述要求提供，委托书由主办方提供一份。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3"/>
            <w:vAlign w:val="center"/>
          </w:tcPr>
          <w:p>
            <w:pPr>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注：以上资料内容须清晰可辨的，模糊不清造成资格审查不予以通过，由供应商自行负责。</w:t>
            </w:r>
          </w:p>
        </w:tc>
      </w:tr>
    </w:tbl>
    <w:p>
      <w:pPr>
        <w:spacing w:line="360" w:lineRule="auto"/>
        <w:ind w:left="964" w:hanging="964" w:hangingChars="400"/>
        <w:rPr>
          <w:rFonts w:ascii="仿宋" w:hAnsi="仿宋" w:eastAsia="仿宋" w:cs="仿宋"/>
          <w:b/>
          <w:color w:val="auto"/>
          <w:sz w:val="24"/>
          <w:highlight w:val="none"/>
        </w:rPr>
      </w:pPr>
      <w:bookmarkStart w:id="244" w:name="_Toc531359020"/>
      <w:r>
        <w:rPr>
          <w:rFonts w:hint="eastAsia" w:ascii="仿宋" w:hAnsi="仿宋" w:eastAsia="仿宋" w:cs="仿宋"/>
          <w:b/>
          <w:color w:val="auto"/>
          <w:sz w:val="24"/>
          <w:highlight w:val="none"/>
        </w:rPr>
        <w:t>6.2.3   供应商家数要求</w:t>
      </w:r>
    </w:p>
    <w:p>
      <w:pPr>
        <w:spacing w:line="360" w:lineRule="auto"/>
        <w:ind w:left="1186" w:leftChars="450" w:hanging="241" w:hangingChars="100"/>
        <w:rPr>
          <w:rFonts w:ascii="仿宋" w:hAnsi="仿宋" w:eastAsia="仿宋" w:cs="仿宋"/>
          <w:b/>
          <w:color w:val="auto"/>
          <w:sz w:val="24"/>
          <w:highlight w:val="none"/>
        </w:rPr>
      </w:pP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 1 \* GB2 </w:instrText>
      </w:r>
      <w:r>
        <w:rPr>
          <w:rFonts w:hint="eastAsia" w:ascii="仿宋" w:hAnsi="仿宋" w:eastAsia="仿宋" w:cs="仿宋"/>
          <w:b/>
          <w:color w:val="auto"/>
          <w:sz w:val="24"/>
          <w:highlight w:val="none"/>
        </w:rPr>
        <w:fldChar w:fldCharType="separate"/>
      </w:r>
      <w:r>
        <w:rPr>
          <w:rFonts w:hint="eastAsia" w:ascii="仿宋" w:hAnsi="仿宋" w:eastAsia="仿宋" w:cs="仿宋"/>
          <w:b/>
          <w:color w:val="auto"/>
          <w:sz w:val="24"/>
          <w:highlight w:val="none"/>
        </w:rPr>
        <w:t>⑴</w:t>
      </w:r>
      <w:r>
        <w:rPr>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因市场竞争不充分的科研项目以及需要扶持的科技成果转化项目提交最后报价的供应商可以为2家；</w:t>
      </w:r>
    </w:p>
    <w:p>
      <w:pPr>
        <w:spacing w:line="360" w:lineRule="auto"/>
        <w:ind w:left="1186" w:leftChars="450" w:hanging="241" w:hangingChars="100"/>
        <w:rPr>
          <w:rFonts w:ascii="仿宋" w:hAnsi="仿宋" w:eastAsia="仿宋" w:cs="仿宋"/>
          <w:b/>
          <w:color w:val="auto"/>
          <w:sz w:val="24"/>
          <w:highlight w:val="none"/>
        </w:rPr>
      </w:pP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 2 \* GB2 </w:instrText>
      </w:r>
      <w:r>
        <w:rPr>
          <w:rFonts w:hint="eastAsia" w:ascii="仿宋" w:hAnsi="仿宋" w:eastAsia="仿宋" w:cs="仿宋"/>
          <w:b/>
          <w:color w:val="auto"/>
          <w:sz w:val="24"/>
          <w:highlight w:val="none"/>
        </w:rPr>
        <w:fldChar w:fldCharType="separate"/>
      </w:r>
      <w:r>
        <w:rPr>
          <w:rFonts w:hint="eastAsia" w:ascii="仿宋" w:hAnsi="仿宋" w:eastAsia="仿宋" w:cs="仿宋"/>
          <w:b/>
          <w:color w:val="auto"/>
          <w:sz w:val="24"/>
          <w:highlight w:val="none"/>
        </w:rPr>
        <w:t>⑵</w:t>
      </w:r>
      <w:r>
        <w:rPr>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政府购买服务项目（含政府和社会资格合作项目）在资格审查、符合性审查、提交最后报价过程中，符合要求的供应商只有2家的，采购活动可以继续进行；</w:t>
      </w:r>
    </w:p>
    <w:p>
      <w:pPr>
        <w:spacing w:line="360" w:lineRule="auto"/>
        <w:ind w:left="1186" w:leftChars="450" w:hanging="241" w:hangingChars="100"/>
        <w:rPr>
          <w:rFonts w:ascii="仿宋" w:hAnsi="仿宋" w:eastAsia="仿宋" w:cs="仿宋"/>
          <w:b/>
          <w:color w:val="auto"/>
          <w:sz w:val="24"/>
          <w:highlight w:val="none"/>
        </w:rPr>
      </w:pP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 3 \* GB2 </w:instrText>
      </w:r>
      <w:r>
        <w:rPr>
          <w:rFonts w:hint="eastAsia" w:ascii="仿宋" w:hAnsi="仿宋" w:eastAsia="仿宋" w:cs="仿宋"/>
          <w:b/>
          <w:color w:val="auto"/>
          <w:sz w:val="24"/>
          <w:highlight w:val="none"/>
        </w:rPr>
        <w:fldChar w:fldCharType="separate"/>
      </w:r>
      <w:r>
        <w:rPr>
          <w:rFonts w:hint="eastAsia" w:ascii="仿宋" w:hAnsi="仿宋" w:eastAsia="仿宋" w:cs="仿宋"/>
          <w:b/>
          <w:color w:val="auto"/>
          <w:sz w:val="24"/>
          <w:highlight w:val="none"/>
        </w:rPr>
        <w:t>⑶</w:t>
      </w:r>
      <w:r>
        <w:rPr>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上述2种情形除外，采购过程中有效供应商均不的少于3家，否则不得进入评审，并按相关规定重新组织采购。</w:t>
      </w:r>
    </w:p>
    <w:p>
      <w:pPr>
        <w:pStyle w:val="26"/>
        <w:rPr>
          <w:rFonts w:ascii="仿宋" w:hAnsi="仿宋" w:eastAsia="仿宋" w:cs="仿宋"/>
          <w:color w:val="auto"/>
          <w:highlight w:val="none"/>
        </w:rPr>
      </w:pPr>
      <w:bookmarkStart w:id="245" w:name="_Toc19110"/>
      <w:r>
        <w:rPr>
          <w:rFonts w:hint="eastAsia" w:ascii="仿宋" w:hAnsi="仿宋" w:eastAsia="仿宋" w:cs="仿宋"/>
          <w:color w:val="auto"/>
          <w:highlight w:val="none"/>
        </w:rPr>
        <w:t xml:space="preserve">6.3     </w:t>
      </w:r>
      <w:bookmarkEnd w:id="244"/>
      <w:r>
        <w:rPr>
          <w:rFonts w:hint="eastAsia" w:ascii="仿宋" w:hAnsi="仿宋" w:eastAsia="仿宋" w:cs="仿宋"/>
          <w:color w:val="auto"/>
          <w:highlight w:val="none"/>
        </w:rPr>
        <w:t>磋商和评审</w:t>
      </w:r>
      <w:bookmarkEnd w:id="245"/>
    </w:p>
    <w:p>
      <w:pPr>
        <w:pStyle w:val="2"/>
        <w:spacing w:line="360" w:lineRule="auto"/>
        <w:ind w:firstLine="0"/>
        <w:rPr>
          <w:rFonts w:ascii="仿宋" w:hAnsi="仿宋" w:eastAsia="仿宋" w:cs="仿宋"/>
          <w:color w:val="auto"/>
          <w:highlight w:val="none"/>
        </w:rPr>
      </w:pPr>
      <w:r>
        <w:rPr>
          <w:rFonts w:hint="eastAsia" w:ascii="仿宋" w:hAnsi="仿宋" w:eastAsia="仿宋" w:cs="仿宋"/>
          <w:color w:val="auto"/>
          <w:sz w:val="24"/>
          <w:highlight w:val="none"/>
        </w:rPr>
        <w:t>6.3.1   评审办法：见供应商须知前附表（一）；</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6.3.2   磋商小组由采购代理机构组建：磋商小组由评审专家或采购人代表和评审专家组成，成员人数为3人以上单数，其中评审专家不少于成员总数的三分之二。评审专家按规定从评审专家库中随机抽取。如有特殊情况的，按相关规定组建磋商小组；</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6.3.3   磋商和评审由磋商小组负责，磋商小组应当按照客观、公正、审慎的原则，根据磋商文件规定磋商和评审程序、评审办法和评审标准进行磋商、独立评审；</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6.3.4   磋商期间，磋商供应商代表必须在线等待，负责解答有关事宜；</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6.3.5   磋商和评审程序</w:t>
      </w:r>
    </w:p>
    <w:p>
      <w:pPr>
        <w:spacing w:line="360" w:lineRule="auto"/>
        <w:ind w:firstLine="964" w:firstLineChars="400"/>
        <w:jc w:val="left"/>
        <w:rPr>
          <w:rFonts w:ascii="仿宋" w:hAnsi="仿宋" w:eastAsia="仿宋" w:cs="仿宋"/>
          <w:b/>
          <w:color w:val="auto"/>
          <w:sz w:val="24"/>
          <w:highlight w:val="none"/>
        </w:rPr>
      </w:pP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 1 \* GB2 </w:instrText>
      </w:r>
      <w:r>
        <w:rPr>
          <w:rFonts w:hint="eastAsia" w:ascii="仿宋" w:hAnsi="仿宋" w:eastAsia="仿宋" w:cs="仿宋"/>
          <w:b/>
          <w:color w:val="auto"/>
          <w:sz w:val="24"/>
          <w:highlight w:val="none"/>
        </w:rPr>
        <w:fldChar w:fldCharType="separate"/>
      </w:r>
      <w:r>
        <w:rPr>
          <w:rFonts w:hint="eastAsia" w:ascii="仿宋" w:hAnsi="仿宋" w:eastAsia="仿宋" w:cs="仿宋"/>
          <w:b/>
          <w:color w:val="auto"/>
          <w:sz w:val="24"/>
          <w:highlight w:val="none"/>
        </w:rPr>
        <w:t>⑴</w:t>
      </w:r>
      <w:r>
        <w:rPr>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符合性审查</w:t>
      </w:r>
    </w:p>
    <w:p>
      <w:pPr>
        <w:spacing w:line="360" w:lineRule="auto"/>
        <w:ind w:left="1276"/>
        <w:jc w:val="left"/>
        <w:rPr>
          <w:rFonts w:ascii="仿宋" w:hAnsi="仿宋" w:eastAsia="仿宋" w:cs="仿宋"/>
          <w:color w:val="auto"/>
          <w:sz w:val="24"/>
          <w:highlight w:val="none"/>
        </w:rPr>
      </w:pPr>
      <w:r>
        <w:rPr>
          <w:rFonts w:hint="eastAsia" w:ascii="仿宋" w:hAnsi="仿宋" w:eastAsia="仿宋" w:cs="仿宋"/>
          <w:color w:val="auto"/>
          <w:sz w:val="24"/>
          <w:highlight w:val="none"/>
        </w:rPr>
        <w:t>磋商小组对磋商响应文件的有效性、完整性和对磋商文件的响应程度进行符合性审查，以确定是否对磋商文件的实质性要求作出响应，实质性响应是指磋商响应文件符合磋商文件规定的实质性内容、条件和规定；</w:t>
      </w:r>
    </w:p>
    <w:p>
      <w:pPr>
        <w:spacing w:line="360" w:lineRule="auto"/>
        <w:ind w:firstLine="723" w:firstLineChars="3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 2 \* GB2 </w:instrText>
      </w:r>
      <w:r>
        <w:rPr>
          <w:rFonts w:hint="eastAsia" w:ascii="仿宋" w:hAnsi="仿宋" w:eastAsia="仿宋" w:cs="仿宋"/>
          <w:b/>
          <w:color w:val="auto"/>
          <w:sz w:val="24"/>
          <w:highlight w:val="none"/>
        </w:rPr>
        <w:fldChar w:fldCharType="separate"/>
      </w:r>
      <w:r>
        <w:rPr>
          <w:rFonts w:hint="eastAsia" w:ascii="仿宋" w:hAnsi="仿宋" w:eastAsia="仿宋" w:cs="仿宋"/>
          <w:b/>
          <w:color w:val="auto"/>
          <w:sz w:val="24"/>
          <w:highlight w:val="none"/>
        </w:rPr>
        <w:t>⑵</w:t>
      </w:r>
      <w:r>
        <w:rPr>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磋商</w:t>
      </w:r>
    </w:p>
    <w:p>
      <w:pPr>
        <w:spacing w:line="360" w:lineRule="auto"/>
        <w:ind w:left="1260"/>
        <w:jc w:val="left"/>
        <w:rPr>
          <w:rFonts w:ascii="仿宋" w:hAnsi="仿宋" w:eastAsia="仿宋" w:cs="仿宋"/>
          <w:color w:val="auto"/>
          <w:sz w:val="24"/>
          <w:highlight w:val="none"/>
        </w:rPr>
      </w:pPr>
      <w:r>
        <w:rPr>
          <w:rFonts w:hint="eastAsia" w:ascii="仿宋" w:hAnsi="仿宋" w:eastAsia="仿宋" w:cs="仿宋"/>
          <w:color w:val="auto"/>
          <w:sz w:val="24"/>
          <w:highlight w:val="none"/>
        </w:rPr>
        <w:t>磋商小组对磋商响应文件进行评审，并根据磋商文件规定的程序、采购需求中的技术、服务要求以及合同格式条款等事项与实质性响应磋商文件要求的供应商进行多轮磋商。</w:t>
      </w:r>
    </w:p>
    <w:p>
      <w:pPr>
        <w:spacing w:line="360" w:lineRule="auto"/>
        <w:ind w:left="1233" w:leftChars="587"/>
        <w:jc w:val="left"/>
        <w:rPr>
          <w:rFonts w:ascii="仿宋" w:hAnsi="仿宋" w:eastAsia="仿宋" w:cs="仿宋"/>
          <w:color w:val="auto"/>
          <w:sz w:val="24"/>
          <w:highlight w:val="none"/>
        </w:rPr>
      </w:pPr>
      <w:r>
        <w:rPr>
          <w:rFonts w:hint="eastAsia" w:ascii="仿宋" w:hAnsi="仿宋" w:eastAsia="仿宋" w:cs="仿宋"/>
          <w:color w:val="auto"/>
          <w:sz w:val="24"/>
          <w:highlight w:val="none"/>
        </w:rPr>
        <w:t>磋商小组按政采云平台系统自动生成</w:t>
      </w:r>
      <w:r>
        <w:rPr>
          <w:rFonts w:hint="eastAsia" w:ascii="仿宋" w:hAnsi="仿宋" w:eastAsia="仿宋" w:cs="仿宋"/>
          <w:color w:val="auto"/>
          <w:kern w:val="0"/>
          <w:sz w:val="24"/>
          <w:highlight w:val="none"/>
        </w:rPr>
        <w:t>的顺序</w:t>
      </w:r>
      <w:r>
        <w:rPr>
          <w:rFonts w:hint="eastAsia" w:ascii="仿宋" w:hAnsi="仿宋" w:eastAsia="仿宋" w:cs="仿宋"/>
          <w:color w:val="auto"/>
          <w:sz w:val="24"/>
          <w:highlight w:val="none"/>
        </w:rPr>
        <w:t>分别与供应商进行磋商（若有演示内容，演示顺序同磋商顺序）。磋商小组所有成员应当集中与单一供应商分别进行磋商，并给予所有参加磋商的供应商平等的磋商机会。</w:t>
      </w:r>
    </w:p>
    <w:p>
      <w:pPr>
        <w:spacing w:line="360" w:lineRule="auto"/>
        <w:ind w:left="1260"/>
        <w:jc w:val="left"/>
        <w:rPr>
          <w:rFonts w:ascii="仿宋" w:hAnsi="仿宋" w:eastAsia="仿宋" w:cs="仿宋"/>
          <w:color w:val="auto"/>
          <w:sz w:val="24"/>
          <w:highlight w:val="none"/>
        </w:rPr>
      </w:pPr>
      <w:r>
        <w:rPr>
          <w:rFonts w:hint="eastAsia" w:ascii="仿宋" w:hAnsi="仿宋" w:eastAsia="仿宋" w:cs="仿宋"/>
          <w:color w:val="auto"/>
          <w:sz w:val="24"/>
          <w:highlight w:val="none"/>
        </w:rPr>
        <w:t>磋商过程中，磋商小组可以根据磋商文件和磋商情况实质性变动采购需求中的技术、服务要求以及合同格式条款，但不得变动磋商文件中的其他内容。实质性变动的内容，须经采购人代表确认。对磋商文件作出的实质性变动是磋商文件的有效组成部分，磋商小组采用政府采购云平台交换数据电文通知所有参加磋商的供应商。供应商应当按照磋商文件的变动情况和磋商小组的要求重新提交磋商响应文件。</w:t>
      </w:r>
    </w:p>
    <w:p>
      <w:pPr>
        <w:spacing w:line="360" w:lineRule="auto"/>
        <w:ind w:left="1260"/>
        <w:jc w:val="left"/>
        <w:rPr>
          <w:rFonts w:ascii="仿宋" w:hAnsi="仿宋" w:eastAsia="仿宋" w:cs="仿宋"/>
          <w:color w:val="auto"/>
          <w:sz w:val="24"/>
          <w:highlight w:val="none"/>
        </w:rPr>
      </w:pPr>
      <w:r>
        <w:rPr>
          <w:rFonts w:hint="eastAsia" w:ascii="仿宋" w:hAnsi="仿宋" w:eastAsia="仿宋" w:cs="仿宋"/>
          <w:color w:val="auto"/>
          <w:sz w:val="24"/>
          <w:highlight w:val="none"/>
        </w:rPr>
        <w:t>经磋商确定最终采购需求和提交最后报价的供应商后，由磋商小组采用综合评分法对提交最后报价的供应商的磋商响应文件和最后报价进行综合评分。</w:t>
      </w:r>
    </w:p>
    <w:p>
      <w:pPr>
        <w:spacing w:line="360" w:lineRule="auto"/>
        <w:ind w:firstLine="723" w:firstLineChars="3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 3 \* GB2 </w:instrText>
      </w:r>
      <w:r>
        <w:rPr>
          <w:rFonts w:hint="eastAsia" w:ascii="仿宋" w:hAnsi="仿宋" w:eastAsia="仿宋" w:cs="仿宋"/>
          <w:b/>
          <w:color w:val="auto"/>
          <w:sz w:val="24"/>
          <w:highlight w:val="none"/>
        </w:rPr>
        <w:fldChar w:fldCharType="separate"/>
      </w:r>
      <w:r>
        <w:rPr>
          <w:rFonts w:hint="eastAsia" w:ascii="仿宋" w:hAnsi="仿宋" w:eastAsia="仿宋" w:cs="仿宋"/>
          <w:b/>
          <w:color w:val="auto"/>
          <w:sz w:val="24"/>
          <w:highlight w:val="none"/>
        </w:rPr>
        <w:t>⑶</w:t>
      </w:r>
      <w:r>
        <w:rPr>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评审</w:t>
      </w:r>
    </w:p>
    <w:p>
      <w:pPr>
        <w:spacing w:line="360" w:lineRule="auto"/>
        <w:ind w:left="993"/>
        <w:jc w:val="left"/>
        <w:rPr>
          <w:rFonts w:ascii="仿宋" w:hAnsi="仿宋" w:eastAsia="仿宋" w:cs="仿宋"/>
          <w:b/>
          <w:color w:val="auto"/>
          <w:sz w:val="24"/>
          <w:highlight w:val="none"/>
        </w:rPr>
      </w:pPr>
      <w:r>
        <w:rPr>
          <w:rFonts w:hint="eastAsia" w:ascii="仿宋" w:hAnsi="仿宋" w:eastAsia="仿宋" w:cs="仿宋"/>
          <w:b/>
          <w:color w:val="auto"/>
          <w:sz w:val="24"/>
          <w:highlight w:val="none"/>
        </w:rPr>
        <w:t>资信商务及技术文件评审</w:t>
      </w:r>
    </w:p>
    <w:p>
      <w:pPr>
        <w:spacing w:line="360" w:lineRule="auto"/>
        <w:ind w:left="1560"/>
        <w:jc w:val="left"/>
        <w:rPr>
          <w:rFonts w:ascii="仿宋" w:hAnsi="仿宋" w:eastAsia="仿宋" w:cs="仿宋"/>
          <w:color w:val="auto"/>
          <w:sz w:val="24"/>
          <w:highlight w:val="none"/>
        </w:rPr>
      </w:pPr>
      <w:r>
        <w:rPr>
          <w:rFonts w:hint="eastAsia" w:ascii="仿宋" w:hAnsi="仿宋" w:eastAsia="仿宋" w:cs="仿宋"/>
          <w:color w:val="auto"/>
          <w:sz w:val="24"/>
          <w:highlight w:val="none"/>
        </w:rPr>
        <w:t>磋商小组依据磋商文件的规定，对各供应商的资信商务及技术文件进行评审，其中客观部分应统一意见后统一给分，其他技术部分由磋商小组对各磋商响应文件进行比较和必要的澄清，并根据澄清、演示、样品等情况按评审细则进行独立打分；</w:t>
      </w:r>
    </w:p>
    <w:p>
      <w:pPr>
        <w:spacing w:line="360" w:lineRule="auto"/>
        <w:ind w:left="1560"/>
        <w:jc w:val="left"/>
        <w:rPr>
          <w:rFonts w:ascii="仿宋" w:hAnsi="仿宋" w:eastAsia="仿宋" w:cs="仿宋"/>
          <w:color w:val="auto"/>
          <w:sz w:val="24"/>
          <w:highlight w:val="none"/>
        </w:rPr>
      </w:pPr>
      <w:r>
        <w:rPr>
          <w:rFonts w:hint="eastAsia" w:ascii="仿宋" w:hAnsi="仿宋" w:eastAsia="仿宋" w:cs="仿宋"/>
          <w:color w:val="auto"/>
          <w:sz w:val="24"/>
          <w:highlight w:val="none"/>
        </w:rPr>
        <w:t>各供应商的资信商务及技术得分，为各评审专家对该供应商的评审得分结果汇总后的算术平均数。</w:t>
      </w:r>
    </w:p>
    <w:p>
      <w:pPr>
        <w:spacing w:line="360" w:lineRule="auto"/>
        <w:ind w:left="993"/>
        <w:jc w:val="left"/>
        <w:rPr>
          <w:rFonts w:ascii="仿宋" w:hAnsi="仿宋" w:eastAsia="仿宋" w:cs="仿宋"/>
          <w:b/>
          <w:color w:val="auto"/>
          <w:sz w:val="24"/>
          <w:highlight w:val="none"/>
        </w:rPr>
      </w:pPr>
      <w:r>
        <w:rPr>
          <w:rFonts w:hint="eastAsia" w:ascii="仿宋" w:hAnsi="仿宋" w:eastAsia="仿宋" w:cs="仿宋"/>
          <w:b/>
          <w:color w:val="auto"/>
          <w:sz w:val="24"/>
          <w:highlight w:val="none"/>
        </w:rPr>
        <w:t>报价文件评审</w:t>
      </w:r>
    </w:p>
    <w:p>
      <w:pPr>
        <w:spacing w:line="360" w:lineRule="auto"/>
        <w:ind w:left="1560"/>
        <w:jc w:val="left"/>
        <w:rPr>
          <w:rFonts w:ascii="仿宋" w:hAnsi="仿宋" w:eastAsia="仿宋" w:cs="仿宋"/>
          <w:color w:val="auto"/>
          <w:sz w:val="24"/>
          <w:highlight w:val="none"/>
        </w:rPr>
      </w:pPr>
      <w:r>
        <w:rPr>
          <w:rFonts w:hint="eastAsia" w:ascii="仿宋" w:hAnsi="仿宋" w:eastAsia="仿宋" w:cs="仿宋"/>
          <w:color w:val="auto"/>
          <w:sz w:val="24"/>
          <w:highlight w:val="none"/>
        </w:rPr>
        <w:t>磋商小组依据磋商文件的规定，对各供应商提交的最后报价的完整性、合理性进行审查，必要时可要求供应商对其报价做出澄清、说明；</w:t>
      </w:r>
    </w:p>
    <w:p>
      <w:pPr>
        <w:spacing w:line="360" w:lineRule="auto"/>
        <w:ind w:left="1560"/>
        <w:jc w:val="left"/>
        <w:rPr>
          <w:rFonts w:ascii="仿宋" w:hAnsi="仿宋" w:eastAsia="仿宋" w:cs="仿宋"/>
          <w:color w:val="auto"/>
          <w:sz w:val="24"/>
          <w:highlight w:val="none"/>
        </w:rPr>
      </w:pPr>
      <w:r>
        <w:rPr>
          <w:rFonts w:hint="eastAsia" w:ascii="仿宋" w:hAnsi="仿宋" w:eastAsia="仿宋" w:cs="仿宋"/>
          <w:color w:val="auto"/>
          <w:sz w:val="24"/>
          <w:highlight w:val="none"/>
        </w:rPr>
        <w:t>报价修正；</w:t>
      </w:r>
    </w:p>
    <w:p>
      <w:pPr>
        <w:spacing w:line="360" w:lineRule="auto"/>
        <w:ind w:left="1560"/>
        <w:jc w:val="left"/>
        <w:rPr>
          <w:rFonts w:ascii="仿宋" w:hAnsi="仿宋" w:eastAsia="仿宋" w:cs="仿宋"/>
          <w:color w:val="auto"/>
          <w:sz w:val="24"/>
          <w:highlight w:val="none"/>
        </w:rPr>
      </w:pPr>
      <w:r>
        <w:rPr>
          <w:rFonts w:hint="eastAsia" w:ascii="仿宋" w:hAnsi="仿宋" w:eastAsia="仿宋" w:cs="仿宋"/>
          <w:color w:val="auto"/>
          <w:sz w:val="24"/>
          <w:highlight w:val="none"/>
        </w:rPr>
        <w:t>政府采购政策价格扣除；</w:t>
      </w:r>
    </w:p>
    <w:p>
      <w:pPr>
        <w:spacing w:line="360" w:lineRule="auto"/>
        <w:ind w:left="1560"/>
        <w:jc w:val="left"/>
        <w:rPr>
          <w:rFonts w:ascii="仿宋" w:hAnsi="仿宋" w:eastAsia="仿宋" w:cs="仿宋"/>
          <w:color w:val="auto"/>
          <w:sz w:val="24"/>
          <w:highlight w:val="none"/>
        </w:rPr>
      </w:pPr>
      <w:r>
        <w:rPr>
          <w:rFonts w:hint="eastAsia" w:ascii="仿宋" w:hAnsi="仿宋" w:eastAsia="仿宋" w:cs="仿宋"/>
          <w:color w:val="auto"/>
          <w:sz w:val="24"/>
          <w:highlight w:val="none"/>
        </w:rPr>
        <w:t>磋商小组根据供应商的最后报价和评审标准，计算各供应商的报价得分。</w:t>
      </w:r>
    </w:p>
    <w:p>
      <w:pPr>
        <w:pStyle w:val="26"/>
        <w:rPr>
          <w:rFonts w:ascii="仿宋" w:hAnsi="仿宋" w:eastAsia="仿宋" w:cs="仿宋"/>
          <w:color w:val="auto"/>
          <w:highlight w:val="none"/>
        </w:rPr>
      </w:pPr>
      <w:bookmarkStart w:id="246" w:name="_Toc5589"/>
      <w:bookmarkStart w:id="247" w:name="_Toc531359021"/>
      <w:r>
        <w:rPr>
          <w:rFonts w:hint="eastAsia" w:ascii="仿宋" w:hAnsi="仿宋" w:eastAsia="仿宋" w:cs="仿宋"/>
          <w:color w:val="auto"/>
          <w:highlight w:val="none"/>
        </w:rPr>
        <w:t>6.4     磋商响应文件的澄清、说明或补正</w:t>
      </w:r>
      <w:bookmarkEnd w:id="246"/>
      <w:bookmarkEnd w:id="247"/>
    </w:p>
    <w:p>
      <w:pPr>
        <w:spacing w:line="360" w:lineRule="auto"/>
        <w:ind w:left="1200" w:hanging="1200" w:hangingChars="500"/>
        <w:rPr>
          <w:rFonts w:ascii="仿宋" w:hAnsi="仿宋" w:eastAsia="仿宋" w:cs="仿宋"/>
          <w:color w:val="auto"/>
          <w:sz w:val="24"/>
          <w:highlight w:val="none"/>
        </w:rPr>
      </w:pPr>
      <w:r>
        <w:rPr>
          <w:rFonts w:hint="eastAsia" w:ascii="仿宋" w:hAnsi="仿宋" w:eastAsia="仿宋" w:cs="仿宋"/>
          <w:color w:val="auto"/>
          <w:sz w:val="24"/>
          <w:highlight w:val="none"/>
        </w:rPr>
        <w:t xml:space="preserve">6.4.1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对磋商响应文件中含义不明确、同类问题表述不一致或者有明显文字和计算错误的内容，</w:t>
      </w:r>
      <w:r>
        <w:rPr>
          <w:rFonts w:hint="eastAsia" w:ascii="仿宋" w:hAnsi="仿宋" w:eastAsia="仿宋" w:cs="仿宋"/>
          <w:b/>
          <w:color w:val="auto"/>
          <w:sz w:val="24"/>
          <w:highlight w:val="none"/>
        </w:rPr>
        <w:t>磋商小组通过政府采购云平台要求供应商作出必要的澄清、说明或者补正。电子磋商响应文件的澄清、说明或者补正采用政府采购云平台交换数据电文，供应商提交的澄清、说明或补正的时间为30分钟（供应商务必在线等待，留意手机短信，及时在线澄清、说明或补正）</w:t>
      </w:r>
      <w:r>
        <w:rPr>
          <w:rFonts w:hint="eastAsia" w:ascii="仿宋" w:hAnsi="仿宋" w:eastAsia="仿宋" w:cs="仿宋"/>
          <w:color w:val="auto"/>
          <w:sz w:val="24"/>
          <w:highlight w:val="none"/>
        </w:rPr>
        <w:t>。供应商的澄清、说明或者更正不得超出磋商响应文件的范围或者改变磋商响应文件的实质性内容；</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供应商的澄清、说明或更正将作为磋商响应文件的一部分；</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6.4.2   评审时磋商小组认为供应商的最后报价明显低于其他供应商的最后报价，有可能影响服务（产品）质量或者不能诚信履约的，应当要求其在评审现场合理的时间内说明原因和提供证明材料；</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6.4.3   不接受供应商主动对磋商响应文件的澄清、说明或者补正。</w:t>
      </w:r>
    </w:p>
    <w:p>
      <w:pPr>
        <w:pStyle w:val="26"/>
        <w:rPr>
          <w:rFonts w:ascii="仿宋" w:hAnsi="仿宋" w:eastAsia="仿宋" w:cs="仿宋"/>
          <w:color w:val="auto"/>
          <w:highlight w:val="none"/>
        </w:rPr>
      </w:pPr>
      <w:bookmarkStart w:id="248" w:name="_Toc531359022"/>
      <w:bookmarkStart w:id="249" w:name="_Toc32500"/>
      <w:r>
        <w:rPr>
          <w:rFonts w:hint="eastAsia" w:ascii="仿宋" w:hAnsi="仿宋" w:eastAsia="仿宋" w:cs="仿宋"/>
          <w:color w:val="auto"/>
          <w:highlight w:val="none"/>
        </w:rPr>
        <w:t>6.5     报价错误修正</w:t>
      </w:r>
      <w:bookmarkEnd w:id="248"/>
      <w:bookmarkEnd w:id="249"/>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6.5.1   磋商小组对确定磋商响应文件为实质上响应磋商文件要求的，磋商响应文件报价出现前后不一致的，按照下列规定修正：</w:t>
      </w:r>
    </w:p>
    <w:p>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正本与副本不一致时，以正本为准；</w:t>
      </w:r>
    </w:p>
    <w:p>
      <w:pPr>
        <w:spacing w:line="360" w:lineRule="auto"/>
        <w:ind w:left="1185" w:leftChars="450" w:hanging="240" w:hangingChars="100"/>
        <w:rPr>
          <w:rFonts w:ascii="仿宋" w:hAnsi="仿宋" w:eastAsia="仿宋" w:cs="仿宋"/>
          <w:bCs/>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kern w:val="0"/>
          <w:sz w:val="24"/>
          <w:highlight w:val="none"/>
        </w:rPr>
        <w:t>报价文件</w:t>
      </w:r>
      <w:r>
        <w:rPr>
          <w:rFonts w:hint="eastAsia" w:ascii="仿宋" w:hAnsi="仿宋" w:eastAsia="仿宋" w:cs="仿宋"/>
          <w:bCs/>
          <w:color w:val="auto"/>
          <w:sz w:val="24"/>
          <w:highlight w:val="none"/>
        </w:rPr>
        <w:t>中开标一览表（报价表）内容与</w:t>
      </w:r>
      <w:r>
        <w:rPr>
          <w:rFonts w:hint="eastAsia" w:ascii="仿宋" w:hAnsi="仿宋" w:eastAsia="仿宋" w:cs="仿宋"/>
          <w:color w:val="auto"/>
          <w:kern w:val="0"/>
          <w:sz w:val="24"/>
          <w:highlight w:val="none"/>
        </w:rPr>
        <w:t>报价</w:t>
      </w:r>
      <w:r>
        <w:rPr>
          <w:rFonts w:hint="eastAsia" w:ascii="仿宋" w:hAnsi="仿宋" w:eastAsia="仿宋" w:cs="仿宋"/>
          <w:bCs/>
          <w:color w:val="auto"/>
          <w:sz w:val="24"/>
          <w:highlight w:val="none"/>
        </w:rPr>
        <w:t>明细表相应内容不一致的，以开标一览表（报价表）为准；</w:t>
      </w:r>
    </w:p>
    <w:p>
      <w:pPr>
        <w:spacing w:line="360" w:lineRule="auto"/>
        <w:ind w:left="840" w:leftChars="400"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3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⑶</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报价文件的大写金额和小写金额不一致的，以大写金额为准；</w:t>
      </w:r>
    </w:p>
    <w:p>
      <w:pPr>
        <w:spacing w:line="360" w:lineRule="auto"/>
        <w:ind w:left="1185" w:leftChars="450" w:hanging="240" w:hangingChars="10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4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⑷</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单价金额小数点或者百分比有明显错位的，以开标一览表（报价表）的总价为准，并修改单价；</w:t>
      </w:r>
    </w:p>
    <w:p>
      <w:pPr>
        <w:spacing w:line="360" w:lineRule="auto"/>
        <w:ind w:left="840" w:leftChars="400"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5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⑸</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总价金额与按单价汇总金额不一致的，以单价金额计算结果为准；</w:t>
      </w:r>
    </w:p>
    <w:p>
      <w:pPr>
        <w:spacing w:line="360" w:lineRule="auto"/>
        <w:ind w:left="840" w:leftChars="400"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6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⑹</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同时出现两种以上不一致的，按上述顺序修正；</w:t>
      </w:r>
    </w:p>
    <w:p>
      <w:pPr>
        <w:spacing w:line="360" w:lineRule="auto"/>
        <w:ind w:left="840" w:leftChars="400"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7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⑺</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对不同文字文本</w:t>
      </w:r>
      <w:r>
        <w:rPr>
          <w:rFonts w:hint="eastAsia" w:ascii="仿宋" w:hAnsi="仿宋" w:eastAsia="仿宋" w:cs="仿宋"/>
          <w:color w:val="auto"/>
          <w:kern w:val="0"/>
          <w:sz w:val="24"/>
          <w:highlight w:val="none"/>
        </w:rPr>
        <w:t>磋商响应文件</w:t>
      </w:r>
      <w:r>
        <w:rPr>
          <w:rFonts w:hint="eastAsia" w:ascii="仿宋" w:hAnsi="仿宋" w:eastAsia="仿宋" w:cs="仿宋"/>
          <w:bCs/>
          <w:color w:val="auto"/>
          <w:sz w:val="24"/>
          <w:highlight w:val="none"/>
        </w:rPr>
        <w:t>的解释发生异议的，以中文文本为准；</w:t>
      </w:r>
    </w:p>
    <w:p>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8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⑻</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修正错误的响应报价，经供应商负责人（或委托代理人）同意签字确认后产生约束力。调整后的响应报价对供应商具有约束作用。若供应商不接受修正后的响应报价，则其响应无效。</w:t>
      </w:r>
    </w:p>
    <w:p>
      <w:pPr>
        <w:pStyle w:val="26"/>
        <w:rPr>
          <w:rFonts w:ascii="仿宋" w:hAnsi="仿宋" w:eastAsia="仿宋" w:cs="仿宋"/>
          <w:color w:val="auto"/>
          <w:highlight w:val="none"/>
        </w:rPr>
      </w:pPr>
      <w:bookmarkStart w:id="250" w:name="_Toc531359024"/>
      <w:bookmarkStart w:id="251" w:name="_Toc17086"/>
      <w:r>
        <w:rPr>
          <w:rFonts w:hint="eastAsia" w:ascii="仿宋" w:hAnsi="仿宋" w:eastAsia="仿宋" w:cs="仿宋"/>
          <w:color w:val="auto"/>
          <w:highlight w:val="none"/>
        </w:rPr>
        <w:t>6.6     评审报告</w:t>
      </w:r>
      <w:bookmarkEnd w:id="250"/>
      <w:bookmarkEnd w:id="251"/>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6.6.1   评审结果汇总，供应商结果排序；</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6.6.2   磋商小组根据全体评审成员签字的原始评审记录和评审结果编写评审报告，并推荐成交候选人；</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6.6.3   评审报告由磋商小组成员签字确认生效，持不同意见的磋商小组成员应当在评审报告上签署不同意见及理由，否则视为同意评审报告；</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6.6.4   评标结束后，采购代理机构通过成交公告的形式宣布评标结果。</w:t>
      </w:r>
    </w:p>
    <w:p>
      <w:pPr>
        <w:pStyle w:val="16"/>
        <w:spacing w:beforeLines="100" w:after="240" w:afterLines="100"/>
        <w:jc w:val="left"/>
        <w:outlineLvl w:val="1"/>
        <w:rPr>
          <w:rFonts w:ascii="仿宋" w:hAnsi="仿宋" w:eastAsia="仿宋" w:cs="仿宋"/>
          <w:color w:val="auto"/>
          <w:sz w:val="30"/>
          <w:szCs w:val="30"/>
          <w:highlight w:val="none"/>
        </w:rPr>
      </w:pPr>
      <w:bookmarkStart w:id="252" w:name="_Toc531359025"/>
      <w:bookmarkStart w:id="253" w:name="_Toc523398512"/>
      <w:bookmarkStart w:id="254" w:name="_Toc7261"/>
      <w:r>
        <w:rPr>
          <w:rFonts w:hint="eastAsia" w:ascii="仿宋" w:hAnsi="仿宋" w:eastAsia="仿宋" w:cs="仿宋"/>
          <w:color w:val="auto"/>
          <w:sz w:val="30"/>
          <w:szCs w:val="30"/>
          <w:highlight w:val="none"/>
        </w:rPr>
        <w:t>七    响应无效的情形</w:t>
      </w:r>
      <w:bookmarkEnd w:id="252"/>
      <w:bookmarkEnd w:id="253"/>
      <w:bookmarkEnd w:id="254"/>
    </w:p>
    <w:p>
      <w:pPr>
        <w:pStyle w:val="26"/>
        <w:rPr>
          <w:rFonts w:ascii="仿宋" w:hAnsi="仿宋" w:eastAsia="仿宋" w:cs="仿宋"/>
          <w:color w:val="auto"/>
          <w:highlight w:val="none"/>
        </w:rPr>
      </w:pPr>
      <w:bookmarkStart w:id="255" w:name="_Toc31029"/>
      <w:r>
        <w:rPr>
          <w:rFonts w:hint="eastAsia" w:ascii="仿宋" w:hAnsi="仿宋" w:eastAsia="仿宋" w:cs="仿宋"/>
          <w:color w:val="auto"/>
          <w:highlight w:val="none"/>
        </w:rPr>
        <w:t>7.1     在开标时，如发现有以下情形之一的，其响应无效</w:t>
      </w:r>
      <w:bookmarkEnd w:id="255"/>
    </w:p>
    <w:p>
      <w:pPr>
        <w:spacing w:line="360" w:lineRule="auto"/>
        <w:ind w:left="840" w:leftChars="400"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1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⑴</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未按要求提交电子加密磋商响应文件的；</w:t>
      </w:r>
    </w:p>
    <w:p>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2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⑵</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在规定时间内未解密电子加密磋商响应文件或</w:t>
      </w:r>
      <w:r>
        <w:rPr>
          <w:rFonts w:hint="eastAsia" w:ascii="仿宋" w:hAnsi="仿宋" w:eastAsia="仿宋" w:cs="仿宋"/>
          <w:bCs/>
          <w:color w:val="auto"/>
          <w:sz w:val="24"/>
          <w:highlight w:val="none"/>
        </w:rPr>
        <w:t>提交电子加密</w:t>
      </w:r>
      <w:r>
        <w:rPr>
          <w:rFonts w:hint="eastAsia" w:ascii="仿宋" w:hAnsi="仿宋" w:eastAsia="仿宋" w:cs="仿宋"/>
          <w:color w:val="auto"/>
          <w:sz w:val="24"/>
          <w:highlight w:val="none"/>
        </w:rPr>
        <w:t>磋商响应文件</w:t>
      </w:r>
      <w:r>
        <w:rPr>
          <w:rFonts w:hint="eastAsia" w:ascii="仿宋" w:hAnsi="仿宋" w:eastAsia="仿宋" w:cs="仿宋"/>
          <w:bCs/>
          <w:color w:val="auto"/>
          <w:sz w:val="24"/>
          <w:highlight w:val="none"/>
        </w:rPr>
        <w:t>无法解密，且未按规定提交备份</w:t>
      </w:r>
      <w:r>
        <w:rPr>
          <w:rFonts w:hint="eastAsia" w:ascii="仿宋" w:hAnsi="仿宋" w:eastAsia="仿宋" w:cs="仿宋"/>
          <w:color w:val="auto"/>
          <w:sz w:val="24"/>
          <w:highlight w:val="none"/>
        </w:rPr>
        <w:t>磋商响应文件</w:t>
      </w:r>
      <w:r>
        <w:rPr>
          <w:rFonts w:hint="eastAsia" w:ascii="仿宋" w:hAnsi="仿宋" w:eastAsia="仿宋" w:cs="仿宋"/>
          <w:bCs/>
          <w:color w:val="auto"/>
          <w:sz w:val="24"/>
          <w:highlight w:val="none"/>
        </w:rPr>
        <w:t>。</w:t>
      </w:r>
    </w:p>
    <w:p>
      <w:pPr>
        <w:pStyle w:val="26"/>
        <w:rPr>
          <w:rFonts w:ascii="仿宋" w:hAnsi="仿宋" w:eastAsia="仿宋" w:cs="仿宋"/>
          <w:color w:val="auto"/>
          <w:highlight w:val="none"/>
        </w:rPr>
      </w:pPr>
      <w:bookmarkStart w:id="256" w:name="_Toc23424"/>
      <w:r>
        <w:rPr>
          <w:rFonts w:hint="eastAsia" w:ascii="仿宋" w:hAnsi="仿宋" w:eastAsia="仿宋" w:cs="仿宋"/>
          <w:color w:val="auto"/>
          <w:highlight w:val="none"/>
        </w:rPr>
        <w:t>7.2     在符合性审查时，如发现下列情形之一的，其响应无效</w:t>
      </w:r>
      <w:bookmarkEnd w:id="256"/>
    </w:p>
    <w:p>
      <w:pPr>
        <w:spacing w:line="360" w:lineRule="auto"/>
        <w:ind w:left="840" w:leftChars="400"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1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⑴</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未按磋商文件规定进行盖章、签字的；</w:t>
      </w:r>
    </w:p>
    <w:p>
      <w:pPr>
        <w:spacing w:line="360" w:lineRule="auto"/>
        <w:ind w:left="840" w:leftChars="400"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2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⑵</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未实质响应磋商文件中带“</w:t>
      </w:r>
      <w:r>
        <w:rPr>
          <w:rFonts w:hint="eastAsia" w:ascii="仿宋" w:hAnsi="仿宋" w:eastAsia="仿宋" w:cs="仿宋"/>
          <w:color w:val="auto"/>
          <w:sz w:val="24"/>
          <w:highlight w:val="none"/>
        </w:rPr>
        <w:sym w:font="Wingdings 3" w:char="F070"/>
      </w:r>
      <w:r>
        <w:rPr>
          <w:rFonts w:hint="eastAsia" w:ascii="仿宋" w:hAnsi="仿宋" w:eastAsia="仿宋" w:cs="仿宋"/>
          <w:color w:val="auto"/>
          <w:sz w:val="24"/>
          <w:highlight w:val="none"/>
        </w:rPr>
        <w:t>”条款要求的磋商响应文件；</w:t>
      </w:r>
    </w:p>
    <w:p>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3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⑶</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存在一个或一个以上备选（替代）响应方案的；</w:t>
      </w:r>
    </w:p>
    <w:p>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供应商提交两份或两份以上内容不同的磋商响应文件，未声明哪一份有效的。</w:t>
      </w:r>
    </w:p>
    <w:p>
      <w:pPr>
        <w:pStyle w:val="4"/>
        <w:spacing w:before="0" w:after="0"/>
        <w:ind w:left="964" w:hanging="964" w:hangingChars="400"/>
        <w:rPr>
          <w:rFonts w:ascii="仿宋" w:hAnsi="仿宋" w:eastAsia="仿宋" w:cs="仿宋"/>
          <w:color w:val="auto"/>
          <w:sz w:val="24"/>
          <w:szCs w:val="24"/>
          <w:highlight w:val="none"/>
        </w:rPr>
      </w:pPr>
      <w:bookmarkStart w:id="257" w:name="_Toc26713"/>
      <w:r>
        <w:rPr>
          <w:rFonts w:hint="eastAsia" w:ascii="仿宋" w:hAnsi="仿宋" w:eastAsia="仿宋" w:cs="仿宋"/>
          <w:color w:val="auto"/>
          <w:sz w:val="24"/>
          <w:szCs w:val="24"/>
          <w:highlight w:val="none"/>
        </w:rPr>
        <w:t>7.3     在资信商务技术评审时，如发现下列情形之一的，其响应无效</w:t>
      </w:r>
      <w:bookmarkEnd w:id="257"/>
    </w:p>
    <w:p>
      <w:pPr>
        <w:spacing w:line="360" w:lineRule="auto"/>
        <w:ind w:left="1185" w:leftChars="450" w:hanging="240" w:hangingChars="10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1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⑴</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磋商响应文件含有采购人不能接受的附加条款的；</w:t>
      </w:r>
    </w:p>
    <w:p>
      <w:pPr>
        <w:spacing w:line="360" w:lineRule="auto"/>
        <w:ind w:left="840" w:leftChars="400"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2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⑵</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磋商响应文件中提供赠品、回扣或者与采购无关的其他商品、服务的；</w:t>
      </w:r>
    </w:p>
    <w:p>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3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⑶</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磋商小组评定有非实质性条款负偏离超过磋商文件规定项数的，项数要求见供应商须知前附表（一）；</w:t>
      </w:r>
    </w:p>
    <w:p>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bCs/>
          <w:color w:val="auto"/>
          <w:sz w:val="24"/>
          <w:highlight w:val="none"/>
        </w:rPr>
        <w:t>供应商已明知采购期间或之后企业将发生兼并改制，或提供的产品将停产、淘汰，或必须有偿使用专供的备品备件和试剂耗材的，及其他应当告知采购人可能影响采购项目实施或损害采购人利益的信息，不在磋商响应文件中予以特别说明的；</w:t>
      </w:r>
    </w:p>
    <w:p>
      <w:pPr>
        <w:spacing w:line="360" w:lineRule="auto"/>
        <w:ind w:left="1185" w:leftChars="450" w:hanging="240" w:hangingChars="10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5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⑸</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采购产品为政府强制采购的节能产品，供应商未提供节能产品认证证书的；</w:t>
      </w:r>
    </w:p>
    <w:p>
      <w:pPr>
        <w:spacing w:line="360" w:lineRule="auto"/>
        <w:ind w:left="1185" w:leftChars="450" w:hanging="240" w:hangingChars="10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6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⑹</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磋商响应文件内容不全或内容字迹模糊辨认不清的而导致评审无法正常进行（经磋商小组认定并允许其当场更正的笔误除外的）；</w:t>
      </w:r>
    </w:p>
    <w:p>
      <w:pPr>
        <w:spacing w:line="360" w:lineRule="auto"/>
        <w:ind w:left="1185" w:leftChars="450" w:hanging="240" w:hangingChars="100"/>
        <w:rPr>
          <w:rFonts w:ascii="仿宋" w:hAnsi="仿宋" w:eastAsia="仿宋" w:cs="仿宋"/>
          <w:bCs/>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7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⑺</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违反国家及政府部门相关法律、法规、文件规定或经评审委员会认定的其他属于重大偏离的。</w:t>
      </w:r>
    </w:p>
    <w:p>
      <w:pPr>
        <w:pStyle w:val="4"/>
        <w:spacing w:before="0" w:after="0"/>
        <w:ind w:left="964" w:hanging="964" w:hangingChars="400"/>
        <w:rPr>
          <w:rFonts w:ascii="仿宋" w:hAnsi="仿宋" w:eastAsia="仿宋" w:cs="仿宋"/>
          <w:color w:val="auto"/>
          <w:sz w:val="24"/>
          <w:szCs w:val="24"/>
          <w:highlight w:val="none"/>
        </w:rPr>
      </w:pPr>
      <w:bookmarkStart w:id="258" w:name="_Toc3086"/>
      <w:r>
        <w:rPr>
          <w:rFonts w:hint="eastAsia" w:ascii="仿宋" w:hAnsi="仿宋" w:eastAsia="仿宋" w:cs="仿宋"/>
          <w:color w:val="auto"/>
          <w:sz w:val="24"/>
          <w:szCs w:val="24"/>
          <w:highlight w:val="none"/>
        </w:rPr>
        <w:t>7.4     在报价评审时，如发现下列情形之一的，其响应无效</w:t>
      </w:r>
      <w:bookmarkEnd w:id="258"/>
    </w:p>
    <w:p>
      <w:pPr>
        <w:spacing w:line="360" w:lineRule="auto"/>
        <w:ind w:left="945" w:leftChars="450"/>
        <w:rPr>
          <w:rFonts w:ascii="仿宋" w:hAnsi="仿宋" w:eastAsia="仿宋" w:cs="仿宋"/>
          <w:b/>
          <w:bCs/>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报价超过磋商文件中规定的最高限价的；</w:t>
      </w:r>
    </w:p>
    <w:p>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响应报价存在漏项或报价数量少于采购要求的，报价文件内容与对应资信商务及技术文件内容不一致的；</w:t>
      </w:r>
    </w:p>
    <w:p>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磋商小组评定其响应的报价明显不合理或低于成本，有可能影响产品质量或者不能诚信履约的，在评审现场合理的时间内不能合理说明原因和提供证明材料的来证明其报价合理性的；</w:t>
      </w:r>
    </w:p>
    <w:p>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拒不接受报价错误修正或报价错误修正后在线确认的。</w:t>
      </w:r>
    </w:p>
    <w:p>
      <w:pPr>
        <w:pStyle w:val="4"/>
        <w:spacing w:before="0" w:after="0"/>
        <w:ind w:left="964" w:hanging="964" w:hangingChars="400"/>
        <w:rPr>
          <w:rFonts w:ascii="仿宋" w:hAnsi="仿宋" w:eastAsia="仿宋" w:cs="仿宋"/>
          <w:color w:val="auto"/>
          <w:sz w:val="24"/>
          <w:szCs w:val="24"/>
          <w:highlight w:val="none"/>
        </w:rPr>
      </w:pPr>
      <w:bookmarkStart w:id="259" w:name="_Toc20961"/>
      <w:r>
        <w:rPr>
          <w:rFonts w:hint="eastAsia" w:ascii="仿宋" w:hAnsi="仿宋" w:eastAsia="仿宋" w:cs="仿宋"/>
          <w:color w:val="auto"/>
          <w:sz w:val="24"/>
          <w:szCs w:val="24"/>
          <w:highlight w:val="none"/>
        </w:rPr>
        <w:t>7.5     如有下列情形之一的，其响应无效</w:t>
      </w:r>
      <w:bookmarkEnd w:id="259"/>
    </w:p>
    <w:p>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供应商直接或者间接从采购人或者采购代理机构处获得其他供应商的相关情况并修改其磋商响应文件；</w:t>
      </w:r>
    </w:p>
    <w:p>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供应商按照采购人或者采购代理机构的授意撤换、修改磋商响应文件；</w:t>
      </w:r>
    </w:p>
    <w:p>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供应商之间协商磋商响应文件的实质性内容；</w:t>
      </w:r>
    </w:p>
    <w:p>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属于同一集团、协会、商会等组织成员的供应商按照该组织要求协同参加政府采购活动；</w:t>
      </w:r>
    </w:p>
    <w:p>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⑸</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供应商之间事先约定由某一特定供应商中标、成交；</w:t>
      </w:r>
    </w:p>
    <w:p>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⑹</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供应商之间商定部分供应商放弃参加政府采购活动或者放弃中标、成交；</w:t>
      </w:r>
    </w:p>
    <w:p>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7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⑺</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供应商与采购人或者采购代理机构之间、供应商相互之间，为谋求特定供应商中标、成交或者排斥其他供应商的其他串通行为；</w:t>
      </w:r>
    </w:p>
    <w:p>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8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⑻</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不同供应商的磋商响应文件由同一单位或者个人编制；</w:t>
      </w:r>
    </w:p>
    <w:p>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9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⑼</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不同供应商委托同一单位或者个人办理磋商事宜；</w:t>
      </w:r>
    </w:p>
    <w:p>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10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⑽</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不同供应商的磋商响应文件载明的项目管理成员或者联系人员为同一人；</w:t>
      </w:r>
    </w:p>
    <w:p>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⑾</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不同供应商的磋商响应文件异常一致或者响应报价呈规律性差异；</w:t>
      </w:r>
    </w:p>
    <w:p>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⑿</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提供虚假材料谋取成交的。</w:t>
      </w:r>
    </w:p>
    <w:p>
      <w:pPr>
        <w:pStyle w:val="16"/>
        <w:spacing w:beforeLines="100" w:after="240" w:afterLines="100"/>
        <w:jc w:val="left"/>
        <w:outlineLvl w:val="1"/>
        <w:rPr>
          <w:rFonts w:ascii="仿宋" w:hAnsi="仿宋" w:eastAsia="仿宋" w:cs="仿宋"/>
          <w:color w:val="auto"/>
          <w:sz w:val="30"/>
          <w:szCs w:val="30"/>
          <w:highlight w:val="none"/>
        </w:rPr>
      </w:pPr>
      <w:bookmarkStart w:id="260" w:name="_Toc32393"/>
      <w:bookmarkStart w:id="261" w:name="_Toc303756400"/>
      <w:bookmarkStart w:id="262" w:name="_Toc531359026"/>
      <w:bookmarkStart w:id="263" w:name="_Toc359934597"/>
      <w:bookmarkStart w:id="264" w:name="_Toc515526193"/>
      <w:bookmarkStart w:id="265" w:name="_Toc301187772"/>
      <w:r>
        <w:rPr>
          <w:rFonts w:hint="eastAsia" w:ascii="仿宋" w:hAnsi="仿宋" w:eastAsia="仿宋" w:cs="仿宋"/>
          <w:color w:val="auto"/>
          <w:sz w:val="30"/>
          <w:szCs w:val="30"/>
          <w:highlight w:val="none"/>
        </w:rPr>
        <w:t>八    成交和合同</w:t>
      </w:r>
      <w:bookmarkEnd w:id="260"/>
      <w:bookmarkEnd w:id="261"/>
      <w:bookmarkEnd w:id="262"/>
      <w:bookmarkEnd w:id="263"/>
      <w:bookmarkEnd w:id="264"/>
      <w:bookmarkEnd w:id="265"/>
    </w:p>
    <w:p>
      <w:pPr>
        <w:pStyle w:val="26"/>
        <w:rPr>
          <w:rFonts w:ascii="仿宋" w:hAnsi="仿宋" w:eastAsia="仿宋" w:cs="仿宋"/>
          <w:color w:val="auto"/>
          <w:highlight w:val="none"/>
        </w:rPr>
      </w:pPr>
      <w:bookmarkStart w:id="266" w:name="_Toc303756402"/>
      <w:bookmarkStart w:id="267" w:name="_Toc359934599"/>
      <w:bookmarkStart w:id="268" w:name="_Toc301187776"/>
      <w:bookmarkStart w:id="269" w:name="_Toc531359027"/>
      <w:bookmarkStart w:id="270" w:name="_Toc2908"/>
      <w:bookmarkStart w:id="271" w:name="_Toc515526194"/>
      <w:r>
        <w:rPr>
          <w:rFonts w:hint="eastAsia" w:ascii="仿宋" w:hAnsi="仿宋" w:eastAsia="仿宋" w:cs="仿宋"/>
          <w:color w:val="auto"/>
          <w:highlight w:val="none"/>
        </w:rPr>
        <w:t>8.1</w:t>
      </w:r>
      <w:bookmarkEnd w:id="266"/>
      <w:bookmarkEnd w:id="267"/>
      <w:bookmarkEnd w:id="268"/>
      <w:r>
        <w:rPr>
          <w:rFonts w:hint="eastAsia" w:ascii="仿宋" w:hAnsi="仿宋" w:eastAsia="仿宋" w:cs="仿宋"/>
          <w:color w:val="auto"/>
          <w:highlight w:val="none"/>
        </w:rPr>
        <w:t xml:space="preserve">     成交</w:t>
      </w:r>
      <w:bookmarkEnd w:id="269"/>
      <w:bookmarkEnd w:id="270"/>
      <w:bookmarkEnd w:id="271"/>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8.1.1   采购代理机构在评审结束后2个工作日内将评审报告提交采购人确认；</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8.1.2   采购人应当自收到评审报告之日起5个工作日内，在评审报告确定的成交候选人名单中按顺序确定成交人；</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8.1.3   采购人在收到评审报告5个工作日内未按评审报告推荐的成交候选人顺序确定成交人，又不能说明合法理由的，视同按评审报告推荐的顺序确定排名第一的成交候选人为成交人；</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8.1.4   成交人拒绝与采购人签订合同的，采购人可以按照评审报告推荐的成交人名单排序，确定下一候选人为成交人，也可以重新开展政府采购活动。</w:t>
      </w:r>
    </w:p>
    <w:p>
      <w:pPr>
        <w:pStyle w:val="26"/>
        <w:rPr>
          <w:rFonts w:ascii="仿宋" w:hAnsi="仿宋" w:eastAsia="仿宋" w:cs="仿宋"/>
          <w:color w:val="auto"/>
          <w:highlight w:val="none"/>
        </w:rPr>
      </w:pPr>
      <w:bookmarkStart w:id="272" w:name="_Toc531359028"/>
      <w:bookmarkStart w:id="273" w:name="_Toc17649"/>
      <w:r>
        <w:rPr>
          <w:rFonts w:hint="eastAsia" w:ascii="仿宋" w:hAnsi="仿宋" w:eastAsia="仿宋" w:cs="仿宋"/>
          <w:color w:val="auto"/>
          <w:highlight w:val="none"/>
        </w:rPr>
        <w:t>8.2     成交公告和成交通知书</w:t>
      </w:r>
      <w:bookmarkEnd w:id="272"/>
      <w:bookmarkEnd w:id="273"/>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8.2.1   采购代理机构应当自成交人确定之日起2个工作日内，在供应商须知前附表（一）规定的网址发布成交结果；</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8.2.2   成交结果公告内容包括采购人和采购代理机构的名称、地址、联系方式，项目名称和项目编号，成交人名称、地址和成交金额，主要成交标的的名称、规格型号、数量、单价、服务要求，成交公告期限以及评审专家名单，但不包括国家秘密或商业秘密；</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8.2.3   成交公告期限为1个工作日；</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8.2.4   采购代理机构将在成交结果公告中附成交通知书，视同向成交人发出成交通知书，同时成交人应在成交结果公告发布后签订合同前，赴政府采购代理机构项目负责人处领取书面成交通知书；</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8.2.5   成交通知书发出后，采购人不得改变成交结果，成交人无正当理由不得放弃成交。否则将作为不良行为记录上报财政部门，由财政部门按相关法律法规给予处理。</w:t>
      </w:r>
    </w:p>
    <w:p>
      <w:pPr>
        <w:pStyle w:val="26"/>
        <w:rPr>
          <w:rFonts w:ascii="仿宋" w:hAnsi="仿宋" w:eastAsia="仿宋" w:cs="仿宋"/>
          <w:color w:val="auto"/>
          <w:highlight w:val="none"/>
        </w:rPr>
      </w:pPr>
      <w:bookmarkStart w:id="274" w:name="_Toc28344"/>
      <w:bookmarkStart w:id="275" w:name="_Toc531359029"/>
      <w:r>
        <w:rPr>
          <w:rFonts w:hint="eastAsia" w:ascii="仿宋" w:hAnsi="仿宋" w:eastAsia="仿宋" w:cs="仿宋"/>
          <w:color w:val="auto"/>
          <w:highlight w:val="none"/>
        </w:rPr>
        <w:t>8.3     履约保证金</w:t>
      </w:r>
      <w:bookmarkEnd w:id="274"/>
      <w:bookmarkEnd w:id="275"/>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8.3.1   履约保证金：见供应商须知前附表（一）。</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8.3.2   成交人提供的服务及相关货物符合合同约定并经验收合格的，其履约保证金按规定要求由采购人无息退还。</w:t>
      </w:r>
    </w:p>
    <w:p>
      <w:pPr>
        <w:pStyle w:val="26"/>
        <w:rPr>
          <w:rFonts w:ascii="仿宋" w:hAnsi="仿宋" w:eastAsia="仿宋" w:cs="仿宋"/>
          <w:color w:val="auto"/>
          <w:highlight w:val="none"/>
        </w:rPr>
      </w:pPr>
      <w:bookmarkStart w:id="276" w:name="_Toc531359030"/>
      <w:bookmarkStart w:id="277" w:name="_Toc18880"/>
      <w:r>
        <w:rPr>
          <w:rFonts w:hint="eastAsia" w:ascii="仿宋" w:hAnsi="仿宋" w:eastAsia="仿宋" w:cs="仿宋"/>
          <w:color w:val="auto"/>
          <w:highlight w:val="none"/>
        </w:rPr>
        <w:t>8.4     合同</w:t>
      </w:r>
      <w:bookmarkEnd w:id="276"/>
      <w:bookmarkEnd w:id="277"/>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8.4.1   采购人应当自成交通知书发出之日起30日内，按照磋商文件和成交人磋商响应文件的规定，与成交人签订书面合同。所签订的合同不得对磋商文件确定的事项和成交人磋商响应文件作实质性修改。</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8.4.2   询问或者质疑事项可能影响中标（成交）结果的，采购人应当暂停签订合同，已经签订合同的，应当中止履行合同。</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8.4.3   采购人应当自政府采购合同签订之日起2个工作日内，将政府采购合同在浙江省政府采购网（zfcg.czt.zj.gov.cn）上公告，但政府采购合同中涉及国家秘密、商业秘密的内容除外。</w:t>
      </w:r>
    </w:p>
    <w:p>
      <w:pPr>
        <w:pStyle w:val="16"/>
        <w:spacing w:beforeLines="100" w:after="240" w:afterLines="100"/>
        <w:jc w:val="left"/>
        <w:outlineLvl w:val="1"/>
        <w:rPr>
          <w:rFonts w:ascii="仿宋" w:hAnsi="仿宋" w:eastAsia="仿宋" w:cs="仿宋"/>
          <w:color w:val="auto"/>
          <w:sz w:val="30"/>
          <w:szCs w:val="30"/>
          <w:highlight w:val="none"/>
        </w:rPr>
      </w:pPr>
      <w:bookmarkStart w:id="278" w:name="_Toc23487"/>
      <w:bookmarkStart w:id="279" w:name="_Toc530551873"/>
      <w:bookmarkStart w:id="280" w:name="_Toc335664282"/>
      <w:bookmarkStart w:id="281" w:name="_Toc531359032"/>
      <w:bookmarkStart w:id="282" w:name="_Toc45506731"/>
      <w:bookmarkStart w:id="283" w:name="_Toc334087240"/>
      <w:bookmarkStart w:id="284" w:name="_Toc493956048"/>
      <w:bookmarkStart w:id="285" w:name="_Toc47756031"/>
      <w:bookmarkStart w:id="286" w:name="_Toc15813254"/>
      <w:bookmarkStart w:id="287" w:name="_Toc107820052"/>
      <w:bookmarkStart w:id="288" w:name="_Toc15805937"/>
      <w:r>
        <w:rPr>
          <w:rFonts w:hint="eastAsia" w:ascii="仿宋" w:hAnsi="仿宋" w:eastAsia="仿宋" w:cs="仿宋"/>
          <w:color w:val="auto"/>
          <w:sz w:val="30"/>
          <w:szCs w:val="30"/>
          <w:highlight w:val="none"/>
        </w:rPr>
        <w:t>九    其他事项</w:t>
      </w:r>
      <w:bookmarkEnd w:id="278"/>
      <w:bookmarkEnd w:id="279"/>
      <w:bookmarkEnd w:id="280"/>
      <w:bookmarkEnd w:id="281"/>
      <w:bookmarkEnd w:id="282"/>
      <w:bookmarkEnd w:id="283"/>
      <w:bookmarkEnd w:id="284"/>
      <w:bookmarkEnd w:id="285"/>
      <w:bookmarkEnd w:id="286"/>
      <w:bookmarkEnd w:id="287"/>
      <w:bookmarkEnd w:id="288"/>
    </w:p>
    <w:p>
      <w:pPr>
        <w:pStyle w:val="26"/>
        <w:rPr>
          <w:rFonts w:ascii="仿宋" w:hAnsi="仿宋" w:eastAsia="仿宋" w:cs="仿宋"/>
          <w:color w:val="auto"/>
          <w:highlight w:val="none"/>
        </w:rPr>
      </w:pPr>
      <w:bookmarkStart w:id="289" w:name="_Toc30697"/>
      <w:bookmarkStart w:id="290" w:name="_Toc531359033"/>
      <w:r>
        <w:rPr>
          <w:rFonts w:hint="eastAsia" w:ascii="仿宋" w:hAnsi="仿宋" w:eastAsia="仿宋" w:cs="仿宋"/>
          <w:color w:val="auto"/>
          <w:highlight w:val="none"/>
        </w:rPr>
        <w:t>9.1     解释权</w:t>
      </w:r>
      <w:bookmarkEnd w:id="289"/>
      <w:bookmarkEnd w:id="290"/>
      <w:r>
        <w:rPr>
          <w:rFonts w:hint="eastAsia" w:ascii="仿宋" w:hAnsi="仿宋" w:eastAsia="仿宋" w:cs="仿宋"/>
          <w:color w:val="auto"/>
          <w:highlight w:val="none"/>
        </w:rPr>
        <w:t xml:space="preserve"> </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9.1.1   本磋商文件解释权属采购代理机构；</w:t>
      </w:r>
    </w:p>
    <w:p>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9.1.2   采购代理机构对决标结果不负责解释。</w:t>
      </w:r>
    </w:p>
    <w:p>
      <w:pPr>
        <w:pStyle w:val="26"/>
        <w:rPr>
          <w:rFonts w:ascii="仿宋" w:hAnsi="仿宋" w:eastAsia="仿宋" w:cs="仿宋"/>
          <w:color w:val="auto"/>
          <w:highlight w:val="none"/>
        </w:rPr>
      </w:pPr>
      <w:bookmarkStart w:id="291" w:name="_Toc15012"/>
      <w:bookmarkStart w:id="292" w:name="_Toc29788"/>
      <w:bookmarkStart w:id="293" w:name="_Toc19479"/>
      <w:bookmarkStart w:id="294" w:name="_Toc76547875"/>
      <w:r>
        <w:rPr>
          <w:rFonts w:hint="eastAsia" w:ascii="仿宋" w:hAnsi="仿宋" w:eastAsia="仿宋" w:cs="仿宋"/>
          <w:color w:val="auto"/>
          <w:highlight w:val="none"/>
        </w:rPr>
        <w:t>9.2     采购代理服务费</w:t>
      </w:r>
      <w:bookmarkEnd w:id="291"/>
      <w:bookmarkEnd w:id="292"/>
      <w:bookmarkEnd w:id="293"/>
      <w:bookmarkEnd w:id="294"/>
    </w:p>
    <w:p>
      <w:pPr>
        <w:pStyle w:val="5"/>
        <w:spacing w:line="360" w:lineRule="auto"/>
        <w:ind w:left="958" w:leftChars="456"/>
        <w:rPr>
          <w:rFonts w:ascii="仿宋" w:hAnsi="仿宋" w:eastAsia="仿宋" w:cs="仿宋"/>
          <w:color w:val="auto"/>
          <w:highlight w:val="none"/>
        </w:rPr>
        <w:sectPr>
          <w:pgSz w:w="11906" w:h="16838"/>
          <w:pgMar w:top="1440" w:right="1797" w:bottom="1440" w:left="1797" w:header="851" w:footer="851" w:gutter="0"/>
          <w:cols w:space="720" w:num="1"/>
          <w:docGrid w:linePitch="312" w:charSpace="0"/>
        </w:sectPr>
      </w:pPr>
      <w:r>
        <w:rPr>
          <w:rFonts w:hint="eastAsia" w:ascii="仿宋" w:hAnsi="仿宋" w:eastAsia="仿宋" w:cs="仿宋"/>
          <w:color w:val="auto"/>
          <w:sz w:val="24"/>
          <w:highlight w:val="none"/>
        </w:rPr>
        <w:t>本项目由中标人支付采购代理服务费，费用为人民币</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000元。在中标(成交)结果公告发布后5日内向招标代理机构支付。</w:t>
      </w:r>
      <w:r>
        <w:rPr>
          <w:rFonts w:hint="eastAsia" w:ascii="仿宋" w:hAnsi="仿宋" w:eastAsia="仿宋" w:cs="仿宋"/>
          <w:color w:val="auto"/>
          <w:highlight w:val="none"/>
        </w:rPr>
        <w:t xml:space="preserve"> </w:t>
      </w:r>
    </w:p>
    <w:p>
      <w:pPr>
        <w:pStyle w:val="16"/>
        <w:spacing w:before="0" w:after="0" w:line="360" w:lineRule="auto"/>
        <w:rPr>
          <w:rFonts w:ascii="仿宋" w:hAnsi="仿宋" w:eastAsia="仿宋" w:cs="仿宋"/>
          <w:color w:val="auto"/>
          <w:sz w:val="36"/>
          <w:szCs w:val="36"/>
          <w:highlight w:val="none"/>
        </w:rPr>
      </w:pPr>
      <w:bookmarkStart w:id="295" w:name="_Toc17337"/>
      <w:bookmarkStart w:id="296" w:name="_Toc26209"/>
      <w:bookmarkStart w:id="297" w:name="_Toc530551875"/>
      <w:bookmarkStart w:id="298" w:name="_Toc531359037"/>
      <w:bookmarkStart w:id="299" w:name="_Toc493956050"/>
      <w:r>
        <w:rPr>
          <w:rFonts w:hint="eastAsia" w:ascii="仿宋" w:hAnsi="仿宋" w:eastAsia="仿宋" w:cs="仿宋"/>
          <w:color w:val="auto"/>
          <w:sz w:val="36"/>
          <w:szCs w:val="36"/>
          <w:highlight w:val="none"/>
        </w:rPr>
        <w:t>第四章  合同格式</w:t>
      </w:r>
      <w:bookmarkEnd w:id="295"/>
      <w:bookmarkEnd w:id="296"/>
    </w:p>
    <w:p>
      <w:pPr>
        <w:widowControl/>
        <w:spacing w:line="360" w:lineRule="atLeast"/>
        <w:ind w:firstLine="5760" w:firstLineChars="2400"/>
        <w:jc w:val="left"/>
        <w:rPr>
          <w:rFonts w:ascii="仿宋" w:hAnsi="仿宋" w:eastAsia="仿宋" w:cs="仿宋"/>
          <w:color w:val="auto"/>
          <w:sz w:val="24"/>
          <w:szCs w:val="24"/>
          <w:highlight w:val="none"/>
        </w:rPr>
      </w:pPr>
    </w:p>
    <w:p>
      <w:pPr>
        <w:pStyle w:val="15"/>
        <w:spacing w:before="0" w:beforeAutospacing="0" w:after="0" w:afterAutospacing="0" w:line="360" w:lineRule="auto"/>
        <w:rPr>
          <w:rFonts w:ascii="仿宋" w:hAnsi="仿宋" w:eastAsia="仿宋" w:cs="仿宋"/>
          <w:color w:val="auto"/>
          <w:highlight w:val="none"/>
        </w:rPr>
      </w:pPr>
      <w:r>
        <w:rPr>
          <w:rFonts w:hint="eastAsia" w:ascii="仿宋" w:hAnsi="仿宋" w:eastAsia="仿宋" w:cs="仿宋"/>
          <w:color w:val="auto"/>
          <w:highlight w:val="none"/>
        </w:rPr>
        <w:t>采购人：（以下称买方）</w:t>
      </w:r>
      <w:r>
        <w:rPr>
          <w:rFonts w:hint="eastAsia" w:ascii="仿宋" w:hAnsi="仿宋" w:eastAsia="仿宋" w:cs="仿宋"/>
          <w:color w:val="auto"/>
          <w:highlight w:val="none"/>
          <w:u w:val="single"/>
        </w:rPr>
        <w:t xml:space="preserve">               </w:t>
      </w:r>
    </w:p>
    <w:p>
      <w:pPr>
        <w:pStyle w:val="15"/>
        <w:spacing w:before="0" w:beforeAutospacing="0" w:after="0" w:afterAutospacing="0" w:line="360" w:lineRule="auto"/>
        <w:rPr>
          <w:rFonts w:ascii="仿宋" w:hAnsi="仿宋" w:eastAsia="仿宋" w:cs="仿宋"/>
          <w:color w:val="auto"/>
          <w:highlight w:val="none"/>
        </w:rPr>
      </w:pPr>
      <w:r>
        <w:rPr>
          <w:rFonts w:hint="eastAsia" w:ascii="仿宋" w:hAnsi="仿宋" w:eastAsia="仿宋" w:cs="仿宋"/>
          <w:color w:val="auto"/>
          <w:highlight w:val="none"/>
        </w:rPr>
        <w:t>中标人：（以下称卖方）</w:t>
      </w:r>
      <w:r>
        <w:rPr>
          <w:rFonts w:hint="eastAsia" w:ascii="仿宋" w:hAnsi="仿宋" w:eastAsia="仿宋" w:cs="仿宋"/>
          <w:color w:val="auto"/>
          <w:highlight w:val="none"/>
          <w:u w:val="single"/>
        </w:rPr>
        <w:t xml:space="preserve">               </w:t>
      </w:r>
    </w:p>
    <w:p>
      <w:pPr>
        <w:pStyle w:val="15"/>
        <w:spacing w:before="0" w:beforeAutospacing="0" w:after="0" w:afterAutospacing="0" w:line="360" w:lineRule="auto"/>
        <w:ind w:firstLine="480" w:firstLineChars="200"/>
        <w:rPr>
          <w:rFonts w:ascii="仿宋" w:hAnsi="仿宋" w:eastAsia="仿宋" w:cs="仿宋"/>
          <w:color w:val="auto"/>
          <w:szCs w:val="24"/>
          <w:highlight w:val="none"/>
        </w:rPr>
      </w:pP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szCs w:val="24"/>
          <w:highlight w:val="none"/>
        </w:rPr>
        <w:t>根据</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szCs w:val="24"/>
          <w:highlight w:val="none"/>
          <w:u w:val="singl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szCs w:val="24"/>
          <w:highlight w:val="none"/>
        </w:rPr>
        <w:t>招标文件（项目编号：</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），在</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lang w:val="zh-CN"/>
        </w:rPr>
        <w:t>年</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lang w:val="zh-CN"/>
        </w:rPr>
        <w:t>月</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lang w:val="zh-CN"/>
        </w:rPr>
        <w:t>日</w:t>
      </w:r>
      <w:r>
        <w:rPr>
          <w:rFonts w:hint="eastAsia" w:ascii="仿宋" w:hAnsi="仿宋" w:eastAsia="仿宋" w:cs="仿宋"/>
          <w:color w:val="auto"/>
          <w:szCs w:val="24"/>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szCs w:val="24"/>
          <w:highlight w:val="none"/>
          <w:u w:val="single"/>
        </w:rPr>
        <w:t>采购人名称）</w:t>
      </w:r>
      <w:r>
        <w:rPr>
          <w:rFonts w:hint="eastAsia" w:ascii="仿宋" w:hAnsi="仿宋" w:eastAsia="仿宋" w:cs="仿宋"/>
          <w:color w:val="auto"/>
          <w:szCs w:val="24"/>
          <w:highlight w:val="none"/>
        </w:rPr>
        <w:t>对该项目进行了公开招标采购，经评标委员会评定，确定</w:t>
      </w:r>
      <w:r>
        <w:rPr>
          <w:rFonts w:hint="eastAsia" w:ascii="仿宋" w:hAnsi="仿宋" w:eastAsia="仿宋" w:cs="仿宋"/>
          <w:color w:val="auto"/>
          <w:szCs w:val="24"/>
          <w:highlight w:val="none"/>
          <w:u w:val="single"/>
        </w:rPr>
        <w:t xml:space="preserve">  （中标人名称）  </w:t>
      </w:r>
      <w:r>
        <w:rPr>
          <w:rFonts w:hint="eastAsia" w:ascii="仿宋" w:hAnsi="仿宋" w:eastAsia="仿宋" w:cs="仿宋"/>
          <w:color w:val="auto"/>
          <w:szCs w:val="24"/>
          <w:highlight w:val="none"/>
        </w:rPr>
        <w:t>为该项目中标人。甲乙双方依据《中华人民共和国政府采购法》、《中华人民共和国民法典》等相关法律法规和招标文件的要求，在平等自愿的基础上，同意按照下面的条款和条件，签署本合同。</w:t>
      </w:r>
    </w:p>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第一条　合同标的</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1.1卖方根据买方需求提供下列货物：</w:t>
      </w:r>
      <w:r>
        <w:rPr>
          <w:rFonts w:hint="eastAsia" w:ascii="仿宋" w:hAnsi="仿宋" w:eastAsia="仿宋" w:cs="仿宋"/>
          <w:color w:val="auto"/>
          <w:highlight w:val="none"/>
          <w:u w:val="single"/>
        </w:rPr>
        <w:t xml:space="preserve">           </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1.2货物名称、规格及数量详见“货物一览表”；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1.3货物一览表：</w:t>
      </w:r>
    </w:p>
    <w:tbl>
      <w:tblPr>
        <w:tblStyle w:val="20"/>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30"/>
        <w:gridCol w:w="1559"/>
        <w:gridCol w:w="1067"/>
        <w:gridCol w:w="131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5"/>
              <w:spacing w:before="0" w:beforeAutospacing="0" w:after="0" w:afterAutospacing="0"/>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730" w:type="dxa"/>
            <w:vAlign w:val="center"/>
          </w:tcPr>
          <w:p>
            <w:pPr>
              <w:pStyle w:val="15"/>
              <w:spacing w:before="0" w:beforeAutospacing="0" w:after="0" w:afterAutospacing="0"/>
              <w:jc w:val="center"/>
              <w:rPr>
                <w:rFonts w:ascii="仿宋" w:hAnsi="仿宋" w:eastAsia="仿宋" w:cs="仿宋"/>
                <w:color w:val="auto"/>
                <w:highlight w:val="none"/>
              </w:rPr>
            </w:pPr>
            <w:r>
              <w:rPr>
                <w:rFonts w:hint="eastAsia" w:ascii="仿宋" w:hAnsi="仿宋" w:eastAsia="仿宋" w:cs="仿宋"/>
                <w:color w:val="auto"/>
                <w:highlight w:val="none"/>
              </w:rPr>
              <w:t>货物名称</w:t>
            </w:r>
          </w:p>
        </w:tc>
        <w:tc>
          <w:tcPr>
            <w:tcW w:w="1559" w:type="dxa"/>
            <w:vAlign w:val="center"/>
          </w:tcPr>
          <w:p>
            <w:pPr>
              <w:pStyle w:val="15"/>
              <w:spacing w:before="0" w:beforeAutospacing="0" w:after="0" w:afterAutospacing="0"/>
              <w:jc w:val="center"/>
              <w:rPr>
                <w:rFonts w:ascii="仿宋" w:hAnsi="仿宋" w:eastAsia="仿宋" w:cs="仿宋"/>
                <w:color w:val="auto"/>
                <w:highlight w:val="none"/>
              </w:rPr>
            </w:pPr>
            <w:r>
              <w:rPr>
                <w:rFonts w:hint="eastAsia" w:ascii="仿宋" w:hAnsi="仿宋" w:eastAsia="仿宋" w:cs="仿宋"/>
                <w:color w:val="auto"/>
                <w:highlight w:val="none"/>
              </w:rPr>
              <w:t>规格型号</w:t>
            </w:r>
          </w:p>
        </w:tc>
        <w:tc>
          <w:tcPr>
            <w:tcW w:w="1067" w:type="dxa"/>
            <w:vAlign w:val="center"/>
          </w:tcPr>
          <w:p>
            <w:pPr>
              <w:pStyle w:val="15"/>
              <w:spacing w:before="0" w:after="0"/>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315" w:type="dxa"/>
            <w:vAlign w:val="center"/>
          </w:tcPr>
          <w:p>
            <w:pPr>
              <w:pStyle w:val="15"/>
              <w:spacing w:before="0" w:beforeAutospacing="0" w:after="0" w:afterAutospacing="0"/>
              <w:jc w:val="center"/>
              <w:rPr>
                <w:rFonts w:ascii="仿宋" w:hAnsi="仿宋" w:eastAsia="仿宋" w:cs="仿宋"/>
                <w:color w:val="auto"/>
                <w:highlight w:val="none"/>
              </w:rPr>
            </w:pPr>
            <w:r>
              <w:rPr>
                <w:rFonts w:hint="eastAsia" w:ascii="仿宋" w:hAnsi="仿宋" w:eastAsia="仿宋" w:cs="仿宋"/>
                <w:color w:val="auto"/>
                <w:highlight w:val="none"/>
              </w:rPr>
              <w:t>单价</w:t>
            </w:r>
          </w:p>
        </w:tc>
        <w:tc>
          <w:tcPr>
            <w:tcW w:w="1700" w:type="dxa"/>
            <w:vAlign w:val="center"/>
          </w:tcPr>
          <w:p>
            <w:pPr>
              <w:pStyle w:val="15"/>
              <w:spacing w:before="0" w:beforeAutospacing="0" w:after="0" w:afterAutospacing="0"/>
              <w:jc w:val="center"/>
              <w:rPr>
                <w:rFonts w:ascii="仿宋" w:hAnsi="仿宋" w:eastAsia="仿宋" w:cs="仿宋"/>
                <w:color w:val="auto"/>
                <w:highlight w:val="none"/>
              </w:rPr>
            </w:pPr>
            <w:r>
              <w:rPr>
                <w:rFonts w:hint="eastAsia" w:ascii="仿宋" w:hAnsi="仿宋" w:eastAsia="仿宋" w:cs="仿宋"/>
                <w:color w:val="auto"/>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5"/>
              <w:spacing w:before="0" w:beforeAutospacing="0" w:after="0" w:afterAutospacing="0"/>
              <w:jc w:val="center"/>
              <w:rPr>
                <w:rFonts w:ascii="仿宋" w:hAnsi="仿宋" w:eastAsia="仿宋" w:cs="仿宋"/>
                <w:color w:val="auto"/>
                <w:highlight w:val="none"/>
              </w:rPr>
            </w:pPr>
          </w:p>
        </w:tc>
        <w:tc>
          <w:tcPr>
            <w:tcW w:w="1730" w:type="dxa"/>
            <w:vAlign w:val="center"/>
          </w:tcPr>
          <w:p>
            <w:pPr>
              <w:pStyle w:val="15"/>
              <w:spacing w:before="0" w:beforeAutospacing="0" w:after="0" w:afterAutospacing="0"/>
              <w:jc w:val="center"/>
              <w:rPr>
                <w:rFonts w:ascii="仿宋" w:hAnsi="仿宋" w:eastAsia="仿宋" w:cs="仿宋"/>
                <w:color w:val="auto"/>
                <w:highlight w:val="none"/>
              </w:rPr>
            </w:pPr>
          </w:p>
        </w:tc>
        <w:tc>
          <w:tcPr>
            <w:tcW w:w="1559" w:type="dxa"/>
            <w:vAlign w:val="center"/>
          </w:tcPr>
          <w:p>
            <w:pPr>
              <w:pStyle w:val="15"/>
              <w:spacing w:before="0" w:beforeAutospacing="0" w:after="0" w:afterAutospacing="0"/>
              <w:jc w:val="center"/>
              <w:rPr>
                <w:rFonts w:ascii="仿宋" w:hAnsi="仿宋" w:eastAsia="仿宋" w:cs="仿宋"/>
                <w:color w:val="auto"/>
                <w:highlight w:val="none"/>
              </w:rPr>
            </w:pPr>
          </w:p>
        </w:tc>
        <w:tc>
          <w:tcPr>
            <w:tcW w:w="1067" w:type="dxa"/>
            <w:vAlign w:val="center"/>
          </w:tcPr>
          <w:p>
            <w:pPr>
              <w:pStyle w:val="15"/>
              <w:spacing w:before="0" w:beforeAutospacing="0" w:after="0" w:afterAutospacing="0"/>
              <w:jc w:val="center"/>
              <w:rPr>
                <w:rFonts w:ascii="仿宋" w:hAnsi="仿宋" w:eastAsia="仿宋" w:cs="仿宋"/>
                <w:color w:val="auto"/>
                <w:highlight w:val="none"/>
              </w:rPr>
            </w:pPr>
          </w:p>
        </w:tc>
        <w:tc>
          <w:tcPr>
            <w:tcW w:w="1315" w:type="dxa"/>
            <w:vAlign w:val="center"/>
          </w:tcPr>
          <w:p>
            <w:pPr>
              <w:pStyle w:val="15"/>
              <w:spacing w:before="0" w:beforeAutospacing="0" w:after="0" w:afterAutospacing="0"/>
              <w:jc w:val="center"/>
              <w:rPr>
                <w:rFonts w:ascii="仿宋" w:hAnsi="仿宋" w:eastAsia="仿宋" w:cs="仿宋"/>
                <w:color w:val="auto"/>
                <w:highlight w:val="none"/>
              </w:rPr>
            </w:pPr>
          </w:p>
        </w:tc>
        <w:tc>
          <w:tcPr>
            <w:tcW w:w="1700" w:type="dxa"/>
            <w:vAlign w:val="center"/>
          </w:tcPr>
          <w:p>
            <w:pPr>
              <w:pStyle w:val="15"/>
              <w:spacing w:before="0" w:beforeAutospacing="0" w:after="0" w:afterAutospacing="0"/>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5"/>
              <w:spacing w:before="0" w:beforeAutospacing="0" w:after="0" w:afterAutospacing="0"/>
              <w:jc w:val="center"/>
              <w:rPr>
                <w:rFonts w:ascii="仿宋" w:hAnsi="仿宋" w:eastAsia="仿宋" w:cs="仿宋"/>
                <w:color w:val="auto"/>
                <w:highlight w:val="none"/>
              </w:rPr>
            </w:pPr>
          </w:p>
        </w:tc>
        <w:tc>
          <w:tcPr>
            <w:tcW w:w="1730" w:type="dxa"/>
            <w:vAlign w:val="center"/>
          </w:tcPr>
          <w:p>
            <w:pPr>
              <w:pStyle w:val="15"/>
              <w:spacing w:before="0" w:beforeAutospacing="0" w:after="0" w:afterAutospacing="0"/>
              <w:jc w:val="center"/>
              <w:rPr>
                <w:rFonts w:ascii="仿宋" w:hAnsi="仿宋" w:eastAsia="仿宋" w:cs="仿宋"/>
                <w:color w:val="auto"/>
                <w:highlight w:val="none"/>
              </w:rPr>
            </w:pPr>
          </w:p>
        </w:tc>
        <w:tc>
          <w:tcPr>
            <w:tcW w:w="1559" w:type="dxa"/>
            <w:vAlign w:val="center"/>
          </w:tcPr>
          <w:p>
            <w:pPr>
              <w:pStyle w:val="15"/>
              <w:spacing w:before="0" w:beforeAutospacing="0" w:after="0" w:afterAutospacing="0"/>
              <w:jc w:val="center"/>
              <w:rPr>
                <w:rFonts w:ascii="仿宋" w:hAnsi="仿宋" w:eastAsia="仿宋" w:cs="仿宋"/>
                <w:color w:val="auto"/>
                <w:highlight w:val="none"/>
              </w:rPr>
            </w:pPr>
          </w:p>
        </w:tc>
        <w:tc>
          <w:tcPr>
            <w:tcW w:w="1067" w:type="dxa"/>
            <w:vAlign w:val="center"/>
          </w:tcPr>
          <w:p>
            <w:pPr>
              <w:pStyle w:val="15"/>
              <w:spacing w:before="0" w:beforeAutospacing="0" w:after="0" w:afterAutospacing="0"/>
              <w:jc w:val="center"/>
              <w:rPr>
                <w:rFonts w:ascii="仿宋" w:hAnsi="仿宋" w:eastAsia="仿宋" w:cs="仿宋"/>
                <w:color w:val="auto"/>
                <w:highlight w:val="none"/>
              </w:rPr>
            </w:pPr>
          </w:p>
        </w:tc>
        <w:tc>
          <w:tcPr>
            <w:tcW w:w="1315" w:type="dxa"/>
            <w:vAlign w:val="center"/>
          </w:tcPr>
          <w:p>
            <w:pPr>
              <w:pStyle w:val="15"/>
              <w:spacing w:before="0" w:beforeAutospacing="0" w:after="0" w:afterAutospacing="0"/>
              <w:jc w:val="center"/>
              <w:rPr>
                <w:rFonts w:ascii="仿宋" w:hAnsi="仿宋" w:eastAsia="仿宋" w:cs="仿宋"/>
                <w:color w:val="auto"/>
                <w:highlight w:val="none"/>
              </w:rPr>
            </w:pPr>
          </w:p>
        </w:tc>
        <w:tc>
          <w:tcPr>
            <w:tcW w:w="1700" w:type="dxa"/>
            <w:vAlign w:val="center"/>
          </w:tcPr>
          <w:p>
            <w:pPr>
              <w:pStyle w:val="15"/>
              <w:spacing w:before="0" w:beforeAutospacing="0" w:after="0" w:afterAutospacing="0"/>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5"/>
              <w:spacing w:before="0" w:beforeAutospacing="0" w:after="0" w:afterAutospacing="0"/>
              <w:jc w:val="center"/>
              <w:rPr>
                <w:rFonts w:ascii="仿宋" w:hAnsi="仿宋" w:eastAsia="仿宋" w:cs="仿宋"/>
                <w:color w:val="auto"/>
                <w:highlight w:val="none"/>
              </w:rPr>
            </w:pPr>
          </w:p>
        </w:tc>
        <w:tc>
          <w:tcPr>
            <w:tcW w:w="1730" w:type="dxa"/>
            <w:vAlign w:val="center"/>
          </w:tcPr>
          <w:p>
            <w:pPr>
              <w:pStyle w:val="15"/>
              <w:spacing w:before="0" w:beforeAutospacing="0" w:after="0" w:afterAutospacing="0"/>
              <w:jc w:val="center"/>
              <w:rPr>
                <w:rFonts w:ascii="仿宋" w:hAnsi="仿宋" w:eastAsia="仿宋" w:cs="仿宋"/>
                <w:color w:val="auto"/>
                <w:highlight w:val="none"/>
              </w:rPr>
            </w:pPr>
          </w:p>
        </w:tc>
        <w:tc>
          <w:tcPr>
            <w:tcW w:w="1559" w:type="dxa"/>
            <w:vAlign w:val="center"/>
          </w:tcPr>
          <w:p>
            <w:pPr>
              <w:pStyle w:val="15"/>
              <w:spacing w:before="0" w:beforeAutospacing="0" w:after="0" w:afterAutospacing="0"/>
              <w:jc w:val="center"/>
              <w:rPr>
                <w:rFonts w:ascii="仿宋" w:hAnsi="仿宋" w:eastAsia="仿宋" w:cs="仿宋"/>
                <w:color w:val="auto"/>
                <w:highlight w:val="none"/>
              </w:rPr>
            </w:pPr>
          </w:p>
        </w:tc>
        <w:tc>
          <w:tcPr>
            <w:tcW w:w="1067" w:type="dxa"/>
            <w:vAlign w:val="center"/>
          </w:tcPr>
          <w:p>
            <w:pPr>
              <w:pStyle w:val="15"/>
              <w:spacing w:before="0" w:beforeAutospacing="0" w:after="0" w:afterAutospacing="0"/>
              <w:jc w:val="center"/>
              <w:rPr>
                <w:rFonts w:ascii="仿宋" w:hAnsi="仿宋" w:eastAsia="仿宋" w:cs="仿宋"/>
                <w:color w:val="auto"/>
                <w:highlight w:val="none"/>
              </w:rPr>
            </w:pPr>
          </w:p>
        </w:tc>
        <w:tc>
          <w:tcPr>
            <w:tcW w:w="1315" w:type="dxa"/>
            <w:vAlign w:val="center"/>
          </w:tcPr>
          <w:p>
            <w:pPr>
              <w:pStyle w:val="15"/>
              <w:spacing w:before="0" w:beforeAutospacing="0" w:after="0" w:afterAutospacing="0"/>
              <w:jc w:val="center"/>
              <w:rPr>
                <w:rFonts w:ascii="仿宋" w:hAnsi="仿宋" w:eastAsia="仿宋" w:cs="仿宋"/>
                <w:color w:val="auto"/>
                <w:highlight w:val="none"/>
              </w:rPr>
            </w:pPr>
          </w:p>
        </w:tc>
        <w:tc>
          <w:tcPr>
            <w:tcW w:w="1700" w:type="dxa"/>
            <w:vAlign w:val="center"/>
          </w:tcPr>
          <w:p>
            <w:pPr>
              <w:pStyle w:val="15"/>
              <w:spacing w:before="0" w:beforeAutospacing="0" w:after="0" w:afterAutospacing="0"/>
              <w:jc w:val="center"/>
              <w:rPr>
                <w:rFonts w:ascii="仿宋" w:hAnsi="仿宋" w:eastAsia="仿宋" w:cs="仿宋"/>
                <w:color w:val="auto"/>
                <w:highlight w:val="none"/>
              </w:rPr>
            </w:pPr>
          </w:p>
        </w:tc>
      </w:tr>
    </w:tbl>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第二条　合同总价款</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2.1 本合同项下货物总价款为人民币</w:t>
      </w:r>
      <w:r>
        <w:rPr>
          <w:rFonts w:hint="eastAsia" w:ascii="仿宋" w:hAnsi="仿宋" w:eastAsia="仿宋" w:cs="仿宋"/>
          <w:color w:val="auto"/>
          <w:highlight w:val="none"/>
          <w:u w:val="single"/>
        </w:rPr>
        <w:t xml:space="preserve">    （大写） （￥：）            </w:t>
      </w:r>
      <w:r>
        <w:rPr>
          <w:rFonts w:hint="eastAsia" w:ascii="仿宋" w:hAnsi="仿宋" w:eastAsia="仿宋" w:cs="仿宋"/>
          <w:color w:val="auto"/>
          <w:highlight w:val="none"/>
        </w:rPr>
        <w:t xml:space="preserve">； </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2.2 本合同总价款是货物设计、制造、包装、仓储、运输、安装及验收合格之前及保修期内备品备件发生的所有含税费用； </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2.3 本合同总价款还包含卖方应当提供的伴随服务/售后服务费用；</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2.4 本合同执行期间合同总价款不变。</w:t>
      </w:r>
    </w:p>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第三条　组成本合同的有关文件</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3.1 下列文件构成本合同的组成部分，应该认为是一个整体，彼此相互解释，相互补充。组成合同的多个文件的优先支配地位的次序如下：</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3.1.1 本合同书　</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3.1.2 中标通知书</w:t>
      </w:r>
      <w:r>
        <w:rPr>
          <w:rFonts w:hint="eastAsia" w:ascii="仿宋" w:hAnsi="仿宋" w:eastAsia="仿宋" w:cs="仿宋"/>
          <w:color w:val="auto"/>
          <w:highlight w:val="none"/>
        </w:rPr>
        <w:tab/>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3.1.3 中标投标人澄清修改文件</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3.1.4 中标投标人</w:t>
      </w:r>
      <w:r>
        <w:rPr>
          <w:rFonts w:hint="eastAsia" w:ascii="仿宋" w:hAnsi="仿宋" w:eastAsia="仿宋" w:cs="仿宋"/>
          <w:color w:val="auto"/>
          <w:highlight w:val="none"/>
        </w:rPr>
        <w:t>投标文件</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3.1.5 招标文件澄清修改文件</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3.1.6 招标文件</w:t>
      </w:r>
    </w:p>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第四条　权利保证</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卖方保证提供的货物不存在对任何第三方侵权行为（包括商标、专利、版权、知识产权等）。若发生侵权行为，由卖方负全责，应承担由此发生的一切经济和法律责任，并赔偿买方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的合同货款的。</w:t>
      </w:r>
    </w:p>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第五条　质量保证</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5.1 卖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5.2 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天内应维修或更换有缺陷的货物或部件；</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5.4 如果卖方在收到通知后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天内没有弥补缺陷，买方可采取必要的补救措施，但由此引发的风险和费用将由卖方承担；</w:t>
      </w:r>
    </w:p>
    <w:p>
      <w:pPr>
        <w:pStyle w:val="15"/>
        <w:spacing w:before="0" w:beforeAutospacing="0" w:after="0" w:afterAutospacing="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5.5 其他</w:t>
      </w:r>
      <w:r>
        <w:rPr>
          <w:rFonts w:hint="eastAsia" w:ascii="仿宋" w:hAnsi="仿宋" w:eastAsia="仿宋" w:cs="仿宋"/>
          <w:color w:val="auto"/>
          <w:highlight w:val="none"/>
          <w:u w:val="single"/>
        </w:rPr>
        <w:t xml:space="preserve">                                                               </w:t>
      </w:r>
    </w:p>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第六条  技术资料</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6.1 卖方应将每台设备和仪器的中文技术资料完整一套，如目录索引、图纸、操作手册、使用指南、维修指南和／或服务手册和示意图等随同每批货物一起发运；</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6.2 如果买方确认卖方提供的技术资料不完整或在运输过程中丢失，卖方将在收到买方通知后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天内将这些资料寄给买方；</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6.3 其他</w:t>
      </w:r>
      <w:r>
        <w:rPr>
          <w:rFonts w:hint="eastAsia" w:ascii="仿宋" w:hAnsi="仿宋" w:eastAsia="仿宋" w:cs="仿宋"/>
          <w:color w:val="auto"/>
          <w:highlight w:val="none"/>
          <w:u w:val="single"/>
        </w:rPr>
        <w:t xml:space="preserve">                                                               </w:t>
      </w:r>
    </w:p>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第七条　包装要求</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7.1 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7.2 每一包装单元内应附详细的装箱单和质量合格凭证。</w:t>
      </w:r>
    </w:p>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第八条　交货时间、方式、地点</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8.1 卖方应按照本合同或招标文件规定的时间和方式向买方交付货物，交货地点为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8.2 卖方交付的货物应当完全符合本合同或者招标文件所规定的货物、数量和规格要求。卖方不得少交或多交货物。卖方提供的货物不符合招标文件和合同规定的，买方有权拒收货物，由此引起的风险，由卖方承担；</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8.3 其他</w:t>
      </w:r>
      <w:r>
        <w:rPr>
          <w:rFonts w:hint="eastAsia" w:ascii="仿宋" w:hAnsi="仿宋" w:eastAsia="仿宋" w:cs="仿宋"/>
          <w:color w:val="auto"/>
          <w:highlight w:val="none"/>
          <w:u w:val="single"/>
        </w:rPr>
        <w:t xml:space="preserve">                                                               </w:t>
      </w:r>
    </w:p>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第九条  检验和验收</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9.1 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9.2 货物的到货验收包括：型号、规格、数量、外观质量、及货物包装是否完好；买方须按照采购合同规定或招标文件的技术、服务等要求组织对投标人履约的验收，并出具验收书，验收书应当包括每一项技术、和商务要求的履约情况，验收标准要包括所有客观、量化指标。验收方成员应当在验收书上签字，并承担相应的法律责任；</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采购人、采购代理机构可以邀请参加本项目的其他供应商或者第三方专业机构及专家参与验收。政府向社会公众提供的公共服务项目，验收时应当邀请服务对象参与并出具意见，验收结果应当向社会公告。</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9.3 买方应当在到货后的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个工作日内对货物进行验收；需要卖方对货物或系统进行安装调试的，买方应在货物安装调试完毕后的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个工作日内进行质量验收。验收合格的，由买方签署验收单并加盖单位公章。招标文件对检验期限另有规定的，从其规定；</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9.4 货物和系统调试验收的标准：按行业通行标准、厂方出厂标准和卖方</w:t>
      </w:r>
      <w:r>
        <w:rPr>
          <w:rFonts w:hint="eastAsia" w:ascii="仿宋" w:hAnsi="仿宋" w:eastAsia="仿宋" w:cs="仿宋"/>
          <w:color w:val="auto"/>
          <w:highlight w:val="none"/>
        </w:rPr>
        <w:t>投标文件</w:t>
      </w:r>
      <w:r>
        <w:rPr>
          <w:rFonts w:hint="eastAsia" w:ascii="仿宋" w:hAnsi="仿宋" w:eastAsia="仿宋" w:cs="仿宋"/>
          <w:color w:val="auto"/>
          <w:highlight w:val="none"/>
        </w:rPr>
        <w:t>的承诺（详见合同附件载明的标准，并不低于国家相关标准）；</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9.5 买方有在货物制造过程中派员监造的权利， 卖方有义务为买方监造人员行使该权利提供方便；</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9.6 制造厂对所供货物进行机械运转试验和性能试验时，卖方必须提前通知买方；</w:t>
      </w:r>
    </w:p>
    <w:p>
      <w:pPr>
        <w:pStyle w:val="15"/>
        <w:spacing w:before="0" w:beforeAutospacing="0" w:after="0" w:afterAutospacing="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9.7 本项目第三方参与验收：</w:t>
      </w:r>
      <w:r>
        <w:rPr>
          <w:rFonts w:hint="eastAsia" w:ascii="仿宋" w:hAnsi="仿宋" w:eastAsia="仿宋" w:cs="仿宋"/>
          <w:color w:val="auto"/>
          <w:highlight w:val="none"/>
          <w:u w:val="single"/>
        </w:rPr>
        <w:t xml:space="preserve">                                               </w:t>
      </w:r>
    </w:p>
    <w:p>
      <w:pPr>
        <w:pStyle w:val="15"/>
        <w:spacing w:before="0" w:beforeAutospacing="0" w:after="0" w:afterAutospacing="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9.8 其他</w:t>
      </w:r>
      <w:r>
        <w:rPr>
          <w:rFonts w:hint="eastAsia" w:ascii="仿宋" w:hAnsi="仿宋" w:eastAsia="仿宋" w:cs="仿宋"/>
          <w:color w:val="auto"/>
          <w:highlight w:val="none"/>
          <w:u w:val="single"/>
        </w:rPr>
        <w:t xml:space="preserve">                                                               </w:t>
      </w:r>
    </w:p>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第十条　伴随服务／售后服务</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10.1 卖方应按照国家有关法律法规规章和“三包”规定以及合同所附的“服务承诺”提供服务；</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10.2 除前款规定外，卖方还应提供下列服务：</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10.2.1 货物的现场安装、调试和/或启动监督；</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10.2.2 就货物的安装、启动、运行及维护等对买方人员进行培训；</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10.2.3 若招标文件中不包含有关伴随服务或售后服务的承诺，双方作如下约定：</w:t>
      </w:r>
    </w:p>
    <w:p>
      <w:pPr>
        <w:pStyle w:val="15"/>
        <w:spacing w:before="0" w:beforeAutospacing="0" w:after="0" w:afterAutospacing="0" w:line="360" w:lineRule="auto"/>
        <w:rPr>
          <w:rFonts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10.3 卖方应为买方提供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10.4 所购货物若为电脑则由卖方提供至少3年的整机保修和系统维护；</w:t>
      </w:r>
    </w:p>
    <w:p>
      <w:pPr>
        <w:pStyle w:val="15"/>
        <w:spacing w:before="0" w:beforeAutospacing="0" w:after="0" w:afterAutospacing="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若为其他货物则按生产厂家的标准执行，但不得少于1年（请分别列出：</w:t>
      </w:r>
      <w:r>
        <w:rPr>
          <w:rFonts w:hint="eastAsia" w:ascii="仿宋" w:hAnsi="仿宋" w:eastAsia="仿宋" w:cs="仿宋"/>
          <w:color w:val="auto"/>
          <w:highlight w:val="none"/>
          <w:u w:val="single"/>
        </w:rPr>
        <w:t xml:space="preserve">       </w:t>
      </w:r>
    </w:p>
    <w:p>
      <w:pPr>
        <w:pStyle w:val="15"/>
        <w:spacing w:before="0" w:beforeAutospacing="0" w:after="0" w:afterAutospacing="0" w:line="360" w:lineRule="auto"/>
        <w:rPr>
          <w:rFonts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）；保修期自买方在货物质量验收单上签字之日起计算，保修费用计入总价；</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10.5 保修期内，卖方负责对其提供的货物整机进行维修和系统维护，不再收取任何费用，但不可抗力（如火灾、雷击等）造成的故障除外；</w:t>
      </w:r>
    </w:p>
    <w:p>
      <w:pPr>
        <w:pStyle w:val="15"/>
        <w:spacing w:before="0" w:beforeAutospacing="0" w:after="0" w:afterAutospacing="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10.6 货物故障报修的响应时间为：工作期间（星期一至星期五8：00-18：00）为</w:t>
      </w:r>
    </w:p>
    <w:p>
      <w:pPr>
        <w:pStyle w:val="15"/>
        <w:spacing w:before="0" w:beforeAutospacing="0" w:after="0" w:afterAutospacing="0" w:line="360" w:lineRule="auto"/>
        <w:rPr>
          <w:rFonts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时；非工作期间为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10.7 货物故障报修的到达指定地点时间为：工作期间（星期一至星期五8：00-18：00）为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时；非工作期间为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10.8 下列货物（分别列出：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）若故障在检修8工作小时后仍无法排除，卖方应在48小时内提供不低于故障货物规格型号档次的备用货物供买方使用，直至故障货物修复；</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10.9 所有货物保修服务方式均为卖方上门保修，即由卖方派员到货物使用现场维修，由此产生的一切费用均由卖方承担；</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10.10 保修期后的货物维护由双方协商再定；</w:t>
      </w:r>
    </w:p>
    <w:p>
      <w:pPr>
        <w:pStyle w:val="15"/>
        <w:spacing w:before="0" w:beforeAutospacing="0" w:after="0" w:afterAutospacing="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10.11 本项目售后服务的特殊条款：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5"/>
        <w:spacing w:before="0" w:beforeAutospacing="0" w:after="0" w:afterAutospacing="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10.12 本项目培训服务的特殊条款：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10.13 其他</w:t>
      </w:r>
      <w:r>
        <w:rPr>
          <w:rFonts w:hint="eastAsia" w:ascii="仿宋" w:hAnsi="仿宋" w:eastAsia="仿宋" w:cs="仿宋"/>
          <w:color w:val="auto"/>
          <w:highlight w:val="none"/>
          <w:u w:val="single"/>
        </w:rPr>
        <w:t xml:space="preserve">                                                             </w:t>
      </w:r>
    </w:p>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第十一条　履约保证金</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11.1 卖方应在签订合同前，按招标文件要求向买方提</w:t>
      </w:r>
      <w:r>
        <w:rPr>
          <w:rFonts w:hint="eastAsia" w:ascii="仿宋" w:hAnsi="仿宋" w:eastAsia="仿宋" w:cs="仿宋"/>
          <w:color w:val="auto"/>
          <w:highlight w:val="none"/>
        </w:rPr>
        <w:t>交</w:t>
      </w:r>
      <w:r>
        <w:rPr>
          <w:rFonts w:hint="eastAsia" w:ascii="仿宋" w:hAnsi="仿宋" w:eastAsia="仿宋" w:cs="仿宋"/>
          <w:color w:val="auto"/>
          <w:highlight w:val="none"/>
          <w:u w:val="single"/>
        </w:rPr>
        <w:t>（   大写    ￥：   ）</w:t>
      </w:r>
      <w:r>
        <w:rPr>
          <w:rFonts w:hint="eastAsia" w:ascii="仿宋" w:hAnsi="仿宋" w:eastAsia="仿宋" w:cs="仿宋"/>
          <w:color w:val="auto"/>
          <w:highlight w:val="none"/>
        </w:rPr>
        <w:t>履约保证金；</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11.2 履约保证金有效期为买卖双方签署验收单后的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11.3 履约保证金用于补偿买方因卖方不能履行其合同义务而蒙受的损失；</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11.4 如果卖方未能按合同规定履行其义务，买方有权从履约保证金中取得补偿；</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11.5 履约保证金扣除买方应得补偿后的余额在有效期后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天内无息退还给卖方。</w:t>
      </w:r>
    </w:p>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第十二条　货款支付</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12.1本合同项下所有款项均以人民币支付；</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12.2货款支付方法：</w:t>
      </w:r>
      <w:r>
        <w:rPr>
          <w:rFonts w:hint="eastAsia" w:ascii="仿宋" w:hAnsi="仿宋" w:eastAsia="仿宋" w:cs="仿宋"/>
          <w:color w:val="auto"/>
          <w:highlight w:val="none"/>
          <w:u w:val="single"/>
        </w:rPr>
        <w:t xml:space="preserve">                                                     </w:t>
      </w:r>
    </w:p>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第十三条　违约责任</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13.1 买方无正当理由拒收货物、拒付货物款的，由买方向卖方偿付合同总价的3%违约金。</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13.2 买方未按合同规定的期限向卖方支付货款的，每逾期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天买方向卖方偿付欠款总额的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滞纳金，但累计滞纳金总额不超过欠款总额的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13.3 如卖方不能交付货物，买方有权扣留全部履约保证金；同时卖方应向买方支付合同总价</w:t>
      </w:r>
      <w:r>
        <w:rPr>
          <w:rFonts w:hint="eastAsia" w:ascii="仿宋" w:hAnsi="仿宋" w:eastAsia="仿宋" w:cs="仿宋"/>
          <w:color w:val="auto"/>
          <w:highlight w:val="none"/>
          <w:u w:val="single"/>
        </w:rPr>
        <w:t>3％</w:t>
      </w:r>
      <w:r>
        <w:rPr>
          <w:rFonts w:hint="eastAsia" w:ascii="仿宋" w:hAnsi="仿宋" w:eastAsia="仿宋" w:cs="仿宋"/>
          <w:color w:val="auto"/>
          <w:highlight w:val="none"/>
        </w:rPr>
        <w:t>的违约金。</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13.4 卖方逾期交付货物的，每逾期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天，卖方向买方偿付逾期交货部分货款总额的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的滞纳金。如卖方逾期交货达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天，买方有权解除合同，解除合同的通知自到达卖方时生效；</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13.5 卖方所交付的货物品种、型号、规格、技术指标不符合合同规定的，买方有权拒收。买方拒收的，卖方应向买方支付货款总额3%的违约金；</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13.6 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13.7 卖方未按本合同的规定和“服务承诺”提供伴随服务/售后服务的，应按合同总价款的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向买方承担违约责任；</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13.8 卖方在承担上述13.3～13.7款一项或多项违约责任后，仍应继续履行合同规定的义务（买方解除合同的除外）。买方未能及时追究卖方的任何一项违约责任并不表明买方放弃追究卖方该项或其他违约责任；</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其他</w:t>
      </w:r>
      <w:r>
        <w:rPr>
          <w:rFonts w:hint="eastAsia" w:ascii="仿宋" w:hAnsi="仿宋" w:eastAsia="仿宋" w:cs="仿宋"/>
          <w:color w:val="auto"/>
          <w:highlight w:val="none"/>
          <w:u w:val="single"/>
        </w:rPr>
        <w:t xml:space="preserve">                                                               </w:t>
      </w:r>
    </w:p>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第十四条　转让和分包</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卖方不得擅自分包其应履行的合同义务。须将项目的非主体、非关键性工作分包的，应当在</w:t>
      </w:r>
      <w:r>
        <w:rPr>
          <w:rFonts w:hint="eastAsia" w:ascii="仿宋" w:hAnsi="仿宋" w:eastAsia="仿宋" w:cs="仿宋"/>
          <w:color w:val="auto"/>
          <w:highlight w:val="none"/>
        </w:rPr>
        <w:t>投标文件</w:t>
      </w:r>
      <w:r>
        <w:rPr>
          <w:rFonts w:hint="eastAsia" w:ascii="仿宋" w:hAnsi="仿宋" w:eastAsia="仿宋" w:cs="仿宋"/>
          <w:color w:val="auto"/>
          <w:highlight w:val="none"/>
        </w:rPr>
        <w:t>中载明分包承担主体，分包承担主体应当具备相应资质条件且不得再次分包。</w:t>
      </w:r>
    </w:p>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第十五条　合同的变更和终止</w:t>
      </w:r>
    </w:p>
    <w:p>
      <w:pPr>
        <w:pStyle w:val="15"/>
        <w:widowControl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除《政府采购法》第50条第二款规定的情形外，本合同一经签订，双方不得擅自变更、中止或终止合同。</w:t>
      </w:r>
    </w:p>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第十六条  不可抗力</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16.1 如果双方中任何一方遭遇法律规定的不可抗力，致使合同履行受阻时，履行合同的期限应予延长，延长的期限应相当于不可抗力所影响的时间；</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16.2 受事故影响的一方应在不可抗力的事故发生后尽快书面形式通知另一方，并尽快将有关部门出具的证明文件送达另一方；</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16.3 不可抗力使合同的某些内容有变更必要的， 双方应通过协商达成进一步履行合同的协议，因不可抗力致使合同不能履行的，合同终止。</w:t>
      </w:r>
    </w:p>
    <w:p>
      <w:pPr>
        <w:pStyle w:val="15"/>
        <w:spacing w:before="0" w:beforeAutospacing="0" w:after="0" w:afterAutospacing="0" w:line="360" w:lineRule="auto"/>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第十七条　争议的解决</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17.1 因货物的质量问题发生争议的，应当邀请国家认可的质量检测机构对货物质量进行鉴定。货物符合标准的，鉴定费由买方承担；货物不符合质量标准的，鉴定费由卖方承担。</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17.2 因履行本合同引起的或与本合同有关的争议，买、卖双方应首先通过友好协商解决，如果协商不能解决争议，则采取以下第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种方式解决争议：</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17.2.1 向买方所在地有管辖权的人民法院提起诉讼；</w:t>
      </w:r>
    </w:p>
    <w:p>
      <w:pPr>
        <w:pStyle w:val="15"/>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17.2.2 向</w:t>
      </w:r>
      <w:r>
        <w:rPr>
          <w:rFonts w:hint="eastAsia" w:ascii="仿宋" w:hAnsi="仿宋" w:eastAsia="仿宋" w:cs="仿宋"/>
          <w:color w:val="auto"/>
          <w:highlight w:val="none"/>
          <w:u w:val="single"/>
        </w:rPr>
        <w:t xml:space="preserve"> 丽水 </w:t>
      </w:r>
      <w:r>
        <w:rPr>
          <w:rFonts w:hint="eastAsia" w:ascii="仿宋" w:hAnsi="仿宋" w:eastAsia="仿宋" w:cs="仿宋"/>
          <w:color w:val="auto"/>
          <w:highlight w:val="none"/>
        </w:rPr>
        <w:t>仲裁委员会按其仲裁规则申请仲裁。</w:t>
      </w:r>
    </w:p>
    <w:p>
      <w:pPr>
        <w:pStyle w:val="15"/>
        <w:spacing w:before="0" w:beforeAutospacing="0" w:after="0" w:afterAutospacing="0"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第十八条　合同生效及其他</w:t>
      </w:r>
    </w:p>
    <w:p>
      <w:pPr>
        <w:pStyle w:val="15"/>
        <w:spacing w:before="0" w:beforeAutospacing="0" w:after="0" w:afterAutospacing="0" w:line="360" w:lineRule="auto"/>
        <w:ind w:firstLine="482"/>
        <w:rPr>
          <w:rFonts w:ascii="仿宋" w:hAnsi="仿宋" w:eastAsia="仿宋" w:cs="仿宋"/>
          <w:color w:val="auto"/>
          <w:highlight w:val="none"/>
        </w:rPr>
      </w:pPr>
      <w:r>
        <w:rPr>
          <w:rFonts w:hint="eastAsia" w:ascii="仿宋" w:hAnsi="仿宋" w:eastAsia="仿宋" w:cs="仿宋"/>
          <w:color w:val="auto"/>
          <w:highlight w:val="none"/>
        </w:rPr>
        <w:t>18.1 合同经双方负责人或委托代理人签字并加盖单位公章。</w:t>
      </w:r>
    </w:p>
    <w:p>
      <w:pPr>
        <w:pStyle w:val="15"/>
        <w:spacing w:before="0" w:beforeAutospacing="0" w:after="0" w:afterAutospacing="0" w:line="360" w:lineRule="auto"/>
        <w:ind w:firstLine="482"/>
        <w:rPr>
          <w:rFonts w:ascii="仿宋" w:hAnsi="仿宋" w:eastAsia="仿宋" w:cs="仿宋"/>
          <w:color w:val="auto"/>
          <w:highlight w:val="none"/>
        </w:rPr>
      </w:pPr>
      <w:r>
        <w:rPr>
          <w:rFonts w:hint="eastAsia" w:ascii="仿宋" w:hAnsi="仿宋" w:eastAsia="仿宋" w:cs="仿宋"/>
          <w:color w:val="auto"/>
          <w:highlight w:val="none"/>
        </w:rPr>
        <w:t>18.2 合同执行中涉及采购资金和采购内容修改或补充的，须经财政部门批准，并签书面补充协议报政府采购监督管理部门备案，方可作为合同不可分割的一部分。</w:t>
      </w:r>
    </w:p>
    <w:p>
      <w:pPr>
        <w:pStyle w:val="15"/>
        <w:spacing w:before="0" w:beforeAutospacing="0" w:after="0" w:afterAutospacing="0" w:line="360" w:lineRule="auto"/>
        <w:ind w:firstLine="482"/>
        <w:rPr>
          <w:rFonts w:ascii="仿宋" w:hAnsi="仿宋" w:eastAsia="仿宋" w:cs="仿宋"/>
          <w:color w:val="auto"/>
          <w:highlight w:val="none"/>
        </w:rPr>
      </w:pPr>
      <w:r>
        <w:rPr>
          <w:rFonts w:hint="eastAsia" w:ascii="仿宋" w:hAnsi="仿宋" w:eastAsia="仿宋" w:cs="仿宋"/>
          <w:color w:val="auto"/>
          <w:highlight w:val="none"/>
        </w:rPr>
        <w:t>18.3 本合同自签订之日起生效。</w:t>
      </w:r>
    </w:p>
    <w:p>
      <w:pPr>
        <w:pStyle w:val="15"/>
        <w:spacing w:before="0" w:beforeAutospacing="0" w:after="0" w:afterAutospacing="0" w:line="360" w:lineRule="auto"/>
        <w:ind w:firstLine="482"/>
        <w:rPr>
          <w:rFonts w:ascii="仿宋" w:hAnsi="仿宋" w:eastAsia="仿宋" w:cs="仿宋"/>
          <w:color w:val="auto"/>
          <w:highlight w:val="none"/>
        </w:rPr>
      </w:pPr>
      <w:r>
        <w:rPr>
          <w:rFonts w:hint="eastAsia" w:ascii="仿宋" w:hAnsi="仿宋" w:eastAsia="仿宋" w:cs="仿宋"/>
          <w:color w:val="auto"/>
          <w:highlight w:val="none"/>
        </w:rPr>
        <w:t>18.4 本合同一式六份，买卖双方各执二份，一份交</w:t>
      </w:r>
      <w:r>
        <w:rPr>
          <w:rFonts w:hint="eastAsia" w:ascii="仿宋" w:hAnsi="仿宋" w:eastAsia="仿宋" w:cs="仿宋"/>
          <w:color w:val="auto"/>
          <w:highlight w:val="none"/>
          <w:u w:val="single"/>
        </w:rPr>
        <w:t xml:space="preserve"> 代理机构 </w:t>
      </w:r>
      <w:r>
        <w:rPr>
          <w:rFonts w:hint="eastAsia" w:ascii="仿宋" w:hAnsi="仿宋" w:eastAsia="仿宋" w:cs="仿宋"/>
          <w:color w:val="auto"/>
          <w:highlight w:val="none"/>
        </w:rPr>
        <w:t>存档，一份报送政府采购监督管理部门备案。</w:t>
      </w:r>
    </w:p>
    <w:p>
      <w:pPr>
        <w:pStyle w:val="15"/>
        <w:spacing w:before="0" w:beforeAutospacing="0" w:after="0" w:afterAutospacing="0" w:line="360" w:lineRule="auto"/>
        <w:ind w:firstLine="482"/>
        <w:rPr>
          <w:rFonts w:ascii="仿宋" w:hAnsi="仿宋" w:eastAsia="仿宋" w:cs="仿宋"/>
          <w:color w:val="auto"/>
          <w:highlight w:val="none"/>
        </w:rPr>
      </w:pPr>
      <w:r>
        <w:rPr>
          <w:rFonts w:hint="eastAsia" w:ascii="仿宋" w:hAnsi="仿宋" w:eastAsia="仿宋" w:cs="仿宋"/>
          <w:color w:val="auto"/>
          <w:highlight w:val="none"/>
        </w:rPr>
        <w:t>18.5本合同应按照中华人民共和国的现行法律进行解释。</w:t>
      </w:r>
    </w:p>
    <w:p>
      <w:pPr>
        <w:pStyle w:val="15"/>
        <w:spacing w:before="0" w:beforeAutospacing="0" w:after="0" w:afterAutospacing="0" w:line="360" w:lineRule="auto"/>
        <w:ind w:firstLine="482"/>
        <w:rPr>
          <w:rFonts w:ascii="仿宋" w:hAnsi="仿宋" w:eastAsia="仿宋" w:cs="仿宋"/>
          <w:color w:val="auto"/>
          <w:highlight w:val="none"/>
        </w:rPr>
      </w:pPr>
    </w:p>
    <w:tbl>
      <w:tblPr>
        <w:tblStyle w:val="20"/>
        <w:tblW w:w="0" w:type="auto"/>
        <w:jc w:val="center"/>
        <w:tblLayout w:type="autofit"/>
        <w:tblCellMar>
          <w:top w:w="0" w:type="dxa"/>
          <w:left w:w="108" w:type="dxa"/>
          <w:bottom w:w="0" w:type="dxa"/>
          <w:right w:w="108" w:type="dxa"/>
        </w:tblCellMar>
      </w:tblPr>
      <w:tblGrid>
        <w:gridCol w:w="1929"/>
        <w:gridCol w:w="3244"/>
        <w:gridCol w:w="3355"/>
      </w:tblGrid>
      <w:tr>
        <w:tblPrEx>
          <w:tblCellMar>
            <w:top w:w="0" w:type="dxa"/>
            <w:left w:w="108" w:type="dxa"/>
            <w:bottom w:w="0" w:type="dxa"/>
            <w:right w:w="108" w:type="dxa"/>
          </w:tblCellMar>
        </w:tblPrEx>
        <w:trPr>
          <w:trHeight w:val="454" w:hRule="atLeast"/>
          <w:jc w:val="center"/>
        </w:trPr>
        <w:tc>
          <w:tcPr>
            <w:tcW w:w="2077" w:type="dxa"/>
            <w:vMerge w:val="restart"/>
            <w:vAlign w:val="center"/>
          </w:tcPr>
          <w:p>
            <w:pPr>
              <w:pStyle w:val="8"/>
              <w:spacing w:line="440" w:lineRule="exact"/>
              <w:ind w:firstLine="420" w:firstLineChars="175"/>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pPr>
              <w:pStyle w:val="8"/>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类别名称</w:t>
            </w:r>
          </w:p>
        </w:tc>
        <w:tc>
          <w:tcPr>
            <w:tcW w:w="3534" w:type="dxa"/>
            <w:vAlign w:val="center"/>
          </w:tcPr>
          <w:p>
            <w:pPr>
              <w:pStyle w:val="8"/>
              <w:spacing w:line="440" w:lineRule="exact"/>
              <w:ind w:left="2" w:hanging="2" w:hangingChars="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p>
        </w:tc>
        <w:tc>
          <w:tcPr>
            <w:tcW w:w="3631" w:type="dxa"/>
            <w:vAlign w:val="center"/>
          </w:tcPr>
          <w:p>
            <w:pPr>
              <w:pStyle w:val="8"/>
              <w:spacing w:line="440" w:lineRule="exact"/>
              <w:ind w:left="130" w:hanging="129" w:hangingChars="54"/>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乙方(盖章)</w:t>
            </w:r>
          </w:p>
        </w:tc>
      </w:tr>
      <w:tr>
        <w:tblPrEx>
          <w:tblCellMar>
            <w:top w:w="0" w:type="dxa"/>
            <w:left w:w="108" w:type="dxa"/>
            <w:bottom w:w="0" w:type="dxa"/>
            <w:right w:w="108" w:type="dxa"/>
          </w:tblCellMar>
        </w:tblPrEx>
        <w:trPr>
          <w:trHeight w:val="454" w:hRule="atLeast"/>
          <w:jc w:val="center"/>
        </w:trPr>
        <w:tc>
          <w:tcPr>
            <w:tcW w:w="2077" w:type="dxa"/>
            <w:vMerge w:val="continue"/>
            <w:vAlign w:val="center"/>
          </w:tcPr>
          <w:p>
            <w:pPr>
              <w:pStyle w:val="8"/>
              <w:spacing w:line="440" w:lineRule="exact"/>
              <w:ind w:firstLine="420" w:firstLineChars="175"/>
              <w:jc w:val="distribute"/>
              <w:rPr>
                <w:rFonts w:ascii="仿宋" w:hAnsi="仿宋" w:eastAsia="仿宋" w:cs="仿宋"/>
                <w:color w:val="auto"/>
                <w:sz w:val="24"/>
                <w:szCs w:val="24"/>
                <w:highlight w:val="none"/>
              </w:rPr>
            </w:pPr>
          </w:p>
        </w:tc>
        <w:tc>
          <w:tcPr>
            <w:tcW w:w="3534" w:type="dxa"/>
            <w:vAlign w:val="center"/>
          </w:tcPr>
          <w:p>
            <w:pPr>
              <w:pStyle w:val="8"/>
              <w:spacing w:line="440" w:lineRule="exact"/>
              <w:ind w:left="2" w:hanging="2" w:hangingChars="1"/>
              <w:rPr>
                <w:rFonts w:ascii="仿宋" w:hAnsi="仿宋" w:eastAsia="仿宋" w:cs="仿宋"/>
                <w:color w:val="auto"/>
                <w:sz w:val="24"/>
                <w:szCs w:val="24"/>
                <w:highlight w:val="none"/>
              </w:rPr>
            </w:pPr>
          </w:p>
        </w:tc>
        <w:tc>
          <w:tcPr>
            <w:tcW w:w="3631" w:type="dxa"/>
            <w:vAlign w:val="center"/>
          </w:tcPr>
          <w:p>
            <w:pPr>
              <w:pStyle w:val="8"/>
              <w:spacing w:line="440" w:lineRule="exact"/>
              <w:ind w:left="130" w:hanging="129" w:hangingChars="54"/>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2077" w:type="dxa"/>
            <w:vAlign w:val="center"/>
          </w:tcPr>
          <w:p>
            <w:pPr>
              <w:pStyle w:val="8"/>
              <w:ind w:right="-122" w:rightChars="-58"/>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534" w:type="dxa"/>
            <w:vAlign w:val="center"/>
          </w:tcPr>
          <w:p>
            <w:pPr>
              <w:pStyle w:val="8"/>
              <w:rPr>
                <w:rFonts w:ascii="仿宋" w:hAnsi="仿宋" w:eastAsia="仿宋" w:cs="仿宋"/>
                <w:color w:val="auto"/>
                <w:sz w:val="24"/>
                <w:szCs w:val="24"/>
                <w:highlight w:val="none"/>
              </w:rPr>
            </w:pPr>
          </w:p>
        </w:tc>
        <w:tc>
          <w:tcPr>
            <w:tcW w:w="3631" w:type="dxa"/>
            <w:vAlign w:val="center"/>
          </w:tcPr>
          <w:p>
            <w:pPr>
              <w:pStyle w:val="8"/>
              <w:ind w:firstLine="60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2077" w:type="dxa"/>
            <w:vAlign w:val="center"/>
          </w:tcPr>
          <w:p>
            <w:pPr>
              <w:pStyle w:val="8"/>
              <w:ind w:right="-122" w:rightChars="-58"/>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 定 代 表 人：</w:t>
            </w:r>
          </w:p>
        </w:tc>
        <w:tc>
          <w:tcPr>
            <w:tcW w:w="3534" w:type="dxa"/>
            <w:vAlign w:val="center"/>
          </w:tcPr>
          <w:p>
            <w:pPr>
              <w:pStyle w:val="8"/>
              <w:ind w:firstLine="600"/>
              <w:jc w:val="center"/>
              <w:rPr>
                <w:rFonts w:ascii="仿宋" w:hAnsi="仿宋" w:eastAsia="仿宋" w:cs="仿宋"/>
                <w:color w:val="auto"/>
                <w:sz w:val="24"/>
                <w:szCs w:val="24"/>
                <w:highlight w:val="none"/>
              </w:rPr>
            </w:pPr>
          </w:p>
        </w:tc>
        <w:tc>
          <w:tcPr>
            <w:tcW w:w="3631" w:type="dxa"/>
            <w:vAlign w:val="center"/>
          </w:tcPr>
          <w:p>
            <w:pPr>
              <w:pStyle w:val="8"/>
              <w:ind w:firstLine="60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2077" w:type="dxa"/>
            <w:vAlign w:val="center"/>
          </w:tcPr>
          <w:p>
            <w:pPr>
              <w:pStyle w:val="8"/>
              <w:ind w:right="-122" w:rightChars="-58"/>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或委托代理人：</w:t>
            </w:r>
          </w:p>
        </w:tc>
        <w:tc>
          <w:tcPr>
            <w:tcW w:w="3534" w:type="dxa"/>
            <w:vAlign w:val="center"/>
          </w:tcPr>
          <w:p>
            <w:pPr>
              <w:pStyle w:val="8"/>
              <w:ind w:firstLine="600"/>
              <w:jc w:val="center"/>
              <w:rPr>
                <w:rFonts w:ascii="仿宋" w:hAnsi="仿宋" w:eastAsia="仿宋" w:cs="仿宋"/>
                <w:color w:val="auto"/>
                <w:sz w:val="24"/>
                <w:szCs w:val="24"/>
                <w:highlight w:val="none"/>
              </w:rPr>
            </w:pPr>
          </w:p>
        </w:tc>
        <w:tc>
          <w:tcPr>
            <w:tcW w:w="3631" w:type="dxa"/>
            <w:vAlign w:val="center"/>
          </w:tcPr>
          <w:p>
            <w:pPr>
              <w:pStyle w:val="8"/>
              <w:ind w:firstLine="60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2077" w:type="dxa"/>
            <w:vAlign w:val="center"/>
          </w:tcPr>
          <w:p>
            <w:pPr>
              <w:pStyle w:val="8"/>
              <w:ind w:right="-122" w:rightChars="-58"/>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tc>
        <w:tc>
          <w:tcPr>
            <w:tcW w:w="3534" w:type="dxa"/>
            <w:vAlign w:val="center"/>
          </w:tcPr>
          <w:p>
            <w:pPr>
              <w:pStyle w:val="8"/>
              <w:rPr>
                <w:rFonts w:ascii="仿宋" w:hAnsi="仿宋" w:eastAsia="仿宋" w:cs="仿宋"/>
                <w:color w:val="auto"/>
                <w:sz w:val="24"/>
                <w:szCs w:val="24"/>
                <w:highlight w:val="none"/>
              </w:rPr>
            </w:pPr>
          </w:p>
        </w:tc>
        <w:tc>
          <w:tcPr>
            <w:tcW w:w="3631" w:type="dxa"/>
            <w:vAlign w:val="center"/>
          </w:tcPr>
          <w:p>
            <w:pPr>
              <w:pStyle w:val="8"/>
              <w:ind w:firstLine="60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2077" w:type="dxa"/>
            <w:vAlign w:val="center"/>
          </w:tcPr>
          <w:p>
            <w:pPr>
              <w:pStyle w:val="8"/>
              <w:ind w:right="-122" w:rightChars="-58"/>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3534" w:type="dxa"/>
            <w:vAlign w:val="center"/>
          </w:tcPr>
          <w:p>
            <w:pPr>
              <w:pStyle w:val="8"/>
              <w:rPr>
                <w:rFonts w:ascii="仿宋" w:hAnsi="仿宋" w:eastAsia="仿宋" w:cs="仿宋"/>
                <w:color w:val="auto"/>
                <w:sz w:val="24"/>
                <w:szCs w:val="24"/>
                <w:highlight w:val="none"/>
              </w:rPr>
            </w:pPr>
          </w:p>
        </w:tc>
        <w:tc>
          <w:tcPr>
            <w:tcW w:w="3631" w:type="dxa"/>
            <w:vAlign w:val="center"/>
          </w:tcPr>
          <w:p>
            <w:pPr>
              <w:pStyle w:val="8"/>
              <w:ind w:firstLine="60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2077" w:type="dxa"/>
            <w:vAlign w:val="center"/>
          </w:tcPr>
          <w:p>
            <w:pPr>
              <w:pStyle w:val="8"/>
              <w:ind w:right="-122" w:rightChars="-58"/>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  政  编  码：</w:t>
            </w:r>
          </w:p>
        </w:tc>
        <w:tc>
          <w:tcPr>
            <w:tcW w:w="3534" w:type="dxa"/>
            <w:vAlign w:val="center"/>
          </w:tcPr>
          <w:p>
            <w:pPr>
              <w:pStyle w:val="8"/>
              <w:rPr>
                <w:rFonts w:ascii="仿宋" w:hAnsi="仿宋" w:eastAsia="仿宋" w:cs="仿宋"/>
                <w:color w:val="auto"/>
                <w:sz w:val="24"/>
                <w:szCs w:val="24"/>
                <w:highlight w:val="none"/>
              </w:rPr>
            </w:pPr>
          </w:p>
        </w:tc>
        <w:tc>
          <w:tcPr>
            <w:tcW w:w="3631" w:type="dxa"/>
            <w:vAlign w:val="center"/>
          </w:tcPr>
          <w:p>
            <w:pPr>
              <w:pStyle w:val="8"/>
              <w:ind w:firstLine="60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2077" w:type="dxa"/>
            <w:vAlign w:val="center"/>
          </w:tcPr>
          <w:p>
            <w:pPr>
              <w:pStyle w:val="8"/>
              <w:ind w:right="-122" w:rightChars="-58"/>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  户  名  称：</w:t>
            </w:r>
          </w:p>
        </w:tc>
        <w:tc>
          <w:tcPr>
            <w:tcW w:w="3534" w:type="dxa"/>
            <w:vAlign w:val="center"/>
          </w:tcPr>
          <w:p>
            <w:pPr>
              <w:pStyle w:val="8"/>
              <w:ind w:firstLine="600"/>
              <w:jc w:val="center"/>
              <w:rPr>
                <w:rFonts w:ascii="仿宋" w:hAnsi="仿宋" w:eastAsia="仿宋" w:cs="仿宋"/>
                <w:color w:val="auto"/>
                <w:sz w:val="24"/>
                <w:szCs w:val="24"/>
                <w:highlight w:val="none"/>
              </w:rPr>
            </w:pPr>
          </w:p>
        </w:tc>
        <w:tc>
          <w:tcPr>
            <w:tcW w:w="3631" w:type="dxa"/>
            <w:vAlign w:val="center"/>
          </w:tcPr>
          <w:p>
            <w:pPr>
              <w:pStyle w:val="8"/>
              <w:ind w:firstLine="60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2077" w:type="dxa"/>
            <w:vAlign w:val="center"/>
          </w:tcPr>
          <w:p>
            <w:pPr>
              <w:pStyle w:val="8"/>
              <w:ind w:right="-122" w:rightChars="-58"/>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  户  银  行：</w:t>
            </w:r>
          </w:p>
        </w:tc>
        <w:tc>
          <w:tcPr>
            <w:tcW w:w="3534" w:type="dxa"/>
            <w:vAlign w:val="center"/>
          </w:tcPr>
          <w:p>
            <w:pPr>
              <w:pStyle w:val="8"/>
              <w:ind w:firstLine="600"/>
              <w:jc w:val="center"/>
              <w:rPr>
                <w:rFonts w:ascii="仿宋" w:hAnsi="仿宋" w:eastAsia="仿宋" w:cs="仿宋"/>
                <w:color w:val="auto"/>
                <w:sz w:val="24"/>
                <w:szCs w:val="24"/>
                <w:highlight w:val="none"/>
              </w:rPr>
            </w:pPr>
          </w:p>
        </w:tc>
        <w:tc>
          <w:tcPr>
            <w:tcW w:w="3631" w:type="dxa"/>
            <w:vAlign w:val="center"/>
          </w:tcPr>
          <w:p>
            <w:pPr>
              <w:pStyle w:val="8"/>
              <w:ind w:firstLine="60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2077" w:type="dxa"/>
            <w:vAlign w:val="center"/>
          </w:tcPr>
          <w:p>
            <w:pPr>
              <w:pStyle w:val="8"/>
              <w:ind w:right="-122" w:rightChars="-58"/>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帐          号：</w:t>
            </w:r>
          </w:p>
        </w:tc>
        <w:tc>
          <w:tcPr>
            <w:tcW w:w="3534" w:type="dxa"/>
            <w:vAlign w:val="center"/>
          </w:tcPr>
          <w:p>
            <w:pPr>
              <w:pStyle w:val="8"/>
              <w:ind w:firstLine="600"/>
              <w:jc w:val="center"/>
              <w:rPr>
                <w:rFonts w:ascii="仿宋" w:hAnsi="仿宋" w:eastAsia="仿宋" w:cs="仿宋"/>
                <w:color w:val="auto"/>
                <w:sz w:val="24"/>
                <w:szCs w:val="24"/>
                <w:highlight w:val="none"/>
              </w:rPr>
            </w:pPr>
          </w:p>
        </w:tc>
        <w:tc>
          <w:tcPr>
            <w:tcW w:w="3631" w:type="dxa"/>
            <w:vAlign w:val="center"/>
          </w:tcPr>
          <w:p>
            <w:pPr>
              <w:pStyle w:val="8"/>
              <w:ind w:firstLine="60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2077" w:type="dxa"/>
            <w:vAlign w:val="center"/>
          </w:tcPr>
          <w:p>
            <w:pPr>
              <w:ind w:right="-122" w:rightChars="-58"/>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  订  地  点：</w:t>
            </w:r>
          </w:p>
        </w:tc>
        <w:tc>
          <w:tcPr>
            <w:tcW w:w="7165" w:type="dxa"/>
            <w:gridSpan w:val="2"/>
            <w:vAlign w:val="center"/>
          </w:tcPr>
          <w:p>
            <w:pPr>
              <w:pStyle w:val="8"/>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2077" w:type="dxa"/>
            <w:vAlign w:val="center"/>
          </w:tcPr>
          <w:p>
            <w:pPr>
              <w:ind w:right="-122" w:rightChars="-58"/>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  订  时  间：</w:t>
            </w:r>
          </w:p>
        </w:tc>
        <w:tc>
          <w:tcPr>
            <w:tcW w:w="3534" w:type="dxa"/>
            <w:vAlign w:val="center"/>
          </w:tcPr>
          <w:p>
            <w:pPr>
              <w:pStyle w:val="8"/>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c>
          <w:tcPr>
            <w:tcW w:w="3631" w:type="dxa"/>
            <w:vAlign w:val="center"/>
          </w:tcPr>
          <w:p>
            <w:pPr>
              <w:pStyle w:val="8"/>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pPr>
        <w:pStyle w:val="8"/>
        <w:spacing w:line="360" w:lineRule="auto"/>
        <w:ind w:firstLine="482" w:firstLineChars="200"/>
        <w:rPr>
          <w:rFonts w:ascii="仿宋" w:hAnsi="仿宋" w:eastAsia="仿宋" w:cs="仿宋"/>
          <w:b/>
          <w:color w:val="auto"/>
          <w:sz w:val="24"/>
          <w:szCs w:val="24"/>
          <w:highlight w:val="none"/>
        </w:rPr>
      </w:pPr>
    </w:p>
    <w:p>
      <w:pPr>
        <w:pStyle w:val="8"/>
        <w:spacing w:line="360" w:lineRule="auto"/>
        <w:ind w:firstLine="482" w:firstLineChars="200"/>
        <w:rPr>
          <w:rFonts w:ascii="仿宋" w:hAnsi="仿宋" w:eastAsia="仿宋" w:cs="仿宋"/>
          <w:b/>
          <w:color w:val="auto"/>
          <w:sz w:val="24"/>
          <w:szCs w:val="24"/>
          <w:highlight w:val="none"/>
        </w:rPr>
      </w:pPr>
    </w:p>
    <w:p>
      <w:pPr>
        <w:pStyle w:val="8"/>
        <w:spacing w:line="360" w:lineRule="auto"/>
        <w:ind w:firstLine="482" w:firstLineChars="20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r>
        <w:rPr>
          <w:rFonts w:ascii="仿宋" w:hAnsi="仿宋" w:eastAsia="仿宋" w:cs="仿宋"/>
          <w:b/>
          <w:color w:val="auto"/>
          <w:sz w:val="24"/>
          <w:szCs w:val="24"/>
          <w:highlight w:val="none"/>
        </w:rPr>
        <w:t>本合同</w:t>
      </w:r>
      <w:r>
        <w:rPr>
          <w:rFonts w:hint="eastAsia" w:ascii="仿宋" w:hAnsi="仿宋" w:eastAsia="仿宋" w:cs="仿宋"/>
          <w:b/>
          <w:color w:val="auto"/>
          <w:sz w:val="24"/>
          <w:szCs w:val="24"/>
          <w:highlight w:val="none"/>
        </w:rPr>
        <w:t>仅</w:t>
      </w:r>
      <w:r>
        <w:rPr>
          <w:rFonts w:ascii="仿宋" w:hAnsi="仿宋" w:eastAsia="仿宋" w:cs="仿宋"/>
          <w:b/>
          <w:color w:val="auto"/>
          <w:sz w:val="24"/>
          <w:szCs w:val="24"/>
          <w:highlight w:val="none"/>
        </w:rPr>
        <w:t>作示范文本，具体以</w:t>
      </w:r>
      <w:r>
        <w:rPr>
          <w:rFonts w:hint="eastAsia" w:ascii="仿宋" w:hAnsi="仿宋" w:eastAsia="仿宋" w:cs="仿宋"/>
          <w:b/>
          <w:color w:val="auto"/>
          <w:sz w:val="24"/>
          <w:szCs w:val="24"/>
          <w:highlight w:val="none"/>
        </w:rPr>
        <w:t>双方</w:t>
      </w:r>
      <w:r>
        <w:rPr>
          <w:rFonts w:ascii="仿宋" w:hAnsi="仿宋" w:eastAsia="仿宋" w:cs="仿宋"/>
          <w:b/>
          <w:color w:val="auto"/>
          <w:sz w:val="24"/>
          <w:szCs w:val="24"/>
          <w:highlight w:val="none"/>
        </w:rPr>
        <w:t>签定</w:t>
      </w:r>
      <w:r>
        <w:rPr>
          <w:rFonts w:hint="eastAsia" w:ascii="仿宋" w:hAnsi="仿宋" w:eastAsia="仿宋" w:cs="仿宋"/>
          <w:b/>
          <w:color w:val="auto"/>
          <w:sz w:val="24"/>
          <w:szCs w:val="24"/>
          <w:highlight w:val="none"/>
        </w:rPr>
        <w:t>的</w:t>
      </w:r>
      <w:r>
        <w:rPr>
          <w:rFonts w:ascii="仿宋" w:hAnsi="仿宋" w:eastAsia="仿宋" w:cs="仿宋"/>
          <w:b/>
          <w:color w:val="auto"/>
          <w:sz w:val="24"/>
          <w:szCs w:val="24"/>
          <w:highlight w:val="none"/>
        </w:rPr>
        <w:t>正式合同为准</w:t>
      </w:r>
      <w:r>
        <w:rPr>
          <w:rFonts w:hint="eastAsia" w:ascii="仿宋" w:hAnsi="仿宋" w:eastAsia="仿宋" w:cs="仿宋"/>
          <w:b/>
          <w:color w:val="auto"/>
          <w:sz w:val="24"/>
          <w:szCs w:val="24"/>
          <w:highlight w:val="none"/>
        </w:rPr>
        <w:t>，合同内容不得违背本竞争性磋商文件实质性要求。</w:t>
      </w:r>
    </w:p>
    <w:p>
      <w:pPr>
        <w:pStyle w:val="17"/>
        <w:ind w:firstLine="210"/>
        <w:rPr>
          <w:color w:val="auto"/>
          <w:highlight w:val="none"/>
        </w:rPr>
      </w:pPr>
    </w:p>
    <w:p>
      <w:pPr>
        <w:snapToGrid w:val="0"/>
        <w:spacing w:line="480" w:lineRule="auto"/>
        <w:rPr>
          <w:rFonts w:ascii="仿宋" w:hAnsi="仿宋" w:eastAsia="仿宋" w:cs="仿宋"/>
          <w:color w:val="auto"/>
          <w:sz w:val="36"/>
          <w:szCs w:val="36"/>
          <w:highlight w:val="none"/>
        </w:rPr>
        <w:sectPr>
          <w:pgSz w:w="11906" w:h="16838"/>
          <w:pgMar w:top="1440" w:right="1797" w:bottom="1440" w:left="1797" w:header="851" w:footer="851" w:gutter="0"/>
          <w:cols w:space="720" w:num="1"/>
          <w:docGrid w:linePitch="312" w:charSpace="0"/>
        </w:sectPr>
      </w:pPr>
    </w:p>
    <w:p>
      <w:pPr>
        <w:pStyle w:val="16"/>
        <w:spacing w:before="0" w:after="0" w:line="360" w:lineRule="auto"/>
        <w:rPr>
          <w:rFonts w:ascii="仿宋" w:hAnsi="仿宋" w:eastAsia="仿宋" w:cs="仿宋"/>
          <w:color w:val="auto"/>
          <w:sz w:val="36"/>
          <w:szCs w:val="36"/>
          <w:highlight w:val="none"/>
        </w:rPr>
      </w:pPr>
      <w:bookmarkStart w:id="300" w:name="_Toc12250"/>
      <w:r>
        <w:rPr>
          <w:rFonts w:hint="eastAsia" w:ascii="仿宋" w:hAnsi="仿宋" w:eastAsia="仿宋" w:cs="仿宋"/>
          <w:color w:val="auto"/>
          <w:sz w:val="36"/>
          <w:szCs w:val="36"/>
          <w:highlight w:val="none"/>
        </w:rPr>
        <w:t>第五章  磋商响应文件格式</w:t>
      </w:r>
      <w:bookmarkEnd w:id="297"/>
      <w:bookmarkEnd w:id="298"/>
      <w:bookmarkEnd w:id="299"/>
      <w:bookmarkEnd w:id="300"/>
      <w:bookmarkStart w:id="301" w:name="_Toc15805942"/>
    </w:p>
    <w:p>
      <w:pPr>
        <w:pStyle w:val="16"/>
        <w:spacing w:beforeLines="100" w:after="240" w:afterLines="100"/>
        <w:outlineLvl w:val="1"/>
        <w:rPr>
          <w:rFonts w:ascii="仿宋" w:hAnsi="仿宋" w:eastAsia="仿宋" w:cs="仿宋"/>
          <w:color w:val="auto"/>
          <w:highlight w:val="none"/>
        </w:rPr>
      </w:pPr>
      <w:bookmarkStart w:id="302" w:name="_Toc493956051"/>
      <w:bookmarkStart w:id="303" w:name="_Toc531359038"/>
      <w:bookmarkStart w:id="304" w:name="_Toc530551876"/>
      <w:bookmarkStart w:id="305" w:name="_Toc9157"/>
      <w:r>
        <w:rPr>
          <w:rFonts w:hint="eastAsia" w:ascii="仿宋" w:hAnsi="仿宋" w:eastAsia="仿宋" w:cs="仿宋"/>
          <w:color w:val="auto"/>
          <w:highlight w:val="none"/>
        </w:rPr>
        <w:t>一  资格审查文件格式</w:t>
      </w:r>
      <w:bookmarkEnd w:id="302"/>
      <w:bookmarkEnd w:id="303"/>
      <w:bookmarkEnd w:id="304"/>
      <w:bookmarkEnd w:id="305"/>
    </w:p>
    <w:p>
      <w:pPr>
        <w:spacing w:line="360" w:lineRule="auto"/>
        <w:rPr>
          <w:rFonts w:ascii="仿宋" w:hAnsi="仿宋" w:eastAsia="仿宋" w:cs="仿宋"/>
          <w:color w:val="auto"/>
          <w:sz w:val="24"/>
          <w:szCs w:val="24"/>
          <w:highlight w:val="none"/>
        </w:rPr>
      </w:pPr>
      <w:bookmarkStart w:id="306" w:name="_Toc531359039"/>
    </w:p>
    <w:bookmarkEnd w:id="306"/>
    <w:p>
      <w:pPr>
        <w:pStyle w:val="4"/>
        <w:spacing w:before="0" w:after="0"/>
        <w:ind w:firstLine="0" w:firstLineChars="0"/>
        <w:jc w:val="left"/>
        <w:rPr>
          <w:rFonts w:ascii="仿宋" w:hAnsi="仿宋" w:eastAsia="仿宋" w:cs="仿宋"/>
          <w:color w:val="auto"/>
          <w:sz w:val="24"/>
          <w:szCs w:val="24"/>
          <w:highlight w:val="none"/>
        </w:rPr>
      </w:pPr>
      <w:bookmarkStart w:id="307" w:name="_Toc531359040"/>
      <w:bookmarkStart w:id="308" w:name="_Toc29645"/>
      <w:r>
        <w:rPr>
          <w:rFonts w:hint="eastAsia" w:ascii="仿宋" w:hAnsi="仿宋" w:eastAsia="仿宋" w:cs="仿宋"/>
          <w:color w:val="auto"/>
          <w:sz w:val="24"/>
          <w:szCs w:val="24"/>
          <w:highlight w:val="none"/>
        </w:rPr>
        <w:t>1.1    资格审查文件封面</w:t>
      </w:r>
      <w:bookmarkEnd w:id="307"/>
      <w:r>
        <w:rPr>
          <w:rFonts w:hint="eastAsia" w:ascii="仿宋" w:hAnsi="仿宋" w:eastAsia="仿宋" w:cs="仿宋"/>
          <w:color w:val="auto"/>
          <w:sz w:val="24"/>
          <w:szCs w:val="24"/>
          <w:highlight w:val="none"/>
        </w:rPr>
        <w:t>格式</w:t>
      </w:r>
      <w:bookmarkEnd w:id="308"/>
    </w:p>
    <w:p>
      <w:pPr>
        <w:pStyle w:val="2"/>
        <w:ind w:firstLine="0"/>
        <w:rPr>
          <w:rFonts w:ascii="仿宋" w:hAnsi="仿宋" w:eastAsia="仿宋" w:cs="仿宋"/>
          <w:color w:val="auto"/>
          <w:highlight w:val="none"/>
        </w:rPr>
      </w:pPr>
    </w:p>
    <w:p>
      <w:pPr>
        <w:pStyle w:val="2"/>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p>
      <w:pPr>
        <w:snapToGrid w:val="0"/>
        <w:spacing w:before="120" w:beforeLines="50" w:after="50"/>
        <w:rPr>
          <w:rFonts w:ascii="仿宋" w:hAnsi="仿宋" w:eastAsia="仿宋" w:cs="仿宋"/>
          <w:bCs/>
          <w:color w:val="auto"/>
          <w:sz w:val="24"/>
          <w:szCs w:val="20"/>
          <w:highlight w:val="none"/>
        </w:rPr>
      </w:pPr>
    </w:p>
    <w:p>
      <w:pPr>
        <w:pStyle w:val="24"/>
        <w:rPr>
          <w:rFonts w:ascii="仿宋" w:hAnsi="仿宋" w:eastAsia="仿宋" w:cs="仿宋"/>
          <w:color w:val="auto"/>
          <w:highlight w:val="none"/>
        </w:rPr>
      </w:pPr>
    </w:p>
    <w:tbl>
      <w:tblPr>
        <w:tblStyle w:val="20"/>
        <w:tblW w:w="0" w:type="auto"/>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磋商响应文件名称：</w:t>
            </w:r>
          </w:p>
        </w:tc>
        <w:tc>
          <w:tcPr>
            <w:tcW w:w="4536"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资格审查文件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 购 编 号：</w:t>
            </w:r>
          </w:p>
        </w:tc>
        <w:tc>
          <w:tcPr>
            <w:tcW w:w="4536"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4536"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      项：</w:t>
            </w:r>
          </w:p>
        </w:tc>
        <w:tc>
          <w:tcPr>
            <w:tcW w:w="4536"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p>
        </w:tc>
        <w:tc>
          <w:tcPr>
            <w:tcW w:w="4536" w:type="dxa"/>
            <w:vAlign w:val="center"/>
          </w:tcPr>
          <w:p>
            <w:pPr>
              <w:jc w:val="left"/>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供应商全称（盖章）：</w:t>
            </w:r>
          </w:p>
        </w:tc>
        <w:tc>
          <w:tcPr>
            <w:tcW w:w="4536"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供应商地址：</w:t>
            </w:r>
          </w:p>
        </w:tc>
        <w:tc>
          <w:tcPr>
            <w:tcW w:w="4536"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 w:hAnsi="仿宋" w:eastAsia="仿宋" w:cs="仿宋"/>
                <w:color w:val="auto"/>
                <w:sz w:val="24"/>
                <w:szCs w:val="24"/>
                <w:highlight w:val="none"/>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pPr>
        <w:rPr>
          <w:rFonts w:ascii="仿宋" w:hAnsi="仿宋" w:eastAsia="仿宋" w:cs="仿宋"/>
          <w:color w:val="auto"/>
          <w:highlight w:val="none"/>
        </w:rPr>
      </w:pPr>
      <w:bookmarkStart w:id="309" w:name="_Toc531359041"/>
      <w:bookmarkStart w:id="310" w:name="_Toc493956052"/>
      <w:bookmarkStart w:id="311" w:name="_Toc523398524"/>
      <w:bookmarkStart w:id="312" w:name="_Toc530551878"/>
      <w:bookmarkStart w:id="313" w:name="_Toc493956053"/>
      <w:r>
        <w:rPr>
          <w:rFonts w:hint="eastAsia" w:ascii="仿宋" w:hAnsi="仿宋" w:eastAsia="仿宋" w:cs="仿宋"/>
          <w:color w:val="auto"/>
          <w:highlight w:val="none"/>
        </w:rPr>
        <w:tab/>
      </w:r>
    </w:p>
    <w:p>
      <w:pPr>
        <w:rPr>
          <w:rFonts w:ascii="仿宋" w:hAnsi="仿宋" w:eastAsia="仿宋" w:cs="仿宋"/>
          <w:color w:val="auto"/>
          <w:highlight w:val="none"/>
        </w:rPr>
        <w:sectPr>
          <w:pgSz w:w="11906" w:h="16838"/>
          <w:pgMar w:top="1440" w:right="1797" w:bottom="1440" w:left="1797" w:header="851" w:footer="851" w:gutter="0"/>
          <w:cols w:space="720" w:num="1"/>
          <w:docGrid w:linePitch="312" w:charSpace="0"/>
        </w:sectPr>
      </w:pPr>
    </w:p>
    <w:p>
      <w:pPr>
        <w:pStyle w:val="4"/>
        <w:spacing w:before="0" w:after="0"/>
        <w:ind w:firstLine="0" w:firstLineChars="0"/>
        <w:jc w:val="left"/>
        <w:rPr>
          <w:rFonts w:ascii="仿宋" w:hAnsi="仿宋" w:eastAsia="仿宋" w:cs="仿宋"/>
          <w:color w:val="auto"/>
          <w:sz w:val="24"/>
          <w:szCs w:val="24"/>
          <w:highlight w:val="none"/>
        </w:rPr>
      </w:pPr>
      <w:bookmarkStart w:id="314" w:name="_Toc16973"/>
      <w:r>
        <w:rPr>
          <w:rFonts w:hint="eastAsia" w:ascii="仿宋" w:hAnsi="仿宋" w:eastAsia="仿宋" w:cs="仿宋"/>
          <w:color w:val="auto"/>
          <w:sz w:val="24"/>
          <w:szCs w:val="24"/>
          <w:highlight w:val="none"/>
        </w:rPr>
        <w:t>1.2    资格审查文件目录</w:t>
      </w:r>
      <w:bookmarkEnd w:id="309"/>
      <w:bookmarkEnd w:id="314"/>
    </w:p>
    <w:p>
      <w:pPr>
        <w:pStyle w:val="2"/>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pPr>
        <w:spacing w:line="360" w:lineRule="auto"/>
        <w:ind w:right="-187" w:rightChars="-89"/>
        <w:rPr>
          <w:rFonts w:ascii="仿宋" w:hAnsi="仿宋" w:eastAsia="仿宋" w:cs="仿宋"/>
          <w:color w:val="auto"/>
          <w:sz w:val="24"/>
          <w:szCs w:val="24"/>
          <w:highlight w:val="none"/>
        </w:rPr>
      </w:pPr>
    </w:p>
    <w:p>
      <w:pPr>
        <w:spacing w:line="360" w:lineRule="auto"/>
        <w:ind w:right="-187" w:rightChars="-89"/>
        <w:rPr>
          <w:rFonts w:ascii="仿宋" w:hAnsi="仿宋" w:eastAsia="仿宋" w:cs="仿宋"/>
          <w:color w:val="auto"/>
          <w:sz w:val="24"/>
          <w:szCs w:val="24"/>
          <w:highlight w:val="none"/>
        </w:rPr>
      </w:pPr>
    </w:p>
    <w:p>
      <w:pPr>
        <w:pStyle w:val="4"/>
        <w:spacing w:before="0" w:after="0"/>
        <w:ind w:firstLine="0" w:firstLineChars="0"/>
        <w:jc w:val="left"/>
        <w:rPr>
          <w:rFonts w:ascii="仿宋" w:hAnsi="仿宋" w:eastAsia="仿宋" w:cs="仿宋"/>
          <w:color w:val="auto"/>
          <w:sz w:val="24"/>
          <w:szCs w:val="24"/>
          <w:highlight w:val="none"/>
        </w:rPr>
      </w:pPr>
      <w:bookmarkStart w:id="315" w:name="_Toc5427"/>
      <w:bookmarkStart w:id="316" w:name="_Toc531359042"/>
      <w:r>
        <w:rPr>
          <w:rFonts w:hint="eastAsia" w:ascii="仿宋" w:hAnsi="仿宋" w:eastAsia="仿宋" w:cs="仿宋"/>
          <w:color w:val="auto"/>
          <w:sz w:val="24"/>
          <w:szCs w:val="24"/>
          <w:highlight w:val="none"/>
        </w:rPr>
        <w:t>1.3    有效营业执照电子文档</w:t>
      </w:r>
      <w:bookmarkEnd w:id="310"/>
      <w:bookmarkEnd w:id="311"/>
      <w:bookmarkEnd w:id="315"/>
      <w:bookmarkEnd w:id="316"/>
    </w:p>
    <w:p>
      <w:pPr>
        <w:spacing w:line="360" w:lineRule="auto"/>
        <w:ind w:right="-187" w:rightChars="-89"/>
        <w:rPr>
          <w:rFonts w:ascii="仿宋" w:hAnsi="仿宋" w:eastAsia="仿宋" w:cs="仿宋"/>
          <w:color w:val="auto"/>
          <w:sz w:val="24"/>
          <w:szCs w:val="24"/>
          <w:highlight w:val="none"/>
        </w:rPr>
      </w:pPr>
    </w:p>
    <w:p>
      <w:pPr>
        <w:spacing w:line="360" w:lineRule="auto"/>
        <w:ind w:right="-187" w:rightChars="-89"/>
        <w:rPr>
          <w:rFonts w:ascii="仿宋" w:hAnsi="仿宋" w:eastAsia="仿宋" w:cs="仿宋"/>
          <w:color w:val="auto"/>
          <w:sz w:val="24"/>
          <w:szCs w:val="24"/>
          <w:highlight w:val="none"/>
        </w:rPr>
      </w:pPr>
    </w:p>
    <w:p>
      <w:pPr>
        <w:spacing w:line="360" w:lineRule="auto"/>
        <w:ind w:right="-187" w:rightChars="-8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内容要求：</w:t>
      </w:r>
    </w:p>
    <w:p>
      <w:pPr>
        <w:spacing w:line="360" w:lineRule="auto"/>
        <w:ind w:right="-187" w:rightChars="-89"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提供有效的营业执照电子文档并加盖公司公章；事业单位的，则提供有效的《事业单位法人证书》副本电子文档并加盖单位公章；自然人的，则提供有效的身份证电子文档。</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pStyle w:val="4"/>
        <w:spacing w:before="0" w:after="0"/>
        <w:ind w:firstLine="0" w:firstLineChars="0"/>
        <w:jc w:val="left"/>
        <w:rPr>
          <w:rFonts w:ascii="仿宋" w:hAnsi="仿宋" w:eastAsia="仿宋" w:cs="仿宋"/>
          <w:color w:val="auto"/>
          <w:sz w:val="24"/>
          <w:szCs w:val="24"/>
          <w:highlight w:val="none"/>
        </w:rPr>
      </w:pPr>
      <w:bookmarkStart w:id="317" w:name="_Toc531359043"/>
      <w:bookmarkStart w:id="318" w:name="_Toc12991"/>
      <w:r>
        <w:rPr>
          <w:rFonts w:hint="eastAsia" w:ascii="仿宋" w:hAnsi="仿宋" w:eastAsia="仿宋" w:cs="仿宋"/>
          <w:color w:val="auto"/>
          <w:sz w:val="24"/>
          <w:szCs w:val="24"/>
          <w:highlight w:val="none"/>
        </w:rPr>
        <w:t>1.</w:t>
      </w:r>
      <w:bookmarkEnd w:id="312"/>
      <w:bookmarkEnd w:id="313"/>
      <w:r>
        <w:rPr>
          <w:rFonts w:hint="eastAsia" w:ascii="仿宋" w:hAnsi="仿宋" w:eastAsia="仿宋" w:cs="仿宋"/>
          <w:color w:val="auto"/>
          <w:sz w:val="24"/>
          <w:szCs w:val="24"/>
          <w:highlight w:val="none"/>
        </w:rPr>
        <w:t>4    负责人身份证电子文档</w:t>
      </w:r>
      <w:bookmarkEnd w:id="317"/>
      <w:bookmarkEnd w:id="318"/>
    </w:p>
    <w:p>
      <w:pPr>
        <w:spacing w:line="360" w:lineRule="auto"/>
        <w:ind w:right="-187" w:rightChars="-89"/>
        <w:rPr>
          <w:rFonts w:ascii="仿宋" w:hAnsi="仿宋" w:eastAsia="仿宋" w:cs="仿宋"/>
          <w:color w:val="auto"/>
          <w:sz w:val="24"/>
          <w:szCs w:val="24"/>
          <w:highlight w:val="none"/>
        </w:rPr>
      </w:pPr>
    </w:p>
    <w:p>
      <w:pPr>
        <w:spacing w:line="360" w:lineRule="auto"/>
        <w:ind w:right="-187" w:rightChars="-89"/>
        <w:rPr>
          <w:rFonts w:ascii="仿宋" w:hAnsi="仿宋" w:eastAsia="仿宋" w:cs="仿宋"/>
          <w:color w:val="auto"/>
          <w:sz w:val="24"/>
          <w:szCs w:val="24"/>
          <w:highlight w:val="none"/>
        </w:rPr>
      </w:pP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内容要求：</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1、负责人身份证正、反面电子文档；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2、若有委托代理人的，则还应当提供授权委托书及委托代理人的身份证电子文档。</w:t>
      </w:r>
    </w:p>
    <w:p>
      <w:pPr>
        <w:spacing w:line="360" w:lineRule="auto"/>
        <w:ind w:firstLine="480" w:firstLineChars="200"/>
        <w:rPr>
          <w:rFonts w:ascii="仿宋" w:hAnsi="仿宋" w:eastAsia="仿宋" w:cs="仿宋"/>
          <w:color w:val="auto"/>
          <w:sz w:val="24"/>
          <w:highlight w:val="none"/>
        </w:rPr>
      </w:pPr>
    </w:p>
    <w:p>
      <w:pPr>
        <w:pStyle w:val="2"/>
        <w:rPr>
          <w:rFonts w:ascii="仿宋" w:hAnsi="仿宋" w:eastAsia="仿宋" w:cs="仿宋"/>
          <w:color w:val="auto"/>
          <w:highlight w:val="none"/>
        </w:rPr>
        <w:sectPr>
          <w:pgSz w:w="11906" w:h="16838"/>
          <w:pgMar w:top="1440" w:right="1797" w:bottom="1440" w:left="1797" w:header="851" w:footer="851" w:gutter="0"/>
          <w:cols w:space="720" w:num="1"/>
          <w:docGrid w:linePitch="312" w:charSpace="0"/>
        </w:sectPr>
      </w:pPr>
    </w:p>
    <w:p>
      <w:pPr>
        <w:pStyle w:val="4"/>
        <w:spacing w:before="0" w:after="0"/>
        <w:ind w:firstLine="0" w:firstLineChars="0"/>
        <w:jc w:val="left"/>
        <w:rPr>
          <w:rFonts w:ascii="仿宋" w:hAnsi="仿宋" w:eastAsia="仿宋" w:cs="仿宋"/>
          <w:color w:val="auto"/>
          <w:sz w:val="24"/>
          <w:szCs w:val="24"/>
          <w:highlight w:val="none"/>
        </w:rPr>
      </w:pPr>
      <w:bookmarkStart w:id="319" w:name="_Toc531359044"/>
      <w:bookmarkStart w:id="320" w:name="_Toc25357"/>
      <w:r>
        <w:rPr>
          <w:rFonts w:hint="eastAsia" w:ascii="仿宋" w:hAnsi="仿宋" w:eastAsia="仿宋" w:cs="仿宋"/>
          <w:color w:val="auto"/>
          <w:sz w:val="24"/>
          <w:szCs w:val="24"/>
          <w:highlight w:val="none"/>
        </w:rPr>
        <w:t>1.5    授权委托书</w:t>
      </w:r>
      <w:bookmarkEnd w:id="319"/>
      <w:r>
        <w:rPr>
          <w:rFonts w:hint="eastAsia" w:ascii="仿宋" w:hAnsi="仿宋" w:eastAsia="仿宋" w:cs="仿宋"/>
          <w:color w:val="auto"/>
          <w:sz w:val="24"/>
          <w:szCs w:val="24"/>
          <w:highlight w:val="none"/>
        </w:rPr>
        <w:t>格式</w:t>
      </w:r>
      <w:bookmarkEnd w:id="320"/>
    </w:p>
    <w:p>
      <w:pPr>
        <w:pStyle w:val="2"/>
        <w:ind w:firstLine="0"/>
        <w:rPr>
          <w:rFonts w:ascii="仿宋" w:hAnsi="仿宋" w:eastAsia="仿宋" w:cs="仿宋"/>
          <w:color w:val="auto"/>
          <w:highlight w:val="none"/>
        </w:rPr>
      </w:pPr>
    </w:p>
    <w:p>
      <w:pPr>
        <w:pStyle w:val="2"/>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授权委托书</w:t>
      </w:r>
    </w:p>
    <w:p>
      <w:pPr>
        <w:pStyle w:val="30"/>
        <w:spacing w:line="360" w:lineRule="auto"/>
        <w:rPr>
          <w:rFonts w:ascii="仿宋" w:hAnsi="仿宋" w:eastAsia="仿宋" w:cs="仿宋"/>
          <w:b/>
          <w:color w:val="auto"/>
          <w:sz w:val="24"/>
          <w:szCs w:val="21"/>
          <w:highlight w:val="none"/>
        </w:rPr>
      </w:pPr>
      <w:r>
        <w:rPr>
          <w:rFonts w:hint="eastAsia" w:ascii="仿宋" w:hAnsi="仿宋" w:eastAsia="仿宋" w:cs="仿宋"/>
          <w:i/>
          <w:color w:val="auto"/>
          <w:spacing w:val="6"/>
          <w:sz w:val="24"/>
          <w:szCs w:val="20"/>
          <w:highlight w:val="none"/>
          <w:u w:val="single"/>
        </w:rPr>
        <w:t>（采购人名称）</w:t>
      </w:r>
      <w:r>
        <w:rPr>
          <w:rFonts w:hint="eastAsia" w:ascii="仿宋" w:hAnsi="仿宋" w:eastAsia="仿宋" w:cs="仿宋"/>
          <w:color w:val="auto"/>
          <w:sz w:val="24"/>
          <w:szCs w:val="21"/>
          <w:highlight w:val="none"/>
        </w:rPr>
        <w:t>：</w:t>
      </w:r>
    </w:p>
    <w:p>
      <w:pPr>
        <w:pStyle w:val="30"/>
        <w:autoSpaceDE w:val="0"/>
        <w:autoSpaceDN w:val="0"/>
        <w:spacing w:line="360" w:lineRule="auto"/>
        <w:textAlignment w:val="bottom"/>
        <w:rPr>
          <w:rFonts w:ascii="仿宋" w:hAnsi="仿宋" w:eastAsia="仿宋" w:cs="仿宋"/>
          <w:color w:val="auto"/>
          <w:sz w:val="24"/>
          <w:szCs w:val="20"/>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szCs w:val="20"/>
          <w:highlight w:val="none"/>
        </w:rPr>
        <w:t xml:space="preserve">  我</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法定代表人（负责人）</w:t>
      </w:r>
      <w:r>
        <w:rPr>
          <w:rFonts w:hint="eastAsia" w:ascii="仿宋" w:hAnsi="仿宋" w:eastAsia="仿宋" w:cs="仿宋"/>
          <w:color w:val="auto"/>
          <w:sz w:val="24"/>
          <w:szCs w:val="20"/>
          <w:highlight w:val="none"/>
        </w:rPr>
        <w:t>系</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（供应商全称）</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的法定代表人（或负责人），现授权委托本单位在职职工</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（姓名）</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以我方的名义参加就贵方组织的</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1"/>
          <w:highlight w:val="none"/>
          <w:u w:val="single"/>
        </w:rPr>
        <w:t>（项目名称）（项目编号）（标项）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0"/>
          <w:highlight w:val="none"/>
        </w:rPr>
        <w:t>的磋商活动，并代表我方全权办理针对上述项目的磋商、开标、评审、签约等具体事务和签署相关文件。</w:t>
      </w:r>
    </w:p>
    <w:p>
      <w:pPr>
        <w:pStyle w:val="30"/>
        <w:autoSpaceDE w:val="0"/>
        <w:autoSpaceDN w:val="0"/>
        <w:spacing w:line="360" w:lineRule="auto"/>
        <w:textAlignment w:val="bottom"/>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我方对委托代理人的签字或盖章事项负全部责任。</w:t>
      </w:r>
    </w:p>
    <w:p>
      <w:pPr>
        <w:pStyle w:val="30"/>
        <w:spacing w:line="360" w:lineRule="auto"/>
        <w:ind w:firstLine="48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pPr>
        <w:pStyle w:val="30"/>
        <w:spacing w:line="360" w:lineRule="auto"/>
        <w:ind w:firstLine="48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委托代理人无转委托权，特此声明。</w:t>
      </w:r>
    </w:p>
    <w:p>
      <w:pPr>
        <w:pStyle w:val="30"/>
        <w:spacing w:line="360" w:lineRule="auto"/>
        <w:ind w:firstLine="480"/>
        <w:rPr>
          <w:rFonts w:ascii="仿宋" w:hAnsi="仿宋" w:eastAsia="仿宋" w:cs="仿宋"/>
          <w:color w:val="auto"/>
          <w:sz w:val="24"/>
          <w:szCs w:val="21"/>
          <w:highlight w:val="none"/>
        </w:rPr>
      </w:pPr>
    </w:p>
    <w:p>
      <w:pPr>
        <w:pStyle w:val="30"/>
        <w:wordWrap w:val="0"/>
        <w:spacing w:line="360" w:lineRule="auto"/>
        <w:ind w:firstLine="480"/>
        <w:jc w:val="right"/>
        <w:rPr>
          <w:rFonts w:ascii="仿宋" w:hAnsi="仿宋" w:eastAsia="仿宋" w:cs="仿宋"/>
          <w:color w:val="auto"/>
          <w:sz w:val="24"/>
          <w:szCs w:val="21"/>
          <w:highlight w:val="none"/>
          <w:u w:val="single"/>
        </w:rPr>
      </w:pP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30"/>
        <w:spacing w:line="440" w:lineRule="exac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133350</wp:posOffset>
                </wp:positionV>
                <wp:extent cx="547179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47179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4.25pt;margin-top:10.5pt;height:0pt;width:430.85pt;z-index:251659264;mso-width-relative:page;mso-height-relative:page;" filled="f" stroked="t" coordsize="21600,21600" o:gfxdata="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yvYHLXAAAACQEAAA8AAAAAAAAAAQAgAAAAIgAAAGRycy9kb3ducmV2&#10;LnhtbFBLAQIUABQAAAAIAIdO4kAJpJpc/QEAAO0DAAAOAAAAAAAAAAEAIAAAACYBAABkcnMvZTJv&#10;RG9jLnhtbFBLBQYAAAAABgAGAFkBAACVBQAAAAA=&#10;">
                <v:fill on="f" focussize="0,0"/>
                <v:stroke color="#000000" joinstyle="round" dashstyle="longDash"/>
                <v:imagedata o:title=""/>
                <o:lock v:ext="edit" aspectratio="f"/>
              </v:shape>
            </w:pict>
          </mc:Fallback>
        </mc:AlternateContent>
      </w:r>
    </w:p>
    <w:p>
      <w:pPr>
        <w:pStyle w:val="30"/>
        <w:spacing w:line="440" w:lineRule="exac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附：1、委托代理人工作单位：</w:t>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 xml:space="preserve">职务： </w:t>
      </w:r>
    </w:p>
    <w:p>
      <w:pPr>
        <w:pStyle w:val="30"/>
        <w:spacing w:line="440" w:lineRule="exact"/>
        <w:ind w:firstLine="48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身份证号码：　　　　　　　　　　</w:t>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 xml:space="preserve">性别： </w:t>
      </w:r>
    </w:p>
    <w:p>
      <w:pPr>
        <w:pStyle w:val="30"/>
        <w:spacing w:line="440" w:lineRule="exact"/>
        <w:ind w:firstLine="480"/>
        <w:rPr>
          <w:rFonts w:ascii="仿宋" w:hAnsi="仿宋" w:eastAsia="仿宋" w:cs="仿宋"/>
          <w:color w:val="auto"/>
          <w:spacing w:val="20"/>
          <w:sz w:val="24"/>
          <w:highlight w:val="none"/>
          <w:u w:val="single"/>
        </w:rPr>
      </w:pPr>
      <w:r>
        <w:rPr>
          <w:rFonts w:hint="eastAsia" w:ascii="仿宋" w:hAnsi="仿宋" w:eastAsia="仿宋" w:cs="仿宋"/>
          <w:color w:val="auto"/>
          <w:sz w:val="24"/>
          <w:szCs w:val="21"/>
          <w:highlight w:val="none"/>
        </w:rPr>
        <w:t>2、</w:t>
      </w:r>
      <w:r>
        <w:rPr>
          <w:rFonts w:hint="eastAsia" w:ascii="仿宋" w:hAnsi="仿宋" w:eastAsia="仿宋" w:cs="仿宋"/>
          <w:bCs/>
          <w:color w:val="auto"/>
          <w:sz w:val="24"/>
          <w:highlight w:val="none"/>
        </w:rPr>
        <w:t>委托代理人身份证正、反面电子文档：</w:t>
      </w:r>
    </w:p>
    <w:tbl>
      <w:tblPr>
        <w:tblStyle w:val="20"/>
        <w:tblW w:w="0" w:type="auto"/>
        <w:tblInd w:w="0" w:type="dxa"/>
        <w:tblLayout w:type="fixed"/>
        <w:tblCellMar>
          <w:top w:w="0" w:type="dxa"/>
          <w:left w:w="108" w:type="dxa"/>
          <w:bottom w:w="0" w:type="dxa"/>
          <w:right w:w="108" w:type="dxa"/>
        </w:tblCellMar>
      </w:tblPr>
      <w:tblGrid>
        <w:gridCol w:w="4621"/>
        <w:gridCol w:w="4621"/>
      </w:tblGrid>
      <w:tr>
        <w:tblPrEx>
          <w:tblCellMar>
            <w:top w:w="0" w:type="dxa"/>
            <w:left w:w="108" w:type="dxa"/>
            <w:bottom w:w="0" w:type="dxa"/>
            <w:right w:w="108" w:type="dxa"/>
          </w:tblCellMar>
        </w:tblPrEx>
        <w:trPr>
          <w:trHeight w:val="2733" w:hRule="atLeast"/>
        </w:trPr>
        <w:tc>
          <w:tcPr>
            <w:tcW w:w="4621" w:type="dxa"/>
          </w:tcPr>
          <w:p>
            <w:pPr>
              <w:pStyle w:val="30"/>
              <w:spacing w:line="440" w:lineRule="exact"/>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pPr>
              <w:pStyle w:val="30"/>
              <w:spacing w:line="440" w:lineRule="exact"/>
              <w:rPr>
                <w:rFonts w:ascii="仿宋" w:hAnsi="仿宋" w:eastAsia="仿宋" w:cs="仿宋"/>
                <w:color w:val="auto"/>
                <w:spacing w:val="20"/>
                <w:sz w:val="24"/>
                <w:highlight w:val="none"/>
              </w:rPr>
            </w:pPr>
          </w:p>
        </w:tc>
        <w:tc>
          <w:tcPr>
            <w:tcW w:w="4621" w:type="dxa"/>
          </w:tcPr>
          <w:p>
            <w:pPr>
              <w:pStyle w:val="30"/>
              <w:spacing w:line="440" w:lineRule="exact"/>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pPr>
              <w:pStyle w:val="30"/>
              <w:spacing w:line="440" w:lineRule="exact"/>
              <w:rPr>
                <w:rFonts w:ascii="仿宋" w:hAnsi="仿宋" w:eastAsia="仿宋" w:cs="仿宋"/>
                <w:color w:val="auto"/>
                <w:spacing w:val="20"/>
                <w:sz w:val="24"/>
                <w:highlight w:val="none"/>
                <w:u w:val="single"/>
              </w:rPr>
            </w:pPr>
          </w:p>
        </w:tc>
      </w:tr>
    </w:tbl>
    <w:p>
      <w:pPr>
        <w:pStyle w:val="30"/>
        <w:ind w:left="587" w:leftChars="50" w:hanging="482" w:hangingChars="200"/>
        <w:rPr>
          <w:rFonts w:ascii="仿宋" w:hAnsi="仿宋" w:eastAsia="仿宋" w:cs="仿宋"/>
          <w:color w:val="auto"/>
          <w:sz w:val="24"/>
          <w:szCs w:val="21"/>
          <w:highlight w:val="none"/>
        </w:rPr>
      </w:pPr>
      <w:r>
        <w:rPr>
          <w:rFonts w:hint="eastAsia" w:ascii="仿宋" w:hAnsi="仿宋" w:eastAsia="仿宋" w:cs="仿宋"/>
          <w:b/>
          <w:color w:val="auto"/>
          <w:sz w:val="24"/>
          <w:szCs w:val="21"/>
          <w:highlight w:val="none"/>
        </w:rPr>
        <w:t>注：</w:t>
      </w:r>
      <w:r>
        <w:rPr>
          <w:rFonts w:hint="eastAsia" w:ascii="仿宋" w:hAnsi="仿宋" w:eastAsia="仿宋" w:cs="仿宋"/>
          <w:color w:val="auto"/>
          <w:sz w:val="24"/>
          <w:szCs w:val="21"/>
          <w:highlight w:val="none"/>
        </w:rPr>
        <w:t>1. 供应商为法人企业的，其负责人为其法定代表人；供应商为其他组织的，其负责人为法律、行政法规规定代表单位行使职权的主要负责人；供应商为自然人的，其负责人为自然人本人。</w:t>
      </w:r>
    </w:p>
    <w:p>
      <w:pPr>
        <w:pStyle w:val="30"/>
        <w:ind w:left="585" w:leftChars="50" w:hanging="480" w:hangingChars="200"/>
        <w:rPr>
          <w:rFonts w:ascii="仿宋" w:hAnsi="仿宋" w:eastAsia="仿宋" w:cs="仿宋"/>
          <w:color w:val="auto"/>
          <w:highlight w:val="none"/>
        </w:rPr>
      </w:pPr>
      <w:r>
        <w:rPr>
          <w:rFonts w:hint="eastAsia" w:ascii="仿宋" w:hAnsi="仿宋" w:eastAsia="仿宋" w:cs="仿宋"/>
          <w:color w:val="auto"/>
          <w:sz w:val="24"/>
          <w:szCs w:val="21"/>
          <w:highlight w:val="none"/>
        </w:rPr>
        <w:t xml:space="preserve">    2. 若是负责人参会的，不需要提供此授权委托书。</w:t>
      </w:r>
    </w:p>
    <w:p>
      <w:pPr>
        <w:rPr>
          <w:rFonts w:ascii="仿宋" w:hAnsi="仿宋" w:eastAsia="仿宋" w:cs="仿宋"/>
          <w:color w:val="auto"/>
          <w:highlight w:val="none"/>
        </w:rPr>
        <w:sectPr>
          <w:pgSz w:w="11906" w:h="16838"/>
          <w:pgMar w:top="1440" w:right="1797" w:bottom="1440" w:left="1797" w:header="851" w:footer="851" w:gutter="0"/>
          <w:cols w:space="720" w:num="1"/>
          <w:docGrid w:linePitch="312" w:charSpace="0"/>
        </w:sectPr>
      </w:pPr>
    </w:p>
    <w:p>
      <w:pPr>
        <w:pStyle w:val="4"/>
        <w:spacing w:before="0" w:after="0"/>
        <w:ind w:firstLine="0" w:firstLineChars="0"/>
        <w:jc w:val="left"/>
        <w:rPr>
          <w:rFonts w:ascii="仿宋" w:hAnsi="仿宋" w:eastAsia="仿宋"/>
          <w:color w:val="auto"/>
          <w:sz w:val="24"/>
          <w:szCs w:val="24"/>
          <w:highlight w:val="none"/>
        </w:rPr>
      </w:pPr>
      <w:bookmarkStart w:id="321" w:name="_Toc2866"/>
      <w:bookmarkStart w:id="322" w:name="_Toc25681"/>
      <w:bookmarkStart w:id="323" w:name="_Toc5181"/>
      <w:bookmarkStart w:id="324" w:name="_Toc531359049"/>
      <w:bookmarkStart w:id="325" w:name="_Toc493956056"/>
      <w:bookmarkStart w:id="326" w:name="_Toc530551882"/>
      <w:r>
        <w:rPr>
          <w:rFonts w:hint="eastAsia" w:ascii="仿宋" w:hAnsi="仿宋" w:eastAsia="仿宋"/>
          <w:color w:val="auto"/>
          <w:sz w:val="24"/>
          <w:szCs w:val="24"/>
          <w:highlight w:val="none"/>
        </w:rPr>
        <w:t>1.6    具有良好的财务会计制度、依法缴纳税收和社会保障资金的承诺函格式</w:t>
      </w:r>
      <w:bookmarkEnd w:id="321"/>
      <w:bookmarkEnd w:id="322"/>
      <w:bookmarkEnd w:id="323"/>
    </w:p>
    <w:p>
      <w:pPr>
        <w:pStyle w:val="2"/>
        <w:spacing w:line="360" w:lineRule="auto"/>
        <w:ind w:firstLine="0"/>
        <w:rPr>
          <w:rFonts w:ascii="仿宋" w:hAnsi="仿宋" w:eastAsia="仿宋"/>
          <w:color w:val="auto"/>
          <w:highlight w:val="none"/>
        </w:rPr>
      </w:pPr>
    </w:p>
    <w:p>
      <w:pPr>
        <w:pStyle w:val="2"/>
        <w:ind w:right="-44" w:rightChars="-21" w:firstLine="0"/>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具有良好的财务会计制度、依法缴纳税收和社会保障资金的承诺函</w:t>
      </w:r>
    </w:p>
    <w:p>
      <w:pPr>
        <w:pStyle w:val="31"/>
        <w:spacing w:line="360" w:lineRule="auto"/>
        <w:rPr>
          <w:rFonts w:ascii="仿宋" w:hAnsi="仿宋" w:eastAsia="仿宋"/>
          <w:color w:val="auto"/>
          <w:sz w:val="24"/>
          <w:highlight w:val="none"/>
          <w:u w:val="single"/>
        </w:rPr>
      </w:pPr>
    </w:p>
    <w:p>
      <w:pPr>
        <w:pStyle w:val="31"/>
        <w:spacing w:line="360" w:lineRule="auto"/>
        <w:rPr>
          <w:rFonts w:ascii="仿宋" w:hAnsi="仿宋" w:eastAsia="仿宋"/>
          <w:color w:val="auto"/>
          <w:spacing w:val="6"/>
          <w:sz w:val="24"/>
          <w:highlight w:val="none"/>
        </w:rPr>
      </w:pPr>
      <w:r>
        <w:rPr>
          <w:rFonts w:hint="eastAsia" w:ascii="仿宋" w:hAnsi="仿宋" w:eastAsia="仿宋"/>
          <w:color w:val="auto"/>
          <w:sz w:val="24"/>
          <w:highlight w:val="none"/>
          <w:u w:val="single"/>
        </w:rPr>
        <w:t>（采购人名称）</w:t>
      </w:r>
      <w:r>
        <w:rPr>
          <w:rFonts w:hint="eastAsia" w:ascii="仿宋" w:hAnsi="仿宋" w:eastAsia="仿宋"/>
          <w:color w:val="auto"/>
          <w:spacing w:val="6"/>
          <w:sz w:val="24"/>
          <w:highlight w:val="none"/>
        </w:rPr>
        <w:t>：</w:t>
      </w:r>
    </w:p>
    <w:p>
      <w:pPr>
        <w:pStyle w:val="2"/>
        <w:spacing w:line="360" w:lineRule="auto"/>
        <w:ind w:firstLine="504" w:firstLineChars="200"/>
        <w:jc w:val="left"/>
        <w:rPr>
          <w:rFonts w:ascii="仿宋" w:hAnsi="仿宋" w:eastAsia="仿宋"/>
          <w:color w:val="auto"/>
          <w:highlight w:val="none"/>
        </w:rPr>
      </w:pPr>
      <w:r>
        <w:rPr>
          <w:rFonts w:hint="eastAsia" w:ascii="仿宋" w:hAnsi="仿宋" w:eastAsia="仿宋"/>
          <w:color w:val="auto"/>
          <w:spacing w:val="6"/>
          <w:sz w:val="24"/>
          <w:highlight w:val="none"/>
        </w:rPr>
        <w:t>我方参与的</w:t>
      </w:r>
      <w:r>
        <w:rPr>
          <w:rFonts w:hint="eastAsia" w:ascii="仿宋" w:hAnsi="仿宋" w:eastAsia="仿宋"/>
          <w:color w:val="auto"/>
          <w:spacing w:val="6"/>
          <w:sz w:val="24"/>
          <w:highlight w:val="none"/>
          <w:u w:val="single"/>
        </w:rPr>
        <w:t xml:space="preserve">     （项目名称）（项目编号）（标项）    </w:t>
      </w:r>
      <w:r>
        <w:rPr>
          <w:rFonts w:hint="eastAsia" w:ascii="仿宋" w:hAnsi="仿宋" w:eastAsia="仿宋"/>
          <w:color w:val="auto"/>
          <w:spacing w:val="6"/>
          <w:sz w:val="24"/>
          <w:highlight w:val="none"/>
        </w:rPr>
        <w:t>的投标活动，我方郑重承诺，我方具有良好的财务会计制度、依法缴纳税收和社会保障资金，不偷逃税款和逃避缴纳社会保障资金。如有虚假，招标人可取消我方任何资格（投标/中标/签订合同），我方对此无任何异议。</w:t>
      </w:r>
    </w:p>
    <w:p>
      <w:pPr>
        <w:pStyle w:val="31"/>
        <w:spacing w:line="360" w:lineRule="auto"/>
        <w:ind w:firstLine="504" w:firstLineChars="200"/>
        <w:rPr>
          <w:rFonts w:ascii="仿宋" w:hAnsi="仿宋" w:eastAsia="仿宋"/>
          <w:color w:val="auto"/>
          <w:spacing w:val="6"/>
          <w:sz w:val="24"/>
          <w:highlight w:val="none"/>
        </w:rPr>
      </w:pPr>
    </w:p>
    <w:p>
      <w:pPr>
        <w:pStyle w:val="31"/>
        <w:spacing w:line="360" w:lineRule="auto"/>
        <w:ind w:firstLine="504" w:firstLineChars="200"/>
        <w:rPr>
          <w:rFonts w:ascii="仿宋" w:hAnsi="仿宋" w:eastAsia="仿宋"/>
          <w:color w:val="auto"/>
          <w:spacing w:val="6"/>
          <w:sz w:val="24"/>
          <w:highlight w:val="none"/>
        </w:rPr>
      </w:pPr>
      <w:r>
        <w:rPr>
          <w:rFonts w:hint="eastAsia" w:ascii="仿宋" w:hAnsi="仿宋" w:eastAsia="仿宋"/>
          <w:color w:val="auto"/>
          <w:spacing w:val="6"/>
          <w:sz w:val="24"/>
          <w:highlight w:val="none"/>
        </w:rPr>
        <w:t>特此承诺！</w:t>
      </w:r>
    </w:p>
    <w:p>
      <w:pPr>
        <w:pStyle w:val="31"/>
        <w:spacing w:line="360" w:lineRule="auto"/>
        <w:ind w:firstLine="504" w:firstLineChars="200"/>
        <w:rPr>
          <w:rFonts w:ascii="仿宋" w:hAnsi="仿宋" w:eastAsia="仿宋"/>
          <w:color w:val="auto"/>
          <w:spacing w:val="6"/>
          <w:sz w:val="24"/>
          <w:highlight w:val="none"/>
        </w:rPr>
      </w:pPr>
    </w:p>
    <w:p>
      <w:pPr>
        <w:pStyle w:val="30"/>
        <w:wordWrap w:val="0"/>
        <w:spacing w:line="360" w:lineRule="auto"/>
        <w:ind w:firstLine="480"/>
        <w:jc w:val="right"/>
        <w:rPr>
          <w:rFonts w:ascii="仿宋" w:hAnsi="仿宋" w:eastAsia="仿宋"/>
          <w:color w:val="auto"/>
          <w:sz w:val="24"/>
          <w:szCs w:val="21"/>
          <w:highlight w:val="none"/>
          <w:u w:val="single"/>
        </w:rPr>
      </w:pPr>
      <w:r>
        <w:rPr>
          <w:rFonts w:hint="eastAsia" w:ascii="仿宋" w:hAnsi="仿宋" w:eastAsia="仿宋"/>
          <w:color w:val="auto"/>
          <w:sz w:val="24"/>
          <w:szCs w:val="21"/>
          <w:highlight w:val="none"/>
        </w:rPr>
        <w:t>供应商盖章：</w:t>
      </w:r>
      <w:r>
        <w:rPr>
          <w:rFonts w:hint="eastAsia" w:ascii="仿宋" w:hAnsi="仿宋" w:eastAsia="仿宋"/>
          <w:color w:val="auto"/>
          <w:sz w:val="24"/>
          <w:szCs w:val="21"/>
          <w:highlight w:val="none"/>
          <w:u w:val="single"/>
        </w:rPr>
        <w:t xml:space="preserve">                </w:t>
      </w:r>
    </w:p>
    <w:p>
      <w:pPr>
        <w:pStyle w:val="30"/>
        <w:wordWrap w:val="0"/>
        <w:spacing w:line="360" w:lineRule="auto"/>
        <w:ind w:firstLine="480"/>
        <w:jc w:val="right"/>
        <w:rPr>
          <w:rFonts w:ascii="仿宋" w:hAnsi="仿宋" w:eastAsia="仿宋"/>
          <w:color w:val="auto"/>
          <w:sz w:val="24"/>
          <w:szCs w:val="21"/>
          <w:highlight w:val="none"/>
          <w:u w:val="single"/>
        </w:rPr>
      </w:pPr>
      <w:r>
        <w:rPr>
          <w:rFonts w:hint="eastAsia" w:ascii="仿宋" w:hAnsi="仿宋" w:eastAsia="仿宋"/>
          <w:color w:val="auto"/>
          <w:sz w:val="24"/>
          <w:szCs w:val="21"/>
          <w:highlight w:val="none"/>
        </w:rPr>
        <w:t>日      期：</w:t>
      </w:r>
      <w:r>
        <w:rPr>
          <w:rFonts w:hint="eastAsia" w:ascii="仿宋" w:hAnsi="仿宋" w:eastAsia="仿宋"/>
          <w:color w:val="auto"/>
          <w:sz w:val="24"/>
          <w:szCs w:val="21"/>
          <w:highlight w:val="none"/>
          <w:u w:val="single"/>
        </w:rPr>
        <w:t xml:space="preserve">                </w:t>
      </w:r>
    </w:p>
    <w:p>
      <w:pPr>
        <w:pStyle w:val="32"/>
        <w:spacing w:line="360" w:lineRule="auto"/>
        <w:ind w:firstLine="504" w:firstLineChars="200"/>
        <w:rPr>
          <w:rFonts w:ascii="仿宋" w:hAnsi="仿宋" w:eastAsia="仿宋"/>
          <w:color w:val="auto"/>
          <w:spacing w:val="6"/>
          <w:sz w:val="24"/>
          <w:szCs w:val="20"/>
          <w:highlight w:val="none"/>
        </w:rPr>
      </w:pPr>
    </w:p>
    <w:p>
      <w:pPr>
        <w:pStyle w:val="32"/>
        <w:spacing w:line="360" w:lineRule="auto"/>
        <w:ind w:firstLine="504" w:firstLineChars="200"/>
        <w:rPr>
          <w:rFonts w:ascii="仿宋" w:hAnsi="仿宋" w:eastAsia="仿宋"/>
          <w:color w:val="auto"/>
          <w:spacing w:val="6"/>
          <w:sz w:val="24"/>
          <w:szCs w:val="20"/>
          <w:highlight w:val="none"/>
        </w:rPr>
      </w:pPr>
    </w:p>
    <w:p>
      <w:pPr>
        <w:pStyle w:val="32"/>
        <w:spacing w:line="360" w:lineRule="auto"/>
        <w:ind w:firstLine="504" w:firstLineChars="200"/>
        <w:rPr>
          <w:rFonts w:ascii="仿宋" w:hAnsi="仿宋" w:eastAsia="仿宋"/>
          <w:color w:val="auto"/>
          <w:spacing w:val="6"/>
          <w:sz w:val="24"/>
          <w:szCs w:val="20"/>
          <w:highlight w:val="none"/>
        </w:rPr>
      </w:pPr>
    </w:p>
    <w:p>
      <w:pPr>
        <w:pStyle w:val="32"/>
        <w:spacing w:line="360" w:lineRule="auto"/>
        <w:ind w:firstLine="504" w:firstLineChars="200"/>
        <w:rPr>
          <w:rFonts w:ascii="仿宋" w:hAnsi="仿宋" w:eastAsia="仿宋"/>
          <w:color w:val="auto"/>
          <w:spacing w:val="6"/>
          <w:sz w:val="24"/>
          <w:szCs w:val="20"/>
          <w:highlight w:val="none"/>
        </w:rPr>
      </w:pPr>
    </w:p>
    <w:p>
      <w:pPr>
        <w:pStyle w:val="32"/>
        <w:spacing w:line="360" w:lineRule="auto"/>
        <w:ind w:firstLine="504" w:firstLineChars="200"/>
        <w:rPr>
          <w:rFonts w:ascii="仿宋" w:hAnsi="仿宋" w:eastAsia="仿宋"/>
          <w:color w:val="auto"/>
          <w:spacing w:val="6"/>
          <w:sz w:val="24"/>
          <w:szCs w:val="20"/>
          <w:highlight w:val="none"/>
        </w:rPr>
      </w:pPr>
    </w:p>
    <w:p>
      <w:pPr>
        <w:pStyle w:val="32"/>
        <w:spacing w:line="360" w:lineRule="auto"/>
        <w:ind w:firstLine="504" w:firstLineChars="200"/>
        <w:rPr>
          <w:rFonts w:ascii="仿宋" w:hAnsi="仿宋" w:eastAsia="仿宋"/>
          <w:color w:val="auto"/>
          <w:spacing w:val="6"/>
          <w:sz w:val="24"/>
          <w:szCs w:val="20"/>
          <w:highlight w:val="none"/>
        </w:rPr>
      </w:pPr>
    </w:p>
    <w:p>
      <w:pPr>
        <w:pStyle w:val="32"/>
        <w:spacing w:line="360" w:lineRule="auto"/>
        <w:ind w:firstLine="504" w:firstLineChars="200"/>
        <w:rPr>
          <w:rFonts w:ascii="仿宋" w:hAnsi="仿宋" w:eastAsia="仿宋"/>
          <w:color w:val="auto"/>
          <w:spacing w:val="6"/>
          <w:sz w:val="24"/>
          <w:szCs w:val="20"/>
          <w:highlight w:val="none"/>
        </w:rPr>
      </w:pPr>
    </w:p>
    <w:p>
      <w:pPr>
        <w:pStyle w:val="32"/>
        <w:spacing w:line="360" w:lineRule="auto"/>
        <w:ind w:firstLine="504" w:firstLineChars="200"/>
        <w:rPr>
          <w:rFonts w:ascii="仿宋" w:hAnsi="仿宋" w:eastAsia="仿宋"/>
          <w:color w:val="auto"/>
          <w:spacing w:val="6"/>
          <w:sz w:val="24"/>
          <w:szCs w:val="20"/>
          <w:highlight w:val="none"/>
        </w:rPr>
      </w:pPr>
    </w:p>
    <w:p>
      <w:pPr>
        <w:pStyle w:val="32"/>
        <w:spacing w:line="360" w:lineRule="auto"/>
        <w:ind w:firstLine="504" w:firstLineChars="200"/>
        <w:rPr>
          <w:rFonts w:ascii="仿宋" w:hAnsi="仿宋" w:eastAsia="仿宋"/>
          <w:color w:val="auto"/>
          <w:spacing w:val="6"/>
          <w:sz w:val="24"/>
          <w:szCs w:val="20"/>
          <w:highlight w:val="none"/>
        </w:rPr>
      </w:pPr>
    </w:p>
    <w:p>
      <w:pPr>
        <w:pStyle w:val="32"/>
        <w:spacing w:line="360" w:lineRule="auto"/>
        <w:ind w:firstLine="504" w:firstLineChars="200"/>
        <w:rPr>
          <w:rFonts w:ascii="仿宋" w:hAnsi="仿宋" w:eastAsia="仿宋"/>
          <w:color w:val="auto"/>
          <w:spacing w:val="6"/>
          <w:sz w:val="24"/>
          <w:szCs w:val="20"/>
          <w:highlight w:val="none"/>
        </w:rPr>
      </w:pPr>
    </w:p>
    <w:p>
      <w:pPr>
        <w:pStyle w:val="32"/>
        <w:spacing w:line="360" w:lineRule="auto"/>
        <w:ind w:firstLine="504" w:firstLineChars="200"/>
        <w:rPr>
          <w:rFonts w:ascii="仿宋" w:hAnsi="仿宋" w:eastAsia="仿宋"/>
          <w:color w:val="auto"/>
          <w:spacing w:val="6"/>
          <w:sz w:val="24"/>
          <w:szCs w:val="20"/>
          <w:highlight w:val="none"/>
        </w:rPr>
      </w:pPr>
    </w:p>
    <w:p>
      <w:pPr>
        <w:pStyle w:val="32"/>
        <w:spacing w:line="360" w:lineRule="auto"/>
        <w:ind w:firstLine="504" w:firstLineChars="200"/>
        <w:rPr>
          <w:rFonts w:ascii="仿宋" w:hAnsi="仿宋" w:eastAsia="仿宋"/>
          <w:color w:val="auto"/>
          <w:spacing w:val="6"/>
          <w:sz w:val="24"/>
          <w:szCs w:val="20"/>
          <w:highlight w:val="none"/>
        </w:rPr>
      </w:pPr>
    </w:p>
    <w:p>
      <w:pPr>
        <w:pStyle w:val="32"/>
        <w:spacing w:line="360" w:lineRule="auto"/>
        <w:ind w:firstLine="504" w:firstLineChars="200"/>
        <w:rPr>
          <w:rFonts w:ascii="仿宋" w:hAnsi="仿宋" w:eastAsia="仿宋"/>
          <w:color w:val="auto"/>
          <w:spacing w:val="6"/>
          <w:sz w:val="24"/>
          <w:szCs w:val="20"/>
          <w:highlight w:val="none"/>
        </w:rPr>
      </w:pPr>
    </w:p>
    <w:p>
      <w:pPr>
        <w:pStyle w:val="32"/>
        <w:spacing w:line="360" w:lineRule="auto"/>
        <w:ind w:firstLine="504" w:firstLineChars="200"/>
        <w:rPr>
          <w:rFonts w:ascii="仿宋" w:hAnsi="仿宋" w:eastAsia="仿宋"/>
          <w:color w:val="auto"/>
          <w:spacing w:val="6"/>
          <w:sz w:val="24"/>
          <w:szCs w:val="20"/>
          <w:highlight w:val="none"/>
        </w:rPr>
      </w:pPr>
    </w:p>
    <w:p>
      <w:pPr>
        <w:pStyle w:val="4"/>
        <w:spacing w:before="0" w:after="0"/>
        <w:ind w:firstLine="0" w:firstLineChars="0"/>
        <w:jc w:val="left"/>
        <w:rPr>
          <w:rFonts w:ascii="仿宋" w:hAnsi="仿宋" w:eastAsia="仿宋"/>
          <w:color w:val="auto"/>
          <w:sz w:val="24"/>
          <w:szCs w:val="24"/>
          <w:highlight w:val="none"/>
        </w:rPr>
      </w:pPr>
      <w:bookmarkStart w:id="327" w:name="_Toc18082"/>
      <w:bookmarkStart w:id="328" w:name="_Toc25493"/>
      <w:bookmarkStart w:id="329" w:name="_Toc34895593"/>
      <w:r>
        <w:rPr>
          <w:rFonts w:hint="eastAsia" w:ascii="仿宋" w:hAnsi="仿宋" w:eastAsia="仿宋"/>
          <w:color w:val="auto"/>
          <w:sz w:val="24"/>
          <w:szCs w:val="24"/>
          <w:highlight w:val="none"/>
        </w:rPr>
        <w:t>1.</w:t>
      </w:r>
      <w:r>
        <w:rPr>
          <w:rFonts w:ascii="仿宋" w:hAnsi="仿宋" w:eastAsia="仿宋"/>
          <w:color w:val="auto"/>
          <w:sz w:val="24"/>
          <w:szCs w:val="24"/>
          <w:highlight w:val="none"/>
        </w:rPr>
        <w:t>7</w:t>
      </w:r>
      <w:r>
        <w:rPr>
          <w:rFonts w:hint="eastAsia" w:ascii="仿宋" w:hAnsi="仿宋" w:eastAsia="仿宋"/>
          <w:color w:val="auto"/>
          <w:sz w:val="24"/>
          <w:szCs w:val="24"/>
          <w:highlight w:val="none"/>
        </w:rPr>
        <w:t xml:space="preserve">    具有</w:t>
      </w:r>
      <w:r>
        <w:rPr>
          <w:rFonts w:ascii="仿宋" w:hAnsi="仿宋" w:eastAsia="仿宋"/>
          <w:color w:val="auto"/>
          <w:sz w:val="24"/>
          <w:szCs w:val="24"/>
          <w:highlight w:val="none"/>
        </w:rPr>
        <w:t>履行合同</w:t>
      </w:r>
      <w:r>
        <w:rPr>
          <w:rFonts w:hint="eastAsia" w:ascii="仿宋" w:hAnsi="仿宋" w:eastAsia="仿宋"/>
          <w:color w:val="auto"/>
          <w:sz w:val="24"/>
          <w:szCs w:val="24"/>
          <w:highlight w:val="none"/>
        </w:rPr>
        <w:t>所必需</w:t>
      </w:r>
      <w:r>
        <w:rPr>
          <w:rFonts w:ascii="仿宋" w:hAnsi="仿宋" w:eastAsia="仿宋"/>
          <w:color w:val="auto"/>
          <w:sz w:val="24"/>
          <w:szCs w:val="24"/>
          <w:highlight w:val="none"/>
        </w:rPr>
        <w:t>的</w:t>
      </w:r>
      <w:r>
        <w:rPr>
          <w:rFonts w:hint="eastAsia" w:ascii="仿宋" w:hAnsi="仿宋" w:eastAsia="仿宋"/>
          <w:color w:val="auto"/>
          <w:sz w:val="24"/>
          <w:szCs w:val="24"/>
          <w:highlight w:val="none"/>
        </w:rPr>
        <w:t>设备</w:t>
      </w:r>
      <w:r>
        <w:rPr>
          <w:rFonts w:ascii="仿宋" w:hAnsi="仿宋" w:eastAsia="仿宋"/>
          <w:color w:val="auto"/>
          <w:sz w:val="24"/>
          <w:szCs w:val="24"/>
          <w:highlight w:val="none"/>
        </w:rPr>
        <w:t>和</w:t>
      </w:r>
      <w:r>
        <w:rPr>
          <w:rFonts w:hint="eastAsia" w:ascii="仿宋" w:hAnsi="仿宋" w:eastAsia="仿宋"/>
          <w:color w:val="auto"/>
          <w:sz w:val="24"/>
          <w:szCs w:val="24"/>
          <w:highlight w:val="none"/>
        </w:rPr>
        <w:t>专业</w:t>
      </w:r>
      <w:r>
        <w:rPr>
          <w:rFonts w:ascii="仿宋" w:hAnsi="仿宋" w:eastAsia="仿宋"/>
          <w:color w:val="auto"/>
          <w:sz w:val="24"/>
          <w:szCs w:val="24"/>
          <w:highlight w:val="none"/>
        </w:rPr>
        <w:t>技术能力</w:t>
      </w:r>
      <w:r>
        <w:rPr>
          <w:rFonts w:hint="eastAsia" w:ascii="仿宋" w:hAnsi="仿宋" w:eastAsia="仿宋"/>
          <w:color w:val="auto"/>
          <w:sz w:val="24"/>
          <w:szCs w:val="24"/>
          <w:highlight w:val="none"/>
        </w:rPr>
        <w:t>承诺</w:t>
      </w:r>
      <w:r>
        <w:rPr>
          <w:rFonts w:ascii="仿宋" w:hAnsi="仿宋" w:eastAsia="仿宋"/>
          <w:color w:val="auto"/>
          <w:sz w:val="24"/>
          <w:szCs w:val="24"/>
          <w:highlight w:val="none"/>
        </w:rPr>
        <w:t>函格式</w:t>
      </w:r>
      <w:bookmarkEnd w:id="327"/>
      <w:bookmarkEnd w:id="328"/>
      <w:bookmarkEnd w:id="329"/>
    </w:p>
    <w:p>
      <w:pPr>
        <w:pStyle w:val="2"/>
        <w:rPr>
          <w:rFonts w:ascii="仿宋" w:hAnsi="仿宋" w:eastAsia="仿宋"/>
          <w:color w:val="auto"/>
          <w:highlight w:val="none"/>
        </w:rPr>
      </w:pPr>
    </w:p>
    <w:p>
      <w:pPr>
        <w:pStyle w:val="2"/>
        <w:spacing w:line="360" w:lineRule="auto"/>
        <w:ind w:firstLine="0"/>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具有履行合同所必需设备和专业技术能力的承诺函</w:t>
      </w:r>
    </w:p>
    <w:p>
      <w:pPr>
        <w:snapToGrid w:val="0"/>
        <w:spacing w:line="360" w:lineRule="auto"/>
        <w:rPr>
          <w:rFonts w:ascii="仿宋" w:hAnsi="仿宋" w:eastAsia="仿宋" w:cs="宋体"/>
          <w:color w:val="auto"/>
          <w:highlight w:val="none"/>
        </w:rPr>
      </w:pPr>
    </w:p>
    <w:p>
      <w:pPr>
        <w:pStyle w:val="31"/>
        <w:spacing w:line="360" w:lineRule="auto"/>
        <w:rPr>
          <w:rFonts w:ascii="仿宋" w:hAnsi="仿宋" w:eastAsia="仿宋"/>
          <w:color w:val="auto"/>
          <w:spacing w:val="6"/>
          <w:sz w:val="24"/>
          <w:highlight w:val="none"/>
        </w:rPr>
      </w:pPr>
      <w:r>
        <w:rPr>
          <w:rFonts w:hint="eastAsia" w:ascii="仿宋" w:hAnsi="仿宋" w:eastAsia="仿宋"/>
          <w:i/>
          <w:color w:val="auto"/>
          <w:spacing w:val="6"/>
          <w:sz w:val="24"/>
          <w:highlight w:val="none"/>
          <w:u w:val="single"/>
        </w:rPr>
        <w:t>（采购人</w:t>
      </w:r>
      <w:r>
        <w:rPr>
          <w:rFonts w:ascii="仿宋" w:hAnsi="仿宋" w:eastAsia="仿宋"/>
          <w:i/>
          <w:color w:val="auto"/>
          <w:spacing w:val="6"/>
          <w:sz w:val="24"/>
          <w:highlight w:val="none"/>
          <w:u w:val="single"/>
        </w:rPr>
        <w:t>名称</w:t>
      </w:r>
      <w:r>
        <w:rPr>
          <w:rFonts w:hint="eastAsia" w:ascii="仿宋" w:hAnsi="仿宋" w:eastAsia="仿宋"/>
          <w:i/>
          <w:color w:val="auto"/>
          <w:spacing w:val="6"/>
          <w:sz w:val="24"/>
          <w:highlight w:val="none"/>
          <w:u w:val="single"/>
        </w:rPr>
        <w:t>）</w:t>
      </w:r>
      <w:r>
        <w:rPr>
          <w:rFonts w:hint="eastAsia" w:ascii="仿宋" w:hAnsi="仿宋" w:eastAsia="仿宋"/>
          <w:color w:val="auto"/>
          <w:spacing w:val="6"/>
          <w:sz w:val="24"/>
          <w:highlight w:val="none"/>
        </w:rPr>
        <w:t>：</w:t>
      </w:r>
    </w:p>
    <w:p>
      <w:pPr>
        <w:pStyle w:val="31"/>
        <w:spacing w:line="360" w:lineRule="auto"/>
        <w:ind w:firstLine="504" w:firstLineChars="200"/>
        <w:rPr>
          <w:rFonts w:ascii="仿宋" w:hAnsi="仿宋" w:eastAsia="仿宋"/>
          <w:color w:val="auto"/>
          <w:spacing w:val="6"/>
          <w:sz w:val="24"/>
          <w:highlight w:val="none"/>
        </w:rPr>
      </w:pPr>
      <w:r>
        <w:rPr>
          <w:rFonts w:hint="eastAsia" w:ascii="仿宋" w:hAnsi="仿宋" w:eastAsia="仿宋"/>
          <w:color w:val="auto"/>
          <w:spacing w:val="6"/>
          <w:sz w:val="24"/>
          <w:highlight w:val="none"/>
        </w:rPr>
        <w:t>我方参与的</w:t>
      </w:r>
      <w:r>
        <w:rPr>
          <w:rFonts w:hint="eastAsia" w:ascii="仿宋" w:hAnsi="仿宋" w:eastAsia="仿宋"/>
          <w:color w:val="auto"/>
          <w:spacing w:val="6"/>
          <w:sz w:val="24"/>
          <w:highlight w:val="none"/>
          <w:u w:val="single"/>
        </w:rPr>
        <w:t xml:space="preserve">    </w:t>
      </w:r>
      <w:r>
        <w:rPr>
          <w:rFonts w:hint="eastAsia" w:ascii="仿宋" w:hAnsi="仿宋" w:eastAsia="仿宋"/>
          <w:i/>
          <w:color w:val="auto"/>
          <w:spacing w:val="6"/>
          <w:sz w:val="24"/>
          <w:highlight w:val="none"/>
          <w:u w:val="single"/>
        </w:rPr>
        <w:t xml:space="preserve"> （项目名称）（项目编号）（标项）</w:t>
      </w:r>
      <w:r>
        <w:rPr>
          <w:rFonts w:hint="eastAsia" w:ascii="仿宋" w:hAnsi="仿宋" w:eastAsia="仿宋"/>
          <w:color w:val="auto"/>
          <w:spacing w:val="6"/>
          <w:sz w:val="24"/>
          <w:highlight w:val="none"/>
          <w:u w:val="single"/>
        </w:rPr>
        <w:t xml:space="preserve">    </w:t>
      </w:r>
      <w:r>
        <w:rPr>
          <w:rFonts w:hint="eastAsia" w:ascii="仿宋" w:hAnsi="仿宋" w:eastAsia="仿宋"/>
          <w:color w:val="auto"/>
          <w:spacing w:val="6"/>
          <w:sz w:val="24"/>
          <w:highlight w:val="none"/>
        </w:rPr>
        <w:t>的磋商活动，</w:t>
      </w:r>
      <w:r>
        <w:rPr>
          <w:rFonts w:ascii="仿宋" w:hAnsi="仿宋" w:eastAsia="仿宋"/>
          <w:color w:val="auto"/>
          <w:spacing w:val="6"/>
          <w:sz w:val="24"/>
          <w:highlight w:val="none"/>
        </w:rPr>
        <w:t>我方</w:t>
      </w:r>
      <w:r>
        <w:rPr>
          <w:rFonts w:hint="eastAsia" w:ascii="仿宋" w:hAnsi="仿宋" w:eastAsia="仿宋"/>
          <w:color w:val="auto"/>
          <w:spacing w:val="6"/>
          <w:sz w:val="24"/>
          <w:highlight w:val="none"/>
        </w:rPr>
        <w:t>郑重</w:t>
      </w:r>
      <w:r>
        <w:rPr>
          <w:rFonts w:ascii="仿宋" w:hAnsi="仿宋" w:eastAsia="仿宋"/>
          <w:color w:val="auto"/>
          <w:spacing w:val="6"/>
          <w:sz w:val="24"/>
          <w:highlight w:val="none"/>
        </w:rPr>
        <w:t>承诺，我方</w:t>
      </w:r>
      <w:r>
        <w:rPr>
          <w:rFonts w:hint="eastAsia" w:ascii="仿宋" w:hAnsi="仿宋" w:eastAsia="仿宋"/>
          <w:color w:val="auto"/>
          <w:spacing w:val="6"/>
          <w:sz w:val="24"/>
          <w:highlight w:val="none"/>
        </w:rPr>
        <w:t>承诺具有履行合同所必需设备和专业技术能力。如有虚假，采购人可取消我方任何资格（投标/成交/签订合同），我方对此无任何异议。</w:t>
      </w:r>
    </w:p>
    <w:p>
      <w:pPr>
        <w:pStyle w:val="31"/>
        <w:spacing w:line="360" w:lineRule="auto"/>
        <w:ind w:firstLine="504" w:firstLineChars="200"/>
        <w:rPr>
          <w:rFonts w:ascii="仿宋" w:hAnsi="仿宋" w:eastAsia="仿宋"/>
          <w:color w:val="auto"/>
          <w:spacing w:val="6"/>
          <w:sz w:val="24"/>
          <w:highlight w:val="none"/>
        </w:rPr>
      </w:pPr>
    </w:p>
    <w:p>
      <w:pPr>
        <w:pStyle w:val="31"/>
        <w:spacing w:line="360" w:lineRule="auto"/>
        <w:ind w:firstLine="504" w:firstLineChars="200"/>
        <w:rPr>
          <w:rFonts w:ascii="仿宋" w:hAnsi="仿宋" w:eastAsia="仿宋"/>
          <w:color w:val="auto"/>
          <w:spacing w:val="6"/>
          <w:sz w:val="24"/>
          <w:highlight w:val="none"/>
        </w:rPr>
      </w:pPr>
      <w:r>
        <w:rPr>
          <w:rFonts w:hint="eastAsia" w:ascii="仿宋" w:hAnsi="仿宋" w:eastAsia="仿宋"/>
          <w:color w:val="auto"/>
          <w:spacing w:val="6"/>
          <w:sz w:val="24"/>
          <w:highlight w:val="none"/>
        </w:rPr>
        <w:t>特此承诺！</w:t>
      </w:r>
    </w:p>
    <w:p>
      <w:pPr>
        <w:pStyle w:val="31"/>
        <w:spacing w:line="360" w:lineRule="auto"/>
        <w:ind w:firstLine="504" w:firstLineChars="200"/>
        <w:rPr>
          <w:rFonts w:ascii="仿宋" w:hAnsi="仿宋" w:eastAsia="仿宋"/>
          <w:color w:val="auto"/>
          <w:spacing w:val="6"/>
          <w:sz w:val="24"/>
          <w:highlight w:val="none"/>
        </w:rPr>
      </w:pPr>
    </w:p>
    <w:p>
      <w:pPr>
        <w:pStyle w:val="30"/>
        <w:wordWrap w:val="0"/>
        <w:spacing w:line="360" w:lineRule="auto"/>
        <w:ind w:firstLine="480"/>
        <w:jc w:val="right"/>
        <w:rPr>
          <w:rFonts w:ascii="仿宋" w:hAnsi="仿宋" w:eastAsia="仿宋"/>
          <w:color w:val="auto"/>
          <w:sz w:val="24"/>
          <w:szCs w:val="21"/>
          <w:highlight w:val="none"/>
          <w:u w:val="single"/>
        </w:rPr>
      </w:pPr>
      <w:r>
        <w:rPr>
          <w:rFonts w:hint="eastAsia" w:ascii="仿宋" w:hAnsi="仿宋" w:eastAsia="仿宋"/>
          <w:color w:val="auto"/>
          <w:sz w:val="24"/>
          <w:szCs w:val="21"/>
          <w:highlight w:val="none"/>
        </w:rPr>
        <w:t>供应商</w:t>
      </w:r>
      <w:r>
        <w:rPr>
          <w:rFonts w:ascii="仿宋" w:hAnsi="仿宋" w:eastAsia="仿宋"/>
          <w:color w:val="auto"/>
          <w:sz w:val="24"/>
          <w:szCs w:val="21"/>
          <w:highlight w:val="none"/>
        </w:rPr>
        <w:t>盖章：</w:t>
      </w:r>
      <w:r>
        <w:rPr>
          <w:rFonts w:hint="eastAsia" w:ascii="仿宋" w:hAnsi="仿宋" w:eastAsia="仿宋"/>
          <w:color w:val="auto"/>
          <w:sz w:val="24"/>
          <w:szCs w:val="21"/>
          <w:highlight w:val="none"/>
          <w:u w:val="single"/>
        </w:rPr>
        <w:t xml:space="preserve"> </w:t>
      </w:r>
      <w:r>
        <w:rPr>
          <w:rFonts w:ascii="仿宋" w:hAnsi="仿宋" w:eastAsia="仿宋"/>
          <w:color w:val="auto"/>
          <w:sz w:val="24"/>
          <w:szCs w:val="21"/>
          <w:highlight w:val="none"/>
          <w:u w:val="single"/>
        </w:rPr>
        <w:t xml:space="preserve">               </w:t>
      </w:r>
    </w:p>
    <w:p>
      <w:pPr>
        <w:pStyle w:val="30"/>
        <w:wordWrap w:val="0"/>
        <w:spacing w:line="360" w:lineRule="auto"/>
        <w:ind w:firstLine="480"/>
        <w:jc w:val="right"/>
        <w:rPr>
          <w:rFonts w:ascii="仿宋" w:hAnsi="仿宋" w:eastAsia="仿宋"/>
          <w:color w:val="auto"/>
          <w:sz w:val="24"/>
          <w:szCs w:val="21"/>
          <w:highlight w:val="none"/>
          <w:u w:val="single"/>
        </w:rPr>
      </w:pPr>
      <w:r>
        <w:rPr>
          <w:rFonts w:ascii="仿宋" w:hAnsi="仿宋" w:eastAsia="仿宋"/>
          <w:color w:val="auto"/>
          <w:sz w:val="24"/>
          <w:szCs w:val="21"/>
          <w:highlight w:val="none"/>
        </w:rPr>
        <w:t>日      期：</w:t>
      </w:r>
      <w:r>
        <w:rPr>
          <w:rFonts w:hint="eastAsia" w:ascii="仿宋" w:hAnsi="仿宋" w:eastAsia="仿宋"/>
          <w:color w:val="auto"/>
          <w:sz w:val="24"/>
          <w:szCs w:val="21"/>
          <w:highlight w:val="none"/>
          <w:u w:val="single"/>
        </w:rPr>
        <w:t xml:space="preserve"> </w:t>
      </w:r>
      <w:r>
        <w:rPr>
          <w:rFonts w:ascii="仿宋" w:hAnsi="仿宋" w:eastAsia="仿宋"/>
          <w:color w:val="auto"/>
          <w:sz w:val="24"/>
          <w:szCs w:val="21"/>
          <w:highlight w:val="none"/>
          <w:u w:val="single"/>
        </w:rPr>
        <w:t xml:space="preserve">               </w:t>
      </w:r>
    </w:p>
    <w:p>
      <w:pPr>
        <w:pStyle w:val="30"/>
        <w:spacing w:line="360" w:lineRule="auto"/>
        <w:jc w:val="left"/>
        <w:rPr>
          <w:rFonts w:ascii="仿宋" w:hAnsi="仿宋" w:eastAsia="仿宋"/>
          <w:color w:val="auto"/>
          <w:sz w:val="24"/>
          <w:szCs w:val="21"/>
          <w:highlight w:val="none"/>
          <w:u w:val="single"/>
        </w:rPr>
      </w:pPr>
    </w:p>
    <w:p>
      <w:pPr>
        <w:pStyle w:val="30"/>
        <w:spacing w:line="360" w:lineRule="auto"/>
        <w:jc w:val="left"/>
        <w:rPr>
          <w:rFonts w:ascii="仿宋" w:hAnsi="仿宋" w:eastAsia="仿宋"/>
          <w:color w:val="auto"/>
          <w:sz w:val="24"/>
          <w:szCs w:val="21"/>
          <w:highlight w:val="none"/>
          <w:u w:val="single"/>
        </w:rPr>
        <w:sectPr>
          <w:pgSz w:w="11906" w:h="16838"/>
          <w:pgMar w:top="1440" w:right="1797" w:bottom="1440" w:left="1797" w:header="851" w:footer="851" w:gutter="0"/>
          <w:cols w:space="720" w:num="1"/>
          <w:docGrid w:linePitch="312" w:charSpace="0"/>
        </w:sectPr>
      </w:pPr>
    </w:p>
    <w:p>
      <w:pPr>
        <w:pStyle w:val="4"/>
        <w:spacing w:before="0" w:after="0"/>
        <w:ind w:firstLine="0" w:firstLineChars="0"/>
        <w:jc w:val="left"/>
        <w:rPr>
          <w:rFonts w:ascii="仿宋" w:hAnsi="仿宋" w:eastAsia="仿宋" w:cs="仿宋"/>
          <w:color w:val="auto"/>
          <w:sz w:val="24"/>
          <w:szCs w:val="24"/>
          <w:highlight w:val="none"/>
        </w:rPr>
      </w:pPr>
      <w:bookmarkStart w:id="330" w:name="_Toc4425"/>
      <w:r>
        <w:rPr>
          <w:rFonts w:hint="eastAsia" w:ascii="仿宋" w:hAnsi="仿宋" w:eastAsia="仿宋" w:cs="仿宋"/>
          <w:color w:val="auto"/>
          <w:sz w:val="24"/>
          <w:szCs w:val="24"/>
          <w:highlight w:val="none"/>
        </w:rPr>
        <w:t>1.8    无重大违法记录声明书</w:t>
      </w:r>
      <w:bookmarkEnd w:id="324"/>
      <w:bookmarkEnd w:id="325"/>
      <w:bookmarkEnd w:id="326"/>
      <w:r>
        <w:rPr>
          <w:rFonts w:hint="eastAsia" w:ascii="仿宋" w:hAnsi="仿宋" w:eastAsia="仿宋" w:cs="仿宋"/>
          <w:color w:val="auto"/>
          <w:sz w:val="24"/>
          <w:szCs w:val="24"/>
          <w:highlight w:val="none"/>
        </w:rPr>
        <w:t>格式</w:t>
      </w:r>
      <w:bookmarkEnd w:id="330"/>
    </w:p>
    <w:p>
      <w:pPr>
        <w:pStyle w:val="2"/>
        <w:ind w:firstLine="0"/>
        <w:rPr>
          <w:rFonts w:ascii="仿宋" w:hAnsi="仿宋" w:eastAsia="仿宋" w:cs="仿宋"/>
          <w:color w:val="auto"/>
          <w:highlight w:val="none"/>
        </w:rPr>
      </w:pPr>
    </w:p>
    <w:p>
      <w:pPr>
        <w:pStyle w:val="2"/>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无重大违法记录声明书</w:t>
      </w:r>
    </w:p>
    <w:p>
      <w:pPr>
        <w:pStyle w:val="31"/>
        <w:spacing w:line="360" w:lineRule="auto"/>
        <w:rPr>
          <w:rFonts w:ascii="仿宋" w:hAnsi="仿宋" w:eastAsia="仿宋" w:cs="仿宋"/>
          <w:color w:val="auto"/>
          <w:spacing w:val="6"/>
          <w:sz w:val="24"/>
          <w:highlight w:val="none"/>
        </w:rPr>
      </w:pPr>
      <w:r>
        <w:rPr>
          <w:rFonts w:hint="eastAsia" w:ascii="仿宋" w:hAnsi="仿宋" w:eastAsia="仿宋" w:cs="仿宋"/>
          <w:i/>
          <w:color w:val="auto"/>
          <w:spacing w:val="6"/>
          <w:sz w:val="24"/>
          <w:szCs w:val="20"/>
          <w:highlight w:val="none"/>
          <w:u w:val="single"/>
        </w:rPr>
        <w:t>（采购人名称）</w:t>
      </w:r>
      <w:r>
        <w:rPr>
          <w:rFonts w:hint="eastAsia" w:ascii="仿宋" w:hAnsi="仿宋" w:eastAsia="仿宋" w:cs="仿宋"/>
          <w:color w:val="auto"/>
          <w:spacing w:val="6"/>
          <w:sz w:val="24"/>
          <w:highlight w:val="none"/>
        </w:rPr>
        <w:t>：</w:t>
      </w:r>
    </w:p>
    <w:p>
      <w:pPr>
        <w:pStyle w:val="31"/>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szCs w:val="20"/>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31"/>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特此声明。</w:t>
      </w:r>
      <w:bookmarkStart w:id="331" w:name="_Toc531359051"/>
      <w:bookmarkStart w:id="332" w:name="_Toc500333505"/>
      <w:bookmarkStart w:id="333" w:name="_Toc523398458"/>
    </w:p>
    <w:p>
      <w:pPr>
        <w:pStyle w:val="31"/>
        <w:spacing w:line="360" w:lineRule="auto"/>
        <w:rPr>
          <w:rFonts w:ascii="仿宋" w:hAnsi="仿宋" w:eastAsia="仿宋" w:cs="仿宋"/>
          <w:color w:val="auto"/>
          <w:spacing w:val="6"/>
          <w:sz w:val="24"/>
          <w:highlight w:val="none"/>
        </w:rPr>
      </w:pPr>
    </w:p>
    <w:p>
      <w:pPr>
        <w:pStyle w:val="31"/>
        <w:spacing w:line="360" w:lineRule="auto"/>
        <w:ind w:right="140"/>
        <w:jc w:val="left"/>
        <w:rPr>
          <w:rFonts w:ascii="仿宋" w:hAnsi="仿宋" w:eastAsia="仿宋" w:cs="仿宋"/>
          <w:color w:val="auto"/>
          <w:spacing w:val="20"/>
          <w:sz w:val="24"/>
          <w:szCs w:val="21"/>
          <w:highlight w:val="none"/>
        </w:rPr>
      </w:pP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4"/>
        <w:spacing w:before="0" w:after="0"/>
        <w:ind w:firstLine="0" w:firstLineChars="0"/>
        <w:jc w:val="right"/>
        <w:rPr>
          <w:rFonts w:ascii="仿宋" w:hAnsi="仿宋" w:eastAsia="仿宋" w:cs="仿宋"/>
          <w:color w:val="auto"/>
          <w:sz w:val="28"/>
          <w:szCs w:val="28"/>
          <w:highlight w:val="none"/>
        </w:rPr>
        <w:sectPr>
          <w:pgSz w:w="11906" w:h="16838"/>
          <w:pgMar w:top="1440" w:right="1797" w:bottom="1440" w:left="1797" w:header="851" w:footer="851" w:gutter="0"/>
          <w:cols w:space="720" w:num="1"/>
          <w:docGrid w:linePitch="312" w:charSpace="0"/>
        </w:sectPr>
      </w:pPr>
    </w:p>
    <w:bookmarkEnd w:id="331"/>
    <w:bookmarkEnd w:id="332"/>
    <w:bookmarkEnd w:id="333"/>
    <w:p>
      <w:pPr>
        <w:pStyle w:val="4"/>
        <w:spacing w:before="0" w:after="0"/>
        <w:ind w:firstLine="0" w:firstLineChars="0"/>
        <w:jc w:val="left"/>
        <w:rPr>
          <w:rFonts w:ascii="仿宋" w:hAnsi="仿宋" w:eastAsia="仿宋" w:cs="仿宋"/>
          <w:color w:val="auto"/>
          <w:sz w:val="24"/>
          <w:szCs w:val="24"/>
          <w:highlight w:val="none"/>
        </w:rPr>
      </w:pPr>
      <w:bookmarkStart w:id="334" w:name="_Toc15386"/>
      <w:bookmarkStart w:id="335" w:name="_Toc10149"/>
      <w:bookmarkStart w:id="336" w:name="_Toc493956058"/>
      <w:bookmarkStart w:id="337" w:name="_Toc531359054"/>
      <w:bookmarkStart w:id="338" w:name="_Toc530551883"/>
      <w:r>
        <w:rPr>
          <w:rFonts w:hint="eastAsia" w:ascii="仿宋" w:hAnsi="仿宋" w:eastAsia="仿宋" w:cs="仿宋"/>
          <w:color w:val="auto"/>
          <w:sz w:val="24"/>
          <w:szCs w:val="24"/>
          <w:highlight w:val="none"/>
        </w:rPr>
        <w:t>1.9     中小企业声明函格式</w:t>
      </w:r>
      <w:bookmarkEnd w:id="334"/>
      <w:bookmarkEnd w:id="335"/>
    </w:p>
    <w:p>
      <w:pPr>
        <w:pStyle w:val="2"/>
        <w:spacing w:line="360" w:lineRule="auto"/>
        <w:ind w:left="420" w:firstLine="643" w:firstLineChars="200"/>
        <w:jc w:val="center"/>
        <w:rPr>
          <w:rFonts w:ascii="仿宋" w:hAnsi="仿宋" w:eastAsia="仿宋" w:cs="仿宋"/>
          <w:b/>
          <w:color w:val="auto"/>
          <w:sz w:val="32"/>
          <w:szCs w:val="32"/>
          <w:highlight w:val="none"/>
        </w:rPr>
      </w:pPr>
      <w:bookmarkStart w:id="339" w:name="_Toc439"/>
    </w:p>
    <w:p>
      <w:pPr>
        <w:pStyle w:val="2"/>
        <w:spacing w:line="360" w:lineRule="auto"/>
        <w:ind w:left="420" w:firstLine="643" w:firstLineChars="2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pStyle w:val="2"/>
        <w:spacing w:line="360" w:lineRule="auto"/>
        <w:ind w:firstLine="643" w:firstLineChars="200"/>
        <w:jc w:val="center"/>
        <w:rPr>
          <w:rFonts w:ascii="仿宋" w:hAnsi="仿宋" w:eastAsia="仿宋" w:cs="仿宋"/>
          <w:b/>
          <w:color w:val="auto"/>
          <w:sz w:val="32"/>
          <w:szCs w:val="32"/>
          <w:highlight w:val="none"/>
        </w:rPr>
      </w:pP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i/>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采购活动，提供的货物全部由符合政策要求的中小企业制造。相关企业的具体情况如下：</w:t>
      </w:r>
    </w:p>
    <w:p>
      <w:pPr>
        <w:wordWrap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i/>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i/>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i/>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vertAlign w:val="superscript"/>
        </w:rPr>
        <w:fldChar w:fldCharType="begin"/>
      </w:r>
      <w:r>
        <w:rPr>
          <w:rFonts w:hint="eastAsia" w:ascii="仿宋" w:hAnsi="仿宋" w:eastAsia="仿宋" w:cs="仿宋"/>
          <w:color w:val="auto"/>
          <w:sz w:val="24"/>
          <w:szCs w:val="24"/>
          <w:highlight w:val="none"/>
          <w:vertAlign w:val="superscript"/>
        </w:rPr>
        <w:instrText xml:space="preserve"> = 1 \* GB3 </w:instrText>
      </w:r>
      <w:r>
        <w:rPr>
          <w:rFonts w:hint="eastAsia" w:ascii="仿宋" w:hAnsi="仿宋" w:eastAsia="仿宋" w:cs="仿宋"/>
          <w:color w:val="auto"/>
          <w:sz w:val="24"/>
          <w:szCs w:val="24"/>
          <w:highlight w:val="none"/>
          <w:vertAlign w:val="superscript"/>
        </w:rPr>
        <w:fldChar w:fldCharType="separate"/>
      </w:r>
      <w:r>
        <w:rPr>
          <w:rFonts w:hint="eastAsia" w:ascii="仿宋" w:hAnsi="仿宋" w:eastAsia="仿宋" w:cs="仿宋"/>
          <w:color w:val="auto"/>
          <w:sz w:val="24"/>
          <w:szCs w:val="24"/>
          <w:highlight w:val="none"/>
          <w:vertAlign w:val="superscript"/>
        </w:rPr>
        <w:t>①</w:t>
      </w:r>
      <w:r>
        <w:rPr>
          <w:rFonts w:hint="eastAsia" w:ascii="仿宋" w:hAnsi="仿宋" w:eastAsia="仿宋" w:cs="仿宋"/>
          <w:color w:val="auto"/>
          <w:sz w:val="24"/>
          <w:szCs w:val="24"/>
          <w:highlight w:val="none"/>
          <w:vertAlign w:val="superscript"/>
        </w:rPr>
        <w:fldChar w:fldCharType="end"/>
      </w:r>
      <w:r>
        <w:rPr>
          <w:rFonts w:hint="eastAsia" w:ascii="仿宋" w:hAnsi="仿宋" w:eastAsia="仿宋" w:cs="仿宋"/>
          <w:color w:val="auto"/>
          <w:sz w:val="24"/>
          <w:szCs w:val="24"/>
          <w:highlight w:val="none"/>
        </w:rPr>
        <w:t>，属于（中型企业、小型企业、微型企业）；</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i/>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i/>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i/>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万元，属于（中型企业、小型企业、微型企业）；</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pacing w:line="360" w:lineRule="auto"/>
        <w:ind w:firstLine="480" w:firstLineChars="200"/>
        <w:rPr>
          <w:rFonts w:ascii="仿宋" w:hAnsi="仿宋" w:eastAsia="仿宋" w:cs="仿宋"/>
          <w:color w:val="auto"/>
          <w:sz w:val="24"/>
          <w:szCs w:val="24"/>
          <w:highlight w:val="none"/>
        </w:rPr>
      </w:pPr>
    </w:p>
    <w:p>
      <w:pPr>
        <w:wordWrap w:val="0"/>
        <w:spacing w:line="360" w:lineRule="auto"/>
        <w:ind w:firstLine="480" w:firstLineChars="20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pPr>
        <w:wordWrap w:val="0"/>
        <w:spacing w:line="360" w:lineRule="auto"/>
        <w:ind w:firstLine="480" w:firstLineChars="20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w:t>
      </w:r>
    </w:p>
    <w:p>
      <w:pPr>
        <w:spacing w:line="360" w:lineRule="auto"/>
        <w:jc w:val="left"/>
        <w:rPr>
          <w:rFonts w:ascii="仿宋" w:hAnsi="仿宋" w:eastAsia="仿宋" w:cs="仿宋"/>
          <w:color w:val="auto"/>
          <w:sz w:val="24"/>
          <w:szCs w:val="24"/>
          <w:highlight w:val="none"/>
        </w:rPr>
      </w:pPr>
    </w:p>
    <w:p>
      <w:pPr>
        <w:pStyle w:val="24"/>
        <w:rPr>
          <w:rFonts w:ascii="仿宋" w:hAnsi="仿宋" w:eastAsia="仿宋" w:cs="仿宋"/>
          <w:color w:val="auto"/>
          <w:szCs w:val="24"/>
          <w:highlight w:val="none"/>
        </w:rPr>
      </w:pPr>
    </w:p>
    <w:p>
      <w:pPr>
        <w:pStyle w:val="24"/>
        <w:rPr>
          <w:rFonts w:ascii="仿宋" w:hAnsi="仿宋" w:eastAsia="仿宋" w:cs="仿宋"/>
          <w:color w:val="auto"/>
          <w:szCs w:val="24"/>
          <w:highlight w:val="none"/>
        </w:rPr>
      </w:pPr>
    </w:p>
    <w:p>
      <w:pPr>
        <w:pStyle w:val="24"/>
        <w:rPr>
          <w:rFonts w:ascii="仿宋" w:hAnsi="仿宋" w:eastAsia="仿宋" w:cs="仿宋"/>
          <w:color w:val="auto"/>
          <w:szCs w:val="24"/>
          <w:highlight w:val="none"/>
        </w:rPr>
      </w:pPr>
    </w:p>
    <w:p>
      <w:pPr>
        <w:pStyle w:val="24"/>
        <w:rPr>
          <w:rFonts w:ascii="仿宋" w:hAnsi="仿宋" w:eastAsia="仿宋" w:cs="仿宋"/>
          <w:color w:val="auto"/>
          <w:szCs w:val="24"/>
          <w:highlight w:val="none"/>
        </w:rPr>
      </w:pPr>
    </w:p>
    <w:p>
      <w:pPr>
        <w:pStyle w:val="17"/>
        <w:ind w:firstLine="0" w:firstLineChars="0"/>
        <w:rPr>
          <w:rFonts w:ascii="仿宋" w:hAnsi="仿宋" w:eastAsia="仿宋" w:cs="仿宋"/>
          <w:color w:val="auto"/>
          <w:sz w:val="24"/>
          <w:szCs w:val="24"/>
          <w:highlight w:val="none"/>
        </w:rPr>
      </w:pPr>
    </w:p>
    <w:p>
      <w:pPr>
        <w:pStyle w:val="24"/>
        <w:rPr>
          <w:rFonts w:ascii="仿宋" w:hAnsi="仿宋" w:eastAsia="仿宋" w:cs="仿宋"/>
          <w:color w:val="auto"/>
          <w:szCs w:val="24"/>
          <w:highlight w:val="none"/>
        </w:rPr>
      </w:pPr>
    </w:p>
    <w:p>
      <w:pPr>
        <w:pStyle w:val="24"/>
        <w:rPr>
          <w:rFonts w:ascii="仿宋" w:hAnsi="仿宋" w:eastAsia="仿宋" w:cs="仿宋"/>
          <w:color w:val="auto"/>
          <w:szCs w:val="24"/>
          <w:highlight w:val="none"/>
        </w:rPr>
      </w:pPr>
    </w:p>
    <w:p>
      <w:pPr>
        <w:pStyle w:val="24"/>
        <w:rPr>
          <w:rFonts w:ascii="仿宋" w:hAnsi="仿宋" w:eastAsia="仿宋" w:cs="仿宋"/>
          <w:color w:val="auto"/>
          <w:szCs w:val="24"/>
          <w:highlight w:val="none"/>
        </w:rPr>
      </w:pPr>
      <w:r>
        <w:rPr>
          <w:rFonts w:hint="eastAsia" w:ascii="仿宋" w:hAnsi="仿宋" w:eastAsia="仿宋" w:cs="仿宋"/>
          <w:color w:val="auto"/>
          <w:szCs w:val="24"/>
          <w:highlight w:val="none"/>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207010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0288;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vEISTSAAAABgEAAA8AAAAAAAAAAQAgAAAAIgAAAGRycy9kb3ducmV2LnhtbFBLAQIUABQA&#10;AAAIAIdO4kBvEolw9gEAANQDAAAOAAAAAAAAAAEAIAAAACEBAABkcnMvZTJvRG9jLnhtbFBLBQYA&#10;AAAABgAGAFkBAACJBQAAAAA=&#10;">
                <v:fill on="f" focussize="0,0"/>
                <v:stroke weight="1.25pt" color="#000000" miterlimit="8" joinstyle="miter"/>
                <v:imagedata o:title=""/>
                <o:lock v:ext="edit" aspectratio="f"/>
              </v:line>
            </w:pict>
          </mc:Fallback>
        </mc:AlternateContent>
      </w:r>
    </w:p>
    <w:p>
      <w:pPr>
        <w:rPr>
          <w:rFonts w:ascii="仿宋" w:hAnsi="仿宋" w:eastAsia="仿宋" w:cs="仿宋"/>
          <w:color w:val="auto"/>
          <w:sz w:val="24"/>
          <w:szCs w:val="24"/>
          <w:highlight w:val="none"/>
        </w:rPr>
        <w:sectPr>
          <w:pgSz w:w="11906" w:h="16838"/>
          <w:pgMar w:top="1440" w:right="1800" w:bottom="1440" w:left="1800" w:header="851" w:footer="851" w:gutter="0"/>
          <w:cols w:space="720" w:num="1"/>
          <w:titlePg/>
          <w:docGrid w:linePitch="312" w:charSpace="0"/>
        </w:sect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从业人员、营业收入、资产总额填报上一年度数据，无上一年度数据的新成立企业可不填报。</w:t>
      </w:r>
    </w:p>
    <w:p>
      <w:pPr>
        <w:pStyle w:val="4"/>
        <w:spacing w:before="0" w:after="0"/>
        <w:ind w:firstLine="0" w:firstLineChars="0"/>
        <w:jc w:val="left"/>
        <w:rPr>
          <w:rFonts w:ascii="仿宋" w:hAnsi="仿宋" w:eastAsia="仿宋" w:cs="仿宋"/>
          <w:color w:val="auto"/>
          <w:sz w:val="24"/>
          <w:szCs w:val="24"/>
          <w:highlight w:val="none"/>
        </w:rPr>
      </w:pPr>
      <w:bookmarkStart w:id="340" w:name="_Toc28183"/>
      <w:r>
        <w:rPr>
          <w:rFonts w:hint="eastAsia" w:ascii="仿宋" w:hAnsi="仿宋" w:eastAsia="仿宋" w:cs="仿宋"/>
          <w:color w:val="auto"/>
          <w:sz w:val="24"/>
          <w:szCs w:val="24"/>
          <w:highlight w:val="none"/>
        </w:rPr>
        <w:t>1.10     残疾人福利性单位声明函格式</w:t>
      </w:r>
      <w:bookmarkEnd w:id="339"/>
      <w:bookmarkEnd w:id="340"/>
    </w:p>
    <w:p>
      <w:pPr>
        <w:pStyle w:val="33"/>
        <w:spacing w:line="360" w:lineRule="auto"/>
        <w:jc w:val="center"/>
        <w:rPr>
          <w:rFonts w:ascii="仿宋" w:hAnsi="仿宋" w:eastAsia="仿宋" w:cs="仿宋"/>
          <w:b/>
          <w:bCs/>
          <w:color w:val="auto"/>
          <w:spacing w:val="6"/>
          <w:sz w:val="32"/>
          <w:szCs w:val="32"/>
          <w:highlight w:val="none"/>
        </w:rPr>
      </w:pPr>
      <w:bookmarkStart w:id="341" w:name="_Toc22001"/>
      <w:r>
        <w:rPr>
          <w:rFonts w:hint="eastAsia" w:ascii="仿宋" w:hAnsi="仿宋" w:eastAsia="仿宋" w:cs="仿宋"/>
          <w:b/>
          <w:bCs/>
          <w:color w:val="auto"/>
          <w:spacing w:val="6"/>
          <w:sz w:val="32"/>
          <w:szCs w:val="32"/>
          <w:highlight w:val="none"/>
        </w:rPr>
        <w:t>残疾人福利性单位声明函</w:t>
      </w:r>
    </w:p>
    <w:p>
      <w:pPr>
        <w:pStyle w:val="33"/>
        <w:spacing w:line="360" w:lineRule="auto"/>
        <w:jc w:val="center"/>
        <w:rPr>
          <w:rFonts w:ascii="仿宋" w:hAnsi="仿宋" w:eastAsia="仿宋" w:cs="仿宋"/>
          <w:bCs/>
          <w:color w:val="auto"/>
          <w:spacing w:val="6"/>
          <w:sz w:val="36"/>
          <w:szCs w:val="36"/>
          <w:highlight w:val="none"/>
        </w:rPr>
      </w:pPr>
    </w:p>
    <w:p>
      <w:pPr>
        <w:pStyle w:val="33"/>
        <w:spacing w:line="360" w:lineRule="auto"/>
        <w:ind w:firstLine="601"/>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i/>
          <w:color w:val="auto"/>
          <w:kern w:val="2"/>
          <w:sz w:val="24"/>
          <w:szCs w:val="24"/>
          <w:highlight w:val="none"/>
          <w:u w:val="single"/>
        </w:rPr>
        <w:t>（采购人名称）</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的项目采购活动提供本单位制造的货物（由本单位承担工程/提供服务），或者提供其他残疾人福利性单位制造的货物（不包括使用非残疾人福利性单位注册商标的货物）。</w:t>
      </w:r>
    </w:p>
    <w:p>
      <w:pPr>
        <w:pStyle w:val="33"/>
        <w:spacing w:line="360" w:lineRule="auto"/>
        <w:ind w:firstLine="6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本单位对上述声明的真实性负责。如有虚假，将依法承担相应责任。</w:t>
      </w:r>
    </w:p>
    <w:p>
      <w:pPr>
        <w:pStyle w:val="33"/>
        <w:spacing w:line="360" w:lineRule="auto"/>
        <w:rPr>
          <w:rFonts w:ascii="仿宋" w:hAnsi="仿宋" w:eastAsia="仿宋" w:cs="仿宋"/>
          <w:color w:val="auto"/>
          <w:spacing w:val="6"/>
          <w:sz w:val="24"/>
          <w:szCs w:val="24"/>
          <w:highlight w:val="none"/>
        </w:rPr>
      </w:pPr>
    </w:p>
    <w:p>
      <w:pPr>
        <w:pStyle w:val="33"/>
        <w:spacing w:line="360" w:lineRule="auto"/>
        <w:rPr>
          <w:rFonts w:ascii="仿宋" w:hAnsi="仿宋" w:eastAsia="仿宋" w:cs="仿宋"/>
          <w:color w:val="auto"/>
          <w:spacing w:val="6"/>
          <w:sz w:val="24"/>
          <w:szCs w:val="24"/>
          <w:highlight w:val="none"/>
        </w:rPr>
      </w:pPr>
    </w:p>
    <w:p>
      <w:pPr>
        <w:pStyle w:val="33"/>
        <w:spacing w:line="360" w:lineRule="auto"/>
        <w:ind w:right="1560" w:firstLine="600"/>
        <w:jc w:val="center"/>
        <w:rPr>
          <w:rFonts w:ascii="仿宋" w:hAnsi="仿宋" w:eastAsia="仿宋" w:cs="仿宋"/>
          <w:color w:val="auto"/>
          <w:kern w:val="2"/>
          <w:sz w:val="24"/>
          <w:szCs w:val="24"/>
          <w:highlight w:val="none"/>
        </w:rPr>
      </w:pP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kern w:val="2"/>
          <w:sz w:val="24"/>
          <w:szCs w:val="24"/>
          <w:highlight w:val="none"/>
        </w:rPr>
        <w:t>单位名称（盖章）：</w:t>
      </w:r>
    </w:p>
    <w:p>
      <w:pPr>
        <w:pStyle w:val="33"/>
        <w:spacing w:line="360" w:lineRule="auto"/>
        <w:ind w:right="1560" w:firstLine="600"/>
        <w:jc w:val="center"/>
        <w:rPr>
          <w:rFonts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 xml:space="preserve">                              日  期：</w:t>
      </w:r>
    </w:p>
    <w:p>
      <w:pPr>
        <w:pStyle w:val="4"/>
        <w:spacing w:before="0" w:after="0"/>
        <w:ind w:firstLine="0" w:firstLineChars="0"/>
        <w:jc w:val="left"/>
        <w:rPr>
          <w:rFonts w:ascii="仿宋" w:hAnsi="仿宋" w:eastAsia="仿宋" w:cs="仿宋"/>
          <w:color w:val="auto"/>
          <w:sz w:val="24"/>
          <w:szCs w:val="24"/>
          <w:highlight w:val="none"/>
        </w:rPr>
      </w:pPr>
    </w:p>
    <w:p>
      <w:pPr>
        <w:pStyle w:val="4"/>
        <w:spacing w:before="0" w:after="0"/>
        <w:ind w:firstLine="0" w:firstLineChars="0"/>
        <w:jc w:val="left"/>
        <w:rPr>
          <w:rFonts w:ascii="仿宋" w:hAnsi="仿宋" w:eastAsia="仿宋" w:cs="仿宋"/>
          <w:color w:val="auto"/>
          <w:sz w:val="24"/>
          <w:szCs w:val="24"/>
          <w:highlight w:val="none"/>
        </w:rPr>
      </w:pPr>
    </w:p>
    <w:p>
      <w:pPr>
        <w:pStyle w:val="4"/>
        <w:spacing w:before="0" w:after="0"/>
        <w:ind w:firstLine="0" w:firstLineChars="0"/>
        <w:jc w:val="left"/>
        <w:rPr>
          <w:rFonts w:ascii="仿宋" w:hAnsi="仿宋" w:eastAsia="仿宋" w:cs="仿宋"/>
          <w:color w:val="auto"/>
          <w:sz w:val="24"/>
          <w:szCs w:val="24"/>
          <w:highlight w:val="none"/>
        </w:rPr>
      </w:pPr>
    </w:p>
    <w:p>
      <w:pPr>
        <w:pStyle w:val="4"/>
        <w:spacing w:before="0" w:after="0"/>
        <w:ind w:firstLine="0" w:firstLineChars="0"/>
        <w:jc w:val="left"/>
        <w:rPr>
          <w:rFonts w:ascii="仿宋" w:hAnsi="仿宋" w:eastAsia="仿宋" w:cs="仿宋"/>
          <w:color w:val="auto"/>
          <w:sz w:val="24"/>
          <w:szCs w:val="24"/>
          <w:highlight w:val="none"/>
        </w:rPr>
      </w:pPr>
    </w:p>
    <w:p>
      <w:pPr>
        <w:pStyle w:val="4"/>
        <w:spacing w:before="0" w:after="0"/>
        <w:ind w:firstLine="0" w:firstLineChars="0"/>
        <w:jc w:val="left"/>
        <w:rPr>
          <w:rFonts w:ascii="仿宋" w:hAnsi="仿宋" w:eastAsia="仿宋" w:cs="仿宋"/>
          <w:color w:val="auto"/>
          <w:sz w:val="24"/>
          <w:szCs w:val="24"/>
          <w:highlight w:val="none"/>
        </w:rPr>
      </w:pPr>
    </w:p>
    <w:p>
      <w:pPr>
        <w:pStyle w:val="4"/>
        <w:spacing w:before="0" w:after="0"/>
        <w:ind w:firstLine="0" w:firstLineChars="0"/>
        <w:jc w:val="left"/>
        <w:rPr>
          <w:rFonts w:ascii="仿宋" w:hAnsi="仿宋" w:eastAsia="仿宋" w:cs="仿宋"/>
          <w:color w:val="auto"/>
          <w:sz w:val="24"/>
          <w:szCs w:val="24"/>
          <w:highlight w:val="none"/>
        </w:rPr>
      </w:pPr>
    </w:p>
    <w:p>
      <w:pPr>
        <w:pStyle w:val="4"/>
        <w:spacing w:before="0" w:after="0"/>
        <w:ind w:firstLine="0" w:firstLineChars="0"/>
        <w:jc w:val="left"/>
        <w:rPr>
          <w:rFonts w:ascii="仿宋" w:hAnsi="仿宋" w:eastAsia="仿宋" w:cs="仿宋"/>
          <w:color w:val="auto"/>
          <w:sz w:val="24"/>
          <w:szCs w:val="24"/>
          <w:highlight w:val="none"/>
        </w:rPr>
      </w:pPr>
    </w:p>
    <w:p>
      <w:pPr>
        <w:pStyle w:val="4"/>
        <w:spacing w:before="0" w:after="0"/>
        <w:ind w:firstLine="0" w:firstLineChars="0"/>
        <w:jc w:val="left"/>
        <w:rPr>
          <w:rFonts w:ascii="仿宋" w:hAnsi="仿宋" w:eastAsia="仿宋" w:cs="仿宋"/>
          <w:color w:val="auto"/>
          <w:sz w:val="24"/>
          <w:szCs w:val="24"/>
          <w:highlight w:val="none"/>
        </w:rPr>
      </w:pPr>
    </w:p>
    <w:p>
      <w:pPr>
        <w:pStyle w:val="4"/>
        <w:spacing w:before="0" w:after="0"/>
        <w:ind w:firstLine="0" w:firstLineChars="0"/>
        <w:jc w:val="left"/>
        <w:rPr>
          <w:rFonts w:ascii="仿宋" w:hAnsi="仿宋" w:eastAsia="仿宋" w:cs="仿宋"/>
          <w:color w:val="auto"/>
          <w:sz w:val="24"/>
          <w:szCs w:val="24"/>
          <w:highlight w:val="none"/>
        </w:rPr>
      </w:pPr>
    </w:p>
    <w:p>
      <w:pPr>
        <w:pStyle w:val="4"/>
        <w:spacing w:before="0" w:after="0"/>
        <w:ind w:firstLine="0" w:firstLineChars="0"/>
        <w:jc w:val="left"/>
        <w:rPr>
          <w:rFonts w:ascii="仿宋" w:hAnsi="仿宋" w:eastAsia="仿宋" w:cs="仿宋"/>
          <w:color w:val="auto"/>
          <w:sz w:val="24"/>
          <w:szCs w:val="24"/>
          <w:highlight w:val="none"/>
        </w:rPr>
      </w:pPr>
    </w:p>
    <w:p>
      <w:pPr>
        <w:pStyle w:val="4"/>
        <w:spacing w:before="0" w:after="0"/>
        <w:ind w:firstLine="0" w:firstLineChars="0"/>
        <w:jc w:val="left"/>
        <w:rPr>
          <w:rFonts w:ascii="仿宋" w:hAnsi="仿宋" w:eastAsia="仿宋" w:cs="仿宋"/>
          <w:color w:val="auto"/>
          <w:sz w:val="24"/>
          <w:szCs w:val="24"/>
          <w:highlight w:val="none"/>
        </w:rPr>
      </w:pPr>
    </w:p>
    <w:p>
      <w:pPr>
        <w:pStyle w:val="4"/>
        <w:spacing w:before="0" w:after="0"/>
        <w:ind w:firstLine="0" w:firstLineChars="0"/>
        <w:jc w:val="left"/>
        <w:rPr>
          <w:rFonts w:ascii="仿宋" w:hAnsi="仿宋" w:eastAsia="仿宋" w:cs="仿宋"/>
          <w:color w:val="auto"/>
          <w:sz w:val="24"/>
          <w:szCs w:val="24"/>
          <w:highlight w:val="none"/>
        </w:rPr>
      </w:pPr>
    </w:p>
    <w:p>
      <w:pPr>
        <w:pStyle w:val="4"/>
        <w:keepNext w:val="0"/>
        <w:keepLines w:val="0"/>
        <w:spacing w:before="0" w:after="0"/>
        <w:ind w:firstLine="0" w:firstLineChars="0"/>
        <w:jc w:val="left"/>
        <w:rPr>
          <w:rFonts w:ascii="仿宋" w:hAnsi="仿宋" w:eastAsia="仿宋" w:cs="仿宋"/>
          <w:color w:val="auto"/>
          <w:sz w:val="24"/>
          <w:szCs w:val="24"/>
          <w:highlight w:val="none"/>
        </w:rPr>
      </w:pPr>
    </w:p>
    <w:p>
      <w:pPr>
        <w:pStyle w:val="4"/>
        <w:spacing w:before="0" w:after="0"/>
        <w:ind w:firstLine="0" w:firstLineChars="0"/>
        <w:jc w:val="left"/>
        <w:rPr>
          <w:rFonts w:ascii="仿宋" w:hAnsi="仿宋" w:eastAsia="仿宋" w:cs="仿宋"/>
          <w:color w:val="auto"/>
          <w:sz w:val="24"/>
          <w:szCs w:val="24"/>
          <w:highlight w:val="none"/>
        </w:rPr>
      </w:pPr>
    </w:p>
    <w:p>
      <w:pPr>
        <w:rPr>
          <w:color w:val="auto"/>
          <w:highlight w:val="none"/>
        </w:rPr>
      </w:pPr>
    </w:p>
    <w:p>
      <w:pPr>
        <w:pStyle w:val="4"/>
        <w:spacing w:before="0" w:after="0"/>
        <w:ind w:firstLine="0" w:firstLineChars="0"/>
        <w:jc w:val="left"/>
        <w:rPr>
          <w:rFonts w:ascii="仿宋" w:hAnsi="仿宋" w:eastAsia="仿宋" w:cs="仿宋"/>
          <w:color w:val="auto"/>
          <w:sz w:val="24"/>
          <w:szCs w:val="24"/>
          <w:highlight w:val="none"/>
        </w:rPr>
      </w:pPr>
      <w:bookmarkStart w:id="342" w:name="_Toc1634"/>
      <w:r>
        <w:rPr>
          <w:rFonts w:hint="eastAsia" w:ascii="仿宋" w:hAnsi="仿宋" w:eastAsia="仿宋" w:cs="仿宋"/>
          <w:color w:val="auto"/>
          <w:sz w:val="24"/>
          <w:szCs w:val="24"/>
          <w:highlight w:val="none"/>
        </w:rPr>
        <w:t>1.11     监狱企业证明格式</w:t>
      </w:r>
      <w:bookmarkEnd w:id="341"/>
      <w:bookmarkEnd w:id="342"/>
    </w:p>
    <w:p>
      <w:pPr>
        <w:pStyle w:val="2"/>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监狱企业证明</w:t>
      </w:r>
    </w:p>
    <w:p>
      <w:pPr>
        <w:pStyle w:val="2"/>
        <w:spacing w:line="360" w:lineRule="auto"/>
        <w:ind w:firstLine="0"/>
        <w:jc w:val="center"/>
        <w:rPr>
          <w:rFonts w:ascii="仿宋" w:hAnsi="仿宋" w:eastAsia="仿宋" w:cs="仿宋"/>
          <w:color w:val="auto"/>
          <w:sz w:val="24"/>
          <w:szCs w:val="24"/>
          <w:highlight w:val="none"/>
        </w:rPr>
      </w:pPr>
    </w:p>
    <w:p>
      <w:pPr>
        <w:pStyle w:val="2"/>
        <w:spacing w:line="360" w:lineRule="auto"/>
        <w:ind w:firstLine="482" w:firstLineChars="200"/>
        <w:jc w:val="lef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须提供省级以上监狱管理局、戒毒管理局（含新疆生产建设兵团）出具的属于监狱企业的证明文件。</w:t>
      </w:r>
    </w:p>
    <w:p>
      <w:pPr>
        <w:pStyle w:val="30"/>
        <w:ind w:left="626" w:leftChars="199" w:hanging="208" w:hangingChars="87"/>
        <w:jc w:val="left"/>
        <w:rPr>
          <w:rFonts w:ascii="仿宋" w:hAnsi="仿宋" w:eastAsia="仿宋" w:cs="仿宋"/>
          <w:color w:val="auto"/>
          <w:sz w:val="24"/>
          <w:szCs w:val="21"/>
          <w:highlight w:val="none"/>
        </w:rPr>
        <w:sectPr>
          <w:pgSz w:w="11906" w:h="16838"/>
          <w:pgMar w:top="1440" w:right="1797" w:bottom="1440" w:left="1797" w:header="851" w:footer="851" w:gutter="0"/>
          <w:cols w:space="720" w:num="1"/>
          <w:docGrid w:linePitch="312" w:charSpace="0"/>
        </w:sectPr>
      </w:pPr>
    </w:p>
    <w:p>
      <w:pPr>
        <w:pStyle w:val="4"/>
        <w:spacing w:before="0" w:after="0"/>
        <w:ind w:firstLine="0" w:firstLineChars="0"/>
        <w:jc w:val="left"/>
        <w:rPr>
          <w:rFonts w:ascii="仿宋" w:hAnsi="仿宋" w:eastAsia="仿宋" w:cs="仿宋"/>
          <w:color w:val="auto"/>
          <w:sz w:val="24"/>
          <w:szCs w:val="24"/>
          <w:highlight w:val="none"/>
        </w:rPr>
      </w:pPr>
      <w:bookmarkStart w:id="343" w:name="_Toc23489"/>
      <w:bookmarkStart w:id="344" w:name="_Toc8714"/>
      <w:r>
        <w:rPr>
          <w:rFonts w:hint="eastAsia" w:ascii="仿宋" w:hAnsi="仿宋" w:eastAsia="仿宋" w:cs="仿宋"/>
          <w:color w:val="auto"/>
          <w:sz w:val="24"/>
          <w:szCs w:val="24"/>
          <w:highlight w:val="none"/>
        </w:rPr>
        <w:t>1.12    联合体协议书格式</w:t>
      </w:r>
      <w:bookmarkEnd w:id="343"/>
      <w:bookmarkEnd w:id="344"/>
    </w:p>
    <w:p>
      <w:pPr>
        <w:pStyle w:val="2"/>
        <w:spacing w:line="360" w:lineRule="auto"/>
        <w:ind w:firstLine="0"/>
        <w:rPr>
          <w:rFonts w:ascii="仿宋" w:hAnsi="仿宋" w:eastAsia="仿宋" w:cs="仿宋"/>
          <w:color w:val="auto"/>
          <w:highlight w:val="none"/>
        </w:rPr>
      </w:pPr>
    </w:p>
    <w:p>
      <w:pPr>
        <w:pStyle w:val="2"/>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联合体协议书</w:t>
      </w:r>
    </w:p>
    <w:p>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（如果有的话，可按甲、乙、丙、丁…序列增加）</w:t>
      </w:r>
    </w:p>
    <w:p>
      <w:pPr>
        <w:pStyle w:val="8"/>
        <w:spacing w:line="360" w:lineRule="auto"/>
        <w:ind w:left="105" w:leftChars="50"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各方经协商，就响应</w:t>
      </w:r>
      <w:r>
        <w:rPr>
          <w:rFonts w:hint="eastAsia" w:ascii="仿宋" w:hAnsi="仿宋" w:eastAsia="仿宋" w:cs="仿宋"/>
          <w:color w:val="auto"/>
          <w:sz w:val="24"/>
          <w:szCs w:val="24"/>
          <w:highlight w:val="none"/>
          <w:u w:val="single"/>
        </w:rPr>
        <w:t xml:space="preserve"> （采购代理机构名称） </w:t>
      </w:r>
      <w:r>
        <w:rPr>
          <w:rFonts w:hint="eastAsia" w:ascii="仿宋" w:hAnsi="仿宋" w:eastAsia="仿宋" w:cs="仿宋"/>
          <w:color w:val="auto"/>
          <w:sz w:val="24"/>
          <w:szCs w:val="24"/>
          <w:highlight w:val="none"/>
        </w:rPr>
        <w:t>组织实施的</w:t>
      </w:r>
      <w:r>
        <w:rPr>
          <w:rFonts w:hint="eastAsia" w:ascii="仿宋" w:hAnsi="仿宋" w:eastAsia="仿宋" w:cs="仿宋"/>
          <w:color w:val="auto"/>
          <w:sz w:val="24"/>
          <w:szCs w:val="24"/>
          <w:highlight w:val="none"/>
          <w:u w:val="single"/>
        </w:rPr>
        <w:t xml:space="preserve">  （项目名称）（项目编号）（标项）  </w:t>
      </w:r>
      <w:r>
        <w:rPr>
          <w:rFonts w:hint="eastAsia" w:ascii="仿宋" w:hAnsi="仿宋" w:eastAsia="仿宋" w:cs="仿宋"/>
          <w:color w:val="auto"/>
          <w:sz w:val="24"/>
          <w:szCs w:val="24"/>
          <w:highlight w:val="none"/>
        </w:rPr>
        <w:t>的采购活动联合参与采购之事宜，达成如下协议：</w:t>
      </w:r>
    </w:p>
    <w:p>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一、各方一致决定，以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为主办人进行采购活动，并按照采购文件的规定提交采购响应文件。</w:t>
      </w:r>
    </w:p>
    <w:p>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二、在本次采购过程中，主办人的</w:t>
      </w:r>
      <w:r>
        <w:rPr>
          <w:rFonts w:hint="eastAsia" w:ascii="仿宋" w:hAnsi="仿宋" w:eastAsia="仿宋" w:cs="仿宋"/>
          <w:color w:val="auto"/>
          <w:sz w:val="24"/>
          <w:szCs w:val="24"/>
          <w:highlight w:val="none"/>
          <w:u w:val="single"/>
        </w:rPr>
        <w:t xml:space="preserve">  （法定代表人或委托代理人）</w:t>
      </w:r>
      <w:r>
        <w:rPr>
          <w:rFonts w:hint="eastAsia" w:ascii="仿宋" w:hAnsi="仿宋" w:eastAsia="仿宋" w:cs="仿宋"/>
          <w:color w:val="auto"/>
          <w:sz w:val="24"/>
          <w:szCs w:val="24"/>
          <w:highlight w:val="none"/>
        </w:rPr>
        <w:t>根据采购文件规定及采购内容而对</w:t>
      </w:r>
      <w:r>
        <w:rPr>
          <w:rFonts w:hint="eastAsia" w:ascii="仿宋" w:hAnsi="仿宋" w:eastAsia="仿宋" w:cs="仿宋"/>
          <w:color w:val="auto"/>
          <w:sz w:val="24"/>
          <w:szCs w:val="24"/>
          <w:highlight w:val="none"/>
          <w:u w:val="single"/>
        </w:rPr>
        <w:t>（采购代理机构名称）</w:t>
      </w:r>
      <w:r>
        <w:rPr>
          <w:rFonts w:hint="eastAsia" w:ascii="仿宋" w:hAnsi="仿宋" w:eastAsia="仿宋" w:cs="仿宋"/>
          <w:color w:val="auto"/>
          <w:sz w:val="24"/>
          <w:szCs w:val="24"/>
          <w:highlight w:val="none"/>
        </w:rPr>
        <w:t>和采购人所作的任何合法承诺，包括书面澄清及响应等均对联合体各方产生约束力。如果中标（或成交）并签订合同，则联合体各方将共同履行对</w:t>
      </w:r>
      <w:r>
        <w:rPr>
          <w:rFonts w:hint="eastAsia" w:ascii="仿宋" w:hAnsi="仿宋" w:eastAsia="仿宋" w:cs="仿宋"/>
          <w:color w:val="auto"/>
          <w:sz w:val="24"/>
          <w:szCs w:val="24"/>
          <w:highlight w:val="none"/>
          <w:u w:val="single"/>
        </w:rPr>
        <w:t>（采购代理机构名称）</w:t>
      </w:r>
      <w:r>
        <w:rPr>
          <w:rFonts w:hint="eastAsia" w:ascii="仿宋" w:hAnsi="仿宋" w:eastAsia="仿宋" w:cs="仿宋"/>
          <w:color w:val="auto"/>
          <w:sz w:val="24"/>
          <w:szCs w:val="24"/>
          <w:highlight w:val="none"/>
        </w:rPr>
        <w:t>和采购人所负有的全部义务并就采购合同约定的事项对采购人承担连带责任。</w:t>
      </w:r>
    </w:p>
    <w:p>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三、联合体其余各方保证对主办人为响应本次采购而提供的产品和服务提供全部质量保证及售后服务支持。</w:t>
      </w:r>
    </w:p>
    <w:p>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四、本次联合体中</w:t>
      </w:r>
    </w:p>
    <w:p>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甲方承担的工作和义务为:</w:t>
      </w:r>
    </w:p>
    <w:p>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乙方承担的工作和义务为：</w:t>
      </w:r>
    </w:p>
    <w:p>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（如果有的话，可按甲、乙、丙、丁…序列增加）</w:t>
      </w:r>
    </w:p>
    <w:p>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五、有关本次联合体的其他事宜：</w:t>
      </w:r>
    </w:p>
    <w:p>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六、本协议提交</w:t>
      </w:r>
      <w:r>
        <w:rPr>
          <w:rFonts w:hint="eastAsia" w:ascii="仿宋" w:hAnsi="仿宋" w:eastAsia="仿宋" w:cs="仿宋"/>
          <w:color w:val="auto"/>
          <w:sz w:val="24"/>
          <w:szCs w:val="24"/>
          <w:highlight w:val="none"/>
          <w:u w:val="single"/>
        </w:rPr>
        <w:t>（采购代理机构名称）</w:t>
      </w:r>
      <w:r>
        <w:rPr>
          <w:rFonts w:hint="eastAsia" w:ascii="仿宋" w:hAnsi="仿宋" w:eastAsia="仿宋" w:cs="仿宋"/>
          <w:color w:val="auto"/>
          <w:sz w:val="24"/>
          <w:szCs w:val="24"/>
          <w:highlight w:val="none"/>
        </w:rPr>
        <w:t>后，联合体各方不得以任何形式对上述实质内容进行修改或撤销。</w:t>
      </w:r>
    </w:p>
    <w:p>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七、本协议一式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份，签约各方各持一份，提交</w:t>
      </w:r>
      <w:r>
        <w:rPr>
          <w:rFonts w:hint="eastAsia" w:ascii="仿宋" w:hAnsi="仿宋" w:eastAsia="仿宋" w:cs="仿宋"/>
          <w:color w:val="auto"/>
          <w:sz w:val="24"/>
          <w:szCs w:val="24"/>
          <w:highlight w:val="none"/>
          <w:u w:val="single"/>
        </w:rPr>
        <w:t>（采购代理机构名称）</w:t>
      </w:r>
      <w:r>
        <w:rPr>
          <w:rFonts w:hint="eastAsia" w:ascii="仿宋" w:hAnsi="仿宋" w:eastAsia="仿宋" w:cs="仿宋"/>
          <w:color w:val="auto"/>
          <w:sz w:val="24"/>
          <w:szCs w:val="24"/>
          <w:highlight w:val="none"/>
        </w:rPr>
        <w:t>一份。</w:t>
      </w:r>
    </w:p>
    <w:p>
      <w:pPr>
        <w:pStyle w:val="8"/>
        <w:spacing w:line="360" w:lineRule="auto"/>
        <w:ind w:firstLine="480" w:firstLineChars="200"/>
        <w:rPr>
          <w:rFonts w:ascii="仿宋" w:hAnsi="仿宋" w:eastAsia="仿宋" w:cs="仿宋"/>
          <w:color w:val="auto"/>
          <w:sz w:val="24"/>
          <w:szCs w:val="24"/>
          <w:highlight w:val="none"/>
        </w:rPr>
      </w:pPr>
    </w:p>
    <w:tbl>
      <w:tblPr>
        <w:tblStyle w:val="20"/>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8"/>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甲方单位：          （公章）</w:t>
            </w:r>
          </w:p>
          <w:p>
            <w:pPr>
              <w:pStyle w:val="8"/>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p>
          <w:p>
            <w:pPr>
              <w:pStyle w:val="8"/>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w:t>
            </w:r>
          </w:p>
          <w:p>
            <w:pPr>
              <w:pStyle w:val="8"/>
              <w:spacing w:line="560" w:lineRule="exact"/>
              <w:ind w:firstLine="480" w:firstLineChars="200"/>
              <w:rPr>
                <w:rFonts w:ascii="仿宋" w:hAnsi="仿宋" w:eastAsia="仿宋" w:cs="仿宋"/>
                <w:color w:val="auto"/>
                <w:sz w:val="24"/>
                <w:szCs w:val="24"/>
                <w:highlight w:val="none"/>
              </w:rPr>
            </w:pPr>
          </w:p>
          <w:p>
            <w:pPr>
              <w:pStyle w:val="8"/>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c>
          <w:tcPr>
            <w:tcW w:w="4264" w:type="dxa"/>
          </w:tcPr>
          <w:p>
            <w:pPr>
              <w:pStyle w:val="8"/>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乙方单位：           （公章）</w:t>
            </w:r>
          </w:p>
          <w:p>
            <w:pPr>
              <w:pStyle w:val="8"/>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p>
          <w:p>
            <w:pPr>
              <w:pStyle w:val="8"/>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w:t>
            </w:r>
          </w:p>
          <w:p>
            <w:pPr>
              <w:pStyle w:val="8"/>
              <w:spacing w:line="560" w:lineRule="exact"/>
              <w:ind w:firstLine="480" w:firstLineChars="200"/>
              <w:rPr>
                <w:rFonts w:ascii="仿宋" w:hAnsi="仿宋" w:eastAsia="仿宋" w:cs="仿宋"/>
                <w:color w:val="auto"/>
                <w:sz w:val="24"/>
                <w:szCs w:val="24"/>
                <w:highlight w:val="none"/>
              </w:rPr>
            </w:pPr>
          </w:p>
          <w:p>
            <w:pPr>
              <w:pStyle w:val="8"/>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r>
    </w:tbl>
    <w:p>
      <w:pPr>
        <w:pStyle w:val="8"/>
        <w:jc w:val="left"/>
        <w:rPr>
          <w:rFonts w:ascii="仿宋" w:hAnsi="仿宋" w:eastAsia="仿宋" w:cs="仿宋"/>
          <w:b/>
          <w:color w:val="auto"/>
          <w:sz w:val="24"/>
          <w:szCs w:val="24"/>
          <w:highlight w:val="none"/>
        </w:rPr>
      </w:pPr>
    </w:p>
    <w:p>
      <w:pPr>
        <w:pStyle w:val="8"/>
        <w:jc w:val="lef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1、若是联合体参与投标的，须提供本协议；</w:t>
      </w:r>
    </w:p>
    <w:p>
      <w:pPr>
        <w:pStyle w:val="34"/>
        <w:jc w:val="left"/>
        <w:rPr>
          <w:rFonts w:ascii="仿宋" w:hAnsi="仿宋" w:eastAsia="仿宋" w:cs="仿宋"/>
          <w:color w:val="auto"/>
          <w:sz w:val="24"/>
          <w:szCs w:val="21"/>
          <w:highlight w:val="none"/>
        </w:rPr>
      </w:pPr>
      <w:r>
        <w:rPr>
          <w:rFonts w:hint="eastAsia" w:ascii="仿宋" w:hAnsi="仿宋" w:eastAsia="仿宋" w:cs="仿宋"/>
          <w:color w:val="auto"/>
          <w:sz w:val="24"/>
          <w:szCs w:val="24"/>
          <w:highlight w:val="none"/>
        </w:rPr>
        <w:t xml:space="preserve">      2、联合体投标的：联合体各方均需提供营业执照电子文档、法定代表人（或负责人）身份证电子文档、财务状况报告、依法缴纳税收和社会保障资金、无重大违法记录声明书等相关材料。</w:t>
      </w:r>
    </w:p>
    <w:p>
      <w:pPr>
        <w:pStyle w:val="34"/>
        <w:spacing w:line="360" w:lineRule="auto"/>
        <w:jc w:val="left"/>
        <w:rPr>
          <w:rFonts w:ascii="仿宋" w:hAnsi="仿宋" w:eastAsia="仿宋" w:cs="仿宋"/>
          <w:b/>
          <w:color w:val="auto"/>
          <w:sz w:val="24"/>
          <w:szCs w:val="21"/>
          <w:highlight w:val="none"/>
        </w:rPr>
      </w:pPr>
    </w:p>
    <w:p>
      <w:pPr>
        <w:pStyle w:val="34"/>
        <w:spacing w:line="360" w:lineRule="auto"/>
        <w:jc w:val="left"/>
        <w:rPr>
          <w:rFonts w:ascii="仿宋" w:hAnsi="仿宋" w:eastAsia="仿宋" w:cs="仿宋"/>
          <w:color w:val="auto"/>
          <w:sz w:val="24"/>
          <w:szCs w:val="24"/>
          <w:highlight w:val="none"/>
        </w:rPr>
      </w:pPr>
    </w:p>
    <w:p>
      <w:pPr>
        <w:pStyle w:val="4"/>
        <w:spacing w:before="0" w:after="0"/>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45" w:name="_Toc27438"/>
      <w:bookmarkStart w:id="346" w:name="_Toc11720"/>
      <w:r>
        <w:rPr>
          <w:rFonts w:hint="eastAsia" w:ascii="仿宋" w:hAnsi="仿宋" w:eastAsia="仿宋" w:cs="仿宋"/>
          <w:color w:val="auto"/>
          <w:sz w:val="24"/>
          <w:szCs w:val="24"/>
          <w:highlight w:val="none"/>
        </w:rPr>
        <w:t>1.13    特定资格条件证明材料附件（若有）</w:t>
      </w:r>
      <w:bookmarkEnd w:id="345"/>
      <w:bookmarkEnd w:id="346"/>
    </w:p>
    <w:p>
      <w:pPr>
        <w:pStyle w:val="2"/>
        <w:spacing w:line="360" w:lineRule="auto"/>
        <w:ind w:firstLine="0"/>
        <w:jc w:val="left"/>
        <w:rPr>
          <w:rFonts w:ascii="仿宋" w:hAnsi="仿宋" w:eastAsia="仿宋" w:cs="仿宋"/>
          <w:color w:val="auto"/>
          <w:highlight w:val="none"/>
        </w:rPr>
      </w:pPr>
    </w:p>
    <w:p>
      <w:pPr>
        <w:pStyle w:val="2"/>
        <w:spacing w:line="36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pPr>
        <w:pStyle w:val="34"/>
        <w:spacing w:line="360" w:lineRule="auto"/>
        <w:jc w:val="left"/>
        <w:rPr>
          <w:rFonts w:ascii="仿宋" w:hAnsi="仿宋" w:eastAsia="仿宋" w:cs="仿宋"/>
          <w:b/>
          <w:color w:val="auto"/>
          <w:sz w:val="24"/>
          <w:szCs w:val="21"/>
          <w:highlight w:val="none"/>
        </w:rPr>
      </w:pPr>
    </w:p>
    <w:p>
      <w:pPr>
        <w:pStyle w:val="34"/>
        <w:spacing w:line="360" w:lineRule="auto"/>
        <w:jc w:val="left"/>
        <w:rPr>
          <w:rFonts w:ascii="仿宋" w:hAnsi="仿宋" w:eastAsia="仿宋" w:cs="仿宋"/>
          <w:b/>
          <w:color w:val="auto"/>
          <w:sz w:val="24"/>
          <w:szCs w:val="21"/>
          <w:highlight w:val="none"/>
        </w:rPr>
      </w:pPr>
    </w:p>
    <w:p>
      <w:pPr>
        <w:pStyle w:val="4"/>
        <w:spacing w:before="0" w:after="0"/>
        <w:ind w:firstLine="0" w:firstLineChars="0"/>
        <w:jc w:val="left"/>
        <w:rPr>
          <w:rFonts w:ascii="仿宋" w:hAnsi="仿宋" w:eastAsia="仿宋" w:cs="仿宋"/>
          <w:color w:val="auto"/>
          <w:sz w:val="24"/>
          <w:szCs w:val="24"/>
          <w:highlight w:val="none"/>
        </w:rPr>
      </w:pPr>
      <w:bookmarkStart w:id="347" w:name="_Toc7774"/>
      <w:bookmarkStart w:id="348" w:name="_Toc3199"/>
      <w:r>
        <w:rPr>
          <w:rFonts w:hint="eastAsia" w:ascii="仿宋" w:hAnsi="仿宋" w:eastAsia="仿宋" w:cs="仿宋"/>
          <w:color w:val="auto"/>
          <w:sz w:val="24"/>
          <w:szCs w:val="24"/>
          <w:highlight w:val="none"/>
        </w:rPr>
        <w:t>1.14    其他</w:t>
      </w:r>
      <w:bookmarkEnd w:id="347"/>
      <w:bookmarkEnd w:id="348"/>
    </w:p>
    <w:p>
      <w:pPr>
        <w:pStyle w:val="2"/>
        <w:spacing w:line="360" w:lineRule="auto"/>
        <w:ind w:firstLine="0"/>
        <w:rPr>
          <w:rFonts w:ascii="仿宋" w:hAnsi="仿宋" w:eastAsia="仿宋" w:cs="仿宋"/>
          <w:color w:val="auto"/>
          <w:highlight w:val="none"/>
        </w:rPr>
      </w:pPr>
    </w:p>
    <w:p>
      <w:pPr>
        <w:pStyle w:val="3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pPr>
        <w:pStyle w:val="31"/>
        <w:spacing w:line="360" w:lineRule="auto"/>
        <w:rPr>
          <w:rFonts w:ascii="仿宋" w:hAnsi="仿宋" w:eastAsia="仿宋" w:cs="仿宋"/>
          <w:color w:val="auto"/>
          <w:spacing w:val="6"/>
          <w:sz w:val="24"/>
          <w:highlight w:val="none"/>
        </w:rPr>
      </w:pPr>
    </w:p>
    <w:p>
      <w:pPr>
        <w:pStyle w:val="31"/>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w:t>
      </w:r>
      <w:r>
        <w:rPr>
          <w:rFonts w:hint="eastAsia" w:ascii="仿宋" w:hAnsi="仿宋" w:eastAsia="仿宋" w:cs="仿宋"/>
          <w:color w:val="auto"/>
          <w:sz w:val="24"/>
          <w:szCs w:val="21"/>
          <w:highlight w:val="none"/>
        </w:rPr>
        <w:t>供应商</w:t>
      </w:r>
      <w:r>
        <w:rPr>
          <w:rFonts w:hint="eastAsia" w:ascii="仿宋" w:hAnsi="仿宋" w:eastAsia="仿宋" w:cs="仿宋"/>
          <w:color w:val="auto"/>
          <w:spacing w:val="6"/>
          <w:sz w:val="24"/>
          <w:highlight w:val="none"/>
        </w:rPr>
        <w:t>认为有利于其本次投标的其它资格证明材料等。）</w:t>
      </w:r>
    </w:p>
    <w:p>
      <w:pPr>
        <w:pStyle w:val="2"/>
        <w:rPr>
          <w:rFonts w:ascii="仿宋" w:hAnsi="仿宋" w:eastAsia="仿宋" w:cs="仿宋"/>
          <w:color w:val="auto"/>
          <w:highlight w:val="none"/>
        </w:rPr>
        <w:sectPr>
          <w:pgSz w:w="11906" w:h="16838"/>
          <w:pgMar w:top="1440" w:right="1797" w:bottom="1440" w:left="1797" w:header="851" w:footer="851" w:gutter="0"/>
          <w:cols w:space="720" w:num="1"/>
          <w:docGrid w:linePitch="312" w:charSpace="0"/>
        </w:sectPr>
      </w:pPr>
    </w:p>
    <w:p>
      <w:pPr>
        <w:pStyle w:val="16"/>
        <w:spacing w:beforeLines="100" w:after="240" w:afterLines="100"/>
        <w:outlineLvl w:val="1"/>
        <w:rPr>
          <w:rFonts w:ascii="仿宋" w:hAnsi="仿宋" w:eastAsia="仿宋" w:cs="仿宋"/>
          <w:color w:val="auto"/>
          <w:highlight w:val="none"/>
        </w:rPr>
      </w:pPr>
      <w:bookmarkStart w:id="349" w:name="_Toc28713"/>
      <w:r>
        <w:rPr>
          <w:rFonts w:hint="eastAsia" w:ascii="仿宋" w:hAnsi="仿宋" w:eastAsia="仿宋" w:cs="仿宋"/>
          <w:color w:val="auto"/>
          <w:highlight w:val="none"/>
        </w:rPr>
        <w:t>二  资信商务及技术文件格式</w:t>
      </w:r>
      <w:bookmarkEnd w:id="336"/>
      <w:bookmarkEnd w:id="337"/>
      <w:bookmarkEnd w:id="338"/>
      <w:bookmarkEnd w:id="349"/>
    </w:p>
    <w:p>
      <w:pPr>
        <w:pStyle w:val="35"/>
        <w:spacing w:line="360" w:lineRule="auto"/>
        <w:jc w:val="center"/>
        <w:rPr>
          <w:rFonts w:ascii="仿宋" w:hAnsi="仿宋" w:eastAsia="仿宋" w:cs="仿宋"/>
          <w:color w:val="auto"/>
          <w:sz w:val="28"/>
          <w:szCs w:val="28"/>
          <w:highlight w:val="none"/>
        </w:rPr>
      </w:pPr>
      <w:bookmarkStart w:id="350" w:name="_Toc531359055"/>
      <w:bookmarkStart w:id="351" w:name="_Toc493956059"/>
      <w:bookmarkStart w:id="352" w:name="_Toc530551884"/>
    </w:p>
    <w:p>
      <w:pPr>
        <w:pStyle w:val="35"/>
        <w:spacing w:line="360" w:lineRule="auto"/>
        <w:jc w:val="left"/>
        <w:rPr>
          <w:rFonts w:ascii="仿宋" w:hAnsi="仿宋" w:eastAsia="仿宋" w:cs="仿宋"/>
          <w:color w:val="auto"/>
          <w:sz w:val="24"/>
          <w:szCs w:val="24"/>
          <w:highlight w:val="none"/>
        </w:rPr>
      </w:pPr>
    </w:p>
    <w:bookmarkEnd w:id="350"/>
    <w:p>
      <w:pPr>
        <w:pStyle w:val="4"/>
        <w:spacing w:before="0" w:after="0"/>
        <w:ind w:firstLine="0" w:firstLineChars="0"/>
        <w:jc w:val="left"/>
        <w:rPr>
          <w:rFonts w:ascii="仿宋" w:hAnsi="仿宋" w:eastAsia="仿宋" w:cs="仿宋"/>
          <w:color w:val="auto"/>
          <w:sz w:val="24"/>
          <w:szCs w:val="24"/>
          <w:highlight w:val="none"/>
        </w:rPr>
      </w:pPr>
      <w:bookmarkStart w:id="353" w:name="_Toc531359056"/>
      <w:bookmarkStart w:id="354" w:name="_Toc13091"/>
      <w:r>
        <w:rPr>
          <w:rFonts w:hint="eastAsia" w:ascii="仿宋" w:hAnsi="仿宋" w:eastAsia="仿宋" w:cs="仿宋"/>
          <w:color w:val="auto"/>
          <w:sz w:val="24"/>
          <w:szCs w:val="24"/>
          <w:highlight w:val="none"/>
        </w:rPr>
        <w:t>2.1    资信及商务文件封面</w:t>
      </w:r>
      <w:bookmarkEnd w:id="353"/>
      <w:r>
        <w:rPr>
          <w:rFonts w:hint="eastAsia" w:ascii="仿宋" w:hAnsi="仿宋" w:eastAsia="仿宋" w:cs="仿宋"/>
          <w:color w:val="auto"/>
          <w:sz w:val="24"/>
          <w:szCs w:val="24"/>
          <w:highlight w:val="none"/>
        </w:rPr>
        <w:t>格式</w:t>
      </w:r>
      <w:bookmarkEnd w:id="354"/>
    </w:p>
    <w:p>
      <w:pPr>
        <w:pStyle w:val="2"/>
        <w:ind w:firstLine="0"/>
        <w:rPr>
          <w:rFonts w:ascii="仿宋" w:hAnsi="仿宋" w:eastAsia="仿宋" w:cs="仿宋"/>
          <w:color w:val="auto"/>
          <w:highlight w:val="none"/>
        </w:rPr>
      </w:pPr>
    </w:p>
    <w:p>
      <w:pPr>
        <w:pStyle w:val="2"/>
        <w:ind w:firstLine="0"/>
        <w:rPr>
          <w:rFonts w:ascii="仿宋" w:hAnsi="仿宋" w:eastAsia="仿宋" w:cs="仿宋"/>
          <w:color w:val="auto"/>
          <w:highlight w:val="none"/>
        </w:rPr>
      </w:pPr>
    </w:p>
    <w:p>
      <w:pPr>
        <w:pStyle w:val="2"/>
        <w:spacing w:line="360" w:lineRule="auto"/>
        <w:ind w:firstLine="0"/>
        <w:jc w:val="center"/>
        <w:rPr>
          <w:rFonts w:ascii="仿宋" w:hAnsi="仿宋" w:eastAsia="仿宋" w:cs="仿宋"/>
          <w:bCs/>
          <w:color w:val="auto"/>
          <w:sz w:val="24"/>
          <w:highlight w:val="none"/>
        </w:rPr>
      </w:pPr>
      <w:r>
        <w:rPr>
          <w:rFonts w:hint="eastAsia" w:ascii="仿宋" w:hAnsi="仿宋" w:eastAsia="仿宋" w:cs="仿宋"/>
          <w:b/>
          <w:color w:val="auto"/>
          <w:sz w:val="32"/>
          <w:szCs w:val="32"/>
          <w:highlight w:val="none"/>
        </w:rPr>
        <w:t>磋商响应文件</w:t>
      </w:r>
    </w:p>
    <w:tbl>
      <w:tblPr>
        <w:tblStyle w:val="20"/>
        <w:tblW w:w="0" w:type="auto"/>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磋商响应文件名称：</w:t>
            </w:r>
          </w:p>
        </w:tc>
        <w:tc>
          <w:tcPr>
            <w:tcW w:w="4536"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资信商务及技术文件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 购 编 号：</w:t>
            </w:r>
          </w:p>
        </w:tc>
        <w:tc>
          <w:tcPr>
            <w:tcW w:w="4536"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4536"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      项：</w:t>
            </w:r>
          </w:p>
        </w:tc>
        <w:tc>
          <w:tcPr>
            <w:tcW w:w="4536" w:type="dxa"/>
            <w:vAlign w:val="center"/>
          </w:tcPr>
          <w:p>
            <w:pPr>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p>
        </w:tc>
        <w:tc>
          <w:tcPr>
            <w:tcW w:w="4536" w:type="dxa"/>
            <w:vAlign w:val="center"/>
          </w:tcPr>
          <w:p>
            <w:pPr>
              <w:jc w:val="left"/>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供应商全称（盖章）：</w:t>
            </w:r>
          </w:p>
        </w:tc>
        <w:tc>
          <w:tcPr>
            <w:tcW w:w="4536"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供应商地址：</w:t>
            </w:r>
          </w:p>
        </w:tc>
        <w:tc>
          <w:tcPr>
            <w:tcW w:w="4536"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 w:hAnsi="仿宋" w:eastAsia="仿宋" w:cs="仿宋"/>
                <w:color w:val="auto"/>
                <w:sz w:val="24"/>
                <w:szCs w:val="24"/>
                <w:highlight w:val="none"/>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pPr>
        <w:spacing w:line="360" w:lineRule="auto"/>
        <w:rPr>
          <w:rFonts w:ascii="仿宋" w:hAnsi="仿宋" w:eastAsia="仿宋" w:cs="仿宋"/>
          <w:color w:val="auto"/>
          <w:sz w:val="24"/>
          <w:szCs w:val="24"/>
          <w:highlight w:val="none"/>
        </w:rPr>
      </w:pPr>
    </w:p>
    <w:p>
      <w:pPr>
        <w:spacing w:line="360" w:lineRule="auto"/>
        <w:rPr>
          <w:rFonts w:ascii="仿宋" w:hAnsi="仿宋" w:eastAsia="仿宋" w:cs="仿宋"/>
          <w:color w:val="auto"/>
          <w:sz w:val="24"/>
          <w:szCs w:val="24"/>
          <w:highlight w:val="none"/>
        </w:rPr>
      </w:pPr>
    </w:p>
    <w:p>
      <w:pPr>
        <w:pStyle w:val="24"/>
        <w:rPr>
          <w:rFonts w:ascii="仿宋" w:hAnsi="仿宋" w:eastAsia="仿宋" w:cs="仿宋"/>
          <w:color w:val="auto"/>
          <w:highlight w:val="none"/>
        </w:rPr>
      </w:pPr>
    </w:p>
    <w:p>
      <w:pPr>
        <w:pStyle w:val="5"/>
        <w:rPr>
          <w:rFonts w:ascii="仿宋" w:hAnsi="仿宋" w:eastAsia="仿宋" w:cs="仿宋"/>
          <w:color w:val="auto"/>
          <w:highlight w:val="none"/>
        </w:rPr>
      </w:pPr>
    </w:p>
    <w:p>
      <w:pPr>
        <w:pStyle w:val="17"/>
        <w:ind w:firstLine="210"/>
        <w:rPr>
          <w:rFonts w:ascii="仿宋" w:hAnsi="仿宋" w:eastAsia="仿宋" w:cs="仿宋"/>
          <w:color w:val="auto"/>
          <w:highlight w:val="none"/>
        </w:rPr>
      </w:pPr>
    </w:p>
    <w:p>
      <w:pPr>
        <w:rPr>
          <w:rFonts w:ascii="仿宋" w:hAnsi="仿宋" w:eastAsia="仿宋" w:cs="仿宋"/>
          <w:color w:val="auto"/>
          <w:highlight w:val="none"/>
        </w:rPr>
      </w:pPr>
    </w:p>
    <w:p>
      <w:pPr>
        <w:pStyle w:val="24"/>
        <w:rPr>
          <w:rFonts w:ascii="仿宋" w:hAnsi="仿宋" w:eastAsia="仿宋" w:cs="仿宋"/>
          <w:color w:val="auto"/>
          <w:highlight w:val="none"/>
        </w:rPr>
      </w:pPr>
    </w:p>
    <w:p>
      <w:pPr>
        <w:pStyle w:val="5"/>
        <w:rPr>
          <w:rFonts w:ascii="仿宋" w:hAnsi="仿宋" w:eastAsia="仿宋" w:cs="仿宋"/>
          <w:color w:val="auto"/>
          <w:highlight w:val="none"/>
        </w:rPr>
      </w:pPr>
    </w:p>
    <w:p>
      <w:pPr>
        <w:pStyle w:val="17"/>
        <w:ind w:firstLine="210"/>
        <w:rPr>
          <w:rFonts w:ascii="仿宋" w:hAnsi="仿宋" w:eastAsia="仿宋" w:cs="仿宋"/>
          <w:color w:val="auto"/>
          <w:highlight w:val="none"/>
        </w:rPr>
      </w:pPr>
    </w:p>
    <w:p>
      <w:pPr>
        <w:rPr>
          <w:rFonts w:ascii="仿宋" w:hAnsi="仿宋" w:eastAsia="仿宋" w:cs="仿宋"/>
          <w:color w:val="auto"/>
          <w:highlight w:val="none"/>
        </w:rPr>
      </w:pPr>
    </w:p>
    <w:p>
      <w:pPr>
        <w:pStyle w:val="24"/>
        <w:rPr>
          <w:rFonts w:ascii="仿宋" w:hAnsi="仿宋" w:eastAsia="仿宋" w:cs="仿宋"/>
          <w:color w:val="auto"/>
          <w:highlight w:val="none"/>
        </w:rPr>
      </w:pPr>
    </w:p>
    <w:p>
      <w:pPr>
        <w:pStyle w:val="5"/>
        <w:rPr>
          <w:rFonts w:ascii="仿宋" w:hAnsi="仿宋" w:eastAsia="仿宋" w:cs="仿宋"/>
          <w:color w:val="auto"/>
          <w:highlight w:val="none"/>
        </w:rPr>
      </w:pPr>
    </w:p>
    <w:p>
      <w:pPr>
        <w:pStyle w:val="17"/>
        <w:ind w:firstLine="210"/>
        <w:rPr>
          <w:rFonts w:ascii="仿宋" w:hAnsi="仿宋" w:eastAsia="仿宋" w:cs="仿宋"/>
          <w:color w:val="auto"/>
          <w:highlight w:val="none"/>
        </w:rPr>
      </w:pPr>
    </w:p>
    <w:p>
      <w:pPr>
        <w:rPr>
          <w:rFonts w:ascii="仿宋" w:hAnsi="仿宋" w:eastAsia="仿宋" w:cs="仿宋"/>
          <w:color w:val="auto"/>
          <w:highlight w:val="none"/>
        </w:rPr>
      </w:pPr>
    </w:p>
    <w:p>
      <w:pPr>
        <w:pStyle w:val="24"/>
        <w:rPr>
          <w:rFonts w:ascii="仿宋" w:hAnsi="仿宋" w:eastAsia="仿宋" w:cs="仿宋"/>
          <w:color w:val="auto"/>
          <w:highlight w:val="none"/>
        </w:rPr>
      </w:pPr>
    </w:p>
    <w:p>
      <w:pPr>
        <w:pStyle w:val="4"/>
        <w:spacing w:before="0" w:after="0"/>
        <w:ind w:firstLine="0" w:firstLineChars="0"/>
        <w:jc w:val="left"/>
        <w:rPr>
          <w:rFonts w:ascii="仿宋" w:hAnsi="仿宋" w:eastAsia="仿宋" w:cs="仿宋"/>
          <w:color w:val="auto"/>
          <w:sz w:val="24"/>
          <w:szCs w:val="24"/>
          <w:highlight w:val="none"/>
        </w:rPr>
      </w:pPr>
      <w:bookmarkStart w:id="355" w:name="_Toc4562"/>
      <w:bookmarkStart w:id="356" w:name="_Toc531359057"/>
      <w:r>
        <w:rPr>
          <w:rFonts w:hint="eastAsia" w:ascii="仿宋" w:hAnsi="仿宋" w:eastAsia="仿宋" w:cs="仿宋"/>
          <w:color w:val="auto"/>
          <w:sz w:val="24"/>
          <w:szCs w:val="24"/>
          <w:highlight w:val="none"/>
        </w:rPr>
        <w:t>2.2    资信商务及技术文件目录</w:t>
      </w:r>
      <w:bookmarkEnd w:id="355"/>
      <w:bookmarkEnd w:id="356"/>
    </w:p>
    <w:p>
      <w:pPr>
        <w:pStyle w:val="2"/>
        <w:spacing w:line="360" w:lineRule="auto"/>
        <w:ind w:firstLine="0"/>
        <w:rPr>
          <w:rFonts w:ascii="仿宋" w:hAnsi="仿宋" w:eastAsia="仿宋" w:cs="仿宋"/>
          <w:color w:val="auto"/>
          <w:highlight w:val="none"/>
        </w:rPr>
      </w:pPr>
    </w:p>
    <w:p>
      <w:pPr>
        <w:pStyle w:val="2"/>
        <w:spacing w:line="360" w:lineRule="auto"/>
        <w:ind w:firstLine="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bookmarkStart w:id="357" w:name="_Toc531359058"/>
    </w:p>
    <w:p>
      <w:pPr>
        <w:pStyle w:val="2"/>
        <w:spacing w:line="360" w:lineRule="auto"/>
        <w:ind w:firstLine="0"/>
        <w:jc w:val="center"/>
        <w:rPr>
          <w:rFonts w:ascii="仿宋" w:hAnsi="仿宋" w:eastAsia="仿宋" w:cs="仿宋"/>
          <w:color w:val="auto"/>
          <w:sz w:val="24"/>
          <w:highlight w:val="none"/>
        </w:rPr>
      </w:pPr>
    </w:p>
    <w:p>
      <w:pPr>
        <w:pStyle w:val="2"/>
        <w:spacing w:line="360" w:lineRule="auto"/>
        <w:ind w:firstLine="0"/>
        <w:jc w:val="center"/>
        <w:rPr>
          <w:rFonts w:ascii="仿宋" w:hAnsi="仿宋" w:eastAsia="仿宋" w:cs="仿宋"/>
          <w:color w:val="auto"/>
          <w:sz w:val="24"/>
          <w:highlight w:val="none"/>
        </w:rPr>
      </w:pPr>
    </w:p>
    <w:p>
      <w:pPr>
        <w:pStyle w:val="4"/>
        <w:spacing w:before="0" w:after="0"/>
        <w:ind w:firstLine="0" w:firstLineChars="0"/>
        <w:jc w:val="left"/>
        <w:rPr>
          <w:rFonts w:ascii="仿宋" w:hAnsi="仿宋" w:eastAsia="仿宋" w:cs="仿宋"/>
          <w:color w:val="auto"/>
          <w:sz w:val="24"/>
          <w:szCs w:val="24"/>
          <w:highlight w:val="none"/>
        </w:rPr>
      </w:pPr>
      <w:bookmarkStart w:id="358" w:name="_Toc19685"/>
      <w:r>
        <w:rPr>
          <w:rFonts w:hint="eastAsia" w:ascii="仿宋" w:hAnsi="仿宋" w:eastAsia="仿宋" w:cs="仿宋"/>
          <w:color w:val="auto"/>
          <w:sz w:val="24"/>
          <w:szCs w:val="24"/>
          <w:highlight w:val="none"/>
        </w:rPr>
        <w:t xml:space="preserve">2.3    </w:t>
      </w:r>
      <w:bookmarkEnd w:id="351"/>
      <w:bookmarkEnd w:id="352"/>
      <w:r>
        <w:rPr>
          <w:rFonts w:hint="eastAsia" w:ascii="仿宋" w:hAnsi="仿宋" w:eastAsia="仿宋" w:cs="仿宋"/>
          <w:color w:val="auto"/>
          <w:sz w:val="24"/>
          <w:szCs w:val="24"/>
          <w:highlight w:val="none"/>
        </w:rPr>
        <w:t>磋商响应函</w:t>
      </w:r>
      <w:bookmarkEnd w:id="357"/>
      <w:r>
        <w:rPr>
          <w:rFonts w:hint="eastAsia" w:ascii="仿宋" w:hAnsi="仿宋" w:eastAsia="仿宋" w:cs="仿宋"/>
          <w:color w:val="auto"/>
          <w:sz w:val="24"/>
          <w:szCs w:val="24"/>
          <w:highlight w:val="none"/>
        </w:rPr>
        <w:t>格式</w:t>
      </w:r>
      <w:bookmarkEnd w:id="358"/>
    </w:p>
    <w:p>
      <w:pPr>
        <w:pStyle w:val="2"/>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磋商响应函</w:t>
      </w:r>
    </w:p>
    <w:p>
      <w:pPr>
        <w:pStyle w:val="36"/>
        <w:tabs>
          <w:tab w:val="left" w:pos="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i/>
          <w:color w:val="auto"/>
          <w:spacing w:val="6"/>
          <w:kern w:val="2"/>
          <w:sz w:val="24"/>
          <w:highlight w:val="none"/>
          <w:u w:val="single"/>
        </w:rPr>
        <w:t>（采购人名称）</w:t>
      </w:r>
      <w:r>
        <w:rPr>
          <w:rFonts w:hint="eastAsia" w:ascii="仿宋" w:hAnsi="仿宋" w:eastAsia="仿宋" w:cs="仿宋"/>
          <w:color w:val="auto"/>
          <w:sz w:val="24"/>
          <w:highlight w:val="none"/>
        </w:rPr>
        <w:t>：</w:t>
      </w:r>
    </w:p>
    <w:p>
      <w:pPr>
        <w:pStyle w:val="36"/>
        <w:tabs>
          <w:tab w:val="left" w:pos="0"/>
        </w:tabs>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根据贵方</w:t>
      </w:r>
      <w:r>
        <w:rPr>
          <w:rFonts w:hint="eastAsia" w:ascii="仿宋" w:hAnsi="仿宋" w:eastAsia="仿宋" w:cs="仿宋"/>
          <w:i/>
          <w:color w:val="auto"/>
          <w:spacing w:val="6"/>
          <w:kern w:val="2"/>
          <w:sz w:val="24"/>
          <w:highlight w:val="none"/>
          <w:u w:val="single"/>
        </w:rPr>
        <w:t>（项目名称）（项目编号）（标项）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的磋商文件要求，正式授权下述签字人</w:t>
      </w:r>
      <w:r>
        <w:rPr>
          <w:rFonts w:hint="eastAsia" w:ascii="仿宋" w:hAnsi="仿宋" w:eastAsia="仿宋" w:cs="仿宋"/>
          <w:i/>
          <w:color w:val="auto"/>
          <w:spacing w:val="6"/>
          <w:kern w:val="2"/>
          <w:sz w:val="24"/>
          <w:highlight w:val="none"/>
          <w:u w:val="single"/>
        </w:rPr>
        <w:t>（姓名和职务）</w:t>
      </w:r>
      <w:r>
        <w:rPr>
          <w:rFonts w:hint="eastAsia" w:ascii="仿宋" w:hAnsi="仿宋" w:eastAsia="仿宋" w:cs="仿宋"/>
          <w:color w:val="auto"/>
          <w:sz w:val="24"/>
          <w:szCs w:val="21"/>
          <w:highlight w:val="none"/>
        </w:rPr>
        <w:t>全权代表供应商</w:t>
      </w:r>
      <w:r>
        <w:rPr>
          <w:rFonts w:hint="eastAsia" w:ascii="仿宋" w:hAnsi="仿宋" w:eastAsia="仿宋" w:cs="仿宋"/>
          <w:i/>
          <w:color w:val="auto"/>
          <w:spacing w:val="6"/>
          <w:kern w:val="2"/>
          <w:sz w:val="24"/>
          <w:highlight w:val="none"/>
          <w:u w:val="single"/>
        </w:rPr>
        <w:t>（供应商全称）</w:t>
      </w:r>
      <w:r>
        <w:rPr>
          <w:rFonts w:hint="eastAsia" w:ascii="仿宋" w:hAnsi="仿宋" w:eastAsia="仿宋" w:cs="仿宋"/>
          <w:color w:val="auto"/>
          <w:sz w:val="24"/>
          <w:szCs w:val="21"/>
          <w:highlight w:val="none"/>
        </w:rPr>
        <w:t>参加贵方组织的有关采购活动，并提交下述文件：</w:t>
      </w:r>
    </w:p>
    <w:p>
      <w:pPr>
        <w:pStyle w:val="36"/>
        <w:tabs>
          <w:tab w:val="left" w:pos="0"/>
        </w:tabs>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政府采购云系统提交电子加密投标文件</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pPr>
        <w:pStyle w:val="36"/>
        <w:tabs>
          <w:tab w:val="left" w:pos="0"/>
        </w:tabs>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4"/>
          <w:highlight w:val="none"/>
        </w:rPr>
        <w:t>通过电子邮件提交备份电子投标文件（打包压缩加密）</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pPr>
        <w:pStyle w:val="36"/>
        <w:tabs>
          <w:tab w:val="left" w:pos="0"/>
        </w:tabs>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据此函我方就本次响应有关事项郑重承诺如下：</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1、我方向贵方提交的所有磋商响应文件、资料都是准确的和真实的。</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2、我方承诺已经具备《中华人民共和国政府采购法》、《中华人民共和国政府采购法实施条例》中规定的参加政府采购活动的供应商应当具备的条件，并真实提供相关材料。</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3、如果我方成交，将派出</w:t>
      </w:r>
      <w:r>
        <w:rPr>
          <w:rFonts w:hint="eastAsia" w:ascii="仿宋" w:hAnsi="仿宋" w:eastAsia="仿宋" w:cs="仿宋"/>
          <w:i/>
          <w:color w:val="auto"/>
          <w:spacing w:val="6"/>
          <w:kern w:val="2"/>
          <w:sz w:val="24"/>
          <w:highlight w:val="none"/>
          <w:u w:val="single"/>
        </w:rPr>
        <w:t>（姓名及身份证号码）</w:t>
      </w:r>
      <w:r>
        <w:rPr>
          <w:rFonts w:hint="eastAsia" w:ascii="仿宋" w:hAnsi="仿宋" w:eastAsia="仿宋" w:cs="仿宋"/>
          <w:color w:val="auto"/>
          <w:sz w:val="24"/>
          <w:szCs w:val="21"/>
          <w:highlight w:val="none"/>
        </w:rPr>
        <w:t>，作为本项目与采购单位联系的项目实施负责人，联系手机号码：</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。在项目实施过程中，并承诺项目实施负责人不更换，若确需要更换的，书面征得采购人同意后才准予更换。</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4、我方的磋商有效期自在开标日起</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天内有效。如果在开标后规定的磋商有效期内撤回响应，贵方可按相关规定处理我方。</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5、我方在响应之前已经与贵方进行了充分的沟通，完全理解并接受磋商文件的各项规定和要求，对磋商文件的合理性、合法性不再有异议。</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我方愿意向贵方提供真实完整的任何与该项响应有关的数据、情况和技术资料。若贵方需要，我方愿意提供我方作出的一切承诺的证明材料。</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6、我方已详细审核全部磋商文件，包括磋商文件的澄清或修改文件（如有的话）、参考资料及有关附件，已经了解我方对于磋商文件、采购过程、采购结果有依法进行询问、质疑、投诉的权利及相关渠道和要求。</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7、我方不是采购人的附属机构，并未为本项目提供整体设计、规范编制或者项目管理、监理、监测等服务。</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（一）提供虚假材料谋取中标、成交的；</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（二）采取不正当手段诋毁、排挤其他供应商的；</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（三）与采购人、其它供应商或者采购代理机构恶意串通的；</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（四）向采购人、采购代理机构行贿或者提供其他不正当利益的；</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（五）在采购采购过程中与采购人进行协商谈判的；</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（六）拒绝有关部门监督检查或提供虚假情况的。</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9、如成交，本磋商响应文件至本项目合同履行完毕止均保持有效，我方将按磋商文件及政府采购法律、法规的规定履行合同责任和义务。</w:t>
      </w:r>
    </w:p>
    <w:p>
      <w:pPr>
        <w:pStyle w:val="36"/>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10、以上事项如有虚假或隐瞒，我方愿意承担一切不利后果，并不再寻求任何旨在减轻或免除法律责任。</w:t>
      </w:r>
    </w:p>
    <w:p>
      <w:pPr>
        <w:pStyle w:val="36"/>
        <w:spacing w:line="360" w:lineRule="auto"/>
        <w:ind w:firstLine="48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与本次响应有关的一切正式往来信函请寄：</w:t>
      </w:r>
    </w:p>
    <w:p>
      <w:pPr>
        <w:pStyle w:val="36"/>
        <w:spacing w:line="360" w:lineRule="auto"/>
        <w:ind w:firstLine="48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地址：</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xml:space="preserve">     邮编：</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w:t>
      </w:r>
    </w:p>
    <w:p>
      <w:pPr>
        <w:pStyle w:val="8"/>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电话：</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xml:space="preserve">     传真：</w:t>
      </w:r>
      <w:r>
        <w:rPr>
          <w:rFonts w:hint="eastAsia" w:ascii="仿宋" w:hAnsi="仿宋" w:eastAsia="仿宋" w:cs="仿宋"/>
          <w:color w:val="auto"/>
          <w:spacing w:val="20"/>
          <w:sz w:val="24"/>
          <w:highlight w:val="none"/>
          <w:u w:val="single"/>
        </w:rPr>
        <w:t xml:space="preserve">           </w:t>
      </w:r>
    </w:p>
    <w:p>
      <w:pPr>
        <w:pStyle w:val="38"/>
        <w:spacing w:line="360" w:lineRule="auto"/>
        <w:rPr>
          <w:rFonts w:ascii="仿宋" w:hAnsi="仿宋" w:eastAsia="仿宋" w:cs="仿宋"/>
          <w:bCs/>
          <w:color w:val="auto"/>
          <w:sz w:val="24"/>
          <w:highlight w:val="none"/>
        </w:rPr>
      </w:pPr>
    </w:p>
    <w:p>
      <w:pPr>
        <w:pStyle w:val="39"/>
        <w:spacing w:line="360" w:lineRule="auto"/>
        <w:rPr>
          <w:rFonts w:ascii="仿宋" w:hAnsi="仿宋" w:eastAsia="仿宋" w:cs="仿宋"/>
          <w:color w:val="auto"/>
          <w:sz w:val="24"/>
          <w:szCs w:val="21"/>
          <w:highlight w:val="none"/>
        </w:rPr>
      </w:pPr>
    </w:p>
    <w:p>
      <w:pPr>
        <w:pStyle w:val="30"/>
        <w:wordWrap w:val="0"/>
        <w:spacing w:line="360" w:lineRule="auto"/>
        <w:ind w:firstLine="480"/>
        <w:jc w:val="right"/>
        <w:rPr>
          <w:rFonts w:ascii="仿宋" w:hAnsi="仿宋" w:eastAsia="仿宋" w:cs="仿宋"/>
          <w:color w:val="auto"/>
          <w:spacing w:val="20"/>
          <w:sz w:val="24"/>
          <w:szCs w:val="21"/>
          <w:highlight w:val="none"/>
          <w:u w:val="single"/>
        </w:rPr>
      </w:pP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30"/>
        <w:spacing w:line="360" w:lineRule="auto"/>
        <w:jc w:val="left"/>
        <w:rPr>
          <w:rFonts w:ascii="仿宋" w:hAnsi="仿宋" w:eastAsia="仿宋" w:cs="仿宋"/>
          <w:color w:val="auto"/>
          <w:spacing w:val="20"/>
          <w:sz w:val="24"/>
          <w:szCs w:val="21"/>
          <w:highlight w:val="none"/>
          <w:u w:val="single"/>
        </w:rPr>
      </w:pPr>
    </w:p>
    <w:p>
      <w:pPr>
        <w:pStyle w:val="36"/>
        <w:spacing w:line="360" w:lineRule="auto"/>
        <w:rPr>
          <w:rFonts w:ascii="仿宋" w:hAnsi="仿宋" w:eastAsia="仿宋" w:cs="仿宋"/>
          <w:color w:val="auto"/>
          <w:sz w:val="24"/>
          <w:szCs w:val="21"/>
          <w:highlight w:val="none"/>
        </w:rPr>
      </w:pPr>
    </w:p>
    <w:p>
      <w:pPr>
        <w:pStyle w:val="36"/>
        <w:spacing w:line="360" w:lineRule="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注：按照本声明书要求填报。</w:t>
      </w:r>
    </w:p>
    <w:p>
      <w:pPr>
        <w:pStyle w:val="4"/>
        <w:spacing w:before="0" w:after="0"/>
        <w:ind w:firstLine="0" w:firstLineChars="0"/>
        <w:jc w:val="center"/>
        <w:rPr>
          <w:rFonts w:ascii="仿宋" w:hAnsi="仿宋" w:eastAsia="仿宋" w:cs="仿宋"/>
          <w:color w:val="auto"/>
          <w:sz w:val="32"/>
          <w:szCs w:val="32"/>
          <w:highlight w:val="none"/>
        </w:rPr>
        <w:sectPr>
          <w:pgSz w:w="11906" w:h="16838"/>
          <w:pgMar w:top="1440" w:right="1797" w:bottom="1440" w:left="1797" w:header="851" w:footer="851" w:gutter="0"/>
          <w:cols w:space="720" w:num="1"/>
          <w:docGrid w:linePitch="312" w:charSpace="0"/>
        </w:sectPr>
      </w:pPr>
      <w:bookmarkStart w:id="359" w:name="_Toc493956060"/>
    </w:p>
    <w:bookmarkEnd w:id="359"/>
    <w:p>
      <w:pPr>
        <w:pStyle w:val="4"/>
        <w:spacing w:before="0" w:after="0"/>
        <w:ind w:firstLine="0" w:firstLineChars="0"/>
        <w:jc w:val="left"/>
        <w:rPr>
          <w:rFonts w:ascii="仿宋" w:hAnsi="仿宋" w:eastAsia="仿宋"/>
          <w:color w:val="auto"/>
          <w:sz w:val="24"/>
          <w:szCs w:val="24"/>
          <w:highlight w:val="none"/>
        </w:rPr>
      </w:pPr>
      <w:bookmarkStart w:id="360" w:name="_Toc493956064"/>
      <w:bookmarkStart w:id="361" w:name="_Toc530551888"/>
      <w:bookmarkStart w:id="362" w:name="_Toc531359059"/>
      <w:bookmarkStart w:id="363" w:name="_Toc27771"/>
      <w:bookmarkStart w:id="364" w:name="_Toc18212"/>
      <w:bookmarkStart w:id="365" w:name="_Toc23601"/>
      <w:bookmarkStart w:id="366" w:name="_Toc28443"/>
      <w:bookmarkStart w:id="367" w:name="_Toc22930"/>
      <w:bookmarkStart w:id="368" w:name="_Toc531359060"/>
      <w:bookmarkStart w:id="369" w:name="_Toc530551887"/>
      <w:bookmarkStart w:id="370" w:name="_Toc493956063"/>
      <w:bookmarkStart w:id="371" w:name="_Toc530551896"/>
      <w:bookmarkStart w:id="372" w:name="_Toc531359073"/>
      <w:r>
        <w:rPr>
          <w:rFonts w:hint="eastAsia" w:ascii="仿宋" w:hAnsi="仿宋" w:eastAsia="仿宋"/>
          <w:color w:val="auto"/>
          <w:sz w:val="24"/>
          <w:szCs w:val="24"/>
          <w:highlight w:val="none"/>
        </w:rPr>
        <w:t>2.4    节能环保产品</w:t>
      </w:r>
      <w:bookmarkEnd w:id="360"/>
      <w:bookmarkEnd w:id="361"/>
      <w:bookmarkEnd w:id="362"/>
      <w:r>
        <w:rPr>
          <w:rFonts w:hint="eastAsia" w:ascii="仿宋" w:hAnsi="仿宋" w:eastAsia="仿宋"/>
          <w:color w:val="auto"/>
          <w:sz w:val="24"/>
          <w:szCs w:val="24"/>
          <w:highlight w:val="none"/>
        </w:rPr>
        <w:t>格式</w:t>
      </w:r>
      <w:bookmarkEnd w:id="363"/>
      <w:bookmarkEnd w:id="364"/>
      <w:bookmarkEnd w:id="365"/>
      <w:bookmarkEnd w:id="366"/>
      <w:bookmarkEnd w:id="367"/>
    </w:p>
    <w:p>
      <w:pPr>
        <w:pStyle w:val="2"/>
        <w:spacing w:line="360" w:lineRule="auto"/>
        <w:ind w:firstLine="0"/>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节能环保产品</w:t>
      </w:r>
    </w:p>
    <w:tbl>
      <w:tblPr>
        <w:tblStyle w:val="20"/>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1622"/>
        <w:gridCol w:w="58"/>
        <w:gridCol w:w="1811"/>
        <w:gridCol w:w="26"/>
        <w:gridCol w:w="250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pPr>
              <w:pStyle w:val="44"/>
              <w:rPr>
                <w:rFonts w:ascii="仿宋" w:hAnsi="仿宋" w:eastAsia="仿宋"/>
                <w:b/>
                <w:color w:val="auto"/>
                <w:kern w:val="0"/>
                <w:sz w:val="24"/>
                <w:highlight w:val="none"/>
              </w:rPr>
            </w:pPr>
            <w:r>
              <w:rPr>
                <w:rFonts w:hint="eastAsia" w:ascii="仿宋" w:hAnsi="仿宋" w:eastAsia="仿宋"/>
                <w:b/>
                <w:color w:val="auto"/>
                <w:kern w:val="0"/>
                <w:sz w:val="24"/>
                <w:highlight w:val="none"/>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序号</w:t>
            </w:r>
          </w:p>
        </w:tc>
        <w:tc>
          <w:tcPr>
            <w:tcW w:w="1680" w:type="dxa"/>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产品名称</w:t>
            </w:r>
          </w:p>
        </w:tc>
        <w:tc>
          <w:tcPr>
            <w:tcW w:w="1652" w:type="dxa"/>
            <w:gridSpan w:val="2"/>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品牌</w:t>
            </w:r>
          </w:p>
        </w:tc>
        <w:tc>
          <w:tcPr>
            <w:tcW w:w="1869" w:type="dxa"/>
            <w:gridSpan w:val="2"/>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型号</w:t>
            </w:r>
          </w:p>
        </w:tc>
        <w:tc>
          <w:tcPr>
            <w:tcW w:w="2530" w:type="dxa"/>
            <w:gridSpan w:val="2"/>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节能产品有效认证证书号</w:t>
            </w:r>
          </w:p>
        </w:tc>
        <w:tc>
          <w:tcPr>
            <w:tcW w:w="845" w:type="dxa"/>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1</w:t>
            </w:r>
          </w:p>
        </w:tc>
        <w:tc>
          <w:tcPr>
            <w:tcW w:w="1680" w:type="dxa"/>
            <w:vAlign w:val="center"/>
          </w:tcPr>
          <w:p>
            <w:pPr>
              <w:pStyle w:val="44"/>
              <w:jc w:val="center"/>
              <w:rPr>
                <w:rFonts w:ascii="仿宋" w:hAnsi="仿宋" w:eastAsia="仿宋"/>
                <w:color w:val="auto"/>
                <w:kern w:val="0"/>
                <w:sz w:val="24"/>
                <w:highlight w:val="none"/>
              </w:rPr>
            </w:pPr>
          </w:p>
        </w:tc>
        <w:tc>
          <w:tcPr>
            <w:tcW w:w="1652" w:type="dxa"/>
            <w:gridSpan w:val="2"/>
            <w:vAlign w:val="center"/>
          </w:tcPr>
          <w:p>
            <w:pPr>
              <w:pStyle w:val="44"/>
              <w:jc w:val="center"/>
              <w:rPr>
                <w:rFonts w:ascii="仿宋" w:hAnsi="仿宋" w:eastAsia="仿宋"/>
                <w:bCs/>
                <w:color w:val="auto"/>
                <w:kern w:val="0"/>
                <w:sz w:val="24"/>
                <w:highlight w:val="none"/>
              </w:rPr>
            </w:pPr>
          </w:p>
        </w:tc>
        <w:tc>
          <w:tcPr>
            <w:tcW w:w="1869" w:type="dxa"/>
            <w:gridSpan w:val="2"/>
            <w:vAlign w:val="center"/>
          </w:tcPr>
          <w:p>
            <w:pPr>
              <w:pStyle w:val="44"/>
              <w:jc w:val="center"/>
              <w:rPr>
                <w:rFonts w:ascii="仿宋" w:hAnsi="仿宋" w:eastAsia="仿宋"/>
                <w:bCs/>
                <w:color w:val="auto"/>
                <w:kern w:val="0"/>
                <w:sz w:val="24"/>
                <w:highlight w:val="none"/>
              </w:rPr>
            </w:pPr>
          </w:p>
        </w:tc>
        <w:tc>
          <w:tcPr>
            <w:tcW w:w="2530" w:type="dxa"/>
            <w:gridSpan w:val="2"/>
            <w:vAlign w:val="center"/>
          </w:tcPr>
          <w:p>
            <w:pPr>
              <w:pStyle w:val="44"/>
              <w:jc w:val="center"/>
              <w:rPr>
                <w:rFonts w:ascii="仿宋" w:hAnsi="仿宋" w:eastAsia="仿宋"/>
                <w:color w:val="auto"/>
                <w:kern w:val="0"/>
                <w:sz w:val="24"/>
                <w:highlight w:val="none"/>
              </w:rPr>
            </w:pPr>
          </w:p>
        </w:tc>
        <w:tc>
          <w:tcPr>
            <w:tcW w:w="845" w:type="dxa"/>
            <w:vAlign w:val="center"/>
          </w:tcPr>
          <w:p>
            <w:pPr>
              <w:pStyle w:val="44"/>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2</w:t>
            </w:r>
          </w:p>
        </w:tc>
        <w:tc>
          <w:tcPr>
            <w:tcW w:w="1680" w:type="dxa"/>
            <w:vAlign w:val="center"/>
          </w:tcPr>
          <w:p>
            <w:pPr>
              <w:pStyle w:val="44"/>
              <w:jc w:val="center"/>
              <w:rPr>
                <w:rFonts w:ascii="仿宋" w:hAnsi="仿宋" w:eastAsia="仿宋"/>
                <w:color w:val="auto"/>
                <w:kern w:val="0"/>
                <w:sz w:val="24"/>
                <w:highlight w:val="none"/>
              </w:rPr>
            </w:pPr>
          </w:p>
        </w:tc>
        <w:tc>
          <w:tcPr>
            <w:tcW w:w="1652" w:type="dxa"/>
            <w:gridSpan w:val="2"/>
            <w:vAlign w:val="center"/>
          </w:tcPr>
          <w:p>
            <w:pPr>
              <w:pStyle w:val="44"/>
              <w:jc w:val="center"/>
              <w:rPr>
                <w:rFonts w:ascii="仿宋" w:hAnsi="仿宋" w:eastAsia="仿宋"/>
                <w:color w:val="auto"/>
                <w:kern w:val="0"/>
                <w:sz w:val="24"/>
                <w:highlight w:val="none"/>
              </w:rPr>
            </w:pPr>
          </w:p>
        </w:tc>
        <w:tc>
          <w:tcPr>
            <w:tcW w:w="1869" w:type="dxa"/>
            <w:gridSpan w:val="2"/>
            <w:vAlign w:val="center"/>
          </w:tcPr>
          <w:p>
            <w:pPr>
              <w:pStyle w:val="44"/>
              <w:jc w:val="center"/>
              <w:rPr>
                <w:rFonts w:ascii="仿宋" w:hAnsi="仿宋" w:eastAsia="仿宋"/>
                <w:color w:val="auto"/>
                <w:kern w:val="0"/>
                <w:sz w:val="24"/>
                <w:highlight w:val="none"/>
              </w:rPr>
            </w:pPr>
          </w:p>
        </w:tc>
        <w:tc>
          <w:tcPr>
            <w:tcW w:w="2530" w:type="dxa"/>
            <w:gridSpan w:val="2"/>
            <w:vAlign w:val="center"/>
          </w:tcPr>
          <w:p>
            <w:pPr>
              <w:pStyle w:val="44"/>
              <w:jc w:val="center"/>
              <w:rPr>
                <w:rFonts w:ascii="仿宋" w:hAnsi="仿宋" w:eastAsia="仿宋"/>
                <w:color w:val="auto"/>
                <w:kern w:val="0"/>
                <w:sz w:val="24"/>
                <w:highlight w:val="none"/>
              </w:rPr>
            </w:pPr>
          </w:p>
        </w:tc>
        <w:tc>
          <w:tcPr>
            <w:tcW w:w="845" w:type="dxa"/>
            <w:vAlign w:val="center"/>
          </w:tcPr>
          <w:p>
            <w:pPr>
              <w:pStyle w:val="44"/>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w:t>
            </w:r>
          </w:p>
        </w:tc>
        <w:tc>
          <w:tcPr>
            <w:tcW w:w="1680" w:type="dxa"/>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w:t>
            </w:r>
          </w:p>
        </w:tc>
        <w:tc>
          <w:tcPr>
            <w:tcW w:w="1652" w:type="dxa"/>
            <w:gridSpan w:val="2"/>
            <w:vAlign w:val="center"/>
          </w:tcPr>
          <w:p>
            <w:pPr>
              <w:pStyle w:val="44"/>
              <w:jc w:val="center"/>
              <w:rPr>
                <w:rFonts w:ascii="仿宋" w:hAnsi="仿宋" w:eastAsia="仿宋"/>
                <w:bCs/>
                <w:color w:val="auto"/>
                <w:kern w:val="0"/>
                <w:sz w:val="24"/>
                <w:highlight w:val="none"/>
              </w:rPr>
            </w:pPr>
          </w:p>
        </w:tc>
        <w:tc>
          <w:tcPr>
            <w:tcW w:w="1869" w:type="dxa"/>
            <w:gridSpan w:val="2"/>
            <w:vAlign w:val="center"/>
          </w:tcPr>
          <w:p>
            <w:pPr>
              <w:pStyle w:val="44"/>
              <w:jc w:val="center"/>
              <w:rPr>
                <w:rFonts w:ascii="仿宋" w:hAnsi="仿宋" w:eastAsia="仿宋"/>
                <w:bCs/>
                <w:color w:val="auto"/>
                <w:kern w:val="0"/>
                <w:sz w:val="24"/>
                <w:highlight w:val="none"/>
              </w:rPr>
            </w:pPr>
          </w:p>
        </w:tc>
        <w:tc>
          <w:tcPr>
            <w:tcW w:w="2530" w:type="dxa"/>
            <w:gridSpan w:val="2"/>
            <w:vAlign w:val="center"/>
          </w:tcPr>
          <w:p>
            <w:pPr>
              <w:pStyle w:val="44"/>
              <w:jc w:val="center"/>
              <w:rPr>
                <w:rFonts w:ascii="仿宋" w:hAnsi="仿宋" w:eastAsia="仿宋"/>
                <w:color w:val="auto"/>
                <w:kern w:val="0"/>
                <w:sz w:val="24"/>
                <w:highlight w:val="none"/>
              </w:rPr>
            </w:pPr>
          </w:p>
        </w:tc>
        <w:tc>
          <w:tcPr>
            <w:tcW w:w="845" w:type="dxa"/>
            <w:vAlign w:val="center"/>
          </w:tcPr>
          <w:p>
            <w:pPr>
              <w:pStyle w:val="44"/>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pPr>
              <w:pStyle w:val="44"/>
              <w:rPr>
                <w:rFonts w:ascii="仿宋" w:hAnsi="仿宋" w:eastAsia="仿宋"/>
                <w:color w:val="auto"/>
                <w:kern w:val="0"/>
                <w:sz w:val="32"/>
                <w:szCs w:val="32"/>
                <w:highlight w:val="none"/>
              </w:rPr>
            </w:pPr>
            <w:r>
              <w:rPr>
                <w:rFonts w:hint="eastAsia" w:ascii="仿宋" w:hAnsi="仿宋" w:eastAsia="仿宋"/>
                <w:b/>
                <w:color w:val="auto"/>
                <w:kern w:val="0"/>
                <w:sz w:val="24"/>
                <w:highlight w:val="none"/>
              </w:rPr>
              <w:t>二、本次投标拟投入的环保产品说明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序号</w:t>
            </w:r>
          </w:p>
        </w:tc>
        <w:tc>
          <w:tcPr>
            <w:tcW w:w="1710" w:type="dxa"/>
            <w:gridSpan w:val="2"/>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产品名称</w:t>
            </w:r>
          </w:p>
        </w:tc>
        <w:tc>
          <w:tcPr>
            <w:tcW w:w="1680" w:type="dxa"/>
            <w:gridSpan w:val="2"/>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品牌</w:t>
            </w:r>
          </w:p>
        </w:tc>
        <w:tc>
          <w:tcPr>
            <w:tcW w:w="1837" w:type="dxa"/>
            <w:gridSpan w:val="2"/>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型号</w:t>
            </w:r>
          </w:p>
        </w:tc>
        <w:tc>
          <w:tcPr>
            <w:tcW w:w="2504" w:type="dxa"/>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环保标志产品有效认证证书号</w:t>
            </w:r>
          </w:p>
        </w:tc>
        <w:tc>
          <w:tcPr>
            <w:tcW w:w="845" w:type="dxa"/>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1</w:t>
            </w:r>
          </w:p>
        </w:tc>
        <w:tc>
          <w:tcPr>
            <w:tcW w:w="1710" w:type="dxa"/>
            <w:gridSpan w:val="2"/>
            <w:vAlign w:val="center"/>
          </w:tcPr>
          <w:p>
            <w:pPr>
              <w:pStyle w:val="44"/>
              <w:jc w:val="center"/>
              <w:rPr>
                <w:rFonts w:ascii="仿宋" w:hAnsi="仿宋" w:eastAsia="仿宋"/>
                <w:color w:val="auto"/>
                <w:kern w:val="0"/>
                <w:sz w:val="24"/>
                <w:highlight w:val="none"/>
              </w:rPr>
            </w:pPr>
          </w:p>
        </w:tc>
        <w:tc>
          <w:tcPr>
            <w:tcW w:w="1680" w:type="dxa"/>
            <w:gridSpan w:val="2"/>
            <w:vAlign w:val="center"/>
          </w:tcPr>
          <w:p>
            <w:pPr>
              <w:pStyle w:val="44"/>
              <w:jc w:val="center"/>
              <w:rPr>
                <w:rFonts w:ascii="仿宋" w:hAnsi="仿宋" w:eastAsia="仿宋"/>
                <w:bCs/>
                <w:color w:val="auto"/>
                <w:kern w:val="0"/>
                <w:sz w:val="24"/>
                <w:highlight w:val="none"/>
              </w:rPr>
            </w:pPr>
          </w:p>
        </w:tc>
        <w:tc>
          <w:tcPr>
            <w:tcW w:w="1837" w:type="dxa"/>
            <w:gridSpan w:val="2"/>
            <w:vAlign w:val="center"/>
          </w:tcPr>
          <w:p>
            <w:pPr>
              <w:pStyle w:val="44"/>
              <w:jc w:val="center"/>
              <w:rPr>
                <w:rFonts w:ascii="仿宋" w:hAnsi="仿宋" w:eastAsia="仿宋"/>
                <w:bCs/>
                <w:color w:val="auto"/>
                <w:kern w:val="0"/>
                <w:sz w:val="24"/>
                <w:highlight w:val="none"/>
              </w:rPr>
            </w:pPr>
          </w:p>
        </w:tc>
        <w:tc>
          <w:tcPr>
            <w:tcW w:w="2504" w:type="dxa"/>
            <w:vAlign w:val="center"/>
          </w:tcPr>
          <w:p>
            <w:pPr>
              <w:pStyle w:val="44"/>
              <w:jc w:val="center"/>
              <w:rPr>
                <w:rFonts w:ascii="仿宋" w:hAnsi="仿宋" w:eastAsia="仿宋"/>
                <w:color w:val="auto"/>
                <w:kern w:val="0"/>
                <w:sz w:val="24"/>
                <w:highlight w:val="none"/>
              </w:rPr>
            </w:pPr>
          </w:p>
        </w:tc>
        <w:tc>
          <w:tcPr>
            <w:tcW w:w="845" w:type="dxa"/>
            <w:vAlign w:val="center"/>
          </w:tcPr>
          <w:p>
            <w:pPr>
              <w:pStyle w:val="44"/>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2</w:t>
            </w:r>
          </w:p>
        </w:tc>
        <w:tc>
          <w:tcPr>
            <w:tcW w:w="1710" w:type="dxa"/>
            <w:gridSpan w:val="2"/>
            <w:vAlign w:val="center"/>
          </w:tcPr>
          <w:p>
            <w:pPr>
              <w:pStyle w:val="44"/>
              <w:jc w:val="center"/>
              <w:rPr>
                <w:rFonts w:ascii="仿宋" w:hAnsi="仿宋" w:eastAsia="仿宋"/>
                <w:color w:val="auto"/>
                <w:kern w:val="0"/>
                <w:sz w:val="24"/>
                <w:highlight w:val="none"/>
              </w:rPr>
            </w:pPr>
          </w:p>
        </w:tc>
        <w:tc>
          <w:tcPr>
            <w:tcW w:w="1680" w:type="dxa"/>
            <w:gridSpan w:val="2"/>
            <w:vAlign w:val="center"/>
          </w:tcPr>
          <w:p>
            <w:pPr>
              <w:pStyle w:val="44"/>
              <w:jc w:val="center"/>
              <w:rPr>
                <w:rFonts w:ascii="仿宋" w:hAnsi="仿宋" w:eastAsia="仿宋"/>
                <w:bCs/>
                <w:color w:val="auto"/>
                <w:kern w:val="0"/>
                <w:sz w:val="24"/>
                <w:highlight w:val="none"/>
              </w:rPr>
            </w:pPr>
          </w:p>
        </w:tc>
        <w:tc>
          <w:tcPr>
            <w:tcW w:w="1837" w:type="dxa"/>
            <w:gridSpan w:val="2"/>
            <w:vAlign w:val="center"/>
          </w:tcPr>
          <w:p>
            <w:pPr>
              <w:pStyle w:val="44"/>
              <w:jc w:val="center"/>
              <w:rPr>
                <w:rFonts w:ascii="仿宋" w:hAnsi="仿宋" w:eastAsia="仿宋"/>
                <w:bCs/>
                <w:color w:val="auto"/>
                <w:kern w:val="0"/>
                <w:sz w:val="24"/>
                <w:highlight w:val="none"/>
              </w:rPr>
            </w:pPr>
          </w:p>
        </w:tc>
        <w:tc>
          <w:tcPr>
            <w:tcW w:w="2504" w:type="dxa"/>
            <w:vAlign w:val="center"/>
          </w:tcPr>
          <w:p>
            <w:pPr>
              <w:pStyle w:val="44"/>
              <w:jc w:val="center"/>
              <w:rPr>
                <w:rFonts w:ascii="仿宋" w:hAnsi="仿宋" w:eastAsia="仿宋"/>
                <w:color w:val="auto"/>
                <w:kern w:val="0"/>
                <w:sz w:val="24"/>
                <w:highlight w:val="none"/>
              </w:rPr>
            </w:pPr>
          </w:p>
        </w:tc>
        <w:tc>
          <w:tcPr>
            <w:tcW w:w="845" w:type="dxa"/>
            <w:vAlign w:val="center"/>
          </w:tcPr>
          <w:p>
            <w:pPr>
              <w:pStyle w:val="44"/>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w:t>
            </w:r>
          </w:p>
        </w:tc>
        <w:tc>
          <w:tcPr>
            <w:tcW w:w="1710" w:type="dxa"/>
            <w:gridSpan w:val="2"/>
            <w:vAlign w:val="center"/>
          </w:tcPr>
          <w:p>
            <w:pPr>
              <w:pStyle w:val="44"/>
              <w:jc w:val="center"/>
              <w:rPr>
                <w:rFonts w:ascii="仿宋" w:hAnsi="仿宋" w:eastAsia="仿宋"/>
                <w:color w:val="auto"/>
                <w:kern w:val="0"/>
                <w:sz w:val="24"/>
                <w:highlight w:val="none"/>
              </w:rPr>
            </w:pPr>
            <w:r>
              <w:rPr>
                <w:rFonts w:hint="eastAsia" w:ascii="仿宋" w:hAnsi="仿宋" w:eastAsia="仿宋"/>
                <w:color w:val="auto"/>
                <w:kern w:val="0"/>
                <w:sz w:val="24"/>
                <w:highlight w:val="none"/>
              </w:rPr>
              <w:t>…</w:t>
            </w:r>
          </w:p>
        </w:tc>
        <w:tc>
          <w:tcPr>
            <w:tcW w:w="1680" w:type="dxa"/>
            <w:gridSpan w:val="2"/>
            <w:vAlign w:val="center"/>
          </w:tcPr>
          <w:p>
            <w:pPr>
              <w:pStyle w:val="44"/>
              <w:jc w:val="center"/>
              <w:rPr>
                <w:rFonts w:ascii="仿宋" w:hAnsi="仿宋" w:eastAsia="仿宋"/>
                <w:bCs/>
                <w:color w:val="auto"/>
                <w:kern w:val="0"/>
                <w:sz w:val="24"/>
                <w:highlight w:val="none"/>
              </w:rPr>
            </w:pPr>
          </w:p>
        </w:tc>
        <w:tc>
          <w:tcPr>
            <w:tcW w:w="1837" w:type="dxa"/>
            <w:gridSpan w:val="2"/>
            <w:vAlign w:val="center"/>
          </w:tcPr>
          <w:p>
            <w:pPr>
              <w:pStyle w:val="44"/>
              <w:jc w:val="center"/>
              <w:rPr>
                <w:rFonts w:ascii="仿宋" w:hAnsi="仿宋" w:eastAsia="仿宋"/>
                <w:bCs/>
                <w:color w:val="auto"/>
                <w:kern w:val="0"/>
                <w:sz w:val="24"/>
                <w:highlight w:val="none"/>
              </w:rPr>
            </w:pPr>
          </w:p>
        </w:tc>
        <w:tc>
          <w:tcPr>
            <w:tcW w:w="2504" w:type="dxa"/>
            <w:vAlign w:val="center"/>
          </w:tcPr>
          <w:p>
            <w:pPr>
              <w:pStyle w:val="44"/>
              <w:jc w:val="center"/>
              <w:rPr>
                <w:rFonts w:ascii="仿宋" w:hAnsi="仿宋" w:eastAsia="仿宋"/>
                <w:color w:val="auto"/>
                <w:kern w:val="0"/>
                <w:sz w:val="24"/>
                <w:highlight w:val="none"/>
              </w:rPr>
            </w:pPr>
          </w:p>
        </w:tc>
        <w:tc>
          <w:tcPr>
            <w:tcW w:w="845" w:type="dxa"/>
            <w:vAlign w:val="center"/>
          </w:tcPr>
          <w:p>
            <w:pPr>
              <w:pStyle w:val="44"/>
              <w:jc w:val="center"/>
              <w:rPr>
                <w:rFonts w:ascii="仿宋" w:hAnsi="仿宋" w:eastAsia="仿宋"/>
                <w:color w:val="auto"/>
                <w:kern w:val="0"/>
                <w:sz w:val="24"/>
                <w:highlight w:val="none"/>
              </w:rPr>
            </w:pPr>
          </w:p>
        </w:tc>
      </w:tr>
    </w:tbl>
    <w:p>
      <w:pPr>
        <w:pStyle w:val="44"/>
        <w:rPr>
          <w:rFonts w:ascii="仿宋" w:hAnsi="仿宋" w:eastAsia="仿宋"/>
          <w:b/>
          <w:color w:val="auto"/>
          <w:sz w:val="24"/>
          <w:highlight w:val="none"/>
        </w:rPr>
      </w:pPr>
      <w:r>
        <w:rPr>
          <w:rFonts w:hint="eastAsia" w:ascii="仿宋" w:hAnsi="仿宋" w:eastAsia="仿宋"/>
          <w:b/>
          <w:bCs/>
          <w:color w:val="auto"/>
          <w:sz w:val="24"/>
          <w:highlight w:val="none"/>
        </w:rPr>
        <w:t>注：节能产品、环境标志产品须提供的有效认证证书电子文档，否则节能和环保产品不给分。</w:t>
      </w:r>
    </w:p>
    <w:p>
      <w:pPr>
        <w:pStyle w:val="44"/>
        <w:rPr>
          <w:rFonts w:ascii="仿宋" w:hAnsi="仿宋" w:eastAsia="仿宋"/>
          <w:b/>
          <w:color w:val="auto"/>
          <w:sz w:val="24"/>
          <w:highlight w:val="none"/>
        </w:rPr>
      </w:pPr>
    </w:p>
    <w:p>
      <w:pPr>
        <w:pStyle w:val="30"/>
        <w:wordWrap w:val="0"/>
        <w:spacing w:line="360" w:lineRule="auto"/>
        <w:ind w:firstLine="480"/>
        <w:jc w:val="right"/>
        <w:rPr>
          <w:rFonts w:ascii="仿宋" w:hAnsi="仿宋" w:eastAsia="仿宋"/>
          <w:color w:val="auto"/>
          <w:sz w:val="24"/>
          <w:szCs w:val="21"/>
          <w:highlight w:val="none"/>
          <w:u w:val="single"/>
        </w:rPr>
      </w:pPr>
      <w:r>
        <w:rPr>
          <w:rFonts w:hint="eastAsia" w:ascii="仿宋" w:hAnsi="仿宋" w:eastAsia="仿宋"/>
          <w:bCs/>
          <w:color w:val="auto"/>
          <w:sz w:val="24"/>
          <w:highlight w:val="none"/>
        </w:rPr>
        <w:t xml:space="preserve">                                         </w:t>
      </w:r>
      <w:r>
        <w:rPr>
          <w:rFonts w:ascii="仿宋" w:hAnsi="仿宋" w:eastAsia="仿宋"/>
          <w:color w:val="auto"/>
          <w:sz w:val="24"/>
          <w:szCs w:val="21"/>
          <w:highlight w:val="none"/>
        </w:rPr>
        <w:t>供应商盖章：</w:t>
      </w:r>
      <w:r>
        <w:rPr>
          <w:rFonts w:hint="eastAsia" w:ascii="仿宋" w:hAnsi="仿宋" w:eastAsia="仿宋"/>
          <w:color w:val="auto"/>
          <w:sz w:val="24"/>
          <w:szCs w:val="21"/>
          <w:highlight w:val="none"/>
          <w:u w:val="single"/>
        </w:rPr>
        <w:t xml:space="preserve"> </w:t>
      </w:r>
      <w:r>
        <w:rPr>
          <w:rFonts w:ascii="仿宋" w:hAnsi="仿宋" w:eastAsia="仿宋"/>
          <w:color w:val="auto"/>
          <w:sz w:val="24"/>
          <w:szCs w:val="21"/>
          <w:highlight w:val="none"/>
          <w:u w:val="single"/>
        </w:rPr>
        <w:t xml:space="preserve">            </w:t>
      </w:r>
      <w:r>
        <w:rPr>
          <w:rFonts w:hint="eastAsia" w:ascii="仿宋" w:hAnsi="仿宋" w:eastAsia="仿宋"/>
          <w:color w:val="auto"/>
          <w:sz w:val="24"/>
          <w:szCs w:val="21"/>
          <w:highlight w:val="none"/>
        </w:rPr>
        <w:t xml:space="preserve">    </w:t>
      </w:r>
      <w:r>
        <w:rPr>
          <w:rFonts w:ascii="仿宋" w:hAnsi="仿宋" w:eastAsia="仿宋"/>
          <w:color w:val="auto"/>
          <w:sz w:val="24"/>
          <w:szCs w:val="21"/>
          <w:highlight w:val="none"/>
        </w:rPr>
        <w:t xml:space="preserve">  </w:t>
      </w:r>
      <w:r>
        <w:rPr>
          <w:rFonts w:hint="eastAsia" w:ascii="仿宋" w:hAnsi="仿宋" w:eastAsia="仿宋"/>
          <w:color w:val="auto"/>
          <w:sz w:val="24"/>
          <w:szCs w:val="21"/>
          <w:highlight w:val="none"/>
        </w:rPr>
        <w:t xml:space="preserve">      日</w:t>
      </w:r>
      <w:r>
        <w:rPr>
          <w:rFonts w:ascii="仿宋" w:hAnsi="仿宋" w:eastAsia="仿宋"/>
          <w:color w:val="auto"/>
          <w:sz w:val="24"/>
          <w:szCs w:val="21"/>
          <w:highlight w:val="none"/>
        </w:rPr>
        <w:t xml:space="preserve">    期：</w:t>
      </w:r>
      <w:r>
        <w:rPr>
          <w:rFonts w:hint="eastAsia" w:ascii="仿宋" w:hAnsi="仿宋" w:eastAsia="仿宋"/>
          <w:color w:val="auto"/>
          <w:sz w:val="24"/>
          <w:szCs w:val="21"/>
          <w:highlight w:val="none"/>
          <w:u w:val="single"/>
        </w:rPr>
        <w:t xml:space="preserve"> </w:t>
      </w:r>
      <w:r>
        <w:rPr>
          <w:rFonts w:ascii="仿宋" w:hAnsi="仿宋" w:eastAsia="仿宋"/>
          <w:color w:val="auto"/>
          <w:sz w:val="24"/>
          <w:szCs w:val="21"/>
          <w:highlight w:val="none"/>
          <w:u w:val="single"/>
        </w:rPr>
        <w:t xml:space="preserve">              </w:t>
      </w:r>
    </w:p>
    <w:p>
      <w:pPr>
        <w:pStyle w:val="4"/>
        <w:spacing w:before="0" w:after="0"/>
        <w:ind w:firstLine="0" w:firstLineChars="0"/>
        <w:jc w:val="left"/>
        <w:rPr>
          <w:rFonts w:ascii="仿宋" w:hAnsi="仿宋" w:eastAsia="仿宋" w:cs="仿宋"/>
          <w:color w:val="auto"/>
          <w:sz w:val="24"/>
          <w:szCs w:val="24"/>
          <w:highlight w:val="none"/>
        </w:rPr>
      </w:pPr>
    </w:p>
    <w:p>
      <w:pPr>
        <w:pStyle w:val="4"/>
        <w:spacing w:before="0" w:after="0"/>
        <w:ind w:firstLine="0" w:firstLineChars="0"/>
        <w:jc w:val="left"/>
        <w:rPr>
          <w:rFonts w:ascii="仿宋" w:hAnsi="仿宋" w:eastAsia="仿宋" w:cs="仿宋"/>
          <w:color w:val="auto"/>
          <w:sz w:val="24"/>
          <w:szCs w:val="24"/>
          <w:highlight w:val="none"/>
        </w:rPr>
      </w:pPr>
    </w:p>
    <w:p>
      <w:pPr>
        <w:pStyle w:val="4"/>
        <w:spacing w:before="0" w:after="0"/>
        <w:ind w:firstLine="0" w:firstLineChars="0"/>
        <w:jc w:val="left"/>
        <w:rPr>
          <w:rFonts w:ascii="仿宋" w:hAnsi="仿宋" w:eastAsia="仿宋" w:cs="仿宋"/>
          <w:color w:val="auto"/>
          <w:sz w:val="24"/>
          <w:szCs w:val="24"/>
          <w:highlight w:val="none"/>
        </w:rPr>
      </w:pPr>
      <w:bookmarkStart w:id="373" w:name="_Toc22323"/>
      <w:bookmarkStart w:id="374" w:name="_Toc22710"/>
      <w:bookmarkStart w:id="375" w:name="_Toc1002"/>
      <w:r>
        <w:rPr>
          <w:rFonts w:hint="eastAsia" w:ascii="仿宋" w:hAnsi="仿宋" w:eastAsia="仿宋" w:cs="仿宋"/>
          <w:color w:val="auto"/>
          <w:sz w:val="24"/>
          <w:szCs w:val="24"/>
          <w:highlight w:val="none"/>
        </w:rPr>
        <w:t>2.5   成功案例及业绩</w:t>
      </w:r>
      <w:bookmarkEnd w:id="368"/>
      <w:r>
        <w:rPr>
          <w:rFonts w:hint="eastAsia" w:ascii="仿宋" w:hAnsi="仿宋" w:eastAsia="仿宋" w:cs="仿宋"/>
          <w:color w:val="auto"/>
          <w:sz w:val="24"/>
          <w:szCs w:val="24"/>
          <w:highlight w:val="none"/>
        </w:rPr>
        <w:t>格式</w:t>
      </w:r>
      <w:bookmarkEnd w:id="373"/>
      <w:bookmarkEnd w:id="374"/>
      <w:bookmarkEnd w:id="375"/>
    </w:p>
    <w:p>
      <w:pPr>
        <w:pStyle w:val="2"/>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成功案例及业绩（若有）</w:t>
      </w:r>
    </w:p>
    <w:p>
      <w:pPr>
        <w:pStyle w:val="13"/>
        <w:snapToGrid w:val="0"/>
        <w:ind w:left="480" w:hanging="480"/>
        <w:jc w:val="center"/>
        <w:rPr>
          <w:rFonts w:ascii="仿宋" w:hAnsi="仿宋" w:eastAsia="仿宋" w:cs="仿宋"/>
          <w:color w:val="auto"/>
          <w:sz w:val="24"/>
          <w:highlight w:val="none"/>
        </w:rPr>
      </w:pPr>
      <w:r>
        <w:rPr>
          <w:rFonts w:hint="eastAsia" w:ascii="仿宋" w:hAnsi="仿宋" w:eastAsia="仿宋" w:cs="仿宋"/>
          <w:color w:val="auto"/>
          <w:sz w:val="24"/>
          <w:highlight w:val="none"/>
        </w:rPr>
        <w:t>供应商类似项目实施情况一览表</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42"/>
        <w:gridCol w:w="1267"/>
        <w:gridCol w:w="698"/>
        <w:gridCol w:w="1127"/>
        <w:gridCol w:w="844"/>
        <w:gridCol w:w="700"/>
        <w:gridCol w:w="865"/>
        <w:gridCol w:w="747"/>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产品或项目名称</w:t>
            </w:r>
          </w:p>
        </w:tc>
        <w:tc>
          <w:tcPr>
            <w:tcW w:w="698"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采购数量</w:t>
            </w:r>
          </w:p>
        </w:tc>
        <w:tc>
          <w:tcPr>
            <w:tcW w:w="1127"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pPr>
              <w:snapToGrid w:val="0"/>
              <w:ind w:left="-78" w:leftChars="-37" w:right="-44" w:rightChars="-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844" w:type="dxa"/>
            <w:vMerge w:val="restart"/>
            <w:tcBorders>
              <w:top w:val="single" w:color="auto" w:sz="4" w:space="0"/>
              <w:left w:val="single" w:color="auto" w:sz="4" w:space="0"/>
              <w:right w:val="single" w:color="auto" w:sz="4" w:space="0"/>
            </w:tcBorders>
            <w:vAlign w:val="center"/>
          </w:tcPr>
          <w:p>
            <w:pPr>
              <w:snapToGrid w:val="0"/>
              <w:ind w:left="-78" w:leftChars="-37" w:right="-44" w:rightChars="-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签约及完成日期</w:t>
            </w:r>
          </w:p>
        </w:tc>
        <w:tc>
          <w:tcPr>
            <w:tcW w:w="2312" w:type="dxa"/>
            <w:gridSpan w:val="3"/>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附件页码</w:t>
            </w:r>
          </w:p>
        </w:tc>
        <w:tc>
          <w:tcPr>
            <w:tcW w:w="1301"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844" w:type="dxa"/>
            <w:vMerge w:val="continue"/>
            <w:tcBorders>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验收报告</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用户评价</w:t>
            </w:r>
          </w:p>
        </w:tc>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6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6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r>
    </w:tbl>
    <w:p>
      <w:pPr>
        <w:pStyle w:val="13"/>
        <w:snapToGrid w:val="0"/>
        <w:spacing w:line="360" w:lineRule="auto"/>
        <w:ind w:left="480" w:hanging="480"/>
        <w:jc w:val="left"/>
        <w:rPr>
          <w:rFonts w:ascii="仿宋" w:hAnsi="仿宋" w:eastAsia="仿宋" w:cs="仿宋"/>
          <w:color w:val="auto"/>
          <w:sz w:val="24"/>
          <w:highlight w:val="none"/>
        </w:rPr>
      </w:pPr>
      <w:r>
        <w:rPr>
          <w:rFonts w:hint="eastAsia" w:ascii="仿宋" w:hAnsi="仿宋" w:eastAsia="仿宋" w:cs="仿宋"/>
          <w:color w:val="auto"/>
          <w:sz w:val="24"/>
          <w:highlight w:val="none"/>
        </w:rPr>
        <w:t>此表后附合同电子文档等相关证明材料。</w:t>
      </w:r>
    </w:p>
    <w:p>
      <w:pPr>
        <w:pStyle w:val="13"/>
        <w:snapToGrid w:val="0"/>
        <w:ind w:left="480" w:hanging="480"/>
        <w:jc w:val="left"/>
        <w:rPr>
          <w:rFonts w:ascii="仿宋" w:hAnsi="仿宋" w:eastAsia="仿宋" w:cs="仿宋"/>
          <w:color w:val="auto"/>
          <w:sz w:val="24"/>
          <w:highlight w:val="none"/>
        </w:rPr>
      </w:pP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4"/>
        <w:spacing w:before="0" w:after="0"/>
        <w:ind w:firstLine="0" w:firstLineChars="0"/>
        <w:jc w:val="left"/>
        <w:rPr>
          <w:rFonts w:ascii="仿宋" w:hAnsi="仿宋" w:eastAsia="仿宋" w:cs="仿宋"/>
          <w:color w:val="auto"/>
          <w:sz w:val="24"/>
          <w:szCs w:val="24"/>
          <w:highlight w:val="none"/>
        </w:rPr>
      </w:pPr>
      <w:bookmarkStart w:id="376" w:name="_Toc531359061"/>
      <w:bookmarkStart w:id="377" w:name="_Toc3443"/>
      <w:bookmarkStart w:id="378" w:name="_Toc15035"/>
      <w:bookmarkStart w:id="379" w:name="_Toc8234"/>
      <w:r>
        <w:rPr>
          <w:rFonts w:hint="eastAsia" w:ascii="仿宋" w:hAnsi="仿宋" w:eastAsia="仿宋" w:cs="仿宋"/>
          <w:color w:val="auto"/>
          <w:sz w:val="24"/>
          <w:szCs w:val="24"/>
          <w:highlight w:val="none"/>
        </w:rPr>
        <w:t>2.6   商务响应表</w:t>
      </w:r>
      <w:bookmarkEnd w:id="369"/>
      <w:bookmarkEnd w:id="370"/>
      <w:bookmarkEnd w:id="376"/>
      <w:r>
        <w:rPr>
          <w:rFonts w:hint="eastAsia" w:ascii="仿宋" w:hAnsi="仿宋" w:eastAsia="仿宋" w:cs="仿宋"/>
          <w:color w:val="auto"/>
          <w:sz w:val="24"/>
          <w:szCs w:val="24"/>
          <w:highlight w:val="none"/>
        </w:rPr>
        <w:t>格式</w:t>
      </w:r>
      <w:bookmarkEnd w:id="377"/>
      <w:bookmarkEnd w:id="378"/>
      <w:bookmarkEnd w:id="379"/>
    </w:p>
    <w:p>
      <w:pPr>
        <w:pStyle w:val="2"/>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商务响应表</w:t>
      </w:r>
    </w:p>
    <w:p>
      <w:pPr>
        <w:pStyle w:val="41"/>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p>
      <w:pPr>
        <w:pStyle w:val="41"/>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项目名称：                               标项（若有）：</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41"/>
              <w:jc w:val="center"/>
              <w:rPr>
                <w:rFonts w:ascii="仿宋" w:hAnsi="仿宋" w:eastAsia="仿宋"/>
                <w:color w:val="auto"/>
                <w:sz w:val="24"/>
                <w:highlight w:val="none"/>
              </w:rPr>
            </w:pPr>
            <w:bookmarkStart w:id="380" w:name="_Toc493956067"/>
            <w:bookmarkStart w:id="381" w:name="_Toc530551891"/>
            <w:r>
              <w:rPr>
                <w:rFonts w:hint="eastAsia" w:ascii="仿宋" w:hAnsi="仿宋" w:eastAsia="仿宋"/>
                <w:color w:val="auto"/>
                <w:sz w:val="24"/>
                <w:highlight w:val="none"/>
              </w:rPr>
              <w:t>序号</w:t>
            </w:r>
          </w:p>
        </w:tc>
        <w:tc>
          <w:tcPr>
            <w:tcW w:w="1927" w:type="dxa"/>
            <w:vAlign w:val="center"/>
          </w:tcPr>
          <w:p>
            <w:pPr>
              <w:pStyle w:val="41"/>
              <w:jc w:val="center"/>
              <w:rPr>
                <w:rFonts w:ascii="仿宋" w:hAnsi="仿宋" w:eastAsia="仿宋"/>
                <w:color w:val="auto"/>
                <w:sz w:val="24"/>
                <w:highlight w:val="none"/>
              </w:rPr>
            </w:pPr>
            <w:r>
              <w:rPr>
                <w:rFonts w:hint="eastAsia" w:ascii="仿宋" w:hAnsi="仿宋" w:eastAsia="仿宋"/>
                <w:color w:val="auto"/>
                <w:sz w:val="24"/>
                <w:highlight w:val="none"/>
              </w:rPr>
              <w:t>类别</w:t>
            </w:r>
          </w:p>
        </w:tc>
        <w:tc>
          <w:tcPr>
            <w:tcW w:w="2546" w:type="dxa"/>
            <w:vAlign w:val="center"/>
          </w:tcPr>
          <w:p>
            <w:pPr>
              <w:pStyle w:val="41"/>
              <w:jc w:val="center"/>
              <w:rPr>
                <w:rFonts w:ascii="仿宋" w:hAnsi="仿宋" w:eastAsia="仿宋"/>
                <w:color w:val="auto"/>
                <w:sz w:val="24"/>
                <w:highlight w:val="none"/>
              </w:rPr>
            </w:pPr>
            <w:r>
              <w:rPr>
                <w:rFonts w:hint="eastAsia" w:ascii="仿宋" w:hAnsi="仿宋" w:eastAsia="仿宋"/>
                <w:color w:val="auto"/>
                <w:sz w:val="24"/>
                <w:highlight w:val="none"/>
              </w:rPr>
              <w:t>磋商文件要求</w:t>
            </w:r>
          </w:p>
        </w:tc>
        <w:tc>
          <w:tcPr>
            <w:tcW w:w="2694" w:type="dxa"/>
            <w:vAlign w:val="center"/>
          </w:tcPr>
          <w:p>
            <w:pPr>
              <w:pStyle w:val="41"/>
              <w:jc w:val="center"/>
              <w:rPr>
                <w:rFonts w:ascii="仿宋" w:hAnsi="仿宋" w:eastAsia="仿宋"/>
                <w:color w:val="auto"/>
                <w:sz w:val="24"/>
                <w:highlight w:val="none"/>
              </w:rPr>
            </w:pPr>
            <w:r>
              <w:rPr>
                <w:rFonts w:hint="eastAsia" w:ascii="仿宋" w:hAnsi="仿宋" w:eastAsia="仿宋"/>
                <w:color w:val="auto"/>
                <w:sz w:val="24"/>
                <w:highlight w:val="none"/>
              </w:rPr>
              <w:t>供应商承诺</w:t>
            </w:r>
          </w:p>
        </w:tc>
        <w:tc>
          <w:tcPr>
            <w:tcW w:w="1275" w:type="dxa"/>
            <w:vAlign w:val="center"/>
          </w:tcPr>
          <w:p>
            <w:pPr>
              <w:pStyle w:val="41"/>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41"/>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1927" w:type="dxa"/>
            <w:vAlign w:val="center"/>
          </w:tcPr>
          <w:p>
            <w:pPr>
              <w:pStyle w:val="41"/>
              <w:jc w:val="center"/>
              <w:rPr>
                <w:rFonts w:ascii="仿宋" w:hAnsi="仿宋" w:eastAsia="仿宋"/>
                <w:color w:val="auto"/>
                <w:sz w:val="24"/>
                <w:highlight w:val="none"/>
              </w:rPr>
            </w:pPr>
            <w:r>
              <w:rPr>
                <w:rFonts w:hint="eastAsia" w:ascii="仿宋" w:hAnsi="仿宋" w:eastAsia="仿宋"/>
                <w:color w:val="auto"/>
                <w:sz w:val="24"/>
                <w:highlight w:val="none"/>
              </w:rPr>
              <w:t>质保期</w:t>
            </w:r>
          </w:p>
        </w:tc>
        <w:tc>
          <w:tcPr>
            <w:tcW w:w="2546" w:type="dxa"/>
            <w:vAlign w:val="center"/>
          </w:tcPr>
          <w:p>
            <w:pPr>
              <w:pStyle w:val="41"/>
              <w:jc w:val="center"/>
              <w:rPr>
                <w:rFonts w:ascii="仿宋" w:hAnsi="仿宋" w:eastAsia="仿宋"/>
                <w:color w:val="auto"/>
                <w:sz w:val="24"/>
                <w:highlight w:val="none"/>
              </w:rPr>
            </w:pPr>
          </w:p>
        </w:tc>
        <w:tc>
          <w:tcPr>
            <w:tcW w:w="2694" w:type="dxa"/>
            <w:vAlign w:val="center"/>
          </w:tcPr>
          <w:p>
            <w:pPr>
              <w:pStyle w:val="41"/>
              <w:jc w:val="center"/>
              <w:rPr>
                <w:rFonts w:ascii="仿宋" w:hAnsi="仿宋" w:eastAsia="仿宋"/>
                <w:color w:val="auto"/>
                <w:sz w:val="24"/>
                <w:highlight w:val="none"/>
              </w:rPr>
            </w:pPr>
          </w:p>
        </w:tc>
        <w:tc>
          <w:tcPr>
            <w:tcW w:w="1275" w:type="dxa"/>
            <w:vAlign w:val="center"/>
          </w:tcPr>
          <w:p>
            <w:pPr>
              <w:pStyle w:val="41"/>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41"/>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1927" w:type="dxa"/>
            <w:vAlign w:val="center"/>
          </w:tcPr>
          <w:p>
            <w:pPr>
              <w:pStyle w:val="41"/>
              <w:jc w:val="center"/>
              <w:rPr>
                <w:rFonts w:ascii="仿宋" w:hAnsi="仿宋" w:eastAsia="仿宋"/>
                <w:color w:val="auto"/>
                <w:sz w:val="24"/>
                <w:highlight w:val="none"/>
              </w:rPr>
            </w:pPr>
            <w:r>
              <w:rPr>
                <w:rFonts w:hint="eastAsia" w:ascii="仿宋" w:hAnsi="仿宋" w:eastAsia="仿宋"/>
                <w:color w:val="auto"/>
                <w:sz w:val="24"/>
                <w:highlight w:val="none"/>
              </w:rPr>
              <w:t>工期</w:t>
            </w:r>
          </w:p>
        </w:tc>
        <w:tc>
          <w:tcPr>
            <w:tcW w:w="2546" w:type="dxa"/>
            <w:vAlign w:val="center"/>
          </w:tcPr>
          <w:p>
            <w:pPr>
              <w:pStyle w:val="41"/>
              <w:jc w:val="center"/>
              <w:rPr>
                <w:rFonts w:ascii="仿宋" w:hAnsi="仿宋" w:eastAsia="仿宋"/>
                <w:color w:val="auto"/>
                <w:sz w:val="24"/>
                <w:highlight w:val="none"/>
              </w:rPr>
            </w:pPr>
          </w:p>
        </w:tc>
        <w:tc>
          <w:tcPr>
            <w:tcW w:w="2694" w:type="dxa"/>
            <w:vAlign w:val="center"/>
          </w:tcPr>
          <w:p>
            <w:pPr>
              <w:pStyle w:val="41"/>
              <w:jc w:val="center"/>
              <w:rPr>
                <w:rFonts w:ascii="仿宋" w:hAnsi="仿宋" w:eastAsia="仿宋"/>
                <w:color w:val="auto"/>
                <w:sz w:val="24"/>
                <w:highlight w:val="none"/>
              </w:rPr>
            </w:pPr>
          </w:p>
        </w:tc>
        <w:tc>
          <w:tcPr>
            <w:tcW w:w="1275" w:type="dxa"/>
            <w:vAlign w:val="center"/>
          </w:tcPr>
          <w:p>
            <w:pPr>
              <w:pStyle w:val="41"/>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41"/>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1927" w:type="dxa"/>
            <w:vAlign w:val="center"/>
          </w:tcPr>
          <w:p>
            <w:pPr>
              <w:pStyle w:val="41"/>
              <w:jc w:val="center"/>
              <w:rPr>
                <w:rFonts w:ascii="仿宋" w:hAnsi="仿宋" w:eastAsia="仿宋"/>
                <w:color w:val="auto"/>
                <w:sz w:val="24"/>
                <w:highlight w:val="none"/>
              </w:rPr>
            </w:pPr>
            <w:r>
              <w:rPr>
                <w:rFonts w:hint="eastAsia" w:ascii="仿宋" w:hAnsi="仿宋" w:eastAsia="仿宋"/>
                <w:color w:val="auto"/>
                <w:sz w:val="24"/>
                <w:highlight w:val="none"/>
              </w:rPr>
              <w:t>售后技术服务</w:t>
            </w:r>
          </w:p>
        </w:tc>
        <w:tc>
          <w:tcPr>
            <w:tcW w:w="2546" w:type="dxa"/>
            <w:vAlign w:val="center"/>
          </w:tcPr>
          <w:p>
            <w:pPr>
              <w:pStyle w:val="41"/>
              <w:jc w:val="center"/>
              <w:rPr>
                <w:rFonts w:ascii="仿宋" w:hAnsi="仿宋" w:eastAsia="仿宋"/>
                <w:color w:val="auto"/>
                <w:sz w:val="24"/>
                <w:highlight w:val="none"/>
              </w:rPr>
            </w:pPr>
          </w:p>
        </w:tc>
        <w:tc>
          <w:tcPr>
            <w:tcW w:w="2694" w:type="dxa"/>
            <w:vAlign w:val="center"/>
          </w:tcPr>
          <w:p>
            <w:pPr>
              <w:pStyle w:val="41"/>
              <w:jc w:val="center"/>
              <w:rPr>
                <w:rFonts w:ascii="仿宋" w:hAnsi="仿宋" w:eastAsia="仿宋"/>
                <w:color w:val="auto"/>
                <w:sz w:val="24"/>
                <w:highlight w:val="none"/>
              </w:rPr>
            </w:pPr>
          </w:p>
        </w:tc>
        <w:tc>
          <w:tcPr>
            <w:tcW w:w="1275" w:type="dxa"/>
            <w:vAlign w:val="center"/>
          </w:tcPr>
          <w:p>
            <w:pPr>
              <w:pStyle w:val="41"/>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41"/>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1927" w:type="dxa"/>
            <w:vAlign w:val="center"/>
          </w:tcPr>
          <w:p>
            <w:pPr>
              <w:pStyle w:val="41"/>
              <w:jc w:val="center"/>
              <w:rPr>
                <w:rFonts w:ascii="仿宋" w:hAnsi="仿宋" w:eastAsia="仿宋"/>
                <w:color w:val="auto"/>
                <w:sz w:val="24"/>
                <w:highlight w:val="none"/>
              </w:rPr>
            </w:pPr>
            <w:r>
              <w:rPr>
                <w:rFonts w:hint="eastAsia" w:ascii="仿宋" w:hAnsi="仿宋" w:eastAsia="仿宋"/>
                <w:color w:val="auto"/>
                <w:sz w:val="24"/>
                <w:highlight w:val="none"/>
              </w:rPr>
              <w:t>付款方式</w:t>
            </w:r>
          </w:p>
        </w:tc>
        <w:tc>
          <w:tcPr>
            <w:tcW w:w="2546" w:type="dxa"/>
            <w:vAlign w:val="center"/>
          </w:tcPr>
          <w:p>
            <w:pPr>
              <w:pStyle w:val="41"/>
              <w:jc w:val="center"/>
              <w:rPr>
                <w:rFonts w:ascii="仿宋" w:hAnsi="仿宋" w:eastAsia="仿宋"/>
                <w:color w:val="auto"/>
                <w:sz w:val="24"/>
                <w:highlight w:val="none"/>
              </w:rPr>
            </w:pPr>
          </w:p>
        </w:tc>
        <w:tc>
          <w:tcPr>
            <w:tcW w:w="2694" w:type="dxa"/>
            <w:vAlign w:val="center"/>
          </w:tcPr>
          <w:p>
            <w:pPr>
              <w:pStyle w:val="41"/>
              <w:jc w:val="center"/>
              <w:rPr>
                <w:rFonts w:ascii="仿宋" w:hAnsi="仿宋" w:eastAsia="仿宋"/>
                <w:color w:val="auto"/>
                <w:sz w:val="24"/>
                <w:highlight w:val="none"/>
              </w:rPr>
            </w:pPr>
          </w:p>
        </w:tc>
        <w:tc>
          <w:tcPr>
            <w:tcW w:w="1275" w:type="dxa"/>
            <w:vAlign w:val="center"/>
          </w:tcPr>
          <w:p>
            <w:pPr>
              <w:pStyle w:val="41"/>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41"/>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1927" w:type="dxa"/>
            <w:vAlign w:val="center"/>
          </w:tcPr>
          <w:p>
            <w:pPr>
              <w:pStyle w:val="41"/>
              <w:jc w:val="center"/>
              <w:rPr>
                <w:rFonts w:ascii="仿宋" w:hAnsi="仿宋" w:eastAsia="仿宋"/>
                <w:color w:val="auto"/>
                <w:sz w:val="24"/>
                <w:highlight w:val="none"/>
              </w:rPr>
            </w:pPr>
            <w:r>
              <w:rPr>
                <w:rFonts w:hint="eastAsia" w:ascii="仿宋" w:hAnsi="仿宋" w:eastAsia="仿宋"/>
                <w:color w:val="auto"/>
                <w:sz w:val="24"/>
                <w:highlight w:val="none"/>
              </w:rPr>
              <w:t>培训</w:t>
            </w:r>
          </w:p>
        </w:tc>
        <w:tc>
          <w:tcPr>
            <w:tcW w:w="2546" w:type="dxa"/>
            <w:vAlign w:val="center"/>
          </w:tcPr>
          <w:p>
            <w:pPr>
              <w:pStyle w:val="41"/>
              <w:jc w:val="center"/>
              <w:rPr>
                <w:rFonts w:ascii="仿宋" w:hAnsi="仿宋" w:eastAsia="仿宋"/>
                <w:color w:val="auto"/>
                <w:sz w:val="24"/>
                <w:highlight w:val="none"/>
              </w:rPr>
            </w:pPr>
          </w:p>
        </w:tc>
        <w:tc>
          <w:tcPr>
            <w:tcW w:w="2694" w:type="dxa"/>
            <w:vAlign w:val="center"/>
          </w:tcPr>
          <w:p>
            <w:pPr>
              <w:pStyle w:val="41"/>
              <w:jc w:val="center"/>
              <w:rPr>
                <w:rFonts w:ascii="仿宋" w:hAnsi="仿宋" w:eastAsia="仿宋"/>
                <w:color w:val="auto"/>
                <w:sz w:val="24"/>
                <w:highlight w:val="none"/>
              </w:rPr>
            </w:pPr>
          </w:p>
        </w:tc>
        <w:tc>
          <w:tcPr>
            <w:tcW w:w="1275" w:type="dxa"/>
            <w:vAlign w:val="center"/>
          </w:tcPr>
          <w:p>
            <w:pPr>
              <w:pStyle w:val="41"/>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38" w:type="dxa"/>
            <w:vAlign w:val="center"/>
          </w:tcPr>
          <w:p>
            <w:pPr>
              <w:pStyle w:val="41"/>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1927" w:type="dxa"/>
            <w:vAlign w:val="center"/>
          </w:tcPr>
          <w:p>
            <w:pPr>
              <w:pStyle w:val="41"/>
              <w:jc w:val="center"/>
              <w:rPr>
                <w:rFonts w:ascii="仿宋" w:hAnsi="仿宋" w:eastAsia="仿宋"/>
                <w:color w:val="auto"/>
                <w:sz w:val="24"/>
                <w:highlight w:val="none"/>
              </w:rPr>
            </w:pPr>
            <w:r>
              <w:rPr>
                <w:rFonts w:hint="eastAsia" w:ascii="仿宋" w:hAnsi="仿宋" w:eastAsia="仿宋"/>
                <w:color w:val="auto"/>
                <w:sz w:val="24"/>
                <w:highlight w:val="none"/>
              </w:rPr>
              <w:t>备品备件及耗材要求</w:t>
            </w:r>
          </w:p>
        </w:tc>
        <w:tc>
          <w:tcPr>
            <w:tcW w:w="2546" w:type="dxa"/>
            <w:vAlign w:val="center"/>
          </w:tcPr>
          <w:p>
            <w:pPr>
              <w:pStyle w:val="41"/>
              <w:jc w:val="center"/>
              <w:rPr>
                <w:rFonts w:ascii="仿宋" w:hAnsi="仿宋" w:eastAsia="仿宋"/>
                <w:color w:val="auto"/>
                <w:sz w:val="24"/>
                <w:highlight w:val="none"/>
              </w:rPr>
            </w:pPr>
          </w:p>
        </w:tc>
        <w:tc>
          <w:tcPr>
            <w:tcW w:w="2694" w:type="dxa"/>
            <w:vAlign w:val="center"/>
          </w:tcPr>
          <w:p>
            <w:pPr>
              <w:pStyle w:val="41"/>
              <w:jc w:val="center"/>
              <w:rPr>
                <w:rFonts w:ascii="仿宋" w:hAnsi="仿宋" w:eastAsia="仿宋"/>
                <w:color w:val="auto"/>
                <w:sz w:val="24"/>
                <w:highlight w:val="none"/>
              </w:rPr>
            </w:pPr>
          </w:p>
        </w:tc>
        <w:tc>
          <w:tcPr>
            <w:tcW w:w="1275" w:type="dxa"/>
            <w:vAlign w:val="center"/>
          </w:tcPr>
          <w:p>
            <w:pPr>
              <w:pStyle w:val="41"/>
              <w:jc w:val="center"/>
              <w:rPr>
                <w:rFonts w:ascii="仿宋" w:hAnsi="仿宋" w:eastAsia="仿宋"/>
                <w:color w:val="auto"/>
                <w:sz w:val="24"/>
                <w:highlight w:val="none"/>
              </w:rPr>
            </w:pPr>
          </w:p>
        </w:tc>
      </w:tr>
    </w:tbl>
    <w:p>
      <w:pPr>
        <w:pStyle w:val="13"/>
        <w:snapToGrid w:val="0"/>
        <w:ind w:left="480" w:hanging="480"/>
        <w:jc w:val="left"/>
        <w:rPr>
          <w:rFonts w:ascii="仿宋" w:hAnsi="仿宋" w:eastAsia="仿宋"/>
          <w:color w:val="auto"/>
          <w:sz w:val="24"/>
          <w:highlight w:val="none"/>
        </w:rPr>
      </w:pP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4"/>
        <w:spacing w:before="0" w:after="0"/>
        <w:ind w:firstLine="0" w:firstLineChars="0"/>
        <w:jc w:val="left"/>
        <w:rPr>
          <w:rFonts w:ascii="仿宋" w:hAnsi="仿宋" w:eastAsia="仿宋"/>
          <w:color w:val="auto"/>
          <w:sz w:val="24"/>
          <w:szCs w:val="24"/>
          <w:highlight w:val="none"/>
        </w:rPr>
      </w:pPr>
      <w:bookmarkStart w:id="382" w:name="_Toc19720"/>
      <w:bookmarkStart w:id="383" w:name="_Toc18812"/>
      <w:bookmarkStart w:id="384" w:name="_Toc23139"/>
      <w:bookmarkStart w:id="385" w:name="_Toc18560"/>
      <w:bookmarkStart w:id="386" w:name="_Toc531359062"/>
      <w:r>
        <w:rPr>
          <w:rFonts w:ascii="仿宋" w:hAnsi="仿宋" w:eastAsia="仿宋"/>
          <w:color w:val="auto"/>
          <w:sz w:val="24"/>
          <w:szCs w:val="24"/>
          <w:highlight w:val="none"/>
        </w:rPr>
        <w:t>2.</w:t>
      </w:r>
      <w:r>
        <w:rPr>
          <w:rFonts w:hint="eastAsia" w:ascii="仿宋" w:hAnsi="仿宋" w:eastAsia="仿宋"/>
          <w:color w:val="auto"/>
          <w:sz w:val="24"/>
          <w:szCs w:val="24"/>
          <w:highlight w:val="none"/>
        </w:rPr>
        <w:t>7</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技术服务</w:t>
      </w:r>
      <w:bookmarkEnd w:id="382"/>
      <w:bookmarkEnd w:id="383"/>
      <w:bookmarkEnd w:id="384"/>
      <w:bookmarkEnd w:id="385"/>
    </w:p>
    <w:p>
      <w:pPr>
        <w:pStyle w:val="2"/>
        <w:ind w:firstLine="0"/>
        <w:rPr>
          <w:rFonts w:ascii="仿宋" w:hAnsi="仿宋" w:eastAsia="仿宋"/>
          <w:color w:val="auto"/>
          <w:highlight w:val="none"/>
        </w:rPr>
      </w:pPr>
    </w:p>
    <w:p>
      <w:pPr>
        <w:pStyle w:val="34"/>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highlight w:val="none"/>
        </w:rPr>
        <w:t>格式自行设计</w:t>
      </w:r>
      <w:r>
        <w:rPr>
          <w:rFonts w:hint="eastAsia" w:ascii="仿宋" w:hAnsi="仿宋" w:eastAsia="仿宋"/>
          <w:color w:val="auto"/>
          <w:sz w:val="24"/>
          <w:szCs w:val="24"/>
          <w:highlight w:val="none"/>
        </w:rPr>
        <w:t>）</w:t>
      </w:r>
    </w:p>
    <w:p>
      <w:pPr>
        <w:pStyle w:val="2"/>
        <w:spacing w:line="360" w:lineRule="auto"/>
        <w:ind w:firstLine="0"/>
        <w:rPr>
          <w:rFonts w:ascii="仿宋" w:hAnsi="仿宋" w:eastAsia="仿宋"/>
          <w:color w:val="auto"/>
          <w:sz w:val="24"/>
          <w:szCs w:val="24"/>
          <w:highlight w:val="none"/>
        </w:rPr>
      </w:pPr>
      <w:r>
        <w:rPr>
          <w:rFonts w:hint="eastAsia" w:ascii="仿宋" w:hAnsi="仿宋" w:eastAsia="仿宋"/>
          <w:color w:val="auto"/>
          <w:sz w:val="24"/>
          <w:szCs w:val="24"/>
          <w:highlight w:val="none"/>
        </w:rPr>
        <w:t>内容要求：供应商对培训、咨询等技术服务内容进行详细阐述。</w:t>
      </w:r>
    </w:p>
    <w:p>
      <w:pPr>
        <w:pStyle w:val="13"/>
        <w:snapToGrid w:val="0"/>
        <w:ind w:left="480" w:hanging="480"/>
        <w:jc w:val="left"/>
        <w:rPr>
          <w:rFonts w:ascii="仿宋" w:hAnsi="仿宋" w:eastAsia="仿宋"/>
          <w:color w:val="auto"/>
          <w:sz w:val="24"/>
          <w:highlight w:val="none"/>
        </w:rPr>
      </w:pPr>
    </w:p>
    <w:p>
      <w:pPr>
        <w:pStyle w:val="30"/>
        <w:wordWrap w:val="0"/>
        <w:spacing w:line="360" w:lineRule="auto"/>
        <w:ind w:firstLine="480"/>
        <w:jc w:val="right"/>
        <w:rPr>
          <w:rFonts w:ascii="仿宋" w:hAnsi="仿宋" w:eastAsia="仿宋"/>
          <w:color w:val="auto"/>
          <w:sz w:val="24"/>
          <w:szCs w:val="21"/>
          <w:highlight w:val="none"/>
          <w:u w:val="single"/>
        </w:rPr>
      </w:pPr>
      <w:r>
        <w:rPr>
          <w:rFonts w:hint="eastAsia" w:ascii="仿宋" w:hAnsi="仿宋" w:eastAsia="仿宋"/>
          <w:color w:val="auto"/>
          <w:sz w:val="24"/>
          <w:szCs w:val="21"/>
          <w:highlight w:val="none"/>
        </w:rPr>
        <w:t>供应商盖章：</w:t>
      </w:r>
      <w:r>
        <w:rPr>
          <w:rFonts w:hint="eastAsia" w:ascii="仿宋" w:hAnsi="仿宋" w:eastAsia="仿宋"/>
          <w:color w:val="auto"/>
          <w:sz w:val="24"/>
          <w:szCs w:val="21"/>
          <w:highlight w:val="none"/>
          <w:u w:val="single"/>
        </w:rPr>
        <w:t xml:space="preserve">                </w:t>
      </w:r>
    </w:p>
    <w:p>
      <w:pPr>
        <w:pStyle w:val="30"/>
        <w:wordWrap w:val="0"/>
        <w:spacing w:line="360" w:lineRule="auto"/>
        <w:ind w:firstLine="480"/>
        <w:jc w:val="right"/>
        <w:rPr>
          <w:rFonts w:ascii="仿宋" w:hAnsi="仿宋" w:eastAsia="仿宋"/>
          <w:color w:val="auto"/>
          <w:sz w:val="24"/>
          <w:szCs w:val="21"/>
          <w:highlight w:val="none"/>
          <w:u w:val="single"/>
        </w:rPr>
      </w:pPr>
      <w:r>
        <w:rPr>
          <w:rFonts w:hint="eastAsia" w:ascii="仿宋" w:hAnsi="仿宋" w:eastAsia="仿宋"/>
          <w:color w:val="auto"/>
          <w:sz w:val="24"/>
          <w:szCs w:val="21"/>
          <w:highlight w:val="none"/>
        </w:rPr>
        <w:t>日      期：</w:t>
      </w:r>
      <w:r>
        <w:rPr>
          <w:rFonts w:hint="eastAsia" w:ascii="仿宋" w:hAnsi="仿宋" w:eastAsia="仿宋"/>
          <w:color w:val="auto"/>
          <w:sz w:val="24"/>
          <w:szCs w:val="21"/>
          <w:highlight w:val="none"/>
          <w:u w:val="single"/>
        </w:rPr>
        <w:t xml:space="preserve">                </w:t>
      </w:r>
    </w:p>
    <w:p>
      <w:pPr>
        <w:pStyle w:val="34"/>
        <w:spacing w:line="360" w:lineRule="auto"/>
        <w:rPr>
          <w:rFonts w:ascii="仿宋" w:hAnsi="仿宋" w:eastAsia="仿宋"/>
          <w:color w:val="auto"/>
          <w:sz w:val="24"/>
          <w:szCs w:val="24"/>
          <w:highlight w:val="none"/>
        </w:rPr>
      </w:pPr>
    </w:p>
    <w:p>
      <w:pPr>
        <w:pStyle w:val="4"/>
        <w:spacing w:before="0" w:after="0"/>
        <w:ind w:firstLine="0" w:firstLineChars="0"/>
        <w:jc w:val="left"/>
        <w:rPr>
          <w:rFonts w:ascii="仿宋" w:hAnsi="仿宋" w:eastAsia="仿宋"/>
          <w:color w:val="auto"/>
          <w:sz w:val="24"/>
          <w:szCs w:val="24"/>
          <w:highlight w:val="none"/>
        </w:rPr>
      </w:pPr>
      <w:bookmarkStart w:id="387" w:name="_Toc5639"/>
      <w:bookmarkStart w:id="388" w:name="_Toc17569"/>
    </w:p>
    <w:p>
      <w:pPr>
        <w:pStyle w:val="4"/>
        <w:spacing w:before="0" w:after="0"/>
        <w:ind w:firstLine="0" w:firstLineChars="0"/>
        <w:jc w:val="left"/>
        <w:rPr>
          <w:rFonts w:ascii="仿宋" w:hAnsi="仿宋" w:eastAsia="仿宋"/>
          <w:color w:val="auto"/>
          <w:sz w:val="24"/>
          <w:szCs w:val="24"/>
          <w:highlight w:val="none"/>
        </w:rPr>
      </w:pPr>
    </w:p>
    <w:p>
      <w:pPr>
        <w:pStyle w:val="4"/>
        <w:spacing w:before="0" w:after="0"/>
        <w:ind w:firstLine="0" w:firstLineChars="0"/>
        <w:jc w:val="left"/>
        <w:rPr>
          <w:rFonts w:ascii="仿宋" w:hAnsi="仿宋" w:eastAsia="仿宋"/>
          <w:color w:val="auto"/>
          <w:sz w:val="24"/>
          <w:szCs w:val="24"/>
          <w:highlight w:val="none"/>
        </w:rPr>
      </w:pPr>
    </w:p>
    <w:p>
      <w:pPr>
        <w:pStyle w:val="4"/>
        <w:spacing w:before="0" w:after="0"/>
        <w:ind w:firstLine="0"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br w:type="page"/>
      </w:r>
      <w:bookmarkStart w:id="389" w:name="_Toc17403"/>
      <w:bookmarkStart w:id="390" w:name="_Toc10939"/>
      <w:bookmarkStart w:id="391" w:name="_Toc31842"/>
      <w:r>
        <w:rPr>
          <w:rFonts w:hint="eastAsia" w:ascii="仿宋" w:hAnsi="仿宋" w:eastAsia="仿宋"/>
          <w:color w:val="auto"/>
          <w:sz w:val="24"/>
          <w:szCs w:val="24"/>
          <w:highlight w:val="none"/>
        </w:rPr>
        <w:t>2.8    售后服务</w:t>
      </w:r>
      <w:bookmarkEnd w:id="387"/>
      <w:bookmarkEnd w:id="388"/>
      <w:bookmarkEnd w:id="389"/>
      <w:bookmarkEnd w:id="390"/>
      <w:bookmarkEnd w:id="391"/>
    </w:p>
    <w:p>
      <w:pPr>
        <w:pStyle w:val="2"/>
        <w:ind w:firstLine="0"/>
        <w:jc w:val="center"/>
        <w:rPr>
          <w:rFonts w:ascii="仿宋" w:hAnsi="仿宋" w:eastAsia="仿宋"/>
          <w:color w:val="auto"/>
          <w:highlight w:val="none"/>
        </w:rPr>
      </w:pPr>
      <w:r>
        <w:rPr>
          <w:rFonts w:hint="eastAsia" w:ascii="仿宋" w:hAnsi="仿宋" w:eastAsia="仿宋"/>
          <w:color w:val="auto"/>
          <w:sz w:val="24"/>
          <w:highlight w:val="none"/>
        </w:rPr>
        <w:t>（格式自行设计）</w:t>
      </w:r>
    </w:p>
    <w:p>
      <w:pPr>
        <w:pStyle w:val="45"/>
        <w:spacing w:line="360" w:lineRule="auto"/>
        <w:rPr>
          <w:rFonts w:ascii="仿宋" w:hAnsi="仿宋" w:eastAsia="仿宋"/>
          <w:color w:val="auto"/>
          <w:sz w:val="24"/>
          <w:highlight w:val="none"/>
        </w:rPr>
      </w:pPr>
    </w:p>
    <w:p>
      <w:pPr>
        <w:pStyle w:val="45"/>
        <w:spacing w:line="360" w:lineRule="auto"/>
        <w:rPr>
          <w:rFonts w:ascii="仿宋" w:hAnsi="仿宋" w:eastAsia="仿宋"/>
          <w:color w:val="auto"/>
          <w:sz w:val="24"/>
          <w:highlight w:val="none"/>
        </w:rPr>
      </w:pPr>
      <w:r>
        <w:rPr>
          <w:rFonts w:hint="eastAsia" w:ascii="仿宋" w:hAnsi="仿宋" w:eastAsia="仿宋"/>
          <w:color w:val="auto"/>
          <w:sz w:val="24"/>
          <w:highlight w:val="none"/>
        </w:rPr>
        <w:t>售后服务机构说明及售后服务承诺：</w:t>
      </w:r>
    </w:p>
    <w:p>
      <w:pPr>
        <w:pStyle w:val="45"/>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1、售后服务机构说明包括长期售后服务机构的详细介绍、资质资格、技术力量、成立时间等。</w:t>
      </w:r>
    </w:p>
    <w:p>
      <w:pPr>
        <w:pStyle w:val="45"/>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2、保修期说明；</w:t>
      </w:r>
    </w:p>
    <w:p>
      <w:pPr>
        <w:pStyle w:val="45"/>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3、售后服务承诺：</w:t>
      </w:r>
    </w:p>
    <w:p>
      <w:pPr>
        <w:pStyle w:val="45"/>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（1）保修期内售后服务承诺包含售后服务内容、故障响应时间、到达现场时间、处理故障方式及时间；服务计划说明、保障措施；</w:t>
      </w:r>
    </w:p>
    <w:p>
      <w:pPr>
        <w:pStyle w:val="45"/>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（2）保修期外售后服务承诺包括服务内容、收费标准、维修配件价格等；</w:t>
      </w:r>
    </w:p>
    <w:p>
      <w:pPr>
        <w:pStyle w:val="45"/>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4、其他说明。</w:t>
      </w:r>
    </w:p>
    <w:p>
      <w:pPr>
        <w:pStyle w:val="13"/>
        <w:snapToGrid w:val="0"/>
        <w:ind w:left="480" w:hanging="480"/>
        <w:jc w:val="left"/>
        <w:rPr>
          <w:rFonts w:ascii="仿宋" w:hAnsi="仿宋" w:eastAsia="仿宋"/>
          <w:color w:val="auto"/>
          <w:sz w:val="24"/>
          <w:highlight w:val="none"/>
        </w:rPr>
      </w:pPr>
    </w:p>
    <w:p>
      <w:pPr>
        <w:pStyle w:val="30"/>
        <w:wordWrap w:val="0"/>
        <w:spacing w:line="360" w:lineRule="auto"/>
        <w:ind w:firstLine="480"/>
        <w:jc w:val="right"/>
        <w:rPr>
          <w:rFonts w:ascii="仿宋" w:hAnsi="仿宋" w:eastAsia="仿宋"/>
          <w:color w:val="auto"/>
          <w:sz w:val="24"/>
          <w:szCs w:val="21"/>
          <w:highlight w:val="none"/>
          <w:u w:val="single"/>
        </w:rPr>
      </w:pPr>
      <w:r>
        <w:rPr>
          <w:rFonts w:hint="eastAsia" w:ascii="仿宋" w:hAnsi="仿宋" w:eastAsia="仿宋"/>
          <w:color w:val="auto"/>
          <w:sz w:val="24"/>
          <w:szCs w:val="21"/>
          <w:highlight w:val="none"/>
        </w:rPr>
        <w:t>供应商盖章：</w:t>
      </w:r>
      <w:r>
        <w:rPr>
          <w:rFonts w:hint="eastAsia" w:ascii="仿宋" w:hAnsi="仿宋" w:eastAsia="仿宋"/>
          <w:color w:val="auto"/>
          <w:sz w:val="24"/>
          <w:szCs w:val="21"/>
          <w:highlight w:val="none"/>
          <w:u w:val="single"/>
        </w:rPr>
        <w:t xml:space="preserve">                </w:t>
      </w:r>
    </w:p>
    <w:p>
      <w:pPr>
        <w:pStyle w:val="30"/>
        <w:wordWrap w:val="0"/>
        <w:spacing w:line="360" w:lineRule="auto"/>
        <w:ind w:firstLine="480"/>
        <w:jc w:val="right"/>
        <w:rPr>
          <w:rFonts w:ascii="仿宋" w:hAnsi="仿宋" w:eastAsia="仿宋"/>
          <w:color w:val="auto"/>
          <w:sz w:val="24"/>
          <w:szCs w:val="21"/>
          <w:highlight w:val="none"/>
          <w:u w:val="single"/>
        </w:rPr>
      </w:pPr>
      <w:r>
        <w:rPr>
          <w:rFonts w:hint="eastAsia" w:ascii="仿宋" w:hAnsi="仿宋" w:eastAsia="仿宋"/>
          <w:color w:val="auto"/>
          <w:sz w:val="24"/>
          <w:szCs w:val="21"/>
          <w:highlight w:val="none"/>
        </w:rPr>
        <w:t>日      期：</w:t>
      </w:r>
      <w:r>
        <w:rPr>
          <w:rFonts w:hint="eastAsia" w:ascii="仿宋" w:hAnsi="仿宋" w:eastAsia="仿宋"/>
          <w:color w:val="auto"/>
          <w:sz w:val="24"/>
          <w:szCs w:val="21"/>
          <w:highlight w:val="none"/>
          <w:u w:val="single"/>
        </w:rPr>
        <w:t xml:space="preserve">                </w:t>
      </w:r>
    </w:p>
    <w:p>
      <w:pPr>
        <w:pStyle w:val="30"/>
        <w:spacing w:line="440" w:lineRule="exact"/>
        <w:jc w:val="left"/>
        <w:rPr>
          <w:rFonts w:ascii="仿宋" w:hAnsi="仿宋" w:eastAsia="仿宋"/>
          <w:color w:val="auto"/>
          <w:spacing w:val="20"/>
          <w:sz w:val="24"/>
          <w:szCs w:val="21"/>
          <w:highlight w:val="none"/>
          <w:u w:val="single"/>
        </w:rPr>
      </w:pPr>
    </w:p>
    <w:p>
      <w:pPr>
        <w:pStyle w:val="30"/>
        <w:spacing w:line="440" w:lineRule="exact"/>
        <w:jc w:val="left"/>
        <w:rPr>
          <w:rFonts w:ascii="仿宋" w:hAnsi="仿宋" w:eastAsia="仿宋"/>
          <w:color w:val="auto"/>
          <w:spacing w:val="20"/>
          <w:sz w:val="24"/>
          <w:szCs w:val="21"/>
          <w:highlight w:val="none"/>
          <w:u w:val="single"/>
        </w:rPr>
      </w:pPr>
    </w:p>
    <w:p>
      <w:pPr>
        <w:pStyle w:val="4"/>
        <w:spacing w:before="0" w:after="0"/>
        <w:ind w:firstLine="0" w:firstLineChars="0"/>
        <w:jc w:val="left"/>
        <w:rPr>
          <w:rFonts w:ascii="仿宋" w:hAnsi="仿宋" w:eastAsia="仿宋"/>
          <w:color w:val="auto"/>
          <w:sz w:val="24"/>
          <w:szCs w:val="24"/>
          <w:highlight w:val="none"/>
        </w:rPr>
      </w:pPr>
      <w:bookmarkStart w:id="392" w:name="_Toc20649"/>
      <w:bookmarkStart w:id="393" w:name="_Toc27753"/>
      <w:bookmarkStart w:id="394" w:name="_Toc30286"/>
      <w:bookmarkStart w:id="395" w:name="_Toc13735"/>
      <w:bookmarkStart w:id="396" w:name="_Toc30942"/>
      <w:bookmarkStart w:id="397" w:name="_Toc531359064"/>
      <w:r>
        <w:rPr>
          <w:rFonts w:hint="eastAsia" w:ascii="仿宋" w:hAnsi="仿宋" w:eastAsia="仿宋"/>
          <w:color w:val="auto"/>
          <w:sz w:val="24"/>
          <w:szCs w:val="24"/>
          <w:highlight w:val="none"/>
        </w:rPr>
        <w:t>2.9    对本项目总体要求的理解</w:t>
      </w:r>
      <w:bookmarkEnd w:id="392"/>
      <w:bookmarkEnd w:id="393"/>
      <w:bookmarkEnd w:id="394"/>
      <w:bookmarkEnd w:id="395"/>
      <w:bookmarkEnd w:id="396"/>
      <w:bookmarkEnd w:id="397"/>
    </w:p>
    <w:p>
      <w:pPr>
        <w:pStyle w:val="43"/>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（格式自行设计）</w:t>
      </w:r>
    </w:p>
    <w:p>
      <w:pPr>
        <w:pStyle w:val="43"/>
        <w:spacing w:line="360" w:lineRule="auto"/>
        <w:jc w:val="left"/>
        <w:rPr>
          <w:rFonts w:ascii="仿宋" w:hAnsi="仿宋" w:eastAsia="仿宋"/>
          <w:color w:val="auto"/>
          <w:sz w:val="24"/>
          <w:highlight w:val="none"/>
        </w:rPr>
      </w:pPr>
    </w:p>
    <w:p>
      <w:pPr>
        <w:pStyle w:val="30"/>
        <w:wordWrap w:val="0"/>
        <w:spacing w:line="360" w:lineRule="auto"/>
        <w:ind w:firstLine="480"/>
        <w:jc w:val="right"/>
        <w:rPr>
          <w:rFonts w:ascii="仿宋" w:hAnsi="仿宋" w:eastAsia="仿宋"/>
          <w:color w:val="auto"/>
          <w:sz w:val="24"/>
          <w:szCs w:val="21"/>
          <w:highlight w:val="none"/>
          <w:u w:val="single"/>
        </w:rPr>
      </w:pPr>
      <w:r>
        <w:rPr>
          <w:rFonts w:hint="eastAsia" w:ascii="仿宋" w:hAnsi="仿宋" w:eastAsia="仿宋"/>
          <w:color w:val="auto"/>
          <w:sz w:val="24"/>
          <w:szCs w:val="21"/>
          <w:highlight w:val="none"/>
        </w:rPr>
        <w:t>供应商盖章：</w:t>
      </w:r>
      <w:r>
        <w:rPr>
          <w:rFonts w:hint="eastAsia" w:ascii="仿宋" w:hAnsi="仿宋" w:eastAsia="仿宋"/>
          <w:color w:val="auto"/>
          <w:sz w:val="24"/>
          <w:szCs w:val="21"/>
          <w:highlight w:val="none"/>
          <w:u w:val="single"/>
        </w:rPr>
        <w:t xml:space="preserve">                </w:t>
      </w:r>
    </w:p>
    <w:p>
      <w:pPr>
        <w:pStyle w:val="30"/>
        <w:wordWrap w:val="0"/>
        <w:spacing w:line="360" w:lineRule="auto"/>
        <w:ind w:firstLine="480"/>
        <w:jc w:val="right"/>
        <w:rPr>
          <w:rFonts w:ascii="仿宋" w:hAnsi="仿宋" w:eastAsia="仿宋"/>
          <w:color w:val="auto"/>
          <w:sz w:val="24"/>
          <w:szCs w:val="21"/>
          <w:highlight w:val="none"/>
          <w:u w:val="single"/>
        </w:rPr>
      </w:pPr>
      <w:r>
        <w:rPr>
          <w:rFonts w:hint="eastAsia" w:ascii="仿宋" w:hAnsi="仿宋" w:eastAsia="仿宋"/>
          <w:color w:val="auto"/>
          <w:sz w:val="24"/>
          <w:szCs w:val="21"/>
          <w:highlight w:val="none"/>
        </w:rPr>
        <w:t>日      期：</w:t>
      </w:r>
      <w:r>
        <w:rPr>
          <w:rFonts w:hint="eastAsia" w:ascii="仿宋" w:hAnsi="仿宋" w:eastAsia="仿宋"/>
          <w:color w:val="auto"/>
          <w:sz w:val="24"/>
          <w:szCs w:val="21"/>
          <w:highlight w:val="none"/>
          <w:u w:val="single"/>
        </w:rPr>
        <w:t xml:space="preserve">                </w:t>
      </w:r>
    </w:p>
    <w:p>
      <w:pPr>
        <w:pStyle w:val="30"/>
        <w:spacing w:line="440" w:lineRule="exact"/>
        <w:jc w:val="left"/>
        <w:rPr>
          <w:rFonts w:ascii="仿宋" w:hAnsi="仿宋" w:eastAsia="仿宋"/>
          <w:color w:val="auto"/>
          <w:spacing w:val="20"/>
          <w:sz w:val="24"/>
          <w:szCs w:val="21"/>
          <w:highlight w:val="none"/>
          <w:u w:val="single"/>
        </w:rPr>
      </w:pPr>
    </w:p>
    <w:p>
      <w:pPr>
        <w:pStyle w:val="4"/>
        <w:spacing w:before="0" w:after="0"/>
        <w:ind w:firstLine="0" w:firstLineChars="0"/>
        <w:jc w:val="left"/>
        <w:rPr>
          <w:rFonts w:ascii="仿宋" w:hAnsi="仿宋" w:eastAsia="仿宋"/>
          <w:color w:val="auto"/>
          <w:sz w:val="24"/>
          <w:szCs w:val="24"/>
          <w:highlight w:val="none"/>
        </w:rPr>
      </w:pPr>
      <w:bookmarkStart w:id="398" w:name="_Toc531359065"/>
      <w:bookmarkStart w:id="399" w:name="_Toc14782"/>
      <w:bookmarkStart w:id="400" w:name="_Toc9420"/>
      <w:bookmarkStart w:id="401" w:name="_Toc31180"/>
      <w:bookmarkStart w:id="402" w:name="_Toc9007"/>
      <w:bookmarkStart w:id="403" w:name="_Toc23648"/>
      <w:r>
        <w:rPr>
          <w:rFonts w:hint="eastAsia" w:ascii="仿宋" w:hAnsi="仿宋" w:eastAsia="仿宋"/>
          <w:color w:val="auto"/>
          <w:sz w:val="24"/>
          <w:szCs w:val="24"/>
          <w:highlight w:val="none"/>
        </w:rPr>
        <w:t>2.10    实施方案及实施计划</w:t>
      </w:r>
      <w:bookmarkEnd w:id="398"/>
      <w:bookmarkEnd w:id="399"/>
      <w:bookmarkEnd w:id="400"/>
      <w:bookmarkEnd w:id="401"/>
      <w:bookmarkEnd w:id="402"/>
      <w:bookmarkEnd w:id="403"/>
    </w:p>
    <w:p>
      <w:pPr>
        <w:pStyle w:val="43"/>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（格式自行设计）</w:t>
      </w:r>
    </w:p>
    <w:p>
      <w:pPr>
        <w:pStyle w:val="43"/>
        <w:spacing w:line="360" w:lineRule="auto"/>
        <w:jc w:val="left"/>
        <w:rPr>
          <w:rFonts w:ascii="仿宋" w:hAnsi="仿宋" w:eastAsia="仿宋"/>
          <w:color w:val="auto"/>
          <w:sz w:val="24"/>
          <w:highlight w:val="none"/>
        </w:rPr>
      </w:pPr>
    </w:p>
    <w:p>
      <w:pPr>
        <w:pStyle w:val="13"/>
        <w:snapToGrid w:val="0"/>
        <w:ind w:left="480" w:hanging="480"/>
        <w:jc w:val="left"/>
        <w:rPr>
          <w:rFonts w:ascii="仿宋" w:hAnsi="仿宋" w:eastAsia="仿宋"/>
          <w:color w:val="auto"/>
          <w:sz w:val="24"/>
          <w:highlight w:val="none"/>
        </w:rPr>
      </w:pPr>
    </w:p>
    <w:p>
      <w:pPr>
        <w:pStyle w:val="30"/>
        <w:wordWrap w:val="0"/>
        <w:spacing w:line="360" w:lineRule="auto"/>
        <w:ind w:firstLine="480"/>
        <w:jc w:val="right"/>
        <w:rPr>
          <w:rFonts w:ascii="仿宋" w:hAnsi="仿宋" w:eastAsia="仿宋"/>
          <w:color w:val="auto"/>
          <w:sz w:val="24"/>
          <w:szCs w:val="21"/>
          <w:highlight w:val="none"/>
          <w:u w:val="single"/>
        </w:rPr>
      </w:pPr>
      <w:r>
        <w:rPr>
          <w:rFonts w:hint="eastAsia" w:ascii="仿宋" w:hAnsi="仿宋" w:eastAsia="仿宋"/>
          <w:color w:val="auto"/>
          <w:sz w:val="24"/>
          <w:szCs w:val="21"/>
          <w:highlight w:val="none"/>
        </w:rPr>
        <w:t>供应商盖章：</w:t>
      </w:r>
      <w:r>
        <w:rPr>
          <w:rFonts w:hint="eastAsia" w:ascii="仿宋" w:hAnsi="仿宋" w:eastAsia="仿宋"/>
          <w:color w:val="auto"/>
          <w:sz w:val="24"/>
          <w:szCs w:val="21"/>
          <w:highlight w:val="none"/>
          <w:u w:val="single"/>
        </w:rPr>
        <w:t xml:space="preserve">                </w:t>
      </w:r>
    </w:p>
    <w:p>
      <w:pPr>
        <w:pStyle w:val="30"/>
        <w:wordWrap w:val="0"/>
        <w:spacing w:line="360" w:lineRule="auto"/>
        <w:ind w:firstLine="480"/>
        <w:jc w:val="right"/>
        <w:rPr>
          <w:rFonts w:ascii="仿宋" w:hAnsi="仿宋" w:eastAsia="仿宋"/>
          <w:color w:val="auto"/>
          <w:sz w:val="24"/>
          <w:szCs w:val="21"/>
          <w:highlight w:val="none"/>
          <w:u w:val="single"/>
        </w:rPr>
      </w:pPr>
      <w:r>
        <w:rPr>
          <w:rFonts w:hint="eastAsia" w:ascii="仿宋" w:hAnsi="仿宋" w:eastAsia="仿宋"/>
          <w:color w:val="auto"/>
          <w:sz w:val="24"/>
          <w:szCs w:val="21"/>
          <w:highlight w:val="none"/>
        </w:rPr>
        <w:t>日      期：</w:t>
      </w:r>
      <w:r>
        <w:rPr>
          <w:rFonts w:hint="eastAsia" w:ascii="仿宋" w:hAnsi="仿宋" w:eastAsia="仿宋"/>
          <w:color w:val="auto"/>
          <w:sz w:val="24"/>
          <w:szCs w:val="21"/>
          <w:highlight w:val="none"/>
          <w:u w:val="single"/>
        </w:rPr>
        <w:t xml:space="preserve">                </w:t>
      </w:r>
    </w:p>
    <w:p>
      <w:pPr>
        <w:pStyle w:val="43"/>
        <w:spacing w:line="360" w:lineRule="auto"/>
        <w:jc w:val="left"/>
        <w:rPr>
          <w:rFonts w:ascii="仿宋" w:hAnsi="仿宋" w:eastAsia="仿宋"/>
          <w:color w:val="auto"/>
          <w:sz w:val="24"/>
          <w:highlight w:val="none"/>
        </w:rPr>
      </w:pPr>
    </w:p>
    <w:bookmarkEnd w:id="380"/>
    <w:bookmarkEnd w:id="381"/>
    <w:bookmarkEnd w:id="386"/>
    <w:p>
      <w:pPr>
        <w:pStyle w:val="4"/>
        <w:spacing w:before="0" w:after="0"/>
        <w:ind w:firstLine="0" w:firstLineChars="0"/>
        <w:jc w:val="left"/>
        <w:rPr>
          <w:rFonts w:ascii="仿宋" w:hAnsi="仿宋" w:eastAsia="仿宋" w:cs="仿宋"/>
          <w:color w:val="auto"/>
          <w:sz w:val="24"/>
          <w:szCs w:val="24"/>
          <w:highlight w:val="none"/>
        </w:rPr>
      </w:pPr>
      <w:bookmarkStart w:id="404" w:name="_Toc531359066"/>
      <w:bookmarkStart w:id="405" w:name="_Toc11726"/>
      <w:bookmarkStart w:id="406" w:name="_Toc12442"/>
      <w:bookmarkStart w:id="407" w:name="_Toc6005"/>
      <w:r>
        <w:rPr>
          <w:rFonts w:hint="eastAsia" w:ascii="仿宋" w:hAnsi="仿宋" w:eastAsia="仿宋" w:cs="仿宋"/>
          <w:color w:val="auto"/>
          <w:sz w:val="24"/>
          <w:szCs w:val="24"/>
          <w:highlight w:val="none"/>
        </w:rPr>
        <w:t>2.11    投标产品配置清单</w:t>
      </w:r>
      <w:bookmarkEnd w:id="404"/>
      <w:r>
        <w:rPr>
          <w:rFonts w:hint="eastAsia" w:ascii="仿宋" w:hAnsi="仿宋" w:eastAsia="仿宋" w:cs="仿宋"/>
          <w:color w:val="auto"/>
          <w:sz w:val="24"/>
          <w:szCs w:val="24"/>
          <w:highlight w:val="none"/>
        </w:rPr>
        <w:t>格式</w:t>
      </w:r>
      <w:bookmarkEnd w:id="405"/>
      <w:bookmarkEnd w:id="406"/>
      <w:bookmarkEnd w:id="407"/>
    </w:p>
    <w:p>
      <w:pPr>
        <w:pStyle w:val="2"/>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投标产品配置清单</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标项：</w:t>
      </w:r>
      <w:r>
        <w:rPr>
          <w:rFonts w:hint="eastAsia" w:ascii="仿宋" w:hAnsi="仿宋" w:eastAsia="仿宋" w:cs="仿宋"/>
          <w:color w:val="auto"/>
          <w:sz w:val="24"/>
          <w:szCs w:val="24"/>
          <w:highlight w:val="none"/>
          <w:u w:val="single"/>
        </w:rPr>
        <w:t>（若有）</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p>
        </w:tc>
        <w:tc>
          <w:tcPr>
            <w:tcW w:w="851" w:type="dxa"/>
            <w:tcBorders>
              <w:top w:val="single" w:color="auto" w:sz="4" w:space="0"/>
              <w:left w:val="single" w:color="auto" w:sz="4" w:space="0"/>
              <w:bottom w:val="nil"/>
              <w:right w:val="single" w:color="auto" w:sz="4" w:space="0"/>
            </w:tcBorders>
            <w:vAlign w:val="center"/>
          </w:tcPr>
          <w:p>
            <w:pPr>
              <w:snapToGrid w:val="0"/>
              <w:jc w:val="center"/>
              <w:rPr>
                <w:rFonts w:ascii="仿宋" w:hAnsi="仿宋" w:eastAsia="仿宋" w:cs="仿宋"/>
                <w:color w:val="auto"/>
                <w:sz w:val="24"/>
                <w:szCs w:val="24"/>
                <w:highlight w:val="none"/>
              </w:rPr>
            </w:pPr>
          </w:p>
        </w:tc>
        <w:tc>
          <w:tcPr>
            <w:tcW w:w="699" w:type="dxa"/>
            <w:tcBorders>
              <w:top w:val="single" w:color="auto" w:sz="4" w:space="0"/>
              <w:left w:val="single" w:color="auto" w:sz="4" w:space="0"/>
              <w:bottom w:val="nil"/>
              <w:right w:val="single" w:color="auto" w:sz="4" w:space="0"/>
            </w:tcBorders>
            <w:vAlign w:val="center"/>
          </w:tcPr>
          <w:p>
            <w:pPr>
              <w:snapToGrid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r>
              <w:rPr>
                <w:rFonts w:hint="eastAsia" w:ascii="仿宋" w:hAnsi="仿宋" w:eastAsia="仿宋" w:cs="仿宋"/>
                <w:color w:val="auto"/>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r>
              <w:rPr>
                <w:rFonts w:hint="eastAsia" w:ascii="仿宋" w:hAnsi="仿宋" w:eastAsia="仿宋" w:cs="仿宋"/>
                <w:color w:val="auto"/>
                <w:sz w:val="24"/>
                <w:szCs w:val="24"/>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r>
              <w:rPr>
                <w:rFonts w:hint="eastAsia" w:ascii="仿宋" w:hAnsi="仿宋" w:eastAsia="仿宋" w:cs="仿宋"/>
                <w:color w:val="auto"/>
                <w:sz w:val="24"/>
                <w:szCs w:val="24"/>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r>
              <w:rPr>
                <w:rFonts w:hint="eastAsia" w:ascii="仿宋" w:hAnsi="仿宋" w:eastAsia="仿宋" w:cs="仿宋"/>
                <w:color w:val="auto"/>
                <w:sz w:val="24"/>
                <w:szCs w:val="24"/>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r>
              <w:rPr>
                <w:rFonts w:hint="eastAsia" w:ascii="仿宋" w:hAnsi="仿宋" w:eastAsia="仿宋" w:cs="仿宋"/>
                <w:color w:val="auto"/>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r>
              <w:rPr>
                <w:rFonts w:hint="eastAsia" w:ascii="仿宋" w:hAnsi="仿宋" w:eastAsia="仿宋" w:cs="仿宋"/>
                <w:color w:val="auto"/>
                <w:sz w:val="24"/>
                <w:szCs w:val="24"/>
                <w:highlight w:val="none"/>
              </w:rPr>
              <w:t>…</w:t>
            </w:r>
          </w:p>
        </w:tc>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bl>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注：1、本表格不得体现报价；</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2、如产品为政府采购节能产品、环保产品的，须在备注栏中说明。</w:t>
      </w:r>
    </w:p>
    <w:p>
      <w:pPr>
        <w:spacing w:line="360" w:lineRule="auto"/>
        <w:rPr>
          <w:rFonts w:ascii="仿宋" w:hAnsi="仿宋" w:eastAsia="仿宋" w:cs="仿宋"/>
          <w:color w:val="auto"/>
          <w:sz w:val="24"/>
          <w:szCs w:val="24"/>
          <w:highlight w:val="none"/>
        </w:rPr>
      </w:pPr>
    </w:p>
    <w:p>
      <w:pPr>
        <w:pStyle w:val="13"/>
        <w:snapToGrid w:val="0"/>
        <w:ind w:left="480" w:hanging="480"/>
        <w:jc w:val="left"/>
        <w:rPr>
          <w:rFonts w:ascii="仿宋" w:hAnsi="仿宋" w:eastAsia="仿宋" w:cs="仿宋"/>
          <w:color w:val="auto"/>
          <w:sz w:val="24"/>
          <w:highlight w:val="none"/>
        </w:rPr>
      </w:pPr>
      <w:bookmarkStart w:id="408" w:name="_Toc530551892"/>
      <w:bookmarkStart w:id="409" w:name="_Toc493956068"/>
    </w:p>
    <w:p>
      <w:pPr>
        <w:pStyle w:val="30"/>
        <w:wordWrap w:val="0"/>
        <w:spacing w:line="360" w:lineRule="auto"/>
        <w:ind w:firstLine="480"/>
        <w:jc w:val="right"/>
        <w:rPr>
          <w:rFonts w:ascii="仿宋" w:hAnsi="仿宋" w:eastAsia="仿宋" w:cs="仿宋"/>
          <w:color w:val="auto"/>
          <w:sz w:val="24"/>
          <w:szCs w:val="21"/>
          <w:highlight w:val="none"/>
          <w:u w:val="single"/>
        </w:rPr>
      </w:pPr>
      <w:bookmarkStart w:id="410" w:name="_Toc531359067"/>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30"/>
        <w:spacing w:line="360" w:lineRule="auto"/>
        <w:jc w:val="left"/>
        <w:rPr>
          <w:rFonts w:ascii="仿宋" w:hAnsi="仿宋" w:eastAsia="仿宋" w:cs="仿宋"/>
          <w:color w:val="auto"/>
          <w:sz w:val="24"/>
          <w:szCs w:val="21"/>
          <w:highlight w:val="none"/>
          <w:u w:val="single"/>
        </w:rPr>
      </w:pPr>
    </w:p>
    <w:p>
      <w:pPr>
        <w:pStyle w:val="30"/>
        <w:spacing w:line="360" w:lineRule="auto"/>
        <w:jc w:val="left"/>
        <w:rPr>
          <w:rFonts w:ascii="仿宋" w:hAnsi="仿宋" w:eastAsia="仿宋" w:cs="仿宋"/>
          <w:color w:val="auto"/>
          <w:sz w:val="24"/>
          <w:szCs w:val="21"/>
          <w:highlight w:val="none"/>
          <w:u w:val="single"/>
        </w:rPr>
      </w:pPr>
    </w:p>
    <w:p>
      <w:pPr>
        <w:pStyle w:val="4"/>
        <w:spacing w:before="0" w:after="0"/>
        <w:ind w:firstLine="0" w:firstLineChars="0"/>
        <w:jc w:val="left"/>
        <w:rPr>
          <w:rFonts w:ascii="仿宋" w:hAnsi="仿宋" w:eastAsia="仿宋" w:cs="仿宋"/>
          <w:color w:val="auto"/>
          <w:sz w:val="24"/>
          <w:szCs w:val="24"/>
          <w:highlight w:val="none"/>
        </w:rPr>
      </w:pPr>
      <w:bookmarkStart w:id="411" w:name="_Toc29019"/>
      <w:bookmarkStart w:id="412" w:name="_Toc26293"/>
      <w:bookmarkStart w:id="413" w:name="_Toc30209"/>
      <w:r>
        <w:rPr>
          <w:rFonts w:hint="eastAsia" w:ascii="仿宋" w:hAnsi="仿宋" w:eastAsia="仿宋" w:cs="仿宋"/>
          <w:color w:val="auto"/>
          <w:sz w:val="24"/>
          <w:szCs w:val="24"/>
          <w:highlight w:val="none"/>
        </w:rPr>
        <w:t>2.12    技术规格偏离表</w:t>
      </w:r>
      <w:bookmarkEnd w:id="408"/>
      <w:bookmarkEnd w:id="409"/>
      <w:bookmarkEnd w:id="410"/>
      <w:r>
        <w:rPr>
          <w:rFonts w:hint="eastAsia" w:ascii="仿宋" w:hAnsi="仿宋" w:eastAsia="仿宋" w:cs="仿宋"/>
          <w:color w:val="auto"/>
          <w:sz w:val="24"/>
          <w:szCs w:val="24"/>
          <w:highlight w:val="none"/>
        </w:rPr>
        <w:t>格式</w:t>
      </w:r>
      <w:bookmarkEnd w:id="411"/>
      <w:bookmarkEnd w:id="412"/>
      <w:bookmarkEnd w:id="413"/>
    </w:p>
    <w:p>
      <w:pPr>
        <w:pStyle w:val="2"/>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技术规格偏离表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66"/>
        <w:gridCol w:w="1221"/>
        <w:gridCol w:w="1222"/>
        <w:gridCol w:w="1221"/>
        <w:gridCol w:w="1222"/>
        <w:gridCol w:w="122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top w:val="single" w:color="auto" w:sz="4" w:space="0"/>
              <w:left w:val="single" w:color="auto" w:sz="4" w:space="0"/>
              <w:right w:val="single" w:color="auto" w:sz="4" w:space="0"/>
            </w:tcBorders>
            <w:vAlign w:val="center"/>
          </w:tcPr>
          <w:p>
            <w:pPr>
              <w:pStyle w:val="42"/>
              <w:tabs>
                <w:tab w:val="left" w:pos="3200"/>
              </w:tabs>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166" w:type="dxa"/>
            <w:tcBorders>
              <w:top w:val="single" w:color="auto" w:sz="4" w:space="0"/>
              <w:left w:val="single" w:color="auto" w:sz="4" w:space="0"/>
              <w:right w:val="single" w:color="auto" w:sz="4" w:space="0"/>
            </w:tcBorders>
            <w:vAlign w:val="center"/>
          </w:tcPr>
          <w:p>
            <w:pPr>
              <w:pStyle w:val="42"/>
              <w:tabs>
                <w:tab w:val="left" w:pos="320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投标产品名称</w:t>
            </w:r>
          </w:p>
        </w:tc>
        <w:tc>
          <w:tcPr>
            <w:tcW w:w="1221" w:type="dxa"/>
            <w:tcBorders>
              <w:top w:val="single" w:color="auto" w:sz="4" w:space="0"/>
              <w:left w:val="single" w:color="auto" w:sz="4" w:space="0"/>
              <w:right w:val="single" w:color="auto" w:sz="4" w:space="0"/>
            </w:tcBorders>
            <w:vAlign w:val="center"/>
          </w:tcPr>
          <w:p>
            <w:pPr>
              <w:pStyle w:val="42"/>
              <w:tabs>
                <w:tab w:val="left" w:pos="320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222" w:type="dxa"/>
            <w:tcBorders>
              <w:top w:val="single" w:color="auto" w:sz="4" w:space="0"/>
              <w:left w:val="single" w:color="auto" w:sz="4" w:space="0"/>
              <w:right w:val="single" w:color="auto" w:sz="4" w:space="0"/>
            </w:tcBorders>
            <w:vAlign w:val="center"/>
          </w:tcPr>
          <w:p>
            <w:pPr>
              <w:pStyle w:val="42"/>
              <w:tabs>
                <w:tab w:val="left" w:pos="320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221" w:type="dxa"/>
            <w:tcBorders>
              <w:top w:val="single" w:color="auto" w:sz="4" w:space="0"/>
              <w:left w:val="single" w:color="auto" w:sz="4" w:space="0"/>
              <w:right w:val="single" w:color="auto" w:sz="4" w:space="0"/>
            </w:tcBorders>
            <w:vAlign w:val="center"/>
          </w:tcPr>
          <w:p>
            <w:pPr>
              <w:pStyle w:val="42"/>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1222" w:type="dxa"/>
            <w:tcBorders>
              <w:top w:val="single" w:color="auto" w:sz="4" w:space="0"/>
              <w:left w:val="single" w:color="auto" w:sz="4" w:space="0"/>
              <w:right w:val="single" w:color="auto" w:sz="4" w:space="0"/>
            </w:tcBorders>
            <w:vAlign w:val="center"/>
          </w:tcPr>
          <w:p>
            <w:pPr>
              <w:pStyle w:val="42"/>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221" w:type="dxa"/>
            <w:tcBorders>
              <w:top w:val="single" w:color="auto" w:sz="4" w:space="0"/>
              <w:left w:val="single" w:color="auto" w:sz="4" w:space="0"/>
              <w:right w:val="single" w:color="auto" w:sz="4" w:space="0"/>
            </w:tcBorders>
            <w:vAlign w:val="center"/>
          </w:tcPr>
          <w:p>
            <w:pPr>
              <w:pStyle w:val="42"/>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偏离指标及说明</w:t>
            </w:r>
          </w:p>
        </w:tc>
        <w:tc>
          <w:tcPr>
            <w:tcW w:w="1222" w:type="dxa"/>
            <w:tcBorders>
              <w:top w:val="single" w:color="auto" w:sz="4" w:space="0"/>
              <w:left w:val="single" w:color="auto" w:sz="4" w:space="0"/>
              <w:right w:val="single" w:color="auto" w:sz="4" w:space="0"/>
            </w:tcBorders>
            <w:vAlign w:val="center"/>
          </w:tcPr>
          <w:p>
            <w:pPr>
              <w:pStyle w:val="42"/>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pPr>
              <w:pStyle w:val="42"/>
              <w:tabs>
                <w:tab w:val="left" w:pos="320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166" w:type="dxa"/>
            <w:tcBorders>
              <w:top w:val="single" w:color="auto" w:sz="4" w:space="0"/>
              <w:left w:val="single" w:color="auto" w:sz="4" w:space="0"/>
              <w:right w:val="single" w:color="auto" w:sz="4" w:space="0"/>
            </w:tcBorders>
            <w:vAlign w:val="center"/>
          </w:tcPr>
          <w:p>
            <w:pPr>
              <w:pStyle w:val="42"/>
              <w:jc w:val="center"/>
              <w:rPr>
                <w:rFonts w:ascii="仿宋" w:hAnsi="仿宋" w:eastAsia="仿宋" w:cs="仿宋"/>
                <w:color w:val="auto"/>
                <w:sz w:val="24"/>
                <w:highlight w:val="none"/>
              </w:rPr>
            </w:pPr>
          </w:p>
        </w:tc>
        <w:tc>
          <w:tcPr>
            <w:tcW w:w="1221" w:type="dxa"/>
            <w:tcBorders>
              <w:top w:val="single" w:color="auto" w:sz="4" w:space="0"/>
              <w:left w:val="single" w:color="auto" w:sz="4" w:space="0"/>
              <w:right w:val="single" w:color="auto" w:sz="4" w:space="0"/>
            </w:tcBorders>
            <w:vAlign w:val="center"/>
          </w:tcPr>
          <w:p>
            <w:pPr>
              <w:pStyle w:val="42"/>
              <w:jc w:val="center"/>
              <w:rPr>
                <w:rFonts w:ascii="仿宋" w:hAnsi="仿宋" w:eastAsia="仿宋" w:cs="仿宋"/>
                <w:color w:val="auto"/>
                <w:sz w:val="24"/>
                <w:highlight w:val="none"/>
              </w:rPr>
            </w:pPr>
          </w:p>
        </w:tc>
        <w:tc>
          <w:tcPr>
            <w:tcW w:w="1222" w:type="dxa"/>
            <w:tcBorders>
              <w:top w:val="single" w:color="auto" w:sz="4" w:space="0"/>
              <w:left w:val="single" w:color="auto" w:sz="4" w:space="0"/>
              <w:right w:val="single" w:color="auto" w:sz="4" w:space="0"/>
            </w:tcBorders>
            <w:vAlign w:val="center"/>
          </w:tcPr>
          <w:p>
            <w:pPr>
              <w:pStyle w:val="42"/>
              <w:jc w:val="center"/>
              <w:rPr>
                <w:rFonts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42"/>
              <w:jc w:val="center"/>
              <w:rPr>
                <w:rFonts w:ascii="仿宋" w:hAnsi="仿宋" w:eastAsia="仿宋" w:cs="仿宋"/>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42"/>
              <w:jc w:val="center"/>
              <w:rPr>
                <w:rFonts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42"/>
              <w:jc w:val="center"/>
              <w:rPr>
                <w:rFonts w:ascii="仿宋" w:hAnsi="仿宋" w:eastAsia="仿宋" w:cs="仿宋"/>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42"/>
              <w:jc w:val="center"/>
              <w:rPr>
                <w:rFonts w:ascii="仿宋" w:hAnsi="仿宋" w:eastAsia="仿宋" w:cs="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pPr>
              <w:pStyle w:val="42"/>
              <w:tabs>
                <w:tab w:val="left" w:pos="320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166" w:type="dxa"/>
            <w:tcBorders>
              <w:left w:val="single" w:color="auto" w:sz="4" w:space="0"/>
              <w:right w:val="single" w:color="auto" w:sz="4" w:space="0"/>
            </w:tcBorders>
            <w:vAlign w:val="center"/>
          </w:tcPr>
          <w:p>
            <w:pPr>
              <w:pStyle w:val="42"/>
              <w:jc w:val="center"/>
              <w:rPr>
                <w:rFonts w:ascii="仿宋" w:hAnsi="仿宋" w:eastAsia="仿宋" w:cs="仿宋"/>
                <w:color w:val="auto"/>
                <w:sz w:val="24"/>
                <w:highlight w:val="none"/>
              </w:rPr>
            </w:pPr>
          </w:p>
        </w:tc>
        <w:tc>
          <w:tcPr>
            <w:tcW w:w="1221" w:type="dxa"/>
            <w:tcBorders>
              <w:left w:val="single" w:color="auto" w:sz="4" w:space="0"/>
              <w:right w:val="single" w:color="auto" w:sz="4" w:space="0"/>
            </w:tcBorders>
            <w:vAlign w:val="center"/>
          </w:tcPr>
          <w:p>
            <w:pPr>
              <w:pStyle w:val="42"/>
              <w:jc w:val="center"/>
              <w:rPr>
                <w:rFonts w:ascii="仿宋" w:hAnsi="仿宋" w:eastAsia="仿宋" w:cs="仿宋"/>
                <w:color w:val="auto"/>
                <w:sz w:val="24"/>
                <w:highlight w:val="none"/>
              </w:rPr>
            </w:pPr>
          </w:p>
        </w:tc>
        <w:tc>
          <w:tcPr>
            <w:tcW w:w="1222" w:type="dxa"/>
            <w:tcBorders>
              <w:left w:val="single" w:color="auto" w:sz="4" w:space="0"/>
              <w:right w:val="single" w:color="auto" w:sz="4" w:space="0"/>
            </w:tcBorders>
            <w:vAlign w:val="center"/>
          </w:tcPr>
          <w:p>
            <w:pPr>
              <w:pStyle w:val="42"/>
              <w:jc w:val="center"/>
              <w:rPr>
                <w:rFonts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42"/>
              <w:jc w:val="center"/>
              <w:rPr>
                <w:rFonts w:ascii="仿宋" w:hAnsi="仿宋" w:eastAsia="仿宋" w:cs="仿宋"/>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42"/>
              <w:jc w:val="center"/>
              <w:rPr>
                <w:rFonts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42"/>
              <w:jc w:val="center"/>
              <w:rPr>
                <w:rFonts w:ascii="仿宋" w:hAnsi="仿宋" w:eastAsia="仿宋" w:cs="仿宋"/>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42"/>
              <w:jc w:val="center"/>
              <w:rPr>
                <w:rFonts w:ascii="仿宋" w:hAnsi="仿宋" w:eastAsia="仿宋" w:cs="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pPr>
              <w:pStyle w:val="42"/>
              <w:tabs>
                <w:tab w:val="left" w:pos="320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166" w:type="dxa"/>
            <w:tcBorders>
              <w:left w:val="single" w:color="auto" w:sz="4" w:space="0"/>
              <w:bottom w:val="single" w:color="auto" w:sz="4" w:space="0"/>
              <w:right w:val="single" w:color="auto" w:sz="4" w:space="0"/>
            </w:tcBorders>
            <w:vAlign w:val="center"/>
          </w:tcPr>
          <w:p>
            <w:pPr>
              <w:pStyle w:val="42"/>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left w:val="single" w:color="auto" w:sz="4" w:space="0"/>
              <w:bottom w:val="single" w:color="auto" w:sz="4" w:space="0"/>
              <w:right w:val="single" w:color="auto" w:sz="4" w:space="0"/>
            </w:tcBorders>
            <w:vAlign w:val="center"/>
          </w:tcPr>
          <w:p>
            <w:pPr>
              <w:pStyle w:val="42"/>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222" w:type="dxa"/>
            <w:tcBorders>
              <w:left w:val="single" w:color="auto" w:sz="4" w:space="0"/>
              <w:bottom w:val="single" w:color="auto" w:sz="4" w:space="0"/>
              <w:right w:val="single" w:color="auto" w:sz="4" w:space="0"/>
            </w:tcBorders>
            <w:vAlign w:val="center"/>
          </w:tcPr>
          <w:p>
            <w:pPr>
              <w:pStyle w:val="42"/>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vAlign w:val="center"/>
          </w:tcPr>
          <w:p>
            <w:pPr>
              <w:pStyle w:val="42"/>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vAlign w:val="center"/>
          </w:tcPr>
          <w:p>
            <w:pPr>
              <w:pStyle w:val="42"/>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vAlign w:val="center"/>
          </w:tcPr>
          <w:p>
            <w:pPr>
              <w:pStyle w:val="42"/>
              <w:jc w:val="center"/>
              <w:rPr>
                <w:rFonts w:ascii="仿宋" w:hAnsi="仿宋" w:eastAsia="仿宋" w:cs="仿宋"/>
                <w:color w:val="auto"/>
                <w:sz w:val="24"/>
                <w:highlight w:val="none"/>
                <w:lang w:val="en-GB"/>
              </w:rPr>
            </w:pPr>
            <w:r>
              <w:rPr>
                <w:rFonts w:hint="eastAsia" w:ascii="仿宋" w:hAnsi="仿宋" w:eastAsia="仿宋" w:cs="仿宋"/>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vAlign w:val="center"/>
          </w:tcPr>
          <w:p>
            <w:pPr>
              <w:pStyle w:val="42"/>
              <w:jc w:val="center"/>
              <w:rPr>
                <w:rFonts w:ascii="仿宋" w:hAnsi="仿宋" w:eastAsia="仿宋" w:cs="仿宋"/>
                <w:color w:val="auto"/>
                <w:sz w:val="24"/>
                <w:highlight w:val="none"/>
                <w:lang w:val="en-GB"/>
              </w:rPr>
            </w:pPr>
            <w:r>
              <w:rPr>
                <w:rFonts w:hint="eastAsia" w:ascii="仿宋" w:hAnsi="仿宋" w:eastAsia="仿宋" w:cs="仿宋"/>
                <w:color w:val="auto"/>
                <w:sz w:val="24"/>
                <w:highlight w:val="none"/>
              </w:rPr>
              <w:t>…</w:t>
            </w:r>
          </w:p>
        </w:tc>
      </w:tr>
    </w:tbl>
    <w:p>
      <w:pPr>
        <w:pStyle w:val="42"/>
        <w:spacing w:line="400" w:lineRule="exact"/>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注：</w:t>
      </w:r>
    </w:p>
    <w:p>
      <w:pPr>
        <w:pStyle w:val="42"/>
        <w:spacing w:line="400" w:lineRule="exact"/>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请各投标人参照招标文件严格按以下要求认真填写偏离表：</w:t>
      </w:r>
    </w:p>
    <w:p>
      <w:pPr>
        <w:pStyle w:val="42"/>
        <w:spacing w:line="400" w:lineRule="exact"/>
        <w:ind w:firstLine="480" w:firstLineChars="200"/>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1. 投标人应根据投标产品的实际技术规格，并对照招标文件要求，对确实存在投标产品要求与招标文件要求有偏离的情况，应如实填写本表。“投标产品名称”栏注明偏离产品的名称；“投标响应” 栏注明投标产品的详细技术参数；“偏离指标及说明”栏注明偏离情况；“备注”栏注明此项偏离为“正偏离”或“负偏离”；投标人应任何原因漏写或缺项或填写不正确的，后果由投标人自行承担。</w:t>
      </w:r>
    </w:p>
    <w:p>
      <w:pPr>
        <w:pStyle w:val="42"/>
        <w:tabs>
          <w:tab w:val="left" w:pos="1267"/>
        </w:tabs>
        <w:spacing w:line="400" w:lineRule="exact"/>
        <w:ind w:firstLine="480" w:firstLineChars="200"/>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2. 投标人如实填写本表，并对其真实性负责。</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将根据评标办法和细则进行打分。如某项非实质性技术规格实际为“负偏离”，而投标人注明为“正偏离”或不注明的，</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可对此项偏离按评标办法加倍减分。</w:t>
      </w:r>
    </w:p>
    <w:p>
      <w:pPr>
        <w:pStyle w:val="42"/>
        <w:spacing w:line="400" w:lineRule="exact"/>
        <w:ind w:firstLine="480" w:firstLineChars="200"/>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3. 投标人注明的偏离情况只作为评审专家评定的参考，最终是否构成偏离或实质性偏离情况应由</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决定。</w:t>
      </w:r>
    </w:p>
    <w:p>
      <w:pPr>
        <w:pStyle w:val="42"/>
        <w:spacing w:line="40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lang w:val="en-GB"/>
        </w:rPr>
        <w:t>4. 不允许存在实质性负偏离。非实质性负偏离超过招标文件规定的项数，</w:t>
      </w:r>
      <w:r>
        <w:rPr>
          <w:rFonts w:hint="eastAsia" w:ascii="仿宋" w:hAnsi="仿宋" w:eastAsia="仿宋" w:cs="仿宋"/>
          <w:color w:val="auto"/>
          <w:sz w:val="24"/>
          <w:highlight w:val="none"/>
          <w:lang w:val="en-GB"/>
        </w:rPr>
        <w:t>投标文件</w:t>
      </w:r>
      <w:r>
        <w:rPr>
          <w:rFonts w:hint="eastAsia" w:ascii="仿宋" w:hAnsi="仿宋" w:eastAsia="仿宋" w:cs="仿宋"/>
          <w:color w:val="auto"/>
          <w:sz w:val="24"/>
          <w:highlight w:val="none"/>
          <w:lang w:val="en-GB"/>
        </w:rPr>
        <w:t>无效；（招标文件中标注</w:t>
      </w:r>
      <w:r>
        <w:rPr>
          <w:rFonts w:hint="eastAsia" w:ascii="仿宋" w:hAnsi="仿宋" w:eastAsia="仿宋" w:cs="仿宋"/>
          <w:color w:val="auto"/>
          <w:sz w:val="24"/>
          <w:szCs w:val="20"/>
          <w:highlight w:val="none"/>
        </w:rPr>
        <w:t>“▲”条款为实质性条款）</w:t>
      </w:r>
    </w:p>
    <w:p>
      <w:pPr>
        <w:pStyle w:val="42"/>
        <w:spacing w:line="400" w:lineRule="exact"/>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lang w:val="en-GB"/>
        </w:rPr>
        <w:t>5. 投标规格的实际偏离情况以</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综合评价为准，</w:t>
      </w:r>
      <w:r>
        <w:rPr>
          <w:rFonts w:hint="eastAsia" w:ascii="仿宋" w:hAnsi="仿宋" w:eastAsia="仿宋" w:cs="仿宋"/>
          <w:bCs/>
          <w:color w:val="auto"/>
          <w:sz w:val="24"/>
          <w:highlight w:val="none"/>
        </w:rPr>
        <w:t>解释权属</w:t>
      </w:r>
      <w:r>
        <w:rPr>
          <w:rFonts w:hint="eastAsia" w:ascii="仿宋" w:hAnsi="仿宋" w:eastAsia="仿宋" w:cs="仿宋"/>
          <w:color w:val="auto"/>
          <w:sz w:val="24"/>
          <w:highlight w:val="none"/>
        </w:rPr>
        <w:t>评标委员会</w:t>
      </w:r>
      <w:r>
        <w:rPr>
          <w:rFonts w:hint="eastAsia" w:ascii="仿宋" w:hAnsi="仿宋" w:eastAsia="仿宋" w:cs="仿宋"/>
          <w:bCs/>
          <w:color w:val="auto"/>
          <w:sz w:val="24"/>
          <w:highlight w:val="none"/>
        </w:rPr>
        <w:t>。</w:t>
      </w:r>
    </w:p>
    <w:p>
      <w:pPr>
        <w:pStyle w:val="30"/>
        <w:spacing w:line="400" w:lineRule="exact"/>
        <w:rPr>
          <w:rFonts w:ascii="仿宋" w:hAnsi="仿宋" w:eastAsia="仿宋" w:cs="仿宋"/>
          <w:color w:val="auto"/>
          <w:spacing w:val="20"/>
          <w:sz w:val="24"/>
          <w:szCs w:val="21"/>
          <w:highlight w:val="none"/>
        </w:rPr>
      </w:pP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30"/>
        <w:spacing w:line="360" w:lineRule="auto"/>
        <w:rPr>
          <w:rFonts w:ascii="仿宋" w:hAnsi="仿宋" w:eastAsia="仿宋" w:cs="仿宋"/>
          <w:color w:val="auto"/>
          <w:sz w:val="24"/>
          <w:highlight w:val="none"/>
        </w:rPr>
      </w:pPr>
      <w:bookmarkStart w:id="414" w:name="_Toc531359068"/>
      <w:bookmarkStart w:id="415" w:name="_Toc493956070"/>
      <w:bookmarkStart w:id="416" w:name="_Toc530551894"/>
    </w:p>
    <w:p>
      <w:pPr>
        <w:pStyle w:val="30"/>
        <w:spacing w:line="360" w:lineRule="auto"/>
        <w:rPr>
          <w:rFonts w:ascii="仿宋" w:hAnsi="仿宋" w:eastAsia="仿宋" w:cs="仿宋"/>
          <w:color w:val="auto"/>
          <w:sz w:val="24"/>
          <w:highlight w:val="none"/>
        </w:rPr>
      </w:pPr>
    </w:p>
    <w:bookmarkEnd w:id="414"/>
    <w:bookmarkEnd w:id="415"/>
    <w:bookmarkEnd w:id="416"/>
    <w:p>
      <w:pPr>
        <w:pStyle w:val="4"/>
        <w:spacing w:before="0" w:after="0"/>
        <w:ind w:firstLine="0" w:firstLineChars="0"/>
        <w:jc w:val="left"/>
        <w:rPr>
          <w:rFonts w:ascii="仿宋" w:hAnsi="仿宋" w:eastAsia="仿宋" w:cs="仿宋"/>
          <w:color w:val="auto"/>
          <w:sz w:val="24"/>
          <w:szCs w:val="24"/>
          <w:highlight w:val="none"/>
        </w:rPr>
      </w:pPr>
    </w:p>
    <w:p>
      <w:pPr>
        <w:pStyle w:val="8"/>
        <w:spacing w:line="440" w:lineRule="exact"/>
        <w:ind w:left="630" w:firstLine="5320" w:firstLineChars="1900"/>
        <w:rPr>
          <w:rFonts w:ascii="仿宋" w:hAnsi="仿宋" w:eastAsia="仿宋" w:cs="仿宋"/>
          <w:color w:val="auto"/>
          <w:spacing w:val="20"/>
          <w:sz w:val="24"/>
          <w:szCs w:val="24"/>
          <w:highlight w:val="none"/>
          <w:u w:val="single"/>
        </w:rPr>
      </w:pPr>
    </w:p>
    <w:p>
      <w:pPr>
        <w:pStyle w:val="8"/>
        <w:wordWrap w:val="0"/>
        <w:spacing w:line="360" w:lineRule="auto"/>
        <w:ind w:right="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2.13    项目人员配备方案</w:t>
      </w:r>
    </w:p>
    <w:p>
      <w:pPr>
        <w:pStyle w:val="43"/>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tabs>
          <w:tab w:val="left" w:pos="2355"/>
          <w:tab w:val="center" w:pos="4513"/>
        </w:tabs>
        <w:spacing w:line="360" w:lineRule="auto"/>
        <w:ind w:firstLine="640" w:firstLineChars="200"/>
        <w:jc w:val="center"/>
        <w:rPr>
          <w:rFonts w:ascii="仿宋" w:hAnsi="仿宋" w:eastAsia="仿宋" w:cs="仿宋"/>
          <w:color w:val="auto"/>
          <w:sz w:val="32"/>
          <w:szCs w:val="32"/>
          <w:highlight w:val="none"/>
        </w:rPr>
      </w:pPr>
    </w:p>
    <w:p>
      <w:pPr>
        <w:pStyle w:val="30"/>
        <w:wordWrap w:val="0"/>
        <w:spacing w:line="360" w:lineRule="auto"/>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30"/>
        <w:spacing w:line="360" w:lineRule="auto"/>
        <w:ind w:firstLine="480"/>
        <w:jc w:val="left"/>
        <w:rPr>
          <w:rFonts w:ascii="仿宋" w:hAnsi="仿宋" w:eastAsia="仿宋" w:cs="仿宋"/>
          <w:b/>
          <w:bCs/>
          <w:color w:val="auto"/>
          <w:sz w:val="24"/>
          <w:highlight w:val="none"/>
        </w:rPr>
      </w:pPr>
    </w:p>
    <w:p>
      <w:pPr>
        <w:pStyle w:val="30"/>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2.14    图书编目方案</w:t>
      </w:r>
    </w:p>
    <w:p>
      <w:pPr>
        <w:pStyle w:val="43"/>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4"/>
          <w:highlight w:val="none"/>
        </w:rPr>
        <w:t>（格式自行设计）</w:t>
      </w:r>
    </w:p>
    <w:p>
      <w:pPr>
        <w:pStyle w:val="30"/>
        <w:wordWrap w:val="0"/>
        <w:spacing w:line="360" w:lineRule="auto"/>
        <w:jc w:val="right"/>
        <w:rPr>
          <w:rFonts w:ascii="仿宋" w:hAnsi="仿宋" w:eastAsia="仿宋" w:cs="仿宋"/>
          <w:color w:val="auto"/>
          <w:sz w:val="24"/>
          <w:szCs w:val="21"/>
          <w:highlight w:val="none"/>
        </w:rPr>
      </w:pPr>
    </w:p>
    <w:p>
      <w:pPr>
        <w:pStyle w:val="30"/>
        <w:wordWrap w:val="0"/>
        <w:spacing w:line="360" w:lineRule="auto"/>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tabs>
          <w:tab w:val="left" w:pos="2355"/>
          <w:tab w:val="center" w:pos="4513"/>
        </w:tabs>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2.15    图书配送方案</w:t>
      </w:r>
    </w:p>
    <w:p>
      <w:pPr>
        <w:pStyle w:val="43"/>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tabs>
          <w:tab w:val="left" w:pos="2355"/>
          <w:tab w:val="center" w:pos="4513"/>
        </w:tabs>
        <w:spacing w:line="360" w:lineRule="auto"/>
        <w:jc w:val="center"/>
        <w:rPr>
          <w:rFonts w:ascii="仿宋" w:hAnsi="仿宋" w:eastAsia="仿宋" w:cs="仿宋"/>
          <w:color w:val="auto"/>
          <w:sz w:val="32"/>
          <w:szCs w:val="32"/>
          <w:highlight w:val="none"/>
        </w:rPr>
      </w:pPr>
    </w:p>
    <w:p>
      <w:pPr>
        <w:tabs>
          <w:tab w:val="left" w:pos="2355"/>
          <w:tab w:val="center" w:pos="4513"/>
        </w:tabs>
        <w:spacing w:line="360" w:lineRule="auto"/>
        <w:jc w:val="center"/>
        <w:rPr>
          <w:rFonts w:ascii="仿宋" w:hAnsi="仿宋" w:eastAsia="仿宋" w:cs="仿宋"/>
          <w:color w:val="auto"/>
          <w:sz w:val="32"/>
          <w:szCs w:val="32"/>
          <w:highlight w:val="none"/>
        </w:rPr>
      </w:pPr>
    </w:p>
    <w:p>
      <w:pPr>
        <w:tabs>
          <w:tab w:val="left" w:pos="2355"/>
          <w:tab w:val="center" w:pos="4513"/>
        </w:tabs>
        <w:spacing w:line="360" w:lineRule="auto"/>
        <w:jc w:val="center"/>
        <w:rPr>
          <w:rFonts w:ascii="仿宋" w:hAnsi="仿宋" w:eastAsia="仿宋" w:cs="仿宋"/>
          <w:color w:val="auto"/>
          <w:sz w:val="24"/>
          <w:szCs w:val="21"/>
          <w:highlight w:val="none"/>
          <w:u w:val="singl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2"/>
        <w:rPr>
          <w:rFonts w:ascii="仿宋" w:hAnsi="仿宋" w:eastAsia="仿宋" w:cs="仿宋"/>
          <w:color w:val="auto"/>
          <w:highlight w:val="none"/>
        </w:rPr>
      </w:pPr>
    </w:p>
    <w:p>
      <w:pPr>
        <w:pStyle w:val="8"/>
        <w:wordWrap w:val="0"/>
        <w:spacing w:line="360" w:lineRule="auto"/>
        <w:ind w:right="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2.16   突发事件应急方案</w:t>
      </w:r>
    </w:p>
    <w:p>
      <w:pPr>
        <w:pStyle w:val="43"/>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rPr>
          <w:rFonts w:ascii="仿宋" w:hAnsi="仿宋" w:eastAsia="仿宋" w:cs="仿宋"/>
          <w:color w:val="auto"/>
          <w:highlight w:val="none"/>
        </w:rPr>
      </w:pPr>
    </w:p>
    <w:p>
      <w:pPr>
        <w:pStyle w:val="30"/>
        <w:wordWrap w:val="0"/>
        <w:spacing w:line="360" w:lineRule="auto"/>
        <w:jc w:val="right"/>
        <w:rPr>
          <w:rFonts w:ascii="仿宋" w:hAnsi="仿宋" w:eastAsia="仿宋" w:cs="仿宋"/>
          <w:color w:val="auto"/>
          <w:sz w:val="24"/>
          <w:szCs w:val="21"/>
          <w:highlight w:val="none"/>
        </w:rPr>
      </w:pPr>
    </w:p>
    <w:p>
      <w:pPr>
        <w:pStyle w:val="30"/>
        <w:wordWrap w:val="0"/>
        <w:spacing w:line="360" w:lineRule="auto"/>
        <w:jc w:val="right"/>
        <w:rPr>
          <w:rFonts w:ascii="仿宋" w:hAnsi="仿宋" w:eastAsia="仿宋" w:cs="仿宋"/>
          <w:color w:val="auto"/>
          <w:sz w:val="24"/>
          <w:szCs w:val="21"/>
          <w:highlight w:val="none"/>
        </w:rPr>
      </w:pPr>
    </w:p>
    <w:p>
      <w:pPr>
        <w:pStyle w:val="30"/>
        <w:wordWrap w:val="0"/>
        <w:spacing w:line="360" w:lineRule="auto"/>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tabs>
          <w:tab w:val="left" w:pos="2355"/>
          <w:tab w:val="center" w:pos="4513"/>
        </w:tabs>
        <w:spacing w:line="360" w:lineRule="auto"/>
        <w:ind w:firstLine="560" w:firstLineChars="200"/>
        <w:jc w:val="center"/>
        <w:rPr>
          <w:rFonts w:ascii="仿宋" w:hAnsi="仿宋" w:eastAsia="仿宋" w:cs="仿宋"/>
          <w:color w:val="auto"/>
          <w:sz w:val="28"/>
          <w:szCs w:val="28"/>
          <w:highlight w:val="none"/>
        </w:rPr>
      </w:pPr>
    </w:p>
    <w:p>
      <w:pPr>
        <w:tabs>
          <w:tab w:val="left" w:pos="2355"/>
          <w:tab w:val="center" w:pos="4513"/>
        </w:tabs>
        <w:spacing w:line="360" w:lineRule="auto"/>
        <w:ind w:firstLine="640" w:firstLineChars="200"/>
        <w:jc w:val="center"/>
        <w:rPr>
          <w:rFonts w:ascii="仿宋" w:hAnsi="仿宋" w:eastAsia="仿宋" w:cs="仿宋"/>
          <w:color w:val="auto"/>
          <w:sz w:val="32"/>
          <w:szCs w:val="32"/>
          <w:highlight w:val="none"/>
        </w:rPr>
      </w:pPr>
    </w:p>
    <w:p>
      <w:pPr>
        <w:tabs>
          <w:tab w:val="left" w:pos="2355"/>
          <w:tab w:val="center" w:pos="4513"/>
        </w:tabs>
        <w:spacing w:line="360" w:lineRule="auto"/>
        <w:ind w:firstLine="640" w:firstLineChars="200"/>
        <w:jc w:val="center"/>
        <w:rPr>
          <w:rFonts w:ascii="仿宋" w:hAnsi="仿宋" w:eastAsia="仿宋" w:cs="仿宋"/>
          <w:color w:val="auto"/>
          <w:sz w:val="32"/>
          <w:szCs w:val="32"/>
          <w:highlight w:val="none"/>
        </w:rPr>
      </w:pPr>
    </w:p>
    <w:p>
      <w:pPr>
        <w:pStyle w:val="4"/>
        <w:spacing w:before="0" w:after="0"/>
        <w:ind w:firstLine="0" w:firstLineChars="0"/>
        <w:jc w:val="left"/>
        <w:rPr>
          <w:rFonts w:ascii="仿宋" w:hAnsi="仿宋" w:eastAsia="仿宋" w:cs="仿宋"/>
          <w:color w:val="auto"/>
          <w:sz w:val="24"/>
          <w:szCs w:val="24"/>
          <w:highlight w:val="none"/>
        </w:rPr>
      </w:pPr>
      <w:bookmarkStart w:id="417" w:name="_Toc515526271"/>
      <w:bookmarkStart w:id="418" w:name="_Toc377979050"/>
      <w:bookmarkStart w:id="419" w:name="_Toc303756458"/>
      <w:bookmarkStart w:id="420" w:name="_Toc341260008"/>
      <w:bookmarkStart w:id="421" w:name="_Toc24980"/>
      <w:bookmarkStart w:id="422" w:name="_Toc1937"/>
      <w:bookmarkStart w:id="423" w:name="_Toc21415"/>
      <w:bookmarkStart w:id="424" w:name="_Toc531359072"/>
      <w:bookmarkStart w:id="425" w:name="_Toc305144129"/>
      <w:bookmarkStart w:id="426" w:name="_Toc359934644"/>
      <w:bookmarkStart w:id="427" w:name="_Toc409172377"/>
      <w:r>
        <w:rPr>
          <w:rFonts w:hint="eastAsia" w:ascii="仿宋" w:hAnsi="仿宋" w:eastAsia="仿宋" w:cs="仿宋"/>
          <w:color w:val="auto"/>
          <w:sz w:val="24"/>
          <w:szCs w:val="24"/>
          <w:highlight w:val="none"/>
        </w:rPr>
        <w:t xml:space="preserve">2.17 </w:t>
      </w:r>
      <w:r>
        <w:rPr>
          <w:rFonts w:hint="eastAsia" w:ascii="仿宋" w:hAnsi="仿宋" w:eastAsia="仿宋" w:cs="仿宋"/>
          <w:color w:val="auto"/>
          <w:sz w:val="24"/>
          <w:szCs w:val="24"/>
          <w:highlight w:val="none"/>
        </w:rPr>
        <w:t>投标人需要说明的其他文件和说明</w:t>
      </w:r>
      <w:bookmarkEnd w:id="417"/>
      <w:bookmarkEnd w:id="418"/>
      <w:bookmarkEnd w:id="419"/>
      <w:bookmarkEnd w:id="420"/>
      <w:bookmarkEnd w:id="421"/>
      <w:bookmarkEnd w:id="422"/>
      <w:bookmarkEnd w:id="423"/>
      <w:bookmarkEnd w:id="424"/>
      <w:bookmarkEnd w:id="425"/>
      <w:bookmarkEnd w:id="426"/>
      <w:bookmarkEnd w:id="427"/>
    </w:p>
    <w:p>
      <w:pPr>
        <w:pStyle w:val="43"/>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43"/>
        <w:spacing w:line="360" w:lineRule="auto"/>
        <w:jc w:val="left"/>
        <w:rPr>
          <w:rFonts w:ascii="仿宋" w:hAnsi="仿宋" w:eastAsia="仿宋" w:cs="仿宋"/>
          <w:color w:val="auto"/>
          <w:sz w:val="24"/>
          <w:highlight w:val="none"/>
        </w:rPr>
      </w:pP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spacing w:line="720" w:lineRule="auto"/>
        <w:rPr>
          <w:rFonts w:ascii="仿宋" w:hAnsi="仿宋" w:eastAsia="仿宋" w:cs="仿宋"/>
          <w:color w:val="auto"/>
          <w:highlight w:val="none"/>
        </w:rPr>
      </w:pPr>
    </w:p>
    <w:p>
      <w:pPr>
        <w:pStyle w:val="16"/>
        <w:spacing w:beforeLines="100" w:after="240" w:afterLines="100"/>
        <w:outlineLvl w:val="1"/>
        <w:rPr>
          <w:rFonts w:ascii="仿宋" w:hAnsi="仿宋" w:eastAsia="仿宋" w:cs="仿宋"/>
          <w:color w:val="auto"/>
          <w:highlight w:val="none"/>
        </w:rPr>
      </w:pPr>
    </w:p>
    <w:p>
      <w:pPr>
        <w:pStyle w:val="16"/>
        <w:spacing w:beforeLines="100" w:after="240" w:afterLines="100"/>
        <w:outlineLvl w:val="1"/>
        <w:rPr>
          <w:rFonts w:ascii="仿宋" w:hAnsi="仿宋" w:eastAsia="仿宋" w:cs="仿宋"/>
          <w:color w:val="auto"/>
          <w:highlight w:val="none"/>
        </w:rPr>
      </w:pPr>
    </w:p>
    <w:p>
      <w:pPr>
        <w:pStyle w:val="16"/>
        <w:spacing w:beforeLines="100" w:after="240" w:afterLines="100"/>
        <w:outlineLvl w:val="1"/>
        <w:rPr>
          <w:rFonts w:ascii="仿宋" w:hAnsi="仿宋" w:eastAsia="仿宋" w:cs="仿宋"/>
          <w:color w:val="auto"/>
          <w:highlight w:val="none"/>
        </w:rPr>
      </w:pPr>
    </w:p>
    <w:p>
      <w:pPr>
        <w:pStyle w:val="16"/>
        <w:spacing w:beforeLines="100" w:after="240" w:afterLines="100"/>
        <w:outlineLvl w:val="1"/>
        <w:rPr>
          <w:rFonts w:ascii="仿宋" w:hAnsi="仿宋" w:eastAsia="仿宋" w:cs="仿宋"/>
          <w:color w:val="auto"/>
          <w:highlight w:val="none"/>
        </w:rPr>
      </w:pPr>
      <w:bookmarkStart w:id="428" w:name="_Toc19343"/>
      <w:r>
        <w:rPr>
          <w:rFonts w:hint="eastAsia" w:ascii="仿宋" w:hAnsi="仿宋" w:eastAsia="仿宋" w:cs="仿宋"/>
          <w:color w:val="auto"/>
          <w:highlight w:val="none"/>
        </w:rPr>
        <w:t>三  报价文件格式</w:t>
      </w:r>
      <w:bookmarkEnd w:id="371"/>
      <w:bookmarkEnd w:id="372"/>
      <w:bookmarkEnd w:id="428"/>
    </w:p>
    <w:p>
      <w:pPr>
        <w:spacing w:line="360" w:lineRule="auto"/>
        <w:rPr>
          <w:rFonts w:ascii="仿宋" w:hAnsi="仿宋" w:eastAsia="仿宋" w:cs="仿宋"/>
          <w:color w:val="auto"/>
          <w:sz w:val="24"/>
          <w:szCs w:val="24"/>
          <w:highlight w:val="none"/>
        </w:rPr>
      </w:pPr>
    </w:p>
    <w:p>
      <w:pPr>
        <w:pStyle w:val="4"/>
        <w:spacing w:before="0" w:after="0"/>
        <w:ind w:firstLine="0" w:firstLineChars="0"/>
        <w:jc w:val="left"/>
        <w:rPr>
          <w:rFonts w:ascii="仿宋" w:hAnsi="仿宋" w:eastAsia="仿宋" w:cs="仿宋"/>
          <w:color w:val="auto"/>
          <w:sz w:val="24"/>
          <w:szCs w:val="24"/>
          <w:highlight w:val="none"/>
        </w:rPr>
      </w:pPr>
      <w:bookmarkStart w:id="429" w:name="_Toc22154"/>
      <w:bookmarkStart w:id="430" w:name="_Toc530551897"/>
      <w:bookmarkStart w:id="431" w:name="_Toc531359074"/>
      <w:bookmarkStart w:id="432" w:name="_Toc493956072"/>
      <w:r>
        <w:rPr>
          <w:rFonts w:hint="eastAsia" w:ascii="仿宋" w:hAnsi="仿宋" w:eastAsia="仿宋" w:cs="仿宋"/>
          <w:color w:val="auto"/>
          <w:sz w:val="24"/>
          <w:szCs w:val="24"/>
          <w:highlight w:val="none"/>
        </w:rPr>
        <w:t>3.1     报价文件文件封面格式</w:t>
      </w:r>
      <w:bookmarkEnd w:id="429"/>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p>
      <w:pPr>
        <w:snapToGrid w:val="0"/>
        <w:jc w:val="center"/>
        <w:rPr>
          <w:rFonts w:ascii="仿宋" w:hAnsi="仿宋" w:eastAsia="仿宋" w:cs="仿宋"/>
          <w:bCs/>
          <w:color w:val="auto"/>
          <w:sz w:val="24"/>
          <w:szCs w:val="20"/>
          <w:highlight w:val="none"/>
        </w:rPr>
      </w:pPr>
    </w:p>
    <w:tbl>
      <w:tblPr>
        <w:tblStyle w:val="20"/>
        <w:tblW w:w="0" w:type="auto"/>
        <w:jc w:val="center"/>
        <w:tblLayout w:type="fixed"/>
        <w:tblCellMar>
          <w:top w:w="0" w:type="dxa"/>
          <w:left w:w="108" w:type="dxa"/>
          <w:bottom w:w="0" w:type="dxa"/>
          <w:right w:w="108" w:type="dxa"/>
        </w:tblCellMar>
      </w:tblPr>
      <w:tblGrid>
        <w:gridCol w:w="2518"/>
        <w:gridCol w:w="4536"/>
      </w:tblGrid>
      <w:tr>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磋商响应文件名称：</w:t>
            </w:r>
          </w:p>
        </w:tc>
        <w:tc>
          <w:tcPr>
            <w:tcW w:w="4536"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报价文件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 购 编 号：</w:t>
            </w:r>
          </w:p>
        </w:tc>
        <w:tc>
          <w:tcPr>
            <w:tcW w:w="4536"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4536"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      项：</w:t>
            </w:r>
          </w:p>
        </w:tc>
        <w:tc>
          <w:tcPr>
            <w:tcW w:w="4536" w:type="dxa"/>
            <w:vAlign w:val="center"/>
          </w:tcPr>
          <w:p>
            <w:pPr>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p>
        </w:tc>
        <w:tc>
          <w:tcPr>
            <w:tcW w:w="4536" w:type="dxa"/>
            <w:vAlign w:val="center"/>
          </w:tcPr>
          <w:p>
            <w:pPr>
              <w:jc w:val="left"/>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供应商全称（盖章）：</w:t>
            </w:r>
          </w:p>
        </w:tc>
        <w:tc>
          <w:tcPr>
            <w:tcW w:w="4536"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供应商地址：</w:t>
            </w:r>
          </w:p>
        </w:tc>
        <w:tc>
          <w:tcPr>
            <w:tcW w:w="4536"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 w:hAnsi="仿宋" w:eastAsia="仿宋" w:cs="仿宋"/>
                <w:color w:val="auto"/>
                <w:sz w:val="24"/>
                <w:szCs w:val="24"/>
                <w:highlight w:val="none"/>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pPr>
        <w:spacing w:line="360" w:lineRule="auto"/>
        <w:rPr>
          <w:rFonts w:ascii="仿宋" w:hAnsi="仿宋" w:eastAsia="仿宋" w:cs="仿宋"/>
          <w:color w:val="auto"/>
          <w:sz w:val="24"/>
          <w:szCs w:val="24"/>
          <w:highlight w:val="none"/>
        </w:rPr>
      </w:pPr>
    </w:p>
    <w:p>
      <w:pPr>
        <w:spacing w:line="360" w:lineRule="auto"/>
        <w:rPr>
          <w:rFonts w:ascii="仿宋" w:hAnsi="仿宋" w:eastAsia="仿宋" w:cs="仿宋"/>
          <w:color w:val="auto"/>
          <w:sz w:val="24"/>
          <w:szCs w:val="24"/>
          <w:highlight w:val="none"/>
        </w:rPr>
      </w:pPr>
    </w:p>
    <w:p>
      <w:pPr>
        <w:pStyle w:val="24"/>
        <w:rPr>
          <w:rFonts w:ascii="仿宋" w:hAnsi="仿宋" w:eastAsia="仿宋" w:cs="仿宋"/>
          <w:color w:val="auto"/>
          <w:highlight w:val="none"/>
        </w:rPr>
      </w:pPr>
    </w:p>
    <w:p>
      <w:pPr>
        <w:pStyle w:val="5"/>
        <w:rPr>
          <w:rFonts w:ascii="仿宋" w:hAnsi="仿宋" w:eastAsia="仿宋" w:cs="仿宋"/>
          <w:color w:val="auto"/>
          <w:highlight w:val="none"/>
        </w:rPr>
      </w:pPr>
    </w:p>
    <w:p>
      <w:pPr>
        <w:pStyle w:val="17"/>
        <w:ind w:firstLine="210"/>
        <w:rPr>
          <w:rFonts w:ascii="仿宋" w:hAnsi="仿宋" w:eastAsia="仿宋" w:cs="仿宋"/>
          <w:color w:val="auto"/>
          <w:highlight w:val="none"/>
        </w:rPr>
      </w:pPr>
    </w:p>
    <w:p>
      <w:pPr>
        <w:pStyle w:val="4"/>
        <w:spacing w:before="0" w:after="0"/>
        <w:ind w:firstLine="0" w:firstLineChars="0"/>
        <w:jc w:val="left"/>
        <w:rPr>
          <w:rFonts w:ascii="仿宋" w:hAnsi="仿宋" w:eastAsia="仿宋"/>
          <w:color w:val="auto"/>
          <w:sz w:val="24"/>
          <w:szCs w:val="24"/>
          <w:highlight w:val="none"/>
        </w:rPr>
      </w:pPr>
      <w:bookmarkStart w:id="433" w:name="_Toc11758"/>
      <w:bookmarkStart w:id="434" w:name="_Toc4273"/>
      <w:r>
        <w:rPr>
          <w:rFonts w:ascii="仿宋" w:hAnsi="仿宋" w:eastAsia="仿宋"/>
          <w:color w:val="auto"/>
          <w:sz w:val="24"/>
          <w:szCs w:val="24"/>
          <w:highlight w:val="none"/>
        </w:rPr>
        <w:t>3.2</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报价文件文件</w:t>
      </w:r>
      <w:r>
        <w:rPr>
          <w:rFonts w:ascii="仿宋" w:hAnsi="仿宋" w:eastAsia="仿宋"/>
          <w:color w:val="auto"/>
          <w:sz w:val="24"/>
          <w:szCs w:val="24"/>
          <w:highlight w:val="none"/>
        </w:rPr>
        <w:t>目录</w:t>
      </w:r>
      <w:bookmarkEnd w:id="433"/>
      <w:bookmarkEnd w:id="434"/>
    </w:p>
    <w:p>
      <w:pPr>
        <w:pStyle w:val="2"/>
        <w:spacing w:line="360" w:lineRule="auto"/>
        <w:ind w:firstLine="0"/>
        <w:rPr>
          <w:rFonts w:ascii="仿宋" w:hAnsi="仿宋" w:eastAsia="仿宋"/>
          <w:color w:val="auto"/>
          <w:highlight w:val="none"/>
        </w:rPr>
      </w:pPr>
    </w:p>
    <w:p>
      <w:pPr>
        <w:pStyle w:val="2"/>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（格式自行设计）</w:t>
      </w:r>
    </w:p>
    <w:p>
      <w:pPr>
        <w:rPr>
          <w:rFonts w:ascii="仿宋" w:hAnsi="仿宋" w:eastAsia="仿宋" w:cs="仿宋"/>
          <w:color w:val="auto"/>
          <w:highlight w:val="none"/>
        </w:rPr>
      </w:pPr>
    </w:p>
    <w:p>
      <w:pPr>
        <w:pStyle w:val="24"/>
        <w:rPr>
          <w:rFonts w:ascii="仿宋" w:hAnsi="仿宋" w:eastAsia="仿宋" w:cs="仿宋"/>
          <w:color w:val="auto"/>
          <w:highlight w:val="none"/>
        </w:rPr>
      </w:pPr>
    </w:p>
    <w:p>
      <w:pPr>
        <w:pStyle w:val="5"/>
        <w:rPr>
          <w:rFonts w:ascii="仿宋" w:hAnsi="仿宋" w:eastAsia="仿宋" w:cs="仿宋"/>
          <w:color w:val="auto"/>
          <w:highlight w:val="none"/>
        </w:rPr>
      </w:pPr>
    </w:p>
    <w:p>
      <w:pPr>
        <w:pStyle w:val="17"/>
        <w:ind w:firstLine="210"/>
        <w:rPr>
          <w:rFonts w:ascii="仿宋" w:hAnsi="仿宋" w:eastAsia="仿宋" w:cs="仿宋"/>
          <w:color w:val="auto"/>
          <w:highlight w:val="none"/>
        </w:rPr>
      </w:pPr>
    </w:p>
    <w:p>
      <w:pPr>
        <w:rPr>
          <w:rFonts w:ascii="仿宋" w:hAnsi="仿宋" w:eastAsia="仿宋" w:cs="仿宋"/>
          <w:color w:val="auto"/>
          <w:highlight w:val="none"/>
        </w:rPr>
      </w:pPr>
    </w:p>
    <w:p>
      <w:pPr>
        <w:pStyle w:val="24"/>
        <w:rPr>
          <w:rFonts w:ascii="仿宋" w:hAnsi="仿宋" w:eastAsia="仿宋" w:cs="仿宋"/>
          <w:color w:val="auto"/>
          <w:highlight w:val="none"/>
        </w:rPr>
      </w:pPr>
    </w:p>
    <w:p>
      <w:pPr>
        <w:pStyle w:val="5"/>
        <w:rPr>
          <w:rFonts w:ascii="仿宋" w:hAnsi="仿宋" w:eastAsia="仿宋" w:cs="仿宋"/>
          <w:color w:val="auto"/>
          <w:highlight w:val="none"/>
        </w:rPr>
      </w:pPr>
    </w:p>
    <w:p>
      <w:pPr>
        <w:pStyle w:val="17"/>
        <w:ind w:firstLine="210"/>
        <w:rPr>
          <w:rFonts w:ascii="仿宋" w:hAnsi="仿宋" w:eastAsia="仿宋" w:cs="仿宋"/>
          <w:color w:val="auto"/>
          <w:highlight w:val="none"/>
        </w:rPr>
      </w:pPr>
    </w:p>
    <w:bookmarkEnd w:id="301"/>
    <w:bookmarkEnd w:id="430"/>
    <w:bookmarkEnd w:id="431"/>
    <w:bookmarkEnd w:id="432"/>
    <w:p>
      <w:pPr>
        <w:pStyle w:val="4"/>
        <w:spacing w:before="0" w:after="0"/>
        <w:ind w:firstLine="0" w:firstLineChars="0"/>
        <w:jc w:val="left"/>
        <w:rPr>
          <w:rFonts w:ascii="仿宋" w:hAnsi="仿宋" w:eastAsia="仿宋" w:cs="仿宋"/>
          <w:color w:val="auto"/>
          <w:sz w:val="24"/>
          <w:szCs w:val="24"/>
          <w:highlight w:val="none"/>
        </w:rPr>
      </w:pPr>
      <w:bookmarkStart w:id="435" w:name="_Toc30568"/>
      <w:bookmarkStart w:id="436" w:name="_Toc29121"/>
      <w:bookmarkStart w:id="437" w:name="_Toc335664294"/>
      <w:bookmarkStart w:id="438" w:name="_Toc531359077"/>
      <w:bookmarkStart w:id="439" w:name="_Toc493956074"/>
      <w:bookmarkStart w:id="440" w:name="_Toc530551900"/>
      <w:r>
        <w:rPr>
          <w:rFonts w:hint="eastAsia" w:ascii="仿宋" w:hAnsi="仿宋" w:eastAsia="仿宋" w:cs="仿宋"/>
          <w:color w:val="auto"/>
          <w:sz w:val="24"/>
          <w:szCs w:val="24"/>
          <w:highlight w:val="none"/>
        </w:rPr>
        <w:t>3.3     开标一览表格式</w:t>
      </w:r>
      <w:bookmarkEnd w:id="435"/>
      <w:bookmarkEnd w:id="436"/>
    </w:p>
    <w:p>
      <w:pPr>
        <w:pStyle w:val="2"/>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开标一览表</w:t>
      </w:r>
    </w:p>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p>
    <w:p>
      <w:pPr>
        <w:spacing w:line="360" w:lineRule="auto"/>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20"/>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985"/>
        <w:gridCol w:w="2835"/>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1429" w:type="dxa"/>
            <w:vAlign w:val="center"/>
          </w:tcPr>
          <w:p>
            <w:pPr>
              <w:spacing w:line="320" w:lineRule="atLeast"/>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标项</w:t>
            </w:r>
          </w:p>
        </w:tc>
        <w:tc>
          <w:tcPr>
            <w:tcW w:w="1985" w:type="dxa"/>
            <w:vAlign w:val="center"/>
          </w:tcPr>
          <w:p>
            <w:pPr>
              <w:tabs>
                <w:tab w:val="left" w:pos="8280"/>
              </w:tabs>
              <w:autoSpaceDE w:val="0"/>
              <w:autoSpaceDN w:val="0"/>
              <w:adjustRightInd w:val="0"/>
              <w:spacing w:line="320" w:lineRule="atLeast"/>
              <w:ind w:right="25" w:firstLine="120" w:firstLineChars="50"/>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项目名称</w:t>
            </w:r>
          </w:p>
        </w:tc>
        <w:tc>
          <w:tcPr>
            <w:tcW w:w="2835" w:type="dxa"/>
            <w:vAlign w:val="center"/>
          </w:tcPr>
          <w:p>
            <w:pPr>
              <w:spacing w:line="320" w:lineRule="atLeast"/>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▲最高限价（%）</w:t>
            </w:r>
          </w:p>
        </w:tc>
        <w:tc>
          <w:tcPr>
            <w:tcW w:w="2652" w:type="dxa"/>
            <w:vAlign w:val="center"/>
          </w:tcPr>
          <w:p>
            <w:pPr>
              <w:spacing w:line="320" w:lineRule="atLeast"/>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1429" w:type="dxa"/>
            <w:vAlign w:val="center"/>
          </w:tcPr>
          <w:p>
            <w:pPr>
              <w:tabs>
                <w:tab w:val="left" w:pos="8280"/>
              </w:tabs>
              <w:autoSpaceDE w:val="0"/>
              <w:autoSpaceDN w:val="0"/>
              <w:adjustRightInd w:val="0"/>
              <w:spacing w:line="320" w:lineRule="atLeast"/>
              <w:ind w:right="25"/>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标项一</w:t>
            </w:r>
          </w:p>
        </w:tc>
        <w:tc>
          <w:tcPr>
            <w:tcW w:w="1985" w:type="dxa"/>
            <w:vAlign w:val="center"/>
          </w:tcPr>
          <w:p>
            <w:pPr>
              <w:tabs>
                <w:tab w:val="left" w:pos="8280"/>
              </w:tabs>
              <w:autoSpaceDE w:val="0"/>
              <w:autoSpaceDN w:val="0"/>
              <w:adjustRightInd w:val="0"/>
              <w:spacing w:line="320" w:lineRule="atLeast"/>
              <w:ind w:right="25"/>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庆元县图书馆2022年度省民生实事城市书房图书采购项目</w:t>
            </w:r>
          </w:p>
        </w:tc>
        <w:tc>
          <w:tcPr>
            <w:tcW w:w="2835"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highlight w:val="none"/>
              </w:rPr>
              <w:t>出版社定价（码洋）的7</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p>
        </w:tc>
        <w:tc>
          <w:tcPr>
            <w:tcW w:w="2652" w:type="dxa"/>
            <w:vAlign w:val="center"/>
          </w:tcPr>
          <w:p>
            <w:pPr>
              <w:tabs>
                <w:tab w:val="left" w:pos="8280"/>
              </w:tabs>
              <w:autoSpaceDE w:val="0"/>
              <w:autoSpaceDN w:val="0"/>
              <w:adjustRightInd w:val="0"/>
              <w:spacing w:line="320" w:lineRule="atLeast"/>
              <w:ind w:right="25"/>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出版社定价（码洋）的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c>
      </w:tr>
    </w:tbl>
    <w:p>
      <w:pPr>
        <w:pStyle w:val="17"/>
        <w:ind w:firstLine="210"/>
        <w:rPr>
          <w:rFonts w:ascii="仿宋" w:hAnsi="仿宋" w:eastAsia="仿宋" w:cs="仿宋"/>
          <w:color w:val="auto"/>
          <w:highlight w:val="none"/>
        </w:rPr>
      </w:pPr>
    </w:p>
    <w:p>
      <w:pPr>
        <w:pStyle w:val="38"/>
        <w:spacing w:line="440" w:lineRule="exact"/>
        <w:rPr>
          <w:rFonts w:ascii="仿宋" w:hAnsi="仿宋" w:eastAsia="仿宋" w:cs="仿宋"/>
          <w:b/>
          <w:iCs/>
          <w:color w:val="auto"/>
          <w:spacing w:val="20"/>
          <w:sz w:val="24"/>
          <w:highlight w:val="none"/>
        </w:rPr>
      </w:pPr>
      <w:r>
        <w:rPr>
          <w:rFonts w:hint="eastAsia" w:ascii="仿宋" w:hAnsi="仿宋" w:eastAsia="仿宋" w:cs="仿宋"/>
          <w:b/>
          <w:color w:val="auto"/>
          <w:sz w:val="24"/>
          <w:szCs w:val="21"/>
          <w:highlight w:val="none"/>
        </w:rPr>
        <w:t xml:space="preserve"> </w:t>
      </w:r>
      <w:r>
        <w:rPr>
          <w:rFonts w:hint="eastAsia" w:ascii="仿宋" w:hAnsi="仿宋" w:eastAsia="仿宋" w:cs="仿宋"/>
          <w:b/>
          <w:iCs/>
          <w:color w:val="auto"/>
          <w:spacing w:val="20"/>
          <w:sz w:val="24"/>
          <w:highlight w:val="none"/>
        </w:rPr>
        <w:t>注：</w:t>
      </w:r>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1、以上报价即为结算率，例：结算付款金额=出版社定价（码洋）×中标结算率。因本项目清单内容较多,供应商在报价时应综合考虑后作出报价。</w:t>
      </w:r>
    </w:p>
    <w:p>
      <w:pPr>
        <w:spacing w:line="460" w:lineRule="exact"/>
        <w:textAlignment w:val="baseline"/>
        <w:rPr>
          <w:rFonts w:ascii="仿宋" w:hAnsi="仿宋" w:eastAsia="仿宋" w:cs="仿宋"/>
          <w:b/>
          <w:color w:val="auto"/>
          <w:spacing w:val="20"/>
          <w:sz w:val="24"/>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2、投标报价须包括图书价款、途中运输费、装卸费、途中损耗费、芯片、磁条、数据、维护费、服务费、税费等一切费用。</w:t>
      </w:r>
    </w:p>
    <w:p>
      <w:pPr>
        <w:pStyle w:val="38"/>
        <w:spacing w:line="360" w:lineRule="auto"/>
        <w:ind w:firstLine="480" w:firstLineChars="200"/>
        <w:jc w:val="left"/>
        <w:rPr>
          <w:rFonts w:ascii="仿宋" w:hAnsi="仿宋" w:eastAsia="仿宋" w:cs="仿宋"/>
          <w:bCs/>
          <w:color w:val="auto"/>
          <w:sz w:val="24"/>
          <w:highlight w:val="none"/>
        </w:rPr>
      </w:pPr>
    </w:p>
    <w:p>
      <w:pPr>
        <w:pStyle w:val="38"/>
        <w:spacing w:line="360" w:lineRule="auto"/>
        <w:rPr>
          <w:rFonts w:ascii="仿宋" w:hAnsi="仿宋" w:eastAsia="仿宋" w:cs="仿宋"/>
          <w:bCs/>
          <w:color w:val="auto"/>
          <w:sz w:val="24"/>
          <w:highlight w:val="none"/>
        </w:rPr>
      </w:pPr>
    </w:p>
    <w:p>
      <w:pPr>
        <w:spacing w:line="360" w:lineRule="auto"/>
        <w:jc w:val="left"/>
        <w:rPr>
          <w:rFonts w:ascii="仿宋" w:hAnsi="仿宋" w:eastAsia="仿宋" w:cs="仿宋"/>
          <w:color w:val="auto"/>
          <w:spacing w:val="20"/>
          <w:sz w:val="24"/>
          <w:highlight w:val="none"/>
        </w:rPr>
      </w:pPr>
    </w:p>
    <w:p>
      <w:pPr>
        <w:pStyle w:val="30"/>
        <w:wordWrap w:val="0"/>
        <w:spacing w:line="360" w:lineRule="auto"/>
        <w:ind w:firstLine="480"/>
        <w:jc w:val="right"/>
        <w:rPr>
          <w:rFonts w:ascii="仿宋" w:hAnsi="仿宋" w:eastAsia="仿宋" w:cs="仿宋"/>
          <w:color w:val="auto"/>
          <w:spacing w:val="20"/>
          <w:sz w:val="24"/>
          <w:szCs w:val="21"/>
          <w:highlight w:val="none"/>
          <w:u w:val="single"/>
        </w:rPr>
      </w:pP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30"/>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2"/>
        <w:spacing w:line="360" w:lineRule="auto"/>
        <w:ind w:firstLine="0"/>
        <w:jc w:val="center"/>
        <w:rPr>
          <w:rFonts w:ascii="仿宋" w:hAnsi="仿宋" w:eastAsia="仿宋" w:cs="仿宋"/>
          <w:b/>
          <w:color w:val="auto"/>
          <w:sz w:val="32"/>
          <w:szCs w:val="32"/>
          <w:highlight w:val="none"/>
        </w:rPr>
      </w:pPr>
    </w:p>
    <w:p>
      <w:pPr>
        <w:pStyle w:val="2"/>
        <w:spacing w:line="360" w:lineRule="auto"/>
        <w:ind w:firstLine="0"/>
        <w:jc w:val="center"/>
        <w:rPr>
          <w:rFonts w:ascii="仿宋" w:hAnsi="仿宋" w:eastAsia="仿宋" w:cs="仿宋"/>
          <w:b/>
          <w:color w:val="auto"/>
          <w:sz w:val="32"/>
          <w:szCs w:val="32"/>
          <w:highlight w:val="none"/>
        </w:rPr>
      </w:pPr>
    </w:p>
    <w:p>
      <w:pPr>
        <w:pStyle w:val="2"/>
        <w:spacing w:line="360" w:lineRule="auto"/>
        <w:ind w:firstLine="0"/>
        <w:jc w:val="center"/>
        <w:rPr>
          <w:rFonts w:ascii="仿宋" w:hAnsi="仿宋" w:eastAsia="仿宋" w:cs="仿宋"/>
          <w:b/>
          <w:color w:val="auto"/>
          <w:sz w:val="32"/>
          <w:szCs w:val="32"/>
          <w:highlight w:val="none"/>
        </w:rPr>
      </w:pPr>
    </w:p>
    <w:p>
      <w:pPr>
        <w:pStyle w:val="2"/>
        <w:spacing w:line="360" w:lineRule="auto"/>
        <w:ind w:firstLine="0"/>
        <w:jc w:val="center"/>
        <w:rPr>
          <w:rFonts w:ascii="仿宋" w:hAnsi="仿宋" w:eastAsia="仿宋" w:cs="仿宋"/>
          <w:b/>
          <w:color w:val="auto"/>
          <w:sz w:val="32"/>
          <w:szCs w:val="32"/>
          <w:highlight w:val="none"/>
        </w:rPr>
      </w:pPr>
    </w:p>
    <w:p>
      <w:pPr>
        <w:pStyle w:val="2"/>
        <w:spacing w:line="360" w:lineRule="auto"/>
        <w:ind w:firstLine="0"/>
        <w:jc w:val="center"/>
        <w:rPr>
          <w:rFonts w:ascii="仿宋" w:hAnsi="仿宋" w:eastAsia="仿宋" w:cs="仿宋"/>
          <w:b/>
          <w:color w:val="auto"/>
          <w:sz w:val="32"/>
          <w:szCs w:val="32"/>
          <w:highlight w:val="none"/>
        </w:rPr>
      </w:pPr>
    </w:p>
    <w:p>
      <w:pPr>
        <w:pStyle w:val="16"/>
        <w:spacing w:before="0" w:after="0" w:line="360" w:lineRule="auto"/>
        <w:rPr>
          <w:rFonts w:ascii="仿宋" w:hAnsi="仿宋" w:eastAsia="仿宋" w:cs="仿宋"/>
          <w:color w:val="auto"/>
          <w:sz w:val="36"/>
          <w:szCs w:val="36"/>
          <w:highlight w:val="none"/>
        </w:rPr>
      </w:pPr>
      <w:bookmarkStart w:id="441" w:name="_Toc20591"/>
      <w:r>
        <w:rPr>
          <w:rFonts w:hint="eastAsia" w:ascii="仿宋" w:hAnsi="仿宋" w:eastAsia="仿宋" w:cs="仿宋"/>
          <w:color w:val="auto"/>
          <w:sz w:val="36"/>
          <w:szCs w:val="36"/>
          <w:highlight w:val="none"/>
        </w:rPr>
        <w:t>第六章  评审办法和细则</w:t>
      </w:r>
      <w:bookmarkEnd w:id="437"/>
      <w:bookmarkEnd w:id="438"/>
      <w:bookmarkEnd w:id="439"/>
      <w:bookmarkEnd w:id="440"/>
      <w:bookmarkEnd w:id="441"/>
    </w:p>
    <w:p>
      <w:pPr>
        <w:pStyle w:val="9"/>
        <w:snapToGrid/>
        <w:spacing w:line="360" w:lineRule="auto"/>
        <w:ind w:firstLineChars="200"/>
        <w:rPr>
          <w:rFonts w:ascii="仿宋" w:hAnsi="仿宋" w:eastAsia="仿宋" w:cs="仿宋"/>
          <w:color w:val="auto"/>
          <w:highlight w:val="none"/>
        </w:rPr>
      </w:pPr>
    </w:p>
    <w:p>
      <w:pPr>
        <w:pStyle w:val="9"/>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根据《中华人民共和国政府采购法》等有关法律法规的规定，并结合本项目的实际，特制定本办法，本办法只适用于本项目政府采购的评审。</w:t>
      </w:r>
    </w:p>
    <w:p>
      <w:pPr>
        <w:pStyle w:val="16"/>
        <w:spacing w:beforeLines="100" w:after="240" w:afterLines="100"/>
        <w:jc w:val="left"/>
        <w:outlineLvl w:val="1"/>
        <w:rPr>
          <w:rFonts w:ascii="仿宋" w:hAnsi="仿宋" w:eastAsia="仿宋" w:cs="仿宋"/>
          <w:color w:val="auto"/>
          <w:sz w:val="30"/>
          <w:szCs w:val="30"/>
          <w:highlight w:val="none"/>
        </w:rPr>
      </w:pPr>
      <w:bookmarkStart w:id="442" w:name="_Toc30657"/>
      <w:bookmarkStart w:id="443" w:name="_Toc530551901"/>
      <w:bookmarkStart w:id="444" w:name="_Toc531359078"/>
      <w:bookmarkStart w:id="445" w:name="_Toc493956075"/>
      <w:bookmarkStart w:id="446" w:name="_Toc335664295"/>
      <w:r>
        <w:rPr>
          <w:rFonts w:hint="eastAsia" w:ascii="仿宋" w:hAnsi="仿宋" w:eastAsia="仿宋" w:cs="仿宋"/>
          <w:color w:val="auto"/>
          <w:sz w:val="30"/>
          <w:szCs w:val="30"/>
          <w:highlight w:val="none"/>
        </w:rPr>
        <w:t>一    总则</w:t>
      </w:r>
      <w:bookmarkEnd w:id="442"/>
      <w:bookmarkEnd w:id="443"/>
      <w:bookmarkEnd w:id="444"/>
      <w:bookmarkEnd w:id="445"/>
      <w:bookmarkEnd w:id="446"/>
    </w:p>
    <w:p>
      <w:pPr>
        <w:pStyle w:val="9"/>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1.1  评审工作遵循公正、公平、科学、择优的原则确定成交候选人。磋商小组应严格按照磋商文件的资信商务及技术和报价要求，对磋商响应文件综合分析评价并编制评审报告。评审专家必须严格遵守保密规定，不得泄漏评审有关的情况，不得索贿受贿，不得参加影响评审的任何活动。</w:t>
      </w:r>
    </w:p>
    <w:p>
      <w:pPr>
        <w:pStyle w:val="9"/>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1.2  本次评审采用综合评分法，按最终得分由高到低顺序排列。最终得分相同的，按磋商报价由低到高顺序排列；最终得分且磋商报价相同的，按技术得分由高到低顺序排列。磋商小组按顺序推荐成交候选人。评分过程中采用四舍五入法，并保留小数2位。</w:t>
      </w:r>
    </w:p>
    <w:p>
      <w:pPr>
        <w:pStyle w:val="16"/>
        <w:spacing w:beforeLines="100" w:after="240" w:afterLines="100"/>
        <w:jc w:val="left"/>
        <w:outlineLvl w:val="1"/>
        <w:rPr>
          <w:rFonts w:ascii="仿宋" w:hAnsi="仿宋" w:eastAsia="仿宋" w:cs="仿宋"/>
          <w:color w:val="auto"/>
          <w:sz w:val="30"/>
          <w:szCs w:val="30"/>
          <w:highlight w:val="none"/>
        </w:rPr>
      </w:pPr>
      <w:bookmarkStart w:id="447" w:name="_Toc7367"/>
      <w:r>
        <w:rPr>
          <w:rFonts w:hint="eastAsia" w:ascii="仿宋" w:hAnsi="仿宋" w:eastAsia="仿宋" w:cs="仿宋"/>
          <w:color w:val="auto"/>
          <w:sz w:val="30"/>
          <w:szCs w:val="30"/>
          <w:highlight w:val="none"/>
        </w:rPr>
        <w:t>二    评审一般规定</w:t>
      </w:r>
      <w:bookmarkEnd w:id="447"/>
    </w:p>
    <w:p>
      <w:pPr>
        <w:pStyle w:val="9"/>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2.1  本次评审采用综合评分法，总分100分。</w:t>
      </w:r>
    </w:p>
    <w:p>
      <w:pPr>
        <w:pStyle w:val="9"/>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2.2  资信商务及技术分的权重为</w:t>
      </w:r>
      <w:r>
        <w:rPr>
          <w:rFonts w:hint="eastAsia" w:ascii="仿宋" w:hAnsi="仿宋" w:eastAsia="仿宋" w:cs="仿宋"/>
          <w:color w:val="auto"/>
          <w:highlight w:val="none"/>
          <w:u w:val="single"/>
        </w:rPr>
        <w:t>70</w:t>
      </w:r>
      <w:r>
        <w:rPr>
          <w:rFonts w:hint="eastAsia" w:ascii="仿宋" w:hAnsi="仿宋" w:eastAsia="仿宋" w:cs="仿宋"/>
          <w:color w:val="auto"/>
          <w:highlight w:val="none"/>
        </w:rPr>
        <w:t>%，评审分值为</w:t>
      </w:r>
      <w:r>
        <w:rPr>
          <w:rFonts w:hint="eastAsia" w:ascii="仿宋" w:hAnsi="仿宋" w:eastAsia="仿宋" w:cs="仿宋"/>
          <w:color w:val="auto"/>
          <w:highlight w:val="none"/>
          <w:u w:val="single"/>
        </w:rPr>
        <w:t>70</w:t>
      </w:r>
      <w:r>
        <w:rPr>
          <w:rFonts w:hint="eastAsia" w:ascii="仿宋" w:hAnsi="仿宋" w:eastAsia="仿宋" w:cs="仿宋"/>
          <w:color w:val="auto"/>
          <w:highlight w:val="none"/>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pPr>
        <w:pStyle w:val="9"/>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2.2   报价分的权重为30%，评审分值为30分，由磋商小组按各供应商报价统一计算。</w:t>
      </w:r>
    </w:p>
    <w:p>
      <w:pPr>
        <w:pStyle w:val="9"/>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2.3   供应商总得分=资信商务及技术得分+报价得分。</w:t>
      </w:r>
    </w:p>
    <w:p>
      <w:pPr>
        <w:pStyle w:val="9"/>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2.3   评审专家在规定的分值范围内打分，评分保留两位小数。</w:t>
      </w:r>
    </w:p>
    <w:p>
      <w:pPr>
        <w:pStyle w:val="16"/>
        <w:spacing w:beforeLines="100" w:after="240" w:afterLines="100"/>
        <w:jc w:val="left"/>
        <w:outlineLvl w:val="1"/>
        <w:rPr>
          <w:rFonts w:ascii="仿宋" w:hAnsi="仿宋" w:eastAsia="仿宋" w:cs="仿宋"/>
          <w:color w:val="auto"/>
          <w:sz w:val="30"/>
          <w:szCs w:val="30"/>
          <w:highlight w:val="none"/>
        </w:rPr>
      </w:pPr>
      <w:bookmarkStart w:id="448" w:name="_Toc1587"/>
      <w:r>
        <w:rPr>
          <w:rFonts w:hint="eastAsia" w:ascii="仿宋" w:hAnsi="仿宋" w:eastAsia="仿宋" w:cs="仿宋"/>
          <w:color w:val="auto"/>
          <w:sz w:val="30"/>
          <w:szCs w:val="30"/>
          <w:highlight w:val="none"/>
        </w:rPr>
        <w:t>三    评审内容及标准</w:t>
      </w:r>
      <w:bookmarkEnd w:id="448"/>
    </w:p>
    <w:p>
      <w:pPr>
        <w:pStyle w:val="9"/>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3.1   报价分（30分）</w:t>
      </w:r>
    </w:p>
    <w:p>
      <w:pPr>
        <w:pStyle w:val="9"/>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3.1.1 报价得分采用低价优先法计算，即满足磋商文件要求且磋商价格最低的磋商报价为评审基准价，其他供应商的价格分按照下列公式计算：</w:t>
      </w:r>
    </w:p>
    <w:p>
      <w:pPr>
        <w:pStyle w:val="9"/>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价格分=（评审基准价/磋商报价）×报价权重×100</w:t>
      </w:r>
    </w:p>
    <w:p>
      <w:pPr>
        <w:pStyle w:val="9"/>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3.1.2  价格扣除：因落实政府采购政策进行价格调整的，以调整后的价格计算评审基准价和磋商报价。</w:t>
      </w:r>
    </w:p>
    <w:p>
      <w:pPr>
        <w:pStyle w:val="9"/>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调整后的投标报价＝调整前的投标报价×（1-扣除率）</w:t>
      </w:r>
    </w:p>
    <w:p>
      <w:pPr>
        <w:pStyle w:val="9"/>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3.2  资信商务及技术分</w:t>
      </w:r>
      <w:r>
        <w:rPr>
          <w:rFonts w:hint="eastAsia" w:ascii="仿宋" w:hAnsi="仿宋" w:eastAsia="仿宋" w:cs="仿宋"/>
          <w:color w:val="auto"/>
          <w:highlight w:val="none"/>
          <w:u w:val="single"/>
        </w:rPr>
        <w:t>70</w:t>
      </w:r>
      <w:r>
        <w:rPr>
          <w:rFonts w:hint="eastAsia" w:ascii="仿宋" w:hAnsi="仿宋" w:eastAsia="仿宋" w:cs="仿宋"/>
          <w:color w:val="auto"/>
          <w:highlight w:val="none"/>
        </w:rPr>
        <w:t>分，详细评分见下表：</w:t>
      </w:r>
    </w:p>
    <w:tbl>
      <w:tblPr>
        <w:tblStyle w:val="20"/>
        <w:tblpPr w:leftFromText="180" w:rightFromText="180" w:vertAnchor="text" w:horzAnchor="page" w:tblpXSpec="center" w:tblpY="60"/>
        <w:tblOverlap w:val="never"/>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253"/>
        <w:gridCol w:w="1256"/>
        <w:gridCol w:w="432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43"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color w:val="auto"/>
                <w:szCs w:val="24"/>
                <w:highlight w:val="none"/>
              </w:rPr>
            </w:pPr>
            <w:bookmarkStart w:id="449" w:name="_Toc41568724"/>
            <w:r>
              <w:rPr>
                <w:rFonts w:hint="eastAsia" w:ascii="仿宋" w:hAnsi="仿宋" w:eastAsia="仿宋" w:cs="仿宋"/>
                <w:b/>
                <w:color w:val="auto"/>
                <w:szCs w:val="24"/>
                <w:highlight w:val="none"/>
              </w:rPr>
              <w:t>序号</w:t>
            </w:r>
          </w:p>
        </w:tc>
        <w:tc>
          <w:tcPr>
            <w:tcW w:w="1253"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评审类型</w:t>
            </w:r>
          </w:p>
        </w:tc>
        <w:tc>
          <w:tcPr>
            <w:tcW w:w="1256"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评分项目</w:t>
            </w:r>
          </w:p>
        </w:tc>
        <w:tc>
          <w:tcPr>
            <w:tcW w:w="432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评分项目内容</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分值范围（分）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1253" w:type="dxa"/>
            <w:vMerge w:val="restart"/>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资信商务部分</w:t>
            </w:r>
          </w:p>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（6分）</w:t>
            </w:r>
          </w:p>
        </w:tc>
        <w:tc>
          <w:tcPr>
            <w:tcW w:w="1256"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类似项目业绩</w:t>
            </w:r>
          </w:p>
        </w:tc>
        <w:tc>
          <w:tcPr>
            <w:tcW w:w="432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ascii="仿宋" w:hAnsi="仿宋" w:eastAsia="仿宋" w:cs="仿宋"/>
                <w:color w:val="auto"/>
                <w:szCs w:val="24"/>
                <w:highlight w:val="none"/>
              </w:rPr>
            </w:pPr>
            <w:r>
              <w:rPr>
                <w:rFonts w:hint="eastAsia" w:ascii="仿宋" w:hAnsi="仿宋" w:eastAsia="仿宋" w:cs="仿宋"/>
                <w:bCs/>
                <w:color w:val="auto"/>
                <w:kern w:val="0"/>
                <w:szCs w:val="24"/>
                <w:highlight w:val="none"/>
              </w:rPr>
              <w:t>供应商自2019年1月1日起（以合同签订时间为准）具有类似项目业绩，每个得1分，最高得3分。</w:t>
            </w:r>
            <w:r>
              <w:rPr>
                <w:rFonts w:hint="eastAsia" w:ascii="仿宋" w:hAnsi="仿宋" w:eastAsia="仿宋" w:cs="仿宋"/>
                <w:b/>
                <w:color w:val="auto"/>
                <w:kern w:val="0"/>
                <w:szCs w:val="24"/>
                <w:highlight w:val="none"/>
              </w:rPr>
              <w:t>（需提供合同扫描件，扫描件进入磋商响应文件，否则不得分）。</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743"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p>
        </w:tc>
        <w:tc>
          <w:tcPr>
            <w:tcW w:w="1256"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企业资质</w:t>
            </w:r>
          </w:p>
        </w:tc>
        <w:tc>
          <w:tcPr>
            <w:tcW w:w="432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ascii="仿宋" w:hAnsi="仿宋" w:eastAsia="仿宋" w:cs="仿宋"/>
                <w:bCs/>
                <w:color w:val="auto"/>
                <w:kern w:val="0"/>
                <w:szCs w:val="24"/>
                <w:highlight w:val="none"/>
              </w:rPr>
            </w:pPr>
            <w:r>
              <w:rPr>
                <w:rFonts w:hint="eastAsia" w:ascii="仿宋" w:hAnsi="仿宋" w:eastAsia="仿宋" w:cs="仿宋"/>
                <w:bCs/>
                <w:color w:val="auto"/>
                <w:szCs w:val="24"/>
                <w:highlight w:val="none"/>
              </w:rPr>
              <w:t>供应商</w:t>
            </w:r>
            <w:r>
              <w:rPr>
                <w:rFonts w:hint="eastAsia" w:ascii="仿宋" w:hAnsi="仿宋" w:eastAsia="仿宋" w:cs="仿宋"/>
                <w:bCs/>
                <w:color w:val="auto"/>
                <w:szCs w:val="24"/>
                <w:highlight w:val="none"/>
                <w:lang w:val="en-US" w:eastAsia="zh-CN"/>
              </w:rPr>
              <w:t>自</w:t>
            </w:r>
            <w:r>
              <w:rPr>
                <w:rFonts w:hint="eastAsia" w:ascii="仿宋" w:hAnsi="仿宋" w:eastAsia="仿宋" w:cs="仿宋"/>
                <w:bCs/>
                <w:color w:val="auto"/>
                <w:szCs w:val="24"/>
                <w:highlight w:val="none"/>
              </w:rPr>
              <w:t>2019年</w:t>
            </w:r>
            <w:r>
              <w:rPr>
                <w:rFonts w:hint="eastAsia" w:ascii="仿宋" w:hAnsi="仿宋" w:eastAsia="仿宋" w:cs="仿宋"/>
                <w:bCs/>
                <w:color w:val="auto"/>
                <w:kern w:val="0"/>
                <w:szCs w:val="24"/>
                <w:highlight w:val="none"/>
              </w:rPr>
              <w:t>1月1日以来</w:t>
            </w:r>
            <w:r>
              <w:rPr>
                <w:rFonts w:hint="eastAsia" w:ascii="仿宋" w:hAnsi="仿宋" w:eastAsia="仿宋" w:cs="仿宋"/>
                <w:bCs/>
                <w:color w:val="auto"/>
                <w:szCs w:val="24"/>
                <w:highlight w:val="none"/>
              </w:rPr>
              <w:t>《图书馆报》组织的馆配商评选活动中，获得过“全国优秀馆配商”称号的，每获得一年的得1分，最高3分。</w:t>
            </w:r>
            <w:r>
              <w:rPr>
                <w:rFonts w:hint="eastAsia" w:ascii="仿宋" w:hAnsi="仿宋" w:eastAsia="仿宋" w:cs="仿宋"/>
                <w:b/>
                <w:bCs/>
                <w:color w:val="auto"/>
                <w:szCs w:val="24"/>
                <w:highlight w:val="none"/>
              </w:rPr>
              <w:t>（需提供证书或相关证明材料扫描件，扫描件进入</w:t>
            </w:r>
            <w:r>
              <w:rPr>
                <w:rFonts w:hint="eastAsia" w:ascii="仿宋" w:hAnsi="仿宋" w:eastAsia="仿宋" w:cs="仿宋"/>
                <w:b/>
                <w:color w:val="auto"/>
                <w:kern w:val="0"/>
                <w:szCs w:val="24"/>
                <w:highlight w:val="none"/>
              </w:rPr>
              <w:t>磋商响应文件</w:t>
            </w:r>
            <w:r>
              <w:rPr>
                <w:rFonts w:hint="eastAsia" w:ascii="仿宋" w:hAnsi="仿宋" w:eastAsia="仿宋" w:cs="仿宋"/>
                <w:b/>
                <w:bCs/>
                <w:color w:val="auto"/>
                <w:szCs w:val="24"/>
                <w:highlight w:val="none"/>
              </w:rPr>
              <w:t>，否则不得分）。</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Cs/>
                <w:color w:val="auto"/>
                <w:kern w:val="0"/>
                <w:szCs w:val="24"/>
                <w:highlight w:val="none"/>
              </w:rPr>
            </w:pPr>
            <w:r>
              <w:rPr>
                <w:rFonts w:hint="eastAsia" w:ascii="仿宋" w:hAnsi="仿宋" w:eastAsia="仿宋" w:cs="仿宋"/>
                <w:bCs/>
                <w:color w:val="auto"/>
                <w:kern w:val="0"/>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43"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1253" w:type="dxa"/>
            <w:vMerge w:val="restart"/>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技术部分</w:t>
            </w:r>
          </w:p>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（64分）</w:t>
            </w:r>
          </w:p>
        </w:tc>
        <w:tc>
          <w:tcPr>
            <w:tcW w:w="1256"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宋体" w:hAnsi="宋体" w:cs="宋体"/>
                <w:b/>
                <w:bCs/>
                <w:color w:val="auto"/>
                <w:highlight w:val="none"/>
              </w:rPr>
              <w:t>投标人具有的技术力量情况</w:t>
            </w:r>
          </w:p>
        </w:tc>
        <w:tc>
          <w:tcPr>
            <w:tcW w:w="432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ascii="仿宋" w:hAnsi="仿宋" w:eastAsia="仿宋" w:cs="仿宋"/>
                <w:bCs/>
                <w:color w:val="auto"/>
                <w:kern w:val="0"/>
                <w:szCs w:val="24"/>
                <w:highlight w:val="none"/>
              </w:rPr>
            </w:pPr>
            <w:r>
              <w:rPr>
                <w:rFonts w:hint="eastAsia" w:ascii="仿宋" w:hAnsi="仿宋" w:eastAsia="仿宋" w:cs="仿宋"/>
                <w:bCs/>
                <w:color w:val="auto"/>
                <w:kern w:val="0"/>
                <w:szCs w:val="24"/>
                <w:highlight w:val="none"/>
              </w:rPr>
              <w:t>供应商从业人员具有新闻出版总署职业技能鉴定指导中心颁发的出版物发行员证书的每个得1分，最高得3分。</w:t>
            </w:r>
            <w:r>
              <w:rPr>
                <w:rFonts w:hint="eastAsia" w:ascii="仿宋" w:hAnsi="仿宋" w:eastAsia="仿宋" w:cs="仿宋"/>
                <w:b/>
                <w:color w:val="auto"/>
                <w:kern w:val="0"/>
                <w:szCs w:val="24"/>
                <w:highlight w:val="none"/>
              </w:rPr>
              <w:t>（以上人员需提供证书和近六个月的社保证明材料扫描件，扫描件进入磋商响应文件，否则不得分）</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Cs/>
                <w:color w:val="auto"/>
                <w:kern w:val="0"/>
                <w:szCs w:val="24"/>
                <w:highlight w:val="none"/>
              </w:rPr>
            </w:pPr>
            <w:r>
              <w:rPr>
                <w:rFonts w:hint="eastAsia" w:ascii="仿宋" w:hAnsi="仿宋" w:eastAsia="仿宋" w:cs="仿宋"/>
                <w:bCs/>
                <w:color w:val="auto"/>
                <w:kern w:val="0"/>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43"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p>
        </w:tc>
        <w:tc>
          <w:tcPr>
            <w:tcW w:w="1256"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专题书目提供能力</w:t>
            </w:r>
          </w:p>
        </w:tc>
        <w:tc>
          <w:tcPr>
            <w:tcW w:w="4329"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供应商提供的专题书目方案需反映当年热点文化主题或图书馆发展趋势，每提供一个专题书目样例得0.5分，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val="en-US" w:eastAsia="zh-CN"/>
              </w:rPr>
              <w:t>高</w:t>
            </w:r>
            <w:r>
              <w:rPr>
                <w:rFonts w:hint="eastAsia" w:ascii="仿宋" w:hAnsi="仿宋" w:eastAsia="仿宋" w:cs="仿宋"/>
                <w:color w:val="auto"/>
                <w:sz w:val="24"/>
                <w:szCs w:val="24"/>
                <w:highlight w:val="none"/>
              </w:rPr>
              <w:t>得3分。</w:t>
            </w:r>
            <w:r>
              <w:rPr>
                <w:rFonts w:hint="eastAsia" w:ascii="仿宋" w:hAnsi="仿宋" w:eastAsia="仿宋" w:cs="仿宋"/>
                <w:b/>
                <w:bCs/>
                <w:color w:val="auto"/>
                <w:sz w:val="24"/>
                <w:szCs w:val="24"/>
                <w:highlight w:val="none"/>
              </w:rPr>
              <w:t>（需提供</w:t>
            </w:r>
            <w:r>
              <w:rPr>
                <w:rFonts w:hint="eastAsia" w:ascii="仿宋" w:hAnsi="仿宋" w:eastAsia="仿宋" w:cs="仿宋"/>
                <w:b/>
                <w:bCs/>
                <w:color w:val="auto"/>
                <w:sz w:val="24"/>
                <w:szCs w:val="24"/>
                <w:highlight w:val="none"/>
                <w:lang w:val="en-US" w:eastAsia="zh-CN"/>
              </w:rPr>
              <w:t>2019年1月1日以后的证明材料</w:t>
            </w:r>
            <w:r>
              <w:rPr>
                <w:rFonts w:hint="eastAsia" w:ascii="仿宋" w:hAnsi="仿宋" w:eastAsia="仿宋" w:cs="仿宋"/>
                <w:b/>
                <w:bCs/>
                <w:color w:val="auto"/>
                <w:sz w:val="24"/>
                <w:szCs w:val="24"/>
                <w:highlight w:val="none"/>
              </w:rPr>
              <w:t>扫描件，扫描件进入磋商响应文件，否则不得分）。</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Cs/>
                <w:color w:val="auto"/>
                <w:kern w:val="0"/>
                <w:szCs w:val="24"/>
                <w:highlight w:val="none"/>
              </w:rPr>
            </w:pPr>
            <w:r>
              <w:rPr>
                <w:rFonts w:hint="eastAsia" w:ascii="仿宋" w:hAnsi="仿宋" w:eastAsia="仿宋" w:cs="仿宋"/>
                <w:bCs/>
                <w:color w:val="auto"/>
                <w:kern w:val="0"/>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3" w:type="dxa"/>
            <w:vMerge w:val="restart"/>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5</w:t>
            </w: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p>
        </w:tc>
        <w:tc>
          <w:tcPr>
            <w:tcW w:w="1256" w:type="dxa"/>
            <w:vMerge w:val="restart"/>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宋体" w:hAnsi="宋体" w:cs="宋体"/>
                <w:b/>
                <w:bCs/>
                <w:color w:val="auto"/>
                <w:highlight w:val="none"/>
              </w:rPr>
              <w:t>采访书目信息的覆盖程度和时效性</w:t>
            </w:r>
          </w:p>
        </w:tc>
        <w:tc>
          <w:tcPr>
            <w:tcW w:w="4329"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根据供应商提供的采访书目样例。采访书目是否完整、准确等情况由评委</w:t>
            </w:r>
            <w:r>
              <w:rPr>
                <w:rFonts w:hint="eastAsia" w:ascii="仿宋" w:hAnsi="仿宋" w:eastAsia="仿宋" w:cs="仿宋"/>
                <w:color w:val="auto"/>
                <w:sz w:val="24"/>
                <w:szCs w:val="24"/>
                <w:highlight w:val="none"/>
              </w:rPr>
              <w:t>酌情打分，不足一处扣1分，扣完为止。</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Cs/>
                <w:color w:val="auto"/>
                <w:kern w:val="0"/>
                <w:szCs w:val="24"/>
                <w:highlight w:val="none"/>
              </w:rPr>
            </w:pPr>
            <w:r>
              <w:rPr>
                <w:rFonts w:hint="eastAsia" w:ascii="仿宋" w:hAnsi="仿宋" w:eastAsia="仿宋" w:cs="仿宋"/>
                <w:bCs/>
                <w:color w:val="auto"/>
                <w:kern w:val="0"/>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p>
        </w:tc>
        <w:tc>
          <w:tcPr>
            <w:tcW w:w="1256"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cs="宋体"/>
                <w:b/>
                <w:bCs/>
                <w:color w:val="auto"/>
                <w:highlight w:val="none"/>
              </w:rPr>
            </w:pPr>
          </w:p>
        </w:tc>
        <w:tc>
          <w:tcPr>
            <w:tcW w:w="4329"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根据供应商提供的采访书目时效性，现货比例等情况由评委</w:t>
            </w:r>
            <w:r>
              <w:rPr>
                <w:rFonts w:hint="eastAsia" w:ascii="仿宋" w:hAnsi="仿宋" w:eastAsia="仿宋" w:cs="仿宋"/>
                <w:color w:val="auto"/>
                <w:sz w:val="24"/>
                <w:szCs w:val="24"/>
                <w:highlight w:val="none"/>
              </w:rPr>
              <w:t>酌情打分，不足一处扣1分，扣完为止。</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Cs/>
                <w:color w:val="auto"/>
                <w:kern w:val="0"/>
                <w:szCs w:val="24"/>
                <w:highlight w:val="none"/>
              </w:rPr>
            </w:pPr>
            <w:r>
              <w:rPr>
                <w:rFonts w:hint="eastAsia" w:ascii="仿宋" w:hAnsi="仿宋" w:eastAsia="仿宋" w:cs="仿宋"/>
                <w:bCs/>
                <w:color w:val="auto"/>
                <w:kern w:val="0"/>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43" w:type="dxa"/>
            <w:vMerge w:val="restart"/>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p>
        </w:tc>
        <w:tc>
          <w:tcPr>
            <w:tcW w:w="1256" w:type="dxa"/>
            <w:vMerge w:val="restart"/>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宋体" w:hAnsi="宋体" w:cs="宋体"/>
                <w:b/>
                <w:bCs/>
                <w:color w:val="auto"/>
                <w:highlight w:val="none"/>
              </w:rPr>
              <w:t>到馆加工服务</w:t>
            </w:r>
          </w:p>
        </w:tc>
        <w:tc>
          <w:tcPr>
            <w:tcW w:w="4329"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为本项目配备的到馆加工人员</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提供国家图书馆编目上岗证或CALIS培训证书</w:t>
            </w:r>
            <w:r>
              <w:rPr>
                <w:rFonts w:hint="eastAsia" w:ascii="仿宋" w:hAnsi="仿宋" w:eastAsia="仿宋" w:cs="仿宋"/>
                <w:color w:val="auto"/>
                <w:sz w:val="24"/>
                <w:szCs w:val="24"/>
                <w:highlight w:val="none"/>
                <w:lang w:val="en-US" w:eastAsia="zh-CN"/>
              </w:rPr>
              <w:t>的得2分</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（需提供人员有效证书及近六个月的社保证明材料扫描件，</w:t>
            </w:r>
            <w:r>
              <w:rPr>
                <w:rFonts w:hint="eastAsia" w:ascii="仿宋" w:hAnsi="仿宋" w:eastAsia="仿宋" w:cs="仿宋"/>
                <w:b/>
                <w:bCs/>
                <w:color w:val="auto"/>
                <w:kern w:val="0"/>
                <w:sz w:val="24"/>
                <w:szCs w:val="24"/>
                <w:highlight w:val="none"/>
              </w:rPr>
              <w:t>扫</w:t>
            </w:r>
            <w:r>
              <w:rPr>
                <w:rFonts w:hint="eastAsia" w:ascii="仿宋" w:hAnsi="仿宋" w:eastAsia="仿宋" w:cs="仿宋"/>
                <w:b/>
                <w:color w:val="auto"/>
                <w:kern w:val="0"/>
                <w:sz w:val="24"/>
                <w:szCs w:val="24"/>
                <w:highlight w:val="none"/>
              </w:rPr>
              <w:t>描件进入磋商响应文件，否则不得分</w:t>
            </w:r>
            <w:r>
              <w:rPr>
                <w:rFonts w:hint="eastAsia" w:ascii="仿宋" w:hAnsi="仿宋" w:eastAsia="仿宋" w:cs="仿宋"/>
                <w:color w:val="auto"/>
                <w:sz w:val="24"/>
                <w:szCs w:val="24"/>
                <w:highlight w:val="none"/>
              </w:rPr>
              <w:t>）</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Cs/>
                <w:color w:val="auto"/>
                <w:kern w:val="0"/>
                <w:szCs w:val="24"/>
                <w:highlight w:val="none"/>
              </w:rPr>
            </w:pPr>
            <w:r>
              <w:rPr>
                <w:rFonts w:hint="eastAsia" w:ascii="仿宋" w:hAnsi="仿宋" w:eastAsia="仿宋" w:cs="仿宋"/>
                <w:bCs/>
                <w:color w:val="auto"/>
                <w:kern w:val="0"/>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p>
        </w:tc>
        <w:tc>
          <w:tcPr>
            <w:tcW w:w="1256"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cs="宋体"/>
                <w:b/>
                <w:bCs/>
                <w:color w:val="auto"/>
                <w:highlight w:val="none"/>
              </w:rPr>
            </w:pPr>
          </w:p>
        </w:tc>
        <w:tc>
          <w:tcPr>
            <w:tcW w:w="4329"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数据加工有专业人员负责，保质保量完成，低差错率，有查错纠错机制的，由</w:t>
            </w:r>
            <w:r>
              <w:rPr>
                <w:rFonts w:hint="eastAsia" w:ascii="仿宋" w:hAnsi="仿宋" w:eastAsia="仿宋" w:cs="仿宋"/>
                <w:bCs/>
                <w:color w:val="auto"/>
                <w:kern w:val="0"/>
                <w:sz w:val="24"/>
                <w:szCs w:val="24"/>
                <w:highlight w:val="none"/>
              </w:rPr>
              <w:t>评委</w:t>
            </w:r>
            <w:r>
              <w:rPr>
                <w:rFonts w:hint="eastAsia" w:ascii="仿宋" w:hAnsi="仿宋" w:eastAsia="仿宋" w:cs="仿宋"/>
                <w:color w:val="auto"/>
                <w:sz w:val="24"/>
                <w:szCs w:val="24"/>
                <w:highlight w:val="none"/>
              </w:rPr>
              <w:t>酌情打分，不足一处扣1分，扣完为止。</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Cs/>
                <w:color w:val="auto"/>
                <w:kern w:val="0"/>
                <w:szCs w:val="24"/>
                <w:highlight w:val="none"/>
              </w:rPr>
            </w:pPr>
            <w:r>
              <w:rPr>
                <w:rFonts w:hint="eastAsia" w:ascii="仿宋" w:hAnsi="仿宋" w:eastAsia="仿宋" w:cs="仿宋"/>
                <w:bCs/>
                <w:color w:val="auto"/>
                <w:kern w:val="0"/>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743" w:type="dxa"/>
            <w:vMerge w:val="restart"/>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restart"/>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宋体" w:hAnsi="宋体" w:cs="宋体"/>
                <w:b/>
                <w:bCs/>
                <w:color w:val="auto"/>
                <w:highlight w:val="none"/>
              </w:rPr>
              <w:t>编目数据</w:t>
            </w:r>
          </w:p>
        </w:tc>
        <w:tc>
          <w:tcPr>
            <w:tcW w:w="4329" w:type="dxa"/>
            <w:vAlign w:val="center"/>
          </w:tcPr>
          <w:p>
            <w:pPr>
              <w:pStyle w:val="9"/>
              <w:keepNext w:val="0"/>
              <w:keepLines w:val="0"/>
              <w:pageBreakBefore w:val="0"/>
              <w:widowControl w:val="0"/>
              <w:kinsoku/>
              <w:wordWrap/>
              <w:overflowPunct/>
              <w:topLinePunct w:val="0"/>
              <w:autoSpaceDE/>
              <w:autoSpaceDN/>
              <w:bidi w:val="0"/>
              <w:adjustRightInd/>
              <w:snapToGrid w:val="0"/>
              <w:spacing w:line="240" w:lineRule="auto"/>
              <w:ind w:firstLine="0"/>
              <w:jc w:val="left"/>
              <w:textAlignment w:val="auto"/>
              <w:rPr>
                <w:rFonts w:hint="default" w:ascii="仿宋" w:hAnsi="仿宋" w:eastAsia="仿宋" w:cs="仿宋"/>
                <w:bCs/>
                <w:color w:val="auto"/>
                <w:kern w:val="0"/>
                <w:szCs w:val="24"/>
                <w:highlight w:val="none"/>
                <w:lang w:val="en-US" w:eastAsia="zh-CN"/>
              </w:rPr>
            </w:pPr>
            <w:r>
              <w:rPr>
                <w:rFonts w:hint="eastAsia" w:ascii="仿宋" w:hAnsi="仿宋" w:eastAsia="仿宋" w:cs="仿宋"/>
                <w:color w:val="auto"/>
                <w:szCs w:val="24"/>
                <w:highlight w:val="none"/>
              </w:rPr>
              <w:t>提供编目数据样例，编目数据采用国家图书馆编目细则，符合公共图书馆要求；编目数据应比同批次送达的图书提前或同时到馆，承诺达到100%的覆盖率的</w:t>
            </w:r>
            <w:r>
              <w:rPr>
                <w:rFonts w:hint="eastAsia" w:ascii="仿宋" w:hAnsi="仿宋" w:eastAsia="仿宋" w:cs="仿宋"/>
                <w:color w:val="auto"/>
                <w:szCs w:val="24"/>
                <w:highlight w:val="none"/>
                <w:lang w:val="en-US" w:eastAsia="zh-CN"/>
              </w:rPr>
              <w:t>得3分，</w:t>
            </w:r>
            <w:r>
              <w:rPr>
                <w:rFonts w:hint="eastAsia" w:ascii="仿宋" w:hAnsi="仿宋" w:eastAsia="仿宋" w:cs="仿宋"/>
                <w:color w:val="auto"/>
                <w:szCs w:val="24"/>
                <w:highlight w:val="none"/>
              </w:rPr>
              <w:t>达到</w:t>
            </w:r>
            <w:r>
              <w:rPr>
                <w:rFonts w:hint="eastAsia" w:ascii="仿宋" w:hAnsi="仿宋" w:eastAsia="仿宋" w:cs="仿宋"/>
                <w:color w:val="auto"/>
                <w:szCs w:val="24"/>
                <w:highlight w:val="none"/>
                <w:lang w:val="en-US" w:eastAsia="zh-CN"/>
              </w:rPr>
              <w:t>95</w:t>
            </w:r>
            <w:r>
              <w:rPr>
                <w:rFonts w:hint="eastAsia" w:ascii="仿宋" w:hAnsi="仿宋" w:eastAsia="仿宋" w:cs="仿宋"/>
                <w:color w:val="auto"/>
                <w:szCs w:val="24"/>
                <w:highlight w:val="none"/>
              </w:rPr>
              <w:t>%的覆盖率的</w:t>
            </w:r>
            <w:r>
              <w:rPr>
                <w:rFonts w:hint="eastAsia" w:ascii="仿宋" w:hAnsi="仿宋" w:eastAsia="仿宋" w:cs="仿宋"/>
                <w:color w:val="auto"/>
                <w:szCs w:val="24"/>
                <w:highlight w:val="none"/>
                <w:lang w:val="en-US" w:eastAsia="zh-CN"/>
              </w:rPr>
              <w:t>得2分，</w:t>
            </w:r>
            <w:r>
              <w:rPr>
                <w:rFonts w:hint="eastAsia" w:ascii="仿宋" w:hAnsi="仿宋" w:eastAsia="仿宋" w:cs="仿宋"/>
                <w:color w:val="auto"/>
                <w:szCs w:val="24"/>
                <w:highlight w:val="none"/>
              </w:rPr>
              <w:t>达到</w:t>
            </w:r>
            <w:r>
              <w:rPr>
                <w:rFonts w:hint="eastAsia" w:ascii="仿宋" w:hAnsi="仿宋" w:eastAsia="仿宋" w:cs="仿宋"/>
                <w:color w:val="auto"/>
                <w:szCs w:val="24"/>
                <w:highlight w:val="none"/>
                <w:lang w:val="en-US" w:eastAsia="zh-CN"/>
              </w:rPr>
              <w:t>90</w:t>
            </w:r>
            <w:r>
              <w:rPr>
                <w:rFonts w:hint="eastAsia" w:ascii="仿宋" w:hAnsi="仿宋" w:eastAsia="仿宋" w:cs="仿宋"/>
                <w:color w:val="auto"/>
                <w:szCs w:val="24"/>
                <w:highlight w:val="none"/>
              </w:rPr>
              <w:t>%的覆盖率的</w:t>
            </w:r>
            <w:r>
              <w:rPr>
                <w:rFonts w:hint="eastAsia" w:ascii="仿宋" w:hAnsi="仿宋" w:eastAsia="仿宋" w:cs="仿宋"/>
                <w:color w:val="auto"/>
                <w:szCs w:val="24"/>
                <w:highlight w:val="none"/>
                <w:lang w:val="en-US" w:eastAsia="zh-CN"/>
              </w:rPr>
              <w:t>得1分。</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Cs/>
                <w:color w:val="auto"/>
                <w:kern w:val="0"/>
                <w:szCs w:val="24"/>
                <w:highlight w:val="none"/>
              </w:rPr>
            </w:pPr>
            <w:r>
              <w:rPr>
                <w:rFonts w:ascii="仿宋" w:hAnsi="仿宋" w:eastAsia="仿宋" w:cs="仿宋"/>
                <w:bCs/>
                <w:color w:val="auto"/>
                <w:kern w:val="0"/>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74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rPr>
            </w:pP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宋体" w:hAnsi="宋体" w:cs="宋体"/>
                <w:b/>
                <w:bCs/>
                <w:color w:val="auto"/>
                <w:highlight w:val="none"/>
              </w:rPr>
            </w:pPr>
          </w:p>
        </w:tc>
        <w:tc>
          <w:tcPr>
            <w:tcW w:w="432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ascii="仿宋" w:hAnsi="仿宋" w:eastAsia="仿宋" w:cs="仿宋"/>
                <w:bCs/>
                <w:color w:val="auto"/>
                <w:kern w:val="0"/>
                <w:szCs w:val="24"/>
                <w:highlight w:val="none"/>
              </w:rPr>
            </w:pPr>
            <w:r>
              <w:rPr>
                <w:rFonts w:hint="eastAsia" w:ascii="仿宋" w:hAnsi="仿宋" w:eastAsia="仿宋" w:cs="仿宋"/>
                <w:color w:val="auto"/>
                <w:szCs w:val="24"/>
                <w:highlight w:val="none"/>
              </w:rPr>
              <w:t>具有在有效期内的国图联编中心数据下载协议</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CALI</w:t>
            </w:r>
            <w:r>
              <w:rPr>
                <w:rFonts w:hint="eastAsia" w:ascii="仿宋" w:hAnsi="仿宋" w:eastAsia="仿宋" w:cs="仿宋"/>
                <w:color w:val="auto"/>
                <w:szCs w:val="24"/>
                <w:highlight w:val="none"/>
              </w:rPr>
              <w:t>S联机编目服务协议</w:t>
            </w:r>
            <w:r>
              <w:rPr>
                <w:rFonts w:hint="eastAsia" w:ascii="仿宋" w:hAnsi="仿宋" w:eastAsia="仿宋" w:cs="仿宋"/>
                <w:color w:val="auto"/>
                <w:szCs w:val="24"/>
                <w:highlight w:val="none"/>
                <w:lang w:eastAsia="zh-CN"/>
              </w:rPr>
              <w:t>，</w:t>
            </w:r>
            <w:r>
              <w:rPr>
                <w:rFonts w:hint="eastAsia" w:ascii="仿宋" w:hAnsi="仿宋" w:eastAsia="仿宋" w:cs="仿宋"/>
                <w:color w:val="auto"/>
                <w:sz w:val="24"/>
                <w:szCs w:val="24"/>
                <w:highlight w:val="none"/>
              </w:rPr>
              <w:t>每提供一个</w:t>
            </w:r>
            <w:r>
              <w:rPr>
                <w:rFonts w:hint="eastAsia" w:ascii="仿宋" w:hAnsi="仿宋" w:eastAsia="仿宋" w:cs="仿宋"/>
                <w:color w:val="auto"/>
                <w:szCs w:val="24"/>
                <w:highlight w:val="none"/>
              </w:rPr>
              <w:t>协议得1分，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val="en-US" w:eastAsia="zh-CN"/>
              </w:rPr>
              <w:t>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b/>
                <w:bCs/>
                <w:color w:val="auto"/>
                <w:szCs w:val="24"/>
                <w:highlight w:val="none"/>
              </w:rPr>
              <w:t>（需提供</w:t>
            </w:r>
            <w:r>
              <w:rPr>
                <w:rFonts w:hint="eastAsia" w:ascii="仿宋" w:hAnsi="仿宋" w:eastAsia="仿宋" w:cs="仿宋"/>
                <w:b/>
                <w:bCs/>
                <w:color w:val="auto"/>
                <w:szCs w:val="24"/>
                <w:highlight w:val="none"/>
                <w:lang w:val="en-US" w:eastAsia="zh-CN"/>
              </w:rPr>
              <w:t>协议</w:t>
            </w:r>
            <w:r>
              <w:rPr>
                <w:rFonts w:hint="eastAsia" w:ascii="仿宋" w:hAnsi="仿宋" w:eastAsia="仿宋" w:cs="仿宋"/>
                <w:b/>
                <w:bCs/>
                <w:color w:val="auto"/>
                <w:szCs w:val="24"/>
                <w:highlight w:val="none"/>
              </w:rPr>
              <w:t>扫描件，扫描件进入</w:t>
            </w:r>
            <w:r>
              <w:rPr>
                <w:rFonts w:hint="eastAsia" w:ascii="仿宋" w:hAnsi="仿宋" w:eastAsia="仿宋" w:cs="仿宋"/>
                <w:b/>
                <w:color w:val="auto"/>
                <w:kern w:val="0"/>
                <w:szCs w:val="24"/>
                <w:highlight w:val="none"/>
              </w:rPr>
              <w:t>磋商响应文件</w:t>
            </w:r>
            <w:r>
              <w:rPr>
                <w:rFonts w:hint="eastAsia" w:ascii="仿宋" w:hAnsi="仿宋" w:eastAsia="仿宋" w:cs="仿宋"/>
                <w:b/>
                <w:bCs/>
                <w:color w:val="auto"/>
                <w:szCs w:val="24"/>
                <w:highlight w:val="none"/>
              </w:rPr>
              <w:t>，否则不得分）。</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bCs/>
                <w:color w:val="auto"/>
                <w:kern w:val="0"/>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3"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8</w:t>
            </w: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到书率承诺</w:t>
            </w:r>
          </w:p>
        </w:tc>
        <w:tc>
          <w:tcPr>
            <w:tcW w:w="432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ascii="仿宋" w:hAnsi="仿宋" w:eastAsia="仿宋" w:cs="仿宋"/>
                <w:bCs/>
                <w:color w:val="auto"/>
                <w:kern w:val="0"/>
                <w:szCs w:val="24"/>
                <w:highlight w:val="none"/>
              </w:rPr>
            </w:pPr>
            <w:r>
              <w:rPr>
                <w:rFonts w:hint="eastAsia" w:ascii="仿宋" w:hAnsi="仿宋" w:eastAsia="仿宋" w:cs="仿宋"/>
                <w:color w:val="auto"/>
                <w:szCs w:val="24"/>
                <w:highlight w:val="none"/>
              </w:rPr>
              <w:t>承诺年到书率达95%以上为3分；85-94%为2分；85%以下为0-1分。</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Cs/>
                <w:color w:val="auto"/>
                <w:kern w:val="0"/>
                <w:szCs w:val="24"/>
                <w:highlight w:val="none"/>
              </w:rPr>
            </w:pPr>
            <w:r>
              <w:rPr>
                <w:rFonts w:hint="eastAsia" w:ascii="仿宋" w:hAnsi="仿宋" w:eastAsia="仿宋" w:cs="仿宋"/>
                <w:bCs/>
                <w:color w:val="auto"/>
                <w:kern w:val="0"/>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3"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9</w:t>
            </w: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应急采购能力</w:t>
            </w:r>
          </w:p>
        </w:tc>
        <w:tc>
          <w:tcPr>
            <w:tcW w:w="432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根据供应商满足图书应急采购的实际能力由</w:t>
            </w:r>
            <w:r>
              <w:rPr>
                <w:rFonts w:hint="eastAsia" w:ascii="仿宋" w:hAnsi="仿宋" w:eastAsia="仿宋" w:cs="仿宋"/>
                <w:bCs/>
                <w:color w:val="auto"/>
                <w:kern w:val="0"/>
                <w:szCs w:val="24"/>
                <w:highlight w:val="none"/>
              </w:rPr>
              <w:t>评委</w:t>
            </w:r>
            <w:r>
              <w:rPr>
                <w:rFonts w:hint="eastAsia" w:ascii="仿宋" w:hAnsi="仿宋" w:eastAsia="仿宋" w:cs="仿宋"/>
                <w:color w:val="auto"/>
                <w:szCs w:val="24"/>
                <w:highlight w:val="none"/>
              </w:rPr>
              <w:t>酌情打分，不足一处扣1分，扣完为止。</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Cs/>
                <w:color w:val="auto"/>
                <w:kern w:val="0"/>
                <w:szCs w:val="24"/>
                <w:highlight w:val="none"/>
              </w:rPr>
            </w:pPr>
            <w:r>
              <w:rPr>
                <w:rFonts w:hint="eastAsia" w:ascii="仿宋" w:hAnsi="仿宋" w:eastAsia="仿宋" w:cs="仿宋"/>
                <w:bCs/>
                <w:color w:val="auto"/>
                <w:kern w:val="0"/>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3" w:type="dxa"/>
            <w:vMerge w:val="restart"/>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10</w:t>
            </w: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restart"/>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图书质量保证、图书退换处理方案</w:t>
            </w:r>
          </w:p>
        </w:tc>
        <w:tc>
          <w:tcPr>
            <w:tcW w:w="432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根据订单处理、清单发送、图书配送、图书退换处理承诺</w:t>
            </w:r>
            <w:r>
              <w:rPr>
                <w:rFonts w:hint="eastAsia" w:ascii="仿宋" w:hAnsi="仿宋" w:eastAsia="仿宋" w:cs="仿宋"/>
                <w:bCs/>
                <w:color w:val="auto"/>
                <w:kern w:val="0"/>
                <w:sz w:val="24"/>
                <w:szCs w:val="24"/>
                <w:highlight w:val="none"/>
              </w:rPr>
              <w:t>由评委</w:t>
            </w:r>
            <w:r>
              <w:rPr>
                <w:rFonts w:hint="eastAsia" w:ascii="仿宋" w:hAnsi="仿宋" w:eastAsia="仿宋" w:cs="仿宋"/>
                <w:color w:val="auto"/>
                <w:sz w:val="24"/>
                <w:szCs w:val="24"/>
                <w:highlight w:val="none"/>
              </w:rPr>
              <w:t>酌情打分，不足一处扣1分，扣完为止。</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bCs/>
                <w:color w:val="auto"/>
                <w:kern w:val="0"/>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rPr>
            </w:pP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
                <w:bCs/>
                <w:color w:val="auto"/>
                <w:szCs w:val="24"/>
                <w:highlight w:val="none"/>
              </w:rPr>
            </w:pPr>
          </w:p>
        </w:tc>
        <w:tc>
          <w:tcPr>
            <w:tcW w:w="432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针对本项目的图书质量保证，承诺提供正版、正规图书及光盘且无损伤，由</w:t>
            </w:r>
            <w:r>
              <w:rPr>
                <w:rFonts w:hint="eastAsia" w:ascii="仿宋" w:hAnsi="仿宋" w:eastAsia="仿宋" w:cs="仿宋"/>
                <w:bCs/>
                <w:color w:val="auto"/>
                <w:kern w:val="0"/>
                <w:sz w:val="24"/>
                <w:szCs w:val="24"/>
                <w:highlight w:val="none"/>
                <w:lang w:val="en-US" w:eastAsia="zh-CN"/>
              </w:rPr>
              <w:t>评委</w:t>
            </w:r>
            <w:r>
              <w:rPr>
                <w:rFonts w:hint="eastAsia" w:ascii="仿宋" w:hAnsi="仿宋" w:eastAsia="仿宋" w:cs="仿宋"/>
                <w:color w:val="auto"/>
                <w:sz w:val="24"/>
                <w:szCs w:val="24"/>
                <w:highlight w:val="none"/>
              </w:rPr>
              <w:t>酌情打分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不足一处扣1分，扣完为止。</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val="en-US" w:eastAsia="zh-CN"/>
              </w:rPr>
            </w:pPr>
            <w:r>
              <w:rPr>
                <w:rFonts w:hint="eastAsia" w:ascii="仿宋" w:hAnsi="仿宋" w:eastAsia="仿宋" w:cs="仿宋"/>
                <w:bCs/>
                <w:color w:val="auto"/>
                <w:kern w:val="0"/>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3" w:type="dxa"/>
            <w:vMerge w:val="restart"/>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11</w:t>
            </w: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供应商进书渠道、现采场所</w:t>
            </w:r>
          </w:p>
        </w:tc>
        <w:tc>
          <w:tcPr>
            <w:tcW w:w="4329"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各类出版社进货渠道的满足性：提供与各类别（社科、文艺、美术、科技、教育、少儿、古籍）“百佳社目录”出版社的合作合同或授权书。提供20家得1分，20家以上的每增加1个得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分，最高得5分。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bCs/>
                <w:color w:val="auto"/>
                <w:kern w:val="0"/>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需</w:t>
            </w:r>
            <w:r>
              <w:rPr>
                <w:rFonts w:hint="eastAsia" w:ascii="仿宋" w:hAnsi="仿宋" w:eastAsia="仿宋" w:cs="仿宋"/>
                <w:b/>
                <w:bCs/>
                <w:color w:val="auto"/>
                <w:sz w:val="24"/>
                <w:szCs w:val="24"/>
                <w:highlight w:val="none"/>
              </w:rPr>
              <w:t>提供与出版社签署的供货合同或授权书</w:t>
            </w:r>
            <w:r>
              <w:rPr>
                <w:rFonts w:hint="eastAsia" w:ascii="仿宋" w:hAnsi="仿宋" w:eastAsia="仿宋" w:cs="仿宋"/>
                <w:b/>
                <w:bCs/>
                <w:color w:val="auto"/>
                <w:sz w:val="24"/>
                <w:szCs w:val="24"/>
                <w:highlight w:val="none"/>
                <w:lang w:val="en-US" w:eastAsia="zh-CN"/>
              </w:rPr>
              <w:t>扫描件</w:t>
            </w:r>
            <w:r>
              <w:rPr>
                <w:rFonts w:hint="eastAsia" w:ascii="仿宋" w:hAnsi="仿宋" w:eastAsia="仿宋" w:cs="仿宋"/>
                <w:b/>
                <w:bCs/>
                <w:color w:val="auto"/>
                <w:sz w:val="24"/>
                <w:szCs w:val="24"/>
                <w:highlight w:val="none"/>
              </w:rPr>
              <w:t>，</w:t>
            </w:r>
            <w:r>
              <w:rPr>
                <w:rFonts w:hint="eastAsia" w:ascii="仿宋" w:hAnsi="仿宋" w:eastAsia="仿宋" w:cs="仿宋"/>
                <w:b/>
                <w:bCs/>
                <w:color w:val="auto"/>
                <w:kern w:val="0"/>
                <w:sz w:val="24"/>
                <w:szCs w:val="24"/>
                <w:highlight w:val="none"/>
                <w:lang w:val="en-US" w:eastAsia="zh-CN"/>
              </w:rPr>
              <w:t>扫</w:t>
            </w:r>
            <w:r>
              <w:rPr>
                <w:rFonts w:hint="eastAsia" w:ascii="仿宋" w:hAnsi="仿宋" w:eastAsia="仿宋" w:cs="仿宋"/>
                <w:b/>
                <w:bCs w:val="0"/>
                <w:color w:val="auto"/>
                <w:kern w:val="0"/>
                <w:sz w:val="24"/>
                <w:szCs w:val="24"/>
                <w:highlight w:val="none"/>
                <w:lang w:val="en-US" w:eastAsia="zh-CN"/>
              </w:rPr>
              <w:t>描件进入磋商响应文件，否则不得分）</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Cs/>
                <w:color w:val="auto"/>
                <w:kern w:val="0"/>
                <w:szCs w:val="24"/>
                <w:highlight w:val="none"/>
              </w:rPr>
            </w:pPr>
            <w:r>
              <w:rPr>
                <w:rFonts w:ascii="仿宋" w:hAnsi="仿宋" w:eastAsia="仿宋" w:cs="仿宋"/>
                <w:bCs/>
                <w:color w:val="auto"/>
                <w:kern w:val="0"/>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p>
        </w:tc>
        <w:tc>
          <w:tcPr>
            <w:tcW w:w="4329"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现采场所：</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拥有自有实体卖场（自有场地提供房产证明原件彩色扫描件或租赁协议原件彩色扫描件，扫描件进入</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文件，否则不得分）根据图书品质、丰富程度等响应情况，</w:t>
            </w:r>
            <w:r>
              <w:rPr>
                <w:rFonts w:hint="eastAsia" w:ascii="仿宋" w:hAnsi="仿宋" w:eastAsia="仿宋" w:cs="仿宋"/>
                <w:color w:val="auto"/>
                <w:sz w:val="24"/>
                <w:szCs w:val="24"/>
                <w:highlight w:val="none"/>
                <w:lang w:val="en-US" w:eastAsia="zh-CN"/>
              </w:rPr>
              <w:t>由</w:t>
            </w:r>
            <w:r>
              <w:rPr>
                <w:rFonts w:hint="eastAsia" w:ascii="仿宋" w:hAnsi="仿宋" w:eastAsia="仿宋" w:cs="仿宋"/>
                <w:bCs/>
                <w:color w:val="auto"/>
                <w:kern w:val="0"/>
                <w:sz w:val="24"/>
                <w:szCs w:val="24"/>
                <w:highlight w:val="none"/>
                <w:lang w:val="en-US" w:eastAsia="zh-CN"/>
              </w:rPr>
              <w:t>评委</w:t>
            </w:r>
            <w:r>
              <w:rPr>
                <w:rFonts w:hint="eastAsia" w:ascii="仿宋" w:hAnsi="仿宋" w:eastAsia="仿宋" w:cs="仿宋"/>
                <w:color w:val="auto"/>
                <w:sz w:val="24"/>
                <w:szCs w:val="24"/>
                <w:highlight w:val="none"/>
                <w:lang w:val="en-US" w:eastAsia="zh-CN"/>
              </w:rPr>
              <w:t>酌情打分，</w:t>
            </w:r>
            <w:r>
              <w:rPr>
                <w:rFonts w:hint="eastAsia" w:ascii="仿宋" w:hAnsi="仿宋" w:eastAsia="仿宋" w:cs="仿宋"/>
                <w:color w:val="auto"/>
                <w:sz w:val="24"/>
                <w:szCs w:val="24"/>
                <w:highlight w:val="none"/>
              </w:rPr>
              <w:t>不足一处扣1分，扣完为止。</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bCs/>
                <w:color w:val="auto"/>
                <w:kern w:val="0"/>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3"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12</w:t>
            </w: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大套书供货能力</w:t>
            </w:r>
          </w:p>
        </w:tc>
        <w:tc>
          <w:tcPr>
            <w:tcW w:w="4329"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提供自有大套书采购场地介绍，根据</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承诺的大套书现场采购能力</w:t>
            </w:r>
            <w:r>
              <w:rPr>
                <w:rFonts w:hint="eastAsia" w:ascii="仿宋" w:hAnsi="仿宋" w:eastAsia="仿宋" w:cs="仿宋"/>
                <w:color w:val="auto"/>
                <w:sz w:val="24"/>
                <w:szCs w:val="24"/>
                <w:highlight w:val="none"/>
                <w:lang w:val="en-US" w:eastAsia="zh-CN"/>
              </w:rPr>
              <w:t>由</w:t>
            </w:r>
            <w:r>
              <w:rPr>
                <w:rFonts w:hint="eastAsia" w:ascii="仿宋" w:hAnsi="仿宋" w:eastAsia="仿宋" w:cs="仿宋"/>
                <w:bCs/>
                <w:color w:val="auto"/>
                <w:kern w:val="0"/>
                <w:sz w:val="24"/>
                <w:szCs w:val="24"/>
                <w:highlight w:val="none"/>
                <w:lang w:val="en-US" w:eastAsia="zh-CN"/>
              </w:rPr>
              <w:t>评委</w:t>
            </w:r>
            <w:r>
              <w:rPr>
                <w:rFonts w:hint="eastAsia" w:ascii="仿宋" w:hAnsi="仿宋" w:eastAsia="仿宋" w:cs="仿宋"/>
                <w:color w:val="auto"/>
                <w:sz w:val="24"/>
                <w:szCs w:val="24"/>
                <w:highlight w:val="none"/>
                <w:lang w:val="en-US" w:eastAsia="zh-CN"/>
              </w:rPr>
              <w:t>酌情打分，</w:t>
            </w:r>
            <w:r>
              <w:rPr>
                <w:rFonts w:hint="eastAsia" w:ascii="仿宋" w:hAnsi="仿宋" w:eastAsia="仿宋" w:cs="仿宋"/>
                <w:color w:val="auto"/>
                <w:sz w:val="24"/>
                <w:szCs w:val="24"/>
                <w:highlight w:val="none"/>
              </w:rPr>
              <w:t>不足一处扣1分，扣完为止。</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bCs/>
                <w:color w:val="auto"/>
                <w:kern w:val="0"/>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3" w:type="dxa"/>
            <w:vMerge w:val="restart"/>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13</w:t>
            </w: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restart"/>
            <w:vAlign w:val="center"/>
          </w:tcPr>
          <w:p>
            <w:pPr>
              <w:pStyle w:val="9"/>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售后服务</w:t>
            </w:r>
          </w:p>
        </w:tc>
        <w:tc>
          <w:tcPr>
            <w:tcW w:w="4329"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lang w:val="en-US" w:eastAsia="zh-CN"/>
              </w:rPr>
              <w:t>根据售后服务点的综合介绍、售后服务方案等</w:t>
            </w:r>
            <w:r>
              <w:rPr>
                <w:rFonts w:hint="eastAsia" w:ascii="仿宋" w:hAnsi="仿宋" w:eastAsia="仿宋" w:cs="仿宋"/>
                <w:color w:val="auto"/>
                <w:sz w:val="24"/>
                <w:szCs w:val="24"/>
                <w:highlight w:val="none"/>
                <w:lang w:val="en-US" w:eastAsia="zh-CN"/>
              </w:rPr>
              <w:t>由</w:t>
            </w:r>
            <w:r>
              <w:rPr>
                <w:rFonts w:hint="eastAsia" w:ascii="仿宋" w:hAnsi="仿宋" w:eastAsia="仿宋" w:cs="仿宋"/>
                <w:bCs/>
                <w:color w:val="auto"/>
                <w:kern w:val="0"/>
                <w:sz w:val="24"/>
                <w:szCs w:val="24"/>
                <w:highlight w:val="none"/>
                <w:lang w:val="en-US" w:eastAsia="zh-CN"/>
              </w:rPr>
              <w:t>评委</w:t>
            </w:r>
            <w:r>
              <w:rPr>
                <w:rFonts w:hint="eastAsia" w:ascii="仿宋" w:hAnsi="仿宋" w:eastAsia="仿宋" w:cs="仿宋"/>
                <w:color w:val="auto"/>
                <w:sz w:val="24"/>
                <w:szCs w:val="24"/>
                <w:highlight w:val="none"/>
                <w:lang w:val="en-US" w:eastAsia="zh-CN"/>
              </w:rPr>
              <w:t>酌情打分，</w:t>
            </w:r>
            <w:r>
              <w:rPr>
                <w:rFonts w:hint="eastAsia" w:ascii="仿宋" w:hAnsi="仿宋" w:eastAsia="仿宋" w:cs="仿宋"/>
                <w:color w:val="auto"/>
                <w:sz w:val="24"/>
                <w:szCs w:val="24"/>
                <w:highlight w:val="none"/>
              </w:rPr>
              <w:t>不足一处扣1分，扣完为止。</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bCs/>
                <w:color w:val="auto"/>
                <w:kern w:val="0"/>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4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 w:val="24"/>
                <w:szCs w:val="24"/>
                <w:highlight w:val="none"/>
              </w:rPr>
            </w:pPr>
          </w:p>
        </w:tc>
        <w:tc>
          <w:tcPr>
            <w:tcW w:w="4329"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在服务点有车辆配备、图书加工和服务场地、仓库储备情况说明</w:t>
            </w:r>
            <w:r>
              <w:rPr>
                <w:rFonts w:hint="eastAsia" w:ascii="仿宋" w:hAnsi="仿宋" w:eastAsia="仿宋" w:cs="仿宋"/>
                <w:color w:val="auto"/>
                <w:sz w:val="24"/>
                <w:szCs w:val="24"/>
                <w:highlight w:val="none"/>
                <w:lang w:val="en-US" w:eastAsia="zh-CN"/>
              </w:rPr>
              <w:t>由</w:t>
            </w:r>
            <w:r>
              <w:rPr>
                <w:rFonts w:hint="eastAsia" w:ascii="仿宋" w:hAnsi="仿宋" w:eastAsia="仿宋" w:cs="仿宋"/>
                <w:bCs/>
                <w:color w:val="auto"/>
                <w:kern w:val="0"/>
                <w:sz w:val="24"/>
                <w:szCs w:val="24"/>
                <w:highlight w:val="none"/>
                <w:lang w:val="en-US" w:eastAsia="zh-CN"/>
              </w:rPr>
              <w:t>评委</w:t>
            </w:r>
            <w:r>
              <w:rPr>
                <w:rFonts w:hint="eastAsia" w:ascii="仿宋" w:hAnsi="仿宋" w:eastAsia="仿宋" w:cs="仿宋"/>
                <w:color w:val="auto"/>
                <w:sz w:val="24"/>
                <w:szCs w:val="24"/>
                <w:highlight w:val="none"/>
                <w:lang w:val="en-US" w:eastAsia="zh-CN"/>
              </w:rPr>
              <w:t>酌情打分，</w:t>
            </w:r>
            <w:r>
              <w:rPr>
                <w:rFonts w:hint="eastAsia" w:ascii="仿宋" w:hAnsi="仿宋" w:eastAsia="仿宋" w:cs="仿宋"/>
                <w:color w:val="auto"/>
                <w:sz w:val="24"/>
                <w:szCs w:val="24"/>
                <w:highlight w:val="none"/>
              </w:rPr>
              <w:t>不足一处扣1分，扣完为止</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（需提供车辆设备证明</w:t>
            </w:r>
            <w:r>
              <w:rPr>
                <w:rFonts w:hint="eastAsia" w:ascii="仿宋" w:hAnsi="仿宋" w:eastAsia="仿宋" w:cs="仿宋"/>
                <w:b/>
                <w:bCs/>
                <w:color w:val="auto"/>
                <w:sz w:val="24"/>
                <w:szCs w:val="24"/>
                <w:highlight w:val="none"/>
                <w:lang w:val="en-US" w:eastAsia="zh-CN"/>
              </w:rPr>
              <w:t>扫描件</w:t>
            </w:r>
            <w:r>
              <w:rPr>
                <w:rFonts w:hint="eastAsia" w:ascii="仿宋" w:hAnsi="仿宋" w:eastAsia="仿宋" w:cs="仿宋"/>
                <w:b/>
                <w:bCs/>
                <w:color w:val="auto"/>
                <w:sz w:val="24"/>
                <w:szCs w:val="24"/>
                <w:highlight w:val="none"/>
              </w:rPr>
              <w:t>、租房协议或房产证证明扫描件及现场图片，扫描件进入磋商响应文件，否则不得分）。</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bCs/>
                <w:color w:val="auto"/>
                <w:kern w:val="0"/>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w:t>
            </w:r>
          </w:p>
        </w:tc>
        <w:tc>
          <w:tcPr>
            <w:tcW w:w="1253" w:type="dxa"/>
            <w:vMerge w:val="continue"/>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特色服务</w:t>
            </w:r>
          </w:p>
        </w:tc>
        <w:tc>
          <w:tcPr>
            <w:tcW w:w="4329"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能为本项目提供的阅读活动、专题讲座、书展、本地作者线下阅读推广等各类活动，策划方案是否可行、科学等</w:t>
            </w:r>
            <w:r>
              <w:rPr>
                <w:rFonts w:hint="eastAsia" w:ascii="仿宋" w:hAnsi="仿宋" w:eastAsia="仿宋" w:cs="仿宋"/>
                <w:color w:val="auto"/>
                <w:sz w:val="24"/>
                <w:szCs w:val="24"/>
                <w:highlight w:val="none"/>
                <w:lang w:val="en-US" w:eastAsia="zh-CN"/>
              </w:rPr>
              <w:t>由</w:t>
            </w:r>
            <w:r>
              <w:rPr>
                <w:rFonts w:hint="eastAsia" w:ascii="仿宋" w:hAnsi="仿宋" w:eastAsia="仿宋" w:cs="仿宋"/>
                <w:bCs/>
                <w:color w:val="auto"/>
                <w:kern w:val="0"/>
                <w:sz w:val="24"/>
                <w:szCs w:val="24"/>
                <w:highlight w:val="none"/>
                <w:lang w:val="en-US" w:eastAsia="zh-CN"/>
              </w:rPr>
              <w:t>评委</w:t>
            </w:r>
            <w:r>
              <w:rPr>
                <w:rFonts w:hint="eastAsia" w:ascii="仿宋" w:hAnsi="仿宋" w:eastAsia="仿宋" w:cs="仿宋"/>
                <w:color w:val="auto"/>
                <w:sz w:val="24"/>
                <w:szCs w:val="24"/>
                <w:highlight w:val="none"/>
                <w:lang w:val="en-US" w:eastAsia="zh-CN"/>
              </w:rPr>
              <w:t>酌情打分，</w:t>
            </w:r>
            <w:r>
              <w:rPr>
                <w:rFonts w:hint="eastAsia" w:ascii="仿宋" w:hAnsi="仿宋" w:eastAsia="仿宋" w:cs="仿宋"/>
                <w:color w:val="auto"/>
                <w:sz w:val="24"/>
                <w:szCs w:val="24"/>
                <w:highlight w:val="none"/>
              </w:rPr>
              <w:t>不足一处扣1分，扣完为止。</w:t>
            </w:r>
          </w:p>
        </w:tc>
        <w:tc>
          <w:tcPr>
            <w:tcW w:w="939" w:type="dxa"/>
            <w:vAlign w:val="center"/>
          </w:tcPr>
          <w:p>
            <w:pPr>
              <w:pStyle w:val="9"/>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bCs/>
                <w:color w:val="auto"/>
                <w:kern w:val="0"/>
                <w:szCs w:val="24"/>
                <w:highlight w:val="none"/>
                <w:lang w:val="en-US" w:eastAsia="zh-CN"/>
              </w:rPr>
              <w:t>5</w:t>
            </w:r>
          </w:p>
        </w:tc>
      </w:tr>
    </w:tbl>
    <w:p>
      <w:pPr>
        <w:pStyle w:val="9"/>
        <w:snapToGrid/>
        <w:spacing w:line="240" w:lineRule="auto"/>
        <w:ind w:firstLine="0"/>
        <w:jc w:val="left"/>
        <w:rPr>
          <w:rFonts w:ascii="仿宋" w:hAnsi="仿宋" w:eastAsia="仿宋" w:cs="仿宋"/>
          <w:color w:val="auto"/>
          <w:szCs w:val="24"/>
          <w:highlight w:val="none"/>
        </w:rPr>
      </w:pPr>
    </w:p>
    <w:p>
      <w:pPr>
        <w:pStyle w:val="16"/>
        <w:spacing w:before="0" w:after="0"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450" w:name="_Toc1064"/>
      <w:r>
        <w:rPr>
          <w:rFonts w:hint="eastAsia" w:ascii="仿宋" w:hAnsi="仿宋" w:eastAsia="仿宋" w:cs="仿宋"/>
          <w:color w:val="auto"/>
          <w:sz w:val="24"/>
          <w:szCs w:val="24"/>
          <w:highlight w:val="none"/>
        </w:rPr>
        <w:t>附件：政府采购活动现场确认声明书</w:t>
      </w:r>
      <w:bookmarkEnd w:id="449"/>
      <w:bookmarkEnd w:id="450"/>
    </w:p>
    <w:p>
      <w:pPr>
        <w:spacing w:line="40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pPr>
        <w:spacing w:line="340" w:lineRule="exact"/>
        <w:jc w:val="center"/>
        <w:rPr>
          <w:rFonts w:ascii="仿宋" w:hAnsi="仿宋" w:eastAsia="仿宋" w:cs="仿宋"/>
          <w:color w:val="auto"/>
          <w:sz w:val="24"/>
          <w:szCs w:val="24"/>
          <w:highlight w:val="none"/>
        </w:rPr>
      </w:pPr>
    </w:p>
    <w:p>
      <w:pPr>
        <w:spacing w:line="340" w:lineRule="exact"/>
        <w:jc w:val="left"/>
        <w:rPr>
          <w:rFonts w:ascii="仿宋" w:hAnsi="仿宋" w:eastAsia="仿宋" w:cs="仿宋"/>
          <w:color w:val="auto"/>
          <w:sz w:val="24"/>
          <w:szCs w:val="24"/>
          <w:highlight w:val="none"/>
          <w:u w:val="single"/>
        </w:rPr>
      </w:pPr>
      <w:r>
        <w:rPr>
          <w:rFonts w:hint="eastAsia" w:ascii="仿宋" w:hAnsi="仿宋" w:eastAsia="仿宋" w:cs="仿宋"/>
          <w:i/>
          <w:color w:val="auto"/>
          <w:sz w:val="24"/>
          <w:szCs w:val="24"/>
          <w:highlight w:val="none"/>
          <w:u w:val="single"/>
        </w:rPr>
        <w:t>（采购代理机构名称）</w:t>
      </w:r>
      <w:r>
        <w:rPr>
          <w:rFonts w:hint="eastAsia" w:ascii="仿宋" w:hAnsi="仿宋" w:eastAsia="仿宋" w:cs="仿宋"/>
          <w:color w:val="auto"/>
          <w:sz w:val="24"/>
          <w:szCs w:val="24"/>
          <w:highlight w:val="none"/>
          <w:u w:val="single"/>
        </w:rPr>
        <w:t>：</w:t>
      </w:r>
    </w:p>
    <w:p>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本人经由</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sz w:val="24"/>
          <w:szCs w:val="24"/>
          <w:highlight w:val="none"/>
          <w:u w:val="single"/>
        </w:rPr>
        <w:t xml:space="preserve">（公司名称）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，合法授权参加</w:t>
      </w:r>
      <w:r>
        <w:rPr>
          <w:rFonts w:hint="eastAsia" w:ascii="仿宋" w:hAnsi="仿宋" w:eastAsia="仿宋" w:cs="仿宋"/>
          <w:i/>
          <w:color w:val="auto"/>
          <w:sz w:val="24"/>
          <w:szCs w:val="24"/>
          <w:highlight w:val="none"/>
          <w:u w:val="single"/>
        </w:rPr>
        <w:t>（项目名称）（项目编号）（标项）</w:t>
      </w:r>
      <w:r>
        <w:rPr>
          <w:rFonts w:hint="eastAsia" w:ascii="仿宋" w:hAnsi="仿宋" w:eastAsia="仿宋" w:cs="仿宋"/>
          <w:color w:val="auto"/>
          <w:sz w:val="24"/>
          <w:szCs w:val="24"/>
          <w:highlight w:val="none"/>
          <w:u w:val="single"/>
        </w:rPr>
        <w:t>政府</w:t>
      </w:r>
      <w:r>
        <w:rPr>
          <w:rFonts w:hint="eastAsia" w:ascii="仿宋" w:hAnsi="仿宋" w:eastAsia="仿宋" w:cs="仿宋"/>
          <w:color w:val="auto"/>
          <w:sz w:val="24"/>
          <w:szCs w:val="24"/>
          <w:highlight w:val="none"/>
        </w:rPr>
        <w:t>采购活动，经与本单位法人代表（负责人）联系确认，现就有关公平竞争事项郑重声明如下：</w:t>
      </w:r>
    </w:p>
    <w:p>
      <w:pPr>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一、本单位与采购人之间 □不存在利害关系 □存在下列利害关系</w:t>
      </w:r>
      <w:r>
        <w:rPr>
          <w:rFonts w:hint="eastAsia" w:ascii="仿宋" w:hAnsi="仿宋" w:eastAsia="仿宋" w:cs="仿宋"/>
          <w:color w:val="auto"/>
          <w:sz w:val="24"/>
          <w:szCs w:val="24"/>
          <w:highlight w:val="none"/>
          <w:u w:val="single"/>
        </w:rPr>
        <w:t xml:space="preserve">         ：</w:t>
      </w:r>
    </w:p>
    <w:p>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A.投资关系    B.行政隶属关系    C.业务指导关系</w:t>
      </w:r>
    </w:p>
    <w:p>
      <w:pPr>
        <w:spacing w:line="340" w:lineRule="exact"/>
        <w:ind w:firstLine="48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D.其他可能影响采购公正的利害关系（如有，请如实说明）</w:t>
      </w:r>
      <w:r>
        <w:rPr>
          <w:rFonts w:hint="eastAsia" w:ascii="仿宋" w:hAnsi="仿宋" w:eastAsia="仿宋" w:cs="仿宋"/>
          <w:color w:val="auto"/>
          <w:sz w:val="24"/>
          <w:szCs w:val="24"/>
          <w:highlight w:val="none"/>
          <w:u w:val="single"/>
        </w:rPr>
        <w:t xml:space="preserve">         </w:t>
      </w:r>
    </w:p>
    <w:p>
      <w:pPr>
        <w:spacing w:line="3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二、现已清楚知道参加本项目采购活动的其他所有供应商名称，本单位</w:t>
      </w:r>
    </w:p>
    <w:p>
      <w:pPr>
        <w:spacing w:line="3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□与其他所有供应商之间均不存在利害关系  □与</w:t>
      </w:r>
      <w:r>
        <w:rPr>
          <w:rFonts w:hint="eastAsia" w:ascii="仿宋" w:hAnsi="仿宋" w:eastAsia="仿宋" w:cs="仿宋"/>
          <w:color w:val="auto"/>
          <w:sz w:val="24"/>
          <w:szCs w:val="24"/>
          <w:highlight w:val="none"/>
          <w:u w:val="single"/>
        </w:rPr>
        <w:t xml:space="preserve">（供应商名称）     </w:t>
      </w:r>
      <w:r>
        <w:rPr>
          <w:rFonts w:hint="eastAsia" w:ascii="仿宋" w:hAnsi="仿宋" w:eastAsia="仿宋" w:cs="仿宋"/>
          <w:color w:val="auto"/>
          <w:sz w:val="24"/>
          <w:szCs w:val="24"/>
          <w:highlight w:val="none"/>
        </w:rPr>
        <w:t>之间存在下列利害关系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A.法定代表人或负责人或实际控制人是同一人</w:t>
      </w:r>
    </w:p>
    <w:p>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B.法定代表人或负责人或实际控制人是夫妻关系</w:t>
      </w:r>
    </w:p>
    <w:p>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C.法定代表人或负责人或实际控制人是直系血亲关系</w:t>
      </w:r>
    </w:p>
    <w:p>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D.法定代表人或负责人或实际控制人存在三代以内旁系血亲关系</w:t>
      </w:r>
    </w:p>
    <w:p>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E.法定代表人或负责人或实际控制人存在近姻亲关系</w:t>
      </w:r>
    </w:p>
    <w:p>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F.法定代表人或负责人或实际控制人存在股份控制或实际控制关系</w:t>
      </w:r>
    </w:p>
    <w:p>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G.存在共同直接或间接投资设立子公司、联营企业和合营企业情况</w:t>
      </w:r>
    </w:p>
    <w:p>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H.存在分级代理或代销关系、同一生产制造商关系、管理关系、重要业务（占主营业务收入50%以上）或重要财务往来关系（如融资）等其他实质性控制关系</w:t>
      </w:r>
    </w:p>
    <w:p>
      <w:pPr>
        <w:spacing w:line="340" w:lineRule="exact"/>
        <w:ind w:left="240" w:hanging="240" w:hanging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I.其他利害关系情况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spacing w:line="3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三、现已清楚知道并严格遵守政府采购法律法规和现场纪律。</w:t>
      </w:r>
    </w:p>
    <w:p>
      <w:pPr>
        <w:spacing w:line="3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项利害关系。 </w:t>
      </w:r>
    </w:p>
    <w:p>
      <w:pPr>
        <w:spacing w:line="340" w:lineRule="exact"/>
        <w:ind w:firstLine="480"/>
        <w:rPr>
          <w:rFonts w:ascii="仿宋" w:hAnsi="仿宋" w:eastAsia="仿宋" w:cs="仿宋"/>
          <w:color w:val="auto"/>
          <w:sz w:val="24"/>
          <w:szCs w:val="24"/>
          <w:highlight w:val="none"/>
        </w:rPr>
      </w:pPr>
    </w:p>
    <w:p>
      <w:pPr>
        <w:spacing w:line="340" w:lineRule="exact"/>
        <w:ind w:firstLine="480"/>
        <w:rPr>
          <w:rFonts w:ascii="仿宋" w:hAnsi="仿宋" w:eastAsia="仿宋" w:cs="仿宋"/>
          <w:color w:val="auto"/>
          <w:sz w:val="24"/>
          <w:szCs w:val="24"/>
          <w:highlight w:val="none"/>
        </w:rPr>
      </w:pPr>
    </w:p>
    <w:p>
      <w:pPr>
        <w:wordWrap w:val="0"/>
        <w:spacing w:line="340" w:lineRule="exact"/>
        <w:ind w:firstLine="120" w:firstLineChars="5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（供应商代表签名）：     </w:t>
      </w:r>
    </w:p>
    <w:p>
      <w:pPr>
        <w:spacing w:line="340" w:lineRule="exact"/>
        <w:jc w:val="right"/>
        <w:rPr>
          <w:rFonts w:ascii="仿宋" w:hAnsi="仿宋" w:eastAsia="仿宋" w:cs="仿宋"/>
          <w:color w:val="auto"/>
          <w:sz w:val="24"/>
          <w:szCs w:val="24"/>
          <w:highlight w:val="none"/>
        </w:rPr>
      </w:pPr>
    </w:p>
    <w:p>
      <w:pPr>
        <w:wordWrap w:val="0"/>
        <w:spacing w:line="340" w:lineRule="exact"/>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spacing w:line="340" w:lineRule="exact"/>
        <w:rPr>
          <w:rFonts w:ascii="仿宋" w:hAnsi="仿宋" w:eastAsia="仿宋" w:cs="仿宋"/>
          <w:color w:val="auto"/>
          <w:sz w:val="28"/>
          <w:szCs w:val="28"/>
          <w:highlight w:val="none"/>
        </w:rPr>
      </w:pPr>
    </w:p>
    <w:p>
      <w:pPr>
        <w:pStyle w:val="24"/>
        <w:rPr>
          <w:rFonts w:ascii="仿宋" w:hAnsi="仿宋" w:eastAsia="仿宋" w:cs="仿宋"/>
          <w:color w:val="auto"/>
          <w:highlight w:val="none"/>
        </w:rPr>
      </w:pP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注：1、供应商认为有利害关系和需要回避的人员，应提供相关证明材料，与本声明书一同提交。由采购代理机构和财政监督部门负责询问核查。</w:t>
      </w:r>
    </w:p>
    <w:p>
      <w:pPr>
        <w:spacing w:line="360" w:lineRule="auto"/>
        <w:ind w:firstLine="482"/>
        <w:jc w:val="left"/>
        <w:rPr>
          <w:rFonts w:ascii="仿宋" w:hAnsi="仿宋" w:eastAsia="仿宋" w:cs="仿宋"/>
          <w:b/>
          <w:color w:val="auto"/>
          <w:highlight w:val="none"/>
        </w:rPr>
      </w:pPr>
      <w:r>
        <w:rPr>
          <w:rFonts w:hint="eastAsia" w:ascii="仿宋" w:hAnsi="仿宋" w:eastAsia="仿宋" w:cs="仿宋"/>
          <w:b/>
          <w:color w:val="auto"/>
          <w:sz w:val="24"/>
          <w:highlight w:val="none"/>
        </w:rPr>
        <w:t>2、该声明书在投标文件解密后30分钟内以邮件方式发送至邮箱23469090@qq.com。</w:t>
      </w:r>
    </w:p>
    <w:p>
      <w:pPr>
        <w:pStyle w:val="9"/>
        <w:snapToGrid/>
        <w:spacing w:line="360" w:lineRule="auto"/>
        <w:ind w:firstLine="482" w:firstLineChars="200"/>
        <w:rPr>
          <w:color w:val="auto"/>
          <w:highlight w:val="none"/>
        </w:rPr>
      </w:pPr>
      <w:r>
        <w:rPr>
          <w:rFonts w:hint="eastAsia" w:ascii="仿宋" w:hAnsi="仿宋" w:eastAsia="仿宋" w:cs="仿宋"/>
          <w:b/>
          <w:color w:val="auto"/>
          <w:highlight w:val="none"/>
        </w:rPr>
        <w:t>3、该声明书请各供应商在开标前提前准备好。</w:t>
      </w:r>
    </w:p>
    <w:sectPr>
      <w:pgSz w:w="11906" w:h="16838"/>
      <w:pgMar w:top="1440" w:right="1797"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decorative"/>
    <w:pitch w:val="default"/>
    <w:sig w:usb0="00000000" w:usb1="00000000" w:usb2="00000000" w:usb3="00000000" w:csb0="80000000" w:csb1="00000000"/>
  </w:font>
  <w:font w:name="Wingdings 3">
    <w:altName w:val="Symbol"/>
    <w:panose1 w:val="050401020108070707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3</w:t>
    </w:r>
    <w:r>
      <w:rPr>
        <w:rFonts w:hint="eastAsia" w:ascii="仿宋_GB2312"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1</w:t>
    </w:r>
    <w:r>
      <w:rPr>
        <w:rFonts w:hint="eastAsia" w:ascii="仿宋_GB2312" w:eastAsia="仿宋_GB2312"/>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8</w:t>
    </w:r>
    <w:r>
      <w:rPr>
        <w:rFonts w:hint="eastAsia" w:ascii="仿宋_GB2312" w:eastAsia="仿宋_GB2312"/>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2"/>
      </w:rPr>
    </w:pPr>
    <w:r>
      <w:fldChar w:fldCharType="begin"/>
    </w:r>
    <w:r>
      <w:rPr>
        <w:rStyle w:val="22"/>
        <w:highlight w:val="white"/>
      </w:rPr>
      <w:instrText xml:space="preserve">PAGE  </w:instrText>
    </w:r>
    <w:r>
      <w:fldChar w:fldCharType="separate"/>
    </w:r>
    <w:r>
      <w:rPr>
        <w:rStyle w:val="22"/>
        <w:highlight w:val="white"/>
      </w:rPr>
      <w:t>52</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4"/>
      <w:jc w:val="right"/>
      <w:rPr>
        <w:rFonts w:ascii="仿宋_GB2312" w:hAnsi="宋体" w:eastAsia="仿宋_GB2312"/>
        <w:sz w:val="24"/>
        <w:szCs w:val="24"/>
      </w:rPr>
    </w:pP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fldChar w:fldCharType="begin"/>
    </w:r>
    <w:r>
      <w:instrText xml:space="preserve"> HYPERLINK "http://www.lssggzy.com" </w:instrText>
    </w:r>
    <w:r>
      <w:fldChar w:fldCharType="separate"/>
    </w:r>
    <w:r>
      <w:rPr>
        <w:rFonts w:hint="eastAsia" w:ascii="仿宋_GB2312" w:eastAsia="仿宋_GB2312"/>
        <w:sz w:val="24"/>
        <w:szCs w:val="24"/>
      </w:rPr>
      <w:t>lssggzy.lishui.gov.cn/qyweb</w:t>
    </w:r>
    <w:r>
      <w:rPr>
        <w:rFonts w:hint="eastAsia" w:ascii="仿宋_GB2312" w:eastAsia="仿宋_GB2312"/>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fldChar w:fldCharType="begin"/>
    </w:r>
    <w:r>
      <w:instrText xml:space="preserve"> HYPERLINK "http://www.lssggzy.com" </w:instrText>
    </w:r>
    <w:r>
      <w:fldChar w:fldCharType="separate"/>
    </w:r>
    <w:r>
      <w:rPr>
        <w:rFonts w:hint="eastAsia" w:ascii="仿宋_GB2312" w:eastAsia="仿宋_GB2312"/>
        <w:sz w:val="24"/>
        <w:szCs w:val="24"/>
      </w:rPr>
      <w:t>lssggzy.lishui.gov.cn/qyweb</w:t>
    </w:r>
    <w:r>
      <w:rPr>
        <w:rFonts w:hint="eastAsia" w:ascii="仿宋_GB2312" w:eastAsia="仿宋_GB2312"/>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07E8B"/>
    <w:multiLevelType w:val="multilevel"/>
    <w:tmpl w:val="46707E8B"/>
    <w:lvl w:ilvl="0" w:tentative="0">
      <w:start w:val="1"/>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2562A0A"/>
    <w:multiLevelType w:val="singleLevel"/>
    <w:tmpl w:val="62562A0A"/>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MzZlOTBlMGYwODYwNGQxNWFkNGE4OTczNzVjZGYifQ=="/>
  </w:docVars>
  <w:rsids>
    <w:rsidRoot w:val="7D356A8A"/>
    <w:rsid w:val="00167663"/>
    <w:rsid w:val="00312116"/>
    <w:rsid w:val="00817171"/>
    <w:rsid w:val="00901941"/>
    <w:rsid w:val="009E22C6"/>
    <w:rsid w:val="00A81D33"/>
    <w:rsid w:val="00AD3703"/>
    <w:rsid w:val="00B24079"/>
    <w:rsid w:val="00B555EC"/>
    <w:rsid w:val="00C31CBD"/>
    <w:rsid w:val="00E37546"/>
    <w:rsid w:val="00E84C21"/>
    <w:rsid w:val="00ED7644"/>
    <w:rsid w:val="03105426"/>
    <w:rsid w:val="040D76AE"/>
    <w:rsid w:val="08236132"/>
    <w:rsid w:val="09880133"/>
    <w:rsid w:val="0EFF16A6"/>
    <w:rsid w:val="0F6E3EB7"/>
    <w:rsid w:val="1175765B"/>
    <w:rsid w:val="12423BC9"/>
    <w:rsid w:val="1306032C"/>
    <w:rsid w:val="14A67996"/>
    <w:rsid w:val="14A70ED1"/>
    <w:rsid w:val="16411D2F"/>
    <w:rsid w:val="18582387"/>
    <w:rsid w:val="203B381B"/>
    <w:rsid w:val="212D708B"/>
    <w:rsid w:val="21C763DF"/>
    <w:rsid w:val="22E8636F"/>
    <w:rsid w:val="24521E21"/>
    <w:rsid w:val="24F44E62"/>
    <w:rsid w:val="26F31699"/>
    <w:rsid w:val="27153675"/>
    <w:rsid w:val="2810186D"/>
    <w:rsid w:val="28387851"/>
    <w:rsid w:val="29235726"/>
    <w:rsid w:val="2A07545B"/>
    <w:rsid w:val="2B3C3AFD"/>
    <w:rsid w:val="2BD4492B"/>
    <w:rsid w:val="32E225C2"/>
    <w:rsid w:val="335C2374"/>
    <w:rsid w:val="33C743AA"/>
    <w:rsid w:val="36127662"/>
    <w:rsid w:val="3CAD1E92"/>
    <w:rsid w:val="3E326680"/>
    <w:rsid w:val="3F0050C7"/>
    <w:rsid w:val="3FA532F5"/>
    <w:rsid w:val="41806409"/>
    <w:rsid w:val="42F97BDF"/>
    <w:rsid w:val="43AE09CA"/>
    <w:rsid w:val="4861532D"/>
    <w:rsid w:val="4995492B"/>
    <w:rsid w:val="4B863FDA"/>
    <w:rsid w:val="5003209D"/>
    <w:rsid w:val="518921BB"/>
    <w:rsid w:val="5361227E"/>
    <w:rsid w:val="54930FD1"/>
    <w:rsid w:val="5774562F"/>
    <w:rsid w:val="59637422"/>
    <w:rsid w:val="5AF67371"/>
    <w:rsid w:val="5D6F3AB7"/>
    <w:rsid w:val="5EEB48E0"/>
    <w:rsid w:val="5F3A70CD"/>
    <w:rsid w:val="602C239B"/>
    <w:rsid w:val="60E345D4"/>
    <w:rsid w:val="61B83D82"/>
    <w:rsid w:val="635549EF"/>
    <w:rsid w:val="637E4422"/>
    <w:rsid w:val="652D0652"/>
    <w:rsid w:val="67EC2FBF"/>
    <w:rsid w:val="68556DB7"/>
    <w:rsid w:val="6BE97F42"/>
    <w:rsid w:val="6C6677E4"/>
    <w:rsid w:val="6F141376"/>
    <w:rsid w:val="71D63EC7"/>
    <w:rsid w:val="743F6E64"/>
    <w:rsid w:val="750777D4"/>
    <w:rsid w:val="75A0195E"/>
    <w:rsid w:val="765B7234"/>
    <w:rsid w:val="76E71AAF"/>
    <w:rsid w:val="786C40A8"/>
    <w:rsid w:val="79CD2C51"/>
    <w:rsid w:val="79E60DED"/>
    <w:rsid w:val="7AD668A7"/>
    <w:rsid w:val="7B884A9E"/>
    <w:rsid w:val="7D356A8A"/>
    <w:rsid w:val="7D9A1E8B"/>
    <w:rsid w:val="7E490D14"/>
    <w:rsid w:val="7EBD7491"/>
    <w:rsid w:val="7F5D7A9B"/>
    <w:rsid w:val="7F7E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5">
    <w:name w:val="Body Text"/>
    <w:basedOn w:val="1"/>
    <w:next w:val="1"/>
    <w:qFormat/>
    <w:uiPriority w:val="0"/>
    <w:pPr>
      <w:tabs>
        <w:tab w:val="left" w:pos="208"/>
      </w:tabs>
      <w:spacing w:line="432" w:lineRule="auto"/>
    </w:pPr>
    <w:rPr>
      <w:rFonts w:ascii="仿宋_GB2312" w:eastAsia="仿宋_GB2312"/>
      <w:sz w:val="28"/>
    </w:rPr>
  </w:style>
  <w:style w:type="paragraph" w:styleId="6">
    <w:name w:val="Body Text Indent"/>
    <w:basedOn w:val="1"/>
    <w:next w:val="1"/>
    <w:qFormat/>
    <w:uiPriority w:val="0"/>
    <w:pPr>
      <w:ind w:firstLine="540"/>
    </w:pPr>
    <w:rPr>
      <w:sz w:val="28"/>
      <w:szCs w:val="20"/>
    </w:rPr>
  </w:style>
  <w:style w:type="paragraph" w:styleId="7">
    <w:name w:val="toc 3"/>
    <w:basedOn w:val="1"/>
    <w:next w:val="1"/>
    <w:qFormat/>
    <w:uiPriority w:val="39"/>
    <w:pPr>
      <w:spacing w:before="40" w:after="40"/>
      <w:ind w:left="200" w:leftChars="200"/>
      <w:jc w:val="left"/>
    </w:pPr>
    <w:rPr>
      <w:rFonts w:eastAsia="仿宋_GB2312"/>
      <w:iCs/>
      <w:sz w:val="20"/>
      <w:szCs w:val="20"/>
    </w:rPr>
  </w:style>
  <w:style w:type="paragraph" w:styleId="8">
    <w:name w:val="Plain Text"/>
    <w:basedOn w:val="1"/>
    <w:next w:val="1"/>
    <w:qFormat/>
    <w:uiPriority w:val="0"/>
    <w:rPr>
      <w:rFonts w:ascii="宋体" w:hAnsi="Courier New"/>
      <w:szCs w:val="20"/>
    </w:rPr>
  </w:style>
  <w:style w:type="paragraph" w:styleId="9">
    <w:name w:val="Body Text Indent 2"/>
    <w:basedOn w:val="1"/>
    <w:qFormat/>
    <w:uiPriority w:val="0"/>
    <w:pPr>
      <w:snapToGrid w:val="0"/>
      <w:spacing w:line="400" w:lineRule="exact"/>
      <w:ind w:firstLine="480"/>
    </w:pPr>
    <w:rPr>
      <w:rFonts w:eastAsia="仿宋_GB2312"/>
      <w:sz w:val="24"/>
    </w:rPr>
  </w:style>
  <w:style w:type="paragraph" w:styleId="10">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1">
    <w:name w:val="header"/>
    <w:basedOn w:val="1"/>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2">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13">
    <w:name w:val="List"/>
    <w:basedOn w:val="1"/>
    <w:qFormat/>
    <w:uiPriority w:val="0"/>
    <w:pPr>
      <w:ind w:left="200" w:hanging="200" w:hangingChars="200"/>
    </w:pPr>
    <w:rPr>
      <w:rFonts w:ascii="Times New Roman" w:hAnsi="Times New Roman"/>
      <w:szCs w:val="24"/>
    </w:rPr>
  </w:style>
  <w:style w:type="paragraph" w:styleId="14">
    <w:name w:val="toc 6"/>
    <w:basedOn w:val="1"/>
    <w:next w:val="1"/>
    <w:qFormat/>
    <w:uiPriority w:val="39"/>
    <w:pPr>
      <w:ind w:left="1050"/>
      <w:jc w:val="left"/>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Title"/>
    <w:basedOn w:val="1"/>
    <w:next w:val="1"/>
    <w:qFormat/>
    <w:uiPriority w:val="0"/>
    <w:pPr>
      <w:spacing w:before="240" w:after="60"/>
      <w:jc w:val="center"/>
      <w:outlineLvl w:val="0"/>
    </w:pPr>
    <w:rPr>
      <w:rFonts w:ascii="Arial" w:hAnsi="Arial" w:cs="Arial"/>
      <w:b/>
      <w:bCs/>
      <w:sz w:val="32"/>
      <w:szCs w:val="32"/>
    </w:rPr>
  </w:style>
  <w:style w:type="paragraph" w:styleId="17">
    <w:name w:val="Body Text First Indent"/>
    <w:basedOn w:val="5"/>
    <w:next w:val="14"/>
    <w:qFormat/>
    <w:uiPriority w:val="0"/>
    <w:pPr>
      <w:spacing w:after="120" w:line="240" w:lineRule="auto"/>
      <w:ind w:firstLine="420" w:firstLineChars="100"/>
    </w:pPr>
    <w:rPr>
      <w:rFonts w:ascii="Times New Roman" w:eastAsia="宋体"/>
      <w:sz w:val="21"/>
    </w:rPr>
  </w:style>
  <w:style w:type="paragraph" w:styleId="18">
    <w:name w:val="Body Text First Indent 2"/>
    <w:basedOn w:val="6"/>
    <w:next w:val="19"/>
    <w:qFormat/>
    <w:uiPriority w:val="0"/>
    <w:pPr>
      <w:spacing w:after="120"/>
      <w:ind w:left="420" w:leftChars="200" w:firstLine="420"/>
    </w:pPr>
    <w:rPr>
      <w:rFonts w:cs="宋体"/>
      <w:sz w:val="21"/>
      <w:szCs w:val="21"/>
    </w:rPr>
  </w:style>
  <w:style w:type="paragraph" w:customStyle="1" w:styleId="1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character" w:styleId="22">
    <w:name w:val="page number"/>
    <w:basedOn w:val="21"/>
    <w:qFormat/>
    <w:uiPriority w:val="0"/>
  </w:style>
  <w:style w:type="character" w:styleId="23">
    <w:name w:val="Hyperlink"/>
    <w:qFormat/>
    <w:uiPriority w:val="99"/>
    <w:rPr>
      <w:color w:val="0000FF"/>
      <w:u w:val="single"/>
    </w:rPr>
  </w:style>
  <w:style w:type="paragraph" w:customStyle="1" w:styleId="24">
    <w:name w:val="表格文字"/>
    <w:basedOn w:val="25"/>
    <w:next w:val="5"/>
    <w:qFormat/>
    <w:uiPriority w:val="0"/>
    <w:pPr>
      <w:spacing w:before="25" w:after="25"/>
      <w:jc w:val="left"/>
    </w:pPr>
    <w:rPr>
      <w:bCs/>
      <w:spacing w:val="10"/>
      <w:kern w:val="0"/>
      <w:sz w:val="24"/>
      <w:szCs w:val="20"/>
    </w:rPr>
  </w:style>
  <w:style w:type="paragraph" w:customStyle="1" w:styleId="25">
    <w:name w:val="表格文字（两侧对齐）"/>
    <w:basedOn w:val="1"/>
    <w:qFormat/>
    <w:uiPriority w:val="0"/>
    <w:pPr>
      <w:snapToGrid w:val="0"/>
    </w:pPr>
    <w:rPr>
      <w:sz w:val="20"/>
    </w:rPr>
  </w:style>
  <w:style w:type="paragraph" w:customStyle="1" w:styleId="26">
    <w:name w:val="样式 标题 31.1.1标题 333rd levelBOD 0Bold HeadCTH3H31Heading ...1"/>
    <w:basedOn w:val="4"/>
    <w:qFormat/>
    <w:uiPriority w:val="0"/>
    <w:pPr>
      <w:spacing w:before="0" w:after="0"/>
      <w:ind w:firstLine="0" w:firstLineChars="0"/>
    </w:pPr>
    <w:rPr>
      <w:rFonts w:hAnsi="宋体" w:cs="宋体"/>
      <w:sz w:val="24"/>
    </w:rPr>
  </w:style>
  <w:style w:type="paragraph" w:customStyle="1" w:styleId="27">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28">
    <w:name w:val="索引 11"/>
    <w:basedOn w:val="1"/>
    <w:next w:val="1"/>
    <w:qFormat/>
    <w:uiPriority w:val="0"/>
    <w:pPr>
      <w:spacing w:line="360" w:lineRule="auto"/>
    </w:pPr>
    <w:rPr>
      <w:rFonts w:ascii="仿宋_GB2312" w:hAnsi="Times New Roman" w:eastAsia="仿宋_GB2312"/>
      <w:sz w:val="24"/>
      <w:szCs w:val="20"/>
    </w:rPr>
  </w:style>
  <w:style w:type="paragraph" w:customStyle="1" w:styleId="29">
    <w:name w:val="纯文本1"/>
    <w:basedOn w:val="1"/>
    <w:qFormat/>
    <w:uiPriority w:val="0"/>
    <w:rPr>
      <w:rFonts w:ascii="宋体" w:hAnsi="Courier New"/>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p0"/>
    <w:basedOn w:val="1"/>
    <w:qFormat/>
    <w:uiPriority w:val="0"/>
    <w:pPr>
      <w:widowControl/>
    </w:pPr>
    <w:rPr>
      <w:rFonts w:cs="宋体"/>
      <w:kern w:val="0"/>
      <w:szCs w:val="20"/>
    </w:rPr>
  </w:style>
  <w:style w:type="paragraph" w:customStyle="1" w:styleId="34">
    <w:name w:val="纯文本_3"/>
    <w:basedOn w:val="31"/>
    <w:qFormat/>
    <w:uiPriority w:val="0"/>
    <w:rPr>
      <w:rFonts w:ascii="宋体" w:hAnsi="Courier New"/>
      <w:szCs w:val="20"/>
    </w:rPr>
  </w:style>
  <w:style w:type="paragraph" w:customStyle="1" w:styleId="3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纯文本_0"/>
    <w:basedOn w:val="37"/>
    <w:unhideWhenUsed/>
    <w:qFormat/>
    <w:uiPriority w:val="0"/>
    <w:rPr>
      <w:rFonts w:ascii="宋体" w:hAnsi="Courier New"/>
      <w:kern w:val="0"/>
      <w:sz w:val="20"/>
      <w:szCs w:val="20"/>
    </w:rPr>
  </w:style>
  <w:style w:type="paragraph" w:customStyle="1" w:styleId="3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纯文本_1"/>
    <w:basedOn w:val="40"/>
    <w:qFormat/>
    <w:uiPriority w:val="0"/>
    <w:rPr>
      <w:rFonts w:ascii="宋体" w:hAnsi="Courier New"/>
      <w:szCs w:val="20"/>
    </w:rPr>
  </w:style>
  <w:style w:type="paragraph" w:customStyle="1" w:styleId="4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8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33576</Words>
  <Characters>36544</Characters>
  <Lines>363</Lines>
  <Paragraphs>102</Paragraphs>
  <TotalTime>12</TotalTime>
  <ScaleCrop>false</ScaleCrop>
  <LinksUpToDate>false</LinksUpToDate>
  <CharactersWithSpaces>41420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2022-04-27T00:57:00Z</dcterms:created>
  <dc:creator>浙江绿锦环保</dc:creator>
  <cp:lastModifiedBy>浙江绿锦环保</cp:lastModifiedBy>
  <dcterms:modified xsi:type="dcterms:W3CDTF">2022-06-14T08:08:57Z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4EABF4465BF84C9E95A8BA56DD28B885</vt:lpwstr>
  </property>
</Properties>
</file>