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宋体"/>
          <w:color w:val="auto"/>
          <w:sz w:val="22"/>
          <w:szCs w:val="28"/>
          <w:highlight w:val="none"/>
          <w:lang w:eastAsia="zh-CN"/>
        </w:rPr>
      </w:pPr>
      <w:bookmarkStart w:id="0" w:name="_Toc455416815"/>
      <w:r>
        <w:rPr>
          <w:rFonts w:hint="eastAsia"/>
          <w:b/>
          <w:color w:val="auto"/>
          <w:sz w:val="52"/>
          <w:szCs w:val="52"/>
          <w:highlight w:val="none"/>
          <w:lang w:eastAsia="zh-CN"/>
        </w:rPr>
        <w:t>第二届世界五金发展大会活动项目</w:t>
      </w:r>
    </w:p>
    <w:p>
      <w:pPr>
        <w:jc w:val="center"/>
        <w:rPr>
          <w:rFonts w:eastAsia="黑体"/>
          <w:b/>
          <w:bCs/>
          <w:color w:val="auto"/>
          <w:sz w:val="72"/>
          <w:szCs w:val="72"/>
          <w:highlight w:val="none"/>
        </w:rPr>
      </w:pPr>
    </w:p>
    <w:p>
      <w:pPr>
        <w:jc w:val="center"/>
        <w:rPr>
          <w:rFonts w:eastAsia="黑体"/>
          <w:b/>
          <w:bCs/>
          <w:color w:val="auto"/>
          <w:sz w:val="72"/>
          <w:szCs w:val="72"/>
          <w:highlight w:val="none"/>
        </w:rPr>
      </w:pPr>
      <w:r>
        <w:rPr>
          <w:rFonts w:eastAsia="黑体"/>
          <w:b/>
          <w:bCs/>
          <w:color w:val="auto"/>
          <w:sz w:val="72"/>
          <w:szCs w:val="72"/>
          <w:highlight w:val="none"/>
        </w:rPr>
        <w:t>招 标 文 件</w:t>
      </w:r>
    </w:p>
    <w:p>
      <w:pPr>
        <w:rPr>
          <w:color w:val="auto"/>
          <w:highlight w:val="none"/>
        </w:rPr>
      </w:pPr>
    </w:p>
    <w:p>
      <w:pPr>
        <w:ind w:firstLine="1968" w:firstLineChars="700"/>
        <w:rPr>
          <w:rFonts w:hint="eastAsia"/>
          <w:b/>
          <w:bCs/>
          <w:color w:val="auto"/>
          <w:sz w:val="32"/>
          <w:highlight w:val="none"/>
        </w:rPr>
      </w:pPr>
      <w:r>
        <w:rPr>
          <w:b/>
          <w:bCs/>
          <w:color w:val="auto"/>
          <w:sz w:val="28"/>
          <w:szCs w:val="22"/>
          <w:highlight w:val="none"/>
        </w:rPr>
        <w:t>采购项目编号：</w:t>
      </w:r>
      <w:r>
        <w:rPr>
          <w:rFonts w:hint="eastAsia"/>
          <w:b/>
          <w:bCs/>
          <w:color w:val="auto"/>
          <w:sz w:val="28"/>
          <w:szCs w:val="22"/>
          <w:highlight w:val="none"/>
        </w:rPr>
        <w:t>[2022]1014号-FYCG012</w:t>
      </w:r>
    </w:p>
    <w:p>
      <w:pPr>
        <w:rPr>
          <w:color w:val="auto"/>
          <w:highlight w:val="none"/>
        </w:rPr>
      </w:pPr>
    </w:p>
    <w:p>
      <w:pPr>
        <w:pStyle w:val="2"/>
        <w:rPr>
          <w:color w:val="auto"/>
          <w:highlight w:val="none"/>
        </w:rPr>
      </w:pPr>
    </w:p>
    <w:p>
      <w:pPr>
        <w:rPr>
          <w:color w:val="auto"/>
          <w:highlight w:val="none"/>
        </w:rPr>
      </w:pPr>
    </w:p>
    <w:p>
      <w:pPr>
        <w:jc w:val="center"/>
        <w:rPr>
          <w:rFonts w:hint="eastAsia" w:eastAsia="宋体"/>
          <w:b/>
          <w:bCs/>
          <w:color w:val="auto"/>
          <w:sz w:val="32"/>
          <w:szCs w:val="32"/>
          <w:highlight w:val="none"/>
          <w:lang w:eastAsia="zh-CN"/>
        </w:rPr>
      </w:pPr>
      <w:r>
        <w:rPr>
          <w:rFonts w:hint="eastAsia" w:eastAsia="宋体"/>
          <w:b/>
          <w:bCs/>
          <w:color w:val="auto"/>
          <w:sz w:val="32"/>
          <w:szCs w:val="32"/>
          <w:highlight w:val="none"/>
          <w:lang w:eastAsia="zh-CN"/>
        </w:rPr>
        <w:drawing>
          <wp:inline distT="0" distB="0" distL="114300" distR="114300">
            <wp:extent cx="3474720" cy="3474720"/>
            <wp:effectExtent l="0" t="0" r="11430" b="11430"/>
            <wp:docPr id="2" name="图片 2" descr="67efc1f0f2c09508cbf342e99e0efbed_fullsize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7efc1f0f2c09508cbf342e99e0efbed_fullsize_副本"/>
                    <pic:cNvPicPr>
                      <a:picLocks noChangeAspect="1"/>
                    </pic:cNvPicPr>
                  </pic:nvPicPr>
                  <pic:blipFill>
                    <a:blip r:embed="rId12"/>
                    <a:stretch>
                      <a:fillRect/>
                    </a:stretch>
                  </pic:blipFill>
                  <pic:spPr>
                    <a:xfrm>
                      <a:off x="0" y="0"/>
                      <a:ext cx="3474720" cy="3474720"/>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rFonts w:hint="eastAsia"/>
          <w:b/>
          <w:color w:val="auto"/>
          <w:sz w:val="32"/>
          <w:szCs w:val="32"/>
          <w:highlight w:val="none"/>
        </w:rPr>
      </w:pPr>
      <w:r>
        <w:rPr>
          <w:b/>
          <w:color w:val="auto"/>
          <w:sz w:val="32"/>
          <w:szCs w:val="32"/>
          <w:highlight w:val="none"/>
        </w:rPr>
        <w:t xml:space="preserve">      采 购 人：</w:t>
      </w:r>
      <w:r>
        <w:rPr>
          <w:rFonts w:hint="eastAsia"/>
          <w:b/>
          <w:bCs/>
          <w:color w:val="auto"/>
          <w:sz w:val="32"/>
          <w:szCs w:val="32"/>
          <w:highlight w:val="none"/>
        </w:rPr>
        <w:t>永康市经济和信息化局</w:t>
      </w:r>
      <w:r>
        <w:rPr>
          <w:rFonts w:hint="eastAsia"/>
          <w:b/>
          <w:bCs/>
          <w:color w:val="auto"/>
          <w:sz w:val="32"/>
          <w:szCs w:val="32"/>
          <w:highlight w:val="none"/>
        </w:rPr>
        <w:tab/>
      </w:r>
    </w:p>
    <w:p>
      <w:pPr>
        <w:rPr>
          <w:color w:val="auto"/>
          <w:highlight w:val="none"/>
        </w:rPr>
      </w:pPr>
    </w:p>
    <w:p>
      <w:pPr>
        <w:rPr>
          <w:b/>
          <w:bCs/>
          <w:color w:val="auto"/>
          <w:sz w:val="32"/>
          <w:szCs w:val="32"/>
          <w:highlight w:val="none"/>
        </w:rPr>
      </w:pPr>
      <w:r>
        <w:rPr>
          <w:b/>
          <w:bCs/>
          <w:color w:val="auto"/>
          <w:sz w:val="32"/>
          <w:szCs w:val="32"/>
          <w:highlight w:val="none"/>
        </w:rPr>
        <w:t xml:space="preserve">      采购代理机构：浙江方圆工程咨询有限公司</w:t>
      </w:r>
    </w:p>
    <w:p>
      <w:pPr>
        <w:rPr>
          <w:color w:val="auto"/>
          <w:highlight w:val="none"/>
        </w:rPr>
      </w:pPr>
    </w:p>
    <w:p>
      <w:pPr>
        <w:rPr>
          <w:b/>
          <w:bCs/>
          <w:color w:val="auto"/>
          <w:sz w:val="32"/>
          <w:szCs w:val="32"/>
          <w:highlight w:val="none"/>
        </w:rPr>
      </w:pPr>
      <w:r>
        <w:rPr>
          <w:b/>
          <w:bCs/>
          <w:color w:val="auto"/>
          <w:sz w:val="32"/>
          <w:szCs w:val="32"/>
          <w:highlight w:val="none"/>
        </w:rPr>
        <w:t xml:space="preserve">      日 期：202</w:t>
      </w:r>
      <w:r>
        <w:rPr>
          <w:rFonts w:hint="eastAsia"/>
          <w:b/>
          <w:bCs/>
          <w:color w:val="auto"/>
          <w:sz w:val="32"/>
          <w:szCs w:val="32"/>
          <w:highlight w:val="none"/>
        </w:rPr>
        <w:t>2</w:t>
      </w:r>
      <w:r>
        <w:rPr>
          <w:b/>
          <w:bCs/>
          <w:color w:val="auto"/>
          <w:sz w:val="32"/>
          <w:szCs w:val="32"/>
          <w:highlight w:val="none"/>
        </w:rPr>
        <w:t>年</w:t>
      </w:r>
      <w:r>
        <w:rPr>
          <w:rFonts w:hint="eastAsia"/>
          <w:b/>
          <w:bCs/>
          <w:color w:val="auto"/>
          <w:sz w:val="32"/>
          <w:szCs w:val="32"/>
          <w:highlight w:val="none"/>
        </w:rPr>
        <w:t>0</w:t>
      </w:r>
      <w:r>
        <w:rPr>
          <w:rFonts w:hint="eastAsia"/>
          <w:b/>
          <w:bCs/>
          <w:color w:val="auto"/>
          <w:sz w:val="32"/>
          <w:szCs w:val="32"/>
          <w:highlight w:val="none"/>
          <w:lang w:val="en-US" w:eastAsia="zh-CN"/>
        </w:rPr>
        <w:t>9</w:t>
      </w:r>
      <w:r>
        <w:rPr>
          <w:b/>
          <w:bCs/>
          <w:color w:val="auto"/>
          <w:sz w:val="32"/>
          <w:szCs w:val="32"/>
          <w:highlight w:val="none"/>
        </w:rPr>
        <w:t>月</w:t>
      </w:r>
    </w:p>
    <w:p>
      <w:pPr>
        <w:rPr>
          <w:color w:val="auto"/>
          <w:highlight w:val="none"/>
        </w:rPr>
        <w:sectPr>
          <w:headerReference r:id="rId3" w:type="default"/>
          <w:pgSz w:w="11906" w:h="16838"/>
          <w:pgMar w:top="1134" w:right="1191" w:bottom="1134" w:left="1418" w:header="851" w:footer="992" w:gutter="0"/>
          <w:pgNumType w:start="1"/>
          <w:cols w:space="720" w:num="1"/>
          <w:docGrid w:linePitch="312" w:charSpace="0"/>
        </w:sectPr>
      </w:pPr>
    </w:p>
    <w:p>
      <w:pPr>
        <w:rPr>
          <w:color w:val="auto"/>
          <w:highlight w:val="none"/>
        </w:rPr>
      </w:pPr>
    </w:p>
    <w:p>
      <w:pPr>
        <w:rPr>
          <w:color w:val="auto"/>
          <w:highlight w:val="none"/>
        </w:rPr>
      </w:pPr>
    </w:p>
    <w:p>
      <w:pPr>
        <w:jc w:val="center"/>
        <w:rPr>
          <w:b/>
          <w:bCs/>
          <w:color w:val="auto"/>
          <w:sz w:val="48"/>
          <w:szCs w:val="56"/>
          <w:highlight w:val="none"/>
        </w:rPr>
      </w:pPr>
      <w:r>
        <w:rPr>
          <w:b/>
          <w:bCs/>
          <w:color w:val="auto"/>
          <w:sz w:val="36"/>
          <w:szCs w:val="44"/>
          <w:highlight w:val="none"/>
        </w:rPr>
        <w:t>目 录</w:t>
      </w:r>
      <w:bookmarkEnd w:id="0"/>
    </w:p>
    <w:p>
      <w:pPr>
        <w:rPr>
          <w:b/>
          <w:bCs/>
          <w:color w:val="auto"/>
          <w:sz w:val="48"/>
          <w:szCs w:val="56"/>
          <w:highlight w:val="none"/>
        </w:rPr>
      </w:pP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_Toc43 </w:instrText>
      </w:r>
      <w:r>
        <w:rPr>
          <w:color w:val="auto"/>
          <w:sz w:val="24"/>
          <w:szCs w:val="24"/>
          <w:highlight w:val="none"/>
        </w:rPr>
        <w:fldChar w:fldCharType="separate"/>
      </w:r>
      <w:r>
        <w:rPr>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_Toc24816 </w:instrText>
      </w:r>
      <w:r>
        <w:rPr>
          <w:color w:val="auto"/>
          <w:sz w:val="24"/>
          <w:szCs w:val="24"/>
          <w:highlight w:val="none"/>
        </w:rPr>
        <w:fldChar w:fldCharType="separate"/>
      </w:r>
      <w:r>
        <w:rPr>
          <w:color w:val="auto"/>
          <w:sz w:val="24"/>
          <w:szCs w:val="24"/>
          <w:highlight w:val="none"/>
        </w:rPr>
        <w:t>第二章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_Toc24816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ind w:firstLine="240" w:firstLineChars="10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_Toc17412 </w:instrText>
      </w:r>
      <w:r>
        <w:rPr>
          <w:color w:val="auto"/>
          <w:sz w:val="24"/>
          <w:szCs w:val="24"/>
          <w:highlight w:val="none"/>
        </w:rPr>
        <w:fldChar w:fldCharType="separate"/>
      </w:r>
      <w:r>
        <w:rPr>
          <w:bCs/>
          <w:color w:val="auto"/>
          <w:sz w:val="24"/>
          <w:szCs w:val="24"/>
          <w:highlight w:val="none"/>
        </w:rPr>
        <w:t>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_Toc17412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_Toc17487 </w:instrText>
      </w:r>
      <w:r>
        <w:rPr>
          <w:color w:val="auto"/>
          <w:sz w:val="24"/>
          <w:highlight w:val="none"/>
        </w:rPr>
        <w:fldChar w:fldCharType="separate"/>
      </w:r>
      <w:r>
        <w:rPr>
          <w:color w:val="auto"/>
          <w:sz w:val="24"/>
          <w:highlight w:val="none"/>
        </w:rPr>
        <w:t>一、总则</w:t>
      </w:r>
      <w:r>
        <w:rPr>
          <w:color w:val="auto"/>
          <w:sz w:val="24"/>
          <w:highlight w:val="none"/>
        </w:rPr>
        <w:tab/>
      </w:r>
      <w:r>
        <w:rPr>
          <w:color w:val="auto"/>
          <w:sz w:val="24"/>
          <w:highlight w:val="none"/>
        </w:rPr>
        <w:fldChar w:fldCharType="begin"/>
      </w:r>
      <w:r>
        <w:rPr>
          <w:color w:val="auto"/>
          <w:sz w:val="24"/>
          <w:highlight w:val="none"/>
        </w:rPr>
        <w:instrText xml:space="preserve"> PAGEREF _Toc17487 \h </w:instrText>
      </w:r>
      <w:r>
        <w:rPr>
          <w:color w:val="auto"/>
          <w:sz w:val="24"/>
          <w:highlight w:val="none"/>
        </w:rPr>
        <w:fldChar w:fldCharType="separate"/>
      </w:r>
      <w:r>
        <w:rPr>
          <w:color w:val="auto"/>
          <w:sz w:val="24"/>
          <w:highlight w:val="none"/>
        </w:rPr>
        <w:t>10</w:t>
      </w:r>
      <w:r>
        <w:rPr>
          <w:color w:val="auto"/>
          <w:sz w:val="24"/>
          <w:highlight w:val="none"/>
        </w:rPr>
        <w:fldChar w:fldCharType="end"/>
      </w:r>
      <w:r>
        <w:rPr>
          <w:color w:val="auto"/>
          <w:sz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_Toc22983 </w:instrText>
      </w:r>
      <w:r>
        <w:rPr>
          <w:color w:val="auto"/>
          <w:sz w:val="24"/>
          <w:highlight w:val="none"/>
        </w:rPr>
        <w:fldChar w:fldCharType="separate"/>
      </w:r>
      <w:r>
        <w:rPr>
          <w:color w:val="auto"/>
          <w:sz w:val="24"/>
          <w:highlight w:val="none"/>
        </w:rPr>
        <w:t>二、招标文件的说明</w:t>
      </w:r>
      <w:r>
        <w:rPr>
          <w:color w:val="auto"/>
          <w:sz w:val="24"/>
          <w:highlight w:val="none"/>
        </w:rPr>
        <w:tab/>
      </w:r>
      <w:r>
        <w:rPr>
          <w:color w:val="auto"/>
          <w:sz w:val="24"/>
          <w:highlight w:val="none"/>
        </w:rPr>
        <w:fldChar w:fldCharType="begin"/>
      </w:r>
      <w:r>
        <w:rPr>
          <w:color w:val="auto"/>
          <w:sz w:val="24"/>
          <w:highlight w:val="none"/>
        </w:rPr>
        <w:instrText xml:space="preserve"> PAGEREF _Toc22983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_Toc23943 </w:instrText>
      </w:r>
      <w:r>
        <w:rPr>
          <w:color w:val="auto"/>
          <w:sz w:val="24"/>
          <w:highlight w:val="none"/>
        </w:rPr>
        <w:fldChar w:fldCharType="separate"/>
      </w:r>
      <w:r>
        <w:rPr>
          <w:color w:val="auto"/>
          <w:sz w:val="24"/>
          <w:highlight w:val="none"/>
        </w:rPr>
        <w:t>三、投标文件的编制</w:t>
      </w:r>
      <w:r>
        <w:rPr>
          <w:color w:val="auto"/>
          <w:sz w:val="24"/>
          <w:highlight w:val="none"/>
        </w:rPr>
        <w:tab/>
      </w:r>
      <w:r>
        <w:rPr>
          <w:color w:val="auto"/>
          <w:sz w:val="24"/>
          <w:highlight w:val="none"/>
        </w:rPr>
        <w:fldChar w:fldCharType="begin"/>
      </w:r>
      <w:r>
        <w:rPr>
          <w:color w:val="auto"/>
          <w:sz w:val="24"/>
          <w:highlight w:val="none"/>
        </w:rPr>
        <w:instrText xml:space="preserve"> PAGEREF _Toc23943 \h </w:instrText>
      </w:r>
      <w:r>
        <w:rPr>
          <w:color w:val="auto"/>
          <w:sz w:val="24"/>
          <w:highlight w:val="none"/>
        </w:rPr>
        <w:fldChar w:fldCharType="separate"/>
      </w:r>
      <w:r>
        <w:rPr>
          <w:color w:val="auto"/>
          <w:sz w:val="24"/>
          <w:highlight w:val="none"/>
        </w:rPr>
        <w:t>12</w:t>
      </w:r>
      <w:r>
        <w:rPr>
          <w:color w:val="auto"/>
          <w:sz w:val="24"/>
          <w:highlight w:val="none"/>
        </w:rPr>
        <w:fldChar w:fldCharType="end"/>
      </w:r>
      <w:r>
        <w:rPr>
          <w:color w:val="auto"/>
          <w:sz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_Toc12350 </w:instrText>
      </w:r>
      <w:r>
        <w:rPr>
          <w:color w:val="auto"/>
          <w:sz w:val="24"/>
          <w:highlight w:val="none"/>
        </w:rPr>
        <w:fldChar w:fldCharType="separate"/>
      </w:r>
      <w:r>
        <w:rPr>
          <w:color w:val="auto"/>
          <w:sz w:val="24"/>
          <w:highlight w:val="none"/>
        </w:rPr>
        <w:t>四、投标文件的递交</w:t>
      </w:r>
      <w:r>
        <w:rPr>
          <w:color w:val="auto"/>
          <w:sz w:val="24"/>
          <w:highlight w:val="none"/>
        </w:rPr>
        <w:tab/>
      </w:r>
      <w:r>
        <w:rPr>
          <w:color w:val="auto"/>
          <w:sz w:val="24"/>
          <w:highlight w:val="none"/>
        </w:rPr>
        <w:fldChar w:fldCharType="begin"/>
      </w:r>
      <w:r>
        <w:rPr>
          <w:color w:val="auto"/>
          <w:sz w:val="24"/>
          <w:highlight w:val="none"/>
        </w:rPr>
        <w:instrText xml:space="preserve"> PAGEREF _Toc12350 \h </w:instrText>
      </w:r>
      <w:r>
        <w:rPr>
          <w:color w:val="auto"/>
          <w:sz w:val="24"/>
          <w:highlight w:val="none"/>
        </w:rPr>
        <w:fldChar w:fldCharType="separate"/>
      </w:r>
      <w:r>
        <w:rPr>
          <w:color w:val="auto"/>
          <w:sz w:val="24"/>
          <w:highlight w:val="none"/>
        </w:rPr>
        <w:t>13</w:t>
      </w:r>
      <w:r>
        <w:rPr>
          <w:color w:val="auto"/>
          <w:sz w:val="24"/>
          <w:highlight w:val="none"/>
        </w:rPr>
        <w:fldChar w:fldCharType="end"/>
      </w:r>
      <w:r>
        <w:rPr>
          <w:color w:val="auto"/>
          <w:sz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_Toc24288 </w:instrText>
      </w:r>
      <w:r>
        <w:rPr>
          <w:color w:val="auto"/>
          <w:sz w:val="24"/>
          <w:highlight w:val="none"/>
        </w:rPr>
        <w:fldChar w:fldCharType="separate"/>
      </w:r>
      <w:r>
        <w:rPr>
          <w:color w:val="auto"/>
          <w:sz w:val="24"/>
          <w:highlight w:val="none"/>
        </w:rPr>
        <w:t>五、采购代理服务费</w:t>
      </w:r>
      <w:r>
        <w:rPr>
          <w:color w:val="auto"/>
          <w:sz w:val="24"/>
          <w:highlight w:val="none"/>
        </w:rPr>
        <w:tab/>
      </w:r>
      <w:r>
        <w:rPr>
          <w:color w:val="auto"/>
          <w:sz w:val="24"/>
          <w:highlight w:val="none"/>
        </w:rPr>
        <w:fldChar w:fldCharType="begin"/>
      </w:r>
      <w:r>
        <w:rPr>
          <w:color w:val="auto"/>
          <w:sz w:val="24"/>
          <w:highlight w:val="none"/>
        </w:rPr>
        <w:instrText xml:space="preserve"> PAGEREF _Toc24288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29"/>
        <w:tabs>
          <w:tab w:val="right" w:leader="dot" w:pos="9354"/>
        </w:tabs>
        <w:spacing w:line="480" w:lineRule="auto"/>
        <w:ind w:left="0" w:leftChars="0" w:firstLine="240" w:firstLineChars="100"/>
        <w:rPr>
          <w:color w:val="auto"/>
          <w:sz w:val="24"/>
          <w:highlight w:val="none"/>
        </w:rPr>
      </w:pPr>
      <w:r>
        <w:rPr>
          <w:color w:val="auto"/>
          <w:sz w:val="24"/>
          <w:highlight w:val="none"/>
        </w:rPr>
        <w:fldChar w:fldCharType="begin"/>
      </w:r>
      <w:r>
        <w:rPr>
          <w:color w:val="auto"/>
          <w:sz w:val="24"/>
          <w:highlight w:val="none"/>
        </w:rPr>
        <w:instrText xml:space="preserve"> HYPERLINK \l _Toc23704 </w:instrText>
      </w:r>
      <w:r>
        <w:rPr>
          <w:color w:val="auto"/>
          <w:sz w:val="24"/>
          <w:highlight w:val="none"/>
        </w:rPr>
        <w:fldChar w:fldCharType="separate"/>
      </w:r>
      <w:r>
        <w:rPr>
          <w:color w:val="auto"/>
          <w:sz w:val="24"/>
          <w:highlight w:val="none"/>
        </w:rPr>
        <w:t>六、解释权</w:t>
      </w:r>
      <w:r>
        <w:rPr>
          <w:color w:val="auto"/>
          <w:sz w:val="24"/>
          <w:highlight w:val="none"/>
        </w:rPr>
        <w:tab/>
      </w:r>
      <w:r>
        <w:rPr>
          <w:color w:val="auto"/>
          <w:sz w:val="24"/>
          <w:highlight w:val="none"/>
        </w:rPr>
        <w:fldChar w:fldCharType="begin"/>
      </w:r>
      <w:r>
        <w:rPr>
          <w:color w:val="auto"/>
          <w:sz w:val="24"/>
          <w:highlight w:val="none"/>
        </w:rPr>
        <w:instrText xml:space="preserve"> PAGEREF _Toc23704 \h </w:instrText>
      </w:r>
      <w:r>
        <w:rPr>
          <w:color w:val="auto"/>
          <w:sz w:val="24"/>
          <w:highlight w:val="none"/>
        </w:rPr>
        <w:fldChar w:fldCharType="separate"/>
      </w:r>
      <w:r>
        <w:rPr>
          <w:color w:val="auto"/>
          <w:sz w:val="24"/>
          <w:highlight w:val="none"/>
        </w:rPr>
        <w:t>14</w:t>
      </w:r>
      <w:r>
        <w:rPr>
          <w:color w:val="auto"/>
          <w:sz w:val="24"/>
          <w:highlight w:val="none"/>
        </w:rPr>
        <w:fldChar w:fldCharType="end"/>
      </w:r>
      <w:r>
        <w:rPr>
          <w:color w:val="auto"/>
          <w:sz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_Toc28403 </w:instrText>
      </w:r>
      <w:r>
        <w:rPr>
          <w:color w:val="auto"/>
          <w:sz w:val="24"/>
          <w:szCs w:val="24"/>
          <w:highlight w:val="none"/>
        </w:rPr>
        <w:fldChar w:fldCharType="separate"/>
      </w:r>
      <w:r>
        <w:rPr>
          <w:color w:val="auto"/>
          <w:sz w:val="24"/>
          <w:szCs w:val="24"/>
          <w:highlight w:val="none"/>
        </w:rPr>
        <w:t>第三章 开标和评标须知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_Toc28403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_Toc1638 </w:instrText>
      </w:r>
      <w:r>
        <w:rPr>
          <w:color w:val="auto"/>
          <w:sz w:val="24"/>
          <w:szCs w:val="24"/>
          <w:highlight w:val="none"/>
        </w:rPr>
        <w:fldChar w:fldCharType="separate"/>
      </w:r>
      <w:r>
        <w:rPr>
          <w:color w:val="auto"/>
          <w:sz w:val="24"/>
          <w:szCs w:val="24"/>
          <w:highlight w:val="none"/>
        </w:rPr>
        <w:t>第四章 招标需求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_Toc1638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_Toc24893 </w:instrText>
      </w:r>
      <w:r>
        <w:rPr>
          <w:color w:val="auto"/>
          <w:sz w:val="24"/>
          <w:szCs w:val="24"/>
          <w:highlight w:val="none"/>
        </w:rPr>
        <w:fldChar w:fldCharType="separate"/>
      </w:r>
      <w:r>
        <w:rPr>
          <w:color w:val="auto"/>
          <w:sz w:val="24"/>
          <w:szCs w:val="24"/>
          <w:highlight w:val="none"/>
        </w:rPr>
        <w:t>第五章 商务要求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_Toc24893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_Toc20085 </w:instrText>
      </w:r>
      <w:r>
        <w:rPr>
          <w:color w:val="auto"/>
          <w:sz w:val="24"/>
          <w:szCs w:val="24"/>
          <w:highlight w:val="none"/>
        </w:rPr>
        <w:fldChar w:fldCharType="separate"/>
      </w:r>
      <w:r>
        <w:rPr>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_Toc20085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color w:val="auto"/>
          <w:sz w:val="24"/>
          <w:szCs w:val="24"/>
          <w:highlight w:val="none"/>
        </w:rPr>
        <w:fldChar w:fldCharType="end"/>
      </w:r>
    </w:p>
    <w:p>
      <w:pPr>
        <w:pStyle w:val="37"/>
        <w:tabs>
          <w:tab w:val="right" w:leader="dot" w:pos="935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_Toc22740 </w:instrText>
      </w:r>
      <w:r>
        <w:rPr>
          <w:color w:val="auto"/>
          <w:sz w:val="24"/>
          <w:szCs w:val="24"/>
          <w:highlight w:val="none"/>
        </w:rPr>
        <w:fldChar w:fldCharType="separate"/>
      </w:r>
      <w:r>
        <w:rPr>
          <w:color w:val="auto"/>
          <w:sz w:val="24"/>
          <w:szCs w:val="24"/>
          <w:highlight w:val="none"/>
        </w:rPr>
        <w:t>第七章 永康市政府采购合同（参考样本）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_Toc22740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color w:val="auto"/>
          <w:sz w:val="24"/>
          <w:szCs w:val="24"/>
          <w:highlight w:val="none"/>
        </w:rPr>
        <w:fldChar w:fldCharType="end"/>
      </w:r>
    </w:p>
    <w:p>
      <w:pPr>
        <w:spacing w:line="480" w:lineRule="auto"/>
        <w:rPr>
          <w:color w:val="auto"/>
          <w:highlight w:val="none"/>
        </w:rPr>
        <w:sectPr>
          <w:headerReference r:id="rId4" w:type="default"/>
          <w:footerReference r:id="rId5" w:type="default"/>
          <w:pgSz w:w="11906" w:h="16838"/>
          <w:pgMar w:top="1134" w:right="1134" w:bottom="1134" w:left="1134" w:header="851" w:footer="992" w:gutter="0"/>
          <w:pgNumType w:start="1"/>
          <w:cols w:space="720" w:num="1"/>
          <w:docGrid w:linePitch="312" w:charSpace="0"/>
        </w:sectPr>
      </w:pPr>
      <w:r>
        <w:rPr>
          <w:color w:val="auto"/>
          <w:sz w:val="24"/>
          <w:highlight w:val="none"/>
        </w:rPr>
        <w:fldChar w:fldCharType="end"/>
      </w:r>
    </w:p>
    <w:p>
      <w:pPr>
        <w:pStyle w:val="4"/>
        <w:rPr>
          <w:color w:val="auto"/>
          <w:highlight w:val="none"/>
        </w:rPr>
      </w:pPr>
      <w:bookmarkStart w:id="1" w:name="_Toc43"/>
      <w:r>
        <w:rPr>
          <w:color w:val="auto"/>
          <w:highlight w:val="none"/>
        </w:rPr>
        <w:t>第一章 招标公告</w:t>
      </w:r>
      <w:bookmarkEnd w:id="1"/>
    </w:p>
    <w:p>
      <w:pPr>
        <w:rPr>
          <w:color w:val="auto"/>
          <w:highlight w:val="none"/>
        </w:rPr>
      </w:pPr>
    </w:p>
    <w:tbl>
      <w:tblPr>
        <w:tblStyle w:val="51"/>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422" w:type="dxa"/>
            <w:noWrap w:val="0"/>
            <w:vAlign w:val="top"/>
          </w:tcPr>
          <w:p>
            <w:pPr>
              <w:spacing w:line="336" w:lineRule="auto"/>
              <w:rPr>
                <w:rFonts w:ascii="Times New Roman" w:hAnsi="Times New Roman" w:eastAsia="宋体" w:cs="Times New Roman"/>
                <w:color w:val="auto"/>
                <w:szCs w:val="21"/>
                <w:highlight w:val="none"/>
                <w:shd w:val="clear" w:color="auto" w:fill="FFFFFF"/>
              </w:rPr>
            </w:pPr>
            <w:r>
              <w:rPr>
                <w:rFonts w:ascii="Times New Roman" w:hAnsi="Times New Roman" w:eastAsia="宋体" w:cs="Times New Roman"/>
                <w:color w:val="auto"/>
                <w:szCs w:val="21"/>
                <w:highlight w:val="none"/>
                <w:shd w:val="clear" w:color="auto" w:fill="FFFFFF"/>
              </w:rPr>
              <w:t>项目概况</w:t>
            </w:r>
          </w:p>
          <w:p>
            <w:pPr>
              <w:wordWrap w:val="0"/>
              <w:spacing w:line="336" w:lineRule="auto"/>
              <w:ind w:firstLine="420" w:firstLineChars="200"/>
              <w:rPr>
                <w:rFonts w:ascii="Times New Roman" w:hAnsi="Times New Roman" w:eastAsia="宋体" w:cs="Times New Roman"/>
                <w:color w:val="auto"/>
                <w:szCs w:val="21"/>
                <w:highlight w:val="none"/>
                <w:shd w:val="clear" w:color="auto" w:fill="FFFFFF"/>
              </w:rPr>
            </w:pPr>
            <w:r>
              <w:rPr>
                <w:rFonts w:hint="eastAsia" w:cs="Times New Roman"/>
                <w:color w:val="auto"/>
                <w:szCs w:val="21"/>
                <w:highlight w:val="none"/>
                <w:u w:val="single"/>
                <w:shd w:val="clear" w:color="auto" w:fill="FFFFFF"/>
                <w:lang w:eastAsia="zh-CN"/>
              </w:rPr>
              <w:t>第二届世界五金发展大会活动项目</w:t>
            </w:r>
            <w:r>
              <w:rPr>
                <w:rFonts w:ascii="Times New Roman" w:hAnsi="Times New Roman" w:eastAsia="宋体" w:cs="Times New Roman"/>
                <w:color w:val="auto"/>
                <w:szCs w:val="21"/>
                <w:highlight w:val="none"/>
                <w:shd w:val="clear" w:color="auto" w:fill="FFFFFF"/>
              </w:rPr>
              <w:t>招标项目的潜在投标人应在</w:t>
            </w:r>
            <w:r>
              <w:rPr>
                <w:rFonts w:ascii="Times New Roman" w:hAnsi="Times New Roman" w:eastAsia="宋体" w:cs="Times New Roman"/>
                <w:color w:val="auto"/>
                <w:szCs w:val="21"/>
                <w:highlight w:val="none"/>
                <w:u w:val="single"/>
                <w:shd w:val="clear" w:color="auto" w:fill="FFFFFF"/>
              </w:rPr>
              <w:t>浙江政府采购网（http://zfcg.czt.zj.gov.cn）</w:t>
            </w:r>
            <w:r>
              <w:rPr>
                <w:rFonts w:ascii="Times New Roman" w:hAnsi="Times New Roman" w:eastAsia="宋体" w:cs="Times New Roman"/>
                <w:color w:val="auto"/>
                <w:szCs w:val="21"/>
                <w:highlight w:val="none"/>
                <w:shd w:val="clear" w:color="auto" w:fill="FFFFFF"/>
              </w:rPr>
              <w:t>获取（免费下载）招标文件，并于</w:t>
            </w:r>
            <w:r>
              <w:rPr>
                <w:rFonts w:hint="eastAsia" w:ascii="Times New Roman" w:hAnsi="Times New Roman" w:eastAsia="宋体" w:cs="Times New Roman"/>
                <w:color w:val="auto"/>
                <w:szCs w:val="21"/>
                <w:highlight w:val="none"/>
                <w:u w:val="single"/>
                <w:shd w:val="clear" w:color="auto" w:fill="FFFFFF"/>
              </w:rPr>
              <w:t>2022</w:t>
            </w:r>
            <w:r>
              <w:rPr>
                <w:rFonts w:ascii="Times New Roman" w:hAnsi="Times New Roman" w:eastAsia="宋体" w:cs="Times New Roman"/>
                <w:color w:val="auto"/>
                <w:szCs w:val="21"/>
                <w:highlight w:val="none"/>
                <w:u w:val="single"/>
                <w:shd w:val="clear" w:color="auto" w:fill="FFFFFF"/>
              </w:rPr>
              <w:t>年</w:t>
            </w:r>
            <w:r>
              <w:rPr>
                <w:rFonts w:hint="eastAsia" w:cs="Times New Roman"/>
                <w:color w:val="auto"/>
                <w:szCs w:val="21"/>
                <w:highlight w:val="none"/>
                <w:u w:val="single"/>
                <w:shd w:val="clear" w:color="auto" w:fill="FFFFFF"/>
                <w:lang w:val="en-US" w:eastAsia="zh-CN"/>
              </w:rPr>
              <w:t>10</w:t>
            </w:r>
            <w:r>
              <w:rPr>
                <w:rFonts w:ascii="Times New Roman" w:hAnsi="Times New Roman" w:eastAsia="宋体"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13</w:t>
            </w:r>
            <w:r>
              <w:rPr>
                <w:rFonts w:ascii="Times New Roman" w:hAnsi="Times New Roman" w:eastAsia="宋体" w:cs="Times New Roman"/>
                <w:color w:val="auto"/>
                <w:szCs w:val="21"/>
                <w:highlight w:val="none"/>
                <w:u w:val="single"/>
                <w:shd w:val="clear" w:color="auto" w:fill="FFFFFF"/>
              </w:rPr>
              <w:t>日</w:t>
            </w:r>
            <w:r>
              <w:rPr>
                <w:rFonts w:hint="eastAsia" w:ascii="Times New Roman" w:hAnsi="Times New Roman" w:eastAsia="宋体" w:cs="Times New Roman"/>
                <w:color w:val="auto"/>
                <w:szCs w:val="21"/>
                <w:highlight w:val="none"/>
                <w:u w:val="single"/>
                <w:shd w:val="clear" w:color="auto" w:fill="FFFFFF"/>
              </w:rPr>
              <w:t>09</w:t>
            </w:r>
            <w:r>
              <w:rPr>
                <w:rFonts w:ascii="Times New Roman" w:hAnsi="Times New Roman" w:eastAsia="宋体" w:cs="Times New Roman"/>
                <w:color w:val="auto"/>
                <w:szCs w:val="21"/>
                <w:highlight w:val="none"/>
                <w:u w:val="single"/>
                <w:shd w:val="clear" w:color="auto" w:fill="FFFFFF"/>
              </w:rPr>
              <w:t>时</w:t>
            </w:r>
            <w:r>
              <w:rPr>
                <w:rFonts w:hint="eastAsia" w:cs="Times New Roman"/>
                <w:color w:val="auto"/>
                <w:szCs w:val="21"/>
                <w:highlight w:val="none"/>
                <w:u w:val="single"/>
                <w:shd w:val="clear" w:color="auto" w:fill="FFFFFF"/>
                <w:lang w:val="en-US" w:eastAsia="zh-CN"/>
              </w:rPr>
              <w:t>3</w:t>
            </w:r>
            <w:r>
              <w:rPr>
                <w:rFonts w:hint="eastAsia" w:ascii="Times New Roman" w:hAnsi="Times New Roman" w:eastAsia="宋体" w:cs="Times New Roman"/>
                <w:color w:val="auto"/>
                <w:szCs w:val="21"/>
                <w:highlight w:val="none"/>
                <w:u w:val="single"/>
                <w:shd w:val="clear" w:color="auto" w:fill="FFFFFF"/>
              </w:rPr>
              <w:t>0</w:t>
            </w:r>
            <w:r>
              <w:rPr>
                <w:rFonts w:ascii="Times New Roman" w:hAnsi="Times New Roman" w:eastAsia="宋体" w:cs="Times New Roman"/>
                <w:color w:val="auto"/>
                <w:szCs w:val="21"/>
                <w:highlight w:val="none"/>
                <w:u w:val="single"/>
                <w:shd w:val="clear" w:color="auto" w:fill="FFFFFF"/>
              </w:rPr>
              <w:t>分</w:t>
            </w:r>
            <w:r>
              <w:rPr>
                <w:rFonts w:ascii="Times New Roman" w:hAnsi="Times New Roman" w:eastAsia="宋体" w:cs="Times New Roman"/>
                <w:color w:val="auto"/>
                <w:szCs w:val="21"/>
                <w:highlight w:val="none"/>
                <w:shd w:val="clear" w:color="auto" w:fill="FFFFFF"/>
              </w:rPr>
              <w:t>（北京时间）前递交（上传）投标文件。</w:t>
            </w:r>
          </w:p>
        </w:tc>
      </w:tr>
    </w:tbl>
    <w:p>
      <w:pPr>
        <w:spacing w:line="336" w:lineRule="auto"/>
        <w:outlineLvl w:val="1"/>
        <w:rPr>
          <w:b/>
          <w:bCs/>
          <w:color w:val="auto"/>
          <w:szCs w:val="21"/>
          <w:highlight w:val="none"/>
          <w:shd w:val="clear" w:color="auto" w:fill="FFFFFF"/>
        </w:rPr>
      </w:pPr>
      <w:r>
        <w:rPr>
          <w:b/>
          <w:bCs/>
          <w:color w:val="auto"/>
          <w:szCs w:val="21"/>
          <w:highlight w:val="none"/>
          <w:shd w:val="clear" w:color="auto" w:fill="FFFFFF"/>
        </w:rPr>
        <w:t>一、项目基本情况：</w:t>
      </w:r>
    </w:p>
    <w:p>
      <w:pPr>
        <w:spacing w:line="336" w:lineRule="auto"/>
        <w:ind w:firstLine="420"/>
        <w:rPr>
          <w:rFonts w:hint="eastAsia"/>
          <w:color w:val="auto"/>
          <w:szCs w:val="21"/>
          <w:highlight w:val="none"/>
          <w:u w:val="single"/>
          <w:shd w:val="clear" w:color="auto" w:fill="FFFFFF"/>
        </w:rPr>
      </w:pPr>
      <w:r>
        <w:rPr>
          <w:color w:val="auto"/>
          <w:szCs w:val="21"/>
          <w:highlight w:val="none"/>
          <w:shd w:val="clear" w:color="auto" w:fill="FFFFFF"/>
        </w:rPr>
        <w:t>项目编号：</w:t>
      </w:r>
      <w:r>
        <w:rPr>
          <w:rFonts w:hint="eastAsia"/>
          <w:color w:val="auto"/>
          <w:szCs w:val="21"/>
          <w:highlight w:val="none"/>
          <w:u w:val="single"/>
          <w:shd w:val="clear" w:color="auto" w:fill="FFFFFF"/>
        </w:rPr>
        <w:t xml:space="preserve"> </w:t>
      </w:r>
      <w:r>
        <w:rPr>
          <w:rFonts w:hint="eastAsia"/>
          <w:color w:val="auto"/>
          <w:szCs w:val="21"/>
          <w:highlight w:val="none"/>
          <w:u w:val="single"/>
          <w:shd w:val="clear" w:color="auto" w:fill="FFFFFF"/>
        </w:rPr>
        <w:t xml:space="preserve">[2022]1014号-FYCG012 </w:t>
      </w:r>
    </w:p>
    <w:p>
      <w:pPr>
        <w:spacing w:line="336" w:lineRule="auto"/>
        <w:ind w:firstLine="420"/>
        <w:rPr>
          <w:rFonts w:hint="eastAsia" w:eastAsia="宋体"/>
          <w:color w:val="auto"/>
          <w:szCs w:val="21"/>
          <w:highlight w:val="none"/>
          <w:shd w:val="clear" w:color="auto" w:fill="FFFFFF"/>
          <w:lang w:eastAsia="zh-CN"/>
        </w:rPr>
      </w:pPr>
      <w:r>
        <w:rPr>
          <w:color w:val="auto"/>
          <w:szCs w:val="21"/>
          <w:highlight w:val="none"/>
          <w:shd w:val="clear" w:color="auto" w:fill="FFFFFF"/>
        </w:rPr>
        <w:t>项目名称：</w:t>
      </w:r>
      <w:r>
        <w:rPr>
          <w:rFonts w:hint="eastAsia"/>
          <w:color w:val="auto"/>
          <w:szCs w:val="21"/>
          <w:highlight w:val="none"/>
          <w:u w:val="single"/>
          <w:shd w:val="clear" w:color="auto" w:fill="FFFFFF"/>
          <w:lang w:eastAsia="zh-CN"/>
        </w:rPr>
        <w:t>第二届世界五金发展大会活动项目</w:t>
      </w:r>
    </w:p>
    <w:p>
      <w:pPr>
        <w:spacing w:line="336" w:lineRule="auto"/>
        <w:ind w:firstLine="420"/>
        <w:rPr>
          <w:rFonts w:hint="eastAsia"/>
          <w:bCs/>
          <w:color w:val="auto"/>
          <w:szCs w:val="21"/>
          <w:highlight w:val="none"/>
        </w:rPr>
      </w:pPr>
      <w:r>
        <w:rPr>
          <w:bCs/>
          <w:color w:val="auto"/>
          <w:szCs w:val="21"/>
          <w:highlight w:val="none"/>
        </w:rPr>
        <w:t>预算金额（元）：</w:t>
      </w:r>
      <w:r>
        <w:rPr>
          <w:rFonts w:hint="eastAsia"/>
          <w:bCs/>
          <w:color w:val="auto"/>
          <w:szCs w:val="21"/>
          <w:highlight w:val="none"/>
          <w:lang w:val="en-US" w:eastAsia="zh-CN"/>
        </w:rPr>
        <w:t>7000000</w:t>
      </w:r>
    </w:p>
    <w:p>
      <w:pPr>
        <w:spacing w:line="336" w:lineRule="auto"/>
        <w:ind w:firstLine="420"/>
        <w:rPr>
          <w:rFonts w:hint="eastAsia"/>
          <w:bCs/>
          <w:color w:val="auto"/>
          <w:szCs w:val="21"/>
          <w:highlight w:val="none"/>
        </w:rPr>
      </w:pPr>
      <w:r>
        <w:rPr>
          <w:bCs/>
          <w:color w:val="auto"/>
          <w:szCs w:val="21"/>
          <w:highlight w:val="none"/>
        </w:rPr>
        <w:t>最高限价（元）：</w:t>
      </w:r>
      <w:r>
        <w:rPr>
          <w:rFonts w:hint="eastAsia"/>
          <w:bCs/>
          <w:color w:val="auto"/>
          <w:szCs w:val="21"/>
          <w:highlight w:val="none"/>
          <w:lang w:val="en-US" w:eastAsia="zh-CN"/>
        </w:rPr>
        <w:t>7000000</w:t>
      </w:r>
    </w:p>
    <w:p>
      <w:pPr>
        <w:spacing w:line="336" w:lineRule="auto"/>
        <w:ind w:firstLine="420"/>
        <w:rPr>
          <w:color w:val="auto"/>
          <w:szCs w:val="21"/>
          <w:highlight w:val="none"/>
          <w:shd w:val="clear" w:color="auto" w:fill="FFFFFF"/>
        </w:rPr>
      </w:pPr>
      <w:r>
        <w:rPr>
          <w:color w:val="auto"/>
          <w:szCs w:val="21"/>
          <w:highlight w:val="none"/>
          <w:shd w:val="clear" w:color="auto" w:fill="FFFFFF"/>
        </w:rPr>
        <w:t>采购需求：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80"/>
        <w:gridCol w:w="1101"/>
        <w:gridCol w:w="1469"/>
        <w:gridCol w:w="196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5" w:type="dxa"/>
            <w:noWrap w:val="0"/>
            <w:vAlign w:val="center"/>
          </w:tcPr>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序号</w:t>
            </w:r>
          </w:p>
        </w:tc>
        <w:tc>
          <w:tcPr>
            <w:tcW w:w="2078" w:type="dxa"/>
            <w:noWrap w:val="0"/>
            <w:vAlign w:val="center"/>
          </w:tcPr>
          <w:p>
            <w:pPr>
              <w:jc w:val="center"/>
              <w:rPr>
                <w:rFonts w:ascii="Times New Roman" w:hAnsi="Times New Roman" w:eastAsia="宋体" w:cs="Times New Roman"/>
                <w:color w:val="auto"/>
                <w:highlight w:val="none"/>
              </w:rPr>
            </w:pPr>
            <w:r>
              <w:rPr>
                <w:rFonts w:ascii="Times New Roman" w:hAnsi="Times New Roman" w:eastAsia="宋体" w:cs="Times New Roman"/>
                <w:b/>
                <w:bCs/>
                <w:color w:val="auto"/>
                <w:szCs w:val="21"/>
                <w:highlight w:val="none"/>
                <w:shd w:val="clear" w:color="auto" w:fill="FFFFFF"/>
              </w:rPr>
              <w:t>项目名称</w:t>
            </w:r>
          </w:p>
        </w:tc>
        <w:tc>
          <w:tcPr>
            <w:tcW w:w="1080" w:type="dxa"/>
            <w:noWrap w:val="0"/>
            <w:vAlign w:val="center"/>
          </w:tcPr>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数量</w:t>
            </w:r>
          </w:p>
        </w:tc>
        <w:tc>
          <w:tcPr>
            <w:tcW w:w="1101" w:type="dxa"/>
            <w:noWrap w:val="0"/>
            <w:vAlign w:val="center"/>
          </w:tcPr>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单位</w:t>
            </w:r>
          </w:p>
        </w:tc>
        <w:tc>
          <w:tcPr>
            <w:tcW w:w="1469" w:type="dxa"/>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预算金额</w:t>
            </w:r>
          </w:p>
          <w:p>
            <w:pPr>
              <w:jc w:val="center"/>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（元）</w:t>
            </w:r>
          </w:p>
        </w:tc>
        <w:tc>
          <w:tcPr>
            <w:tcW w:w="1967" w:type="dxa"/>
            <w:noWrap w:val="0"/>
            <w:vAlign w:val="center"/>
          </w:tcPr>
          <w:p>
            <w:pPr>
              <w:jc w:val="center"/>
              <w:rPr>
                <w:rFonts w:ascii="Times New Roman" w:hAnsi="Times New Roman" w:eastAsia="宋体" w:cs="Times New Roman"/>
                <w:b/>
                <w:color w:val="auto"/>
                <w:szCs w:val="21"/>
                <w:highlight w:val="none"/>
              </w:rPr>
            </w:pPr>
            <w:r>
              <w:rPr>
                <w:rFonts w:ascii="Times New Roman" w:hAnsi="Times New Roman" w:eastAsia="宋体" w:cs="Times New Roman"/>
                <w:b/>
                <w:bCs/>
                <w:color w:val="auto"/>
                <w:szCs w:val="21"/>
                <w:highlight w:val="none"/>
                <w:shd w:val="clear" w:color="auto" w:fill="FFFFFF"/>
              </w:rPr>
              <w:t>简要规格描述</w:t>
            </w:r>
          </w:p>
        </w:tc>
        <w:tc>
          <w:tcPr>
            <w:tcW w:w="897" w:type="dxa"/>
            <w:noWrap w:val="0"/>
            <w:vAlign w:val="center"/>
          </w:tcPr>
          <w:p>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05" w:type="dxa"/>
            <w:noWrap w:val="0"/>
            <w:vAlign w:val="center"/>
          </w:tcPr>
          <w:p>
            <w:pPr>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p>
        </w:tc>
        <w:tc>
          <w:tcPr>
            <w:tcW w:w="2078" w:type="dxa"/>
            <w:noWrap w:val="0"/>
            <w:vAlign w:val="center"/>
          </w:tcPr>
          <w:p>
            <w:pP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第二届世界五金发展大会活动项目</w:t>
            </w:r>
          </w:p>
        </w:tc>
        <w:tc>
          <w:tcPr>
            <w:tcW w:w="1080"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p>
        </w:tc>
        <w:tc>
          <w:tcPr>
            <w:tcW w:w="1101"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项</w:t>
            </w:r>
          </w:p>
        </w:tc>
        <w:tc>
          <w:tcPr>
            <w:tcW w:w="1469" w:type="dxa"/>
            <w:noWrap w:val="0"/>
            <w:vAlign w:val="center"/>
          </w:tcPr>
          <w:p>
            <w:pPr>
              <w:spacing w:line="360" w:lineRule="auto"/>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7000000</w:t>
            </w:r>
          </w:p>
        </w:tc>
        <w:tc>
          <w:tcPr>
            <w:tcW w:w="1967" w:type="dxa"/>
            <w:noWrap w:val="0"/>
            <w:vAlign w:val="center"/>
          </w:tcPr>
          <w:p>
            <w:pPr>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详见</w:t>
            </w:r>
            <w:r>
              <w:rPr>
                <w:rFonts w:hint="eastAsia" w:ascii="Times New Roman" w:hAnsi="Times New Roman" w:eastAsia="宋体" w:cs="Times New Roman"/>
                <w:bCs/>
                <w:color w:val="auto"/>
                <w:szCs w:val="21"/>
                <w:highlight w:val="none"/>
              </w:rPr>
              <w:t>招标文件</w:t>
            </w:r>
          </w:p>
        </w:tc>
        <w:tc>
          <w:tcPr>
            <w:tcW w:w="897" w:type="dxa"/>
            <w:noWrap w:val="0"/>
            <w:vAlign w:val="center"/>
          </w:tcPr>
          <w:p>
            <w:pPr>
              <w:spacing w:line="360" w:lineRule="auto"/>
              <w:jc w:val="center"/>
              <w:rPr>
                <w:rFonts w:ascii="Times New Roman" w:hAnsi="Times New Roman" w:eastAsia="宋体" w:cs="Times New Roman"/>
                <w:bCs/>
                <w:color w:val="auto"/>
                <w:szCs w:val="21"/>
                <w:highlight w:val="none"/>
              </w:rPr>
            </w:pPr>
          </w:p>
        </w:tc>
      </w:tr>
    </w:tbl>
    <w:p>
      <w:pPr>
        <w:spacing w:line="336" w:lineRule="auto"/>
        <w:ind w:firstLine="420"/>
        <w:rPr>
          <w:color w:val="auto"/>
          <w:szCs w:val="21"/>
          <w:highlight w:val="none"/>
          <w:shd w:val="clear" w:color="auto" w:fill="FFFFFF"/>
        </w:rPr>
      </w:pPr>
      <w:r>
        <w:rPr>
          <w:color w:val="auto"/>
          <w:szCs w:val="21"/>
          <w:highlight w:val="none"/>
          <w:shd w:val="clear" w:color="auto" w:fill="FFFFFF"/>
        </w:rPr>
        <w:t>合同履行期限：</w:t>
      </w:r>
      <w:r>
        <w:rPr>
          <w:rFonts w:hint="eastAsia"/>
          <w:color w:val="auto"/>
          <w:szCs w:val="21"/>
          <w:highlight w:val="none"/>
          <w:u w:val="single"/>
          <w:shd w:val="clear" w:color="auto" w:fill="FFFFFF"/>
        </w:rPr>
        <w:t>自合同签订之日起至</w:t>
      </w:r>
      <w:r>
        <w:rPr>
          <w:rFonts w:hint="eastAsia"/>
          <w:color w:val="auto"/>
          <w:highlight w:val="none"/>
          <w:u w:val="single"/>
        </w:rPr>
        <w:t>完成第二届世界五金发展大会闭幕止</w:t>
      </w:r>
      <w:r>
        <w:rPr>
          <w:rFonts w:hint="eastAsia"/>
          <w:color w:val="auto"/>
          <w:szCs w:val="21"/>
          <w:highlight w:val="none"/>
          <w:shd w:val="clear" w:color="auto" w:fill="FFFFFF"/>
        </w:rPr>
        <w:t>。</w:t>
      </w:r>
    </w:p>
    <w:p>
      <w:pPr>
        <w:spacing w:line="336" w:lineRule="auto"/>
        <w:ind w:firstLine="420"/>
        <w:rPr>
          <w:color w:val="auto"/>
          <w:szCs w:val="21"/>
          <w:highlight w:val="none"/>
          <w:shd w:val="clear" w:color="auto" w:fill="FFFFFF"/>
        </w:rPr>
      </w:pPr>
      <w:r>
        <w:rPr>
          <w:color w:val="auto"/>
          <w:szCs w:val="21"/>
          <w:highlight w:val="none"/>
          <w:shd w:val="clear" w:color="auto" w:fill="FFFFFF"/>
        </w:rPr>
        <w:t>本项目（ </w:t>
      </w:r>
      <w:r>
        <w:rPr>
          <w:rFonts w:hint="eastAsia"/>
          <w:color w:val="auto"/>
          <w:szCs w:val="21"/>
          <w:highlight w:val="none"/>
          <w:shd w:val="clear" w:color="auto" w:fill="FFFFFF"/>
        </w:rPr>
        <w:t>否</w:t>
      </w:r>
      <w:r>
        <w:rPr>
          <w:color w:val="auto"/>
          <w:szCs w:val="21"/>
          <w:highlight w:val="none"/>
          <w:shd w:val="clear" w:color="auto" w:fill="FFFFFF"/>
        </w:rPr>
        <w:t> ）接受联合体投标。</w:t>
      </w:r>
    </w:p>
    <w:p>
      <w:pPr>
        <w:widowControl/>
        <w:spacing w:line="336" w:lineRule="auto"/>
        <w:jc w:val="left"/>
        <w:outlineLvl w:val="1"/>
        <w:rPr>
          <w:b/>
          <w:bCs/>
          <w:color w:val="auto"/>
          <w:szCs w:val="21"/>
          <w:highlight w:val="none"/>
        </w:rPr>
      </w:pPr>
      <w:r>
        <w:rPr>
          <w:b/>
          <w:bCs/>
          <w:color w:val="auto"/>
          <w:szCs w:val="21"/>
          <w:highlight w:val="none"/>
        </w:rPr>
        <w:t>二、申请人的资格要求：</w:t>
      </w:r>
    </w:p>
    <w:p>
      <w:pPr>
        <w:widowControl/>
        <w:spacing w:line="336" w:lineRule="auto"/>
        <w:jc w:val="left"/>
        <w:rPr>
          <w:color w:val="auto"/>
          <w:szCs w:val="21"/>
          <w:highlight w:val="none"/>
        </w:rPr>
      </w:pPr>
      <w:r>
        <w:rPr>
          <w:color w:val="auto"/>
          <w:szCs w:val="21"/>
          <w:highlight w:val="none"/>
        </w:rPr>
        <w:t xml:space="preserve"> 1、满足《中华人民共和国政府采购法》第二十二条规定</w:t>
      </w:r>
      <w:r>
        <w:rPr>
          <w:rFonts w:hint="eastAsia"/>
          <w:color w:val="auto"/>
          <w:szCs w:val="21"/>
          <w:highlight w:val="none"/>
        </w:rPr>
        <w:t>及</w:t>
      </w:r>
      <w:r>
        <w:rPr>
          <w:color w:val="auto"/>
          <w:szCs w:val="21"/>
          <w:highlight w:val="none"/>
        </w:rPr>
        <w:t>未被</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szCs w:val="21"/>
          <w:highlight w:val="none"/>
        </w:rPr>
        <w:t>（www.creditchina.gov.cn）、中国政府采购网（www.ccgp.gov.cn）列入失信被执行人、</w:t>
      </w:r>
      <w:r>
        <w:rPr>
          <w:rFonts w:hint="eastAsia"/>
          <w:color w:val="auto"/>
          <w:szCs w:val="21"/>
          <w:highlight w:val="none"/>
          <w:lang w:eastAsia="zh-CN"/>
        </w:rPr>
        <w:t>重大税收违法失信主体</w:t>
      </w:r>
      <w:r>
        <w:rPr>
          <w:color w:val="auto"/>
          <w:szCs w:val="21"/>
          <w:highlight w:val="none"/>
        </w:rPr>
        <w:t>、政府采购严重违法失信行为记录名单。</w:t>
      </w:r>
    </w:p>
    <w:p>
      <w:pPr>
        <w:widowControl/>
        <w:spacing w:line="336" w:lineRule="auto"/>
        <w:jc w:val="left"/>
        <w:rPr>
          <w:color w:val="auto"/>
          <w:szCs w:val="21"/>
          <w:highlight w:val="none"/>
        </w:rPr>
      </w:pPr>
      <w:r>
        <w:rPr>
          <w:color w:val="auto"/>
          <w:szCs w:val="21"/>
          <w:highlight w:val="none"/>
        </w:rPr>
        <w:t xml:space="preserve"> 2、落实政府采购政策需满足的资格要求</w:t>
      </w:r>
      <w:r>
        <w:rPr>
          <w:rFonts w:hint="eastAsia"/>
          <w:color w:val="auto"/>
          <w:szCs w:val="21"/>
          <w:highlight w:val="none"/>
        </w:rPr>
        <w:t>：</w:t>
      </w:r>
      <w:r>
        <w:rPr>
          <w:rFonts w:hint="eastAsia"/>
          <w:color w:val="auto"/>
          <w:szCs w:val="21"/>
          <w:highlight w:val="none"/>
          <w:u w:val="single"/>
          <w:lang w:eastAsia="zh-CN"/>
        </w:rPr>
        <w:t>供应商为中小企业，根据财库〔2020〕46号的相关规定，本次采购投标人须为中小企业，投标时须提供《中小企业声明函》</w:t>
      </w:r>
      <w:r>
        <w:rPr>
          <w:rFonts w:hint="eastAsia" w:ascii="Times New Roman" w:hAnsi="Times New Roman" w:eastAsia="宋体" w:cs="Times New Roman"/>
          <w:color w:val="auto"/>
          <w:szCs w:val="21"/>
          <w:highlight w:val="none"/>
          <w:u w:val="single"/>
          <w:lang w:eastAsia="zh-CN"/>
        </w:rPr>
        <w:t>《投标承诺函》（格式详见采购文件）</w:t>
      </w:r>
      <w:r>
        <w:rPr>
          <w:rFonts w:hint="eastAsia"/>
          <w:color w:val="auto"/>
          <w:szCs w:val="21"/>
          <w:highlight w:val="none"/>
        </w:rPr>
        <w:t>。</w:t>
      </w:r>
    </w:p>
    <w:p>
      <w:pPr>
        <w:widowControl/>
        <w:spacing w:line="336" w:lineRule="auto"/>
        <w:jc w:val="left"/>
        <w:rPr>
          <w:color w:val="auto"/>
          <w:highlight w:val="none"/>
        </w:rPr>
      </w:pPr>
      <w:r>
        <w:rPr>
          <w:color w:val="auto"/>
          <w:szCs w:val="21"/>
          <w:highlight w:val="none"/>
        </w:rPr>
        <w:t xml:space="preserve"> 3、本项目的特定资格要求：</w:t>
      </w:r>
      <w:r>
        <w:rPr>
          <w:rFonts w:hint="eastAsia"/>
          <w:color w:val="auto"/>
          <w:szCs w:val="21"/>
          <w:highlight w:val="none"/>
          <w:u w:val="single"/>
          <w:lang w:val="en-US" w:eastAsia="zh-CN"/>
        </w:rPr>
        <w:t xml:space="preserve"> </w:t>
      </w:r>
      <w:r>
        <w:rPr>
          <w:rFonts w:hint="eastAsia"/>
          <w:color w:val="auto"/>
          <w:szCs w:val="21"/>
          <w:highlight w:val="none"/>
          <w:u w:val="single"/>
          <w:lang w:eastAsia="zh-CN"/>
        </w:rPr>
        <w:t>无</w:t>
      </w:r>
      <w:r>
        <w:rPr>
          <w:rFonts w:hint="eastAsia"/>
          <w:color w:val="auto"/>
          <w:szCs w:val="21"/>
          <w:highlight w:val="none"/>
          <w:u w:val="single"/>
          <w:lang w:val="en-US" w:eastAsia="zh-CN"/>
        </w:rPr>
        <w:t xml:space="preserve"> </w:t>
      </w:r>
      <w:r>
        <w:rPr>
          <w:rFonts w:hint="eastAsia"/>
          <w:color w:val="auto"/>
          <w:szCs w:val="21"/>
          <w:highlight w:val="none"/>
        </w:rPr>
        <w:t>。</w:t>
      </w:r>
    </w:p>
    <w:p>
      <w:pPr>
        <w:widowControl/>
        <w:spacing w:line="336" w:lineRule="auto"/>
        <w:jc w:val="left"/>
        <w:outlineLvl w:val="1"/>
        <w:rPr>
          <w:b/>
          <w:bCs/>
          <w:color w:val="auto"/>
          <w:szCs w:val="21"/>
          <w:highlight w:val="none"/>
        </w:rPr>
      </w:pPr>
      <w:r>
        <w:rPr>
          <w:b/>
          <w:bCs/>
          <w:color w:val="auto"/>
          <w:szCs w:val="21"/>
          <w:highlight w:val="none"/>
        </w:rPr>
        <w:t>三、获取招标文件：</w:t>
      </w:r>
    </w:p>
    <w:p>
      <w:pPr>
        <w:spacing w:line="336" w:lineRule="auto"/>
        <w:rPr>
          <w:bCs/>
          <w:color w:val="auto"/>
          <w:szCs w:val="21"/>
          <w:highlight w:val="none"/>
        </w:rPr>
      </w:pPr>
      <w:r>
        <w:rPr>
          <w:color w:val="auto"/>
          <w:szCs w:val="21"/>
          <w:highlight w:val="none"/>
        </w:rPr>
        <w:t xml:space="preserve"> 1、</w:t>
      </w:r>
      <w:r>
        <w:rPr>
          <w:color w:val="auto"/>
          <w:szCs w:val="21"/>
          <w:highlight w:val="none"/>
          <w:shd w:val="clear" w:color="auto" w:fill="FFFFFF"/>
        </w:rPr>
        <w:t>时间</w:t>
      </w:r>
      <w:r>
        <w:rPr>
          <w:color w:val="auto"/>
          <w:szCs w:val="21"/>
          <w:highlight w:val="none"/>
        </w:rPr>
        <w:t>：</w:t>
      </w:r>
      <w:r>
        <w:rPr>
          <w:bCs/>
          <w:color w:val="auto"/>
          <w:szCs w:val="21"/>
          <w:highlight w:val="none"/>
        </w:rPr>
        <w:t>公告发布时间至提交投标文件截止时间。</w:t>
      </w:r>
    </w:p>
    <w:p>
      <w:pPr>
        <w:spacing w:line="336" w:lineRule="auto"/>
        <w:rPr>
          <w:color w:val="auto"/>
          <w:highlight w:val="none"/>
        </w:rPr>
      </w:pPr>
      <w:r>
        <w:rPr>
          <w:color w:val="auto"/>
          <w:highlight w:val="none"/>
        </w:rPr>
        <w:t xml:space="preserve"> 2、地点：浙江政府采购网（www.zjzfcg.gov.cn）。</w:t>
      </w:r>
    </w:p>
    <w:p>
      <w:pPr>
        <w:spacing w:line="336" w:lineRule="auto"/>
        <w:rPr>
          <w:color w:val="auto"/>
          <w:highlight w:val="none"/>
        </w:rPr>
      </w:pPr>
      <w:r>
        <w:rPr>
          <w:color w:val="auto"/>
          <w:highlight w:val="none"/>
        </w:rPr>
        <w:t xml:space="preserve"> 3、方式：网上下载。</w:t>
      </w:r>
    </w:p>
    <w:p>
      <w:pPr>
        <w:spacing w:line="336" w:lineRule="auto"/>
        <w:rPr>
          <w:color w:val="auto"/>
          <w:highlight w:val="none"/>
        </w:rPr>
      </w:pPr>
      <w:r>
        <w:rPr>
          <w:color w:val="auto"/>
          <w:highlight w:val="none"/>
        </w:rPr>
        <w:t xml:space="preserve"> 4、售价：0。</w:t>
      </w:r>
    </w:p>
    <w:p>
      <w:pPr>
        <w:tabs>
          <w:tab w:val="left" w:pos="420"/>
        </w:tabs>
        <w:spacing w:line="336" w:lineRule="auto"/>
        <w:outlineLvl w:val="1"/>
        <w:rPr>
          <w:b/>
          <w:bCs/>
          <w:color w:val="auto"/>
          <w:szCs w:val="21"/>
          <w:highlight w:val="none"/>
        </w:rPr>
      </w:pPr>
      <w:bookmarkStart w:id="2" w:name="_Toc28359082"/>
      <w:bookmarkStart w:id="3" w:name="_Toc28359005"/>
      <w:bookmarkStart w:id="4" w:name="_Toc35393624"/>
      <w:bookmarkStart w:id="5" w:name="_Toc35393793"/>
      <w:r>
        <w:rPr>
          <w:b/>
          <w:bCs/>
          <w:color w:val="auto"/>
          <w:szCs w:val="21"/>
          <w:highlight w:val="none"/>
        </w:rPr>
        <w:t>四、提交投标文件</w:t>
      </w:r>
      <w:bookmarkEnd w:id="2"/>
      <w:bookmarkEnd w:id="3"/>
      <w:r>
        <w:rPr>
          <w:b/>
          <w:bCs/>
          <w:color w:val="auto"/>
          <w:szCs w:val="21"/>
          <w:highlight w:val="none"/>
        </w:rPr>
        <w:t>截止时间、开标时间和地点</w:t>
      </w:r>
      <w:bookmarkEnd w:id="4"/>
      <w:bookmarkEnd w:id="5"/>
      <w:r>
        <w:rPr>
          <w:b/>
          <w:bCs/>
          <w:color w:val="auto"/>
          <w:szCs w:val="21"/>
          <w:highlight w:val="none"/>
        </w:rPr>
        <w:t>：</w:t>
      </w:r>
    </w:p>
    <w:p>
      <w:pPr>
        <w:tabs>
          <w:tab w:val="left" w:pos="420"/>
        </w:tabs>
        <w:spacing w:line="336" w:lineRule="auto"/>
        <w:rPr>
          <w:color w:val="auto"/>
          <w:szCs w:val="21"/>
          <w:highlight w:val="none"/>
        </w:rPr>
      </w:pPr>
      <w:r>
        <w:rPr>
          <w:color w:val="auto"/>
          <w:szCs w:val="21"/>
          <w:highlight w:val="none"/>
        </w:rPr>
        <w:t xml:space="preserve"> 1、提交投标文件截止时间：</w:t>
      </w:r>
      <w:r>
        <w:rPr>
          <w:rFonts w:hint="eastAsia"/>
          <w:color w:val="auto"/>
          <w:szCs w:val="21"/>
          <w:highlight w:val="none"/>
          <w:u w:val="single"/>
        </w:rPr>
        <w:t>2022</w:t>
      </w:r>
      <w:r>
        <w:rPr>
          <w:color w:val="auto"/>
          <w:szCs w:val="21"/>
          <w:highlight w:val="none"/>
          <w:u w:val="single"/>
        </w:rPr>
        <w:t>年</w:t>
      </w:r>
      <w:r>
        <w:rPr>
          <w:rFonts w:hint="eastAsia" w:cs="Times New Roman"/>
          <w:color w:val="auto"/>
          <w:szCs w:val="21"/>
          <w:highlight w:val="none"/>
          <w:u w:val="single"/>
          <w:shd w:val="clear" w:color="auto" w:fill="FFFFFF"/>
          <w:lang w:val="en-US" w:eastAsia="zh-CN"/>
        </w:rPr>
        <w:t>10</w:t>
      </w:r>
      <w:r>
        <w:rPr>
          <w:rFonts w:ascii="Times New Roman" w:hAnsi="Times New Roman" w:eastAsia="宋体"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13</w:t>
      </w:r>
      <w:r>
        <w:rPr>
          <w:rFonts w:ascii="Times New Roman" w:hAnsi="Times New Roman" w:eastAsia="宋体" w:cs="Times New Roman"/>
          <w:color w:val="auto"/>
          <w:szCs w:val="21"/>
          <w:highlight w:val="none"/>
          <w:u w:val="single"/>
          <w:shd w:val="clear" w:color="auto" w:fill="FFFFFF"/>
        </w:rPr>
        <w:t>日</w:t>
      </w:r>
      <w:r>
        <w:rPr>
          <w:rFonts w:hint="eastAsia" w:ascii="Times New Roman" w:hAnsi="Times New Roman" w:eastAsia="宋体" w:cs="Times New Roman"/>
          <w:color w:val="auto"/>
          <w:szCs w:val="21"/>
          <w:highlight w:val="none"/>
          <w:u w:val="single"/>
          <w:shd w:val="clear" w:color="auto" w:fill="FFFFFF"/>
        </w:rPr>
        <w:t>09</w:t>
      </w:r>
      <w:r>
        <w:rPr>
          <w:rFonts w:ascii="Times New Roman" w:hAnsi="Times New Roman" w:eastAsia="宋体" w:cs="Times New Roman"/>
          <w:color w:val="auto"/>
          <w:szCs w:val="21"/>
          <w:highlight w:val="none"/>
          <w:u w:val="single"/>
          <w:shd w:val="clear" w:color="auto" w:fill="FFFFFF"/>
        </w:rPr>
        <w:t>时</w:t>
      </w:r>
      <w:r>
        <w:rPr>
          <w:rFonts w:hint="eastAsia" w:cs="Times New Roman"/>
          <w:color w:val="auto"/>
          <w:szCs w:val="21"/>
          <w:highlight w:val="none"/>
          <w:u w:val="single"/>
          <w:shd w:val="clear" w:color="auto" w:fill="FFFFFF"/>
          <w:lang w:val="en-US" w:eastAsia="zh-CN"/>
        </w:rPr>
        <w:t>3</w:t>
      </w:r>
      <w:r>
        <w:rPr>
          <w:rFonts w:hint="eastAsia" w:ascii="Times New Roman" w:hAnsi="Times New Roman" w:eastAsia="宋体" w:cs="Times New Roman"/>
          <w:color w:val="auto"/>
          <w:szCs w:val="21"/>
          <w:highlight w:val="none"/>
          <w:u w:val="single"/>
          <w:shd w:val="clear" w:color="auto" w:fill="FFFFFF"/>
        </w:rPr>
        <w:t>0</w:t>
      </w:r>
      <w:r>
        <w:rPr>
          <w:rFonts w:ascii="Times New Roman" w:hAnsi="Times New Roman" w:eastAsia="宋体" w:cs="Times New Roman"/>
          <w:color w:val="auto"/>
          <w:szCs w:val="21"/>
          <w:highlight w:val="none"/>
          <w:u w:val="single"/>
          <w:shd w:val="clear" w:color="auto" w:fill="FFFFFF"/>
        </w:rPr>
        <w:t>分</w:t>
      </w:r>
      <w:r>
        <w:rPr>
          <w:color w:val="auto"/>
          <w:szCs w:val="21"/>
          <w:highlight w:val="none"/>
        </w:rPr>
        <w:t>（北京时间）。投标人应当在提交投标文件截止时间前完成电子投标文件的传输递交，提交投标文件截止时间前可以补充、修改或者撤回电子投标文件。补充或者修改电子投标文件的，应当先行撤回原文件，补充、修改后重新传输递交。提交投标文件截止时间前未完成传输的，视为撤回投标文件。</w:t>
      </w:r>
    </w:p>
    <w:p>
      <w:pPr>
        <w:tabs>
          <w:tab w:val="left" w:pos="420"/>
        </w:tabs>
        <w:spacing w:line="336" w:lineRule="auto"/>
        <w:rPr>
          <w:rFonts w:hint="eastAsia"/>
          <w:color w:val="auto"/>
          <w:szCs w:val="21"/>
          <w:highlight w:val="none"/>
        </w:rPr>
      </w:pPr>
      <w:r>
        <w:rPr>
          <w:color w:val="auto"/>
          <w:szCs w:val="21"/>
          <w:highlight w:val="none"/>
        </w:rPr>
        <w:t xml:space="preserve"> </w:t>
      </w:r>
      <w:r>
        <w:rPr>
          <w:rFonts w:hint="eastAsia"/>
          <w:color w:val="auto"/>
          <w:szCs w:val="21"/>
          <w:highlight w:val="none"/>
        </w:rPr>
        <w:t>2、</w:t>
      </w:r>
      <w:r>
        <w:rPr>
          <w:color w:val="auto"/>
          <w:szCs w:val="21"/>
          <w:highlight w:val="none"/>
        </w:rPr>
        <w:t>投标地点（网址）：</w:t>
      </w:r>
      <w:r>
        <w:rPr>
          <w:color w:val="auto"/>
          <w:szCs w:val="21"/>
          <w:highlight w:val="none"/>
          <w:u w:val="single"/>
        </w:rPr>
        <w:t>浙江政府采购网（www.zjzfcg.gov.cn）</w:t>
      </w:r>
      <w:r>
        <w:rPr>
          <w:rFonts w:hint="eastAsia"/>
          <w:color w:val="auto"/>
          <w:szCs w:val="21"/>
          <w:highlight w:val="none"/>
        </w:rPr>
        <w:t>。</w:t>
      </w:r>
    </w:p>
    <w:p>
      <w:pPr>
        <w:tabs>
          <w:tab w:val="left" w:pos="420"/>
        </w:tabs>
        <w:spacing w:line="336" w:lineRule="auto"/>
        <w:rPr>
          <w:color w:val="auto"/>
          <w:szCs w:val="21"/>
          <w:highlight w:val="none"/>
        </w:rPr>
      </w:pPr>
      <w:r>
        <w:rPr>
          <w:color w:val="auto"/>
          <w:szCs w:val="21"/>
          <w:highlight w:val="none"/>
        </w:rPr>
        <w:t xml:space="preserve"> </w:t>
      </w:r>
      <w:r>
        <w:rPr>
          <w:rFonts w:hint="eastAsia"/>
          <w:color w:val="auto"/>
          <w:szCs w:val="21"/>
          <w:highlight w:val="none"/>
        </w:rPr>
        <w:t>3</w:t>
      </w:r>
      <w:r>
        <w:rPr>
          <w:color w:val="auto"/>
          <w:szCs w:val="21"/>
          <w:highlight w:val="none"/>
        </w:rPr>
        <w:t>、开标时间：</w:t>
      </w:r>
      <w:r>
        <w:rPr>
          <w:rFonts w:hint="eastAsia"/>
          <w:color w:val="auto"/>
          <w:szCs w:val="21"/>
          <w:highlight w:val="none"/>
          <w:u w:val="single"/>
        </w:rPr>
        <w:t>2022</w:t>
      </w:r>
      <w:r>
        <w:rPr>
          <w:color w:val="auto"/>
          <w:szCs w:val="21"/>
          <w:highlight w:val="none"/>
          <w:u w:val="single"/>
        </w:rPr>
        <w:t>年</w:t>
      </w:r>
      <w:r>
        <w:rPr>
          <w:rFonts w:hint="eastAsia" w:cs="Times New Roman"/>
          <w:color w:val="auto"/>
          <w:szCs w:val="21"/>
          <w:highlight w:val="none"/>
          <w:u w:val="single"/>
          <w:shd w:val="clear" w:color="auto" w:fill="FFFFFF"/>
          <w:lang w:val="en-US" w:eastAsia="zh-CN"/>
        </w:rPr>
        <w:t>10</w:t>
      </w:r>
      <w:r>
        <w:rPr>
          <w:rFonts w:ascii="Times New Roman" w:hAnsi="Times New Roman" w:eastAsia="宋体"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13</w:t>
      </w:r>
      <w:r>
        <w:rPr>
          <w:rFonts w:ascii="Times New Roman" w:hAnsi="Times New Roman" w:eastAsia="宋体" w:cs="Times New Roman"/>
          <w:color w:val="auto"/>
          <w:szCs w:val="21"/>
          <w:highlight w:val="none"/>
          <w:u w:val="single"/>
          <w:shd w:val="clear" w:color="auto" w:fill="FFFFFF"/>
        </w:rPr>
        <w:t>日</w:t>
      </w:r>
      <w:r>
        <w:rPr>
          <w:rFonts w:hint="eastAsia" w:ascii="Times New Roman" w:hAnsi="Times New Roman" w:eastAsia="宋体" w:cs="Times New Roman"/>
          <w:color w:val="auto"/>
          <w:szCs w:val="21"/>
          <w:highlight w:val="none"/>
          <w:u w:val="single"/>
          <w:shd w:val="clear" w:color="auto" w:fill="FFFFFF"/>
        </w:rPr>
        <w:t>09</w:t>
      </w:r>
      <w:r>
        <w:rPr>
          <w:rFonts w:ascii="Times New Roman" w:hAnsi="Times New Roman" w:eastAsia="宋体" w:cs="Times New Roman"/>
          <w:color w:val="auto"/>
          <w:szCs w:val="21"/>
          <w:highlight w:val="none"/>
          <w:u w:val="single"/>
          <w:shd w:val="clear" w:color="auto" w:fill="FFFFFF"/>
        </w:rPr>
        <w:t>时</w:t>
      </w:r>
      <w:r>
        <w:rPr>
          <w:rFonts w:hint="eastAsia" w:cs="Times New Roman"/>
          <w:color w:val="auto"/>
          <w:szCs w:val="21"/>
          <w:highlight w:val="none"/>
          <w:u w:val="single"/>
          <w:shd w:val="clear" w:color="auto" w:fill="FFFFFF"/>
          <w:lang w:val="en-US" w:eastAsia="zh-CN"/>
        </w:rPr>
        <w:t>3</w:t>
      </w:r>
      <w:r>
        <w:rPr>
          <w:rFonts w:hint="eastAsia" w:ascii="Times New Roman" w:hAnsi="Times New Roman" w:eastAsia="宋体" w:cs="Times New Roman"/>
          <w:color w:val="auto"/>
          <w:szCs w:val="21"/>
          <w:highlight w:val="none"/>
          <w:u w:val="single"/>
          <w:shd w:val="clear" w:color="auto" w:fill="FFFFFF"/>
        </w:rPr>
        <w:t>0</w:t>
      </w:r>
      <w:r>
        <w:rPr>
          <w:rFonts w:ascii="Times New Roman" w:hAnsi="Times New Roman" w:eastAsia="宋体" w:cs="Times New Roman"/>
          <w:color w:val="auto"/>
          <w:szCs w:val="21"/>
          <w:highlight w:val="none"/>
          <w:u w:val="single"/>
          <w:shd w:val="clear" w:color="auto" w:fill="FFFFFF"/>
        </w:rPr>
        <w:t>分</w:t>
      </w:r>
      <w:r>
        <w:rPr>
          <w:color w:val="auto"/>
          <w:szCs w:val="21"/>
          <w:highlight w:val="none"/>
        </w:rPr>
        <w:t>（北京时间）。本项目采用远程不见面开标，且不接受投标人到现场开标。投标人请在提交投标文件截止时间起1个小时内完成在线解密事宜。</w:t>
      </w:r>
    </w:p>
    <w:p>
      <w:pPr>
        <w:tabs>
          <w:tab w:val="left" w:pos="420"/>
        </w:tabs>
        <w:spacing w:line="336" w:lineRule="auto"/>
        <w:rPr>
          <w:rFonts w:hint="eastAsia"/>
          <w:color w:val="auto"/>
          <w:szCs w:val="21"/>
          <w:highlight w:val="none"/>
        </w:rPr>
      </w:pPr>
      <w:r>
        <w:rPr>
          <w:color w:val="auto"/>
          <w:szCs w:val="21"/>
          <w:highlight w:val="none"/>
        </w:rPr>
        <w:t xml:space="preserve"> </w:t>
      </w:r>
      <w:r>
        <w:rPr>
          <w:rFonts w:hint="eastAsia"/>
          <w:color w:val="auto"/>
          <w:szCs w:val="21"/>
          <w:highlight w:val="none"/>
        </w:rPr>
        <w:t>4</w:t>
      </w:r>
      <w:r>
        <w:rPr>
          <w:color w:val="auto"/>
          <w:szCs w:val="21"/>
          <w:highlight w:val="none"/>
        </w:rPr>
        <w:t>、开标地址（网址）：</w:t>
      </w:r>
      <w:r>
        <w:rPr>
          <w:color w:val="auto"/>
          <w:szCs w:val="21"/>
          <w:highlight w:val="none"/>
          <w:u w:val="single"/>
        </w:rPr>
        <w:t>浙江政府采购网（www.zjzfcg.gov.cn）</w:t>
      </w:r>
      <w:r>
        <w:rPr>
          <w:rFonts w:hint="eastAsia"/>
          <w:color w:val="auto"/>
          <w:szCs w:val="21"/>
          <w:highlight w:val="none"/>
        </w:rPr>
        <w:t>。</w:t>
      </w:r>
    </w:p>
    <w:p>
      <w:pPr>
        <w:tabs>
          <w:tab w:val="left" w:pos="420"/>
        </w:tabs>
        <w:spacing w:line="336" w:lineRule="auto"/>
        <w:outlineLvl w:val="1"/>
        <w:rPr>
          <w:b/>
          <w:bCs/>
          <w:color w:val="auto"/>
          <w:szCs w:val="21"/>
          <w:highlight w:val="none"/>
        </w:rPr>
      </w:pPr>
      <w:r>
        <w:rPr>
          <w:b/>
          <w:bCs/>
          <w:color w:val="auto"/>
          <w:szCs w:val="21"/>
          <w:highlight w:val="none"/>
        </w:rPr>
        <w:t>五、公告期限：</w:t>
      </w:r>
    </w:p>
    <w:p>
      <w:pPr>
        <w:tabs>
          <w:tab w:val="left" w:pos="420"/>
        </w:tabs>
        <w:spacing w:line="336" w:lineRule="auto"/>
        <w:ind w:firstLine="420" w:firstLineChars="200"/>
        <w:rPr>
          <w:color w:val="auto"/>
          <w:highlight w:val="none"/>
        </w:rPr>
      </w:pPr>
      <w:r>
        <w:rPr>
          <w:color w:val="auto"/>
          <w:szCs w:val="21"/>
          <w:highlight w:val="none"/>
        </w:rPr>
        <w:t>自本公告发布之日起5个工作日。</w:t>
      </w:r>
    </w:p>
    <w:p>
      <w:pPr>
        <w:tabs>
          <w:tab w:val="left" w:pos="420"/>
        </w:tabs>
        <w:spacing w:line="336" w:lineRule="auto"/>
        <w:outlineLvl w:val="1"/>
        <w:rPr>
          <w:b/>
          <w:bCs/>
          <w:color w:val="auto"/>
          <w:szCs w:val="21"/>
          <w:highlight w:val="none"/>
        </w:rPr>
      </w:pPr>
      <w:bookmarkStart w:id="6" w:name="_Toc35393626"/>
      <w:bookmarkStart w:id="7" w:name="_Toc35393795"/>
      <w:r>
        <w:rPr>
          <w:b/>
          <w:bCs/>
          <w:color w:val="auto"/>
          <w:szCs w:val="21"/>
          <w:highlight w:val="none"/>
        </w:rPr>
        <w:t>六、其他补充事宜</w:t>
      </w:r>
      <w:bookmarkEnd w:id="6"/>
      <w:bookmarkEnd w:id="7"/>
      <w:r>
        <w:rPr>
          <w:b/>
          <w:bCs/>
          <w:color w:val="auto"/>
          <w:szCs w:val="21"/>
          <w:highlight w:val="none"/>
        </w:rPr>
        <w:t>：</w:t>
      </w:r>
    </w:p>
    <w:p>
      <w:pPr>
        <w:pStyle w:val="47"/>
        <w:widowControl/>
        <w:adjustRightInd w:val="0"/>
        <w:snapToGrid w:val="0"/>
        <w:spacing w:beforeAutospacing="0" w:afterAutospacing="0" w:line="360" w:lineRule="auto"/>
        <w:jc w:val="both"/>
        <w:rPr>
          <w:rFonts w:hint="eastAsia" w:ascii="宋体" w:hAnsi="宋体" w:cs="宋体"/>
          <w:color w:val="auto"/>
          <w:sz w:val="21"/>
          <w:szCs w:val="21"/>
          <w:highlight w:val="none"/>
        </w:rPr>
      </w:pPr>
      <w:r>
        <w:rPr>
          <w:color w:val="auto"/>
          <w:szCs w:val="21"/>
          <w:highlight w:val="none"/>
        </w:rPr>
        <w:t xml:space="preserve"> </w:t>
      </w:r>
      <w:r>
        <w:rPr>
          <w:rFonts w:hint="eastAsia" w:ascii="宋体" w:hAnsi="宋体" w:cs="宋体"/>
          <w:color w:val="auto"/>
          <w:sz w:val="21"/>
          <w:szCs w:val="21"/>
          <w:highlight w:val="none"/>
        </w:rPr>
        <w:t xml:space="preserve">  1.《浙江省财政厅关于进一步发挥政府采购政策功能全力推动经济稳进提质的通知》 （浙财采监（〔2022〕3号）、《</w:t>
      </w:r>
      <w:r>
        <w:rPr>
          <w:rFonts w:hint="eastAsia" w:ascii="宋体" w:hAnsi="宋体" w:cs="宋体"/>
          <w:color w:val="auto"/>
          <w:sz w:val="21"/>
          <w:szCs w:val="21"/>
          <w:highlight w:val="none"/>
        </w:rPr>
        <w:t>浙江省财政厅关于进一步促进政府采购公平竞争打造最优营商环境的通知》（浙财采监〔2021〕22号）、</w:t>
      </w:r>
      <w:r>
        <w:rPr>
          <w:rFonts w:hint="eastAsia" w:ascii="宋体" w:hAnsi="宋体" w:cs="宋体"/>
          <w:b/>
          <w:bCs/>
          <w:color w:val="auto"/>
          <w:sz w:val="21"/>
          <w:szCs w:val="21"/>
          <w:highlight w:val="none"/>
        </w:rPr>
        <w:t>《浙江省财政厅关于进一步加大政府采购支持中小企业力度 助力扎实稳住经济的通知》（浙财采监〔2022〕8号）</w:t>
      </w:r>
      <w:r>
        <w:rPr>
          <w:rFonts w:hint="eastAsia" w:ascii="宋体" w:hAnsi="宋体" w:cs="宋体"/>
          <w:color w:val="auto"/>
          <w:sz w:val="21"/>
          <w:szCs w:val="21"/>
          <w:highlight w:val="none"/>
        </w:rPr>
        <w:t>已分别于2022年1月29日、2022年2月1日和</w:t>
      </w:r>
      <w:r>
        <w:rPr>
          <w:rFonts w:hint="eastAsia" w:ascii="宋体" w:hAnsi="宋体" w:cs="宋体"/>
          <w:b/>
          <w:bCs/>
          <w:color w:val="auto"/>
          <w:sz w:val="21"/>
          <w:szCs w:val="21"/>
          <w:highlight w:val="none"/>
        </w:rPr>
        <w:t>2022年7月1日</w:t>
      </w:r>
      <w:r>
        <w:rPr>
          <w:rFonts w:hint="eastAsia" w:ascii="宋体" w:hAnsi="宋体" w:cs="宋体"/>
          <w:color w:val="auto"/>
          <w:sz w:val="21"/>
          <w:szCs w:val="21"/>
          <w:highlight w:val="none"/>
        </w:rPr>
        <w:t>开始实施，此前有关规定与上述文件内容不一致的，按上述文件要求执行。</w:t>
      </w:r>
    </w:p>
    <w:p>
      <w:pPr>
        <w:pStyle w:val="47"/>
        <w:widowControl/>
        <w:adjustRightInd w:val="0"/>
        <w:snapToGrid w:val="0"/>
        <w:spacing w:beforeAutospacing="0" w:afterAutospacing="0"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7"/>
        <w:widowControl/>
        <w:adjustRightInd w:val="0"/>
        <w:snapToGrid w:val="0"/>
        <w:spacing w:beforeAutospacing="0" w:afterAutospacing="0" w:line="360" w:lineRule="auto"/>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  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1"/>
          <w:szCs w:val="21"/>
          <w:highlight w:val="none"/>
        </w:rPr>
        <w:t>对采购文件需求的以书面形式向采购人提出质疑，对其他内容的以书面形式向采购人和采购代理机构提出质疑。</w:t>
      </w:r>
      <w:r>
        <w:rPr>
          <w:rFonts w:hint="eastAsia" w:ascii="宋体" w:hAnsi="宋体" w:cs="宋体"/>
          <w:color w:val="auto"/>
          <w:sz w:val="21"/>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7"/>
        <w:widowControl/>
        <w:adjustRightInd w:val="0"/>
        <w:snapToGrid w:val="0"/>
        <w:spacing w:beforeAutospacing="0" w:afterAutospacing="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4.其他事项：</w:t>
      </w:r>
      <w:r>
        <w:rPr>
          <w:rFonts w:hint="eastAsia" w:ascii="宋体" w:hAnsi="宋体" w:cs="宋体"/>
          <w:color w:val="auto"/>
          <w:sz w:val="21"/>
          <w:szCs w:val="21"/>
          <w:highlight w:val="none"/>
          <w:lang w:bidi="ar"/>
        </w:rPr>
        <w:t>见招标文件</w:t>
      </w:r>
      <w:r>
        <w:rPr>
          <w:rFonts w:hint="eastAsia" w:ascii="宋体" w:hAnsi="宋体" w:cs="宋体"/>
          <w:color w:val="auto"/>
          <w:sz w:val="21"/>
          <w:szCs w:val="21"/>
          <w:highlight w:val="none"/>
        </w:rPr>
        <w:t> </w:t>
      </w:r>
    </w:p>
    <w:p>
      <w:pPr>
        <w:spacing w:line="360" w:lineRule="auto"/>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tabs>
          <w:tab w:val="left" w:pos="0"/>
        </w:tabs>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adjustRightInd w:val="0"/>
        <w:snapToGrid w:val="0"/>
        <w:spacing w:line="360" w:lineRule="auto"/>
        <w:ind w:firstLine="210" w:firstLineChars="1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7.落实政策：</w:t>
      </w:r>
    </w:p>
    <w:p>
      <w:pPr>
        <w:widowControl/>
        <w:numPr>
          <w:ilvl w:val="0"/>
          <w:numId w:val="0"/>
        </w:numPr>
        <w:adjustRightInd w:val="0"/>
        <w:snapToGrid w:val="0"/>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tabs>
          <w:tab w:val="left" w:pos="420"/>
        </w:tabs>
        <w:wordWrap w:val="0"/>
        <w:spacing w:line="336" w:lineRule="auto"/>
        <w:outlineLvl w:val="1"/>
        <w:rPr>
          <w:b/>
          <w:bCs/>
          <w:color w:val="auto"/>
          <w:highlight w:val="none"/>
        </w:rPr>
      </w:pPr>
      <w:r>
        <w:rPr>
          <w:b/>
          <w:bCs/>
          <w:color w:val="auto"/>
          <w:highlight w:val="none"/>
        </w:rPr>
        <w:t>七、对本次招标提出询问、质疑、投诉，请按以下方式联系：</w:t>
      </w:r>
    </w:p>
    <w:p>
      <w:pPr>
        <w:spacing w:line="360" w:lineRule="auto"/>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1、采购代理机构名称：浙江方圆工程咨询有限公司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联系人： 朱炳旭       联系电话： 18257872366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质疑联系人：吕松俊    质疑联系方式：15925947742</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地址：永康市高川花苑物业管理楼三楼</w:t>
      </w:r>
    </w:p>
    <w:p>
      <w:pPr>
        <w:spacing w:line="360" w:lineRule="auto"/>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2、采购人名称：永康市经济和信息化局</w:t>
      </w:r>
      <w:r>
        <w:rPr>
          <w:rFonts w:hint="eastAsia" w:ascii="宋体" w:hAnsi="宋体" w:cs="宋体"/>
          <w:color w:val="auto"/>
          <w:szCs w:val="21"/>
          <w:highlight w:val="none"/>
        </w:rPr>
        <w:tab/>
      </w:r>
      <w:r>
        <w:rPr>
          <w:rFonts w:hint="eastAsia"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联系人：华锐睿        联系电话：</w:t>
      </w:r>
      <w:r>
        <w:rPr>
          <w:rFonts w:hint="eastAsia" w:ascii="宋体" w:hAnsi="宋体" w:cs="宋体"/>
          <w:color w:val="auto"/>
          <w:szCs w:val="21"/>
          <w:highlight w:val="none"/>
          <w:lang w:val="en-US" w:eastAsia="zh-CN"/>
        </w:rPr>
        <w:t>15888963528</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质疑联系人：朱红燕    质疑联系方式：13967462311</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地址：永康市金城路25号 </w:t>
      </w:r>
    </w:p>
    <w:p>
      <w:pPr>
        <w:spacing w:line="336" w:lineRule="auto"/>
        <w:ind w:firstLine="420" w:firstLineChars="200"/>
        <w:outlineLvl w:val="2"/>
        <w:rPr>
          <w:color w:val="auto"/>
          <w:szCs w:val="21"/>
          <w:highlight w:val="none"/>
        </w:rPr>
      </w:pPr>
      <w:r>
        <w:rPr>
          <w:rFonts w:hint="eastAsia"/>
          <w:color w:val="auto"/>
          <w:szCs w:val="21"/>
          <w:highlight w:val="none"/>
        </w:rPr>
        <w:t>3、同级政府采购监督管理部门</w:t>
      </w:r>
    </w:p>
    <w:p>
      <w:pPr>
        <w:spacing w:line="336" w:lineRule="auto"/>
        <w:ind w:firstLine="420" w:firstLineChars="200"/>
        <w:rPr>
          <w:color w:val="auto"/>
          <w:szCs w:val="21"/>
          <w:highlight w:val="none"/>
        </w:rPr>
      </w:pPr>
      <w:r>
        <w:rPr>
          <w:rFonts w:hint="eastAsia"/>
          <w:color w:val="auto"/>
          <w:szCs w:val="21"/>
          <w:highlight w:val="none"/>
        </w:rPr>
        <w:t>名    称：永康市财政局政府采购监管科</w:t>
      </w:r>
    </w:p>
    <w:p>
      <w:pPr>
        <w:spacing w:line="336" w:lineRule="auto"/>
        <w:ind w:firstLine="420" w:firstLineChars="200"/>
        <w:rPr>
          <w:color w:val="auto"/>
          <w:szCs w:val="21"/>
          <w:highlight w:val="none"/>
        </w:rPr>
      </w:pPr>
      <w:r>
        <w:rPr>
          <w:rFonts w:hint="eastAsia"/>
          <w:color w:val="auto"/>
          <w:szCs w:val="21"/>
          <w:highlight w:val="none"/>
        </w:rPr>
        <w:t>地    址：浙江省永康市总部中心花园大道585号208室。如通过快递方式寄送文书的，请务必在寄出后第一时间电话拨通并告知快递单号，否则因快递原因造成延误、丢失的，概不负责。</w:t>
      </w:r>
    </w:p>
    <w:p>
      <w:pPr>
        <w:spacing w:line="336" w:lineRule="auto"/>
        <w:ind w:firstLine="420" w:firstLineChars="200"/>
        <w:rPr>
          <w:color w:val="auto"/>
          <w:szCs w:val="21"/>
          <w:highlight w:val="none"/>
        </w:rPr>
      </w:pPr>
      <w:r>
        <w:rPr>
          <w:rFonts w:hint="eastAsia"/>
          <w:color w:val="auto"/>
          <w:szCs w:val="21"/>
          <w:highlight w:val="none"/>
        </w:rPr>
        <w:t>传    真：/</w:t>
      </w:r>
    </w:p>
    <w:p>
      <w:pPr>
        <w:spacing w:line="336" w:lineRule="auto"/>
        <w:ind w:firstLine="420" w:firstLineChars="200"/>
        <w:rPr>
          <w:color w:val="auto"/>
          <w:szCs w:val="21"/>
          <w:highlight w:val="none"/>
        </w:rPr>
      </w:pPr>
      <w:r>
        <w:rPr>
          <w:rFonts w:hint="eastAsia"/>
          <w:color w:val="auto"/>
          <w:szCs w:val="21"/>
          <w:highlight w:val="none"/>
        </w:rPr>
        <w:t>联系人：宋女士</w:t>
      </w:r>
    </w:p>
    <w:p>
      <w:pPr>
        <w:spacing w:line="336" w:lineRule="auto"/>
        <w:ind w:firstLine="420" w:firstLineChars="200"/>
        <w:rPr>
          <w:rFonts w:hint="eastAsia"/>
          <w:color w:val="auto"/>
          <w:szCs w:val="21"/>
          <w:highlight w:val="none"/>
        </w:rPr>
      </w:pPr>
      <w:r>
        <w:rPr>
          <w:rFonts w:hint="eastAsia"/>
          <w:color w:val="auto"/>
          <w:szCs w:val="21"/>
          <w:highlight w:val="none"/>
        </w:rPr>
        <w:t>监督投诉电话：0579-87171293      传真：0579-87171293</w:t>
      </w:r>
    </w:p>
    <w:p>
      <w:pPr>
        <w:spacing w:line="336" w:lineRule="auto"/>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4、系统技术支持：政采云有限公司</w:t>
      </w:r>
    </w:p>
    <w:p>
      <w:pPr>
        <w:spacing w:line="360" w:lineRule="auto"/>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联系人：客服</w:t>
      </w:r>
    </w:p>
    <w:p>
      <w:pPr>
        <w:spacing w:line="360" w:lineRule="auto"/>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联系电话：4008817190</w:t>
      </w:r>
    </w:p>
    <w:p>
      <w:pPr>
        <w:rPr>
          <w:color w:val="auto"/>
          <w:highlight w:val="none"/>
        </w:rPr>
      </w:pPr>
    </w:p>
    <w:p>
      <w:pPr>
        <w:keepNext/>
        <w:keepLines/>
        <w:spacing w:line="576" w:lineRule="auto"/>
        <w:jc w:val="center"/>
        <w:outlineLvl w:val="0"/>
        <w:rPr>
          <w:rFonts w:hint="eastAsia" w:eastAsia="黑体"/>
          <w:b/>
          <w:bCs/>
          <w:color w:val="auto"/>
          <w:kern w:val="44"/>
          <w:sz w:val="32"/>
          <w:szCs w:val="44"/>
          <w:highlight w:val="none"/>
        </w:rPr>
      </w:pPr>
      <w:bookmarkStart w:id="8" w:name="_Toc16613"/>
      <w:bookmarkStart w:id="9" w:name="_Toc28489"/>
      <w:r>
        <w:rPr>
          <w:rFonts w:hint="eastAsia" w:eastAsia="黑体"/>
          <w:b/>
          <w:bCs/>
          <w:color w:val="auto"/>
          <w:kern w:val="44"/>
          <w:sz w:val="32"/>
          <w:szCs w:val="44"/>
          <w:highlight w:val="none"/>
        </w:rPr>
        <w:t>政府采购金融服务简介</w:t>
      </w:r>
      <w:bookmarkEnd w:id="8"/>
      <w:bookmarkEnd w:id="9"/>
    </w:p>
    <w:p>
      <w:pPr>
        <w:rPr>
          <w:color w:val="auto"/>
          <w:highlight w:val="none"/>
        </w:rPr>
      </w:pPr>
    </w:p>
    <w:p>
      <w:pPr>
        <w:spacing w:line="360" w:lineRule="auto"/>
        <w:ind w:firstLine="420" w:firstLineChars="200"/>
        <w:rPr>
          <w:color w:val="auto"/>
          <w:szCs w:val="21"/>
          <w:highlight w:val="none"/>
        </w:rPr>
      </w:pPr>
      <w:r>
        <w:rPr>
          <w:color w:val="auto"/>
          <w:szCs w:val="21"/>
          <w:highlight w:val="none"/>
        </w:rPr>
        <w:t>为优化政府采购营商环境，缓解供应商资金难题，有需要的中标供应商可根据需要申请办理政府采购合同贷款（以下简称</w:t>
      </w:r>
      <w:r>
        <w:rPr>
          <w:rFonts w:hint="eastAsia"/>
          <w:color w:val="auto"/>
          <w:szCs w:val="21"/>
          <w:highlight w:val="none"/>
        </w:rPr>
        <w:t>“</w:t>
      </w:r>
      <w:r>
        <w:rPr>
          <w:color w:val="auto"/>
          <w:szCs w:val="21"/>
          <w:highlight w:val="none"/>
        </w:rPr>
        <w:t>政采贷</w:t>
      </w:r>
      <w:r>
        <w:rPr>
          <w:rFonts w:hint="eastAsia"/>
          <w:color w:val="auto"/>
          <w:szCs w:val="21"/>
          <w:highlight w:val="none"/>
        </w:rPr>
        <w:t>”</w:t>
      </w:r>
      <w:r>
        <w:rPr>
          <w:color w:val="auto"/>
          <w:szCs w:val="21"/>
          <w:highlight w:val="none"/>
        </w:rPr>
        <w:t>）、履约保函等政府采购金融服务。</w:t>
      </w:r>
    </w:p>
    <w:p>
      <w:pPr>
        <w:spacing w:line="360" w:lineRule="auto"/>
        <w:ind w:firstLine="420" w:firstLineChars="200"/>
        <w:rPr>
          <w:color w:val="auto"/>
          <w:szCs w:val="21"/>
          <w:highlight w:val="none"/>
        </w:rPr>
      </w:pPr>
      <w:r>
        <w:rPr>
          <w:color w:val="auto"/>
          <w:szCs w:val="21"/>
          <w:highlight w:val="none"/>
        </w:rPr>
        <w:t>1、政采贷</w:t>
      </w:r>
    </w:p>
    <w:p>
      <w:pPr>
        <w:spacing w:line="360" w:lineRule="auto"/>
        <w:ind w:firstLine="420" w:firstLineChars="200"/>
        <w:rPr>
          <w:color w:val="auto"/>
          <w:szCs w:val="21"/>
          <w:highlight w:val="none"/>
        </w:rPr>
      </w:pPr>
      <w:r>
        <w:rPr>
          <w:color w:val="auto"/>
          <w:szCs w:val="21"/>
          <w:highlight w:val="none"/>
        </w:rPr>
        <w:t>通过发挥政府采购政策功能，依托政采云在互联网、云计算、大数据等方面的优势，由各银行向平台用户提供中短期贷款（主要包括流水贷和合同贷），以解决中小微企业</w:t>
      </w:r>
      <w:r>
        <w:rPr>
          <w:rFonts w:hint="eastAsia"/>
          <w:color w:val="auto"/>
          <w:szCs w:val="21"/>
          <w:highlight w:val="none"/>
        </w:rPr>
        <w:t>“</w:t>
      </w:r>
      <w:r>
        <w:rPr>
          <w:color w:val="auto"/>
          <w:szCs w:val="21"/>
          <w:highlight w:val="none"/>
        </w:rPr>
        <w:t>融资难</w:t>
      </w:r>
      <w:r>
        <w:rPr>
          <w:rFonts w:hint="eastAsia"/>
          <w:color w:val="auto"/>
          <w:szCs w:val="21"/>
          <w:highlight w:val="none"/>
        </w:rPr>
        <w:t>”</w:t>
      </w:r>
      <w:r>
        <w:rPr>
          <w:color w:val="auto"/>
          <w:szCs w:val="21"/>
          <w:highlight w:val="none"/>
        </w:rPr>
        <w:t>、</w:t>
      </w:r>
      <w:r>
        <w:rPr>
          <w:rFonts w:hint="eastAsia"/>
          <w:color w:val="auto"/>
          <w:szCs w:val="21"/>
          <w:highlight w:val="none"/>
        </w:rPr>
        <w:t>“</w:t>
      </w:r>
      <w:r>
        <w:rPr>
          <w:color w:val="auto"/>
          <w:szCs w:val="21"/>
          <w:highlight w:val="none"/>
        </w:rPr>
        <w:t>担保难</w:t>
      </w:r>
      <w:r>
        <w:rPr>
          <w:rFonts w:hint="eastAsia"/>
          <w:color w:val="auto"/>
          <w:szCs w:val="21"/>
          <w:highlight w:val="none"/>
        </w:rPr>
        <w:t>”</w:t>
      </w:r>
      <w:r>
        <w:rPr>
          <w:color w:val="auto"/>
          <w:szCs w:val="21"/>
          <w:highlight w:val="none"/>
        </w:rPr>
        <w:t>问题的信用融资产品。</w:t>
      </w:r>
    </w:p>
    <w:p>
      <w:pPr>
        <w:spacing w:line="360" w:lineRule="auto"/>
        <w:rPr>
          <w:color w:val="auto"/>
          <w:szCs w:val="21"/>
          <w:highlight w:val="none"/>
        </w:rPr>
      </w:pPr>
      <w:r>
        <w:rPr>
          <w:color w:val="auto"/>
          <w:szCs w:val="21"/>
          <w:highlight w:val="none"/>
        </w:rPr>
        <w:t>具体要求、条件和操作教程可通过政采云首页右上角——网站导航——金融服务查看，也可拨打政采云客服热线400-881-7190咨询，也可查看公告附件中的相关宣传资料，或向各地已开通政采贷的银行咨询办理。</w:t>
      </w:r>
    </w:p>
    <w:p>
      <w:pPr>
        <w:spacing w:line="360" w:lineRule="auto"/>
        <w:ind w:firstLine="420" w:firstLineChars="200"/>
        <w:rPr>
          <w:color w:val="auto"/>
          <w:szCs w:val="21"/>
          <w:highlight w:val="none"/>
        </w:rPr>
      </w:pPr>
      <w:r>
        <w:rPr>
          <w:color w:val="auto"/>
          <w:szCs w:val="21"/>
          <w:highlight w:val="none"/>
        </w:rPr>
        <w:t>2、履约保函</w:t>
      </w:r>
    </w:p>
    <w:p>
      <w:pPr>
        <w:spacing w:line="360" w:lineRule="auto"/>
        <w:ind w:firstLine="420" w:firstLineChars="200"/>
        <w:rPr>
          <w:color w:val="auto"/>
          <w:szCs w:val="21"/>
          <w:highlight w:val="none"/>
        </w:rPr>
      </w:pPr>
      <w:r>
        <w:rPr>
          <w:color w:val="auto"/>
          <w:szCs w:val="21"/>
          <w:highlight w:val="none"/>
        </w:rPr>
        <w:t>中标供应商可通过以保函的形式提交履约保证金，减少对中小微企业的资金占用，降低财务成本。</w:t>
      </w:r>
    </w:p>
    <w:p>
      <w:pPr>
        <w:spacing w:line="360" w:lineRule="auto"/>
        <w:rPr>
          <w:color w:val="auto"/>
          <w:szCs w:val="21"/>
          <w:highlight w:val="none"/>
        </w:rPr>
      </w:pPr>
      <w:r>
        <w:rPr>
          <w:color w:val="auto"/>
          <w:szCs w:val="21"/>
          <w:highlight w:val="none"/>
        </w:rPr>
        <w:t>具体的条件、要求和操作程序由申请贷款的中标供应商向各地保险公司、银行咨询办理。</w:t>
      </w:r>
    </w:p>
    <w:p>
      <w:pPr>
        <w:spacing w:line="360" w:lineRule="auto"/>
        <w:ind w:firstLine="420" w:firstLineChars="200"/>
        <w:rPr>
          <w:color w:val="auto"/>
          <w:szCs w:val="21"/>
          <w:highlight w:val="none"/>
        </w:rPr>
      </w:pPr>
      <w:r>
        <w:rPr>
          <w:color w:val="auto"/>
          <w:szCs w:val="21"/>
          <w:highlight w:val="none"/>
        </w:rPr>
        <w:t>3.风险提示</w:t>
      </w:r>
    </w:p>
    <w:p>
      <w:pPr>
        <w:spacing w:line="360" w:lineRule="auto"/>
        <w:ind w:firstLine="420" w:firstLineChars="200"/>
        <w:rPr>
          <w:color w:val="auto"/>
          <w:szCs w:val="21"/>
          <w:highlight w:val="none"/>
        </w:rPr>
      </w:pPr>
      <w:r>
        <w:rPr>
          <w:color w:val="auto"/>
          <w:szCs w:val="21"/>
          <w:highlight w:val="none"/>
        </w:rPr>
        <w:t>（1）本宣传简介内容仅为提供给各中标供应商对办理政府采购金融服务的宣传和了解之方便，对金融服务的具体内容和操作流程均以各金融机构的要求为准，也不作强制要求。</w:t>
      </w:r>
    </w:p>
    <w:p>
      <w:pPr>
        <w:spacing w:line="360" w:lineRule="auto"/>
        <w:ind w:firstLine="420" w:firstLineChars="200"/>
        <w:rPr>
          <w:color w:val="auto"/>
          <w:szCs w:val="21"/>
          <w:highlight w:val="none"/>
        </w:rPr>
      </w:pPr>
      <w:r>
        <w:rPr>
          <w:color w:val="auto"/>
          <w:szCs w:val="21"/>
          <w:highlight w:val="none"/>
        </w:rPr>
        <w:t>（2）政府采购金融服务有风险，请详细了解并综合评估后再决定。</w:t>
      </w:r>
    </w:p>
    <w:p>
      <w:pPr>
        <w:spacing w:line="360" w:lineRule="auto"/>
        <w:ind w:firstLine="420" w:firstLineChars="200"/>
        <w:rPr>
          <w:color w:val="auto"/>
          <w:szCs w:val="21"/>
          <w:highlight w:val="none"/>
        </w:rPr>
      </w:pPr>
      <w:r>
        <w:rPr>
          <w:color w:val="auto"/>
          <w:szCs w:val="21"/>
          <w:highlight w:val="none"/>
        </w:rPr>
        <w:t>（3）政府采购金融服务遵循平等自愿、风险自担的原则。采购人、代理机构、财政部门不为任何政府采购金融服务项目承担任何形式的担保、解释或其他连带责任。</w:t>
      </w:r>
    </w:p>
    <w:p>
      <w:pPr>
        <w:spacing w:line="360" w:lineRule="auto"/>
        <w:ind w:firstLine="420" w:firstLineChars="200"/>
        <w:rPr>
          <w:color w:val="auto"/>
          <w:szCs w:val="21"/>
          <w:highlight w:val="none"/>
        </w:rPr>
      </w:pPr>
      <w:r>
        <w:rPr>
          <w:color w:val="auto"/>
          <w:szCs w:val="21"/>
          <w:highlight w:val="none"/>
        </w:rPr>
        <w:t>4、为扩大政府采购金融服务面，除政采云网上金融服务合作银行外，金华市范围增加线下合作银行两家，具体信息如下：</w:t>
      </w:r>
    </w:p>
    <w:p>
      <w:pPr>
        <w:pStyle w:val="289"/>
        <w:ind w:firstLine="420" w:firstLineChars="200"/>
        <w:rPr>
          <w:color w:val="auto"/>
          <w:highlight w:val="none"/>
        </w:rPr>
      </w:pPr>
      <w:r>
        <w:rPr>
          <w:color w:val="auto"/>
          <w:highlight w:val="none"/>
        </w:rPr>
        <w:t>永康招商银行： 陈豪</w:t>
      </w:r>
      <w:r>
        <w:rPr>
          <w:color w:val="auto"/>
          <w:highlight w:val="none"/>
        </w:rPr>
        <w:tab/>
      </w:r>
      <w:r>
        <w:rPr>
          <w:color w:val="auto"/>
          <w:highlight w:val="none"/>
        </w:rPr>
        <w:t xml:space="preserve">  联系电话：13605896913/676913（线上）</w:t>
      </w:r>
    </w:p>
    <w:p>
      <w:pPr>
        <w:pStyle w:val="289"/>
        <w:ind w:firstLine="420" w:firstLineChars="200"/>
        <w:rPr>
          <w:color w:val="auto"/>
          <w:highlight w:val="none"/>
        </w:rPr>
      </w:pPr>
      <w:r>
        <w:rPr>
          <w:color w:val="auto"/>
          <w:highlight w:val="none"/>
        </w:rPr>
        <w:t>永康农商银行： 陈中升</w:t>
      </w:r>
      <w:r>
        <w:rPr>
          <w:color w:val="auto"/>
          <w:highlight w:val="none"/>
        </w:rPr>
        <w:tab/>
      </w:r>
      <w:r>
        <w:rPr>
          <w:color w:val="auto"/>
          <w:highlight w:val="none"/>
        </w:rPr>
        <w:t>联系电话 15158900186/578260（线上）</w:t>
      </w:r>
    </w:p>
    <w:p>
      <w:pPr>
        <w:spacing w:line="360" w:lineRule="auto"/>
        <w:ind w:left="420" w:leftChars="200"/>
        <w:rPr>
          <w:rFonts w:hint="eastAsia"/>
          <w:color w:val="auto"/>
          <w:szCs w:val="21"/>
          <w:highlight w:val="none"/>
        </w:rPr>
      </w:pPr>
      <w:r>
        <w:rPr>
          <w:color w:val="auto"/>
          <w:szCs w:val="21"/>
          <w:highlight w:val="none"/>
        </w:rPr>
        <w:t xml:space="preserve">金华银行永康支行 </w:t>
      </w:r>
      <w:r>
        <w:rPr>
          <w:rFonts w:hint="eastAsia"/>
          <w:color w:val="auto"/>
          <w:szCs w:val="21"/>
          <w:highlight w:val="none"/>
        </w:rPr>
        <w:t xml:space="preserve">  </w:t>
      </w:r>
      <w:r>
        <w:rPr>
          <w:color w:val="auto"/>
          <w:szCs w:val="21"/>
          <w:highlight w:val="none"/>
        </w:rPr>
        <w:t>联系人：杨望</w:t>
      </w:r>
      <w:r>
        <w:rPr>
          <w:rFonts w:hint="eastAsia"/>
          <w:color w:val="auto"/>
          <w:szCs w:val="21"/>
          <w:highlight w:val="none"/>
        </w:rPr>
        <w:t xml:space="preserve">   </w:t>
      </w:r>
      <w:r>
        <w:rPr>
          <w:color w:val="auto"/>
          <w:szCs w:val="21"/>
          <w:highlight w:val="none"/>
        </w:rPr>
        <w:t>联系电话：13858931020，0579-87217221</w:t>
      </w:r>
    </w:p>
    <w:p>
      <w:pPr>
        <w:spacing w:line="360" w:lineRule="auto"/>
        <w:ind w:left="420" w:leftChars="200"/>
        <w:rPr>
          <w:color w:val="auto"/>
          <w:szCs w:val="21"/>
          <w:highlight w:val="none"/>
        </w:rPr>
      </w:pPr>
      <w:r>
        <w:rPr>
          <w:color w:val="auto"/>
          <w:szCs w:val="21"/>
          <w:highlight w:val="none"/>
        </w:rPr>
        <w:t>浙商银行金华永康支行</w:t>
      </w:r>
      <w:r>
        <w:rPr>
          <w:rFonts w:hint="eastAsia"/>
          <w:color w:val="auto"/>
          <w:szCs w:val="21"/>
          <w:highlight w:val="none"/>
        </w:rPr>
        <w:t xml:space="preserve">   </w:t>
      </w:r>
      <w:r>
        <w:rPr>
          <w:color w:val="auto"/>
          <w:szCs w:val="21"/>
          <w:highlight w:val="none"/>
        </w:rPr>
        <w:t xml:space="preserve">联系人：胡风华 </w:t>
      </w:r>
      <w:r>
        <w:rPr>
          <w:rFonts w:hint="eastAsia"/>
          <w:color w:val="auto"/>
          <w:szCs w:val="21"/>
          <w:highlight w:val="none"/>
        </w:rPr>
        <w:t xml:space="preserve">  </w:t>
      </w:r>
      <w:r>
        <w:rPr>
          <w:color w:val="auto"/>
          <w:szCs w:val="21"/>
          <w:highlight w:val="none"/>
        </w:rPr>
        <w:t>联系电话：13758976161（676161），0579-87576758</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spacing w:line="240" w:lineRule="auto"/>
        <w:rPr>
          <w:rFonts w:hint="eastAsia"/>
          <w:color w:val="auto"/>
          <w:highlight w:val="none"/>
        </w:rPr>
      </w:pPr>
      <w:bookmarkStart w:id="10" w:name="_Toc24816"/>
      <w:r>
        <w:rPr>
          <w:color w:val="auto"/>
          <w:highlight w:val="none"/>
        </w:rPr>
        <w:t>第二章 投标人须知</w:t>
      </w:r>
      <w:bookmarkEnd w:id="10"/>
    </w:p>
    <w:p>
      <w:pPr>
        <w:pStyle w:val="4"/>
        <w:spacing w:line="240" w:lineRule="auto"/>
        <w:rPr>
          <w:color w:val="auto"/>
          <w:sz w:val="28"/>
          <w:szCs w:val="40"/>
          <w:highlight w:val="none"/>
        </w:rPr>
      </w:pPr>
      <w:bookmarkStart w:id="11" w:name="_Toc17412"/>
      <w:r>
        <w:rPr>
          <w:color w:val="auto"/>
          <w:sz w:val="28"/>
          <w:szCs w:val="40"/>
          <w:highlight w:val="none"/>
        </w:rPr>
        <w:t>投标人须知前附表</w:t>
      </w:r>
      <w:bookmarkEnd w:id="11"/>
    </w:p>
    <w:tbl>
      <w:tblPr>
        <w:tblStyle w:val="5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006"/>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994" w:type="dxa"/>
            <w:noWrap w:val="0"/>
            <w:vAlign w:val="center"/>
          </w:tcPr>
          <w:p>
            <w:pPr>
              <w:spacing w:line="36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项号</w:t>
            </w:r>
          </w:p>
        </w:tc>
        <w:tc>
          <w:tcPr>
            <w:tcW w:w="8966" w:type="dxa"/>
            <w:gridSpan w:val="2"/>
            <w:noWrap w:val="0"/>
            <w:vAlign w:val="center"/>
          </w:tcPr>
          <w:p>
            <w:pPr>
              <w:spacing w:line="36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编  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项目名称：</w:t>
            </w:r>
            <w:r>
              <w:rPr>
                <w:rFonts w:hint="eastAsia" w:cs="Times New Roman"/>
                <w:bCs/>
                <w:color w:val="auto"/>
                <w:szCs w:val="21"/>
                <w:highlight w:val="none"/>
                <w:lang w:eastAsia="zh-CN"/>
              </w:rPr>
              <w:t>第二届世界五金发展大会活动项目</w:t>
            </w:r>
            <w:r>
              <w:rPr>
                <w:rFonts w:ascii="Times New Roman" w:hAnsi="Times New Roman" w:eastAsia="宋体" w:cs="Times New Roman"/>
                <w:bCs/>
                <w:color w:val="auto"/>
                <w:szCs w:val="21"/>
                <w:highlight w:val="none"/>
              </w:rPr>
              <w:t>；</w:t>
            </w:r>
          </w:p>
          <w:p>
            <w:pPr>
              <w:spacing w:line="360" w:lineRule="auto"/>
              <w:rPr>
                <w:rFonts w:ascii="Times New Roman" w:hAnsi="Times New Roman" w:eastAsia="宋体" w:cs="Times New Roman"/>
                <w:bCs/>
                <w:color w:val="auto"/>
                <w:szCs w:val="21"/>
                <w:highlight w:val="none"/>
                <w:shd w:val="clear" w:color="FFFFFF" w:fill="D9D9D9"/>
              </w:rPr>
            </w:pPr>
            <w:r>
              <w:rPr>
                <w:rFonts w:ascii="Times New Roman" w:hAnsi="Times New Roman" w:eastAsia="宋体" w:cs="Times New Roman"/>
                <w:bCs/>
                <w:color w:val="auto"/>
                <w:szCs w:val="21"/>
                <w:highlight w:val="none"/>
              </w:rPr>
              <w:t>项目地点：</w:t>
            </w:r>
            <w:r>
              <w:rPr>
                <w:rFonts w:hint="eastAsia" w:ascii="Times New Roman" w:hAnsi="Times New Roman" w:eastAsia="宋体" w:cs="Times New Roman"/>
                <w:bCs/>
                <w:color w:val="auto"/>
                <w:szCs w:val="21"/>
                <w:highlight w:val="none"/>
              </w:rPr>
              <w:t>永康市辖区</w:t>
            </w:r>
            <w:r>
              <w:rPr>
                <w:rFonts w:ascii="Times New Roman" w:hAnsi="Times New Roman" w:eastAsia="宋体" w:cs="Times New Roman"/>
                <w:bCs/>
                <w:color w:val="auto"/>
                <w:szCs w:val="21"/>
                <w:highlight w:val="none"/>
              </w:rPr>
              <w:t>；</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质量要求：符合国家有关规范、标准，详见第四章；</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服务范围：</w:t>
            </w:r>
            <w:r>
              <w:rPr>
                <w:rFonts w:hint="eastAsia" w:cs="Times New Roman"/>
                <w:bCs/>
                <w:color w:val="auto"/>
                <w:szCs w:val="21"/>
                <w:highlight w:val="none"/>
                <w:lang w:eastAsia="zh-CN"/>
              </w:rPr>
              <w:t>第二届世界五金发展大会活动项目</w:t>
            </w:r>
            <w:r>
              <w:rPr>
                <w:rFonts w:ascii="Times New Roman" w:hAnsi="Times New Roman" w:eastAsia="宋体" w:cs="Times New Roman"/>
                <w:bCs/>
                <w:color w:val="auto"/>
                <w:szCs w:val="21"/>
                <w:highlight w:val="none"/>
              </w:rPr>
              <w:t>，详见第四章；</w:t>
            </w:r>
          </w:p>
          <w:p>
            <w:pPr>
              <w:spacing w:line="360" w:lineRule="auto"/>
              <w:rPr>
                <w:rFonts w:hint="eastAsia"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服务周期：</w:t>
            </w:r>
            <w:r>
              <w:rPr>
                <w:rFonts w:hint="eastAsia" w:ascii="Times New Roman" w:hAnsi="Times New Roman" w:eastAsia="宋体" w:cs="Times New Roman"/>
                <w:color w:val="auto"/>
                <w:szCs w:val="21"/>
                <w:highlight w:val="none"/>
                <w:shd w:val="clear" w:color="auto" w:fill="FFFFFF"/>
              </w:rPr>
              <w:t>自合同签订之日起至</w:t>
            </w:r>
            <w:r>
              <w:rPr>
                <w:rFonts w:hint="eastAsia" w:ascii="Times New Roman" w:hAnsi="Times New Roman" w:eastAsia="宋体" w:cs="Times New Roman"/>
                <w:color w:val="auto"/>
                <w:highlight w:val="none"/>
              </w:rPr>
              <w:t>完成第二届世界五金发展大会闭幕止</w:t>
            </w:r>
            <w:r>
              <w:rPr>
                <w:rFonts w:hint="eastAsia" w:ascii="Times New Roman" w:hAnsi="Times New Roman" w:eastAsia="宋体" w:cs="Times New Roman"/>
                <w:color w:val="auto"/>
                <w:szCs w:val="21"/>
                <w:highlight w:val="none"/>
                <w:shd w:val="clear" w:color="auto" w:fill="FFFFFF"/>
              </w:rPr>
              <w:t>；</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付款方式：详见第七章。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w:t>
            </w:r>
          </w:p>
        </w:tc>
        <w:tc>
          <w:tcPr>
            <w:tcW w:w="8966" w:type="dxa"/>
            <w:gridSpan w:val="2"/>
            <w:noWrap w:val="0"/>
            <w:vAlign w:val="center"/>
          </w:tcPr>
          <w:p>
            <w:pPr>
              <w:spacing w:line="360" w:lineRule="auto"/>
              <w:ind w:left="2" w:leftChars="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合同名称：永康市政府采购合同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p>
        </w:tc>
        <w:tc>
          <w:tcPr>
            <w:tcW w:w="8966" w:type="dxa"/>
            <w:gridSpan w:val="2"/>
            <w:noWrap w:val="0"/>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1、扶持中小企业（监狱企业、残疾人福利性单位）：</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（1）项目预算：</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700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（2）项目属性：</w:t>
            </w:r>
            <w:r>
              <w:rPr>
                <w:rFonts w:hint="eastAsia" w:ascii="宋体" w:hAnsi="宋体" w:eastAsia="宋体" w:cs="宋体"/>
                <w:color w:val="auto"/>
                <w:kern w:val="0"/>
                <w:szCs w:val="21"/>
                <w:highlight w:val="none"/>
                <w:u w:val="single"/>
              </w:rPr>
              <w:t>②服务类</w:t>
            </w:r>
            <w:r>
              <w:rPr>
                <w:rFonts w:hint="eastAsia" w:ascii="宋体" w:hAnsi="宋体" w:eastAsia="宋体" w:cs="宋体"/>
                <w:color w:val="auto"/>
                <w:kern w:val="0"/>
                <w:szCs w:val="21"/>
                <w:highlight w:val="none"/>
              </w:rPr>
              <w:t>（①货物类/②服务类/③工程类）</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（3）项目对应的中小企业划分标准所属行业：</w:t>
            </w:r>
            <w:r>
              <w:rPr>
                <w:rFonts w:hint="eastAsia" w:ascii="宋体" w:hAnsi="宋体" w:eastAsia="宋体" w:cs="宋体"/>
                <w:color w:val="auto"/>
                <w:kern w:val="0"/>
                <w:szCs w:val="21"/>
                <w:highlight w:val="none"/>
                <w:u w:val="single"/>
              </w:rPr>
              <w:t xml:space="preserve"> 其他未列明行业  </w:t>
            </w:r>
            <w:r>
              <w:rPr>
                <w:rFonts w:hint="eastAsia" w:ascii="宋体" w:hAnsi="宋体" w:eastAsia="宋体" w:cs="宋体"/>
                <w:color w:val="auto"/>
                <w:kern w:val="0"/>
                <w:szCs w:val="21"/>
                <w:highlight w:val="none"/>
              </w:rPr>
              <w:t>（具体根据《中小企业划型标准规定》执行）</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（4）本项目</w:t>
            </w:r>
            <w:r>
              <w:rPr>
                <w:rFonts w:hint="eastAsia" w:ascii="宋体" w:hAnsi="宋体" w:eastAsia="宋体" w:cs="宋体"/>
                <w:color w:val="auto"/>
                <w:kern w:val="0"/>
                <w:szCs w:val="21"/>
                <w:highlight w:val="none"/>
              </w:rPr>
              <w:t xml:space="preserve"> </w:t>
            </w:r>
            <w:r>
              <w:rPr>
                <w:rFonts w:hint="eastAsia" w:ascii="宋体" w:hAnsi="宋体" w:eastAsia="宋体" w:cs="宋体"/>
                <w:b/>
                <w:bCs/>
                <w:color w:val="auto"/>
                <w:kern w:val="0"/>
                <w:szCs w:val="21"/>
                <w:highlight w:val="none"/>
                <w:u w:val="single"/>
              </w:rPr>
              <w:t xml:space="preserve"> 是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是/否）属于预留份额专门面向中小企业采购的项目。</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（5）上述第4项中确定为“是”的采购项目，预留份额通过（①）措施进行：</w:t>
            </w:r>
          </w:p>
          <w:p>
            <w:pPr>
              <w:widowControl/>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①将采购项目整体或者设置采购包专门面向中小企业采购； </w:t>
            </w:r>
          </w:p>
          <w:p>
            <w:pPr>
              <w:widowControl/>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②要求供应商以联合体形式参加采购活动，且联合体中中小企业承担的部分达到</w:t>
            </w:r>
            <w:r>
              <w:rPr>
                <w:rFonts w:hint="eastAsia" w:ascii="宋体" w:hAnsi="宋体" w:eastAsia="宋体" w:cs="宋体"/>
                <w:color w:val="auto"/>
                <w:kern w:val="0"/>
                <w:szCs w:val="21"/>
                <w:highlight w:val="none"/>
                <w:u w:val="single"/>
              </w:rPr>
              <w:t> / </w:t>
            </w:r>
            <w:r>
              <w:rPr>
                <w:rFonts w:hint="eastAsia" w:ascii="宋体" w:hAnsi="宋体" w:eastAsia="宋体" w:cs="宋体"/>
                <w:color w:val="auto"/>
                <w:kern w:val="0"/>
                <w:szCs w:val="21"/>
                <w:highlight w:val="none"/>
              </w:rPr>
              <w:t xml:space="preserve">(比例)； </w:t>
            </w:r>
          </w:p>
          <w:p>
            <w:pPr>
              <w:widowControl/>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③要求获得采购合同的供应商将采购项目中的</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(比例)分包给一家或者多家中小企业。</w:t>
            </w:r>
          </w:p>
          <w:p>
            <w:pPr>
              <w:widowControl/>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 xml:space="preserve"> 的扣除，用扣除后的价格参加评审。 </w:t>
            </w:r>
          </w:p>
          <w:p>
            <w:pPr>
              <w:widowControl/>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的扣除，用扣除后的价格参加评审。</w:t>
            </w:r>
          </w:p>
          <w:p>
            <w:pPr>
              <w:widowControl/>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注：货物和服务项目中未预留份额专门面向中小企业采购的，以及预留份额项目中的非预留部分采购包，采购单位、采购代理机构应结合项目实际，对符合规定的</w:t>
            </w:r>
            <w:r>
              <w:rPr>
                <w:rFonts w:hint="eastAsia" w:ascii="宋体" w:hAnsi="宋体" w:eastAsia="宋体" w:cs="宋体"/>
                <w:b/>
                <w:bCs/>
                <w:color w:val="auto"/>
                <w:kern w:val="0"/>
                <w:szCs w:val="21"/>
                <w:highlight w:val="none"/>
              </w:rPr>
              <w:t>小微企业报价原则上按最高优惠幅度20%</w:t>
            </w:r>
            <w:r>
              <w:rPr>
                <w:rFonts w:hint="eastAsia" w:ascii="宋体" w:hAnsi="宋体" w:eastAsia="宋体" w:cs="宋体"/>
                <w:color w:val="auto"/>
                <w:kern w:val="0"/>
                <w:szCs w:val="21"/>
                <w:highlight w:val="none"/>
              </w:rPr>
              <w:t>给予扣除，用扣除后的价格参加评审；对于联合协议或者分包意向协议约定</w:t>
            </w:r>
            <w:r>
              <w:rPr>
                <w:rFonts w:hint="eastAsia" w:ascii="宋体" w:hAnsi="宋体" w:eastAsia="宋体" w:cs="宋体"/>
                <w:b/>
                <w:bCs/>
                <w:color w:val="auto"/>
                <w:kern w:val="0"/>
                <w:szCs w:val="21"/>
                <w:highlight w:val="none"/>
              </w:rPr>
              <w:t>小微企业的合同份额占到合同总金额30%</w:t>
            </w:r>
            <w:r>
              <w:rPr>
                <w:rFonts w:hint="eastAsia" w:ascii="宋体" w:hAnsi="宋体" w:eastAsia="宋体" w:cs="宋体"/>
                <w:color w:val="auto"/>
                <w:kern w:val="0"/>
                <w:szCs w:val="21"/>
                <w:highlight w:val="none"/>
              </w:rPr>
              <w:t>以上的，采购单位、采购代理机构应结合项目实际，对联合体或者大中型企业的报价原则上按</w:t>
            </w:r>
            <w:r>
              <w:rPr>
                <w:rFonts w:hint="eastAsia" w:ascii="宋体" w:hAnsi="宋体" w:eastAsia="宋体" w:cs="宋体"/>
                <w:b/>
                <w:bCs/>
                <w:color w:val="auto"/>
                <w:kern w:val="0"/>
                <w:szCs w:val="21"/>
                <w:highlight w:val="none"/>
              </w:rPr>
              <w:t>最高优惠幅度6%</w:t>
            </w:r>
            <w:r>
              <w:rPr>
                <w:rFonts w:hint="eastAsia" w:ascii="宋体" w:hAnsi="宋体" w:eastAsia="宋体" w:cs="宋体"/>
                <w:color w:val="auto"/>
                <w:kern w:val="0"/>
                <w:szCs w:val="21"/>
                <w:highlight w:val="none"/>
              </w:rPr>
              <w:t>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专门面向中小企业采购的项目或者标项，不再执行价格评审优惠的扶持政策。</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2、节能产品、环境标志产品的强制采购政策</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3、节能产品、环境标志产品的优先采购政策</w:t>
            </w:r>
          </w:p>
          <w:p>
            <w:pPr>
              <w:spacing w:line="360" w:lineRule="auto"/>
              <w:rPr>
                <w:rFonts w:ascii="Times New Roman" w:hAnsi="Times New Roman" w:eastAsia="宋体" w:cs="Times New Roman"/>
                <w:color w:val="auto"/>
                <w:highlight w:val="none"/>
              </w:rPr>
            </w:pPr>
            <w:r>
              <w:rPr>
                <w:rFonts w:hint="eastAsia" w:ascii="宋体" w:hAnsi="宋体" w:eastAsia="宋体" w:cs="宋体"/>
                <w:color w:val="auto"/>
                <w:kern w:val="0"/>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投标单位资格要求：详见招标公告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5</w:t>
            </w:r>
          </w:p>
        </w:tc>
        <w:tc>
          <w:tcPr>
            <w:tcW w:w="8966" w:type="dxa"/>
            <w:gridSpan w:val="2"/>
            <w:noWrap w:val="0"/>
            <w:vAlign w:val="center"/>
          </w:tcPr>
          <w:p>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投标保证金：</w:t>
            </w:r>
            <w:r>
              <w:rPr>
                <w:rFonts w:hint="eastAsia" w:ascii="新宋体" w:hAnsi="新宋体" w:eastAsia="新宋体" w:cs="新宋体"/>
                <w:color w:val="auto"/>
                <w:szCs w:val="21"/>
                <w:highlight w:val="none"/>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6</w:t>
            </w:r>
          </w:p>
        </w:tc>
        <w:tc>
          <w:tcPr>
            <w:tcW w:w="8966" w:type="dxa"/>
            <w:gridSpan w:val="2"/>
            <w:noWrap w:val="0"/>
            <w:vAlign w:val="center"/>
          </w:tcPr>
          <w:p>
            <w:pPr>
              <w:spacing w:line="360" w:lineRule="auto"/>
              <w:rPr>
                <w:rFonts w:ascii="Times New Roman" w:hAnsi="Times New Roman" w:eastAsia="宋体" w:cs="Times New Roman"/>
                <w:color w:val="auto"/>
                <w:highlight w:val="none"/>
              </w:rPr>
            </w:pPr>
            <w:r>
              <w:rPr>
                <w:rFonts w:ascii="Times New Roman" w:hAnsi="Times New Roman" w:eastAsia="宋体" w:cs="Times New Roman"/>
                <w:bCs/>
                <w:color w:val="auto"/>
                <w:szCs w:val="21"/>
                <w:highlight w:val="none"/>
              </w:rPr>
              <w:t>履约保证金：</w:t>
            </w:r>
            <w:r>
              <w:rPr>
                <w:rFonts w:hint="eastAsia" w:ascii="新宋体" w:hAnsi="新宋体" w:eastAsia="新宋体" w:cs="新宋体"/>
                <w:color w:val="auto"/>
                <w:szCs w:val="21"/>
                <w:highlight w:val="none"/>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7</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投标有效期：开标之日起60天；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8</w:t>
            </w:r>
          </w:p>
        </w:tc>
        <w:tc>
          <w:tcPr>
            <w:tcW w:w="8966" w:type="dxa"/>
            <w:gridSpan w:val="2"/>
            <w:noWrap w:val="0"/>
            <w:vAlign w:val="center"/>
          </w:tcPr>
          <w:p>
            <w:pPr>
              <w:spacing w:line="360" w:lineRule="auto"/>
              <w:ind w:left="1905" w:hanging="1904" w:hangingChars="907"/>
              <w:rPr>
                <w:rFonts w:ascii="Times New Roman" w:hAnsi="Times New Roman" w:eastAsia="宋体" w:cs="Times New Roman"/>
                <w:color w:val="auto"/>
                <w:highlight w:val="none"/>
              </w:rPr>
            </w:pPr>
            <w:r>
              <w:rPr>
                <w:rFonts w:ascii="Times New Roman" w:hAnsi="Times New Roman" w:eastAsia="宋体" w:cs="Times New Roman"/>
                <w:color w:val="auto"/>
                <w:highlight w:val="none"/>
              </w:rPr>
              <w:t>获取招标文件方式：</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1、报名时间：</w:t>
            </w:r>
            <w:r>
              <w:rPr>
                <w:rFonts w:ascii="Times New Roman" w:hAnsi="Times New Roman" w:eastAsia="宋体" w:cs="Times New Roman"/>
                <w:color w:val="auto"/>
                <w:szCs w:val="21"/>
                <w:highlight w:val="none"/>
                <w:u w:val="single"/>
              </w:rPr>
              <w:t>公告发布时间至提交投标文件截止时间</w:t>
            </w:r>
            <w:r>
              <w:rPr>
                <w:rFonts w:ascii="Times New Roman" w:hAnsi="Times New Roman" w:eastAsia="宋体" w:cs="Times New Roman"/>
                <w:color w:val="auto"/>
                <w:szCs w:val="21"/>
                <w:highlight w:val="none"/>
              </w:rPr>
              <w:t>。</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2、采购文件在浙江政府采购网（www.zjzfcg.gov.cn）下载。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9</w:t>
            </w:r>
          </w:p>
        </w:tc>
        <w:tc>
          <w:tcPr>
            <w:tcW w:w="8966" w:type="dxa"/>
            <w:gridSpan w:val="2"/>
            <w:noWrap w:val="0"/>
            <w:vAlign w:val="center"/>
          </w:tcPr>
          <w:p>
            <w:pPr>
              <w:spacing w:line="360" w:lineRule="auto"/>
              <w:jc w:val="left"/>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质疑和投诉：潜在投标人如认为招标文件使自身的合法权益受到损害的，应于自收到采购文件之日或采购文件公告期限届满之日起七个工作日内以书面形式向采购机构提出质疑；投标人如认为采购过程和中标结果使自身的合法权益受到损害的，可以在知道或者应知其权益受到损害之日起七个工作日内，以书面形式向采购机构提出质疑；投标人对采购机构的质疑答复不满意或者采购机构未在规定时间内作出答复的，可以在答复期满后十五个工作日内向同级政府采购监督管理部门投诉。</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招标代理机构由</w:t>
            </w:r>
            <w:r>
              <w:rPr>
                <w:rFonts w:hint="eastAsia" w:ascii="Times New Roman" w:hAnsi="Times New Roman" w:eastAsia="宋体" w:cs="Times New Roman"/>
                <w:color w:val="auto"/>
                <w:szCs w:val="21"/>
                <w:highlight w:val="none"/>
              </w:rPr>
              <w:t>吕松俊</w:t>
            </w:r>
            <w:r>
              <w:rPr>
                <w:rFonts w:ascii="Times New Roman" w:hAnsi="Times New Roman" w:eastAsia="宋体" w:cs="Times New Roman"/>
                <w:bCs/>
                <w:color w:val="auto"/>
                <w:szCs w:val="21"/>
                <w:highlight w:val="none"/>
              </w:rPr>
              <w:t>负责接收供应商的质疑，电话：</w:t>
            </w:r>
            <w:r>
              <w:rPr>
                <w:rFonts w:hint="eastAsia" w:ascii="Times New Roman" w:hAnsi="Times New Roman" w:eastAsia="宋体" w:cs="Times New Roman"/>
                <w:color w:val="auto"/>
                <w:szCs w:val="21"/>
                <w:highlight w:val="none"/>
              </w:rPr>
              <w:t xml:space="preserve">15925947742 </w:t>
            </w:r>
            <w:r>
              <w:rPr>
                <w:rFonts w:ascii="Times New Roman" w:hAnsi="Times New Roman" w:eastAsia="宋体" w:cs="Times New Roman"/>
                <w:bCs/>
                <w:color w:val="auto"/>
                <w:szCs w:val="21"/>
                <w:highlight w:val="none"/>
              </w:rPr>
              <w:t>邮箱：</w:t>
            </w:r>
            <w:r>
              <w:rPr>
                <w:rFonts w:hint="eastAsia" w:ascii="Times New Roman" w:hAnsi="Times New Roman" w:eastAsia="宋体" w:cs="Times New Roman"/>
                <w:bCs/>
                <w:color w:val="auto"/>
                <w:szCs w:val="21"/>
                <w:highlight w:val="none"/>
              </w:rPr>
              <w:t>391434914</w:t>
            </w:r>
            <w:r>
              <w:rPr>
                <w:rFonts w:ascii="Times New Roman" w:hAnsi="Times New Roman" w:eastAsia="宋体" w:cs="Times New Roman"/>
                <w:bCs/>
                <w:color w:val="auto"/>
                <w:szCs w:val="21"/>
                <w:highlight w:val="none"/>
              </w:rPr>
              <w:t>@qq.com，地址：永康市高川花苑物业管理楼三楼。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10</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招标文件答疑会：招标方不组织答疑会。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11</w:t>
            </w:r>
          </w:p>
        </w:tc>
        <w:tc>
          <w:tcPr>
            <w:tcW w:w="8966" w:type="dxa"/>
            <w:gridSpan w:val="2"/>
            <w:noWrap w:val="0"/>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评标地点：</w:t>
            </w:r>
            <w:r>
              <w:rPr>
                <w:rFonts w:ascii="Times New Roman" w:hAnsi="Times New Roman" w:eastAsia="宋体" w:cs="Times New Roman"/>
                <w:color w:val="auto"/>
                <w:szCs w:val="21"/>
                <w:highlight w:val="none"/>
              </w:rPr>
              <w:t>金华市政府采购中心永康市分中心评标室三，</w:t>
            </w:r>
            <w:r>
              <w:rPr>
                <w:rFonts w:hint="eastAsia" w:ascii="Times New Roman" w:hAnsi="Times New Roman" w:eastAsia="宋体" w:cs="Times New Roman"/>
                <w:color w:val="auto"/>
                <w:szCs w:val="21"/>
                <w:highlight w:val="none"/>
              </w:rPr>
              <w:t>永康市五湖路1号国际会展中心办公楼三楼开标室</w:t>
            </w:r>
            <w:r>
              <w:rPr>
                <w:rFonts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12</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提交投标文件截止时间：</w:t>
            </w:r>
            <w:r>
              <w:rPr>
                <w:rFonts w:hint="eastAsia" w:ascii="Times New Roman" w:hAnsi="Times New Roman" w:eastAsia="宋体" w:cs="Times New Roman"/>
                <w:bCs/>
                <w:color w:val="auto"/>
                <w:szCs w:val="21"/>
                <w:highlight w:val="none"/>
                <w:u w:val="single"/>
              </w:rPr>
              <w:t>2022</w:t>
            </w:r>
            <w:r>
              <w:rPr>
                <w:rFonts w:ascii="Times New Roman" w:hAnsi="Times New Roman" w:eastAsia="宋体" w:cs="Times New Roman"/>
                <w:bCs/>
                <w:color w:val="auto"/>
                <w:szCs w:val="21"/>
                <w:highlight w:val="none"/>
                <w:u w:val="single"/>
              </w:rPr>
              <w:t>年</w:t>
            </w:r>
            <w:r>
              <w:rPr>
                <w:rFonts w:hint="eastAsia" w:cs="Times New Roman"/>
                <w:color w:val="auto"/>
                <w:szCs w:val="21"/>
                <w:highlight w:val="none"/>
                <w:u w:val="single"/>
                <w:shd w:val="clear" w:color="auto" w:fill="FFFFFF"/>
                <w:lang w:val="en-US" w:eastAsia="zh-CN"/>
              </w:rPr>
              <w:t>10</w:t>
            </w:r>
            <w:r>
              <w:rPr>
                <w:rFonts w:ascii="Times New Roman" w:hAnsi="Times New Roman" w:eastAsia="宋体"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13</w:t>
            </w:r>
            <w:r>
              <w:rPr>
                <w:rFonts w:ascii="Times New Roman" w:hAnsi="Times New Roman" w:eastAsia="宋体" w:cs="Times New Roman"/>
                <w:color w:val="auto"/>
                <w:szCs w:val="21"/>
                <w:highlight w:val="none"/>
                <w:u w:val="single"/>
                <w:shd w:val="clear" w:color="auto" w:fill="FFFFFF"/>
              </w:rPr>
              <w:t>日</w:t>
            </w:r>
            <w:r>
              <w:rPr>
                <w:rFonts w:hint="eastAsia" w:ascii="Times New Roman" w:hAnsi="Times New Roman" w:eastAsia="宋体" w:cs="Times New Roman"/>
                <w:color w:val="auto"/>
                <w:szCs w:val="21"/>
                <w:highlight w:val="none"/>
                <w:u w:val="single"/>
                <w:shd w:val="clear" w:color="auto" w:fill="FFFFFF"/>
              </w:rPr>
              <w:t>09</w:t>
            </w:r>
            <w:r>
              <w:rPr>
                <w:rFonts w:ascii="Times New Roman" w:hAnsi="Times New Roman" w:eastAsia="宋体" w:cs="Times New Roman"/>
                <w:color w:val="auto"/>
                <w:szCs w:val="21"/>
                <w:highlight w:val="none"/>
                <w:u w:val="single"/>
                <w:shd w:val="clear" w:color="auto" w:fill="FFFFFF"/>
              </w:rPr>
              <w:t>时</w:t>
            </w:r>
            <w:r>
              <w:rPr>
                <w:rFonts w:hint="eastAsia" w:cs="Times New Roman"/>
                <w:color w:val="auto"/>
                <w:szCs w:val="21"/>
                <w:highlight w:val="none"/>
                <w:u w:val="single"/>
                <w:shd w:val="clear" w:color="auto" w:fill="FFFFFF"/>
                <w:lang w:val="en-US" w:eastAsia="zh-CN"/>
              </w:rPr>
              <w:t>3</w:t>
            </w:r>
            <w:r>
              <w:rPr>
                <w:rFonts w:hint="eastAsia" w:ascii="Times New Roman" w:hAnsi="Times New Roman" w:eastAsia="宋体" w:cs="Times New Roman"/>
                <w:color w:val="auto"/>
                <w:szCs w:val="21"/>
                <w:highlight w:val="none"/>
                <w:u w:val="single"/>
                <w:shd w:val="clear" w:color="auto" w:fill="FFFFFF"/>
              </w:rPr>
              <w:t>0</w:t>
            </w:r>
            <w:r>
              <w:rPr>
                <w:rFonts w:ascii="Times New Roman" w:hAnsi="Times New Roman" w:eastAsia="宋体" w:cs="Times New Roman"/>
                <w:color w:val="auto"/>
                <w:szCs w:val="21"/>
                <w:highlight w:val="none"/>
                <w:u w:val="single"/>
                <w:shd w:val="clear" w:color="auto" w:fill="FFFFFF"/>
              </w:rPr>
              <w:t>分</w:t>
            </w:r>
            <w:r>
              <w:rPr>
                <w:rFonts w:ascii="Times New Roman" w:hAnsi="Times New Roman" w:eastAsia="宋体" w:cs="Times New Roman"/>
                <w:bCs/>
                <w:color w:val="auto"/>
                <w:szCs w:val="21"/>
                <w:highlight w:val="none"/>
              </w:rPr>
              <w:t>（北京时间）</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评标时间：</w:t>
            </w:r>
            <w:r>
              <w:rPr>
                <w:rFonts w:hint="eastAsia" w:ascii="Times New Roman" w:hAnsi="Times New Roman" w:eastAsia="宋体" w:cs="Times New Roman"/>
                <w:color w:val="auto"/>
                <w:szCs w:val="21"/>
                <w:highlight w:val="none"/>
                <w:u w:val="single"/>
              </w:rPr>
              <w:t>2022</w:t>
            </w:r>
            <w:r>
              <w:rPr>
                <w:rFonts w:ascii="Times New Roman" w:hAnsi="Times New Roman" w:eastAsia="宋体" w:cs="Times New Roman"/>
                <w:color w:val="auto"/>
                <w:szCs w:val="21"/>
                <w:highlight w:val="none"/>
                <w:u w:val="single"/>
              </w:rPr>
              <w:t>年</w:t>
            </w:r>
            <w:r>
              <w:rPr>
                <w:rFonts w:hint="eastAsia" w:cs="Times New Roman"/>
                <w:color w:val="auto"/>
                <w:szCs w:val="21"/>
                <w:highlight w:val="none"/>
                <w:u w:val="single"/>
                <w:shd w:val="clear" w:color="auto" w:fill="FFFFFF"/>
                <w:lang w:val="en-US" w:eastAsia="zh-CN"/>
              </w:rPr>
              <w:t>10</w:t>
            </w:r>
            <w:r>
              <w:rPr>
                <w:rFonts w:ascii="Times New Roman" w:hAnsi="Times New Roman" w:eastAsia="宋体" w:cs="Times New Roman"/>
                <w:color w:val="auto"/>
                <w:szCs w:val="21"/>
                <w:highlight w:val="none"/>
                <w:u w:val="single"/>
                <w:shd w:val="clear" w:color="auto" w:fill="FFFFFF"/>
              </w:rPr>
              <w:t>月</w:t>
            </w:r>
            <w:r>
              <w:rPr>
                <w:rFonts w:hint="eastAsia" w:cs="Times New Roman"/>
                <w:color w:val="auto"/>
                <w:szCs w:val="21"/>
                <w:highlight w:val="none"/>
                <w:u w:val="single"/>
                <w:shd w:val="clear" w:color="auto" w:fill="FFFFFF"/>
                <w:lang w:val="en-US" w:eastAsia="zh-CN"/>
              </w:rPr>
              <w:t>13</w:t>
            </w:r>
            <w:r>
              <w:rPr>
                <w:rFonts w:ascii="Times New Roman" w:hAnsi="Times New Roman" w:eastAsia="宋体" w:cs="Times New Roman"/>
                <w:color w:val="auto"/>
                <w:szCs w:val="21"/>
                <w:highlight w:val="none"/>
                <w:u w:val="single"/>
                <w:shd w:val="clear" w:color="auto" w:fill="FFFFFF"/>
              </w:rPr>
              <w:t>日</w:t>
            </w:r>
            <w:r>
              <w:rPr>
                <w:rFonts w:hint="eastAsia" w:ascii="Times New Roman" w:hAnsi="Times New Roman" w:eastAsia="宋体" w:cs="Times New Roman"/>
                <w:color w:val="auto"/>
                <w:szCs w:val="21"/>
                <w:highlight w:val="none"/>
                <w:u w:val="single"/>
                <w:shd w:val="clear" w:color="auto" w:fill="FFFFFF"/>
              </w:rPr>
              <w:t>09</w:t>
            </w:r>
            <w:r>
              <w:rPr>
                <w:rFonts w:ascii="Times New Roman" w:hAnsi="Times New Roman" w:eastAsia="宋体" w:cs="Times New Roman"/>
                <w:color w:val="auto"/>
                <w:szCs w:val="21"/>
                <w:highlight w:val="none"/>
                <w:u w:val="single"/>
                <w:shd w:val="clear" w:color="auto" w:fill="FFFFFF"/>
              </w:rPr>
              <w:t>时</w:t>
            </w:r>
            <w:r>
              <w:rPr>
                <w:rFonts w:hint="eastAsia" w:cs="Times New Roman"/>
                <w:color w:val="auto"/>
                <w:szCs w:val="21"/>
                <w:highlight w:val="none"/>
                <w:u w:val="single"/>
                <w:shd w:val="clear" w:color="auto" w:fill="FFFFFF"/>
                <w:lang w:val="en-US" w:eastAsia="zh-CN"/>
              </w:rPr>
              <w:t>3</w:t>
            </w:r>
            <w:r>
              <w:rPr>
                <w:rFonts w:hint="eastAsia" w:ascii="Times New Roman" w:hAnsi="Times New Roman" w:eastAsia="宋体" w:cs="Times New Roman"/>
                <w:color w:val="auto"/>
                <w:szCs w:val="21"/>
                <w:highlight w:val="none"/>
                <w:u w:val="single"/>
                <w:shd w:val="clear" w:color="auto" w:fill="FFFFFF"/>
              </w:rPr>
              <w:t>0</w:t>
            </w:r>
            <w:r>
              <w:rPr>
                <w:rFonts w:ascii="Times New Roman" w:hAnsi="Times New Roman" w:eastAsia="宋体" w:cs="Times New Roman"/>
                <w:color w:val="auto"/>
                <w:szCs w:val="21"/>
                <w:highlight w:val="none"/>
                <w:u w:val="single"/>
                <w:shd w:val="clear" w:color="auto" w:fill="FFFFFF"/>
              </w:rPr>
              <w:t>分</w:t>
            </w:r>
            <w:r>
              <w:rPr>
                <w:rFonts w:ascii="Times New Roman" w:hAnsi="Times New Roman" w:eastAsia="宋体" w:cs="Times New Roman"/>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13</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评分办法和中标标准：见第三章。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14</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中标结果公示和有关本项目的补充公告：浙江政府采购网（</w:t>
            </w:r>
            <w:r>
              <w:rPr>
                <w:rFonts w:ascii="Times New Roman" w:hAnsi="Times New Roman" w:eastAsia="宋体" w:cs="Times New Roman"/>
                <w:bCs/>
                <w:color w:val="auto"/>
                <w:szCs w:val="21"/>
                <w:highlight w:val="none"/>
                <w:lang w:val="zh-TW" w:eastAsia="zh-TW"/>
              </w:rPr>
              <w:fldChar w:fldCharType="begin"/>
            </w:r>
            <w:r>
              <w:rPr>
                <w:rFonts w:ascii="Times New Roman" w:hAnsi="Times New Roman" w:eastAsia="宋体" w:cs="Times New Roman"/>
                <w:bCs/>
                <w:color w:val="auto"/>
                <w:szCs w:val="21"/>
                <w:highlight w:val="none"/>
                <w:lang w:val="zh-TW" w:eastAsia="zh-TW"/>
              </w:rPr>
              <w:instrText xml:space="preserve"> HYPERLINK "http://www.zjzfcg.gov.cn" </w:instrText>
            </w:r>
            <w:r>
              <w:rPr>
                <w:rFonts w:ascii="Times New Roman" w:hAnsi="Times New Roman" w:eastAsia="宋体" w:cs="Times New Roman"/>
                <w:bCs/>
                <w:color w:val="auto"/>
                <w:szCs w:val="21"/>
                <w:highlight w:val="none"/>
                <w:lang w:val="zh-TW" w:eastAsia="zh-TW"/>
              </w:rPr>
              <w:fldChar w:fldCharType="separate"/>
            </w:r>
            <w:r>
              <w:rPr>
                <w:rFonts w:ascii="Times New Roman" w:hAnsi="Times New Roman" w:eastAsia="宋体" w:cs="Times New Roman"/>
                <w:bCs/>
                <w:color w:val="auto"/>
                <w:szCs w:val="21"/>
                <w:highlight w:val="none"/>
                <w:lang w:val="zh-TW" w:eastAsia="zh-TW"/>
              </w:rPr>
              <w:t>http://www.zjz</w:t>
            </w:r>
            <w:bookmarkStart w:id="12" w:name="_Hlt455412729"/>
            <w:bookmarkEnd w:id="12"/>
            <w:bookmarkStart w:id="13" w:name="_Hlt455412730"/>
            <w:bookmarkEnd w:id="13"/>
            <w:r>
              <w:rPr>
                <w:rFonts w:ascii="Times New Roman" w:hAnsi="Times New Roman" w:eastAsia="宋体" w:cs="Times New Roman"/>
                <w:bCs/>
                <w:color w:val="auto"/>
                <w:szCs w:val="21"/>
                <w:highlight w:val="none"/>
                <w:lang w:val="zh-TW" w:eastAsia="zh-TW"/>
              </w:rPr>
              <w:t>fcg.gov.cn</w:t>
            </w:r>
            <w:r>
              <w:rPr>
                <w:rFonts w:ascii="Times New Roman" w:hAnsi="Times New Roman" w:eastAsia="宋体" w:cs="Times New Roman"/>
                <w:bCs/>
                <w:color w:val="auto"/>
                <w:szCs w:val="21"/>
                <w:highlight w:val="none"/>
                <w:lang w:val="zh-TW" w:eastAsia="zh-TW"/>
              </w:rPr>
              <w:fldChar w:fldCharType="end"/>
            </w:r>
            <w:r>
              <w:rPr>
                <w:rFonts w:ascii="Times New Roman" w:hAnsi="Times New Roman" w:eastAsia="宋体" w:cs="Times New Roman"/>
                <w:bCs/>
                <w:color w:val="auto"/>
                <w:szCs w:val="21"/>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15</w:t>
            </w:r>
          </w:p>
        </w:tc>
        <w:tc>
          <w:tcPr>
            <w:tcW w:w="8966" w:type="dxa"/>
            <w:gridSpan w:val="2"/>
            <w:noWrap w:val="0"/>
            <w:vAlign w:val="center"/>
          </w:tcPr>
          <w:p>
            <w:pPr>
              <w:wordWrap w:val="0"/>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lang w:val="zh-TW" w:eastAsia="zh-TW"/>
              </w:rPr>
              <w:t>网上注册：投标供应商</w:t>
            </w:r>
            <w:r>
              <w:rPr>
                <w:rFonts w:hint="eastAsia" w:ascii="Times New Roman" w:hAnsi="Times New Roman" w:eastAsia="宋体" w:cs="Times New Roman"/>
                <w:bCs/>
                <w:color w:val="auto"/>
                <w:szCs w:val="21"/>
                <w:highlight w:val="none"/>
                <w:lang w:val="zh-TW" w:eastAsia="zh-TW"/>
              </w:rPr>
              <w:t>在</w:t>
            </w:r>
            <w:r>
              <w:rPr>
                <w:rFonts w:ascii="Times New Roman" w:hAnsi="Times New Roman" w:eastAsia="宋体" w:cs="Times New Roman"/>
                <w:bCs/>
                <w:color w:val="auto"/>
                <w:szCs w:val="21"/>
                <w:highlight w:val="none"/>
                <w:lang w:val="zh-TW" w:eastAsia="zh-TW"/>
              </w:rPr>
              <w:t>提交投标文件截止时间</w:t>
            </w:r>
            <w:r>
              <w:rPr>
                <w:rFonts w:hint="eastAsia" w:ascii="Times New Roman" w:hAnsi="Times New Roman" w:eastAsia="宋体" w:cs="Times New Roman"/>
                <w:bCs/>
                <w:color w:val="auto"/>
                <w:szCs w:val="21"/>
                <w:highlight w:val="none"/>
                <w:lang w:val="zh-TW" w:eastAsia="zh-TW"/>
              </w:rPr>
              <w:t>前</w:t>
            </w:r>
            <w:r>
              <w:rPr>
                <w:rFonts w:ascii="Times New Roman" w:hAnsi="Times New Roman" w:eastAsia="宋体" w:cs="Times New Roman"/>
                <w:bCs/>
                <w:color w:val="auto"/>
                <w:szCs w:val="21"/>
                <w:highlight w:val="none"/>
                <w:lang w:val="zh-TW" w:eastAsia="zh-TW"/>
              </w:rPr>
              <w:t>，应当按照《浙江省政府采购供应商注册及诚信管理暂行办法》（浙财采监字〔2009〕28号）的规定，在</w:t>
            </w:r>
            <w:r>
              <w:rPr>
                <w:rFonts w:hint="eastAsia" w:ascii="Times New Roman" w:hAnsi="Times New Roman" w:eastAsia="宋体" w:cs="Times New Roman"/>
                <w:bCs/>
                <w:color w:val="auto"/>
                <w:szCs w:val="21"/>
                <w:highlight w:val="none"/>
                <w:lang w:val="zh-TW"/>
              </w:rPr>
              <w:t>“</w:t>
            </w:r>
            <w:r>
              <w:rPr>
                <w:rFonts w:ascii="Times New Roman" w:hAnsi="Times New Roman" w:eastAsia="宋体" w:cs="Times New Roman"/>
                <w:bCs/>
                <w:color w:val="auto"/>
                <w:szCs w:val="21"/>
                <w:highlight w:val="none"/>
                <w:lang w:val="zh-TW" w:eastAsia="zh-TW"/>
              </w:rPr>
              <w:t>浙江省政府采购网（http://www.zjzfcg.gov.cn）</w:t>
            </w:r>
            <w:r>
              <w:rPr>
                <w:rFonts w:hint="eastAsia" w:ascii="Times New Roman" w:hAnsi="Times New Roman" w:eastAsia="宋体" w:cs="Times New Roman"/>
                <w:bCs/>
                <w:color w:val="auto"/>
                <w:szCs w:val="21"/>
                <w:highlight w:val="none"/>
                <w:lang w:val="zh-TW"/>
              </w:rPr>
              <w:t>”</w:t>
            </w:r>
            <w:r>
              <w:rPr>
                <w:rFonts w:ascii="Times New Roman" w:hAnsi="Times New Roman" w:eastAsia="宋体" w:cs="Times New Roman"/>
                <w:bCs/>
                <w:color w:val="auto"/>
                <w:szCs w:val="21"/>
                <w:highlight w:val="none"/>
                <w:lang w:val="zh-TW" w:eastAsia="zh-TW"/>
              </w:rPr>
              <w:t>上进行供应商注册登记。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16</w:t>
            </w:r>
          </w:p>
        </w:tc>
        <w:tc>
          <w:tcPr>
            <w:tcW w:w="8966" w:type="dxa"/>
            <w:gridSpan w:val="2"/>
            <w:noWrap w:val="0"/>
            <w:vAlign w:val="center"/>
          </w:tcPr>
          <w:p>
            <w:pPr>
              <w:spacing w:line="360" w:lineRule="auto"/>
              <w:rPr>
                <w:rFonts w:ascii="Times New Roman" w:hAnsi="Times New Roman" w:eastAsia="宋体" w:cs="Times New Roman"/>
                <w:color w:val="auto"/>
                <w:highlight w:val="none"/>
                <w:lang w:val="zh-TW" w:eastAsia="zh-TW"/>
              </w:rPr>
            </w:pPr>
            <w:r>
              <w:rPr>
                <w:rFonts w:ascii="Times New Roman" w:hAnsi="Times New Roman" w:eastAsia="宋体" w:cs="Times New Roman"/>
                <w:color w:val="auto"/>
                <w:highlight w:val="none"/>
                <w:lang w:val="zh-TW" w:eastAsia="zh-TW"/>
              </w:rPr>
              <w:t>投标人应准备电子投标文件：</w:t>
            </w:r>
          </w:p>
          <w:p>
            <w:pPr>
              <w:wordWrap w:val="0"/>
              <w:spacing w:line="360" w:lineRule="auto"/>
              <w:rPr>
                <w:rFonts w:ascii="Times New Roman" w:hAnsi="Times New Roman" w:eastAsia="宋体" w:cs="Times New Roman"/>
                <w:color w:val="auto"/>
                <w:highlight w:val="none"/>
                <w:lang w:val="zh-TW" w:eastAsia="zh-TW"/>
              </w:rPr>
            </w:pPr>
            <w:r>
              <w:rPr>
                <w:rFonts w:ascii="Times New Roman" w:hAnsi="Times New Roman" w:eastAsia="宋体" w:cs="Times New Roman"/>
                <w:color w:val="auto"/>
                <w:highlight w:val="none"/>
                <w:lang w:val="zh-TW" w:eastAsia="zh-TW"/>
              </w:rPr>
              <w:t>（1）电子投标文件，按政采云平台供应商项目采购-电子招投标操作指南（网址：https://help.zcygov.cn/web/site_2/2018/12-28/2573.html）及本招标文件要求递交。</w:t>
            </w:r>
          </w:p>
          <w:p>
            <w:pPr>
              <w:spacing w:line="360" w:lineRule="auto"/>
              <w:rPr>
                <w:rFonts w:ascii="Times New Roman" w:hAnsi="Times New Roman" w:eastAsia="宋体" w:cs="Times New Roman"/>
                <w:color w:val="auto"/>
                <w:highlight w:val="none"/>
                <w:lang w:val="zh-TW" w:eastAsia="zh-TW"/>
              </w:rPr>
            </w:pPr>
            <w:r>
              <w:rPr>
                <w:rFonts w:hint="eastAsia" w:ascii="Times New Roman" w:hAnsi="Times New Roman" w:eastAsia="宋体" w:cs="Times New Roman"/>
                <w:b/>
                <w:bCs/>
                <w:color w:val="auto"/>
                <w:highlight w:val="none"/>
                <w:lang w:val="zh-TW"/>
              </w:rPr>
              <w:t>（</w:t>
            </w:r>
            <w:r>
              <w:rPr>
                <w:rFonts w:hint="eastAsia"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lang w:val="zh-TW"/>
              </w:rPr>
              <w:t>）为便于专家评审，建议投标人在电子投标文件中设置与各评分条款对应的关联点。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17</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lang w:val="zh-TW" w:eastAsia="zh-TW"/>
              </w:rPr>
            </w:pPr>
            <w:r>
              <w:rPr>
                <w:rFonts w:ascii="Times New Roman" w:hAnsi="Times New Roman" w:eastAsia="宋体" w:cs="Times New Roman"/>
                <w:bCs/>
                <w:color w:val="auto"/>
                <w:szCs w:val="21"/>
                <w:highlight w:val="none"/>
                <w:lang w:val="zh-TW" w:eastAsia="zh-TW"/>
              </w:rPr>
              <w:t>投标人应当在提交投标文件截止时间前完成电子投标文件的传输递交，提交投标文件截止时间前可以补充、修改或者撤回电子投标文件。补充或者修改电子投标文件的，应当先行撤回原文件，补充、修改后重新传输递交。提交投标文件截止时间前未完成传输的，视为撤回投标文件。提交投标文件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18</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lang w:val="zh-TW" w:eastAsia="zh-TW"/>
              </w:rPr>
            </w:pPr>
            <w:r>
              <w:rPr>
                <w:rFonts w:ascii="Times New Roman" w:hAnsi="Times New Roman" w:eastAsia="宋体" w:cs="Times New Roman"/>
                <w:bCs/>
                <w:color w:val="auto"/>
                <w:szCs w:val="21"/>
                <w:highlight w:val="none"/>
                <w:lang w:val="zh-TW" w:eastAsia="zh-TW"/>
              </w:rPr>
              <w:t>投标人信用记录查询：根据财政部关于在政府采购活动中查询及使用信用记录有关问题的通知（财库[2016]125 号）的要求，</w:t>
            </w:r>
            <w:r>
              <w:rPr>
                <w:rFonts w:ascii="Times New Roman" w:hAnsi="Times New Roman" w:eastAsia="宋体" w:cs="Times New Roman"/>
                <w:bCs/>
                <w:color w:val="auto"/>
                <w:szCs w:val="21"/>
                <w:highlight w:val="none"/>
                <w:lang w:val="zh-TW"/>
              </w:rPr>
              <w:t>采购人或</w:t>
            </w:r>
            <w:r>
              <w:rPr>
                <w:rFonts w:ascii="Times New Roman" w:hAnsi="Times New Roman" w:eastAsia="宋体" w:cs="Times New Roman"/>
                <w:bCs/>
                <w:color w:val="auto"/>
                <w:szCs w:val="21"/>
                <w:highlight w:val="none"/>
                <w:lang w:val="zh-TW" w:eastAsia="zh-TW"/>
              </w:rPr>
              <w:t>采购代理机构将通过</w:t>
            </w:r>
            <w:r>
              <w:rPr>
                <w:rFonts w:hint="eastAsia" w:ascii="Times New Roman" w:hAnsi="Times New Roman" w:eastAsia="宋体" w:cs="Times New Roman"/>
                <w:bCs/>
                <w:color w:val="auto"/>
                <w:szCs w:val="21"/>
                <w:highlight w:val="none"/>
                <w:lang w:val="zh-TW"/>
              </w:rPr>
              <w:t>“</w:t>
            </w:r>
            <w:r>
              <w:rPr>
                <w:rFonts w:ascii="Times New Roman" w:hAnsi="Times New Roman" w:eastAsia="宋体" w:cs="Times New Roman"/>
                <w:bCs/>
                <w:color w:val="auto"/>
                <w:szCs w:val="21"/>
                <w:highlight w:val="none"/>
                <w:lang w:val="zh-TW" w:eastAsia="zh-TW"/>
              </w:rPr>
              <w:t>信用中国</w:t>
            </w:r>
            <w:r>
              <w:rPr>
                <w:rFonts w:hint="eastAsia" w:ascii="Times New Roman" w:hAnsi="Times New Roman" w:eastAsia="宋体" w:cs="Times New Roman"/>
                <w:bCs/>
                <w:color w:val="auto"/>
                <w:szCs w:val="21"/>
                <w:highlight w:val="none"/>
                <w:lang w:val="zh-TW"/>
              </w:rPr>
              <w:t>”</w:t>
            </w:r>
            <w:r>
              <w:rPr>
                <w:rFonts w:ascii="Times New Roman" w:hAnsi="Times New Roman" w:eastAsia="宋体" w:cs="Times New Roman"/>
                <w:bCs/>
                <w:color w:val="auto"/>
                <w:szCs w:val="21"/>
                <w:highlight w:val="none"/>
                <w:lang w:val="zh-TW" w:eastAsia="zh-TW"/>
              </w:rPr>
              <w:t>网站（www.creditchina.gov.cn）、中国政府采购网（www.ccgp.gov.cn）等渠道查询各投标供应商的信用记录。</w:t>
            </w:r>
          </w:p>
          <w:p>
            <w:pPr>
              <w:spacing w:line="360" w:lineRule="auto"/>
              <w:rPr>
                <w:rFonts w:ascii="Times New Roman" w:hAnsi="Times New Roman" w:eastAsia="宋体" w:cs="Times New Roman"/>
                <w:bCs/>
                <w:color w:val="auto"/>
                <w:szCs w:val="21"/>
                <w:highlight w:val="none"/>
                <w:lang w:val="zh-TW" w:eastAsia="zh-TW"/>
              </w:rPr>
            </w:pPr>
            <w:r>
              <w:rPr>
                <w:rFonts w:ascii="Times New Roman" w:hAnsi="Times New Roman" w:eastAsia="宋体" w:cs="Times New Roman"/>
                <w:bCs/>
                <w:color w:val="auto"/>
                <w:szCs w:val="21"/>
                <w:highlight w:val="none"/>
                <w:lang w:val="zh-TW" w:eastAsia="zh-TW"/>
              </w:rPr>
              <w:t>查询的截止时间为：提交投标文件截止时间；</w:t>
            </w:r>
          </w:p>
          <w:p>
            <w:pPr>
              <w:spacing w:line="360" w:lineRule="auto"/>
              <w:rPr>
                <w:rFonts w:ascii="Times New Roman" w:hAnsi="Times New Roman" w:eastAsia="宋体" w:cs="Times New Roman"/>
                <w:bCs/>
                <w:color w:val="auto"/>
                <w:szCs w:val="21"/>
                <w:highlight w:val="none"/>
                <w:lang w:val="zh-TW"/>
              </w:rPr>
            </w:pPr>
            <w:r>
              <w:rPr>
                <w:rFonts w:ascii="Times New Roman" w:hAnsi="Times New Roman" w:eastAsia="宋体" w:cs="Times New Roman"/>
                <w:bCs/>
                <w:color w:val="auto"/>
                <w:szCs w:val="21"/>
                <w:highlight w:val="none"/>
                <w:lang w:val="zh-TW"/>
              </w:rPr>
              <w:t>查询期限：本项目提交投标文件截止时间往前追溯三年；</w:t>
            </w:r>
          </w:p>
          <w:p>
            <w:pPr>
              <w:spacing w:line="360" w:lineRule="auto"/>
              <w:rPr>
                <w:rFonts w:ascii="Times New Roman" w:hAnsi="Times New Roman" w:eastAsia="宋体" w:cs="Times New Roman"/>
                <w:bCs/>
                <w:color w:val="auto"/>
                <w:szCs w:val="21"/>
                <w:highlight w:val="none"/>
                <w:lang w:val="zh-TW" w:eastAsia="zh-TW"/>
              </w:rPr>
            </w:pPr>
            <w:r>
              <w:rPr>
                <w:rFonts w:ascii="Times New Roman" w:hAnsi="Times New Roman" w:eastAsia="宋体" w:cs="Times New Roman"/>
                <w:bCs/>
                <w:color w:val="auto"/>
                <w:szCs w:val="21"/>
                <w:highlight w:val="none"/>
                <w:lang w:val="zh-TW" w:eastAsia="zh-TW"/>
              </w:rPr>
              <w:t>信用信息查询记录和证据留存的具体方式：采购人或采购代理机构对信用信息查询的时间、地点进行记录，并对查询结果进行签字确认；信用信息查询记录及相关证据与其他采购文件一并保存；信用信息的使用规则：对列入失信被执行人、</w:t>
            </w:r>
            <w:r>
              <w:rPr>
                <w:rFonts w:hint="eastAsia" w:ascii="Times New Roman" w:hAnsi="Times New Roman" w:eastAsia="宋体" w:cs="Times New Roman"/>
                <w:bCs/>
                <w:color w:val="auto"/>
                <w:szCs w:val="21"/>
                <w:highlight w:val="none"/>
                <w:lang w:val="zh-TW"/>
              </w:rPr>
              <w:t>税收违法黑名单</w:t>
            </w:r>
            <w:r>
              <w:rPr>
                <w:rFonts w:ascii="Times New Roman" w:hAnsi="Times New Roman" w:eastAsia="宋体" w:cs="Times New Roman"/>
                <w:bCs/>
                <w:color w:val="auto"/>
                <w:szCs w:val="21"/>
                <w:highlight w:val="none"/>
                <w:lang w:val="zh-TW" w:eastAsia="zh-TW"/>
              </w:rPr>
              <w:t>、政府采购严重违法失信行为记录名单及其他不符合《中华人民共和国政府采购法》第二十二条规定条件的供应商，拒绝其参与本项目的采购活动。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19</w:t>
            </w:r>
          </w:p>
        </w:tc>
        <w:tc>
          <w:tcPr>
            <w:tcW w:w="8966" w:type="dxa"/>
            <w:gridSpan w:val="2"/>
            <w:noWrap w:val="0"/>
            <w:vAlign w:val="center"/>
          </w:tcPr>
          <w:p>
            <w:pPr>
              <w:spacing w:line="360" w:lineRule="auto"/>
              <w:rPr>
                <w:rFonts w:ascii="Times New Roman" w:hAnsi="Times New Roman" w:eastAsia="宋体" w:cs="Times New Roman"/>
                <w:b/>
                <w:color w:val="auto"/>
                <w:szCs w:val="21"/>
                <w:highlight w:val="none"/>
                <w:lang w:val="zh-TW"/>
              </w:rPr>
            </w:pPr>
            <w:r>
              <w:rPr>
                <w:rFonts w:ascii="Times New Roman" w:hAnsi="Times New Roman" w:eastAsia="宋体" w:cs="Times New Roman"/>
                <w:b/>
                <w:color w:val="auto"/>
                <w:szCs w:val="21"/>
                <w:highlight w:val="none"/>
              </w:rPr>
              <w:t>1、</w:t>
            </w:r>
            <w:r>
              <w:rPr>
                <w:rFonts w:ascii="Times New Roman" w:hAnsi="Times New Roman" w:eastAsia="宋体" w:cs="Times New Roman"/>
                <w:b/>
                <w:color w:val="auto"/>
                <w:szCs w:val="21"/>
                <w:highlight w:val="none"/>
                <w:lang w:val="zh-TW" w:eastAsia="zh-TW"/>
              </w:rPr>
              <w:t>注意事项</w:t>
            </w:r>
            <w:r>
              <w:rPr>
                <w:rFonts w:ascii="Times New Roman" w:hAnsi="Times New Roman" w:eastAsia="宋体" w:cs="Times New Roman"/>
                <w:b/>
                <w:color w:val="auto"/>
                <w:szCs w:val="21"/>
                <w:highlight w:val="none"/>
                <w:lang w:val="zh-TW"/>
              </w:rPr>
              <w:t>：本项目采用远程不见面开标，且不接受投标人到现场开标。投标人请在提交投标文件截止时间起1个小时内完成在线解密事宜。</w:t>
            </w:r>
          </w:p>
          <w:p>
            <w:pPr>
              <w:wordWrap w:val="0"/>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2、投标说明：</w:t>
            </w:r>
          </w:p>
          <w:p>
            <w:pPr>
              <w:wordWrap w:val="0"/>
              <w:spacing w:line="360" w:lineRule="auto"/>
              <w:ind w:firstLine="211"/>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ordWrap w:val="0"/>
              <w:spacing w:line="360" w:lineRule="auto"/>
              <w:ind w:firstLine="211"/>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2）投标人应在开标前完成CA数字证书办理以及驱动下载。（办理流程详见http://www.zjzfcg.gov.cn/bidClientTemplate/2019-05-27/12945.html）。完成CA数字证书办理时间预计一周，建议各投标人尽快办理。</w:t>
            </w:r>
          </w:p>
          <w:p>
            <w:pPr>
              <w:wordWrap w:val="0"/>
              <w:spacing w:line="360" w:lineRule="auto"/>
              <w:ind w:firstLine="211"/>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w:t>
            </w:r>
            <w:r>
              <w:rPr>
                <w:rFonts w:ascii="Times New Roman" w:hAnsi="Times New Roman" w:eastAsia="宋体" w:cs="Times New Roman"/>
                <w:b/>
                <w:color w:val="auto"/>
                <w:szCs w:val="21"/>
                <w:highlight w:val="none"/>
              </w:rPr>
              <w:fldChar w:fldCharType="begin"/>
            </w:r>
            <w:r>
              <w:rPr>
                <w:rFonts w:ascii="Times New Roman" w:hAnsi="Times New Roman" w:eastAsia="宋体" w:cs="Times New Roman"/>
                <w:b/>
                <w:color w:val="auto"/>
                <w:szCs w:val="21"/>
                <w:highlight w:val="none"/>
              </w:rPr>
              <w:instrText xml:space="preserve"> HYPERLINK "https://help.zcygov.cn/web/site_2/2018/12-28/2573.html。" </w:instrText>
            </w:r>
            <w:r>
              <w:rPr>
                <w:rFonts w:ascii="Times New Roman" w:hAnsi="Times New Roman" w:eastAsia="宋体" w:cs="Times New Roman"/>
                <w:b/>
                <w:color w:val="auto"/>
                <w:szCs w:val="21"/>
                <w:highlight w:val="none"/>
              </w:rPr>
              <w:fldChar w:fldCharType="separate"/>
            </w:r>
            <w:r>
              <w:rPr>
                <w:rFonts w:ascii="Times New Roman" w:hAnsi="Times New Roman" w:eastAsia="宋体" w:cs="Times New Roman"/>
                <w:b/>
                <w:color w:val="auto"/>
                <w:szCs w:val="21"/>
                <w:highlight w:val="none"/>
              </w:rPr>
              <w:t>https://help.zcygov.cn/web/site_2/2018/12-28/2573.html。</w:t>
            </w:r>
            <w:r>
              <w:rPr>
                <w:rFonts w:ascii="Times New Roman" w:hAnsi="Times New Roman" w:eastAsia="宋体" w:cs="Times New Roman"/>
                <w:b/>
                <w:color w:val="auto"/>
                <w:szCs w:val="21"/>
                <w:highlight w:val="none"/>
              </w:rPr>
              <w:fldChar w:fldCharType="end"/>
            </w:r>
          </w:p>
          <w:p>
            <w:pPr>
              <w:wordWrap w:val="0"/>
              <w:spacing w:line="360" w:lineRule="auto"/>
              <w:ind w:firstLine="211"/>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4）投标客户端下载网址已更新，请各供应商务必下载最新版本制作投标文件。请务必确保投标文件制作客户端为最新版本，旧版本可能导致投标文件解密失败。</w:t>
            </w:r>
          </w:p>
          <w:p>
            <w:pPr>
              <w:wordWrap w:val="0"/>
              <w:spacing w:line="360" w:lineRule="auto"/>
              <w:ind w:firstLine="211"/>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5）请务必确保投标文件制作时所用的 CA 锁与投标文件解密时的 CA 锁为同一把，否则可能导致投标文件解密失败。</w:t>
            </w:r>
          </w:p>
          <w:p>
            <w:pPr>
              <w:wordWrap w:val="0"/>
              <w:spacing w:line="360" w:lineRule="auto"/>
              <w:ind w:firstLine="211"/>
              <w:rPr>
                <w:rFonts w:ascii="Times New Roman" w:hAnsi="Times New Roman" w:eastAsia="宋体" w:cs="Times New Roman"/>
                <w:bCs/>
                <w:color w:val="auto"/>
                <w:szCs w:val="21"/>
                <w:highlight w:val="none"/>
              </w:rPr>
            </w:pPr>
            <w:r>
              <w:rPr>
                <w:rFonts w:ascii="Times New Roman" w:hAnsi="Times New Roman" w:eastAsia="宋体" w:cs="Times New Roman"/>
                <w:b/>
                <w:color w:val="auto"/>
                <w:szCs w:val="21"/>
                <w:highlight w:val="none"/>
              </w:rPr>
              <w:t>6）在投标文件解密前，请务必检验 CA 锁与所用电脑的兼容性，部分电脑因 CA 驱动未正常安装、USB 接口兼容性差等原因可能造成投标文件解密失败。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94" w:type="dxa"/>
            <w:noWrap w:val="0"/>
            <w:vAlign w:val="center"/>
          </w:tcPr>
          <w:p>
            <w:pPr>
              <w:spacing w:line="360" w:lineRule="auto"/>
              <w:jc w:val="center"/>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20</w:t>
            </w:r>
          </w:p>
        </w:tc>
        <w:tc>
          <w:tcPr>
            <w:tcW w:w="8966" w:type="dxa"/>
            <w:gridSpan w:val="2"/>
            <w:noWrap w:val="0"/>
            <w:vAlign w:val="center"/>
          </w:tcPr>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采购代理机构：浙江方圆工程咨询有限公司</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详细地址：永康市高川花苑物业管理楼三楼</w:t>
            </w:r>
          </w:p>
          <w:p>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联系人：</w:t>
            </w:r>
            <w:r>
              <w:rPr>
                <w:rFonts w:hint="eastAsia" w:ascii="Times New Roman" w:hAnsi="Times New Roman" w:eastAsia="宋体" w:cs="Times New Roman"/>
                <w:color w:val="auto"/>
                <w:szCs w:val="21"/>
                <w:highlight w:val="none"/>
              </w:rPr>
              <w:t xml:space="preserve">朱炳旭 </w:t>
            </w:r>
            <w:r>
              <w:rPr>
                <w:rFonts w:ascii="Times New Roman" w:hAnsi="Times New Roman" w:eastAsia="宋体" w:cs="Times New Roman"/>
                <w:color w:val="auto"/>
                <w:szCs w:val="21"/>
                <w:highlight w:val="none"/>
              </w:rPr>
              <w:t xml:space="preserve">  联系方式：</w:t>
            </w:r>
            <w:r>
              <w:rPr>
                <w:rFonts w:hint="eastAsia" w:ascii="Times New Roman" w:hAnsi="Times New Roman" w:eastAsia="宋体" w:cs="Times New Roman"/>
                <w:color w:val="auto"/>
                <w:szCs w:val="21"/>
                <w:highlight w:val="none"/>
              </w:rPr>
              <w:t xml:space="preserve">18257872366 </w:t>
            </w:r>
            <w:r>
              <w:rPr>
                <w:rFonts w:ascii="Times New Roman" w:hAnsi="Times New Roman" w:eastAsia="宋体" w:cs="Times New Roman"/>
                <w:color w:val="auto"/>
                <w:szCs w:val="21"/>
                <w:highlight w:val="none"/>
              </w:rPr>
              <w:t xml:space="preserve">  0579-87180777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94" w:type="dxa"/>
            <w:noWrap w:val="0"/>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21</w:t>
            </w:r>
          </w:p>
        </w:tc>
        <w:tc>
          <w:tcPr>
            <w:tcW w:w="8966" w:type="dxa"/>
            <w:gridSpan w:val="2"/>
            <w:noWrap w:val="0"/>
            <w:vAlign w:val="center"/>
          </w:tcPr>
          <w:p>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1）招标人或采购代理机构将对本项目供应商的信用记录进行查询。查询渠道为信用中国网站（www.creditchina.gov.cn）、中国政府采购网（www.ccgp.gov.cn）；</w:t>
            </w:r>
          </w:p>
          <w:p>
            <w:pPr>
              <w:snapToGrid w:val="0"/>
              <w:spacing w:line="46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4）使用规则：被列入失信被执行人、</w:t>
            </w:r>
            <w:r>
              <w:rPr>
                <w:rFonts w:hint="eastAsia"/>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、政府采购严重违法失信行为记录名单及其它不符合《中华人民共和国政府采购法》第二十二条规定条件的，其投标将被拒绝。</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94" w:type="dxa"/>
            <w:noWrap w:val="0"/>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22</w:t>
            </w:r>
          </w:p>
        </w:tc>
        <w:tc>
          <w:tcPr>
            <w:tcW w:w="2006" w:type="dxa"/>
            <w:noWrap w:val="0"/>
            <w:vAlign w:val="center"/>
          </w:tcPr>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lang w:val="en-US" w:eastAsia="zh-CN"/>
              </w:rPr>
              <w:t>节能产品</w:t>
            </w:r>
          </w:p>
        </w:tc>
        <w:tc>
          <w:tcPr>
            <w:tcW w:w="6960" w:type="dxa"/>
            <w:noWrap w:val="0"/>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强制采购节能产品</w:t>
            </w:r>
          </w:p>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优先采购节能产品</w:t>
            </w: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94" w:type="dxa"/>
            <w:noWrap w:val="0"/>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23</w:t>
            </w:r>
          </w:p>
        </w:tc>
        <w:tc>
          <w:tcPr>
            <w:tcW w:w="2006" w:type="dxa"/>
            <w:noWrap w:val="0"/>
            <w:vAlign w:val="center"/>
          </w:tcPr>
          <w:p>
            <w:pPr>
              <w:spacing w:line="360" w:lineRule="auto"/>
              <w:jc w:val="left"/>
              <w:rPr>
                <w:rFonts w:hAnsi="宋体" w:eastAsia="宋体" w:cs="宋体"/>
                <w:snapToGrid w:val="0"/>
                <w:color w:val="auto"/>
                <w:kern w:val="0"/>
                <w:szCs w:val="21"/>
                <w:highlight w:val="none"/>
              </w:rPr>
            </w:pPr>
            <w:r>
              <w:rPr>
                <w:rFonts w:hint="eastAsia" w:ascii="宋体" w:hAnsi="宋体" w:eastAsia="宋体" w:cs="宋体"/>
                <w:bCs/>
                <w:color w:val="auto"/>
                <w:sz w:val="21"/>
                <w:szCs w:val="21"/>
                <w:highlight w:val="none"/>
                <w:lang w:val="en-US" w:eastAsia="zh-CN"/>
              </w:rPr>
              <w:t>环境标志产品</w:t>
            </w:r>
          </w:p>
        </w:tc>
        <w:tc>
          <w:tcPr>
            <w:tcW w:w="6960" w:type="dxa"/>
            <w:noWrap w:val="0"/>
            <w:vAlign w:val="center"/>
          </w:tcPr>
          <w:p>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优先采购环境标志产品</w:t>
            </w:r>
          </w:p>
          <w:p>
            <w:pPr>
              <w:spacing w:line="360" w:lineRule="auto"/>
              <w:jc w:val="left"/>
              <w:rPr>
                <w:rFonts w:hAnsi="宋体" w:eastAsia="宋体" w:cs="宋体"/>
                <w:color w:val="auto"/>
                <w:kern w:val="0"/>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不适用</w:t>
            </w:r>
          </w:p>
        </w:tc>
      </w:tr>
    </w:tbl>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p>
      <w:pPr>
        <w:rPr>
          <w:color w:val="auto"/>
          <w:highlight w:val="none"/>
        </w:rPr>
      </w:pPr>
    </w:p>
    <w:p>
      <w:pPr>
        <w:pStyle w:val="9"/>
        <w:jc w:val="both"/>
        <w:rPr>
          <w:rFonts w:ascii="Times New Roman" w:hAnsi="Times New Roman" w:eastAsia="黑体" w:cs="Times New Roman"/>
          <w:color w:val="auto"/>
          <w:highlight w:val="none"/>
        </w:rPr>
      </w:pPr>
      <w:bookmarkStart w:id="14" w:name="_Toc17487"/>
      <w:r>
        <w:rPr>
          <w:rFonts w:ascii="Times New Roman" w:hAnsi="Times New Roman" w:eastAsia="黑体" w:cs="Times New Roman"/>
          <w:color w:val="auto"/>
          <w:highlight w:val="none"/>
        </w:rPr>
        <w:t>一、总则</w:t>
      </w:r>
      <w:bookmarkEnd w:id="14"/>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1、适用范围</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1.1本招标文件仅适用于本次招标采购。</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2、定义</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采购人</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系指</w:t>
      </w:r>
      <w:r>
        <w:rPr>
          <w:rFonts w:hint="eastAsia" w:ascii="Times New Roman" w:hAnsi="Times New Roman" w:eastAsia="宋体" w:cs="Times New Roman"/>
          <w:color w:val="auto"/>
          <w:sz w:val="21"/>
          <w:szCs w:val="21"/>
          <w:highlight w:val="none"/>
        </w:rPr>
        <w:t>永康市经济和信息化局</w:t>
      </w:r>
      <w:r>
        <w:rPr>
          <w:rFonts w:ascii="Times New Roman" w:hAnsi="Times New Roman" w:eastAsia="宋体" w:cs="Times New Roman"/>
          <w:color w:val="auto"/>
          <w:sz w:val="21"/>
          <w:szCs w:val="21"/>
          <w:highlight w:val="none"/>
        </w:rPr>
        <w:t>。</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投标人</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系指向采购代理机构提交投标文件的供应商。</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2.3</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采购代理机构</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系指组织本次招标的浙江方圆工程咨询有限公司。</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2.4</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服务</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系指招标文件规定供方须承担的运输、设计、安装、调试、维护、培训、技术服务、及其它类似服务。</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2.5</w:t>
      </w:r>
      <w:r>
        <w:rPr>
          <w:rFonts w:hint="eastAsia" w:ascii="Times New Roman" w:hAnsi="Times New Roman" w:eastAsia="宋体" w:cs="Times New Roman"/>
          <w:color w:val="auto"/>
          <w:sz w:val="21"/>
          <w:szCs w:val="21"/>
          <w:highlight w:val="none"/>
        </w:rPr>
        <w:t>“需方”</w:t>
      </w:r>
      <w:r>
        <w:rPr>
          <w:rFonts w:ascii="Times New Roman" w:hAnsi="Times New Roman" w:eastAsia="宋体" w:cs="Times New Roman"/>
          <w:color w:val="auto"/>
          <w:sz w:val="21"/>
          <w:szCs w:val="21"/>
          <w:highlight w:val="none"/>
        </w:rPr>
        <w:t>即</w:t>
      </w:r>
      <w:r>
        <w:rPr>
          <w:rFonts w:hint="eastAsia" w:ascii="Times New Roman" w:hAnsi="Times New Roman" w:eastAsia="宋体" w:cs="Times New Roman"/>
          <w:color w:val="auto"/>
          <w:sz w:val="21"/>
          <w:szCs w:val="21"/>
          <w:highlight w:val="none"/>
        </w:rPr>
        <w:t>永康市经济和信息化局</w:t>
      </w:r>
      <w:r>
        <w:rPr>
          <w:rFonts w:ascii="Times New Roman" w:hAnsi="Times New Roman" w:eastAsia="宋体" w:cs="Times New Roman"/>
          <w:color w:val="auto"/>
          <w:sz w:val="21"/>
          <w:szCs w:val="21"/>
          <w:highlight w:val="none"/>
        </w:rPr>
        <w:t>，在招投标阶段称为采购人，在签订和执行合同阶段称为</w:t>
      </w:r>
      <w:r>
        <w:rPr>
          <w:rFonts w:hint="eastAsia" w:ascii="Times New Roman" w:hAnsi="Times New Roman" w:eastAsia="宋体" w:cs="Times New Roman"/>
          <w:color w:val="auto"/>
          <w:sz w:val="21"/>
          <w:szCs w:val="21"/>
          <w:highlight w:val="none"/>
        </w:rPr>
        <w:t>需方或</w:t>
      </w:r>
      <w:r>
        <w:rPr>
          <w:rFonts w:ascii="Times New Roman" w:hAnsi="Times New Roman" w:eastAsia="宋体" w:cs="Times New Roman"/>
          <w:color w:val="auto"/>
          <w:sz w:val="21"/>
          <w:szCs w:val="21"/>
          <w:highlight w:val="none"/>
        </w:rPr>
        <w:t>甲方。</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2.6</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供方</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在招投标阶段称为投标人，中标后在签订和执行合同阶段称为供方或乙方。</w:t>
      </w:r>
    </w:p>
    <w:p>
      <w:pPr>
        <w:pStyle w:val="119"/>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 w:val="21"/>
          <w:szCs w:val="21"/>
          <w:highlight w:val="none"/>
        </w:rPr>
        <w:t>2.7</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原产地</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是指货物生产、或提供有关服务的来源地。</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3、合格的投标人</w:t>
      </w:r>
    </w:p>
    <w:p>
      <w:pPr>
        <w:widowControl/>
        <w:spacing w:line="360" w:lineRule="auto"/>
        <w:jc w:val="left"/>
        <w:rPr>
          <w:color w:val="auto"/>
          <w:kern w:val="0"/>
          <w:szCs w:val="21"/>
          <w:highlight w:val="none"/>
        </w:rPr>
      </w:pPr>
      <w:r>
        <w:rPr>
          <w:rFonts w:hint="eastAsia"/>
          <w:color w:val="auto"/>
          <w:kern w:val="0"/>
          <w:szCs w:val="21"/>
          <w:highlight w:val="none"/>
        </w:rPr>
        <w:t>3.</w:t>
      </w:r>
      <w:r>
        <w:rPr>
          <w:color w:val="auto"/>
          <w:kern w:val="0"/>
          <w:szCs w:val="21"/>
          <w:highlight w:val="none"/>
        </w:rPr>
        <w:t>1满足《中华人民共和国政府采购法》第二十二条规定及未被</w:t>
      </w:r>
      <w:r>
        <w:rPr>
          <w:rFonts w:hint="eastAsia"/>
          <w:color w:val="auto"/>
          <w:kern w:val="0"/>
          <w:szCs w:val="21"/>
          <w:highlight w:val="none"/>
        </w:rPr>
        <w:t>“</w:t>
      </w:r>
      <w:r>
        <w:rPr>
          <w:color w:val="auto"/>
          <w:kern w:val="0"/>
          <w:szCs w:val="21"/>
          <w:highlight w:val="none"/>
        </w:rPr>
        <w:t>信用中国</w:t>
      </w:r>
      <w:r>
        <w:rPr>
          <w:rFonts w:hint="eastAsia"/>
          <w:color w:val="auto"/>
          <w:kern w:val="0"/>
          <w:szCs w:val="21"/>
          <w:highlight w:val="none"/>
        </w:rPr>
        <w:t>”</w:t>
      </w:r>
      <w:r>
        <w:rPr>
          <w:color w:val="auto"/>
          <w:kern w:val="0"/>
          <w:szCs w:val="21"/>
          <w:highlight w:val="none"/>
        </w:rPr>
        <w:t>（www.creditchina.gov.cn）、中国政府采购网（www.ccgp.gov.cn）列入失信被执行人、</w:t>
      </w:r>
      <w:r>
        <w:rPr>
          <w:rFonts w:hint="eastAsia"/>
          <w:color w:val="auto"/>
          <w:kern w:val="0"/>
          <w:szCs w:val="21"/>
          <w:highlight w:val="none"/>
          <w:lang w:eastAsia="zh-CN"/>
        </w:rPr>
        <w:t>重大税收违法失信主体</w:t>
      </w:r>
      <w:r>
        <w:rPr>
          <w:color w:val="auto"/>
          <w:kern w:val="0"/>
          <w:szCs w:val="21"/>
          <w:highlight w:val="none"/>
        </w:rPr>
        <w:t>、政府采购严重违法失信行为记录名单。</w:t>
      </w:r>
    </w:p>
    <w:p>
      <w:pPr>
        <w:widowControl/>
        <w:spacing w:line="336" w:lineRule="auto"/>
        <w:jc w:val="left"/>
        <w:rPr>
          <w:rFonts w:hint="eastAsia"/>
          <w:color w:val="auto"/>
          <w:szCs w:val="21"/>
          <w:highlight w:val="none"/>
          <w:u w:val="single"/>
        </w:rPr>
      </w:pPr>
      <w:r>
        <w:rPr>
          <w:rFonts w:hint="eastAsia"/>
          <w:color w:val="auto"/>
          <w:szCs w:val="21"/>
          <w:highlight w:val="none"/>
        </w:rPr>
        <w:t>3.</w:t>
      </w:r>
      <w:r>
        <w:rPr>
          <w:color w:val="auto"/>
          <w:szCs w:val="21"/>
          <w:highlight w:val="none"/>
        </w:rPr>
        <w:t>2落实政府采购政策需满足的资格要求：</w:t>
      </w:r>
      <w:r>
        <w:rPr>
          <w:rFonts w:hint="eastAsia"/>
          <w:color w:val="auto"/>
          <w:szCs w:val="21"/>
          <w:highlight w:val="none"/>
          <w:u w:val="single"/>
        </w:rPr>
        <w:t>根据财库〔2020〕46号的相关规定，本次采购投标人须为中小企业，投标时须提供《中小企业声明函》</w:t>
      </w:r>
      <w:r>
        <w:rPr>
          <w:rFonts w:hint="eastAsia"/>
          <w:color w:val="auto"/>
          <w:szCs w:val="21"/>
          <w:highlight w:val="none"/>
        </w:rPr>
        <w:t>。</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r>
        <w:rPr>
          <w:rFonts w:ascii="Times New Roman" w:hAnsi="Times New Roman" w:eastAsia="宋体" w:cs="Times New Roman"/>
          <w:color w:val="auto"/>
          <w:sz w:val="21"/>
          <w:szCs w:val="21"/>
          <w:highlight w:val="none"/>
        </w:rPr>
        <w:t>3本项目的特定资格要求：</w:t>
      </w:r>
      <w:r>
        <w:rPr>
          <w:rFonts w:hint="eastAsia" w:ascii="Times New Roman" w:hAnsi="Times New Roman" w:eastAsia="宋体" w:cs="Times New Roman"/>
          <w:color w:val="auto"/>
          <w:sz w:val="21"/>
          <w:szCs w:val="21"/>
          <w:highlight w:val="none"/>
          <w:u w:val="single"/>
        </w:rPr>
        <w:t>投标人须提供本项目采购《投标承诺函》（格式详见采购文件）</w:t>
      </w:r>
      <w:r>
        <w:rPr>
          <w:rFonts w:hint="eastAsia" w:ascii="Times New Roman" w:hAnsi="Times New Roman" w:eastAsia="宋体" w:cs="Times New Roman"/>
          <w:color w:val="auto"/>
          <w:sz w:val="21"/>
          <w:szCs w:val="21"/>
          <w:highlight w:val="none"/>
        </w:rPr>
        <w:t>。</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4、投标费用</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4.1投标人应承担所有与投标有关的全部费用。不论投标的结果如何，采购人和采购代理机构在任何情况下均无义务和责任承担上述这些费用。</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b/>
          <w:bCs/>
          <w:color w:val="auto"/>
          <w:sz w:val="21"/>
          <w:szCs w:val="21"/>
          <w:highlight w:val="none"/>
        </w:rPr>
        <w:t>5、现场考察：</w:t>
      </w:r>
      <w:r>
        <w:rPr>
          <w:rFonts w:ascii="Times New Roman" w:hAnsi="Times New Roman" w:eastAsia="宋体" w:cs="Times New Roman"/>
          <w:color w:val="auto"/>
          <w:sz w:val="21"/>
          <w:szCs w:val="21"/>
          <w:highlight w:val="none"/>
        </w:rPr>
        <w:t>不组织。</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6、特别说明</w:t>
      </w:r>
    </w:p>
    <w:p>
      <w:pPr>
        <w:pStyle w:val="6"/>
        <w:spacing w:after="0" w:line="360" w:lineRule="auto"/>
        <w:jc w:val="left"/>
        <w:rPr>
          <w:color w:val="auto"/>
          <w:szCs w:val="21"/>
          <w:highlight w:val="none"/>
        </w:rPr>
      </w:pPr>
      <w:r>
        <w:rPr>
          <w:color w:val="auto"/>
          <w:szCs w:val="21"/>
          <w:highlight w:val="none"/>
        </w:rPr>
        <w:t>6.1本次招标</w:t>
      </w:r>
      <w:r>
        <w:rPr>
          <w:rFonts w:hint="eastAsia"/>
          <w:color w:val="auto"/>
          <w:szCs w:val="21"/>
          <w:highlight w:val="none"/>
        </w:rPr>
        <w:t>不</w:t>
      </w:r>
      <w:r>
        <w:rPr>
          <w:color w:val="auto"/>
          <w:szCs w:val="21"/>
          <w:highlight w:val="none"/>
        </w:rPr>
        <w:t>接受联合体投标人。</w:t>
      </w:r>
    </w:p>
    <w:p>
      <w:pPr>
        <w:pStyle w:val="6"/>
        <w:spacing w:after="0" w:line="360" w:lineRule="auto"/>
        <w:jc w:val="left"/>
        <w:rPr>
          <w:color w:val="auto"/>
          <w:szCs w:val="21"/>
          <w:highlight w:val="none"/>
        </w:rPr>
      </w:pPr>
      <w:r>
        <w:rPr>
          <w:color w:val="auto"/>
          <w:szCs w:val="21"/>
          <w:highlight w:val="none"/>
        </w:rPr>
        <w:t>6.2编制的投标文件对招标文件中有关条款未提出异议的，均被视为接受和同意。</w:t>
      </w:r>
    </w:p>
    <w:p>
      <w:pPr>
        <w:pStyle w:val="6"/>
        <w:spacing w:after="0" w:line="360" w:lineRule="auto"/>
        <w:jc w:val="left"/>
        <w:rPr>
          <w:color w:val="auto"/>
          <w:highlight w:val="none"/>
        </w:rPr>
      </w:pPr>
      <w:r>
        <w:rPr>
          <w:color w:val="auto"/>
          <w:highlight w:val="none"/>
        </w:rPr>
        <w:t>6.3本招标文件中带▲号的条款内容，为本次招标的主要条款和实质性内容，投标人必须全部响应，否则将作无效投标。</w:t>
      </w:r>
    </w:p>
    <w:p>
      <w:pPr>
        <w:pStyle w:val="9"/>
        <w:jc w:val="both"/>
        <w:rPr>
          <w:rFonts w:ascii="Times New Roman" w:hAnsi="Times New Roman" w:eastAsia="黑体" w:cs="Times New Roman"/>
          <w:color w:val="auto"/>
          <w:highlight w:val="none"/>
        </w:rPr>
      </w:pPr>
      <w:bookmarkStart w:id="15" w:name="_Toc22983"/>
      <w:r>
        <w:rPr>
          <w:rFonts w:ascii="Times New Roman" w:hAnsi="Times New Roman" w:eastAsia="黑体" w:cs="Times New Roman"/>
          <w:color w:val="auto"/>
          <w:highlight w:val="none"/>
        </w:rPr>
        <w:t>二、招标文件的说明</w:t>
      </w:r>
      <w:bookmarkEnd w:id="15"/>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1.1招标文件用以阐明所需服务、招标程序和合同条款等。招标文件由下述部分组成：</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（1）前附表；</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（2）招标公告；</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（3）投标人须知；</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（4）开标和评标须知；</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（5）招标需求；</w:t>
      </w:r>
    </w:p>
    <w:p>
      <w:pPr>
        <w:pStyle w:val="119"/>
        <w:spacing w:line="360" w:lineRule="auto"/>
        <w:rPr>
          <w:rFonts w:ascii="Times New Roman" w:hAnsi="Times New Roman" w:cs="Times New Roman"/>
          <w:color w:val="auto"/>
          <w:highlight w:val="none"/>
        </w:rPr>
      </w:pPr>
      <w:r>
        <w:rPr>
          <w:rFonts w:ascii="Times New Roman" w:hAnsi="Times New Roman" w:eastAsia="宋体" w:cs="Times New Roman"/>
          <w:color w:val="auto"/>
          <w:sz w:val="21"/>
          <w:szCs w:val="21"/>
          <w:highlight w:val="none"/>
        </w:rPr>
        <w:t>（6）商务要求；</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（7）投标文件格式；</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（8）永康市政府采购合同（参考样本）。</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1.2除非有特殊要求，招标文件不单独提供采购地的自然环境气候条件、公用设施等情况，投标人被视为熟悉上述与履行合同有关的一切情况。</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2、招标文件的澄清</w:t>
      </w:r>
    </w:p>
    <w:p>
      <w:pPr>
        <w:tabs>
          <w:tab w:val="left" w:pos="420"/>
        </w:tabs>
        <w:spacing w:line="360" w:lineRule="auto"/>
        <w:rPr>
          <w:bCs/>
          <w:color w:val="auto"/>
          <w:szCs w:val="21"/>
          <w:highlight w:val="none"/>
        </w:rPr>
      </w:pPr>
      <w:r>
        <w:rPr>
          <w:color w:val="auto"/>
          <w:szCs w:val="21"/>
          <w:highlight w:val="none"/>
        </w:rPr>
        <w:t>2.1</w:t>
      </w:r>
      <w:r>
        <w:rPr>
          <w:color w:val="auto"/>
          <w:kern w:val="0"/>
          <w:szCs w:val="21"/>
          <w:highlight w:val="none"/>
        </w:rPr>
        <w:t>招标文件询疑：</w:t>
      </w:r>
      <w:r>
        <w:rPr>
          <w:bCs/>
          <w:color w:val="auto"/>
          <w:szCs w:val="21"/>
          <w:highlight w:val="none"/>
        </w:rPr>
        <w:t>潜在投标人如认为招标文件使自身的合法权益受到损害的，应于自发布公告之日起七个工作日内以书面形式向采购机构提出质疑；投标人如认为采购过程和中标结果使自身的合法权益受到损害的，可以在知道或者应知其权益受到损害之日起七个工作日内，以书面形式向采购机构提出质疑；投标人对采购机构的质疑答复不满意或者采购机构未在规定时间内作出答复的，可以在答复期满后十五个工作日内向同级政府采购监督管理部门投诉。招标代理机构由</w:t>
      </w:r>
      <w:r>
        <w:rPr>
          <w:rFonts w:hint="eastAsia"/>
          <w:color w:val="auto"/>
          <w:szCs w:val="21"/>
          <w:highlight w:val="none"/>
        </w:rPr>
        <w:t>吕松俊</w:t>
      </w:r>
      <w:r>
        <w:rPr>
          <w:bCs/>
          <w:color w:val="auto"/>
          <w:szCs w:val="21"/>
          <w:highlight w:val="none"/>
        </w:rPr>
        <w:t>负责接收供应商的质疑，电话：</w:t>
      </w:r>
      <w:r>
        <w:rPr>
          <w:rFonts w:hint="eastAsia"/>
          <w:color w:val="auto"/>
          <w:szCs w:val="21"/>
          <w:highlight w:val="none"/>
        </w:rPr>
        <w:t>15925947742</w:t>
      </w:r>
      <w:r>
        <w:rPr>
          <w:bCs/>
          <w:color w:val="auto"/>
          <w:szCs w:val="21"/>
          <w:highlight w:val="none"/>
        </w:rPr>
        <w:t xml:space="preserve"> 邮箱：</w:t>
      </w:r>
      <w:r>
        <w:rPr>
          <w:rFonts w:hint="eastAsia"/>
          <w:bCs/>
          <w:color w:val="auto"/>
          <w:szCs w:val="21"/>
          <w:highlight w:val="none"/>
          <w:lang w:val="en-US" w:eastAsia="zh-CN"/>
        </w:rPr>
        <w:t>391434914</w:t>
      </w:r>
      <w:r>
        <w:rPr>
          <w:bCs/>
          <w:color w:val="auto"/>
          <w:szCs w:val="21"/>
          <w:highlight w:val="none"/>
        </w:rPr>
        <w:t>@qq.com，地址：永康市高川花苑物业管理楼三楼。</w:t>
      </w:r>
    </w:p>
    <w:p>
      <w:pPr>
        <w:tabs>
          <w:tab w:val="left" w:pos="420"/>
        </w:tabs>
        <w:spacing w:line="360" w:lineRule="auto"/>
        <w:rPr>
          <w:bCs/>
          <w:color w:val="auto"/>
          <w:szCs w:val="21"/>
          <w:highlight w:val="none"/>
        </w:rPr>
      </w:pPr>
      <w:r>
        <w:rPr>
          <w:bCs/>
          <w:color w:val="auto"/>
          <w:szCs w:val="21"/>
          <w:highlight w:val="none"/>
        </w:rPr>
        <w:t>2.2供应商应在法定质疑期内一次性提出针对同一采购程序环节的质疑。</w:t>
      </w:r>
    </w:p>
    <w:p>
      <w:pPr>
        <w:tabs>
          <w:tab w:val="left" w:pos="420"/>
        </w:tabs>
        <w:spacing w:line="360" w:lineRule="auto"/>
        <w:rPr>
          <w:bCs/>
          <w:color w:val="auto"/>
          <w:szCs w:val="21"/>
          <w:highlight w:val="none"/>
        </w:rPr>
      </w:pPr>
      <w:r>
        <w:rPr>
          <w:bCs/>
          <w:color w:val="auto"/>
          <w:szCs w:val="21"/>
          <w:highlight w:val="none"/>
        </w:rPr>
        <w:t>2.3供应商提出质疑应当提交质疑函和必要的证明材料。质疑函应当包括下列内容：</w:t>
      </w:r>
    </w:p>
    <w:p>
      <w:pPr>
        <w:tabs>
          <w:tab w:val="left" w:pos="420"/>
        </w:tabs>
        <w:spacing w:line="360" w:lineRule="auto"/>
        <w:rPr>
          <w:bCs/>
          <w:color w:val="auto"/>
          <w:szCs w:val="21"/>
          <w:highlight w:val="none"/>
        </w:rPr>
      </w:pPr>
      <w:r>
        <w:rPr>
          <w:bCs/>
          <w:color w:val="auto"/>
          <w:szCs w:val="21"/>
          <w:highlight w:val="none"/>
        </w:rPr>
        <w:t>（一）供应商的姓名或者名称、地址、邮编、联系人及联系电话；</w:t>
      </w:r>
    </w:p>
    <w:p>
      <w:pPr>
        <w:tabs>
          <w:tab w:val="left" w:pos="420"/>
        </w:tabs>
        <w:spacing w:line="360" w:lineRule="auto"/>
        <w:rPr>
          <w:bCs/>
          <w:color w:val="auto"/>
          <w:szCs w:val="21"/>
          <w:highlight w:val="none"/>
        </w:rPr>
      </w:pPr>
      <w:r>
        <w:rPr>
          <w:bCs/>
          <w:color w:val="auto"/>
          <w:szCs w:val="21"/>
          <w:highlight w:val="none"/>
        </w:rPr>
        <w:t>（二）质疑项目的名称、编号；</w:t>
      </w:r>
    </w:p>
    <w:p>
      <w:pPr>
        <w:tabs>
          <w:tab w:val="left" w:pos="420"/>
        </w:tabs>
        <w:spacing w:line="360" w:lineRule="auto"/>
        <w:rPr>
          <w:bCs/>
          <w:color w:val="auto"/>
          <w:szCs w:val="21"/>
          <w:highlight w:val="none"/>
        </w:rPr>
      </w:pPr>
      <w:r>
        <w:rPr>
          <w:bCs/>
          <w:color w:val="auto"/>
          <w:szCs w:val="21"/>
          <w:highlight w:val="none"/>
        </w:rPr>
        <w:t>（三）具体、明确的质疑事项和与质疑事项相关的请求；</w:t>
      </w:r>
    </w:p>
    <w:p>
      <w:pPr>
        <w:tabs>
          <w:tab w:val="left" w:pos="420"/>
        </w:tabs>
        <w:spacing w:line="360" w:lineRule="auto"/>
        <w:rPr>
          <w:bCs/>
          <w:color w:val="auto"/>
          <w:szCs w:val="21"/>
          <w:highlight w:val="none"/>
        </w:rPr>
      </w:pPr>
      <w:r>
        <w:rPr>
          <w:bCs/>
          <w:color w:val="auto"/>
          <w:szCs w:val="21"/>
          <w:highlight w:val="none"/>
        </w:rPr>
        <w:t>（四）事实依据；</w:t>
      </w:r>
    </w:p>
    <w:p>
      <w:pPr>
        <w:tabs>
          <w:tab w:val="left" w:pos="420"/>
        </w:tabs>
        <w:spacing w:line="360" w:lineRule="auto"/>
        <w:rPr>
          <w:bCs/>
          <w:color w:val="auto"/>
          <w:szCs w:val="21"/>
          <w:highlight w:val="none"/>
        </w:rPr>
      </w:pPr>
      <w:r>
        <w:rPr>
          <w:bCs/>
          <w:color w:val="auto"/>
          <w:szCs w:val="21"/>
          <w:highlight w:val="none"/>
        </w:rPr>
        <w:t>（五）必要的法律依据；</w:t>
      </w:r>
    </w:p>
    <w:p>
      <w:pPr>
        <w:tabs>
          <w:tab w:val="left" w:pos="420"/>
        </w:tabs>
        <w:spacing w:line="360" w:lineRule="auto"/>
        <w:rPr>
          <w:bCs/>
          <w:color w:val="auto"/>
          <w:szCs w:val="21"/>
          <w:highlight w:val="none"/>
        </w:rPr>
      </w:pPr>
      <w:r>
        <w:rPr>
          <w:bCs/>
          <w:color w:val="auto"/>
          <w:szCs w:val="21"/>
          <w:highlight w:val="none"/>
        </w:rPr>
        <w:t>（六）提出质疑的日期。</w:t>
      </w:r>
    </w:p>
    <w:p>
      <w:pPr>
        <w:tabs>
          <w:tab w:val="left" w:pos="420"/>
        </w:tabs>
        <w:spacing w:line="360" w:lineRule="auto"/>
        <w:ind w:firstLine="420"/>
        <w:rPr>
          <w:bCs/>
          <w:color w:val="auto"/>
          <w:szCs w:val="21"/>
          <w:highlight w:val="none"/>
        </w:rPr>
      </w:pPr>
      <w:r>
        <w:rPr>
          <w:bCs/>
          <w:color w:val="auto"/>
          <w:szCs w:val="21"/>
          <w:highlight w:val="none"/>
        </w:rPr>
        <w:t>质疑函应当由法定代表人或其授权代表签字或盖章，并加盖公章。</w:t>
      </w:r>
    </w:p>
    <w:p>
      <w:pPr>
        <w:tabs>
          <w:tab w:val="left" w:pos="420"/>
        </w:tabs>
        <w:spacing w:line="360" w:lineRule="auto"/>
        <w:rPr>
          <w:bCs/>
          <w:color w:val="auto"/>
          <w:szCs w:val="21"/>
          <w:highlight w:val="none"/>
        </w:rPr>
      </w:pPr>
      <w:r>
        <w:rPr>
          <w:bCs/>
          <w:color w:val="auto"/>
          <w:szCs w:val="21"/>
          <w:highlight w:val="none"/>
        </w:rPr>
        <w:t>2.4投诉人投诉时，应当提交投诉书和必要的证明材料，并按照被投诉采购人、采购代理机构和与投诉事项有关的供应商数量提供投诉书的副本。投诉书应当包括下列内容：</w:t>
      </w:r>
    </w:p>
    <w:p>
      <w:pPr>
        <w:tabs>
          <w:tab w:val="left" w:pos="420"/>
        </w:tabs>
        <w:spacing w:line="360" w:lineRule="auto"/>
        <w:rPr>
          <w:bCs/>
          <w:color w:val="auto"/>
          <w:szCs w:val="21"/>
          <w:highlight w:val="none"/>
        </w:rPr>
      </w:pPr>
      <w:r>
        <w:rPr>
          <w:bCs/>
          <w:color w:val="auto"/>
          <w:szCs w:val="21"/>
          <w:highlight w:val="none"/>
        </w:rPr>
        <w:t>（一）投诉人和被投诉人的姓名或者名称、通讯地址、邮编、联系人及联系电话；</w:t>
      </w:r>
    </w:p>
    <w:p>
      <w:pPr>
        <w:tabs>
          <w:tab w:val="left" w:pos="420"/>
        </w:tabs>
        <w:spacing w:line="360" w:lineRule="auto"/>
        <w:rPr>
          <w:bCs/>
          <w:color w:val="auto"/>
          <w:szCs w:val="21"/>
          <w:highlight w:val="none"/>
        </w:rPr>
      </w:pPr>
      <w:r>
        <w:rPr>
          <w:bCs/>
          <w:color w:val="auto"/>
          <w:szCs w:val="21"/>
          <w:highlight w:val="none"/>
        </w:rPr>
        <w:t>（二）质疑和质疑答复情况说明及相关证明材料；</w:t>
      </w:r>
    </w:p>
    <w:p>
      <w:pPr>
        <w:tabs>
          <w:tab w:val="left" w:pos="420"/>
        </w:tabs>
        <w:spacing w:line="360" w:lineRule="auto"/>
        <w:rPr>
          <w:bCs/>
          <w:color w:val="auto"/>
          <w:szCs w:val="21"/>
          <w:highlight w:val="none"/>
        </w:rPr>
      </w:pPr>
      <w:r>
        <w:rPr>
          <w:bCs/>
          <w:color w:val="auto"/>
          <w:szCs w:val="21"/>
          <w:highlight w:val="none"/>
        </w:rPr>
        <w:t>（三）具体、明确的投诉事项和与投诉事项相关的投诉请求；</w:t>
      </w:r>
    </w:p>
    <w:p>
      <w:pPr>
        <w:tabs>
          <w:tab w:val="left" w:pos="420"/>
        </w:tabs>
        <w:spacing w:line="360" w:lineRule="auto"/>
        <w:rPr>
          <w:bCs/>
          <w:color w:val="auto"/>
          <w:szCs w:val="21"/>
          <w:highlight w:val="none"/>
        </w:rPr>
      </w:pPr>
      <w:r>
        <w:rPr>
          <w:bCs/>
          <w:color w:val="auto"/>
          <w:szCs w:val="21"/>
          <w:highlight w:val="none"/>
        </w:rPr>
        <w:t>（四）事实依据；</w:t>
      </w:r>
    </w:p>
    <w:p>
      <w:pPr>
        <w:tabs>
          <w:tab w:val="left" w:pos="420"/>
        </w:tabs>
        <w:spacing w:line="360" w:lineRule="auto"/>
        <w:rPr>
          <w:bCs/>
          <w:color w:val="auto"/>
          <w:szCs w:val="21"/>
          <w:highlight w:val="none"/>
        </w:rPr>
      </w:pPr>
      <w:r>
        <w:rPr>
          <w:bCs/>
          <w:color w:val="auto"/>
          <w:szCs w:val="21"/>
          <w:highlight w:val="none"/>
        </w:rPr>
        <w:t>（五）法律依据；</w:t>
      </w:r>
    </w:p>
    <w:p>
      <w:pPr>
        <w:tabs>
          <w:tab w:val="left" w:pos="420"/>
        </w:tabs>
        <w:spacing w:line="360" w:lineRule="auto"/>
        <w:rPr>
          <w:bCs/>
          <w:color w:val="auto"/>
          <w:szCs w:val="21"/>
          <w:highlight w:val="none"/>
        </w:rPr>
      </w:pPr>
      <w:r>
        <w:rPr>
          <w:bCs/>
          <w:color w:val="auto"/>
          <w:szCs w:val="21"/>
          <w:highlight w:val="none"/>
        </w:rPr>
        <w:t>（六）提起投诉的日期。</w:t>
      </w:r>
    </w:p>
    <w:p>
      <w:pPr>
        <w:tabs>
          <w:tab w:val="left" w:pos="420"/>
        </w:tabs>
        <w:spacing w:line="360" w:lineRule="auto"/>
        <w:rPr>
          <w:bCs/>
          <w:color w:val="auto"/>
          <w:szCs w:val="21"/>
          <w:highlight w:val="none"/>
        </w:rPr>
      </w:pPr>
      <w:r>
        <w:rPr>
          <w:bCs/>
          <w:color w:val="auto"/>
          <w:szCs w:val="21"/>
          <w:highlight w:val="none"/>
        </w:rPr>
        <w:t>　　投诉书应当由法定代表人或其授权代表签字或盖章，并加盖公章。</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3、招标文件的修改</w:t>
      </w:r>
    </w:p>
    <w:p>
      <w:pPr>
        <w:tabs>
          <w:tab w:val="left" w:pos="420"/>
        </w:tabs>
        <w:spacing w:line="360" w:lineRule="auto"/>
        <w:rPr>
          <w:color w:val="auto"/>
          <w:szCs w:val="21"/>
          <w:highlight w:val="none"/>
        </w:rPr>
      </w:pPr>
      <w:r>
        <w:rPr>
          <w:color w:val="auto"/>
          <w:szCs w:val="21"/>
          <w:highlight w:val="none"/>
        </w:rPr>
        <w:t>3.1采购代理机构对已发出的招标文件进行必要澄清或者修改的，应当在招标文件要求提交投标文件截止时间十五日前，经采购人同意后，在浙江省财政厅指定的政府采购信息发布媒体上发布更正公告。</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3.2招标文件的修改以书面形式通知所有购买招标文件的投标人，并对其具有约束力。投标人在收到上述通知后，应立即向采购代理机构回函确认，否则视投标人已收悉。</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3.3招标文件的澄清或者修改的内容将构成招标文件的组成部分。</w:t>
      </w:r>
    </w:p>
    <w:p>
      <w:pPr>
        <w:pStyle w:val="119"/>
        <w:spacing w:line="360" w:lineRule="auto"/>
        <w:rPr>
          <w:color w:val="auto"/>
          <w:highlight w:val="none"/>
        </w:rPr>
      </w:pPr>
      <w:r>
        <w:rPr>
          <w:rFonts w:ascii="Times New Roman" w:hAnsi="Times New Roman" w:eastAsia="宋体" w:cs="Times New Roman"/>
          <w:color w:val="auto"/>
          <w:sz w:val="21"/>
          <w:szCs w:val="21"/>
          <w:highlight w:val="none"/>
        </w:rPr>
        <w:t>3.4为使投标人有充分时间对招标文件的修改部分进行研究及响应，采购代理机构可适当延长投标截止期。</w:t>
      </w:r>
    </w:p>
    <w:p>
      <w:pPr>
        <w:pStyle w:val="9"/>
        <w:jc w:val="both"/>
        <w:rPr>
          <w:rFonts w:ascii="Times New Roman" w:hAnsi="Times New Roman" w:eastAsia="黑体" w:cs="Times New Roman"/>
          <w:color w:val="auto"/>
          <w:highlight w:val="none"/>
        </w:rPr>
      </w:pPr>
      <w:bookmarkStart w:id="16" w:name="_Toc23943"/>
      <w:r>
        <w:rPr>
          <w:rFonts w:ascii="Times New Roman" w:hAnsi="Times New Roman" w:eastAsia="黑体" w:cs="Times New Roman"/>
          <w:color w:val="auto"/>
          <w:szCs w:val="28"/>
          <w:highlight w:val="none"/>
        </w:rPr>
        <w:t>三、投标文件的编制</w:t>
      </w:r>
      <w:bookmarkEnd w:id="16"/>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1、要求</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color w:val="auto"/>
          <w:sz w:val="21"/>
          <w:szCs w:val="21"/>
          <w:highlight w:val="none"/>
        </w:rPr>
        <w:t>1.1投标人应仔细阅读招标文件，了解招标文件的要求。在完全了解招标项目的招标需求和商务要求后，编制投标文件。</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1.2编制投标文件时，投标人对招标文件中技术及商务要求逐项逐条作出实质性的回答，顺序编号清楚，可用描述性文字及证明材料。</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2、投标的语言及计量单位</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2.1投标人的投标文件以及有关投标的所有来往函电均使用中文（技术用语除外）。</w:t>
      </w:r>
    </w:p>
    <w:p>
      <w:pPr>
        <w:pStyle w:val="119"/>
        <w:spacing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2.2除在招标文件的技术规格中另有规定外，计量单位应使用中华人民共和国法定计量单位。</w:t>
      </w:r>
    </w:p>
    <w:p>
      <w:pPr>
        <w:pStyle w:val="119"/>
        <w:spacing w:line="360" w:lineRule="auto"/>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3、投标文件的组成（其中电子投标文件中所须加盖公章部分均采用CA签章）</w:t>
      </w:r>
    </w:p>
    <w:p>
      <w:pPr>
        <w:pStyle w:val="119"/>
        <w:spacing w:line="360" w:lineRule="auto"/>
        <w:ind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sz w:val="21"/>
          <w:szCs w:val="21"/>
          <w:highlight w:val="none"/>
        </w:rPr>
        <w:t>投标文件由技术标及价格标两部分组成：</w:t>
      </w:r>
    </w:p>
    <w:p>
      <w:pPr>
        <w:pStyle w:val="119"/>
        <w:spacing w:line="360" w:lineRule="auto"/>
        <w:ind w:firstLine="210" w:firstLineChars="1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3.1技术标：详见第六章投标文件格式；</w:t>
      </w:r>
    </w:p>
    <w:p>
      <w:pPr>
        <w:pStyle w:val="119"/>
        <w:spacing w:line="360" w:lineRule="auto"/>
        <w:ind w:firstLine="210" w:firstLineChars="1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技术标部分不得出现报价等相关内容，否则按无效投标处理。</w:t>
      </w:r>
    </w:p>
    <w:p>
      <w:pPr>
        <w:pStyle w:val="119"/>
        <w:spacing w:line="360" w:lineRule="auto"/>
        <w:ind w:firstLine="210" w:firstLineChars="1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3.2价格标：详见第六章投标文件格式。</w:t>
      </w:r>
    </w:p>
    <w:p>
      <w:pPr>
        <w:pStyle w:val="119"/>
        <w:spacing w:line="360" w:lineRule="auto"/>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4</w:t>
      </w:r>
      <w:r>
        <w:rPr>
          <w:rFonts w:ascii="Times New Roman" w:hAnsi="Times New Roman" w:eastAsia="宋体" w:cs="Times New Roman"/>
          <w:b/>
          <w:bCs/>
          <w:color w:val="auto"/>
          <w:sz w:val="21"/>
          <w:szCs w:val="21"/>
          <w:highlight w:val="none"/>
        </w:rPr>
        <w:t>、投标报价</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.1投标人应在招标文件所附的报价一览表上写明提供服务的单价和总价，</w:t>
      </w:r>
      <w:r>
        <w:rPr>
          <w:rFonts w:ascii="Times New Roman" w:hAnsi="Times New Roman" w:eastAsia="宋体" w:cs="Times New Roman"/>
          <w:color w:val="auto"/>
          <w:kern w:val="2"/>
          <w:sz w:val="21"/>
          <w:szCs w:val="21"/>
          <w:highlight w:val="none"/>
        </w:rPr>
        <w:t>投标人对每种服务只允许有一个报价，采购人不接受任何有选择性的报价。</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.2投标报价以人民币为结算货币，须包括投标人根据采购文件的要求完成所有工作内容并达到</w:t>
      </w:r>
      <w:r>
        <w:rPr>
          <w:rFonts w:hint="eastAsia" w:ascii="Times New Roman" w:hAnsi="Times New Roman" w:eastAsia="宋体" w:cs="Times New Roman"/>
          <w:color w:val="auto"/>
          <w:sz w:val="21"/>
          <w:szCs w:val="21"/>
          <w:highlight w:val="none"/>
        </w:rPr>
        <w:t>服务成果</w:t>
      </w:r>
      <w:r>
        <w:rPr>
          <w:rFonts w:ascii="Times New Roman" w:hAnsi="Times New Roman" w:eastAsia="宋体" w:cs="Times New Roman"/>
          <w:color w:val="auto"/>
          <w:sz w:val="21"/>
          <w:szCs w:val="21"/>
          <w:highlight w:val="none"/>
        </w:rPr>
        <w:t>要求及质量标准所需费用、采购代理服务费</w:t>
      </w:r>
      <w:r>
        <w:rPr>
          <w:rFonts w:hint="eastAsia" w:ascii="Times New Roman" w:hAnsi="Times New Roman" w:eastAsia="宋体" w:cs="Times New Roman"/>
          <w:color w:val="auto"/>
          <w:sz w:val="21"/>
          <w:szCs w:val="21"/>
          <w:highlight w:val="none"/>
        </w:rPr>
        <w:t>、文本编制</w:t>
      </w:r>
      <w:r>
        <w:rPr>
          <w:rFonts w:ascii="Times New Roman" w:hAnsi="Times New Roman" w:eastAsia="宋体" w:cs="Times New Roman"/>
          <w:color w:val="auto"/>
          <w:sz w:val="21"/>
          <w:szCs w:val="21"/>
          <w:highlight w:val="none"/>
        </w:rPr>
        <w:t>费</w:t>
      </w:r>
      <w:r>
        <w:rPr>
          <w:rFonts w:hint="eastAsia" w:ascii="Times New Roman" w:hAnsi="Times New Roman" w:eastAsia="宋体" w:cs="Times New Roman"/>
          <w:color w:val="auto"/>
          <w:sz w:val="21"/>
          <w:szCs w:val="21"/>
          <w:highlight w:val="none"/>
        </w:rPr>
        <w:t>、打印装订费、评审会务费、专家咨询费</w:t>
      </w:r>
      <w:r>
        <w:rPr>
          <w:rFonts w:ascii="Times New Roman" w:hAnsi="Times New Roman" w:eastAsia="宋体" w:cs="Times New Roman"/>
          <w:color w:val="auto"/>
          <w:sz w:val="21"/>
          <w:szCs w:val="21"/>
          <w:highlight w:val="none"/>
        </w:rPr>
        <w:t>以及企业的管理费、利润、税金、合同实施过程中不可预见的费用等一切相关费用。投标人应列入而未列入其中的费用，均视为已包含在内，风险由投标人承担。</w:t>
      </w:r>
    </w:p>
    <w:p>
      <w:pPr>
        <w:pStyle w:val="119"/>
        <w:spacing w:line="360" w:lineRule="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.3填写投标报价一览表时应注意下列几点：</w:t>
      </w:r>
    </w:p>
    <w:p>
      <w:pPr>
        <w:pStyle w:val="119"/>
        <w:widowControl w:val="0"/>
        <w:spacing w:line="360" w:lineRule="auto"/>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（1）投标人应根据招标文件的要求，针对各部分的具体情况制定服务配置（若报价一览表足以反映服务配置情况，则服务配置无须提供）。</w:t>
      </w:r>
    </w:p>
    <w:p>
      <w:pPr>
        <w:pStyle w:val="119"/>
        <w:widowControl w:val="0"/>
        <w:spacing w:line="360" w:lineRule="auto"/>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（2）招标文件有特别要求培训及其它附带服务的费用，投标人如不填写，将被视为已汇总到投标总价之中。</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.4采购人和采购代理机构不接受低于成本的投标报价</w:t>
      </w:r>
      <w:r>
        <w:rPr>
          <w:rFonts w:ascii="Times New Roman" w:hAnsi="Times New Roman" w:eastAsia="宋体" w:cs="Times New Roman"/>
          <w:color w:val="auto"/>
          <w:sz w:val="21"/>
          <w:highlight w:val="none"/>
        </w:rPr>
        <w:t>，也不接受招标项目范围内的捐赠。</w:t>
      </w:r>
    </w:p>
    <w:p>
      <w:pPr>
        <w:pStyle w:val="6"/>
        <w:spacing w:after="0" w:line="360" w:lineRule="auto"/>
        <w:rPr>
          <w:color w:val="auto"/>
          <w:szCs w:val="21"/>
          <w:highlight w:val="none"/>
        </w:rPr>
      </w:pPr>
      <w:r>
        <w:rPr>
          <w:rFonts w:hint="eastAsia"/>
          <w:color w:val="auto"/>
          <w:szCs w:val="21"/>
          <w:highlight w:val="none"/>
          <w:lang w:val="en-US" w:eastAsia="zh-CN"/>
        </w:rPr>
        <w:t>4</w:t>
      </w:r>
      <w:r>
        <w:rPr>
          <w:color w:val="auto"/>
          <w:szCs w:val="21"/>
          <w:highlight w:val="none"/>
        </w:rPr>
        <w:t>.5投标报价按要求的格式填写：投标书、报价一览表及服务配置（若报价一览表足以反映服务配置情况，则服务配置无须提供）。</w:t>
      </w:r>
    </w:p>
    <w:p>
      <w:pPr>
        <w:pStyle w:val="119"/>
        <w:spacing w:line="360" w:lineRule="auto"/>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5</w:t>
      </w:r>
      <w:r>
        <w:rPr>
          <w:rFonts w:ascii="Times New Roman" w:hAnsi="Times New Roman" w:eastAsia="宋体" w:cs="Times New Roman"/>
          <w:b/>
          <w:bCs/>
          <w:color w:val="auto"/>
          <w:sz w:val="21"/>
          <w:szCs w:val="21"/>
          <w:highlight w:val="none"/>
        </w:rPr>
        <w:t>、投标有效期</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.1投标文件从开标之日起，有效期为60天。投标有效期不足的投标将视为非响应性投标而予以拒绝。</w:t>
      </w:r>
    </w:p>
    <w:p>
      <w:pPr>
        <w:pStyle w:val="119"/>
        <w:spacing w:line="360" w:lineRule="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2特殊情况下，在原投标有效期截止之前，采购人和采购代理机构可要求投标人同意延长有效期，这种要求与答复均应以书面形式提交。投标人可拒绝这种要求。接受延长投标有效期的投标人将不会被要求和允许修正其投标。</w:t>
      </w:r>
    </w:p>
    <w:p>
      <w:pPr>
        <w:pStyle w:val="119"/>
        <w:spacing w:line="360" w:lineRule="auto"/>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6</w:t>
      </w:r>
      <w:r>
        <w:rPr>
          <w:rFonts w:ascii="Times New Roman" w:hAnsi="Times New Roman" w:eastAsia="宋体" w:cs="Times New Roman"/>
          <w:b/>
          <w:bCs/>
          <w:color w:val="auto"/>
          <w:sz w:val="21"/>
          <w:szCs w:val="21"/>
          <w:highlight w:val="none"/>
        </w:rPr>
        <w:t>、投标文件形式</w:t>
      </w:r>
    </w:p>
    <w:p>
      <w:pPr>
        <w:pStyle w:val="119"/>
        <w:spacing w:line="360" w:lineRule="auto"/>
        <w:rPr>
          <w:color w:val="auto"/>
          <w:highlight w:val="none"/>
        </w:rPr>
      </w:pPr>
      <w:r>
        <w:rPr>
          <w:rFonts w:hint="eastAsia" w:ascii="Times New Roman" w:hAnsi="Times New Roman" w:eastAsia="宋体" w:cs="Times New Roman"/>
          <w:color w:val="auto"/>
          <w:sz w:val="21"/>
          <w:szCs w:val="21"/>
          <w:highlight w:val="none"/>
          <w:lang w:val="en-US" w:eastAsia="zh-CN"/>
        </w:rPr>
        <w:t>6</w:t>
      </w:r>
      <w:r>
        <w:rPr>
          <w:rFonts w:ascii="Times New Roman" w:hAnsi="Times New Roman" w:eastAsia="宋体" w:cs="Times New Roman"/>
          <w:color w:val="auto"/>
          <w:sz w:val="21"/>
          <w:szCs w:val="21"/>
          <w:highlight w:val="none"/>
        </w:rPr>
        <w:t>.1投标文件为电子投标文件。电子投标文件按政采云平台供应商项目采购-电子招投标操作指南（网址：https://help.zcygov.cn/web/site_2/2018/12-28/2573.html）及本招标文件要求制作、加密并递交。</w:t>
      </w:r>
    </w:p>
    <w:p>
      <w:pPr>
        <w:pStyle w:val="9"/>
        <w:spacing w:after="0"/>
        <w:jc w:val="both"/>
        <w:rPr>
          <w:rFonts w:ascii="Times New Roman" w:hAnsi="Times New Roman" w:eastAsia="黑体" w:cs="Times New Roman"/>
          <w:color w:val="auto"/>
          <w:highlight w:val="none"/>
        </w:rPr>
      </w:pPr>
      <w:bookmarkStart w:id="17" w:name="_Toc12350"/>
      <w:r>
        <w:rPr>
          <w:rFonts w:ascii="Times New Roman" w:hAnsi="Times New Roman" w:eastAsia="黑体" w:cs="Times New Roman"/>
          <w:color w:val="auto"/>
          <w:highlight w:val="none"/>
        </w:rPr>
        <w:t>四、投标文件的递交</w:t>
      </w:r>
      <w:bookmarkEnd w:id="17"/>
    </w:p>
    <w:p>
      <w:pPr>
        <w:spacing w:line="360" w:lineRule="auto"/>
        <w:rPr>
          <w:color w:val="auto"/>
          <w:szCs w:val="21"/>
          <w:highlight w:val="none"/>
        </w:rPr>
      </w:pPr>
      <w:r>
        <w:rPr>
          <w:color w:val="auto"/>
          <w:szCs w:val="21"/>
          <w:highlight w:val="none"/>
        </w:rPr>
        <w:t>1、电子投标文件传输递交：投标人应当在提交投标文件截止时间前完成电子投标文件的传输递交，提交投标文件截止时间前可以补充、修改或者撤回电子投标文件。补充或者修改电子投标文件的，应当先行撤回原文件，补充、修改后重新传输递交。提交投标文件截止时间前未完成传输的，视为撤回投标文件。提交投标文件截止时间后送达的投标、响应文件，将被拒收。</w:t>
      </w:r>
    </w:p>
    <w:p>
      <w:pPr>
        <w:spacing w:line="360" w:lineRule="auto"/>
        <w:rPr>
          <w:b/>
          <w:bCs/>
          <w:color w:val="auto"/>
          <w:szCs w:val="21"/>
          <w:highlight w:val="none"/>
          <w:lang w:val="zh-TW"/>
        </w:rPr>
      </w:pPr>
      <w:r>
        <w:rPr>
          <w:b/>
          <w:bCs/>
          <w:color w:val="auto"/>
          <w:szCs w:val="21"/>
          <w:highlight w:val="none"/>
        </w:rPr>
        <w:t>2、电子投标文件</w:t>
      </w:r>
      <w:r>
        <w:rPr>
          <w:b/>
          <w:bCs/>
          <w:color w:val="auto"/>
          <w:szCs w:val="21"/>
          <w:highlight w:val="none"/>
          <w:lang w:val="zh-TW"/>
        </w:rPr>
        <w:t>在线解密</w:t>
      </w:r>
      <w:r>
        <w:rPr>
          <w:b/>
          <w:bCs/>
          <w:color w:val="auto"/>
          <w:szCs w:val="21"/>
          <w:highlight w:val="none"/>
        </w:rPr>
        <w:t>：</w:t>
      </w:r>
      <w:r>
        <w:rPr>
          <w:b/>
          <w:bCs/>
          <w:color w:val="auto"/>
          <w:szCs w:val="21"/>
          <w:highlight w:val="none"/>
          <w:lang w:val="zh-TW"/>
        </w:rPr>
        <w:t>本项目采用远程不见面开标，且不接受投标人到现场开标。投标人请在提交投标文件截止时间起1个小时内完成在线解密事宜。</w:t>
      </w:r>
    </w:p>
    <w:p>
      <w:pPr>
        <w:rPr>
          <w:color w:val="auto"/>
          <w:highlight w:val="none"/>
          <w:lang w:val="zh-TW"/>
        </w:rPr>
      </w:pPr>
    </w:p>
    <w:p>
      <w:pPr>
        <w:pStyle w:val="9"/>
        <w:jc w:val="both"/>
        <w:rPr>
          <w:rFonts w:ascii="Times New Roman" w:hAnsi="Times New Roman" w:eastAsia="黑体" w:cs="Times New Roman"/>
          <w:color w:val="auto"/>
          <w:highlight w:val="none"/>
        </w:rPr>
      </w:pPr>
      <w:bookmarkStart w:id="18" w:name="_Toc24288"/>
      <w:r>
        <w:rPr>
          <w:rFonts w:ascii="Times New Roman" w:hAnsi="Times New Roman" w:eastAsia="黑体" w:cs="Times New Roman"/>
          <w:color w:val="auto"/>
          <w:highlight w:val="none"/>
        </w:rPr>
        <w:t>五、</w:t>
      </w:r>
      <w:r>
        <w:rPr>
          <w:rFonts w:ascii="Times New Roman" w:hAnsi="Times New Roman" w:eastAsia="黑体" w:cs="Times New Roman"/>
          <w:color w:val="auto"/>
          <w:highlight w:val="none"/>
          <w:lang w:val="en-US"/>
        </w:rPr>
        <w:t>采购代理</w:t>
      </w:r>
      <w:r>
        <w:rPr>
          <w:rFonts w:ascii="Times New Roman" w:hAnsi="Times New Roman" w:eastAsia="黑体" w:cs="Times New Roman"/>
          <w:color w:val="auto"/>
          <w:highlight w:val="none"/>
        </w:rPr>
        <w:t>服务费</w:t>
      </w:r>
      <w:bookmarkEnd w:id="18"/>
    </w:p>
    <w:p>
      <w:pPr>
        <w:spacing w:line="360" w:lineRule="auto"/>
        <w:rPr>
          <w:color w:val="auto"/>
          <w:szCs w:val="21"/>
          <w:highlight w:val="none"/>
        </w:rPr>
      </w:pPr>
      <w:r>
        <w:rPr>
          <w:rFonts w:hint="eastAsia"/>
          <w:color w:val="auto"/>
          <w:szCs w:val="21"/>
          <w:highlight w:val="none"/>
          <w:lang w:val="en-US" w:eastAsia="zh-CN"/>
        </w:rPr>
        <w:t>5</w:t>
      </w:r>
      <w:r>
        <w:rPr>
          <w:color w:val="auto"/>
          <w:szCs w:val="21"/>
          <w:highlight w:val="none"/>
        </w:rPr>
        <w:t xml:space="preserve">.1 </w:t>
      </w:r>
      <w:r>
        <w:rPr>
          <w:color w:val="auto"/>
          <w:highlight w:val="none"/>
        </w:rPr>
        <w:t>依据代理机构与采购人签订的《委托代理协议书》之规定，中标人在领取中标通知书时，应向浙江方圆工程咨询有限公司一次性足额支付代理服务费（标准附后）。</w:t>
      </w:r>
    </w:p>
    <w:p>
      <w:pPr>
        <w:tabs>
          <w:tab w:val="left" w:pos="420"/>
        </w:tabs>
        <w:spacing w:line="360" w:lineRule="auto"/>
        <w:rPr>
          <w:color w:val="auto"/>
          <w:highlight w:val="none"/>
        </w:rPr>
      </w:pPr>
      <w:r>
        <w:rPr>
          <w:rFonts w:hint="eastAsia"/>
          <w:color w:val="auto"/>
          <w:szCs w:val="21"/>
          <w:highlight w:val="none"/>
          <w:lang w:val="en-US" w:eastAsia="zh-CN"/>
        </w:rPr>
        <w:t>5</w:t>
      </w:r>
      <w:r>
        <w:rPr>
          <w:color w:val="auto"/>
          <w:szCs w:val="21"/>
          <w:highlight w:val="none"/>
        </w:rPr>
        <w:t>.2 中标代理服务收费按差额定率累进法计算。</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745"/>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10" w:type="dxa"/>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中标金额（万元）</w:t>
            </w:r>
          </w:p>
        </w:tc>
        <w:tc>
          <w:tcPr>
            <w:tcW w:w="2745" w:type="dxa"/>
            <w:noWrap w:val="0"/>
            <w:vAlign w:val="center"/>
          </w:tcPr>
          <w:p>
            <w:pPr>
              <w:jc w:val="center"/>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服务</w:t>
            </w:r>
            <w:r>
              <w:rPr>
                <w:rFonts w:ascii="Times New Roman" w:hAnsi="Times New Roman" w:eastAsia="宋体" w:cs="Times New Roman"/>
                <w:b/>
                <w:bCs/>
                <w:color w:val="auto"/>
                <w:highlight w:val="none"/>
              </w:rPr>
              <w:t>招标</w:t>
            </w:r>
          </w:p>
        </w:tc>
        <w:tc>
          <w:tcPr>
            <w:tcW w:w="2934" w:type="dxa"/>
            <w:noWrap w:val="0"/>
            <w:vAlign w:val="center"/>
          </w:tcPr>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10" w:type="dxa"/>
            <w:noWrap w:val="0"/>
            <w:vAlign w:val="center"/>
          </w:tcPr>
          <w:p>
            <w:pPr>
              <w:jc w:val="center"/>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100以下</w:t>
            </w:r>
            <w:r>
              <w:rPr>
                <w:rFonts w:hint="eastAsia" w:ascii="Times New Roman" w:hAnsi="Times New Roman" w:eastAsia="宋体" w:cs="Times New Roman"/>
                <w:color w:val="auto"/>
                <w:highlight w:val="none"/>
              </w:rPr>
              <w:t>部分</w:t>
            </w:r>
          </w:p>
        </w:tc>
        <w:tc>
          <w:tcPr>
            <w:tcW w:w="2745"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w:t>
            </w:r>
            <w:r>
              <w:rPr>
                <w:rFonts w:ascii="Times New Roman" w:hAnsi="Times New Roman" w:eastAsia="宋体" w:cs="Times New Roman"/>
                <w:color w:val="auto"/>
                <w:highlight w:val="none"/>
              </w:rPr>
              <w:t>%</w:t>
            </w:r>
          </w:p>
        </w:tc>
        <w:tc>
          <w:tcPr>
            <w:tcW w:w="2934" w:type="dxa"/>
            <w:vMerge w:val="restart"/>
            <w:noWrap w:val="0"/>
            <w:vAlign w:val="center"/>
          </w:tcPr>
          <w:p>
            <w:pPr>
              <w:jc w:val="center"/>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中标代理服务收费按差额定率累进法计算。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10" w:type="dxa"/>
            <w:noWrap w:val="0"/>
            <w:vAlign w:val="center"/>
          </w:tcPr>
          <w:p>
            <w:pPr>
              <w:jc w:val="center"/>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100-500</w:t>
            </w:r>
            <w:r>
              <w:rPr>
                <w:rFonts w:hint="eastAsia" w:ascii="Times New Roman" w:hAnsi="Times New Roman" w:eastAsia="宋体" w:cs="Times New Roman"/>
                <w:color w:val="auto"/>
                <w:highlight w:val="none"/>
              </w:rPr>
              <w:t>部分</w:t>
            </w:r>
          </w:p>
        </w:tc>
        <w:tc>
          <w:tcPr>
            <w:tcW w:w="2745"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0.8%</w:t>
            </w:r>
          </w:p>
        </w:tc>
        <w:tc>
          <w:tcPr>
            <w:tcW w:w="2934" w:type="dxa"/>
            <w:vMerge w:val="continue"/>
            <w:noWrap w:val="0"/>
            <w:vAlign w:val="center"/>
          </w:tcPr>
          <w:p>
            <w:pPr>
              <w:jc w:val="center"/>
              <w:rPr>
                <w:rFonts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10"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500-1000部分</w:t>
            </w:r>
          </w:p>
        </w:tc>
        <w:tc>
          <w:tcPr>
            <w:tcW w:w="2745"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0.45%</w:t>
            </w:r>
          </w:p>
        </w:tc>
        <w:tc>
          <w:tcPr>
            <w:tcW w:w="2934" w:type="dxa"/>
            <w:vMerge w:val="continue"/>
            <w:noWrap w:val="0"/>
            <w:vAlign w:val="center"/>
          </w:tcPr>
          <w:p>
            <w:pPr>
              <w:jc w:val="center"/>
              <w:rPr>
                <w:rFonts w:ascii="Times New Roman" w:hAnsi="Times New Roman" w:eastAsia="宋体" w:cs="Times New Roman"/>
                <w:color w:val="auto"/>
                <w:highlight w:val="none"/>
              </w:rPr>
            </w:pPr>
          </w:p>
        </w:tc>
      </w:tr>
    </w:tbl>
    <w:p>
      <w:pPr>
        <w:spacing w:line="360" w:lineRule="auto"/>
        <w:rPr>
          <w:color w:val="auto"/>
          <w:highlight w:val="none"/>
        </w:rPr>
      </w:pPr>
      <w:r>
        <w:rPr>
          <w:rFonts w:hint="eastAsia" w:ascii="Times New Roman" w:hAnsi="Times New Roman" w:eastAsia="宋体" w:cs="Times New Roman"/>
          <w:color w:val="auto"/>
          <w:highlight w:val="none"/>
          <w:lang w:val="en-US" w:eastAsia="zh-CN"/>
        </w:rPr>
        <w:t>5.3根据</w:t>
      </w:r>
      <w:r>
        <w:rPr>
          <w:rFonts w:ascii="Times New Roman" w:hAnsi="Times New Roman" w:eastAsia="宋体" w:cs="Times New Roman"/>
          <w:color w:val="auto"/>
          <w:highlight w:val="none"/>
        </w:rPr>
        <w:t>《浙江省财政厅关于明确政府采购保证金管理工作的通知》（浙财采监〔2019〕5号）</w:t>
      </w:r>
      <w:r>
        <w:rPr>
          <w:rFonts w:hint="eastAsia" w:ascii="Times New Roman" w:hAnsi="Times New Roman" w:eastAsia="宋体" w:cs="Times New Roman"/>
          <w:color w:val="auto"/>
          <w:highlight w:val="none"/>
          <w:lang w:val="en-US" w:eastAsia="zh-CN"/>
        </w:rPr>
        <w:t>的</w:t>
      </w:r>
      <w:r>
        <w:rPr>
          <w:rFonts w:ascii="Times New Roman" w:hAnsi="Times New Roman" w:eastAsia="宋体" w:cs="Times New Roman"/>
          <w:color w:val="auto"/>
          <w:highlight w:val="none"/>
        </w:rPr>
        <w:t>规定“供应商在政府采购活动中违反政府采购相关规定给采购组织机构造成损失的，采购组织机构可按照采购文件约定要求供应商承担赔偿责任。”对放弃中标（成交）资格的供应商，要求其承担代理费和专家评审费等费用。</w:t>
      </w:r>
    </w:p>
    <w:p>
      <w:pPr>
        <w:pStyle w:val="9"/>
        <w:jc w:val="both"/>
        <w:rPr>
          <w:rFonts w:ascii="Times New Roman" w:hAnsi="Times New Roman" w:eastAsia="黑体" w:cs="Times New Roman"/>
          <w:color w:val="auto"/>
          <w:highlight w:val="none"/>
        </w:rPr>
      </w:pPr>
      <w:bookmarkStart w:id="19" w:name="_Toc23704"/>
      <w:r>
        <w:rPr>
          <w:rFonts w:ascii="Times New Roman" w:hAnsi="Times New Roman" w:eastAsia="黑体" w:cs="Times New Roman"/>
          <w:color w:val="auto"/>
          <w:highlight w:val="none"/>
        </w:rPr>
        <w:t>六、解释权</w:t>
      </w:r>
      <w:bookmarkEnd w:id="19"/>
    </w:p>
    <w:p>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auto"/>
          <w:szCs w:val="21"/>
          <w:highlight w:val="none"/>
        </w:rPr>
      </w:pPr>
      <w:r>
        <w:rPr>
          <w:b/>
          <w:bCs/>
          <w:color w:val="auto"/>
          <w:szCs w:val="21"/>
          <w:highlight w:val="none"/>
        </w:rPr>
        <w:t>解释权：</w:t>
      </w:r>
      <w:r>
        <w:rPr>
          <w:color w:val="auto"/>
          <w:szCs w:val="21"/>
          <w:highlight w:val="none"/>
        </w:rPr>
        <w:t>本招标文件是根据国家有关法律、法规以及政府采购管理有关规定编制，解释权属采购人。</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
          <w:bCs/>
          <w:color w:val="auto"/>
          <w:szCs w:val="21"/>
          <w:highlight w:val="none"/>
        </w:rPr>
      </w:pPr>
      <w:r>
        <w:rPr>
          <w:b/>
          <w:bCs/>
          <w:color w:val="auto"/>
          <w:szCs w:val="21"/>
          <w:highlight w:val="none"/>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auto"/>
          <w:szCs w:val="21"/>
          <w:highlight w:val="none"/>
        </w:rPr>
      </w:pPr>
      <w:r>
        <w:rPr>
          <w:b/>
          <w:bCs/>
          <w:color w:val="auto"/>
          <w:szCs w:val="21"/>
          <w:highlight w:val="none"/>
        </w:rPr>
        <w:t>投标人须知附件一：</w:t>
      </w:r>
    </w:p>
    <w:p>
      <w:pPr>
        <w:pStyle w:val="2"/>
        <w:jc w:val="center"/>
        <w:rPr>
          <w:rFonts w:ascii="Times New Roman" w:hAnsi="Times New Roman"/>
          <w:color w:val="auto"/>
          <w:szCs w:val="21"/>
          <w:highlight w:val="none"/>
        </w:rPr>
      </w:pPr>
      <w:bookmarkStart w:id="20" w:name="_Toc3276"/>
      <w:bookmarkStart w:id="21" w:name="_Toc15216"/>
      <w:r>
        <w:rPr>
          <w:rFonts w:ascii="Times New Roman" w:hAnsi="Times New Roman"/>
          <w:color w:val="auto"/>
          <w:highlight w:val="none"/>
        </w:rPr>
        <w:t>质疑函范本</w:t>
      </w:r>
      <w:bookmarkEnd w:id="20"/>
      <w:bookmarkEnd w:id="2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一、质疑供应商基本信息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质疑供应商：</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    编：</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联 系 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联系电话：</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授权代表：</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联系电话：</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    编：</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二、质疑项目基本情况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质疑项目的名称：</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质疑项目的编号：</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采购人名称：</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采购文件获取日期：</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三、质疑事项具体内容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质疑事项1：</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事实依据：</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u w:val="single"/>
        </w:rPr>
      </w:pPr>
      <w:r>
        <w:rPr>
          <w:color w:val="auto"/>
          <w:szCs w:val="21"/>
          <w:highlight w:val="none"/>
        </w:rPr>
        <w:t>法律依据：</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质疑事项2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四、与质疑事项相关的质疑请求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请求：</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签字（签章）：                   公章：                   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质疑函制作说明：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1.供应商提出质疑时，应提交质疑函和必要的证明材料。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2.质疑供应商若委托代理人进行质疑的，质疑函应按要求列明</w:t>
      </w:r>
      <w:r>
        <w:rPr>
          <w:rFonts w:hint="eastAsia"/>
          <w:color w:val="auto"/>
          <w:szCs w:val="21"/>
          <w:highlight w:val="none"/>
        </w:rPr>
        <w:t>“</w:t>
      </w:r>
      <w:r>
        <w:rPr>
          <w:color w:val="auto"/>
          <w:szCs w:val="21"/>
          <w:highlight w:val="none"/>
        </w:rPr>
        <w:t>授权代表</w:t>
      </w:r>
      <w:r>
        <w:rPr>
          <w:rFonts w:hint="eastAsia"/>
          <w:color w:val="auto"/>
          <w:szCs w:val="21"/>
          <w:highlight w:val="none"/>
        </w:rPr>
        <w:t>”</w:t>
      </w:r>
      <w:r>
        <w:rPr>
          <w:color w:val="auto"/>
          <w:szCs w:val="21"/>
          <w:highlight w:val="none"/>
        </w:rPr>
        <w:t>的有关内容，并在附件中提交由质疑供应商签署的授权委托书。授权委托书应载明代理人的姓名或者名称、代理事项、具体权限、期限和相关事项。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3.质疑函的质疑事项应具体、明确，并有必要的事实依据和法律依据。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4.质疑函的质疑请求应与质疑事项相关</w:t>
      </w:r>
      <w:r>
        <w:rPr>
          <w:rFonts w:hint="eastAsia"/>
          <w:color w:val="auto"/>
          <w:szCs w:val="21"/>
          <w:highlight w:val="none"/>
        </w:rPr>
        <w:t>，并一次性提出</w:t>
      </w:r>
      <w:r>
        <w:rPr>
          <w:color w:val="auto"/>
          <w:szCs w:val="21"/>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5.质疑函应由法定代表人或其授权代表签字或盖章，并加盖公章。</w:t>
      </w:r>
    </w:p>
    <w:p>
      <w:pPr>
        <w:rPr>
          <w:b/>
          <w:bCs/>
          <w:color w:val="auto"/>
          <w:szCs w:val="21"/>
          <w:highlight w:val="none"/>
        </w:rPr>
      </w:pPr>
      <w:r>
        <w:rPr>
          <w:b/>
          <w:bCs/>
          <w:color w:val="auto"/>
          <w:szCs w:val="21"/>
          <w:highlight w:val="none"/>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b/>
          <w:bCs/>
          <w:color w:val="auto"/>
          <w:szCs w:val="21"/>
          <w:highlight w:val="none"/>
        </w:rPr>
      </w:pPr>
      <w:r>
        <w:rPr>
          <w:b/>
          <w:bCs/>
          <w:color w:val="auto"/>
          <w:szCs w:val="21"/>
          <w:highlight w:val="none"/>
        </w:rPr>
        <w:t>投标人须知附件二：</w:t>
      </w:r>
    </w:p>
    <w:p>
      <w:pPr>
        <w:pStyle w:val="2"/>
        <w:jc w:val="center"/>
        <w:rPr>
          <w:rFonts w:ascii="Times New Roman" w:hAnsi="Times New Roman"/>
          <w:color w:val="auto"/>
          <w:highlight w:val="none"/>
        </w:rPr>
      </w:pPr>
      <w:bookmarkStart w:id="22" w:name="_Toc28041"/>
      <w:bookmarkStart w:id="23" w:name="_Toc10935"/>
      <w:r>
        <w:rPr>
          <w:rFonts w:ascii="Times New Roman" w:hAnsi="Times New Roman"/>
          <w:color w:val="auto"/>
          <w:highlight w:val="none"/>
        </w:rPr>
        <w:t>投诉书范本</w:t>
      </w:r>
      <w:bookmarkEnd w:id="22"/>
      <w:bookmarkEnd w:id="23"/>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一、投诉相关主体基本情况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投诉人：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邮编：</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法定代表人/主要负责人：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联系电话：</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授权代表：</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联系电话：</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邮编：</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被投诉人1：</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邮编：</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联系人：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联系电话：</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被投诉人2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相关供应商：</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地     址：</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邮编：</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联系人：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rPr>
        <w:t xml:space="preserve"> 联系电话：</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二、投诉项目基本情况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采购项目名称：</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采购项目编号：</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采购人名称：</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代理机构名称：</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采购文件公告：</w:t>
      </w:r>
      <w:r>
        <w:rPr>
          <w:color w:val="auto"/>
          <w:szCs w:val="21"/>
          <w:highlight w:val="none"/>
          <w:u w:val="single"/>
        </w:rPr>
        <w:t>是/否</w:t>
      </w:r>
      <w:r>
        <w:rPr>
          <w:color w:val="auto"/>
          <w:szCs w:val="21"/>
          <w:highlight w:val="none"/>
        </w:rPr>
        <w:t xml:space="preserve">  公告期限：</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采购结果公告：</w:t>
      </w:r>
      <w:r>
        <w:rPr>
          <w:color w:val="auto"/>
          <w:szCs w:val="21"/>
          <w:highlight w:val="none"/>
          <w:u w:val="single"/>
        </w:rPr>
        <w:t>是/否</w:t>
      </w:r>
      <w:r>
        <w:rPr>
          <w:color w:val="auto"/>
          <w:szCs w:val="21"/>
          <w:highlight w:val="none"/>
        </w:rPr>
        <w:t xml:space="preserve">  公告期限：</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三、质疑基本情况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投诉人于</w:t>
      </w:r>
      <w:r>
        <w:rPr>
          <w:color w:val="auto"/>
          <w:szCs w:val="21"/>
          <w:highlight w:val="none"/>
          <w:u w:val="single"/>
        </w:rPr>
        <w:t xml:space="preserve">   年   月  日</w:t>
      </w:r>
      <w:r>
        <w:rPr>
          <w:color w:val="auto"/>
          <w:szCs w:val="21"/>
          <w:highlight w:val="none"/>
        </w:rPr>
        <w:t>，向</w:t>
      </w:r>
      <w:r>
        <w:rPr>
          <w:color w:val="auto"/>
          <w:szCs w:val="21"/>
          <w:highlight w:val="none"/>
          <w:u w:val="single"/>
        </w:rPr>
        <w:t xml:space="preserve">                   </w:t>
      </w:r>
      <w:r>
        <w:rPr>
          <w:color w:val="auto"/>
          <w:szCs w:val="21"/>
          <w:highlight w:val="none"/>
        </w:rPr>
        <w:t>提出质疑，质疑事项为：</w:t>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采购人/代理机构于</w:t>
      </w:r>
      <w:r>
        <w:rPr>
          <w:color w:val="auto"/>
          <w:szCs w:val="21"/>
          <w:highlight w:val="none"/>
          <w:u w:val="single"/>
        </w:rPr>
        <w:t xml:space="preserve">   年   月   日</w:t>
      </w:r>
      <w:r>
        <w:rPr>
          <w:color w:val="auto"/>
          <w:szCs w:val="21"/>
          <w:highlight w:val="none"/>
        </w:rPr>
        <w:t>，就质疑事项作出了答复/没有在法定期限内作出答复。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四、投诉事项具体内容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投诉事项 1：</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事实依据：</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法律依据：</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投诉事项2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五、与投诉事项相关的投诉请求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请求：</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签字（签章）：                   公章：                      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投诉书制作说明：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2.投诉人若委托代理人进行投诉的，投诉书应按照要求列明</w:t>
      </w:r>
      <w:r>
        <w:rPr>
          <w:rFonts w:hint="eastAsia"/>
          <w:color w:val="auto"/>
          <w:szCs w:val="21"/>
          <w:highlight w:val="none"/>
        </w:rPr>
        <w:t>“</w:t>
      </w:r>
      <w:r>
        <w:rPr>
          <w:color w:val="auto"/>
          <w:szCs w:val="21"/>
          <w:highlight w:val="none"/>
        </w:rPr>
        <w:t>授权代表</w:t>
      </w:r>
      <w:r>
        <w:rPr>
          <w:rFonts w:hint="eastAsia"/>
          <w:color w:val="auto"/>
          <w:szCs w:val="21"/>
          <w:highlight w:val="none"/>
        </w:rPr>
        <w:t>”</w:t>
      </w:r>
      <w:r>
        <w:rPr>
          <w:color w:val="auto"/>
          <w:szCs w:val="21"/>
          <w:highlight w:val="none"/>
        </w:rPr>
        <w:t>的有关内容，并在附件中提交由投诉人签署的授权委托书。授权委托书应当载明代理人的姓名或者名称、代理事项、具体权限、期限和相关事项。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3.投诉书应简要列明质疑事项，质疑函、质疑答复等作为附件材料提供。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4.投诉书的投诉事项应具体、明确，并有必要的事实依据和法律依据。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5.投诉书的投诉请求应与投诉事项相关。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r>
        <w:rPr>
          <w:color w:val="auto"/>
          <w:szCs w:val="21"/>
          <w:highlight w:val="none"/>
        </w:rPr>
        <w:t>6.投诉书应当由法定代表人或其授权代表签字或盖章，并加盖公章。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color w:val="auto"/>
          <w:szCs w:val="21"/>
          <w:highlight w:val="none"/>
        </w:rPr>
      </w:pPr>
    </w:p>
    <w:p>
      <w:pPr>
        <w:pStyle w:val="6"/>
        <w:rPr>
          <w:color w:val="auto"/>
          <w:szCs w:val="21"/>
          <w:highlight w:val="none"/>
        </w:rPr>
      </w:pPr>
    </w:p>
    <w:p>
      <w:pPr>
        <w:rPr>
          <w:color w:val="auto"/>
          <w:highlight w:val="none"/>
        </w:rPr>
      </w:pPr>
    </w:p>
    <w:p>
      <w:pPr>
        <w:rPr>
          <w:color w:val="auto"/>
          <w:highlight w:val="none"/>
        </w:rPr>
      </w:pPr>
    </w:p>
    <w:p>
      <w:pPr>
        <w:pStyle w:val="4"/>
        <w:rPr>
          <w:color w:val="auto"/>
          <w:highlight w:val="none"/>
        </w:rPr>
      </w:pPr>
      <w:bookmarkStart w:id="24" w:name="_Toc28403"/>
      <w:r>
        <w:rPr>
          <w:color w:val="auto"/>
          <w:highlight w:val="none"/>
        </w:rPr>
        <w:br w:type="page"/>
      </w:r>
      <w:r>
        <w:rPr>
          <w:color w:val="auto"/>
          <w:highlight w:val="none"/>
        </w:rPr>
        <w:t>第三章 开标和评标须知</w:t>
      </w:r>
      <w:bookmarkEnd w:id="24"/>
    </w:p>
    <w:p>
      <w:pPr>
        <w:spacing w:line="360" w:lineRule="auto"/>
        <w:jc w:val="left"/>
        <w:outlineLvl w:val="1"/>
        <w:rPr>
          <w:b/>
          <w:color w:val="auto"/>
          <w:szCs w:val="21"/>
          <w:highlight w:val="none"/>
        </w:rPr>
      </w:pPr>
      <w:r>
        <w:rPr>
          <w:b/>
          <w:color w:val="auto"/>
          <w:szCs w:val="21"/>
          <w:highlight w:val="none"/>
        </w:rPr>
        <w:t>1、评标小组</w:t>
      </w:r>
    </w:p>
    <w:p>
      <w:pPr>
        <w:spacing w:line="360" w:lineRule="auto"/>
        <w:jc w:val="left"/>
        <w:rPr>
          <w:color w:val="auto"/>
          <w:szCs w:val="21"/>
          <w:highlight w:val="none"/>
        </w:rPr>
      </w:pPr>
      <w:r>
        <w:rPr>
          <w:color w:val="auto"/>
          <w:szCs w:val="21"/>
          <w:highlight w:val="none"/>
        </w:rPr>
        <w:t>1.1评标小组将根据招标采购项目的特点确定。其成员由专家</w:t>
      </w:r>
      <w:r>
        <w:rPr>
          <w:color w:val="auto"/>
          <w:szCs w:val="21"/>
          <w:highlight w:val="none"/>
          <w:u w:val="single"/>
        </w:rPr>
        <w:t xml:space="preserve"> </w:t>
      </w:r>
      <w:r>
        <w:rPr>
          <w:rFonts w:hint="eastAsia"/>
          <w:color w:val="auto"/>
          <w:szCs w:val="21"/>
          <w:highlight w:val="none"/>
          <w:u w:val="single"/>
        </w:rPr>
        <w:t>4</w:t>
      </w:r>
      <w:r>
        <w:rPr>
          <w:color w:val="auto"/>
          <w:szCs w:val="21"/>
          <w:highlight w:val="none"/>
          <w:u w:val="single"/>
        </w:rPr>
        <w:t xml:space="preserve"> </w:t>
      </w:r>
      <w:r>
        <w:rPr>
          <w:color w:val="auto"/>
          <w:szCs w:val="21"/>
          <w:highlight w:val="none"/>
        </w:rPr>
        <w:t>位和采购人代表</w:t>
      </w:r>
      <w:r>
        <w:rPr>
          <w:color w:val="auto"/>
          <w:szCs w:val="21"/>
          <w:highlight w:val="none"/>
          <w:u w:val="single"/>
        </w:rPr>
        <w:t xml:space="preserve"> </w:t>
      </w:r>
      <w:r>
        <w:rPr>
          <w:rFonts w:hint="eastAsia"/>
          <w:color w:val="auto"/>
          <w:szCs w:val="21"/>
          <w:highlight w:val="none"/>
          <w:u w:val="single"/>
        </w:rPr>
        <w:t>1</w:t>
      </w:r>
      <w:r>
        <w:rPr>
          <w:color w:val="auto"/>
          <w:szCs w:val="21"/>
          <w:highlight w:val="none"/>
          <w:u w:val="single"/>
        </w:rPr>
        <w:t xml:space="preserve"> </w:t>
      </w:r>
      <w:r>
        <w:rPr>
          <w:color w:val="auto"/>
          <w:szCs w:val="21"/>
          <w:highlight w:val="none"/>
        </w:rPr>
        <w:t>位组成。评标小组对投标文件进行审查、评估和比较。</w:t>
      </w:r>
    </w:p>
    <w:p>
      <w:pPr>
        <w:spacing w:line="360" w:lineRule="auto"/>
        <w:jc w:val="left"/>
        <w:outlineLvl w:val="1"/>
        <w:rPr>
          <w:b/>
          <w:color w:val="auto"/>
          <w:szCs w:val="21"/>
          <w:highlight w:val="none"/>
        </w:rPr>
      </w:pPr>
      <w:r>
        <w:rPr>
          <w:b/>
          <w:color w:val="auto"/>
          <w:szCs w:val="21"/>
          <w:highlight w:val="none"/>
        </w:rPr>
        <w:t>2、评标原则</w:t>
      </w:r>
    </w:p>
    <w:p>
      <w:pPr>
        <w:spacing w:line="360" w:lineRule="auto"/>
        <w:jc w:val="left"/>
        <w:rPr>
          <w:color w:val="auto"/>
          <w:szCs w:val="21"/>
          <w:highlight w:val="none"/>
        </w:rPr>
      </w:pPr>
      <w:r>
        <w:rPr>
          <w:color w:val="auto"/>
          <w:szCs w:val="21"/>
          <w:highlight w:val="none"/>
        </w:rPr>
        <w:t>2.1评标小组将遵循公开、公平、公正的原则，严格遵守评标工作纪律。</w:t>
      </w:r>
    </w:p>
    <w:p>
      <w:pPr>
        <w:spacing w:line="360" w:lineRule="auto"/>
        <w:jc w:val="left"/>
        <w:rPr>
          <w:color w:val="auto"/>
          <w:szCs w:val="21"/>
          <w:highlight w:val="none"/>
        </w:rPr>
      </w:pPr>
      <w:r>
        <w:rPr>
          <w:color w:val="auto"/>
          <w:szCs w:val="21"/>
          <w:highlight w:val="none"/>
        </w:rPr>
        <w:t>2.2客观公正对待所有投标人，对所有投标评价均采用相同的程序和标准。评标的依据为招标文件和投标文件。</w:t>
      </w:r>
    </w:p>
    <w:p>
      <w:pPr>
        <w:spacing w:line="360" w:lineRule="auto"/>
        <w:jc w:val="left"/>
        <w:rPr>
          <w:color w:val="auto"/>
          <w:szCs w:val="21"/>
          <w:highlight w:val="none"/>
        </w:rPr>
      </w:pPr>
      <w:r>
        <w:rPr>
          <w:color w:val="auto"/>
          <w:szCs w:val="21"/>
          <w:highlight w:val="none"/>
        </w:rPr>
        <w:t>2.3在开标评标期间，投标人不得向评标小组成员询问评标情况，不得进行旨在影响评标结果的活动。</w:t>
      </w:r>
    </w:p>
    <w:p>
      <w:pPr>
        <w:spacing w:line="360" w:lineRule="auto"/>
        <w:jc w:val="left"/>
        <w:rPr>
          <w:color w:val="auto"/>
          <w:szCs w:val="21"/>
          <w:highlight w:val="none"/>
        </w:rPr>
      </w:pPr>
      <w:r>
        <w:rPr>
          <w:color w:val="auto"/>
          <w:szCs w:val="21"/>
          <w:highlight w:val="none"/>
        </w:rPr>
        <w:t>2.4为保证评标工作的公正性，评标过程中评标小组成员与投标人不得私人交换意见。招标工作结束后，凡与评标情况有接触的任何人不得将评标情况扩散出评标小组成员之外。</w:t>
      </w:r>
    </w:p>
    <w:p>
      <w:pPr>
        <w:spacing w:line="360" w:lineRule="auto"/>
        <w:jc w:val="left"/>
        <w:rPr>
          <w:color w:val="auto"/>
          <w:szCs w:val="21"/>
          <w:highlight w:val="none"/>
        </w:rPr>
      </w:pPr>
      <w:r>
        <w:rPr>
          <w:color w:val="auto"/>
          <w:szCs w:val="21"/>
          <w:highlight w:val="none"/>
        </w:rPr>
        <w:t>2.5评标小组不向落标方解释落标原因，不退还投标文件。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lang w:val="en-US" w:eastAsia="zh-CN"/>
        </w:rPr>
        <w:t>3、评审纪律和要求</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w:t>
      </w:r>
      <w:r>
        <w:rPr>
          <w:rFonts w:hint="eastAsia" w:ascii="Times New Roman" w:hAnsi="Times New Roman" w:eastAsia="宋体" w:cs="Times New Roman"/>
          <w:color w:val="auto"/>
          <w:szCs w:val="21"/>
          <w:highlight w:val="none"/>
        </w:rPr>
        <w:t>评审专家必须公平、公正评审，遵纪守法，客观、廉洁地履行职责。</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3.2</w:t>
      </w:r>
      <w:r>
        <w:rPr>
          <w:rFonts w:hint="eastAsia" w:ascii="Times New Roman" w:hAnsi="Times New Roman" w:eastAsia="宋体" w:cs="Times New Roman"/>
          <w:color w:val="auto"/>
          <w:szCs w:val="21"/>
          <w:highlight w:val="none"/>
        </w:rPr>
        <w:t>评审专家在评审开始前，应关闭并上交随身携带的各种通信工具。</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3.3</w:t>
      </w:r>
      <w:r>
        <w:rPr>
          <w:rFonts w:hint="eastAsia" w:ascii="Times New Roman" w:hAnsi="Times New Roman" w:eastAsia="宋体" w:cs="Times New Roman"/>
          <w:color w:val="auto"/>
          <w:szCs w:val="21"/>
          <w:highlight w:val="none"/>
        </w:rPr>
        <w:t>评审专家在评审过程中，未经许可不得中途离开评审现场，不得迟到早退。</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3.4</w:t>
      </w:r>
      <w:r>
        <w:rPr>
          <w:rFonts w:hint="eastAsia" w:ascii="Times New Roman" w:hAnsi="Times New Roman" w:eastAsia="宋体" w:cs="Times New Roman"/>
          <w:color w:val="auto"/>
          <w:szCs w:val="21"/>
          <w:highlight w:val="none"/>
        </w:rPr>
        <w:t>评审专家和工作人员不得透露评审过程中的讨论情况和评审结果。</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3.5</w:t>
      </w:r>
      <w:r>
        <w:rPr>
          <w:rFonts w:hint="eastAsia" w:ascii="Times New Roman" w:hAnsi="Times New Roman" w:eastAsia="宋体" w:cs="Times New Roman"/>
          <w:color w:val="auto"/>
          <w:szCs w:val="21"/>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6采购人、采购代理机构不得向评审委员会的评审专家作倾向性、误导性的解释或者说明。</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3.7</w:t>
      </w:r>
      <w:r>
        <w:rPr>
          <w:rFonts w:hint="eastAsia" w:ascii="Times New Roman" w:hAnsi="Times New Roman" w:eastAsia="宋体" w:cs="Times New Roman"/>
          <w:color w:val="auto"/>
          <w:szCs w:val="21"/>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3.8</w:t>
      </w:r>
      <w:r>
        <w:rPr>
          <w:rFonts w:hint="eastAsia" w:ascii="Times New Roman" w:hAnsi="Times New Roman" w:eastAsia="宋体" w:cs="Times New Roman"/>
          <w:color w:val="auto"/>
          <w:szCs w:val="21"/>
          <w:highlight w:val="none"/>
        </w:rPr>
        <w:t>评审专家在评审过程中不得将自己的观点强加给其他评审专家，评审专家应自主发表见解，对评审意见承担个人责任。</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3.9</w:t>
      </w:r>
      <w:r>
        <w:rPr>
          <w:rFonts w:hint="eastAsia" w:ascii="Times New Roman" w:hAnsi="Times New Roman" w:eastAsia="宋体" w:cs="Times New Roman"/>
          <w:color w:val="auto"/>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3.10</w:t>
      </w:r>
      <w:r>
        <w:rPr>
          <w:rFonts w:hint="eastAsia" w:ascii="Times New Roman" w:hAnsi="Times New Roman" w:eastAsia="宋体" w:cs="Times New Roman"/>
          <w:color w:val="auto"/>
          <w:szCs w:val="21"/>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3.11</w:t>
      </w:r>
      <w:r>
        <w:rPr>
          <w:rFonts w:hint="eastAsia" w:ascii="Times New Roman" w:hAnsi="Times New Roman" w:eastAsia="宋体" w:cs="Times New Roman"/>
          <w:color w:val="auto"/>
          <w:szCs w:val="21"/>
          <w:highlight w:val="none"/>
        </w:rPr>
        <w:t>评审专家应当遵守评审工作纪律，不得泄露评审文件、评审情况和评审中获悉的商业秘密。</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评审委员会在评审过程中发现投标人有行贿、提供虚假材料或者串通等违法行为的，应当及时向财政部门报告。</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3.12</w:t>
      </w:r>
      <w:r>
        <w:rPr>
          <w:rFonts w:hint="eastAsia" w:ascii="Times New Roman" w:hAnsi="Times New Roman" w:eastAsia="宋体" w:cs="Times New Roman"/>
          <w:color w:val="auto"/>
          <w:szCs w:val="21"/>
          <w:highlight w:val="none"/>
        </w:rPr>
        <w:t>招标文件内容违反国家有关强制性规定的，评审委员会应当停止评审并向采购代理机构说明情况。</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3.13</w:t>
      </w:r>
      <w:r>
        <w:rPr>
          <w:rFonts w:hint="eastAsia" w:ascii="Times New Roman" w:hAnsi="Times New Roman" w:eastAsia="宋体" w:cs="Times New Roman"/>
          <w:color w:val="auto"/>
          <w:szCs w:val="21"/>
          <w:highlight w:val="none"/>
        </w:rPr>
        <w:t>评审专家应当配合采购代理机构答复投标人提出的质疑。</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3.14</w:t>
      </w:r>
      <w:r>
        <w:rPr>
          <w:rFonts w:hint="eastAsia" w:ascii="Times New Roman" w:hAnsi="Times New Roman" w:eastAsia="宋体" w:cs="Times New Roman"/>
          <w:color w:val="auto"/>
          <w:szCs w:val="21"/>
          <w:highlight w:val="none"/>
        </w:rPr>
        <w:t>评审专家应当配合财政部门的投诉处理工作。</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3.15</w:t>
      </w:r>
      <w:r>
        <w:rPr>
          <w:rFonts w:hint="eastAsia" w:ascii="Times New Roman" w:hAnsi="Times New Roman" w:eastAsia="宋体" w:cs="Times New Roman"/>
          <w:color w:val="auto"/>
          <w:szCs w:val="21"/>
          <w:highlight w:val="none"/>
        </w:rPr>
        <w:t>评审专家有如下行为之一的，责令改正，给予警告，可以并处一千元以下的罚款：</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①</w:t>
      </w:r>
      <w:r>
        <w:rPr>
          <w:rFonts w:hint="eastAsia" w:ascii="Times New Roman" w:hAnsi="Times New Roman" w:eastAsia="宋体" w:cs="Times New Roman"/>
          <w:color w:val="auto"/>
          <w:szCs w:val="21"/>
          <w:highlight w:val="none"/>
        </w:rPr>
        <w:t>明知应当回避而未主动回避的；</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②</w:t>
      </w:r>
      <w:r>
        <w:rPr>
          <w:rFonts w:hint="eastAsia" w:ascii="Times New Roman" w:hAnsi="Times New Roman" w:eastAsia="宋体" w:cs="Times New Roman"/>
          <w:color w:val="auto"/>
          <w:szCs w:val="21"/>
          <w:highlight w:val="none"/>
        </w:rPr>
        <w:t>在</w:t>
      </w:r>
      <w:r>
        <w:rPr>
          <w:rFonts w:hint="eastAsia" w:ascii="Times New Roman" w:hAnsi="Times New Roman" w:eastAsia="宋体" w:cs="Times New Roman"/>
          <w:color w:val="auto"/>
          <w:szCs w:val="21"/>
          <w:highlight w:val="none"/>
          <w:lang w:eastAsia="zh-CN"/>
        </w:rPr>
        <w:t>得知</w:t>
      </w:r>
      <w:r>
        <w:rPr>
          <w:rFonts w:hint="eastAsia" w:ascii="Times New Roman" w:hAnsi="Times New Roman" w:eastAsia="宋体" w:cs="Times New Roman"/>
          <w:color w:val="auto"/>
          <w:szCs w:val="21"/>
          <w:highlight w:val="none"/>
        </w:rPr>
        <w:t>自己为评审专家身份后至评审结束前时段内私下接触投标人的；</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③</w:t>
      </w:r>
      <w:r>
        <w:rPr>
          <w:rFonts w:hint="eastAsia" w:ascii="Times New Roman" w:hAnsi="Times New Roman" w:eastAsia="宋体" w:cs="Times New Roman"/>
          <w:color w:val="auto"/>
          <w:szCs w:val="21"/>
          <w:highlight w:val="none"/>
        </w:rPr>
        <w:t>在评审过程中擅离职守，影响评审程序正常进行的；</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④</w:t>
      </w:r>
      <w:r>
        <w:rPr>
          <w:rFonts w:hint="eastAsia" w:ascii="Times New Roman" w:hAnsi="Times New Roman" w:eastAsia="宋体" w:cs="Times New Roman"/>
          <w:color w:val="auto"/>
          <w:szCs w:val="21"/>
          <w:highlight w:val="none"/>
        </w:rPr>
        <w:t>在评审过程有明显不合理或者不正当倾向性的；</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⑤</w:t>
      </w:r>
      <w:r>
        <w:rPr>
          <w:rFonts w:hint="eastAsia" w:ascii="Times New Roman" w:hAnsi="Times New Roman" w:eastAsia="宋体" w:cs="Times New Roman"/>
          <w:color w:val="auto"/>
          <w:szCs w:val="21"/>
          <w:highlight w:val="none"/>
        </w:rPr>
        <w:t>未按招标文件规定的评审方法和标准进行评审的。</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⑥</w:t>
      </w:r>
      <w:r>
        <w:rPr>
          <w:rFonts w:hint="eastAsia" w:ascii="Times New Roman" w:hAnsi="Times New Roman" w:eastAsia="宋体" w:cs="Times New Roman"/>
          <w:color w:val="auto"/>
          <w:szCs w:val="21"/>
          <w:highlight w:val="none"/>
        </w:rPr>
        <w:t>上述</w:t>
      </w:r>
      <w:r>
        <w:rPr>
          <w:rFonts w:hint="eastAsia" w:ascii="Times New Roman" w:hAnsi="Times New Roman" w:eastAsia="宋体" w:cs="Times New Roman"/>
          <w:color w:val="auto"/>
          <w:szCs w:val="21"/>
          <w:highlight w:val="none"/>
          <w:lang w:eastAsia="zh-CN"/>
        </w:rPr>
        <w:t>①</w:t>
      </w:r>
      <w:r>
        <w:rPr>
          <w:rFonts w:hint="eastAsia" w:ascii="Times New Roman" w:hAnsi="Times New Roman" w:eastAsia="宋体" w:cs="Times New Roman"/>
          <w:color w:val="auto"/>
          <w:szCs w:val="21"/>
          <w:highlight w:val="none"/>
        </w:rPr>
        <w:t>至</w:t>
      </w:r>
      <w:r>
        <w:rPr>
          <w:rFonts w:hint="eastAsia" w:ascii="Times New Roman" w:hAnsi="Times New Roman" w:eastAsia="宋体" w:cs="Times New Roman"/>
          <w:color w:val="auto"/>
          <w:szCs w:val="21"/>
          <w:highlight w:val="none"/>
          <w:lang w:eastAsia="zh-CN"/>
        </w:rPr>
        <w:t>⑤</w:t>
      </w:r>
      <w:r>
        <w:rPr>
          <w:rFonts w:hint="eastAsia" w:ascii="Times New Roman" w:hAnsi="Times New Roman" w:eastAsia="宋体" w:cs="Times New Roman"/>
          <w:color w:val="auto"/>
          <w:szCs w:val="21"/>
          <w:highlight w:val="none"/>
        </w:rPr>
        <w:t>行为影响中标结果的，中标结果无效。</w:t>
      </w:r>
    </w:p>
    <w:p>
      <w:pPr>
        <w:spacing w:line="360" w:lineRule="auto"/>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3.16</w:t>
      </w:r>
      <w:r>
        <w:rPr>
          <w:rFonts w:hint="eastAsia" w:ascii="Times New Roman" w:hAnsi="Times New Roman" w:eastAsia="宋体" w:cs="Times New Roman"/>
          <w:color w:val="auto"/>
          <w:szCs w:val="21"/>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20" w:firstLineChars="20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政府采购评审专家与投标人存在利害关系未回避的，处2万元以上5万元以下的罚款，禁止其参加政府采购评审活动。</w:t>
      </w:r>
    </w:p>
    <w:p>
      <w:pPr>
        <w:spacing w:line="360" w:lineRule="auto"/>
        <w:ind w:firstLine="420" w:firstLineChars="200"/>
        <w:jc w:val="left"/>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政府采购评审专家有上述违法行为的，其评审意见无效，不得获取评审费；有违法所得的，没收违法所得；给他人造成损失的，依法承担民事责任。</w:t>
      </w:r>
    </w:p>
    <w:p>
      <w:pPr>
        <w:spacing w:line="360" w:lineRule="auto"/>
        <w:jc w:val="left"/>
        <w:outlineLvl w:val="1"/>
        <w:rPr>
          <w:b/>
          <w:color w:val="auto"/>
          <w:szCs w:val="21"/>
          <w:highlight w:val="none"/>
        </w:rPr>
      </w:pPr>
      <w:r>
        <w:rPr>
          <w:rFonts w:hint="eastAsia"/>
          <w:b/>
          <w:color w:val="auto"/>
          <w:szCs w:val="21"/>
          <w:highlight w:val="none"/>
          <w:lang w:val="en-US" w:eastAsia="zh-CN"/>
        </w:rPr>
        <w:t>4</w:t>
      </w:r>
      <w:r>
        <w:rPr>
          <w:b/>
          <w:color w:val="auto"/>
          <w:szCs w:val="21"/>
          <w:highlight w:val="none"/>
        </w:rPr>
        <w:t>、开标</w:t>
      </w:r>
    </w:p>
    <w:p>
      <w:pPr>
        <w:spacing w:line="360" w:lineRule="auto"/>
        <w:jc w:val="left"/>
        <w:rPr>
          <w:color w:val="auto"/>
          <w:szCs w:val="21"/>
          <w:highlight w:val="none"/>
        </w:rPr>
      </w:pPr>
      <w:r>
        <w:rPr>
          <w:rFonts w:hint="eastAsia"/>
          <w:color w:val="auto"/>
          <w:szCs w:val="21"/>
          <w:highlight w:val="none"/>
          <w:lang w:val="en-US" w:eastAsia="zh-CN"/>
        </w:rPr>
        <w:t>4</w:t>
      </w:r>
      <w:r>
        <w:rPr>
          <w:color w:val="auto"/>
          <w:szCs w:val="21"/>
          <w:highlight w:val="none"/>
        </w:rPr>
        <w:t>.1采购代理机构按本招标文件的招标公告中规定的日期、时间和地点组织公开开标。</w:t>
      </w:r>
    </w:p>
    <w:p>
      <w:pPr>
        <w:spacing w:line="360" w:lineRule="auto"/>
        <w:jc w:val="left"/>
        <w:rPr>
          <w:color w:val="auto"/>
          <w:szCs w:val="21"/>
          <w:highlight w:val="none"/>
        </w:rPr>
      </w:pPr>
      <w:r>
        <w:rPr>
          <w:rFonts w:hint="eastAsia"/>
          <w:color w:val="auto"/>
          <w:szCs w:val="21"/>
          <w:highlight w:val="none"/>
          <w:lang w:val="en-US" w:eastAsia="zh-CN"/>
        </w:rPr>
        <w:t>4</w:t>
      </w:r>
      <w:r>
        <w:rPr>
          <w:color w:val="auto"/>
          <w:szCs w:val="21"/>
          <w:highlight w:val="none"/>
        </w:rPr>
        <w:t>.2提交投标文件截止时间后，投标人登录政采云平台，用</w:t>
      </w:r>
      <w:r>
        <w:rPr>
          <w:rFonts w:hint="eastAsia"/>
          <w:color w:val="auto"/>
          <w:szCs w:val="21"/>
          <w:highlight w:val="none"/>
        </w:rPr>
        <w:t>“</w:t>
      </w:r>
      <w:r>
        <w:rPr>
          <w:color w:val="auto"/>
          <w:szCs w:val="21"/>
          <w:highlight w:val="none"/>
        </w:rPr>
        <w:t>项目采购-开标评标</w:t>
      </w:r>
      <w:r>
        <w:rPr>
          <w:rFonts w:hint="eastAsia"/>
          <w:color w:val="auto"/>
          <w:szCs w:val="21"/>
          <w:highlight w:val="none"/>
        </w:rPr>
        <w:t>”</w:t>
      </w:r>
      <w:r>
        <w:rPr>
          <w:color w:val="auto"/>
          <w:szCs w:val="21"/>
          <w:highlight w:val="none"/>
        </w:rPr>
        <w:t>功能对电子投标文件进行在线解密。在线解密电子投标文件时间为提交投标文件截止时间起1个小时内。</w:t>
      </w:r>
    </w:p>
    <w:p>
      <w:pPr>
        <w:spacing w:line="360" w:lineRule="auto"/>
        <w:jc w:val="left"/>
        <w:outlineLvl w:val="1"/>
        <w:rPr>
          <w:b/>
          <w:color w:val="auto"/>
          <w:szCs w:val="21"/>
          <w:highlight w:val="none"/>
        </w:rPr>
      </w:pPr>
      <w:r>
        <w:rPr>
          <w:rFonts w:hint="eastAsia"/>
          <w:b/>
          <w:color w:val="auto"/>
          <w:szCs w:val="21"/>
          <w:highlight w:val="none"/>
          <w:lang w:val="en-US" w:eastAsia="zh-CN"/>
        </w:rPr>
        <w:t>5</w:t>
      </w:r>
      <w:r>
        <w:rPr>
          <w:b/>
          <w:color w:val="auto"/>
          <w:szCs w:val="21"/>
          <w:highlight w:val="none"/>
        </w:rPr>
        <w:t>、投标文件的初审</w:t>
      </w:r>
    </w:p>
    <w:p>
      <w:pPr>
        <w:spacing w:line="360" w:lineRule="auto"/>
        <w:jc w:val="left"/>
        <w:rPr>
          <w:color w:val="auto"/>
          <w:szCs w:val="21"/>
          <w:highlight w:val="none"/>
          <w:shd w:val="pct10" w:color="auto" w:fill="FFFFFF"/>
        </w:rPr>
      </w:pPr>
      <w:r>
        <w:rPr>
          <w:rFonts w:hint="eastAsia"/>
          <w:color w:val="auto"/>
          <w:szCs w:val="21"/>
          <w:highlight w:val="none"/>
          <w:lang w:val="en-US" w:eastAsia="zh-CN"/>
        </w:rPr>
        <w:t>5</w:t>
      </w:r>
      <w:r>
        <w:rPr>
          <w:color w:val="auto"/>
          <w:szCs w:val="21"/>
          <w:highlight w:val="none"/>
        </w:rPr>
        <w:t>.1</w:t>
      </w:r>
      <w:r>
        <w:rPr>
          <w:color w:val="auto"/>
          <w:highlight w:val="none"/>
        </w:rPr>
        <w:t>在线解密后，采购人依法对投标人的资格证明资料进行审查。审查内容包括招标文件第二章总则第3条要求提交的相应材料、投标人的信用信息查询记录等。合格投标人不足3家的，不得评标。</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.2评标小组将审查投标文件是否完整、总体编排是否有序、文件签署是否合格、有无计算上的错误等。</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.3在评标期间，评标小组可要求投标人对其投标文件进行在线澄清，但不得寻求、提供或允许对投标价格等实质性内容作任何修改。有关澄清的要求和答复视作投标文件的组成部分。</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4算术错误将按以下方法更正：若单价计算的结果与总价不一致以单价为准修改总价；若用文字表示的数值与用数字表示的数值不一致，以文字表示的数值为准；若文字与图形表示的不一致，以文字表示为准。如果投标人不接受对其错误的更正，其投标将被拒绝。</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.5对于投标文件中不构成实质性偏差的不正规、不一致或不规则，采购代理机构和采购人可以接受，但这种接受不能损害或影响任何投标人的相对排序。</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6在详细评标之前，评标小组要审查每份投标文件是否实质上响应了招标文件的要求。实质上响应的投标应该是与招标文件要求的全部条款、条件和规格相符，没有重大偏离的投标。重大偏离或保留系指影响到招标文件规定的服务范围、质量和性能，或限制了采购人和投标人的义务的规定，而纠正这些偏离将影响到其它提交实质性响应的投标人的公平竞争地位。评标委员会判定投标的响应性只根据投标文件本身的内容，而不寻求外部的证据。</w:t>
      </w:r>
    </w:p>
    <w:p>
      <w:pPr>
        <w:spacing w:line="360" w:lineRule="auto"/>
        <w:jc w:val="left"/>
        <w:rPr>
          <w:color w:val="auto"/>
          <w:szCs w:val="21"/>
          <w:highlight w:val="none"/>
        </w:rPr>
      </w:pPr>
      <w:r>
        <w:rPr>
          <w:rFonts w:hint="eastAsia"/>
          <w:color w:val="auto"/>
          <w:szCs w:val="21"/>
          <w:highlight w:val="none"/>
          <w:lang w:val="en-US" w:eastAsia="zh-CN"/>
        </w:rPr>
        <w:t>5</w:t>
      </w:r>
      <w:r>
        <w:rPr>
          <w:color w:val="auto"/>
          <w:szCs w:val="21"/>
          <w:highlight w:val="none"/>
        </w:rPr>
        <w:t>.7实质上没有响应招标文件要求的投标将被拒绝。投标人不得通过修正或撤销不合要求的偏离或保留从而使其投标成为实质上响应的投标。</w:t>
      </w:r>
    </w:p>
    <w:p>
      <w:pPr>
        <w:spacing w:line="360" w:lineRule="auto"/>
        <w:jc w:val="left"/>
        <w:rPr>
          <w:b/>
          <w:bCs/>
          <w:color w:val="auto"/>
          <w:szCs w:val="21"/>
          <w:highlight w:val="none"/>
        </w:rPr>
      </w:pPr>
      <w:r>
        <w:rPr>
          <w:rFonts w:hint="eastAsia"/>
          <w:b/>
          <w:bCs/>
          <w:color w:val="auto"/>
          <w:szCs w:val="21"/>
          <w:highlight w:val="none"/>
          <w:lang w:val="en-US" w:eastAsia="zh-CN"/>
        </w:rPr>
        <w:t>5</w:t>
      </w:r>
      <w:r>
        <w:rPr>
          <w:b/>
          <w:bCs/>
          <w:color w:val="auto"/>
          <w:szCs w:val="21"/>
          <w:highlight w:val="none"/>
        </w:rPr>
        <w:t>.8如发现下列情况之一的，其投标将被拒绝：</w:t>
      </w:r>
    </w:p>
    <w:p>
      <w:pPr>
        <w:spacing w:line="360" w:lineRule="auto"/>
        <w:ind w:firstLine="210" w:firstLineChars="100"/>
        <w:jc w:val="left"/>
        <w:rPr>
          <w:color w:val="auto"/>
          <w:szCs w:val="21"/>
          <w:highlight w:val="none"/>
        </w:rPr>
      </w:pPr>
      <w:r>
        <w:rPr>
          <w:color w:val="auto"/>
          <w:szCs w:val="21"/>
          <w:highlight w:val="none"/>
        </w:rPr>
        <w:t>（1）</w:t>
      </w:r>
      <w:r>
        <w:rPr>
          <w:bCs/>
          <w:color w:val="auto"/>
          <w:szCs w:val="21"/>
          <w:highlight w:val="none"/>
        </w:rPr>
        <w:t>未按招标文件规定提供相关资料、</w:t>
      </w:r>
      <w:r>
        <w:rPr>
          <w:rFonts w:hint="eastAsia"/>
          <w:bCs/>
          <w:color w:val="auto"/>
          <w:szCs w:val="21"/>
          <w:highlight w:val="none"/>
        </w:rPr>
        <w:t>提交的</w:t>
      </w:r>
      <w:r>
        <w:rPr>
          <w:bCs/>
          <w:color w:val="auto"/>
          <w:szCs w:val="21"/>
          <w:highlight w:val="none"/>
        </w:rPr>
        <w:t>资格证明文件</w:t>
      </w:r>
      <w:r>
        <w:rPr>
          <w:rFonts w:hint="eastAsia"/>
          <w:bCs/>
          <w:color w:val="auto"/>
          <w:szCs w:val="21"/>
          <w:highlight w:val="none"/>
        </w:rPr>
        <w:t>等资料</w:t>
      </w:r>
      <w:r>
        <w:rPr>
          <w:bCs/>
          <w:color w:val="auto"/>
          <w:szCs w:val="21"/>
          <w:highlight w:val="none"/>
        </w:rPr>
        <w:t>不全的</w:t>
      </w:r>
      <w:r>
        <w:rPr>
          <w:color w:val="auto"/>
          <w:szCs w:val="21"/>
          <w:highlight w:val="none"/>
        </w:rPr>
        <w:t>。</w:t>
      </w:r>
    </w:p>
    <w:p>
      <w:pPr>
        <w:spacing w:line="360" w:lineRule="auto"/>
        <w:ind w:firstLine="210" w:firstLineChars="100"/>
        <w:jc w:val="left"/>
        <w:rPr>
          <w:color w:val="auto"/>
          <w:szCs w:val="21"/>
          <w:highlight w:val="none"/>
        </w:rPr>
      </w:pPr>
      <w:r>
        <w:rPr>
          <w:color w:val="auto"/>
          <w:szCs w:val="21"/>
          <w:highlight w:val="none"/>
        </w:rPr>
        <w:t>（2）投标文件不符合招标文件规定，未按规定格式填写，内容不全或关键字模糊、无法辨认，无法提供招标文件所要求的必须提供的资料。</w:t>
      </w:r>
    </w:p>
    <w:p>
      <w:pPr>
        <w:spacing w:line="360" w:lineRule="auto"/>
        <w:ind w:firstLine="210" w:firstLineChars="100"/>
        <w:jc w:val="left"/>
        <w:rPr>
          <w:color w:val="auto"/>
          <w:szCs w:val="21"/>
          <w:highlight w:val="none"/>
        </w:rPr>
      </w:pPr>
      <w:r>
        <w:rPr>
          <w:color w:val="auto"/>
          <w:szCs w:val="21"/>
          <w:highlight w:val="none"/>
        </w:rPr>
        <w:t>（3）投标文件有关部位未按规定加盖印章，或无法定代表人（或授权代表）签字或盖章。</w:t>
      </w:r>
    </w:p>
    <w:p>
      <w:pPr>
        <w:spacing w:line="360" w:lineRule="auto"/>
        <w:ind w:firstLine="210" w:firstLineChars="100"/>
        <w:jc w:val="left"/>
        <w:rPr>
          <w:color w:val="auto"/>
          <w:szCs w:val="21"/>
          <w:highlight w:val="none"/>
        </w:rPr>
      </w:pPr>
      <w:r>
        <w:rPr>
          <w:color w:val="auto"/>
          <w:szCs w:val="21"/>
          <w:highlight w:val="none"/>
        </w:rPr>
        <w:t>（4）</w:t>
      </w:r>
      <w:r>
        <w:rPr>
          <w:rFonts w:hint="eastAsia"/>
          <w:color w:val="auto"/>
          <w:szCs w:val="21"/>
          <w:highlight w:val="none"/>
        </w:rPr>
        <w:t>未按规定截止时间</w:t>
      </w:r>
      <w:r>
        <w:rPr>
          <w:color w:val="auto"/>
          <w:szCs w:val="21"/>
          <w:highlight w:val="none"/>
        </w:rPr>
        <w:t>上传、在线解密电子投标文件。</w:t>
      </w:r>
    </w:p>
    <w:p>
      <w:pPr>
        <w:spacing w:line="360" w:lineRule="auto"/>
        <w:ind w:firstLine="210" w:firstLineChars="100"/>
        <w:jc w:val="left"/>
        <w:rPr>
          <w:color w:val="auto"/>
          <w:szCs w:val="21"/>
          <w:highlight w:val="none"/>
        </w:rPr>
      </w:pPr>
      <w:r>
        <w:rPr>
          <w:color w:val="auto"/>
          <w:szCs w:val="21"/>
          <w:highlight w:val="none"/>
        </w:rPr>
        <w:t>（5）投标人名称</w:t>
      </w:r>
      <w:r>
        <w:rPr>
          <w:rFonts w:hint="eastAsia"/>
          <w:color w:val="auto"/>
          <w:szCs w:val="21"/>
          <w:highlight w:val="none"/>
        </w:rPr>
        <w:t>、</w:t>
      </w:r>
      <w:r>
        <w:rPr>
          <w:color w:val="auto"/>
          <w:szCs w:val="21"/>
          <w:highlight w:val="none"/>
        </w:rPr>
        <w:t>组织结构</w:t>
      </w:r>
      <w:r>
        <w:rPr>
          <w:rFonts w:hint="eastAsia"/>
          <w:color w:val="auto"/>
          <w:szCs w:val="21"/>
          <w:highlight w:val="none"/>
        </w:rPr>
        <w:t>、</w:t>
      </w:r>
      <w:r>
        <w:rPr>
          <w:color w:val="auto"/>
          <w:szCs w:val="21"/>
          <w:highlight w:val="none"/>
        </w:rPr>
        <w:t>资格</w:t>
      </w:r>
      <w:r>
        <w:rPr>
          <w:rFonts w:hint="eastAsia"/>
          <w:color w:val="auto"/>
          <w:szCs w:val="21"/>
          <w:highlight w:val="none"/>
        </w:rPr>
        <w:t>与书面资料经</w:t>
      </w:r>
      <w:r>
        <w:rPr>
          <w:color w:val="auto"/>
          <w:szCs w:val="21"/>
          <w:highlight w:val="none"/>
        </w:rPr>
        <w:t>审查不一致的。</w:t>
      </w:r>
    </w:p>
    <w:p>
      <w:pPr>
        <w:spacing w:line="360" w:lineRule="auto"/>
        <w:ind w:firstLine="210" w:firstLineChars="100"/>
        <w:jc w:val="left"/>
        <w:rPr>
          <w:color w:val="auto"/>
          <w:szCs w:val="21"/>
          <w:highlight w:val="none"/>
        </w:rPr>
      </w:pPr>
      <w:r>
        <w:rPr>
          <w:color w:val="auto"/>
          <w:szCs w:val="21"/>
          <w:highlight w:val="none"/>
        </w:rPr>
        <w:t>（6）投标有效期不足的。</w:t>
      </w:r>
    </w:p>
    <w:p>
      <w:pPr>
        <w:spacing w:line="360" w:lineRule="auto"/>
        <w:ind w:firstLine="210" w:firstLineChars="100"/>
        <w:jc w:val="left"/>
        <w:rPr>
          <w:color w:val="auto"/>
          <w:szCs w:val="21"/>
          <w:highlight w:val="none"/>
        </w:rPr>
      </w:pPr>
      <w:r>
        <w:rPr>
          <w:color w:val="auto"/>
          <w:szCs w:val="21"/>
          <w:highlight w:val="none"/>
        </w:rPr>
        <w:t>（7）投标文件内容与招标文件有重大偏离或无实质性响应的。</w:t>
      </w:r>
    </w:p>
    <w:p>
      <w:pPr>
        <w:spacing w:line="360" w:lineRule="auto"/>
        <w:ind w:firstLine="210" w:firstLineChars="100"/>
        <w:jc w:val="left"/>
        <w:rPr>
          <w:color w:val="auto"/>
          <w:szCs w:val="21"/>
          <w:highlight w:val="none"/>
        </w:rPr>
      </w:pPr>
      <w:r>
        <w:rPr>
          <w:color w:val="auto"/>
          <w:szCs w:val="21"/>
          <w:highlight w:val="none"/>
        </w:rPr>
        <w:t>（8）投标文件中报价不明确的。</w:t>
      </w:r>
    </w:p>
    <w:p>
      <w:pPr>
        <w:spacing w:line="360" w:lineRule="auto"/>
        <w:ind w:firstLine="210" w:firstLineChars="100"/>
        <w:jc w:val="left"/>
        <w:rPr>
          <w:color w:val="auto"/>
          <w:szCs w:val="21"/>
          <w:highlight w:val="none"/>
        </w:rPr>
      </w:pPr>
      <w:r>
        <w:rPr>
          <w:color w:val="auto"/>
          <w:szCs w:val="21"/>
          <w:highlight w:val="none"/>
        </w:rPr>
        <w:t>（9）不同投标人的投标文件出现雷同或相似的。</w:t>
      </w:r>
    </w:p>
    <w:p>
      <w:pPr>
        <w:spacing w:line="360" w:lineRule="auto"/>
        <w:ind w:firstLine="210" w:firstLineChars="100"/>
        <w:jc w:val="left"/>
        <w:rPr>
          <w:color w:val="auto"/>
          <w:szCs w:val="21"/>
          <w:highlight w:val="none"/>
        </w:rPr>
      </w:pPr>
      <w:r>
        <w:rPr>
          <w:color w:val="auto"/>
          <w:szCs w:val="21"/>
          <w:highlight w:val="none"/>
        </w:rPr>
        <w:t>（10）技术标中体现价格报价的。</w:t>
      </w:r>
    </w:p>
    <w:p>
      <w:pPr>
        <w:spacing w:line="360" w:lineRule="auto"/>
        <w:ind w:firstLine="210" w:firstLineChars="100"/>
        <w:jc w:val="left"/>
        <w:rPr>
          <w:color w:val="auto"/>
          <w:highlight w:val="none"/>
        </w:rPr>
      </w:pPr>
      <w:r>
        <w:rPr>
          <w:color w:val="auto"/>
          <w:highlight w:val="none"/>
        </w:rPr>
        <w:t>（11）电子投标文件解密失败的。</w:t>
      </w:r>
    </w:p>
    <w:p>
      <w:pPr>
        <w:spacing w:line="360" w:lineRule="auto"/>
        <w:ind w:firstLine="210" w:firstLineChars="100"/>
        <w:jc w:val="left"/>
        <w:rPr>
          <w:color w:val="auto"/>
          <w:highlight w:val="none"/>
        </w:rPr>
      </w:pPr>
      <w:r>
        <w:rPr>
          <w:rFonts w:hint="eastAsia"/>
          <w:color w:val="auto"/>
          <w:highlight w:val="none"/>
        </w:rPr>
        <w:t>（12）</w:t>
      </w:r>
      <w:r>
        <w:rPr>
          <w:color w:val="auto"/>
          <w:highlight w:val="none"/>
        </w:rPr>
        <w:t>不同投标人被政采云识别为硬件设备或 IP 地址相同。</w:t>
      </w:r>
    </w:p>
    <w:p>
      <w:pPr>
        <w:spacing w:line="360" w:lineRule="auto"/>
        <w:ind w:firstLine="210" w:firstLineChars="100"/>
        <w:jc w:val="left"/>
        <w:rPr>
          <w:color w:val="auto"/>
          <w:highlight w:val="none"/>
        </w:rPr>
      </w:pPr>
      <w:r>
        <w:rPr>
          <w:rFonts w:hint="eastAsia"/>
          <w:color w:val="auto"/>
          <w:highlight w:val="none"/>
        </w:rPr>
        <w:t>（13</w:t>
      </w:r>
      <w:r>
        <w:rPr>
          <w:color w:val="auto"/>
          <w:highlight w:val="none"/>
        </w:rPr>
        <w:t>）不同投标人被政采云识别为投标文件文本相似度大于 30%。</w:t>
      </w:r>
    </w:p>
    <w:p>
      <w:pPr>
        <w:spacing w:line="360" w:lineRule="auto"/>
        <w:ind w:firstLine="210" w:firstLineChars="100"/>
        <w:jc w:val="left"/>
        <w:rPr>
          <w:color w:val="auto"/>
          <w:highlight w:val="none"/>
        </w:rPr>
      </w:pPr>
      <w:r>
        <w:rPr>
          <w:rFonts w:hint="eastAsia"/>
          <w:color w:val="auto"/>
          <w:highlight w:val="none"/>
        </w:rPr>
        <w:t>（14）</w:t>
      </w:r>
      <w:r>
        <w:rPr>
          <w:color w:val="auto"/>
          <w:highlight w:val="none"/>
        </w:rPr>
        <w:t>不同投标人被政采云识别为投标行为异常，即两家投标人累计超过30次以上共同投标，且其中一家中标率为0%。</w:t>
      </w:r>
    </w:p>
    <w:p>
      <w:pPr>
        <w:spacing w:line="360" w:lineRule="auto"/>
        <w:ind w:firstLine="210" w:firstLineChars="100"/>
        <w:jc w:val="left"/>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）其它不符合《中华人民共和国政府采购法》及国家、省、市有关法律、法规和实施办法、制度等。</w:t>
      </w:r>
    </w:p>
    <w:p>
      <w:pPr>
        <w:spacing w:line="360" w:lineRule="auto"/>
        <w:jc w:val="left"/>
        <w:rPr>
          <w:b/>
          <w:bCs/>
          <w:color w:val="auto"/>
          <w:szCs w:val="21"/>
          <w:highlight w:val="none"/>
        </w:rPr>
      </w:pPr>
      <w:r>
        <w:rPr>
          <w:rFonts w:hint="eastAsia"/>
          <w:b/>
          <w:bCs/>
          <w:color w:val="auto"/>
          <w:szCs w:val="21"/>
          <w:highlight w:val="none"/>
          <w:lang w:val="en-US" w:eastAsia="zh-CN"/>
        </w:rPr>
        <w:t>5</w:t>
      </w:r>
      <w:r>
        <w:rPr>
          <w:b/>
          <w:bCs/>
          <w:color w:val="auto"/>
          <w:szCs w:val="21"/>
          <w:highlight w:val="none"/>
        </w:rPr>
        <w:t>.9有下列情况之一者其投标无效、而且采购代理机构将报送有关部门查处：</w:t>
      </w:r>
    </w:p>
    <w:p>
      <w:pPr>
        <w:spacing w:line="360" w:lineRule="auto"/>
        <w:ind w:left="284"/>
        <w:jc w:val="left"/>
        <w:rPr>
          <w:color w:val="auto"/>
          <w:szCs w:val="21"/>
          <w:highlight w:val="none"/>
        </w:rPr>
      </w:pPr>
      <w:r>
        <w:rPr>
          <w:color w:val="auto"/>
          <w:szCs w:val="21"/>
          <w:highlight w:val="none"/>
        </w:rPr>
        <w:t>（1）提交的关于投标人的资格、拟供服务合格性的证明材料不真实，弄虚作假（含成交后查实的）。</w:t>
      </w:r>
    </w:p>
    <w:p>
      <w:pPr>
        <w:spacing w:line="360" w:lineRule="auto"/>
        <w:ind w:left="284"/>
        <w:jc w:val="left"/>
        <w:rPr>
          <w:color w:val="auto"/>
          <w:szCs w:val="21"/>
          <w:highlight w:val="none"/>
        </w:rPr>
      </w:pPr>
      <w:r>
        <w:rPr>
          <w:color w:val="auto"/>
          <w:szCs w:val="21"/>
          <w:highlight w:val="none"/>
        </w:rPr>
        <w:t>（2）串通作弊。</w:t>
      </w:r>
    </w:p>
    <w:p>
      <w:pPr>
        <w:spacing w:line="360" w:lineRule="auto"/>
        <w:ind w:left="284"/>
        <w:jc w:val="left"/>
        <w:rPr>
          <w:color w:val="auto"/>
          <w:szCs w:val="21"/>
          <w:highlight w:val="none"/>
        </w:rPr>
      </w:pPr>
      <w:r>
        <w:rPr>
          <w:color w:val="auto"/>
          <w:szCs w:val="21"/>
          <w:highlight w:val="none"/>
        </w:rPr>
        <w:t>（3）采用不正当手段妨碍排挤其他投标人，扰乱招投标市场、破坏公平竞争。</w:t>
      </w:r>
    </w:p>
    <w:p>
      <w:pPr>
        <w:spacing w:line="360" w:lineRule="auto"/>
        <w:ind w:left="284"/>
        <w:jc w:val="left"/>
        <w:rPr>
          <w:color w:val="auto"/>
          <w:szCs w:val="21"/>
          <w:highlight w:val="none"/>
        </w:rPr>
      </w:pPr>
      <w:r>
        <w:rPr>
          <w:color w:val="auto"/>
          <w:szCs w:val="21"/>
          <w:highlight w:val="none"/>
        </w:rPr>
        <w:t>（4）以他人名义或挂户参与投标。</w:t>
      </w:r>
    </w:p>
    <w:p>
      <w:pPr>
        <w:spacing w:line="360" w:lineRule="auto"/>
        <w:ind w:left="284"/>
        <w:jc w:val="left"/>
        <w:rPr>
          <w:color w:val="auto"/>
          <w:szCs w:val="21"/>
          <w:highlight w:val="none"/>
        </w:rPr>
      </w:pPr>
      <w:r>
        <w:rPr>
          <w:color w:val="auto"/>
          <w:szCs w:val="21"/>
          <w:highlight w:val="none"/>
        </w:rPr>
        <w:t>（5）有影响评标公证性或不正当行为的投标。</w:t>
      </w:r>
    </w:p>
    <w:p>
      <w:pPr>
        <w:spacing w:line="360" w:lineRule="auto"/>
        <w:ind w:left="284"/>
        <w:jc w:val="left"/>
        <w:rPr>
          <w:color w:val="auto"/>
          <w:szCs w:val="21"/>
          <w:highlight w:val="none"/>
        </w:rPr>
      </w:pPr>
      <w:r>
        <w:rPr>
          <w:color w:val="auto"/>
          <w:szCs w:val="21"/>
          <w:highlight w:val="none"/>
        </w:rPr>
        <w:t>（6）其它不符合《中华人民共和国政府采购法》及国家、省、市有关法律、法规和实施办法、制度等。</w:t>
      </w:r>
    </w:p>
    <w:p>
      <w:pPr>
        <w:spacing w:line="360" w:lineRule="auto"/>
        <w:jc w:val="left"/>
        <w:outlineLvl w:val="1"/>
        <w:rPr>
          <w:color w:val="auto"/>
          <w:szCs w:val="21"/>
          <w:highlight w:val="none"/>
        </w:rPr>
      </w:pPr>
      <w:r>
        <w:rPr>
          <w:rFonts w:hint="eastAsia"/>
          <w:b/>
          <w:bCs/>
          <w:color w:val="auto"/>
          <w:szCs w:val="21"/>
          <w:highlight w:val="none"/>
          <w:lang w:val="en-US" w:eastAsia="zh-CN"/>
        </w:rPr>
        <w:t>6</w:t>
      </w:r>
      <w:r>
        <w:rPr>
          <w:b/>
          <w:bCs/>
          <w:color w:val="auto"/>
          <w:szCs w:val="21"/>
          <w:highlight w:val="none"/>
        </w:rPr>
        <w:t>、评标方法</w:t>
      </w:r>
    </w:p>
    <w:p>
      <w:pPr>
        <w:spacing w:line="360" w:lineRule="auto"/>
        <w:jc w:val="left"/>
        <w:rPr>
          <w:color w:val="auto"/>
          <w:szCs w:val="21"/>
          <w:highlight w:val="none"/>
        </w:rPr>
      </w:pPr>
      <w:r>
        <w:rPr>
          <w:rFonts w:hint="eastAsia"/>
          <w:color w:val="auto"/>
          <w:szCs w:val="21"/>
          <w:highlight w:val="none"/>
          <w:lang w:val="en-US" w:eastAsia="zh-CN"/>
        </w:rPr>
        <w:t>6</w:t>
      </w:r>
      <w:r>
        <w:rPr>
          <w:color w:val="auto"/>
          <w:szCs w:val="21"/>
          <w:highlight w:val="none"/>
        </w:rPr>
        <w:t>.1评标小组按照平等、客观、公正、科学、择优的原则，按照招标文件的要求和条件进行评标，同时考虑以下因素：①投标价格的竞争性；②拟供服务对招标文件的满足程度；③拟供服务、服务承诺；④质量保证承诺；⑤经营信誉和合同付款条件及合同执行能力。</w:t>
      </w:r>
    </w:p>
    <w:p>
      <w:pPr>
        <w:spacing w:line="360" w:lineRule="auto"/>
        <w:jc w:val="left"/>
        <w:rPr>
          <w:bCs/>
          <w:color w:val="auto"/>
          <w:szCs w:val="21"/>
          <w:highlight w:val="none"/>
        </w:rPr>
      </w:pPr>
      <w:r>
        <w:rPr>
          <w:rFonts w:hint="eastAsia"/>
          <w:bCs/>
          <w:color w:val="auto"/>
          <w:szCs w:val="21"/>
          <w:highlight w:val="none"/>
          <w:lang w:val="en-US" w:eastAsia="zh-CN"/>
        </w:rPr>
        <w:t>6</w:t>
      </w:r>
      <w:r>
        <w:rPr>
          <w:bCs/>
          <w:color w:val="auto"/>
          <w:szCs w:val="21"/>
          <w:highlight w:val="none"/>
        </w:rPr>
        <w:t>.2本次招标以</w:t>
      </w:r>
      <w:r>
        <w:rPr>
          <w:b/>
          <w:bCs/>
          <w:color w:val="auto"/>
          <w:szCs w:val="21"/>
          <w:highlight w:val="none"/>
          <w:u w:val="single"/>
        </w:rPr>
        <w:t>综合评分法</w:t>
      </w:r>
      <w:r>
        <w:rPr>
          <w:bCs/>
          <w:color w:val="auto"/>
          <w:szCs w:val="21"/>
          <w:highlight w:val="none"/>
        </w:rPr>
        <w:t>对合格的投标人分别作出评标结论，技术资信加价格总分第一名推荐为</w:t>
      </w:r>
      <w:r>
        <w:rPr>
          <w:color w:val="auto"/>
          <w:szCs w:val="21"/>
          <w:highlight w:val="none"/>
        </w:rPr>
        <w:t>中标候选人。</w:t>
      </w:r>
    </w:p>
    <w:p>
      <w:pPr>
        <w:spacing w:line="360" w:lineRule="auto"/>
        <w:jc w:val="left"/>
        <w:outlineLvl w:val="1"/>
        <w:rPr>
          <w:b/>
          <w:color w:val="auto"/>
          <w:szCs w:val="21"/>
          <w:highlight w:val="none"/>
        </w:rPr>
      </w:pPr>
      <w:r>
        <w:rPr>
          <w:rFonts w:hint="eastAsia"/>
          <w:b/>
          <w:color w:val="auto"/>
          <w:szCs w:val="21"/>
          <w:highlight w:val="none"/>
          <w:lang w:val="en-US" w:eastAsia="zh-CN"/>
        </w:rPr>
        <w:t>7</w:t>
      </w:r>
      <w:r>
        <w:rPr>
          <w:b/>
          <w:color w:val="auto"/>
          <w:szCs w:val="21"/>
          <w:highlight w:val="none"/>
        </w:rPr>
        <w:t>、评标</w:t>
      </w:r>
    </w:p>
    <w:p>
      <w:pPr>
        <w:spacing w:line="360" w:lineRule="auto"/>
        <w:jc w:val="left"/>
        <w:rPr>
          <w:b/>
          <w:bCs/>
          <w:color w:val="auto"/>
          <w:highlight w:val="none"/>
        </w:rPr>
      </w:pPr>
      <w:r>
        <w:rPr>
          <w:rFonts w:hint="eastAsia"/>
          <w:color w:val="auto"/>
          <w:szCs w:val="21"/>
          <w:highlight w:val="none"/>
          <w:lang w:val="en-US" w:eastAsia="zh-CN"/>
        </w:rPr>
        <w:t>7</w:t>
      </w:r>
      <w:r>
        <w:rPr>
          <w:color w:val="auto"/>
          <w:szCs w:val="21"/>
          <w:highlight w:val="none"/>
        </w:rPr>
        <w:t>.1评标小组对各有效投标人按照平等、客观、公正、科学、择优的原则，在澄清、调查核实、评估和比较的基础上，按照招标文件的要求和条件进行评审，只对确定为实质上响应招标文件的投标文件技术资信部分、报价部分进行综合评价和比较，先评技术标，后评价格标。</w:t>
      </w:r>
    </w:p>
    <w:p>
      <w:pPr>
        <w:wordWrap w:val="0"/>
        <w:spacing w:line="360" w:lineRule="auto"/>
        <w:ind w:right="102"/>
        <w:rPr>
          <w:color w:val="auto"/>
          <w:highlight w:val="none"/>
          <w:lang w:val="zh-TW"/>
        </w:rPr>
      </w:pPr>
      <w:r>
        <w:rPr>
          <w:rFonts w:hint="eastAsia"/>
          <w:b/>
          <w:color w:val="auto"/>
          <w:highlight w:val="none"/>
          <w:lang w:val="en-US" w:eastAsia="zh-CN"/>
        </w:rPr>
        <w:t>7</w:t>
      </w:r>
      <w:r>
        <w:rPr>
          <w:b/>
          <w:color w:val="auto"/>
          <w:highlight w:val="none"/>
        </w:rPr>
        <w:t>.1.</w:t>
      </w:r>
      <w:r>
        <w:rPr>
          <w:rFonts w:hint="eastAsia"/>
          <w:b/>
          <w:color w:val="auto"/>
          <w:highlight w:val="none"/>
        </w:rPr>
        <w:t>1</w:t>
      </w:r>
      <w:r>
        <w:rPr>
          <w:b/>
          <w:color w:val="auto"/>
          <w:highlight w:val="none"/>
        </w:rPr>
        <w:t>投标人信用记录查询：</w:t>
      </w:r>
      <w:r>
        <w:rPr>
          <w:color w:val="auto"/>
          <w:highlight w:val="none"/>
          <w:lang w:val="zh-TW" w:eastAsia="zh-TW"/>
        </w:rPr>
        <w:t>根据财政部关于在政府采购活动中查询及使用信用记录有关问题的通知（财库[2016]125 号）的要求，</w:t>
      </w:r>
      <w:r>
        <w:rPr>
          <w:color w:val="auto"/>
          <w:highlight w:val="none"/>
          <w:lang w:val="zh-TW"/>
        </w:rPr>
        <w:t>采购人或</w:t>
      </w:r>
      <w:r>
        <w:rPr>
          <w:color w:val="auto"/>
          <w:highlight w:val="none"/>
          <w:lang w:val="zh-TW" w:eastAsia="zh-TW"/>
        </w:rPr>
        <w:t>采购代理机构将通过</w:t>
      </w:r>
      <w:r>
        <w:rPr>
          <w:rFonts w:hint="eastAsia"/>
          <w:color w:val="auto"/>
          <w:highlight w:val="none"/>
          <w:lang w:val="zh-TW"/>
        </w:rPr>
        <w:t>“</w:t>
      </w:r>
      <w:r>
        <w:rPr>
          <w:color w:val="auto"/>
          <w:highlight w:val="none"/>
          <w:lang w:val="zh-TW" w:eastAsia="zh-TW"/>
        </w:rPr>
        <w:t>信用中国</w:t>
      </w:r>
      <w:r>
        <w:rPr>
          <w:rFonts w:hint="eastAsia"/>
          <w:color w:val="auto"/>
          <w:highlight w:val="none"/>
          <w:lang w:val="zh-TW"/>
        </w:rPr>
        <w:t>”</w:t>
      </w:r>
      <w:r>
        <w:rPr>
          <w:color w:val="auto"/>
          <w:highlight w:val="none"/>
          <w:lang w:val="zh-TW" w:eastAsia="zh-TW"/>
        </w:rPr>
        <w:t>网站（www.creditchina.gov.cn）、中国政府采购网（www.ccgp.gov.cn）等渠道查询各投标供应商的信用记录。查询的截止时间为：</w:t>
      </w:r>
      <w:r>
        <w:rPr>
          <w:color w:val="auto"/>
          <w:highlight w:val="none"/>
          <w:u w:val="single"/>
          <w:lang w:val="zh-TW" w:eastAsia="zh-TW"/>
        </w:rPr>
        <w:t>提交投标文件截止时间</w:t>
      </w:r>
      <w:r>
        <w:rPr>
          <w:color w:val="auto"/>
          <w:highlight w:val="none"/>
          <w:lang w:val="zh-TW" w:eastAsia="zh-TW"/>
        </w:rPr>
        <w:t>；</w:t>
      </w:r>
      <w:r>
        <w:rPr>
          <w:rFonts w:hint="eastAsia"/>
          <w:color w:val="auto"/>
          <w:highlight w:val="none"/>
        </w:rPr>
        <w:t xml:space="preserve">  </w:t>
      </w:r>
      <w:r>
        <w:rPr>
          <w:color w:val="auto"/>
          <w:highlight w:val="none"/>
          <w:lang w:val="zh-TW"/>
        </w:rPr>
        <w:t>查询期限：</w:t>
      </w:r>
      <w:r>
        <w:rPr>
          <w:color w:val="auto"/>
          <w:highlight w:val="none"/>
          <w:u w:val="single"/>
          <w:lang w:val="zh-TW"/>
        </w:rPr>
        <w:t>本项目提交投标文件截止时间往前追溯三年</w:t>
      </w:r>
      <w:r>
        <w:rPr>
          <w:color w:val="auto"/>
          <w:highlight w:val="none"/>
          <w:lang w:val="zh-TW"/>
        </w:rPr>
        <w:t>；</w:t>
      </w:r>
    </w:p>
    <w:p>
      <w:pPr>
        <w:spacing w:line="360" w:lineRule="auto"/>
        <w:ind w:left="2" w:right="100" w:firstLine="420" w:firstLineChars="200"/>
        <w:rPr>
          <w:color w:val="auto"/>
          <w:highlight w:val="none"/>
        </w:rPr>
      </w:pPr>
      <w:r>
        <w:rPr>
          <w:color w:val="auto"/>
          <w:highlight w:val="none"/>
          <w:lang w:val="zh-TW" w:eastAsia="zh-TW"/>
        </w:rPr>
        <w:t>信用信息查询记录和证据留存的具体方式：采购人或采购代理机构对信用信息查询的时间、地点进行记录，并对查询结果进行签字确认；信用信息查询记录及相关证据与其他采购文件一并保存；信用信息的使用规则：对列入失信被执行人、</w:t>
      </w:r>
      <w:r>
        <w:rPr>
          <w:rFonts w:hint="eastAsia"/>
          <w:color w:val="auto"/>
          <w:highlight w:val="none"/>
          <w:lang w:val="zh-TW" w:eastAsia="zh-CN"/>
        </w:rPr>
        <w:t>重大税收违法失信主体</w:t>
      </w:r>
      <w:r>
        <w:rPr>
          <w:color w:val="auto"/>
          <w:highlight w:val="none"/>
          <w:lang w:val="zh-TW" w:eastAsia="zh-TW"/>
        </w:rPr>
        <w:t>、政府采购严重违法失信行为记录名单及其他不符合《中华人民共和国政府采购法》第二十二条规定条件的供应商，拒绝其参与本项目的采购活动。</w:t>
      </w:r>
    </w:p>
    <w:p>
      <w:pPr>
        <w:spacing w:line="360" w:lineRule="auto"/>
        <w:jc w:val="left"/>
        <w:outlineLvl w:val="1"/>
        <w:rPr>
          <w:rFonts w:hint="eastAsia" w:ascii="Times New Roman" w:hAnsi="Times New Roman" w:eastAsia="宋体" w:cs="Times New Roman"/>
          <w:b/>
          <w:color w:val="auto"/>
          <w:szCs w:val="21"/>
          <w:highlight w:val="none"/>
          <w:lang w:val="en-US" w:eastAsia="zh-CN"/>
        </w:rPr>
      </w:pPr>
      <w:r>
        <w:rPr>
          <w:rFonts w:hint="eastAsia" w:ascii="Times New Roman" w:hAnsi="Times New Roman" w:eastAsia="宋体" w:cs="Times New Roman"/>
          <w:b/>
          <w:color w:val="auto"/>
          <w:szCs w:val="21"/>
          <w:highlight w:val="none"/>
          <w:lang w:val="en-US" w:eastAsia="zh-CN"/>
        </w:rPr>
        <w:t>7.2采购项目需要落实的政府采购政策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2 支持绿色发展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3支持中小企业发展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符合中小企业划分标准的个体工商户，在政府采购活动中视同中小企业。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3.2在政府采购活动中，供应商提供的货物、工程或者服务符合下列情形的，享受中小企业扶持政策：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3.2.1在货物采购项目中，货物由中小企业制造，即货物由中小企业生产且使用该中小企业商号或者注册商标；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3.2.2在工程采购项目中，工程由中小企业承建，即工程施工单位为中小企业；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3.2.3在服务采购项目中，服务由中小企业承接，即提供服务的人员为中小企业依照《中华人民共和国劳动合同法》订立劳动合同的从业人员。</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在货物采购项目中，供应商提供的货物既有中小企业制造货物，也有大型企业制造货物的，不享受中小企业扶持政策。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3.4符合《关于促进残疾人就业政府采购政策的通知》（财库〔2017〕141号）规定的条件并提供《残疾人福利性单位声明函》的残疾人福利性单位视同小型、微型企业；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3.7中小企业享受扶持政策获得政府采购合同的，小微企业不得将合同分包给大中型企业，中型企业不得将合同分包给大型企业。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4支持创新发展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根据浙江省财政厅关于加快实施“互联网+政府采购”进一步贯彻落实政府采购政策的通知（</w:t>
      </w:r>
      <w:bookmarkStart w:id="25" w:name="hallSendFileSendNo"/>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浙财采监〔2019〕8号</w:t>
      </w:r>
      <w:bookmarkEnd w:id="25"/>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）规定：首台套产品被纳入《首台套产品推广应用指导目录》之日起</w:t>
      </w:r>
      <w:r>
        <w:rPr>
          <w:rFonts w:hint="eastAsia" w:ascii="Times New Roman" w:hAnsi="Times New Roman" w:eastAsia="宋体" w:cs="Times New Roman"/>
          <w:b w:val="0"/>
          <w:bCs w:val="0"/>
          <w:i w:val="0"/>
          <w:caps w:val="0"/>
          <w:color w:val="auto"/>
          <w:spacing w:val="0"/>
          <w:kern w:val="0"/>
          <w:sz w:val="21"/>
          <w:szCs w:val="21"/>
          <w:highlight w:val="none"/>
          <w:lang w:val="en-US" w:eastAsia="zh-CN" w:bidi="ar"/>
        </w:rPr>
        <w:t>3</w:t>
      </w: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0" w:firstLineChars="200"/>
        <w:jc w:val="left"/>
        <w:textAlignment w:val="auto"/>
        <w:rPr>
          <w:rFonts w:hint="default" w:ascii="Times New Roman" w:hAnsi="Times New Roman" w:eastAsia="宋体" w:cs="Times New Roman"/>
          <w:b w:val="0"/>
          <w:bCs w:val="0"/>
          <w:i w:val="0"/>
          <w:caps w:val="0"/>
          <w:color w:val="auto"/>
          <w:spacing w:val="0"/>
          <w:kern w:val="0"/>
          <w:sz w:val="21"/>
          <w:szCs w:val="21"/>
          <w:highlight w:val="none"/>
          <w:lang w:val="en-US" w:eastAsia="zh-CN" w:bidi="ar"/>
        </w:rPr>
      </w:pPr>
      <w:r>
        <w:rPr>
          <w:rFonts w:hint="default" w:ascii="Times New Roman" w:hAnsi="Times New Roman" w:eastAsia="宋体" w:cs="Times New Roman"/>
          <w:b w:val="0"/>
          <w:bCs w:val="0"/>
          <w:i w:val="0"/>
          <w:caps w:val="0"/>
          <w:color w:val="auto"/>
          <w:spacing w:val="0"/>
          <w:kern w:val="0"/>
          <w:sz w:val="21"/>
          <w:szCs w:val="21"/>
          <w:highlight w:val="none"/>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rFonts w:hint="eastAsia" w:ascii="Times New Roman" w:hAnsi="Times New Roman"/>
          <w:color w:val="auto"/>
          <w:sz w:val="21"/>
          <w:szCs w:val="21"/>
          <w:highlight w:val="none"/>
        </w:rPr>
      </w:pPr>
      <w:bookmarkStart w:id="26" w:name="_Toc22721"/>
      <w:bookmarkStart w:id="27" w:name="_Toc14001"/>
      <w:r>
        <w:rPr>
          <w:rFonts w:hint="eastAsia" w:ascii="Times New Roman" w:hAnsi="Times New Roman"/>
          <w:color w:val="auto"/>
          <w:sz w:val="21"/>
          <w:szCs w:val="21"/>
          <w:highlight w:val="none"/>
        </w:rPr>
        <w:br w:type="page"/>
      </w:r>
    </w:p>
    <w:p>
      <w:pPr>
        <w:pStyle w:val="2"/>
        <w:snapToGrid/>
        <w:spacing w:before="0" w:after="0"/>
        <w:rPr>
          <w:rFonts w:ascii="Times New Roman" w:hAnsi="Times New Roman"/>
          <w:color w:val="auto"/>
          <w:sz w:val="21"/>
          <w:szCs w:val="21"/>
          <w:highlight w:val="none"/>
        </w:rPr>
      </w:pPr>
      <w:r>
        <w:rPr>
          <w:rFonts w:hint="eastAsia" w:ascii="Times New Roman" w:hAnsi="Times New Roman"/>
          <w:color w:val="auto"/>
          <w:sz w:val="21"/>
          <w:szCs w:val="21"/>
          <w:highlight w:val="none"/>
        </w:rPr>
        <w:t>7</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3</w:t>
      </w:r>
      <w:r>
        <w:rPr>
          <w:rFonts w:ascii="Times New Roman" w:hAnsi="Times New Roman"/>
          <w:color w:val="auto"/>
          <w:sz w:val="21"/>
          <w:szCs w:val="21"/>
          <w:highlight w:val="none"/>
        </w:rPr>
        <w:t>技术资信评分标准：（</w:t>
      </w:r>
      <w:r>
        <w:rPr>
          <w:rFonts w:hint="eastAsia" w:ascii="Times New Roman" w:hAnsi="Times New Roman"/>
          <w:color w:val="auto"/>
          <w:sz w:val="21"/>
          <w:szCs w:val="21"/>
          <w:highlight w:val="none"/>
        </w:rPr>
        <w:t>90</w:t>
      </w:r>
      <w:r>
        <w:rPr>
          <w:rFonts w:ascii="Times New Roman" w:hAnsi="Times New Roman"/>
          <w:color w:val="auto"/>
          <w:sz w:val="21"/>
          <w:szCs w:val="21"/>
          <w:highlight w:val="none"/>
        </w:rPr>
        <w:t>分）</w:t>
      </w:r>
      <w:bookmarkEnd w:id="26"/>
      <w:bookmarkEnd w:id="27"/>
    </w:p>
    <w:tbl>
      <w:tblPr>
        <w:tblStyle w:val="51"/>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10"/>
        <w:gridCol w:w="728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ascii="新宋体" w:hAnsi="新宋体" w:eastAsia="新宋体" w:cs="新宋体"/>
                <w:color w:val="auto"/>
                <w:kern w:val="0"/>
                <w:szCs w:val="21"/>
                <w:highlight w:val="none"/>
              </w:rPr>
            </w:pPr>
            <w:bookmarkStart w:id="28" w:name="OLE_LINK8"/>
            <w:r>
              <w:rPr>
                <w:rFonts w:hint="eastAsia" w:ascii="新宋体" w:hAnsi="新宋体" w:eastAsia="新宋体" w:cs="新宋体"/>
                <w:b/>
                <w:bCs/>
                <w:color w:val="auto"/>
                <w:kern w:val="0"/>
                <w:szCs w:val="21"/>
                <w:highlight w:val="none"/>
              </w:rPr>
              <w:t>序号</w:t>
            </w:r>
          </w:p>
        </w:tc>
        <w:tc>
          <w:tcPr>
            <w:tcW w:w="1110" w:type="dxa"/>
            <w:noWrap w:val="0"/>
            <w:vAlign w:val="center"/>
          </w:tcPr>
          <w:p>
            <w:pPr>
              <w:widowControl/>
              <w:jc w:val="center"/>
              <w:rPr>
                <w:rFonts w:ascii="新宋体" w:hAnsi="新宋体" w:eastAsia="新宋体" w:cs="新宋体"/>
                <w:color w:val="auto"/>
                <w:kern w:val="0"/>
                <w:szCs w:val="21"/>
                <w:highlight w:val="none"/>
              </w:rPr>
            </w:pPr>
            <w:r>
              <w:rPr>
                <w:rFonts w:hint="eastAsia" w:ascii="新宋体" w:hAnsi="新宋体" w:eastAsia="新宋体" w:cs="新宋体"/>
                <w:b/>
                <w:bCs/>
                <w:color w:val="auto"/>
                <w:kern w:val="0"/>
                <w:szCs w:val="21"/>
                <w:highlight w:val="none"/>
              </w:rPr>
              <w:t>评分项目</w:t>
            </w:r>
          </w:p>
        </w:tc>
        <w:tc>
          <w:tcPr>
            <w:tcW w:w="7282" w:type="dxa"/>
            <w:noWrap w:val="0"/>
            <w:vAlign w:val="center"/>
          </w:tcPr>
          <w:p>
            <w:pPr>
              <w:widowControl/>
              <w:jc w:val="center"/>
              <w:rPr>
                <w:rFonts w:ascii="新宋体" w:hAnsi="新宋体" w:eastAsia="新宋体" w:cs="新宋体"/>
                <w:color w:val="auto"/>
                <w:kern w:val="0"/>
                <w:szCs w:val="21"/>
                <w:highlight w:val="none"/>
              </w:rPr>
            </w:pPr>
            <w:r>
              <w:rPr>
                <w:rFonts w:hint="eastAsia" w:ascii="新宋体" w:hAnsi="新宋体" w:eastAsia="新宋体" w:cs="新宋体"/>
                <w:b/>
                <w:bCs/>
                <w:color w:val="auto"/>
                <w:kern w:val="0"/>
                <w:szCs w:val="21"/>
                <w:highlight w:val="none"/>
              </w:rPr>
              <w:t>评分内容</w:t>
            </w:r>
          </w:p>
        </w:tc>
        <w:tc>
          <w:tcPr>
            <w:tcW w:w="654" w:type="dxa"/>
            <w:noWrap w:val="0"/>
            <w:vAlign w:val="center"/>
          </w:tcPr>
          <w:p>
            <w:pPr>
              <w:widowControl/>
              <w:jc w:val="center"/>
              <w:rPr>
                <w:rFonts w:ascii="新宋体" w:hAnsi="新宋体" w:eastAsia="新宋体" w:cs="新宋体"/>
                <w:color w:val="auto"/>
                <w:kern w:val="0"/>
                <w:szCs w:val="21"/>
                <w:highlight w:val="none"/>
              </w:rPr>
            </w:pPr>
            <w:r>
              <w:rPr>
                <w:rFonts w:hint="eastAsia" w:ascii="新宋体" w:hAnsi="新宋体" w:eastAsia="新宋体" w:cs="新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企业综合情况</w:t>
            </w:r>
          </w:p>
        </w:tc>
        <w:tc>
          <w:tcPr>
            <w:tcW w:w="7282" w:type="dxa"/>
            <w:noWrap w:val="0"/>
            <w:vAlign w:val="center"/>
          </w:tcPr>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投标人整体经营状况、服务团队、技术力量、信誉度及提供的相关材料等进行综合评分</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rPr>
              <w:t>每一项内容进行了阐述且完全满足采购需求的，得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rPr>
              <w:t>每一项</w:t>
            </w:r>
            <w:r>
              <w:rPr>
                <w:rFonts w:hint="eastAsia" w:ascii="宋体" w:hAnsi="宋体" w:eastAsia="宋体" w:cs="宋体"/>
                <w:color w:val="auto"/>
                <w:sz w:val="21"/>
                <w:szCs w:val="21"/>
                <w:highlight w:val="none"/>
              </w:rPr>
              <w:t>内容</w:t>
            </w:r>
            <w:r>
              <w:rPr>
                <w:rFonts w:hint="eastAsia" w:ascii="宋体" w:hAnsi="宋体" w:eastAsia="宋体" w:cs="宋体"/>
                <w:color w:val="auto"/>
                <w:kern w:val="0"/>
                <w:sz w:val="21"/>
                <w:szCs w:val="21"/>
                <w:highlight w:val="none"/>
              </w:rPr>
              <w:t>进行了</w:t>
            </w:r>
            <w:r>
              <w:rPr>
                <w:rFonts w:hint="eastAsia" w:ascii="宋体" w:hAnsi="宋体" w:eastAsia="宋体" w:cs="宋体"/>
                <w:color w:val="auto"/>
                <w:sz w:val="21"/>
                <w:szCs w:val="21"/>
                <w:highlight w:val="none"/>
              </w:rPr>
              <w:t>阐述基本符合本项目采购需求的，得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rPr>
              <w:t>每一项内容虽然进行了阐述但并未完全贴合采购需求的，得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对</w:t>
            </w:r>
            <w:r>
              <w:rPr>
                <w:rFonts w:hint="eastAsia" w:ascii="宋体" w:hAnsi="宋体" w:eastAsia="宋体" w:cs="宋体"/>
                <w:color w:val="auto"/>
                <w:kern w:val="0"/>
                <w:sz w:val="21"/>
                <w:szCs w:val="21"/>
                <w:highlight w:val="none"/>
              </w:rPr>
              <w:t>每一项内容未进行阐述或阐述内容无法满足采购需求，得0分。</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76" w:type="dxa"/>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111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同类业绩</w:t>
            </w:r>
          </w:p>
        </w:tc>
        <w:tc>
          <w:tcPr>
            <w:tcW w:w="7282" w:type="dxa"/>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根据投标人提供2019年01月01</w:t>
            </w:r>
            <w:r>
              <w:rPr>
                <w:rFonts w:hint="eastAsia" w:ascii="宋体" w:hAnsi="宋体" w:eastAsia="宋体" w:cs="宋体"/>
                <w:color w:val="auto"/>
                <w:spacing w:val="-4"/>
                <w:kern w:val="0"/>
                <w:sz w:val="21"/>
                <w:szCs w:val="21"/>
                <w:highlight w:val="none"/>
                <w:lang w:eastAsia="zh-CN"/>
              </w:rPr>
              <w:t>日以来的业绩情况，</w:t>
            </w:r>
            <w:r>
              <w:rPr>
                <w:rFonts w:hint="eastAsia" w:ascii="宋体" w:hAnsi="宋体" w:eastAsia="宋体" w:cs="宋体"/>
                <w:color w:val="auto"/>
                <w:kern w:val="0"/>
                <w:sz w:val="21"/>
                <w:szCs w:val="21"/>
                <w:highlight w:val="none"/>
              </w:rPr>
              <w:t>对业绩情况与本项目采购需求的匹配程度、业绩数量等方面进行横向比较后酌情打分。</w:t>
            </w:r>
          </w:p>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1个业绩得</w:t>
            </w:r>
            <w:r>
              <w:rPr>
                <w:rFonts w:hint="eastAsia" w:ascii="宋体" w:hAnsi="宋体" w:eastAsia="宋体" w:cs="宋体"/>
                <w:color w:val="auto"/>
                <w:spacing w:val="-4"/>
                <w:kern w:val="0"/>
                <w:sz w:val="21"/>
                <w:szCs w:val="21"/>
                <w:highlight w:val="none"/>
                <w:lang w:val="en-US" w:eastAsia="zh-CN"/>
              </w:rPr>
              <w:t>0.5</w:t>
            </w:r>
            <w:r>
              <w:rPr>
                <w:rFonts w:hint="eastAsia" w:ascii="宋体" w:hAnsi="宋体" w:eastAsia="宋体" w:cs="宋体"/>
                <w:color w:val="auto"/>
                <w:spacing w:val="-4"/>
                <w:kern w:val="0"/>
                <w:sz w:val="21"/>
                <w:szCs w:val="21"/>
                <w:highlight w:val="none"/>
              </w:rPr>
              <w:t>分，</w:t>
            </w:r>
            <w:r>
              <w:rPr>
                <w:rFonts w:hint="eastAsia" w:ascii="宋体" w:hAnsi="宋体" w:eastAsia="宋体" w:cs="宋体"/>
                <w:color w:val="auto"/>
                <w:spacing w:val="-4"/>
                <w:kern w:val="0"/>
                <w:sz w:val="21"/>
                <w:szCs w:val="21"/>
                <w:highlight w:val="none"/>
                <w:lang w:eastAsia="zh-CN"/>
              </w:rPr>
              <w:t>最多得</w:t>
            </w:r>
            <w:r>
              <w:rPr>
                <w:rFonts w:hint="eastAsia" w:ascii="宋体" w:hAnsi="宋体" w:eastAsia="宋体" w:cs="宋体"/>
                <w:color w:val="auto"/>
                <w:spacing w:val="-4"/>
                <w:kern w:val="0"/>
                <w:sz w:val="21"/>
                <w:szCs w:val="21"/>
                <w:highlight w:val="none"/>
                <w:lang w:val="en-US" w:eastAsia="zh-CN"/>
              </w:rPr>
              <w:t>1分；</w:t>
            </w:r>
            <w:r>
              <w:rPr>
                <w:rFonts w:hint="eastAsia" w:ascii="宋体" w:hAnsi="宋体" w:eastAsia="宋体" w:cs="宋体"/>
                <w:color w:val="auto"/>
                <w:spacing w:val="-4"/>
                <w:kern w:val="0"/>
                <w:sz w:val="21"/>
                <w:szCs w:val="21"/>
                <w:highlight w:val="none"/>
              </w:rPr>
              <w:t>没有业绩或</w:t>
            </w:r>
            <w:r>
              <w:rPr>
                <w:rFonts w:hint="eastAsia" w:ascii="宋体" w:hAnsi="宋体" w:eastAsia="宋体" w:cs="宋体"/>
                <w:color w:val="auto"/>
                <w:spacing w:val="-4"/>
                <w:kern w:val="0"/>
                <w:sz w:val="21"/>
                <w:szCs w:val="21"/>
                <w:highlight w:val="none"/>
              </w:rPr>
              <w:t>与本项目不符得0分。（类似业绩要求提供合同及中标通知书复印件加盖公章）。（</w:t>
            </w:r>
            <w:r>
              <w:rPr>
                <w:rFonts w:hint="eastAsia" w:ascii="宋体" w:hAnsi="宋体" w:eastAsia="宋体" w:cs="宋体"/>
                <w:color w:val="auto"/>
                <w:spacing w:val="-4"/>
                <w:kern w:val="0"/>
                <w:sz w:val="21"/>
                <w:szCs w:val="21"/>
                <w:highlight w:val="none"/>
                <w:lang w:val="en-US" w:eastAsia="zh-CN"/>
              </w:rPr>
              <w:t>首台套产品被纳入《首台套产品推广应用指导目录》之日起3年内，以及产品核心技术高于国内领先水平，并具有明晰自主知识产权的“制造精品”产品，自认定之日</w:t>
            </w:r>
            <w:r>
              <w:rPr>
                <w:rFonts w:hint="eastAsia" w:ascii="宋体" w:hAnsi="宋体" w:eastAsia="宋体" w:cs="宋体"/>
                <w:color w:val="auto"/>
                <w:spacing w:val="-4"/>
                <w:kern w:val="0"/>
                <w:sz w:val="21"/>
                <w:szCs w:val="21"/>
                <w:highlight w:val="none"/>
                <w:lang w:val="en-US" w:eastAsia="zh-CN"/>
              </w:rPr>
              <w:t>起2年内视同已具备相应销售业绩，参加政府采购活动时业绩分值为满分。</w:t>
            </w:r>
            <w:r>
              <w:rPr>
                <w:rFonts w:hint="eastAsia" w:ascii="宋体" w:hAnsi="宋体" w:eastAsia="宋体" w:cs="宋体"/>
                <w:color w:val="auto"/>
                <w:spacing w:val="-4"/>
                <w:kern w:val="0"/>
                <w:sz w:val="21"/>
                <w:szCs w:val="21"/>
                <w:highlight w:val="none"/>
              </w:rPr>
              <w:t>）</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110"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服务工作方案</w:t>
            </w:r>
          </w:p>
        </w:tc>
        <w:tc>
          <w:tcPr>
            <w:tcW w:w="7282" w:type="dxa"/>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服务方案的</w:t>
            </w: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是否全面详尽</w:t>
            </w:r>
            <w:r>
              <w:rPr>
                <w:rFonts w:hint="eastAsia" w:ascii="宋体" w:hAnsi="宋体" w:eastAsia="宋体" w:cs="宋体"/>
                <w:color w:val="auto"/>
                <w:kern w:val="0"/>
                <w:sz w:val="21"/>
                <w:szCs w:val="21"/>
                <w:highlight w:val="none"/>
              </w:rPr>
              <w:t>②</w:t>
            </w:r>
            <w:r>
              <w:rPr>
                <w:rFonts w:hint="eastAsia" w:ascii="宋体" w:hAnsi="宋体" w:eastAsia="宋体" w:cs="宋体"/>
                <w:color w:val="auto"/>
                <w:sz w:val="21"/>
                <w:szCs w:val="21"/>
                <w:highlight w:val="none"/>
              </w:rPr>
              <w:t>科学合理性</w:t>
            </w:r>
            <w:r>
              <w:rPr>
                <w:rFonts w:hint="eastAsia" w:ascii="宋体" w:hAnsi="宋体" w:eastAsia="宋体" w:cs="宋体"/>
                <w:color w:val="auto"/>
                <w:kern w:val="0"/>
                <w:sz w:val="21"/>
                <w:szCs w:val="21"/>
                <w:highlight w:val="none"/>
              </w:rPr>
              <w:t>③</w:t>
            </w:r>
            <w:r>
              <w:rPr>
                <w:rFonts w:hint="eastAsia" w:ascii="宋体" w:hAnsi="宋体" w:eastAsia="宋体" w:cs="宋体"/>
                <w:color w:val="auto"/>
                <w:sz w:val="21"/>
                <w:szCs w:val="21"/>
                <w:highlight w:val="none"/>
              </w:rPr>
              <w:t>方案专业性④重点难点工作及相应解决措施⑤应急预案的科学合理性</w:t>
            </w:r>
            <w:r>
              <w:rPr>
                <w:rFonts w:hint="eastAsia" w:ascii="宋体" w:hAnsi="宋体" w:eastAsia="宋体" w:cs="宋体"/>
                <w:color w:val="auto"/>
                <w:kern w:val="0"/>
                <w:sz w:val="21"/>
                <w:szCs w:val="21"/>
                <w:highlight w:val="none"/>
              </w:rPr>
              <w:t>进行综合评分。</w:t>
            </w:r>
            <w:r>
              <w:rPr>
                <w:rFonts w:hint="eastAsia" w:ascii="宋体" w:hAnsi="宋体" w:eastAsia="宋体" w:cs="宋体"/>
                <w:color w:val="auto"/>
                <w:kern w:val="0"/>
                <w:sz w:val="21"/>
                <w:szCs w:val="21"/>
                <w:highlight w:val="none"/>
              </w:rPr>
              <w:t>（每项</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（1）对单项内容进行了阐述且合理可行的，得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（2）对单项内容进行了阐述且基本合理的，得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）对单项内容进行了阐述但不太合理的，得1分；</w:t>
            </w:r>
          </w:p>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）对单项内容未进行阐述的，得0分</w:t>
            </w:r>
            <w:r>
              <w:rPr>
                <w:rFonts w:hint="eastAsia" w:ascii="宋体" w:hAnsi="宋体" w:cs="宋体"/>
                <w:color w:val="auto"/>
                <w:sz w:val="21"/>
                <w:szCs w:val="21"/>
                <w:highlight w:val="none"/>
                <w:lang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ind w:firstLine="210" w:firstLineChars="1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110"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策划方案</w:t>
            </w:r>
          </w:p>
        </w:tc>
        <w:tc>
          <w:tcPr>
            <w:tcW w:w="7282" w:type="dxa"/>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策划方案的</w:t>
            </w: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会务服务的策划</w:t>
            </w:r>
            <w:r>
              <w:rPr>
                <w:rFonts w:hint="eastAsia" w:ascii="宋体" w:hAnsi="宋体" w:eastAsia="宋体" w:cs="宋体"/>
                <w:color w:val="auto"/>
                <w:sz w:val="21"/>
                <w:szCs w:val="21"/>
                <w:highlight w:val="none"/>
                <w:lang w:val="en-US" w:eastAsia="zh-CN"/>
              </w:rPr>
              <w:t>是否详尽</w:t>
            </w:r>
            <w:r>
              <w:rPr>
                <w:rFonts w:hint="eastAsia" w:ascii="宋体" w:hAnsi="宋体" w:eastAsia="宋体" w:cs="宋体"/>
                <w:color w:val="auto"/>
                <w:kern w:val="0"/>
                <w:sz w:val="21"/>
                <w:szCs w:val="21"/>
                <w:highlight w:val="none"/>
              </w:rPr>
              <w:t>②</w:t>
            </w:r>
            <w:r>
              <w:rPr>
                <w:rFonts w:hint="eastAsia" w:ascii="宋体" w:hAnsi="宋体" w:eastAsia="宋体" w:cs="宋体"/>
                <w:color w:val="auto"/>
                <w:sz w:val="21"/>
                <w:szCs w:val="21"/>
                <w:highlight w:val="none"/>
              </w:rPr>
              <w:t>执行方案是否科学合理</w:t>
            </w:r>
            <w:r>
              <w:rPr>
                <w:rFonts w:hint="eastAsia" w:ascii="宋体" w:hAnsi="宋体" w:eastAsia="宋体" w:cs="宋体"/>
                <w:color w:val="auto"/>
                <w:kern w:val="0"/>
                <w:sz w:val="21"/>
                <w:szCs w:val="21"/>
                <w:highlight w:val="none"/>
              </w:rPr>
              <w:t>③</w:t>
            </w:r>
            <w:r>
              <w:rPr>
                <w:rFonts w:hint="eastAsia" w:ascii="宋体" w:hAnsi="宋体" w:eastAsia="宋体" w:cs="宋体"/>
                <w:color w:val="auto"/>
                <w:sz w:val="21"/>
                <w:szCs w:val="21"/>
                <w:highlight w:val="none"/>
              </w:rPr>
              <w:t>符合项目实际情况④</w:t>
            </w:r>
            <w:r>
              <w:rPr>
                <w:rFonts w:hint="eastAsia" w:ascii="宋体" w:hAnsi="宋体" w:eastAsia="宋体" w:cs="宋体"/>
                <w:color w:val="auto"/>
                <w:sz w:val="21"/>
                <w:szCs w:val="21"/>
                <w:highlight w:val="none"/>
                <w:lang w:val="en-US" w:eastAsia="zh-CN"/>
              </w:rPr>
              <w:t>策划方案是否专业</w:t>
            </w:r>
            <w:r>
              <w:rPr>
                <w:rFonts w:hint="eastAsia" w:ascii="宋体" w:hAnsi="宋体" w:eastAsia="宋体" w:cs="宋体"/>
                <w:color w:val="auto"/>
                <w:kern w:val="0"/>
                <w:sz w:val="21"/>
                <w:szCs w:val="21"/>
                <w:highlight w:val="none"/>
              </w:rPr>
              <w:t>进行综合评分。</w:t>
            </w:r>
            <w:r>
              <w:rPr>
                <w:rFonts w:hint="eastAsia" w:ascii="宋体" w:hAnsi="宋体" w:eastAsia="宋体" w:cs="宋体"/>
                <w:color w:val="auto"/>
                <w:kern w:val="0"/>
                <w:sz w:val="21"/>
                <w:szCs w:val="21"/>
                <w:highlight w:val="none"/>
              </w:rPr>
              <w:t>（每项</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w:t>
            </w:r>
          </w:p>
          <w:p>
            <w:pPr>
              <w:tabs>
                <w:tab w:val="left" w:pos="509"/>
              </w:tabs>
              <w:snapToGri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（1）对单项内容进行了阐述且合理可行的，得6分；</w:t>
            </w:r>
          </w:p>
          <w:p>
            <w:pPr>
              <w:tabs>
                <w:tab w:val="left" w:pos="509"/>
              </w:tabs>
              <w:snapToGri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（2）对单项内容进行了阐述且相对合理可行的，得5分；</w:t>
            </w:r>
          </w:p>
          <w:p>
            <w:pPr>
              <w:tabs>
                <w:tab w:val="left" w:pos="509"/>
              </w:tabs>
              <w:snapToGri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（3）对单项内容进行了阐述且基本合理的，得4分；</w:t>
            </w:r>
          </w:p>
          <w:p>
            <w:pPr>
              <w:tabs>
                <w:tab w:val="left" w:pos="509"/>
              </w:tabs>
              <w:snapToGri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（4）对单项内容进行了阐述且有涉及相应内容的，得3分</w:t>
            </w:r>
          </w:p>
          <w:p>
            <w:pPr>
              <w:tabs>
                <w:tab w:val="left" w:pos="509"/>
              </w:tabs>
              <w:snapToGrid w:val="0"/>
              <w:spacing w:line="24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（5）对单项内容进行了阐述但不太合理的，得2分；</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（6）对单项内容未进行阐述的，得0分</w:t>
            </w:r>
            <w:r>
              <w:rPr>
                <w:rFonts w:hint="eastAsia" w:ascii="宋体" w:hAnsi="宋体" w:cs="宋体"/>
                <w:color w:val="auto"/>
                <w:sz w:val="21"/>
                <w:szCs w:val="21"/>
                <w:highlight w:val="none"/>
                <w:lang w:val="en-US"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676"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110"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会议</w:t>
            </w:r>
            <w:r>
              <w:rPr>
                <w:rFonts w:hint="eastAsia" w:ascii="宋体" w:hAnsi="宋体" w:eastAsia="宋体" w:cs="宋体"/>
                <w:color w:val="auto"/>
                <w:sz w:val="21"/>
                <w:szCs w:val="21"/>
                <w:highlight w:val="none"/>
              </w:rPr>
              <w:t>场地设计搭建</w:t>
            </w:r>
          </w:p>
        </w:tc>
        <w:tc>
          <w:tcPr>
            <w:tcW w:w="7282" w:type="dxa"/>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zh-CN"/>
              </w:rPr>
              <w:t>会议</w:t>
            </w:r>
            <w:r>
              <w:rPr>
                <w:rFonts w:hint="eastAsia" w:ascii="宋体" w:hAnsi="宋体" w:eastAsia="宋体" w:cs="宋体"/>
                <w:color w:val="auto"/>
                <w:sz w:val="21"/>
                <w:szCs w:val="21"/>
                <w:highlight w:val="none"/>
              </w:rPr>
              <w:t>场地设计搭建的</w:t>
            </w: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设计</w:t>
            </w:r>
            <w:r>
              <w:rPr>
                <w:rFonts w:hint="eastAsia" w:ascii="宋体" w:hAnsi="宋体" w:eastAsia="宋体" w:cs="宋体"/>
                <w:color w:val="auto"/>
                <w:kern w:val="0"/>
                <w:sz w:val="21"/>
                <w:szCs w:val="21"/>
                <w:highlight w:val="none"/>
              </w:rPr>
              <w:t>②</w:t>
            </w:r>
            <w:r>
              <w:rPr>
                <w:rFonts w:hint="eastAsia" w:ascii="宋体" w:hAnsi="宋体" w:eastAsia="宋体" w:cs="宋体"/>
                <w:color w:val="auto"/>
                <w:sz w:val="21"/>
                <w:szCs w:val="21"/>
                <w:highlight w:val="none"/>
              </w:rPr>
              <w:t>布置</w:t>
            </w:r>
            <w:r>
              <w:rPr>
                <w:rFonts w:hint="eastAsia" w:ascii="宋体" w:hAnsi="宋体" w:eastAsia="宋体" w:cs="宋体"/>
                <w:color w:val="auto"/>
                <w:kern w:val="0"/>
                <w:sz w:val="21"/>
                <w:szCs w:val="21"/>
                <w:highlight w:val="none"/>
              </w:rPr>
              <w:t>③</w:t>
            </w:r>
            <w:r>
              <w:rPr>
                <w:rFonts w:hint="eastAsia" w:ascii="宋体" w:hAnsi="宋体" w:eastAsia="宋体" w:cs="宋体"/>
                <w:color w:val="auto"/>
                <w:sz w:val="21"/>
                <w:szCs w:val="21"/>
                <w:highlight w:val="none"/>
              </w:rPr>
              <w:t>搭建④相关物料的准备是否科学合理</w:t>
            </w:r>
            <w:r>
              <w:rPr>
                <w:rFonts w:hint="eastAsia" w:ascii="宋体" w:hAnsi="宋体" w:eastAsia="宋体" w:cs="宋体"/>
                <w:color w:val="auto"/>
                <w:kern w:val="0"/>
                <w:sz w:val="21"/>
                <w:szCs w:val="21"/>
                <w:highlight w:val="none"/>
              </w:rPr>
              <w:t>进行综合评分。（每项</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（1）对单项内容进行了阐述且合理可行的，得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（2）对单项内容进行了阐述且基本合理的，得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）对单项内容进行了阐述但不太合理的，得1分；</w:t>
            </w:r>
          </w:p>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）对单项内容未进行阐述的，得0分</w:t>
            </w:r>
            <w:r>
              <w:rPr>
                <w:rFonts w:hint="eastAsia" w:ascii="宋体" w:hAnsi="宋体" w:cs="宋体"/>
                <w:color w:val="auto"/>
                <w:sz w:val="21"/>
                <w:szCs w:val="21"/>
                <w:highlight w:val="none"/>
                <w:lang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76"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1110" w:type="dxa"/>
            <w:noWrap w:val="0"/>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参会嘉宾、企业、机构邀请方案</w:t>
            </w:r>
          </w:p>
        </w:tc>
        <w:tc>
          <w:tcPr>
            <w:tcW w:w="7282" w:type="dxa"/>
            <w:noWrap w:val="0"/>
            <w:vAlign w:val="center"/>
          </w:tcPr>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根据投标人</w:t>
            </w:r>
            <w:r>
              <w:rPr>
                <w:rFonts w:hint="eastAsia" w:ascii="宋体" w:hAnsi="宋体" w:cs="宋体"/>
                <w:color w:val="auto"/>
                <w:kern w:val="0"/>
                <w:sz w:val="21"/>
                <w:szCs w:val="21"/>
                <w:highlight w:val="none"/>
                <w:lang w:eastAsia="zh-CN"/>
              </w:rPr>
              <w:t>参会嘉宾、企业、机构邀请方案</w:t>
            </w:r>
            <w:r>
              <w:rPr>
                <w:rFonts w:hint="eastAsia" w:ascii="宋体" w:hAnsi="宋体" w:eastAsia="宋体" w:cs="宋体"/>
                <w:color w:val="auto"/>
                <w:spacing w:val="-4"/>
                <w:kern w:val="0"/>
                <w:sz w:val="21"/>
                <w:szCs w:val="21"/>
                <w:highlight w:val="none"/>
              </w:rPr>
              <w:t>的</w:t>
            </w:r>
            <w:r>
              <w:rPr>
                <w:rFonts w:hint="eastAsia" w:ascii="宋体" w:hAnsi="宋体" w:eastAsia="宋体" w:cs="宋体"/>
                <w:color w:val="auto"/>
                <w:spacing w:val="-4"/>
                <w:kern w:val="0"/>
                <w:sz w:val="21"/>
                <w:szCs w:val="21"/>
                <w:highlight w:val="none"/>
              </w:rPr>
              <w:t>①</w:t>
            </w:r>
            <w:r>
              <w:rPr>
                <w:rFonts w:hint="eastAsia" w:ascii="宋体" w:hAnsi="宋体" w:cs="宋体"/>
                <w:color w:val="auto"/>
                <w:spacing w:val="-4"/>
                <w:kern w:val="0"/>
                <w:sz w:val="21"/>
                <w:szCs w:val="21"/>
                <w:highlight w:val="none"/>
                <w:lang w:eastAsia="zh-CN"/>
              </w:rPr>
              <w:t>数量</w:t>
            </w:r>
            <w:r>
              <w:rPr>
                <w:rFonts w:hint="eastAsia" w:ascii="宋体" w:hAnsi="宋体" w:eastAsia="宋体" w:cs="宋体"/>
                <w:color w:val="auto"/>
                <w:spacing w:val="-4"/>
                <w:kern w:val="0"/>
                <w:sz w:val="21"/>
                <w:szCs w:val="21"/>
                <w:highlight w:val="none"/>
              </w:rPr>
              <w:t>②</w:t>
            </w:r>
            <w:r>
              <w:rPr>
                <w:rFonts w:hint="eastAsia" w:ascii="宋体" w:hAnsi="宋体" w:cs="宋体"/>
                <w:color w:val="auto"/>
                <w:spacing w:val="-4"/>
                <w:kern w:val="0"/>
                <w:sz w:val="21"/>
                <w:szCs w:val="21"/>
                <w:highlight w:val="none"/>
                <w:lang w:eastAsia="zh-CN"/>
              </w:rPr>
              <w:t>档次（层级）</w:t>
            </w:r>
            <w:r>
              <w:rPr>
                <w:rFonts w:hint="eastAsia" w:ascii="宋体" w:hAnsi="宋体" w:eastAsia="宋体" w:cs="宋体"/>
                <w:color w:val="auto"/>
                <w:spacing w:val="-4"/>
                <w:kern w:val="0"/>
                <w:sz w:val="21"/>
                <w:szCs w:val="21"/>
                <w:highlight w:val="none"/>
              </w:rPr>
              <w:t>符合项目实际情况进行综合评分。（每项5分，</w:t>
            </w:r>
            <w:r>
              <w:rPr>
                <w:rFonts w:hint="eastAsia" w:ascii="宋体" w:hAnsi="宋体" w:eastAsia="宋体" w:cs="宋体"/>
                <w:color w:val="auto"/>
                <w:spacing w:val="-4"/>
                <w:kern w:val="0"/>
                <w:sz w:val="21"/>
                <w:szCs w:val="21"/>
                <w:highlight w:val="none"/>
                <w:lang w:val="en-US" w:eastAsia="zh-CN"/>
              </w:rPr>
              <w:t>最高得</w:t>
            </w:r>
            <w:r>
              <w:rPr>
                <w:rFonts w:hint="eastAsia" w:ascii="宋体" w:hAnsi="宋体" w:eastAsia="宋体" w:cs="宋体"/>
                <w:color w:val="auto"/>
                <w:spacing w:val="-4"/>
                <w:kern w:val="0"/>
                <w:sz w:val="21"/>
                <w:szCs w:val="21"/>
                <w:highlight w:val="none"/>
              </w:rPr>
              <w:t>10分）</w:t>
            </w:r>
          </w:p>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（1）对单项内容进行了阐述且合理可行的，得5分；</w:t>
            </w:r>
          </w:p>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（2）对单项内容进行了阐述且相对合理可行的，得4分；</w:t>
            </w:r>
          </w:p>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（3）对单项内容进行了阐述且基本合理的，得3分；</w:t>
            </w:r>
          </w:p>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（4）对单项内容进行了阐述且有涉及相应内容的，得2分</w:t>
            </w:r>
          </w:p>
          <w:p>
            <w:pPr>
              <w:widowControl/>
              <w:spacing w:line="320" w:lineRule="exact"/>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（5）对单项内容进行了阐述但不太合理的，得1分；</w:t>
            </w:r>
          </w:p>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4"/>
                <w:kern w:val="0"/>
                <w:sz w:val="21"/>
                <w:szCs w:val="21"/>
                <w:highlight w:val="none"/>
              </w:rPr>
              <w:t>（6）对单项内容未进行阐述的，得0分</w:t>
            </w:r>
            <w:r>
              <w:rPr>
                <w:rFonts w:hint="eastAsia" w:ascii="宋体" w:hAnsi="宋体" w:cs="宋体"/>
                <w:color w:val="auto"/>
                <w:spacing w:val="-4"/>
                <w:kern w:val="0"/>
                <w:sz w:val="21"/>
                <w:szCs w:val="21"/>
                <w:highlight w:val="none"/>
                <w:lang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1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实施计划</w:t>
            </w:r>
          </w:p>
        </w:tc>
        <w:tc>
          <w:tcPr>
            <w:tcW w:w="7282" w:type="dxa"/>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0"/>
                <w:sz w:val="21"/>
                <w:szCs w:val="21"/>
                <w:highlight w:val="none"/>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lang w:val="zh-CN"/>
              </w:rPr>
              <w:t>实施计划</w:t>
            </w:r>
            <w:r>
              <w:rPr>
                <w:rFonts w:hint="eastAsia" w:ascii="宋体" w:hAnsi="宋体" w:eastAsia="宋体" w:cs="宋体"/>
                <w:color w:val="auto"/>
                <w:sz w:val="21"/>
                <w:szCs w:val="21"/>
                <w:highlight w:val="none"/>
              </w:rPr>
              <w:t>的</w:t>
            </w:r>
            <w:r>
              <w:rPr>
                <w:rFonts w:hint="eastAsia" w:ascii="宋体" w:hAnsi="宋体" w:eastAsia="宋体" w:cs="宋体"/>
                <w:color w:val="auto"/>
                <w:kern w:val="0"/>
                <w:sz w:val="21"/>
                <w:szCs w:val="21"/>
                <w:highlight w:val="none"/>
              </w:rPr>
              <w:t>①</w:t>
            </w:r>
            <w:r>
              <w:rPr>
                <w:rFonts w:hint="eastAsia" w:ascii="宋体" w:hAnsi="宋体" w:eastAsia="宋体" w:cs="宋体"/>
                <w:bCs/>
                <w:color w:val="auto"/>
                <w:sz w:val="21"/>
                <w:szCs w:val="21"/>
                <w:highlight w:val="none"/>
              </w:rPr>
              <w:t>施工作流程安排</w:t>
            </w:r>
            <w:r>
              <w:rPr>
                <w:rFonts w:hint="eastAsia" w:ascii="宋体" w:hAnsi="宋体" w:eastAsia="宋体" w:cs="宋体"/>
                <w:color w:val="auto"/>
                <w:kern w:val="0"/>
                <w:sz w:val="21"/>
                <w:szCs w:val="21"/>
                <w:highlight w:val="none"/>
              </w:rPr>
              <w:t>②</w:t>
            </w:r>
            <w:r>
              <w:rPr>
                <w:rFonts w:hint="eastAsia" w:ascii="宋体" w:hAnsi="宋体" w:eastAsia="宋体" w:cs="宋体"/>
                <w:bCs/>
                <w:color w:val="auto"/>
                <w:sz w:val="21"/>
                <w:szCs w:val="21"/>
                <w:highlight w:val="none"/>
              </w:rPr>
              <w:t>科学合理</w:t>
            </w:r>
            <w:r>
              <w:rPr>
                <w:rFonts w:hint="eastAsia" w:ascii="宋体" w:hAnsi="宋体" w:eastAsia="宋体" w:cs="宋体"/>
                <w:color w:val="auto"/>
                <w:kern w:val="0"/>
                <w:sz w:val="21"/>
                <w:szCs w:val="21"/>
                <w:highlight w:val="none"/>
              </w:rPr>
              <w:t>进行综合评分。</w:t>
            </w:r>
            <w:r>
              <w:rPr>
                <w:rFonts w:hint="eastAsia" w:ascii="宋体" w:hAnsi="宋体" w:eastAsia="宋体" w:cs="宋体"/>
                <w:color w:val="auto"/>
                <w:kern w:val="0"/>
                <w:sz w:val="21"/>
                <w:szCs w:val="21"/>
                <w:highlight w:val="none"/>
              </w:rPr>
              <w:t>（每项5分，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rPr>
              <w:t>10分）</w:t>
            </w:r>
          </w:p>
          <w:p>
            <w:pPr>
              <w:tabs>
                <w:tab w:val="left" w:pos="509"/>
              </w:tabs>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（1）对单项内容进行了阐述且合理可行的，得5分；</w:t>
            </w:r>
          </w:p>
          <w:p>
            <w:pPr>
              <w:tabs>
                <w:tab w:val="left" w:pos="509"/>
              </w:tabs>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（2）对单项内容进行了阐述且相对合理可行的，得4分；</w:t>
            </w:r>
          </w:p>
          <w:p>
            <w:pPr>
              <w:tabs>
                <w:tab w:val="left" w:pos="509"/>
              </w:tabs>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（3）对单项内容进行了阐述且基本合理的，得3分；</w:t>
            </w:r>
          </w:p>
          <w:p>
            <w:pPr>
              <w:tabs>
                <w:tab w:val="left" w:pos="509"/>
              </w:tabs>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（4）对单项内容进行了阐述且有涉及相应内容的，得2分</w:t>
            </w:r>
          </w:p>
          <w:p>
            <w:pPr>
              <w:tabs>
                <w:tab w:val="left" w:pos="509"/>
              </w:tabs>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（5）对单项内容进行了阐述但不太合理的，得1分；</w:t>
            </w:r>
          </w:p>
          <w:p>
            <w:pPr>
              <w:widowControl/>
              <w:spacing w:line="3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（6）对单项内容未进行阐述的，得0分</w:t>
            </w:r>
            <w:r>
              <w:rPr>
                <w:rFonts w:hint="eastAsia" w:ascii="宋体" w:hAnsi="宋体" w:cs="宋体"/>
                <w:color w:val="auto"/>
                <w:sz w:val="21"/>
                <w:szCs w:val="21"/>
                <w:highlight w:val="none"/>
                <w:lang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11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服务团队</w:t>
            </w:r>
          </w:p>
        </w:tc>
        <w:tc>
          <w:tcPr>
            <w:tcW w:w="7282" w:type="dxa"/>
            <w:noWrap w:val="0"/>
            <w:vAlign w:val="center"/>
          </w:tcPr>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pacing w:val="-4"/>
                <w:kern w:val="0"/>
                <w:sz w:val="21"/>
                <w:szCs w:val="21"/>
                <w:highlight w:val="none"/>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服务团队</w:t>
            </w:r>
            <w:r>
              <w:rPr>
                <w:rFonts w:hint="eastAsia" w:ascii="宋体" w:hAnsi="宋体" w:eastAsia="宋体" w:cs="宋体"/>
                <w:color w:val="auto"/>
                <w:kern w:val="0"/>
                <w:sz w:val="21"/>
                <w:szCs w:val="21"/>
                <w:highlight w:val="none"/>
              </w:rPr>
              <w:t>①</w:t>
            </w:r>
            <w:r>
              <w:rPr>
                <w:rFonts w:hint="eastAsia" w:ascii="宋体" w:hAnsi="宋体" w:eastAsia="宋体" w:cs="宋体"/>
                <w:bCs/>
                <w:color w:val="auto"/>
                <w:sz w:val="21"/>
                <w:szCs w:val="21"/>
                <w:highlight w:val="none"/>
              </w:rPr>
              <w:t>组织架构是否合理</w:t>
            </w:r>
            <w:r>
              <w:rPr>
                <w:rFonts w:hint="eastAsia" w:ascii="宋体" w:hAnsi="宋体" w:eastAsia="宋体" w:cs="宋体"/>
                <w:color w:val="auto"/>
                <w:sz w:val="21"/>
                <w:szCs w:val="21"/>
                <w:highlight w:val="none"/>
              </w:rPr>
              <w:t>②</w:t>
            </w:r>
            <w:r>
              <w:rPr>
                <w:rFonts w:hint="eastAsia" w:ascii="宋体" w:hAnsi="宋体" w:eastAsia="宋体" w:cs="宋体"/>
                <w:bCs/>
                <w:color w:val="auto"/>
                <w:sz w:val="21"/>
                <w:szCs w:val="21"/>
                <w:highlight w:val="none"/>
              </w:rPr>
              <w:t>人员数量是否充足</w:t>
            </w:r>
            <w:r>
              <w:rPr>
                <w:rFonts w:hint="eastAsia" w:ascii="宋体" w:hAnsi="宋体" w:eastAsia="宋体" w:cs="宋体"/>
                <w:color w:val="auto"/>
                <w:sz w:val="21"/>
                <w:szCs w:val="21"/>
                <w:highlight w:val="none"/>
              </w:rPr>
              <w:t>③</w:t>
            </w:r>
            <w:r>
              <w:rPr>
                <w:rFonts w:hint="eastAsia" w:ascii="宋体" w:hAnsi="宋体" w:eastAsia="宋体" w:cs="宋体"/>
                <w:bCs/>
                <w:color w:val="auto"/>
                <w:sz w:val="21"/>
                <w:szCs w:val="21"/>
                <w:highlight w:val="none"/>
              </w:rPr>
              <w:t>团队分工是否明确合理</w:t>
            </w:r>
            <w:r>
              <w:rPr>
                <w:rFonts w:hint="eastAsia" w:ascii="宋体" w:hAnsi="宋体" w:eastAsia="宋体" w:cs="宋体"/>
                <w:color w:val="auto"/>
                <w:kern w:val="0"/>
                <w:sz w:val="21"/>
                <w:szCs w:val="21"/>
                <w:highlight w:val="none"/>
              </w:rPr>
              <w:t>进行综合打分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（每项3分，</w:t>
            </w:r>
            <w:r>
              <w:rPr>
                <w:rFonts w:hint="eastAsia" w:ascii="宋体" w:hAnsi="宋体" w:eastAsia="宋体" w:cs="宋体"/>
                <w:color w:val="auto"/>
                <w:sz w:val="21"/>
                <w:szCs w:val="21"/>
                <w:highlight w:val="none"/>
                <w:lang w:val="en-US" w:eastAsia="zh-CN"/>
              </w:rPr>
              <w:t>最高得</w:t>
            </w:r>
            <w:r>
              <w:rPr>
                <w:rFonts w:hint="eastAsia" w:ascii="宋体" w:hAnsi="宋体" w:eastAsia="宋体" w:cs="宋体"/>
                <w:color w:val="auto"/>
                <w:kern w:val="0"/>
                <w:sz w:val="21"/>
                <w:szCs w:val="21"/>
                <w:highlight w:val="none"/>
              </w:rPr>
              <w:t>9分）</w:t>
            </w:r>
          </w:p>
          <w:p>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（1）对单项内容进行了阐述且合理可行的，得3分；</w:t>
            </w:r>
          </w:p>
          <w:p>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（2）对单项内容进行了阐述且基本合理的，得2分；</w:t>
            </w:r>
          </w:p>
          <w:p>
            <w:pPr>
              <w:snapToGrid w:val="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（3）对单项内容进行了阐述但不太合理的，得1分；</w:t>
            </w:r>
          </w:p>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（4）对单项内容未进行阐述的，得0分。</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110"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服务响应</w:t>
            </w:r>
          </w:p>
        </w:tc>
        <w:tc>
          <w:tcPr>
            <w:tcW w:w="7282" w:type="dxa"/>
            <w:noWrap w:val="0"/>
            <w:vAlign w:val="center"/>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根</w:t>
            </w:r>
            <w:r>
              <w:rPr>
                <w:rFonts w:hint="eastAsia" w:ascii="宋体" w:hAnsi="宋体" w:eastAsia="宋体" w:cs="宋体"/>
                <w:color w:val="auto"/>
                <w:sz w:val="21"/>
                <w:szCs w:val="21"/>
                <w:highlight w:val="none"/>
                <w:lang w:val="en-US" w:eastAsia="zh-CN"/>
              </w:rPr>
              <w:t>据投标人响应方案的①响应方式的多样性②服务响应时间的时效性③突发事件的应急处理方案进行综合打分。（每项2分，最高得6分）</w:t>
            </w:r>
          </w:p>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（1）对单项内容进行了阐述且合理可行的，得2分；</w:t>
            </w:r>
          </w:p>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（2）对单项内容进行了阐述且基本合理的，得1分；</w:t>
            </w:r>
          </w:p>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（3）对单项内容未进行阐述的或阐述不合理的，得0分</w:t>
            </w:r>
            <w:r>
              <w:rPr>
                <w:rFonts w:hint="eastAsia" w:ascii="宋体" w:hAnsi="宋体" w:cs="宋体"/>
                <w:color w:val="auto"/>
                <w:sz w:val="21"/>
                <w:szCs w:val="21"/>
                <w:highlight w:val="none"/>
                <w:lang w:val="en-US" w:eastAsia="zh-CN"/>
              </w:rPr>
              <w:t>。</w:t>
            </w:r>
          </w:p>
        </w:tc>
        <w:tc>
          <w:tcPr>
            <w:tcW w:w="654" w:type="dxa"/>
            <w:noWrap w:val="0"/>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bl>
    <w:p>
      <w:pPr>
        <w:spacing w:line="360" w:lineRule="auto"/>
        <w:jc w:val="left"/>
        <w:rPr>
          <w:color w:val="auto"/>
          <w:szCs w:val="21"/>
          <w:highlight w:val="none"/>
        </w:rPr>
      </w:pPr>
      <w:r>
        <w:rPr>
          <w:b/>
          <w:color w:val="auto"/>
          <w:highlight w:val="none"/>
        </w:rPr>
        <w:t>注：以上评分项目，以投标人在投标书中做出的书面承诺或加盖公章的证明材料复印件为准。若未按上述要求提供书面及证明材料，或提供的书面及证明材料与事实不符，或提供的书面及证明材料无法提供完整的投标响应信息的均不给分。任何由于投标人原因导致书面及证明材料缺失、字迹模糊无法分辨、内容错漏的情形，均可能导致该投标人的评审项失分。</w:t>
      </w:r>
    </w:p>
    <w:p>
      <w:pPr>
        <w:spacing w:line="360" w:lineRule="auto"/>
        <w:jc w:val="left"/>
        <w:rPr>
          <w:color w:val="auto"/>
          <w:szCs w:val="21"/>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3</w:t>
      </w:r>
      <w:r>
        <w:rPr>
          <w:color w:val="auto"/>
          <w:szCs w:val="21"/>
          <w:highlight w:val="none"/>
        </w:rPr>
        <w:t>.1评标小组根据评分细则进行独立评标，对各有效投标人的技术资信部分进行书面审核和评论后，由各评标小组成员独立酌情给分，打分时保留小数1位，每人一份评分表，并签名。在统计得分时，如果发现某一单项评分超过评分标准规定的分值范围，则该张评分表无效。投标人最终得分为评标小组所有成员的有效评分的算术平均值，计算时保留小数2位（四舍五入法）。</w:t>
      </w:r>
    </w:p>
    <w:bookmarkEnd w:id="28"/>
    <w:p>
      <w:pPr>
        <w:spacing w:line="360" w:lineRule="auto"/>
        <w:jc w:val="left"/>
        <w:rPr>
          <w:color w:val="auto"/>
          <w:szCs w:val="21"/>
          <w:highlight w:val="none"/>
        </w:rPr>
      </w:pPr>
      <w:bookmarkStart w:id="29" w:name="OLE_LINK7"/>
      <w:r>
        <w:rPr>
          <w:rFonts w:hint="eastAsia"/>
          <w:color w:val="auto"/>
          <w:szCs w:val="21"/>
          <w:highlight w:val="none"/>
        </w:rPr>
        <w:t>7</w:t>
      </w:r>
      <w:r>
        <w:rPr>
          <w:color w:val="auto"/>
          <w:szCs w:val="21"/>
          <w:highlight w:val="none"/>
        </w:rPr>
        <w:t>.</w:t>
      </w:r>
      <w:r>
        <w:rPr>
          <w:rFonts w:hint="eastAsia"/>
          <w:color w:val="auto"/>
          <w:szCs w:val="21"/>
          <w:highlight w:val="none"/>
        </w:rPr>
        <w:t>3</w:t>
      </w:r>
      <w:r>
        <w:rPr>
          <w:color w:val="auto"/>
          <w:szCs w:val="21"/>
          <w:highlight w:val="none"/>
        </w:rPr>
        <w:t>.2评定技术资信入围投标人。技术资信入围投标人的技术资信部分应无明显不符合招标文件的情况。技术资信入围投标人进入价格标的评定。</w:t>
      </w:r>
    </w:p>
    <w:p>
      <w:pPr>
        <w:spacing w:line="360" w:lineRule="auto"/>
        <w:jc w:val="left"/>
        <w:rPr>
          <w:color w:val="auto"/>
          <w:szCs w:val="21"/>
          <w:highlight w:val="none"/>
        </w:rPr>
      </w:pPr>
      <w:r>
        <w:rPr>
          <w:rFonts w:hint="eastAsia"/>
          <w:color w:val="auto"/>
          <w:szCs w:val="21"/>
          <w:highlight w:val="none"/>
        </w:rPr>
        <w:t>7</w:t>
      </w:r>
      <w:r>
        <w:rPr>
          <w:color w:val="auto"/>
          <w:szCs w:val="21"/>
          <w:highlight w:val="none"/>
        </w:rPr>
        <w:t xml:space="preserve">. </w:t>
      </w:r>
      <w:r>
        <w:rPr>
          <w:rFonts w:hint="eastAsia"/>
          <w:color w:val="auto"/>
          <w:szCs w:val="21"/>
          <w:highlight w:val="none"/>
        </w:rPr>
        <w:t>4</w:t>
      </w:r>
      <w:r>
        <w:rPr>
          <w:color w:val="auto"/>
          <w:szCs w:val="21"/>
          <w:highlight w:val="none"/>
        </w:rPr>
        <w:t>投标报价评审：技术资信入围投标人确定后，将对技术资信入围投标人投标报价进行评审，进入价格评分。</w:t>
      </w:r>
      <w:r>
        <w:rPr>
          <w:b/>
          <w:bCs/>
          <w:color w:val="auto"/>
          <w:szCs w:val="21"/>
          <w:highlight w:val="none"/>
        </w:rPr>
        <w:t>超过财政预算的投标无效。</w:t>
      </w:r>
      <w:r>
        <w:rPr>
          <w:color w:val="auto"/>
          <w:szCs w:val="21"/>
          <w:highlight w:val="none"/>
        </w:rPr>
        <w:t>投标文件中投标报价不明确的投标无效。</w:t>
      </w:r>
      <w:r>
        <w:rPr>
          <w:rFonts w:hint="eastAsia" w:eastAsia="宋体"/>
          <w:bCs/>
          <w:color w:val="auto"/>
          <w:szCs w:val="21"/>
          <w:highlight w:val="none"/>
        </w:rPr>
        <w:t>本</w:t>
      </w:r>
      <w:r>
        <w:rPr>
          <w:rFonts w:eastAsia="宋体"/>
          <w:bCs/>
          <w:color w:val="auto"/>
          <w:szCs w:val="21"/>
          <w:highlight w:val="none"/>
        </w:rPr>
        <w:t>项目专门面向中小企业，小微企业不享受报价扣除。</w:t>
      </w:r>
    </w:p>
    <w:p>
      <w:pPr>
        <w:spacing w:line="360" w:lineRule="auto"/>
        <w:jc w:val="left"/>
        <w:rPr>
          <w:bCs/>
          <w:color w:val="auto"/>
          <w:szCs w:val="21"/>
          <w:highlight w:val="none"/>
        </w:rPr>
      </w:pPr>
      <w:r>
        <w:rPr>
          <w:rFonts w:hint="eastAsia"/>
          <w:bCs/>
          <w:color w:val="auto"/>
          <w:szCs w:val="21"/>
          <w:highlight w:val="none"/>
        </w:rPr>
        <w:t>7</w:t>
      </w:r>
      <w:r>
        <w:rPr>
          <w:bCs/>
          <w:color w:val="auto"/>
          <w:szCs w:val="21"/>
          <w:highlight w:val="none"/>
        </w:rPr>
        <w:t>.</w:t>
      </w:r>
      <w:r>
        <w:rPr>
          <w:rFonts w:hint="eastAsia"/>
          <w:bCs/>
          <w:color w:val="auto"/>
          <w:szCs w:val="21"/>
          <w:highlight w:val="none"/>
        </w:rPr>
        <w:t>5</w:t>
      </w:r>
      <w:r>
        <w:rPr>
          <w:bCs/>
          <w:color w:val="auto"/>
          <w:szCs w:val="21"/>
          <w:highlight w:val="none"/>
        </w:rPr>
        <w:t>价格报价部分</w:t>
      </w:r>
      <w:r>
        <w:rPr>
          <w:b/>
          <w:bCs/>
          <w:color w:val="auto"/>
          <w:kern w:val="0"/>
          <w:szCs w:val="21"/>
          <w:highlight w:val="none"/>
        </w:rPr>
        <w:t>（满分为</w:t>
      </w:r>
      <w:r>
        <w:rPr>
          <w:rFonts w:hint="eastAsia"/>
          <w:b/>
          <w:bCs/>
          <w:color w:val="auto"/>
          <w:kern w:val="0"/>
          <w:szCs w:val="21"/>
          <w:highlight w:val="none"/>
        </w:rPr>
        <w:t>10</w:t>
      </w:r>
      <w:r>
        <w:rPr>
          <w:b/>
          <w:bCs/>
          <w:color w:val="auto"/>
          <w:kern w:val="0"/>
          <w:szCs w:val="21"/>
          <w:highlight w:val="none"/>
        </w:rPr>
        <w:t>分）</w:t>
      </w:r>
    </w:p>
    <w:p>
      <w:pPr>
        <w:spacing w:line="360" w:lineRule="auto"/>
        <w:jc w:val="left"/>
        <w:rPr>
          <w:color w:val="auto"/>
          <w:szCs w:val="21"/>
          <w:highlight w:val="none"/>
        </w:rPr>
      </w:pPr>
      <w:r>
        <w:rPr>
          <w:rFonts w:hint="eastAsia"/>
          <w:bCs/>
          <w:color w:val="auto"/>
          <w:szCs w:val="21"/>
          <w:highlight w:val="none"/>
        </w:rPr>
        <w:t>7</w:t>
      </w:r>
      <w:r>
        <w:rPr>
          <w:color w:val="auto"/>
          <w:szCs w:val="21"/>
          <w:highlight w:val="none"/>
        </w:rPr>
        <w:t>.5.1 分析报价是否合理，报价范围是否完整，有否重大错漏（如有则按本章4.4款规定调整）。</w:t>
      </w:r>
    </w:p>
    <w:p>
      <w:pPr>
        <w:spacing w:line="360" w:lineRule="auto"/>
        <w:jc w:val="left"/>
        <w:rPr>
          <w:color w:val="auto"/>
          <w:szCs w:val="21"/>
          <w:highlight w:val="none"/>
        </w:rPr>
      </w:pPr>
      <w:r>
        <w:rPr>
          <w:rFonts w:hint="eastAsia"/>
          <w:bCs/>
          <w:color w:val="auto"/>
          <w:szCs w:val="21"/>
          <w:highlight w:val="none"/>
        </w:rPr>
        <w:t>7</w:t>
      </w:r>
      <w:r>
        <w:rPr>
          <w:bCs/>
          <w:color w:val="auto"/>
          <w:szCs w:val="21"/>
          <w:highlight w:val="none"/>
        </w:rPr>
        <w:t>.</w:t>
      </w:r>
      <w:r>
        <w:rPr>
          <w:color w:val="auto"/>
          <w:szCs w:val="21"/>
          <w:highlight w:val="none"/>
        </w:rPr>
        <w:t>5.2 评定评审基准价：</w:t>
      </w:r>
      <w:r>
        <w:rPr>
          <w:bCs/>
          <w:color w:val="auto"/>
          <w:szCs w:val="21"/>
          <w:highlight w:val="none"/>
        </w:rPr>
        <w:t>技术资信入围投标人</w:t>
      </w:r>
      <w:r>
        <w:rPr>
          <w:color w:val="auto"/>
          <w:szCs w:val="21"/>
          <w:highlight w:val="none"/>
        </w:rPr>
        <w:t>的最低报价作为评标基准价。</w:t>
      </w:r>
    </w:p>
    <w:p>
      <w:pPr>
        <w:spacing w:line="360" w:lineRule="auto"/>
        <w:jc w:val="left"/>
        <w:rPr>
          <w:color w:val="auto"/>
          <w:szCs w:val="21"/>
          <w:highlight w:val="none"/>
        </w:rPr>
      </w:pPr>
      <w:r>
        <w:rPr>
          <w:rFonts w:hint="eastAsia"/>
          <w:color w:val="auto"/>
          <w:szCs w:val="21"/>
          <w:highlight w:val="none"/>
        </w:rPr>
        <w:t>7</w:t>
      </w:r>
      <w:r>
        <w:rPr>
          <w:color w:val="auto"/>
          <w:szCs w:val="21"/>
          <w:highlight w:val="none"/>
        </w:rPr>
        <w:t>.5.3 报价得分=（评标基准价/投标报价）×价格权值</w:t>
      </w:r>
      <w:r>
        <w:rPr>
          <w:color w:val="auto"/>
          <w:highlight w:val="none"/>
        </w:rPr>
        <w:t>×100</w:t>
      </w:r>
    </w:p>
    <w:p>
      <w:pPr>
        <w:spacing w:line="360" w:lineRule="auto"/>
        <w:ind w:firstLine="420" w:firstLineChars="200"/>
        <w:jc w:val="left"/>
        <w:rPr>
          <w:rFonts w:eastAsia="宋体"/>
          <w:bCs/>
          <w:color w:val="auto"/>
          <w:szCs w:val="21"/>
          <w:highlight w:val="none"/>
        </w:rPr>
      </w:pPr>
      <w:r>
        <w:rPr>
          <w:color w:val="auto"/>
          <w:szCs w:val="21"/>
          <w:highlight w:val="none"/>
        </w:rPr>
        <w:t>计算报价得分保留小数2位（四舍五入法），价格最低的</w:t>
      </w:r>
      <w:r>
        <w:rPr>
          <w:bCs/>
          <w:color w:val="auto"/>
          <w:szCs w:val="21"/>
          <w:highlight w:val="none"/>
        </w:rPr>
        <w:t>技术资信入围投标人其价格分为满分</w:t>
      </w:r>
      <w:r>
        <w:rPr>
          <w:rFonts w:eastAsia="宋体"/>
          <w:bCs/>
          <w:color w:val="auto"/>
          <w:szCs w:val="21"/>
          <w:highlight w:val="none"/>
        </w:rPr>
        <w:t>。</w:t>
      </w:r>
      <w:r>
        <w:rPr>
          <w:rFonts w:hint="eastAsia" w:eastAsia="宋体"/>
          <w:bCs/>
          <w:color w:val="auto"/>
          <w:szCs w:val="21"/>
          <w:highlight w:val="none"/>
        </w:rPr>
        <w:t>本</w:t>
      </w:r>
      <w:r>
        <w:rPr>
          <w:rFonts w:eastAsia="宋体"/>
          <w:bCs/>
          <w:color w:val="auto"/>
          <w:szCs w:val="21"/>
          <w:highlight w:val="none"/>
        </w:rPr>
        <w:t>项目专门面向中小企业，小微企业不享受报价扣除。</w:t>
      </w:r>
    </w:p>
    <w:p>
      <w:pPr>
        <w:spacing w:line="360" w:lineRule="auto"/>
        <w:ind w:firstLine="420" w:firstLineChars="200"/>
        <w:jc w:val="left"/>
        <w:rPr>
          <w:color w:val="auto"/>
          <w:highlight w:val="none"/>
        </w:rPr>
      </w:pPr>
      <w:r>
        <w:rPr>
          <w:color w:val="auto"/>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jc w:val="left"/>
        <w:rPr>
          <w:b/>
          <w:color w:val="auto"/>
          <w:szCs w:val="21"/>
          <w:highlight w:val="none"/>
        </w:rPr>
      </w:pPr>
      <w:r>
        <w:rPr>
          <w:rFonts w:hint="eastAsia"/>
          <w:bCs/>
          <w:color w:val="auto"/>
          <w:szCs w:val="21"/>
          <w:highlight w:val="none"/>
        </w:rPr>
        <w:t>7</w:t>
      </w:r>
      <w:r>
        <w:rPr>
          <w:bCs/>
          <w:color w:val="auto"/>
          <w:szCs w:val="21"/>
          <w:highlight w:val="none"/>
        </w:rPr>
        <w:t>.6计算总分（满分为100分）：</w:t>
      </w:r>
      <w:r>
        <w:rPr>
          <w:color w:val="auto"/>
          <w:szCs w:val="21"/>
          <w:highlight w:val="none"/>
        </w:rPr>
        <w:t>计算方法：总分</w:t>
      </w:r>
      <w:r>
        <w:rPr>
          <w:b/>
          <w:color w:val="auto"/>
          <w:szCs w:val="21"/>
          <w:highlight w:val="none"/>
        </w:rPr>
        <w:t>=</w:t>
      </w:r>
      <w:r>
        <w:rPr>
          <w:color w:val="auto"/>
          <w:szCs w:val="21"/>
          <w:highlight w:val="none"/>
        </w:rPr>
        <w:t>技术资信得分</w:t>
      </w:r>
      <w:r>
        <w:rPr>
          <w:b/>
          <w:color w:val="auto"/>
          <w:szCs w:val="21"/>
          <w:highlight w:val="none"/>
        </w:rPr>
        <w:t>+</w:t>
      </w:r>
      <w:r>
        <w:rPr>
          <w:color w:val="auto"/>
          <w:szCs w:val="21"/>
          <w:highlight w:val="none"/>
        </w:rPr>
        <w:t>报价得分</w:t>
      </w:r>
    </w:p>
    <w:bookmarkEnd w:id="29"/>
    <w:p>
      <w:pPr>
        <w:spacing w:line="360" w:lineRule="auto"/>
        <w:jc w:val="left"/>
        <w:rPr>
          <w:b/>
          <w:color w:val="auto"/>
          <w:szCs w:val="21"/>
          <w:highlight w:val="none"/>
        </w:rPr>
      </w:pPr>
      <w:r>
        <w:rPr>
          <w:rFonts w:hint="eastAsia"/>
          <w:b/>
          <w:color w:val="auto"/>
          <w:szCs w:val="21"/>
          <w:highlight w:val="none"/>
        </w:rPr>
        <w:t>8</w:t>
      </w:r>
      <w:r>
        <w:rPr>
          <w:b/>
          <w:color w:val="auto"/>
          <w:szCs w:val="21"/>
          <w:highlight w:val="none"/>
        </w:rPr>
        <w:t>、确定中标候选人</w:t>
      </w:r>
    </w:p>
    <w:p>
      <w:pPr>
        <w:spacing w:line="360" w:lineRule="auto"/>
        <w:ind w:left="2" w:right="40"/>
        <w:rPr>
          <w:color w:val="auto"/>
          <w:highlight w:val="none"/>
        </w:rPr>
      </w:pPr>
      <w:r>
        <w:rPr>
          <w:rFonts w:hint="eastAsia"/>
          <w:color w:val="auto"/>
          <w:highlight w:val="none"/>
        </w:rPr>
        <w:t>8</w:t>
      </w:r>
      <w:r>
        <w:rPr>
          <w:color w:val="auto"/>
          <w:highlight w:val="none"/>
        </w:rPr>
        <w:t>.1 根据评标委员会的书面评审报告和推荐的中标候选人的排列顺序确定中标候选人，即总分最高者为中标候选人。</w:t>
      </w:r>
    </w:p>
    <w:p>
      <w:pPr>
        <w:spacing w:line="360" w:lineRule="auto"/>
        <w:ind w:left="2"/>
        <w:rPr>
          <w:color w:val="auto"/>
          <w:highlight w:val="none"/>
        </w:rPr>
      </w:pPr>
      <w:r>
        <w:rPr>
          <w:rFonts w:hint="eastAsia"/>
          <w:color w:val="auto"/>
          <w:highlight w:val="none"/>
        </w:rPr>
        <w:t>8</w:t>
      </w:r>
      <w:r>
        <w:rPr>
          <w:color w:val="auto"/>
          <w:highlight w:val="none"/>
        </w:rPr>
        <w:t>.2最终得分相同时，按投标报价由低到高顺序排列；最终得分且投标报价相同的，采用政采云平台记录的投标文件解密时间先后顺序排列。</w:t>
      </w:r>
    </w:p>
    <w:p>
      <w:pPr>
        <w:spacing w:line="360" w:lineRule="auto"/>
        <w:ind w:left="2"/>
        <w:rPr>
          <w:color w:val="auto"/>
          <w:highlight w:val="none"/>
        </w:rPr>
      </w:pPr>
      <w:r>
        <w:rPr>
          <w:rFonts w:hint="eastAsia"/>
          <w:color w:val="auto"/>
          <w:highlight w:val="none"/>
        </w:rPr>
        <w:t>8</w:t>
      </w:r>
      <w:r>
        <w:rPr>
          <w:color w:val="auto"/>
          <w:highlight w:val="none"/>
        </w:rPr>
        <w:t>.3评标委会员按照得分高低推荐</w:t>
      </w:r>
      <w:r>
        <w:rPr>
          <w:rFonts w:hint="eastAsia"/>
          <w:color w:val="auto"/>
          <w:highlight w:val="none"/>
        </w:rPr>
        <w:t>一</w:t>
      </w:r>
      <w:r>
        <w:rPr>
          <w:color w:val="auto"/>
          <w:highlight w:val="none"/>
        </w:rPr>
        <w:t>名中标候选人。</w:t>
      </w:r>
    </w:p>
    <w:p>
      <w:pPr>
        <w:spacing w:line="360" w:lineRule="auto"/>
        <w:ind w:left="2"/>
        <w:rPr>
          <w:color w:val="auto"/>
          <w:szCs w:val="21"/>
          <w:highlight w:val="none"/>
        </w:rPr>
      </w:pPr>
      <w:r>
        <w:rPr>
          <w:rFonts w:hint="eastAsia"/>
          <w:color w:val="auto"/>
          <w:highlight w:val="none"/>
        </w:rPr>
        <w:t>8</w:t>
      </w:r>
      <w:r>
        <w:rPr>
          <w:color w:val="auto"/>
          <w:highlight w:val="none"/>
        </w:rPr>
        <w:t>.4评标活动严格执行民主集中制，评标结果的产生遵循少数服从多数的原则，每位评标人员必须在评标报告上进行确认，对评标结果有异议的，可以保留意见，并在评标报告上签署不同意见及理由，否则视为认同。</w:t>
      </w:r>
    </w:p>
    <w:p>
      <w:pPr>
        <w:spacing w:line="360" w:lineRule="auto"/>
        <w:jc w:val="left"/>
        <w:rPr>
          <w:b/>
          <w:bCs/>
          <w:color w:val="auto"/>
          <w:szCs w:val="21"/>
          <w:highlight w:val="none"/>
        </w:rPr>
      </w:pPr>
      <w:r>
        <w:rPr>
          <w:rFonts w:hint="eastAsia"/>
          <w:b/>
          <w:bCs/>
          <w:color w:val="auto"/>
          <w:szCs w:val="21"/>
          <w:highlight w:val="none"/>
          <w:lang w:val="en-US" w:eastAsia="zh-CN"/>
        </w:rPr>
        <w:t>9</w:t>
      </w:r>
      <w:r>
        <w:rPr>
          <w:b/>
          <w:bCs/>
          <w:color w:val="auto"/>
          <w:szCs w:val="21"/>
          <w:highlight w:val="none"/>
        </w:rPr>
        <w:t>、授予合同</w:t>
      </w:r>
    </w:p>
    <w:p>
      <w:pPr>
        <w:spacing w:line="360" w:lineRule="auto"/>
        <w:jc w:val="left"/>
        <w:outlineLvl w:val="2"/>
        <w:rPr>
          <w:bCs/>
          <w:color w:val="auto"/>
          <w:szCs w:val="21"/>
          <w:highlight w:val="none"/>
        </w:rPr>
      </w:pPr>
      <w:r>
        <w:rPr>
          <w:rFonts w:hint="eastAsia"/>
          <w:bCs/>
          <w:color w:val="auto"/>
          <w:szCs w:val="21"/>
          <w:highlight w:val="none"/>
          <w:lang w:val="en-US" w:eastAsia="zh-CN"/>
        </w:rPr>
        <w:t>9</w:t>
      </w:r>
      <w:r>
        <w:rPr>
          <w:bCs/>
          <w:color w:val="auto"/>
          <w:szCs w:val="21"/>
          <w:highlight w:val="none"/>
        </w:rPr>
        <w:t>.1 公告中标结果、发出中标通知书</w:t>
      </w:r>
    </w:p>
    <w:p>
      <w:pPr>
        <w:spacing w:line="360" w:lineRule="auto"/>
        <w:jc w:val="left"/>
        <w:rPr>
          <w:color w:val="auto"/>
          <w:highlight w:val="none"/>
        </w:rPr>
      </w:pPr>
      <w:r>
        <w:rPr>
          <w:rFonts w:hint="eastAsia"/>
          <w:color w:val="auto"/>
          <w:szCs w:val="21"/>
          <w:highlight w:val="none"/>
          <w:lang w:val="en-US" w:eastAsia="zh-CN"/>
        </w:rPr>
        <w:t>9</w:t>
      </w:r>
      <w:r>
        <w:rPr>
          <w:color w:val="auto"/>
          <w:szCs w:val="21"/>
          <w:highlight w:val="none"/>
        </w:rPr>
        <w:t>.1.1</w:t>
      </w:r>
      <w:r>
        <w:rPr>
          <w:color w:val="auto"/>
          <w:highlight w:val="none"/>
        </w:rPr>
        <w:t>采购代理机构应当在评标结束后2个工作日内将评标报告送采购人。采购人应当自收到评标报告之日起5个工作日内，在评标报告确定的中标候选人名单中按顺序确定中标人。</w:t>
      </w:r>
    </w:p>
    <w:p>
      <w:pPr>
        <w:spacing w:line="360" w:lineRule="auto"/>
        <w:jc w:val="left"/>
        <w:rPr>
          <w:color w:val="auto"/>
          <w:szCs w:val="21"/>
          <w:highlight w:val="none"/>
        </w:rPr>
      </w:pPr>
      <w:r>
        <w:rPr>
          <w:rFonts w:hint="eastAsia"/>
          <w:color w:val="auto"/>
          <w:highlight w:val="none"/>
          <w:lang w:val="en-US" w:eastAsia="zh-CN"/>
        </w:rPr>
        <w:t>9</w:t>
      </w:r>
      <w:r>
        <w:rPr>
          <w:color w:val="auto"/>
          <w:highlight w:val="none"/>
        </w:rPr>
        <w:t>.1.2采购代理机构应当自中标人确定之日起2个工作日内，在浙江政府采购网上公告中标结果，招标文件应当随中标结果同时公告。在公告中标结果的同时，采购人和采购代理机构共同向中标人发出中标通知书；对未通过资格审查的投标人，告知其未通过的原因；并告知未中标人本人的评审得分与排序。</w:t>
      </w:r>
    </w:p>
    <w:p>
      <w:pPr>
        <w:spacing w:line="360" w:lineRule="auto"/>
        <w:jc w:val="left"/>
        <w:rPr>
          <w:color w:val="auto"/>
          <w:szCs w:val="21"/>
          <w:highlight w:val="none"/>
        </w:rPr>
      </w:pPr>
      <w:r>
        <w:rPr>
          <w:rFonts w:hint="eastAsia"/>
          <w:color w:val="auto"/>
          <w:szCs w:val="21"/>
          <w:highlight w:val="none"/>
          <w:lang w:val="en-US" w:eastAsia="zh-CN"/>
        </w:rPr>
        <w:t>9</w:t>
      </w:r>
      <w:r>
        <w:rPr>
          <w:color w:val="auto"/>
          <w:szCs w:val="21"/>
          <w:highlight w:val="none"/>
        </w:rPr>
        <w:t>.1.2《中标通知书》一经发出即发生法律效力，采购人不得违法改变中标结果，中标人无正当理由不得放弃中标。</w:t>
      </w:r>
    </w:p>
    <w:p>
      <w:pPr>
        <w:spacing w:line="360" w:lineRule="auto"/>
        <w:jc w:val="left"/>
        <w:rPr>
          <w:color w:val="auto"/>
          <w:szCs w:val="21"/>
          <w:highlight w:val="none"/>
        </w:rPr>
      </w:pPr>
      <w:r>
        <w:rPr>
          <w:rFonts w:hint="eastAsia"/>
          <w:color w:val="auto"/>
          <w:szCs w:val="21"/>
          <w:highlight w:val="none"/>
          <w:lang w:val="en-US" w:eastAsia="zh-CN"/>
        </w:rPr>
        <w:t>9</w:t>
      </w:r>
      <w:r>
        <w:rPr>
          <w:color w:val="auto"/>
          <w:szCs w:val="21"/>
          <w:highlight w:val="none"/>
        </w:rPr>
        <w:t>.1.3《中标通知书》将作为签订合同的依据。</w:t>
      </w:r>
    </w:p>
    <w:p>
      <w:pPr>
        <w:spacing w:line="360" w:lineRule="auto"/>
        <w:jc w:val="left"/>
        <w:rPr>
          <w:color w:val="auto"/>
          <w:szCs w:val="21"/>
          <w:highlight w:val="none"/>
          <w:u w:val="single"/>
        </w:rPr>
      </w:pPr>
      <w:r>
        <w:rPr>
          <w:rFonts w:hint="eastAsia"/>
          <w:color w:val="auto"/>
          <w:szCs w:val="21"/>
          <w:highlight w:val="none"/>
          <w:lang w:val="en-US" w:eastAsia="zh-CN"/>
        </w:rPr>
        <w:t>9</w:t>
      </w:r>
      <w:r>
        <w:rPr>
          <w:color w:val="auto"/>
          <w:szCs w:val="21"/>
          <w:highlight w:val="none"/>
        </w:rPr>
        <w:t>.1.4发布中标结果公告的媒体为：</w:t>
      </w:r>
      <w:r>
        <w:rPr>
          <w:color w:val="auto"/>
          <w:highlight w:val="none"/>
        </w:rPr>
        <w:t>浙江政府采购网（</w:t>
      </w:r>
      <w:r>
        <w:rPr>
          <w:color w:val="auto"/>
          <w:szCs w:val="21"/>
          <w:highlight w:val="none"/>
          <w:u w:val="single"/>
        </w:rPr>
        <w:fldChar w:fldCharType="begin"/>
      </w:r>
      <w:r>
        <w:rPr>
          <w:color w:val="auto"/>
          <w:szCs w:val="21"/>
          <w:highlight w:val="none"/>
          <w:u w:val="single"/>
        </w:rPr>
        <w:instrText xml:space="preserve">HYPERLINK "http://www.zjzfcg.gov.cn"</w:instrText>
      </w:r>
      <w:r>
        <w:rPr>
          <w:color w:val="auto"/>
          <w:szCs w:val="21"/>
          <w:highlight w:val="none"/>
          <w:u w:val="single"/>
        </w:rPr>
        <w:fldChar w:fldCharType="separate"/>
      </w:r>
      <w:r>
        <w:rPr>
          <w:color w:val="auto"/>
          <w:szCs w:val="21"/>
          <w:highlight w:val="none"/>
          <w:u w:val="single"/>
        </w:rPr>
        <w:t>http://www.zjz</w:t>
      </w:r>
      <w:bookmarkStart w:id="30" w:name="_Hlt124920532"/>
      <w:r>
        <w:rPr>
          <w:color w:val="auto"/>
          <w:szCs w:val="21"/>
          <w:highlight w:val="none"/>
          <w:u w:val="single"/>
        </w:rPr>
        <w:t>f</w:t>
      </w:r>
      <w:bookmarkEnd w:id="30"/>
      <w:r>
        <w:rPr>
          <w:color w:val="auto"/>
          <w:szCs w:val="21"/>
          <w:highlight w:val="none"/>
          <w:u w:val="single"/>
        </w:rPr>
        <w:t>cg.gov.cn</w:t>
      </w:r>
      <w:r>
        <w:rPr>
          <w:color w:val="auto"/>
          <w:szCs w:val="21"/>
          <w:highlight w:val="none"/>
          <w:u w:val="single"/>
        </w:rPr>
        <w:fldChar w:fldCharType="end"/>
      </w:r>
      <w:r>
        <w:rPr>
          <w:color w:val="auto"/>
          <w:szCs w:val="21"/>
          <w:highlight w:val="none"/>
          <w:u w:val="single"/>
        </w:rPr>
        <w:t>）</w:t>
      </w:r>
    </w:p>
    <w:p>
      <w:pPr>
        <w:spacing w:line="360" w:lineRule="auto"/>
        <w:ind w:left="2"/>
        <w:rPr>
          <w:color w:val="auto"/>
          <w:szCs w:val="21"/>
          <w:highlight w:val="none"/>
          <w:u w:val="single"/>
        </w:rPr>
      </w:pPr>
      <w:r>
        <w:rPr>
          <w:rFonts w:hint="eastAsia"/>
          <w:b/>
          <w:color w:val="auto"/>
          <w:highlight w:val="none"/>
          <w:lang w:val="en-US" w:eastAsia="zh-CN"/>
        </w:rPr>
        <w:t>9</w:t>
      </w:r>
      <w:r>
        <w:rPr>
          <w:b/>
          <w:color w:val="auto"/>
          <w:highlight w:val="none"/>
        </w:rPr>
        <w:t>.1.5</w:t>
      </w:r>
      <w:r>
        <w:rPr>
          <w:b/>
          <w:color w:val="auto"/>
          <w:highlight w:val="none"/>
          <w:lang w:val="zh-TW" w:eastAsia="zh-TW"/>
        </w:rPr>
        <w:t>网上注册：投标供应商</w:t>
      </w:r>
      <w:r>
        <w:rPr>
          <w:rFonts w:hint="eastAsia"/>
          <w:b/>
          <w:color w:val="auto"/>
          <w:highlight w:val="none"/>
          <w:lang w:val="zh-TW" w:eastAsia="zh-TW"/>
        </w:rPr>
        <w:t>在</w:t>
      </w:r>
      <w:r>
        <w:rPr>
          <w:b/>
          <w:color w:val="auto"/>
          <w:highlight w:val="none"/>
          <w:lang w:val="zh-TW" w:eastAsia="zh-TW"/>
        </w:rPr>
        <w:t>提交投标文件截止时间</w:t>
      </w:r>
      <w:r>
        <w:rPr>
          <w:rFonts w:hint="eastAsia"/>
          <w:b/>
          <w:color w:val="auto"/>
          <w:highlight w:val="none"/>
          <w:lang w:val="zh-TW" w:eastAsia="zh-TW"/>
        </w:rPr>
        <w:t>前</w:t>
      </w:r>
      <w:r>
        <w:rPr>
          <w:b/>
          <w:color w:val="auto"/>
          <w:highlight w:val="none"/>
          <w:lang w:val="zh-TW" w:eastAsia="zh-TW"/>
        </w:rPr>
        <w:t>，应当按照《浙江省政府采购供应商注册及诚信管理暂行办法》（浙财采监字〔2009〕28号）的规定，在</w:t>
      </w:r>
      <w:r>
        <w:rPr>
          <w:rFonts w:hint="eastAsia"/>
          <w:b/>
          <w:color w:val="auto"/>
          <w:highlight w:val="none"/>
          <w:lang w:val="zh-TW"/>
        </w:rPr>
        <w:t>“</w:t>
      </w:r>
      <w:r>
        <w:rPr>
          <w:b/>
          <w:color w:val="auto"/>
          <w:highlight w:val="none"/>
          <w:lang w:val="zh-TW" w:eastAsia="zh-TW"/>
        </w:rPr>
        <w:t>浙江省政府采购网（http://www.zjzfcg.gov.cn）</w:t>
      </w:r>
      <w:r>
        <w:rPr>
          <w:rFonts w:hint="eastAsia"/>
          <w:b/>
          <w:color w:val="auto"/>
          <w:highlight w:val="none"/>
          <w:lang w:val="zh-TW"/>
        </w:rPr>
        <w:t>”</w:t>
      </w:r>
      <w:r>
        <w:rPr>
          <w:b/>
          <w:color w:val="auto"/>
          <w:highlight w:val="none"/>
          <w:lang w:val="zh-TW" w:eastAsia="zh-TW"/>
        </w:rPr>
        <w:t>上进行供应商注册登记。</w:t>
      </w:r>
    </w:p>
    <w:p>
      <w:pPr>
        <w:spacing w:line="360" w:lineRule="auto"/>
        <w:jc w:val="left"/>
        <w:outlineLvl w:val="2"/>
        <w:rPr>
          <w:b/>
          <w:bCs w:val="0"/>
          <w:color w:val="auto"/>
          <w:szCs w:val="21"/>
          <w:highlight w:val="none"/>
        </w:rPr>
      </w:pPr>
      <w:r>
        <w:rPr>
          <w:rFonts w:hint="eastAsia"/>
          <w:b/>
          <w:bCs w:val="0"/>
          <w:color w:val="auto"/>
          <w:szCs w:val="21"/>
          <w:highlight w:val="none"/>
          <w:lang w:val="en-US" w:eastAsia="zh-CN"/>
        </w:rPr>
        <w:t>9</w:t>
      </w:r>
      <w:r>
        <w:rPr>
          <w:b/>
          <w:bCs w:val="0"/>
          <w:color w:val="auto"/>
          <w:szCs w:val="21"/>
          <w:highlight w:val="none"/>
        </w:rPr>
        <w:t>.2 签订合同</w:t>
      </w:r>
    </w:p>
    <w:p>
      <w:pPr>
        <w:keepNext w:val="0"/>
        <w:keepLines w:val="0"/>
        <w:pageBreakBefore w:val="0"/>
        <w:widowControl w:val="0"/>
        <w:kinsoku/>
        <w:wordWrap/>
        <w:overflowPunct/>
        <w:topLinePunct w:val="0"/>
        <w:autoSpaceDE/>
        <w:autoSpaceDN/>
        <w:bidi w:val="0"/>
        <w:adjustRightInd w:val="0"/>
        <w:snapToGrid w:val="0"/>
        <w:spacing w:after="120" w:line="36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9.2.1 合同的签订</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.除不可抗力等特殊情况外，采购人原则上应当在中标通知书发出之日起</w:t>
      </w:r>
      <w:r>
        <w:rPr>
          <w:rFonts w:hint="eastAsia" w:ascii="宋体" w:hAnsi="宋体" w:eastAsia="宋体" w:cs="宋体"/>
          <w:b/>
          <w:bCs/>
          <w:color w:val="auto"/>
          <w:kern w:val="2"/>
          <w:sz w:val="21"/>
          <w:szCs w:val="21"/>
          <w:highlight w:val="none"/>
          <w:lang w:val="en-US" w:eastAsia="zh-CN" w:bidi="ar-SA"/>
        </w:rPr>
        <w:t>20日</w:t>
      </w:r>
      <w:r>
        <w:rPr>
          <w:rFonts w:hint="eastAsia" w:ascii="宋体" w:hAnsi="宋体" w:eastAsia="宋体" w:cs="宋体"/>
          <w:color w:val="auto"/>
          <w:sz w:val="21"/>
          <w:szCs w:val="21"/>
          <w:highlight w:val="none"/>
        </w:rPr>
        <w:t>内，与</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人按照采购文件确定的事项签订政府采购合同，并在签订之日起2个工作日内将政府采购合同在浙江政府采购网上公告。</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210" w:firstLineChars="1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lang w:val="zh-CN" w:eastAsia="zh-CN" w:bidi="ar-SA"/>
        </w:rPr>
        <w:t>按规定的日期、时间、地点，由法定代表人或其授权代表与采购人签订合同。如</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lang w:val="zh-CN" w:eastAsia="zh-CN" w:bidi="ar-SA"/>
        </w:rPr>
        <w:t>为联合体的，由联合体成员各方法定代表人或其授权代表与采购人签订合同。</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3.如签订合同并生效后，供应商无故拒绝或延期，除按照合同条款处理外，列入不良行为记录一次，并给予通报。</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en-US" w:eastAsia="zh-CN" w:bidi="ar-SA"/>
        </w:rPr>
        <w:t>拒绝与采购人签订合同的，采购人可以按照评审报告推荐的中标或者成交候选人名单排序，确定下一候选人为</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en-US" w:eastAsia="zh-CN" w:bidi="ar-SA"/>
        </w:rPr>
        <w:t>，也可以重新开展政府采购活动。</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210" w:firstLineChars="1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5.采购合同由采购人与</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en-US" w:eastAsia="zh-CN" w:bidi="ar-SA"/>
        </w:rPr>
        <w:t>根据采购文件、磋商响应文件等内容通过政府采购电子交易平台在线签订，自动备案。</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211" w:firstLineChars="1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6.政府采购货物和服务项目不得收取质量保证金。政府采购工程以及与工程建设有关的货物、服务，采用招标方式采购的，按国家和省有关规定执行。</w:t>
      </w:r>
    </w:p>
    <w:p>
      <w:pPr>
        <w:keepNext w:val="0"/>
        <w:keepLines w:val="0"/>
        <w:pageBreakBefore w:val="0"/>
        <w:widowControl w:val="0"/>
        <w:kinsoku/>
        <w:wordWrap/>
        <w:overflowPunct/>
        <w:topLinePunct w:val="0"/>
        <w:autoSpaceDE/>
        <w:autoSpaceDN/>
        <w:bidi w:val="0"/>
        <w:adjustRightInd w:val="0"/>
        <w:snapToGrid w:val="0"/>
        <w:spacing w:after="120" w:line="36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9.2.2 履约保证金</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0" w:after="100" w:afterAutospacing="0" w:line="360" w:lineRule="auto"/>
        <w:ind w:left="0" w:right="0" w:rightChars="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拟签订的合同文本要求中标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after="120" w:line="36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9.2.3预付款</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ascii="宋体" w:hAnsi="宋体" w:eastAsia="宋体" w:cs="宋体"/>
          <w:color w:val="auto"/>
          <w:sz w:val="21"/>
          <w:szCs w:val="21"/>
          <w:highlight w:val="none"/>
          <w:u w:val="single"/>
        </w:rPr>
        <w:t>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pPr>
        <w:keepNext w:val="0"/>
        <w:keepLines w:val="0"/>
        <w:pageBreakBefore w:val="0"/>
        <w:widowControl w:val="0"/>
        <w:kinsoku/>
        <w:wordWrap/>
        <w:overflowPunct/>
        <w:topLinePunct w:val="0"/>
        <w:autoSpaceDE/>
        <w:autoSpaceDN/>
        <w:bidi w:val="0"/>
        <w:adjustRightInd w:val="0"/>
        <w:snapToGrid w:val="0"/>
        <w:spacing w:after="120" w:line="360" w:lineRule="auto"/>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9.2.4资金支付</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_GB2312"/>
          <w:color w:val="auto"/>
          <w:sz w:val="24"/>
          <w:szCs w:val="24"/>
          <w:highlight w:val="none"/>
        </w:rPr>
      </w:pPr>
      <w:r>
        <w:rPr>
          <w:rFonts w:hint="eastAsia" w:ascii="宋体" w:hAnsi="宋体" w:eastAsia="宋体" w:cs="宋体"/>
          <w:color w:val="auto"/>
          <w:sz w:val="21"/>
          <w:szCs w:val="21"/>
          <w:highlight w:val="none"/>
          <w:lang w:val="en-US" w:eastAsia="zh-CN"/>
        </w:rPr>
        <w:t>采购单位应当及时组织项目验收，</w:t>
      </w:r>
      <w:r>
        <w:rPr>
          <w:rFonts w:hint="eastAsia" w:ascii="宋体" w:hAnsi="宋体" w:eastAsia="宋体" w:cs="宋体"/>
          <w:b/>
          <w:bCs/>
          <w:color w:val="auto"/>
          <w:sz w:val="21"/>
          <w:szCs w:val="21"/>
          <w:highlight w:val="none"/>
          <w:lang w:val="en-US" w:eastAsia="zh-CN"/>
        </w:rPr>
        <w:t>不得以政府部门审计作为支付供应商款项的条件。</w:t>
      </w:r>
      <w:r>
        <w:rPr>
          <w:rFonts w:hint="eastAsia" w:ascii="宋体" w:hAnsi="宋体" w:eastAsia="宋体" w:cs="宋体"/>
          <w:color w:val="auto"/>
          <w:sz w:val="21"/>
          <w:szCs w:val="21"/>
          <w:highlight w:val="none"/>
          <w:lang w:val="en-US" w:eastAsia="zh-CN"/>
        </w:rPr>
        <w:t>采购单位对于满足合同约定支付条件的，</w:t>
      </w:r>
      <w:r>
        <w:rPr>
          <w:rFonts w:hint="eastAsia" w:ascii="宋体" w:hAnsi="宋体" w:eastAsia="宋体" w:cs="宋体"/>
          <w:b/>
          <w:bCs/>
          <w:color w:val="auto"/>
          <w:sz w:val="21"/>
          <w:szCs w:val="21"/>
          <w:highlight w:val="none"/>
          <w:lang w:val="en-US" w:eastAsia="zh-CN"/>
        </w:rPr>
        <w:t>自收到发票后7个工作日内</w:t>
      </w:r>
      <w:r>
        <w:rPr>
          <w:rFonts w:hint="eastAsia" w:ascii="宋体" w:hAnsi="宋体" w:eastAsia="宋体" w:cs="宋体"/>
          <w:color w:val="auto"/>
          <w:sz w:val="21"/>
          <w:szCs w:val="21"/>
          <w:highlight w:val="none"/>
          <w:lang w:val="en-US" w:eastAsia="zh-CN"/>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rPr>
          <w:rFonts w:hint="eastAsia"/>
          <w:color w:val="auto"/>
          <w:highlight w:val="none"/>
        </w:rPr>
      </w:pPr>
    </w:p>
    <w:p>
      <w:pPr>
        <w:rPr>
          <w:color w:val="auto"/>
          <w:highlight w:val="none"/>
        </w:rPr>
      </w:pPr>
    </w:p>
    <w:p>
      <w:pPr>
        <w:pStyle w:val="4"/>
        <w:rPr>
          <w:color w:val="auto"/>
          <w:highlight w:val="none"/>
        </w:rPr>
      </w:pPr>
      <w:bookmarkStart w:id="31" w:name="_Toc1638"/>
      <w:r>
        <w:rPr>
          <w:color w:val="auto"/>
          <w:highlight w:val="none"/>
        </w:rPr>
        <w:br w:type="page"/>
      </w:r>
      <w:r>
        <w:rPr>
          <w:color w:val="auto"/>
          <w:highlight w:val="none"/>
        </w:rPr>
        <w:t>第四章 招标需求</w:t>
      </w:r>
      <w:bookmarkEnd w:id="31"/>
    </w:p>
    <w:p>
      <w:pPr>
        <w:pStyle w:val="2"/>
        <w:numPr>
          <w:ilvl w:val="1"/>
          <w:numId w:val="1"/>
        </w:numPr>
        <w:rPr>
          <w:rFonts w:hint="eastAsia"/>
          <w:color w:val="auto"/>
          <w:highlight w:val="none"/>
        </w:rPr>
      </w:pPr>
      <w:r>
        <w:rPr>
          <w:rFonts w:hint="eastAsia"/>
          <w:color w:val="auto"/>
          <w:highlight w:val="none"/>
        </w:rPr>
        <w:t>招标需求一览表</w:t>
      </w:r>
    </w:p>
    <w:tbl>
      <w:tblPr>
        <w:tblStyle w:val="51"/>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148"/>
        <w:gridCol w:w="658"/>
        <w:gridCol w:w="817"/>
        <w:gridCol w:w="118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标项内容</w:t>
            </w:r>
          </w:p>
        </w:tc>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41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第二届世界五金发展大会活动项目</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700</w:t>
            </w:r>
          </w:p>
        </w:tc>
        <w:tc>
          <w:tcPr>
            <w:tcW w:w="41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2022年第二届世界五金发展大会主要由一场开幕式、三场圆桌对话、一场</w:t>
            </w:r>
            <w:r>
              <w:rPr>
                <w:rFonts w:hint="eastAsia" w:ascii="宋体" w:hAnsi="宋体" w:cs="宋体"/>
                <w:color w:val="auto"/>
                <w:szCs w:val="21"/>
                <w:highlight w:val="none"/>
                <w:lang w:eastAsia="zh-CN"/>
              </w:rPr>
              <w:t>中德农机装备产业园交流合作座谈会</w:t>
            </w:r>
            <w:r>
              <w:rPr>
                <w:rFonts w:hint="eastAsia" w:ascii="宋体" w:hAnsi="宋体" w:eastAsia="宋体" w:cs="宋体"/>
                <w:color w:val="auto"/>
                <w:szCs w:val="21"/>
                <w:highlight w:val="none"/>
              </w:rPr>
              <w:t>。大会参会人数约</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00人,大会按照“国际化、专业化、高端化”的要求，坚持开放包容的办会理念，吸引不同国别、不同类型的五金制造领军企业、隐形冠军企业以及知名科研机构、有影响力的代表企业齐聚永康，共议全球五金高质量发展，为五金行业领军企业提供产融对接、项目合作、产业落地搭建平台。</w:t>
            </w:r>
          </w:p>
        </w:tc>
      </w:tr>
    </w:tbl>
    <w:p>
      <w:pPr>
        <w:pStyle w:val="2"/>
        <w:numPr>
          <w:ilvl w:val="1"/>
          <w:numId w:val="1"/>
        </w:numPr>
        <w:rPr>
          <w:rFonts w:hint="eastAsia"/>
          <w:color w:val="auto"/>
          <w:highlight w:val="none"/>
        </w:rPr>
      </w:pPr>
      <w:r>
        <w:rPr>
          <w:rFonts w:hint="eastAsia"/>
          <w:color w:val="auto"/>
          <w:highlight w:val="none"/>
        </w:rPr>
        <w:t>项目依据</w:t>
      </w:r>
    </w:p>
    <w:p>
      <w:pPr>
        <w:spacing w:line="360" w:lineRule="auto"/>
        <w:ind w:firstLine="560"/>
        <w:rPr>
          <w:rFonts w:hint="eastAsia" w:ascii="宋体" w:hAnsi="宋体" w:cs="宋体"/>
          <w:color w:val="auto"/>
          <w:szCs w:val="21"/>
          <w:highlight w:val="none"/>
        </w:rPr>
      </w:pPr>
      <w:r>
        <w:rPr>
          <w:rFonts w:hint="eastAsia" w:ascii="宋体" w:hAnsi="宋体" w:cs="宋体"/>
          <w:color w:val="auto"/>
          <w:szCs w:val="21"/>
          <w:highlight w:val="none"/>
        </w:rPr>
        <w:t>2021年11月1日，在永康举办的首届世界五金发展大会取得了巨大的成功，树起了永康“世界五金之都”的鲜明旗帜。召开世界五金发展大会，是我市坚持新发展理念、坚持推动高质量发展，推动五金产业集群跨越式提升，为浙江省高质量发展建设共同富裕示范区、打造“重要窗口”贡献永康力量的重要举措。为将世界五金发展大会办成全球五金行业高端交流、深化合作、共享共赢的重要活动平台，今年，永康将于11月1日至—2日继续举办第二届世界五金发展大会。</w:t>
      </w:r>
    </w:p>
    <w:p>
      <w:pPr>
        <w:pStyle w:val="2"/>
        <w:numPr>
          <w:ilvl w:val="1"/>
          <w:numId w:val="1"/>
        </w:numPr>
        <w:rPr>
          <w:rFonts w:hint="eastAsia"/>
          <w:color w:val="auto"/>
          <w:highlight w:val="none"/>
        </w:rPr>
      </w:pPr>
      <w:r>
        <w:rPr>
          <w:rFonts w:hint="eastAsia"/>
          <w:color w:val="auto"/>
          <w:highlight w:val="none"/>
        </w:rPr>
        <w:t>项目概况</w:t>
      </w:r>
    </w:p>
    <w:p>
      <w:pPr>
        <w:spacing w:line="360" w:lineRule="auto"/>
        <w:ind w:firstLine="560"/>
        <w:rPr>
          <w:rFonts w:hint="eastAsia" w:ascii="宋体" w:hAnsi="宋体" w:cs="宋体"/>
          <w:color w:val="auto"/>
          <w:szCs w:val="21"/>
          <w:highlight w:val="none"/>
        </w:rPr>
      </w:pPr>
      <w:r>
        <w:rPr>
          <w:rFonts w:hint="eastAsia" w:ascii="宋体" w:hAnsi="宋体" w:cs="宋体"/>
          <w:color w:val="auto"/>
          <w:szCs w:val="21"/>
          <w:highlight w:val="none"/>
        </w:rPr>
        <w:t>2022年第二届世界五金发展大会主要由一场开幕式、三场圆桌对话、一场</w:t>
      </w:r>
      <w:r>
        <w:rPr>
          <w:rFonts w:hint="eastAsia" w:ascii="宋体" w:hAnsi="宋体" w:cs="宋体"/>
          <w:color w:val="auto"/>
          <w:szCs w:val="21"/>
          <w:highlight w:val="none"/>
          <w:lang w:eastAsia="zh-CN"/>
        </w:rPr>
        <w:t>中德农机装备产业园交流合作座谈会</w:t>
      </w:r>
      <w:r>
        <w:rPr>
          <w:rFonts w:hint="eastAsia" w:ascii="宋体" w:hAnsi="宋体" w:cs="宋体"/>
          <w:color w:val="auto"/>
          <w:szCs w:val="21"/>
          <w:highlight w:val="none"/>
        </w:rPr>
        <w:t>。大会参会人数约</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00人,大会按照“国际化、专业化、高端化”的要求，坚持开放包容的办会理念，吸引不同国别、不同类型的五金制造领军企业、隐形冠军企业以及知名科研机构、有影响力的代表企业齐聚永康，共议全球五金高质量发展，为五金行业领军企业提供产融对接、项目合作、产业落地搭建平台。</w:t>
      </w:r>
    </w:p>
    <w:p>
      <w:pPr>
        <w:pStyle w:val="2"/>
        <w:numPr>
          <w:ilvl w:val="1"/>
          <w:numId w:val="1"/>
        </w:numPr>
        <w:rPr>
          <w:rFonts w:hint="eastAsia"/>
          <w:color w:val="auto"/>
          <w:highlight w:val="none"/>
        </w:rPr>
      </w:pPr>
      <w:r>
        <w:rPr>
          <w:rFonts w:hint="eastAsia"/>
          <w:color w:val="auto"/>
          <w:highlight w:val="none"/>
        </w:rPr>
        <w:t>服务</w:t>
      </w:r>
      <w:r>
        <w:rPr>
          <w:color w:val="auto"/>
          <w:highlight w:val="none"/>
        </w:rPr>
        <w:t>内容及要求</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（一）总体要求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供应商确保大会安全有序。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严格遵守国家、地方、行业规定，安全实施项目，供应商须注意自身和他人安全，如因供应商行为导致采购人、供应商或第三方人身和财产损失，供应商自行承担全部赔偿责任。给采购人造成损失的，须据实赔偿。提供符合国家、地方、行业标准的货物以及稳定、成熟、可靠、可行的设计方案，拟定完善的应急方案。供应商必须保证用电不间断安全性以及音响、灯光等的不间断安全性。供应商应充分考虑活动实施过程中关键节点的安全问题，对关键货物进行冗余及备份，保证整个项目安全、顺利实施。</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2.供应商制定活动大会总策划案和执行方案。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供应商按照采购人提出的方向和要求拟定活动总策划案、执行方案以及详细的大会筹办工作时间推进表。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3.供应商制定大会组织实施方案。</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确保大会“国际化、专业化、高端化”的定位，本次大会需要由供应商邀请符合主题的国内外企业嘉宾出席，在投标方案中应列明拟邀请国内外嘉宾名单，供应商对拟邀请的嘉宾名单进行筛选、梳理，邀请相关部委领导、企业嘉宾出席大会，并根据会议流程与主题，与发言嘉宾落实主题演讲。各演讲嘉宾的演讲稿须结合采购人的要求进行准备。供应商需满足本次大会高标准要求，方案应具有国际视野，突出活动主题、注重务实与品质。</w:t>
      </w:r>
    </w:p>
    <w:p>
      <w:pPr>
        <w:pStyle w:val="2"/>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4.大会项目落地推进及永久会址落地服务</w:t>
      </w:r>
    </w:p>
    <w:p>
      <w:pPr>
        <w:pStyle w:val="2"/>
        <w:spacing w:line="360" w:lineRule="auto"/>
        <w:ind w:firstLine="420" w:firstLineChars="200"/>
        <w:rPr>
          <w:rFonts w:hint="eastAsia" w:ascii="宋体" w:hAnsi="宋体" w:cs="宋体"/>
          <w:b w:val="0"/>
          <w:bCs/>
          <w:color w:val="auto"/>
          <w:kern w:val="2"/>
          <w:sz w:val="21"/>
          <w:szCs w:val="21"/>
          <w:highlight w:val="none"/>
        </w:rPr>
      </w:pPr>
      <w:r>
        <w:rPr>
          <w:rFonts w:ascii="宋体" w:hAnsi="宋体" w:cs="宋体"/>
          <w:b w:val="0"/>
          <w:bCs/>
          <w:color w:val="auto"/>
          <w:kern w:val="2"/>
          <w:sz w:val="21"/>
          <w:szCs w:val="21"/>
          <w:highlight w:val="none"/>
        </w:rPr>
        <w:t>供应商负责推动新兴产业项目落地永康，大会期间促成</w:t>
      </w:r>
      <w:r>
        <w:rPr>
          <w:rFonts w:hint="eastAsia" w:ascii="宋体" w:hAnsi="宋体" w:cs="宋体"/>
          <w:b w:val="0"/>
          <w:bCs/>
          <w:color w:val="auto"/>
          <w:kern w:val="2"/>
          <w:sz w:val="21"/>
          <w:szCs w:val="21"/>
          <w:highlight w:val="none"/>
          <w:lang w:val="en-US" w:eastAsia="zh-CN"/>
        </w:rPr>
        <w:t>意向</w:t>
      </w:r>
      <w:r>
        <w:rPr>
          <w:rFonts w:ascii="宋体" w:hAnsi="宋体" w:cs="宋体"/>
          <w:b w:val="0"/>
          <w:bCs/>
          <w:color w:val="auto"/>
          <w:kern w:val="2"/>
          <w:sz w:val="21"/>
          <w:szCs w:val="21"/>
          <w:highlight w:val="none"/>
        </w:rPr>
        <w:t>签约合作项目2个以上；推动德国、日本、法国等国家的世界隐形冠军企业、行业领先企业到永康</w:t>
      </w:r>
      <w:r>
        <w:rPr>
          <w:rFonts w:hint="eastAsia" w:ascii="宋体" w:hAnsi="宋体" w:cs="宋体"/>
          <w:b w:val="0"/>
          <w:bCs/>
          <w:color w:val="auto"/>
          <w:kern w:val="2"/>
          <w:sz w:val="21"/>
          <w:szCs w:val="21"/>
          <w:highlight w:val="none"/>
          <w:lang w:val="en-US" w:eastAsia="zh-CN"/>
        </w:rPr>
        <w:t>交流合作</w:t>
      </w:r>
      <w:r>
        <w:rPr>
          <w:rFonts w:ascii="宋体" w:hAnsi="宋体" w:cs="宋体"/>
          <w:b w:val="0"/>
          <w:bCs/>
          <w:color w:val="auto"/>
          <w:kern w:val="2"/>
          <w:sz w:val="21"/>
          <w:szCs w:val="21"/>
          <w:highlight w:val="none"/>
        </w:rPr>
        <w:t>，组织协调境外企业与永康进行对接，推进世界五金发展大会永久会址落地永康。</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5.供应商负责活动的现场组织及执行工作。</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为了确保活动的顺利进行，成交供应商应投入</w:t>
      </w:r>
      <w:r>
        <w:rPr>
          <w:rFonts w:hint="eastAsia" w:ascii="宋体" w:hAnsi="宋体" w:cs="宋体"/>
          <w:bCs/>
          <w:color w:val="auto"/>
          <w:szCs w:val="21"/>
          <w:highlight w:val="none"/>
          <w:lang w:eastAsia="zh-CN"/>
        </w:rPr>
        <w:t>与项目相匹配的</w:t>
      </w:r>
      <w:r>
        <w:rPr>
          <w:rFonts w:hint="eastAsia" w:ascii="宋体" w:hAnsi="宋体" w:cs="宋体"/>
          <w:bCs/>
          <w:color w:val="auto"/>
          <w:szCs w:val="21"/>
          <w:highlight w:val="none"/>
        </w:rPr>
        <w:t>工作人员负责包括大会前期筹备、领导嘉宾邀请、会议资料准备及活动现场执行在内的工作。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6.供应商负责活动通知/邀请函、会场交通指引牌、车辆标识、大会流程 PPT、桌签、会</w:t>
      </w:r>
      <w:r>
        <w:rPr>
          <w:rFonts w:hint="eastAsia" w:ascii="宋体" w:hAnsi="宋体" w:cs="宋体"/>
          <w:color w:val="auto"/>
          <w:szCs w:val="21"/>
          <w:highlight w:val="none"/>
        </w:rPr>
        <w:t>刊、后期演讲速记及相关演讲内容等设计排版汇编。</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ascii="宋体" w:hAnsi="宋体" w:cs="宋体"/>
          <w:color w:val="auto"/>
          <w:szCs w:val="21"/>
          <w:highlight w:val="none"/>
        </w:rPr>
        <w:t>嘉宾邀请工作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供应商负责大会参会嘉宾邀请工作：</w:t>
      </w:r>
      <w:r>
        <w:rPr>
          <w:rFonts w:hint="eastAsia" w:ascii="宋体" w:hAnsi="宋体" w:cs="宋体"/>
          <w:color w:val="auto"/>
          <w:szCs w:val="21"/>
          <w:highlight w:val="none"/>
        </w:rPr>
        <w:t>邀请国家部委领导、地方政府领导、院士、知名经济学家等发言嘉宾不少于4名；邀请世界500强企业不少于5家；邀请五金行业领军企业、上市公司、央国企、专精特新“小巨人”、国家高新技术企业等代表不少于100人；邀请国际组织、商协会、科研院所、金融机构、国家大基金等知名专业服务机构等不少于12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8.在采购方的配合下，供应商应统筹考虑，充分做好各项预案，主导会议全过程的筹备事宜，确保大会顺利举行。</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（二）设计要求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1.整体造型：简洁大气，充分体现的国际会议高端层次。</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2.会场布局：以人为本，满足功能需求，区域规划合理通畅便于登台和入座，会场座位不少于</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20个</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技术手段：舞台区运用高精度国际化、现代化LED大屏幕，动态展示会标、领导致辞、嘉宾演讲和会议现场相关视频，运用互动多媒体手段全方位多角度地展示会议全程，利用高音质的音响效果，增强参会人员体验感。</w:t>
      </w:r>
    </w:p>
    <w:p>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szCs w:val="21"/>
          <w:highlight w:val="none"/>
        </w:rPr>
        <w:t>4.元素运用：会场设计整体具有突出五金元素，注意色彩搭配和灯光运用。</w:t>
      </w:r>
    </w:p>
    <w:p>
      <w:pPr>
        <w:spacing w:line="6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（三）服务要求</w:t>
      </w:r>
    </w:p>
    <w:tbl>
      <w:tblPr>
        <w:tblStyle w:val="51"/>
        <w:tblW w:w="9219" w:type="dxa"/>
        <w:tblInd w:w="103" w:type="dxa"/>
        <w:tblLayout w:type="fixed"/>
        <w:tblCellMar>
          <w:top w:w="0" w:type="dxa"/>
          <w:left w:w="108" w:type="dxa"/>
          <w:bottom w:w="0" w:type="dxa"/>
          <w:right w:w="108" w:type="dxa"/>
        </w:tblCellMar>
      </w:tblPr>
      <w:tblGrid>
        <w:gridCol w:w="1565"/>
        <w:gridCol w:w="7654"/>
      </w:tblGrid>
      <w:tr>
        <w:tblPrEx>
          <w:tblCellMar>
            <w:top w:w="0" w:type="dxa"/>
            <w:left w:w="108" w:type="dxa"/>
            <w:bottom w:w="0" w:type="dxa"/>
            <w:right w:w="108" w:type="dxa"/>
          </w:tblCellMar>
        </w:tblPrEx>
        <w:trPr>
          <w:trHeight w:val="405" w:hRule="atLeast"/>
        </w:trPr>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项目类别</w:t>
            </w:r>
          </w:p>
        </w:tc>
        <w:tc>
          <w:tcPr>
            <w:tcW w:w="76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r>
      <w:tr>
        <w:tblPrEx>
          <w:tblCellMar>
            <w:top w:w="0" w:type="dxa"/>
            <w:left w:w="108" w:type="dxa"/>
            <w:bottom w:w="0" w:type="dxa"/>
            <w:right w:w="108" w:type="dxa"/>
          </w:tblCellMar>
        </w:tblPrEx>
        <w:trPr>
          <w:trHeight w:val="405" w:hRule="atLeast"/>
        </w:trPr>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会场氛围布置及租赁</w:t>
            </w:r>
          </w:p>
        </w:tc>
        <w:tc>
          <w:tcPr>
            <w:tcW w:w="7654"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永康国际会展中心，会场外氛围设计、制作、搭建</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405" w:hRule="atLeast"/>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永康国际会展中心，会场内氛围设计、制作、搭建</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会场内设备租赁</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会场场地租赁</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酒店氛围布置</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嘉宾入住酒店内、酒店外设计布置、搭建</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防疫费用</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核酸检测及防疫物资</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人员服务</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ascii="宋体" w:hAnsi="宋体" w:eastAsia="宋体" w:cs="Times New Roman"/>
                <w:color w:val="auto"/>
                <w:szCs w:val="21"/>
                <w:highlight w:val="none"/>
              </w:rPr>
              <w:t>主持人、</w:t>
            </w:r>
            <w:r>
              <w:rPr>
                <w:rFonts w:hint="eastAsia" w:ascii="宋体" w:hAnsi="宋体" w:eastAsia="宋体" w:cs="宋体"/>
                <w:color w:val="auto"/>
                <w:kern w:val="0"/>
                <w:szCs w:val="21"/>
                <w:highlight w:val="none"/>
              </w:rPr>
              <w:t>速记、安保、司机、同传翻译、控制台工作人员、礼仪、摄影、摄像、志愿者等</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前期团队组建</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会议前成立项目团队负责筹备工作，包括筹备期间组织、协调、对接、会议资料编辑</w:t>
            </w:r>
            <w:r>
              <w:rPr>
                <w:rFonts w:hint="eastAsia" w:ascii="宋体" w:hAnsi="宋体" w:cs="宋体"/>
                <w:color w:val="auto"/>
                <w:kern w:val="0"/>
                <w:szCs w:val="21"/>
                <w:highlight w:val="none"/>
                <w:lang w:eastAsia="zh-CN"/>
              </w:rPr>
              <w:t>。</w:t>
            </w:r>
          </w:p>
        </w:tc>
      </w:tr>
      <w:tr>
        <w:tblPrEx>
          <w:tblCellMar>
            <w:top w:w="0" w:type="dxa"/>
            <w:left w:w="108" w:type="dxa"/>
            <w:bottom w:w="0" w:type="dxa"/>
            <w:right w:w="108" w:type="dxa"/>
          </w:tblCellMar>
        </w:tblPrEx>
        <w:trPr>
          <w:trHeight w:val="48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与会嘉宾对接服务</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邀请重要嘉宾、企业、科研院所等180人的邀请、交通、差旅，通讯、客情、面访等</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宣传品</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color w:val="auto"/>
                <w:highlight w:val="none"/>
                <w:lang w:eastAsia="zh-CN"/>
              </w:rPr>
            </w:pPr>
            <w:r>
              <w:rPr>
                <w:rFonts w:hint="eastAsia"/>
                <w:color w:val="auto"/>
                <w:highlight w:val="none"/>
              </w:rPr>
              <w:t>活动宣传</w:t>
            </w:r>
            <w:r>
              <w:rPr>
                <w:rFonts w:hint="eastAsia"/>
                <w:color w:val="auto"/>
                <w:highlight w:val="none"/>
                <w:lang w:eastAsia="zh-CN"/>
              </w:rPr>
              <w:t>品。</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办公物料</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主视觉、会场3D效果、宣传册、会刊、速记手册、会议资料、工作证、手提袋、丽屏展架、指示牌等物料设计及制作、办公用品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签到系统、安检系统。</w:t>
            </w:r>
          </w:p>
        </w:tc>
      </w:tr>
      <w:tr>
        <w:tblPrEx>
          <w:tblCellMar>
            <w:top w:w="0" w:type="dxa"/>
            <w:left w:w="108" w:type="dxa"/>
            <w:bottom w:w="0" w:type="dxa"/>
            <w:right w:w="108" w:type="dxa"/>
          </w:tblCellMar>
        </w:tblPrEx>
        <w:trPr>
          <w:trHeight w:val="270" w:hRule="atLeast"/>
        </w:trPr>
        <w:tc>
          <w:tcPr>
            <w:tcW w:w="1565" w:type="dxa"/>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11月2日中德农机装备产业园</w:t>
            </w:r>
            <w:r>
              <w:rPr>
                <w:rFonts w:hint="eastAsia" w:ascii="宋体" w:hAnsi="宋体" w:cs="宋体"/>
                <w:color w:val="auto"/>
                <w:kern w:val="0"/>
                <w:szCs w:val="21"/>
                <w:highlight w:val="none"/>
                <w:lang w:eastAsia="zh-CN"/>
              </w:rPr>
              <w:t>交流合作座谈会</w:t>
            </w:r>
          </w:p>
        </w:tc>
        <w:tc>
          <w:tcPr>
            <w:tcW w:w="765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沟通遴选大会邀请嘉宾（中德产业</w:t>
            </w:r>
            <w:r>
              <w:rPr>
                <w:rFonts w:hint="eastAsia" w:ascii="宋体" w:hAnsi="宋体" w:cs="宋体"/>
                <w:color w:val="auto"/>
                <w:kern w:val="0"/>
                <w:szCs w:val="21"/>
                <w:highlight w:val="none"/>
                <w:lang w:eastAsia="zh-CN"/>
              </w:rPr>
              <w:t>交流</w:t>
            </w:r>
            <w:r>
              <w:rPr>
                <w:rFonts w:hint="eastAsia" w:ascii="宋体" w:hAnsi="宋体" w:eastAsia="宋体" w:cs="宋体"/>
                <w:color w:val="auto"/>
                <w:kern w:val="0"/>
                <w:szCs w:val="21"/>
                <w:highlight w:val="none"/>
              </w:rPr>
              <w:t>、农林装备领域专家、数字化转型专家等）与永康市政府相关部门领导及永康本地企业代表，以圆桌会议形式开展永康转型升级创新交流会。</w:t>
            </w:r>
          </w:p>
        </w:tc>
      </w:tr>
    </w:tbl>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成交供应商所提供服务不低于上述要求，需根据实际情况和采购人意见进行优化。</w:t>
      </w:r>
    </w:p>
    <w:p>
      <w:pPr>
        <w:pStyle w:val="2"/>
        <w:numPr>
          <w:ilvl w:val="0"/>
          <w:numId w:val="0"/>
        </w:numPr>
        <w:ind w:left="420" w:leftChars="0"/>
        <w:rPr>
          <w:rFonts w:hint="eastAsia"/>
          <w:color w:val="auto"/>
          <w:highlight w:val="none"/>
          <w:lang w:val="zh-CN"/>
        </w:rPr>
      </w:pPr>
      <w:r>
        <w:rPr>
          <w:rFonts w:hint="eastAsia"/>
          <w:color w:val="auto"/>
          <w:highlight w:val="none"/>
          <w:lang w:val="zh-CN"/>
        </w:rPr>
        <w:t>五、</w:t>
      </w:r>
      <w:bookmarkStart w:id="32" w:name="_Toc42635989"/>
      <w:r>
        <w:rPr>
          <w:rFonts w:hint="eastAsia"/>
          <w:color w:val="auto"/>
          <w:highlight w:val="none"/>
          <w:lang w:val="zh-CN"/>
        </w:rPr>
        <w:t>注意事项</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成交供应商须按报价项目实施，不得擅自修改方案和更换材料。由于会议的特殊性，在施工中应采用上乘质量材料，以保障预期的设计目的。设计及施工应采用安全可靠、低污染、维护方便的装饰型材及材质选料。</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本采购需求是向供应商提供的有关本项目的基本服务需求，是采购人现有的能提供给供应商的资料。项目实施中，若成交设计方案存在缺陷、方案不满足采购需求而导致成交供应商方案改动，成交供应商应无条件免费提供须额外增加的相关货物及服务。供应商应充分考虑此部分的报价风险。供应商需要自行对工程现场及周围环境进行踏勘，以便获取有关编制响应文件和签署合同所涉及现场的资料。</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成交供应商须无条件按采购人要求对方案进行完善，直至采购人满意为止。在项目实施过程中，如有方案调整，供应商须无条件严格按照采购人需求进行修改。采购人交付场地后，供应商在24小时内完成会场总体布置工作。</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4.成交供应商需配备专业的项目团队，成交供应商需协助采购方做好大会组织工作，包括重要嘉宾邀请、接待、会议资料翻译、校印、发放参会证件、秩序维护、安全管理等。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成交供应商负责提供会议现场的保障工作，包括嘉宾应急预案、安全保障、秩序保障、租赁货物正常使用的维护保障、用电音响灯光同声传译保障、上下场服务保障等。提供上述服务所需的费用，应包括在报价中。</w:t>
      </w:r>
    </w:p>
    <w:p>
      <w:pPr>
        <w:spacing w:line="360" w:lineRule="auto"/>
        <w:ind w:firstLine="420" w:firstLineChars="200"/>
        <w:rPr>
          <w:rFonts w:hint="eastAsia"/>
          <w:color w:val="auto"/>
          <w:szCs w:val="21"/>
          <w:highlight w:val="none"/>
        </w:rPr>
      </w:pPr>
      <w:r>
        <w:rPr>
          <w:rFonts w:ascii="宋体" w:hAnsi="宋体"/>
          <w:color w:val="auto"/>
          <w:szCs w:val="21"/>
          <w:highlight w:val="none"/>
        </w:rPr>
        <w:t>6.供应商须根据采购内容和要求</w:t>
      </w:r>
      <w:r>
        <w:rPr>
          <w:rFonts w:hint="eastAsia" w:ascii="宋体" w:hAnsi="宋体"/>
          <w:color w:val="auto"/>
          <w:szCs w:val="21"/>
          <w:highlight w:val="none"/>
        </w:rPr>
        <w:t>进行</w:t>
      </w:r>
      <w:r>
        <w:rPr>
          <w:rFonts w:ascii="宋体" w:hAnsi="宋体"/>
          <w:color w:val="auto"/>
          <w:szCs w:val="21"/>
          <w:highlight w:val="none"/>
        </w:rPr>
        <w:t>报价。报价为完成本次项目的全费用价格（包括方案调整等费用），包含完成本次项目所发生的一切费用。</w:t>
      </w:r>
    </w:p>
    <w:bookmarkEnd w:id="32"/>
    <w:p>
      <w:pPr>
        <w:rPr>
          <w:rFonts w:hint="eastAsia"/>
          <w:color w:val="auto"/>
          <w:highlight w:val="none"/>
        </w:rPr>
      </w:pPr>
    </w:p>
    <w:p>
      <w:pPr>
        <w:pStyle w:val="2"/>
        <w:numPr>
          <w:ilvl w:val="0"/>
          <w:numId w:val="0"/>
        </w:numPr>
        <w:ind w:left="420" w:leftChars="0"/>
        <w:rPr>
          <w:rFonts w:hint="eastAsia"/>
          <w:color w:val="auto"/>
          <w:highlight w:val="none"/>
          <w:lang w:val="zh-CN"/>
        </w:rPr>
      </w:pPr>
      <w:r>
        <w:rPr>
          <w:rFonts w:hint="eastAsia"/>
          <w:color w:val="auto"/>
          <w:highlight w:val="none"/>
          <w:lang w:val="zh-CN"/>
        </w:rPr>
        <w:t>六、其他</w:t>
      </w:r>
    </w:p>
    <w:p>
      <w:pPr>
        <w:spacing w:line="360" w:lineRule="auto"/>
        <w:ind w:firstLine="210" w:firstLineChars="100"/>
        <w:outlineLvl w:val="2"/>
        <w:rPr>
          <w:rFonts w:hint="eastAsia"/>
          <w:color w:val="auto"/>
          <w:szCs w:val="21"/>
          <w:highlight w:val="none"/>
        </w:rPr>
      </w:pPr>
      <w:r>
        <w:rPr>
          <w:rFonts w:hint="eastAsia"/>
          <w:color w:val="auto"/>
          <w:szCs w:val="21"/>
          <w:highlight w:val="none"/>
        </w:rPr>
        <w:t>（一）知识产权</w:t>
      </w:r>
    </w:p>
    <w:p>
      <w:pPr>
        <w:spacing w:line="360" w:lineRule="auto"/>
        <w:ind w:firstLine="420" w:firstLineChars="200"/>
        <w:rPr>
          <w:rFonts w:hint="eastAsia"/>
          <w:color w:val="auto"/>
          <w:szCs w:val="21"/>
          <w:highlight w:val="none"/>
        </w:rPr>
      </w:pPr>
      <w:r>
        <w:rPr>
          <w:rFonts w:hint="eastAsia"/>
          <w:color w:val="auto"/>
          <w:szCs w:val="21"/>
          <w:highlight w:val="none"/>
        </w:rPr>
        <w:t>本次项目成果所有权和使用权均属于采购人。中标人不得以任何理由留存，否则承担由此产生的一切法律和经济责任。未经采购人书面同意，任何单位和个人不得转让和使用本项目成果。</w:t>
      </w:r>
    </w:p>
    <w:p>
      <w:pPr>
        <w:spacing w:line="360" w:lineRule="auto"/>
        <w:ind w:firstLine="210" w:firstLineChars="100"/>
        <w:outlineLvl w:val="2"/>
        <w:rPr>
          <w:rFonts w:hint="eastAsia"/>
          <w:color w:val="auto"/>
          <w:szCs w:val="21"/>
          <w:highlight w:val="none"/>
        </w:rPr>
      </w:pPr>
      <w:r>
        <w:rPr>
          <w:rFonts w:hint="eastAsia"/>
          <w:color w:val="auto"/>
          <w:szCs w:val="21"/>
          <w:highlight w:val="none"/>
        </w:rPr>
        <w:t>（二）保密要求</w:t>
      </w:r>
    </w:p>
    <w:p>
      <w:pPr>
        <w:spacing w:line="360" w:lineRule="auto"/>
        <w:ind w:firstLine="420" w:firstLineChars="200"/>
        <w:rPr>
          <w:rFonts w:hint="eastAsia"/>
          <w:color w:val="auto"/>
          <w:szCs w:val="21"/>
          <w:highlight w:val="none"/>
        </w:rPr>
      </w:pPr>
      <w:r>
        <w:rPr>
          <w:rFonts w:hint="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20" w:firstLineChars="200"/>
        <w:rPr>
          <w:rFonts w:hint="eastAsia"/>
          <w:color w:val="auto"/>
          <w:szCs w:val="21"/>
          <w:highlight w:val="none"/>
        </w:rPr>
      </w:pPr>
      <w:r>
        <w:rPr>
          <w:rFonts w:hint="eastAsia"/>
          <w:color w:val="auto"/>
          <w:szCs w:val="21"/>
          <w:highlight w:val="none"/>
        </w:rPr>
        <w:t>中标人须承担与此有关的技术情报和数据资料的保密责任。严格履行普查数据资料安全保护责任。与本项目有关的资料及数据成果中涉及国家秘密的内容，均要求按照国家统计法、保密法等相关规定执行。</w:t>
      </w:r>
    </w:p>
    <w:p>
      <w:pPr>
        <w:spacing w:line="360" w:lineRule="auto"/>
        <w:ind w:firstLine="420" w:firstLineChars="200"/>
        <w:rPr>
          <w:rFonts w:hint="eastAsia"/>
          <w:color w:val="auto"/>
          <w:szCs w:val="21"/>
          <w:highlight w:val="none"/>
        </w:rPr>
      </w:pPr>
      <w:r>
        <w:rPr>
          <w:rFonts w:hint="eastAsia"/>
          <w:color w:val="auto"/>
          <w:szCs w:val="21"/>
          <w:highlight w:val="none"/>
        </w:rPr>
        <w:t>中标人须与采购人签订保密协议及网络信息安全承诺书，采购人将建立数据使用、发布等审批制度和监督问责机制，对中标人未经授权擅自对外发布普查数据和资料的行为进行通报，情节严重的将依法追究责任。</w:t>
      </w:r>
    </w:p>
    <w:p>
      <w:pPr>
        <w:spacing w:line="360" w:lineRule="auto"/>
        <w:ind w:firstLine="210" w:firstLineChars="100"/>
        <w:outlineLvl w:val="2"/>
        <w:rPr>
          <w:color w:val="auto"/>
          <w:szCs w:val="21"/>
          <w:highlight w:val="none"/>
        </w:rPr>
      </w:pPr>
      <w:r>
        <w:rPr>
          <w:rFonts w:hint="eastAsia"/>
          <w:color w:val="auto"/>
          <w:szCs w:val="21"/>
          <w:highlight w:val="none"/>
        </w:rPr>
        <w:t>（三）安全要求</w:t>
      </w:r>
    </w:p>
    <w:p>
      <w:pPr>
        <w:spacing w:line="360" w:lineRule="auto"/>
        <w:ind w:firstLine="420" w:firstLineChars="200"/>
        <w:rPr>
          <w:rFonts w:hint="eastAsia"/>
          <w:color w:val="auto"/>
          <w:szCs w:val="21"/>
          <w:highlight w:val="none"/>
        </w:rPr>
      </w:pPr>
      <w:r>
        <w:rPr>
          <w:rFonts w:hint="eastAsia"/>
          <w:color w:val="auto"/>
          <w:szCs w:val="21"/>
          <w:highlight w:val="none"/>
        </w:rPr>
        <w:t>中标方提供的资料，必须真实可靠，不得弄虚作假，否则甲方有权取消乙方的中标资格，并由其承担相应的法律责任。项目服务过程中，乙方应确保数据安全性，提高服务人员数据安全意识和个人素质，确保项目零事故，确保项目如期完工和如期提供服务。</w:t>
      </w:r>
    </w:p>
    <w:p>
      <w:pPr>
        <w:spacing w:line="360" w:lineRule="auto"/>
        <w:ind w:firstLine="420" w:firstLineChars="200"/>
        <w:rPr>
          <w:rFonts w:hint="eastAsia"/>
          <w:color w:val="auto"/>
          <w:szCs w:val="21"/>
          <w:highlight w:val="none"/>
        </w:rPr>
      </w:pPr>
      <w:r>
        <w:rPr>
          <w:rFonts w:hint="eastAsia"/>
          <w:color w:val="auto"/>
          <w:szCs w:val="21"/>
          <w:highlight w:val="none"/>
        </w:rPr>
        <w:t>中标人的服务人员在服务过程中所发生的一切安全问题均由中标人自行负责和承担。</w:t>
      </w:r>
    </w:p>
    <w:p>
      <w:pPr>
        <w:spacing w:line="360" w:lineRule="auto"/>
        <w:ind w:firstLine="420" w:firstLineChars="200"/>
        <w:rPr>
          <w:rFonts w:hint="eastAsia"/>
          <w:color w:val="auto"/>
          <w:szCs w:val="21"/>
          <w:highlight w:val="none"/>
        </w:rPr>
      </w:pPr>
      <w:r>
        <w:rPr>
          <w:rFonts w:hint="eastAsia"/>
          <w:color w:val="auto"/>
          <w:szCs w:val="21"/>
          <w:highlight w:val="none"/>
        </w:rPr>
        <w:t>中标方因违反国家安全管理规定，与聘用人员发生纠纷，其责任概由中标方自行解决、自行承担，采购方不负任何责任。</w:t>
      </w:r>
    </w:p>
    <w:p>
      <w:pPr>
        <w:spacing w:line="360" w:lineRule="auto"/>
        <w:ind w:firstLine="210" w:firstLineChars="100"/>
        <w:outlineLvl w:val="2"/>
        <w:rPr>
          <w:rFonts w:hint="eastAsia"/>
          <w:color w:val="auto"/>
          <w:szCs w:val="21"/>
          <w:highlight w:val="none"/>
        </w:rPr>
      </w:pPr>
      <w:r>
        <w:rPr>
          <w:rFonts w:hint="eastAsia"/>
          <w:color w:val="auto"/>
          <w:szCs w:val="21"/>
          <w:highlight w:val="none"/>
        </w:rPr>
        <w:t>（四）其他服务承诺</w:t>
      </w:r>
    </w:p>
    <w:p>
      <w:pPr>
        <w:spacing w:line="360" w:lineRule="auto"/>
        <w:ind w:firstLine="420" w:firstLineChars="200"/>
        <w:rPr>
          <w:rFonts w:hint="eastAsia"/>
          <w:color w:val="auto"/>
          <w:szCs w:val="21"/>
          <w:highlight w:val="none"/>
        </w:rPr>
      </w:pPr>
      <w:r>
        <w:rPr>
          <w:rFonts w:hint="eastAsia"/>
          <w:color w:val="auto"/>
          <w:szCs w:val="21"/>
          <w:highlight w:val="none"/>
        </w:rPr>
        <w:t>中标人在项目服务期内，须及时根据最新技术规范，进行工作内容的调整，最终使得数据成果符合项目验收要求。</w:t>
      </w:r>
    </w:p>
    <w:p>
      <w:pPr>
        <w:spacing w:line="360" w:lineRule="auto"/>
        <w:ind w:firstLine="420" w:firstLineChars="200"/>
        <w:rPr>
          <w:rFonts w:hint="eastAsia"/>
          <w:color w:val="auto"/>
          <w:szCs w:val="21"/>
          <w:highlight w:val="none"/>
        </w:rPr>
      </w:pPr>
      <w:r>
        <w:rPr>
          <w:rFonts w:hint="eastAsia"/>
          <w:color w:val="auto"/>
          <w:szCs w:val="21"/>
          <w:highlight w:val="none"/>
        </w:rPr>
        <w:t>在合同执行期间，如服务要求中的标准低于国家新颁布的技术标准及要求时，则中标人应该按照新颁布的标准执行。以上为本项目最低服务要求，投标人必须满足，在此基础上各投标人可提供其他更多的服务承诺，并提供详细的服务计划书。</w:t>
      </w:r>
    </w:p>
    <w:p>
      <w:pPr>
        <w:pStyle w:val="2"/>
        <w:numPr>
          <w:ilvl w:val="1"/>
          <w:numId w:val="1"/>
        </w:numPr>
        <w:rPr>
          <w:rFonts w:hint="eastAsia"/>
          <w:color w:val="auto"/>
          <w:highlight w:val="none"/>
          <w:lang w:val="zh-CN"/>
        </w:rPr>
      </w:pPr>
      <w:r>
        <w:rPr>
          <w:rFonts w:hint="eastAsia"/>
          <w:color w:val="auto"/>
          <w:highlight w:val="none"/>
          <w:lang w:val="zh-CN"/>
        </w:rPr>
        <w:t>验收</w:t>
      </w:r>
    </w:p>
    <w:p>
      <w:pPr>
        <w:spacing w:line="360" w:lineRule="auto"/>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完成第二届世界五金发展大会活动项目所有相关服务工作，由采购人成立验收小组根据采购需求组织验收。</w:t>
      </w:r>
    </w:p>
    <w:p>
      <w:pPr>
        <w:pStyle w:val="4"/>
        <w:rPr>
          <w:color w:val="auto"/>
          <w:highlight w:val="none"/>
        </w:rPr>
      </w:pPr>
      <w:r>
        <w:rPr>
          <w:rFonts w:hint="eastAsia"/>
          <w:color w:val="auto"/>
          <w:highlight w:val="none"/>
        </w:rPr>
        <w:br w:type="page"/>
      </w:r>
      <w:bookmarkStart w:id="33" w:name="_Toc24893"/>
      <w:bookmarkStart w:id="34" w:name="_Toc9332"/>
      <w:r>
        <w:rPr>
          <w:color w:val="auto"/>
          <w:highlight w:val="none"/>
        </w:rPr>
        <w:t>第五章 商务要求</w:t>
      </w:r>
      <w:bookmarkEnd w:id="33"/>
      <w:bookmarkEnd w:id="34"/>
    </w:p>
    <w:p>
      <w:pPr>
        <w:spacing w:line="360" w:lineRule="auto"/>
        <w:ind w:left="2"/>
        <w:outlineLvl w:val="1"/>
        <w:rPr>
          <w:color w:val="auto"/>
          <w:szCs w:val="21"/>
          <w:highlight w:val="none"/>
        </w:rPr>
      </w:pPr>
      <w:r>
        <w:rPr>
          <w:b/>
          <w:color w:val="auto"/>
          <w:szCs w:val="21"/>
          <w:highlight w:val="none"/>
        </w:rPr>
        <w:t>1、说明：</w:t>
      </w:r>
    </w:p>
    <w:p>
      <w:pPr>
        <w:tabs>
          <w:tab w:val="left" w:pos="322"/>
        </w:tabs>
        <w:spacing w:line="360" w:lineRule="auto"/>
        <w:rPr>
          <w:color w:val="auto"/>
          <w:szCs w:val="21"/>
          <w:highlight w:val="none"/>
        </w:rPr>
      </w:pPr>
      <w:r>
        <w:rPr>
          <w:color w:val="auto"/>
          <w:szCs w:val="21"/>
          <w:highlight w:val="none"/>
        </w:rPr>
        <w:t>1.1供需双方签订采购合同条款的依据是《中华人民共和国</w:t>
      </w:r>
      <w:r>
        <w:rPr>
          <w:rFonts w:hint="eastAsia"/>
          <w:color w:val="auto"/>
          <w:szCs w:val="21"/>
          <w:highlight w:val="none"/>
        </w:rPr>
        <w:t>民法典</w:t>
      </w:r>
      <w:r>
        <w:rPr>
          <w:color w:val="auto"/>
          <w:szCs w:val="21"/>
          <w:highlight w:val="none"/>
        </w:rPr>
        <w:t>》</w:t>
      </w:r>
      <w:r>
        <w:rPr>
          <w:rFonts w:hint="eastAsia"/>
          <w:color w:val="auto"/>
          <w:szCs w:val="21"/>
          <w:highlight w:val="none"/>
        </w:rPr>
        <w:t>及相关法律法规</w:t>
      </w:r>
      <w:r>
        <w:rPr>
          <w:color w:val="auto"/>
          <w:szCs w:val="21"/>
          <w:highlight w:val="none"/>
        </w:rPr>
        <w:t>；</w:t>
      </w:r>
    </w:p>
    <w:p>
      <w:pPr>
        <w:tabs>
          <w:tab w:val="left" w:pos="316"/>
        </w:tabs>
        <w:spacing w:line="360" w:lineRule="auto"/>
        <w:rPr>
          <w:color w:val="auto"/>
          <w:szCs w:val="21"/>
          <w:highlight w:val="none"/>
        </w:rPr>
      </w:pPr>
      <w:r>
        <w:rPr>
          <w:color w:val="auto"/>
          <w:szCs w:val="21"/>
          <w:highlight w:val="none"/>
        </w:rPr>
        <w:t>1.2招标文件、投标文件、技术澄清及询标承诺的所有内容是构成合同不可分割的部分，与合同具有同等法律效力。当文件有相互矛盾之处，以时间后者为准。</w:t>
      </w:r>
    </w:p>
    <w:p>
      <w:pPr>
        <w:tabs>
          <w:tab w:val="left" w:pos="322"/>
        </w:tabs>
        <w:spacing w:line="360" w:lineRule="auto"/>
        <w:rPr>
          <w:color w:val="auto"/>
          <w:szCs w:val="21"/>
          <w:highlight w:val="none"/>
        </w:rPr>
      </w:pPr>
      <w:r>
        <w:rPr>
          <w:color w:val="auto"/>
          <w:szCs w:val="21"/>
          <w:highlight w:val="none"/>
        </w:rPr>
        <w:t>1.3合同服务的价款应与投标中确定的中标人投标报价相一致。</w:t>
      </w:r>
    </w:p>
    <w:p>
      <w:pPr>
        <w:tabs>
          <w:tab w:val="left" w:pos="316"/>
        </w:tabs>
        <w:spacing w:line="360" w:lineRule="auto"/>
        <w:rPr>
          <w:color w:val="auto"/>
          <w:szCs w:val="21"/>
          <w:highlight w:val="none"/>
        </w:rPr>
      </w:pPr>
      <w:r>
        <w:rPr>
          <w:color w:val="auto"/>
          <w:szCs w:val="21"/>
          <w:highlight w:val="none"/>
        </w:rPr>
        <w:t>1.4合同服务的质量、技术标准如在投标、投标文件中无相应说明的则按最近的国家或专业标准及相应的国际标准执行。</w:t>
      </w:r>
    </w:p>
    <w:p>
      <w:pPr>
        <w:spacing w:line="360" w:lineRule="auto"/>
        <w:ind w:left="2"/>
        <w:outlineLvl w:val="1"/>
        <w:rPr>
          <w:color w:val="auto"/>
          <w:szCs w:val="21"/>
          <w:highlight w:val="none"/>
        </w:rPr>
      </w:pPr>
      <w:r>
        <w:rPr>
          <w:b/>
          <w:color w:val="auto"/>
          <w:szCs w:val="21"/>
          <w:highlight w:val="none"/>
        </w:rPr>
        <w:t>2、技术服务：</w:t>
      </w:r>
    </w:p>
    <w:p>
      <w:pPr>
        <w:tabs>
          <w:tab w:val="left" w:pos="362"/>
        </w:tabs>
        <w:spacing w:line="360" w:lineRule="auto"/>
        <w:rPr>
          <w:color w:val="auto"/>
          <w:szCs w:val="21"/>
          <w:highlight w:val="none"/>
        </w:rPr>
      </w:pPr>
      <w:r>
        <w:rPr>
          <w:color w:val="auto"/>
          <w:szCs w:val="21"/>
          <w:highlight w:val="none"/>
        </w:rPr>
        <w:t>2.1供方人员在服务期间的费用由供方负责。</w:t>
      </w:r>
    </w:p>
    <w:p>
      <w:pPr>
        <w:tabs>
          <w:tab w:val="left" w:pos="362"/>
        </w:tabs>
        <w:spacing w:line="360" w:lineRule="auto"/>
        <w:rPr>
          <w:color w:val="auto"/>
          <w:szCs w:val="21"/>
          <w:highlight w:val="none"/>
        </w:rPr>
      </w:pPr>
      <w:r>
        <w:rPr>
          <w:color w:val="auto"/>
          <w:szCs w:val="21"/>
          <w:highlight w:val="none"/>
        </w:rPr>
        <w:t>2.2供方人员在需方服务期间应遵守有关部门的管理，并遵照相关的规定。</w:t>
      </w:r>
    </w:p>
    <w:p>
      <w:pPr>
        <w:spacing w:line="360" w:lineRule="auto"/>
        <w:ind w:left="2"/>
        <w:outlineLvl w:val="1"/>
        <w:rPr>
          <w:color w:val="auto"/>
          <w:szCs w:val="21"/>
          <w:highlight w:val="none"/>
        </w:rPr>
      </w:pPr>
      <w:r>
        <w:rPr>
          <w:b/>
          <w:color w:val="auto"/>
          <w:szCs w:val="21"/>
          <w:highlight w:val="none"/>
        </w:rPr>
        <w:t>3、投标报价的说明：</w:t>
      </w:r>
    </w:p>
    <w:p>
      <w:pPr>
        <w:tabs>
          <w:tab w:val="left" w:pos="316"/>
        </w:tabs>
        <w:spacing w:line="360" w:lineRule="auto"/>
        <w:rPr>
          <w:color w:val="auto"/>
          <w:szCs w:val="21"/>
          <w:highlight w:val="none"/>
        </w:rPr>
      </w:pPr>
      <w:r>
        <w:rPr>
          <w:color w:val="auto"/>
          <w:szCs w:val="21"/>
          <w:highlight w:val="none"/>
        </w:rPr>
        <w:t>3.1本次投标的投标报价为服务要求中提供招标所列服务</w:t>
      </w:r>
      <w:r>
        <w:rPr>
          <w:rFonts w:hint="eastAsia"/>
          <w:color w:val="auto"/>
          <w:szCs w:val="21"/>
          <w:highlight w:val="none"/>
        </w:rPr>
        <w:t>及设备</w:t>
      </w:r>
      <w:r>
        <w:rPr>
          <w:color w:val="auto"/>
          <w:szCs w:val="21"/>
          <w:highlight w:val="none"/>
        </w:rPr>
        <w:t>的报价。本项目采用固定总价包干的方式，包括投标人发生的差错及有关定额和收费方面政策性调整文件导致的费用变更及市场行情的涨落因素。</w:t>
      </w:r>
    </w:p>
    <w:p>
      <w:pPr>
        <w:spacing w:line="360" w:lineRule="auto"/>
        <w:ind w:left="2"/>
        <w:outlineLvl w:val="1"/>
        <w:rPr>
          <w:color w:val="auto"/>
          <w:szCs w:val="21"/>
          <w:highlight w:val="none"/>
        </w:rPr>
      </w:pPr>
      <w:r>
        <w:rPr>
          <w:rFonts w:hint="eastAsia"/>
          <w:b/>
          <w:color w:val="auto"/>
          <w:szCs w:val="21"/>
          <w:highlight w:val="none"/>
        </w:rPr>
        <w:t>4</w:t>
      </w:r>
      <w:r>
        <w:rPr>
          <w:b/>
          <w:color w:val="auto"/>
          <w:szCs w:val="21"/>
          <w:highlight w:val="none"/>
        </w:rPr>
        <w:t>、质量保证：</w:t>
      </w:r>
    </w:p>
    <w:p>
      <w:pPr>
        <w:spacing w:line="360" w:lineRule="auto"/>
        <w:ind w:left="2" w:firstLine="420" w:firstLineChars="200"/>
        <w:rPr>
          <w:color w:val="auto"/>
          <w:szCs w:val="21"/>
          <w:highlight w:val="none"/>
        </w:rPr>
      </w:pPr>
      <w:r>
        <w:rPr>
          <w:color w:val="auto"/>
          <w:szCs w:val="21"/>
          <w:highlight w:val="none"/>
        </w:rPr>
        <w:t>乙方保证所提供的服务是符合国家技术规格和投标文件中所承诺的服务质量标准的。如发生所供服务</w:t>
      </w:r>
      <w:r>
        <w:rPr>
          <w:rFonts w:hint="eastAsia"/>
          <w:color w:val="auto"/>
          <w:szCs w:val="21"/>
          <w:highlight w:val="none"/>
        </w:rPr>
        <w:t>及货物</w:t>
      </w:r>
      <w:r>
        <w:rPr>
          <w:color w:val="auto"/>
          <w:szCs w:val="21"/>
          <w:highlight w:val="none"/>
        </w:rPr>
        <w:t>与合同不符，甲方（使用方）有权拒收验收，由此产生的一切责任和后果由乙方承担。</w:t>
      </w:r>
    </w:p>
    <w:p>
      <w:pPr>
        <w:spacing w:line="360" w:lineRule="auto"/>
        <w:ind w:left="2"/>
        <w:rPr>
          <w:b/>
          <w:color w:val="auto"/>
          <w:szCs w:val="21"/>
          <w:highlight w:val="none"/>
        </w:rPr>
      </w:pPr>
      <w:r>
        <w:rPr>
          <w:rFonts w:hint="eastAsia"/>
          <w:b/>
          <w:color w:val="auto"/>
          <w:szCs w:val="21"/>
          <w:highlight w:val="none"/>
        </w:rPr>
        <w:t>5</w:t>
      </w:r>
      <w:r>
        <w:rPr>
          <w:b/>
          <w:color w:val="auto"/>
          <w:szCs w:val="21"/>
          <w:highlight w:val="none"/>
        </w:rPr>
        <w:t>、付款方法和条件：</w:t>
      </w:r>
    </w:p>
    <w:p>
      <w:pPr>
        <w:spacing w:line="360" w:lineRule="auto"/>
        <w:ind w:left="2" w:firstLine="420" w:firstLineChars="200"/>
        <w:rPr>
          <w:rFonts w:hint="eastAsia" w:eastAsia="宋体"/>
          <w:bCs/>
          <w:color w:val="auto"/>
          <w:szCs w:val="21"/>
          <w:highlight w:val="none"/>
          <w:lang w:eastAsia="zh-CN"/>
        </w:rPr>
      </w:pPr>
      <w:r>
        <w:rPr>
          <w:rFonts w:hint="eastAsia"/>
          <w:bCs/>
          <w:color w:val="auto"/>
          <w:szCs w:val="21"/>
          <w:highlight w:val="none"/>
        </w:rPr>
        <w:t>1、合同签订之日起7个工作日内支付合</w:t>
      </w:r>
      <w:r>
        <w:rPr>
          <w:rFonts w:hint="eastAsia"/>
          <w:bCs/>
          <w:color w:val="auto"/>
          <w:szCs w:val="21"/>
          <w:highlight w:val="none"/>
        </w:rPr>
        <w:t>同总价的</w:t>
      </w:r>
      <w:r>
        <w:rPr>
          <w:rFonts w:hint="eastAsia"/>
          <w:bCs/>
          <w:color w:val="auto"/>
          <w:szCs w:val="21"/>
          <w:highlight w:val="none"/>
          <w:lang w:val="en-US" w:eastAsia="zh-CN"/>
        </w:rPr>
        <w:t>70</w:t>
      </w:r>
      <w:r>
        <w:rPr>
          <w:rFonts w:hint="eastAsia"/>
          <w:bCs/>
          <w:color w:val="auto"/>
          <w:szCs w:val="21"/>
          <w:highlight w:val="none"/>
        </w:rPr>
        <w:t>%</w:t>
      </w:r>
      <w:r>
        <w:rPr>
          <w:rFonts w:hint="eastAsia" w:ascii="新宋体" w:hAnsi="新宋体" w:eastAsia="新宋体" w:cs="新宋体"/>
          <w:color w:val="auto"/>
          <w:sz w:val="21"/>
          <w:szCs w:val="21"/>
          <w:highlight w:val="none"/>
          <w:lang w:eastAsia="zh-CN"/>
        </w:rPr>
        <w:t>预付款</w:t>
      </w:r>
      <w:r>
        <w:rPr>
          <w:rFonts w:hint="eastAsia"/>
          <w:bCs/>
          <w:color w:val="auto"/>
          <w:szCs w:val="21"/>
          <w:highlight w:val="none"/>
        </w:rPr>
        <w:t>；</w:t>
      </w:r>
    </w:p>
    <w:p>
      <w:pPr>
        <w:spacing w:line="360" w:lineRule="auto"/>
        <w:ind w:left="2" w:firstLine="420" w:firstLineChars="200"/>
        <w:rPr>
          <w:rFonts w:hint="eastAsia"/>
          <w:bCs/>
          <w:color w:val="auto"/>
          <w:szCs w:val="21"/>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服务期限结束验收合格后7个工作日内支付剩余款项。</w:t>
      </w:r>
    </w:p>
    <w:p>
      <w:pPr>
        <w:spacing w:line="360" w:lineRule="auto"/>
        <w:ind w:firstLine="420" w:firstLineChars="200"/>
        <w:rPr>
          <w:color w:val="auto"/>
          <w:szCs w:val="21"/>
          <w:highlight w:val="none"/>
        </w:rPr>
      </w:pPr>
      <w:r>
        <w:rPr>
          <w:rFonts w:hint="eastAsia"/>
          <w:bCs/>
          <w:color w:val="auto"/>
          <w:szCs w:val="21"/>
          <w:highlight w:val="none"/>
        </w:rPr>
        <w:t>3、</w:t>
      </w:r>
      <w:r>
        <w:rPr>
          <w:rFonts w:hint="eastAsia"/>
          <w:bCs/>
          <w:color w:val="auto"/>
          <w:szCs w:val="21"/>
          <w:highlight w:val="none"/>
          <w:lang w:val="zh-CN"/>
        </w:rPr>
        <w:t>注：每次付款前中标方必须提供正式发票，因中标方不能及时提供发票导致采购人未能按约定时间付款的，不视为采购人违约，由中标方自行承担相应的法律责任。</w:t>
      </w:r>
    </w:p>
    <w:p>
      <w:pPr>
        <w:spacing w:line="360" w:lineRule="auto"/>
        <w:ind w:left="2"/>
        <w:rPr>
          <w:color w:val="auto"/>
          <w:szCs w:val="21"/>
          <w:highlight w:val="none"/>
        </w:rPr>
      </w:pPr>
      <w:r>
        <w:rPr>
          <w:rFonts w:hint="eastAsia"/>
          <w:b/>
          <w:color w:val="auto"/>
          <w:szCs w:val="21"/>
          <w:highlight w:val="none"/>
        </w:rPr>
        <w:t>6</w:t>
      </w:r>
      <w:r>
        <w:rPr>
          <w:b/>
          <w:color w:val="auto"/>
          <w:szCs w:val="21"/>
          <w:highlight w:val="none"/>
        </w:rPr>
        <w:t>、服务地点与完工日期：</w:t>
      </w:r>
    </w:p>
    <w:p>
      <w:pPr>
        <w:tabs>
          <w:tab w:val="left" w:pos="362"/>
        </w:tabs>
        <w:spacing w:line="360" w:lineRule="auto"/>
        <w:ind w:firstLine="210" w:firstLineChars="100"/>
        <w:rPr>
          <w:color w:val="auto"/>
          <w:szCs w:val="21"/>
          <w:highlight w:val="none"/>
        </w:rPr>
      </w:pPr>
      <w:r>
        <w:rPr>
          <w:rFonts w:hint="eastAsia"/>
          <w:color w:val="auto"/>
          <w:szCs w:val="21"/>
          <w:highlight w:val="none"/>
        </w:rPr>
        <w:t>6</w:t>
      </w:r>
      <w:r>
        <w:rPr>
          <w:color w:val="auto"/>
          <w:szCs w:val="21"/>
          <w:highlight w:val="none"/>
        </w:rPr>
        <w:t>.1服务地点：</w:t>
      </w:r>
      <w:r>
        <w:rPr>
          <w:color w:val="auto"/>
          <w:szCs w:val="21"/>
          <w:highlight w:val="none"/>
          <w:u w:val="single"/>
        </w:rPr>
        <w:t>永康市</w:t>
      </w:r>
      <w:r>
        <w:rPr>
          <w:rFonts w:hint="eastAsia"/>
          <w:color w:val="auto"/>
          <w:szCs w:val="21"/>
          <w:highlight w:val="none"/>
          <w:u w:val="single"/>
        </w:rPr>
        <w:t>辖区</w:t>
      </w:r>
      <w:r>
        <w:rPr>
          <w:rFonts w:hint="eastAsia"/>
          <w:color w:val="auto"/>
          <w:szCs w:val="21"/>
          <w:highlight w:val="none"/>
        </w:rPr>
        <w:t>；</w:t>
      </w:r>
    </w:p>
    <w:p>
      <w:pPr>
        <w:spacing w:line="360" w:lineRule="auto"/>
        <w:ind w:firstLine="210"/>
        <w:rPr>
          <w:rFonts w:hint="eastAsia"/>
          <w:color w:val="auto"/>
          <w:szCs w:val="21"/>
          <w:highlight w:val="none"/>
          <w:u w:val="single"/>
        </w:rPr>
      </w:pPr>
      <w:r>
        <w:rPr>
          <w:rFonts w:hint="eastAsia"/>
          <w:color w:val="auto"/>
          <w:szCs w:val="21"/>
          <w:highlight w:val="none"/>
        </w:rPr>
        <w:t>6</w:t>
      </w:r>
      <w:r>
        <w:rPr>
          <w:color w:val="auto"/>
          <w:szCs w:val="21"/>
          <w:highlight w:val="none"/>
        </w:rPr>
        <w:t>.2服务期限：</w:t>
      </w:r>
      <w:r>
        <w:rPr>
          <w:rFonts w:hint="eastAsia"/>
          <w:color w:val="auto"/>
          <w:szCs w:val="21"/>
          <w:highlight w:val="none"/>
          <w:u w:val="single"/>
          <w:shd w:val="clear" w:color="auto" w:fill="FFFFFF"/>
        </w:rPr>
        <w:t>自合同签订之日起至</w:t>
      </w:r>
      <w:r>
        <w:rPr>
          <w:rFonts w:hint="eastAsia"/>
          <w:color w:val="auto"/>
          <w:highlight w:val="none"/>
          <w:u w:val="single"/>
        </w:rPr>
        <w:t>完成第二届世界五金发展大会闭幕止。</w:t>
      </w: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rPr>
          <w:color w:val="auto"/>
          <w:highlight w:val="none"/>
        </w:rPr>
      </w:pPr>
      <w:bookmarkStart w:id="35" w:name="_Toc20085"/>
      <w:r>
        <w:rPr>
          <w:color w:val="auto"/>
          <w:highlight w:val="none"/>
        </w:rPr>
        <w:t>第六章 投标文件格式</w:t>
      </w:r>
      <w:bookmarkEnd w:id="3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0"/>
        </w:tabs>
        <w:snapToGrid w:val="0"/>
        <w:spacing w:line="360" w:lineRule="auto"/>
        <w:jc w:val="center"/>
        <w:rPr>
          <w:b/>
          <w:color w:val="auto"/>
          <w:sz w:val="84"/>
          <w:szCs w:val="32"/>
          <w:highlight w:val="none"/>
        </w:rPr>
      </w:pPr>
      <w:r>
        <w:rPr>
          <w:b/>
          <w:color w:val="auto"/>
          <w:sz w:val="72"/>
          <w:szCs w:val="28"/>
          <w:highlight w:val="none"/>
        </w:rPr>
        <w:t>投 标 文 件</w:t>
      </w:r>
    </w:p>
    <w:p>
      <w:pPr>
        <w:tabs>
          <w:tab w:val="left" w:pos="0"/>
        </w:tabs>
        <w:snapToGrid w:val="0"/>
        <w:spacing w:line="360" w:lineRule="auto"/>
        <w:jc w:val="center"/>
        <w:rPr>
          <w:rFonts w:hint="eastAsia"/>
          <w:bCs/>
          <w:color w:val="auto"/>
          <w:sz w:val="24"/>
          <w:szCs w:val="32"/>
          <w:highlight w:val="none"/>
          <w:u w:val="single"/>
        </w:rPr>
      </w:pPr>
      <w:r>
        <w:rPr>
          <w:b/>
          <w:bCs/>
          <w:color w:val="auto"/>
          <w:sz w:val="28"/>
          <w:szCs w:val="22"/>
          <w:highlight w:val="none"/>
        </w:rPr>
        <w:t>采购项目编号：</w:t>
      </w:r>
      <w:r>
        <w:rPr>
          <w:rFonts w:hint="eastAsia"/>
          <w:b/>
          <w:bCs/>
          <w:color w:val="auto"/>
          <w:sz w:val="28"/>
          <w:szCs w:val="22"/>
          <w:highlight w:val="none"/>
        </w:rPr>
        <w:t>[2022]1014号-FYCG012</w:t>
      </w:r>
    </w:p>
    <w:p>
      <w:pPr>
        <w:tabs>
          <w:tab w:val="left" w:pos="0"/>
        </w:tabs>
        <w:snapToGrid w:val="0"/>
        <w:spacing w:line="360" w:lineRule="auto"/>
        <w:rPr>
          <w:bCs/>
          <w:color w:val="auto"/>
          <w:sz w:val="24"/>
          <w:szCs w:val="32"/>
          <w:highlight w:val="none"/>
        </w:rPr>
      </w:pPr>
    </w:p>
    <w:p>
      <w:pPr>
        <w:tabs>
          <w:tab w:val="left" w:pos="0"/>
        </w:tabs>
        <w:snapToGrid w:val="0"/>
        <w:spacing w:line="360" w:lineRule="auto"/>
        <w:rPr>
          <w:bCs/>
          <w:color w:val="auto"/>
          <w:sz w:val="24"/>
          <w:szCs w:val="32"/>
          <w:highlight w:val="none"/>
        </w:rPr>
      </w:pPr>
    </w:p>
    <w:p>
      <w:pPr>
        <w:tabs>
          <w:tab w:val="left" w:pos="0"/>
        </w:tabs>
        <w:snapToGrid w:val="0"/>
        <w:spacing w:line="360" w:lineRule="auto"/>
        <w:rPr>
          <w:bCs/>
          <w:color w:val="auto"/>
          <w:sz w:val="24"/>
          <w:szCs w:val="32"/>
          <w:highlight w:val="none"/>
        </w:rPr>
      </w:pPr>
    </w:p>
    <w:p>
      <w:pPr>
        <w:tabs>
          <w:tab w:val="left" w:pos="0"/>
        </w:tabs>
        <w:snapToGrid w:val="0"/>
        <w:spacing w:line="360" w:lineRule="auto"/>
        <w:jc w:val="center"/>
        <w:rPr>
          <w:b/>
          <w:bCs/>
          <w:color w:val="auto"/>
          <w:sz w:val="36"/>
          <w:szCs w:val="32"/>
          <w:highlight w:val="none"/>
        </w:rPr>
      </w:pPr>
      <w:r>
        <w:rPr>
          <w:b/>
          <w:bCs/>
          <w:color w:val="auto"/>
          <w:sz w:val="36"/>
          <w:szCs w:val="32"/>
          <w:highlight w:val="none"/>
        </w:rPr>
        <w:t>技术标</w:t>
      </w:r>
    </w:p>
    <w:p>
      <w:pPr>
        <w:tabs>
          <w:tab w:val="left" w:pos="0"/>
        </w:tabs>
        <w:snapToGrid w:val="0"/>
        <w:spacing w:line="360" w:lineRule="auto"/>
        <w:jc w:val="center"/>
        <w:rPr>
          <w:b/>
          <w:bCs/>
          <w:color w:val="auto"/>
          <w:sz w:val="24"/>
          <w:szCs w:val="32"/>
          <w:highlight w:val="none"/>
        </w:rPr>
      </w:pPr>
      <w:r>
        <w:rPr>
          <w:b/>
          <w:bCs/>
          <w:color w:val="auto"/>
          <w:sz w:val="36"/>
          <w:szCs w:val="32"/>
          <w:highlight w:val="none"/>
        </w:rPr>
        <w:t>（或价格标）</w:t>
      </w:r>
    </w:p>
    <w:p>
      <w:pPr>
        <w:tabs>
          <w:tab w:val="left" w:pos="0"/>
        </w:tabs>
        <w:snapToGrid w:val="0"/>
        <w:spacing w:line="480" w:lineRule="auto"/>
        <w:rPr>
          <w:bCs/>
          <w:color w:val="auto"/>
          <w:sz w:val="24"/>
          <w:szCs w:val="32"/>
          <w:highlight w:val="none"/>
        </w:rPr>
      </w:pPr>
    </w:p>
    <w:p>
      <w:pPr>
        <w:tabs>
          <w:tab w:val="left" w:pos="0"/>
        </w:tabs>
        <w:snapToGrid w:val="0"/>
        <w:spacing w:line="480" w:lineRule="auto"/>
        <w:rPr>
          <w:bCs/>
          <w:color w:val="auto"/>
          <w:sz w:val="24"/>
          <w:szCs w:val="32"/>
          <w:highlight w:val="none"/>
        </w:rPr>
      </w:pPr>
    </w:p>
    <w:p>
      <w:pPr>
        <w:tabs>
          <w:tab w:val="left" w:pos="0"/>
        </w:tabs>
        <w:snapToGrid w:val="0"/>
        <w:spacing w:line="480" w:lineRule="auto"/>
        <w:rPr>
          <w:bCs/>
          <w:color w:val="auto"/>
          <w:sz w:val="24"/>
          <w:szCs w:val="32"/>
          <w:highlight w:val="none"/>
        </w:rPr>
      </w:pPr>
    </w:p>
    <w:p>
      <w:pPr>
        <w:tabs>
          <w:tab w:val="left" w:pos="0"/>
        </w:tabs>
        <w:snapToGrid w:val="0"/>
        <w:spacing w:line="480" w:lineRule="auto"/>
        <w:rPr>
          <w:bCs/>
          <w:color w:val="auto"/>
          <w:sz w:val="32"/>
          <w:szCs w:val="32"/>
          <w:highlight w:val="none"/>
        </w:rPr>
      </w:pPr>
    </w:p>
    <w:p>
      <w:pPr>
        <w:tabs>
          <w:tab w:val="left" w:pos="0"/>
        </w:tabs>
        <w:snapToGrid w:val="0"/>
        <w:spacing w:line="480" w:lineRule="auto"/>
        <w:rPr>
          <w:bCs/>
          <w:color w:val="auto"/>
          <w:sz w:val="32"/>
          <w:szCs w:val="32"/>
          <w:highlight w:val="none"/>
        </w:rPr>
      </w:pPr>
    </w:p>
    <w:p>
      <w:pPr>
        <w:pStyle w:val="6"/>
        <w:rPr>
          <w:bCs/>
          <w:color w:val="auto"/>
          <w:sz w:val="32"/>
          <w:szCs w:val="32"/>
          <w:highlight w:val="none"/>
        </w:rPr>
      </w:pPr>
    </w:p>
    <w:p>
      <w:pPr>
        <w:tabs>
          <w:tab w:val="left" w:pos="0"/>
        </w:tabs>
        <w:snapToGrid w:val="0"/>
        <w:spacing w:line="480" w:lineRule="auto"/>
        <w:ind w:firstLine="1120" w:firstLineChars="400"/>
        <w:rPr>
          <w:bCs/>
          <w:color w:val="auto"/>
          <w:sz w:val="28"/>
          <w:szCs w:val="28"/>
          <w:highlight w:val="none"/>
        </w:rPr>
      </w:pPr>
      <w:r>
        <w:rPr>
          <w:bCs/>
          <w:color w:val="auto"/>
          <w:sz w:val="28"/>
          <w:szCs w:val="28"/>
          <w:highlight w:val="none"/>
        </w:rPr>
        <w:t>项目名称：</w:t>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r>
        <w:rPr>
          <w:bCs/>
          <w:color w:val="auto"/>
          <w:sz w:val="28"/>
          <w:szCs w:val="28"/>
          <w:highlight w:val="none"/>
          <w:u w:val="single"/>
        </w:rPr>
        <w:tab/>
      </w:r>
    </w:p>
    <w:p>
      <w:pPr>
        <w:tabs>
          <w:tab w:val="left" w:pos="0"/>
        </w:tabs>
        <w:snapToGrid w:val="0"/>
        <w:spacing w:line="480" w:lineRule="auto"/>
        <w:ind w:firstLine="1120" w:firstLineChars="400"/>
        <w:rPr>
          <w:bCs/>
          <w:color w:val="auto"/>
          <w:sz w:val="28"/>
          <w:szCs w:val="28"/>
          <w:highlight w:val="none"/>
          <w:u w:val="single"/>
        </w:rPr>
      </w:pPr>
      <w:r>
        <w:rPr>
          <w:bCs/>
          <w:color w:val="auto"/>
          <w:sz w:val="28"/>
          <w:szCs w:val="28"/>
          <w:highlight w:val="none"/>
        </w:rPr>
        <w:t>投标人名称：</w:t>
      </w:r>
      <w:r>
        <w:rPr>
          <w:bCs/>
          <w:color w:val="auto"/>
          <w:sz w:val="28"/>
          <w:szCs w:val="28"/>
          <w:highlight w:val="none"/>
          <w:u w:val="single"/>
        </w:rPr>
        <w:t xml:space="preserve">                        </w:t>
      </w:r>
      <w:r>
        <w:rPr>
          <w:bCs/>
          <w:color w:val="auto"/>
          <w:sz w:val="28"/>
          <w:szCs w:val="28"/>
          <w:highlight w:val="none"/>
        </w:rPr>
        <w:t>（公章）</w:t>
      </w:r>
    </w:p>
    <w:p>
      <w:pPr>
        <w:tabs>
          <w:tab w:val="left" w:pos="0"/>
        </w:tabs>
        <w:snapToGrid w:val="0"/>
        <w:spacing w:line="600" w:lineRule="auto"/>
        <w:rPr>
          <w:bCs/>
          <w:color w:val="auto"/>
          <w:sz w:val="28"/>
          <w:szCs w:val="28"/>
          <w:highlight w:val="none"/>
        </w:rPr>
      </w:pPr>
      <w:r>
        <w:rPr>
          <w:bCs/>
          <w:color w:val="auto"/>
          <w:sz w:val="28"/>
          <w:szCs w:val="28"/>
          <w:highlight w:val="none"/>
        </w:rPr>
        <w:t xml:space="preserve">        法定代表人或授权代表：</w:t>
      </w:r>
      <w:r>
        <w:rPr>
          <w:bCs/>
          <w:color w:val="auto"/>
          <w:sz w:val="28"/>
          <w:szCs w:val="28"/>
          <w:highlight w:val="none"/>
          <w:u w:val="single"/>
        </w:rPr>
        <w:t xml:space="preserve">        </w:t>
      </w:r>
      <w:r>
        <w:rPr>
          <w:bCs/>
          <w:color w:val="auto"/>
          <w:sz w:val="28"/>
          <w:szCs w:val="28"/>
          <w:highlight w:val="none"/>
        </w:rPr>
        <w:t>（签字或盖章）</w:t>
      </w:r>
    </w:p>
    <w:p>
      <w:pPr>
        <w:tabs>
          <w:tab w:val="left" w:pos="0"/>
        </w:tabs>
        <w:snapToGrid w:val="0"/>
        <w:spacing w:line="600" w:lineRule="auto"/>
        <w:jc w:val="center"/>
        <w:rPr>
          <w:bCs/>
          <w:color w:val="auto"/>
          <w:sz w:val="32"/>
          <w:szCs w:val="32"/>
          <w:highlight w:val="none"/>
        </w:rPr>
      </w:pPr>
      <w:r>
        <w:rPr>
          <w:bCs/>
          <w:color w:val="auto"/>
          <w:sz w:val="28"/>
          <w:szCs w:val="28"/>
          <w:highlight w:val="none"/>
        </w:rPr>
        <w:t>年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bookmarkStart w:id="36" w:name="_Toc19147"/>
      <w:bookmarkStart w:id="37" w:name="_Toc12628"/>
      <w:bookmarkStart w:id="38" w:name="_Toc21763"/>
      <w:bookmarkStart w:id="39" w:name="_Toc21689"/>
      <w:bookmarkStart w:id="40" w:name="_Toc12394"/>
    </w:p>
    <w:p>
      <w:pPr>
        <w:pStyle w:val="9"/>
        <w:rPr>
          <w:rFonts w:ascii="Times New Roman" w:hAnsi="Times New Roman" w:cs="Times New Roman"/>
          <w:color w:val="auto"/>
          <w:sz w:val="32"/>
          <w:highlight w:val="none"/>
        </w:rPr>
      </w:pPr>
      <w:r>
        <w:rPr>
          <w:rFonts w:ascii="Times New Roman" w:hAnsi="Times New Roman" w:cs="Times New Roman"/>
          <w:color w:val="auto"/>
          <w:sz w:val="32"/>
          <w:highlight w:val="none"/>
        </w:rPr>
        <w:t>投标文件目录</w:t>
      </w:r>
      <w:bookmarkEnd w:id="36"/>
      <w:bookmarkEnd w:id="37"/>
      <w:bookmarkEnd w:id="38"/>
      <w:bookmarkEnd w:id="39"/>
      <w:bookmarkEnd w:id="40"/>
    </w:p>
    <w:p>
      <w:pPr>
        <w:spacing w:line="360" w:lineRule="auto"/>
        <w:rPr>
          <w:b/>
          <w:color w:val="auto"/>
          <w:sz w:val="22"/>
          <w:szCs w:val="22"/>
          <w:highlight w:val="none"/>
        </w:rPr>
      </w:pPr>
      <w:r>
        <w:rPr>
          <w:b/>
          <w:color w:val="auto"/>
          <w:sz w:val="28"/>
          <w:szCs w:val="22"/>
          <w:highlight w:val="none"/>
          <w:lang w:val="en"/>
        </w:rPr>
        <w:t>一、资格审查资料：</w:t>
      </w:r>
    </w:p>
    <w:p>
      <w:pPr>
        <w:spacing w:line="440" w:lineRule="atLeast"/>
        <w:ind w:firstLine="220" w:firstLineChars="100"/>
        <w:rPr>
          <w:bCs/>
          <w:color w:val="auto"/>
          <w:sz w:val="22"/>
          <w:szCs w:val="22"/>
          <w:highlight w:val="none"/>
        </w:rPr>
      </w:pPr>
      <w:r>
        <w:rPr>
          <w:bCs/>
          <w:color w:val="auto"/>
          <w:sz w:val="22"/>
          <w:szCs w:val="22"/>
          <w:highlight w:val="none"/>
        </w:rPr>
        <w:t>1、企业法人营业执照</w:t>
      </w:r>
      <w:r>
        <w:rPr>
          <w:rFonts w:hint="eastAsia"/>
          <w:bCs/>
          <w:color w:val="auto"/>
          <w:sz w:val="22"/>
          <w:szCs w:val="22"/>
          <w:highlight w:val="none"/>
        </w:rPr>
        <w:t>或事业单位法人证书</w:t>
      </w:r>
      <w:r>
        <w:rPr>
          <w:bCs/>
          <w:color w:val="auto"/>
          <w:sz w:val="22"/>
          <w:szCs w:val="22"/>
          <w:highlight w:val="none"/>
        </w:rPr>
        <w:t>；</w:t>
      </w:r>
    </w:p>
    <w:p>
      <w:pPr>
        <w:spacing w:line="440" w:lineRule="atLeast"/>
        <w:ind w:firstLine="220" w:firstLineChars="100"/>
        <w:rPr>
          <w:bCs/>
          <w:color w:val="auto"/>
          <w:sz w:val="22"/>
          <w:szCs w:val="22"/>
          <w:highlight w:val="none"/>
        </w:rPr>
      </w:pPr>
      <w:r>
        <w:rPr>
          <w:rFonts w:hint="eastAsia"/>
          <w:bCs/>
          <w:color w:val="auto"/>
          <w:sz w:val="22"/>
          <w:szCs w:val="22"/>
          <w:highlight w:val="none"/>
          <w:lang w:val="en-US" w:eastAsia="zh-CN"/>
        </w:rPr>
        <w:t>2</w:t>
      </w:r>
      <w:r>
        <w:rPr>
          <w:bCs/>
          <w:color w:val="auto"/>
          <w:sz w:val="22"/>
          <w:szCs w:val="22"/>
          <w:highlight w:val="none"/>
        </w:rPr>
        <w:t>、具有履行合同所必需的设备和专业技术能力（承诺函，格式自拟）；</w:t>
      </w:r>
    </w:p>
    <w:p>
      <w:pPr>
        <w:spacing w:line="440" w:lineRule="atLeast"/>
        <w:ind w:firstLine="220" w:firstLineChars="100"/>
        <w:rPr>
          <w:bCs/>
          <w:color w:val="auto"/>
          <w:sz w:val="22"/>
          <w:szCs w:val="22"/>
          <w:highlight w:val="none"/>
        </w:rPr>
      </w:pPr>
      <w:r>
        <w:rPr>
          <w:rFonts w:hint="eastAsia"/>
          <w:bCs/>
          <w:color w:val="auto"/>
          <w:sz w:val="22"/>
          <w:szCs w:val="22"/>
          <w:highlight w:val="none"/>
          <w:lang w:val="en-US" w:eastAsia="zh-CN"/>
        </w:rPr>
        <w:t>3</w:t>
      </w:r>
      <w:r>
        <w:rPr>
          <w:bCs/>
          <w:color w:val="auto"/>
          <w:sz w:val="22"/>
          <w:szCs w:val="22"/>
          <w:highlight w:val="none"/>
        </w:rPr>
        <w:t>、未被</w:t>
      </w:r>
      <w:r>
        <w:rPr>
          <w:rFonts w:hint="eastAsia"/>
          <w:bCs/>
          <w:color w:val="auto"/>
          <w:sz w:val="22"/>
          <w:szCs w:val="22"/>
          <w:highlight w:val="none"/>
        </w:rPr>
        <w:t>“</w:t>
      </w:r>
      <w:r>
        <w:rPr>
          <w:bCs/>
          <w:color w:val="auto"/>
          <w:sz w:val="22"/>
          <w:szCs w:val="22"/>
          <w:highlight w:val="none"/>
        </w:rPr>
        <w:t>信用中国</w:t>
      </w:r>
      <w:r>
        <w:rPr>
          <w:rFonts w:hint="eastAsia"/>
          <w:bCs/>
          <w:color w:val="auto"/>
          <w:sz w:val="22"/>
          <w:szCs w:val="22"/>
          <w:highlight w:val="none"/>
        </w:rPr>
        <w:t>”</w:t>
      </w:r>
      <w:r>
        <w:rPr>
          <w:bCs/>
          <w:color w:val="auto"/>
          <w:sz w:val="22"/>
          <w:szCs w:val="22"/>
          <w:highlight w:val="none"/>
        </w:rPr>
        <w:t>（www.creditchina.gov.cn）、中国政府采购网（www.ccgp.gov.cn）列入失信被执行人、</w:t>
      </w:r>
      <w:r>
        <w:rPr>
          <w:rFonts w:hint="eastAsia"/>
          <w:bCs/>
          <w:color w:val="auto"/>
          <w:sz w:val="22"/>
          <w:szCs w:val="22"/>
          <w:highlight w:val="none"/>
          <w:lang w:eastAsia="zh-CN"/>
        </w:rPr>
        <w:t>重大税收违法失信主体</w:t>
      </w:r>
      <w:r>
        <w:rPr>
          <w:bCs/>
          <w:color w:val="auto"/>
          <w:sz w:val="22"/>
          <w:szCs w:val="22"/>
          <w:highlight w:val="none"/>
        </w:rPr>
        <w:t>、政府采购严重违法失信行为记录名单（提供网站查询截图</w:t>
      </w:r>
      <w:r>
        <w:rPr>
          <w:rFonts w:hint="eastAsia"/>
          <w:bCs/>
          <w:color w:val="auto"/>
          <w:sz w:val="22"/>
          <w:szCs w:val="22"/>
          <w:highlight w:val="none"/>
        </w:rPr>
        <w:t>，自招标公告发布之日起至投标截止日内任意时间</w:t>
      </w:r>
      <w:r>
        <w:rPr>
          <w:bCs/>
          <w:color w:val="auto"/>
          <w:sz w:val="22"/>
          <w:szCs w:val="22"/>
          <w:highlight w:val="none"/>
        </w:rPr>
        <w:t>）；</w:t>
      </w:r>
    </w:p>
    <w:p>
      <w:pPr>
        <w:spacing w:line="440" w:lineRule="atLeast"/>
        <w:ind w:firstLine="220" w:firstLineChars="1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、《中小企业声明函》（附件11）或分包意向协议（格式自拟）；</w:t>
      </w:r>
    </w:p>
    <w:p>
      <w:pPr>
        <w:spacing w:line="440" w:lineRule="atLeast"/>
        <w:ind w:firstLine="220" w:firstLineChars="100"/>
        <w:rPr>
          <w:color w:val="auto"/>
          <w:sz w:val="22"/>
          <w:szCs w:val="22"/>
          <w:highlight w:val="none"/>
        </w:rPr>
      </w:pPr>
      <w:r>
        <w:rPr>
          <w:rFonts w:hint="eastAsia"/>
          <w:color w:val="auto"/>
          <w:sz w:val="22"/>
          <w:szCs w:val="22"/>
          <w:highlight w:val="none"/>
        </w:rPr>
        <w:t>注：若供应商提供的是货物则填写货物声明函，若供应商提供的为服务则填写服务声明函。</w:t>
      </w:r>
    </w:p>
    <w:p>
      <w:pPr>
        <w:spacing w:line="440" w:lineRule="atLeast"/>
        <w:ind w:firstLine="220" w:firstLineChars="100"/>
        <w:rPr>
          <w:color w:val="auto"/>
          <w:highlight w:val="none"/>
        </w:rPr>
      </w:pPr>
      <w:r>
        <w:rPr>
          <w:rFonts w:hint="eastAsia"/>
          <w:color w:val="auto"/>
          <w:sz w:val="22"/>
          <w:szCs w:val="22"/>
          <w:highlight w:val="none"/>
          <w:lang w:val="en-US" w:eastAsia="zh-CN"/>
        </w:rPr>
        <w:t>5</w:t>
      </w:r>
      <w:r>
        <w:rPr>
          <w:color w:val="auto"/>
          <w:sz w:val="22"/>
          <w:szCs w:val="22"/>
          <w:highlight w:val="none"/>
        </w:rPr>
        <w:t>、法定代表人授权书（附件</w:t>
      </w:r>
      <w:r>
        <w:rPr>
          <w:rFonts w:hint="eastAsia"/>
          <w:color w:val="auto"/>
          <w:sz w:val="22"/>
          <w:szCs w:val="22"/>
          <w:highlight w:val="none"/>
        </w:rPr>
        <w:t>1</w:t>
      </w:r>
      <w:r>
        <w:rPr>
          <w:color w:val="auto"/>
          <w:sz w:val="22"/>
          <w:szCs w:val="22"/>
          <w:highlight w:val="none"/>
        </w:rPr>
        <w:t>）；</w:t>
      </w:r>
    </w:p>
    <w:p>
      <w:pPr>
        <w:spacing w:line="440" w:lineRule="atLeast"/>
        <w:ind w:firstLine="220" w:firstLineChars="100"/>
        <w:rPr>
          <w:color w:val="auto"/>
          <w:highlight w:val="none"/>
        </w:rPr>
      </w:pPr>
      <w:r>
        <w:rPr>
          <w:rFonts w:hint="eastAsia"/>
          <w:color w:val="auto"/>
          <w:sz w:val="22"/>
          <w:szCs w:val="22"/>
          <w:highlight w:val="none"/>
          <w:lang w:val="en-US" w:eastAsia="zh-CN"/>
        </w:rPr>
        <w:t>6</w:t>
      </w:r>
      <w:r>
        <w:rPr>
          <w:rFonts w:hint="eastAsia"/>
          <w:color w:val="auto"/>
          <w:sz w:val="22"/>
          <w:szCs w:val="22"/>
          <w:highlight w:val="none"/>
        </w:rPr>
        <w:t>、投标承诺函（附件2）。</w:t>
      </w:r>
    </w:p>
    <w:p>
      <w:pPr>
        <w:spacing w:line="440" w:lineRule="atLeast"/>
        <w:rPr>
          <w:b/>
          <w:color w:val="auto"/>
          <w:szCs w:val="21"/>
          <w:highlight w:val="none"/>
        </w:rPr>
      </w:pPr>
      <w:r>
        <w:rPr>
          <w:b/>
          <w:color w:val="auto"/>
          <w:sz w:val="24"/>
          <w:szCs w:val="21"/>
          <w:highlight w:val="none"/>
          <w:lang w:val="en"/>
        </w:rPr>
        <w:t>二、技术标：</w:t>
      </w:r>
    </w:p>
    <w:p>
      <w:pPr>
        <w:spacing w:line="440" w:lineRule="atLeast"/>
        <w:ind w:firstLine="220" w:firstLineChars="100"/>
        <w:rPr>
          <w:b/>
          <w:color w:val="auto"/>
          <w:sz w:val="22"/>
          <w:szCs w:val="22"/>
          <w:highlight w:val="none"/>
        </w:rPr>
      </w:pPr>
      <w:r>
        <w:rPr>
          <w:color w:val="auto"/>
          <w:sz w:val="22"/>
          <w:szCs w:val="22"/>
          <w:highlight w:val="none"/>
        </w:rPr>
        <w:t>1、投标声明书（附件</w:t>
      </w:r>
      <w:r>
        <w:rPr>
          <w:rFonts w:hint="eastAsia"/>
          <w:color w:val="auto"/>
          <w:sz w:val="22"/>
          <w:szCs w:val="22"/>
          <w:highlight w:val="none"/>
        </w:rPr>
        <w:t>3</w:t>
      </w:r>
      <w:r>
        <w:rPr>
          <w:color w:val="auto"/>
          <w:sz w:val="22"/>
          <w:szCs w:val="22"/>
          <w:highlight w:val="none"/>
        </w:rPr>
        <w:t>）；</w:t>
      </w:r>
    </w:p>
    <w:p>
      <w:pPr>
        <w:spacing w:line="440" w:lineRule="atLeast"/>
        <w:ind w:firstLine="220" w:firstLineChars="100"/>
        <w:rPr>
          <w:color w:val="auto"/>
          <w:sz w:val="22"/>
          <w:szCs w:val="22"/>
          <w:highlight w:val="none"/>
        </w:rPr>
      </w:pPr>
      <w:r>
        <w:rPr>
          <w:color w:val="auto"/>
          <w:sz w:val="22"/>
          <w:szCs w:val="22"/>
          <w:highlight w:val="none"/>
        </w:rPr>
        <w:t>2、关于资格的声明函（附件</w:t>
      </w:r>
      <w:r>
        <w:rPr>
          <w:rFonts w:hint="eastAsia"/>
          <w:color w:val="auto"/>
          <w:sz w:val="22"/>
          <w:szCs w:val="22"/>
          <w:highlight w:val="none"/>
        </w:rPr>
        <w:t>4</w:t>
      </w:r>
      <w:r>
        <w:rPr>
          <w:color w:val="auto"/>
          <w:sz w:val="22"/>
          <w:szCs w:val="22"/>
          <w:highlight w:val="none"/>
        </w:rPr>
        <w:t>）；</w:t>
      </w:r>
    </w:p>
    <w:p>
      <w:pPr>
        <w:spacing w:line="440" w:lineRule="atLeast"/>
        <w:ind w:firstLine="220" w:firstLineChars="100"/>
        <w:rPr>
          <w:rFonts w:hint="eastAsia"/>
          <w:color w:val="auto"/>
          <w:sz w:val="22"/>
          <w:szCs w:val="22"/>
          <w:highlight w:val="none"/>
        </w:rPr>
      </w:pPr>
      <w:r>
        <w:rPr>
          <w:color w:val="auto"/>
          <w:sz w:val="22"/>
          <w:szCs w:val="22"/>
          <w:highlight w:val="none"/>
        </w:rPr>
        <w:t>3、投标人情况介绍（附件</w:t>
      </w:r>
      <w:r>
        <w:rPr>
          <w:rFonts w:hint="eastAsia"/>
          <w:color w:val="auto"/>
          <w:sz w:val="22"/>
          <w:szCs w:val="22"/>
          <w:highlight w:val="none"/>
        </w:rPr>
        <w:t>5</w:t>
      </w:r>
      <w:r>
        <w:rPr>
          <w:color w:val="auto"/>
          <w:sz w:val="22"/>
          <w:szCs w:val="22"/>
          <w:highlight w:val="none"/>
        </w:rPr>
        <w:t>）</w:t>
      </w:r>
      <w:r>
        <w:rPr>
          <w:rFonts w:hint="eastAsia"/>
          <w:color w:val="auto"/>
          <w:sz w:val="22"/>
          <w:szCs w:val="22"/>
          <w:highlight w:val="none"/>
        </w:rPr>
        <w:t>；</w:t>
      </w:r>
    </w:p>
    <w:p>
      <w:pPr>
        <w:spacing w:line="440" w:lineRule="atLeast"/>
        <w:ind w:firstLine="220" w:firstLineChars="100"/>
        <w:rPr>
          <w:color w:val="auto"/>
          <w:sz w:val="22"/>
          <w:szCs w:val="22"/>
          <w:highlight w:val="none"/>
        </w:rPr>
      </w:pPr>
      <w:r>
        <w:rPr>
          <w:color w:val="auto"/>
          <w:sz w:val="22"/>
          <w:szCs w:val="22"/>
          <w:highlight w:val="none"/>
        </w:rPr>
        <w:t>4、规范偏离表（附件</w:t>
      </w:r>
      <w:r>
        <w:rPr>
          <w:rFonts w:hint="eastAsia"/>
          <w:color w:val="auto"/>
          <w:sz w:val="22"/>
          <w:szCs w:val="22"/>
          <w:highlight w:val="none"/>
        </w:rPr>
        <w:t>6</w:t>
      </w:r>
      <w:r>
        <w:rPr>
          <w:color w:val="auto"/>
          <w:sz w:val="22"/>
          <w:szCs w:val="22"/>
          <w:highlight w:val="none"/>
        </w:rPr>
        <w:t>）；</w:t>
      </w:r>
    </w:p>
    <w:p>
      <w:pPr>
        <w:spacing w:line="440" w:lineRule="atLeast"/>
        <w:ind w:firstLine="220" w:firstLineChars="100"/>
        <w:rPr>
          <w:bCs/>
          <w:color w:val="auto"/>
          <w:sz w:val="22"/>
          <w:szCs w:val="22"/>
          <w:highlight w:val="none"/>
        </w:rPr>
      </w:pPr>
      <w:r>
        <w:rPr>
          <w:color w:val="auto"/>
          <w:sz w:val="22"/>
          <w:szCs w:val="22"/>
          <w:highlight w:val="none"/>
        </w:rPr>
        <w:t>5、服务质量保证、服务期</w:t>
      </w:r>
      <w:r>
        <w:rPr>
          <w:rFonts w:hint="eastAsia"/>
          <w:color w:val="auto"/>
          <w:sz w:val="22"/>
          <w:szCs w:val="22"/>
          <w:highlight w:val="none"/>
        </w:rPr>
        <w:t>内</w:t>
      </w:r>
      <w:r>
        <w:rPr>
          <w:color w:val="auto"/>
          <w:sz w:val="22"/>
          <w:szCs w:val="22"/>
          <w:highlight w:val="none"/>
        </w:rPr>
        <w:t>及其他有关承诺（附件</w:t>
      </w:r>
      <w:r>
        <w:rPr>
          <w:rFonts w:hint="eastAsia"/>
          <w:color w:val="auto"/>
          <w:sz w:val="22"/>
          <w:szCs w:val="22"/>
          <w:highlight w:val="none"/>
        </w:rPr>
        <w:t>7</w:t>
      </w:r>
      <w:r>
        <w:rPr>
          <w:color w:val="auto"/>
          <w:sz w:val="22"/>
          <w:szCs w:val="22"/>
          <w:highlight w:val="none"/>
        </w:rPr>
        <w:t>）；</w:t>
      </w:r>
    </w:p>
    <w:p>
      <w:pPr>
        <w:spacing w:line="440" w:lineRule="atLeast"/>
        <w:ind w:firstLine="220" w:firstLineChars="100"/>
        <w:rPr>
          <w:color w:val="auto"/>
          <w:sz w:val="22"/>
          <w:szCs w:val="22"/>
          <w:highlight w:val="none"/>
        </w:rPr>
      </w:pPr>
      <w:r>
        <w:rPr>
          <w:color w:val="auto"/>
          <w:sz w:val="22"/>
          <w:szCs w:val="22"/>
          <w:highlight w:val="none"/>
        </w:rPr>
        <w:t>6、采购代理服务费承诺书（附件</w:t>
      </w:r>
      <w:r>
        <w:rPr>
          <w:rFonts w:hint="eastAsia"/>
          <w:color w:val="auto"/>
          <w:sz w:val="22"/>
          <w:szCs w:val="22"/>
          <w:highlight w:val="none"/>
        </w:rPr>
        <w:t>8</w:t>
      </w:r>
      <w:r>
        <w:rPr>
          <w:color w:val="auto"/>
          <w:sz w:val="22"/>
          <w:szCs w:val="22"/>
          <w:highlight w:val="none"/>
        </w:rPr>
        <w:t>）；</w:t>
      </w:r>
    </w:p>
    <w:p>
      <w:pPr>
        <w:spacing w:line="440" w:lineRule="atLeast"/>
        <w:ind w:firstLine="220" w:firstLineChars="100"/>
        <w:rPr>
          <w:color w:val="auto"/>
          <w:highlight w:val="none"/>
        </w:rPr>
      </w:pPr>
      <w:r>
        <w:rPr>
          <w:rFonts w:hint="eastAsia"/>
          <w:color w:val="auto"/>
          <w:sz w:val="22"/>
          <w:szCs w:val="22"/>
          <w:highlight w:val="none"/>
        </w:rPr>
        <w:t>7</w:t>
      </w:r>
      <w:r>
        <w:rPr>
          <w:color w:val="auto"/>
          <w:sz w:val="22"/>
          <w:szCs w:val="22"/>
          <w:highlight w:val="none"/>
        </w:rPr>
        <w:t>、根据评审需要、技术资信评分标准、招标文件要求等，投标方自行考虑需提供的资料（格式自拟）。</w:t>
      </w:r>
    </w:p>
    <w:p>
      <w:pPr>
        <w:spacing w:line="440" w:lineRule="atLeast"/>
        <w:rPr>
          <w:b/>
          <w:color w:val="auto"/>
          <w:szCs w:val="21"/>
          <w:highlight w:val="none"/>
        </w:rPr>
      </w:pPr>
      <w:r>
        <w:rPr>
          <w:rFonts w:hint="eastAsia"/>
          <w:b/>
          <w:color w:val="auto"/>
          <w:sz w:val="24"/>
          <w:szCs w:val="21"/>
          <w:highlight w:val="none"/>
        </w:rPr>
        <w:t>三</w:t>
      </w:r>
      <w:r>
        <w:rPr>
          <w:b/>
          <w:color w:val="auto"/>
          <w:sz w:val="24"/>
          <w:szCs w:val="21"/>
          <w:highlight w:val="none"/>
          <w:lang w:val="en"/>
        </w:rPr>
        <w:t>、价格标：</w:t>
      </w:r>
    </w:p>
    <w:p>
      <w:pPr>
        <w:spacing w:line="440" w:lineRule="atLeast"/>
        <w:ind w:firstLine="220" w:firstLineChars="100"/>
        <w:rPr>
          <w:color w:val="auto"/>
          <w:sz w:val="22"/>
          <w:szCs w:val="22"/>
          <w:highlight w:val="none"/>
        </w:rPr>
      </w:pPr>
      <w:r>
        <w:rPr>
          <w:color w:val="auto"/>
          <w:sz w:val="22"/>
          <w:szCs w:val="22"/>
          <w:highlight w:val="none"/>
        </w:rPr>
        <w:t>1、投标书（附件</w:t>
      </w:r>
      <w:r>
        <w:rPr>
          <w:rFonts w:hint="eastAsia"/>
          <w:color w:val="auto"/>
          <w:sz w:val="22"/>
          <w:szCs w:val="22"/>
          <w:highlight w:val="none"/>
        </w:rPr>
        <w:t>9</w:t>
      </w:r>
      <w:r>
        <w:rPr>
          <w:color w:val="auto"/>
          <w:sz w:val="22"/>
          <w:szCs w:val="22"/>
          <w:highlight w:val="none"/>
        </w:rPr>
        <w:t>）；</w:t>
      </w:r>
    </w:p>
    <w:p>
      <w:pPr>
        <w:spacing w:line="440" w:lineRule="atLeast"/>
        <w:ind w:firstLine="220" w:firstLineChars="100"/>
        <w:rPr>
          <w:rFonts w:hint="eastAsia"/>
          <w:color w:val="auto"/>
          <w:sz w:val="22"/>
          <w:szCs w:val="22"/>
          <w:highlight w:val="none"/>
        </w:rPr>
      </w:pPr>
      <w:r>
        <w:rPr>
          <w:color w:val="auto"/>
          <w:sz w:val="22"/>
          <w:szCs w:val="22"/>
          <w:highlight w:val="none"/>
        </w:rPr>
        <w:t>2、报价一览表（附件</w:t>
      </w:r>
      <w:r>
        <w:rPr>
          <w:rFonts w:hint="eastAsia"/>
          <w:color w:val="auto"/>
          <w:sz w:val="22"/>
          <w:szCs w:val="22"/>
          <w:highlight w:val="none"/>
        </w:rPr>
        <w:t>10</w:t>
      </w:r>
      <w:r>
        <w:rPr>
          <w:color w:val="auto"/>
          <w:sz w:val="22"/>
          <w:szCs w:val="22"/>
          <w:highlight w:val="none"/>
        </w:rPr>
        <w:t>）</w:t>
      </w:r>
      <w:r>
        <w:rPr>
          <w:rFonts w:hint="eastAsia"/>
          <w:color w:val="auto"/>
          <w:sz w:val="22"/>
          <w:szCs w:val="22"/>
          <w:highlight w:val="none"/>
        </w:rPr>
        <w:t>；</w:t>
      </w:r>
    </w:p>
    <w:p>
      <w:pPr>
        <w:spacing w:line="440" w:lineRule="atLeast"/>
        <w:ind w:firstLine="220" w:firstLineChars="100"/>
        <w:rPr>
          <w:rFonts w:hint="eastAsia"/>
          <w:bCs/>
          <w:color w:val="auto"/>
          <w:sz w:val="22"/>
          <w:szCs w:val="22"/>
          <w:highlight w:val="none"/>
        </w:rPr>
      </w:pPr>
      <w:r>
        <w:rPr>
          <w:rFonts w:hint="eastAsia"/>
          <w:bCs/>
          <w:color w:val="auto"/>
          <w:sz w:val="22"/>
          <w:szCs w:val="22"/>
          <w:highlight w:val="none"/>
        </w:rPr>
        <w:t>3、《中小企业声明函》（附件11，如有）或分包意向协议（格式自拟）；</w:t>
      </w:r>
    </w:p>
    <w:p>
      <w:pPr>
        <w:spacing w:line="440" w:lineRule="atLeast"/>
        <w:ind w:firstLine="220" w:firstLineChars="100"/>
        <w:rPr>
          <w:color w:val="auto"/>
          <w:highlight w:val="none"/>
        </w:rPr>
      </w:pPr>
      <w:r>
        <w:rPr>
          <w:rFonts w:hint="eastAsia"/>
          <w:color w:val="auto"/>
          <w:sz w:val="22"/>
          <w:szCs w:val="22"/>
          <w:highlight w:val="none"/>
        </w:rPr>
        <w:t>注：若供应商提供的是货物则填写货物声明函，若供应商提供的为服务则填写服务声明函。</w:t>
      </w:r>
    </w:p>
    <w:p>
      <w:pPr>
        <w:spacing w:line="440" w:lineRule="atLeast"/>
        <w:ind w:firstLine="220" w:firstLineChars="100"/>
        <w:rPr>
          <w:color w:val="auto"/>
          <w:sz w:val="22"/>
          <w:szCs w:val="22"/>
          <w:highlight w:val="none"/>
        </w:rPr>
      </w:pPr>
      <w:r>
        <w:rPr>
          <w:rFonts w:hint="eastAsia"/>
          <w:color w:val="auto"/>
          <w:sz w:val="22"/>
          <w:szCs w:val="22"/>
          <w:highlight w:val="none"/>
        </w:rPr>
        <w:t>4</w:t>
      </w:r>
      <w:r>
        <w:rPr>
          <w:color w:val="auto"/>
          <w:sz w:val="22"/>
          <w:szCs w:val="22"/>
          <w:highlight w:val="none"/>
        </w:rPr>
        <w:t>、监狱企业声明函</w:t>
      </w:r>
      <w:r>
        <w:rPr>
          <w:rFonts w:hint="eastAsia"/>
          <w:color w:val="auto"/>
          <w:sz w:val="22"/>
          <w:szCs w:val="22"/>
          <w:highlight w:val="none"/>
        </w:rPr>
        <w:t>（</w:t>
      </w:r>
      <w:r>
        <w:rPr>
          <w:color w:val="auto"/>
          <w:sz w:val="22"/>
          <w:szCs w:val="22"/>
          <w:highlight w:val="none"/>
        </w:rPr>
        <w:t>附件</w:t>
      </w:r>
      <w:r>
        <w:rPr>
          <w:rFonts w:hint="eastAsia"/>
          <w:color w:val="auto"/>
          <w:sz w:val="22"/>
          <w:szCs w:val="22"/>
          <w:highlight w:val="none"/>
        </w:rPr>
        <w:t>12，如有）；</w:t>
      </w:r>
    </w:p>
    <w:p>
      <w:pPr>
        <w:spacing w:line="440" w:lineRule="atLeast"/>
        <w:ind w:firstLine="220" w:firstLineChars="100"/>
        <w:rPr>
          <w:rFonts w:hint="eastAsia"/>
          <w:color w:val="auto"/>
          <w:sz w:val="22"/>
          <w:szCs w:val="22"/>
          <w:highlight w:val="none"/>
        </w:rPr>
      </w:pPr>
      <w:r>
        <w:rPr>
          <w:rFonts w:hint="eastAsia"/>
          <w:color w:val="auto"/>
          <w:sz w:val="22"/>
          <w:szCs w:val="22"/>
          <w:highlight w:val="none"/>
        </w:rPr>
        <w:t>5、残疾人福利性单位声明函</w:t>
      </w:r>
      <w:r>
        <w:rPr>
          <w:color w:val="auto"/>
          <w:sz w:val="22"/>
          <w:szCs w:val="22"/>
          <w:highlight w:val="none"/>
        </w:rPr>
        <w:t>（</w:t>
      </w:r>
      <w:r>
        <w:rPr>
          <w:rFonts w:hint="eastAsia"/>
          <w:color w:val="auto"/>
          <w:sz w:val="22"/>
          <w:szCs w:val="22"/>
          <w:highlight w:val="none"/>
        </w:rPr>
        <w:t>附件</w:t>
      </w:r>
      <w:r>
        <w:rPr>
          <w:color w:val="auto"/>
          <w:sz w:val="22"/>
          <w:szCs w:val="22"/>
          <w:highlight w:val="none"/>
        </w:rPr>
        <w:t>1</w:t>
      </w:r>
      <w:r>
        <w:rPr>
          <w:rFonts w:hint="eastAsia"/>
          <w:color w:val="auto"/>
          <w:sz w:val="22"/>
          <w:szCs w:val="22"/>
          <w:highlight w:val="none"/>
        </w:rPr>
        <w:t>3，如有</w:t>
      </w:r>
      <w:r>
        <w:rPr>
          <w:color w:val="auto"/>
          <w:sz w:val="22"/>
          <w:szCs w:val="22"/>
          <w:highlight w:val="none"/>
        </w:rPr>
        <w:t>）</w:t>
      </w:r>
      <w:r>
        <w:rPr>
          <w:rFonts w:hint="eastAsia"/>
          <w:color w:val="auto"/>
          <w:sz w:val="22"/>
          <w:szCs w:val="22"/>
          <w:highlight w:val="none"/>
        </w:rPr>
        <w:t>。</w:t>
      </w:r>
    </w:p>
    <w:p>
      <w:pPr>
        <w:rPr>
          <w:rFonts w:hint="eastAsia"/>
          <w:color w:val="auto"/>
          <w:highlight w:val="none"/>
        </w:rPr>
      </w:pPr>
    </w:p>
    <w:p>
      <w:pPr>
        <w:rPr>
          <w:rFonts w:hint="eastAsia"/>
          <w:color w:val="auto"/>
          <w:highlight w:val="none"/>
        </w:rPr>
      </w:pPr>
    </w:p>
    <w:p>
      <w:pPr>
        <w:pStyle w:val="289"/>
        <w:rPr>
          <w:color w:val="auto"/>
          <w:highlight w:val="none"/>
        </w:rPr>
      </w:pPr>
      <w:r>
        <w:rPr>
          <w:color w:val="auto"/>
          <w:sz w:val="28"/>
          <w:highlight w:val="none"/>
        </w:rPr>
        <w:br w:type="page"/>
      </w:r>
    </w:p>
    <w:p>
      <w:pPr>
        <w:spacing w:line="480" w:lineRule="auto"/>
        <w:jc w:val="left"/>
        <w:rPr>
          <w:rFonts w:hint="eastAsia"/>
          <w:color w:val="auto"/>
          <w:sz w:val="28"/>
          <w:highlight w:val="none"/>
        </w:rPr>
      </w:pPr>
      <w:r>
        <w:rPr>
          <w:color w:val="auto"/>
          <w:sz w:val="28"/>
          <w:highlight w:val="none"/>
        </w:rPr>
        <w:t>附件</w:t>
      </w:r>
      <w:r>
        <w:rPr>
          <w:rFonts w:hint="eastAsia"/>
          <w:color w:val="auto"/>
          <w:sz w:val="28"/>
          <w:highlight w:val="none"/>
        </w:rPr>
        <w:t>一</w:t>
      </w:r>
    </w:p>
    <w:p>
      <w:pPr>
        <w:keepNext/>
        <w:keepLines/>
        <w:spacing w:after="120" w:line="360" w:lineRule="auto"/>
        <w:jc w:val="center"/>
        <w:outlineLvl w:val="2"/>
        <w:rPr>
          <w:b/>
          <w:bCs/>
          <w:color w:val="auto"/>
          <w:kern w:val="24"/>
          <w:sz w:val="32"/>
          <w:szCs w:val="32"/>
          <w:highlight w:val="none"/>
          <w:lang w:val="en"/>
        </w:rPr>
      </w:pPr>
      <w:bookmarkStart w:id="41" w:name="_Toc25234"/>
      <w:r>
        <w:rPr>
          <w:b/>
          <w:bCs/>
          <w:color w:val="auto"/>
          <w:kern w:val="24"/>
          <w:sz w:val="32"/>
          <w:szCs w:val="32"/>
          <w:highlight w:val="none"/>
          <w:lang w:val="en"/>
        </w:rPr>
        <w:t>法定代表人授权书</w:t>
      </w:r>
      <w:bookmarkEnd w:id="41"/>
    </w:p>
    <w:p>
      <w:pPr>
        <w:spacing w:line="360" w:lineRule="auto"/>
        <w:rPr>
          <w:color w:val="auto"/>
          <w:sz w:val="24"/>
          <w:highlight w:val="none"/>
        </w:rPr>
      </w:pPr>
    </w:p>
    <w:p>
      <w:pPr>
        <w:spacing w:line="480" w:lineRule="auto"/>
        <w:ind w:firstLine="480" w:firstLineChars="200"/>
        <w:rPr>
          <w:color w:val="auto"/>
          <w:sz w:val="24"/>
          <w:highlight w:val="none"/>
        </w:rPr>
      </w:pPr>
      <w:r>
        <w:rPr>
          <w:color w:val="auto"/>
          <w:sz w:val="24"/>
          <w:highlight w:val="none"/>
        </w:rPr>
        <w:t>本授权书声明：注册于</w:t>
      </w:r>
      <w:r>
        <w:rPr>
          <w:rFonts w:hint="eastAsia"/>
          <w:color w:val="auto"/>
          <w:sz w:val="24"/>
          <w:highlight w:val="none"/>
          <w:u w:val="single"/>
        </w:rPr>
        <w:t xml:space="preserve">            </w:t>
      </w:r>
      <w:r>
        <w:rPr>
          <w:color w:val="auto"/>
          <w:sz w:val="24"/>
          <w:highlight w:val="none"/>
        </w:rPr>
        <w:t>（地区的名称）的</w:t>
      </w:r>
      <w:r>
        <w:rPr>
          <w:rFonts w:hint="eastAsia"/>
          <w:color w:val="auto"/>
          <w:sz w:val="24"/>
          <w:highlight w:val="none"/>
          <w:u w:val="single"/>
        </w:rPr>
        <w:t xml:space="preserve">                 </w:t>
      </w:r>
      <w:r>
        <w:rPr>
          <w:color w:val="auto"/>
          <w:sz w:val="24"/>
          <w:highlight w:val="none"/>
        </w:rPr>
        <w:t>（单位名称）的在下面签字或盖章的</w:t>
      </w:r>
      <w:r>
        <w:rPr>
          <w:rFonts w:hint="eastAsia"/>
          <w:color w:val="auto"/>
          <w:sz w:val="24"/>
          <w:highlight w:val="none"/>
          <w:u w:val="single"/>
        </w:rPr>
        <w:t xml:space="preserve">          </w:t>
      </w:r>
      <w:r>
        <w:rPr>
          <w:color w:val="auto"/>
          <w:sz w:val="24"/>
          <w:highlight w:val="none"/>
        </w:rPr>
        <w:t>（法定代表人、职务）代表本公司授权</w:t>
      </w:r>
      <w:r>
        <w:rPr>
          <w:rFonts w:hint="eastAsia"/>
          <w:color w:val="auto"/>
          <w:sz w:val="24"/>
          <w:highlight w:val="none"/>
          <w:u w:val="single"/>
        </w:rPr>
        <w:t xml:space="preserve">       </w:t>
      </w:r>
      <w:r>
        <w:rPr>
          <w:color w:val="auto"/>
          <w:sz w:val="24"/>
          <w:highlight w:val="none"/>
        </w:rPr>
        <w:t>（单位名称）的在下面签字的</w:t>
      </w:r>
      <w:r>
        <w:rPr>
          <w:rFonts w:hint="eastAsia"/>
          <w:color w:val="auto"/>
          <w:sz w:val="24"/>
          <w:highlight w:val="none"/>
          <w:u w:val="single"/>
        </w:rPr>
        <w:t xml:space="preserve">          </w:t>
      </w:r>
      <w:r>
        <w:rPr>
          <w:color w:val="auto"/>
          <w:sz w:val="24"/>
          <w:highlight w:val="none"/>
        </w:rPr>
        <w:t>（被授权人的姓名、职务）为本公司的合法代理人，就</w:t>
      </w:r>
      <w:r>
        <w:rPr>
          <w:rFonts w:hint="eastAsia"/>
          <w:color w:val="auto"/>
          <w:sz w:val="24"/>
          <w:highlight w:val="none"/>
          <w:u w:val="single"/>
          <w:lang w:val="en-US" w:eastAsia="zh-CN"/>
        </w:rPr>
        <w:t xml:space="preserve">         </w:t>
      </w:r>
      <w:r>
        <w:rPr>
          <w:rFonts w:hint="eastAsia"/>
          <w:color w:val="auto"/>
          <w:sz w:val="24"/>
          <w:highlight w:val="none"/>
          <w:u w:val="single"/>
          <w:lang w:eastAsia="zh-CN"/>
        </w:rPr>
        <w:t>（采购人）</w:t>
      </w:r>
      <w:r>
        <w:rPr>
          <w:color w:val="auto"/>
          <w:sz w:val="24"/>
          <w:highlight w:val="none"/>
        </w:rPr>
        <w:t>的</w:t>
      </w:r>
      <w:r>
        <w:rPr>
          <w:rFonts w:hint="eastAsia"/>
          <w:color w:val="auto"/>
          <w:sz w:val="24"/>
          <w:highlight w:val="none"/>
          <w:u w:val="single"/>
          <w:lang w:val="en-US" w:eastAsia="zh-CN"/>
        </w:rPr>
        <w:t xml:space="preserve">                  </w:t>
      </w:r>
      <w:r>
        <w:rPr>
          <w:rFonts w:hint="eastAsia"/>
          <w:color w:val="auto"/>
          <w:sz w:val="24"/>
          <w:highlight w:val="none"/>
          <w:u w:val="single"/>
          <w:lang w:eastAsia="zh-CN"/>
        </w:rPr>
        <w:t>（项目名称）</w:t>
      </w:r>
      <w:r>
        <w:rPr>
          <w:color w:val="auto"/>
          <w:sz w:val="24"/>
          <w:highlight w:val="none"/>
        </w:rPr>
        <w:t>供应，以本公司名义处理一切与之有关的事务。</w:t>
      </w:r>
    </w:p>
    <w:p>
      <w:pPr>
        <w:spacing w:line="480" w:lineRule="auto"/>
        <w:rPr>
          <w:color w:val="auto"/>
          <w:sz w:val="24"/>
          <w:highlight w:val="none"/>
        </w:rPr>
      </w:pPr>
    </w:p>
    <w:p>
      <w:pPr>
        <w:spacing w:line="480" w:lineRule="auto"/>
        <w:ind w:firstLine="480" w:firstLineChars="200"/>
        <w:rPr>
          <w:color w:val="auto"/>
          <w:sz w:val="24"/>
          <w:highlight w:val="none"/>
        </w:rPr>
      </w:pPr>
      <w:r>
        <w:rPr>
          <w:color w:val="auto"/>
          <w:sz w:val="24"/>
          <w:highlight w:val="none"/>
        </w:rPr>
        <w:t>本授权书于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日签署生效，特此声明。</w:t>
      </w:r>
    </w:p>
    <w:p>
      <w:pPr>
        <w:spacing w:line="480" w:lineRule="auto"/>
        <w:rPr>
          <w:color w:val="auto"/>
          <w:sz w:val="24"/>
          <w:highlight w:val="none"/>
        </w:rPr>
      </w:pPr>
    </w:p>
    <w:p>
      <w:pPr>
        <w:spacing w:line="480" w:lineRule="auto"/>
        <w:rPr>
          <w:color w:val="auto"/>
          <w:sz w:val="24"/>
          <w:highlight w:val="none"/>
        </w:rPr>
      </w:pPr>
    </w:p>
    <w:p>
      <w:pPr>
        <w:spacing w:line="600" w:lineRule="auto"/>
        <w:rPr>
          <w:color w:val="auto"/>
          <w:sz w:val="24"/>
          <w:highlight w:val="none"/>
        </w:rPr>
      </w:pPr>
    </w:p>
    <w:p>
      <w:pPr>
        <w:spacing w:line="600" w:lineRule="auto"/>
        <w:ind w:firstLine="480" w:firstLineChars="200"/>
        <w:rPr>
          <w:color w:val="auto"/>
          <w:sz w:val="24"/>
          <w:highlight w:val="none"/>
        </w:rPr>
      </w:pPr>
      <w:r>
        <w:rPr>
          <w:color w:val="auto"/>
          <w:sz w:val="24"/>
          <w:highlight w:val="none"/>
        </w:rPr>
        <w:t xml:space="preserve">                               投标人名称：</w:t>
      </w:r>
      <w:r>
        <w:rPr>
          <w:color w:val="auto"/>
          <w:sz w:val="24"/>
          <w:highlight w:val="none"/>
          <w:u w:val="single"/>
        </w:rPr>
        <w:t xml:space="preserve">                        </w:t>
      </w:r>
      <w:r>
        <w:rPr>
          <w:color w:val="auto"/>
          <w:sz w:val="24"/>
          <w:highlight w:val="none"/>
        </w:rPr>
        <w:t>（公章）</w:t>
      </w:r>
    </w:p>
    <w:p>
      <w:pPr>
        <w:spacing w:line="600" w:lineRule="auto"/>
        <w:rPr>
          <w:color w:val="auto"/>
          <w:sz w:val="24"/>
          <w:highlight w:val="none"/>
          <w:u w:val="single"/>
        </w:rPr>
      </w:pPr>
      <w:r>
        <w:rPr>
          <w:color w:val="auto"/>
          <w:sz w:val="24"/>
          <w:highlight w:val="none"/>
        </w:rPr>
        <w:t xml:space="preserve">                                   法定代表人：</w:t>
      </w:r>
      <w:r>
        <w:rPr>
          <w:color w:val="auto"/>
          <w:sz w:val="24"/>
          <w:highlight w:val="none"/>
          <w:u w:val="single"/>
        </w:rPr>
        <w:t xml:space="preserve">                   </w:t>
      </w:r>
      <w:r>
        <w:rPr>
          <w:color w:val="auto"/>
          <w:sz w:val="24"/>
          <w:highlight w:val="none"/>
        </w:rPr>
        <w:t>（签字或盖章）</w:t>
      </w:r>
    </w:p>
    <w:p>
      <w:pPr>
        <w:spacing w:line="600" w:lineRule="auto"/>
        <w:rPr>
          <w:color w:val="auto"/>
          <w:sz w:val="24"/>
          <w:highlight w:val="none"/>
        </w:rPr>
      </w:pPr>
      <w:r>
        <w:rPr>
          <w:color w:val="auto"/>
          <w:sz w:val="24"/>
          <w:highlight w:val="none"/>
        </w:rPr>
        <w:t xml:space="preserve">                                   被授权人：</w:t>
      </w:r>
      <w:r>
        <w:rPr>
          <w:color w:val="auto"/>
          <w:sz w:val="24"/>
          <w:highlight w:val="none"/>
          <w:u w:val="single"/>
        </w:rPr>
        <w:t xml:space="preserve">                     </w:t>
      </w:r>
      <w:r>
        <w:rPr>
          <w:color w:val="auto"/>
          <w:sz w:val="24"/>
          <w:highlight w:val="none"/>
        </w:rPr>
        <w:t>（签字或盖章）</w:t>
      </w:r>
    </w:p>
    <w:p>
      <w:pPr>
        <w:spacing w:line="600" w:lineRule="auto"/>
        <w:rPr>
          <w:color w:val="auto"/>
          <w:sz w:val="24"/>
          <w:highlight w:val="none"/>
          <w:u w:val="single"/>
        </w:rPr>
      </w:pPr>
      <w:r>
        <w:rPr>
          <w:color w:val="auto"/>
          <w:sz w:val="24"/>
          <w:highlight w:val="none"/>
        </w:rPr>
        <w:t xml:space="preserve">                                   日期：     年    月    日</w:t>
      </w:r>
    </w:p>
    <w:p>
      <w:pPr>
        <w:rPr>
          <w:color w:val="auto"/>
          <w:sz w:val="24"/>
          <w:highlight w:val="none"/>
        </w:rPr>
      </w:pPr>
    </w:p>
    <w:p>
      <w:pPr>
        <w:rPr>
          <w:b/>
          <w:bCs/>
          <w:color w:val="auto"/>
          <w:sz w:val="36"/>
          <w:highlight w:val="none"/>
        </w:rPr>
      </w:pPr>
    </w:p>
    <w:p>
      <w:pPr>
        <w:rPr>
          <w:b/>
          <w:bCs/>
          <w:color w:val="auto"/>
          <w:sz w:val="36"/>
          <w:highlight w:val="none"/>
        </w:rPr>
      </w:pPr>
    </w:p>
    <w:p>
      <w:pPr>
        <w:spacing w:after="120"/>
        <w:rPr>
          <w:color w:val="auto"/>
          <w:sz w:val="28"/>
          <w:szCs w:val="21"/>
          <w:highlight w:val="none"/>
        </w:rPr>
      </w:pPr>
      <w:r>
        <w:rPr>
          <w:color w:val="auto"/>
          <w:sz w:val="24"/>
          <w:szCs w:val="21"/>
          <w:highlight w:val="none"/>
        </w:rPr>
        <w:t>注：法定代表人及授权代表的身份证复印件加盖公章附后。</w:t>
      </w:r>
    </w:p>
    <w:p>
      <w:pPr>
        <w:rPr>
          <w:color w:val="auto"/>
          <w:sz w:val="28"/>
          <w:highlight w:val="none"/>
        </w:rPr>
      </w:pPr>
    </w:p>
    <w:p>
      <w:pPr>
        <w:rPr>
          <w:color w:val="auto"/>
          <w:sz w:val="28"/>
          <w:highlight w:val="none"/>
        </w:rPr>
      </w:pPr>
      <w:r>
        <w:rPr>
          <w:color w:val="auto"/>
          <w:sz w:val="28"/>
          <w:highlight w:val="none"/>
        </w:rPr>
        <w:br w:type="page"/>
      </w:r>
    </w:p>
    <w:p>
      <w:pPr>
        <w:rPr>
          <w:rFonts w:hint="eastAsia"/>
          <w:color w:val="auto"/>
          <w:highlight w:val="none"/>
        </w:rPr>
      </w:pPr>
      <w:r>
        <w:rPr>
          <w:color w:val="auto"/>
          <w:sz w:val="28"/>
          <w:highlight w:val="none"/>
        </w:rPr>
        <w:t>附件</w:t>
      </w:r>
      <w:r>
        <w:rPr>
          <w:rFonts w:hint="eastAsia"/>
          <w:color w:val="auto"/>
          <w:sz w:val="28"/>
          <w:highlight w:val="none"/>
        </w:rPr>
        <w:t>二</w:t>
      </w:r>
    </w:p>
    <w:p>
      <w:pPr>
        <w:pStyle w:val="9"/>
        <w:rPr>
          <w:rFonts w:hint="eastAsia" w:ascii="Times New Roman" w:hAnsi="Times New Roman" w:cs="Times New Roman"/>
          <w:color w:val="auto"/>
          <w:sz w:val="32"/>
          <w:highlight w:val="none"/>
        </w:rPr>
      </w:pPr>
      <w:bookmarkStart w:id="42" w:name="_Toc29948"/>
      <w:r>
        <w:rPr>
          <w:rFonts w:hint="eastAsia" w:ascii="Times New Roman" w:hAnsi="Times New Roman" w:cs="Times New Roman"/>
          <w:color w:val="auto"/>
          <w:sz w:val="32"/>
          <w:highlight w:val="none"/>
        </w:rPr>
        <w:t>投标承诺函</w:t>
      </w:r>
      <w:bookmarkEnd w:id="42"/>
    </w:p>
    <w:p>
      <w:pPr>
        <w:spacing w:line="360" w:lineRule="auto"/>
        <w:textAlignment w:val="baseline"/>
        <w:rPr>
          <w:color w:val="auto"/>
          <w:sz w:val="24"/>
          <w:highlight w:val="none"/>
        </w:rPr>
      </w:pPr>
      <w:r>
        <w:rPr>
          <w:color w:val="auto"/>
          <w:sz w:val="24"/>
          <w:highlight w:val="none"/>
          <w:u w:val="single"/>
        </w:rPr>
        <w:t>致（采购人、采购代理机构）</w:t>
      </w:r>
      <w:r>
        <w:rPr>
          <w:color w:val="auto"/>
          <w:sz w:val="24"/>
          <w:highlight w:val="none"/>
        </w:rPr>
        <w:t>：</w:t>
      </w:r>
    </w:p>
    <w:p>
      <w:pPr>
        <w:wordWrap w:val="0"/>
        <w:spacing w:line="360" w:lineRule="auto"/>
        <w:ind w:firstLine="480" w:firstLineChars="200"/>
        <w:textAlignment w:val="baseline"/>
        <w:rPr>
          <w:color w:val="auto"/>
          <w:sz w:val="24"/>
          <w:highlight w:val="none"/>
        </w:rPr>
      </w:pP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（投标人名称）系中华人民共和国合法企业，愿意就贵方组织的</w:t>
      </w:r>
      <w:r>
        <w:rPr>
          <w:rFonts w:hint="eastAsia"/>
          <w:color w:val="auto"/>
          <w:sz w:val="24"/>
          <w:highlight w:val="none"/>
          <w:u w:val="single"/>
          <w:lang w:val="en-US" w:eastAsia="zh-CN"/>
        </w:rPr>
        <w:t xml:space="preserve">                </w:t>
      </w:r>
      <w:r>
        <w:rPr>
          <w:color w:val="auto"/>
          <w:sz w:val="24"/>
          <w:highlight w:val="none"/>
        </w:rPr>
        <w:t>（招标项目名称）（</w:t>
      </w:r>
      <w:r>
        <w:rPr>
          <w:rFonts w:hint="eastAsia"/>
          <w:color w:val="auto"/>
          <w:sz w:val="24"/>
          <w:highlight w:val="none"/>
          <w:lang w:eastAsia="zh-CN"/>
        </w:rPr>
        <w:t>项目</w:t>
      </w:r>
      <w:r>
        <w:rPr>
          <w:color w:val="auto"/>
          <w:sz w:val="24"/>
          <w:highlight w:val="none"/>
        </w:rPr>
        <w:t>编号：</w:t>
      </w:r>
      <w:r>
        <w:rPr>
          <w:rFonts w:hint="eastAsia"/>
          <w:color w:val="auto"/>
          <w:sz w:val="24"/>
          <w:highlight w:val="none"/>
          <w:u w:val="single"/>
          <w:lang w:val="en-US" w:eastAsia="zh-CN"/>
        </w:rPr>
        <w:t xml:space="preserve">         </w:t>
      </w:r>
      <w:r>
        <w:rPr>
          <w:color w:val="auto"/>
          <w:sz w:val="24"/>
          <w:highlight w:val="none"/>
        </w:rPr>
        <w:t>）项目进行投标，并就本次投标郑重承诺如下：</w:t>
      </w:r>
    </w:p>
    <w:p>
      <w:pPr>
        <w:spacing w:line="360" w:lineRule="auto"/>
        <w:ind w:firstLine="480" w:firstLineChars="200"/>
        <w:textAlignment w:val="baseline"/>
        <w:rPr>
          <w:color w:val="auto"/>
          <w:sz w:val="24"/>
          <w:highlight w:val="none"/>
        </w:rPr>
      </w:pPr>
      <w:r>
        <w:rPr>
          <w:color w:val="auto"/>
          <w:sz w:val="24"/>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textAlignment w:val="baseline"/>
        <w:rPr>
          <w:color w:val="auto"/>
          <w:sz w:val="24"/>
          <w:highlight w:val="none"/>
        </w:rPr>
      </w:pPr>
      <w:r>
        <w:rPr>
          <w:color w:val="auto"/>
          <w:sz w:val="24"/>
          <w:highlight w:val="none"/>
        </w:rPr>
        <w:t>（1）在投标有效期60历天内撤回投标的；</w:t>
      </w:r>
    </w:p>
    <w:p>
      <w:pPr>
        <w:spacing w:line="360" w:lineRule="auto"/>
        <w:ind w:firstLine="480" w:firstLineChars="200"/>
        <w:textAlignment w:val="baseline"/>
        <w:rPr>
          <w:color w:val="auto"/>
          <w:sz w:val="24"/>
          <w:highlight w:val="none"/>
        </w:rPr>
      </w:pPr>
      <w:r>
        <w:rPr>
          <w:color w:val="auto"/>
          <w:sz w:val="24"/>
          <w:highlight w:val="none"/>
        </w:rPr>
        <w:t>（2）未按规定缴付采购代理服务费的；</w:t>
      </w:r>
    </w:p>
    <w:p>
      <w:pPr>
        <w:spacing w:line="360" w:lineRule="auto"/>
        <w:ind w:firstLine="480" w:firstLineChars="200"/>
        <w:textAlignment w:val="baseline"/>
        <w:rPr>
          <w:color w:val="auto"/>
          <w:sz w:val="24"/>
          <w:highlight w:val="none"/>
        </w:rPr>
      </w:pPr>
      <w:r>
        <w:rPr>
          <w:color w:val="auto"/>
          <w:sz w:val="24"/>
          <w:highlight w:val="none"/>
        </w:rPr>
        <w:t>（3）中标后拒签合同或拖延签订合同超过规定时间的；</w:t>
      </w:r>
    </w:p>
    <w:p>
      <w:pPr>
        <w:spacing w:line="360" w:lineRule="auto"/>
        <w:ind w:firstLine="480" w:firstLineChars="200"/>
        <w:textAlignment w:val="baseline"/>
        <w:rPr>
          <w:color w:val="auto"/>
          <w:sz w:val="24"/>
          <w:highlight w:val="none"/>
        </w:rPr>
      </w:pPr>
      <w:r>
        <w:rPr>
          <w:color w:val="auto"/>
          <w:sz w:val="24"/>
          <w:highlight w:val="none"/>
        </w:rPr>
        <w:t>（4）在投标过程中弄虚作假，提供虚假材料的；</w:t>
      </w:r>
    </w:p>
    <w:p>
      <w:pPr>
        <w:spacing w:line="360" w:lineRule="auto"/>
        <w:ind w:firstLine="480" w:firstLineChars="200"/>
        <w:textAlignment w:val="baseline"/>
        <w:rPr>
          <w:color w:val="auto"/>
          <w:sz w:val="24"/>
          <w:highlight w:val="none"/>
        </w:rPr>
      </w:pPr>
      <w:r>
        <w:rPr>
          <w:color w:val="auto"/>
          <w:sz w:val="24"/>
          <w:highlight w:val="none"/>
        </w:rPr>
        <w:t>（5）出现串通投标的；</w:t>
      </w:r>
    </w:p>
    <w:p>
      <w:pPr>
        <w:spacing w:line="360" w:lineRule="auto"/>
        <w:ind w:firstLine="480" w:firstLineChars="200"/>
        <w:textAlignment w:val="baseline"/>
        <w:rPr>
          <w:color w:val="auto"/>
          <w:sz w:val="24"/>
          <w:highlight w:val="none"/>
        </w:rPr>
      </w:pPr>
      <w:r>
        <w:rPr>
          <w:color w:val="auto"/>
          <w:sz w:val="24"/>
          <w:highlight w:val="none"/>
        </w:rPr>
        <w:t>（6）严重扰乱招投标程序的；</w:t>
      </w:r>
    </w:p>
    <w:p>
      <w:pPr>
        <w:spacing w:line="360" w:lineRule="auto"/>
        <w:ind w:firstLine="480" w:firstLineChars="200"/>
        <w:textAlignment w:val="baseline"/>
        <w:rPr>
          <w:color w:val="auto"/>
          <w:sz w:val="24"/>
          <w:highlight w:val="none"/>
        </w:rPr>
      </w:pPr>
      <w:r>
        <w:rPr>
          <w:color w:val="auto"/>
          <w:sz w:val="24"/>
          <w:highlight w:val="none"/>
        </w:rPr>
        <w:t>（7）其他违法违规导致被废除投标或中标资格的；</w:t>
      </w:r>
    </w:p>
    <w:p>
      <w:pPr>
        <w:rPr>
          <w:color w:val="auto"/>
          <w:highlight w:val="none"/>
        </w:rPr>
      </w:pPr>
    </w:p>
    <w:p>
      <w:pPr>
        <w:spacing w:line="360" w:lineRule="auto"/>
        <w:ind w:firstLine="4800" w:firstLineChars="2000"/>
        <w:jc w:val="left"/>
        <w:textAlignment w:val="baseline"/>
        <w:rPr>
          <w:color w:val="auto"/>
          <w:sz w:val="24"/>
          <w:highlight w:val="none"/>
        </w:rPr>
      </w:pPr>
      <w:r>
        <w:rPr>
          <w:color w:val="auto"/>
          <w:sz w:val="24"/>
          <w:highlight w:val="none"/>
        </w:rPr>
        <w:t>投标人法人代表签名：</w:t>
      </w:r>
    </w:p>
    <w:p>
      <w:pPr>
        <w:spacing w:line="360" w:lineRule="auto"/>
        <w:ind w:firstLine="4800" w:firstLineChars="2000"/>
        <w:jc w:val="left"/>
        <w:textAlignment w:val="baseline"/>
        <w:rPr>
          <w:color w:val="auto"/>
          <w:sz w:val="24"/>
          <w:highlight w:val="none"/>
        </w:rPr>
      </w:pPr>
      <w:r>
        <w:rPr>
          <w:color w:val="auto"/>
          <w:sz w:val="24"/>
          <w:highlight w:val="none"/>
        </w:rPr>
        <w:t>投标人公章：</w:t>
      </w:r>
    </w:p>
    <w:p>
      <w:pPr>
        <w:spacing w:line="360" w:lineRule="auto"/>
        <w:ind w:firstLine="4800" w:firstLineChars="2000"/>
        <w:jc w:val="left"/>
        <w:textAlignment w:val="baseline"/>
        <w:rPr>
          <w:color w:val="auto"/>
          <w:sz w:val="24"/>
          <w:highlight w:val="none"/>
        </w:rPr>
      </w:pPr>
      <w:r>
        <w:rPr>
          <w:color w:val="auto"/>
          <w:sz w:val="24"/>
          <w:highlight w:val="none"/>
        </w:rPr>
        <w:t>日</w:t>
      </w:r>
      <w:r>
        <w:rPr>
          <w:rFonts w:hint="eastAsia"/>
          <w:color w:val="auto"/>
          <w:sz w:val="24"/>
          <w:highlight w:val="none"/>
        </w:rPr>
        <w:t xml:space="preserve">  </w:t>
      </w:r>
      <w:r>
        <w:rPr>
          <w:color w:val="auto"/>
          <w:sz w:val="24"/>
          <w:highlight w:val="none"/>
        </w:rPr>
        <w:t>期：</w:t>
      </w:r>
    </w:p>
    <w:p>
      <w:pPr>
        <w:spacing w:line="360" w:lineRule="auto"/>
        <w:textAlignment w:val="baseline"/>
        <w:rPr>
          <w:color w:val="auto"/>
          <w:sz w:val="24"/>
          <w:highlight w:val="none"/>
        </w:rPr>
      </w:pPr>
      <w:r>
        <w:rPr>
          <w:color w:val="auto"/>
          <w:sz w:val="24"/>
          <w:highlight w:val="none"/>
        </w:rPr>
        <w:t>备注：</w:t>
      </w:r>
    </w:p>
    <w:p>
      <w:pPr>
        <w:spacing w:line="360" w:lineRule="auto"/>
        <w:ind w:firstLine="240" w:firstLineChars="100"/>
        <w:textAlignment w:val="baseline"/>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本投标承诺函作为资格标资料之一，未提供的视为无法保证投标响应和履约服务能力，资格审查不予通过。</w:t>
      </w:r>
    </w:p>
    <w:p>
      <w:pPr>
        <w:spacing w:line="360" w:lineRule="auto"/>
        <w:ind w:firstLine="240" w:firstLineChars="100"/>
        <w:textAlignment w:val="baseline"/>
        <w:rPr>
          <w:color w:val="auto"/>
          <w:sz w:val="28"/>
          <w:highlight w:val="none"/>
        </w:rPr>
      </w:pPr>
      <w:r>
        <w:rPr>
          <w:color w:val="auto"/>
          <w:sz w:val="24"/>
          <w:highlight w:val="none"/>
        </w:rPr>
        <w:t>2</w:t>
      </w:r>
      <w:r>
        <w:rPr>
          <w:rFonts w:hint="eastAsia"/>
          <w:color w:val="auto"/>
          <w:sz w:val="24"/>
          <w:highlight w:val="none"/>
        </w:rPr>
        <w:t>、</w:t>
      </w:r>
      <w:r>
        <w:rPr>
          <w:color w:val="auto"/>
          <w:sz w:val="24"/>
          <w:highlight w:val="none"/>
        </w:rPr>
        <w:t>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color w:val="auto"/>
          <w:sz w:val="28"/>
          <w:highlight w:val="none"/>
        </w:rPr>
      </w:pPr>
    </w:p>
    <w:p>
      <w:pPr>
        <w:rPr>
          <w:rFonts w:hint="eastAsia"/>
          <w:color w:val="auto"/>
          <w:sz w:val="28"/>
          <w:highlight w:val="none"/>
        </w:rPr>
      </w:pPr>
      <w:r>
        <w:rPr>
          <w:color w:val="auto"/>
          <w:sz w:val="28"/>
          <w:highlight w:val="none"/>
        </w:rPr>
        <w:t>附件</w:t>
      </w:r>
      <w:r>
        <w:rPr>
          <w:rFonts w:hint="eastAsia"/>
          <w:color w:val="auto"/>
          <w:sz w:val="28"/>
          <w:highlight w:val="none"/>
        </w:rPr>
        <w:t>三</w:t>
      </w:r>
    </w:p>
    <w:p>
      <w:pPr>
        <w:pStyle w:val="9"/>
        <w:rPr>
          <w:rFonts w:ascii="Times New Roman" w:hAnsi="Times New Roman" w:cs="Times New Roman"/>
          <w:color w:val="auto"/>
          <w:sz w:val="32"/>
          <w:highlight w:val="none"/>
        </w:rPr>
      </w:pPr>
      <w:bookmarkStart w:id="43" w:name="_Toc23869"/>
      <w:bookmarkStart w:id="44" w:name="_Toc28735"/>
      <w:bookmarkStart w:id="45" w:name="_Toc5897"/>
      <w:r>
        <w:rPr>
          <w:rFonts w:ascii="Times New Roman" w:hAnsi="Times New Roman" w:cs="Times New Roman"/>
          <w:color w:val="auto"/>
          <w:sz w:val="32"/>
          <w:highlight w:val="none"/>
        </w:rPr>
        <w:t>投标声明书</w:t>
      </w:r>
      <w:bookmarkEnd w:id="43"/>
      <w:bookmarkEnd w:id="44"/>
      <w:bookmarkEnd w:id="45"/>
    </w:p>
    <w:p>
      <w:pPr>
        <w:spacing w:line="480" w:lineRule="auto"/>
        <w:jc w:val="left"/>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u w:val="single"/>
        </w:rPr>
        <w:t>（采购人）</w:t>
      </w:r>
      <w:r>
        <w:rPr>
          <w:rFonts w:ascii="Times New Roman" w:hAnsi="Times New Roman" w:eastAsia="宋体" w:cs="Times New Roman"/>
          <w:color w:val="auto"/>
          <w:highlight w:val="none"/>
          <w:u w:val="none"/>
        </w:rPr>
        <w:t>：</w:t>
      </w:r>
    </w:p>
    <w:p>
      <w:pPr>
        <w:spacing w:line="480" w:lineRule="auto"/>
        <w:ind w:firstLine="420" w:firstLineChars="200"/>
        <w:jc w:val="left"/>
        <w:rPr>
          <w:color w:val="auto"/>
          <w:sz w:val="28"/>
          <w:highlight w:val="none"/>
        </w:rPr>
      </w:pPr>
      <w:r>
        <w:rPr>
          <w:color w:val="auto"/>
          <w:highlight w:val="none"/>
          <w:u w:val="single"/>
        </w:rPr>
        <w:t xml:space="preserve">                                            </w:t>
      </w:r>
      <w:r>
        <w:rPr>
          <w:color w:val="auto"/>
          <w:highlight w:val="none"/>
        </w:rPr>
        <w:t>（投标人名称）系中华人民共和国合法企业，经营地址</w:t>
      </w:r>
      <w:r>
        <w:rPr>
          <w:color w:val="auto"/>
          <w:highlight w:val="none"/>
          <w:u w:val="single"/>
        </w:rPr>
        <w:t xml:space="preserve">                                           </w:t>
      </w:r>
      <w:r>
        <w:rPr>
          <w:color w:val="auto"/>
          <w:highlight w:val="none"/>
        </w:rPr>
        <w:t>。</w:t>
      </w:r>
    </w:p>
    <w:p>
      <w:pPr>
        <w:spacing w:line="480" w:lineRule="auto"/>
        <w:ind w:firstLine="630" w:firstLineChars="300"/>
        <w:jc w:val="left"/>
        <w:rPr>
          <w:color w:val="auto"/>
          <w:w w:val="97"/>
          <w:highlight w:val="none"/>
          <w:u w:val="single"/>
        </w:rPr>
      </w:pPr>
      <w:r>
        <w:rPr>
          <w:color w:val="auto"/>
          <w:highlight w:val="none"/>
        </w:rPr>
        <w:t>我</w:t>
      </w:r>
      <w:r>
        <w:rPr>
          <w:color w:val="auto"/>
          <w:highlight w:val="none"/>
          <w:u w:val="single"/>
        </w:rPr>
        <w:t xml:space="preserve">                </w:t>
      </w:r>
      <w:r>
        <w:rPr>
          <w:color w:val="auto"/>
          <w:highlight w:val="none"/>
        </w:rPr>
        <w:t>（姓名）系</w:t>
      </w:r>
      <w:r>
        <w:rPr>
          <w:color w:val="auto"/>
          <w:highlight w:val="none"/>
          <w:u w:val="single"/>
        </w:rPr>
        <w:t xml:space="preserve">                                 </w:t>
      </w:r>
      <w:r>
        <w:rPr>
          <w:color w:val="auto"/>
          <w:highlight w:val="none"/>
        </w:rPr>
        <w:t>（投标人名称）的法定代表人，我方愿意参加贵方组织的</w:t>
      </w:r>
      <w:r>
        <w:rPr>
          <w:rFonts w:hint="eastAsia"/>
          <w:color w:val="auto"/>
          <w:highlight w:val="none"/>
          <w:u w:val="single"/>
          <w:lang w:val="en-US" w:eastAsia="zh-CN"/>
        </w:rPr>
        <w:t xml:space="preserve">                                     </w:t>
      </w:r>
      <w:r>
        <w:rPr>
          <w:color w:val="auto"/>
          <w:highlight w:val="none"/>
        </w:rPr>
        <w:t>（项目名称）的投标，为便于贵方公正、择优地确定中标人及其投标产品和服务，我方就本次投标有关事项郑重声明如下：</w:t>
      </w:r>
    </w:p>
    <w:p>
      <w:pPr>
        <w:spacing w:line="480" w:lineRule="auto"/>
        <w:ind w:firstLine="210" w:firstLineChars="100"/>
        <w:jc w:val="left"/>
        <w:rPr>
          <w:color w:val="auto"/>
          <w:highlight w:val="none"/>
        </w:rPr>
      </w:pPr>
      <w:r>
        <w:rPr>
          <w:color w:val="auto"/>
          <w:highlight w:val="none"/>
        </w:rPr>
        <w:t>1</w:t>
      </w:r>
      <w:r>
        <w:rPr>
          <w:rFonts w:hint="eastAsia"/>
          <w:color w:val="auto"/>
          <w:highlight w:val="none"/>
        </w:rPr>
        <w:t>、</w:t>
      </w:r>
      <w:r>
        <w:rPr>
          <w:color w:val="auto"/>
          <w:highlight w:val="none"/>
        </w:rPr>
        <w:t>我方向贵方提交的所有投标文件、资料都是准确的和真实的。</w:t>
      </w:r>
    </w:p>
    <w:p>
      <w:pPr>
        <w:spacing w:line="480" w:lineRule="auto"/>
        <w:ind w:firstLine="210" w:firstLineChars="100"/>
        <w:jc w:val="left"/>
        <w:rPr>
          <w:color w:val="auto"/>
          <w:highlight w:val="none"/>
        </w:rPr>
      </w:pPr>
      <w:r>
        <w:rPr>
          <w:color w:val="auto"/>
          <w:highlight w:val="none"/>
        </w:rPr>
        <w:t>2</w:t>
      </w:r>
      <w:r>
        <w:rPr>
          <w:rFonts w:hint="eastAsia"/>
          <w:color w:val="auto"/>
          <w:highlight w:val="none"/>
        </w:rPr>
        <w:t>、</w:t>
      </w:r>
      <w:r>
        <w:rPr>
          <w:color w:val="auto"/>
          <w:highlight w:val="none"/>
        </w:rPr>
        <w:t>我方不是采购人的附属机构；在获知本项目采购信息后，与采购人聘请的为此项目提供咨询服务的公司及其附属机构没有任何联系。</w:t>
      </w:r>
    </w:p>
    <w:p>
      <w:pPr>
        <w:spacing w:line="480" w:lineRule="auto"/>
        <w:ind w:firstLine="210" w:firstLineChars="100"/>
        <w:jc w:val="left"/>
        <w:rPr>
          <w:color w:val="auto"/>
          <w:highlight w:val="none"/>
        </w:rPr>
      </w:pPr>
      <w:r>
        <w:rPr>
          <w:color w:val="auto"/>
          <w:highlight w:val="none"/>
        </w:rPr>
        <w:t>3</w:t>
      </w:r>
      <w:r>
        <w:rPr>
          <w:rFonts w:hint="eastAsia"/>
          <w:color w:val="auto"/>
          <w:highlight w:val="none"/>
        </w:rPr>
        <w:t>、</w:t>
      </w:r>
      <w:r>
        <w:rPr>
          <w:color w:val="auto"/>
          <w:highlight w:val="none"/>
        </w:rPr>
        <w:t>我方及由本人担任法定代表人的其他机构最近三年内被通报或者被处罚的违法行为有：</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w:t>
      </w:r>
    </w:p>
    <w:p>
      <w:pPr>
        <w:spacing w:line="480" w:lineRule="auto"/>
        <w:ind w:firstLine="210" w:firstLineChars="100"/>
        <w:jc w:val="left"/>
        <w:rPr>
          <w:color w:val="auto"/>
          <w:highlight w:val="none"/>
        </w:rPr>
      </w:pPr>
      <w:r>
        <w:rPr>
          <w:color w:val="auto"/>
          <w:highlight w:val="none"/>
        </w:rPr>
        <w:t>4</w:t>
      </w:r>
      <w:r>
        <w:rPr>
          <w:rFonts w:hint="eastAsia"/>
          <w:color w:val="auto"/>
          <w:highlight w:val="none"/>
        </w:rPr>
        <w:t>、</w:t>
      </w:r>
      <w:r>
        <w:rPr>
          <w:color w:val="auto"/>
          <w:highlight w:val="none"/>
        </w:rPr>
        <w:t>以上事项如有虚假或隐瞒，我方愿意承担一切后果，并不再寻求任何旨在减轻或免除法律责任的辩解。</w:t>
      </w:r>
    </w:p>
    <w:p>
      <w:pPr>
        <w:spacing w:line="480" w:lineRule="auto"/>
        <w:jc w:val="left"/>
        <w:rPr>
          <w:color w:val="auto"/>
          <w:highlight w:val="none"/>
        </w:rPr>
      </w:pPr>
    </w:p>
    <w:p>
      <w:pPr>
        <w:spacing w:line="480" w:lineRule="auto"/>
        <w:ind w:firstLine="3780" w:firstLineChars="1800"/>
        <w:jc w:val="lef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（公章）</w:t>
      </w:r>
    </w:p>
    <w:p>
      <w:pPr>
        <w:spacing w:line="480" w:lineRule="auto"/>
        <w:ind w:firstLine="3780" w:firstLineChars="1800"/>
        <w:jc w:val="left"/>
        <w:rPr>
          <w:color w:val="auto"/>
          <w:szCs w:val="21"/>
          <w:highlight w:val="none"/>
        </w:rPr>
      </w:pPr>
      <w:r>
        <w:rPr>
          <w:color w:val="auto"/>
          <w:szCs w:val="21"/>
          <w:highlight w:val="none"/>
        </w:rPr>
        <w:t>法定代表人或授权代表：</w:t>
      </w:r>
      <w:r>
        <w:rPr>
          <w:color w:val="auto"/>
          <w:szCs w:val="21"/>
          <w:highlight w:val="none"/>
          <w:u w:val="single"/>
        </w:rPr>
        <w:t xml:space="preserve">               </w:t>
      </w:r>
      <w:r>
        <w:rPr>
          <w:color w:val="auto"/>
          <w:szCs w:val="21"/>
          <w:highlight w:val="none"/>
        </w:rPr>
        <w:t>（签字或盖章）</w:t>
      </w:r>
    </w:p>
    <w:p>
      <w:pPr>
        <w:spacing w:line="480" w:lineRule="auto"/>
        <w:ind w:firstLine="5670" w:firstLineChars="2700"/>
        <w:jc w:val="left"/>
        <w:rPr>
          <w:color w:val="auto"/>
          <w:highlight w:val="none"/>
        </w:rPr>
      </w:pPr>
      <w:r>
        <w:rPr>
          <w:color w:val="auto"/>
          <w:szCs w:val="21"/>
          <w:highlight w:val="none"/>
        </w:rPr>
        <w:t>年    月    日</w:t>
      </w:r>
    </w:p>
    <w:p>
      <w:pPr>
        <w:spacing w:line="360" w:lineRule="auto"/>
        <w:rPr>
          <w:color w:val="auto"/>
          <w:sz w:val="24"/>
          <w:highlight w:val="none"/>
        </w:rPr>
      </w:pPr>
    </w:p>
    <w:p>
      <w:pPr>
        <w:rPr>
          <w:color w:val="auto"/>
          <w:sz w:val="24"/>
          <w:highlight w:val="none"/>
        </w:rPr>
      </w:pPr>
    </w:p>
    <w:p>
      <w:pPr>
        <w:bidi w:val="0"/>
        <w:rPr>
          <w:color w:val="auto"/>
          <w:highlight w:val="none"/>
        </w:rPr>
      </w:pPr>
    </w:p>
    <w:p>
      <w:pPr>
        <w:rPr>
          <w:rFonts w:hint="eastAsia"/>
          <w:color w:val="auto"/>
          <w:sz w:val="28"/>
          <w:szCs w:val="28"/>
          <w:highlight w:val="none"/>
        </w:rPr>
      </w:pPr>
      <w:r>
        <w:rPr>
          <w:color w:val="auto"/>
          <w:sz w:val="28"/>
          <w:szCs w:val="28"/>
          <w:highlight w:val="none"/>
        </w:rPr>
        <w:t>附件</w:t>
      </w:r>
      <w:r>
        <w:rPr>
          <w:rFonts w:hint="eastAsia"/>
          <w:color w:val="auto"/>
          <w:sz w:val="28"/>
          <w:szCs w:val="28"/>
          <w:highlight w:val="none"/>
        </w:rPr>
        <w:t>四</w:t>
      </w:r>
    </w:p>
    <w:p>
      <w:pPr>
        <w:rPr>
          <w:color w:val="auto"/>
          <w:highlight w:val="none"/>
        </w:rPr>
      </w:pPr>
    </w:p>
    <w:p>
      <w:pPr>
        <w:pStyle w:val="9"/>
        <w:rPr>
          <w:rFonts w:ascii="Times New Roman" w:hAnsi="Times New Roman" w:cs="Times New Roman"/>
          <w:color w:val="auto"/>
          <w:sz w:val="24"/>
          <w:highlight w:val="none"/>
        </w:rPr>
      </w:pPr>
      <w:bookmarkStart w:id="46" w:name="_Toc5752"/>
      <w:bookmarkStart w:id="47" w:name="_Toc14368"/>
      <w:bookmarkStart w:id="48" w:name="_Toc22346"/>
      <w:bookmarkStart w:id="49" w:name="_Toc13220"/>
      <w:bookmarkStart w:id="50" w:name="_Toc12151"/>
      <w:r>
        <w:rPr>
          <w:rFonts w:ascii="Times New Roman" w:hAnsi="Times New Roman" w:cs="Times New Roman"/>
          <w:color w:val="auto"/>
          <w:sz w:val="32"/>
          <w:highlight w:val="none"/>
        </w:rPr>
        <w:t>关于资格的声明函</w:t>
      </w:r>
      <w:bookmarkEnd w:id="46"/>
      <w:bookmarkEnd w:id="47"/>
      <w:bookmarkEnd w:id="48"/>
      <w:bookmarkEnd w:id="49"/>
      <w:bookmarkEnd w:id="50"/>
    </w:p>
    <w:p>
      <w:pPr>
        <w:spacing w:line="480" w:lineRule="auto"/>
        <w:rPr>
          <w:color w:val="auto"/>
          <w:sz w:val="24"/>
          <w:highlight w:val="none"/>
        </w:rPr>
      </w:pPr>
      <w:r>
        <w:rPr>
          <w:rFonts w:ascii="Times New Roman" w:hAnsi="Times New Roman" w:eastAsia="宋体" w:cs="Times New Roman"/>
          <w:color w:val="auto"/>
          <w:sz w:val="24"/>
          <w:highlight w:val="none"/>
          <w:u w:val="single"/>
        </w:rPr>
        <w:t>（采购人）</w:t>
      </w:r>
      <w:r>
        <w:rPr>
          <w:color w:val="auto"/>
          <w:sz w:val="24"/>
          <w:highlight w:val="none"/>
        </w:rPr>
        <w:t>：</w:t>
      </w:r>
    </w:p>
    <w:p>
      <w:pPr>
        <w:spacing w:line="480" w:lineRule="auto"/>
        <w:ind w:firstLine="480" w:firstLineChars="200"/>
        <w:rPr>
          <w:color w:val="auto"/>
          <w:sz w:val="24"/>
          <w:highlight w:val="none"/>
        </w:rPr>
      </w:pPr>
      <w:r>
        <w:rPr>
          <w:color w:val="auto"/>
          <w:sz w:val="24"/>
          <w:highlight w:val="none"/>
        </w:rPr>
        <w:t>关于贵方</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日的</w:t>
      </w:r>
      <w:r>
        <w:rPr>
          <w:rFonts w:hint="eastAsia"/>
          <w:color w:val="auto"/>
          <w:highlight w:val="none"/>
          <w:u w:val="single"/>
          <w:lang w:val="en-US" w:eastAsia="zh-CN"/>
        </w:rPr>
        <w:t xml:space="preserve">                                     </w:t>
      </w:r>
      <w:r>
        <w:rPr>
          <w:rFonts w:ascii="Times New Roman" w:hAnsi="Times New Roman" w:eastAsia="宋体" w:cs="Times New Roman"/>
          <w:color w:val="auto"/>
          <w:sz w:val="24"/>
          <w:highlight w:val="none"/>
        </w:rPr>
        <w:t>（项目名称）</w:t>
      </w:r>
      <w:r>
        <w:rPr>
          <w:color w:val="auto"/>
          <w:sz w:val="24"/>
          <w:highlight w:val="none"/>
        </w:rPr>
        <w:t>的采购公告，本签字人愿意参加投标，提供《招标需求》及《商务要求》中规定的服务内容，并证明提交的下列文件和说明是正确和真实的。</w:t>
      </w:r>
    </w:p>
    <w:p>
      <w:pPr>
        <w:spacing w:line="480" w:lineRule="auto"/>
        <w:ind w:firstLine="480" w:firstLineChars="200"/>
        <w:rPr>
          <w:color w:val="auto"/>
          <w:sz w:val="24"/>
          <w:highlight w:val="none"/>
        </w:rPr>
      </w:pPr>
      <w:r>
        <w:rPr>
          <w:color w:val="auto"/>
          <w:sz w:val="24"/>
          <w:highlight w:val="none"/>
        </w:rPr>
        <w:t>1、由</w:t>
      </w:r>
      <w:r>
        <w:rPr>
          <w:color w:val="auto"/>
          <w:sz w:val="24"/>
          <w:highlight w:val="none"/>
          <w:u w:val="single"/>
        </w:rPr>
        <w:t xml:space="preserve">                         </w:t>
      </w:r>
      <w:r>
        <w:rPr>
          <w:color w:val="auto"/>
          <w:sz w:val="24"/>
          <w:highlight w:val="none"/>
        </w:rPr>
        <w:t>签发的我方工商营业执照副本（复印件加盖公章后附该声明函后）。</w:t>
      </w:r>
    </w:p>
    <w:p>
      <w:pPr>
        <w:spacing w:line="480" w:lineRule="auto"/>
        <w:ind w:firstLine="480" w:firstLineChars="200"/>
        <w:rPr>
          <w:color w:val="auto"/>
          <w:sz w:val="24"/>
          <w:highlight w:val="none"/>
        </w:rPr>
      </w:pPr>
      <w:r>
        <w:rPr>
          <w:color w:val="auto"/>
          <w:sz w:val="24"/>
          <w:highlight w:val="none"/>
        </w:rPr>
        <w:t>2、由</w:t>
      </w:r>
      <w:r>
        <w:rPr>
          <w:color w:val="auto"/>
          <w:sz w:val="24"/>
          <w:highlight w:val="none"/>
          <w:u w:val="single"/>
        </w:rPr>
        <w:t xml:space="preserve">                         </w:t>
      </w:r>
      <w:r>
        <w:rPr>
          <w:color w:val="auto"/>
          <w:sz w:val="24"/>
          <w:highlight w:val="none"/>
        </w:rPr>
        <w:t>（投标人名称）签发的投标人情况介绍。</w:t>
      </w:r>
    </w:p>
    <w:p>
      <w:pPr>
        <w:spacing w:line="480" w:lineRule="auto"/>
        <w:ind w:firstLine="480" w:firstLineChars="200"/>
        <w:jc w:val="left"/>
        <w:rPr>
          <w:color w:val="auto"/>
          <w:sz w:val="24"/>
          <w:highlight w:val="none"/>
        </w:rPr>
      </w:pPr>
      <w:r>
        <w:rPr>
          <w:color w:val="auto"/>
          <w:sz w:val="24"/>
          <w:highlight w:val="none"/>
        </w:rPr>
        <w:t>3、其他资格、资质文件：</w:t>
      </w:r>
      <w:r>
        <w:rPr>
          <w:color w:val="auto"/>
          <w:sz w:val="24"/>
          <w:highlight w:val="none"/>
          <w:u w:val="single"/>
        </w:rPr>
        <w:t xml:space="preserve">                </w:t>
      </w:r>
      <w:r>
        <w:rPr>
          <w:color w:val="auto"/>
          <w:sz w:val="24"/>
          <w:highlight w:val="none"/>
        </w:rPr>
        <w:t>、</w:t>
      </w:r>
      <w:r>
        <w:rPr>
          <w:color w:val="auto"/>
          <w:sz w:val="24"/>
          <w:highlight w:val="none"/>
          <w:u w:val="single"/>
        </w:rPr>
        <w:t xml:space="preserve">                 </w:t>
      </w:r>
      <w:r>
        <w:rPr>
          <w:color w:val="auto"/>
          <w:sz w:val="24"/>
          <w:highlight w:val="none"/>
        </w:rPr>
        <w:t>、</w:t>
      </w:r>
      <w:r>
        <w:rPr>
          <w:color w:val="auto"/>
          <w:sz w:val="24"/>
          <w:highlight w:val="none"/>
          <w:u w:val="single"/>
        </w:rPr>
        <w:t xml:space="preserve">                 </w:t>
      </w:r>
      <w:r>
        <w:rPr>
          <w:color w:val="auto"/>
          <w:sz w:val="24"/>
          <w:highlight w:val="none"/>
        </w:rPr>
        <w:t>、</w:t>
      </w:r>
    </w:p>
    <w:p>
      <w:pPr>
        <w:spacing w:line="480" w:lineRule="auto"/>
        <w:jc w:val="left"/>
        <w:rPr>
          <w:color w:val="auto"/>
          <w:sz w:val="24"/>
          <w:highlight w:val="none"/>
        </w:rPr>
      </w:pPr>
      <w:r>
        <w:rPr>
          <w:color w:val="auto"/>
          <w:sz w:val="24"/>
          <w:highlight w:val="none"/>
          <w:u w:val="single"/>
        </w:rPr>
        <w:t xml:space="preserve">                 </w:t>
      </w:r>
      <w:r>
        <w:rPr>
          <w:color w:val="auto"/>
          <w:sz w:val="24"/>
          <w:highlight w:val="none"/>
        </w:rPr>
        <w:t>、</w:t>
      </w:r>
      <w:r>
        <w:rPr>
          <w:color w:val="auto"/>
          <w:sz w:val="24"/>
          <w:highlight w:val="none"/>
          <w:u w:val="single"/>
        </w:rPr>
        <w:t xml:space="preserve">                    </w:t>
      </w:r>
      <w:r>
        <w:rPr>
          <w:color w:val="auto"/>
          <w:sz w:val="24"/>
          <w:highlight w:val="none"/>
        </w:rPr>
        <w:t>（空格处填写资格证书名称、复印件加盖公章后附该声明函后）。</w:t>
      </w:r>
    </w:p>
    <w:p>
      <w:pPr>
        <w:spacing w:line="480" w:lineRule="auto"/>
        <w:ind w:left="605"/>
        <w:rPr>
          <w:color w:val="auto"/>
          <w:sz w:val="24"/>
          <w:highlight w:val="none"/>
        </w:rPr>
      </w:pPr>
      <w:r>
        <w:rPr>
          <w:color w:val="auto"/>
          <w:sz w:val="24"/>
          <w:highlight w:val="none"/>
        </w:rPr>
        <w:t>4、本签字人确认所提供的投标文件内容是真实的、准确的。</w:t>
      </w:r>
    </w:p>
    <w:p>
      <w:pPr>
        <w:spacing w:line="480" w:lineRule="auto"/>
        <w:rPr>
          <w:color w:val="auto"/>
          <w:sz w:val="24"/>
          <w:highlight w:val="none"/>
        </w:rPr>
      </w:pPr>
    </w:p>
    <w:p>
      <w:pPr>
        <w:spacing w:line="480" w:lineRule="auto"/>
        <w:rPr>
          <w:color w:val="auto"/>
          <w:sz w:val="24"/>
          <w:highlight w:val="none"/>
        </w:rPr>
      </w:pPr>
      <w:r>
        <w:rPr>
          <w:color w:val="auto"/>
          <w:sz w:val="24"/>
          <w:highlight w:val="none"/>
        </w:rPr>
        <w:t>单位的名称和地址                   法定代表人或授权代表</w:t>
      </w:r>
    </w:p>
    <w:p>
      <w:pPr>
        <w:spacing w:line="480" w:lineRule="auto"/>
        <w:rPr>
          <w:color w:val="auto"/>
          <w:sz w:val="24"/>
          <w:highlight w:val="none"/>
        </w:rPr>
      </w:pPr>
      <w:r>
        <w:rPr>
          <w:color w:val="auto"/>
          <w:sz w:val="24"/>
          <w:highlight w:val="none"/>
        </w:rPr>
        <w:t>名称（盖章）：</w:t>
      </w:r>
      <w:r>
        <w:rPr>
          <w:color w:val="auto"/>
          <w:sz w:val="24"/>
          <w:highlight w:val="none"/>
          <w:u w:val="single"/>
        </w:rPr>
        <w:t xml:space="preserve">                   </w:t>
      </w:r>
      <w:r>
        <w:rPr>
          <w:color w:val="auto"/>
          <w:sz w:val="24"/>
          <w:highlight w:val="none"/>
        </w:rPr>
        <w:t xml:space="preserve">    签字（或盖章）：</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80" w:lineRule="auto"/>
        <w:rPr>
          <w:color w:val="auto"/>
          <w:sz w:val="24"/>
          <w:highlight w:val="none"/>
        </w:rPr>
      </w:pPr>
      <w:r>
        <w:rPr>
          <w:color w:val="auto"/>
          <w:sz w:val="24"/>
          <w:highlight w:val="none"/>
        </w:rPr>
        <w:t>地址：</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80" w:lineRule="auto"/>
        <w:rPr>
          <w:color w:val="auto"/>
          <w:sz w:val="24"/>
          <w:highlight w:val="none"/>
          <w:u w:val="single"/>
        </w:rPr>
      </w:pPr>
      <w:r>
        <w:rPr>
          <w:color w:val="auto"/>
          <w:sz w:val="24"/>
          <w:highlight w:val="none"/>
        </w:rPr>
        <w:t>传真：</w:t>
      </w:r>
      <w:r>
        <w:rPr>
          <w:color w:val="auto"/>
          <w:sz w:val="24"/>
          <w:highlight w:val="none"/>
          <w:u w:val="single"/>
        </w:rPr>
        <w:t xml:space="preserve">                           </w:t>
      </w:r>
      <w:r>
        <w:rPr>
          <w:color w:val="auto"/>
          <w:sz w:val="24"/>
          <w:highlight w:val="none"/>
        </w:rPr>
        <w:t xml:space="preserve">    电话：</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80" w:lineRule="auto"/>
        <w:rPr>
          <w:b/>
          <w:bCs/>
          <w:color w:val="auto"/>
          <w:sz w:val="24"/>
          <w:highlight w:val="none"/>
        </w:rPr>
      </w:pPr>
      <w:r>
        <w:rPr>
          <w:color w:val="auto"/>
          <w:sz w:val="24"/>
          <w:highlight w:val="none"/>
        </w:rPr>
        <w:t>邮编：</w:t>
      </w:r>
      <w:r>
        <w:rPr>
          <w:color w:val="auto"/>
          <w:sz w:val="24"/>
          <w:highlight w:val="none"/>
          <w:u w:val="single"/>
        </w:rPr>
        <w:t xml:space="preserve">                           </w:t>
      </w:r>
      <w:r>
        <w:rPr>
          <w:color w:val="auto"/>
          <w:sz w:val="24"/>
          <w:highlight w:val="none"/>
        </w:rPr>
        <w:t xml:space="preserve">    签署日期：</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80" w:lineRule="auto"/>
        <w:jc w:val="left"/>
        <w:rPr>
          <w:color w:val="auto"/>
          <w:sz w:val="24"/>
          <w:highlight w:val="none"/>
        </w:rPr>
      </w:pPr>
    </w:p>
    <w:p>
      <w:pPr>
        <w:spacing w:line="480" w:lineRule="auto"/>
        <w:jc w:val="left"/>
        <w:rPr>
          <w:b/>
          <w:bCs/>
          <w:color w:val="auto"/>
          <w:sz w:val="30"/>
          <w:highlight w:val="none"/>
        </w:rPr>
      </w:pPr>
      <w:r>
        <w:rPr>
          <w:color w:val="auto"/>
          <w:sz w:val="24"/>
          <w:highlight w:val="none"/>
        </w:rPr>
        <w:t>注：本声明函涉及的相关证书复印件加盖公章后附后。</w:t>
      </w:r>
    </w:p>
    <w:p>
      <w:pPr>
        <w:rPr>
          <w:color w:val="auto"/>
          <w:highlight w:val="none"/>
        </w:rPr>
      </w:pPr>
    </w:p>
    <w:p>
      <w:pPr>
        <w:rPr>
          <w:rFonts w:hint="eastAsia"/>
          <w:color w:val="auto"/>
          <w:sz w:val="28"/>
          <w:szCs w:val="28"/>
          <w:highlight w:val="none"/>
        </w:rPr>
      </w:pPr>
      <w:r>
        <w:rPr>
          <w:color w:val="auto"/>
          <w:sz w:val="28"/>
          <w:szCs w:val="28"/>
          <w:highlight w:val="none"/>
        </w:rPr>
        <w:t>附件</w:t>
      </w:r>
      <w:r>
        <w:rPr>
          <w:rFonts w:hint="eastAsia"/>
          <w:color w:val="auto"/>
          <w:sz w:val="28"/>
          <w:szCs w:val="28"/>
          <w:highlight w:val="none"/>
        </w:rPr>
        <w:t>五</w:t>
      </w:r>
    </w:p>
    <w:p>
      <w:pPr>
        <w:rPr>
          <w:color w:val="auto"/>
          <w:highlight w:val="none"/>
        </w:rPr>
      </w:pPr>
    </w:p>
    <w:p>
      <w:pPr>
        <w:pStyle w:val="9"/>
        <w:rPr>
          <w:rFonts w:ascii="Times New Roman" w:hAnsi="Times New Roman" w:cs="Times New Roman"/>
          <w:color w:val="auto"/>
          <w:sz w:val="32"/>
          <w:highlight w:val="none"/>
        </w:rPr>
      </w:pPr>
      <w:bookmarkStart w:id="51" w:name="_Toc2781"/>
      <w:bookmarkStart w:id="52" w:name="_Toc32754"/>
      <w:bookmarkStart w:id="53" w:name="_Toc22123"/>
      <w:bookmarkStart w:id="54" w:name="_Toc32149"/>
      <w:bookmarkStart w:id="55" w:name="_Toc23778"/>
      <w:r>
        <w:rPr>
          <w:rFonts w:ascii="Times New Roman" w:hAnsi="Times New Roman" w:cs="Times New Roman"/>
          <w:color w:val="auto"/>
          <w:sz w:val="32"/>
          <w:highlight w:val="none"/>
        </w:rPr>
        <w:t>投标人情况介绍</w:t>
      </w:r>
      <w:bookmarkEnd w:id="51"/>
      <w:bookmarkEnd w:id="52"/>
      <w:bookmarkEnd w:id="53"/>
      <w:bookmarkEnd w:id="54"/>
      <w:bookmarkEnd w:id="55"/>
    </w:p>
    <w:p>
      <w:pPr>
        <w:rPr>
          <w:color w:val="auto"/>
          <w:highlight w:val="none"/>
        </w:rPr>
      </w:pPr>
    </w:p>
    <w:p>
      <w:pPr>
        <w:spacing w:line="480" w:lineRule="auto"/>
        <w:ind w:firstLine="480" w:firstLineChars="200"/>
        <w:rPr>
          <w:color w:val="auto"/>
          <w:sz w:val="24"/>
          <w:highlight w:val="none"/>
        </w:rPr>
      </w:pPr>
      <w:r>
        <w:rPr>
          <w:color w:val="auto"/>
          <w:sz w:val="24"/>
          <w:highlight w:val="none"/>
        </w:rPr>
        <w:t>总体介绍。</w:t>
      </w:r>
    </w:p>
    <w:p>
      <w:pPr>
        <w:spacing w:line="480" w:lineRule="auto"/>
        <w:ind w:firstLine="480" w:firstLineChars="200"/>
        <w:rPr>
          <w:color w:val="auto"/>
          <w:sz w:val="24"/>
          <w:highlight w:val="none"/>
        </w:rPr>
      </w:pPr>
      <w:r>
        <w:rPr>
          <w:color w:val="auto"/>
          <w:sz w:val="24"/>
          <w:highlight w:val="none"/>
        </w:rPr>
        <w:t>投标人认为有必要的声明和文件，复印件加盖公章后附后。</w:t>
      </w:r>
    </w:p>
    <w:p>
      <w:pPr>
        <w:rPr>
          <w:color w:val="auto"/>
          <w:highlight w:val="none"/>
        </w:rPr>
      </w:pPr>
    </w:p>
    <w:p>
      <w:pPr>
        <w:rPr>
          <w:color w:val="auto"/>
          <w:highlight w:val="none"/>
        </w:rPr>
      </w:pPr>
    </w:p>
    <w:p>
      <w:pPr>
        <w:rPr>
          <w:color w:val="auto"/>
          <w:highlight w:val="none"/>
        </w:rPr>
      </w:pPr>
    </w:p>
    <w:p>
      <w:pPr>
        <w:spacing w:line="480" w:lineRule="auto"/>
        <w:rPr>
          <w:color w:val="auto"/>
          <w:sz w:val="24"/>
          <w:highlight w:val="none"/>
        </w:rPr>
      </w:pPr>
      <w:r>
        <w:rPr>
          <w:color w:val="auto"/>
          <w:sz w:val="24"/>
          <w:highlight w:val="none"/>
        </w:rPr>
        <w:t xml:space="preserve">                               投标人名称：</w:t>
      </w:r>
      <w:r>
        <w:rPr>
          <w:color w:val="auto"/>
          <w:sz w:val="24"/>
          <w:highlight w:val="none"/>
          <w:u w:val="single"/>
        </w:rPr>
        <w:t xml:space="preserve">                             </w:t>
      </w:r>
      <w:r>
        <w:rPr>
          <w:color w:val="auto"/>
          <w:sz w:val="24"/>
          <w:highlight w:val="none"/>
        </w:rPr>
        <w:t>（公章）</w:t>
      </w:r>
    </w:p>
    <w:p>
      <w:pPr>
        <w:spacing w:line="480" w:lineRule="auto"/>
        <w:rPr>
          <w:color w:val="auto"/>
          <w:sz w:val="24"/>
          <w:highlight w:val="none"/>
          <w:u w:val="single"/>
        </w:rPr>
      </w:pPr>
      <w:r>
        <w:rPr>
          <w:color w:val="auto"/>
          <w:sz w:val="24"/>
          <w:highlight w:val="none"/>
        </w:rPr>
        <w:t xml:space="preserve">                               法定代表人或授权代表：</w:t>
      </w:r>
      <w:r>
        <w:rPr>
          <w:color w:val="auto"/>
          <w:sz w:val="24"/>
          <w:highlight w:val="none"/>
          <w:u w:val="single"/>
        </w:rPr>
        <w:t xml:space="preserve">             </w:t>
      </w:r>
      <w:r>
        <w:rPr>
          <w:color w:val="auto"/>
          <w:sz w:val="24"/>
          <w:highlight w:val="none"/>
        </w:rPr>
        <w:t>（签字或盖章）</w:t>
      </w:r>
    </w:p>
    <w:p>
      <w:pPr>
        <w:spacing w:line="480" w:lineRule="auto"/>
        <w:jc w:val="center"/>
        <w:rPr>
          <w:color w:val="auto"/>
          <w:sz w:val="24"/>
          <w:highlight w:val="none"/>
        </w:rPr>
      </w:pPr>
      <w:r>
        <w:rPr>
          <w:color w:val="auto"/>
          <w:sz w:val="24"/>
          <w:highlight w:val="none"/>
        </w:rPr>
        <w:t xml:space="preserve">          日期：    年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auto"/>
        <w:rPr>
          <w:color w:val="auto"/>
          <w:sz w:val="24"/>
          <w:highlight w:val="none"/>
        </w:rPr>
      </w:pPr>
      <w:r>
        <w:rPr>
          <w:color w:val="auto"/>
          <w:sz w:val="24"/>
          <w:highlight w:val="none"/>
        </w:rPr>
        <w:t>本附件可根据实际情况自行制作</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9"/>
        <w:rPr>
          <w:rFonts w:ascii="Times New Roman" w:hAnsi="Times New Roman" w:cs="Times New Roman"/>
          <w:color w:val="auto"/>
          <w:sz w:val="32"/>
          <w:highlight w:val="none"/>
        </w:rPr>
      </w:pPr>
      <w:bookmarkStart w:id="56" w:name="_Toc9416"/>
      <w:bookmarkStart w:id="57" w:name="_Toc5216"/>
      <w:bookmarkStart w:id="58" w:name="_Toc9218"/>
      <w:r>
        <w:rPr>
          <w:rFonts w:ascii="Times New Roman" w:hAnsi="Times New Roman" w:cs="Times New Roman"/>
          <w:color w:val="auto"/>
          <w:sz w:val="32"/>
          <w:highlight w:val="none"/>
        </w:rPr>
        <w:t>拟投入本项目的人员表</w:t>
      </w:r>
      <w:bookmarkEnd w:id="56"/>
      <w:bookmarkEnd w:id="57"/>
      <w:bookmarkEnd w:id="58"/>
    </w:p>
    <w:p>
      <w:pPr>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98"/>
        <w:gridCol w:w="1245"/>
        <w:gridCol w:w="1266"/>
        <w:gridCol w:w="184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4" w:type="dxa"/>
            <w:noWrap w:val="0"/>
            <w:vAlign w:val="center"/>
          </w:tcPr>
          <w:p>
            <w:pPr>
              <w:jc w:val="center"/>
              <w:rPr>
                <w:color w:val="auto"/>
                <w:highlight w:val="none"/>
              </w:rPr>
            </w:pPr>
            <w:r>
              <w:rPr>
                <w:color w:val="auto"/>
                <w:highlight w:val="none"/>
              </w:rPr>
              <w:t>序号</w:t>
            </w:r>
          </w:p>
        </w:tc>
        <w:tc>
          <w:tcPr>
            <w:tcW w:w="2198" w:type="dxa"/>
            <w:noWrap w:val="0"/>
            <w:vAlign w:val="center"/>
          </w:tcPr>
          <w:p>
            <w:pPr>
              <w:jc w:val="center"/>
              <w:rPr>
                <w:color w:val="auto"/>
                <w:highlight w:val="none"/>
              </w:rPr>
            </w:pPr>
            <w:r>
              <w:rPr>
                <w:color w:val="auto"/>
                <w:highlight w:val="none"/>
              </w:rPr>
              <w:t>拟派人员姓名</w:t>
            </w:r>
          </w:p>
        </w:tc>
        <w:tc>
          <w:tcPr>
            <w:tcW w:w="1245" w:type="dxa"/>
            <w:noWrap w:val="0"/>
            <w:vAlign w:val="center"/>
          </w:tcPr>
          <w:p>
            <w:pPr>
              <w:jc w:val="center"/>
              <w:rPr>
                <w:color w:val="auto"/>
                <w:highlight w:val="none"/>
              </w:rPr>
            </w:pPr>
            <w:r>
              <w:rPr>
                <w:color w:val="auto"/>
                <w:highlight w:val="none"/>
              </w:rPr>
              <w:t>职称</w:t>
            </w:r>
          </w:p>
        </w:tc>
        <w:tc>
          <w:tcPr>
            <w:tcW w:w="1266" w:type="dxa"/>
            <w:noWrap w:val="0"/>
            <w:vAlign w:val="center"/>
          </w:tcPr>
          <w:p>
            <w:pPr>
              <w:jc w:val="center"/>
              <w:rPr>
                <w:color w:val="auto"/>
                <w:highlight w:val="none"/>
              </w:rPr>
            </w:pPr>
            <w:r>
              <w:rPr>
                <w:color w:val="auto"/>
                <w:highlight w:val="none"/>
              </w:rPr>
              <w:t>专业</w:t>
            </w:r>
          </w:p>
        </w:tc>
        <w:tc>
          <w:tcPr>
            <w:tcW w:w="1848" w:type="dxa"/>
            <w:noWrap w:val="0"/>
            <w:vAlign w:val="center"/>
          </w:tcPr>
          <w:p>
            <w:pPr>
              <w:jc w:val="center"/>
              <w:rPr>
                <w:color w:val="auto"/>
                <w:highlight w:val="none"/>
              </w:rPr>
            </w:pPr>
            <w:r>
              <w:rPr>
                <w:color w:val="auto"/>
                <w:highlight w:val="none"/>
              </w:rPr>
              <w:t>相关证书编号</w:t>
            </w:r>
          </w:p>
        </w:tc>
        <w:tc>
          <w:tcPr>
            <w:tcW w:w="1849" w:type="dxa"/>
            <w:noWrap w:val="0"/>
            <w:vAlign w:val="center"/>
          </w:tcPr>
          <w:p>
            <w:pPr>
              <w:jc w:val="center"/>
              <w:rPr>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4" w:type="dxa"/>
            <w:noWrap w:val="0"/>
            <w:vAlign w:val="center"/>
          </w:tcPr>
          <w:p>
            <w:pPr>
              <w:jc w:val="center"/>
              <w:rPr>
                <w:color w:val="auto"/>
                <w:highlight w:val="none"/>
              </w:rPr>
            </w:pPr>
            <w:r>
              <w:rPr>
                <w:color w:val="auto"/>
                <w:highlight w:val="none"/>
              </w:rPr>
              <w:t>1</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4" w:type="dxa"/>
            <w:noWrap w:val="0"/>
            <w:vAlign w:val="center"/>
          </w:tcPr>
          <w:p>
            <w:pPr>
              <w:jc w:val="center"/>
              <w:rPr>
                <w:color w:val="auto"/>
                <w:highlight w:val="none"/>
              </w:rPr>
            </w:pPr>
            <w:r>
              <w:rPr>
                <w:color w:val="auto"/>
                <w:highlight w:val="none"/>
              </w:rPr>
              <w:t>2</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4" w:type="dxa"/>
            <w:noWrap w:val="0"/>
            <w:vAlign w:val="center"/>
          </w:tcPr>
          <w:p>
            <w:pPr>
              <w:jc w:val="center"/>
              <w:rPr>
                <w:color w:val="auto"/>
                <w:highlight w:val="none"/>
              </w:rPr>
            </w:pPr>
            <w:r>
              <w:rPr>
                <w:color w:val="auto"/>
                <w:highlight w:val="none"/>
              </w:rPr>
              <w:t>3</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4" w:type="dxa"/>
            <w:noWrap w:val="0"/>
            <w:vAlign w:val="center"/>
          </w:tcPr>
          <w:p>
            <w:pPr>
              <w:jc w:val="center"/>
              <w:rPr>
                <w:color w:val="auto"/>
                <w:highlight w:val="none"/>
              </w:rPr>
            </w:pPr>
            <w:r>
              <w:rPr>
                <w:color w:val="auto"/>
                <w:highlight w:val="none"/>
              </w:rPr>
              <w:t>4</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4" w:type="dxa"/>
            <w:noWrap w:val="0"/>
            <w:vAlign w:val="center"/>
          </w:tcPr>
          <w:p>
            <w:pPr>
              <w:jc w:val="center"/>
              <w:rPr>
                <w:color w:val="auto"/>
                <w:highlight w:val="none"/>
              </w:rPr>
            </w:pPr>
            <w:r>
              <w:rPr>
                <w:color w:val="auto"/>
                <w:highlight w:val="none"/>
              </w:rPr>
              <w:t>5</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4" w:type="dxa"/>
            <w:noWrap w:val="0"/>
            <w:vAlign w:val="center"/>
          </w:tcPr>
          <w:p>
            <w:pPr>
              <w:jc w:val="center"/>
              <w:rPr>
                <w:color w:val="auto"/>
                <w:highlight w:val="none"/>
              </w:rPr>
            </w:pPr>
            <w:r>
              <w:rPr>
                <w:color w:val="auto"/>
                <w:highlight w:val="none"/>
              </w:rPr>
              <w:t>...</w:t>
            </w:r>
          </w:p>
        </w:tc>
        <w:tc>
          <w:tcPr>
            <w:tcW w:w="2198" w:type="dxa"/>
            <w:noWrap w:val="0"/>
            <w:vAlign w:val="center"/>
          </w:tcPr>
          <w:p>
            <w:pPr>
              <w:jc w:val="center"/>
              <w:rPr>
                <w:color w:val="auto"/>
                <w:highlight w:val="none"/>
              </w:rPr>
            </w:pPr>
          </w:p>
        </w:tc>
        <w:tc>
          <w:tcPr>
            <w:tcW w:w="1245" w:type="dxa"/>
            <w:noWrap w:val="0"/>
            <w:vAlign w:val="center"/>
          </w:tcPr>
          <w:p>
            <w:pPr>
              <w:jc w:val="center"/>
              <w:rPr>
                <w:color w:val="auto"/>
                <w:highlight w:val="none"/>
              </w:rPr>
            </w:pPr>
          </w:p>
        </w:tc>
        <w:tc>
          <w:tcPr>
            <w:tcW w:w="1266" w:type="dxa"/>
            <w:noWrap w:val="0"/>
            <w:vAlign w:val="center"/>
          </w:tcPr>
          <w:p>
            <w:pPr>
              <w:jc w:val="center"/>
              <w:rPr>
                <w:color w:val="auto"/>
                <w:highlight w:val="none"/>
              </w:rPr>
            </w:pPr>
          </w:p>
        </w:tc>
        <w:tc>
          <w:tcPr>
            <w:tcW w:w="1848" w:type="dxa"/>
            <w:noWrap w:val="0"/>
            <w:vAlign w:val="center"/>
          </w:tcPr>
          <w:p>
            <w:pPr>
              <w:jc w:val="center"/>
              <w:rPr>
                <w:color w:val="auto"/>
                <w:highlight w:val="none"/>
              </w:rPr>
            </w:pPr>
          </w:p>
        </w:tc>
        <w:tc>
          <w:tcPr>
            <w:tcW w:w="1849" w:type="dxa"/>
            <w:noWrap w:val="0"/>
            <w:vAlign w:val="center"/>
          </w:tcPr>
          <w:p>
            <w:pPr>
              <w:jc w:val="center"/>
              <w:rPr>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auto"/>
        <w:rPr>
          <w:color w:val="auto"/>
          <w:sz w:val="24"/>
          <w:highlight w:val="none"/>
        </w:rPr>
      </w:pPr>
      <w:r>
        <w:rPr>
          <w:color w:val="auto"/>
          <w:sz w:val="24"/>
          <w:highlight w:val="none"/>
        </w:rPr>
        <w:t>投标人名称：</w:t>
      </w:r>
      <w:r>
        <w:rPr>
          <w:color w:val="auto"/>
          <w:sz w:val="24"/>
          <w:highlight w:val="none"/>
          <w:u w:val="single"/>
        </w:rPr>
        <w:t xml:space="preserve">                             </w:t>
      </w:r>
      <w:r>
        <w:rPr>
          <w:color w:val="auto"/>
          <w:sz w:val="24"/>
          <w:highlight w:val="none"/>
        </w:rPr>
        <w:t>（公章）</w:t>
      </w:r>
    </w:p>
    <w:p>
      <w:pPr>
        <w:spacing w:line="480" w:lineRule="auto"/>
        <w:rPr>
          <w:color w:val="auto"/>
          <w:sz w:val="24"/>
          <w:highlight w:val="none"/>
        </w:rPr>
      </w:pPr>
      <w:r>
        <w:rPr>
          <w:color w:val="auto"/>
          <w:sz w:val="24"/>
          <w:highlight w:val="none"/>
        </w:rPr>
        <w:t>法定代表人或授权代表：</w:t>
      </w:r>
      <w:r>
        <w:rPr>
          <w:color w:val="auto"/>
          <w:sz w:val="24"/>
          <w:highlight w:val="none"/>
          <w:u w:val="single"/>
        </w:rPr>
        <w:t xml:space="preserve">             </w:t>
      </w:r>
      <w:r>
        <w:rPr>
          <w:color w:val="auto"/>
          <w:sz w:val="24"/>
          <w:highlight w:val="none"/>
        </w:rPr>
        <w:t>（签字或盖章）</w:t>
      </w:r>
    </w:p>
    <w:p>
      <w:pPr>
        <w:spacing w:line="480" w:lineRule="auto"/>
        <w:rPr>
          <w:color w:val="auto"/>
          <w:sz w:val="24"/>
          <w:highlight w:val="none"/>
        </w:rPr>
      </w:pPr>
      <w:r>
        <w:rPr>
          <w:color w:val="auto"/>
          <w:sz w:val="24"/>
          <w:highlight w:val="none"/>
        </w:rPr>
        <w:t>日期：    年     月     日</w:t>
      </w:r>
    </w:p>
    <w:p>
      <w:pPr>
        <w:spacing w:line="480" w:lineRule="auto"/>
        <w:rPr>
          <w:color w:val="auto"/>
          <w:sz w:val="24"/>
          <w:highlight w:val="none"/>
        </w:rPr>
      </w:pPr>
      <w:r>
        <w:rPr>
          <w:color w:val="auto"/>
          <w:sz w:val="24"/>
          <w:highlight w:val="none"/>
        </w:rPr>
        <w:t>本附件可根据实际情况自行制作</w:t>
      </w:r>
    </w:p>
    <w:p>
      <w:pPr>
        <w:rPr>
          <w:color w:val="auto"/>
          <w:highlight w:val="none"/>
        </w:rPr>
        <w:sectPr>
          <w:footerReference r:id="rId6" w:type="default"/>
          <w:pgSz w:w="11906" w:h="16838"/>
          <w:pgMar w:top="1361" w:right="1134" w:bottom="1361" w:left="1134" w:header="851" w:footer="992" w:gutter="0"/>
          <w:pgNumType w:start="1"/>
          <w:cols w:space="720" w:num="1"/>
          <w:docGrid w:type="lines" w:linePitch="312" w:charSpace="0"/>
        </w:sectPr>
      </w:pPr>
    </w:p>
    <w:p>
      <w:pPr>
        <w:rPr>
          <w:rFonts w:hint="eastAsia"/>
          <w:color w:val="auto"/>
          <w:sz w:val="28"/>
          <w:szCs w:val="28"/>
          <w:highlight w:val="none"/>
        </w:rPr>
      </w:pPr>
      <w:r>
        <w:rPr>
          <w:color w:val="auto"/>
          <w:sz w:val="28"/>
          <w:szCs w:val="28"/>
          <w:highlight w:val="none"/>
        </w:rPr>
        <w:t>附件</w:t>
      </w:r>
      <w:r>
        <w:rPr>
          <w:rFonts w:hint="eastAsia"/>
          <w:color w:val="auto"/>
          <w:sz w:val="28"/>
          <w:szCs w:val="28"/>
          <w:highlight w:val="none"/>
        </w:rPr>
        <w:t>六</w:t>
      </w:r>
    </w:p>
    <w:p>
      <w:pPr>
        <w:rPr>
          <w:color w:val="auto"/>
          <w:highlight w:val="none"/>
        </w:rPr>
      </w:pPr>
    </w:p>
    <w:p>
      <w:pPr>
        <w:pStyle w:val="9"/>
        <w:rPr>
          <w:rFonts w:ascii="Times New Roman" w:hAnsi="Times New Roman" w:cs="Times New Roman"/>
          <w:color w:val="auto"/>
          <w:sz w:val="32"/>
          <w:highlight w:val="none"/>
        </w:rPr>
      </w:pPr>
      <w:bookmarkStart w:id="59" w:name="_Toc20878"/>
      <w:bookmarkStart w:id="60" w:name="_Toc14270"/>
      <w:bookmarkStart w:id="61" w:name="_Toc29012"/>
      <w:r>
        <w:rPr>
          <w:rFonts w:ascii="Times New Roman" w:hAnsi="Times New Roman" w:cs="Times New Roman"/>
          <w:color w:val="auto"/>
          <w:sz w:val="32"/>
          <w:highlight w:val="none"/>
        </w:rPr>
        <w:t>规范偏离表</w:t>
      </w:r>
      <w:bookmarkEnd w:id="59"/>
      <w:bookmarkEnd w:id="60"/>
      <w:bookmarkEnd w:id="61"/>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29"/>
        <w:gridCol w:w="1506"/>
        <w:gridCol w:w="1724"/>
        <w:gridCol w:w="182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19" w:type="dxa"/>
            <w:tcBorders>
              <w:bottom w:val="single" w:color="auto" w:sz="4" w:space="0"/>
            </w:tcBorders>
            <w:noWrap w:val="0"/>
            <w:vAlign w:val="center"/>
          </w:tcPr>
          <w:p>
            <w:pPr>
              <w:jc w:val="center"/>
              <w:rPr>
                <w:color w:val="auto"/>
                <w:sz w:val="24"/>
                <w:highlight w:val="none"/>
              </w:rPr>
            </w:pPr>
            <w:r>
              <w:rPr>
                <w:color w:val="auto"/>
                <w:sz w:val="24"/>
                <w:highlight w:val="none"/>
              </w:rPr>
              <w:t>序号</w:t>
            </w:r>
          </w:p>
        </w:tc>
        <w:tc>
          <w:tcPr>
            <w:tcW w:w="1829" w:type="dxa"/>
            <w:tcBorders>
              <w:bottom w:val="single" w:color="auto" w:sz="4" w:space="0"/>
            </w:tcBorders>
            <w:noWrap w:val="0"/>
            <w:vAlign w:val="center"/>
          </w:tcPr>
          <w:p>
            <w:pPr>
              <w:jc w:val="center"/>
              <w:rPr>
                <w:color w:val="auto"/>
                <w:sz w:val="24"/>
                <w:highlight w:val="none"/>
              </w:rPr>
            </w:pPr>
            <w:r>
              <w:rPr>
                <w:color w:val="auto"/>
                <w:sz w:val="24"/>
                <w:highlight w:val="none"/>
              </w:rPr>
              <w:t>内  容</w:t>
            </w:r>
          </w:p>
        </w:tc>
        <w:tc>
          <w:tcPr>
            <w:tcW w:w="1506" w:type="dxa"/>
            <w:tcBorders>
              <w:bottom w:val="single" w:color="auto" w:sz="4" w:space="0"/>
            </w:tcBorders>
            <w:noWrap w:val="0"/>
            <w:vAlign w:val="center"/>
          </w:tcPr>
          <w:p>
            <w:pPr>
              <w:jc w:val="center"/>
              <w:rPr>
                <w:color w:val="auto"/>
                <w:sz w:val="24"/>
                <w:highlight w:val="none"/>
              </w:rPr>
            </w:pPr>
            <w:r>
              <w:rPr>
                <w:color w:val="auto"/>
                <w:sz w:val="24"/>
                <w:highlight w:val="none"/>
              </w:rPr>
              <w:t>招标文件</w:t>
            </w:r>
          </w:p>
          <w:p>
            <w:pPr>
              <w:jc w:val="center"/>
              <w:rPr>
                <w:color w:val="auto"/>
                <w:sz w:val="24"/>
                <w:highlight w:val="none"/>
              </w:rPr>
            </w:pPr>
            <w:r>
              <w:rPr>
                <w:color w:val="auto"/>
                <w:sz w:val="24"/>
                <w:highlight w:val="none"/>
              </w:rPr>
              <w:t>规范要求</w:t>
            </w:r>
          </w:p>
        </w:tc>
        <w:tc>
          <w:tcPr>
            <w:tcW w:w="1724" w:type="dxa"/>
            <w:tcBorders>
              <w:bottom w:val="single" w:color="auto" w:sz="4" w:space="0"/>
            </w:tcBorders>
            <w:noWrap w:val="0"/>
            <w:vAlign w:val="center"/>
          </w:tcPr>
          <w:p>
            <w:pPr>
              <w:jc w:val="center"/>
              <w:rPr>
                <w:color w:val="auto"/>
                <w:sz w:val="24"/>
                <w:highlight w:val="none"/>
              </w:rPr>
            </w:pPr>
            <w:r>
              <w:rPr>
                <w:color w:val="auto"/>
                <w:sz w:val="24"/>
                <w:highlight w:val="none"/>
              </w:rPr>
              <w:t>投标文件</w:t>
            </w:r>
          </w:p>
          <w:p>
            <w:pPr>
              <w:jc w:val="center"/>
              <w:rPr>
                <w:color w:val="auto"/>
                <w:sz w:val="24"/>
                <w:highlight w:val="none"/>
              </w:rPr>
            </w:pPr>
            <w:r>
              <w:rPr>
                <w:color w:val="auto"/>
                <w:sz w:val="24"/>
                <w:highlight w:val="none"/>
              </w:rPr>
              <w:t>对应规范</w:t>
            </w:r>
          </w:p>
        </w:tc>
        <w:tc>
          <w:tcPr>
            <w:tcW w:w="1827" w:type="dxa"/>
            <w:tcBorders>
              <w:bottom w:val="single" w:color="auto" w:sz="4" w:space="0"/>
            </w:tcBorders>
            <w:noWrap w:val="0"/>
            <w:vAlign w:val="center"/>
          </w:tcPr>
          <w:p>
            <w:pPr>
              <w:jc w:val="center"/>
              <w:rPr>
                <w:color w:val="auto"/>
                <w:sz w:val="24"/>
                <w:highlight w:val="none"/>
              </w:rPr>
            </w:pPr>
            <w:r>
              <w:rPr>
                <w:color w:val="auto"/>
                <w:sz w:val="24"/>
                <w:highlight w:val="none"/>
              </w:rPr>
              <w:t>偏离情况</w:t>
            </w:r>
          </w:p>
        </w:tc>
        <w:tc>
          <w:tcPr>
            <w:tcW w:w="1595" w:type="dxa"/>
            <w:tcBorders>
              <w:bottom w:val="single" w:color="auto" w:sz="4" w:space="0"/>
            </w:tcBorders>
            <w:noWrap w:val="0"/>
            <w:vAlign w:val="center"/>
          </w:tcPr>
          <w:p>
            <w:pPr>
              <w:jc w:val="center"/>
              <w:rPr>
                <w:color w:val="auto"/>
                <w:sz w:val="24"/>
                <w:highlight w:val="none"/>
              </w:rPr>
            </w:pPr>
            <w:r>
              <w:rPr>
                <w:color w:val="auto"/>
                <w:sz w:val="24"/>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restart"/>
            <w:noWrap w:val="0"/>
            <w:vAlign w:val="center"/>
          </w:tcPr>
          <w:p>
            <w:pPr>
              <w:spacing w:line="360" w:lineRule="auto"/>
              <w:jc w:val="center"/>
              <w:rPr>
                <w:color w:val="auto"/>
                <w:sz w:val="24"/>
                <w:highlight w:val="none"/>
              </w:rPr>
            </w:pPr>
            <w:r>
              <w:rPr>
                <w:color w:val="auto"/>
                <w:sz w:val="24"/>
                <w:highlight w:val="none"/>
              </w:rPr>
              <w:t>偏</w:t>
            </w:r>
          </w:p>
          <w:p>
            <w:pPr>
              <w:spacing w:line="360" w:lineRule="auto"/>
              <w:jc w:val="center"/>
              <w:rPr>
                <w:color w:val="auto"/>
                <w:sz w:val="24"/>
                <w:highlight w:val="none"/>
              </w:rPr>
            </w:pPr>
            <w:r>
              <w:rPr>
                <w:color w:val="auto"/>
                <w:sz w:val="24"/>
                <w:highlight w:val="none"/>
              </w:rPr>
              <w:t>离</w:t>
            </w:r>
          </w:p>
          <w:p>
            <w:pPr>
              <w:spacing w:line="360" w:lineRule="auto"/>
              <w:jc w:val="center"/>
              <w:rPr>
                <w:color w:val="auto"/>
                <w:sz w:val="24"/>
                <w:highlight w:val="none"/>
              </w:rPr>
            </w:pPr>
            <w:r>
              <w:rPr>
                <w:color w:val="auto"/>
                <w:sz w:val="24"/>
                <w:highlight w:val="none"/>
              </w:rPr>
              <w:t>情</w:t>
            </w:r>
          </w:p>
          <w:p>
            <w:pPr>
              <w:spacing w:line="360" w:lineRule="auto"/>
              <w:jc w:val="center"/>
              <w:rPr>
                <w:color w:val="auto"/>
                <w:sz w:val="24"/>
                <w:highlight w:val="none"/>
              </w:rPr>
            </w:pPr>
            <w:r>
              <w:rPr>
                <w:color w:val="auto"/>
                <w:sz w:val="24"/>
                <w:highlight w:val="none"/>
              </w:rPr>
              <w:t>况</w:t>
            </w: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jc w:val="center"/>
              <w:rPr>
                <w:color w:val="auto"/>
                <w:sz w:val="24"/>
                <w:highlight w:val="none"/>
              </w:rPr>
            </w:pPr>
          </w:p>
        </w:tc>
        <w:tc>
          <w:tcPr>
            <w:tcW w:w="1827" w:type="dxa"/>
            <w:noWrap w:val="0"/>
            <w:vAlign w:val="center"/>
          </w:tcPr>
          <w:p>
            <w:pPr>
              <w:jc w:val="center"/>
              <w:rPr>
                <w:color w:val="auto"/>
                <w:sz w:val="24"/>
                <w:highlight w:val="none"/>
              </w:rPr>
            </w:pPr>
          </w:p>
        </w:tc>
        <w:tc>
          <w:tcPr>
            <w:tcW w:w="1595" w:type="dxa"/>
            <w:noWrap w:val="0"/>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jc w:val="center"/>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jc w:val="center"/>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jc w:val="center"/>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jc w:val="center"/>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center"/>
          </w:tcPr>
          <w:p>
            <w:pPr>
              <w:spacing w:line="360" w:lineRule="auto"/>
              <w:jc w:val="center"/>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19" w:type="dxa"/>
            <w:vMerge w:val="continue"/>
            <w:noWrap w:val="0"/>
            <w:vAlign w:val="top"/>
          </w:tcPr>
          <w:p>
            <w:pPr>
              <w:spacing w:line="360" w:lineRule="auto"/>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919" w:type="dxa"/>
            <w:vMerge w:val="continue"/>
            <w:noWrap w:val="0"/>
            <w:vAlign w:val="top"/>
          </w:tcPr>
          <w:p>
            <w:pPr>
              <w:spacing w:line="360" w:lineRule="auto"/>
              <w:rPr>
                <w:color w:val="auto"/>
                <w:sz w:val="24"/>
                <w:highlight w:val="none"/>
              </w:rPr>
            </w:pPr>
          </w:p>
        </w:tc>
        <w:tc>
          <w:tcPr>
            <w:tcW w:w="1829" w:type="dxa"/>
            <w:noWrap w:val="0"/>
            <w:vAlign w:val="center"/>
          </w:tcPr>
          <w:p>
            <w:pPr>
              <w:spacing w:line="360" w:lineRule="auto"/>
              <w:jc w:val="center"/>
              <w:rPr>
                <w:color w:val="auto"/>
                <w:sz w:val="24"/>
                <w:highlight w:val="none"/>
              </w:rPr>
            </w:pPr>
          </w:p>
        </w:tc>
        <w:tc>
          <w:tcPr>
            <w:tcW w:w="1506" w:type="dxa"/>
            <w:noWrap w:val="0"/>
            <w:vAlign w:val="center"/>
          </w:tcPr>
          <w:p>
            <w:pPr>
              <w:spacing w:line="360" w:lineRule="auto"/>
              <w:jc w:val="center"/>
              <w:rPr>
                <w:color w:val="auto"/>
                <w:sz w:val="24"/>
                <w:highlight w:val="none"/>
              </w:rPr>
            </w:pPr>
          </w:p>
        </w:tc>
        <w:tc>
          <w:tcPr>
            <w:tcW w:w="1724" w:type="dxa"/>
            <w:noWrap w:val="0"/>
            <w:vAlign w:val="center"/>
          </w:tcPr>
          <w:p>
            <w:pPr>
              <w:spacing w:line="360" w:lineRule="auto"/>
              <w:jc w:val="center"/>
              <w:rPr>
                <w:color w:val="auto"/>
                <w:sz w:val="24"/>
                <w:highlight w:val="none"/>
              </w:rPr>
            </w:pPr>
          </w:p>
        </w:tc>
        <w:tc>
          <w:tcPr>
            <w:tcW w:w="1827" w:type="dxa"/>
            <w:noWrap w:val="0"/>
            <w:vAlign w:val="center"/>
          </w:tcPr>
          <w:p>
            <w:pPr>
              <w:spacing w:line="360" w:lineRule="auto"/>
              <w:jc w:val="center"/>
              <w:rPr>
                <w:color w:val="auto"/>
                <w:sz w:val="24"/>
                <w:highlight w:val="none"/>
              </w:rPr>
            </w:pPr>
          </w:p>
        </w:tc>
        <w:tc>
          <w:tcPr>
            <w:tcW w:w="1595" w:type="dxa"/>
            <w:noWrap w:val="0"/>
            <w:vAlign w:val="center"/>
          </w:tcPr>
          <w:p>
            <w:pPr>
              <w:spacing w:line="360" w:lineRule="auto"/>
              <w:jc w:val="center"/>
              <w:rPr>
                <w:color w:val="auto"/>
                <w:sz w:val="24"/>
                <w:highlight w:val="none"/>
              </w:rPr>
            </w:pPr>
          </w:p>
        </w:tc>
      </w:tr>
    </w:tbl>
    <w:p>
      <w:pPr>
        <w:spacing w:line="360" w:lineRule="auto"/>
        <w:rPr>
          <w:color w:val="auto"/>
          <w:sz w:val="24"/>
          <w:highlight w:val="none"/>
        </w:rPr>
      </w:pPr>
    </w:p>
    <w:p>
      <w:pPr>
        <w:spacing w:line="360" w:lineRule="auto"/>
        <w:rPr>
          <w:color w:val="auto"/>
          <w:sz w:val="24"/>
          <w:highlight w:val="none"/>
        </w:rPr>
      </w:pPr>
      <w:r>
        <w:rPr>
          <w:color w:val="auto"/>
          <w:sz w:val="24"/>
          <w:highlight w:val="none"/>
        </w:rPr>
        <w:t>投标人名称：</w:t>
      </w:r>
      <w:r>
        <w:rPr>
          <w:color w:val="auto"/>
          <w:sz w:val="24"/>
          <w:highlight w:val="none"/>
          <w:u w:val="single"/>
        </w:rPr>
        <w:t xml:space="preserve">                            </w:t>
      </w:r>
      <w:r>
        <w:rPr>
          <w:color w:val="auto"/>
          <w:sz w:val="24"/>
          <w:highlight w:val="none"/>
        </w:rPr>
        <w:t>（盖章）</w:t>
      </w:r>
    </w:p>
    <w:p>
      <w:pPr>
        <w:spacing w:line="360" w:lineRule="auto"/>
        <w:rPr>
          <w:color w:val="auto"/>
          <w:sz w:val="24"/>
          <w:highlight w:val="none"/>
        </w:rPr>
      </w:pPr>
      <w:r>
        <w:rPr>
          <w:color w:val="auto"/>
          <w:sz w:val="24"/>
          <w:highlight w:val="none"/>
        </w:rPr>
        <w:t>法定代表人或授权代表：</w:t>
      </w:r>
      <w:r>
        <w:rPr>
          <w:color w:val="auto"/>
          <w:sz w:val="24"/>
          <w:highlight w:val="none"/>
          <w:u w:val="single"/>
        </w:rPr>
        <w:t xml:space="preserve">            </w:t>
      </w:r>
      <w:r>
        <w:rPr>
          <w:color w:val="auto"/>
          <w:sz w:val="24"/>
          <w:highlight w:val="none"/>
        </w:rPr>
        <w:t>（签字或盖章）</w:t>
      </w:r>
    </w:p>
    <w:p>
      <w:pPr>
        <w:spacing w:line="360" w:lineRule="auto"/>
        <w:rPr>
          <w:color w:val="auto"/>
          <w:sz w:val="24"/>
          <w:highlight w:val="none"/>
        </w:rPr>
      </w:pPr>
      <w:r>
        <w:rPr>
          <w:color w:val="auto"/>
          <w:sz w:val="24"/>
          <w:highlight w:val="none"/>
        </w:rPr>
        <w:t>日 期：    年     月     日</w:t>
      </w:r>
    </w:p>
    <w:p>
      <w:pPr>
        <w:spacing w:line="360" w:lineRule="auto"/>
        <w:rPr>
          <w:color w:val="auto"/>
          <w:sz w:val="24"/>
          <w:highlight w:val="none"/>
        </w:rPr>
      </w:pPr>
    </w:p>
    <w:p>
      <w:pPr>
        <w:spacing w:line="360" w:lineRule="auto"/>
        <w:rPr>
          <w:color w:val="auto"/>
          <w:sz w:val="28"/>
          <w:szCs w:val="28"/>
          <w:highlight w:val="none"/>
        </w:rPr>
      </w:pPr>
      <w:r>
        <w:rPr>
          <w:color w:val="auto"/>
          <w:sz w:val="24"/>
          <w:highlight w:val="none"/>
        </w:rPr>
        <w:t>注：此表在不改变表式的情况下可自行制作。</w:t>
      </w:r>
    </w:p>
    <w:p>
      <w:pPr>
        <w:rPr>
          <w:color w:val="auto"/>
          <w:sz w:val="28"/>
          <w:szCs w:val="28"/>
          <w:highlight w:val="none"/>
        </w:rPr>
        <w:sectPr>
          <w:headerReference r:id="rId7" w:type="default"/>
          <w:pgSz w:w="11906" w:h="16838"/>
          <w:pgMar w:top="1361" w:right="1304" w:bottom="1361" w:left="1247" w:header="851" w:footer="992" w:gutter="0"/>
          <w:cols w:space="720" w:num="1"/>
          <w:docGrid w:type="linesAndChars" w:linePitch="312" w:charSpace="0"/>
        </w:sectPr>
      </w:pPr>
    </w:p>
    <w:p>
      <w:pPr>
        <w:rPr>
          <w:rFonts w:hint="eastAsia"/>
          <w:color w:val="auto"/>
          <w:sz w:val="28"/>
          <w:szCs w:val="28"/>
          <w:highlight w:val="none"/>
        </w:rPr>
      </w:pPr>
      <w:r>
        <w:rPr>
          <w:color w:val="auto"/>
          <w:sz w:val="28"/>
          <w:szCs w:val="28"/>
          <w:highlight w:val="none"/>
        </w:rPr>
        <w:t>附件</w:t>
      </w:r>
      <w:r>
        <w:rPr>
          <w:rFonts w:hint="eastAsia"/>
          <w:color w:val="auto"/>
          <w:sz w:val="28"/>
          <w:szCs w:val="28"/>
          <w:highlight w:val="none"/>
        </w:rPr>
        <w:t>七</w:t>
      </w:r>
    </w:p>
    <w:p>
      <w:pPr>
        <w:rPr>
          <w:color w:val="auto"/>
          <w:sz w:val="32"/>
          <w:highlight w:val="none"/>
        </w:rPr>
      </w:pPr>
    </w:p>
    <w:p>
      <w:pPr>
        <w:pStyle w:val="9"/>
        <w:rPr>
          <w:rFonts w:ascii="Times New Roman" w:hAnsi="Times New Roman" w:cs="Times New Roman"/>
          <w:color w:val="auto"/>
          <w:sz w:val="32"/>
          <w:highlight w:val="none"/>
        </w:rPr>
      </w:pPr>
      <w:bookmarkStart w:id="62" w:name="_Toc20269"/>
      <w:bookmarkStart w:id="63" w:name="_Toc17877"/>
      <w:bookmarkStart w:id="64" w:name="_Toc2740"/>
      <w:bookmarkStart w:id="65" w:name="_Toc23517"/>
      <w:bookmarkStart w:id="66" w:name="_Toc9098"/>
      <w:r>
        <w:rPr>
          <w:rFonts w:ascii="Times New Roman" w:hAnsi="Times New Roman" w:cs="Times New Roman"/>
          <w:color w:val="auto"/>
          <w:sz w:val="32"/>
          <w:highlight w:val="none"/>
        </w:rPr>
        <w:t>服务质量保证、服务期</w:t>
      </w:r>
      <w:r>
        <w:rPr>
          <w:rFonts w:hint="eastAsia" w:ascii="Times New Roman" w:hAnsi="Times New Roman" w:cs="Times New Roman"/>
          <w:color w:val="auto"/>
          <w:sz w:val="32"/>
          <w:highlight w:val="none"/>
          <w:lang w:val="en-US"/>
        </w:rPr>
        <w:t>内</w:t>
      </w:r>
      <w:r>
        <w:rPr>
          <w:rFonts w:ascii="Times New Roman" w:hAnsi="Times New Roman" w:cs="Times New Roman"/>
          <w:color w:val="auto"/>
          <w:sz w:val="32"/>
          <w:highlight w:val="none"/>
        </w:rPr>
        <w:t>及其他有关承诺</w:t>
      </w:r>
      <w:bookmarkEnd w:id="62"/>
      <w:bookmarkEnd w:id="63"/>
      <w:bookmarkEnd w:id="64"/>
      <w:bookmarkEnd w:id="65"/>
      <w:bookmarkEnd w:id="66"/>
    </w:p>
    <w:p>
      <w:pPr>
        <w:rPr>
          <w:b/>
          <w:bCs/>
          <w:color w:val="auto"/>
          <w:sz w:val="32"/>
          <w:highlight w:val="none"/>
        </w:rPr>
      </w:pPr>
    </w:p>
    <w:p>
      <w:pPr>
        <w:numPr>
          <w:ilvl w:val="0"/>
          <w:numId w:val="4"/>
        </w:numPr>
        <w:spacing w:line="480" w:lineRule="auto"/>
        <w:ind w:left="357" w:hanging="357"/>
        <w:rPr>
          <w:color w:val="auto"/>
          <w:sz w:val="24"/>
          <w:highlight w:val="none"/>
        </w:rPr>
      </w:pPr>
      <w:r>
        <w:rPr>
          <w:color w:val="auto"/>
          <w:sz w:val="24"/>
          <w:highlight w:val="none"/>
        </w:rPr>
        <w:t>投标人服务期内的承诺书。</w:t>
      </w:r>
    </w:p>
    <w:p>
      <w:pPr>
        <w:numPr>
          <w:ilvl w:val="0"/>
          <w:numId w:val="4"/>
        </w:numPr>
        <w:spacing w:line="480" w:lineRule="auto"/>
        <w:ind w:left="357" w:hanging="357"/>
        <w:rPr>
          <w:color w:val="auto"/>
          <w:sz w:val="24"/>
          <w:highlight w:val="none"/>
        </w:rPr>
      </w:pPr>
      <w:r>
        <w:rPr>
          <w:color w:val="auto"/>
          <w:sz w:val="24"/>
          <w:highlight w:val="none"/>
        </w:rPr>
        <w:t>对用户人员的详细培训计划。</w:t>
      </w:r>
    </w:p>
    <w:p>
      <w:pPr>
        <w:numPr>
          <w:ilvl w:val="0"/>
          <w:numId w:val="4"/>
        </w:numPr>
        <w:spacing w:line="480" w:lineRule="auto"/>
        <w:ind w:left="357" w:hanging="357"/>
        <w:rPr>
          <w:color w:val="auto"/>
          <w:sz w:val="24"/>
          <w:highlight w:val="none"/>
        </w:rPr>
      </w:pPr>
      <w:r>
        <w:rPr>
          <w:color w:val="auto"/>
          <w:sz w:val="24"/>
          <w:highlight w:val="none"/>
        </w:rPr>
        <w:t>其他有关优惠承诺。</w:t>
      </w:r>
    </w:p>
    <w:p>
      <w:pPr>
        <w:numPr>
          <w:ilvl w:val="0"/>
          <w:numId w:val="4"/>
        </w:numPr>
        <w:spacing w:line="480" w:lineRule="auto"/>
        <w:ind w:left="357" w:hanging="357"/>
        <w:rPr>
          <w:color w:val="auto"/>
          <w:sz w:val="24"/>
          <w:highlight w:val="none"/>
        </w:rPr>
      </w:pPr>
      <w:r>
        <w:rPr>
          <w:color w:val="auto"/>
          <w:sz w:val="24"/>
          <w:highlight w:val="none"/>
        </w:rPr>
        <w:t>其他相关内容。</w:t>
      </w:r>
    </w:p>
    <w:p>
      <w:pPr>
        <w:spacing w:line="480" w:lineRule="auto"/>
        <w:rPr>
          <w:color w:val="auto"/>
          <w:sz w:val="24"/>
          <w:highlight w:val="none"/>
        </w:rPr>
      </w:pPr>
    </w:p>
    <w:p>
      <w:pPr>
        <w:spacing w:line="480" w:lineRule="auto"/>
        <w:rPr>
          <w:color w:val="auto"/>
          <w:sz w:val="24"/>
          <w:highlight w:val="none"/>
        </w:rPr>
      </w:pPr>
    </w:p>
    <w:p>
      <w:pPr>
        <w:spacing w:line="480" w:lineRule="auto"/>
        <w:rPr>
          <w:color w:val="auto"/>
          <w:sz w:val="24"/>
          <w:highlight w:val="none"/>
        </w:rPr>
      </w:pPr>
    </w:p>
    <w:p>
      <w:pPr>
        <w:spacing w:line="480" w:lineRule="auto"/>
        <w:rPr>
          <w:color w:val="auto"/>
          <w:sz w:val="24"/>
          <w:highlight w:val="none"/>
        </w:rPr>
      </w:pPr>
      <w:r>
        <w:rPr>
          <w:color w:val="auto"/>
          <w:sz w:val="24"/>
          <w:highlight w:val="none"/>
        </w:rPr>
        <w:t xml:space="preserve">                           投标人名称：</w:t>
      </w:r>
      <w:r>
        <w:rPr>
          <w:color w:val="auto"/>
          <w:sz w:val="24"/>
          <w:highlight w:val="none"/>
          <w:u w:val="single"/>
        </w:rPr>
        <w:t xml:space="preserve">                                </w:t>
      </w:r>
      <w:r>
        <w:rPr>
          <w:color w:val="auto"/>
          <w:sz w:val="24"/>
          <w:highlight w:val="none"/>
        </w:rPr>
        <w:t>（盖章）</w:t>
      </w:r>
    </w:p>
    <w:p>
      <w:pPr>
        <w:spacing w:line="480" w:lineRule="auto"/>
        <w:rPr>
          <w:color w:val="auto"/>
          <w:sz w:val="24"/>
          <w:highlight w:val="none"/>
          <w:u w:val="single"/>
        </w:rPr>
      </w:pPr>
      <w:r>
        <w:rPr>
          <w:color w:val="auto"/>
          <w:sz w:val="24"/>
          <w:highlight w:val="none"/>
        </w:rPr>
        <w:t xml:space="preserve">                           法定代表人或授权代表：</w:t>
      </w:r>
      <w:r>
        <w:rPr>
          <w:color w:val="auto"/>
          <w:sz w:val="24"/>
          <w:highlight w:val="none"/>
          <w:u w:val="single"/>
        </w:rPr>
        <w:t xml:space="preserve">                </w:t>
      </w:r>
      <w:r>
        <w:rPr>
          <w:color w:val="auto"/>
          <w:sz w:val="24"/>
          <w:highlight w:val="none"/>
        </w:rPr>
        <w:t>（签字或盖章）</w:t>
      </w:r>
    </w:p>
    <w:p>
      <w:pPr>
        <w:spacing w:line="480" w:lineRule="auto"/>
        <w:rPr>
          <w:color w:val="auto"/>
          <w:sz w:val="24"/>
          <w:highlight w:val="none"/>
        </w:rPr>
      </w:pPr>
      <w:r>
        <w:rPr>
          <w:color w:val="auto"/>
          <w:sz w:val="24"/>
          <w:highlight w:val="none"/>
        </w:rPr>
        <w:t xml:space="preserve">                           日期：     年    月    日</w:t>
      </w:r>
    </w:p>
    <w:p>
      <w:pPr>
        <w:spacing w:line="480" w:lineRule="auto"/>
        <w:jc w:val="left"/>
        <w:rPr>
          <w:b/>
          <w:bCs/>
          <w:color w:val="auto"/>
          <w:sz w:val="32"/>
          <w:highlight w:val="none"/>
        </w:rPr>
      </w:pPr>
    </w:p>
    <w:p>
      <w:pPr>
        <w:spacing w:line="480" w:lineRule="auto"/>
        <w:jc w:val="left"/>
        <w:rPr>
          <w:color w:val="auto"/>
          <w:sz w:val="24"/>
          <w:highlight w:val="none"/>
        </w:rPr>
      </w:pPr>
    </w:p>
    <w:p>
      <w:pPr>
        <w:spacing w:line="480" w:lineRule="auto"/>
        <w:jc w:val="left"/>
        <w:rPr>
          <w:color w:val="auto"/>
          <w:sz w:val="24"/>
          <w:highlight w:val="none"/>
        </w:rPr>
      </w:pPr>
    </w:p>
    <w:p>
      <w:pPr>
        <w:spacing w:line="480" w:lineRule="auto"/>
        <w:jc w:val="left"/>
        <w:rPr>
          <w:color w:val="auto"/>
          <w:sz w:val="24"/>
          <w:highlight w:val="none"/>
        </w:rPr>
      </w:pPr>
    </w:p>
    <w:p>
      <w:pPr>
        <w:spacing w:line="480" w:lineRule="auto"/>
        <w:jc w:val="left"/>
        <w:rPr>
          <w:color w:val="auto"/>
          <w:sz w:val="24"/>
          <w:highlight w:val="none"/>
        </w:rPr>
      </w:pPr>
    </w:p>
    <w:p>
      <w:pPr>
        <w:spacing w:line="480" w:lineRule="auto"/>
        <w:jc w:val="left"/>
        <w:rPr>
          <w:color w:val="auto"/>
          <w:sz w:val="24"/>
          <w:highlight w:val="none"/>
        </w:rPr>
      </w:pPr>
      <w:r>
        <w:rPr>
          <w:color w:val="auto"/>
          <w:sz w:val="24"/>
          <w:highlight w:val="none"/>
        </w:rPr>
        <w:t>注：本附件可根据实际情况自行制作。</w:t>
      </w:r>
    </w:p>
    <w:p>
      <w:pPr>
        <w:tabs>
          <w:tab w:val="left" w:pos="420"/>
        </w:tabs>
        <w:spacing w:line="400" w:lineRule="exact"/>
        <w:rPr>
          <w:rFonts w:hint="eastAsia"/>
          <w:color w:val="auto"/>
          <w:sz w:val="28"/>
          <w:szCs w:val="28"/>
          <w:highlight w:val="none"/>
        </w:rPr>
      </w:pPr>
      <w:r>
        <w:rPr>
          <w:b/>
          <w:bCs/>
          <w:color w:val="auto"/>
          <w:sz w:val="32"/>
          <w:highlight w:val="none"/>
        </w:rPr>
        <w:br w:type="page"/>
      </w:r>
      <w:r>
        <w:rPr>
          <w:color w:val="auto"/>
          <w:sz w:val="28"/>
          <w:szCs w:val="28"/>
          <w:highlight w:val="none"/>
        </w:rPr>
        <w:t>附件</w:t>
      </w:r>
      <w:r>
        <w:rPr>
          <w:rFonts w:hint="eastAsia"/>
          <w:color w:val="auto"/>
          <w:sz w:val="28"/>
          <w:szCs w:val="28"/>
          <w:highlight w:val="none"/>
        </w:rPr>
        <w:t>八</w:t>
      </w:r>
    </w:p>
    <w:p>
      <w:pPr>
        <w:tabs>
          <w:tab w:val="left" w:pos="420"/>
        </w:tabs>
        <w:spacing w:line="400" w:lineRule="exact"/>
        <w:rPr>
          <w:color w:val="auto"/>
          <w:sz w:val="28"/>
          <w:szCs w:val="28"/>
          <w:highlight w:val="none"/>
        </w:rPr>
      </w:pPr>
    </w:p>
    <w:p>
      <w:pPr>
        <w:pStyle w:val="9"/>
        <w:rPr>
          <w:rFonts w:ascii="Times New Roman" w:hAnsi="Times New Roman" w:cs="Times New Roman"/>
          <w:color w:val="auto"/>
          <w:sz w:val="32"/>
          <w:highlight w:val="none"/>
        </w:rPr>
      </w:pPr>
      <w:bookmarkStart w:id="67" w:name="_Toc1179"/>
      <w:bookmarkStart w:id="68" w:name="_Toc31854"/>
      <w:bookmarkStart w:id="69" w:name="_Toc15023"/>
      <w:bookmarkStart w:id="70" w:name="_Toc28917"/>
      <w:bookmarkStart w:id="71" w:name="_Toc9841"/>
      <w:r>
        <w:rPr>
          <w:rFonts w:ascii="Times New Roman" w:hAnsi="Times New Roman" w:cs="Times New Roman"/>
          <w:color w:val="auto"/>
          <w:sz w:val="32"/>
          <w:highlight w:val="none"/>
          <w:lang w:val="en-US"/>
        </w:rPr>
        <w:t>采购</w:t>
      </w:r>
      <w:r>
        <w:rPr>
          <w:rFonts w:ascii="Times New Roman" w:hAnsi="Times New Roman" w:cs="Times New Roman"/>
          <w:color w:val="auto"/>
          <w:sz w:val="32"/>
          <w:highlight w:val="none"/>
        </w:rPr>
        <w:t>代理服务费承诺书</w:t>
      </w:r>
      <w:bookmarkEnd w:id="67"/>
      <w:bookmarkEnd w:id="68"/>
      <w:bookmarkEnd w:id="69"/>
      <w:bookmarkEnd w:id="70"/>
      <w:bookmarkEnd w:id="71"/>
    </w:p>
    <w:p>
      <w:pPr>
        <w:tabs>
          <w:tab w:val="left" w:pos="420"/>
        </w:tabs>
        <w:spacing w:line="288" w:lineRule="auto"/>
        <w:rPr>
          <w:color w:val="auto"/>
          <w:sz w:val="30"/>
          <w:szCs w:val="30"/>
          <w:highlight w:val="none"/>
        </w:rPr>
      </w:pPr>
    </w:p>
    <w:p>
      <w:pPr>
        <w:spacing w:line="600" w:lineRule="auto"/>
        <w:rPr>
          <w:color w:val="auto"/>
          <w:sz w:val="24"/>
          <w:highlight w:val="none"/>
        </w:rPr>
      </w:pPr>
      <w:r>
        <w:rPr>
          <w:rFonts w:hint="eastAsia" w:ascii="Times New Roman" w:hAnsi="Times New Roman" w:eastAsia="宋体" w:cs="Times New Roman"/>
          <w:color w:val="auto"/>
          <w:sz w:val="24"/>
          <w:highlight w:val="none"/>
          <w:u w:val="single"/>
          <w:lang w:eastAsia="zh-CN"/>
        </w:rPr>
        <w:t>（采购代理机构）</w:t>
      </w:r>
      <w:r>
        <w:rPr>
          <w:color w:val="auto"/>
          <w:sz w:val="24"/>
          <w:highlight w:val="none"/>
        </w:rPr>
        <w:t>：</w:t>
      </w:r>
    </w:p>
    <w:p>
      <w:pPr>
        <w:spacing w:line="480" w:lineRule="auto"/>
        <w:ind w:firstLine="480" w:firstLineChars="200"/>
        <w:rPr>
          <w:color w:val="auto"/>
          <w:sz w:val="24"/>
          <w:highlight w:val="none"/>
        </w:rPr>
      </w:pPr>
      <w:r>
        <w:rPr>
          <w:color w:val="auto"/>
          <w:sz w:val="24"/>
          <w:highlight w:val="none"/>
        </w:rPr>
        <w:t>本公司</w:t>
      </w:r>
      <w:r>
        <w:rPr>
          <w:color w:val="auto"/>
          <w:sz w:val="24"/>
          <w:highlight w:val="none"/>
          <w:u w:val="single"/>
        </w:rPr>
        <w:t xml:space="preserve">                     </w:t>
      </w:r>
      <w:r>
        <w:rPr>
          <w:color w:val="auto"/>
          <w:sz w:val="24"/>
          <w:highlight w:val="none"/>
        </w:rPr>
        <w:t>（投标人名称）在参加贵公司的</w:t>
      </w:r>
      <w:r>
        <w:rPr>
          <w:rFonts w:hint="eastAsia" w:ascii="Times New Roman" w:hAnsi="Times New Roman" w:eastAsia="宋体"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rPr>
        <w:t>（招标项目名称）（</w:t>
      </w:r>
      <w:r>
        <w:rPr>
          <w:rFonts w:ascii="Times New Roman" w:hAnsi="Times New Roman" w:eastAsia="宋体" w:cs="Times New Roman"/>
          <w:color w:val="auto"/>
          <w:sz w:val="24"/>
          <w:highlight w:val="none"/>
          <w:u w:val="none"/>
        </w:rPr>
        <w:t>项目编号</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rPr>
        <w:t>）</w:t>
      </w:r>
      <w:r>
        <w:rPr>
          <w:color w:val="auto"/>
          <w:sz w:val="24"/>
          <w:highlight w:val="none"/>
        </w:rPr>
        <w:t>的招标中如获中标，我公司保证在收到</w:t>
      </w:r>
      <w:r>
        <w:rPr>
          <w:rFonts w:hint="eastAsia"/>
          <w:color w:val="auto"/>
          <w:sz w:val="24"/>
          <w:highlight w:val="none"/>
        </w:rPr>
        <w:t>“</w:t>
      </w:r>
      <w:r>
        <w:rPr>
          <w:color w:val="auto"/>
          <w:sz w:val="24"/>
          <w:highlight w:val="none"/>
        </w:rPr>
        <w:t>中标通知书</w:t>
      </w:r>
      <w:r>
        <w:rPr>
          <w:rFonts w:hint="eastAsia"/>
          <w:color w:val="auto"/>
          <w:sz w:val="24"/>
          <w:highlight w:val="none"/>
        </w:rPr>
        <w:t>”</w:t>
      </w:r>
      <w:r>
        <w:rPr>
          <w:color w:val="auto"/>
          <w:sz w:val="24"/>
          <w:highlight w:val="none"/>
        </w:rPr>
        <w:t>后在规定时间向贵公司交纳招标代理服务费。</w:t>
      </w:r>
    </w:p>
    <w:p>
      <w:pPr>
        <w:spacing w:line="360" w:lineRule="auto"/>
        <w:rPr>
          <w:color w:val="auto"/>
          <w:sz w:val="24"/>
          <w:highlight w:val="none"/>
        </w:rPr>
      </w:pPr>
    </w:p>
    <w:p>
      <w:pPr>
        <w:tabs>
          <w:tab w:val="left" w:pos="420"/>
        </w:tabs>
        <w:spacing w:line="360" w:lineRule="auto"/>
        <w:rPr>
          <w:color w:val="auto"/>
          <w:sz w:val="24"/>
          <w:highlight w:val="none"/>
        </w:rPr>
      </w:pPr>
    </w:p>
    <w:p>
      <w:pPr>
        <w:tabs>
          <w:tab w:val="left" w:pos="420"/>
        </w:tabs>
        <w:spacing w:line="360" w:lineRule="auto"/>
        <w:ind w:firstLine="480" w:firstLineChars="200"/>
        <w:rPr>
          <w:color w:val="auto"/>
          <w:sz w:val="24"/>
          <w:highlight w:val="none"/>
        </w:rPr>
      </w:pPr>
      <w:r>
        <w:rPr>
          <w:color w:val="auto"/>
          <w:sz w:val="24"/>
          <w:highlight w:val="none"/>
        </w:rPr>
        <w:t>特此承诺！</w:t>
      </w:r>
    </w:p>
    <w:p>
      <w:pPr>
        <w:tabs>
          <w:tab w:val="left" w:pos="420"/>
        </w:tabs>
        <w:spacing w:line="360" w:lineRule="auto"/>
        <w:rPr>
          <w:color w:val="auto"/>
          <w:sz w:val="24"/>
          <w:highlight w:val="none"/>
        </w:rPr>
      </w:pPr>
    </w:p>
    <w:p>
      <w:pPr>
        <w:tabs>
          <w:tab w:val="left" w:pos="420"/>
        </w:tabs>
        <w:spacing w:line="360" w:lineRule="auto"/>
        <w:rPr>
          <w:color w:val="auto"/>
          <w:sz w:val="24"/>
          <w:highlight w:val="none"/>
        </w:rPr>
      </w:pPr>
    </w:p>
    <w:p>
      <w:pPr>
        <w:pStyle w:val="6"/>
        <w:rPr>
          <w:color w:val="auto"/>
          <w:sz w:val="24"/>
          <w:highlight w:val="none"/>
        </w:rPr>
      </w:pPr>
    </w:p>
    <w:p>
      <w:pPr>
        <w:pStyle w:val="6"/>
        <w:rPr>
          <w:color w:val="auto"/>
          <w:sz w:val="24"/>
          <w:highlight w:val="none"/>
        </w:rPr>
      </w:pPr>
    </w:p>
    <w:p>
      <w:pPr>
        <w:pStyle w:val="6"/>
        <w:rPr>
          <w:color w:val="auto"/>
          <w:sz w:val="24"/>
          <w:highlight w:val="none"/>
        </w:rPr>
      </w:pPr>
    </w:p>
    <w:p>
      <w:pPr>
        <w:pStyle w:val="6"/>
        <w:rPr>
          <w:color w:val="auto"/>
          <w:sz w:val="24"/>
          <w:highlight w:val="none"/>
        </w:rPr>
      </w:pPr>
    </w:p>
    <w:p>
      <w:pPr>
        <w:pStyle w:val="6"/>
        <w:rPr>
          <w:color w:val="auto"/>
          <w:sz w:val="24"/>
          <w:highlight w:val="none"/>
        </w:rPr>
      </w:pPr>
    </w:p>
    <w:p>
      <w:pPr>
        <w:pStyle w:val="6"/>
        <w:rPr>
          <w:color w:val="auto"/>
          <w:sz w:val="24"/>
          <w:highlight w:val="none"/>
        </w:rPr>
      </w:pPr>
    </w:p>
    <w:p>
      <w:pPr>
        <w:tabs>
          <w:tab w:val="left" w:pos="420"/>
        </w:tabs>
        <w:spacing w:line="480" w:lineRule="auto"/>
        <w:ind w:left="567" w:hanging="567"/>
        <w:rPr>
          <w:color w:val="auto"/>
          <w:sz w:val="24"/>
          <w:highlight w:val="none"/>
        </w:rPr>
      </w:pPr>
      <w:r>
        <w:rPr>
          <w:color w:val="auto"/>
          <w:sz w:val="24"/>
          <w:highlight w:val="none"/>
        </w:rPr>
        <w:t xml:space="preserve">                           投标人名称：</w:t>
      </w:r>
      <w:r>
        <w:rPr>
          <w:color w:val="auto"/>
          <w:sz w:val="24"/>
          <w:highlight w:val="none"/>
          <w:u w:val="single"/>
        </w:rPr>
        <w:t xml:space="preserve">                              </w:t>
      </w:r>
      <w:r>
        <w:rPr>
          <w:color w:val="auto"/>
          <w:sz w:val="24"/>
          <w:highlight w:val="none"/>
        </w:rPr>
        <w:t>（公章）</w:t>
      </w:r>
    </w:p>
    <w:p>
      <w:pPr>
        <w:tabs>
          <w:tab w:val="left" w:pos="420"/>
        </w:tabs>
        <w:spacing w:line="480" w:lineRule="auto"/>
        <w:ind w:left="567" w:hanging="567"/>
        <w:rPr>
          <w:color w:val="auto"/>
          <w:sz w:val="24"/>
          <w:highlight w:val="none"/>
        </w:rPr>
      </w:pPr>
      <w:r>
        <w:rPr>
          <w:color w:val="auto"/>
          <w:sz w:val="24"/>
          <w:highlight w:val="none"/>
        </w:rPr>
        <w:t xml:space="preserve">                           法定代表人或授权代表：</w:t>
      </w:r>
      <w:r>
        <w:rPr>
          <w:color w:val="auto"/>
          <w:sz w:val="24"/>
          <w:highlight w:val="none"/>
          <w:u w:val="single"/>
        </w:rPr>
        <w:t xml:space="preserve">              </w:t>
      </w:r>
      <w:r>
        <w:rPr>
          <w:color w:val="auto"/>
          <w:sz w:val="24"/>
          <w:highlight w:val="none"/>
        </w:rPr>
        <w:t>（签字或盖章）</w:t>
      </w:r>
    </w:p>
    <w:p>
      <w:pPr>
        <w:tabs>
          <w:tab w:val="left" w:pos="420"/>
        </w:tabs>
        <w:spacing w:line="480" w:lineRule="auto"/>
        <w:ind w:left="567" w:hanging="567"/>
        <w:rPr>
          <w:color w:val="auto"/>
          <w:sz w:val="24"/>
          <w:highlight w:val="none"/>
        </w:rPr>
      </w:pPr>
      <w:r>
        <w:rPr>
          <w:color w:val="auto"/>
          <w:sz w:val="24"/>
          <w:highlight w:val="none"/>
        </w:rPr>
        <w:t xml:space="preserve">                           日期：     年    月    日</w:t>
      </w:r>
    </w:p>
    <w:p>
      <w:pPr>
        <w:tabs>
          <w:tab w:val="left" w:pos="420"/>
        </w:tabs>
        <w:spacing w:line="360" w:lineRule="auto"/>
        <w:ind w:left="567" w:hanging="567"/>
        <w:rPr>
          <w:color w:val="auto"/>
          <w:sz w:val="24"/>
          <w:highlight w:val="none"/>
        </w:rPr>
      </w:pPr>
    </w:p>
    <w:p>
      <w:pPr>
        <w:tabs>
          <w:tab w:val="left" w:pos="420"/>
        </w:tabs>
        <w:spacing w:line="360" w:lineRule="auto"/>
        <w:ind w:left="567" w:hanging="567"/>
        <w:rPr>
          <w:color w:val="auto"/>
          <w:sz w:val="24"/>
          <w:highlight w:val="none"/>
        </w:rPr>
      </w:pPr>
    </w:p>
    <w:p>
      <w:pPr>
        <w:tabs>
          <w:tab w:val="left" w:pos="420"/>
        </w:tabs>
        <w:spacing w:line="360" w:lineRule="auto"/>
        <w:ind w:left="567" w:hanging="567"/>
        <w:rPr>
          <w:color w:val="auto"/>
          <w:sz w:val="24"/>
          <w:highlight w:val="none"/>
        </w:rPr>
      </w:pPr>
    </w:p>
    <w:p>
      <w:pPr>
        <w:tabs>
          <w:tab w:val="left" w:pos="420"/>
        </w:tabs>
        <w:spacing w:line="360" w:lineRule="auto"/>
        <w:ind w:left="567" w:hanging="567"/>
        <w:rPr>
          <w:color w:val="auto"/>
          <w:sz w:val="24"/>
          <w:highlight w:val="none"/>
        </w:rPr>
      </w:pPr>
    </w:p>
    <w:p>
      <w:pPr>
        <w:tabs>
          <w:tab w:val="left" w:pos="420"/>
        </w:tabs>
        <w:spacing w:line="400" w:lineRule="exact"/>
        <w:rPr>
          <w:color w:val="auto"/>
          <w:sz w:val="28"/>
          <w:szCs w:val="28"/>
          <w:highlight w:val="none"/>
        </w:rPr>
      </w:pPr>
    </w:p>
    <w:p>
      <w:pPr>
        <w:tabs>
          <w:tab w:val="left" w:pos="420"/>
        </w:tabs>
        <w:spacing w:line="400" w:lineRule="exact"/>
        <w:rPr>
          <w:rFonts w:hint="eastAsia"/>
          <w:color w:val="auto"/>
          <w:sz w:val="28"/>
          <w:szCs w:val="28"/>
          <w:highlight w:val="none"/>
        </w:rPr>
      </w:pPr>
      <w:r>
        <w:rPr>
          <w:color w:val="auto"/>
          <w:sz w:val="28"/>
          <w:szCs w:val="28"/>
          <w:highlight w:val="none"/>
        </w:rPr>
        <w:t>附件</w:t>
      </w:r>
      <w:r>
        <w:rPr>
          <w:rFonts w:hint="eastAsia"/>
          <w:color w:val="auto"/>
          <w:sz w:val="28"/>
          <w:szCs w:val="28"/>
          <w:highlight w:val="none"/>
        </w:rPr>
        <w:t>九</w:t>
      </w:r>
    </w:p>
    <w:p>
      <w:pPr>
        <w:tabs>
          <w:tab w:val="left" w:pos="420"/>
        </w:tabs>
        <w:spacing w:line="400" w:lineRule="exact"/>
        <w:rPr>
          <w:color w:val="auto"/>
          <w:sz w:val="28"/>
          <w:szCs w:val="28"/>
          <w:highlight w:val="none"/>
        </w:rPr>
      </w:pPr>
    </w:p>
    <w:p>
      <w:pPr>
        <w:pStyle w:val="9"/>
        <w:rPr>
          <w:rFonts w:ascii="Times New Roman" w:hAnsi="Times New Roman" w:cs="Times New Roman"/>
          <w:color w:val="auto"/>
          <w:sz w:val="32"/>
          <w:highlight w:val="none"/>
        </w:rPr>
      </w:pPr>
      <w:bookmarkStart w:id="72" w:name="_Toc22720"/>
      <w:bookmarkStart w:id="73" w:name="_Toc23390"/>
      <w:bookmarkStart w:id="74" w:name="_Toc15119"/>
      <w:bookmarkStart w:id="75" w:name="_Toc13015"/>
      <w:bookmarkStart w:id="76" w:name="_Toc14731"/>
      <w:r>
        <w:rPr>
          <w:rFonts w:ascii="Times New Roman" w:hAnsi="Times New Roman" w:cs="Times New Roman"/>
          <w:color w:val="auto"/>
          <w:sz w:val="32"/>
          <w:highlight w:val="none"/>
        </w:rPr>
        <w:t>投标书</w:t>
      </w:r>
      <w:bookmarkEnd w:id="72"/>
      <w:bookmarkEnd w:id="73"/>
      <w:bookmarkEnd w:id="74"/>
      <w:bookmarkEnd w:id="75"/>
      <w:bookmarkEnd w:id="76"/>
    </w:p>
    <w:p>
      <w:pPr>
        <w:rPr>
          <w:color w:val="auto"/>
          <w:highlight w:val="none"/>
        </w:rPr>
      </w:pPr>
    </w:p>
    <w:p>
      <w:pPr>
        <w:spacing w:line="480" w:lineRule="auto"/>
        <w:rPr>
          <w:color w:val="auto"/>
          <w:sz w:val="24"/>
          <w:highlight w:val="none"/>
        </w:rPr>
      </w:pPr>
      <w:r>
        <w:rPr>
          <w:rFonts w:hint="eastAsia" w:ascii="Times New Roman" w:hAnsi="Times New Roman" w:eastAsia="宋体" w:cs="Times New Roman"/>
          <w:color w:val="auto"/>
          <w:sz w:val="24"/>
          <w:highlight w:val="none"/>
          <w:u w:val="single"/>
          <w:lang w:eastAsia="zh-CN"/>
        </w:rPr>
        <w:t>（采购人）</w:t>
      </w:r>
      <w:r>
        <w:rPr>
          <w:color w:val="auto"/>
          <w:sz w:val="24"/>
          <w:highlight w:val="none"/>
        </w:rPr>
        <w:t>：</w:t>
      </w:r>
    </w:p>
    <w:p>
      <w:pPr>
        <w:spacing w:line="440" w:lineRule="exact"/>
        <w:ind w:firstLine="480" w:firstLineChars="200"/>
        <w:rPr>
          <w:color w:val="auto"/>
          <w:sz w:val="24"/>
          <w:highlight w:val="none"/>
        </w:rPr>
      </w:pPr>
      <w:r>
        <w:rPr>
          <w:color w:val="auto"/>
          <w:sz w:val="24"/>
          <w:highlight w:val="none"/>
          <w:u w:val="single"/>
        </w:rPr>
        <w:t xml:space="preserve">                              </w:t>
      </w:r>
      <w:r>
        <w:rPr>
          <w:color w:val="auto"/>
          <w:sz w:val="24"/>
          <w:highlight w:val="none"/>
        </w:rPr>
        <w:t>（投标人全称）授权</w:t>
      </w:r>
      <w:r>
        <w:rPr>
          <w:color w:val="auto"/>
          <w:sz w:val="24"/>
          <w:highlight w:val="none"/>
          <w:u w:val="single"/>
        </w:rPr>
        <w:t xml:space="preserve">             </w:t>
      </w:r>
      <w:r>
        <w:rPr>
          <w:color w:val="auto"/>
          <w:sz w:val="24"/>
          <w:highlight w:val="none"/>
        </w:rPr>
        <w:t>（授权代表）为全权代表参加贵方组织的</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（招标项目名称）招标有关活动。</w:t>
      </w:r>
    </w:p>
    <w:p>
      <w:pPr>
        <w:spacing w:line="440" w:lineRule="exact"/>
        <w:ind w:firstLine="480" w:firstLineChars="200"/>
        <w:rPr>
          <w:color w:val="auto"/>
          <w:sz w:val="24"/>
          <w:highlight w:val="none"/>
        </w:rPr>
      </w:pPr>
      <w:r>
        <w:rPr>
          <w:color w:val="auto"/>
          <w:sz w:val="24"/>
          <w:highlight w:val="none"/>
        </w:rPr>
        <w:t>据此函，签字代表宣布同意如下：</w:t>
      </w:r>
    </w:p>
    <w:p>
      <w:pPr>
        <w:spacing w:line="440" w:lineRule="exact"/>
        <w:ind w:firstLine="480" w:firstLineChars="200"/>
        <w:rPr>
          <w:color w:val="auto"/>
          <w:sz w:val="24"/>
          <w:highlight w:val="none"/>
        </w:rPr>
      </w:pPr>
      <w:r>
        <w:rPr>
          <w:color w:val="auto"/>
          <w:sz w:val="24"/>
          <w:highlight w:val="none"/>
        </w:rPr>
        <w:t>1、为此提交招标文件规定的全部投标文件</w:t>
      </w:r>
    </w:p>
    <w:p>
      <w:pPr>
        <w:spacing w:line="440" w:lineRule="exact"/>
        <w:ind w:firstLine="480" w:firstLineChars="200"/>
        <w:rPr>
          <w:color w:val="auto"/>
          <w:sz w:val="24"/>
          <w:highlight w:val="none"/>
        </w:rPr>
      </w:pPr>
      <w:r>
        <w:rPr>
          <w:color w:val="auto"/>
          <w:sz w:val="24"/>
          <w:highlight w:val="none"/>
        </w:rPr>
        <w:t>2、保证遵守《招标文件》中有关规定</w:t>
      </w:r>
      <w:r>
        <w:rPr>
          <w:bCs/>
          <w:color w:val="auto"/>
          <w:sz w:val="24"/>
          <w:highlight w:val="none"/>
        </w:rPr>
        <w:t>；</w:t>
      </w:r>
    </w:p>
    <w:p>
      <w:pPr>
        <w:spacing w:line="440" w:lineRule="exact"/>
        <w:ind w:firstLine="480" w:firstLineChars="200"/>
        <w:rPr>
          <w:color w:val="auto"/>
          <w:sz w:val="24"/>
          <w:highlight w:val="none"/>
        </w:rPr>
      </w:pPr>
      <w:r>
        <w:rPr>
          <w:color w:val="auto"/>
          <w:sz w:val="24"/>
          <w:highlight w:val="none"/>
        </w:rPr>
        <w:t>3、投标人将按招标文件规定履行合同责任和义务</w:t>
      </w:r>
      <w:r>
        <w:rPr>
          <w:bCs/>
          <w:color w:val="auto"/>
          <w:sz w:val="24"/>
          <w:highlight w:val="none"/>
        </w:rPr>
        <w:t>；</w:t>
      </w:r>
    </w:p>
    <w:p>
      <w:pPr>
        <w:spacing w:line="440" w:lineRule="exact"/>
        <w:ind w:firstLine="480" w:firstLineChars="200"/>
        <w:rPr>
          <w:color w:val="auto"/>
          <w:sz w:val="24"/>
          <w:highlight w:val="none"/>
        </w:rPr>
      </w:pPr>
      <w:r>
        <w:rPr>
          <w:color w:val="auto"/>
          <w:sz w:val="24"/>
          <w:highlight w:val="none"/>
        </w:rPr>
        <w:t>4、其投标自开标之日起有效期为</w:t>
      </w:r>
      <w:r>
        <w:rPr>
          <w:color w:val="auto"/>
          <w:sz w:val="24"/>
          <w:highlight w:val="none"/>
          <w:u w:val="single"/>
        </w:rPr>
        <w:t xml:space="preserve">     </w:t>
      </w:r>
      <w:r>
        <w:rPr>
          <w:color w:val="auto"/>
          <w:sz w:val="24"/>
          <w:highlight w:val="none"/>
        </w:rPr>
        <w:t>天</w:t>
      </w:r>
      <w:r>
        <w:rPr>
          <w:bCs/>
          <w:color w:val="auto"/>
          <w:sz w:val="24"/>
          <w:highlight w:val="none"/>
        </w:rPr>
        <w:t>；</w:t>
      </w:r>
      <w:r>
        <w:rPr>
          <w:color w:val="auto"/>
          <w:sz w:val="24"/>
          <w:highlight w:val="none"/>
        </w:rPr>
        <w:t>（≥60天）</w:t>
      </w:r>
    </w:p>
    <w:p>
      <w:pPr>
        <w:spacing w:line="440" w:lineRule="exact"/>
        <w:ind w:firstLine="480" w:firstLineChars="200"/>
        <w:rPr>
          <w:color w:val="auto"/>
          <w:sz w:val="24"/>
          <w:highlight w:val="none"/>
        </w:rPr>
      </w:pPr>
      <w:r>
        <w:rPr>
          <w:color w:val="auto"/>
          <w:sz w:val="24"/>
          <w:highlight w:val="none"/>
        </w:rPr>
        <w:t>5、投标人同意提供按照贵方可能要求的与其投标有关的一切数据或资料，理解贵方不一定要接受最低价的投标或收到的任何投标</w:t>
      </w:r>
      <w:r>
        <w:rPr>
          <w:bCs/>
          <w:color w:val="auto"/>
          <w:sz w:val="24"/>
          <w:highlight w:val="none"/>
        </w:rPr>
        <w:t>。</w:t>
      </w:r>
    </w:p>
    <w:p>
      <w:pPr>
        <w:spacing w:line="440" w:lineRule="exact"/>
        <w:ind w:firstLine="480" w:firstLineChars="200"/>
        <w:rPr>
          <w:color w:val="auto"/>
          <w:sz w:val="24"/>
          <w:highlight w:val="none"/>
        </w:rPr>
      </w:pPr>
      <w:r>
        <w:rPr>
          <w:color w:val="auto"/>
          <w:sz w:val="24"/>
          <w:highlight w:val="none"/>
        </w:rPr>
        <w:t>6、与本投标有关的一切正式往来通讯请寄：</w:t>
      </w:r>
    </w:p>
    <w:p>
      <w:pPr>
        <w:spacing w:line="480" w:lineRule="auto"/>
        <w:ind w:left="840"/>
        <w:rPr>
          <w:color w:val="auto"/>
          <w:sz w:val="24"/>
          <w:highlight w:val="none"/>
        </w:rPr>
      </w:pPr>
      <w:r>
        <w:rPr>
          <w:color w:val="auto"/>
          <w:sz w:val="24"/>
          <w:highlight w:val="none"/>
        </w:rPr>
        <w:t>地址：</w:t>
      </w:r>
      <w:r>
        <w:rPr>
          <w:color w:val="auto"/>
          <w:sz w:val="24"/>
          <w:highlight w:val="none"/>
          <w:u w:val="single"/>
        </w:rPr>
        <w:t xml:space="preserve">                           </w:t>
      </w:r>
      <w:r>
        <w:rPr>
          <w:color w:val="auto"/>
          <w:sz w:val="24"/>
          <w:highlight w:val="none"/>
        </w:rPr>
        <w:t xml:space="preserve">     邮编：</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spacing w:line="480" w:lineRule="auto"/>
        <w:ind w:left="840"/>
        <w:rPr>
          <w:color w:val="auto"/>
          <w:sz w:val="24"/>
          <w:highlight w:val="none"/>
          <w:u w:val="single"/>
        </w:rPr>
      </w:pPr>
      <w:r>
        <w:rPr>
          <w:color w:val="auto"/>
          <w:sz w:val="24"/>
          <w:highlight w:val="none"/>
        </w:rPr>
        <w:t>电话：</w:t>
      </w:r>
      <w:r>
        <w:rPr>
          <w:color w:val="auto"/>
          <w:sz w:val="24"/>
          <w:highlight w:val="none"/>
          <w:u w:val="single"/>
        </w:rPr>
        <w:t xml:space="preserve">           </w:t>
      </w:r>
      <w:r>
        <w:rPr>
          <w:color w:val="auto"/>
          <w:sz w:val="24"/>
          <w:highlight w:val="none"/>
        </w:rPr>
        <w:t xml:space="preserve">  传真：</w:t>
      </w:r>
      <w:r>
        <w:rPr>
          <w:color w:val="auto"/>
          <w:sz w:val="24"/>
          <w:highlight w:val="none"/>
          <w:u w:val="single"/>
        </w:rPr>
        <w:tab/>
      </w:r>
      <w:r>
        <w:rPr>
          <w:color w:val="auto"/>
          <w:sz w:val="24"/>
          <w:highlight w:val="none"/>
          <w:u w:val="single"/>
        </w:rPr>
        <w:tab/>
      </w:r>
      <w:r>
        <w:rPr>
          <w:color w:val="auto"/>
          <w:sz w:val="24"/>
          <w:highlight w:val="none"/>
          <w:u w:val="single"/>
        </w:rPr>
        <w:tab/>
      </w:r>
    </w:p>
    <w:p>
      <w:pPr>
        <w:pStyle w:val="6"/>
        <w:rPr>
          <w:color w:val="auto"/>
          <w:sz w:val="24"/>
          <w:highlight w:val="none"/>
          <w:u w:val="single"/>
        </w:rPr>
      </w:pPr>
    </w:p>
    <w:p>
      <w:pPr>
        <w:pStyle w:val="6"/>
        <w:rPr>
          <w:color w:val="auto"/>
          <w:sz w:val="24"/>
          <w:highlight w:val="none"/>
          <w:u w:val="single"/>
        </w:rPr>
      </w:pPr>
    </w:p>
    <w:p>
      <w:pPr>
        <w:pStyle w:val="6"/>
        <w:rPr>
          <w:color w:val="auto"/>
          <w:sz w:val="24"/>
          <w:highlight w:val="none"/>
          <w:u w:val="single"/>
        </w:rPr>
      </w:pPr>
    </w:p>
    <w:p>
      <w:pPr>
        <w:pStyle w:val="6"/>
        <w:rPr>
          <w:color w:val="auto"/>
          <w:sz w:val="24"/>
          <w:highlight w:val="none"/>
          <w:u w:val="single"/>
        </w:rPr>
      </w:pPr>
    </w:p>
    <w:p>
      <w:pPr>
        <w:spacing w:line="480" w:lineRule="auto"/>
        <w:ind w:left="840" w:firstLine="2640" w:firstLineChars="1100"/>
        <w:rPr>
          <w:color w:val="auto"/>
          <w:sz w:val="24"/>
          <w:highlight w:val="none"/>
        </w:rPr>
      </w:pPr>
      <w:r>
        <w:rPr>
          <w:color w:val="auto"/>
          <w:sz w:val="24"/>
          <w:highlight w:val="none"/>
        </w:rPr>
        <w:t>投标人名称：</w:t>
      </w:r>
      <w:r>
        <w:rPr>
          <w:color w:val="auto"/>
          <w:sz w:val="24"/>
          <w:highlight w:val="none"/>
          <w:u w:val="single"/>
        </w:rPr>
        <w:t xml:space="preserve">                           </w:t>
      </w:r>
      <w:r>
        <w:rPr>
          <w:color w:val="auto"/>
          <w:sz w:val="24"/>
          <w:highlight w:val="none"/>
        </w:rPr>
        <w:t>（公章）</w:t>
      </w:r>
    </w:p>
    <w:p>
      <w:pPr>
        <w:spacing w:line="480" w:lineRule="auto"/>
        <w:ind w:left="840" w:firstLine="2640" w:firstLineChars="1100"/>
        <w:rPr>
          <w:color w:val="auto"/>
          <w:sz w:val="24"/>
          <w:highlight w:val="none"/>
        </w:rPr>
      </w:pPr>
      <w:r>
        <w:rPr>
          <w:color w:val="auto"/>
          <w:sz w:val="24"/>
          <w:highlight w:val="none"/>
        </w:rPr>
        <w:t>法定代表人或授权代表：</w:t>
      </w:r>
      <w:r>
        <w:rPr>
          <w:color w:val="auto"/>
          <w:sz w:val="24"/>
          <w:highlight w:val="none"/>
          <w:u w:val="single"/>
        </w:rPr>
        <w:t xml:space="preserve">           </w:t>
      </w:r>
      <w:r>
        <w:rPr>
          <w:color w:val="auto"/>
          <w:sz w:val="24"/>
          <w:highlight w:val="none"/>
        </w:rPr>
        <w:t>（签字或盖章）</w:t>
      </w:r>
    </w:p>
    <w:p>
      <w:pPr>
        <w:spacing w:line="480" w:lineRule="auto"/>
        <w:ind w:left="840" w:firstLine="2640" w:firstLineChars="1100"/>
        <w:rPr>
          <w:color w:val="auto"/>
          <w:sz w:val="24"/>
          <w:highlight w:val="none"/>
        </w:rPr>
      </w:pPr>
      <w:r>
        <w:rPr>
          <w:color w:val="auto"/>
          <w:sz w:val="24"/>
          <w:highlight w:val="none"/>
        </w:rPr>
        <w:t xml:space="preserve">日  期：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年  </w:t>
      </w:r>
      <w:r>
        <w:rPr>
          <w:rFonts w:hint="eastAsia"/>
          <w:color w:val="auto"/>
          <w:sz w:val="24"/>
          <w:highlight w:val="none"/>
        </w:rPr>
        <w:t xml:space="preserve"> </w:t>
      </w:r>
      <w:r>
        <w:rPr>
          <w:color w:val="auto"/>
          <w:sz w:val="24"/>
          <w:highlight w:val="none"/>
        </w:rPr>
        <w:t xml:space="preserve"> 月 </w:t>
      </w:r>
      <w:r>
        <w:rPr>
          <w:rFonts w:hint="eastAsia"/>
          <w:color w:val="auto"/>
          <w:sz w:val="24"/>
          <w:highlight w:val="none"/>
        </w:rPr>
        <w:t xml:space="preserve"> </w:t>
      </w:r>
      <w:r>
        <w:rPr>
          <w:color w:val="auto"/>
          <w:sz w:val="24"/>
          <w:highlight w:val="none"/>
        </w:rPr>
        <w:t xml:space="preserve">  日</w:t>
      </w:r>
    </w:p>
    <w:p>
      <w:pPr>
        <w:spacing w:before="240" w:line="180" w:lineRule="exact"/>
        <w:rPr>
          <w:color w:val="auto"/>
          <w:sz w:val="24"/>
          <w:highlight w:val="none"/>
          <w:u w:val="single"/>
        </w:rPr>
        <w:sectPr>
          <w:headerReference r:id="rId8" w:type="default"/>
          <w:pgSz w:w="11906" w:h="16838"/>
          <w:pgMar w:top="1361" w:right="1247" w:bottom="1361" w:left="1304" w:header="851" w:footer="992" w:gutter="0"/>
          <w:cols w:space="720" w:num="1"/>
          <w:docGrid w:type="lines" w:linePitch="312" w:charSpace="0"/>
        </w:sectPr>
      </w:pPr>
    </w:p>
    <w:p>
      <w:pPr>
        <w:spacing w:before="240" w:line="180" w:lineRule="exact"/>
        <w:rPr>
          <w:b/>
          <w:color w:val="auto"/>
          <w:sz w:val="22"/>
          <w:szCs w:val="22"/>
          <w:highlight w:val="none"/>
        </w:rPr>
      </w:pPr>
      <w:r>
        <w:rPr>
          <w:color w:val="auto"/>
          <w:sz w:val="28"/>
          <w:szCs w:val="28"/>
          <w:highlight w:val="none"/>
        </w:rPr>
        <w:t>附件</w:t>
      </w:r>
      <w:r>
        <w:rPr>
          <w:rFonts w:hint="eastAsia"/>
          <w:color w:val="auto"/>
          <w:sz w:val="28"/>
          <w:szCs w:val="28"/>
          <w:highlight w:val="none"/>
        </w:rPr>
        <w:t>十</w:t>
      </w:r>
    </w:p>
    <w:p>
      <w:pPr>
        <w:rPr>
          <w:rFonts w:hint="eastAsia"/>
          <w:color w:val="auto"/>
          <w:highlight w:val="none"/>
        </w:rPr>
      </w:pPr>
    </w:p>
    <w:p>
      <w:pPr>
        <w:jc w:val="center"/>
        <w:rPr>
          <w:rFonts w:hint="eastAsia" w:eastAsia="宋体"/>
          <w:color w:val="auto"/>
          <w:highlight w:val="none"/>
          <w:lang w:eastAsia="zh-CN"/>
        </w:rPr>
      </w:pPr>
      <w:bookmarkStart w:id="77" w:name="_Toc3907"/>
      <w:r>
        <w:rPr>
          <w:rFonts w:hint="eastAsia"/>
          <w:b/>
          <w:color w:val="auto"/>
          <w:sz w:val="36"/>
          <w:szCs w:val="36"/>
          <w:highlight w:val="none"/>
          <w:lang w:eastAsia="zh-CN"/>
        </w:rPr>
        <w:t>第二届世界五金发展大会活动项目</w:t>
      </w:r>
    </w:p>
    <w:p>
      <w:pPr>
        <w:pStyle w:val="9"/>
        <w:rPr>
          <w:rFonts w:ascii="Times New Roman" w:hAnsi="Times New Roman" w:cs="Times New Roman"/>
          <w:color w:val="auto"/>
          <w:sz w:val="24"/>
          <w:highlight w:val="none"/>
          <w:u w:val="single"/>
        </w:rPr>
      </w:pPr>
      <w:bookmarkStart w:id="78" w:name="_Toc31909"/>
      <w:r>
        <w:rPr>
          <w:rFonts w:ascii="Times New Roman" w:hAnsi="Times New Roman" w:cs="Times New Roman"/>
          <w:color w:val="auto"/>
          <w:kern w:val="0"/>
          <w:highlight w:val="none"/>
        </w:rPr>
        <w:t>报价</w:t>
      </w:r>
      <w:r>
        <w:rPr>
          <w:rFonts w:ascii="Times New Roman" w:hAnsi="Times New Roman" w:cs="Times New Roman"/>
          <w:color w:val="auto"/>
          <w:highlight w:val="none"/>
        </w:rPr>
        <w:t>一览表</w:t>
      </w:r>
      <w:bookmarkEnd w:id="77"/>
      <w:bookmarkEnd w:id="78"/>
    </w:p>
    <w:p>
      <w:pPr>
        <w:spacing w:before="240"/>
        <w:rPr>
          <w:rFonts w:hint="eastAsia" w:ascii="宋体" w:hAnsi="宋体" w:cs="宋体"/>
          <w:color w:val="auto"/>
          <w:szCs w:val="21"/>
          <w:highlight w:val="none"/>
          <w:u w:val="single"/>
        </w:rPr>
      </w:pPr>
    </w:p>
    <w:tbl>
      <w:tblPr>
        <w:tblStyle w:val="5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087"/>
        <w:gridCol w:w="1027"/>
        <w:gridCol w:w="1067"/>
        <w:gridCol w:w="1400"/>
        <w:gridCol w:w="136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服务内容</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单价</w:t>
            </w:r>
          </w:p>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（元）</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总价</w:t>
            </w:r>
          </w:p>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（元）</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419"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总 价</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7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color w:val="auto"/>
                <w:szCs w:val="21"/>
                <w:highlight w:val="none"/>
                <w:u w:val="single"/>
              </w:rPr>
            </w:pPr>
            <w:r>
              <w:rPr>
                <w:rFonts w:hint="eastAsia" w:ascii="宋体" w:hAnsi="宋体" w:cs="宋体"/>
                <w:bCs/>
                <w:color w:val="auto"/>
                <w:szCs w:val="21"/>
                <w:highlight w:val="none"/>
              </w:rPr>
              <w:t>投标报价合计金额（大写）：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元整（小写：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tc>
      </w:tr>
    </w:tbl>
    <w:p>
      <w:pPr>
        <w:tabs>
          <w:tab w:val="left" w:pos="420"/>
        </w:tabs>
        <w:spacing w:line="30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pPr>
        <w:tabs>
          <w:tab w:val="left" w:pos="420"/>
        </w:tabs>
        <w:spacing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①栏数不够请自行增加；</w:t>
      </w:r>
    </w:p>
    <w:p>
      <w:pPr>
        <w:tabs>
          <w:tab w:val="left" w:pos="420"/>
        </w:tabs>
        <w:spacing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②投标人必须写清每项名称、单位、数量、单价及总价；</w:t>
      </w:r>
    </w:p>
    <w:p>
      <w:pPr>
        <w:tabs>
          <w:tab w:val="left" w:pos="420"/>
        </w:tabs>
        <w:spacing w:line="300" w:lineRule="auto"/>
        <w:ind w:firstLine="210" w:firstLineChars="100"/>
        <w:rPr>
          <w:rFonts w:hint="eastAsia" w:ascii="宋体" w:hAnsi="宋体" w:cs="宋体"/>
          <w:b/>
          <w:bCs/>
          <w:color w:val="auto"/>
          <w:szCs w:val="21"/>
          <w:highlight w:val="none"/>
        </w:rPr>
      </w:pPr>
      <w:r>
        <w:rPr>
          <w:rFonts w:hint="eastAsia" w:ascii="宋体" w:hAnsi="宋体" w:cs="宋体"/>
          <w:bCs/>
          <w:color w:val="auto"/>
          <w:szCs w:val="21"/>
          <w:highlight w:val="none"/>
        </w:rPr>
        <w:t>③应以人民币报价，单位为元，精确到小数点后两位；</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tabs>
          <w:tab w:val="left" w:pos="420"/>
        </w:tabs>
        <w:spacing w:line="30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pPr>
        <w:rPr>
          <w:rFonts w:hint="eastAsia" w:ascii="宋体" w:hAnsi="宋体" w:cs="宋体"/>
          <w:color w:val="auto"/>
          <w:szCs w:val="21"/>
          <w:highlight w:val="none"/>
        </w:rPr>
      </w:pPr>
    </w:p>
    <w:p>
      <w:pPr>
        <w:tabs>
          <w:tab w:val="left" w:pos="420"/>
        </w:tabs>
        <w:spacing w:line="300" w:lineRule="auto"/>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rPr>
          <w:rFonts w:hint="eastAsia" w:ascii="宋体" w:hAnsi="宋体" w:cs="宋体"/>
          <w:color w:val="auto"/>
          <w:szCs w:val="21"/>
          <w:highlight w:val="none"/>
        </w:rPr>
      </w:pPr>
    </w:p>
    <w:p>
      <w:pPr>
        <w:tabs>
          <w:tab w:val="left" w:pos="420"/>
        </w:tabs>
        <w:spacing w:line="300" w:lineRule="auto"/>
        <w:rPr>
          <w:rFonts w:hint="eastAsia" w:ascii="宋体" w:hAnsi="宋体" w:cs="宋体"/>
          <w:color w:val="auto"/>
          <w:szCs w:val="21"/>
          <w:highlight w:val="none"/>
        </w:rPr>
      </w:pPr>
      <w:r>
        <w:rPr>
          <w:rFonts w:hint="eastAsia" w:ascii="宋体" w:hAnsi="宋体" w:cs="宋体"/>
          <w:color w:val="auto"/>
          <w:szCs w:val="21"/>
          <w:highlight w:val="none"/>
        </w:rPr>
        <w:t>日  期：    年   月   日</w:t>
      </w:r>
    </w:p>
    <w:p>
      <w:pPr>
        <w:tabs>
          <w:tab w:val="left" w:pos="420"/>
        </w:tabs>
        <w:spacing w:line="400" w:lineRule="exact"/>
        <w:rPr>
          <w:color w:val="auto"/>
          <w:sz w:val="28"/>
          <w:szCs w:val="28"/>
          <w:highlight w:val="none"/>
        </w:rPr>
      </w:pPr>
    </w:p>
    <w:p>
      <w:pPr>
        <w:tabs>
          <w:tab w:val="left" w:pos="420"/>
        </w:tabs>
        <w:spacing w:line="400" w:lineRule="exact"/>
        <w:rPr>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420"/>
        </w:tabs>
        <w:spacing w:line="400" w:lineRule="exact"/>
        <w:rPr>
          <w:rFonts w:hint="eastAsia"/>
          <w:color w:val="auto"/>
          <w:sz w:val="32"/>
          <w:highlight w:val="none"/>
        </w:rPr>
      </w:pPr>
      <w:r>
        <w:rPr>
          <w:color w:val="auto"/>
          <w:sz w:val="28"/>
          <w:szCs w:val="28"/>
          <w:highlight w:val="none"/>
        </w:rPr>
        <w:t>附件</w:t>
      </w:r>
      <w:r>
        <w:rPr>
          <w:rFonts w:hint="eastAsia"/>
          <w:color w:val="auto"/>
          <w:sz w:val="28"/>
          <w:szCs w:val="28"/>
          <w:highlight w:val="none"/>
        </w:rPr>
        <w:t>十一</w:t>
      </w:r>
    </w:p>
    <w:p>
      <w:pPr>
        <w:rPr>
          <w:color w:val="auto"/>
          <w:highlight w:val="none"/>
        </w:rPr>
      </w:pPr>
    </w:p>
    <w:p>
      <w:pPr>
        <w:keepNext/>
        <w:keepLines/>
        <w:spacing w:after="120" w:line="360" w:lineRule="auto"/>
        <w:jc w:val="center"/>
        <w:outlineLvl w:val="2"/>
        <w:rPr>
          <w:b/>
          <w:bCs/>
          <w:color w:val="auto"/>
          <w:kern w:val="24"/>
          <w:sz w:val="28"/>
          <w:szCs w:val="32"/>
          <w:highlight w:val="none"/>
          <w:lang w:val="en"/>
        </w:rPr>
      </w:pPr>
      <w:r>
        <w:rPr>
          <w:b/>
          <w:bCs/>
          <w:color w:val="auto"/>
          <w:kern w:val="24"/>
          <w:sz w:val="32"/>
          <w:szCs w:val="36"/>
          <w:highlight w:val="none"/>
          <w:lang w:val="en"/>
        </w:rPr>
        <w:t>中小企业声明函</w:t>
      </w:r>
      <w:r>
        <w:rPr>
          <w:rFonts w:hint="eastAsia"/>
          <w:b/>
          <w:bCs/>
          <w:color w:val="auto"/>
          <w:kern w:val="24"/>
          <w:sz w:val="32"/>
          <w:szCs w:val="36"/>
          <w:highlight w:val="none"/>
          <w:lang w:val="en"/>
        </w:rPr>
        <w:t>（</w:t>
      </w:r>
      <w:r>
        <w:rPr>
          <w:rFonts w:hint="eastAsia"/>
          <w:b/>
          <w:bCs/>
          <w:color w:val="auto"/>
          <w:kern w:val="24"/>
          <w:sz w:val="32"/>
          <w:szCs w:val="36"/>
          <w:highlight w:val="none"/>
        </w:rPr>
        <w:t>服务</w:t>
      </w:r>
      <w:r>
        <w:rPr>
          <w:rFonts w:hint="eastAsia"/>
          <w:b/>
          <w:bCs/>
          <w:color w:val="auto"/>
          <w:kern w:val="24"/>
          <w:sz w:val="32"/>
          <w:szCs w:val="36"/>
          <w:highlight w:val="none"/>
          <w:lang w:val="en"/>
        </w:rPr>
        <w:t>）</w:t>
      </w:r>
    </w:p>
    <w:p>
      <w:pPr>
        <w:snapToGrid w:val="0"/>
        <w:spacing w:line="5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本公司（联合体）郑重声明，根据《政府采购促进中小企业发展管理办法》（财库﹝2020﹞46 号）的规定，本公司（联合体）参加</w:t>
      </w:r>
      <w:r>
        <w:rPr>
          <w:rFonts w:hint="eastAsia" w:ascii="新宋体" w:hAnsi="新宋体" w:eastAsia="新宋体" w:cs="新宋体"/>
          <w:color w:val="auto"/>
          <w:szCs w:val="21"/>
          <w:highlight w:val="none"/>
          <w:u w:val="single"/>
        </w:rPr>
        <w:t>（单位名称）</w:t>
      </w:r>
      <w:r>
        <w:rPr>
          <w:rFonts w:hint="eastAsia" w:ascii="新宋体" w:hAnsi="新宋体" w:eastAsia="新宋体" w:cs="新宋体"/>
          <w:color w:val="auto"/>
          <w:szCs w:val="21"/>
          <w:highlight w:val="none"/>
        </w:rPr>
        <w:t>的</w:t>
      </w:r>
      <w:r>
        <w:rPr>
          <w:rFonts w:hint="eastAsia" w:ascii="新宋体" w:hAnsi="新宋体" w:eastAsia="新宋体" w:cs="新宋体"/>
          <w:color w:val="auto"/>
          <w:szCs w:val="21"/>
          <w:highlight w:val="none"/>
          <w:u w:val="single"/>
        </w:rPr>
        <w:t>（项目名称）</w:t>
      </w:r>
      <w:r>
        <w:rPr>
          <w:rFonts w:hint="eastAsia" w:ascii="新宋体" w:hAnsi="新宋体" w:eastAsia="新宋体" w:cs="新宋体"/>
          <w:color w:val="auto"/>
          <w:szCs w:val="21"/>
          <w:highlight w:val="none"/>
        </w:rPr>
        <w:t xml:space="preserve">采购活动，服务全部由符合政策要求的中小企业承接，相关企业（含联合体中的中小企业、签订分包意向协议的中小企业）的具体情况如下： </w:t>
      </w:r>
    </w:p>
    <w:p>
      <w:pPr>
        <w:snapToGrid w:val="0"/>
        <w:spacing w:line="500" w:lineRule="exact"/>
        <w:ind w:firstLine="525" w:firstLineChars="2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1. </w:t>
      </w:r>
      <w:r>
        <w:rPr>
          <w:rFonts w:hint="eastAsia" w:ascii="新宋体" w:hAnsi="新宋体" w:eastAsia="新宋体" w:cs="新宋体"/>
          <w:color w:val="auto"/>
          <w:szCs w:val="21"/>
          <w:highlight w:val="none"/>
          <w:u w:val="single"/>
        </w:rPr>
        <w:t>（标的名称）</w:t>
      </w:r>
      <w:r>
        <w:rPr>
          <w:rFonts w:hint="eastAsia" w:ascii="新宋体" w:hAnsi="新宋体" w:eastAsia="新宋体" w:cs="新宋体"/>
          <w:color w:val="auto"/>
          <w:szCs w:val="21"/>
          <w:highlight w:val="none"/>
        </w:rPr>
        <w:t xml:space="preserve"> ，属于</w:t>
      </w:r>
      <w:r>
        <w:rPr>
          <w:rFonts w:hint="eastAsia" w:ascii="新宋体" w:hAnsi="新宋体" w:eastAsia="新宋体" w:cs="新宋体"/>
          <w:color w:val="auto"/>
          <w:szCs w:val="21"/>
          <w:highlight w:val="none"/>
          <w:u w:val="single"/>
        </w:rPr>
        <w:t>（采购文件中明确的所属行业）</w:t>
      </w:r>
      <w:r>
        <w:rPr>
          <w:rFonts w:hint="eastAsia" w:ascii="新宋体" w:hAnsi="新宋体" w:eastAsia="新宋体" w:cs="新宋体"/>
          <w:color w:val="auto"/>
          <w:szCs w:val="21"/>
          <w:highlight w:val="none"/>
        </w:rPr>
        <w:t>； 承建（承接）企业为</w:t>
      </w:r>
      <w:r>
        <w:rPr>
          <w:rFonts w:hint="eastAsia" w:ascii="新宋体" w:hAnsi="新宋体" w:eastAsia="新宋体" w:cs="新宋体"/>
          <w:color w:val="auto"/>
          <w:szCs w:val="21"/>
          <w:highlight w:val="none"/>
          <w:u w:val="single"/>
        </w:rPr>
        <w:t>（企业名称）</w:t>
      </w:r>
      <w:r>
        <w:rPr>
          <w:rFonts w:hint="eastAsia" w:ascii="新宋体" w:hAnsi="新宋体" w:eastAsia="新宋体" w:cs="新宋体"/>
          <w:color w:val="auto"/>
          <w:szCs w:val="21"/>
          <w:highlight w:val="none"/>
        </w:rPr>
        <w:t>，从业人员</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人，营业收入为</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万元，资产总额为</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万元</w:t>
      </w:r>
      <w:r>
        <w:rPr>
          <w:rFonts w:hint="eastAsia" w:ascii="新宋体" w:hAnsi="新宋体" w:eastAsia="新宋体" w:cs="新宋体"/>
          <w:color w:val="auto"/>
          <w:szCs w:val="21"/>
          <w:highlight w:val="none"/>
          <w:vertAlign w:val="superscript"/>
        </w:rPr>
        <w:t xml:space="preserve"> 1</w:t>
      </w:r>
      <w:r>
        <w:rPr>
          <w:rFonts w:hint="eastAsia" w:ascii="新宋体" w:hAnsi="新宋体" w:eastAsia="新宋体" w:cs="新宋体"/>
          <w:color w:val="auto"/>
          <w:szCs w:val="21"/>
          <w:highlight w:val="none"/>
        </w:rPr>
        <w:t>，属于（</w:t>
      </w:r>
      <w:r>
        <w:rPr>
          <w:rFonts w:hint="eastAsia" w:ascii="新宋体" w:hAnsi="新宋体" w:eastAsia="新宋体" w:cs="新宋体"/>
          <w:color w:val="auto"/>
          <w:szCs w:val="21"/>
          <w:highlight w:val="none"/>
          <w:u w:val="single"/>
        </w:rPr>
        <w:t>中型企业、小型企业、微型企业</w:t>
      </w:r>
      <w:r>
        <w:rPr>
          <w:rFonts w:hint="eastAsia" w:ascii="新宋体" w:hAnsi="新宋体" w:eastAsia="新宋体" w:cs="新宋体"/>
          <w:color w:val="auto"/>
          <w:szCs w:val="21"/>
          <w:highlight w:val="none"/>
        </w:rPr>
        <w:t xml:space="preserve">）； </w:t>
      </w:r>
    </w:p>
    <w:p>
      <w:pPr>
        <w:snapToGrid w:val="0"/>
        <w:spacing w:line="500" w:lineRule="exact"/>
        <w:ind w:firstLine="525" w:firstLineChars="2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2. </w:t>
      </w:r>
      <w:r>
        <w:rPr>
          <w:rFonts w:hint="eastAsia" w:ascii="新宋体" w:hAnsi="新宋体" w:eastAsia="新宋体" w:cs="新宋体"/>
          <w:color w:val="auto"/>
          <w:szCs w:val="21"/>
          <w:highlight w:val="none"/>
          <w:u w:val="single"/>
        </w:rPr>
        <w:t>（标的名称）</w:t>
      </w:r>
      <w:r>
        <w:rPr>
          <w:rFonts w:hint="eastAsia" w:ascii="新宋体" w:hAnsi="新宋体" w:eastAsia="新宋体" w:cs="新宋体"/>
          <w:color w:val="auto"/>
          <w:szCs w:val="21"/>
          <w:highlight w:val="none"/>
        </w:rPr>
        <w:t xml:space="preserve"> ，属于</w:t>
      </w:r>
      <w:r>
        <w:rPr>
          <w:rFonts w:hint="eastAsia" w:ascii="新宋体" w:hAnsi="新宋体" w:eastAsia="新宋体" w:cs="新宋体"/>
          <w:color w:val="auto"/>
          <w:szCs w:val="21"/>
          <w:highlight w:val="none"/>
          <w:u w:val="single"/>
        </w:rPr>
        <w:t>（采购文件中明确的所属行业）</w:t>
      </w:r>
      <w:r>
        <w:rPr>
          <w:rFonts w:hint="eastAsia" w:ascii="新宋体" w:hAnsi="新宋体" w:eastAsia="新宋体" w:cs="新宋体"/>
          <w:color w:val="auto"/>
          <w:szCs w:val="21"/>
          <w:highlight w:val="none"/>
        </w:rPr>
        <w:t>；承建（承接）企业为</w:t>
      </w:r>
      <w:r>
        <w:rPr>
          <w:rFonts w:hint="eastAsia" w:ascii="新宋体" w:hAnsi="新宋体" w:eastAsia="新宋体" w:cs="新宋体"/>
          <w:color w:val="auto"/>
          <w:szCs w:val="21"/>
          <w:highlight w:val="none"/>
          <w:u w:val="single"/>
        </w:rPr>
        <w:t>（企业名称）</w:t>
      </w:r>
      <w:r>
        <w:rPr>
          <w:rFonts w:hint="eastAsia" w:ascii="新宋体" w:hAnsi="新宋体" w:eastAsia="新宋体" w:cs="新宋体"/>
          <w:color w:val="auto"/>
          <w:szCs w:val="21"/>
          <w:highlight w:val="none"/>
        </w:rPr>
        <w:t>，从业人员</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人，营业收入为</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万元，资产总额为</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万元，属于（</w:t>
      </w:r>
      <w:r>
        <w:rPr>
          <w:rFonts w:hint="eastAsia" w:ascii="新宋体" w:hAnsi="新宋体" w:eastAsia="新宋体" w:cs="新宋体"/>
          <w:color w:val="auto"/>
          <w:szCs w:val="21"/>
          <w:highlight w:val="none"/>
          <w:u w:val="single"/>
        </w:rPr>
        <w:t>中型企业、小型企业、微型企业</w:t>
      </w:r>
      <w:r>
        <w:rPr>
          <w:rFonts w:hint="eastAsia" w:ascii="新宋体" w:hAnsi="新宋体" w:eastAsia="新宋体" w:cs="新宋体"/>
          <w:color w:val="auto"/>
          <w:szCs w:val="21"/>
          <w:highlight w:val="none"/>
        </w:rPr>
        <w:t xml:space="preserve">）； </w:t>
      </w:r>
    </w:p>
    <w:p>
      <w:pPr>
        <w:snapToGrid w:val="0"/>
        <w:spacing w:line="500" w:lineRule="exact"/>
        <w:ind w:firstLine="525" w:firstLineChars="2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w:t>
      </w:r>
    </w:p>
    <w:p>
      <w:pPr>
        <w:snapToGrid w:val="0"/>
        <w:spacing w:line="500" w:lineRule="exact"/>
        <w:ind w:firstLine="525" w:firstLineChars="2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以上企业，不属于大企业的分支机构，不存在控股股东为大企业的情形，也不存在与大企业的负责人为同一人的情形。</w:t>
      </w:r>
    </w:p>
    <w:p>
      <w:pPr>
        <w:snapToGrid w:val="0"/>
        <w:spacing w:line="500" w:lineRule="exact"/>
        <w:ind w:firstLine="525" w:firstLineChars="2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本企业对上述声明内容的真实性负责。如有虚假，将依法承担相应责任。 </w:t>
      </w:r>
    </w:p>
    <w:p>
      <w:pPr>
        <w:spacing w:line="500" w:lineRule="exact"/>
        <w:rPr>
          <w:color w:val="auto"/>
          <w:szCs w:val="21"/>
          <w:highlight w:val="none"/>
        </w:rPr>
      </w:pPr>
    </w:p>
    <w:p>
      <w:pPr>
        <w:tabs>
          <w:tab w:val="left" w:pos="420"/>
        </w:tabs>
        <w:spacing w:line="500" w:lineRule="exact"/>
        <w:rPr>
          <w:color w:val="auto"/>
          <w:szCs w:val="21"/>
          <w:highlight w:val="none"/>
        </w:rPr>
      </w:pPr>
      <w:r>
        <w:rPr>
          <w:color w:val="auto"/>
          <w:szCs w:val="21"/>
          <w:highlight w:val="none"/>
        </w:rPr>
        <w:t xml:space="preserve">                                     </w:t>
      </w:r>
      <w:r>
        <w:rPr>
          <w:rFonts w:hint="eastAsia"/>
          <w:color w:val="auto"/>
          <w:szCs w:val="21"/>
          <w:highlight w:val="none"/>
        </w:rPr>
        <w:t>企业名称</w:t>
      </w:r>
      <w:r>
        <w:rPr>
          <w:color w:val="auto"/>
          <w:szCs w:val="21"/>
          <w:highlight w:val="none"/>
        </w:rPr>
        <w:t>：</w:t>
      </w:r>
      <w:r>
        <w:rPr>
          <w:color w:val="auto"/>
          <w:szCs w:val="21"/>
          <w:highlight w:val="none"/>
          <w:u w:val="single"/>
        </w:rPr>
        <w:t xml:space="preserve">                   </w:t>
      </w:r>
      <w:r>
        <w:rPr>
          <w:color w:val="auto"/>
          <w:szCs w:val="21"/>
          <w:highlight w:val="none"/>
        </w:rPr>
        <w:t>（公章）</w:t>
      </w:r>
    </w:p>
    <w:p>
      <w:pPr>
        <w:tabs>
          <w:tab w:val="left" w:pos="420"/>
        </w:tabs>
        <w:spacing w:line="500" w:lineRule="exact"/>
        <w:rPr>
          <w:color w:val="auto"/>
          <w:szCs w:val="21"/>
          <w:highlight w:val="none"/>
        </w:rPr>
      </w:pPr>
    </w:p>
    <w:p>
      <w:pPr>
        <w:tabs>
          <w:tab w:val="left" w:pos="420"/>
        </w:tabs>
        <w:spacing w:line="50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日期：     年   月   日</w:t>
      </w: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napToGrid w:val="0"/>
        <w:spacing w:line="320" w:lineRule="exact"/>
        <w:rPr>
          <w:color w:val="auto"/>
          <w:kern w:val="0"/>
          <w:szCs w:val="21"/>
          <w:highlight w:val="none"/>
          <w:shd w:val="clear" w:color="auto" w:fill="FFFFFF"/>
        </w:rPr>
      </w:pPr>
      <w:r>
        <w:rPr>
          <w:b/>
          <w:bCs/>
          <w:color w:val="auto"/>
          <w:kern w:val="0"/>
          <w:szCs w:val="21"/>
          <w:highlight w:val="none"/>
          <w:shd w:val="clear" w:color="auto" w:fill="FFFFFF"/>
        </w:rPr>
        <w:t>填写说明：</w:t>
      </w:r>
    </w:p>
    <w:p>
      <w:pPr>
        <w:spacing w:line="320" w:lineRule="exact"/>
        <w:ind w:firstLine="210" w:firstLineChars="100"/>
        <w:rPr>
          <w:color w:val="auto"/>
          <w:kern w:val="0"/>
          <w:szCs w:val="21"/>
          <w:highlight w:val="none"/>
          <w:shd w:val="clear" w:color="auto" w:fill="FFFFFF"/>
        </w:rPr>
      </w:pPr>
      <w:r>
        <w:rPr>
          <w:rFonts w:hint="eastAsia"/>
          <w:color w:val="auto"/>
          <w:kern w:val="0"/>
          <w:szCs w:val="21"/>
          <w:highlight w:val="none"/>
          <w:shd w:val="clear" w:color="auto" w:fill="FFFFFF"/>
        </w:rPr>
        <w:t>1、从业人员、营业收入、资产总额填报上一年度数据，无上一年度数据的新成立企业可不填报。</w:t>
      </w:r>
    </w:p>
    <w:p>
      <w:pPr>
        <w:spacing w:line="320" w:lineRule="exact"/>
        <w:ind w:firstLine="210" w:firstLineChars="100"/>
        <w:rPr>
          <w:color w:val="auto"/>
          <w:kern w:val="0"/>
          <w:szCs w:val="21"/>
          <w:highlight w:val="none"/>
          <w:shd w:val="clear" w:color="auto" w:fill="FFFFFF"/>
        </w:rPr>
      </w:pPr>
      <w:r>
        <w:rPr>
          <w:rFonts w:hint="eastAsia"/>
          <w:color w:val="auto"/>
          <w:kern w:val="0"/>
          <w:szCs w:val="21"/>
          <w:highlight w:val="none"/>
          <w:shd w:val="clear" w:color="auto" w:fill="FFFFFF"/>
        </w:rPr>
        <w:t>2</w:t>
      </w:r>
      <w:r>
        <w:rPr>
          <w:color w:val="auto"/>
          <w:kern w:val="0"/>
          <w:szCs w:val="21"/>
          <w:highlight w:val="none"/>
          <w:shd w:val="clear" w:color="auto" w:fill="FFFFFF"/>
        </w:rPr>
        <w:t>、《中小企业声明函》中，须同时满足以上两个条件。如投标人提供非本企业制造的货物，须提供制造商</w:t>
      </w:r>
      <w:r>
        <w:rPr>
          <w:rFonts w:hint="eastAsia"/>
          <w:color w:val="auto"/>
          <w:kern w:val="0"/>
          <w:szCs w:val="21"/>
          <w:highlight w:val="none"/>
          <w:shd w:val="clear" w:color="auto" w:fill="FFFFFF"/>
        </w:rPr>
        <w:t>“</w:t>
      </w:r>
      <w:r>
        <w:rPr>
          <w:color w:val="auto"/>
          <w:kern w:val="0"/>
          <w:szCs w:val="21"/>
          <w:highlight w:val="none"/>
          <w:shd w:val="clear" w:color="auto" w:fill="FFFFFF"/>
        </w:rPr>
        <w:t>国家企业信用信息公示系统——小微企业名录</w:t>
      </w:r>
      <w:r>
        <w:rPr>
          <w:rFonts w:hint="eastAsia"/>
          <w:color w:val="auto"/>
          <w:kern w:val="0"/>
          <w:szCs w:val="21"/>
          <w:highlight w:val="none"/>
          <w:shd w:val="clear" w:color="auto" w:fill="FFFFFF"/>
        </w:rPr>
        <w:t>”</w:t>
      </w:r>
      <w:r>
        <w:rPr>
          <w:color w:val="auto"/>
          <w:kern w:val="0"/>
          <w:szCs w:val="21"/>
          <w:highlight w:val="none"/>
          <w:shd w:val="clear" w:color="auto" w:fill="FFFFFF"/>
        </w:rPr>
        <w:t>页面查询结果（加盖投标人公章）。</w:t>
      </w:r>
    </w:p>
    <w:p>
      <w:pPr>
        <w:spacing w:line="320" w:lineRule="exact"/>
        <w:ind w:firstLine="210" w:firstLineChars="100"/>
        <w:rPr>
          <w:color w:val="auto"/>
          <w:kern w:val="0"/>
          <w:szCs w:val="21"/>
          <w:highlight w:val="none"/>
          <w:shd w:val="clear" w:color="auto" w:fill="FFFFFF"/>
        </w:rPr>
      </w:pPr>
      <w:r>
        <w:rPr>
          <w:rFonts w:hint="eastAsia"/>
          <w:color w:val="auto"/>
          <w:kern w:val="0"/>
          <w:szCs w:val="21"/>
          <w:highlight w:val="none"/>
          <w:shd w:val="clear" w:color="auto" w:fill="FFFFFF"/>
        </w:rPr>
        <w:t>3</w:t>
      </w:r>
      <w:r>
        <w:rPr>
          <w:color w:val="auto"/>
          <w:kern w:val="0"/>
          <w:szCs w:val="21"/>
          <w:highlight w:val="none"/>
          <w:shd w:val="clear" w:color="auto" w:fill="FFFFFF"/>
        </w:rPr>
        <w:t>、监狱企业参加投标【提供《监狱企业声明函》及其相关的充分的证明材料】，视为小型、微型企业，享受小微企业政策扶持。</w:t>
      </w:r>
    </w:p>
    <w:p>
      <w:pPr>
        <w:spacing w:line="320" w:lineRule="exact"/>
        <w:ind w:firstLine="210" w:firstLineChars="100"/>
        <w:rPr>
          <w:color w:val="auto"/>
          <w:szCs w:val="21"/>
          <w:highlight w:val="none"/>
        </w:rPr>
      </w:pPr>
      <w:r>
        <w:rPr>
          <w:rFonts w:hint="eastAsia"/>
          <w:color w:val="auto"/>
          <w:kern w:val="0"/>
          <w:szCs w:val="21"/>
          <w:highlight w:val="none"/>
          <w:shd w:val="clear" w:color="auto" w:fill="FFFFFF"/>
        </w:rPr>
        <w:t>4</w:t>
      </w:r>
      <w:r>
        <w:rPr>
          <w:color w:val="auto"/>
          <w:kern w:val="0"/>
          <w:szCs w:val="21"/>
          <w:highlight w:val="none"/>
          <w:shd w:val="clear" w:color="auto" w:fill="FFFFFF"/>
        </w:rPr>
        <w:t>、残疾人福利性单位参加投标【提供《残疾人福利性单位声明函》】，视为小型、微型企业，享受小微企业政策扶持。</w:t>
      </w:r>
    </w:p>
    <w:p>
      <w:pPr>
        <w:rPr>
          <w:color w:val="auto"/>
          <w:highlight w:val="none"/>
        </w:rPr>
      </w:pPr>
    </w:p>
    <w:p>
      <w:pPr>
        <w:rPr>
          <w:color w:val="auto"/>
          <w:highlight w:val="none"/>
        </w:rPr>
      </w:pPr>
    </w:p>
    <w:p>
      <w:pPr>
        <w:rPr>
          <w:rFonts w:hint="eastAsia"/>
          <w:color w:val="auto"/>
          <w:sz w:val="28"/>
          <w:szCs w:val="28"/>
          <w:highlight w:val="none"/>
        </w:rPr>
      </w:pPr>
      <w:r>
        <w:rPr>
          <w:color w:val="auto"/>
          <w:sz w:val="28"/>
          <w:szCs w:val="28"/>
          <w:highlight w:val="none"/>
        </w:rPr>
        <w:t>附件十</w:t>
      </w:r>
      <w:r>
        <w:rPr>
          <w:rFonts w:hint="eastAsia"/>
          <w:color w:val="auto"/>
          <w:sz w:val="28"/>
          <w:szCs w:val="28"/>
          <w:highlight w:val="none"/>
        </w:rPr>
        <w:t>二</w:t>
      </w:r>
    </w:p>
    <w:p>
      <w:pPr>
        <w:pStyle w:val="9"/>
        <w:rPr>
          <w:rFonts w:ascii="Times New Roman" w:hAnsi="Times New Roman" w:cs="Times New Roman"/>
          <w:color w:val="auto"/>
          <w:sz w:val="32"/>
          <w:szCs w:val="36"/>
          <w:highlight w:val="none"/>
        </w:rPr>
      </w:pPr>
      <w:bookmarkStart w:id="79" w:name="_Toc29596"/>
      <w:bookmarkStart w:id="80" w:name="_Toc24913"/>
      <w:bookmarkStart w:id="81" w:name="_Toc10375"/>
      <w:r>
        <w:rPr>
          <w:rFonts w:ascii="Times New Roman" w:hAnsi="Times New Roman" w:cs="Times New Roman"/>
          <w:color w:val="auto"/>
          <w:sz w:val="32"/>
          <w:szCs w:val="36"/>
          <w:highlight w:val="none"/>
        </w:rPr>
        <w:t>监狱企业声明函</w:t>
      </w:r>
      <w:bookmarkEnd w:id="79"/>
      <w:bookmarkEnd w:id="80"/>
      <w:bookmarkEnd w:id="81"/>
    </w:p>
    <w:p>
      <w:pPr>
        <w:spacing w:line="360" w:lineRule="auto"/>
        <w:jc w:val="center"/>
        <w:rPr>
          <w:rFonts w:hint="eastAsia"/>
          <w:color w:val="auto"/>
          <w:szCs w:val="21"/>
          <w:highlight w:val="none"/>
        </w:rPr>
      </w:pPr>
      <w:r>
        <w:rPr>
          <w:rFonts w:hint="eastAsia"/>
          <w:color w:val="auto"/>
          <w:szCs w:val="21"/>
          <w:highlight w:val="none"/>
        </w:rPr>
        <w:t>【不属于监狱企业的无需填写、递交】</w:t>
      </w:r>
    </w:p>
    <w:p>
      <w:pPr>
        <w:rPr>
          <w:color w:val="auto"/>
          <w:highlight w:val="none"/>
        </w:rPr>
      </w:pPr>
    </w:p>
    <w:p>
      <w:pPr>
        <w:spacing w:line="360" w:lineRule="auto"/>
        <w:ind w:firstLine="420" w:firstLineChars="200"/>
        <w:rPr>
          <w:color w:val="auto"/>
          <w:szCs w:val="21"/>
          <w:highlight w:val="none"/>
        </w:rPr>
      </w:pPr>
      <w:r>
        <w:rPr>
          <w:color w:val="auto"/>
          <w:szCs w:val="21"/>
          <w:highlight w:val="none"/>
        </w:rPr>
        <w:t>本公司郑重声明，根据《关于政府采购支持监狱企业发展有关问题的通知》 （财库[2014]68 号）的规定，本公司为监狱企业。</w:t>
      </w:r>
    </w:p>
    <w:p>
      <w:pPr>
        <w:spacing w:line="360" w:lineRule="auto"/>
        <w:ind w:firstLine="420" w:firstLineChars="200"/>
        <w:rPr>
          <w:color w:val="auto"/>
          <w:szCs w:val="21"/>
          <w:highlight w:val="none"/>
        </w:rPr>
      </w:pPr>
      <w:r>
        <w:rPr>
          <w:color w:val="auto"/>
          <w:szCs w:val="21"/>
          <w:highlight w:val="none"/>
        </w:rPr>
        <w:t>根据上述标准，我公司属于监狱企业的理由为：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本公司为参加（</w:t>
      </w:r>
      <w:r>
        <w:rPr>
          <w:color w:val="auto"/>
          <w:szCs w:val="21"/>
          <w:highlight w:val="none"/>
          <w:u w:val="single"/>
        </w:rPr>
        <w:t xml:space="preserve">       项目名称        </w:t>
      </w:r>
      <w:r>
        <w:rPr>
          <w:color w:val="auto"/>
          <w:szCs w:val="21"/>
          <w:highlight w:val="none"/>
        </w:rPr>
        <w:t>）（项目编号：</w:t>
      </w:r>
      <w:r>
        <w:rPr>
          <w:color w:val="auto"/>
          <w:szCs w:val="21"/>
          <w:highlight w:val="none"/>
          <w:u w:val="single"/>
        </w:rPr>
        <w:t xml:space="preserve">                   </w:t>
      </w:r>
      <w:r>
        <w:rPr>
          <w:color w:val="auto"/>
          <w:szCs w:val="21"/>
          <w:highlight w:val="none"/>
        </w:rPr>
        <w:t>）采购活动提供本企业制造的货物。</w:t>
      </w:r>
    </w:p>
    <w:p>
      <w:pPr>
        <w:spacing w:line="360" w:lineRule="auto"/>
        <w:ind w:firstLine="420" w:firstLineChars="200"/>
        <w:rPr>
          <w:color w:val="auto"/>
          <w:szCs w:val="21"/>
          <w:highlight w:val="none"/>
        </w:rPr>
      </w:pPr>
      <w:r>
        <w:rPr>
          <w:color w:val="auto"/>
          <w:szCs w:val="21"/>
          <w:highlight w:val="none"/>
        </w:rPr>
        <w:t>本公司对上述声明的真实性负责。如有虚假，将依法承担相应责任。</w:t>
      </w:r>
    </w:p>
    <w:p>
      <w:pPr>
        <w:spacing w:line="360" w:lineRule="auto"/>
        <w:rPr>
          <w:color w:val="auto"/>
          <w:szCs w:val="21"/>
          <w:highlight w:val="none"/>
        </w:rPr>
      </w:pPr>
    </w:p>
    <w:p>
      <w:pPr>
        <w:spacing w:line="360" w:lineRule="auto"/>
        <w:ind w:left="4820"/>
        <w:rPr>
          <w:color w:val="auto"/>
          <w:szCs w:val="21"/>
          <w:highlight w:val="none"/>
        </w:rPr>
      </w:pPr>
      <w:r>
        <w:rPr>
          <w:color w:val="auto"/>
          <w:szCs w:val="21"/>
          <w:highlight w:val="none"/>
        </w:rPr>
        <w:t>供应商名称</w:t>
      </w:r>
      <w:r>
        <w:rPr>
          <w:rFonts w:hint="eastAsia"/>
          <w:color w:val="auto"/>
          <w:szCs w:val="21"/>
          <w:highlight w:val="none"/>
        </w:rPr>
        <w:t>（</w:t>
      </w:r>
      <w:r>
        <w:rPr>
          <w:color w:val="auto"/>
          <w:szCs w:val="21"/>
          <w:highlight w:val="none"/>
        </w:rPr>
        <w:t>公章</w:t>
      </w:r>
      <w:r>
        <w:rPr>
          <w:rFonts w:hint="eastAsia"/>
          <w:color w:val="auto"/>
          <w:szCs w:val="21"/>
          <w:highlight w:val="none"/>
        </w:rPr>
        <w:t>）</w:t>
      </w:r>
      <w:r>
        <w:rPr>
          <w:color w:val="auto"/>
          <w:szCs w:val="21"/>
          <w:highlight w:val="none"/>
        </w:rPr>
        <w:t>：</w:t>
      </w:r>
    </w:p>
    <w:p>
      <w:pPr>
        <w:spacing w:line="360" w:lineRule="auto"/>
        <w:ind w:left="4820"/>
        <w:rPr>
          <w:color w:val="auto"/>
          <w:szCs w:val="21"/>
          <w:highlight w:val="none"/>
        </w:rPr>
      </w:pPr>
      <w:r>
        <w:rPr>
          <w:color w:val="auto"/>
          <w:szCs w:val="21"/>
          <w:highlight w:val="none"/>
        </w:rPr>
        <w:t>投标方代表签字：</w:t>
      </w:r>
    </w:p>
    <w:p>
      <w:pPr>
        <w:spacing w:line="360" w:lineRule="auto"/>
        <w:ind w:firstLine="4830" w:firstLineChars="2300"/>
        <w:rPr>
          <w:color w:val="auto"/>
          <w:highlight w:val="none"/>
        </w:rPr>
      </w:pPr>
      <w:r>
        <w:rPr>
          <w:color w:val="auto"/>
          <w:szCs w:val="21"/>
          <w:highlight w:val="none"/>
        </w:rPr>
        <w:t>日期：</w:t>
      </w:r>
      <w:r>
        <w:rPr>
          <w:color w:val="auto"/>
          <w:szCs w:val="21"/>
          <w:highlight w:val="none"/>
        </w:rPr>
        <w:tab/>
      </w:r>
      <w:r>
        <w:rPr>
          <w:color w:val="auto"/>
          <w:szCs w:val="21"/>
          <w:highlight w:val="none"/>
        </w:rPr>
        <w:t>年</w:t>
      </w:r>
      <w:r>
        <w:rPr>
          <w:color w:val="auto"/>
          <w:szCs w:val="21"/>
          <w:highlight w:val="none"/>
        </w:rPr>
        <w:tab/>
      </w:r>
      <w:r>
        <w:rPr>
          <w:color w:val="auto"/>
          <w:szCs w:val="21"/>
          <w:highlight w:val="none"/>
        </w:rPr>
        <w:t xml:space="preserve"> 月</w:t>
      </w:r>
      <w:r>
        <w:rPr>
          <w:color w:val="auto"/>
          <w:szCs w:val="21"/>
          <w:highlight w:val="none"/>
        </w:rPr>
        <w:tab/>
      </w:r>
      <w:r>
        <w:rPr>
          <w:color w:val="auto"/>
          <w:szCs w:val="21"/>
          <w:highlight w:val="none"/>
        </w:rPr>
        <w:t xml:space="preserve">  日</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b/>
          <w:bCs/>
          <w:color w:val="auto"/>
          <w:highlight w:val="none"/>
        </w:rPr>
      </w:pPr>
    </w:p>
    <w:p>
      <w:pPr>
        <w:spacing w:line="360" w:lineRule="auto"/>
        <w:rPr>
          <w:color w:val="auto"/>
          <w:highlight w:val="none"/>
        </w:rPr>
      </w:pPr>
    </w:p>
    <w:p>
      <w:pPr>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rFonts w:hint="eastAsia"/>
          <w:color w:val="auto"/>
          <w:highlight w:val="none"/>
        </w:rPr>
      </w:pPr>
      <w:r>
        <w:rPr>
          <w:color w:val="auto"/>
          <w:sz w:val="28"/>
          <w:szCs w:val="28"/>
          <w:highlight w:val="none"/>
        </w:rPr>
        <w:t>附件十</w:t>
      </w:r>
      <w:r>
        <w:rPr>
          <w:rFonts w:hint="eastAsia"/>
          <w:color w:val="auto"/>
          <w:sz w:val="28"/>
          <w:szCs w:val="28"/>
          <w:highlight w:val="none"/>
        </w:rPr>
        <w:t>三</w:t>
      </w:r>
    </w:p>
    <w:p>
      <w:pPr>
        <w:pStyle w:val="9"/>
        <w:rPr>
          <w:rFonts w:ascii="Times New Roman" w:hAnsi="Times New Roman" w:cs="Times New Roman"/>
          <w:color w:val="auto"/>
          <w:sz w:val="32"/>
          <w:szCs w:val="36"/>
          <w:highlight w:val="none"/>
        </w:rPr>
      </w:pPr>
      <w:bookmarkStart w:id="82" w:name="_Toc7540"/>
      <w:bookmarkStart w:id="83" w:name="_Toc25109"/>
      <w:bookmarkStart w:id="84" w:name="_Toc20071"/>
      <w:r>
        <w:rPr>
          <w:rFonts w:ascii="Times New Roman" w:hAnsi="Times New Roman" w:cs="Times New Roman"/>
          <w:color w:val="auto"/>
          <w:sz w:val="32"/>
          <w:szCs w:val="36"/>
          <w:highlight w:val="none"/>
        </w:rPr>
        <w:t>残疾人福利性单位声明函</w:t>
      </w:r>
      <w:bookmarkEnd w:id="82"/>
      <w:bookmarkEnd w:id="83"/>
      <w:bookmarkEnd w:id="84"/>
    </w:p>
    <w:p>
      <w:pPr>
        <w:jc w:val="center"/>
        <w:rPr>
          <w:rFonts w:hint="eastAsia"/>
          <w:color w:val="auto"/>
          <w:highlight w:val="none"/>
        </w:rPr>
      </w:pPr>
      <w:r>
        <w:rPr>
          <w:rFonts w:hint="eastAsia"/>
          <w:color w:val="auto"/>
          <w:highlight w:val="none"/>
        </w:rPr>
        <w:t>【不属于残疾人福利单位的无需填写、递交】</w:t>
      </w:r>
    </w:p>
    <w:p>
      <w:pPr>
        <w:rPr>
          <w:color w:val="auto"/>
          <w:highlight w:val="none"/>
        </w:rPr>
      </w:pPr>
    </w:p>
    <w:p>
      <w:pPr>
        <w:spacing w:line="360" w:lineRule="auto"/>
        <w:ind w:firstLine="439"/>
        <w:rPr>
          <w:color w:val="auto"/>
          <w:szCs w:val="21"/>
          <w:highlight w:val="none"/>
          <w:u w:val="single"/>
        </w:rPr>
      </w:pPr>
      <w:r>
        <w:rPr>
          <w:color w:val="auto"/>
          <w:highlight w:val="none"/>
        </w:rPr>
        <w:t>本单位郑重声明，根据《财政部 民政部 中国残疾人联合会关于促进残疾人就业政府采购政策的通知》（财库〔2</w:t>
      </w:r>
      <w:r>
        <w:rPr>
          <w:color w:val="auto"/>
          <w:szCs w:val="21"/>
          <w:highlight w:val="none"/>
        </w:rPr>
        <w:t>017〕141 号）的规定，本单位为符合条件的残疾人福利性单位，且本单位参加</w:t>
      </w:r>
      <w:r>
        <w:rPr>
          <w:color w:val="auto"/>
          <w:szCs w:val="21"/>
          <w:highlight w:val="none"/>
          <w:u w:val="single"/>
        </w:rPr>
        <w:tab/>
      </w:r>
      <w:r>
        <w:rPr>
          <w:color w:val="auto"/>
          <w:szCs w:val="21"/>
          <w:highlight w:val="none"/>
          <w:u w:val="single"/>
        </w:rPr>
        <w:tab/>
      </w:r>
    </w:p>
    <w:p>
      <w:pPr>
        <w:spacing w:line="360" w:lineRule="auto"/>
        <w:rPr>
          <w:color w:val="auto"/>
          <w:szCs w:val="21"/>
          <w:highlight w:val="none"/>
        </w:rPr>
      </w:pP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left="440"/>
        <w:rPr>
          <w:color w:val="auto"/>
          <w:szCs w:val="21"/>
          <w:highlight w:val="none"/>
        </w:rPr>
      </w:pPr>
      <w:r>
        <w:rPr>
          <w:color w:val="auto"/>
          <w:szCs w:val="21"/>
          <w:highlight w:val="none"/>
        </w:rPr>
        <w:t>本单位对上述声明的真实性负责。如有虚假，将依法承担相应责任。</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bookmarkStart w:id="91" w:name="_GoBack"/>
      <w:bookmarkEnd w:id="91"/>
    </w:p>
    <w:p>
      <w:pPr>
        <w:spacing w:line="360" w:lineRule="auto"/>
        <w:ind w:left="440" w:firstLine="4410" w:firstLineChars="2100"/>
        <w:rPr>
          <w:color w:val="auto"/>
          <w:szCs w:val="21"/>
          <w:highlight w:val="none"/>
        </w:rPr>
      </w:pPr>
      <w:r>
        <w:rPr>
          <w:color w:val="auto"/>
          <w:szCs w:val="21"/>
          <w:highlight w:val="none"/>
        </w:rPr>
        <w:t>单位名称（盖章）：</w:t>
      </w:r>
    </w:p>
    <w:p>
      <w:pPr>
        <w:spacing w:line="360" w:lineRule="auto"/>
        <w:ind w:left="440" w:firstLine="4410" w:firstLineChars="2100"/>
        <w:rPr>
          <w:color w:val="auto"/>
          <w:szCs w:val="21"/>
          <w:highlight w:val="none"/>
        </w:rPr>
      </w:pPr>
      <w:r>
        <w:rPr>
          <w:color w:val="auto"/>
          <w:szCs w:val="21"/>
          <w:highlight w:val="none"/>
        </w:rPr>
        <w:t xml:space="preserve">日 </w:t>
      </w:r>
      <w:r>
        <w:rPr>
          <w:rFonts w:hint="eastAsia"/>
          <w:color w:val="auto"/>
          <w:szCs w:val="21"/>
          <w:highlight w:val="none"/>
        </w:rPr>
        <w:t xml:space="preserve"> </w:t>
      </w:r>
      <w:r>
        <w:rPr>
          <w:color w:val="auto"/>
          <w:szCs w:val="21"/>
          <w:highlight w:val="none"/>
        </w:rPr>
        <w:t>期：</w:t>
      </w:r>
      <w:r>
        <w:rPr>
          <w:color w:val="auto"/>
          <w:szCs w:val="21"/>
          <w:highlight w:val="none"/>
        </w:rPr>
        <w:tab/>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rPr>
          <w:color w:val="auto"/>
          <w:highlight w:val="none"/>
        </w:rPr>
      </w:pPr>
    </w:p>
    <w:p>
      <w:pPr>
        <w:rPr>
          <w:color w:val="auto"/>
          <w:highlight w:val="none"/>
        </w:rPr>
      </w:pPr>
      <w:bookmarkStart w:id="85" w:name="_Toc22740"/>
    </w:p>
    <w:p>
      <w:pPr>
        <w:pStyle w:val="4"/>
        <w:rPr>
          <w:color w:val="auto"/>
          <w:highlight w:val="none"/>
        </w:rPr>
      </w:pPr>
      <w:r>
        <w:rPr>
          <w:color w:val="auto"/>
          <w:highlight w:val="none"/>
        </w:rPr>
        <w:br w:type="page"/>
      </w:r>
      <w:r>
        <w:rPr>
          <w:color w:val="auto"/>
          <w:highlight w:val="none"/>
        </w:rPr>
        <w:t>第七章 永康市政府采购合同（参考样本）</w:t>
      </w:r>
      <w:bookmarkEnd w:id="85"/>
    </w:p>
    <w:p>
      <w:pPr>
        <w:rPr>
          <w:rFonts w:hint="eastAsia"/>
          <w:color w:val="auto"/>
          <w:highlight w:val="none"/>
        </w:rPr>
      </w:pP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甲 方（采 购 人）：</w:t>
      </w:r>
      <w:r>
        <w:rPr>
          <w:rFonts w:hint="eastAsia" w:ascii="宋体" w:hAnsi="宋体" w:cs="宋体"/>
          <w:bCs/>
          <w:color w:val="auto"/>
          <w:szCs w:val="21"/>
          <w:highlight w:val="none"/>
          <w:u w:val="single"/>
        </w:rPr>
        <w:t>永康市经济和信息化局</w:t>
      </w:r>
    </w:p>
    <w:p>
      <w:pPr>
        <w:spacing w:line="360"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 xml:space="preserve">    乙 方（服务单位）：</w:t>
      </w:r>
      <w:r>
        <w:rPr>
          <w:rFonts w:hint="eastAsia" w:ascii="宋体" w:hAnsi="宋体" w:cs="宋体"/>
          <w:bCs/>
          <w:color w:val="auto"/>
          <w:szCs w:val="21"/>
          <w:highlight w:val="none"/>
          <w:u w:val="single"/>
        </w:rPr>
        <w:t xml:space="preserve">                    </w:t>
      </w:r>
    </w:p>
    <w:p>
      <w:pPr>
        <w:tabs>
          <w:tab w:val="left" w:pos="420"/>
        </w:tabs>
        <w:spacing w:line="360" w:lineRule="auto"/>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    签证方（采购代理机构）：</w:t>
      </w:r>
      <w:r>
        <w:rPr>
          <w:rFonts w:hint="eastAsia" w:ascii="宋体" w:hAnsi="宋体" w:cs="宋体"/>
          <w:bCs/>
          <w:color w:val="auto"/>
          <w:szCs w:val="21"/>
          <w:highlight w:val="none"/>
          <w:u w:val="single"/>
        </w:rPr>
        <w:t>浙江方圆工程咨询有限公司</w:t>
      </w:r>
    </w:p>
    <w:p>
      <w:pPr>
        <w:tabs>
          <w:tab w:val="left" w:pos="420"/>
        </w:tabs>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lang w:eastAsia="zh-CN"/>
        </w:rPr>
        <w:t>第二届世界五金发展大会活动项目</w:t>
      </w:r>
    </w:p>
    <w:p>
      <w:pPr>
        <w:tabs>
          <w:tab w:val="left" w:pos="420"/>
        </w:tabs>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采购</w:t>
      </w:r>
      <w:r>
        <w:rPr>
          <w:rFonts w:hint="eastAsia" w:ascii="宋体" w:hAnsi="宋体" w:cs="宋体"/>
          <w:bCs/>
          <w:color w:val="auto"/>
          <w:szCs w:val="21"/>
          <w:highlight w:val="none"/>
        </w:rPr>
        <w:t>计划文号：</w:t>
      </w:r>
      <w:r>
        <w:rPr>
          <w:rFonts w:hint="eastAsia" w:ascii="宋体" w:hAnsi="宋体" w:cs="宋体"/>
          <w:bCs/>
          <w:color w:val="auto"/>
          <w:szCs w:val="21"/>
          <w:highlight w:val="none"/>
          <w:u w:val="single"/>
        </w:rPr>
        <w:t xml:space="preserve">                           </w:t>
      </w:r>
    </w:p>
    <w:p>
      <w:pPr>
        <w:tabs>
          <w:tab w:val="left" w:pos="420"/>
        </w:tabs>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采购项目编号：</w:t>
      </w:r>
      <w:r>
        <w:rPr>
          <w:rFonts w:hint="eastAsia" w:ascii="宋体" w:hAnsi="宋体" w:cs="宋体"/>
          <w:bCs/>
          <w:color w:val="auto"/>
          <w:szCs w:val="21"/>
          <w:highlight w:val="none"/>
          <w:u w:val="single"/>
        </w:rPr>
        <w:t xml:space="preserve">                           </w:t>
      </w:r>
    </w:p>
    <w:p>
      <w:pPr>
        <w:tabs>
          <w:tab w:val="left" w:pos="420"/>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u w:val="single"/>
          <w:lang w:eastAsia="zh-CN"/>
        </w:rPr>
        <w:t>第二届世界五金发展大会活动项目</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永康市经济和信息化局</w:t>
      </w:r>
      <w:r>
        <w:rPr>
          <w:rFonts w:hint="eastAsia" w:ascii="宋体" w:hAnsi="宋体" w:cs="宋体"/>
          <w:color w:val="auto"/>
          <w:szCs w:val="21"/>
          <w:highlight w:val="none"/>
        </w:rPr>
        <w:t>以公开招标的方式确定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第二届世界五金发展大会活动项目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项目的中标人，根据招标文件、投标文件，依据《中华人民共和国政府采购法》和《中华人民共和国民法典》及有关法律法规，结合项目实际，经双方协商，签订本合同。</w:t>
      </w:r>
    </w:p>
    <w:p>
      <w:pPr>
        <w:numPr>
          <w:ilvl w:val="0"/>
          <w:numId w:val="5"/>
        </w:numPr>
        <w:spacing w:line="360" w:lineRule="auto"/>
        <w:rPr>
          <w:rFonts w:hint="eastAsia" w:ascii="宋体" w:hAnsi="宋体"/>
          <w:b/>
          <w:bCs/>
          <w:color w:val="auto"/>
          <w:highlight w:val="none"/>
        </w:rPr>
      </w:pPr>
      <w:r>
        <w:rPr>
          <w:rFonts w:ascii="宋体" w:hAnsi="宋体"/>
          <w:b/>
          <w:bCs/>
          <w:color w:val="auto"/>
          <w:highlight w:val="none"/>
        </w:rPr>
        <w:t>服务</w:t>
      </w:r>
      <w:r>
        <w:rPr>
          <w:rFonts w:hint="eastAsia" w:ascii="宋体" w:hAnsi="宋体"/>
          <w:b/>
          <w:bCs/>
          <w:color w:val="auto"/>
          <w:highlight w:val="none"/>
        </w:rPr>
        <w:t>项目：</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333"/>
        <w:gridCol w:w="1300"/>
        <w:gridCol w:w="1467"/>
        <w:gridCol w:w="191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宋体" w:hAnsi="宋体" w:eastAsia="宋体" w:cs="Courier New"/>
                <w:b/>
                <w:bCs/>
                <w:color w:val="auto"/>
                <w:szCs w:val="21"/>
                <w:highlight w:val="none"/>
              </w:rPr>
              <w:t>标项名称</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Times New Roman" w:hAnsi="Times New Roman" w:eastAsia="宋体" w:cs="Courier New"/>
                <w:b/>
                <w:bCs/>
                <w:color w:val="auto"/>
                <w:szCs w:val="21"/>
                <w:highlight w:val="none"/>
              </w:rPr>
              <w:t>数量</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Times New Roman" w:hAnsi="Times New Roman" w:eastAsia="宋体" w:cs="Courier New"/>
                <w:b/>
                <w:bCs/>
                <w:color w:val="auto"/>
                <w:szCs w:val="21"/>
                <w:highlight w:val="none"/>
              </w:rPr>
              <w:t>单位</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Times New Roman" w:hAnsi="Times New Roman" w:eastAsia="宋体" w:cs="Courier New"/>
                <w:b/>
                <w:bCs/>
                <w:color w:val="auto"/>
                <w:szCs w:val="21"/>
                <w:highlight w:val="none"/>
              </w:rPr>
              <w:t>单价（元）</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Times New Roman" w:hAnsi="Times New Roman" w:eastAsia="宋体" w:cs="Courier New"/>
                <w:b/>
                <w:bCs/>
                <w:color w:val="auto"/>
                <w:szCs w:val="21"/>
                <w:highlight w:val="none"/>
              </w:rPr>
              <w:t>总价（元）</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ind w:left="-108"/>
              <w:jc w:val="center"/>
              <w:rPr>
                <w:rFonts w:ascii="Times New Roman" w:hAnsi="Times New Roman" w:eastAsia="宋体" w:cs="Courier New"/>
                <w:b/>
                <w:bCs/>
                <w:color w:val="auto"/>
                <w:szCs w:val="21"/>
                <w:highlight w:val="none"/>
              </w:rPr>
            </w:pPr>
            <w:r>
              <w:rPr>
                <w:rFonts w:hint="eastAsia" w:ascii="Times New Roman" w:hAnsi="Times New Roman" w:eastAsia="宋体" w:cs="Courier New"/>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Times New Roman" w:eastAsia="宋体" w:cs="Times New Roman"/>
                <w:snapToGrid w:val="0"/>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color w:val="auto"/>
                <w:szCs w:val="21"/>
                <w:highlight w:val="none"/>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color w:val="auto"/>
                <w:szCs w:val="21"/>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Courier New"/>
                <w:color w:val="auto"/>
                <w:szCs w:val="21"/>
                <w:highlight w:val="none"/>
              </w:rPr>
            </w:pPr>
            <w:r>
              <w:rPr>
                <w:rFonts w:hint="eastAsia" w:ascii="Times New Roman" w:hAnsi="Times New Roman" w:eastAsia="宋体" w:cs="Courier New"/>
                <w:color w:val="auto"/>
                <w:szCs w:val="21"/>
                <w:highlight w:val="none"/>
              </w:rPr>
              <w:t>合 计</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宋体" w:cs="Times New Roman"/>
                <w:snapToGrid w:val="0"/>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Times New Roman" w:hAnsi="Times New Roman" w:eastAsia="宋体" w:cs="Times New Roman"/>
                <w:snapToGrid w:val="0"/>
                <w:color w:val="auto"/>
                <w:szCs w:val="21"/>
                <w:highlight w:val="none"/>
              </w:rPr>
            </w:pPr>
          </w:p>
        </w:tc>
      </w:tr>
    </w:tbl>
    <w:p>
      <w:pPr>
        <w:spacing w:line="360" w:lineRule="auto"/>
        <w:ind w:firstLine="210" w:firstLineChars="100"/>
        <w:rPr>
          <w:rFonts w:hint="eastAsia" w:ascii="宋体" w:hAnsi="宋体"/>
          <w:b/>
          <w:bCs/>
          <w:color w:val="auto"/>
          <w:highlight w:val="none"/>
        </w:rPr>
      </w:pPr>
      <w:r>
        <w:rPr>
          <w:rFonts w:hint="eastAsia" w:ascii="宋体" w:hAnsi="Courier New"/>
          <w:color w:val="auto"/>
          <w:szCs w:val="21"/>
          <w:highlight w:val="none"/>
        </w:rPr>
        <w:t>注：合同清单详见附件。</w:t>
      </w:r>
    </w:p>
    <w:p>
      <w:pPr>
        <w:spacing w:line="360" w:lineRule="auto"/>
        <w:rPr>
          <w:rFonts w:hint="eastAsia" w:ascii="宋体" w:hAnsi="宋体"/>
          <w:b/>
          <w:bCs/>
          <w:color w:val="auto"/>
          <w:highlight w:val="none"/>
        </w:rPr>
      </w:pPr>
      <w:r>
        <w:rPr>
          <w:rFonts w:hint="eastAsia" w:ascii="宋体" w:hAnsi="宋体"/>
          <w:b/>
          <w:bCs/>
          <w:color w:val="auto"/>
          <w:highlight w:val="none"/>
        </w:rPr>
        <w:t>二、</w:t>
      </w:r>
      <w:r>
        <w:rPr>
          <w:rFonts w:ascii="宋体" w:hAnsi="宋体"/>
          <w:b/>
          <w:bCs/>
          <w:color w:val="auto"/>
          <w:highlight w:val="none"/>
        </w:rPr>
        <w:t>合同金额</w:t>
      </w:r>
      <w:r>
        <w:rPr>
          <w:rFonts w:hint="eastAsia" w:ascii="宋体" w:hAnsi="宋体"/>
          <w:b/>
          <w:bCs/>
          <w:color w:val="auto"/>
          <w:highlight w:val="none"/>
        </w:rPr>
        <w:t>（含税价）：</w:t>
      </w:r>
    </w:p>
    <w:p>
      <w:pPr>
        <w:spacing w:line="360" w:lineRule="auto"/>
        <w:ind w:firstLine="420" w:firstLineChars="200"/>
        <w:rPr>
          <w:rFonts w:ascii="宋体" w:hAnsi="宋体"/>
          <w:color w:val="auto"/>
          <w:highlight w:val="none"/>
        </w:rPr>
      </w:pPr>
      <w:r>
        <w:rPr>
          <w:rFonts w:ascii="宋体" w:hAnsi="宋体"/>
          <w:color w:val="auto"/>
          <w:highlight w:val="none"/>
        </w:rPr>
        <w:t>本合同金额为（大写）：</w:t>
      </w:r>
      <w:r>
        <w:rPr>
          <w:rFonts w:hint="eastAsia" w:ascii="宋体" w:hAnsi="宋体"/>
          <w:color w:val="auto"/>
          <w:highlight w:val="none"/>
          <w:u w:val="single"/>
        </w:rPr>
        <w:t xml:space="preserve">              </w:t>
      </w:r>
      <w:r>
        <w:rPr>
          <w:rFonts w:hint="eastAsia" w:ascii="宋体" w:hAnsi="宋体"/>
          <w:color w:val="auto"/>
          <w:highlight w:val="none"/>
        </w:rPr>
        <w:t>元整（小写：</w:t>
      </w:r>
      <w:r>
        <w:rPr>
          <w:rFonts w:hint="eastAsia" w:ascii="宋体" w:hAnsi="宋体"/>
          <w:color w:val="auto"/>
          <w:highlight w:val="none"/>
          <w:u w:val="single"/>
        </w:rPr>
        <w:t xml:space="preserve">          </w:t>
      </w:r>
      <w:r>
        <w:rPr>
          <w:rFonts w:hint="eastAsia" w:ascii="宋体" w:hAnsi="宋体"/>
          <w:color w:val="auto"/>
          <w:highlight w:val="none"/>
        </w:rPr>
        <w:t>元）</w:t>
      </w:r>
      <w:r>
        <w:rPr>
          <w:rFonts w:ascii="宋体" w:hAnsi="宋体"/>
          <w:color w:val="auto"/>
          <w:highlight w:val="none"/>
        </w:rPr>
        <w:t>。</w:t>
      </w:r>
    </w:p>
    <w:p>
      <w:pPr>
        <w:spacing w:line="360" w:lineRule="auto"/>
        <w:rPr>
          <w:rFonts w:hint="eastAsia" w:ascii="宋体" w:hAnsi="宋体"/>
          <w:b/>
          <w:bCs/>
          <w:color w:val="auto"/>
          <w:highlight w:val="none"/>
        </w:rPr>
      </w:pPr>
      <w:r>
        <w:rPr>
          <w:rFonts w:hint="eastAsia" w:ascii="宋体" w:hAnsi="宋体"/>
          <w:b/>
          <w:bCs/>
          <w:color w:val="auto"/>
          <w:highlight w:val="none"/>
        </w:rPr>
        <w:t>三、</w:t>
      </w:r>
      <w:r>
        <w:rPr>
          <w:rFonts w:ascii="宋体" w:hAnsi="宋体"/>
          <w:b/>
          <w:bCs/>
          <w:color w:val="auto"/>
          <w:highlight w:val="none"/>
        </w:rPr>
        <w:t>技术资料</w:t>
      </w:r>
      <w:r>
        <w:rPr>
          <w:rFonts w:hint="eastAsia" w:ascii="宋体" w:hAnsi="宋体"/>
          <w:b/>
          <w:bCs/>
          <w:color w:val="auto"/>
          <w:highlight w:val="none"/>
        </w:rPr>
        <w:t>：</w:t>
      </w:r>
    </w:p>
    <w:p>
      <w:pPr>
        <w:pStyle w:val="30"/>
        <w:snapToGrid w:val="0"/>
        <w:spacing w:before="120" w:after="120" w:line="48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1.乙方应按招标文件规定的时间向甲方提供有关技术资料。</w:t>
      </w:r>
    </w:p>
    <w:p>
      <w:pPr>
        <w:pStyle w:val="30"/>
        <w:snapToGrid w:val="0"/>
        <w:spacing w:before="120" w:after="120" w:line="48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2. 没有甲方事先书面同意，乙方不得将由甲方提供的有关合同或任何合同条文、规格、计划、图纸、资料提供给与履行本合同无关的任何其他人。即使向履行本合同有关的人员提供，也应注意保密并限于履行合同的必需范围。</w:t>
      </w:r>
    </w:p>
    <w:p>
      <w:pPr>
        <w:spacing w:line="360" w:lineRule="auto"/>
        <w:rPr>
          <w:rFonts w:hint="eastAsia" w:ascii="宋体" w:hAnsi="宋体"/>
          <w:b/>
          <w:bCs/>
          <w:color w:val="auto"/>
          <w:highlight w:val="none"/>
        </w:rPr>
      </w:pPr>
      <w:r>
        <w:rPr>
          <w:rFonts w:hint="eastAsia" w:ascii="宋体" w:hAnsi="宋体"/>
          <w:b/>
          <w:bCs/>
          <w:color w:val="auto"/>
          <w:highlight w:val="none"/>
        </w:rPr>
        <w:t>四、</w:t>
      </w:r>
      <w:r>
        <w:rPr>
          <w:rFonts w:ascii="宋体" w:hAnsi="宋体"/>
          <w:b/>
          <w:bCs/>
          <w:color w:val="auto"/>
          <w:highlight w:val="none"/>
        </w:rPr>
        <w:t>知识产权</w:t>
      </w:r>
      <w:r>
        <w:rPr>
          <w:rFonts w:hint="eastAsia" w:ascii="宋体" w:hAnsi="宋体"/>
          <w:b/>
          <w:bCs/>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本次项目成果所有权和使用权均属于甲方。乙方不得以任何理由留存，否则承担由此产生的一切法律和经济责任。未经甲方书面同意，任何单位和个人不得转让和使用本项目成果。</w:t>
      </w:r>
    </w:p>
    <w:p>
      <w:pPr>
        <w:spacing w:line="360" w:lineRule="auto"/>
        <w:rPr>
          <w:rFonts w:hint="eastAsia" w:ascii="宋体" w:hAnsi="宋体"/>
          <w:b/>
          <w:bCs/>
          <w:color w:val="auto"/>
          <w:highlight w:val="none"/>
        </w:rPr>
      </w:pPr>
      <w:r>
        <w:rPr>
          <w:rFonts w:hint="eastAsia" w:ascii="宋体" w:hAnsi="宋体"/>
          <w:b/>
          <w:bCs/>
          <w:color w:val="auto"/>
          <w:highlight w:val="none"/>
        </w:rPr>
        <w:t>五、</w:t>
      </w:r>
      <w:r>
        <w:rPr>
          <w:rFonts w:ascii="宋体" w:hAnsi="宋体"/>
          <w:b/>
          <w:bCs/>
          <w:color w:val="auto"/>
          <w:highlight w:val="none"/>
        </w:rPr>
        <w:t>履约保证金</w:t>
      </w:r>
      <w:r>
        <w:rPr>
          <w:rFonts w:hint="eastAsia" w:ascii="宋体" w:hAnsi="宋体"/>
          <w:b/>
          <w:bCs/>
          <w:color w:val="auto"/>
          <w:highlight w:val="none"/>
        </w:rPr>
        <w:t>：</w:t>
      </w:r>
    </w:p>
    <w:p>
      <w:pPr>
        <w:pStyle w:val="30"/>
        <w:snapToGrid w:val="0"/>
        <w:spacing w:before="120" w:after="120" w:line="480" w:lineRule="exact"/>
        <w:ind w:firstLine="420" w:firstLineChars="200"/>
        <w:rPr>
          <w:rFonts w:hint="eastAsia" w:ascii="Times New Roman" w:hAnsi="Times New Roman" w:cs="Times New Roman"/>
          <w:bCs/>
          <w:color w:val="auto"/>
          <w:highlight w:val="none"/>
          <w:lang w:val="zh-CN"/>
        </w:rPr>
      </w:pPr>
      <w:r>
        <w:rPr>
          <w:rFonts w:hint="eastAsia" w:ascii="Times New Roman" w:hAnsi="Times New Roman" w:cs="Times New Roman"/>
          <w:bCs/>
          <w:color w:val="auto"/>
          <w:highlight w:val="none"/>
          <w:lang w:val="zh-CN"/>
        </w:rPr>
        <w:t>乙方交纳人民币</w:t>
      </w:r>
      <w:r>
        <w:rPr>
          <w:rFonts w:hint="eastAsia" w:ascii="Times New Roman" w:hAnsi="Times New Roman" w:cs="Times New Roman"/>
          <w:bCs/>
          <w:color w:val="auto"/>
          <w:highlight w:val="none"/>
          <w:u w:val="single"/>
        </w:rPr>
        <w:t xml:space="preserve">    /    </w:t>
      </w:r>
      <w:r>
        <w:rPr>
          <w:rFonts w:hint="eastAsia" w:ascii="Times New Roman" w:hAnsi="Times New Roman" w:cs="Times New Roman"/>
          <w:bCs/>
          <w:color w:val="auto"/>
          <w:highlight w:val="none"/>
          <w:lang w:val="zh-CN"/>
        </w:rPr>
        <w:t>元作为本合同的履约保证金（如有）。</w:t>
      </w:r>
    </w:p>
    <w:p>
      <w:pPr>
        <w:pStyle w:val="30"/>
        <w:keepNext w:val="0"/>
        <w:keepLines w:val="0"/>
        <w:pageBreakBefore w:val="0"/>
        <w:kinsoku/>
        <w:wordWrap/>
        <w:overflowPunct/>
        <w:topLinePunct w:val="0"/>
        <w:autoSpaceDE/>
        <w:autoSpaceDN/>
        <w:bidi w:val="0"/>
        <w:adjustRightInd/>
        <w:snapToGrid w:val="0"/>
        <w:spacing w:before="120" w:after="120" w:line="480" w:lineRule="exact"/>
        <w:ind w:left="410" w:hanging="358" w:hangingChars="170"/>
        <w:textAlignment w:val="auto"/>
        <w:outlineLvl w:val="0"/>
        <w:rPr>
          <w:rFonts w:hint="eastAsia" w:ascii="新宋体" w:hAnsi="新宋体" w:eastAsia="新宋体" w:cs="新宋体"/>
          <w:b/>
          <w:color w:val="auto"/>
          <w:sz w:val="21"/>
          <w:szCs w:val="21"/>
          <w:highlight w:val="none"/>
        </w:rPr>
      </w:pPr>
      <w:bookmarkStart w:id="86" w:name="_Toc1611"/>
      <w:r>
        <w:rPr>
          <w:rFonts w:hint="eastAsia" w:ascii="新宋体" w:hAnsi="新宋体" w:eastAsia="新宋体" w:cs="新宋体"/>
          <w:b/>
          <w:color w:val="auto"/>
          <w:sz w:val="21"/>
          <w:szCs w:val="21"/>
          <w:highlight w:val="none"/>
        </w:rPr>
        <w:t>六、转包或分包</w:t>
      </w:r>
      <w:bookmarkEnd w:id="86"/>
    </w:p>
    <w:p>
      <w:pPr>
        <w:keepNext w:val="0"/>
        <w:keepLines w:val="0"/>
        <w:pageBreakBefore w:val="0"/>
        <w:kinsoku/>
        <w:wordWrap/>
        <w:overflowPunct/>
        <w:topLinePunct w:val="0"/>
        <w:autoSpaceDE/>
        <w:autoSpaceDN/>
        <w:bidi w:val="0"/>
        <w:adjustRightInd/>
        <w:snapToGrid w:val="0"/>
        <w:spacing w:before="120" w:beforeLines="50" w:after="120" w:afterLines="5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1.乙方不得将本合同转包其他供应商履行。</w:t>
      </w:r>
    </w:p>
    <w:p>
      <w:pPr>
        <w:keepNext w:val="0"/>
        <w:keepLines w:val="0"/>
        <w:pageBreakBefore w:val="0"/>
        <w:kinsoku/>
        <w:wordWrap/>
        <w:overflowPunct/>
        <w:topLinePunct w:val="0"/>
        <w:autoSpaceDE/>
        <w:autoSpaceDN/>
        <w:bidi w:val="0"/>
        <w:adjustRightInd/>
        <w:snapToGrid w:val="0"/>
        <w:spacing w:before="120" w:beforeLines="50" w:after="120" w:afterLines="5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spacing w:line="360" w:lineRule="auto"/>
        <w:rPr>
          <w:rFonts w:ascii="宋体" w:hAnsi="宋体"/>
          <w:b/>
          <w:bCs/>
          <w:color w:val="auto"/>
          <w:highlight w:val="none"/>
        </w:rPr>
      </w:pPr>
      <w:r>
        <w:rPr>
          <w:rFonts w:hint="eastAsia" w:ascii="宋体" w:hAnsi="宋体"/>
          <w:b/>
          <w:bCs/>
          <w:color w:val="auto"/>
          <w:highlight w:val="none"/>
          <w:lang w:eastAsia="zh-CN"/>
        </w:rPr>
        <w:t>七</w:t>
      </w:r>
      <w:r>
        <w:rPr>
          <w:rFonts w:hint="eastAsia" w:ascii="宋体" w:hAnsi="宋体"/>
          <w:b/>
          <w:bCs/>
          <w:color w:val="auto"/>
          <w:highlight w:val="none"/>
        </w:rPr>
        <w:t>、合同履行时间及履行地点：</w:t>
      </w:r>
    </w:p>
    <w:p>
      <w:pPr>
        <w:spacing w:line="360" w:lineRule="auto"/>
        <w:ind w:firstLine="420" w:firstLineChars="200"/>
        <w:rPr>
          <w:color w:val="auto"/>
          <w:highlight w:val="none"/>
        </w:rPr>
      </w:pPr>
      <w:r>
        <w:rPr>
          <w:color w:val="auto"/>
          <w:highlight w:val="none"/>
        </w:rPr>
        <w:t>服务地点：</w:t>
      </w:r>
      <w:r>
        <w:rPr>
          <w:color w:val="auto"/>
          <w:highlight w:val="none"/>
          <w:u w:val="single"/>
        </w:rPr>
        <w:t>永康市</w:t>
      </w:r>
      <w:r>
        <w:rPr>
          <w:rFonts w:hint="eastAsia"/>
          <w:color w:val="auto"/>
          <w:highlight w:val="none"/>
          <w:u w:val="single"/>
        </w:rPr>
        <w:t>辖区</w:t>
      </w:r>
      <w:r>
        <w:rPr>
          <w:rFonts w:hint="eastAsia"/>
          <w:color w:val="auto"/>
          <w:highlight w:val="none"/>
        </w:rPr>
        <w:t>；</w:t>
      </w:r>
    </w:p>
    <w:p>
      <w:pPr>
        <w:spacing w:line="360" w:lineRule="auto"/>
        <w:ind w:firstLine="420" w:firstLineChars="200"/>
        <w:rPr>
          <w:rFonts w:hint="eastAsia" w:ascii="Times New Roman" w:hAnsi="Times New Roman" w:eastAsia="宋体" w:cs="Times New Roman"/>
          <w:color w:val="auto"/>
          <w:highlight w:val="none"/>
        </w:rPr>
      </w:pPr>
      <w:r>
        <w:rPr>
          <w:color w:val="auto"/>
          <w:highlight w:val="none"/>
        </w:rPr>
        <w:t>服务期限：</w:t>
      </w:r>
      <w:r>
        <w:rPr>
          <w:rFonts w:hint="eastAsia"/>
          <w:color w:val="auto"/>
          <w:highlight w:val="none"/>
          <w:u w:val="single"/>
          <w:lang w:val="en-US" w:eastAsia="zh-CN"/>
        </w:rPr>
        <w:t xml:space="preserve">                          </w:t>
      </w:r>
      <w:r>
        <w:rPr>
          <w:rFonts w:hint="eastAsia" w:ascii="Times New Roman" w:hAnsi="Times New Roman" w:eastAsia="宋体" w:cs="Times New Roman"/>
          <w:color w:val="auto"/>
          <w:highlight w:val="none"/>
        </w:rPr>
        <w:t>。</w:t>
      </w:r>
    </w:p>
    <w:p>
      <w:pPr>
        <w:spacing w:line="360" w:lineRule="auto"/>
        <w:ind w:left="2" w:firstLine="422" w:firstLineChars="200"/>
        <w:rPr>
          <w:rFonts w:hint="eastAsia" w:ascii="宋体" w:hAnsi="宋体"/>
          <w:b/>
          <w:bCs/>
          <w:color w:val="auto"/>
          <w:sz w:val="21"/>
          <w:szCs w:val="21"/>
          <w:highlight w:val="none"/>
        </w:rPr>
      </w:pPr>
      <w:r>
        <w:rPr>
          <w:rFonts w:hint="eastAsia" w:ascii="新宋体" w:hAnsi="新宋体" w:eastAsia="新宋体" w:cs="新宋体"/>
          <w:b/>
          <w:color w:val="auto"/>
          <w:sz w:val="21"/>
          <w:szCs w:val="21"/>
          <w:highlight w:val="none"/>
        </w:rPr>
        <w:t>八</w:t>
      </w:r>
      <w:r>
        <w:rPr>
          <w:rFonts w:hint="eastAsia" w:ascii="宋体" w:hAnsi="宋体"/>
          <w:b/>
          <w:bCs/>
          <w:color w:val="auto"/>
          <w:sz w:val="21"/>
          <w:szCs w:val="21"/>
          <w:highlight w:val="none"/>
        </w:rPr>
        <w:t>、付款方式：</w:t>
      </w:r>
    </w:p>
    <w:p>
      <w:pPr>
        <w:spacing w:line="360" w:lineRule="auto"/>
        <w:ind w:left="2" w:firstLine="420" w:firstLineChars="200"/>
        <w:rPr>
          <w:rFonts w:hint="eastAsia"/>
          <w:bCs/>
          <w:color w:val="auto"/>
          <w:szCs w:val="21"/>
          <w:highlight w:val="none"/>
        </w:rPr>
      </w:pPr>
      <w:r>
        <w:rPr>
          <w:rFonts w:hint="eastAsia"/>
          <w:bCs/>
          <w:color w:val="auto"/>
          <w:szCs w:val="21"/>
          <w:highlight w:val="none"/>
          <w:lang w:val="en-US" w:eastAsia="zh-CN"/>
        </w:rPr>
        <w:t>1、</w:t>
      </w:r>
      <w:r>
        <w:rPr>
          <w:rFonts w:hint="eastAsia"/>
          <w:bCs/>
          <w:color w:val="auto"/>
          <w:szCs w:val="21"/>
          <w:highlight w:val="none"/>
        </w:rPr>
        <w:t>合同签订之日起7个工作日内支付合同总价的</w:t>
      </w:r>
      <w:r>
        <w:rPr>
          <w:rFonts w:hint="eastAsia"/>
          <w:bCs/>
          <w:color w:val="auto"/>
          <w:szCs w:val="21"/>
          <w:highlight w:val="none"/>
          <w:lang w:val="en-US" w:eastAsia="zh-CN"/>
        </w:rPr>
        <w:t>7</w:t>
      </w:r>
      <w:r>
        <w:rPr>
          <w:rFonts w:hint="eastAsia"/>
          <w:bCs/>
          <w:color w:val="auto"/>
          <w:szCs w:val="21"/>
          <w:highlight w:val="none"/>
        </w:rPr>
        <w:t>0%</w:t>
      </w:r>
      <w:r>
        <w:rPr>
          <w:rFonts w:hint="eastAsia" w:ascii="新宋体" w:hAnsi="新宋体" w:eastAsia="新宋体" w:cs="新宋体"/>
          <w:color w:val="auto"/>
          <w:sz w:val="21"/>
          <w:szCs w:val="21"/>
          <w:highlight w:val="none"/>
          <w:lang w:eastAsia="zh-CN"/>
        </w:rPr>
        <w:t>预付款</w:t>
      </w:r>
      <w:r>
        <w:rPr>
          <w:rFonts w:hint="eastAsia"/>
          <w:bCs/>
          <w:color w:val="auto"/>
          <w:szCs w:val="21"/>
          <w:highlight w:val="none"/>
        </w:rPr>
        <w:t>；</w:t>
      </w:r>
    </w:p>
    <w:p>
      <w:pPr>
        <w:spacing w:line="360" w:lineRule="auto"/>
        <w:ind w:left="2" w:firstLine="420" w:firstLineChars="200"/>
        <w:rPr>
          <w:rFonts w:hint="eastAsia"/>
          <w:bCs/>
          <w:color w:val="auto"/>
          <w:szCs w:val="21"/>
          <w:highlight w:val="none"/>
        </w:rPr>
      </w:pPr>
      <w:r>
        <w:rPr>
          <w:rFonts w:hint="eastAsia"/>
          <w:bCs/>
          <w:color w:val="auto"/>
          <w:szCs w:val="21"/>
          <w:highlight w:val="none"/>
        </w:rPr>
        <w:t>2、服务期限结束验收合格后7个工作日内支付剩余款项。</w:t>
      </w:r>
    </w:p>
    <w:p>
      <w:pPr>
        <w:spacing w:line="360" w:lineRule="auto"/>
        <w:ind w:firstLine="420" w:firstLineChars="200"/>
        <w:rPr>
          <w:color w:val="auto"/>
          <w:szCs w:val="21"/>
          <w:highlight w:val="none"/>
        </w:rPr>
      </w:pPr>
      <w:r>
        <w:rPr>
          <w:rFonts w:hint="eastAsia"/>
          <w:bCs/>
          <w:color w:val="auto"/>
          <w:szCs w:val="21"/>
          <w:highlight w:val="none"/>
        </w:rPr>
        <w:t>3、</w:t>
      </w:r>
      <w:r>
        <w:rPr>
          <w:rFonts w:hint="eastAsia"/>
          <w:bCs/>
          <w:color w:val="auto"/>
          <w:szCs w:val="21"/>
          <w:highlight w:val="none"/>
          <w:lang w:val="zh-CN"/>
        </w:rPr>
        <w:t>注：每次付款前中标方必须提供正式发票，因中标方不能及时提供发票导致采购人未能按约定时间付款的，不视为采购人违约，由中标方自行承担相应的法律责任。</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outlineLvl w:val="0"/>
        <w:rPr>
          <w:rFonts w:hint="eastAsia" w:ascii="新宋体" w:hAnsi="新宋体" w:eastAsia="新宋体" w:cs="新宋体"/>
          <w:b/>
          <w:color w:val="auto"/>
          <w:sz w:val="21"/>
          <w:szCs w:val="21"/>
          <w:highlight w:val="none"/>
        </w:rPr>
      </w:pPr>
      <w:bookmarkStart w:id="87" w:name="_Toc14038"/>
      <w:r>
        <w:rPr>
          <w:rFonts w:hint="eastAsia" w:ascii="新宋体" w:hAnsi="新宋体" w:eastAsia="新宋体" w:cs="新宋体"/>
          <w:b/>
          <w:color w:val="auto"/>
          <w:sz w:val="21"/>
          <w:szCs w:val="21"/>
          <w:highlight w:val="none"/>
          <w:lang w:eastAsia="zh-CN"/>
        </w:rPr>
        <w:t>九</w:t>
      </w:r>
      <w:r>
        <w:rPr>
          <w:rFonts w:hint="eastAsia" w:ascii="新宋体" w:hAnsi="新宋体" w:eastAsia="新宋体" w:cs="新宋体"/>
          <w:b/>
          <w:color w:val="auto"/>
          <w:sz w:val="21"/>
          <w:szCs w:val="21"/>
          <w:highlight w:val="none"/>
        </w:rPr>
        <w:t>、验收标准及方式</w:t>
      </w:r>
      <w:bookmarkEnd w:id="87"/>
    </w:p>
    <w:p>
      <w:pPr>
        <w:spacing w:line="360" w:lineRule="auto"/>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完成第二届世界五金发展大会活动项目所有相关服务工作，由采购人成立验收小组根据采购需求组织验收。</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十</w:t>
      </w:r>
      <w:r>
        <w:rPr>
          <w:rFonts w:hint="eastAsia" w:ascii="宋体" w:hAnsi="宋体"/>
          <w:b/>
          <w:bCs/>
          <w:color w:val="auto"/>
          <w:sz w:val="21"/>
          <w:szCs w:val="21"/>
          <w:highlight w:val="none"/>
        </w:rPr>
        <w:t>、</w:t>
      </w:r>
      <w:r>
        <w:rPr>
          <w:rFonts w:ascii="宋体" w:hAnsi="宋体"/>
          <w:b/>
          <w:bCs/>
          <w:color w:val="auto"/>
          <w:sz w:val="21"/>
          <w:szCs w:val="21"/>
          <w:highlight w:val="none"/>
        </w:rPr>
        <w:t>税费</w:t>
      </w:r>
      <w:r>
        <w:rPr>
          <w:rFonts w:hint="eastAsia" w:ascii="宋体" w:hAnsi="宋体"/>
          <w:b/>
          <w:bCs/>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本合同执行中相关的一切税费均由乙方负担。</w:t>
      </w:r>
    </w:p>
    <w:p>
      <w:pPr>
        <w:spacing w:line="360" w:lineRule="auto"/>
        <w:rPr>
          <w:rFonts w:hint="eastAsia" w:ascii="宋体" w:hAnsi="宋体" w:eastAsia="新宋体"/>
          <w:b/>
          <w:bCs/>
          <w:color w:val="auto"/>
          <w:sz w:val="21"/>
          <w:szCs w:val="21"/>
          <w:highlight w:val="none"/>
          <w:lang w:eastAsia="zh-CN"/>
        </w:rPr>
      </w:pPr>
      <w:r>
        <w:rPr>
          <w:rFonts w:hint="eastAsia" w:ascii="新宋体" w:hAnsi="新宋体" w:eastAsia="新宋体" w:cs="新宋体"/>
          <w:b/>
          <w:color w:val="auto"/>
          <w:sz w:val="21"/>
          <w:szCs w:val="21"/>
          <w:highlight w:val="none"/>
        </w:rPr>
        <w:t>十一</w:t>
      </w:r>
      <w:r>
        <w:rPr>
          <w:rFonts w:hint="eastAsia" w:ascii="宋体" w:hAnsi="宋体"/>
          <w:b/>
          <w:bCs/>
          <w:color w:val="auto"/>
          <w:sz w:val="21"/>
          <w:szCs w:val="21"/>
          <w:highlight w:val="none"/>
        </w:rPr>
        <w:t>、</w:t>
      </w:r>
      <w:r>
        <w:rPr>
          <w:rFonts w:hint="eastAsia" w:ascii="新宋体" w:hAnsi="新宋体" w:eastAsia="新宋体" w:cs="新宋体"/>
          <w:b/>
          <w:color w:val="auto"/>
          <w:sz w:val="21"/>
          <w:szCs w:val="21"/>
          <w:highlight w:val="none"/>
        </w:rPr>
        <w:t>质量保证</w:t>
      </w:r>
      <w:r>
        <w:rPr>
          <w:rFonts w:hint="eastAsia" w:ascii="新宋体" w:hAnsi="新宋体" w:eastAsia="新宋体" w:cs="新宋体"/>
          <w:b/>
          <w:color w:val="auto"/>
          <w:sz w:val="21"/>
          <w:szCs w:val="21"/>
          <w:highlight w:val="none"/>
          <w:lang w:eastAsia="zh-CN"/>
        </w:rPr>
        <w:t>：</w:t>
      </w:r>
    </w:p>
    <w:p>
      <w:pPr>
        <w:pStyle w:val="30"/>
        <w:keepNext w:val="0"/>
        <w:keepLines w:val="0"/>
        <w:pageBreakBefore w:val="0"/>
        <w:kinsoku/>
        <w:wordWrap/>
        <w:overflowPunct/>
        <w:topLinePunct w:val="0"/>
        <w:autoSpaceDE/>
        <w:autoSpaceDN/>
        <w:bidi w:val="0"/>
        <w:adjustRightInd/>
        <w:snapToGrid w:val="0"/>
        <w:spacing w:before="120" w:after="120" w:line="480" w:lineRule="exact"/>
        <w:ind w:left="410" w:hanging="359" w:hangingChars="171"/>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1.乙方应按要求向甲方提供服务。</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2.如在使用过程中发生问题，乙方在接到甲方通知后在</w:t>
      </w:r>
      <w:r>
        <w:rPr>
          <w:rFonts w:hint="eastAsia" w:ascii="新宋体" w:hAnsi="新宋体" w:eastAsia="新宋体" w:cs="新宋体"/>
          <w:color w:val="auto"/>
          <w:sz w:val="21"/>
          <w:szCs w:val="21"/>
          <w:highlight w:val="none"/>
          <w:u w:val="single"/>
          <w:lang w:val="en-US" w:eastAsia="zh-CN"/>
        </w:rPr>
        <w:t xml:space="preserve">     </w:t>
      </w:r>
      <w:r>
        <w:rPr>
          <w:rFonts w:hint="eastAsia" w:ascii="新宋体" w:hAnsi="新宋体" w:eastAsia="新宋体" w:cs="新宋体"/>
          <w:color w:val="auto"/>
          <w:sz w:val="21"/>
          <w:szCs w:val="21"/>
          <w:highlight w:val="none"/>
        </w:rPr>
        <w:t>小时内到达甲方现场。</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3.在</w:t>
      </w:r>
      <w:r>
        <w:rPr>
          <w:rFonts w:hint="eastAsia" w:ascii="新宋体" w:hAnsi="新宋体" w:eastAsia="新宋体" w:cs="新宋体"/>
          <w:bCs/>
          <w:color w:val="auto"/>
          <w:sz w:val="21"/>
          <w:szCs w:val="21"/>
          <w:highlight w:val="none"/>
        </w:rPr>
        <w:t>服务质量保证期内</w:t>
      </w:r>
      <w:r>
        <w:rPr>
          <w:rFonts w:hint="eastAsia" w:ascii="新宋体" w:hAnsi="新宋体" w:eastAsia="新宋体" w:cs="新宋体"/>
          <w:color w:val="auto"/>
          <w:sz w:val="21"/>
          <w:szCs w:val="21"/>
          <w:highlight w:val="none"/>
        </w:rPr>
        <w:t>，乙方应对出现的质量及安全问题负责处理解决并承担一切费用。</w:t>
      </w:r>
    </w:p>
    <w:p>
      <w:pPr>
        <w:keepNext w:val="0"/>
        <w:keepLines w:val="0"/>
        <w:pageBreakBefore w:val="0"/>
        <w:kinsoku/>
        <w:wordWrap/>
        <w:overflowPunct/>
        <w:topLinePunct w:val="0"/>
        <w:autoSpaceDE/>
        <w:autoSpaceDN/>
        <w:bidi w:val="0"/>
        <w:adjustRightInd/>
        <w:spacing w:line="480" w:lineRule="exact"/>
        <w:textAlignment w:val="auto"/>
        <w:outlineLvl w:val="0"/>
        <w:rPr>
          <w:rFonts w:hint="eastAsia" w:ascii="新宋体" w:hAnsi="新宋体" w:eastAsia="新宋体" w:cs="新宋体"/>
          <w:b/>
          <w:bCs/>
          <w:color w:val="auto"/>
          <w:sz w:val="21"/>
          <w:szCs w:val="21"/>
          <w:highlight w:val="none"/>
        </w:rPr>
      </w:pPr>
      <w:bookmarkStart w:id="88" w:name="_Toc29231"/>
      <w:r>
        <w:rPr>
          <w:rFonts w:hint="eastAsia" w:ascii="新宋体" w:hAnsi="新宋体" w:eastAsia="新宋体" w:cs="新宋体"/>
          <w:b/>
          <w:bCs/>
          <w:color w:val="auto"/>
          <w:sz w:val="21"/>
          <w:szCs w:val="21"/>
          <w:highlight w:val="none"/>
        </w:rPr>
        <w:t>十二、保密要求</w:t>
      </w:r>
      <w:bookmarkEnd w:id="88"/>
    </w:p>
    <w:p>
      <w:pPr>
        <w:keepNext w:val="0"/>
        <w:keepLines w:val="0"/>
        <w:pageBreakBefore w:val="0"/>
        <w:kinsoku/>
        <w:wordWrap/>
        <w:overflowPunct/>
        <w:topLinePunct w:val="0"/>
        <w:autoSpaceDE/>
        <w:autoSpaceDN/>
        <w:bidi w:val="0"/>
        <w:adjustRightInd/>
        <w:spacing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1.中标人须建立严格的保密制度，并加强对工作人员的保密管理及保密知识教育。</w:t>
      </w:r>
    </w:p>
    <w:p>
      <w:pPr>
        <w:keepNext w:val="0"/>
        <w:keepLines w:val="0"/>
        <w:pageBreakBefore w:val="0"/>
        <w:kinsoku/>
        <w:wordWrap/>
        <w:overflowPunct/>
        <w:topLinePunct w:val="0"/>
        <w:autoSpaceDE/>
        <w:autoSpaceDN/>
        <w:bidi w:val="0"/>
        <w:adjustRightInd/>
        <w:spacing w:line="480" w:lineRule="exact"/>
        <w:textAlignment w:val="auto"/>
        <w:rPr>
          <w:rFonts w:hint="eastAsia" w:ascii="新宋体" w:hAnsi="新宋体" w:eastAsia="新宋体" w:cs="新宋体"/>
          <w:b/>
          <w:color w:val="auto"/>
          <w:sz w:val="21"/>
          <w:szCs w:val="21"/>
          <w:highlight w:val="none"/>
        </w:rPr>
      </w:pPr>
      <w:r>
        <w:rPr>
          <w:rFonts w:hint="eastAsia" w:ascii="新宋体" w:hAnsi="新宋体" w:eastAsia="新宋体" w:cs="新宋体"/>
          <w:color w:val="auto"/>
          <w:sz w:val="21"/>
          <w:szCs w:val="21"/>
          <w:highlight w:val="none"/>
        </w:rPr>
        <w:t>2.中标人须承担与此有关的技术情报和数据资料的保密责任。与本项目有关的资料及数据成果中涉及国家秘密的内容，均要求按照《国家保密法》及相关法律法规执行。</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outlineLvl w:val="0"/>
        <w:rPr>
          <w:rFonts w:hint="eastAsia" w:ascii="新宋体" w:hAnsi="新宋体" w:eastAsia="新宋体" w:cs="新宋体"/>
          <w:b/>
          <w:color w:val="auto"/>
          <w:sz w:val="21"/>
          <w:szCs w:val="21"/>
          <w:highlight w:val="none"/>
        </w:rPr>
      </w:pPr>
      <w:bookmarkStart w:id="89" w:name="_Toc12092"/>
      <w:r>
        <w:rPr>
          <w:rFonts w:hint="eastAsia" w:ascii="新宋体" w:hAnsi="新宋体" w:eastAsia="新宋体" w:cs="新宋体"/>
          <w:b/>
          <w:color w:val="auto"/>
          <w:sz w:val="21"/>
          <w:szCs w:val="21"/>
          <w:highlight w:val="none"/>
        </w:rPr>
        <w:t>十三、违约责任</w:t>
      </w:r>
      <w:bookmarkEnd w:id="89"/>
    </w:p>
    <w:p>
      <w:pPr>
        <w:pStyle w:val="30"/>
        <w:keepNext w:val="0"/>
        <w:keepLines w:val="0"/>
        <w:pageBreakBefore w:val="0"/>
        <w:kinsoku/>
        <w:wordWrap/>
        <w:overflowPunct/>
        <w:topLinePunct w:val="0"/>
        <w:autoSpaceDE/>
        <w:autoSpaceDN/>
        <w:bidi w:val="0"/>
        <w:adjustRightInd/>
        <w:snapToGrid w:val="0"/>
        <w:spacing w:before="120" w:after="120" w:line="360" w:lineRule="auto"/>
        <w:ind w:left="410" w:hanging="359" w:hangingChars="171"/>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1.甲方无正当理由拒收接受服务的，甲方向乙方偿付合同款项百分之五作为违约金。</w:t>
      </w:r>
    </w:p>
    <w:p>
      <w:pPr>
        <w:pStyle w:val="30"/>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2.甲方无故逾期验收和办理款项支付手续的,甲方应按逾期付款总额每日万分之五向乙方支付违约金。</w:t>
      </w:r>
    </w:p>
    <w:p>
      <w:pPr>
        <w:pStyle w:val="30"/>
        <w:snapToGrid w:val="0"/>
        <w:spacing w:before="120" w:after="120" w:line="360" w:lineRule="auto"/>
        <w:rPr>
          <w:rFonts w:hint="default" w:eastAsia="新宋体"/>
          <w:color w:val="auto"/>
          <w:highlight w:val="none"/>
          <w:lang w:val="en-US" w:eastAsia="zh-CN"/>
        </w:rPr>
      </w:pPr>
      <w:r>
        <w:rPr>
          <w:rFonts w:hint="eastAsia" w:ascii="新宋体" w:hAnsi="新宋体" w:eastAsia="新宋体" w:cs="新宋体"/>
          <w:color w:val="auto"/>
          <w:sz w:val="21"/>
          <w:szCs w:val="21"/>
          <w:highlight w:val="none"/>
        </w:rPr>
        <w:t>3.乙方未能如期提供服务的</w:t>
      </w:r>
      <w:r>
        <w:rPr>
          <w:rFonts w:hint="eastAsia" w:ascii="新宋体" w:hAnsi="新宋体" w:eastAsia="新宋体" w:cs="新宋体"/>
          <w:color w:val="auto"/>
          <w:sz w:val="21"/>
          <w:szCs w:val="21"/>
          <w:highlight w:val="none"/>
          <w:lang w:val="en-US" w:eastAsia="zh-CN"/>
        </w:rPr>
        <w:t>( 注：乙方提供的服务未能通过甲方评审的视为乙方未能如期提供服务)</w:t>
      </w:r>
      <w:r>
        <w:rPr>
          <w:rFonts w:hint="eastAsia" w:ascii="新宋体" w:hAnsi="新宋体" w:eastAsia="新宋体" w:cs="新宋体"/>
          <w:color w:val="auto"/>
          <w:sz w:val="21"/>
          <w:szCs w:val="21"/>
          <w:highlight w:val="none"/>
        </w:rPr>
        <w:t>，每日向甲方支付合同</w:t>
      </w:r>
      <w:r>
        <w:rPr>
          <w:rFonts w:hint="eastAsia" w:ascii="新宋体" w:hAnsi="新宋体" w:eastAsia="新宋体" w:cs="新宋体"/>
          <w:color w:val="auto"/>
          <w:sz w:val="21"/>
          <w:szCs w:val="21"/>
          <w:highlight w:val="none"/>
          <w:lang w:eastAsia="zh-CN"/>
        </w:rPr>
        <w:t>总价</w:t>
      </w:r>
      <w:r>
        <w:rPr>
          <w:rFonts w:hint="eastAsia" w:ascii="新宋体" w:hAnsi="新宋体" w:eastAsia="新宋体" w:cs="新宋体"/>
          <w:color w:val="auto"/>
          <w:sz w:val="21"/>
          <w:szCs w:val="21"/>
          <w:highlight w:val="none"/>
        </w:rPr>
        <w:t>款的千分之六作为违约金。乙方超过约定日期10个工作日仍不能提供服务的</w:t>
      </w:r>
      <w:r>
        <w:rPr>
          <w:rFonts w:hint="eastAsia" w:ascii="新宋体" w:hAnsi="新宋体" w:eastAsia="新宋体" w:cs="新宋体"/>
          <w:color w:val="auto"/>
          <w:sz w:val="21"/>
          <w:szCs w:val="21"/>
          <w:highlight w:val="none"/>
          <w:lang w:eastAsia="zh-CN"/>
        </w:rPr>
        <w:t>（包括提供的服务不能通过甲方的评审的）</w:t>
      </w:r>
      <w:r>
        <w:rPr>
          <w:rFonts w:hint="eastAsia" w:ascii="新宋体" w:hAnsi="新宋体" w:eastAsia="新宋体" w:cs="新宋体"/>
          <w:color w:val="auto"/>
          <w:sz w:val="21"/>
          <w:szCs w:val="21"/>
          <w:highlight w:val="none"/>
        </w:rPr>
        <w:t>，甲方可解除本合同。乙方因未能如期提供服务或因其他违约行为导致甲方解除合同的，乙方</w:t>
      </w:r>
      <w:r>
        <w:rPr>
          <w:rFonts w:hint="eastAsia" w:ascii="新宋体" w:hAnsi="新宋体" w:eastAsia="新宋体" w:cs="新宋体"/>
          <w:color w:val="auto"/>
          <w:sz w:val="21"/>
          <w:szCs w:val="21"/>
          <w:highlight w:val="none"/>
          <w:lang w:eastAsia="zh-CN"/>
        </w:rPr>
        <w:t>应退还甲方已支付的全部款项，并</w:t>
      </w:r>
      <w:r>
        <w:rPr>
          <w:rFonts w:hint="eastAsia" w:ascii="新宋体" w:hAnsi="新宋体" w:eastAsia="新宋体" w:cs="新宋体"/>
          <w:color w:val="auto"/>
          <w:sz w:val="21"/>
          <w:szCs w:val="21"/>
          <w:highlight w:val="none"/>
        </w:rPr>
        <w:t>向甲方支付合同总</w:t>
      </w:r>
      <w:r>
        <w:rPr>
          <w:rFonts w:hint="eastAsia" w:ascii="新宋体" w:hAnsi="新宋体" w:eastAsia="新宋体" w:cs="新宋体"/>
          <w:color w:val="auto"/>
          <w:sz w:val="21"/>
          <w:szCs w:val="21"/>
          <w:highlight w:val="none"/>
          <w:lang w:eastAsia="zh-CN"/>
        </w:rPr>
        <w:t>价款</w:t>
      </w:r>
      <w:r>
        <w:rPr>
          <w:rFonts w:hint="eastAsia" w:ascii="新宋体" w:hAnsi="新宋体" w:eastAsia="新宋体" w:cs="新宋体"/>
          <w:color w:val="auto"/>
          <w:sz w:val="21"/>
          <w:szCs w:val="21"/>
          <w:highlight w:val="none"/>
        </w:rPr>
        <w:t>5%的违约金，如造成甲方损失超过违约金的，超出部分由乙方继续承担赔偿责任。</w:t>
      </w:r>
    </w:p>
    <w:p>
      <w:pPr>
        <w:spacing w:line="360" w:lineRule="auto"/>
        <w:rPr>
          <w:rFonts w:hint="default" w:eastAsia="新宋体"/>
          <w:color w:val="auto"/>
          <w:highlight w:val="none"/>
          <w:lang w:val="en-US" w:eastAsia="zh-CN"/>
        </w:rPr>
      </w:pP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没有</w:t>
      </w:r>
      <w:r>
        <w:rPr>
          <w:rFonts w:hint="eastAsia" w:ascii="新宋体" w:hAnsi="新宋体" w:eastAsia="新宋体" w:cs="新宋体"/>
          <w:color w:val="auto"/>
          <w:sz w:val="21"/>
          <w:szCs w:val="21"/>
          <w:highlight w:val="none"/>
          <w:lang w:eastAsia="zh-CN"/>
        </w:rPr>
        <w:t>经</w:t>
      </w:r>
      <w:r>
        <w:rPr>
          <w:rFonts w:hint="eastAsia" w:ascii="新宋体" w:hAnsi="新宋体" w:eastAsia="新宋体" w:cs="新宋体"/>
          <w:color w:val="auto"/>
          <w:sz w:val="21"/>
          <w:szCs w:val="21"/>
          <w:highlight w:val="none"/>
        </w:rPr>
        <w:t>甲方事先书面同意，乙方将由甲方提供的有关合同或任何合同条文、规格、计划、图纸、资料提供给与履行本合同无关的任何其他人</w:t>
      </w:r>
      <w:r>
        <w:rPr>
          <w:rFonts w:hint="eastAsia" w:ascii="新宋体" w:hAnsi="新宋体" w:eastAsia="新宋体" w:cs="新宋体"/>
          <w:color w:val="auto"/>
          <w:sz w:val="21"/>
          <w:szCs w:val="21"/>
          <w:highlight w:val="none"/>
          <w:lang w:eastAsia="zh-CN"/>
        </w:rPr>
        <w:t>，乙方</w:t>
      </w:r>
      <w:r>
        <w:rPr>
          <w:rFonts w:hint="eastAsia" w:ascii="新宋体" w:hAnsi="新宋体" w:eastAsia="新宋体" w:cs="新宋体"/>
          <w:color w:val="auto"/>
          <w:sz w:val="21"/>
          <w:szCs w:val="21"/>
          <w:highlight w:val="none"/>
        </w:rPr>
        <w:t>向甲方支付合同总</w:t>
      </w:r>
      <w:r>
        <w:rPr>
          <w:rFonts w:hint="eastAsia" w:ascii="新宋体" w:hAnsi="新宋体" w:eastAsia="新宋体" w:cs="新宋体"/>
          <w:color w:val="auto"/>
          <w:sz w:val="21"/>
          <w:szCs w:val="21"/>
          <w:highlight w:val="none"/>
          <w:lang w:eastAsia="zh-CN"/>
        </w:rPr>
        <w:t>价款</w:t>
      </w:r>
      <w:r>
        <w:rPr>
          <w:rFonts w:hint="eastAsia" w:ascii="新宋体" w:hAnsi="新宋体" w:eastAsia="新宋体" w:cs="新宋体"/>
          <w:color w:val="auto"/>
          <w:sz w:val="21"/>
          <w:szCs w:val="21"/>
          <w:highlight w:val="none"/>
        </w:rPr>
        <w:t>5%的违约金，如造成甲方损失超过违约金的，超出部分由乙方继续承担赔偿责任。</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outlineLvl w:val="0"/>
        <w:rPr>
          <w:rFonts w:hint="eastAsia" w:ascii="新宋体" w:hAnsi="新宋体" w:eastAsia="新宋体" w:cs="新宋体"/>
          <w:b/>
          <w:color w:val="auto"/>
          <w:sz w:val="21"/>
          <w:szCs w:val="21"/>
          <w:highlight w:val="none"/>
        </w:rPr>
      </w:pPr>
      <w:bookmarkStart w:id="90" w:name="_Toc1405"/>
      <w:r>
        <w:rPr>
          <w:rFonts w:hint="eastAsia" w:ascii="新宋体" w:hAnsi="新宋体" w:eastAsia="新宋体" w:cs="新宋体"/>
          <w:b/>
          <w:color w:val="auto"/>
          <w:sz w:val="21"/>
          <w:szCs w:val="21"/>
          <w:highlight w:val="none"/>
        </w:rPr>
        <w:t>十四、不可抗力事件处理</w:t>
      </w:r>
      <w:bookmarkEnd w:id="90"/>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1.在合同有效期内，任何一方因不可抗力事件导致不能履行合同，则合同履行期可延长，其延长期与不可抗力影响期相同。</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2.不可抗力事件发生后，应立即通知对方。</w:t>
      </w:r>
    </w:p>
    <w:p>
      <w:pPr>
        <w:pStyle w:val="30"/>
        <w:keepNext w:val="0"/>
        <w:keepLines w:val="0"/>
        <w:pageBreakBefore w:val="0"/>
        <w:kinsoku/>
        <w:wordWrap/>
        <w:overflowPunct/>
        <w:topLinePunct w:val="0"/>
        <w:autoSpaceDE/>
        <w:autoSpaceDN/>
        <w:bidi w:val="0"/>
        <w:adjustRightInd/>
        <w:snapToGrid w:val="0"/>
        <w:spacing w:before="120" w:after="120" w:line="480" w:lineRule="exac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w:t>
      </w:r>
      <w:r>
        <w:rPr>
          <w:rFonts w:hint="eastAsia" w:ascii="新宋体" w:hAnsi="新宋体" w:eastAsia="新宋体" w:cs="新宋体"/>
          <w:color w:val="auto"/>
          <w:sz w:val="21"/>
          <w:szCs w:val="21"/>
          <w:highlight w:val="none"/>
        </w:rPr>
        <w:t>.</w:t>
      </w:r>
      <w:r>
        <w:rPr>
          <w:rFonts w:hint="eastAsia"/>
          <w:color w:val="auto"/>
          <w:highlight w:val="none"/>
        </w:rPr>
        <w:t>如不可抗力事件延续120天以上，双方应通过友好协商，确定是否继续履行合同。如无法履行合同，则甲方需支付乙方因项目筹备所产生的相关费用。</w:t>
      </w:r>
    </w:p>
    <w:p>
      <w:pPr>
        <w:keepNext w:val="0"/>
        <w:keepLines w:val="0"/>
        <w:pageBreakBefore w:val="0"/>
        <w:widowControl w:val="0"/>
        <w:kinsoku/>
        <w:wordWrap/>
        <w:overflowPunct/>
        <w:topLinePunct w:val="0"/>
        <w:autoSpaceDE/>
        <w:autoSpaceDN/>
        <w:bidi w:val="0"/>
        <w:snapToGrid/>
        <w:spacing w:line="360" w:lineRule="auto"/>
        <w:jc w:val="both"/>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rPr>
        <w:t>十</w:t>
      </w:r>
      <w:r>
        <w:rPr>
          <w:rFonts w:hint="eastAsia" w:ascii="宋体" w:hAnsi="宋体" w:eastAsia="宋体" w:cs="Times New Roman"/>
          <w:b/>
          <w:bCs/>
          <w:color w:val="auto"/>
          <w:sz w:val="21"/>
          <w:szCs w:val="21"/>
          <w:highlight w:val="none"/>
          <w:lang w:eastAsia="zh-CN"/>
        </w:rPr>
        <w:t>五、</w:t>
      </w:r>
      <w:r>
        <w:rPr>
          <w:rFonts w:hint="eastAsia" w:ascii="宋体" w:hAnsi="宋体" w:eastAsia="宋体" w:cs="Times New Roman"/>
          <w:b/>
          <w:bCs/>
          <w:color w:val="auto"/>
          <w:sz w:val="21"/>
          <w:szCs w:val="21"/>
          <w:highlight w:val="none"/>
          <w:lang w:val="en-US" w:eastAsia="zh-CN"/>
        </w:rPr>
        <w:t>争议的解决：</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凡有关本合同或执行本合同而发生的一切争执应通过双方友好协商解决，如不能解决，双方均可将争议提交</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永康市</w:t>
      </w:r>
      <w:r>
        <w:rPr>
          <w:rFonts w:ascii="宋体" w:hAnsi="宋体" w:eastAsia="宋体" w:cs="Times New Roman"/>
          <w:color w:val="auto"/>
          <w:sz w:val="21"/>
          <w:szCs w:val="21"/>
          <w:highlight w:val="none"/>
          <w:u w:val="single"/>
        </w:rPr>
        <w:t>人民法院</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lang w:val="en-US" w:eastAsia="zh-CN"/>
        </w:rPr>
        <w:t>诉讼</w:t>
      </w:r>
      <w:r>
        <w:rPr>
          <w:rFonts w:ascii="宋体" w:hAnsi="宋体" w:eastAsia="宋体" w:cs="Times New Roman"/>
          <w:color w:val="auto"/>
          <w:sz w:val="21"/>
          <w:szCs w:val="21"/>
          <w:highlight w:val="none"/>
        </w:rPr>
        <w:t>。</w:t>
      </w:r>
    </w:p>
    <w:p>
      <w:pPr>
        <w:adjustRightInd w:val="0"/>
        <w:spacing w:line="360" w:lineRule="auto"/>
        <w:rPr>
          <w:rFonts w:hint="eastAsia" w:ascii="宋体" w:hAnsi="宋体"/>
          <w:b/>
          <w:bCs/>
          <w:color w:val="auto"/>
          <w:highlight w:val="none"/>
        </w:rPr>
      </w:pPr>
      <w:r>
        <w:rPr>
          <w:rFonts w:hint="eastAsia" w:ascii="宋体" w:hAnsi="宋体"/>
          <w:b/>
          <w:bCs/>
          <w:color w:val="auto"/>
          <w:highlight w:val="none"/>
        </w:rPr>
        <w:t>十</w:t>
      </w:r>
      <w:r>
        <w:rPr>
          <w:rFonts w:hint="eastAsia" w:ascii="宋体" w:hAnsi="宋体"/>
          <w:b/>
          <w:bCs/>
          <w:color w:val="auto"/>
          <w:highlight w:val="none"/>
          <w:lang w:eastAsia="zh-CN"/>
        </w:rPr>
        <w:t>六</w:t>
      </w:r>
      <w:r>
        <w:rPr>
          <w:rFonts w:hint="eastAsia" w:ascii="宋体" w:hAnsi="宋体"/>
          <w:b/>
          <w:bCs/>
          <w:color w:val="auto"/>
          <w:highlight w:val="none"/>
        </w:rPr>
        <w:t>、</w:t>
      </w:r>
      <w:r>
        <w:rPr>
          <w:rFonts w:ascii="宋体" w:hAnsi="宋体"/>
          <w:b/>
          <w:bCs/>
          <w:color w:val="auto"/>
          <w:highlight w:val="none"/>
        </w:rPr>
        <w:t>合同的组成部分及其解释顺序如下：</w:t>
      </w:r>
    </w:p>
    <w:p>
      <w:pPr>
        <w:adjustRightInd w:val="0"/>
        <w:spacing w:line="360" w:lineRule="auto"/>
        <w:ind w:firstLine="210" w:firstLineChars="100"/>
        <w:rPr>
          <w:color w:val="auto"/>
          <w:highlight w:val="none"/>
        </w:rPr>
      </w:pPr>
      <w:r>
        <w:rPr>
          <w:color w:val="auto"/>
          <w:highlight w:val="none"/>
        </w:rPr>
        <w:t>1、本合同协议书；</w:t>
      </w:r>
    </w:p>
    <w:p>
      <w:pPr>
        <w:adjustRightInd w:val="0"/>
        <w:spacing w:line="360" w:lineRule="auto"/>
        <w:ind w:firstLine="210" w:firstLineChars="100"/>
        <w:rPr>
          <w:color w:val="auto"/>
          <w:highlight w:val="none"/>
        </w:rPr>
      </w:pPr>
      <w:r>
        <w:rPr>
          <w:color w:val="auto"/>
          <w:highlight w:val="none"/>
        </w:rPr>
        <w:t>2、中标通知书；</w:t>
      </w:r>
    </w:p>
    <w:p>
      <w:pPr>
        <w:adjustRightInd w:val="0"/>
        <w:spacing w:line="360" w:lineRule="auto"/>
        <w:ind w:firstLine="210" w:firstLineChars="100"/>
        <w:rPr>
          <w:color w:val="auto"/>
          <w:highlight w:val="none"/>
        </w:rPr>
      </w:pPr>
      <w:r>
        <w:rPr>
          <w:color w:val="auto"/>
          <w:highlight w:val="none"/>
        </w:rPr>
        <w:t>3、招标文件及附件；</w:t>
      </w:r>
    </w:p>
    <w:p>
      <w:pPr>
        <w:adjustRightInd w:val="0"/>
        <w:spacing w:line="360" w:lineRule="auto"/>
        <w:ind w:firstLine="210" w:firstLineChars="100"/>
        <w:rPr>
          <w:color w:val="auto"/>
          <w:highlight w:val="none"/>
        </w:rPr>
      </w:pPr>
      <w:r>
        <w:rPr>
          <w:color w:val="auto"/>
          <w:highlight w:val="none"/>
        </w:rPr>
        <w:t>4、投标文件及附件；</w:t>
      </w:r>
    </w:p>
    <w:p>
      <w:pPr>
        <w:adjustRightInd w:val="0"/>
        <w:spacing w:line="360" w:lineRule="auto"/>
        <w:ind w:firstLine="210" w:firstLineChars="100"/>
        <w:rPr>
          <w:color w:val="auto"/>
          <w:highlight w:val="none"/>
        </w:rPr>
      </w:pPr>
      <w:r>
        <w:rPr>
          <w:color w:val="auto"/>
          <w:highlight w:val="none"/>
        </w:rPr>
        <w:t>5、经双方协商一致达成的补充协议。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rPr>
        <w:t>十</w:t>
      </w:r>
      <w:r>
        <w:rPr>
          <w:rFonts w:hint="eastAsia" w:ascii="宋体" w:hAnsi="宋体" w:eastAsia="宋体" w:cs="Times New Roman"/>
          <w:b/>
          <w:bCs/>
          <w:color w:val="auto"/>
          <w:sz w:val="21"/>
          <w:szCs w:val="21"/>
          <w:highlight w:val="none"/>
          <w:lang w:eastAsia="zh-CN"/>
        </w:rPr>
        <w:t>七、</w:t>
      </w:r>
      <w:r>
        <w:rPr>
          <w:rFonts w:ascii="宋体" w:hAnsi="宋体" w:eastAsia="宋体" w:cs="Times New Roman"/>
          <w:b/>
          <w:bCs/>
          <w:color w:val="auto"/>
          <w:sz w:val="21"/>
          <w:szCs w:val="21"/>
          <w:highlight w:val="none"/>
        </w:rPr>
        <w:t>合同生效及其它</w:t>
      </w:r>
      <w:r>
        <w:rPr>
          <w:rFonts w:hint="eastAsia" w:ascii="宋体" w:hAnsi="宋体" w:eastAsia="宋体" w:cs="Times New Roman"/>
          <w:b/>
          <w:bCs/>
          <w:color w:val="auto"/>
          <w:sz w:val="21"/>
          <w:szCs w:val="21"/>
          <w:highlight w:val="none"/>
          <w:lang w:eastAsia="zh-CN"/>
        </w:rPr>
        <w:t>：</w:t>
      </w:r>
    </w:p>
    <w:p>
      <w:pPr>
        <w:wordWrap w:val="0"/>
        <w:spacing w:line="360" w:lineRule="auto"/>
        <w:ind w:firstLine="210" w:firstLineChars="100"/>
        <w:rPr>
          <w:rFonts w:hint="eastAsia" w:ascii="宋体" w:hAnsi="宋体" w:cs="宋体"/>
          <w:bCs/>
          <w:color w:val="auto"/>
          <w:sz w:val="21"/>
          <w:szCs w:val="21"/>
          <w:highlight w:val="none"/>
        </w:rPr>
      </w:pPr>
      <w:r>
        <w:rPr>
          <w:rFonts w:hint="default" w:ascii="Times New Roman" w:hAnsi="Times New Roman" w:eastAsia="宋体" w:cs="Times New Roman"/>
          <w:b w:val="0"/>
          <w:bCs/>
          <w:color w:val="auto"/>
          <w:sz w:val="21"/>
          <w:szCs w:val="21"/>
          <w:highlight w:val="none"/>
        </w:rPr>
        <w:t>1、</w:t>
      </w:r>
      <w:r>
        <w:rPr>
          <w:rFonts w:hint="eastAsia" w:ascii="Times New Roman" w:hAnsi="Times New Roman" w:eastAsia="宋体" w:cs="Times New Roman"/>
          <w:b w:val="0"/>
          <w:bCs/>
          <w:color w:val="auto"/>
          <w:sz w:val="21"/>
          <w:szCs w:val="21"/>
          <w:highlight w:val="none"/>
          <w:u w:val="single"/>
          <w:lang w:val="en-US" w:eastAsia="zh-CN"/>
        </w:rPr>
        <w:t xml:space="preserve"> </w:t>
      </w:r>
      <w:r>
        <w:rPr>
          <w:rFonts w:hint="eastAsia" w:cs="Times New Roman"/>
          <w:b w:val="0"/>
          <w:bCs/>
          <w:color w:val="auto"/>
          <w:sz w:val="21"/>
          <w:szCs w:val="21"/>
          <w:highlight w:val="none"/>
          <w:u w:val="single"/>
          <w:lang w:eastAsia="zh-CN"/>
        </w:rPr>
        <w:t>第二届世界五金发展大会活动项目</w:t>
      </w:r>
      <w:r>
        <w:rPr>
          <w:rFonts w:hint="eastAsia" w:ascii="Times New Roman" w:hAnsi="Times New Roman" w:eastAsia="宋体" w:cs="Times New Roman"/>
          <w:b w:val="0"/>
          <w:bCs/>
          <w:color w:val="auto"/>
          <w:sz w:val="21"/>
          <w:szCs w:val="21"/>
          <w:highlight w:val="none"/>
          <w:u w:val="single"/>
          <w:lang w:val="en-US" w:eastAsia="zh-CN"/>
        </w:rPr>
        <w:t xml:space="preserve"> </w:t>
      </w:r>
      <w:r>
        <w:rPr>
          <w:rFonts w:hint="default" w:ascii="Times New Roman" w:hAnsi="Times New Roman" w:eastAsia="宋体" w:cs="Times New Roman"/>
          <w:b w:val="0"/>
          <w:bCs/>
          <w:color w:val="auto"/>
          <w:sz w:val="21"/>
          <w:szCs w:val="21"/>
          <w:highlight w:val="none"/>
        </w:rPr>
        <w:t>（采购项目编号：[2022]1014号-FYCG012）</w:t>
      </w:r>
      <w:r>
        <w:rPr>
          <w:rFonts w:hint="eastAsia" w:ascii="宋体" w:hAnsi="宋体" w:cs="宋体"/>
          <w:bCs/>
          <w:color w:val="auto"/>
          <w:sz w:val="21"/>
          <w:szCs w:val="21"/>
          <w:highlight w:val="none"/>
        </w:rPr>
        <w:t>招标文件以及投标文件、询标纪要、“承诺书”是本合同不可分割的组成部分，本合同未尽事宜从其规定。</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2、本合同经甲方、乙方和签证方（采购代理机构）法定代表人或其委托人签字并加盖</w:t>
      </w:r>
      <w:r>
        <w:rPr>
          <w:rFonts w:hint="eastAsia" w:ascii="宋体" w:hAnsi="宋体" w:cs="宋体"/>
          <w:bCs/>
          <w:color w:val="auto"/>
          <w:sz w:val="21"/>
          <w:szCs w:val="21"/>
          <w:highlight w:val="none"/>
          <w:u w:val="none"/>
          <w:lang w:eastAsia="zh-CN"/>
        </w:rPr>
        <w:t>三</w:t>
      </w:r>
      <w:r>
        <w:rPr>
          <w:rFonts w:hint="eastAsia" w:ascii="宋体" w:hAnsi="宋体" w:cs="宋体"/>
          <w:bCs/>
          <w:color w:val="auto"/>
          <w:sz w:val="21"/>
          <w:szCs w:val="21"/>
          <w:highlight w:val="none"/>
        </w:rPr>
        <w:t>方公章。</w:t>
      </w:r>
    </w:p>
    <w:p>
      <w:pPr>
        <w:spacing w:line="360" w:lineRule="auto"/>
        <w:ind w:firstLine="210" w:firstLineChars="100"/>
        <w:rPr>
          <w:rFonts w:hint="eastAsia" w:ascii="宋体" w:hAnsi="宋体" w:cs="宋体"/>
          <w:bCs/>
          <w:color w:val="auto"/>
          <w:sz w:val="21"/>
          <w:szCs w:val="21"/>
          <w:highlight w:val="none"/>
        </w:rPr>
      </w:pPr>
      <w:r>
        <w:rPr>
          <w:rFonts w:hint="eastAsia" w:ascii="宋体" w:hAnsi="宋体" w:cs="宋体"/>
          <w:bCs/>
          <w:color w:val="auto"/>
          <w:sz w:val="21"/>
          <w:szCs w:val="21"/>
          <w:highlight w:val="none"/>
        </w:rPr>
        <w:t>3、本合同未尽事宜，遵照《中华人民共和国民法典》及有关法律法规执行。</w:t>
      </w:r>
    </w:p>
    <w:p>
      <w:pPr>
        <w:spacing w:line="360" w:lineRule="auto"/>
        <w:ind w:firstLine="210" w:firstLineChars="100"/>
        <w:rPr>
          <w:rFonts w:hint="eastAsia"/>
          <w:color w:val="auto"/>
          <w:sz w:val="21"/>
          <w:szCs w:val="21"/>
          <w:highlight w:val="none"/>
        </w:rPr>
      </w:pPr>
      <w:r>
        <w:rPr>
          <w:rFonts w:hint="eastAsia" w:ascii="宋体" w:hAnsi="宋体" w:cs="宋体"/>
          <w:bCs/>
          <w:color w:val="auto"/>
          <w:sz w:val="21"/>
          <w:szCs w:val="21"/>
          <w:highlight w:val="none"/>
        </w:rPr>
        <w:t>4、本合同一式</w:t>
      </w:r>
      <w:r>
        <w:rPr>
          <w:rFonts w:hint="eastAsia" w:ascii="宋体" w:hAnsi="宋体" w:cs="宋体"/>
          <w:bCs/>
          <w:color w:val="auto"/>
          <w:sz w:val="21"/>
          <w:szCs w:val="21"/>
          <w:highlight w:val="none"/>
          <w:u w:val="single"/>
        </w:rPr>
        <w:t xml:space="preserve"> 伍 </w:t>
      </w:r>
      <w:r>
        <w:rPr>
          <w:rFonts w:hint="eastAsia" w:ascii="宋体" w:hAnsi="宋体" w:cs="宋体"/>
          <w:bCs/>
          <w:color w:val="auto"/>
          <w:sz w:val="21"/>
          <w:szCs w:val="21"/>
          <w:highlight w:val="none"/>
        </w:rPr>
        <w:t>份，甲方</w:t>
      </w:r>
      <w:r>
        <w:rPr>
          <w:rFonts w:hint="eastAsia" w:ascii="宋体" w:hAnsi="宋体" w:cs="宋体"/>
          <w:bCs/>
          <w:color w:val="auto"/>
          <w:sz w:val="21"/>
          <w:szCs w:val="21"/>
          <w:highlight w:val="none"/>
          <w:u w:val="single"/>
        </w:rPr>
        <w:t xml:space="preserve"> 贰 </w:t>
      </w:r>
      <w:r>
        <w:rPr>
          <w:rFonts w:hint="eastAsia" w:ascii="宋体" w:hAnsi="宋体" w:cs="宋体"/>
          <w:bCs/>
          <w:color w:val="auto"/>
          <w:sz w:val="21"/>
          <w:szCs w:val="21"/>
          <w:highlight w:val="none"/>
        </w:rPr>
        <w:t>份，乙方</w:t>
      </w:r>
      <w:r>
        <w:rPr>
          <w:rFonts w:hint="eastAsia" w:ascii="宋体" w:hAnsi="宋体" w:cs="宋体"/>
          <w:bCs/>
          <w:color w:val="auto"/>
          <w:sz w:val="21"/>
          <w:szCs w:val="21"/>
          <w:highlight w:val="none"/>
          <w:u w:val="single"/>
        </w:rPr>
        <w:t xml:space="preserve"> 贰 </w:t>
      </w:r>
      <w:r>
        <w:rPr>
          <w:rFonts w:hint="eastAsia" w:ascii="宋体" w:hAnsi="宋体" w:cs="宋体"/>
          <w:bCs/>
          <w:color w:val="auto"/>
          <w:sz w:val="21"/>
          <w:szCs w:val="21"/>
          <w:highlight w:val="none"/>
        </w:rPr>
        <w:t>份，采购代理机构</w:t>
      </w:r>
      <w:r>
        <w:rPr>
          <w:rFonts w:hint="eastAsia" w:ascii="宋体" w:hAnsi="宋体" w:cs="宋体"/>
          <w:bCs/>
          <w:color w:val="auto"/>
          <w:sz w:val="21"/>
          <w:szCs w:val="21"/>
          <w:highlight w:val="none"/>
          <w:u w:val="single"/>
        </w:rPr>
        <w:t xml:space="preserve"> 壹 </w:t>
      </w:r>
      <w:r>
        <w:rPr>
          <w:rFonts w:hint="eastAsia" w:ascii="宋体" w:hAnsi="宋体" w:cs="宋体"/>
          <w:bCs/>
          <w:color w:val="auto"/>
          <w:sz w:val="21"/>
          <w:szCs w:val="21"/>
          <w:highlight w:val="none"/>
        </w:rPr>
        <w:t>份。</w:t>
      </w:r>
    </w:p>
    <w:p>
      <w:pPr>
        <w:rPr>
          <w:rFonts w:hint="eastAsia" w:ascii="宋体" w:hAnsi="宋体" w:cs="宋体"/>
          <w:bCs/>
          <w:color w:val="auto"/>
          <w:szCs w:val="21"/>
          <w:highlight w:val="none"/>
        </w:rPr>
      </w:pPr>
    </w:p>
    <w:p>
      <w:pPr>
        <w:rPr>
          <w:rFonts w:hint="eastAsia" w:ascii="宋体" w:hAnsi="宋体" w:cs="宋体"/>
          <w:bCs/>
          <w:color w:val="auto"/>
          <w:szCs w:val="21"/>
          <w:highlight w:val="none"/>
        </w:rPr>
      </w:pPr>
    </w:p>
    <w:p>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甲方（公章）：                             签证方（公章）：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法定代表人或其委托人                      法定代表人或其委托人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（签字或盖章）                           （签字或盖章）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地址：</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邮编：</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开户银行：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帐号：</w:t>
      </w:r>
    </w:p>
    <w:p>
      <w:pPr>
        <w:spacing w:line="360" w:lineRule="auto"/>
        <w:ind w:firstLine="420" w:firstLineChars="200"/>
        <w:rPr>
          <w:rFonts w:hint="eastAsia" w:ascii="宋体" w:hAnsi="宋体" w:cs="宋体"/>
          <w:bCs/>
          <w:color w:val="auto"/>
          <w:szCs w:val="21"/>
          <w:highlight w:val="none"/>
        </w:rPr>
      </w:pP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乙方（公章）：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法定代表人或受委托人</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（签字或盖章）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地址：</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邮编：</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开户银行：</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帐号：</w:t>
      </w:r>
    </w:p>
    <w:p>
      <w:pPr>
        <w:spacing w:line="360" w:lineRule="auto"/>
        <w:ind w:firstLine="3780" w:firstLineChars="1800"/>
        <w:rPr>
          <w:rFonts w:hint="eastAsia" w:ascii="宋体" w:hAnsi="宋体" w:cs="宋体"/>
          <w:bCs/>
          <w:color w:val="auto"/>
          <w:szCs w:val="21"/>
          <w:highlight w:val="none"/>
        </w:rPr>
      </w:pPr>
      <w:r>
        <w:rPr>
          <w:rFonts w:hint="eastAsia" w:ascii="宋体" w:hAnsi="宋体" w:cs="宋体"/>
          <w:bCs/>
          <w:color w:val="auto"/>
          <w:szCs w:val="21"/>
          <w:highlight w:val="none"/>
        </w:rPr>
        <w:t xml:space="preserve">     签约时间：      年    月    日</w:t>
      </w:r>
    </w:p>
    <w:p>
      <w:pPr>
        <w:pStyle w:val="30"/>
        <w:spacing w:before="120" w:after="120" w:line="360" w:lineRule="auto"/>
        <w:ind w:firstLine="211" w:firstLineChars="100"/>
        <w:outlineLvl w:val="0"/>
        <w:rPr>
          <w:rFonts w:hint="eastAsia" w:ascii="新宋体" w:hAnsi="新宋体" w:eastAsia="新宋体" w:cs="新宋体"/>
          <w:b/>
          <w:color w:val="auto"/>
          <w:sz w:val="21"/>
          <w:szCs w:val="21"/>
          <w:highlight w:val="none"/>
        </w:rPr>
      </w:pPr>
    </w:p>
    <w:p>
      <w:pPr>
        <w:pStyle w:val="30"/>
        <w:spacing w:before="120" w:after="120" w:line="360" w:lineRule="auto"/>
        <w:ind w:firstLine="211" w:firstLineChars="100"/>
        <w:outlineLvl w:val="0"/>
        <w:rPr>
          <w:rFonts w:hint="eastAsia" w:ascii="新宋体" w:hAnsi="新宋体" w:eastAsia="新宋体" w:cs="新宋体"/>
          <w:b/>
          <w:bCs/>
          <w:color w:val="auto"/>
          <w:sz w:val="21"/>
          <w:szCs w:val="21"/>
          <w:highlight w:val="none"/>
        </w:rPr>
      </w:pPr>
      <w:r>
        <w:rPr>
          <w:rFonts w:hint="eastAsia" w:ascii="新宋体" w:hAnsi="新宋体" w:eastAsia="新宋体" w:cs="新宋体"/>
          <w:b/>
          <w:color w:val="auto"/>
          <w:sz w:val="21"/>
          <w:szCs w:val="21"/>
          <w:highlight w:val="none"/>
        </w:rPr>
        <w:t>注：采购人、供应商应当按照采购文件中的约定进行填写。</w:t>
      </w:r>
    </w:p>
    <w:p>
      <w:pPr>
        <w:adjustRightInd w:val="0"/>
        <w:snapToGrid w:val="0"/>
        <w:spacing w:after="60" w:line="360" w:lineRule="auto"/>
        <w:rPr>
          <w:color w:val="auto"/>
          <w:highlight w:val="none"/>
        </w:rPr>
      </w:pPr>
    </w:p>
    <w:sectPr>
      <w:headerReference r:id="rId9" w:type="default"/>
      <w:footerReference r:id="rId10" w:type="default"/>
      <w:pgSz w:w="11906" w:h="16838"/>
      <w:pgMar w:top="1361" w:right="1247" w:bottom="1361"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gilent TT CondLight">
    <w:altName w:val="Microsoft Sans Serif"/>
    <w:panose1 w:val="020B0306020002020203"/>
    <w:charset w:val="00"/>
    <w:family w:val="swiss"/>
    <w:pitch w:val="default"/>
    <w:sig w:usb0="00000000" w:usb1="00000000" w:usb2="00000000" w:usb3="00000000" w:csb0="0000009F" w:csb1="000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MS Song">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5"/>
                            <w:rPr>
                              <w:rStyle w:val="55"/>
                            </w:rPr>
                          </w:pPr>
                          <w:r>
                            <w:fldChar w:fldCharType="begin"/>
                          </w:r>
                          <w:r>
                            <w:rPr>
                              <w:rStyle w:val="55"/>
                            </w:rP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pPr>
                      <w:pStyle w:val="35"/>
                      <w:rPr>
                        <w:rStyle w:val="55"/>
                      </w:rPr>
                    </w:pPr>
                    <w:r>
                      <w:fldChar w:fldCharType="begin"/>
                    </w:r>
                    <w:r>
                      <w:rPr>
                        <w:rStyle w:val="55"/>
                      </w:rP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5"/>
                            <w:rPr>
                              <w:rStyle w:val="55"/>
                            </w:rPr>
                          </w:pPr>
                          <w:r>
                            <w:fldChar w:fldCharType="begin"/>
                          </w:r>
                          <w:r>
                            <w:rPr>
                              <w:rStyle w:val="55"/>
                            </w:rP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cdKr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Ey2dN5qLDq3mNd7N+7HpdmygMmk+peBpPeqIfgPZp7PJsr+kh4+qhcXi+uKOF4VS7K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gHHSqzgEAAJcDAAAOAAAAAAAAAAEAIAAAAB8BAABkcnMv&#10;ZTJvRG9jLnhtbFBLBQYAAAAABgAGAFkBAABfBQAAAAA=&#10;">
              <v:fill on="f" focussize="0,0"/>
              <v:stroke on="f"/>
              <v:imagedata o:title=""/>
              <o:lock v:ext="edit" aspectratio="f"/>
              <v:textbox inset="0mm,0mm,0mm,0mm" style="mso-fit-shape-to-text:t;">
                <w:txbxContent>
                  <w:p>
                    <w:pPr>
                      <w:pStyle w:val="35"/>
                      <w:rPr>
                        <w:rStyle w:val="55"/>
                      </w:rPr>
                    </w:pPr>
                    <w:r>
                      <w:fldChar w:fldCharType="begin"/>
                    </w:r>
                    <w:r>
                      <w:rPr>
                        <w:rStyle w:val="55"/>
                      </w:rP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18"/>
        <w:szCs w:val="18"/>
        <w:u w:val="single"/>
      </w:rPr>
    </w:pPr>
    <w:r>
      <w:rPr>
        <w:rFonts w:hint="eastAsia" w:ascii="宋体" w:hAnsi="宋体"/>
        <w:bCs/>
        <w:sz w:val="18"/>
        <w:szCs w:val="18"/>
        <w:u w:val="single"/>
      </w:rPr>
      <w:t>项目名称：</w:t>
    </w:r>
    <w:r>
      <w:rPr>
        <w:rFonts w:hint="eastAsia" w:ascii="宋体" w:hAnsi="宋体"/>
        <w:bCs/>
        <w:sz w:val="18"/>
        <w:szCs w:val="18"/>
        <w:u w:val="single"/>
        <w:lang w:eastAsia="zh-CN"/>
      </w:rPr>
      <w:t>第二届世界五金发展大会活动项目</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招标</w:t>
    </w:r>
    <w:r>
      <w:rPr>
        <w:rFonts w:hint="eastAsia"/>
        <w:sz w:val="18"/>
        <w:szCs w:val="18"/>
        <w:u w:val="single"/>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18"/>
        <w:szCs w:val="18"/>
        <w:u w:val="single"/>
      </w:rPr>
    </w:pPr>
    <w:r>
      <w:rPr>
        <w:rFonts w:hint="eastAsia" w:ascii="宋体" w:hAnsi="宋体"/>
        <w:bCs/>
        <w:sz w:val="18"/>
        <w:szCs w:val="18"/>
        <w:u w:val="single"/>
      </w:rPr>
      <w:t>项目名称：</w:t>
    </w:r>
    <w:r>
      <w:rPr>
        <w:rFonts w:hint="eastAsia" w:ascii="宋体" w:hAnsi="宋体"/>
        <w:bCs/>
        <w:sz w:val="18"/>
        <w:szCs w:val="18"/>
        <w:u w:val="single"/>
        <w:lang w:eastAsia="zh-CN"/>
      </w:rPr>
      <w:t>第二届世界五金发展大会活动项目</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招标</w:t>
    </w:r>
    <w:r>
      <w:rPr>
        <w:rFonts w:hint="eastAsia"/>
        <w:sz w:val="18"/>
        <w:szCs w:val="18"/>
        <w:u w:val="single"/>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 w:val="18"/>
        <w:szCs w:val="18"/>
        <w:u w:val="single"/>
      </w:rPr>
    </w:pPr>
    <w:r>
      <w:rPr>
        <w:rFonts w:hint="eastAsia" w:ascii="宋体" w:hAnsi="宋体"/>
        <w:bCs/>
        <w:sz w:val="18"/>
        <w:szCs w:val="18"/>
        <w:u w:val="single"/>
      </w:rPr>
      <w:t>项目名称：</w:t>
    </w:r>
    <w:r>
      <w:rPr>
        <w:rFonts w:hint="eastAsia" w:ascii="宋体" w:hAnsi="宋体"/>
        <w:bCs/>
        <w:sz w:val="18"/>
        <w:szCs w:val="18"/>
        <w:u w:val="single"/>
        <w:lang w:eastAsia="zh-CN"/>
      </w:rPr>
      <w:t>第二届世界五金发展大会活动项目</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招标</w:t>
    </w:r>
    <w:r>
      <w:rPr>
        <w:rFonts w:hint="eastAsia"/>
        <w:sz w:val="18"/>
        <w:szCs w:val="18"/>
        <w:u w:val="single"/>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 w:val="18"/>
        <w:szCs w:val="18"/>
        <w:u w:val="single"/>
      </w:rPr>
    </w:pPr>
    <w:r>
      <w:rPr>
        <w:rFonts w:hint="eastAsia" w:ascii="宋体" w:hAnsi="宋体"/>
        <w:bCs/>
        <w:sz w:val="18"/>
        <w:szCs w:val="18"/>
        <w:u w:val="single"/>
      </w:rPr>
      <w:t>项目名称：</w:t>
    </w:r>
    <w:r>
      <w:rPr>
        <w:rFonts w:hint="eastAsia" w:ascii="宋体" w:hAnsi="宋体"/>
        <w:bCs/>
        <w:sz w:val="18"/>
        <w:szCs w:val="18"/>
        <w:u w:val="single"/>
        <w:lang w:eastAsia="zh-CN"/>
      </w:rPr>
      <w:t>第二届世界五金发展大会活动项目</w:t>
    </w:r>
    <w:r>
      <w:rPr>
        <w:rFonts w:hint="eastAsia" w:ascii="宋体" w:hAnsi="宋体"/>
        <w:sz w:val="18"/>
        <w:szCs w:val="18"/>
        <w:u w:val="single"/>
      </w:rPr>
      <w:t xml:space="preserve">                                                      招标</w:t>
    </w:r>
    <w:r>
      <w:rPr>
        <w:rFonts w:hint="eastAsia"/>
        <w:sz w:val="18"/>
        <w:szCs w:val="18"/>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left="0" w:firstLine="0"/>
      </w:p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461CDB"/>
    <w:multiLevelType w:val="multilevel"/>
    <w:tmpl w:val="17461CDB"/>
    <w:lvl w:ilvl="0" w:tentative="0">
      <w:start w:val="1"/>
      <w:numFmt w:val="japaneseCounting"/>
      <w:suff w:val="space"/>
      <w:lvlText w:val="第%1章"/>
      <w:lvlJc w:val="left"/>
      <w:pPr>
        <w:ind w:left="1702" w:hanging="425"/>
      </w:pPr>
      <w:rPr>
        <w:rFonts w:hint="default" w:ascii="Times New Roman" w:hAnsi="Times New Roman" w:eastAsia="黑体"/>
        <w:b/>
        <w:i w:val="0"/>
        <w:sz w:val="32"/>
      </w:rPr>
    </w:lvl>
    <w:lvl w:ilvl="1" w:tentative="0">
      <w:start w:val="1"/>
      <w:numFmt w:val="japaneseCounting"/>
      <w:suff w:val="space"/>
      <w:lvlText w:val="%2、"/>
      <w:lvlJc w:val="left"/>
      <w:pPr>
        <w:ind w:left="987" w:hanging="567"/>
      </w:pPr>
      <w:rPr>
        <w:rFonts w:hint="eastAsia" w:ascii="黑体" w:hAnsi="黑体" w:eastAsia="黑体" w:cs="黑体"/>
        <w:b/>
        <w:i w:val="0"/>
        <w:sz w:val="30"/>
      </w:rPr>
    </w:lvl>
    <w:lvl w:ilvl="2" w:tentative="0">
      <w:start w:val="1"/>
      <w:numFmt w:val="decimal"/>
      <w:isLgl/>
      <w:suff w:val="space"/>
      <w:lvlText w:val="%2.%3"/>
      <w:lvlJc w:val="left"/>
      <w:pPr>
        <w:ind w:left="1418" w:hanging="567"/>
      </w:pPr>
      <w:rPr>
        <w:rFonts w:hint="default" w:ascii="Times New Roman" w:hAnsi="Times New Roman" w:eastAsia="仿宋"/>
        <w:b/>
        <w:i w:val="0"/>
        <w:sz w:val="24"/>
        <w:szCs w:val="18"/>
        <w:lang w:val="en-US"/>
      </w:rPr>
    </w:lvl>
    <w:lvl w:ilvl="3" w:tentative="0">
      <w:start w:val="1"/>
      <w:numFmt w:val="decimal"/>
      <w:isLgl/>
      <w:suff w:val="space"/>
      <w:lvlText w:val="%2.%3.%4"/>
      <w:lvlJc w:val="left"/>
      <w:pPr>
        <w:ind w:left="1984" w:hanging="708"/>
      </w:pPr>
      <w:rPr>
        <w:rFonts w:hint="default" w:ascii="Times New Roman" w:hAnsi="Times New Roman" w:eastAsia="仿宋"/>
        <w:b/>
        <w:i w:val="0"/>
        <w:sz w:val="24"/>
      </w:rPr>
    </w:lvl>
    <w:lvl w:ilvl="4" w:tentative="0">
      <w:start w:val="1"/>
      <w:numFmt w:val="decimal"/>
      <w:pStyle w:val="11"/>
      <w:isLgl/>
      <w:suff w:val="space"/>
      <w:lvlText w:val="%2.%3.%4.%5"/>
      <w:lvlJc w:val="left"/>
      <w:pPr>
        <w:ind w:left="2551" w:hanging="850"/>
      </w:pPr>
      <w:rPr>
        <w:rFonts w:hint="default" w:ascii="Times New Roman" w:hAnsi="Times New Roman" w:eastAsia="仿宋"/>
        <w:b/>
        <w:i w:val="0"/>
        <w:sz w:val="24"/>
      </w:rPr>
    </w:lvl>
    <w:lvl w:ilvl="5" w:tentative="0">
      <w:start w:val="1"/>
      <w:numFmt w:val="decimal"/>
      <w:pStyle w:val="12"/>
      <w:isLgl/>
      <w:suff w:val="space"/>
      <w:lvlText w:val="%2.%3.%4.%5.%6"/>
      <w:lvlJc w:val="left"/>
      <w:pPr>
        <w:ind w:left="3260" w:hanging="1134"/>
      </w:pPr>
      <w:rPr>
        <w:rFonts w:hint="default" w:ascii="Times New Roman" w:hAnsi="Times New Roman" w:eastAsia="仿宋"/>
        <w:b/>
        <w:i w:val="0"/>
        <w:sz w:val="24"/>
      </w:rPr>
    </w:lvl>
    <w:lvl w:ilvl="6" w:tentative="0">
      <w:start w:val="1"/>
      <w:numFmt w:val="decimal"/>
      <w:pStyle w:val="13"/>
      <w:isLgl/>
      <w:suff w:val="space"/>
      <w:lvlText w:val="%2.%3.%4.%5.%6.%7"/>
      <w:lvlJc w:val="left"/>
      <w:pPr>
        <w:ind w:left="3827" w:hanging="1276"/>
      </w:pPr>
      <w:rPr>
        <w:rFonts w:hint="default" w:ascii="Times New Roman" w:hAnsi="Times New Roman" w:eastAsia="仿宋"/>
        <w:b/>
        <w:i w:val="0"/>
        <w:sz w:val="24"/>
      </w:rPr>
    </w:lvl>
    <w:lvl w:ilvl="7" w:tentative="0">
      <w:start w:val="1"/>
      <w:numFmt w:val="decimal"/>
      <w:isLgl/>
      <w:suff w:val="space"/>
      <w:lvlText w:val="%2.%3.%4.%5.%6.%7.%8"/>
      <w:lvlJc w:val="left"/>
      <w:pPr>
        <w:ind w:left="4394" w:hanging="1418"/>
      </w:pPr>
      <w:rPr>
        <w:rFonts w:hint="default" w:ascii="Times New Roman" w:hAnsi="Times New Roman" w:eastAsia="仿宋"/>
        <w:b/>
        <w:i w:val="0"/>
        <w:sz w:val="24"/>
      </w:rPr>
    </w:lvl>
    <w:lvl w:ilvl="8" w:tentative="0">
      <w:start w:val="1"/>
      <w:numFmt w:val="decimal"/>
      <w:isLgl/>
      <w:suff w:val="space"/>
      <w:lvlText w:val="%2.%3.%4.%5.%6.%7.%8.%9"/>
      <w:lvlJc w:val="left"/>
      <w:pPr>
        <w:ind w:left="5102" w:hanging="1700"/>
      </w:pPr>
      <w:rPr>
        <w:rFonts w:hint="default" w:ascii="Times New Roman" w:hAnsi="Times New Roman" w:eastAsia="仿宋"/>
        <w:b/>
        <w:i w:val="0"/>
        <w:sz w:val="24"/>
      </w:rPr>
    </w:lvl>
  </w:abstractNum>
  <w:abstractNum w:abstractNumId="3">
    <w:nsid w:val="4C9C6D57"/>
    <w:multiLevelType w:val="singleLevel"/>
    <w:tmpl w:val="4C9C6D57"/>
    <w:lvl w:ilvl="0" w:tentative="0">
      <w:start w:val="1"/>
      <w:numFmt w:val="chineseCounting"/>
      <w:suff w:val="nothing"/>
      <w:lvlText w:val="%1、"/>
      <w:lvlJc w:val="left"/>
      <w:rPr>
        <w:rFonts w:hint="eastAsia"/>
      </w:rPr>
    </w:lvl>
  </w:abstractNum>
  <w:abstractNum w:abstractNumId="4">
    <w:nsid w:val="5B163453"/>
    <w:multiLevelType w:val="multilevel"/>
    <w:tmpl w:val="5B163453"/>
    <w:lvl w:ilvl="0" w:tentative="0">
      <w:start w:val="1"/>
      <w:numFmt w:val="decimal"/>
      <w:pStyle w:val="145"/>
      <w:suff w:val="space"/>
      <w:lvlText w:val="第%1章"/>
      <w:lvlJc w:val="left"/>
      <w:pPr>
        <w:ind w:left="425" w:hanging="425"/>
      </w:pPr>
    </w:lvl>
    <w:lvl w:ilvl="1" w:tentative="0">
      <w:start w:val="1"/>
      <w:numFmt w:val="decimal"/>
      <w:pStyle w:val="146"/>
      <w:suff w:val="space"/>
      <w:lvlText w:val="%1.%2"/>
      <w:lvlJc w:val="left"/>
      <w:pPr>
        <w:ind w:left="0" w:firstLine="0"/>
      </w:pPr>
    </w:lvl>
    <w:lvl w:ilvl="2" w:tentative="0">
      <w:start w:val="1"/>
      <w:numFmt w:val="decimal"/>
      <w:pStyle w:val="148"/>
      <w:suff w:val="space"/>
      <w:lvlText w:val="%1.%2.%3"/>
      <w:lvlJc w:val="left"/>
      <w:pPr>
        <w:ind w:left="0" w:firstLine="0"/>
      </w:pPr>
    </w:lvl>
    <w:lvl w:ilvl="3" w:tentative="0">
      <w:start w:val="1"/>
      <w:numFmt w:val="decimal"/>
      <w:pStyle w:val="150"/>
      <w:suff w:val="space"/>
      <w:lvlText w:val="%1.%2.%3.%4"/>
      <w:lvlJc w:val="left"/>
      <w:pPr>
        <w:ind w:left="0" w:firstLine="0"/>
      </w:pPr>
    </w:lvl>
    <w:lvl w:ilvl="4" w:tentative="0">
      <w:start w:val="1"/>
      <w:numFmt w:val="decimal"/>
      <w:pStyle w:val="151"/>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4"/>
  </w:num>
  <w:num w:numId="3">
    <w:abstractNumId w:val="0"/>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zAzMmI2N2FkYWE3YzY0NDE2NWExZjEzYjNhYzAifQ=="/>
  </w:docVars>
  <w:rsids>
    <w:rsidRoot w:val="00172A27"/>
    <w:rsid w:val="00010DCA"/>
    <w:rsid w:val="00012CA2"/>
    <w:rsid w:val="0001745E"/>
    <w:rsid w:val="0002000F"/>
    <w:rsid w:val="000223B5"/>
    <w:rsid w:val="00023F9A"/>
    <w:rsid w:val="00024CE1"/>
    <w:rsid w:val="00026F94"/>
    <w:rsid w:val="0005729C"/>
    <w:rsid w:val="00074471"/>
    <w:rsid w:val="0008080F"/>
    <w:rsid w:val="000908A1"/>
    <w:rsid w:val="00092690"/>
    <w:rsid w:val="00097097"/>
    <w:rsid w:val="000A4EAF"/>
    <w:rsid w:val="000A4F5A"/>
    <w:rsid w:val="000C7F34"/>
    <w:rsid w:val="000D7AFF"/>
    <w:rsid w:val="000E6157"/>
    <w:rsid w:val="000F2A79"/>
    <w:rsid w:val="000F7D86"/>
    <w:rsid w:val="00112CB7"/>
    <w:rsid w:val="001146EB"/>
    <w:rsid w:val="00114C63"/>
    <w:rsid w:val="0011557E"/>
    <w:rsid w:val="00120888"/>
    <w:rsid w:val="001307DD"/>
    <w:rsid w:val="00131546"/>
    <w:rsid w:val="0013330A"/>
    <w:rsid w:val="00133E4A"/>
    <w:rsid w:val="00145E40"/>
    <w:rsid w:val="00152BE3"/>
    <w:rsid w:val="00154320"/>
    <w:rsid w:val="00157658"/>
    <w:rsid w:val="00157DCC"/>
    <w:rsid w:val="001648F3"/>
    <w:rsid w:val="001708CD"/>
    <w:rsid w:val="00174DF0"/>
    <w:rsid w:val="00180705"/>
    <w:rsid w:val="001877BD"/>
    <w:rsid w:val="001951C0"/>
    <w:rsid w:val="001954CA"/>
    <w:rsid w:val="001960B2"/>
    <w:rsid w:val="001A1C69"/>
    <w:rsid w:val="001A6661"/>
    <w:rsid w:val="001B0986"/>
    <w:rsid w:val="001B34AD"/>
    <w:rsid w:val="001C0D12"/>
    <w:rsid w:val="001C6ED2"/>
    <w:rsid w:val="001D6B2E"/>
    <w:rsid w:val="001E2A01"/>
    <w:rsid w:val="001F199B"/>
    <w:rsid w:val="001F230F"/>
    <w:rsid w:val="001F2411"/>
    <w:rsid w:val="001F3F74"/>
    <w:rsid w:val="002124C3"/>
    <w:rsid w:val="00215188"/>
    <w:rsid w:val="00220258"/>
    <w:rsid w:val="00222732"/>
    <w:rsid w:val="00223A83"/>
    <w:rsid w:val="0024445F"/>
    <w:rsid w:val="00253E7D"/>
    <w:rsid w:val="0026035C"/>
    <w:rsid w:val="0026705D"/>
    <w:rsid w:val="002727C9"/>
    <w:rsid w:val="00274AD2"/>
    <w:rsid w:val="00286EAD"/>
    <w:rsid w:val="0029477A"/>
    <w:rsid w:val="0029481F"/>
    <w:rsid w:val="0029506F"/>
    <w:rsid w:val="0029655F"/>
    <w:rsid w:val="002A3B5F"/>
    <w:rsid w:val="002A6303"/>
    <w:rsid w:val="002C19C5"/>
    <w:rsid w:val="002C6CA4"/>
    <w:rsid w:val="002D263B"/>
    <w:rsid w:val="002F56E3"/>
    <w:rsid w:val="002F7FB3"/>
    <w:rsid w:val="00300E59"/>
    <w:rsid w:val="00304E3E"/>
    <w:rsid w:val="00305B67"/>
    <w:rsid w:val="0031283F"/>
    <w:rsid w:val="00313E72"/>
    <w:rsid w:val="00314907"/>
    <w:rsid w:val="00316315"/>
    <w:rsid w:val="00316A87"/>
    <w:rsid w:val="0031762B"/>
    <w:rsid w:val="00322233"/>
    <w:rsid w:val="00327B9C"/>
    <w:rsid w:val="00343680"/>
    <w:rsid w:val="00346F92"/>
    <w:rsid w:val="00347C22"/>
    <w:rsid w:val="00354025"/>
    <w:rsid w:val="003549EC"/>
    <w:rsid w:val="00362F5E"/>
    <w:rsid w:val="003755D2"/>
    <w:rsid w:val="00376127"/>
    <w:rsid w:val="00376DD3"/>
    <w:rsid w:val="00380087"/>
    <w:rsid w:val="003809EC"/>
    <w:rsid w:val="003823BF"/>
    <w:rsid w:val="00382C35"/>
    <w:rsid w:val="00383A69"/>
    <w:rsid w:val="003A752E"/>
    <w:rsid w:val="003B3AA5"/>
    <w:rsid w:val="003B423F"/>
    <w:rsid w:val="003B705F"/>
    <w:rsid w:val="003C03EB"/>
    <w:rsid w:val="003C1185"/>
    <w:rsid w:val="003E046F"/>
    <w:rsid w:val="003E1BB0"/>
    <w:rsid w:val="003E67AC"/>
    <w:rsid w:val="003F324D"/>
    <w:rsid w:val="004009D4"/>
    <w:rsid w:val="00400A19"/>
    <w:rsid w:val="004017CF"/>
    <w:rsid w:val="004020C8"/>
    <w:rsid w:val="00403A6C"/>
    <w:rsid w:val="00411FF7"/>
    <w:rsid w:val="00414D0F"/>
    <w:rsid w:val="00420F90"/>
    <w:rsid w:val="00436295"/>
    <w:rsid w:val="00452A18"/>
    <w:rsid w:val="00452B84"/>
    <w:rsid w:val="00456BCD"/>
    <w:rsid w:val="00456F46"/>
    <w:rsid w:val="00461194"/>
    <w:rsid w:val="00471544"/>
    <w:rsid w:val="00473721"/>
    <w:rsid w:val="00475819"/>
    <w:rsid w:val="00475A50"/>
    <w:rsid w:val="004878B4"/>
    <w:rsid w:val="00491456"/>
    <w:rsid w:val="00491D89"/>
    <w:rsid w:val="004A5FC1"/>
    <w:rsid w:val="004B3AE3"/>
    <w:rsid w:val="004B5801"/>
    <w:rsid w:val="004B5B2D"/>
    <w:rsid w:val="004C34F9"/>
    <w:rsid w:val="004D0F67"/>
    <w:rsid w:val="004D6913"/>
    <w:rsid w:val="004E3FFC"/>
    <w:rsid w:val="004E73A3"/>
    <w:rsid w:val="004F1CCC"/>
    <w:rsid w:val="00504FE8"/>
    <w:rsid w:val="00513478"/>
    <w:rsid w:val="00513E01"/>
    <w:rsid w:val="00514EB1"/>
    <w:rsid w:val="0052228E"/>
    <w:rsid w:val="00524692"/>
    <w:rsid w:val="005272CE"/>
    <w:rsid w:val="00530507"/>
    <w:rsid w:val="005404A5"/>
    <w:rsid w:val="00542EE5"/>
    <w:rsid w:val="00550732"/>
    <w:rsid w:val="005512FF"/>
    <w:rsid w:val="005525E2"/>
    <w:rsid w:val="00556369"/>
    <w:rsid w:val="00563A97"/>
    <w:rsid w:val="005760E9"/>
    <w:rsid w:val="00576AE2"/>
    <w:rsid w:val="0058344A"/>
    <w:rsid w:val="00583C85"/>
    <w:rsid w:val="00592514"/>
    <w:rsid w:val="00593FC7"/>
    <w:rsid w:val="0059712B"/>
    <w:rsid w:val="00597F9A"/>
    <w:rsid w:val="005B0BCA"/>
    <w:rsid w:val="005B1443"/>
    <w:rsid w:val="005B70E9"/>
    <w:rsid w:val="005D1C18"/>
    <w:rsid w:val="005D39BA"/>
    <w:rsid w:val="005D4963"/>
    <w:rsid w:val="005E29D0"/>
    <w:rsid w:val="005E31FA"/>
    <w:rsid w:val="005F6A0B"/>
    <w:rsid w:val="005F6AFE"/>
    <w:rsid w:val="005F6F92"/>
    <w:rsid w:val="005F7CF5"/>
    <w:rsid w:val="00603E88"/>
    <w:rsid w:val="0060747C"/>
    <w:rsid w:val="006106A0"/>
    <w:rsid w:val="00625CCD"/>
    <w:rsid w:val="00627515"/>
    <w:rsid w:val="006359B5"/>
    <w:rsid w:val="006368CA"/>
    <w:rsid w:val="006400D7"/>
    <w:rsid w:val="00641C89"/>
    <w:rsid w:val="00644228"/>
    <w:rsid w:val="00646D9F"/>
    <w:rsid w:val="006510E3"/>
    <w:rsid w:val="00651321"/>
    <w:rsid w:val="006518FD"/>
    <w:rsid w:val="0065229C"/>
    <w:rsid w:val="00654120"/>
    <w:rsid w:val="00660F70"/>
    <w:rsid w:val="00663653"/>
    <w:rsid w:val="006751ED"/>
    <w:rsid w:val="00690607"/>
    <w:rsid w:val="00690E11"/>
    <w:rsid w:val="006933F8"/>
    <w:rsid w:val="0069740C"/>
    <w:rsid w:val="00697EF0"/>
    <w:rsid w:val="006A2C58"/>
    <w:rsid w:val="006A433B"/>
    <w:rsid w:val="006B003A"/>
    <w:rsid w:val="006B0B25"/>
    <w:rsid w:val="006B2C63"/>
    <w:rsid w:val="006B4824"/>
    <w:rsid w:val="006E0DA0"/>
    <w:rsid w:val="006E2F4B"/>
    <w:rsid w:val="006E4A62"/>
    <w:rsid w:val="006F2D33"/>
    <w:rsid w:val="006F35CC"/>
    <w:rsid w:val="00705BB6"/>
    <w:rsid w:val="007110DE"/>
    <w:rsid w:val="00711956"/>
    <w:rsid w:val="0073496A"/>
    <w:rsid w:val="007426F2"/>
    <w:rsid w:val="007507F5"/>
    <w:rsid w:val="00751729"/>
    <w:rsid w:val="0075434F"/>
    <w:rsid w:val="00763652"/>
    <w:rsid w:val="00763D39"/>
    <w:rsid w:val="007647B8"/>
    <w:rsid w:val="00767D3C"/>
    <w:rsid w:val="00772B86"/>
    <w:rsid w:val="00775DB8"/>
    <w:rsid w:val="00777800"/>
    <w:rsid w:val="00787D72"/>
    <w:rsid w:val="0079292B"/>
    <w:rsid w:val="00793461"/>
    <w:rsid w:val="007949EE"/>
    <w:rsid w:val="007B05A1"/>
    <w:rsid w:val="007B16C6"/>
    <w:rsid w:val="007B68C7"/>
    <w:rsid w:val="007B7161"/>
    <w:rsid w:val="007C7C15"/>
    <w:rsid w:val="007D17B3"/>
    <w:rsid w:val="007E36FB"/>
    <w:rsid w:val="007E40F6"/>
    <w:rsid w:val="007E4333"/>
    <w:rsid w:val="007E4839"/>
    <w:rsid w:val="007F6F5B"/>
    <w:rsid w:val="00800E20"/>
    <w:rsid w:val="00803DBC"/>
    <w:rsid w:val="00810C21"/>
    <w:rsid w:val="00811BB7"/>
    <w:rsid w:val="00811C1E"/>
    <w:rsid w:val="00817C90"/>
    <w:rsid w:val="00826254"/>
    <w:rsid w:val="00827AAB"/>
    <w:rsid w:val="0083346D"/>
    <w:rsid w:val="00853014"/>
    <w:rsid w:val="00853257"/>
    <w:rsid w:val="008532DB"/>
    <w:rsid w:val="00866271"/>
    <w:rsid w:val="008723E4"/>
    <w:rsid w:val="008730FB"/>
    <w:rsid w:val="008809F4"/>
    <w:rsid w:val="00890291"/>
    <w:rsid w:val="00891431"/>
    <w:rsid w:val="008944CF"/>
    <w:rsid w:val="008A077E"/>
    <w:rsid w:val="008B14AE"/>
    <w:rsid w:val="008B1D76"/>
    <w:rsid w:val="008B21FB"/>
    <w:rsid w:val="008C355B"/>
    <w:rsid w:val="008D50D9"/>
    <w:rsid w:val="008F5867"/>
    <w:rsid w:val="008F7DFE"/>
    <w:rsid w:val="00900779"/>
    <w:rsid w:val="0090625F"/>
    <w:rsid w:val="00910ABA"/>
    <w:rsid w:val="00911212"/>
    <w:rsid w:val="00914430"/>
    <w:rsid w:val="009159A9"/>
    <w:rsid w:val="009206DE"/>
    <w:rsid w:val="00926064"/>
    <w:rsid w:val="00935904"/>
    <w:rsid w:val="00942A75"/>
    <w:rsid w:val="00943961"/>
    <w:rsid w:val="0094787B"/>
    <w:rsid w:val="009538D0"/>
    <w:rsid w:val="009556BD"/>
    <w:rsid w:val="0097475F"/>
    <w:rsid w:val="00983008"/>
    <w:rsid w:val="00992A9F"/>
    <w:rsid w:val="009958CE"/>
    <w:rsid w:val="009A0552"/>
    <w:rsid w:val="009A73B7"/>
    <w:rsid w:val="009B2620"/>
    <w:rsid w:val="009E5ABA"/>
    <w:rsid w:val="00A00F21"/>
    <w:rsid w:val="00A13C52"/>
    <w:rsid w:val="00A1581A"/>
    <w:rsid w:val="00A1771C"/>
    <w:rsid w:val="00A22211"/>
    <w:rsid w:val="00A25BA2"/>
    <w:rsid w:val="00A273AA"/>
    <w:rsid w:val="00A3339D"/>
    <w:rsid w:val="00A33770"/>
    <w:rsid w:val="00A34CA8"/>
    <w:rsid w:val="00A514F6"/>
    <w:rsid w:val="00A51FDC"/>
    <w:rsid w:val="00A555FE"/>
    <w:rsid w:val="00A56442"/>
    <w:rsid w:val="00A57E00"/>
    <w:rsid w:val="00A760AF"/>
    <w:rsid w:val="00A90BE8"/>
    <w:rsid w:val="00A92195"/>
    <w:rsid w:val="00AA373F"/>
    <w:rsid w:val="00AA4D42"/>
    <w:rsid w:val="00AA64E2"/>
    <w:rsid w:val="00AB2857"/>
    <w:rsid w:val="00AB5F9B"/>
    <w:rsid w:val="00AC1C0B"/>
    <w:rsid w:val="00AC3AD3"/>
    <w:rsid w:val="00AC46A0"/>
    <w:rsid w:val="00AC7D8F"/>
    <w:rsid w:val="00AD064B"/>
    <w:rsid w:val="00AD1553"/>
    <w:rsid w:val="00AD20B0"/>
    <w:rsid w:val="00AD70FC"/>
    <w:rsid w:val="00AF3045"/>
    <w:rsid w:val="00AF311F"/>
    <w:rsid w:val="00AF34A6"/>
    <w:rsid w:val="00AF7C70"/>
    <w:rsid w:val="00B00D2A"/>
    <w:rsid w:val="00B01814"/>
    <w:rsid w:val="00B13DA7"/>
    <w:rsid w:val="00B26035"/>
    <w:rsid w:val="00B378CD"/>
    <w:rsid w:val="00B41FB0"/>
    <w:rsid w:val="00B46D87"/>
    <w:rsid w:val="00B51C6D"/>
    <w:rsid w:val="00B55C15"/>
    <w:rsid w:val="00B577DF"/>
    <w:rsid w:val="00B7240E"/>
    <w:rsid w:val="00B85BDE"/>
    <w:rsid w:val="00B864E5"/>
    <w:rsid w:val="00B94AFC"/>
    <w:rsid w:val="00BB252D"/>
    <w:rsid w:val="00BB3623"/>
    <w:rsid w:val="00BB3FB9"/>
    <w:rsid w:val="00BB6695"/>
    <w:rsid w:val="00BD0ACE"/>
    <w:rsid w:val="00BD33C0"/>
    <w:rsid w:val="00BF0612"/>
    <w:rsid w:val="00C10060"/>
    <w:rsid w:val="00C10D56"/>
    <w:rsid w:val="00C339B0"/>
    <w:rsid w:val="00C416B1"/>
    <w:rsid w:val="00C420D5"/>
    <w:rsid w:val="00C45AC9"/>
    <w:rsid w:val="00C50FAE"/>
    <w:rsid w:val="00C51250"/>
    <w:rsid w:val="00C51D12"/>
    <w:rsid w:val="00C61B64"/>
    <w:rsid w:val="00C64065"/>
    <w:rsid w:val="00C70829"/>
    <w:rsid w:val="00C72077"/>
    <w:rsid w:val="00C7627F"/>
    <w:rsid w:val="00C76C07"/>
    <w:rsid w:val="00C8147B"/>
    <w:rsid w:val="00C82889"/>
    <w:rsid w:val="00C947BB"/>
    <w:rsid w:val="00CA3B43"/>
    <w:rsid w:val="00CB1C4E"/>
    <w:rsid w:val="00CB20B5"/>
    <w:rsid w:val="00CC245A"/>
    <w:rsid w:val="00CC5629"/>
    <w:rsid w:val="00CC7245"/>
    <w:rsid w:val="00CD0FD4"/>
    <w:rsid w:val="00CD1A3C"/>
    <w:rsid w:val="00CD63F5"/>
    <w:rsid w:val="00CD7BA3"/>
    <w:rsid w:val="00CE1F6E"/>
    <w:rsid w:val="00CE39A9"/>
    <w:rsid w:val="00CE57A0"/>
    <w:rsid w:val="00CE7EFA"/>
    <w:rsid w:val="00CF7028"/>
    <w:rsid w:val="00D027C4"/>
    <w:rsid w:val="00D160A9"/>
    <w:rsid w:val="00D16914"/>
    <w:rsid w:val="00D220B8"/>
    <w:rsid w:val="00D23264"/>
    <w:rsid w:val="00D23274"/>
    <w:rsid w:val="00D2729B"/>
    <w:rsid w:val="00D300C0"/>
    <w:rsid w:val="00D301FE"/>
    <w:rsid w:val="00D3237B"/>
    <w:rsid w:val="00D32A9E"/>
    <w:rsid w:val="00D364CE"/>
    <w:rsid w:val="00D423D9"/>
    <w:rsid w:val="00D45145"/>
    <w:rsid w:val="00D46AE0"/>
    <w:rsid w:val="00D54103"/>
    <w:rsid w:val="00D5530A"/>
    <w:rsid w:val="00D60EA3"/>
    <w:rsid w:val="00D62D7D"/>
    <w:rsid w:val="00D64242"/>
    <w:rsid w:val="00D6709A"/>
    <w:rsid w:val="00D67DAC"/>
    <w:rsid w:val="00D73F0F"/>
    <w:rsid w:val="00D82A3E"/>
    <w:rsid w:val="00D92C57"/>
    <w:rsid w:val="00D9464B"/>
    <w:rsid w:val="00D965F3"/>
    <w:rsid w:val="00D967B6"/>
    <w:rsid w:val="00D96A0C"/>
    <w:rsid w:val="00D97CB1"/>
    <w:rsid w:val="00DA09B2"/>
    <w:rsid w:val="00DA2AAF"/>
    <w:rsid w:val="00DA4B7C"/>
    <w:rsid w:val="00DA535F"/>
    <w:rsid w:val="00DA66C2"/>
    <w:rsid w:val="00DA699C"/>
    <w:rsid w:val="00DB2C1A"/>
    <w:rsid w:val="00DB401F"/>
    <w:rsid w:val="00DB460D"/>
    <w:rsid w:val="00DC6E0D"/>
    <w:rsid w:val="00DC6FCA"/>
    <w:rsid w:val="00DC7166"/>
    <w:rsid w:val="00DD1D37"/>
    <w:rsid w:val="00DE2D59"/>
    <w:rsid w:val="00DE3545"/>
    <w:rsid w:val="00DF721C"/>
    <w:rsid w:val="00E06447"/>
    <w:rsid w:val="00E16AE0"/>
    <w:rsid w:val="00E20710"/>
    <w:rsid w:val="00E2417B"/>
    <w:rsid w:val="00E372B8"/>
    <w:rsid w:val="00E37BCA"/>
    <w:rsid w:val="00E439E5"/>
    <w:rsid w:val="00E43DDC"/>
    <w:rsid w:val="00E60BE1"/>
    <w:rsid w:val="00E64E33"/>
    <w:rsid w:val="00E76024"/>
    <w:rsid w:val="00EB02C5"/>
    <w:rsid w:val="00EB04A0"/>
    <w:rsid w:val="00EC49A0"/>
    <w:rsid w:val="00ED0F6D"/>
    <w:rsid w:val="00EE3160"/>
    <w:rsid w:val="00EE4B06"/>
    <w:rsid w:val="00EF6094"/>
    <w:rsid w:val="00F12605"/>
    <w:rsid w:val="00F166D7"/>
    <w:rsid w:val="00F206E9"/>
    <w:rsid w:val="00F21BCD"/>
    <w:rsid w:val="00F21F2B"/>
    <w:rsid w:val="00F24730"/>
    <w:rsid w:val="00F419F0"/>
    <w:rsid w:val="00F42B50"/>
    <w:rsid w:val="00F451F1"/>
    <w:rsid w:val="00F45926"/>
    <w:rsid w:val="00F46403"/>
    <w:rsid w:val="00F47477"/>
    <w:rsid w:val="00F559EE"/>
    <w:rsid w:val="00F55D52"/>
    <w:rsid w:val="00F622C7"/>
    <w:rsid w:val="00F742D3"/>
    <w:rsid w:val="00F74CBC"/>
    <w:rsid w:val="00F82203"/>
    <w:rsid w:val="00F95585"/>
    <w:rsid w:val="00F9594B"/>
    <w:rsid w:val="00FA327D"/>
    <w:rsid w:val="00FA37E8"/>
    <w:rsid w:val="00FB2DF6"/>
    <w:rsid w:val="00FB6DF8"/>
    <w:rsid w:val="00FC364D"/>
    <w:rsid w:val="00FC3822"/>
    <w:rsid w:val="00FC6EF3"/>
    <w:rsid w:val="00FD381C"/>
    <w:rsid w:val="00FD6537"/>
    <w:rsid w:val="00FF1B01"/>
    <w:rsid w:val="00FF589A"/>
    <w:rsid w:val="01084536"/>
    <w:rsid w:val="012F3508"/>
    <w:rsid w:val="014C02FD"/>
    <w:rsid w:val="01752B45"/>
    <w:rsid w:val="019C13F2"/>
    <w:rsid w:val="01AF3FD2"/>
    <w:rsid w:val="020B5038"/>
    <w:rsid w:val="02985C5A"/>
    <w:rsid w:val="02C16C0E"/>
    <w:rsid w:val="030A42D1"/>
    <w:rsid w:val="037A6216"/>
    <w:rsid w:val="037C6B30"/>
    <w:rsid w:val="03821826"/>
    <w:rsid w:val="04202C51"/>
    <w:rsid w:val="04626CB5"/>
    <w:rsid w:val="04653659"/>
    <w:rsid w:val="04792E86"/>
    <w:rsid w:val="04AB5169"/>
    <w:rsid w:val="04B24D79"/>
    <w:rsid w:val="05371D5B"/>
    <w:rsid w:val="057E24BE"/>
    <w:rsid w:val="05D558B7"/>
    <w:rsid w:val="064A093A"/>
    <w:rsid w:val="06800872"/>
    <w:rsid w:val="0692437B"/>
    <w:rsid w:val="06CD3375"/>
    <w:rsid w:val="06ED25D8"/>
    <w:rsid w:val="0721780B"/>
    <w:rsid w:val="07257F00"/>
    <w:rsid w:val="07284172"/>
    <w:rsid w:val="073B1817"/>
    <w:rsid w:val="075617A8"/>
    <w:rsid w:val="083A1950"/>
    <w:rsid w:val="08806790"/>
    <w:rsid w:val="089549F8"/>
    <w:rsid w:val="08DA3CF5"/>
    <w:rsid w:val="09424806"/>
    <w:rsid w:val="09506BD6"/>
    <w:rsid w:val="0959241E"/>
    <w:rsid w:val="0971182D"/>
    <w:rsid w:val="09785B42"/>
    <w:rsid w:val="099A73E1"/>
    <w:rsid w:val="099E7D03"/>
    <w:rsid w:val="0A0142B5"/>
    <w:rsid w:val="0A173445"/>
    <w:rsid w:val="0A3C509B"/>
    <w:rsid w:val="0A880035"/>
    <w:rsid w:val="0AF01635"/>
    <w:rsid w:val="0B104B62"/>
    <w:rsid w:val="0B1B2B45"/>
    <w:rsid w:val="0B5E6F3E"/>
    <w:rsid w:val="0B846810"/>
    <w:rsid w:val="0B876C24"/>
    <w:rsid w:val="0BDE5DF7"/>
    <w:rsid w:val="0BE73176"/>
    <w:rsid w:val="0BEA23B2"/>
    <w:rsid w:val="0C1B75D7"/>
    <w:rsid w:val="0C39013F"/>
    <w:rsid w:val="0C3B1C7A"/>
    <w:rsid w:val="0C686BB7"/>
    <w:rsid w:val="0C6A356C"/>
    <w:rsid w:val="0C9C4A30"/>
    <w:rsid w:val="0CBB6D83"/>
    <w:rsid w:val="0CD745A9"/>
    <w:rsid w:val="0CDE5CCC"/>
    <w:rsid w:val="0D536746"/>
    <w:rsid w:val="0D5D4401"/>
    <w:rsid w:val="0DAB55CC"/>
    <w:rsid w:val="0DB10505"/>
    <w:rsid w:val="0DC42524"/>
    <w:rsid w:val="0DCC26A5"/>
    <w:rsid w:val="0E673A90"/>
    <w:rsid w:val="0EBC5D20"/>
    <w:rsid w:val="0EBD7E0F"/>
    <w:rsid w:val="0EC84A0A"/>
    <w:rsid w:val="0F032082"/>
    <w:rsid w:val="0F1515D2"/>
    <w:rsid w:val="0F4F688B"/>
    <w:rsid w:val="0F5C2B42"/>
    <w:rsid w:val="0F690F21"/>
    <w:rsid w:val="0F760C3D"/>
    <w:rsid w:val="0F7C724E"/>
    <w:rsid w:val="0F9A03E5"/>
    <w:rsid w:val="0F9F4467"/>
    <w:rsid w:val="10317EFB"/>
    <w:rsid w:val="104731DC"/>
    <w:rsid w:val="104E474A"/>
    <w:rsid w:val="1098573D"/>
    <w:rsid w:val="11075B69"/>
    <w:rsid w:val="11563992"/>
    <w:rsid w:val="117822C4"/>
    <w:rsid w:val="118E1272"/>
    <w:rsid w:val="11B108EA"/>
    <w:rsid w:val="11DC6F46"/>
    <w:rsid w:val="12344D50"/>
    <w:rsid w:val="129F0AAB"/>
    <w:rsid w:val="12A72AD1"/>
    <w:rsid w:val="137F1A3B"/>
    <w:rsid w:val="138C54D3"/>
    <w:rsid w:val="145362BA"/>
    <w:rsid w:val="145379C9"/>
    <w:rsid w:val="1456484C"/>
    <w:rsid w:val="146F0270"/>
    <w:rsid w:val="15056773"/>
    <w:rsid w:val="15452993"/>
    <w:rsid w:val="155F5DB5"/>
    <w:rsid w:val="157B6DA5"/>
    <w:rsid w:val="158802D8"/>
    <w:rsid w:val="15A91BD3"/>
    <w:rsid w:val="16082F0C"/>
    <w:rsid w:val="16116B50"/>
    <w:rsid w:val="16DC6D93"/>
    <w:rsid w:val="17072799"/>
    <w:rsid w:val="17AF44CA"/>
    <w:rsid w:val="17D569BD"/>
    <w:rsid w:val="18307A32"/>
    <w:rsid w:val="1869122D"/>
    <w:rsid w:val="186D3182"/>
    <w:rsid w:val="188E4ED0"/>
    <w:rsid w:val="192B03A0"/>
    <w:rsid w:val="194E6266"/>
    <w:rsid w:val="1A0E603F"/>
    <w:rsid w:val="1A105FC4"/>
    <w:rsid w:val="1A4D7978"/>
    <w:rsid w:val="1A762E1F"/>
    <w:rsid w:val="1A7674E7"/>
    <w:rsid w:val="1AD07C55"/>
    <w:rsid w:val="1AF826FA"/>
    <w:rsid w:val="1B1E29B4"/>
    <w:rsid w:val="1BA0580D"/>
    <w:rsid w:val="1CA12A78"/>
    <w:rsid w:val="1CBA26BC"/>
    <w:rsid w:val="1CC752E2"/>
    <w:rsid w:val="1CD45309"/>
    <w:rsid w:val="1D1E062F"/>
    <w:rsid w:val="1D7B6FE0"/>
    <w:rsid w:val="1DAA2C5A"/>
    <w:rsid w:val="1DCE3054"/>
    <w:rsid w:val="1E1A0AED"/>
    <w:rsid w:val="1E5005BF"/>
    <w:rsid w:val="1E780C13"/>
    <w:rsid w:val="1ED65F98"/>
    <w:rsid w:val="1F237147"/>
    <w:rsid w:val="1F5E5F02"/>
    <w:rsid w:val="1F6F6BA6"/>
    <w:rsid w:val="1F872014"/>
    <w:rsid w:val="1FC065AC"/>
    <w:rsid w:val="1FC95739"/>
    <w:rsid w:val="20080118"/>
    <w:rsid w:val="20216440"/>
    <w:rsid w:val="203117DA"/>
    <w:rsid w:val="2050340E"/>
    <w:rsid w:val="20D50D25"/>
    <w:rsid w:val="213E2AF3"/>
    <w:rsid w:val="214E7E40"/>
    <w:rsid w:val="21534BCD"/>
    <w:rsid w:val="2182007E"/>
    <w:rsid w:val="21970920"/>
    <w:rsid w:val="21B91690"/>
    <w:rsid w:val="21D67606"/>
    <w:rsid w:val="224E7407"/>
    <w:rsid w:val="227849BA"/>
    <w:rsid w:val="23235D3B"/>
    <w:rsid w:val="23376A4E"/>
    <w:rsid w:val="23414A75"/>
    <w:rsid w:val="23B12C62"/>
    <w:rsid w:val="244C67CC"/>
    <w:rsid w:val="249A28D7"/>
    <w:rsid w:val="24BA4264"/>
    <w:rsid w:val="24FA4189"/>
    <w:rsid w:val="25317402"/>
    <w:rsid w:val="254E0206"/>
    <w:rsid w:val="256D47E1"/>
    <w:rsid w:val="257E4F25"/>
    <w:rsid w:val="26017308"/>
    <w:rsid w:val="262F36C6"/>
    <w:rsid w:val="2638028E"/>
    <w:rsid w:val="266D7D59"/>
    <w:rsid w:val="267B1604"/>
    <w:rsid w:val="26875889"/>
    <w:rsid w:val="268D2469"/>
    <w:rsid w:val="27105B46"/>
    <w:rsid w:val="272E2E0F"/>
    <w:rsid w:val="272E62CB"/>
    <w:rsid w:val="2801174D"/>
    <w:rsid w:val="285A4D37"/>
    <w:rsid w:val="28FC1003"/>
    <w:rsid w:val="29840F48"/>
    <w:rsid w:val="2992518C"/>
    <w:rsid w:val="2A3D7A53"/>
    <w:rsid w:val="2A677C1E"/>
    <w:rsid w:val="2AD47B2A"/>
    <w:rsid w:val="2AF711EB"/>
    <w:rsid w:val="2B2F2A1A"/>
    <w:rsid w:val="2B563463"/>
    <w:rsid w:val="2B75354E"/>
    <w:rsid w:val="2B760FD0"/>
    <w:rsid w:val="2B8956E5"/>
    <w:rsid w:val="2BB2574A"/>
    <w:rsid w:val="2BDC3778"/>
    <w:rsid w:val="2BF2224F"/>
    <w:rsid w:val="2C47707C"/>
    <w:rsid w:val="2C8263A1"/>
    <w:rsid w:val="2C9724D3"/>
    <w:rsid w:val="2C990303"/>
    <w:rsid w:val="2CE841ED"/>
    <w:rsid w:val="2CF21F3A"/>
    <w:rsid w:val="2D24150D"/>
    <w:rsid w:val="2D36099F"/>
    <w:rsid w:val="2D4A74F7"/>
    <w:rsid w:val="2D7C42EE"/>
    <w:rsid w:val="2D9D0F7B"/>
    <w:rsid w:val="2DA41B9D"/>
    <w:rsid w:val="2DDE1C3E"/>
    <w:rsid w:val="2DED1C74"/>
    <w:rsid w:val="2E7121AE"/>
    <w:rsid w:val="2E97790A"/>
    <w:rsid w:val="2EBA2766"/>
    <w:rsid w:val="2F155157"/>
    <w:rsid w:val="2F1F63A4"/>
    <w:rsid w:val="2F4B34B1"/>
    <w:rsid w:val="2FAE6417"/>
    <w:rsid w:val="2FE71B05"/>
    <w:rsid w:val="3002414F"/>
    <w:rsid w:val="301A52E6"/>
    <w:rsid w:val="315748A2"/>
    <w:rsid w:val="31850156"/>
    <w:rsid w:val="325B487E"/>
    <w:rsid w:val="329556D1"/>
    <w:rsid w:val="33156988"/>
    <w:rsid w:val="335248A3"/>
    <w:rsid w:val="33D513F2"/>
    <w:rsid w:val="33DA34C7"/>
    <w:rsid w:val="33DF3F70"/>
    <w:rsid w:val="33F27455"/>
    <w:rsid w:val="340378ED"/>
    <w:rsid w:val="34345AA8"/>
    <w:rsid w:val="345C305B"/>
    <w:rsid w:val="34D25C17"/>
    <w:rsid w:val="34FE566C"/>
    <w:rsid w:val="3526179E"/>
    <w:rsid w:val="354078F6"/>
    <w:rsid w:val="35BB0F08"/>
    <w:rsid w:val="35D654A5"/>
    <w:rsid w:val="364843A3"/>
    <w:rsid w:val="367A246A"/>
    <w:rsid w:val="36A215D5"/>
    <w:rsid w:val="36BE4383"/>
    <w:rsid w:val="37211262"/>
    <w:rsid w:val="373C71A7"/>
    <w:rsid w:val="37906B9D"/>
    <w:rsid w:val="37B73776"/>
    <w:rsid w:val="37C10F37"/>
    <w:rsid w:val="3827235C"/>
    <w:rsid w:val="384869BD"/>
    <w:rsid w:val="386041EC"/>
    <w:rsid w:val="387862BF"/>
    <w:rsid w:val="3884411B"/>
    <w:rsid w:val="392B5635"/>
    <w:rsid w:val="39523A24"/>
    <w:rsid w:val="39576FB2"/>
    <w:rsid w:val="39B459E5"/>
    <w:rsid w:val="39EF78A9"/>
    <w:rsid w:val="3A2825E8"/>
    <w:rsid w:val="3A3D40C5"/>
    <w:rsid w:val="3A7151B9"/>
    <w:rsid w:val="3A860B2C"/>
    <w:rsid w:val="3AE07D66"/>
    <w:rsid w:val="3AEE73A7"/>
    <w:rsid w:val="3B1D6EF2"/>
    <w:rsid w:val="3C24710B"/>
    <w:rsid w:val="3C5F694A"/>
    <w:rsid w:val="3C66768F"/>
    <w:rsid w:val="3CA3052A"/>
    <w:rsid w:val="3D3D2171"/>
    <w:rsid w:val="3D99210A"/>
    <w:rsid w:val="3DA965AE"/>
    <w:rsid w:val="3DD64272"/>
    <w:rsid w:val="3DDF2CF0"/>
    <w:rsid w:val="3E8037EA"/>
    <w:rsid w:val="3E86777C"/>
    <w:rsid w:val="3EB41914"/>
    <w:rsid w:val="3F1C1586"/>
    <w:rsid w:val="3F2271D9"/>
    <w:rsid w:val="3F4A5777"/>
    <w:rsid w:val="3F4C0966"/>
    <w:rsid w:val="3F7D0B57"/>
    <w:rsid w:val="3FB0370C"/>
    <w:rsid w:val="3FD41B32"/>
    <w:rsid w:val="40004363"/>
    <w:rsid w:val="402E57B9"/>
    <w:rsid w:val="40504C29"/>
    <w:rsid w:val="40824C50"/>
    <w:rsid w:val="40CD1066"/>
    <w:rsid w:val="40CF3126"/>
    <w:rsid w:val="413E1578"/>
    <w:rsid w:val="4184355C"/>
    <w:rsid w:val="41B13D07"/>
    <w:rsid w:val="42022E3F"/>
    <w:rsid w:val="426B5C77"/>
    <w:rsid w:val="430F0776"/>
    <w:rsid w:val="4356016D"/>
    <w:rsid w:val="43A101AC"/>
    <w:rsid w:val="43DF4D5A"/>
    <w:rsid w:val="44355587"/>
    <w:rsid w:val="446420F1"/>
    <w:rsid w:val="447A251C"/>
    <w:rsid w:val="4493663A"/>
    <w:rsid w:val="44B525E5"/>
    <w:rsid w:val="44E102F3"/>
    <w:rsid w:val="44F53C74"/>
    <w:rsid w:val="450D230D"/>
    <w:rsid w:val="450E7C66"/>
    <w:rsid w:val="455629B1"/>
    <w:rsid w:val="45937C6B"/>
    <w:rsid w:val="45C72C3C"/>
    <w:rsid w:val="45F07CD5"/>
    <w:rsid w:val="45F33088"/>
    <w:rsid w:val="4681444E"/>
    <w:rsid w:val="46E6458F"/>
    <w:rsid w:val="46F1479E"/>
    <w:rsid w:val="470702FB"/>
    <w:rsid w:val="47120C4C"/>
    <w:rsid w:val="47514850"/>
    <w:rsid w:val="475A4D73"/>
    <w:rsid w:val="47912A78"/>
    <w:rsid w:val="47BB4645"/>
    <w:rsid w:val="47F35EEB"/>
    <w:rsid w:val="4805648E"/>
    <w:rsid w:val="480A17C4"/>
    <w:rsid w:val="482A4C43"/>
    <w:rsid w:val="48395C5D"/>
    <w:rsid w:val="48B2223F"/>
    <w:rsid w:val="49490227"/>
    <w:rsid w:val="49737866"/>
    <w:rsid w:val="49814838"/>
    <w:rsid w:val="49983F65"/>
    <w:rsid w:val="49BE43BF"/>
    <w:rsid w:val="49D30553"/>
    <w:rsid w:val="4A001150"/>
    <w:rsid w:val="4A382105"/>
    <w:rsid w:val="4ADE3241"/>
    <w:rsid w:val="4B9844F1"/>
    <w:rsid w:val="4C7D0E75"/>
    <w:rsid w:val="4CB61421"/>
    <w:rsid w:val="4CE51002"/>
    <w:rsid w:val="4D12185F"/>
    <w:rsid w:val="4D152BAA"/>
    <w:rsid w:val="4D204A01"/>
    <w:rsid w:val="4D472B1F"/>
    <w:rsid w:val="4DA65601"/>
    <w:rsid w:val="4DE61C96"/>
    <w:rsid w:val="4E355B52"/>
    <w:rsid w:val="4E5F6744"/>
    <w:rsid w:val="4E7766EE"/>
    <w:rsid w:val="4EC3744A"/>
    <w:rsid w:val="4ED046DA"/>
    <w:rsid w:val="4ED549BD"/>
    <w:rsid w:val="4FE42EBF"/>
    <w:rsid w:val="4FFE38EA"/>
    <w:rsid w:val="500267A5"/>
    <w:rsid w:val="50844060"/>
    <w:rsid w:val="508F0FBE"/>
    <w:rsid w:val="50F87391"/>
    <w:rsid w:val="50F92914"/>
    <w:rsid w:val="5110244C"/>
    <w:rsid w:val="51146616"/>
    <w:rsid w:val="513E67F5"/>
    <w:rsid w:val="516414A5"/>
    <w:rsid w:val="517764BC"/>
    <w:rsid w:val="5206148C"/>
    <w:rsid w:val="521A3E6D"/>
    <w:rsid w:val="5238341F"/>
    <w:rsid w:val="52431E9A"/>
    <w:rsid w:val="52582910"/>
    <w:rsid w:val="52F066CA"/>
    <w:rsid w:val="52F66894"/>
    <w:rsid w:val="532F6209"/>
    <w:rsid w:val="534F5D9D"/>
    <w:rsid w:val="537F7F1A"/>
    <w:rsid w:val="53AB1784"/>
    <w:rsid w:val="54046F5F"/>
    <w:rsid w:val="549C516E"/>
    <w:rsid w:val="54BA2425"/>
    <w:rsid w:val="54D13583"/>
    <w:rsid w:val="54DB6E67"/>
    <w:rsid w:val="55123A90"/>
    <w:rsid w:val="556236EF"/>
    <w:rsid w:val="556E1C3C"/>
    <w:rsid w:val="557D3A9A"/>
    <w:rsid w:val="560A7957"/>
    <w:rsid w:val="569F36EE"/>
    <w:rsid w:val="56A0391A"/>
    <w:rsid w:val="56BC011E"/>
    <w:rsid w:val="56D053AC"/>
    <w:rsid w:val="56D52568"/>
    <w:rsid w:val="576D68C4"/>
    <w:rsid w:val="57AF4D05"/>
    <w:rsid w:val="57B07270"/>
    <w:rsid w:val="581C6FC6"/>
    <w:rsid w:val="58386D47"/>
    <w:rsid w:val="58AF3B4A"/>
    <w:rsid w:val="58BC3201"/>
    <w:rsid w:val="59133FB4"/>
    <w:rsid w:val="594A53C6"/>
    <w:rsid w:val="5992708D"/>
    <w:rsid w:val="59B95F93"/>
    <w:rsid w:val="59BF4335"/>
    <w:rsid w:val="5A1E10CA"/>
    <w:rsid w:val="5A7A6FE8"/>
    <w:rsid w:val="5A7F54A7"/>
    <w:rsid w:val="5ABC69B1"/>
    <w:rsid w:val="5AF530E8"/>
    <w:rsid w:val="5B2A1029"/>
    <w:rsid w:val="5B4A50A8"/>
    <w:rsid w:val="5BC44E7F"/>
    <w:rsid w:val="5BCF022B"/>
    <w:rsid w:val="5C1F2857"/>
    <w:rsid w:val="5C8B75E1"/>
    <w:rsid w:val="5CCE197D"/>
    <w:rsid w:val="5D0866D7"/>
    <w:rsid w:val="5D1873CE"/>
    <w:rsid w:val="5D903D20"/>
    <w:rsid w:val="5D9B3835"/>
    <w:rsid w:val="5DBB6B40"/>
    <w:rsid w:val="5DC9758D"/>
    <w:rsid w:val="5E0654B8"/>
    <w:rsid w:val="5E4874B6"/>
    <w:rsid w:val="5EAA062F"/>
    <w:rsid w:val="5EF4745D"/>
    <w:rsid w:val="5F1E123A"/>
    <w:rsid w:val="5F1F7877"/>
    <w:rsid w:val="5F431B15"/>
    <w:rsid w:val="5F5A0728"/>
    <w:rsid w:val="5F60689E"/>
    <w:rsid w:val="5FCF73FA"/>
    <w:rsid w:val="5FD769D1"/>
    <w:rsid w:val="5FF418C9"/>
    <w:rsid w:val="60571B56"/>
    <w:rsid w:val="605A5E60"/>
    <w:rsid w:val="60FD3F51"/>
    <w:rsid w:val="60FD6389"/>
    <w:rsid w:val="610F187C"/>
    <w:rsid w:val="61181C2E"/>
    <w:rsid w:val="611A0F31"/>
    <w:rsid w:val="615D583E"/>
    <w:rsid w:val="61614D28"/>
    <w:rsid w:val="616A3BE1"/>
    <w:rsid w:val="61B877D7"/>
    <w:rsid w:val="61DE0C58"/>
    <w:rsid w:val="61F03975"/>
    <w:rsid w:val="620D0127"/>
    <w:rsid w:val="624D5389"/>
    <w:rsid w:val="62517CBA"/>
    <w:rsid w:val="625624FC"/>
    <w:rsid w:val="6283173C"/>
    <w:rsid w:val="628D6A9F"/>
    <w:rsid w:val="62B24DCF"/>
    <w:rsid w:val="62BC4A36"/>
    <w:rsid w:val="62D51E5C"/>
    <w:rsid w:val="62F4603D"/>
    <w:rsid w:val="631A7993"/>
    <w:rsid w:val="632756DD"/>
    <w:rsid w:val="63321112"/>
    <w:rsid w:val="63DD59CE"/>
    <w:rsid w:val="64033E13"/>
    <w:rsid w:val="6410066D"/>
    <w:rsid w:val="64176FFB"/>
    <w:rsid w:val="64662A6A"/>
    <w:rsid w:val="64D87F3C"/>
    <w:rsid w:val="64E47551"/>
    <w:rsid w:val="64E908AB"/>
    <w:rsid w:val="65025C45"/>
    <w:rsid w:val="650719AB"/>
    <w:rsid w:val="65412715"/>
    <w:rsid w:val="657F0DF3"/>
    <w:rsid w:val="65DB5C4C"/>
    <w:rsid w:val="65E01B86"/>
    <w:rsid w:val="667B6787"/>
    <w:rsid w:val="66BC1B9D"/>
    <w:rsid w:val="674F1393"/>
    <w:rsid w:val="67AC180B"/>
    <w:rsid w:val="684D1F7A"/>
    <w:rsid w:val="68B54EDB"/>
    <w:rsid w:val="68FD6B5A"/>
    <w:rsid w:val="691103C0"/>
    <w:rsid w:val="693B1A4D"/>
    <w:rsid w:val="69B501A5"/>
    <w:rsid w:val="69E6107F"/>
    <w:rsid w:val="6A4751B9"/>
    <w:rsid w:val="6A4B46E1"/>
    <w:rsid w:val="6A681F8D"/>
    <w:rsid w:val="6AA26F09"/>
    <w:rsid w:val="6AB53B47"/>
    <w:rsid w:val="6ACC4476"/>
    <w:rsid w:val="6AD10F20"/>
    <w:rsid w:val="6AD42901"/>
    <w:rsid w:val="6AF069EE"/>
    <w:rsid w:val="6B453CFF"/>
    <w:rsid w:val="6BA56DCF"/>
    <w:rsid w:val="6C17431B"/>
    <w:rsid w:val="6C2D6EB9"/>
    <w:rsid w:val="6C3E6C84"/>
    <w:rsid w:val="6C4F00C1"/>
    <w:rsid w:val="6C8B1549"/>
    <w:rsid w:val="6CB71F41"/>
    <w:rsid w:val="6CE1277C"/>
    <w:rsid w:val="6CE26A32"/>
    <w:rsid w:val="6D0F26B6"/>
    <w:rsid w:val="6D453122"/>
    <w:rsid w:val="6D9F2823"/>
    <w:rsid w:val="6E1F312F"/>
    <w:rsid w:val="6E4C7689"/>
    <w:rsid w:val="6E6D4E8F"/>
    <w:rsid w:val="6E7E6AB0"/>
    <w:rsid w:val="6ED20947"/>
    <w:rsid w:val="6F0F4865"/>
    <w:rsid w:val="6F29144C"/>
    <w:rsid w:val="6F2E4116"/>
    <w:rsid w:val="6F8D75B0"/>
    <w:rsid w:val="6F8F0679"/>
    <w:rsid w:val="6FFF2D4F"/>
    <w:rsid w:val="700E61C9"/>
    <w:rsid w:val="70186FC1"/>
    <w:rsid w:val="704F3D4F"/>
    <w:rsid w:val="70A77787"/>
    <w:rsid w:val="70CC16EE"/>
    <w:rsid w:val="70F7535F"/>
    <w:rsid w:val="71884CBD"/>
    <w:rsid w:val="723B24A3"/>
    <w:rsid w:val="72F0126B"/>
    <w:rsid w:val="735F488F"/>
    <w:rsid w:val="73795378"/>
    <w:rsid w:val="74036264"/>
    <w:rsid w:val="747E250F"/>
    <w:rsid w:val="74AB5148"/>
    <w:rsid w:val="74E7272A"/>
    <w:rsid w:val="75643174"/>
    <w:rsid w:val="758B7C5C"/>
    <w:rsid w:val="75D16E5E"/>
    <w:rsid w:val="761B036C"/>
    <w:rsid w:val="76677693"/>
    <w:rsid w:val="766A547A"/>
    <w:rsid w:val="76793309"/>
    <w:rsid w:val="771C2EA1"/>
    <w:rsid w:val="772E123F"/>
    <w:rsid w:val="77AA5DF6"/>
    <w:rsid w:val="77C8280D"/>
    <w:rsid w:val="77FB2C35"/>
    <w:rsid w:val="786403E9"/>
    <w:rsid w:val="787A1070"/>
    <w:rsid w:val="788D2FBE"/>
    <w:rsid w:val="795F40BB"/>
    <w:rsid w:val="7965206D"/>
    <w:rsid w:val="79787050"/>
    <w:rsid w:val="79922F28"/>
    <w:rsid w:val="79A5673A"/>
    <w:rsid w:val="7A1A4594"/>
    <w:rsid w:val="7A4A7CDB"/>
    <w:rsid w:val="7A4B6643"/>
    <w:rsid w:val="7B1369DD"/>
    <w:rsid w:val="7B381DFF"/>
    <w:rsid w:val="7B567708"/>
    <w:rsid w:val="7B6A2721"/>
    <w:rsid w:val="7B701620"/>
    <w:rsid w:val="7BA7755D"/>
    <w:rsid w:val="7BAF046A"/>
    <w:rsid w:val="7BC5054D"/>
    <w:rsid w:val="7C1A00FE"/>
    <w:rsid w:val="7C2F0E51"/>
    <w:rsid w:val="7C5953A4"/>
    <w:rsid w:val="7C851F4B"/>
    <w:rsid w:val="7CA50BB4"/>
    <w:rsid w:val="7D6F4DE3"/>
    <w:rsid w:val="7DB35EFB"/>
    <w:rsid w:val="7E820EDA"/>
    <w:rsid w:val="7EC33B3F"/>
    <w:rsid w:val="7F1C02B1"/>
    <w:rsid w:val="7F304F80"/>
    <w:rsid w:val="7F3136A7"/>
    <w:rsid w:val="7F49709E"/>
    <w:rsid w:val="7F796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62"/>
    <w:qFormat/>
    <w:uiPriority w:val="9"/>
    <w:pPr>
      <w:keepNext/>
      <w:keepLines/>
      <w:spacing w:line="576" w:lineRule="auto"/>
      <w:jc w:val="center"/>
      <w:outlineLvl w:val="0"/>
    </w:pPr>
    <w:rPr>
      <w:rFonts w:ascii="Times New Roman" w:hAnsi="Times New Roman" w:eastAsia="黑体" w:cs="Times New Roman"/>
      <w:b/>
      <w:bCs/>
      <w:kern w:val="44"/>
      <w:sz w:val="32"/>
      <w:szCs w:val="44"/>
    </w:rPr>
  </w:style>
  <w:style w:type="paragraph" w:styleId="2">
    <w:name w:val="heading 2"/>
    <w:basedOn w:val="1"/>
    <w:next w:val="1"/>
    <w:link w:val="60"/>
    <w:qFormat/>
    <w:uiPriority w:val="9"/>
    <w:pPr>
      <w:keepNext/>
      <w:adjustRightInd w:val="0"/>
      <w:snapToGrid w:val="0"/>
      <w:spacing w:before="120" w:after="120" w:line="240" w:lineRule="auto"/>
      <w:jc w:val="left"/>
      <w:textAlignment w:val="baseline"/>
      <w:outlineLvl w:val="1"/>
    </w:pPr>
    <w:rPr>
      <w:rFonts w:ascii="仿宋_GB2312" w:hAnsi="仿宋_GB2312" w:eastAsia="宋体" w:cs="Times New Roman"/>
      <w:b/>
      <w:kern w:val="0"/>
      <w:sz w:val="32"/>
      <w:szCs w:val="20"/>
    </w:rPr>
  </w:style>
  <w:style w:type="paragraph" w:styleId="9">
    <w:name w:val="heading 3"/>
    <w:basedOn w:val="4"/>
    <w:next w:val="5"/>
    <w:link w:val="65"/>
    <w:qFormat/>
    <w:uiPriority w:val="9"/>
    <w:pPr>
      <w:keepNext/>
      <w:keepLines/>
      <w:spacing w:after="120" w:line="360" w:lineRule="auto"/>
      <w:jc w:val="center"/>
      <w:outlineLvl w:val="2"/>
    </w:pPr>
    <w:rPr>
      <w:rFonts w:ascii="黑体" w:hAnsi="宋体" w:eastAsia="宋体" w:cs="宋体"/>
      <w:color w:val="000000"/>
      <w:kern w:val="24"/>
      <w:sz w:val="28"/>
      <w:szCs w:val="32"/>
      <w:lang w:val="en"/>
    </w:rPr>
  </w:style>
  <w:style w:type="paragraph" w:styleId="10">
    <w:name w:val="heading 4"/>
    <w:basedOn w:val="9"/>
    <w:next w:val="5"/>
    <w:link w:val="66"/>
    <w:qFormat/>
    <w:uiPriority w:val="0"/>
    <w:pPr>
      <w:keepNext/>
      <w:keepLines/>
      <w:spacing w:before="280" w:beforeLines="0" w:beforeAutospacing="0" w:after="290" w:afterLines="0" w:afterAutospacing="0" w:line="372" w:lineRule="auto"/>
      <w:outlineLvl w:val="3"/>
    </w:pPr>
    <w:rPr>
      <w:rFonts w:ascii="Arial" w:hAnsi="Arial" w:eastAsia="黑体" w:cs="Times New Roman"/>
      <w:sz w:val="28"/>
    </w:rPr>
  </w:style>
  <w:style w:type="paragraph" w:styleId="11">
    <w:name w:val="heading 5"/>
    <w:basedOn w:val="1"/>
    <w:next w:val="1"/>
    <w:link w:val="67"/>
    <w:qFormat/>
    <w:uiPriority w:val="0"/>
    <w:pPr>
      <w:keepNext/>
      <w:keepLines/>
      <w:numPr>
        <w:ilvl w:val="4"/>
        <w:numId w:val="1"/>
      </w:numPr>
      <w:spacing w:before="240" w:after="240" w:line="240" w:lineRule="auto"/>
      <w:jc w:val="left"/>
      <w:outlineLvl w:val="4"/>
    </w:pPr>
    <w:rPr>
      <w:rFonts w:ascii="Times New Roman" w:hAnsi="Times New Roman" w:eastAsia="仿宋"/>
      <w:b/>
      <w:bCs/>
      <w:szCs w:val="30"/>
      <w:lang w:val="zh-CN"/>
    </w:rPr>
  </w:style>
  <w:style w:type="paragraph" w:styleId="12">
    <w:name w:val="heading 6"/>
    <w:basedOn w:val="1"/>
    <w:next w:val="1"/>
    <w:link w:val="68"/>
    <w:qFormat/>
    <w:uiPriority w:val="9"/>
    <w:pPr>
      <w:keepNext/>
      <w:keepLines/>
      <w:numPr>
        <w:ilvl w:val="5"/>
        <w:numId w:val="1"/>
      </w:numPr>
      <w:spacing w:before="240" w:after="240" w:line="240" w:lineRule="auto"/>
      <w:jc w:val="left"/>
      <w:outlineLvl w:val="5"/>
    </w:pPr>
    <w:rPr>
      <w:rFonts w:ascii="Times New Roman" w:hAnsi="Times New Roman" w:eastAsia="仿宋"/>
      <w:b/>
      <w:bCs/>
      <w:szCs w:val="30"/>
      <w:lang w:val="zh-CN"/>
    </w:rPr>
  </w:style>
  <w:style w:type="paragraph" w:styleId="13">
    <w:name w:val="heading 7"/>
    <w:basedOn w:val="1"/>
    <w:next w:val="1"/>
    <w:link w:val="69"/>
    <w:qFormat/>
    <w:uiPriority w:val="9"/>
    <w:pPr>
      <w:keepNext/>
      <w:keepLines/>
      <w:widowControl/>
      <w:numPr>
        <w:ilvl w:val="6"/>
        <w:numId w:val="1"/>
      </w:numPr>
      <w:spacing w:before="240" w:after="240" w:line="240" w:lineRule="auto"/>
      <w:jc w:val="left"/>
      <w:outlineLvl w:val="6"/>
    </w:pPr>
    <w:rPr>
      <w:rFonts w:ascii="Times New Roman" w:hAnsi="Times New Roman" w:eastAsia="仿宋"/>
      <w:b/>
      <w:bCs/>
      <w:szCs w:val="30"/>
      <w:lang w:val="zh-CN"/>
    </w:rPr>
  </w:style>
  <w:style w:type="paragraph" w:styleId="14">
    <w:name w:val="heading 8"/>
    <w:basedOn w:val="1"/>
    <w:next w:val="1"/>
    <w:link w:val="70"/>
    <w:qFormat/>
    <w:uiPriority w:val="0"/>
    <w:pPr>
      <w:keepNext/>
      <w:keepLines/>
      <w:spacing w:before="240" w:after="240"/>
      <w:ind w:left="4394" w:hanging="1418"/>
      <w:jc w:val="left"/>
      <w:outlineLvl w:val="7"/>
    </w:pPr>
    <w:rPr>
      <w:rFonts w:eastAsia="仿宋"/>
      <w:b/>
      <w:bCs/>
      <w:sz w:val="24"/>
      <w:szCs w:val="28"/>
      <w:lang w:val="zh-CN"/>
    </w:rPr>
  </w:style>
  <w:style w:type="paragraph" w:styleId="15">
    <w:name w:val="heading 9"/>
    <w:basedOn w:val="1"/>
    <w:next w:val="1"/>
    <w:link w:val="71"/>
    <w:qFormat/>
    <w:uiPriority w:val="0"/>
    <w:pPr>
      <w:keepNext/>
      <w:keepLines/>
      <w:spacing w:before="240" w:after="240"/>
      <w:ind w:left="5102" w:hanging="1700"/>
      <w:jc w:val="left"/>
      <w:outlineLvl w:val="8"/>
    </w:pPr>
    <w:rPr>
      <w:rFonts w:eastAsia="仿宋"/>
      <w:b/>
      <w:bCs/>
      <w:sz w:val="24"/>
      <w:szCs w:val="28"/>
      <w:lang w:val="zh-CN"/>
    </w:rPr>
  </w:style>
  <w:style w:type="character" w:default="1" w:styleId="53">
    <w:name w:val="Default Paragraph Font"/>
    <w:qFormat/>
    <w:uiPriority w:val="0"/>
    <w:rPr>
      <w:rFonts w:ascii="Times New Roman" w:hAnsi="Times New Roman" w:eastAsia="宋体" w:cs="Times New Roman"/>
    </w:rPr>
  </w:style>
  <w:style w:type="table" w:default="1" w:styleId="5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macro"/>
    <w:link w:val="6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5">
    <w:name w:val="Body Text First Indent"/>
    <w:basedOn w:val="6"/>
    <w:next w:val="1"/>
    <w:link w:val="64"/>
    <w:unhideWhenUsed/>
    <w:qFormat/>
    <w:uiPriority w:val="0"/>
    <w:pPr>
      <w:ind w:firstLine="420" w:firstLineChars="100"/>
    </w:pPr>
  </w:style>
  <w:style w:type="paragraph" w:styleId="6">
    <w:name w:val="Body Text"/>
    <w:basedOn w:val="1"/>
    <w:next w:val="7"/>
    <w:link w:val="63"/>
    <w:qFormat/>
    <w:uiPriority w:val="0"/>
    <w:pPr>
      <w:spacing w:after="120"/>
    </w:pPr>
    <w:rPr>
      <w:rFonts w:ascii="Times New Roman" w:hAnsi="Times New Roman" w:eastAsia="宋体" w:cs="Times New Roman"/>
    </w:rPr>
  </w:style>
  <w:style w:type="paragraph" w:styleId="7">
    <w:name w:val="header"/>
    <w:basedOn w:val="1"/>
    <w:next w:val="8"/>
    <w:link w:val="8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8">
    <w:name w:val="Quote1"/>
    <w:basedOn w:val="1"/>
    <w:next w:val="1"/>
    <w:qFormat/>
    <w:uiPriority w:val="99"/>
    <w:pPr>
      <w:widowControl/>
      <w:wordWrap w:val="0"/>
      <w:spacing w:before="200" w:after="160"/>
      <w:ind w:left="864" w:right="864"/>
      <w:jc w:val="center"/>
    </w:pPr>
    <w:rPr>
      <w:rFonts w:ascii="宋体"/>
      <w:i/>
      <w:color w:val="404040"/>
    </w:rPr>
  </w:style>
  <w:style w:type="paragraph" w:styleId="16">
    <w:name w:val="toc 7"/>
    <w:basedOn w:val="1"/>
    <w:next w:val="1"/>
    <w:qFormat/>
    <w:uiPriority w:val="0"/>
    <w:pPr>
      <w:ind w:left="1260"/>
      <w:jc w:val="left"/>
    </w:pPr>
    <w:rPr>
      <w:rFonts w:ascii="Calibri" w:hAnsi="Calibri"/>
      <w:sz w:val="18"/>
      <w:szCs w:val="18"/>
    </w:rPr>
  </w:style>
  <w:style w:type="paragraph" w:styleId="17">
    <w:name w:val="Note Heading"/>
    <w:basedOn w:val="1"/>
    <w:next w:val="1"/>
    <w:link w:val="72"/>
    <w:qFormat/>
    <w:uiPriority w:val="0"/>
    <w:pPr>
      <w:jc w:val="center"/>
    </w:pPr>
    <w:rPr>
      <w:kern w:val="0"/>
      <w:sz w:val="20"/>
    </w:rPr>
  </w:style>
  <w:style w:type="paragraph" w:styleId="18">
    <w:name w:val="Normal Indent"/>
    <w:basedOn w:val="1"/>
    <w:next w:val="19"/>
    <w:link w:val="73"/>
    <w:qFormat/>
    <w:uiPriority w:val="99"/>
    <w:pPr>
      <w:widowControl/>
      <w:ind w:firstLine="420"/>
      <w:jc w:val="left"/>
    </w:pPr>
    <w:rPr>
      <w:rFonts w:ascii="Times New Roman" w:hAnsi="Times New Roman" w:eastAsia="宋体" w:cs="Times New Roman"/>
      <w:kern w:val="0"/>
      <w:sz w:val="20"/>
      <w:szCs w:val="20"/>
    </w:rPr>
  </w:style>
  <w:style w:type="paragraph" w:styleId="19">
    <w:name w:val="Body Text Indent"/>
    <w:basedOn w:val="1"/>
    <w:next w:val="18"/>
    <w:link w:val="74"/>
    <w:qFormat/>
    <w:uiPriority w:val="0"/>
    <w:pPr>
      <w:spacing w:after="120"/>
      <w:ind w:left="420" w:leftChars="200"/>
    </w:pPr>
    <w:rPr>
      <w:rFonts w:ascii="Times New Roman" w:hAnsi="Times New Roman" w:eastAsia="宋体" w:cs="Times New Roman"/>
    </w:rPr>
  </w:style>
  <w:style w:type="paragraph" w:styleId="20">
    <w:name w:val="caption"/>
    <w:basedOn w:val="1"/>
    <w:next w:val="1"/>
    <w:qFormat/>
    <w:uiPriority w:val="0"/>
    <w:rPr>
      <w:rFonts w:ascii="Arial" w:hAnsi="Arial" w:eastAsia="黑体" w:cs="Arial"/>
      <w:sz w:val="20"/>
      <w:szCs w:val="20"/>
    </w:rPr>
  </w:style>
  <w:style w:type="paragraph" w:styleId="21">
    <w:name w:val="Document Map"/>
    <w:basedOn w:val="1"/>
    <w:link w:val="75"/>
    <w:qFormat/>
    <w:uiPriority w:val="0"/>
    <w:pPr>
      <w:shd w:val="clear" w:color="auto" w:fill="000080"/>
    </w:pPr>
    <w:rPr>
      <w:kern w:val="0"/>
      <w:sz w:val="20"/>
    </w:rPr>
  </w:style>
  <w:style w:type="paragraph" w:styleId="22">
    <w:name w:val="annotation text"/>
    <w:basedOn w:val="1"/>
    <w:link w:val="76"/>
    <w:qFormat/>
    <w:uiPriority w:val="0"/>
    <w:pPr>
      <w:jc w:val="left"/>
    </w:pPr>
    <w:rPr>
      <w:rFonts w:ascii="Times New Roman" w:hAnsi="Times New Roman" w:eastAsia="宋体" w:cs="Times New Roman"/>
    </w:rPr>
  </w:style>
  <w:style w:type="paragraph" w:styleId="23">
    <w:name w:val="Salutation"/>
    <w:basedOn w:val="1"/>
    <w:next w:val="1"/>
    <w:qFormat/>
    <w:uiPriority w:val="0"/>
    <w:pPr>
      <w:tabs>
        <w:tab w:val="left" w:pos="600"/>
      </w:tabs>
    </w:pPr>
    <w:rPr>
      <w:rFonts w:ascii="Times New Roman" w:hAnsi="Times New Roman" w:eastAsia="宋体" w:cs="Times New Roman"/>
      <w:sz w:val="24"/>
    </w:rPr>
  </w:style>
  <w:style w:type="paragraph" w:styleId="24">
    <w:name w:val="Body Text 3"/>
    <w:basedOn w:val="1"/>
    <w:link w:val="77"/>
    <w:qFormat/>
    <w:uiPriority w:val="0"/>
    <w:pPr>
      <w:widowControl/>
      <w:spacing w:after="120"/>
      <w:jc w:val="left"/>
    </w:pPr>
    <w:rPr>
      <w:kern w:val="0"/>
      <w:sz w:val="16"/>
      <w:szCs w:val="16"/>
    </w:rPr>
  </w:style>
  <w:style w:type="paragraph" w:styleId="25">
    <w:name w:val="List Bullet 3"/>
    <w:basedOn w:val="1"/>
    <w:qFormat/>
    <w:uiPriority w:val="0"/>
    <w:pPr>
      <w:tabs>
        <w:tab w:val="left" w:pos="1200"/>
      </w:tabs>
      <w:ind w:left="1200" w:leftChars="400" w:hanging="360" w:hangingChars="200"/>
    </w:pPr>
    <w:rPr>
      <w:rFonts w:ascii="Calibri" w:hAnsi="Calibri"/>
      <w:szCs w:val="22"/>
    </w:rPr>
  </w:style>
  <w:style w:type="paragraph" w:styleId="26">
    <w:name w:val="Block Text"/>
    <w:basedOn w:val="1"/>
    <w:qFormat/>
    <w:uiPriority w:val="0"/>
    <w:pPr>
      <w:ind w:left="113" w:right="113"/>
      <w:jc w:val="center"/>
    </w:pPr>
    <w:rPr>
      <w:rFonts w:ascii="Times New Roman" w:hAnsi="Times New Roman" w:eastAsia="宋体" w:cs="Times New Roman"/>
      <w:sz w:val="18"/>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ind w:left="840"/>
      <w:jc w:val="left"/>
    </w:pPr>
    <w:rPr>
      <w:rFonts w:ascii="Calibri" w:hAnsi="Calibri"/>
      <w:sz w:val="18"/>
      <w:szCs w:val="18"/>
    </w:rPr>
  </w:style>
  <w:style w:type="paragraph" w:styleId="29">
    <w:name w:val="toc 3"/>
    <w:basedOn w:val="1"/>
    <w:next w:val="1"/>
    <w:qFormat/>
    <w:uiPriority w:val="0"/>
    <w:pPr>
      <w:ind w:left="840" w:leftChars="400"/>
    </w:pPr>
    <w:rPr>
      <w:rFonts w:ascii="Times New Roman" w:hAnsi="Times New Roman" w:eastAsia="宋体" w:cs="Times New Roman"/>
    </w:rPr>
  </w:style>
  <w:style w:type="paragraph" w:styleId="30">
    <w:name w:val="Plain Text"/>
    <w:basedOn w:val="1"/>
    <w:next w:val="1"/>
    <w:link w:val="78"/>
    <w:qFormat/>
    <w:uiPriority w:val="0"/>
    <w:rPr>
      <w:rFonts w:ascii="宋体" w:hAnsi="Courier New" w:eastAsia="宋体" w:cs="Courier New"/>
      <w:szCs w:val="21"/>
    </w:rPr>
  </w:style>
  <w:style w:type="paragraph" w:styleId="31">
    <w:name w:val="toc 8"/>
    <w:basedOn w:val="1"/>
    <w:next w:val="1"/>
    <w:qFormat/>
    <w:uiPriority w:val="0"/>
    <w:pPr>
      <w:ind w:left="1470"/>
      <w:jc w:val="left"/>
    </w:pPr>
    <w:rPr>
      <w:rFonts w:ascii="Calibri" w:hAnsi="Calibri"/>
      <w:sz w:val="18"/>
      <w:szCs w:val="18"/>
    </w:rPr>
  </w:style>
  <w:style w:type="paragraph" w:styleId="32">
    <w:name w:val="Date"/>
    <w:basedOn w:val="1"/>
    <w:next w:val="1"/>
    <w:link w:val="79"/>
    <w:qFormat/>
    <w:uiPriority w:val="0"/>
    <w:rPr>
      <w:rFonts w:ascii="黑体" w:hAnsi="Times New Roman" w:eastAsia="黑体" w:cs="Times New Roman"/>
      <w:kern w:val="2"/>
      <w:sz w:val="32"/>
    </w:rPr>
  </w:style>
  <w:style w:type="paragraph" w:styleId="33">
    <w:name w:val="Body Text Indent 2"/>
    <w:basedOn w:val="1"/>
    <w:link w:val="80"/>
    <w:qFormat/>
    <w:uiPriority w:val="0"/>
    <w:pPr>
      <w:spacing w:after="120" w:line="480" w:lineRule="auto"/>
      <w:ind w:leftChars="200"/>
    </w:pPr>
    <w:rPr>
      <w:rFonts w:ascii="Times New Roman" w:hAnsi="Times New Roman" w:eastAsia="宋体" w:cs="Times New Roman"/>
    </w:rPr>
  </w:style>
  <w:style w:type="paragraph" w:styleId="34">
    <w:name w:val="Balloon Text"/>
    <w:basedOn w:val="1"/>
    <w:link w:val="81"/>
    <w:qFormat/>
    <w:uiPriority w:val="99"/>
    <w:rPr>
      <w:rFonts w:ascii="Times New Roman" w:hAnsi="Times New Roman" w:eastAsia="宋体" w:cs="Times New Roman"/>
      <w:sz w:val="18"/>
      <w:szCs w:val="18"/>
    </w:rPr>
  </w:style>
  <w:style w:type="paragraph" w:styleId="35">
    <w:name w:val="footer"/>
    <w:basedOn w:val="1"/>
    <w:link w:val="8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6">
    <w:name w:val="envelope return"/>
    <w:basedOn w:val="1"/>
    <w:qFormat/>
    <w:uiPriority w:val="0"/>
    <w:pPr>
      <w:snapToGrid w:val="0"/>
    </w:pPr>
    <w:rPr>
      <w:rFonts w:ascii="Arial" w:hAnsi="Arial"/>
    </w:rPr>
  </w:style>
  <w:style w:type="paragraph" w:styleId="37">
    <w:name w:val="toc 1"/>
    <w:basedOn w:val="1"/>
    <w:next w:val="1"/>
    <w:qFormat/>
    <w:uiPriority w:val="0"/>
    <w:rPr>
      <w:rFonts w:ascii="Times New Roman" w:hAnsi="Times New Roman" w:eastAsia="宋体" w:cs="Times New Roman"/>
      <w:sz w:val="28"/>
      <w:szCs w:val="20"/>
    </w:rPr>
  </w:style>
  <w:style w:type="paragraph" w:styleId="38">
    <w:name w:val="toc 4"/>
    <w:basedOn w:val="1"/>
    <w:next w:val="1"/>
    <w:qFormat/>
    <w:uiPriority w:val="0"/>
    <w:pPr>
      <w:ind w:left="630"/>
      <w:jc w:val="left"/>
    </w:pPr>
    <w:rPr>
      <w:rFonts w:ascii="Calibri" w:hAnsi="Calibri"/>
      <w:sz w:val="18"/>
      <w:szCs w:val="18"/>
    </w:rPr>
  </w:style>
  <w:style w:type="paragraph" w:styleId="39">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40">
    <w:name w:val="footnote text"/>
    <w:basedOn w:val="1"/>
    <w:link w:val="85"/>
    <w:qFormat/>
    <w:uiPriority w:val="0"/>
    <w:pPr>
      <w:snapToGrid w:val="0"/>
      <w:jc w:val="left"/>
    </w:pPr>
    <w:rPr>
      <w:kern w:val="0"/>
      <w:sz w:val="18"/>
      <w:szCs w:val="18"/>
    </w:rPr>
  </w:style>
  <w:style w:type="paragraph" w:styleId="41">
    <w:name w:val="toc 6"/>
    <w:basedOn w:val="1"/>
    <w:next w:val="1"/>
    <w:unhideWhenUsed/>
    <w:qFormat/>
    <w:uiPriority w:val="0"/>
    <w:pPr>
      <w:ind w:left="1200"/>
    </w:pPr>
    <w:rPr>
      <w:rFonts w:ascii="等线" w:eastAsia="等线"/>
      <w:sz w:val="18"/>
      <w:szCs w:val="18"/>
    </w:rPr>
  </w:style>
  <w:style w:type="paragraph" w:styleId="42">
    <w:name w:val="Body Text Indent 3"/>
    <w:basedOn w:val="1"/>
    <w:link w:val="86"/>
    <w:qFormat/>
    <w:uiPriority w:val="0"/>
    <w:pPr>
      <w:spacing w:after="120"/>
      <w:ind w:leftChars="200"/>
    </w:pPr>
    <w:rPr>
      <w:rFonts w:ascii="Times New Roman" w:hAnsi="Times New Roman" w:eastAsia="宋体" w:cs="Times New Roman"/>
      <w:sz w:val="16"/>
      <w:szCs w:val="16"/>
    </w:rPr>
  </w:style>
  <w:style w:type="paragraph" w:styleId="43">
    <w:name w:val="toc 2"/>
    <w:basedOn w:val="1"/>
    <w:next w:val="1"/>
    <w:qFormat/>
    <w:uiPriority w:val="0"/>
    <w:pPr>
      <w:ind w:left="420" w:leftChars="200"/>
    </w:pPr>
    <w:rPr>
      <w:rFonts w:ascii="Times New Roman" w:hAnsi="Times New Roman" w:eastAsia="宋体" w:cs="Times New Roman"/>
    </w:rPr>
  </w:style>
  <w:style w:type="paragraph" w:styleId="44">
    <w:name w:val="toc 9"/>
    <w:basedOn w:val="1"/>
    <w:next w:val="1"/>
    <w:qFormat/>
    <w:uiPriority w:val="0"/>
    <w:pPr>
      <w:ind w:left="1680"/>
      <w:jc w:val="left"/>
    </w:pPr>
    <w:rPr>
      <w:rFonts w:ascii="Calibri" w:hAnsi="Calibri"/>
      <w:sz w:val="18"/>
      <w:szCs w:val="18"/>
    </w:rPr>
  </w:style>
  <w:style w:type="paragraph" w:styleId="45">
    <w:name w:val="Body Text 2"/>
    <w:basedOn w:val="1"/>
    <w:link w:val="87"/>
    <w:qFormat/>
    <w:uiPriority w:val="0"/>
    <w:pPr>
      <w:spacing w:after="120" w:line="480" w:lineRule="auto"/>
    </w:pPr>
    <w:rPr>
      <w:rFonts w:ascii="Times New Roman" w:hAnsi="Times New Roman" w:eastAsia="宋体" w:cs="Times New Roman"/>
    </w:rPr>
  </w:style>
  <w:style w:type="paragraph" w:styleId="4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0"/>
    </w:rPr>
  </w:style>
  <w:style w:type="paragraph" w:styleId="4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48">
    <w:name w:val="Title"/>
    <w:basedOn w:val="1"/>
    <w:next w:val="1"/>
    <w:link w:val="88"/>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rPr>
  </w:style>
  <w:style w:type="paragraph" w:styleId="49">
    <w:name w:val="annotation subject"/>
    <w:basedOn w:val="22"/>
    <w:next w:val="22"/>
    <w:link w:val="89"/>
    <w:unhideWhenUsed/>
    <w:qFormat/>
    <w:uiPriority w:val="99"/>
    <w:rPr>
      <w:rFonts w:ascii="Calibri" w:hAnsi="Calibri" w:cs="Times New Roman"/>
      <w:b/>
      <w:bCs/>
    </w:rPr>
  </w:style>
  <w:style w:type="paragraph" w:styleId="50">
    <w:name w:val="Body Text First Indent 2"/>
    <w:basedOn w:val="19"/>
    <w:next w:val="1"/>
    <w:link w:val="90"/>
    <w:qFormat/>
    <w:uiPriority w:val="0"/>
    <w:pPr>
      <w:spacing w:after="120" w:line="240" w:lineRule="auto"/>
      <w:ind w:left="420" w:leftChars="200" w:firstLine="420"/>
    </w:pPr>
    <w:rPr>
      <w:rFonts w:cs="宋体"/>
      <w:sz w:val="21"/>
      <w:szCs w:val="21"/>
    </w:rPr>
  </w:style>
  <w:style w:type="table" w:styleId="52">
    <w:name w:val="Table Grid"/>
    <w:basedOn w:val="5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Times New Roman" w:hAnsi="Times New Roman" w:eastAsia="宋体" w:cs="Times New Roman"/>
      <w:b/>
      <w:bCs/>
    </w:rPr>
  </w:style>
  <w:style w:type="character" w:styleId="55">
    <w:name w:val="page number"/>
    <w:qFormat/>
    <w:uiPriority w:val="0"/>
    <w:rPr>
      <w:rFonts w:ascii="Times New Roman" w:hAnsi="Times New Roman" w:eastAsia="宋体" w:cs="Times New Roman"/>
    </w:rPr>
  </w:style>
  <w:style w:type="character" w:styleId="56">
    <w:name w:val="FollowedHyperlink"/>
    <w:qFormat/>
    <w:uiPriority w:val="99"/>
    <w:rPr>
      <w:rFonts w:ascii="Times New Roman" w:hAnsi="Times New Roman" w:eastAsia="宋体" w:cs="Times New Roman"/>
      <w:color w:val="000000"/>
      <w:sz w:val="18"/>
      <w:szCs w:val="18"/>
      <w:u w:val="none"/>
    </w:rPr>
  </w:style>
  <w:style w:type="character" w:styleId="57">
    <w:name w:val="Hyperlink"/>
    <w:qFormat/>
    <w:uiPriority w:val="99"/>
    <w:rPr>
      <w:rFonts w:ascii="Times New Roman" w:hAnsi="Times New Roman" w:eastAsia="宋体" w:cs="Times New Roman"/>
      <w:color w:val="000000"/>
      <w:sz w:val="18"/>
      <w:szCs w:val="18"/>
      <w:u w:val="none"/>
    </w:rPr>
  </w:style>
  <w:style w:type="character" w:styleId="58">
    <w:name w:val="annotation reference"/>
    <w:qFormat/>
    <w:uiPriority w:val="0"/>
    <w:rPr>
      <w:rFonts w:ascii="Times New Roman" w:hAnsi="Times New Roman" w:eastAsia="宋体" w:cs="Times New Roman"/>
      <w:sz w:val="21"/>
      <w:szCs w:val="21"/>
    </w:rPr>
  </w:style>
  <w:style w:type="character" w:styleId="59">
    <w:name w:val="footnote reference"/>
    <w:qFormat/>
    <w:uiPriority w:val="0"/>
    <w:rPr>
      <w:vertAlign w:val="superscript"/>
    </w:rPr>
  </w:style>
  <w:style w:type="character" w:customStyle="1" w:styleId="60">
    <w:name w:val="标题 2 Char"/>
    <w:link w:val="2"/>
    <w:qFormat/>
    <w:uiPriority w:val="9"/>
    <w:rPr>
      <w:rFonts w:ascii="仿宋_GB2312" w:hAnsi="仿宋_GB2312" w:eastAsia="宋体" w:cs="Times New Roman"/>
      <w:b/>
      <w:kern w:val="0"/>
      <w:sz w:val="32"/>
      <w:szCs w:val="20"/>
    </w:rPr>
  </w:style>
  <w:style w:type="character" w:customStyle="1" w:styleId="61">
    <w:name w:val="宏文本 Char"/>
    <w:link w:val="3"/>
    <w:qFormat/>
    <w:uiPriority w:val="0"/>
    <w:rPr>
      <w:rFonts w:ascii="Courier New" w:hAnsi="Courier New" w:cs="Courier New"/>
      <w:sz w:val="24"/>
      <w:szCs w:val="24"/>
    </w:rPr>
  </w:style>
  <w:style w:type="character" w:customStyle="1" w:styleId="62">
    <w:name w:val="标题 1 Char"/>
    <w:link w:val="4"/>
    <w:qFormat/>
    <w:uiPriority w:val="0"/>
    <w:rPr>
      <w:rFonts w:ascii="Times New Roman" w:hAnsi="Times New Roman" w:eastAsia="黑体" w:cs="Times New Roman"/>
      <w:b/>
      <w:bCs/>
      <w:kern w:val="44"/>
      <w:sz w:val="32"/>
      <w:szCs w:val="44"/>
    </w:rPr>
  </w:style>
  <w:style w:type="character" w:customStyle="1" w:styleId="63">
    <w:name w:val="正文文本 Char"/>
    <w:link w:val="6"/>
    <w:qFormat/>
    <w:uiPriority w:val="0"/>
    <w:rPr>
      <w:rFonts w:hint="default" w:ascii="Times New Roman" w:hAnsi="Times New Roman" w:eastAsia="宋体" w:cs="Times New Roman"/>
      <w:szCs w:val="21"/>
    </w:rPr>
  </w:style>
  <w:style w:type="character" w:customStyle="1" w:styleId="64">
    <w:name w:val="正文首行缩进 Char"/>
    <w:link w:val="5"/>
    <w:qFormat/>
    <w:uiPriority w:val="0"/>
    <w:rPr>
      <w:kern w:val="2"/>
      <w:sz w:val="21"/>
      <w:szCs w:val="24"/>
    </w:rPr>
  </w:style>
  <w:style w:type="character" w:customStyle="1" w:styleId="65">
    <w:name w:val="标题 3 Char"/>
    <w:link w:val="9"/>
    <w:qFormat/>
    <w:uiPriority w:val="9"/>
    <w:rPr>
      <w:rFonts w:ascii="黑体" w:hAnsi="宋体" w:cs="宋体"/>
      <w:b/>
      <w:bCs/>
      <w:color w:val="000000"/>
      <w:kern w:val="24"/>
      <w:sz w:val="28"/>
      <w:szCs w:val="32"/>
      <w:lang w:val="en"/>
    </w:rPr>
  </w:style>
  <w:style w:type="character" w:customStyle="1" w:styleId="66">
    <w:name w:val="标题 4 Char"/>
    <w:link w:val="10"/>
    <w:qFormat/>
    <w:uiPriority w:val="0"/>
    <w:rPr>
      <w:rFonts w:ascii="Arial" w:hAnsi="Arial" w:eastAsia="黑体"/>
      <w:b/>
      <w:bCs/>
      <w:color w:val="000000"/>
      <w:kern w:val="24"/>
      <w:sz w:val="28"/>
      <w:szCs w:val="32"/>
      <w:lang w:val="en"/>
    </w:rPr>
  </w:style>
  <w:style w:type="character" w:customStyle="1" w:styleId="67">
    <w:name w:val="标题 5 Char"/>
    <w:link w:val="11"/>
    <w:qFormat/>
    <w:uiPriority w:val="0"/>
    <w:rPr>
      <w:rFonts w:eastAsia="仿宋"/>
      <w:b/>
      <w:bCs/>
      <w:kern w:val="2"/>
      <w:sz w:val="21"/>
      <w:szCs w:val="30"/>
      <w:lang w:val="zh-CN"/>
    </w:rPr>
  </w:style>
  <w:style w:type="character" w:customStyle="1" w:styleId="68">
    <w:name w:val="标题 6 Char"/>
    <w:link w:val="12"/>
    <w:qFormat/>
    <w:uiPriority w:val="9"/>
    <w:rPr>
      <w:rFonts w:eastAsia="仿宋"/>
      <w:b/>
      <w:bCs/>
      <w:kern w:val="2"/>
      <w:sz w:val="21"/>
      <w:szCs w:val="30"/>
      <w:lang w:val="zh-CN"/>
    </w:rPr>
  </w:style>
  <w:style w:type="character" w:customStyle="1" w:styleId="69">
    <w:name w:val="标题 7 Char"/>
    <w:link w:val="13"/>
    <w:qFormat/>
    <w:uiPriority w:val="9"/>
    <w:rPr>
      <w:rFonts w:eastAsia="仿宋"/>
      <w:b/>
      <w:bCs/>
      <w:kern w:val="2"/>
      <w:sz w:val="21"/>
      <w:szCs w:val="30"/>
      <w:lang w:val="zh-CN"/>
    </w:rPr>
  </w:style>
  <w:style w:type="character" w:customStyle="1" w:styleId="70">
    <w:name w:val="标题 8 Char"/>
    <w:link w:val="14"/>
    <w:qFormat/>
    <w:uiPriority w:val="0"/>
    <w:rPr>
      <w:rFonts w:ascii="Times New Roman" w:hAnsi="Times New Roman" w:eastAsia="仿宋" w:cs="Times New Roman"/>
      <w:b/>
      <w:bCs/>
      <w:kern w:val="2"/>
      <w:sz w:val="24"/>
      <w:szCs w:val="28"/>
      <w:lang w:val="zh-CN"/>
    </w:rPr>
  </w:style>
  <w:style w:type="character" w:customStyle="1" w:styleId="71">
    <w:name w:val="标题 9 Char"/>
    <w:link w:val="15"/>
    <w:qFormat/>
    <w:uiPriority w:val="0"/>
    <w:rPr>
      <w:rFonts w:ascii="Times New Roman" w:hAnsi="Times New Roman" w:eastAsia="仿宋" w:cs="Times New Roman"/>
      <w:b/>
      <w:bCs/>
      <w:kern w:val="2"/>
      <w:sz w:val="24"/>
      <w:szCs w:val="28"/>
      <w:lang w:val="zh-CN"/>
    </w:rPr>
  </w:style>
  <w:style w:type="character" w:customStyle="1" w:styleId="72">
    <w:name w:val="注释标题 Char"/>
    <w:link w:val="17"/>
    <w:qFormat/>
    <w:uiPriority w:val="0"/>
    <w:rPr>
      <w:szCs w:val="24"/>
    </w:rPr>
  </w:style>
  <w:style w:type="character" w:customStyle="1" w:styleId="73">
    <w:name w:val="正文缩进 Char"/>
    <w:link w:val="18"/>
    <w:qFormat/>
    <w:uiPriority w:val="0"/>
    <w:rPr>
      <w:rFonts w:ascii="Times New Roman" w:hAnsi="Times New Roman" w:eastAsia="宋体" w:cs="Times New Roman"/>
      <w:lang w:val="en-US" w:eastAsia="zh-CN" w:bidi="ar-SA"/>
    </w:rPr>
  </w:style>
  <w:style w:type="character" w:customStyle="1" w:styleId="74">
    <w:name w:val="正文文本缩进 Char"/>
    <w:link w:val="19"/>
    <w:qFormat/>
    <w:uiPriority w:val="0"/>
    <w:rPr>
      <w:kern w:val="2"/>
      <w:sz w:val="21"/>
      <w:szCs w:val="24"/>
    </w:rPr>
  </w:style>
  <w:style w:type="character" w:customStyle="1" w:styleId="75">
    <w:name w:val="文档结构图 Char"/>
    <w:link w:val="21"/>
    <w:qFormat/>
    <w:uiPriority w:val="0"/>
    <w:rPr>
      <w:szCs w:val="24"/>
      <w:shd w:val="clear" w:color="auto" w:fill="000080"/>
    </w:rPr>
  </w:style>
  <w:style w:type="character" w:customStyle="1" w:styleId="76">
    <w:name w:val="批注文字 Char2"/>
    <w:link w:val="22"/>
    <w:qFormat/>
    <w:uiPriority w:val="0"/>
    <w:rPr>
      <w:rFonts w:ascii="Times New Roman" w:hAnsi="Times New Roman" w:eastAsia="宋体" w:cs="Times New Roman"/>
      <w:kern w:val="2"/>
      <w:sz w:val="21"/>
      <w:szCs w:val="24"/>
    </w:rPr>
  </w:style>
  <w:style w:type="character" w:customStyle="1" w:styleId="77">
    <w:name w:val="正文文本 3 Char"/>
    <w:link w:val="24"/>
    <w:qFormat/>
    <w:uiPriority w:val="0"/>
    <w:rPr>
      <w:sz w:val="16"/>
      <w:szCs w:val="16"/>
    </w:rPr>
  </w:style>
  <w:style w:type="character" w:customStyle="1" w:styleId="78">
    <w:name w:val="纯文本 Char"/>
    <w:link w:val="30"/>
    <w:qFormat/>
    <w:uiPriority w:val="0"/>
    <w:rPr>
      <w:rFonts w:ascii="宋体" w:hAnsi="Courier New" w:cs="Courier New"/>
      <w:kern w:val="2"/>
      <w:sz w:val="21"/>
      <w:szCs w:val="21"/>
    </w:rPr>
  </w:style>
  <w:style w:type="character" w:customStyle="1" w:styleId="79">
    <w:name w:val="日期 Char"/>
    <w:link w:val="32"/>
    <w:qFormat/>
    <w:uiPriority w:val="0"/>
    <w:rPr>
      <w:rFonts w:ascii="黑体" w:eastAsia="黑体"/>
      <w:kern w:val="2"/>
      <w:sz w:val="32"/>
      <w:szCs w:val="24"/>
    </w:rPr>
  </w:style>
  <w:style w:type="character" w:customStyle="1" w:styleId="80">
    <w:name w:val="正文文本缩进 2 Char"/>
    <w:link w:val="33"/>
    <w:qFormat/>
    <w:uiPriority w:val="0"/>
    <w:rPr>
      <w:kern w:val="2"/>
      <w:sz w:val="21"/>
      <w:szCs w:val="24"/>
    </w:rPr>
  </w:style>
  <w:style w:type="character" w:customStyle="1" w:styleId="81">
    <w:name w:val="批注框文本 Char"/>
    <w:link w:val="34"/>
    <w:qFormat/>
    <w:uiPriority w:val="99"/>
    <w:rPr>
      <w:kern w:val="2"/>
      <w:sz w:val="18"/>
      <w:szCs w:val="18"/>
    </w:rPr>
  </w:style>
  <w:style w:type="character" w:customStyle="1" w:styleId="82">
    <w:name w:val="页脚 Char"/>
    <w:link w:val="35"/>
    <w:qFormat/>
    <w:uiPriority w:val="99"/>
    <w:rPr>
      <w:rFonts w:ascii="Times New Roman" w:hAnsi="Times New Roman" w:eastAsia="宋体" w:cs="Times New Roman"/>
      <w:kern w:val="2"/>
      <w:sz w:val="18"/>
      <w:szCs w:val="18"/>
      <w:lang w:val="en-US" w:eastAsia="zh-CN" w:bidi="ar-SA"/>
    </w:rPr>
  </w:style>
  <w:style w:type="character" w:customStyle="1" w:styleId="83">
    <w:name w:val="页眉 Char"/>
    <w:link w:val="7"/>
    <w:qFormat/>
    <w:uiPriority w:val="99"/>
    <w:rPr>
      <w:rFonts w:ascii="Times New Roman" w:hAnsi="Times New Roman" w:eastAsia="宋体" w:cs="Times New Roman"/>
      <w:kern w:val="2"/>
      <w:sz w:val="18"/>
      <w:szCs w:val="18"/>
      <w:lang w:val="en-US" w:eastAsia="zh-CN" w:bidi="ar-SA"/>
    </w:rPr>
  </w:style>
  <w:style w:type="character" w:customStyle="1" w:styleId="84">
    <w:name w:val="副标题 Char"/>
    <w:link w:val="39"/>
    <w:qFormat/>
    <w:uiPriority w:val="0"/>
    <w:rPr>
      <w:rFonts w:ascii="Cambria" w:hAnsi="Cambria" w:eastAsia="宋体" w:cs="Times New Roman"/>
      <w:b/>
      <w:bCs/>
      <w:kern w:val="28"/>
      <w:sz w:val="32"/>
      <w:szCs w:val="32"/>
    </w:rPr>
  </w:style>
  <w:style w:type="character" w:customStyle="1" w:styleId="85">
    <w:name w:val="脚注文本 Char"/>
    <w:link w:val="40"/>
    <w:qFormat/>
    <w:uiPriority w:val="0"/>
    <w:rPr>
      <w:sz w:val="18"/>
      <w:szCs w:val="18"/>
    </w:rPr>
  </w:style>
  <w:style w:type="character" w:customStyle="1" w:styleId="86">
    <w:name w:val="正文文本缩进 3 Char"/>
    <w:link w:val="42"/>
    <w:qFormat/>
    <w:uiPriority w:val="0"/>
    <w:rPr>
      <w:kern w:val="2"/>
      <w:sz w:val="16"/>
      <w:szCs w:val="16"/>
    </w:rPr>
  </w:style>
  <w:style w:type="character" w:customStyle="1" w:styleId="87">
    <w:name w:val="正文文本 2 Char"/>
    <w:link w:val="45"/>
    <w:qFormat/>
    <w:uiPriority w:val="0"/>
    <w:rPr>
      <w:kern w:val="2"/>
      <w:sz w:val="21"/>
      <w:szCs w:val="24"/>
    </w:rPr>
  </w:style>
  <w:style w:type="character" w:customStyle="1" w:styleId="88">
    <w:name w:val="标题 Char"/>
    <w:link w:val="48"/>
    <w:qFormat/>
    <w:uiPriority w:val="0"/>
    <w:rPr>
      <w:b/>
      <w:sz w:val="24"/>
    </w:rPr>
  </w:style>
  <w:style w:type="character" w:customStyle="1" w:styleId="89">
    <w:name w:val="批注主题 Char"/>
    <w:link w:val="49"/>
    <w:qFormat/>
    <w:uiPriority w:val="99"/>
    <w:rPr>
      <w:rFonts w:ascii="Calibri" w:hAnsi="Calibri" w:eastAsia="宋体" w:cs="Times New Roman"/>
      <w:b/>
      <w:bCs/>
      <w:kern w:val="2"/>
      <w:sz w:val="21"/>
      <w:szCs w:val="24"/>
    </w:rPr>
  </w:style>
  <w:style w:type="character" w:customStyle="1" w:styleId="90">
    <w:name w:val="正文首行缩进 2 Char"/>
    <w:link w:val="50"/>
    <w:qFormat/>
    <w:uiPriority w:val="0"/>
    <w:rPr>
      <w:rFonts w:cs="宋体"/>
      <w:kern w:val="2"/>
      <w:sz w:val="21"/>
      <w:szCs w:val="21"/>
    </w:rPr>
  </w:style>
  <w:style w:type="paragraph" w:customStyle="1" w:styleId="9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92">
    <w:name w:val="current"/>
    <w:qFormat/>
    <w:uiPriority w:val="0"/>
    <w:rPr>
      <w:rFonts w:ascii="Times New Roman" w:hAnsi="Times New Roman" w:eastAsia="宋体" w:cs="Times New Roman"/>
      <w:b/>
      <w:color w:val="FFFFFF"/>
      <w:bdr w:val="single" w:color="0862B8" w:sz="6" w:space="0"/>
      <w:shd w:val="clear" w:color="auto" w:fill="0862B8"/>
    </w:rPr>
  </w:style>
  <w:style w:type="character" w:customStyle="1" w:styleId="93">
    <w:name w:val="b titlename wangputoptitle"/>
    <w:qFormat/>
    <w:uiPriority w:val="0"/>
    <w:rPr>
      <w:rFonts w:hint="default" w:ascii="Tahoma" w:hAnsi="Tahoma" w:eastAsia="宋体" w:cs="Tahoma"/>
      <w:sz w:val="24"/>
      <w:szCs w:val="20"/>
    </w:rPr>
  </w:style>
  <w:style w:type="character" w:customStyle="1" w:styleId="94">
    <w:name w:val="apple-converted-space"/>
    <w:qFormat/>
    <w:uiPriority w:val="0"/>
    <w:rPr>
      <w:rFonts w:ascii="Times New Roman" w:hAnsi="Times New Roman" w:eastAsia="宋体" w:cs="Times New Roman"/>
      <w:sz w:val="24"/>
      <w:lang w:val="en-US"/>
    </w:rPr>
  </w:style>
  <w:style w:type="character" w:customStyle="1" w:styleId="95">
    <w:name w:val="large1"/>
    <w:qFormat/>
    <w:uiPriority w:val="0"/>
    <w:rPr>
      <w:rFonts w:hint="eastAsia" w:ascii="宋体" w:hAnsi="宋体" w:eastAsia="宋体" w:cs="Times New Roman"/>
      <w:sz w:val="21"/>
      <w:szCs w:val="21"/>
    </w:rPr>
  </w:style>
  <w:style w:type="character" w:customStyle="1" w:styleId="96">
    <w:name w:val="ca-4"/>
    <w:qFormat/>
    <w:uiPriority w:val="0"/>
    <w:rPr>
      <w:rFonts w:ascii="Times New Roman" w:hAnsi="Times New Roman" w:eastAsia="宋体" w:cs="Times New Roman"/>
    </w:rPr>
  </w:style>
  <w:style w:type="character" w:customStyle="1" w:styleId="97">
    <w:name w:val="bsharetext"/>
    <w:qFormat/>
    <w:uiPriority w:val="0"/>
    <w:rPr>
      <w:rFonts w:ascii="Times New Roman" w:hAnsi="Times New Roman" w:eastAsia="宋体" w:cs="Times New Roman"/>
    </w:rPr>
  </w:style>
  <w:style w:type="character" w:customStyle="1" w:styleId="98">
    <w:name w:val="Subtle Emphasis"/>
    <w:qFormat/>
    <w:uiPriority w:val="0"/>
    <w:rPr>
      <w:rFonts w:hint="default" w:ascii="Times New Roman" w:hAnsi="Times New Roman" w:eastAsia="宋体" w:cs="Times New Roman"/>
      <w:i/>
      <w:iCs/>
      <w:color w:val="808080"/>
    </w:rPr>
  </w:style>
  <w:style w:type="character" w:customStyle="1" w:styleId="99">
    <w:name w:val="disabled"/>
    <w:qFormat/>
    <w:uiPriority w:val="0"/>
    <w:rPr>
      <w:rFonts w:ascii="Times New Roman" w:hAnsi="Times New Roman" w:eastAsia="宋体" w:cs="Times New Roman"/>
      <w:color w:val="BABABA"/>
      <w:bdr w:val="single" w:color="BABABA" w:sz="6" w:space="0"/>
    </w:rPr>
  </w:style>
  <w:style w:type="paragraph" w:customStyle="1" w:styleId="100">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styleId="101">
    <w:name w:val="List Paragraph"/>
    <w:basedOn w:val="1"/>
    <w:qFormat/>
    <w:uiPriority w:val="34"/>
    <w:pPr>
      <w:ind w:firstLine="420" w:firstLineChars="200"/>
    </w:pPr>
    <w:rPr>
      <w:rFonts w:ascii="Calibri" w:hAnsi="Calibri" w:eastAsia="宋体" w:cs="Times New Roman"/>
      <w:szCs w:val="22"/>
    </w:rPr>
  </w:style>
  <w:style w:type="paragraph" w:customStyle="1" w:styleId="102">
    <w:name w:val="Agilent Address Detail"/>
    <w:basedOn w:val="1"/>
    <w:qFormat/>
    <w:uiPriority w:val="0"/>
    <w:pPr>
      <w:spacing w:line="200" w:lineRule="exact"/>
      <w:ind w:right="-90"/>
    </w:pPr>
    <w:rPr>
      <w:rFonts w:ascii="Agilent TT CondLight" w:hAnsi="Agilent TT CondLight" w:eastAsia="Times New Roman" w:cs="Times New Roman"/>
      <w:sz w:val="16"/>
      <w:szCs w:val="20"/>
    </w:rPr>
  </w:style>
  <w:style w:type="paragraph" w:styleId="103">
    <w:name w:val="No Spacing"/>
    <w:link w:val="10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无间隔 Char"/>
    <w:link w:val="103"/>
    <w:qFormat/>
    <w:uiPriority w:val="0"/>
    <w:rPr>
      <w:kern w:val="2"/>
      <w:sz w:val="21"/>
      <w:szCs w:val="22"/>
    </w:rPr>
  </w:style>
  <w:style w:type="paragraph" w:customStyle="1" w:styleId="105">
    <w:name w:val="Char"/>
    <w:basedOn w:val="1"/>
    <w:qFormat/>
    <w:uiPriority w:val="0"/>
    <w:rPr>
      <w:rFonts w:ascii="仿宋_GB2312" w:hAnsi="Times New Roman" w:eastAsia="仿宋_GB2312" w:cs="Times New Roman"/>
      <w:b/>
      <w:sz w:val="32"/>
      <w:szCs w:val="32"/>
    </w:rPr>
  </w:style>
  <w:style w:type="paragraph" w:customStyle="1" w:styleId="106">
    <w:name w:val=" Char Char Char Char Char Char"/>
    <w:basedOn w:val="1"/>
    <w:qFormat/>
    <w:uiPriority w:val="0"/>
    <w:rPr>
      <w:rFonts w:ascii="Times New Roman" w:hAnsi="Times New Roman" w:eastAsia="宋体" w:cs="Times New Roman"/>
    </w:rPr>
  </w:style>
  <w:style w:type="paragraph" w:customStyle="1" w:styleId="107">
    <w:name w:val="BH-03"/>
    <w:basedOn w:val="1"/>
    <w:next w:val="1"/>
    <w:qFormat/>
    <w:uiPriority w:val="0"/>
    <w:pPr>
      <w:spacing w:line="360" w:lineRule="auto"/>
      <w:outlineLvl w:val="2"/>
    </w:pPr>
    <w:rPr>
      <w:rFonts w:ascii="Arial" w:hAnsi="Arial" w:eastAsia="宋体" w:cs="Times New Roman"/>
      <w:b/>
      <w:szCs w:val="21"/>
      <w14:shadow w14:blurRad="50800" w14:dist="38100" w14:dir="2700000" w14:sx="100000" w14:sy="100000" w14:kx="0" w14:ky="0" w14:algn="tl">
        <w14:srgbClr w14:val="000000">
          <w14:alpha w14:val="60000"/>
        </w14:srgbClr>
      </w14:shadow>
    </w:rPr>
  </w:style>
  <w:style w:type="paragraph" w:customStyle="1" w:styleId="108">
    <w:name w:val="head 1.1.1"/>
    <w:basedOn w:val="109"/>
    <w:qFormat/>
    <w:uiPriority w:val="0"/>
    <w:pPr>
      <w:ind w:left="720" w:firstLine="0" w:firstLineChars="0"/>
    </w:pPr>
    <w:rPr>
      <w:rFonts w:ascii="Times New Roman" w:hAnsi="Times New Roman" w:eastAsia="宋体" w:cs="Times New Roman"/>
      <w:bCs/>
      <w:szCs w:val="24"/>
    </w:rPr>
  </w:style>
  <w:style w:type="paragraph" w:customStyle="1" w:styleId="109">
    <w:name w:val="List Paragraph11"/>
    <w:basedOn w:val="1"/>
    <w:qFormat/>
    <w:uiPriority w:val="0"/>
    <w:pPr>
      <w:ind w:firstLine="420" w:firstLineChars="200"/>
    </w:pPr>
    <w:rPr>
      <w:rFonts w:ascii="Times New Roman" w:hAnsi="Times New Roman" w:eastAsia="宋体" w:cs="Times New Roman"/>
    </w:rPr>
  </w:style>
  <w:style w:type="paragraph" w:customStyle="1" w:styleId="110">
    <w:name w:val="普通(Web)1"/>
    <w:basedOn w:val="1"/>
    <w:next w:val="47"/>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customStyle="1" w:styleId="111">
    <w:name w:val="paragraphinden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2">
    <w:name w:val="表格"/>
    <w:basedOn w:val="1"/>
    <w:qFormat/>
    <w:uiPriority w:val="0"/>
    <w:pPr>
      <w:widowControl w:val="0"/>
      <w:adjustRightInd w:val="0"/>
      <w:snapToGrid w:val="0"/>
      <w:spacing w:line="240" w:lineRule="auto"/>
      <w:ind w:firstLine="0" w:firstLineChars="0"/>
      <w:jc w:val="center"/>
    </w:pPr>
    <w:rPr>
      <w:rFonts w:cs="Calibri"/>
      <w:sz w:val="21"/>
      <w:szCs w:val="20"/>
    </w:rPr>
  </w:style>
  <w:style w:type="paragraph" w:customStyle="1" w:styleId="113">
    <w:name w:val="Char Char Char Char Char Char Char Char Char Char Char Char Char Char Char Char"/>
    <w:basedOn w:val="1"/>
    <w:qFormat/>
    <w:uiPriority w:val="0"/>
    <w:pPr>
      <w:tabs>
        <w:tab w:val="left" w:pos="360"/>
      </w:tabs>
    </w:pPr>
    <w:rPr>
      <w:rFonts w:ascii="Times New Roman" w:hAnsi="Times New Roman" w:eastAsia="宋体" w:cs="Times New Roman"/>
    </w:rPr>
  </w:style>
  <w:style w:type="paragraph" w:customStyle="1" w:styleId="114">
    <w:name w:val="head 1.1"/>
    <w:basedOn w:val="109"/>
    <w:qFormat/>
    <w:uiPriority w:val="0"/>
    <w:pPr>
      <w:spacing w:before="260" w:after="260"/>
      <w:ind w:left="644" w:firstLine="0" w:firstLineChars="0"/>
    </w:pPr>
    <w:rPr>
      <w:rFonts w:ascii="宋体" w:hAnsi="宋体" w:eastAsia="宋体" w:cs="Times New Roman"/>
      <w:bCs/>
      <w:szCs w:val="24"/>
    </w:rPr>
  </w:style>
  <w:style w:type="paragraph" w:customStyle="1" w:styleId="115">
    <w:name w:val="Default"/>
    <w:qFormat/>
    <w:uiPriority w:val="0"/>
    <w:pPr>
      <w:widowControl w:val="0"/>
      <w:autoSpaceDE w:val="0"/>
      <w:autoSpaceDN w:val="0"/>
      <w:adjustRightInd w:val="0"/>
    </w:pPr>
    <w:rPr>
      <w:rFonts w:ascii="Cambria" w:hAnsi="Cambria" w:eastAsia="宋体" w:cs="Cambria"/>
      <w:color w:val="000000"/>
      <w:sz w:val="24"/>
      <w:szCs w:val="24"/>
      <w:lang w:val="en-US" w:eastAsia="zh-CN" w:bidi="ar-SA"/>
    </w:rPr>
  </w:style>
  <w:style w:type="paragraph" w:customStyle="1" w:styleId="116">
    <w:name w:val="p0"/>
    <w:basedOn w:val="1"/>
    <w:qFormat/>
    <w:uiPriority w:val="0"/>
    <w:pPr>
      <w:widowControl/>
    </w:pPr>
    <w:rPr>
      <w:rFonts w:ascii="Times New Roman" w:hAnsi="Times New Roman" w:eastAsia="宋体" w:cs="Times New Roman"/>
      <w:kern w:val="0"/>
      <w:szCs w:val="21"/>
    </w:rPr>
  </w:style>
  <w:style w:type="paragraph" w:customStyle="1" w:styleId="117">
    <w:name w:val="Char Char Char Char Char Char Char Char Char Char"/>
    <w:basedOn w:val="1"/>
    <w:qFormat/>
    <w:uiPriority w:val="0"/>
    <w:rPr>
      <w:rFonts w:ascii="Tahoma" w:hAnsi="Tahoma" w:eastAsia="宋体" w:cs="Times New Roman"/>
      <w:sz w:val="24"/>
      <w:szCs w:val="20"/>
    </w:rPr>
  </w:style>
  <w:style w:type="paragraph" w:customStyle="1" w:styleId="118">
    <w:name w:val="消息标题标签"/>
    <w:basedOn w:val="46"/>
    <w:next w:val="46"/>
    <w:qFormat/>
    <w:uiPriority w:val="0"/>
    <w:pPr>
      <w:pBdr>
        <w:top w:val="none" w:color="auto" w:sz="0" w:space="0"/>
        <w:left w:val="none" w:color="auto" w:sz="0" w:space="0"/>
        <w:bottom w:val="none" w:color="auto" w:sz="0" w:space="0"/>
        <w:right w:val="none" w:color="auto" w:sz="0" w:space="0"/>
      </w:pBdr>
      <w:shd w:val="clear" w:color="auto" w:fill="auto"/>
      <w:ind w:left="0" w:leftChars="0" w:firstLine="0" w:firstLineChars="0"/>
    </w:pPr>
    <w:rPr>
      <w:rFonts w:ascii="Calibri" w:hAnsi="Times New Roman" w:eastAsia="仿宋_GB2312" w:cs="Times New Roman"/>
      <w:b/>
      <w:bCs/>
      <w:color w:val="000000"/>
    </w:rPr>
  </w:style>
  <w:style w:type="paragraph" w:customStyle="1" w:styleId="119">
    <w:name w:val="正文文字 Char"/>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120">
    <w:name w:val="正文表格内容（居中）"/>
    <w:basedOn w:val="1"/>
    <w:qFormat/>
    <w:uiPriority w:val="0"/>
    <w:pPr>
      <w:widowControl/>
      <w:jc w:val="center"/>
    </w:pPr>
    <w:rPr>
      <w:rFonts w:ascii="Arial" w:hAnsi="Arial" w:eastAsia="宋体" w:cs="Arial"/>
      <w:kern w:val="0"/>
      <w:szCs w:val="18"/>
    </w:rPr>
  </w:style>
  <w:style w:type="paragraph" w:customStyle="1" w:styleId="121">
    <w:name w:val="BH-02"/>
    <w:basedOn w:val="1"/>
    <w:next w:val="1"/>
    <w:qFormat/>
    <w:uiPriority w:val="0"/>
    <w:pPr>
      <w:spacing w:line="360" w:lineRule="auto"/>
      <w:outlineLvl w:val="1"/>
    </w:pPr>
    <w:rPr>
      <w:rFonts w:ascii="Arial" w:hAnsi="Arial" w:eastAsia="宋体" w:cs="Times New Roman"/>
      <w:b/>
      <w:sz w:val="24"/>
      <w14:shadow w14:blurRad="50800" w14:dist="38100" w14:dir="2700000" w14:sx="100000" w14:sy="100000" w14:kx="0" w14:ky="0" w14:algn="tl">
        <w14:srgbClr w14:val="000000">
          <w14:alpha w14:val="60000"/>
        </w14:srgbClr>
      </w14:shadow>
    </w:rPr>
  </w:style>
  <w:style w:type="paragraph" w:customStyle="1" w:styleId="1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3">
    <w:name w:val=" Char Char Char Char Char Char Char Char Char Char Char Char Char Char Char Char"/>
    <w:basedOn w:val="1"/>
    <w:qFormat/>
    <w:uiPriority w:val="0"/>
    <w:pPr>
      <w:tabs>
        <w:tab w:val="left" w:pos="360"/>
      </w:tabs>
    </w:pPr>
    <w:rPr>
      <w:rFonts w:ascii="Times New Roman" w:hAnsi="Times New Roman" w:eastAsia="宋体" w:cs="Times New Roman"/>
      <w:szCs w:val="20"/>
    </w:rPr>
  </w:style>
  <w:style w:type="paragraph" w:customStyle="1" w:styleId="124">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125">
    <w:name w:val="p17"/>
    <w:basedOn w:val="1"/>
    <w:qFormat/>
    <w:uiPriority w:val="0"/>
    <w:pPr>
      <w:ind w:firstLine="420"/>
    </w:pPr>
    <w:rPr>
      <w:rFonts w:ascii="Times New Roman" w:hAnsi="Times New Roman" w:eastAsia="宋体" w:cs="Times New Roman"/>
      <w:b/>
      <w:bCs/>
      <w:sz w:val="28"/>
      <w:szCs w:val="28"/>
    </w:rPr>
  </w:style>
  <w:style w:type="paragraph" w:customStyle="1" w:styleId="126">
    <w:name w:val="正文1"/>
    <w:basedOn w:val="1"/>
    <w:qFormat/>
    <w:uiPriority w:val="0"/>
    <w:pPr>
      <w:spacing w:beforeLines="50" w:afterLines="50" w:line="360" w:lineRule="auto"/>
      <w:ind w:left="480"/>
    </w:pPr>
    <w:rPr>
      <w:rFonts w:ascii="Times New Roman" w:hAnsi="Times New Roman" w:eastAsia="宋体" w:cs="Times New Roman"/>
      <w:sz w:val="24"/>
    </w:rPr>
  </w:style>
  <w:style w:type="paragraph" w:customStyle="1" w:styleId="1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28">
    <w:name w:val=" Char2"/>
    <w:basedOn w:val="1"/>
    <w:qFormat/>
    <w:uiPriority w:val="0"/>
    <w:rPr>
      <w:rFonts w:ascii="仿宋_GB2312" w:hAnsi="Times New Roman" w:eastAsia="仿宋_GB2312" w:cs="Times New Roman"/>
      <w:b/>
      <w:sz w:val="32"/>
      <w:szCs w:val="32"/>
    </w:rPr>
  </w:style>
  <w:style w:type="paragraph" w:customStyle="1" w:styleId="129">
    <w:name w:val="Char1"/>
    <w:basedOn w:val="1"/>
    <w:qFormat/>
    <w:uiPriority w:val="0"/>
    <w:rPr>
      <w:rFonts w:ascii="仿宋_GB2312" w:hAnsi="Times New Roman" w:eastAsia="仿宋_GB2312" w:cs="Times New Roman"/>
      <w:b/>
      <w:sz w:val="32"/>
      <w:szCs w:val="32"/>
    </w:rPr>
  </w:style>
  <w:style w:type="paragraph" w:customStyle="1" w:styleId="130">
    <w:name w:val="List Paragraph1"/>
    <w:basedOn w:val="1"/>
    <w:qFormat/>
    <w:uiPriority w:val="0"/>
    <w:pPr>
      <w:ind w:firstLine="420" w:firstLineChars="200"/>
    </w:pPr>
    <w:rPr>
      <w:rFonts w:ascii="Times New Roman" w:hAnsi="Times New Roman" w:eastAsia="宋体" w:cs="Times New Roman"/>
    </w:rPr>
  </w:style>
  <w:style w:type="paragraph" w:customStyle="1" w:styleId="131">
    <w:name w:val="无间隔1"/>
    <w:qFormat/>
    <w:uiPriority w:val="0"/>
    <w:rPr>
      <w:rFonts w:ascii="Times New Roman" w:hAnsi="Times New Roman" w:eastAsia="宋体" w:cs="Times New Roman"/>
      <w:sz w:val="22"/>
      <w:szCs w:val="22"/>
      <w:lang w:val="en-US" w:eastAsia="en-US" w:bidi="ar-SA"/>
    </w:rPr>
  </w:style>
  <w:style w:type="paragraph" w:customStyle="1" w:styleId="132">
    <w:name w:val="缺省文本"/>
    <w:basedOn w:val="1"/>
    <w:qFormat/>
    <w:uiPriority w:val="0"/>
    <w:pPr>
      <w:autoSpaceDE w:val="0"/>
      <w:autoSpaceDN w:val="0"/>
      <w:spacing w:line="240" w:lineRule="auto"/>
      <w:jc w:val="left"/>
      <w:textAlignment w:val="auto"/>
    </w:pPr>
    <w:rPr>
      <w:rFonts w:ascii="Times New Roman" w:hAnsi="Times New Roman" w:eastAsia="宋体" w:cs="Times New Roman"/>
      <w:sz w:val="24"/>
    </w:rPr>
  </w:style>
  <w:style w:type="paragraph" w:customStyle="1" w:styleId="133">
    <w:name w:val=" 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34">
    <w:name w:val="列出段落1"/>
    <w:basedOn w:val="1"/>
    <w:qFormat/>
    <w:uiPriority w:val="72"/>
    <w:pPr>
      <w:ind w:firstLine="420" w:firstLineChars="200"/>
    </w:pPr>
    <w:rPr>
      <w:rFonts w:ascii="Calibri" w:hAnsi="Calibri" w:eastAsia="宋体" w:cs="Times New Roman"/>
      <w:szCs w:val="22"/>
    </w:rPr>
  </w:style>
  <w:style w:type="paragraph" w:customStyle="1" w:styleId="135">
    <w:name w:val="msolistparagraph"/>
    <w:basedOn w:val="1"/>
    <w:qFormat/>
    <w:uiPriority w:val="0"/>
    <w:pPr>
      <w:ind w:firstLine="420" w:firstLineChars="200"/>
    </w:pPr>
    <w:rPr>
      <w:rFonts w:ascii="Calibri" w:hAnsi="Calibri" w:eastAsia="宋体" w:cs="Times New Roman"/>
      <w:szCs w:val="22"/>
    </w:rPr>
  </w:style>
  <w:style w:type="paragraph" w:customStyle="1" w:styleId="136">
    <w:name w:val="Char Char Char Char Char Char"/>
    <w:basedOn w:val="1"/>
    <w:qFormat/>
    <w:uiPriority w:val="0"/>
    <w:rPr>
      <w:rFonts w:ascii="Tahoma" w:hAnsi="Tahoma" w:eastAsia="宋体" w:cs="Times New Roman"/>
      <w:sz w:val="24"/>
      <w:szCs w:val="20"/>
    </w:rPr>
  </w:style>
  <w:style w:type="paragraph" w:customStyle="1" w:styleId="137">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138">
    <w:name w:val="Proposals body"/>
    <w:basedOn w:val="1"/>
    <w:next w:val="1"/>
    <w:qFormat/>
    <w:uiPriority w:val="0"/>
    <w:pPr>
      <w:widowControl/>
      <w:spacing w:line="440" w:lineRule="exact"/>
      <w:jc w:val="center"/>
    </w:pPr>
    <w:rPr>
      <w:rFonts w:ascii="宋体" w:hAnsi="Times New Roman" w:eastAsia="宋体" w:cs="Times New Roman"/>
      <w:snapToGrid w:val="0"/>
      <w:color w:val="000000"/>
      <w:kern w:val="0"/>
      <w:sz w:val="24"/>
      <w:szCs w:val="20"/>
    </w:rPr>
  </w:style>
  <w:style w:type="table" w:customStyle="1" w:styleId="139">
    <w:name w:val="网格型1"/>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4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41">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142">
    <w:name w:val="批注文字 Char"/>
    <w:qFormat/>
    <w:uiPriority w:val="0"/>
    <w:rPr>
      <w:rFonts w:ascii="Calibri" w:hAnsi="Calibri" w:eastAsia="宋体" w:cs="Times New Roman"/>
      <w:sz w:val="24"/>
      <w:szCs w:val="20"/>
    </w:rPr>
  </w:style>
  <w:style w:type="character" w:customStyle="1" w:styleId="143">
    <w:name w:val="正文缩进 Char1"/>
    <w:qFormat/>
    <w:uiPriority w:val="0"/>
    <w:rPr>
      <w:rFonts w:ascii="Times New Roman" w:hAnsi="Times New Roman" w:eastAsia="宋体" w:cs="Times New Roman"/>
      <w:szCs w:val="24"/>
    </w:rPr>
  </w:style>
  <w:style w:type="character" w:customStyle="1" w:styleId="144">
    <w:name w:val="正文首行缩进 2 Char1"/>
    <w:semiHidden/>
    <w:qFormat/>
    <w:uiPriority w:val="99"/>
  </w:style>
  <w:style w:type="paragraph" w:customStyle="1" w:styleId="145">
    <w:name w:val="KY_标题一"/>
    <w:basedOn w:val="4"/>
    <w:qFormat/>
    <w:uiPriority w:val="0"/>
    <w:pPr>
      <w:numPr>
        <w:ilvl w:val="0"/>
        <w:numId w:val="2"/>
      </w:numPr>
      <w:tabs>
        <w:tab w:val="left" w:pos="360"/>
      </w:tabs>
      <w:spacing w:beforeLines="100" w:afterLines="100" w:line="360" w:lineRule="auto"/>
      <w:ind w:left="0" w:firstLine="0"/>
    </w:pPr>
    <w:rPr>
      <w:rFonts w:eastAsia="宋体"/>
      <w:sz w:val="44"/>
      <w:lang w:val="zh-CN"/>
    </w:rPr>
  </w:style>
  <w:style w:type="paragraph" w:customStyle="1" w:styleId="146">
    <w:name w:val="KY_标题二"/>
    <w:basedOn w:val="2"/>
    <w:link w:val="147"/>
    <w:qFormat/>
    <w:uiPriority w:val="0"/>
    <w:pPr>
      <w:numPr>
        <w:ilvl w:val="1"/>
        <w:numId w:val="2"/>
      </w:numPr>
      <w:tabs>
        <w:tab w:val="left" w:pos="567"/>
      </w:tabs>
      <w:adjustRightInd/>
      <w:snapToGrid/>
      <w:spacing w:before="0" w:beforeLines="100" w:after="0" w:afterLines="100"/>
      <w:contextualSpacing/>
      <w:jc w:val="both"/>
      <w:textAlignment w:val="auto"/>
    </w:pPr>
    <w:rPr>
      <w:rFonts w:ascii="Calibri" w:hAnsi="Calibri"/>
      <w:kern w:val="2"/>
      <w:sz w:val="36"/>
      <w:szCs w:val="32"/>
      <w:lang w:val="zh-CN"/>
    </w:rPr>
  </w:style>
  <w:style w:type="character" w:customStyle="1" w:styleId="147">
    <w:name w:val="KY_标题二 字符"/>
    <w:link w:val="146"/>
    <w:qFormat/>
    <w:locked/>
    <w:uiPriority w:val="0"/>
    <w:rPr>
      <w:rFonts w:ascii="Calibri" w:hAnsi="Calibri"/>
      <w:b/>
      <w:bCs/>
      <w:kern w:val="2"/>
      <w:sz w:val="36"/>
      <w:szCs w:val="32"/>
      <w:lang w:val="zh-CN"/>
    </w:rPr>
  </w:style>
  <w:style w:type="paragraph" w:customStyle="1" w:styleId="148">
    <w:name w:val="KY_标题三"/>
    <w:basedOn w:val="9"/>
    <w:link w:val="149"/>
    <w:qFormat/>
    <w:uiPriority w:val="0"/>
    <w:pPr>
      <w:keepNext w:val="0"/>
      <w:keepLines w:val="0"/>
      <w:numPr>
        <w:ilvl w:val="2"/>
        <w:numId w:val="2"/>
      </w:numPr>
      <w:spacing w:beforeLines="50" w:after="0" w:afterLines="50"/>
      <w:jc w:val="both"/>
    </w:pPr>
    <w:rPr>
      <w:rFonts w:ascii="Calibri" w:hAnsi="Calibri" w:cs="Times New Roman"/>
      <w:bCs w:val="0"/>
      <w:color w:val="auto"/>
      <w:kern w:val="4"/>
      <w:sz w:val="32"/>
      <w:szCs w:val="22"/>
      <w:lang w:val="zh-CN"/>
    </w:rPr>
  </w:style>
  <w:style w:type="character" w:customStyle="1" w:styleId="149">
    <w:name w:val="KY_标题三 字符"/>
    <w:link w:val="148"/>
    <w:qFormat/>
    <w:locked/>
    <w:uiPriority w:val="0"/>
    <w:rPr>
      <w:rFonts w:ascii="Calibri" w:hAnsi="Calibri"/>
      <w:b/>
      <w:kern w:val="4"/>
      <w:sz w:val="32"/>
      <w:szCs w:val="22"/>
      <w:lang w:val="zh-CN"/>
    </w:rPr>
  </w:style>
  <w:style w:type="paragraph" w:customStyle="1" w:styleId="150">
    <w:name w:val="KY_标题四"/>
    <w:basedOn w:val="9"/>
    <w:qFormat/>
    <w:uiPriority w:val="0"/>
    <w:pPr>
      <w:keepNext w:val="0"/>
      <w:keepLines w:val="0"/>
      <w:numPr>
        <w:ilvl w:val="3"/>
        <w:numId w:val="2"/>
      </w:numPr>
      <w:tabs>
        <w:tab w:val="left" w:pos="360"/>
      </w:tabs>
      <w:spacing w:before="40" w:after="80" w:line="240" w:lineRule="auto"/>
      <w:jc w:val="both"/>
      <w:outlineLvl w:val="3"/>
    </w:pPr>
    <w:rPr>
      <w:rFonts w:ascii="宋体" w:cs="Times New Roman"/>
      <w:bCs w:val="0"/>
      <w:color w:val="auto"/>
      <w:kern w:val="2"/>
      <w:szCs w:val="28"/>
      <w:lang w:val="en-US"/>
    </w:rPr>
  </w:style>
  <w:style w:type="paragraph" w:customStyle="1" w:styleId="151">
    <w:name w:val="KY_标题五"/>
    <w:basedOn w:val="150"/>
    <w:qFormat/>
    <w:uiPriority w:val="0"/>
    <w:pPr>
      <w:numPr>
        <w:ilvl w:val="4"/>
        <w:numId w:val="2"/>
      </w:numPr>
    </w:pPr>
  </w:style>
  <w:style w:type="paragraph" w:customStyle="1" w:styleId="152">
    <w:name w:val="正文（缩进）"/>
    <w:basedOn w:val="1"/>
    <w:qFormat/>
    <w:uiPriority w:val="0"/>
    <w:pPr>
      <w:widowControl/>
      <w:ind w:firstLine="480"/>
      <w:jc w:val="left"/>
    </w:pPr>
    <w:rPr>
      <w:kern w:val="0"/>
      <w:sz w:val="22"/>
      <w:szCs w:val="22"/>
      <w:lang w:val="zh-CN"/>
    </w:rPr>
  </w:style>
  <w:style w:type="character" w:customStyle="1" w:styleId="153">
    <w:name w:val="标题 2 Char Char"/>
    <w:qFormat/>
    <w:uiPriority w:val="0"/>
    <w:rPr>
      <w:rFonts w:ascii="Arial" w:hAnsi="Arial" w:eastAsia="黑体"/>
      <w:sz w:val="24"/>
      <w:szCs w:val="24"/>
      <w:lang w:val="en-US" w:eastAsia="zh-CN" w:bidi="ar-SA"/>
    </w:rPr>
  </w:style>
  <w:style w:type="character" w:customStyle="1" w:styleId="154">
    <w:name w:val="标题 2 Char1"/>
    <w:qFormat/>
    <w:uiPriority w:val="0"/>
    <w:rPr>
      <w:rFonts w:ascii="Arial" w:hAnsi="Arial" w:eastAsia="黑体"/>
      <w:bCs/>
      <w:kern w:val="2"/>
      <w:sz w:val="28"/>
      <w:szCs w:val="32"/>
    </w:rPr>
  </w:style>
  <w:style w:type="character" w:customStyle="1" w:styleId="155">
    <w:name w:val="标题 3 Char1"/>
    <w:qFormat/>
    <w:uiPriority w:val="0"/>
    <w:rPr>
      <w:kern w:val="2"/>
      <w:sz w:val="24"/>
    </w:rPr>
  </w:style>
  <w:style w:type="character" w:customStyle="1" w:styleId="156">
    <w:name w:val="标题 4 Char1"/>
    <w:qFormat/>
    <w:uiPriority w:val="0"/>
    <w:rPr>
      <w:rFonts w:eastAsia="宋体"/>
      <w:b/>
      <w:bCs/>
      <w:kern w:val="2"/>
      <w:sz w:val="24"/>
      <w:szCs w:val="28"/>
      <w:lang w:val="en-US" w:eastAsia="zh-CN" w:bidi="ar-SA"/>
    </w:rPr>
  </w:style>
  <w:style w:type="character" w:customStyle="1" w:styleId="157">
    <w:name w:val="已访问的超链接1"/>
    <w:qFormat/>
    <w:uiPriority w:val="0"/>
    <w:rPr>
      <w:color w:val="800080"/>
      <w:u w:val="single"/>
    </w:rPr>
  </w:style>
  <w:style w:type="character" w:customStyle="1" w:styleId="158">
    <w:name w:val="h Char"/>
    <w:qFormat/>
    <w:uiPriority w:val="0"/>
    <w:rPr>
      <w:rFonts w:ascii="Times New Roman" w:hAnsi="Times New Roman" w:eastAsia="宋体" w:cs="Times New Roman"/>
      <w:sz w:val="18"/>
      <w:szCs w:val="18"/>
    </w:rPr>
  </w:style>
  <w:style w:type="character" w:customStyle="1" w:styleId="159">
    <w:name w:val="bigfont1"/>
    <w:qFormat/>
    <w:uiPriority w:val="0"/>
    <w:rPr>
      <w:rFonts w:hint="default" w:ascii="Arial, ˎ̥" w:hAnsi="Arial, ˎ̥"/>
      <w:sz w:val="21"/>
      <w:szCs w:val="21"/>
    </w:rPr>
  </w:style>
  <w:style w:type="character" w:customStyle="1" w:styleId="160">
    <w:name w:val="p91"/>
    <w:qFormat/>
    <w:uiPriority w:val="0"/>
    <w:rPr>
      <w:sz w:val="18"/>
      <w:szCs w:val="18"/>
    </w:rPr>
  </w:style>
  <w:style w:type="character" w:customStyle="1" w:styleId="161">
    <w:name w:val="样式 宋体"/>
    <w:qFormat/>
    <w:uiPriority w:val="0"/>
    <w:rPr>
      <w:rFonts w:ascii="宋体" w:hAnsi="宋体" w:eastAsia="宋体"/>
      <w:sz w:val="24"/>
      <w:szCs w:val="24"/>
    </w:rPr>
  </w:style>
  <w:style w:type="character" w:customStyle="1" w:styleId="162">
    <w:name w:val="文字 Char"/>
    <w:link w:val="163"/>
    <w:qFormat/>
    <w:uiPriority w:val="0"/>
    <w:rPr>
      <w:rFonts w:ascii="宋体"/>
      <w:sz w:val="28"/>
    </w:rPr>
  </w:style>
  <w:style w:type="paragraph" w:customStyle="1" w:styleId="163">
    <w:name w:val="文字"/>
    <w:basedOn w:val="1"/>
    <w:link w:val="162"/>
    <w:qFormat/>
    <w:uiPriority w:val="0"/>
    <w:pPr>
      <w:tabs>
        <w:tab w:val="left" w:pos="8520"/>
      </w:tabs>
      <w:spacing w:line="312" w:lineRule="auto"/>
      <w:ind w:right="-210" w:firstLine="556"/>
    </w:pPr>
    <w:rPr>
      <w:rFonts w:ascii="宋体"/>
      <w:kern w:val="0"/>
      <w:sz w:val="28"/>
      <w:szCs w:val="20"/>
    </w:rPr>
  </w:style>
  <w:style w:type="character" w:customStyle="1" w:styleId="164">
    <w:name w:val="zz1"/>
    <w:qFormat/>
    <w:uiPriority w:val="0"/>
    <w:rPr>
      <w:sz w:val="21"/>
      <w:szCs w:val="21"/>
    </w:rPr>
  </w:style>
  <w:style w:type="character" w:customStyle="1" w:styleId="165">
    <w:name w:val="content021"/>
    <w:qFormat/>
    <w:uiPriority w:val="0"/>
    <w:rPr>
      <w:color w:val="444444"/>
      <w:spacing w:val="330"/>
      <w:sz w:val="21"/>
      <w:szCs w:val="21"/>
      <w:u w:val="none"/>
    </w:rPr>
  </w:style>
  <w:style w:type="character" w:customStyle="1" w:styleId="166">
    <w:name w:val="纯文本 Char1"/>
    <w:qFormat/>
    <w:uiPriority w:val="0"/>
    <w:rPr>
      <w:rFonts w:ascii="宋体" w:hAnsi="Courier New" w:eastAsia="宋体"/>
      <w:kern w:val="2"/>
      <w:sz w:val="21"/>
      <w:lang w:val="en-US" w:eastAsia="zh-CN" w:bidi="ar-SA"/>
    </w:rPr>
  </w:style>
  <w:style w:type="character" w:customStyle="1" w:styleId="167">
    <w:name w:val="h21"/>
    <w:qFormat/>
    <w:uiPriority w:val="0"/>
    <w:rPr>
      <w:rFonts w:hint="default" w:ascii="Verdana" w:hAnsi="Verdana"/>
      <w:b/>
      <w:bCs/>
      <w:color w:val="000000"/>
      <w:sz w:val="18"/>
      <w:szCs w:val="18"/>
      <w:u w:val="none"/>
    </w:rPr>
  </w:style>
  <w:style w:type="character" w:customStyle="1" w:styleId="168">
    <w:name w:val="black"/>
    <w:qFormat/>
    <w:uiPriority w:val="0"/>
  </w:style>
  <w:style w:type="character" w:customStyle="1" w:styleId="169">
    <w:name w:val="zyp-正文 Char"/>
    <w:link w:val="170"/>
    <w:qFormat/>
    <w:uiPriority w:val="0"/>
    <w:rPr>
      <w:rFonts w:ascii="宋体" w:hAnsi="宋体"/>
      <w:color w:val="000000"/>
      <w:sz w:val="28"/>
      <w:szCs w:val="18"/>
    </w:rPr>
  </w:style>
  <w:style w:type="paragraph" w:customStyle="1" w:styleId="170">
    <w:name w:val="zyp-正文"/>
    <w:basedOn w:val="47"/>
    <w:link w:val="169"/>
    <w:qFormat/>
    <w:uiPriority w:val="0"/>
    <w:pPr>
      <w:widowControl/>
      <w:spacing w:line="300" w:lineRule="atLeast"/>
    </w:pPr>
    <w:rPr>
      <w:rFonts w:ascii="宋体" w:hAnsi="宋体"/>
      <w:color w:val="000000"/>
      <w:sz w:val="28"/>
      <w:szCs w:val="18"/>
    </w:rPr>
  </w:style>
  <w:style w:type="character" w:customStyle="1" w:styleId="171">
    <w:name w:val="正文 居中 Char"/>
    <w:link w:val="172"/>
    <w:qFormat/>
    <w:uiPriority w:val="0"/>
    <w:rPr>
      <w:rFonts w:cs="宋体"/>
      <w:sz w:val="24"/>
      <w:szCs w:val="24"/>
    </w:rPr>
  </w:style>
  <w:style w:type="paragraph" w:customStyle="1" w:styleId="172">
    <w:name w:val="正文 居中"/>
    <w:basedOn w:val="1"/>
    <w:link w:val="171"/>
    <w:qFormat/>
    <w:uiPriority w:val="0"/>
    <w:pPr>
      <w:spacing w:line="360" w:lineRule="auto"/>
      <w:jc w:val="center"/>
    </w:pPr>
    <w:rPr>
      <w:rFonts w:cs="宋体"/>
      <w:kern w:val="0"/>
      <w:sz w:val="24"/>
    </w:rPr>
  </w:style>
  <w:style w:type="character" w:customStyle="1" w:styleId="173">
    <w:name w:val="content1"/>
    <w:qFormat/>
    <w:uiPriority w:val="0"/>
    <w:rPr>
      <w:color w:val="000000"/>
      <w:sz w:val="18"/>
      <w:szCs w:val="18"/>
      <w:u w:val="none"/>
    </w:rPr>
  </w:style>
  <w:style w:type="character" w:customStyle="1" w:styleId="174">
    <w:name w:val="样式 正文缩进 + 首行缩进:  2 字符 Char"/>
    <w:link w:val="175"/>
    <w:qFormat/>
    <w:uiPriority w:val="0"/>
    <w:rPr>
      <w:sz w:val="24"/>
    </w:rPr>
  </w:style>
  <w:style w:type="paragraph" w:customStyle="1" w:styleId="175">
    <w:name w:val="样式 正文缩进 + 首行缩进:  2 字符"/>
    <w:basedOn w:val="18"/>
    <w:link w:val="174"/>
    <w:qFormat/>
    <w:uiPriority w:val="0"/>
    <w:pPr>
      <w:widowControl w:val="0"/>
      <w:spacing w:beforeLines="40" w:afterLines="40" w:line="360" w:lineRule="auto"/>
      <w:ind w:firstLine="480" w:firstLineChars="200"/>
      <w:jc w:val="both"/>
    </w:pPr>
    <w:rPr>
      <w:sz w:val="24"/>
    </w:rPr>
  </w:style>
  <w:style w:type="character" w:customStyle="1" w:styleId="176">
    <w:name w:val="正文文本 Char1"/>
    <w:semiHidden/>
    <w:qFormat/>
    <w:uiPriority w:val="99"/>
    <w:rPr>
      <w:rFonts w:ascii="Times New Roman" w:hAnsi="Times New Roman" w:eastAsia="宋体" w:cs="Times New Roman"/>
      <w:szCs w:val="24"/>
    </w:rPr>
  </w:style>
  <w:style w:type="character" w:customStyle="1" w:styleId="177">
    <w:name w:val="正文首行缩进 Char1"/>
    <w:semiHidden/>
    <w:qFormat/>
    <w:uiPriority w:val="99"/>
  </w:style>
  <w:style w:type="character" w:customStyle="1" w:styleId="178">
    <w:name w:val="正文文本缩进 Char1"/>
    <w:semiHidden/>
    <w:qFormat/>
    <w:uiPriority w:val="99"/>
    <w:rPr>
      <w:rFonts w:ascii="Times New Roman" w:hAnsi="Times New Roman" w:eastAsia="宋体" w:cs="Times New Roman"/>
      <w:szCs w:val="24"/>
    </w:rPr>
  </w:style>
  <w:style w:type="character" w:customStyle="1" w:styleId="179">
    <w:name w:val="正文文本缩进 3 Char1"/>
    <w:semiHidden/>
    <w:qFormat/>
    <w:uiPriority w:val="99"/>
    <w:rPr>
      <w:rFonts w:ascii="Calibri" w:hAnsi="Calibri" w:eastAsia="宋体" w:cs="Times New Roman"/>
      <w:sz w:val="16"/>
      <w:szCs w:val="16"/>
    </w:rPr>
  </w:style>
  <w:style w:type="character" w:customStyle="1" w:styleId="180">
    <w:name w:val="文档结构图 Char1"/>
    <w:qFormat/>
    <w:uiPriority w:val="99"/>
    <w:rPr>
      <w:rFonts w:ascii="宋体" w:hAnsi="Times New Roman" w:eastAsia="宋体" w:cs="Times New Roman"/>
      <w:kern w:val="2"/>
      <w:sz w:val="18"/>
      <w:szCs w:val="18"/>
    </w:rPr>
  </w:style>
  <w:style w:type="character" w:customStyle="1" w:styleId="181">
    <w:name w:val="宏文本 Char1"/>
    <w:qFormat/>
    <w:uiPriority w:val="99"/>
    <w:rPr>
      <w:rFonts w:ascii="Courier New" w:hAnsi="Courier New" w:eastAsia="宋体" w:cs="Courier New"/>
      <w:kern w:val="2"/>
      <w:sz w:val="24"/>
      <w:szCs w:val="24"/>
    </w:rPr>
  </w:style>
  <w:style w:type="character" w:customStyle="1" w:styleId="182">
    <w:name w:val="日期 Char1"/>
    <w:semiHidden/>
    <w:qFormat/>
    <w:uiPriority w:val="99"/>
    <w:rPr>
      <w:rFonts w:ascii="Calibri" w:hAnsi="Calibri" w:eastAsia="宋体" w:cs="Times New Roman"/>
      <w:sz w:val="24"/>
      <w:szCs w:val="20"/>
    </w:rPr>
  </w:style>
  <w:style w:type="character" w:customStyle="1" w:styleId="183">
    <w:name w:val="标题 Char1"/>
    <w:qFormat/>
    <w:uiPriority w:val="10"/>
    <w:rPr>
      <w:rFonts w:ascii="Cambria" w:hAnsi="Cambria" w:eastAsia="宋体" w:cs="Times New Roman"/>
      <w:b/>
      <w:bCs/>
      <w:sz w:val="32"/>
      <w:szCs w:val="32"/>
    </w:rPr>
  </w:style>
  <w:style w:type="character" w:customStyle="1" w:styleId="184">
    <w:name w:val="注释标题 Char1"/>
    <w:qFormat/>
    <w:uiPriority w:val="99"/>
    <w:rPr>
      <w:rFonts w:ascii="Times New Roman" w:hAnsi="Times New Roman" w:eastAsia="宋体" w:cs="Times New Roman"/>
      <w:kern w:val="2"/>
      <w:sz w:val="21"/>
      <w:szCs w:val="24"/>
    </w:rPr>
  </w:style>
  <w:style w:type="character" w:customStyle="1" w:styleId="185">
    <w:name w:val="正文文本 2 Char1"/>
    <w:semiHidden/>
    <w:qFormat/>
    <w:uiPriority w:val="99"/>
    <w:rPr>
      <w:rFonts w:ascii="Calibri" w:hAnsi="Calibri" w:eastAsia="宋体" w:cs="Times New Roman"/>
      <w:sz w:val="24"/>
      <w:szCs w:val="20"/>
    </w:rPr>
  </w:style>
  <w:style w:type="character" w:customStyle="1" w:styleId="186">
    <w:name w:val="正文文本缩进 2 Char1"/>
    <w:semiHidden/>
    <w:qFormat/>
    <w:uiPriority w:val="99"/>
    <w:rPr>
      <w:rFonts w:ascii="Calibri" w:hAnsi="Calibri" w:eastAsia="宋体" w:cs="Times New Roman"/>
      <w:sz w:val="24"/>
      <w:szCs w:val="20"/>
    </w:rPr>
  </w:style>
  <w:style w:type="character" w:customStyle="1" w:styleId="187">
    <w:name w:val="批注文字 Char1"/>
    <w:semiHidden/>
    <w:qFormat/>
    <w:uiPriority w:val="99"/>
    <w:rPr>
      <w:rFonts w:ascii="Times New Roman" w:hAnsi="Times New Roman" w:eastAsia="宋体" w:cs="Times New Roman"/>
      <w:szCs w:val="24"/>
    </w:rPr>
  </w:style>
  <w:style w:type="character" w:customStyle="1" w:styleId="188">
    <w:name w:val="批注框文本 Char1"/>
    <w:semiHidden/>
    <w:qFormat/>
    <w:uiPriority w:val="99"/>
    <w:rPr>
      <w:rFonts w:ascii="Calibri" w:hAnsi="Calibri" w:eastAsia="宋体" w:cs="Times New Roman"/>
      <w:sz w:val="18"/>
      <w:szCs w:val="18"/>
    </w:rPr>
  </w:style>
  <w:style w:type="character" w:customStyle="1" w:styleId="189">
    <w:name w:val="脚注文本 Char1"/>
    <w:qFormat/>
    <w:uiPriority w:val="99"/>
    <w:rPr>
      <w:rFonts w:ascii="Times New Roman" w:hAnsi="Times New Roman" w:eastAsia="宋体" w:cs="Times New Roman"/>
      <w:kern w:val="2"/>
      <w:sz w:val="18"/>
      <w:szCs w:val="18"/>
    </w:rPr>
  </w:style>
  <w:style w:type="character" w:customStyle="1" w:styleId="190">
    <w:name w:val="正文文本 3 Char1"/>
    <w:qFormat/>
    <w:uiPriority w:val="99"/>
    <w:rPr>
      <w:rFonts w:ascii="Times New Roman" w:hAnsi="Times New Roman" w:eastAsia="宋体" w:cs="Times New Roman"/>
      <w:kern w:val="2"/>
      <w:sz w:val="16"/>
      <w:szCs w:val="16"/>
    </w:rPr>
  </w:style>
  <w:style w:type="character" w:customStyle="1" w:styleId="191">
    <w:name w:val="纯文本 Char2"/>
    <w:semiHidden/>
    <w:qFormat/>
    <w:uiPriority w:val="99"/>
    <w:rPr>
      <w:rFonts w:ascii="宋体" w:hAnsi="Courier New" w:eastAsia="宋体" w:cs="Courier New"/>
      <w:szCs w:val="21"/>
    </w:rPr>
  </w:style>
  <w:style w:type="paragraph" w:customStyle="1" w:styleId="192">
    <w:name w:val="默认段落字体 Para Char Char Char Char Char Char Char Char Char Char"/>
    <w:basedOn w:val="1"/>
    <w:qFormat/>
    <w:uiPriority w:val="0"/>
    <w:rPr>
      <w:rFonts w:ascii="Tahoma" w:hAnsi="Tahoma"/>
      <w:sz w:val="24"/>
      <w:szCs w:val="20"/>
    </w:r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正文表格表头（居中）"/>
    <w:basedOn w:val="1"/>
    <w:next w:val="1"/>
    <w:qFormat/>
    <w:uiPriority w:val="0"/>
    <w:pPr>
      <w:keepNext/>
      <w:widowControl/>
      <w:jc w:val="center"/>
    </w:pPr>
    <w:rPr>
      <w:rFonts w:ascii="Arial" w:hAnsi="Arial" w:cs="Arial"/>
      <w:b/>
      <w:bCs/>
      <w:kern w:val="0"/>
      <w:sz w:val="18"/>
      <w:szCs w:val="18"/>
    </w:rPr>
  </w:style>
  <w:style w:type="paragraph" w:customStyle="1" w:styleId="195">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96">
    <w:name w:val="正文表格标题（斜体）"/>
    <w:basedOn w:val="1"/>
    <w:next w:val="195"/>
    <w:qFormat/>
    <w:uiPriority w:val="0"/>
    <w:pPr>
      <w:widowControl/>
      <w:jc w:val="left"/>
    </w:pPr>
    <w:rPr>
      <w:rFonts w:ascii="黑体" w:hAnsi="黑体" w:eastAsia="黑体" w:cs="Arial"/>
      <w:i/>
      <w:iCs/>
      <w:kern w:val="0"/>
      <w:szCs w:val="21"/>
    </w:rPr>
  </w:style>
  <w:style w:type="paragraph" w:customStyle="1" w:styleId="197">
    <w:name w:val="MSO_Legalese"/>
    <w:basedOn w:val="1"/>
    <w:qFormat/>
    <w:uiPriority w:val="0"/>
    <w:pPr>
      <w:widowControl/>
      <w:autoSpaceDE w:val="0"/>
      <w:autoSpaceDN w:val="0"/>
      <w:adjustRightInd w:val="0"/>
      <w:spacing w:before="99" w:after="70" w:line="150" w:lineRule="atLeast"/>
      <w:ind w:left="2405" w:right="1195"/>
      <w:jc w:val="left"/>
    </w:pPr>
    <w:rPr>
      <w:i/>
      <w:iCs/>
      <w:kern w:val="0"/>
      <w:sz w:val="16"/>
      <w:szCs w:val="16"/>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样式2"/>
    <w:basedOn w:val="1"/>
    <w:qFormat/>
    <w:uiPriority w:val="0"/>
    <w:pPr>
      <w:keepNext/>
      <w:keepLines/>
      <w:tabs>
        <w:tab w:val="left" w:pos="851"/>
      </w:tabs>
      <w:spacing w:before="120" w:after="60" w:line="240" w:lineRule="atLeast"/>
      <w:ind w:left="851"/>
      <w:jc w:val="left"/>
      <w:outlineLvl w:val="2"/>
    </w:pPr>
    <w:rPr>
      <w:rFonts w:cs="宋体"/>
      <w:b/>
      <w:bCs/>
      <w:sz w:val="28"/>
      <w:szCs w:val="20"/>
    </w:rPr>
  </w:style>
  <w:style w:type="paragraph" w:customStyle="1" w:styleId="200">
    <w:name w:val="文档正文"/>
    <w:basedOn w:val="1"/>
    <w:qFormat/>
    <w:uiPriority w:val="0"/>
    <w:pPr>
      <w:adjustRightInd w:val="0"/>
      <w:spacing w:line="300" w:lineRule="auto"/>
      <w:ind w:firstLine="567"/>
      <w:textAlignment w:val="baseline"/>
    </w:pPr>
    <w:rPr>
      <w:kern w:val="0"/>
      <w:sz w:val="24"/>
      <w:szCs w:val="20"/>
    </w:rPr>
  </w:style>
  <w:style w:type="paragraph" w:customStyle="1" w:styleId="201">
    <w:name w:val="正文 首行缩进:  2 字符 Char"/>
    <w:basedOn w:val="1"/>
    <w:qFormat/>
    <w:uiPriority w:val="0"/>
    <w:pPr>
      <w:spacing w:line="360" w:lineRule="auto"/>
      <w:ind w:firstLine="480"/>
    </w:pPr>
    <w:rPr>
      <w:sz w:val="24"/>
      <w:szCs w:val="20"/>
    </w:rPr>
  </w:style>
  <w:style w:type="paragraph" w:customStyle="1" w:styleId="202">
    <w:name w:val="正文字缩2字"/>
    <w:basedOn w:val="1"/>
    <w:qFormat/>
    <w:uiPriority w:val="0"/>
    <w:pPr>
      <w:spacing w:before="60" w:after="60" w:line="360" w:lineRule="auto"/>
      <w:ind w:left="200" w:leftChars="200" w:firstLine="200" w:firstLineChars="200"/>
    </w:pPr>
    <w:rPr>
      <w:sz w:val="24"/>
    </w:rPr>
  </w:style>
  <w:style w:type="paragraph" w:customStyle="1" w:styleId="203">
    <w:name w:val="14"/>
    <w:basedOn w:val="1"/>
    <w:next w:val="34"/>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04">
    <w:name w:val="章标题"/>
    <w:next w:val="12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0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6">
    <w:name w:val="一级条标题"/>
    <w:basedOn w:val="204"/>
    <w:next w:val="127"/>
    <w:qFormat/>
    <w:uiPriority w:val="0"/>
    <w:pPr>
      <w:ind w:left="2205"/>
      <w:outlineLvl w:val="2"/>
    </w:pPr>
  </w:style>
  <w:style w:type="paragraph" w:customStyle="1" w:styleId="207">
    <w:name w:val="二级条标题"/>
    <w:basedOn w:val="206"/>
    <w:next w:val="127"/>
    <w:qFormat/>
    <w:uiPriority w:val="0"/>
    <w:pPr>
      <w:outlineLvl w:val="3"/>
    </w:pPr>
  </w:style>
  <w:style w:type="paragraph" w:customStyle="1" w:styleId="208">
    <w:name w:val="三级条标题"/>
    <w:basedOn w:val="207"/>
    <w:next w:val="127"/>
    <w:qFormat/>
    <w:uiPriority w:val="0"/>
    <w:pPr>
      <w:outlineLvl w:val="4"/>
    </w:pPr>
  </w:style>
  <w:style w:type="paragraph" w:customStyle="1" w:styleId="209">
    <w:name w:val="四级条标题"/>
    <w:basedOn w:val="208"/>
    <w:next w:val="127"/>
    <w:qFormat/>
    <w:uiPriority w:val="0"/>
    <w:pPr>
      <w:outlineLvl w:val="5"/>
    </w:pPr>
  </w:style>
  <w:style w:type="paragraph" w:customStyle="1" w:styleId="210">
    <w:name w:val="五级条标题"/>
    <w:basedOn w:val="209"/>
    <w:next w:val="127"/>
    <w:qFormat/>
    <w:uiPriority w:val="0"/>
    <w:pPr>
      <w:outlineLvl w:val="6"/>
    </w:pPr>
  </w:style>
  <w:style w:type="paragraph" w:customStyle="1" w:styleId="211">
    <w:name w:val="文本框文字"/>
    <w:basedOn w:val="1"/>
    <w:qFormat/>
    <w:uiPriority w:val="0"/>
    <w:pPr>
      <w:adjustRightInd w:val="0"/>
      <w:snapToGrid w:val="0"/>
      <w:spacing w:line="360" w:lineRule="auto"/>
      <w:ind w:firstLine="480" w:firstLineChars="200"/>
      <w:jc w:val="center"/>
    </w:pPr>
    <w:rPr>
      <w:rFonts w:ascii="Century Gothic" w:hAnsi="Century Gothic"/>
      <w:color w:val="000000"/>
      <w:sz w:val="24"/>
      <w:szCs w:val="20"/>
    </w:rPr>
  </w:style>
  <w:style w:type="paragraph" w:customStyle="1" w:styleId="212">
    <w:name w:val="样式1"/>
    <w:basedOn w:val="29"/>
    <w:qFormat/>
    <w:uiPriority w:val="0"/>
    <w:pPr>
      <w:tabs>
        <w:tab w:val="left" w:pos="1260"/>
        <w:tab w:val="left" w:pos="1440"/>
        <w:tab w:val="right" w:leader="dot" w:pos="8450"/>
      </w:tabs>
      <w:adjustRightInd w:val="0"/>
      <w:snapToGrid w:val="0"/>
      <w:spacing w:line="360" w:lineRule="auto"/>
      <w:ind w:left="400" w:leftChars="342"/>
      <w:jc w:val="left"/>
    </w:pPr>
    <w:rPr>
      <w:rFonts w:ascii="Calibri" w:hAnsi="Calibri"/>
      <w:i/>
      <w:iCs/>
      <w:sz w:val="28"/>
      <w:szCs w:val="28"/>
    </w:rPr>
  </w:style>
  <w:style w:type="paragraph" w:customStyle="1" w:styleId="213">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214">
    <w:name w:val="样式4"/>
    <w:basedOn w:val="1"/>
    <w:qFormat/>
    <w:uiPriority w:val="0"/>
    <w:pPr>
      <w:tabs>
        <w:tab w:val="left" w:pos="420"/>
      </w:tabs>
      <w:ind w:left="420" w:hanging="420"/>
    </w:pPr>
  </w:style>
  <w:style w:type="paragraph" w:customStyle="1" w:styleId="215">
    <w:name w:val="sub表格项"/>
    <w:basedOn w:val="1"/>
    <w:qFormat/>
    <w:uiPriority w:val="0"/>
    <w:pPr>
      <w:spacing w:before="120" w:line="0" w:lineRule="atLeast"/>
      <w:ind w:right="-68"/>
      <w:jc w:val="center"/>
    </w:pPr>
    <w:rPr>
      <w:rFonts w:ascii="Garamond" w:hAnsi="Garamond" w:eastAsia="MS Song"/>
      <w:bCs/>
      <w:caps/>
      <w:spacing w:val="-12"/>
      <w:kern w:val="0"/>
      <w:sz w:val="24"/>
      <w:szCs w:val="20"/>
    </w:rPr>
  </w:style>
  <w:style w:type="paragraph" w:customStyle="1" w:styleId="216">
    <w:name w:val="表格项"/>
    <w:basedOn w:val="18"/>
    <w:qFormat/>
    <w:uiPriority w:val="0"/>
    <w:pPr>
      <w:widowControl w:val="0"/>
      <w:spacing w:beforeLines="40" w:afterLines="40" w:line="0" w:lineRule="atLeast"/>
      <w:ind w:right="-68" w:firstLine="0"/>
    </w:pPr>
    <w:rPr>
      <w:rFonts w:ascii="Garamond" w:hAnsi="Garamond" w:eastAsia="MS Song"/>
      <w:caps/>
      <w:spacing w:val="-6"/>
      <w:sz w:val="21"/>
    </w:rPr>
  </w:style>
  <w:style w:type="paragraph" w:customStyle="1" w:styleId="217">
    <w:name w:val="正文 缺省"/>
    <w:basedOn w:val="1"/>
    <w:qFormat/>
    <w:uiPriority w:val="0"/>
    <w:pPr>
      <w:spacing w:line="360" w:lineRule="auto"/>
    </w:pPr>
    <w:rPr>
      <w:rFonts w:ascii="宋体" w:hAnsi="宋体"/>
      <w:sz w:val="18"/>
    </w:rPr>
  </w:style>
  <w:style w:type="paragraph" w:customStyle="1" w:styleId="218">
    <w:name w:val="图片"/>
    <w:basedOn w:val="1"/>
    <w:qFormat/>
    <w:uiPriority w:val="0"/>
    <w:pPr>
      <w:spacing w:beforeLines="50" w:afterLines="50"/>
      <w:jc w:val="center"/>
    </w:pPr>
    <w:rPr>
      <w:rFonts w:ascii="宋体" w:hAnsi="宋体"/>
      <w:sz w:val="18"/>
    </w:rPr>
  </w:style>
  <w:style w:type="paragraph" w:customStyle="1" w:styleId="219">
    <w:name w:val="text2"/>
    <w:basedOn w:val="1"/>
    <w:qFormat/>
    <w:uiPriority w:val="0"/>
    <w:pPr>
      <w:widowControl/>
      <w:spacing w:before="100" w:beforeAutospacing="1" w:after="100" w:afterAutospacing="1" w:line="360" w:lineRule="auto"/>
      <w:ind w:firstLine="360"/>
      <w:jc w:val="left"/>
    </w:pPr>
    <w:rPr>
      <w:rFonts w:ascii="Verdana" w:hAnsi="Verdana" w:cs="宋体"/>
      <w:color w:val="444444"/>
      <w:kern w:val="0"/>
      <w:sz w:val="18"/>
      <w:szCs w:val="18"/>
    </w:rPr>
  </w:style>
  <w:style w:type="paragraph" w:customStyle="1" w:styleId="220">
    <w:name w:val="标题3-附件"/>
    <w:basedOn w:val="9"/>
    <w:qFormat/>
    <w:uiPriority w:val="0"/>
    <w:pPr>
      <w:tabs>
        <w:tab w:val="left" w:pos="680"/>
      </w:tabs>
      <w:spacing w:before="260" w:after="260" w:line="415" w:lineRule="auto"/>
      <w:ind w:hanging="680"/>
    </w:pPr>
    <w:rPr>
      <w:rFonts w:ascii="Times New Roman" w:hAnsi="Times New Roman" w:cs="Arial"/>
      <w:color w:val="auto"/>
      <w:kern w:val="2"/>
      <w:szCs w:val="24"/>
      <w:lang w:val="en-US"/>
    </w:rPr>
  </w:style>
  <w:style w:type="paragraph" w:customStyle="1" w:styleId="221">
    <w:name w:val="Char Char Char"/>
    <w:basedOn w:val="1"/>
    <w:qFormat/>
    <w:uiPriority w:val="0"/>
    <w:rPr>
      <w:rFonts w:ascii="Tahoma" w:hAnsi="Tahoma"/>
      <w:sz w:val="24"/>
      <w:szCs w:val="20"/>
    </w:rPr>
  </w:style>
  <w:style w:type="paragraph" w:customStyle="1" w:styleId="222">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22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Char Char Char Char Char Char Char Char Char Char Char"/>
    <w:basedOn w:val="1"/>
    <w:qFormat/>
    <w:uiPriority w:val="0"/>
    <w:rPr>
      <w:rFonts w:ascii="仿宋_GB2312" w:eastAsia="仿宋_GB2312"/>
      <w:b/>
      <w:sz w:val="32"/>
      <w:szCs w:val="32"/>
    </w:rPr>
  </w:style>
  <w:style w:type="paragraph" w:customStyle="1" w:styleId="225">
    <w:name w:val="符号 1"/>
    <w:basedOn w:val="19"/>
    <w:qFormat/>
    <w:uiPriority w:val="0"/>
    <w:pPr>
      <w:tabs>
        <w:tab w:val="left" w:pos="720"/>
      </w:tabs>
      <w:spacing w:after="0" w:line="360" w:lineRule="auto"/>
      <w:ind w:left="0" w:leftChars="0" w:hanging="720"/>
    </w:pPr>
    <w:rPr>
      <w:rFonts w:ascii="Calibri" w:hAnsi="Calibri" w:cs="Times New Roman"/>
      <w:kern w:val="28"/>
      <w:sz w:val="24"/>
    </w:rPr>
  </w:style>
  <w:style w:type="paragraph" w:customStyle="1" w:styleId="226">
    <w:name w:val="符号 2"/>
    <w:basedOn w:val="225"/>
    <w:qFormat/>
    <w:uiPriority w:val="0"/>
    <w:pPr>
      <w:tabs>
        <w:tab w:val="left" w:pos="1320"/>
        <w:tab w:val="clear" w:pos="720"/>
      </w:tabs>
      <w:ind w:left="1320" w:hanging="420"/>
    </w:pPr>
    <w:rPr>
      <w:rFonts w:ascii="Calibri" w:hAnsi="Calibri" w:cs="Times New Roman"/>
    </w:rPr>
  </w:style>
  <w:style w:type="paragraph" w:customStyle="1" w:styleId="227">
    <w:name w:val="表头"/>
    <w:basedOn w:val="1"/>
    <w:qFormat/>
    <w:uiPriority w:val="0"/>
    <w:pPr>
      <w:autoSpaceDE w:val="0"/>
      <w:autoSpaceDN w:val="0"/>
      <w:adjustRightInd w:val="0"/>
      <w:jc w:val="center"/>
    </w:pPr>
    <w:rPr>
      <w:rFonts w:ascii="Arial" w:hAnsi="Arial" w:cs="Arial"/>
      <w:kern w:val="0"/>
      <w:sz w:val="18"/>
      <w:szCs w:val="18"/>
    </w:rPr>
  </w:style>
  <w:style w:type="paragraph" w:customStyle="1" w:styleId="228">
    <w:name w:val="小点说明"/>
    <w:basedOn w:val="1"/>
    <w:qFormat/>
    <w:uiPriority w:val="0"/>
    <w:pPr>
      <w:tabs>
        <w:tab w:val="left" w:pos="420"/>
      </w:tabs>
      <w:spacing w:after="80" w:line="360" w:lineRule="auto"/>
      <w:ind w:left="420" w:hanging="420"/>
    </w:pPr>
    <w:rPr>
      <w:sz w:val="24"/>
    </w:rPr>
  </w:style>
  <w:style w:type="paragraph" w:customStyle="1" w:styleId="229">
    <w:name w:val="次小点说明"/>
    <w:basedOn w:val="18"/>
    <w:qFormat/>
    <w:uiPriority w:val="0"/>
    <w:pPr>
      <w:widowControl w:val="0"/>
      <w:tabs>
        <w:tab w:val="left" w:pos="620"/>
      </w:tabs>
      <w:spacing w:beforeLines="40" w:afterLines="40" w:line="360" w:lineRule="auto"/>
      <w:ind w:left="620" w:hanging="420"/>
      <w:jc w:val="both"/>
    </w:pPr>
    <w:rPr>
      <w:kern w:val="2"/>
      <w:sz w:val="24"/>
      <w:szCs w:val="24"/>
    </w:rPr>
  </w:style>
  <w:style w:type="paragraph" w:customStyle="1" w:styleId="23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31">
    <w:name w:val="_Style 229"/>
    <w:basedOn w:val="4"/>
    <w:next w:val="1"/>
    <w:qFormat/>
    <w:uiPriority w:val="0"/>
    <w:pPr>
      <w:widowControl/>
      <w:spacing w:before="480" w:line="276" w:lineRule="auto"/>
      <w:jc w:val="left"/>
      <w:outlineLvl w:val="9"/>
    </w:pPr>
    <w:rPr>
      <w:rFonts w:ascii="Cambria" w:hAnsi="Cambria" w:eastAsia="宋体"/>
      <w:color w:val="365F91"/>
      <w:kern w:val="0"/>
      <w:sz w:val="28"/>
      <w:szCs w:val="28"/>
    </w:rPr>
  </w:style>
  <w:style w:type="paragraph" w:customStyle="1" w:styleId="232">
    <w:name w:val="纯文本1"/>
    <w:basedOn w:val="233"/>
    <w:qFormat/>
    <w:uiPriority w:val="0"/>
    <w:pPr>
      <w:adjustRightInd w:val="0"/>
      <w:textAlignment w:val="baseline"/>
    </w:pPr>
    <w:rPr>
      <w:rFonts w:ascii="宋体" w:hAnsi="Courier New"/>
      <w:szCs w:val="20"/>
    </w:rPr>
  </w:style>
  <w:style w:type="paragraph" w:customStyle="1" w:styleId="233">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4">
    <w:name w:val="普通(网站)1"/>
    <w:basedOn w:val="1"/>
    <w:qFormat/>
    <w:uiPriority w:val="0"/>
    <w:pPr>
      <w:widowControl/>
      <w:spacing w:before="100" w:after="100"/>
      <w:jc w:val="left"/>
    </w:pPr>
    <w:rPr>
      <w:rFonts w:ascii="宋体"/>
      <w:kern w:val="0"/>
      <w:sz w:val="24"/>
      <w:szCs w:val="20"/>
    </w:rPr>
  </w:style>
  <w:style w:type="paragraph" w:customStyle="1" w:styleId="235">
    <w:name w:val="QB表内文字"/>
    <w:basedOn w:val="1"/>
    <w:qFormat/>
    <w:uiPriority w:val="0"/>
    <w:pPr>
      <w:widowControl/>
      <w:autoSpaceDE w:val="0"/>
      <w:autoSpaceDN w:val="0"/>
    </w:pPr>
    <w:rPr>
      <w:rFonts w:ascii="宋体" w:hAnsi="宋体" w:cs="宋体"/>
      <w:kern w:val="0"/>
      <w:szCs w:val="21"/>
    </w:rPr>
  </w:style>
  <w:style w:type="paragraph" w:customStyle="1" w:styleId="236">
    <w:name w:val="Char3 Char Char Char"/>
    <w:basedOn w:val="1"/>
    <w:qFormat/>
    <w:uiPriority w:val="0"/>
    <w:pPr>
      <w:widowControl/>
      <w:spacing w:after="160" w:line="240" w:lineRule="exact"/>
      <w:jc w:val="left"/>
    </w:pPr>
    <w:rPr>
      <w:szCs w:val="20"/>
    </w:rPr>
  </w:style>
  <w:style w:type="paragraph" w:customStyle="1" w:styleId="237">
    <w:name w:val="aconte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列表段落1"/>
    <w:basedOn w:val="1"/>
    <w:qFormat/>
    <w:uiPriority w:val="34"/>
    <w:pPr>
      <w:ind w:firstLine="420" w:firstLineChars="200"/>
    </w:pPr>
    <w:rPr>
      <w:rFonts w:ascii="等线" w:hAnsi="等线" w:eastAsia="等线"/>
    </w:rPr>
  </w:style>
  <w:style w:type="paragraph" w:customStyle="1" w:styleId="239">
    <w:name w:val="正文首行缩进1"/>
    <w:basedOn w:val="6"/>
    <w:qFormat/>
    <w:uiPriority w:val="0"/>
    <w:pPr>
      <w:ind w:firstLine="420" w:firstLineChars="100"/>
    </w:pPr>
  </w:style>
  <w:style w:type="paragraph" w:customStyle="1" w:styleId="240">
    <w:name w:val="正文首行缩进 21"/>
    <w:basedOn w:val="19"/>
    <w:qFormat/>
    <w:uiPriority w:val="0"/>
    <w:pPr>
      <w:ind w:firstLine="420" w:firstLineChars="200"/>
    </w:pPr>
    <w:rPr>
      <w:rFonts w:ascii="Calibri" w:hAnsi="Calibri" w:cs="Times New Roman"/>
    </w:rPr>
  </w:style>
  <w:style w:type="paragraph" w:customStyle="1" w:styleId="241">
    <w:name w:val="目录 71"/>
    <w:basedOn w:val="1"/>
    <w:next w:val="1"/>
    <w:qFormat/>
    <w:uiPriority w:val="0"/>
    <w:pPr>
      <w:ind w:left="1260"/>
      <w:jc w:val="left"/>
    </w:pPr>
    <w:rPr>
      <w:rFonts w:ascii="Calibri" w:hAnsi="Calibri"/>
      <w:sz w:val="18"/>
      <w:szCs w:val="18"/>
    </w:rPr>
  </w:style>
  <w:style w:type="paragraph" w:customStyle="1" w:styleId="242">
    <w:name w:val="目录 41"/>
    <w:basedOn w:val="1"/>
    <w:next w:val="1"/>
    <w:qFormat/>
    <w:uiPriority w:val="0"/>
    <w:pPr>
      <w:ind w:left="630"/>
      <w:jc w:val="left"/>
    </w:pPr>
    <w:rPr>
      <w:rFonts w:ascii="Calibri" w:hAnsi="Calibri"/>
      <w:sz w:val="18"/>
      <w:szCs w:val="18"/>
    </w:rPr>
  </w:style>
  <w:style w:type="paragraph" w:customStyle="1" w:styleId="243">
    <w:name w:val="目录 81"/>
    <w:basedOn w:val="1"/>
    <w:next w:val="1"/>
    <w:qFormat/>
    <w:uiPriority w:val="0"/>
    <w:pPr>
      <w:ind w:left="1470"/>
      <w:jc w:val="left"/>
    </w:pPr>
    <w:rPr>
      <w:rFonts w:ascii="Calibri" w:hAnsi="Calibri"/>
      <w:sz w:val="18"/>
      <w:szCs w:val="18"/>
    </w:rPr>
  </w:style>
  <w:style w:type="paragraph" w:customStyle="1" w:styleId="244">
    <w:name w:val="目录 21"/>
    <w:basedOn w:val="1"/>
    <w:next w:val="1"/>
    <w:qFormat/>
    <w:uiPriority w:val="0"/>
    <w:pPr>
      <w:ind w:left="210"/>
      <w:jc w:val="left"/>
    </w:pPr>
    <w:rPr>
      <w:rFonts w:ascii="Calibri" w:hAnsi="Calibri"/>
      <w:smallCaps/>
      <w:sz w:val="20"/>
      <w:szCs w:val="20"/>
    </w:rPr>
  </w:style>
  <w:style w:type="paragraph" w:customStyle="1" w:styleId="245">
    <w:name w:val="目录 91"/>
    <w:basedOn w:val="1"/>
    <w:next w:val="1"/>
    <w:qFormat/>
    <w:uiPriority w:val="0"/>
    <w:pPr>
      <w:ind w:left="1680"/>
      <w:jc w:val="left"/>
    </w:pPr>
    <w:rPr>
      <w:rFonts w:ascii="Calibri" w:hAnsi="Calibri"/>
      <w:sz w:val="18"/>
      <w:szCs w:val="18"/>
    </w:rPr>
  </w:style>
  <w:style w:type="paragraph" w:customStyle="1" w:styleId="246">
    <w:name w:val="目录 51"/>
    <w:basedOn w:val="1"/>
    <w:next w:val="1"/>
    <w:qFormat/>
    <w:uiPriority w:val="0"/>
    <w:pPr>
      <w:ind w:left="840"/>
      <w:jc w:val="left"/>
    </w:pPr>
    <w:rPr>
      <w:rFonts w:ascii="Calibri" w:hAnsi="Calibri"/>
      <w:sz w:val="18"/>
      <w:szCs w:val="18"/>
    </w:rPr>
  </w:style>
  <w:style w:type="paragraph" w:customStyle="1" w:styleId="247">
    <w:name w:val="目录 11"/>
    <w:basedOn w:val="1"/>
    <w:next w:val="1"/>
    <w:qFormat/>
    <w:uiPriority w:val="0"/>
    <w:pPr>
      <w:spacing w:before="120" w:after="120"/>
      <w:jc w:val="left"/>
    </w:pPr>
    <w:rPr>
      <w:rFonts w:ascii="Calibri" w:hAnsi="Calibri"/>
      <w:b/>
      <w:bCs/>
      <w:caps/>
      <w:sz w:val="20"/>
      <w:szCs w:val="20"/>
    </w:rPr>
  </w:style>
  <w:style w:type="paragraph" w:customStyle="1" w:styleId="248">
    <w:name w:val="目录 31"/>
    <w:basedOn w:val="1"/>
    <w:next w:val="1"/>
    <w:qFormat/>
    <w:uiPriority w:val="0"/>
    <w:pPr>
      <w:ind w:left="420"/>
      <w:jc w:val="left"/>
    </w:pPr>
    <w:rPr>
      <w:rFonts w:ascii="Calibri" w:hAnsi="Calibri"/>
      <w:i/>
      <w:iCs/>
      <w:sz w:val="20"/>
      <w:szCs w:val="20"/>
    </w:rPr>
  </w:style>
  <w:style w:type="paragraph" w:customStyle="1" w:styleId="249">
    <w:name w:val="目录 61"/>
    <w:basedOn w:val="1"/>
    <w:next w:val="1"/>
    <w:qFormat/>
    <w:uiPriority w:val="0"/>
    <w:pPr>
      <w:ind w:left="1050"/>
      <w:jc w:val="left"/>
    </w:pPr>
    <w:rPr>
      <w:rFonts w:ascii="Calibri" w:hAnsi="Calibri"/>
      <w:sz w:val="18"/>
      <w:szCs w:val="18"/>
    </w:rPr>
  </w:style>
  <w:style w:type="paragraph" w:customStyle="1" w:styleId="250">
    <w:name w:val="TOC 标题1"/>
    <w:basedOn w:val="4"/>
    <w:next w:val="1"/>
    <w:qFormat/>
    <w:uiPriority w:val="0"/>
    <w:pPr>
      <w:widowControl/>
      <w:spacing w:before="480" w:line="276" w:lineRule="auto"/>
      <w:jc w:val="left"/>
      <w:outlineLvl w:val="9"/>
    </w:pPr>
    <w:rPr>
      <w:rFonts w:ascii="Cambria" w:hAnsi="Cambria" w:eastAsia="宋体"/>
      <w:color w:val="365F91"/>
      <w:kern w:val="0"/>
      <w:sz w:val="28"/>
      <w:szCs w:val="28"/>
    </w:rPr>
  </w:style>
  <w:style w:type="paragraph" w:customStyle="1" w:styleId="251">
    <w:name w:val="列出段落111"/>
    <w:basedOn w:val="1"/>
    <w:qFormat/>
    <w:uiPriority w:val="0"/>
    <w:pPr>
      <w:ind w:firstLine="420" w:firstLineChars="200"/>
    </w:pPr>
    <w:rPr>
      <w:rFonts w:ascii="Calibri" w:hAnsi="Calibri"/>
      <w:szCs w:val="22"/>
    </w:rPr>
  </w:style>
  <w:style w:type="paragraph" w:customStyle="1" w:styleId="252">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253">
    <w:name w:val="Table Text Char1"/>
    <w:link w:val="254"/>
    <w:qFormat/>
    <w:locked/>
    <w:uiPriority w:val="0"/>
    <w:rPr>
      <w:rFonts w:ascii="Arial" w:hAnsi="Arial" w:cs="Arial"/>
      <w:sz w:val="18"/>
      <w:szCs w:val="24"/>
    </w:rPr>
  </w:style>
  <w:style w:type="paragraph" w:customStyle="1" w:styleId="254">
    <w:name w:val="Table Text"/>
    <w:basedOn w:val="1"/>
    <w:link w:val="253"/>
    <w:qFormat/>
    <w:uiPriority w:val="0"/>
    <w:pPr>
      <w:widowControl/>
      <w:tabs>
        <w:tab w:val="decimal" w:pos="0"/>
      </w:tabs>
      <w:autoSpaceDE w:val="0"/>
      <w:autoSpaceDN w:val="0"/>
      <w:adjustRightInd w:val="0"/>
      <w:spacing w:before="80" w:after="80"/>
    </w:pPr>
    <w:rPr>
      <w:rFonts w:ascii="Arial" w:hAnsi="Arial" w:cs="Arial"/>
      <w:kern w:val="0"/>
      <w:sz w:val="18"/>
    </w:rPr>
  </w:style>
  <w:style w:type="paragraph" w:customStyle="1" w:styleId="2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7">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xl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6">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268">
    <w:name w:val="无间隔 Char1"/>
    <w:link w:val="269"/>
    <w:qFormat/>
    <w:locked/>
    <w:uiPriority w:val="0"/>
  </w:style>
  <w:style w:type="paragraph" w:customStyle="1" w:styleId="269">
    <w:name w:val="无间距1"/>
    <w:link w:val="268"/>
    <w:qFormat/>
    <w:uiPriority w:val="0"/>
    <w:pPr>
      <w:widowControl w:val="0"/>
      <w:jc w:val="both"/>
    </w:pPr>
    <w:rPr>
      <w:rFonts w:ascii="Times New Roman" w:hAnsi="Times New Roman" w:eastAsia="宋体" w:cs="Times New Roman"/>
      <w:lang w:val="en-US" w:eastAsia="zh-CN" w:bidi="ar-SA"/>
    </w:rPr>
  </w:style>
  <w:style w:type="character" w:customStyle="1" w:styleId="270">
    <w:name w:val="List Paragraph Char"/>
    <w:link w:val="271"/>
    <w:qFormat/>
    <w:locked/>
    <w:uiPriority w:val="34"/>
    <w:rPr>
      <w:rFonts w:ascii="宋体" w:hAnsi="宋体"/>
      <w:sz w:val="24"/>
      <w:szCs w:val="24"/>
    </w:rPr>
  </w:style>
  <w:style w:type="paragraph" w:customStyle="1" w:styleId="271">
    <w:name w:val="列出段落11"/>
    <w:basedOn w:val="1"/>
    <w:link w:val="270"/>
    <w:qFormat/>
    <w:uiPriority w:val="34"/>
    <w:pPr>
      <w:ind w:firstLine="420" w:firstLineChars="200"/>
    </w:pPr>
    <w:rPr>
      <w:rFonts w:ascii="宋体" w:hAnsi="宋体"/>
      <w:kern w:val="0"/>
      <w:sz w:val="24"/>
    </w:rPr>
  </w:style>
  <w:style w:type="paragraph" w:customStyle="1" w:styleId="272">
    <w:name w:val="md_block"/>
    <w:basedOn w:val="1"/>
    <w:qFormat/>
    <w:uiPriority w:val="0"/>
    <w:pPr>
      <w:widowControl/>
      <w:spacing w:before="100" w:beforeAutospacing="1" w:after="100" w:afterAutospacing="1"/>
      <w:jc w:val="left"/>
    </w:pPr>
    <w:rPr>
      <w:rFonts w:ascii="宋体" w:hAnsi="宋体" w:cs="宋体"/>
      <w:kern w:val="0"/>
      <w:sz w:val="24"/>
    </w:rPr>
  </w:style>
  <w:style w:type="character" w:customStyle="1" w:styleId="273">
    <w:name w:val="md_line"/>
    <w:qFormat/>
    <w:uiPriority w:val="0"/>
  </w:style>
  <w:style w:type="table" w:customStyle="1" w:styleId="274">
    <w:name w:val="网格型2"/>
    <w:basedOn w:val="51"/>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3"/>
    <w:basedOn w:val="5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7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7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8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84"/>
    <w:basedOn w:val="1"/>
    <w:qFormat/>
    <w:uiPriority w:val="0"/>
    <w:pPr>
      <w:widowControl/>
      <w:spacing w:before="100" w:beforeAutospacing="1" w:after="100" w:afterAutospacing="1"/>
      <w:jc w:val="center"/>
    </w:pPr>
    <w:rPr>
      <w:rFonts w:ascii="宋体" w:hAnsi="宋体" w:cs="宋体"/>
      <w:kern w:val="0"/>
      <w:sz w:val="20"/>
      <w:szCs w:val="20"/>
    </w:rPr>
  </w:style>
  <w:style w:type="character" w:customStyle="1" w:styleId="285">
    <w:name w:val="bookmark-item"/>
    <w:qFormat/>
    <w:uiPriority w:val="0"/>
  </w:style>
  <w:style w:type="paragraph" w:customStyle="1" w:styleId="286">
    <w:name w:val="A正文小四"/>
    <w:basedOn w:val="1"/>
    <w:qFormat/>
    <w:uiPriority w:val="0"/>
    <w:pPr>
      <w:spacing w:line="360" w:lineRule="auto"/>
      <w:ind w:firstLine="200" w:firstLineChars="200"/>
    </w:pPr>
    <w:rPr>
      <w:sz w:val="24"/>
    </w:rPr>
  </w:style>
  <w:style w:type="paragraph" w:customStyle="1" w:styleId="287">
    <w:name w:val="BodyText1I2"/>
    <w:basedOn w:val="288"/>
    <w:qFormat/>
    <w:uiPriority w:val="0"/>
    <w:pPr>
      <w:spacing w:after="120" w:line="240" w:lineRule="auto"/>
      <w:ind w:left="420" w:leftChars="200" w:firstLine="420"/>
      <w:jc w:val="both"/>
      <w:textAlignment w:val="baseline"/>
    </w:pPr>
    <w:rPr>
      <w:sz w:val="21"/>
      <w:szCs w:val="21"/>
    </w:rPr>
  </w:style>
  <w:style w:type="paragraph" w:customStyle="1" w:styleId="288">
    <w:name w:val="BodyTextIndent"/>
    <w:basedOn w:val="1"/>
    <w:next w:val="287"/>
    <w:qFormat/>
    <w:uiPriority w:val="0"/>
    <w:pPr>
      <w:spacing w:after="120"/>
      <w:ind w:left="420" w:leftChars="200"/>
      <w:jc w:val="both"/>
      <w:textAlignment w:val="baseline"/>
    </w:pPr>
  </w:style>
  <w:style w:type="paragraph" w:customStyle="1" w:styleId="289">
    <w:name w:val="表格文字"/>
    <w:basedOn w:val="1"/>
    <w:next w:val="6"/>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58</Pages>
  <Words>32307</Words>
  <Characters>34169</Characters>
  <Lines>287</Lines>
  <Paragraphs>80</Paragraphs>
  <TotalTime>4</TotalTime>
  <ScaleCrop>false</ScaleCrop>
  <LinksUpToDate>false</LinksUpToDate>
  <CharactersWithSpaces>37237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2021-05-31T12:42:00Z</dcterms:created>
  <dc:creator>微软用户</dc:creator>
  <cp:lastModifiedBy>短短</cp:lastModifiedBy>
  <cp:lastPrinted>2022-09-15T09:18:00Z</cp:lastPrinted>
  <dcterms:modified xsi:type="dcterms:W3CDTF">2022-09-22T09:04:23Z</dcterms:modified>
  <dc:title>永康市疾病预防控制中心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F4AFC7C68AC2421883289039C912F845</vt:lpwstr>
  </property>
</Properties>
</file>