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Theme="majorEastAsia" w:hAnsiTheme="majorEastAsia" w:eastAsiaTheme="majorEastAsia"/>
          <w:b/>
          <w:color w:val="auto"/>
          <w:kern w:val="0"/>
          <w:sz w:val="72"/>
          <w:szCs w:val="72"/>
          <w:highlight w:val="none"/>
        </w:rPr>
      </w:pPr>
    </w:p>
    <w:p>
      <w:pPr>
        <w:adjustRightInd w:val="0"/>
        <w:snapToGrid w:val="0"/>
        <w:spacing w:line="1200" w:lineRule="exact"/>
        <w:jc w:val="center"/>
        <w:rPr>
          <w:rFonts w:ascii="宋体" w:hAnsi="宋体" w:cs="宋体"/>
          <w:b/>
          <w:bCs/>
          <w:color w:val="auto"/>
          <w:sz w:val="72"/>
          <w:highlight w:val="none"/>
        </w:rPr>
      </w:pPr>
      <w:r>
        <w:rPr>
          <w:rFonts w:hint="eastAsia" w:ascii="宋体" w:hAnsi="宋体" w:cs="宋体"/>
          <w:b/>
          <w:bCs/>
          <w:color w:val="auto"/>
          <w:sz w:val="72"/>
          <w:highlight w:val="none"/>
        </w:rPr>
        <w:t>台州市政府采购</w:t>
      </w:r>
    </w:p>
    <w:p>
      <w:pPr>
        <w:adjustRightInd w:val="0"/>
        <w:snapToGrid w:val="0"/>
        <w:spacing w:line="1200" w:lineRule="exact"/>
        <w:jc w:val="center"/>
        <w:rPr>
          <w:rFonts w:ascii="宋体" w:hAnsi="宋体" w:cs="宋体"/>
          <w:b/>
          <w:bCs/>
          <w:color w:val="auto"/>
          <w:sz w:val="84"/>
          <w:szCs w:val="84"/>
          <w:highlight w:val="none"/>
        </w:rPr>
      </w:pPr>
      <w:r>
        <w:rPr>
          <w:rFonts w:hint="eastAsia" w:ascii="宋体" w:hAnsi="宋体" w:cs="宋体"/>
          <w:b/>
          <w:bCs/>
          <w:color w:val="auto"/>
          <w:sz w:val="84"/>
          <w:szCs w:val="84"/>
          <w:highlight w:val="none"/>
        </w:rPr>
        <w:t>招  标  文  件</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b/>
          <w:bCs/>
          <w:color w:val="auto"/>
          <w:kern w:val="0"/>
          <w:sz w:val="36"/>
          <w:szCs w:val="36"/>
          <w:highlight w:val="none"/>
        </w:rPr>
      </w:pPr>
      <w:r>
        <w:rPr>
          <w:rFonts w:hint="eastAsia" w:ascii="宋体"/>
          <w:b/>
          <w:bCs/>
          <w:color w:val="auto"/>
          <w:kern w:val="0"/>
          <w:sz w:val="36"/>
          <w:szCs w:val="36"/>
          <w:highlight w:val="none"/>
        </w:rPr>
        <w:t xml:space="preserve">   （电子招投标方式）</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color w:val="auto"/>
          <w:kern w:val="0"/>
          <w:sz w:val="28"/>
          <w:szCs w:val="28"/>
          <w:highlight w:val="none"/>
          <w:lang w:eastAsia="zh-CN"/>
        </w:rPr>
      </w:pPr>
      <w:r>
        <w:rPr>
          <w:rFonts w:hint="eastAsia" w:ascii="宋体"/>
          <w:color w:val="auto"/>
          <w:kern w:val="0"/>
          <w:sz w:val="28"/>
          <w:szCs w:val="28"/>
          <w:highlight w:val="none"/>
        </w:rPr>
        <w:t xml:space="preserve">   编号：</w:t>
      </w:r>
      <w:r>
        <w:rPr>
          <w:rFonts w:hint="eastAsia" w:ascii="宋体" w:hAnsi="宋体" w:cs="宋体"/>
          <w:color w:val="auto"/>
          <w:kern w:val="0"/>
          <w:sz w:val="28"/>
          <w:szCs w:val="28"/>
          <w:highlight w:val="none"/>
          <w:lang w:eastAsia="zh-CN"/>
        </w:rPr>
        <w:t xml:space="preserve">ZJJH-2022-132号 </w:t>
      </w:r>
    </w:p>
    <w:p>
      <w:pPr>
        <w:pStyle w:val="17"/>
        <w:jc w:val="center"/>
        <w:rPr>
          <w:color w:val="auto"/>
          <w:highlight w:val="none"/>
        </w:rPr>
      </w:pPr>
    </w:p>
    <w:p>
      <w:pPr>
        <w:pStyle w:val="18"/>
        <w:ind w:firstLine="0" w:firstLineChars="0"/>
        <w:rPr>
          <w:color w:val="auto"/>
          <w:highlight w:val="none"/>
        </w:rPr>
      </w:pPr>
    </w:p>
    <w:p>
      <w:pPr>
        <w:pStyle w:val="17"/>
        <w:jc w:val="center"/>
        <w:rPr>
          <w:color w:val="auto"/>
          <w:highlight w:val="none"/>
        </w:rPr>
      </w:pPr>
    </w:p>
    <w:p>
      <w:pPr>
        <w:spacing w:line="600" w:lineRule="auto"/>
        <w:ind w:left="1600" w:hanging="1600" w:hangingChars="500"/>
        <w:jc w:val="center"/>
        <w:rPr>
          <w:rFonts w:ascii="宋体" w:hAnsi="宋体" w:cs="宋体"/>
          <w:color w:val="auto"/>
          <w:kern w:val="0"/>
          <w:sz w:val="32"/>
          <w:highlight w:val="none"/>
        </w:rPr>
      </w:pPr>
    </w:p>
    <w:p>
      <w:pPr>
        <w:spacing w:line="360" w:lineRule="auto"/>
        <w:ind w:left="1600" w:hanging="1600" w:hangingChars="500"/>
        <w:jc w:val="center"/>
        <w:rPr>
          <w:rFonts w:hint="eastAsia" w:eastAsia="宋体"/>
          <w:color w:val="auto"/>
          <w:sz w:val="22"/>
          <w:szCs w:val="28"/>
          <w:highlight w:val="none"/>
          <w:lang w:eastAsia="zh-CN"/>
        </w:rPr>
      </w:pPr>
      <w:r>
        <w:rPr>
          <w:rFonts w:hint="eastAsia" w:ascii="宋体"/>
          <w:color w:val="auto"/>
          <w:kern w:val="0"/>
          <w:sz w:val="32"/>
          <w:szCs w:val="32"/>
          <w:highlight w:val="none"/>
        </w:rPr>
        <w:t>采购项目：</w:t>
      </w:r>
      <w:r>
        <w:rPr>
          <w:rFonts w:hint="eastAsia" w:ascii="宋体"/>
          <w:color w:val="auto"/>
          <w:kern w:val="0"/>
          <w:sz w:val="32"/>
          <w:szCs w:val="32"/>
          <w:highlight w:val="none"/>
          <w:u w:val="single"/>
          <w:lang w:eastAsia="zh-CN"/>
        </w:rPr>
        <w:t>垃圾处置清理及环境整治工程</w:t>
      </w:r>
    </w:p>
    <w:p>
      <w:pPr>
        <w:spacing w:line="600" w:lineRule="auto"/>
        <w:jc w:val="center"/>
        <w:rPr>
          <w:rFonts w:ascii="宋体"/>
          <w:color w:val="auto"/>
          <w:kern w:val="0"/>
          <w:sz w:val="32"/>
          <w:szCs w:val="32"/>
          <w:highlight w:val="none"/>
          <w:u w:val="single"/>
        </w:rPr>
      </w:pPr>
      <w:r>
        <w:rPr>
          <w:rFonts w:hint="eastAsia" w:ascii="宋体"/>
          <w:color w:val="auto"/>
          <w:kern w:val="0"/>
          <w:sz w:val="32"/>
          <w:szCs w:val="32"/>
          <w:highlight w:val="none"/>
        </w:rPr>
        <w:t>采 购 人：</w:t>
      </w:r>
      <w:r>
        <w:rPr>
          <w:rFonts w:hint="eastAsia" w:ascii="宋体"/>
          <w:color w:val="auto"/>
          <w:kern w:val="0"/>
          <w:sz w:val="32"/>
          <w:szCs w:val="32"/>
          <w:highlight w:val="none"/>
          <w:u w:val="single"/>
        </w:rPr>
        <w:t xml:space="preserve"> 台州湾新区管理委员会</w:t>
      </w:r>
    </w:p>
    <w:p>
      <w:pPr>
        <w:pStyle w:val="17"/>
        <w:rPr>
          <w:color w:val="auto"/>
          <w:highlight w:val="none"/>
        </w:rPr>
      </w:pPr>
    </w:p>
    <w:p>
      <w:pPr>
        <w:spacing w:line="360" w:lineRule="auto"/>
        <w:jc w:val="center"/>
        <w:rPr>
          <w:rFonts w:ascii="宋体"/>
          <w:color w:val="auto"/>
          <w:kern w:val="0"/>
          <w:sz w:val="28"/>
          <w:szCs w:val="28"/>
          <w:highlight w:val="none"/>
        </w:rPr>
      </w:pPr>
    </w:p>
    <w:p>
      <w:pPr>
        <w:spacing w:line="360" w:lineRule="auto"/>
        <w:rPr>
          <w:rFonts w:ascii="宋体"/>
          <w:color w:val="auto"/>
          <w:kern w:val="0"/>
          <w:sz w:val="28"/>
          <w:szCs w:val="28"/>
          <w:highlight w:val="none"/>
        </w:rPr>
      </w:pPr>
    </w:p>
    <w:p>
      <w:pPr>
        <w:pStyle w:val="17"/>
        <w:rPr>
          <w:color w:val="auto"/>
          <w:highlight w:val="none"/>
        </w:rPr>
      </w:pPr>
    </w:p>
    <w:p>
      <w:pPr>
        <w:spacing w:line="360" w:lineRule="auto"/>
        <w:jc w:val="center"/>
        <w:rPr>
          <w:rFonts w:ascii="宋体"/>
          <w:color w:val="auto"/>
          <w:kern w:val="0"/>
          <w:sz w:val="28"/>
          <w:szCs w:val="28"/>
          <w:highlight w:val="none"/>
        </w:rPr>
      </w:pPr>
      <w:r>
        <w:rPr>
          <w:rFonts w:hint="eastAsia" w:ascii="宋体"/>
          <w:color w:val="auto"/>
          <w:kern w:val="0"/>
          <w:sz w:val="28"/>
          <w:szCs w:val="28"/>
          <w:highlight w:val="none"/>
        </w:rPr>
        <w:t>浙江建航工程咨询有限公司</w:t>
      </w:r>
    </w:p>
    <w:p>
      <w:pPr>
        <w:pStyle w:val="17"/>
        <w:rPr>
          <w:color w:val="auto"/>
          <w:highlight w:val="none"/>
        </w:rPr>
      </w:pPr>
    </w:p>
    <w:p>
      <w:pPr>
        <w:pStyle w:val="18"/>
        <w:ind w:firstLine="304"/>
        <w:jc w:val="center"/>
        <w:rPr>
          <w:color w:val="auto"/>
          <w:highlight w:val="none"/>
        </w:rPr>
      </w:pPr>
      <w:r>
        <w:rPr>
          <w:rFonts w:hint="eastAsia" w:ascii="宋体"/>
          <w:color w:val="auto"/>
          <w:szCs w:val="28"/>
          <w:highlight w:val="none"/>
        </w:rPr>
        <w:t>二0二</w:t>
      </w:r>
      <w:r>
        <w:rPr>
          <w:rFonts w:hint="eastAsia" w:ascii="宋体"/>
          <w:color w:val="auto"/>
          <w:szCs w:val="28"/>
          <w:highlight w:val="none"/>
          <w:lang w:eastAsia="zh-CN"/>
        </w:rPr>
        <w:t>二</w:t>
      </w:r>
      <w:r>
        <w:rPr>
          <w:rFonts w:hint="eastAsia" w:ascii="宋体"/>
          <w:color w:val="auto"/>
          <w:szCs w:val="28"/>
          <w:highlight w:val="none"/>
        </w:rPr>
        <w:t>年</w:t>
      </w:r>
      <w:r>
        <w:rPr>
          <w:rFonts w:hint="eastAsia" w:ascii="宋体"/>
          <w:color w:val="auto"/>
          <w:szCs w:val="28"/>
          <w:highlight w:val="none"/>
          <w:lang w:eastAsia="zh-CN"/>
        </w:rPr>
        <w:t>七</w:t>
      </w:r>
      <w:r>
        <w:rPr>
          <w:rFonts w:hint="eastAsia" w:ascii="宋体"/>
          <w:color w:val="auto"/>
          <w:szCs w:val="28"/>
          <w:highlight w:val="none"/>
        </w:rPr>
        <w:t>月</w:t>
      </w:r>
    </w:p>
    <w:p>
      <w:pPr>
        <w:rPr>
          <w:rFonts w:ascii="宋体" w:hAnsi="宋体" w:cs="宋体"/>
          <w:b/>
          <w:bCs/>
          <w:color w:val="auto"/>
          <w:sz w:val="36"/>
          <w:szCs w:val="36"/>
          <w:highlight w:val="none"/>
        </w:rPr>
      </w:pPr>
    </w:p>
    <w:p>
      <w:pPr>
        <w:jc w:val="center"/>
        <w:rPr>
          <w:rFonts w:ascii="宋体" w:hAnsi="宋体" w:cs="宋体"/>
          <w:b/>
          <w:bCs/>
          <w:color w:val="auto"/>
          <w:sz w:val="36"/>
          <w:szCs w:val="36"/>
          <w:highlight w:val="none"/>
        </w:rPr>
      </w:pPr>
    </w:p>
    <w:p>
      <w:pPr>
        <w:jc w:val="center"/>
        <w:rPr>
          <w:rFonts w:hint="eastAsia" w:ascii="宋体" w:hAnsi="宋体" w:cs="宋体"/>
          <w:b/>
          <w:bCs/>
          <w:color w:val="auto"/>
          <w:sz w:val="36"/>
          <w:szCs w:val="36"/>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cs="宋体"/>
          <w:b/>
          <w:color w:val="auto"/>
          <w:sz w:val="36"/>
          <w:highlight w:val="none"/>
        </w:rPr>
      </w:pPr>
    </w:p>
    <w:p>
      <w:pPr>
        <w:spacing w:line="360" w:lineRule="auto"/>
        <w:rPr>
          <w:rFonts w:ascii="宋体" w:hAnsi="宋体" w:cs="宋体"/>
          <w:color w:val="auto"/>
          <w:sz w:val="28"/>
          <w:szCs w:val="28"/>
          <w:highlight w:val="none"/>
        </w:rPr>
      </w:pPr>
    </w:p>
    <w:p>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公开招标采购公告</w:t>
      </w:r>
    </w:p>
    <w:p>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投标人须知</w:t>
      </w:r>
    </w:p>
    <w:p>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评标办法及评分标准</w:t>
      </w:r>
    </w:p>
    <w:p>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公开招标需求</w:t>
      </w:r>
    </w:p>
    <w:p>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政府采购合同主要条款指引</w:t>
      </w:r>
    </w:p>
    <w:p>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电子投标文件格式附件</w:t>
      </w: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pStyle w:val="40"/>
        <w:rPr>
          <w:color w:val="auto"/>
          <w:highlight w:val="none"/>
        </w:rPr>
      </w:pPr>
    </w:p>
    <w:p>
      <w:pPr>
        <w:rPr>
          <w:color w:val="auto"/>
          <w:highlight w:val="none"/>
        </w:rPr>
      </w:pPr>
    </w:p>
    <w:p>
      <w:pPr>
        <w:pStyle w:val="13"/>
        <w:rPr>
          <w:color w:val="auto"/>
          <w:highlight w:val="none"/>
        </w:rPr>
      </w:pPr>
    </w:p>
    <w:p>
      <w:pPr>
        <w:rPr>
          <w:color w:val="auto"/>
          <w:highlight w:val="none"/>
        </w:rPr>
      </w:pPr>
    </w:p>
    <w:p>
      <w:pPr>
        <w:pStyle w:val="42"/>
        <w:spacing w:after="240"/>
        <w:ind w:left="420" w:firstLine="480"/>
        <w:rPr>
          <w:color w:val="auto"/>
          <w:highlight w:val="none"/>
        </w:rPr>
      </w:pPr>
    </w:p>
    <w:p>
      <w:pPr>
        <w:pStyle w:val="13"/>
        <w:rPr>
          <w:color w:val="auto"/>
          <w:highlight w:val="none"/>
        </w:rPr>
      </w:pPr>
    </w:p>
    <w:p>
      <w:pPr>
        <w:rPr>
          <w:color w:val="auto"/>
          <w:highlight w:val="none"/>
        </w:rPr>
      </w:pPr>
    </w:p>
    <w:p>
      <w:pPr>
        <w:pStyle w:val="18"/>
        <w:rPr>
          <w:color w:val="auto"/>
          <w:highlight w:val="none"/>
        </w:rPr>
      </w:pPr>
    </w:p>
    <w:p>
      <w:pPr>
        <w:pStyle w:val="42"/>
        <w:spacing w:after="240"/>
        <w:ind w:left="420" w:firstLine="480"/>
        <w:rPr>
          <w:color w:val="auto"/>
          <w:highlight w:val="none"/>
        </w:rPr>
      </w:pPr>
    </w:p>
    <w:p>
      <w:pPr>
        <w:spacing w:line="360" w:lineRule="auto"/>
        <w:rPr>
          <w:rFonts w:ascii="宋体" w:hAnsi="宋体" w:cs="宋体"/>
          <w:color w:val="auto"/>
          <w:highlight w:val="none"/>
        </w:rPr>
      </w:pPr>
    </w:p>
    <w:p>
      <w:pPr>
        <w:numPr>
          <w:ilvl w:val="0"/>
          <w:numId w:val="9"/>
        </w:numPr>
        <w:jc w:val="center"/>
        <w:rPr>
          <w:rFonts w:ascii="宋体" w:hAnsi="宋体" w:cs="宋体"/>
          <w:b/>
          <w:color w:val="auto"/>
          <w:sz w:val="36"/>
          <w:szCs w:val="36"/>
          <w:highlight w:val="none"/>
        </w:rPr>
      </w:pPr>
      <w:r>
        <w:rPr>
          <w:rFonts w:hint="eastAsia" w:ascii="宋体" w:hAnsi="宋体" w:cs="宋体"/>
          <w:b/>
          <w:color w:val="auto"/>
          <w:kern w:val="0"/>
          <w:sz w:val="36"/>
          <w:szCs w:val="36"/>
          <w:highlight w:val="none"/>
        </w:rPr>
        <w:t xml:space="preserve"> 公开</w:t>
      </w:r>
      <w:r>
        <w:rPr>
          <w:rFonts w:hint="eastAsia" w:ascii="宋体" w:hAnsi="宋体" w:cs="宋体"/>
          <w:b/>
          <w:color w:val="auto"/>
          <w:sz w:val="36"/>
          <w:szCs w:val="36"/>
          <w:highlight w:val="none"/>
        </w:rPr>
        <w:t>招标采购公告</w:t>
      </w:r>
    </w:p>
    <w:p>
      <w:pPr>
        <w:pStyle w:val="56"/>
        <w:rPr>
          <w:color w:val="auto"/>
          <w:highlight w:val="none"/>
        </w:rPr>
      </w:pPr>
    </w:p>
    <w:p>
      <w:pPr>
        <w:tabs>
          <w:tab w:val="left" w:pos="180"/>
          <w:tab w:val="left" w:pos="360"/>
          <w:tab w:val="left" w:pos="540"/>
          <w:tab w:val="left" w:pos="8280"/>
        </w:tabs>
        <w:autoSpaceDE w:val="0"/>
        <w:autoSpaceDN w:val="0"/>
        <w:adjustRightInd w:val="0"/>
        <w:spacing w:beforeLines="100" w:line="360" w:lineRule="auto"/>
        <w:ind w:right="23" w:firstLine="539"/>
        <w:jc w:val="left"/>
        <w:rPr>
          <w:rFonts w:ascii="宋体" w:hAnsi="宋体" w:cs="宋体"/>
          <w:color w:val="auto"/>
          <w:sz w:val="24"/>
          <w:highlight w:val="none"/>
        </w:rPr>
      </w:pPr>
      <w:r>
        <w:rPr>
          <w:rFonts w:hint="eastAsia" w:ascii="宋体" w:hAnsi="宋体" w:cs="宋体"/>
          <w:color w:val="auto"/>
          <w:kern w:val="0"/>
          <w:sz w:val="24"/>
          <w:highlight w:val="none"/>
        </w:rPr>
        <w:t>根据《中华人民共和国政府采购法》、《中华人民共和国政府采购法实施条例》和财政部令第87号《政府采购货物和服务招标投标管理办法》等有关规定, 受采购人委托，现就台州湾新区管理委员会</w:t>
      </w:r>
      <w:r>
        <w:rPr>
          <w:rFonts w:hint="eastAsia" w:ascii="宋体" w:hAnsi="宋体" w:cs="宋体"/>
          <w:color w:val="auto"/>
          <w:kern w:val="0"/>
          <w:sz w:val="24"/>
          <w:highlight w:val="none"/>
          <w:lang w:eastAsia="zh-CN"/>
        </w:rPr>
        <w:t>垃圾处置清理及环境整治工程</w:t>
      </w:r>
      <w:r>
        <w:rPr>
          <w:rFonts w:hint="eastAsia" w:ascii="宋体" w:hAnsi="宋体" w:cs="宋体"/>
          <w:color w:val="auto"/>
          <w:kern w:val="0"/>
          <w:sz w:val="24"/>
          <w:highlight w:val="none"/>
        </w:rPr>
        <w:t>进行公开招标采购，欢迎合格供应商前来投标（电子招投标）。</w:t>
      </w:r>
    </w:p>
    <w:p>
      <w:pPr>
        <w:tabs>
          <w:tab w:val="left" w:pos="180"/>
          <w:tab w:val="left" w:pos="360"/>
          <w:tab w:val="left" w:pos="540"/>
          <w:tab w:val="left" w:pos="8280"/>
        </w:tabs>
        <w:autoSpaceDE w:val="0"/>
        <w:autoSpaceDN w:val="0"/>
        <w:spacing w:line="360" w:lineRule="auto"/>
        <w:ind w:firstLine="482" w:firstLineChars="200"/>
        <w:rPr>
          <w:rFonts w:hint="eastAsia" w:ascii="宋体" w:hAnsi="宋体" w:eastAsia="宋体" w:cs="宋体"/>
          <w:color w:val="auto"/>
          <w:kern w:val="0"/>
          <w:sz w:val="24"/>
          <w:highlight w:val="none"/>
          <w:lang w:eastAsia="zh-CN"/>
        </w:rPr>
      </w:pPr>
      <w:r>
        <w:rPr>
          <w:rFonts w:hint="eastAsia" w:ascii="宋体" w:hAnsi="宋体" w:cs="宋体"/>
          <w:b/>
          <w:color w:val="auto"/>
          <w:kern w:val="0"/>
          <w:sz w:val="24"/>
          <w:highlight w:val="none"/>
        </w:rPr>
        <w:t>一、项目编号：</w:t>
      </w:r>
      <w:r>
        <w:rPr>
          <w:rFonts w:hint="eastAsia" w:ascii="宋体" w:hAnsi="宋体" w:cs="宋体"/>
          <w:b/>
          <w:color w:val="auto"/>
          <w:kern w:val="0"/>
          <w:sz w:val="24"/>
          <w:highlight w:val="none"/>
          <w:lang w:eastAsia="zh-CN"/>
        </w:rPr>
        <w:t xml:space="preserve">ZJJH-2022-132号 </w:t>
      </w:r>
    </w:p>
    <w:p>
      <w:pPr>
        <w:tabs>
          <w:tab w:val="left" w:pos="180"/>
          <w:tab w:val="left" w:pos="360"/>
          <w:tab w:val="left" w:pos="540"/>
          <w:tab w:val="left" w:pos="8280"/>
        </w:tabs>
        <w:autoSpaceDE w:val="0"/>
        <w:autoSpaceDN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二、招标项目概况：</w:t>
      </w:r>
    </w:p>
    <w:p>
      <w:pPr>
        <w:tabs>
          <w:tab w:val="left" w:pos="8280"/>
        </w:tabs>
        <w:autoSpaceDE w:val="0"/>
        <w:autoSpaceDN w:val="0"/>
        <w:adjustRightInd w:val="0"/>
        <w:spacing w:line="360" w:lineRule="auto"/>
        <w:ind w:right="25" w:firstLine="280"/>
        <w:rPr>
          <w:rFonts w:ascii="宋体" w:hAnsi="宋体" w:cs="宋体"/>
          <w:color w:val="auto"/>
          <w:sz w:val="24"/>
          <w:highlight w:val="none"/>
        </w:rPr>
      </w:pPr>
      <w:r>
        <w:rPr>
          <w:rFonts w:hint="eastAsia" w:ascii="宋体" w:hAnsi="宋体" w:cs="宋体"/>
          <w:color w:val="auto"/>
          <w:sz w:val="24"/>
          <w:highlight w:val="none"/>
        </w:rPr>
        <w:t>本次招标共</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个标段，具体内容如下表：</w:t>
      </w:r>
    </w:p>
    <w:tbl>
      <w:tblPr>
        <w:tblStyle w:val="43"/>
        <w:tblW w:w="9829" w:type="dxa"/>
        <w:tblInd w:w="-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090"/>
        <w:gridCol w:w="1725"/>
        <w:gridCol w:w="765"/>
        <w:gridCol w:w="1020"/>
        <w:gridCol w:w="1215"/>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960"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标段号</w:t>
            </w:r>
          </w:p>
        </w:tc>
        <w:tc>
          <w:tcPr>
            <w:tcW w:w="3090" w:type="dxa"/>
            <w:vAlign w:val="center"/>
          </w:tcPr>
          <w:p>
            <w:pPr>
              <w:tabs>
                <w:tab w:val="left" w:pos="8280"/>
              </w:tabs>
              <w:autoSpaceDE w:val="0"/>
              <w:autoSpaceDN w:val="0"/>
              <w:adjustRightInd w:val="0"/>
              <w:spacing w:line="360" w:lineRule="auto"/>
              <w:ind w:right="25" w:firstLine="120" w:firstLineChars="50"/>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725"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内容</w:t>
            </w:r>
          </w:p>
        </w:tc>
        <w:tc>
          <w:tcPr>
            <w:tcW w:w="765"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020"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1215"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预算</w:t>
            </w:r>
          </w:p>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（万元）</w:t>
            </w:r>
          </w:p>
        </w:tc>
        <w:tc>
          <w:tcPr>
            <w:tcW w:w="1054"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960" w:type="dxa"/>
            <w:vAlign w:val="center"/>
          </w:tcPr>
          <w:p>
            <w:pPr>
              <w:tabs>
                <w:tab w:val="left" w:pos="8280"/>
              </w:tabs>
              <w:autoSpaceDE w:val="0"/>
              <w:autoSpaceDN w:val="0"/>
              <w:adjustRightInd w:val="0"/>
              <w:spacing w:line="360" w:lineRule="auto"/>
              <w:ind w:right="25"/>
              <w:jc w:val="center"/>
              <w:rPr>
                <w:rFonts w:ascii="宋体" w:hAnsi="宋体" w:cs="宋体"/>
                <w:color w:val="auto"/>
                <w:sz w:val="24"/>
                <w:highlight w:val="none"/>
              </w:rPr>
            </w:pPr>
            <w:r>
              <w:rPr>
                <w:rFonts w:hint="eastAsia" w:ascii="宋体" w:hAnsi="宋体" w:cs="宋体"/>
                <w:color w:val="auto"/>
                <w:sz w:val="24"/>
                <w:highlight w:val="none"/>
              </w:rPr>
              <w:t>1</w:t>
            </w:r>
          </w:p>
        </w:tc>
        <w:tc>
          <w:tcPr>
            <w:tcW w:w="3090" w:type="dxa"/>
            <w:vAlign w:val="center"/>
          </w:tcPr>
          <w:p>
            <w:pPr>
              <w:jc w:val="center"/>
              <w:rPr>
                <w:rFonts w:hint="eastAsia" w:ascii="宋体" w:hAnsi="宋体" w:eastAsia="宋体" w:cs="宋体"/>
                <w:color w:val="auto"/>
                <w:sz w:val="24"/>
                <w:highlight w:val="none"/>
                <w:lang w:eastAsia="zh-CN"/>
              </w:rPr>
            </w:pPr>
            <w:r>
              <w:rPr>
                <w:rFonts w:hint="eastAsia" w:hAnsi="宋体" w:cs="仿宋_GB2312"/>
                <w:color w:val="auto"/>
                <w:sz w:val="24"/>
                <w:highlight w:val="none"/>
                <w:lang w:eastAsia="zh-CN"/>
              </w:rPr>
              <w:t>垃圾处置清理及环境整治工程</w:t>
            </w:r>
          </w:p>
        </w:tc>
        <w:tc>
          <w:tcPr>
            <w:tcW w:w="172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详见具体技术需求</w:t>
            </w:r>
          </w:p>
        </w:tc>
        <w:tc>
          <w:tcPr>
            <w:tcW w:w="76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02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项</w:t>
            </w:r>
          </w:p>
        </w:tc>
        <w:tc>
          <w:tcPr>
            <w:tcW w:w="1215" w:type="dxa"/>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115.5</w:t>
            </w:r>
          </w:p>
        </w:tc>
        <w:tc>
          <w:tcPr>
            <w:tcW w:w="105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一年</w:t>
            </w:r>
          </w:p>
        </w:tc>
      </w:tr>
    </w:tbl>
    <w:p>
      <w:pPr>
        <w:widowControl/>
        <w:tabs>
          <w:tab w:val="left" w:pos="0"/>
        </w:tabs>
        <w:spacing w:line="360" w:lineRule="auto"/>
        <w:rPr>
          <w:color w:val="auto"/>
          <w:highlight w:val="none"/>
        </w:rPr>
      </w:pPr>
      <w:r>
        <w:rPr>
          <w:rFonts w:hint="eastAsia" w:ascii="宋体" w:hAnsi="宋体" w:cs="宋体"/>
          <w:b/>
          <w:color w:val="auto"/>
          <w:sz w:val="24"/>
          <w:highlight w:val="none"/>
          <w:u w:val="single"/>
        </w:rPr>
        <w:t>本项目采用“电子交易”的方式提交投标文件，请各供应商按照要求进行。</w:t>
      </w:r>
    </w:p>
    <w:p>
      <w:pPr>
        <w:widowControl/>
        <w:tabs>
          <w:tab w:val="left" w:pos="0"/>
        </w:tabs>
        <w:spacing w:line="360" w:lineRule="auto"/>
        <w:rPr>
          <w:rFonts w:ascii="宋体" w:hAnsi="宋体" w:cs="宋体"/>
          <w:color w:val="auto"/>
          <w:sz w:val="24"/>
          <w:highlight w:val="none"/>
        </w:rPr>
      </w:pPr>
      <w:r>
        <w:rPr>
          <w:rFonts w:hint="eastAsia" w:ascii="宋体" w:hAnsi="宋体" w:cs="宋体"/>
          <w:color w:val="auto"/>
          <w:sz w:val="24"/>
          <w:highlight w:val="none"/>
        </w:rPr>
        <w:t>注：采购依据：台财采确[202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3530</w:t>
      </w:r>
      <w:r>
        <w:rPr>
          <w:rFonts w:hint="eastAsia" w:ascii="宋体" w:hAnsi="宋体" w:cs="宋体"/>
          <w:color w:val="auto"/>
          <w:sz w:val="24"/>
          <w:highlight w:val="none"/>
        </w:rPr>
        <w:t>号。</w:t>
      </w:r>
    </w:p>
    <w:p>
      <w:pPr>
        <w:tabs>
          <w:tab w:val="left" w:pos="180"/>
          <w:tab w:val="left" w:pos="360"/>
          <w:tab w:val="left" w:pos="540"/>
          <w:tab w:val="left" w:pos="8280"/>
        </w:tabs>
        <w:autoSpaceDE w:val="0"/>
        <w:autoSpaceDN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sz w:val="24"/>
          <w:highlight w:val="none"/>
        </w:rPr>
        <w:t>三、合格投标人的资格条件：</w:t>
      </w:r>
    </w:p>
    <w:p>
      <w:pPr>
        <w:tabs>
          <w:tab w:val="left" w:pos="180"/>
          <w:tab w:val="left" w:pos="360"/>
          <w:tab w:val="left" w:pos="540"/>
          <w:tab w:val="left" w:pos="8280"/>
        </w:tabs>
        <w:autoSpaceDE w:val="0"/>
        <w:autoSpaceDN w:val="0"/>
        <w:adjustRightInd w:val="0"/>
        <w:spacing w:line="360" w:lineRule="auto"/>
        <w:ind w:right="23" w:firstLine="480" w:firstLineChars="200"/>
        <w:rPr>
          <w:rFonts w:ascii="宋体" w:hAnsi="宋体"/>
          <w:bCs/>
          <w:color w:val="auto"/>
          <w:sz w:val="24"/>
          <w:highlight w:val="none"/>
        </w:rPr>
      </w:pPr>
      <w:r>
        <w:rPr>
          <w:rFonts w:hint="eastAsia" w:ascii="宋体" w:hAnsi="宋体"/>
          <w:bCs/>
          <w:color w:val="auto"/>
          <w:sz w:val="24"/>
          <w:highlight w:val="none"/>
        </w:rPr>
        <w:t>1、符合《中华人民共和国政府采购法》第二十二条规定；</w:t>
      </w:r>
    </w:p>
    <w:p>
      <w:pPr>
        <w:spacing w:line="360" w:lineRule="auto"/>
        <w:ind w:firstLine="480" w:firstLineChars="200"/>
        <w:rPr>
          <w:rFonts w:ascii="宋体" w:hAnsi="宋体"/>
          <w:b/>
          <w:color w:val="auto"/>
          <w:sz w:val="24"/>
          <w:highlight w:val="none"/>
        </w:rPr>
      </w:pPr>
      <w:bookmarkStart w:id="0" w:name="OLE_LINK10"/>
      <w:r>
        <w:rPr>
          <w:rFonts w:hint="eastAsia" w:ascii="宋体" w:hAnsi="宋体" w:cs="宋体"/>
          <w:color w:val="auto"/>
          <w:sz w:val="24"/>
          <w:highlight w:val="none"/>
        </w:rPr>
        <w:t>2、</w:t>
      </w:r>
      <w:r>
        <w:rPr>
          <w:rFonts w:hint="eastAsia" w:ascii="宋体" w:hAnsi="宋体"/>
          <w:bCs/>
          <w:color w:val="auto"/>
          <w:sz w:val="24"/>
          <w:highlight w:val="none"/>
        </w:rPr>
        <w:t>落实政府采购政策需满足的资格要求：</w:t>
      </w:r>
      <w:r>
        <w:rPr>
          <w:rFonts w:hint="eastAsia" w:ascii="宋体" w:hAnsi="宋体" w:cs="宋体"/>
          <w:b/>
          <w:color w:val="auto"/>
          <w:sz w:val="24"/>
          <w:highlight w:val="none"/>
        </w:rPr>
        <w:t>本项目属于专门面向中小企业采购的项目,供应商应为中小微企业、监狱企业、残疾人福利性单位</w:t>
      </w:r>
      <w:r>
        <w:rPr>
          <w:rFonts w:hint="eastAsia" w:ascii="宋体" w:hAnsi="宋体"/>
          <w:b/>
          <w:bCs w:val="0"/>
          <w:color w:val="auto"/>
          <w:sz w:val="24"/>
          <w:highlight w:val="none"/>
        </w:rPr>
        <w:t>。</w:t>
      </w:r>
    </w:p>
    <w:p>
      <w:pPr>
        <w:tabs>
          <w:tab w:val="left" w:pos="180"/>
          <w:tab w:val="left" w:pos="360"/>
          <w:tab w:val="left" w:pos="540"/>
          <w:tab w:val="left" w:pos="8280"/>
        </w:tabs>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3、本项目不接受联合体投标。</w:t>
      </w:r>
      <w:bookmarkEnd w:id="0"/>
    </w:p>
    <w:p>
      <w:pPr>
        <w:tabs>
          <w:tab w:val="left" w:pos="180"/>
          <w:tab w:val="left" w:pos="360"/>
          <w:tab w:val="left" w:pos="540"/>
          <w:tab w:val="left" w:pos="8280"/>
        </w:tabs>
        <w:autoSpaceDE w:val="0"/>
        <w:autoSpaceDN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四、招标文件获取的方式、时间：</w:t>
      </w:r>
    </w:p>
    <w:p>
      <w:pPr>
        <w:spacing w:line="360" w:lineRule="auto"/>
        <w:ind w:left="420"/>
        <w:rPr>
          <w:rFonts w:ascii="宋体" w:hAnsi="宋体" w:cs="宋体"/>
          <w:color w:val="auto"/>
          <w:sz w:val="24"/>
          <w:highlight w:val="none"/>
        </w:rPr>
      </w:pPr>
      <w:r>
        <w:rPr>
          <w:rFonts w:hint="eastAsia" w:ascii="宋体" w:hAnsi="宋体" w:cs="宋体"/>
          <w:color w:val="auto"/>
          <w:sz w:val="24"/>
          <w:highlight w:val="none"/>
        </w:rPr>
        <w:t>1、获取时间：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19</w:t>
      </w:r>
      <w:bookmarkStart w:id="7" w:name="_GoBack"/>
      <w:bookmarkEnd w:id="7"/>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日 ，每天上午00:00至12:00 ，下午12:00至23:59（北京时间，线上获取法定节假日均可）</w:t>
      </w:r>
    </w:p>
    <w:p>
      <w:pPr>
        <w:spacing w:line="360" w:lineRule="auto"/>
        <w:ind w:left="420"/>
        <w:rPr>
          <w:rFonts w:ascii="宋体" w:hAnsi="宋体" w:cs="宋体"/>
          <w:color w:val="auto"/>
          <w:sz w:val="24"/>
          <w:highlight w:val="none"/>
        </w:rPr>
      </w:pPr>
      <w:r>
        <w:rPr>
          <w:rFonts w:hint="eastAsia" w:ascii="宋体" w:hAnsi="宋体" w:cs="宋体"/>
          <w:color w:val="auto"/>
          <w:sz w:val="24"/>
          <w:highlight w:val="none"/>
        </w:rPr>
        <w:t>2、获取地点（网址）：政府采购云平台（www.zcygov.cn）</w:t>
      </w:r>
    </w:p>
    <w:p>
      <w:pPr>
        <w:spacing w:line="360" w:lineRule="auto"/>
        <w:ind w:left="420"/>
        <w:rPr>
          <w:rFonts w:ascii="宋体" w:hAnsi="宋体" w:cs="宋体"/>
          <w:b/>
          <w:bCs/>
          <w:color w:val="auto"/>
          <w:sz w:val="24"/>
          <w:highlight w:val="none"/>
        </w:rPr>
      </w:pPr>
      <w:r>
        <w:rPr>
          <w:rFonts w:hint="eastAsia" w:ascii="宋体" w:hAnsi="宋体" w:cs="宋体"/>
          <w:color w:val="auto"/>
          <w:sz w:val="24"/>
          <w:highlight w:val="none"/>
        </w:rPr>
        <w:t>3、获取方式：</w:t>
      </w:r>
      <w:r>
        <w:rPr>
          <w:rFonts w:hint="eastAsia" w:ascii="宋体" w:hAnsi="宋体" w:cs="宋体"/>
          <w:b/>
          <w:bCs/>
          <w:color w:val="auto"/>
          <w:sz w:val="24"/>
          <w:highlight w:val="none"/>
        </w:rPr>
        <w:t>在线获取，</w:t>
      </w:r>
      <w:r>
        <w:rPr>
          <w:rFonts w:hint="eastAsia" w:ascii="宋体" w:hAnsi="宋体" w:cs="宋体"/>
          <w:b/>
          <w:color w:val="auto"/>
          <w:sz w:val="24"/>
          <w:highlight w:val="none"/>
        </w:rPr>
        <w:t>不提供招标文件纸质版。</w:t>
      </w:r>
      <w:r>
        <w:rPr>
          <w:rFonts w:hint="eastAsia" w:ascii="宋体" w:hAnsi="宋体" w:cs="宋体"/>
          <w:b/>
          <w:bCs/>
          <w:color w:val="auto"/>
          <w:sz w:val="24"/>
          <w:highlight w:val="none"/>
        </w:rPr>
        <w:t>供应商获取招标文件前应先完成“浙江政府采购网”的账号注册。</w:t>
      </w:r>
    </w:p>
    <w:p>
      <w:pPr>
        <w:spacing w:line="360" w:lineRule="auto"/>
        <w:ind w:left="420" w:firstLine="480" w:firstLineChars="200"/>
        <w:rPr>
          <w:rFonts w:ascii="宋体" w:hAnsi="宋体" w:cs="宋体"/>
          <w:color w:val="auto"/>
          <w:sz w:val="24"/>
          <w:highlight w:val="none"/>
        </w:rPr>
      </w:pPr>
      <w:r>
        <w:rPr>
          <w:rFonts w:hint="eastAsia" w:ascii="宋体" w:hAnsi="宋体" w:cs="宋体"/>
          <w:color w:val="auto"/>
          <w:sz w:val="24"/>
          <w:highlight w:val="none"/>
        </w:rPr>
        <w:t>潜在供应商登陆政府采购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ind w:left="420"/>
        <w:rPr>
          <w:rFonts w:ascii="宋体" w:hAnsi="宋体" w:cs="宋体"/>
          <w:color w:val="auto"/>
          <w:sz w:val="24"/>
          <w:highlight w:val="none"/>
        </w:rPr>
      </w:pPr>
      <w:r>
        <w:rPr>
          <w:rFonts w:hint="eastAsia" w:ascii="宋体" w:hAnsi="宋体" w:cs="宋体"/>
          <w:color w:val="auto"/>
          <w:sz w:val="24"/>
          <w:highlight w:val="none"/>
        </w:rPr>
        <w:t xml:space="preserve">4、售价（元）：0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Style w:val="46"/>
          <w:rFonts w:hint="eastAsia" w:ascii="宋体" w:hAnsi="宋体" w:cs="宋体"/>
          <w:b w:val="0"/>
          <w:color w:val="auto"/>
          <w:sz w:val="24"/>
          <w:highlight w:val="none"/>
        </w:rPr>
        <w:t>供应商网上报名操作指南：“浙江政府采购网-办事指南-省采中心-网上报名”（http://zfcg.czt.zj.gov.cn/bs_other/2018-03-30/12002.html）。</w:t>
      </w:r>
    </w:p>
    <w:p>
      <w:pPr>
        <w:pStyle w:val="39"/>
        <w:spacing w:before="0" w:beforeAutospacing="0" w:after="0" w:afterAutospacing="0" w:line="360" w:lineRule="auto"/>
        <w:ind w:firstLine="480" w:firstLineChars="200"/>
        <w:rPr>
          <w:rFonts w:hint="default" w:cs="宋体"/>
          <w:color w:val="auto"/>
          <w:highlight w:val="none"/>
        </w:rPr>
      </w:pPr>
      <w:r>
        <w:rPr>
          <w:rStyle w:val="46"/>
          <w:rFonts w:cs="宋体"/>
          <w:b w:val="0"/>
          <w:color w:val="auto"/>
          <w:highlight w:val="none"/>
        </w:rPr>
        <w:t>6、供应商获取招标文件时须提交的文件资料：无；</w:t>
      </w:r>
    </w:p>
    <w:p>
      <w:pPr>
        <w:pStyle w:val="39"/>
        <w:spacing w:before="0" w:beforeAutospacing="0" w:after="0" w:afterAutospacing="0" w:line="360" w:lineRule="auto"/>
        <w:ind w:firstLine="482" w:firstLineChars="200"/>
        <w:rPr>
          <w:rStyle w:val="46"/>
          <w:rFonts w:hint="default" w:cs="宋体"/>
          <w:color w:val="auto"/>
          <w:highlight w:val="none"/>
        </w:rPr>
      </w:pPr>
      <w:r>
        <w:rPr>
          <w:rStyle w:val="46"/>
          <w:rFonts w:cs="宋体"/>
          <w:color w:val="auto"/>
          <w:highlight w:val="none"/>
        </w:rPr>
        <w:t>7、提示：</w:t>
      </w:r>
    </w:p>
    <w:p>
      <w:pPr>
        <w:pStyle w:val="39"/>
        <w:spacing w:before="0" w:beforeAutospacing="0" w:after="0" w:afterAutospacing="0" w:line="360" w:lineRule="auto"/>
        <w:ind w:firstLine="482" w:firstLineChars="200"/>
        <w:rPr>
          <w:rFonts w:hint="default" w:cs="宋体"/>
          <w:color w:val="auto"/>
          <w:highlight w:val="none"/>
        </w:rPr>
      </w:pPr>
      <w:r>
        <w:rPr>
          <w:rStyle w:val="46"/>
          <w:rFonts w:cs="宋体"/>
          <w:color w:val="auto"/>
          <w:highlight w:val="none"/>
        </w:rPr>
        <w:t>（1）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39"/>
        <w:spacing w:before="0" w:beforeAutospacing="0" w:after="0" w:afterAutospacing="0" w:line="360" w:lineRule="auto"/>
        <w:ind w:firstLine="480"/>
        <w:rPr>
          <w:rStyle w:val="46"/>
          <w:rFonts w:hint="default" w:cs="宋体"/>
          <w:color w:val="auto"/>
          <w:highlight w:val="none"/>
        </w:rPr>
      </w:pPr>
      <w:r>
        <w:rPr>
          <w:rStyle w:val="46"/>
          <w:rFonts w:cs="宋体"/>
          <w:color w:val="auto"/>
          <w:highlight w:val="none"/>
        </w:rPr>
        <w:t>（2）采购人、采购机构将依托政采云平台完成本项目的电子交易活动，平台不接受未按上述方式获取招标文件的供应商进行投标活动；</w:t>
      </w:r>
    </w:p>
    <w:p>
      <w:pPr>
        <w:pStyle w:val="39"/>
        <w:spacing w:before="0" w:beforeAutospacing="0" w:after="0" w:afterAutospacing="0" w:line="360" w:lineRule="auto"/>
        <w:ind w:firstLine="480"/>
        <w:rPr>
          <w:rStyle w:val="46"/>
          <w:rFonts w:hint="default" w:cs="宋体"/>
          <w:color w:val="auto"/>
          <w:highlight w:val="none"/>
        </w:rPr>
      </w:pPr>
      <w:r>
        <w:rPr>
          <w:rStyle w:val="46"/>
          <w:rFonts w:cs="宋体"/>
          <w:color w:val="auto"/>
          <w:highlight w:val="none"/>
        </w:rPr>
        <w:t>（3）对未按上述方式获取招标文件的供应商对该文件提出的质疑，采购人或采购代理机构将不予处理；</w:t>
      </w:r>
    </w:p>
    <w:p>
      <w:pPr>
        <w:pStyle w:val="39"/>
        <w:spacing w:before="0" w:beforeAutospacing="0" w:after="0" w:afterAutospacing="0" w:line="360" w:lineRule="auto"/>
        <w:ind w:firstLine="480"/>
        <w:rPr>
          <w:rStyle w:val="46"/>
          <w:rFonts w:hint="default" w:cs="宋体"/>
          <w:color w:val="auto"/>
          <w:highlight w:val="none"/>
        </w:rPr>
      </w:pPr>
      <w:r>
        <w:rPr>
          <w:rStyle w:val="46"/>
          <w:rFonts w:cs="宋体"/>
          <w:color w:val="auto"/>
          <w:highlight w:val="none"/>
        </w:rPr>
        <w:t>（4）请供应商按上述要求获取招标文件，如未在“政府采购云平台”系统内完成相关流程，引起的投标无效责任自负。</w:t>
      </w:r>
    </w:p>
    <w:p>
      <w:pPr>
        <w:spacing w:line="360" w:lineRule="auto"/>
        <w:ind w:firstLine="482" w:firstLineChars="200"/>
        <w:rPr>
          <w:rStyle w:val="46"/>
          <w:rFonts w:ascii="宋体" w:hAnsi="宋体" w:cs="宋体"/>
          <w:color w:val="auto"/>
          <w:kern w:val="0"/>
          <w:sz w:val="24"/>
          <w:highlight w:val="none"/>
        </w:rPr>
      </w:pPr>
      <w:r>
        <w:rPr>
          <w:rStyle w:val="46"/>
          <w:rFonts w:hint="eastAsia" w:ascii="宋体" w:hAnsi="宋体" w:cs="宋体"/>
          <w:color w:val="auto"/>
          <w:kern w:val="0"/>
          <w:sz w:val="24"/>
          <w:highlight w:val="none"/>
        </w:rPr>
        <w:t>注：在网上报名过程中如有任何疑问，请及时联系“政采云”平台客服：400-881-7190</w:t>
      </w:r>
    </w:p>
    <w:p>
      <w:pPr>
        <w:tabs>
          <w:tab w:val="left" w:pos="180"/>
          <w:tab w:val="left" w:pos="360"/>
          <w:tab w:val="left" w:pos="540"/>
          <w:tab w:val="left" w:pos="8280"/>
        </w:tabs>
        <w:autoSpaceDE w:val="0"/>
        <w:autoSpaceDN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五、招标答疑会</w:t>
      </w:r>
    </w:p>
    <w:p>
      <w:pPr>
        <w:tabs>
          <w:tab w:val="left" w:pos="180"/>
          <w:tab w:val="left" w:pos="360"/>
          <w:tab w:val="left" w:pos="540"/>
          <w:tab w:val="left" w:pos="8280"/>
        </w:tabs>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不组织。</w:t>
      </w:r>
    </w:p>
    <w:p>
      <w:pP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sz w:val="24"/>
          <w:highlight w:val="none"/>
        </w:rPr>
        <w:t>六、</w:t>
      </w:r>
      <w:r>
        <w:rPr>
          <w:rFonts w:hint="eastAsia" w:ascii="宋体" w:hAnsi="宋体" w:cs="宋体"/>
          <w:b/>
          <w:color w:val="auto"/>
          <w:kern w:val="0"/>
          <w:sz w:val="24"/>
          <w:highlight w:val="none"/>
        </w:rPr>
        <w:t>投标截止及开标时间、地点：</w:t>
      </w:r>
    </w:p>
    <w:p>
      <w:pP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
          <w:bCs/>
          <w:color w:val="auto"/>
          <w:sz w:val="24"/>
          <w:highlight w:val="none"/>
        </w:rPr>
        <w:t>提交投标文件截止时间及地点</w:t>
      </w:r>
      <w:r>
        <w:rPr>
          <w:rFonts w:hint="eastAsia" w:ascii="宋体" w:hAnsi="宋体" w:cs="宋体"/>
          <w:color w:val="auto"/>
          <w:sz w:val="24"/>
          <w:highlight w:val="none"/>
        </w:rPr>
        <w:t>：</w:t>
      </w:r>
      <w:r>
        <w:rPr>
          <w:rFonts w:hint="eastAsia" w:cs="宋体"/>
          <w:color w:val="auto"/>
          <w:sz w:val="24"/>
          <w:highlight w:val="none"/>
          <w:lang w:eastAsia="zh-CN"/>
        </w:rPr>
        <w:t>202</w:t>
      </w:r>
      <w:r>
        <w:rPr>
          <w:rFonts w:hint="eastAsia" w:cs="宋体"/>
          <w:color w:val="auto"/>
          <w:sz w:val="24"/>
          <w:highlight w:val="none"/>
          <w:lang w:val="en-US" w:eastAsia="zh-CN"/>
        </w:rPr>
        <w:t>2</w:t>
      </w:r>
      <w:r>
        <w:rPr>
          <w:rFonts w:hint="eastAsia" w:cs="宋体"/>
          <w:color w:val="auto"/>
          <w:sz w:val="24"/>
          <w:highlight w:val="none"/>
          <w:lang w:eastAsia="zh-CN"/>
        </w:rPr>
        <w:t>年</w:t>
      </w:r>
      <w:r>
        <w:rPr>
          <w:rFonts w:hint="eastAsia" w:cs="宋体"/>
          <w:color w:val="auto"/>
          <w:sz w:val="24"/>
          <w:highlight w:val="none"/>
          <w:lang w:val="en-US" w:eastAsia="zh-CN"/>
        </w:rPr>
        <w:t>8</w:t>
      </w:r>
      <w:r>
        <w:rPr>
          <w:rFonts w:hint="eastAsia" w:cs="宋体"/>
          <w:color w:val="auto"/>
          <w:sz w:val="24"/>
          <w:highlight w:val="none"/>
          <w:lang w:eastAsia="zh-CN"/>
        </w:rPr>
        <w:t>月</w:t>
      </w:r>
      <w:r>
        <w:rPr>
          <w:rFonts w:hint="eastAsia" w:cs="宋体"/>
          <w:color w:val="auto"/>
          <w:sz w:val="24"/>
          <w:highlight w:val="none"/>
          <w:lang w:val="en-US" w:eastAsia="zh-CN"/>
        </w:rPr>
        <w:t>8</w:t>
      </w:r>
      <w:r>
        <w:rPr>
          <w:rFonts w:hint="eastAsia" w:cs="宋体"/>
          <w:color w:val="auto"/>
          <w:sz w:val="24"/>
          <w:highlight w:val="none"/>
          <w:lang w:eastAsia="zh-CN"/>
        </w:rPr>
        <w:t>日09:30</w:t>
      </w:r>
      <w:r>
        <w:rPr>
          <w:rFonts w:hint="eastAsia" w:ascii="宋体" w:hAnsi="宋体" w:cs="宋体"/>
          <w:color w:val="auto"/>
          <w:sz w:val="24"/>
          <w:highlight w:val="none"/>
        </w:rPr>
        <w:t>（北京时间），地点（网址）：政府采购云平台（www.zcygov.cn） 实行在线投标响应</w:t>
      </w:r>
    </w:p>
    <w:p>
      <w:pP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82" w:firstLineChars="200"/>
        <w:rPr>
          <w:rFonts w:ascii="宋体" w:hAnsi="宋体" w:cs="宋体"/>
          <w:color w:val="auto"/>
          <w:sz w:val="24"/>
          <w:highlight w:val="none"/>
        </w:rPr>
      </w:pPr>
      <w:r>
        <w:rPr>
          <w:rFonts w:hint="eastAsia" w:cs="宋体"/>
          <w:b/>
          <w:bCs/>
          <w:color w:val="auto"/>
          <w:sz w:val="24"/>
          <w:highlight w:val="none"/>
        </w:rPr>
        <w:t>2、</w:t>
      </w:r>
      <w:r>
        <w:rPr>
          <w:rFonts w:hint="eastAsia" w:ascii="宋体" w:hAnsi="宋体" w:cs="宋体"/>
          <w:b/>
          <w:bCs/>
          <w:color w:val="auto"/>
          <w:sz w:val="24"/>
          <w:highlight w:val="none"/>
        </w:rPr>
        <w:t>开标时间及地点</w:t>
      </w:r>
      <w:r>
        <w:rPr>
          <w:rFonts w:hint="eastAsia" w:ascii="宋体" w:hAnsi="宋体" w:cs="宋体"/>
          <w:color w:val="auto"/>
          <w:sz w:val="24"/>
          <w:highlight w:val="none"/>
        </w:rPr>
        <w:t>：</w:t>
      </w:r>
      <w:r>
        <w:rPr>
          <w:rFonts w:hint="eastAsia" w:cs="宋体"/>
          <w:color w:val="auto"/>
          <w:sz w:val="24"/>
          <w:highlight w:val="none"/>
          <w:lang w:eastAsia="zh-CN"/>
        </w:rPr>
        <w:t>202</w:t>
      </w:r>
      <w:r>
        <w:rPr>
          <w:rFonts w:hint="eastAsia" w:cs="宋体"/>
          <w:color w:val="auto"/>
          <w:sz w:val="24"/>
          <w:highlight w:val="none"/>
          <w:lang w:val="en-US" w:eastAsia="zh-CN"/>
        </w:rPr>
        <w:t>2</w:t>
      </w:r>
      <w:r>
        <w:rPr>
          <w:rFonts w:hint="eastAsia" w:cs="宋体"/>
          <w:color w:val="auto"/>
          <w:sz w:val="24"/>
          <w:highlight w:val="none"/>
          <w:lang w:eastAsia="zh-CN"/>
        </w:rPr>
        <w:t>年</w:t>
      </w:r>
      <w:r>
        <w:rPr>
          <w:rFonts w:hint="eastAsia" w:cs="宋体"/>
          <w:color w:val="auto"/>
          <w:sz w:val="24"/>
          <w:highlight w:val="none"/>
          <w:lang w:val="en-US" w:eastAsia="zh-CN"/>
        </w:rPr>
        <w:t>8</w:t>
      </w:r>
      <w:r>
        <w:rPr>
          <w:rFonts w:hint="eastAsia" w:cs="宋体"/>
          <w:color w:val="auto"/>
          <w:sz w:val="24"/>
          <w:highlight w:val="none"/>
          <w:lang w:eastAsia="zh-CN"/>
        </w:rPr>
        <w:t>月</w:t>
      </w:r>
      <w:r>
        <w:rPr>
          <w:rFonts w:hint="eastAsia" w:cs="宋体"/>
          <w:color w:val="auto"/>
          <w:sz w:val="24"/>
          <w:highlight w:val="none"/>
          <w:lang w:val="en-US" w:eastAsia="zh-CN"/>
        </w:rPr>
        <w:t>8</w:t>
      </w:r>
      <w:r>
        <w:rPr>
          <w:rFonts w:hint="eastAsia" w:cs="宋体"/>
          <w:color w:val="auto"/>
          <w:sz w:val="24"/>
          <w:highlight w:val="none"/>
          <w:lang w:eastAsia="zh-CN"/>
        </w:rPr>
        <w:t>日09:30</w:t>
      </w:r>
      <w:r>
        <w:rPr>
          <w:rFonts w:hint="eastAsia" w:ascii="宋体" w:hAnsi="宋体" w:cs="宋体"/>
          <w:color w:val="auto"/>
          <w:sz w:val="24"/>
          <w:highlight w:val="none"/>
        </w:rPr>
        <w:t>（北京时间），地点（网址）：政府采购云平台（www.zcygov.cn） 实行在线投标响应</w:t>
      </w:r>
    </w:p>
    <w:p>
      <w:pPr>
        <w:pStyle w:val="39"/>
        <w:spacing w:line="360" w:lineRule="auto"/>
        <w:ind w:firstLine="482" w:firstLineChars="200"/>
        <w:rPr>
          <w:rFonts w:hint="default" w:cs="宋体"/>
          <w:color w:val="auto"/>
          <w:highlight w:val="none"/>
        </w:rPr>
      </w:pPr>
      <w:r>
        <w:rPr>
          <w:rFonts w:cs="宋体"/>
          <w:b/>
          <w:bCs/>
          <w:color w:val="auto"/>
          <w:highlight w:val="none"/>
        </w:rPr>
        <w:t>3、解密截止时间</w:t>
      </w:r>
      <w:r>
        <w:rPr>
          <w:rFonts w:cs="宋体"/>
          <w:color w:val="auto"/>
          <w:highlight w:val="none"/>
        </w:rPr>
        <w:t>：</w:t>
      </w:r>
      <w:r>
        <w:rPr>
          <w:rFonts w:cs="宋体"/>
          <w:b/>
          <w:bCs/>
          <w:color w:val="auto"/>
          <w:highlight w:val="none"/>
          <w:u w:val="single"/>
        </w:rPr>
        <w:t>开标时间后30分钟内（即202</w:t>
      </w:r>
      <w:r>
        <w:rPr>
          <w:rFonts w:hint="eastAsia" w:cs="宋体"/>
          <w:b/>
          <w:bCs/>
          <w:color w:val="auto"/>
          <w:highlight w:val="none"/>
          <w:u w:val="single"/>
          <w:lang w:val="en-US" w:eastAsia="zh-CN"/>
        </w:rPr>
        <w:t>2</w:t>
      </w:r>
      <w:r>
        <w:rPr>
          <w:rFonts w:cs="宋体"/>
          <w:b/>
          <w:bCs/>
          <w:color w:val="auto"/>
          <w:highlight w:val="none"/>
          <w:u w:val="single"/>
        </w:rPr>
        <w:t>年</w:t>
      </w:r>
      <w:r>
        <w:rPr>
          <w:rFonts w:hint="eastAsia" w:cs="宋体"/>
          <w:b/>
          <w:bCs/>
          <w:color w:val="auto"/>
          <w:highlight w:val="none"/>
          <w:u w:val="single"/>
          <w:lang w:val="en-US" w:eastAsia="zh-CN"/>
        </w:rPr>
        <w:t>8</w:t>
      </w:r>
      <w:r>
        <w:rPr>
          <w:rFonts w:cs="宋体"/>
          <w:b/>
          <w:bCs/>
          <w:color w:val="auto"/>
          <w:highlight w:val="none"/>
          <w:u w:val="single"/>
        </w:rPr>
        <w:t>月</w:t>
      </w:r>
      <w:r>
        <w:rPr>
          <w:rFonts w:hint="eastAsia" w:cs="宋体"/>
          <w:b/>
          <w:bCs/>
          <w:color w:val="auto"/>
          <w:highlight w:val="none"/>
          <w:u w:val="single"/>
          <w:lang w:val="en-US" w:eastAsia="zh-CN"/>
        </w:rPr>
        <w:t xml:space="preserve"> 8</w:t>
      </w:r>
      <w:r>
        <w:rPr>
          <w:rFonts w:cs="宋体"/>
          <w:b/>
          <w:bCs/>
          <w:color w:val="auto"/>
          <w:highlight w:val="none"/>
          <w:u w:val="single"/>
        </w:rPr>
        <w:t xml:space="preserve">日 </w:t>
      </w:r>
      <w:r>
        <w:rPr>
          <w:rFonts w:hint="eastAsia" w:cs="宋体"/>
          <w:b/>
          <w:bCs/>
          <w:color w:val="auto"/>
          <w:highlight w:val="none"/>
          <w:u w:val="single"/>
          <w:lang w:val="en-US" w:eastAsia="zh-CN"/>
        </w:rPr>
        <w:t>10</w:t>
      </w:r>
      <w:r>
        <w:rPr>
          <w:rFonts w:cs="宋体"/>
          <w:b/>
          <w:bCs/>
          <w:color w:val="auto"/>
          <w:highlight w:val="none"/>
          <w:u w:val="single"/>
        </w:rPr>
        <w:t>:</w:t>
      </w:r>
      <w:r>
        <w:rPr>
          <w:rFonts w:hint="eastAsia" w:cs="宋体"/>
          <w:b/>
          <w:bCs/>
          <w:color w:val="auto"/>
          <w:highlight w:val="none"/>
          <w:u w:val="single"/>
          <w:lang w:val="en-US" w:eastAsia="zh-CN"/>
        </w:rPr>
        <w:t>0</w:t>
      </w:r>
      <w:r>
        <w:rPr>
          <w:rFonts w:cs="宋体"/>
          <w:b/>
          <w:bCs/>
          <w:color w:val="auto"/>
          <w:highlight w:val="none"/>
          <w:u w:val="single"/>
        </w:rPr>
        <w:t>0前），供应商须登录“政采云”平台，用“项目采购-开标评标”功能解密投标文件，投标人未按时解密或解密失败的，其投标文件为无效标。</w:t>
      </w:r>
    </w:p>
    <w:p>
      <w:pPr>
        <w:pStyle w:val="13"/>
        <w:spacing w:line="360" w:lineRule="auto"/>
        <w:ind w:firstLine="436" w:firstLineChars="181"/>
        <w:rPr>
          <w:rFonts w:ascii="宋体" w:hAnsi="宋体" w:cs="宋体"/>
          <w:b/>
          <w:color w:val="auto"/>
          <w:sz w:val="24"/>
          <w:szCs w:val="24"/>
          <w:highlight w:val="none"/>
        </w:rPr>
      </w:pPr>
      <w:r>
        <w:rPr>
          <w:rFonts w:hint="eastAsia" w:ascii="宋体" w:hAnsi="宋体" w:cs="宋体"/>
          <w:b/>
          <w:color w:val="auto"/>
          <w:sz w:val="24"/>
          <w:szCs w:val="24"/>
          <w:highlight w:val="none"/>
        </w:rPr>
        <w:t>七、投标保证金：</w:t>
      </w:r>
    </w:p>
    <w:p>
      <w:pPr>
        <w:pStyle w:val="13"/>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本项目不需要交纳投标保证金。</w:t>
      </w:r>
    </w:p>
    <w:p>
      <w:pPr>
        <w:pStyle w:val="17"/>
        <w:ind w:firstLine="482" w:firstLineChars="200"/>
        <w:rPr>
          <w:rFonts w:ascii="宋体" w:hAnsi="宋体" w:cs="宋体"/>
          <w:color w:val="auto"/>
          <w:highlight w:val="none"/>
        </w:rPr>
      </w:pPr>
      <w:r>
        <w:rPr>
          <w:rFonts w:hint="eastAsia" w:ascii="宋体" w:hAnsi="宋体" w:cs="宋体"/>
          <w:b/>
          <w:snapToGrid w:val="0"/>
          <w:color w:val="auto"/>
          <w:kern w:val="28"/>
          <w:highlight w:val="none"/>
        </w:rPr>
        <w:t>八、电子招投标的说明</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项目实行电子招投标，通过“政府采购云平台（www.zcygov.cn）”实行在线投标响应（电子投标），供应商应先安装“政采云电子交易客户端”，并按照本项目招标文件和“政府采购云平台”的相关要求，通过“政采云电子交易客户端”编制并加密投标文件。</w:t>
      </w:r>
      <w:r>
        <w:rPr>
          <w:rFonts w:hint="eastAsia" w:ascii="宋体" w:hAnsi="宋体" w:cs="宋体"/>
          <w:b/>
          <w:bCs/>
          <w:color w:val="auto"/>
          <w:sz w:val="24"/>
          <w:highlight w:val="none"/>
        </w:rPr>
        <w:t>供应商未按规定加密的投标文件，“政府采购云平台”将予以拒收。</w:t>
      </w:r>
      <w:r>
        <w:rPr>
          <w:rFonts w:hint="eastAsia" w:ascii="宋体" w:hAnsi="宋体" w:cs="宋体"/>
          <w:color w:val="auto"/>
          <w:sz w:val="24"/>
          <w:highlight w:val="none"/>
        </w:rPr>
        <w:t>通过“政府采购云平台”参与在线投标时如遇平台技术问题详询400-881-7190。</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为确保投标的合法、有效和安全，供应商应当在投标截止时间前完成电子交易所需的CA数字证书办理（制作电子投标文件时需使用CA数字证书，具体办理流程详见“浙江政府采购网”的“下载专区-电子交易客户端-CA驱动和申领流程”， 因未办理CA数字证书等原因造成无法投标或投标失败等后果由供应商自行承担）。</w:t>
      </w:r>
      <w:r>
        <w:rPr>
          <w:rFonts w:hint="eastAsia" w:ascii="宋体" w:hAnsi="宋体" w:cs="宋体"/>
          <w:b/>
          <w:color w:val="auto"/>
          <w:sz w:val="24"/>
          <w:highlight w:val="none"/>
        </w:rPr>
        <w:t>完成CA数字证书办理时间预计一周左右，请各投标人自行把握时间。</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供应商须通过政采云平台的“政采云电子交易客户端”制作投标文件，“政采云电子交易客户端”请供应商自行前往浙江政府采购网下载并安装（客户端下载地址：“浙江政府采购网”的“下载专区-电子交易客户端-政采云电子交易客户端”，电子投标相关操作详见https://service.zcygov.cn/#/help/superior）。</w:t>
      </w:r>
    </w:p>
    <w:p>
      <w:pPr>
        <w:snapToGrid w:val="0"/>
        <w:spacing w:line="44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4、供应商应当在投标截止时间前完成电子投标文件的上传，投标截止时间前可以补充、修改或者撤回电子投标文件。补充或者修改电子投标文件的，应当先行撤回原文件，补充、修改后重新上传。投标截止时间前未完成上传的，视为撤回投标文件。</w:t>
      </w:r>
      <w:r>
        <w:rPr>
          <w:rFonts w:hint="eastAsia" w:ascii="宋体" w:hAnsi="宋体" w:cs="宋体"/>
          <w:b/>
          <w:bCs/>
          <w:color w:val="auto"/>
          <w:sz w:val="24"/>
          <w:highlight w:val="none"/>
        </w:rPr>
        <w:t>投标截止时间后传输、递交的投标文件，将被拒收。</w:t>
      </w:r>
    </w:p>
    <w:p>
      <w:pPr>
        <w:snapToGrid w:val="0"/>
        <w:spacing w:line="44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5、现阶段为电子交易试运行阶段，为保证项目顺利开展，</w:t>
      </w:r>
      <w:r>
        <w:rPr>
          <w:rFonts w:hint="eastAsia" w:ascii="宋体" w:hAnsi="宋体" w:cs="宋体"/>
          <w:b/>
          <w:bCs/>
          <w:color w:val="auto"/>
          <w:sz w:val="24"/>
          <w:highlight w:val="none"/>
        </w:rPr>
        <w:t>本项目需要投标人同时提供电子备份标书（后缀名为“.bfbs”，以U盘或光盘等形式提供）和纸质投标文件</w:t>
      </w:r>
      <w:r>
        <w:rPr>
          <w:rStyle w:val="50"/>
          <w:rFonts w:hint="eastAsia" w:cs="Arial" w:asciiTheme="minorEastAsia" w:hAnsiTheme="minorEastAsia" w:eastAsiaTheme="minorEastAsia"/>
          <w:b/>
          <w:bCs/>
          <w:color w:val="auto"/>
          <w:sz w:val="24"/>
          <w:highlight w:val="none"/>
        </w:rPr>
        <w:t>（自愿提供，非实质性要求，因无法读取的后果由投标人自行承担）</w:t>
      </w:r>
      <w:r>
        <w:rPr>
          <w:rFonts w:hint="eastAsia" w:ascii="宋体" w:hAnsi="宋体" w:cs="宋体"/>
          <w:b/>
          <w:bCs/>
          <w:color w:val="auto"/>
          <w:sz w:val="24"/>
          <w:highlight w:val="none"/>
        </w:rPr>
        <w:t>，</w:t>
      </w:r>
      <w:r>
        <w:rPr>
          <w:rFonts w:hint="eastAsia" w:ascii="宋体" w:hAnsi="宋体" w:cs="宋体"/>
          <w:color w:val="auto"/>
          <w:sz w:val="24"/>
          <w:highlight w:val="none"/>
        </w:rPr>
        <w:t>按要求各自装袋密封并在投标截止时间前通过邮寄方式送至浙江建航工程咨询有限公司（地址：</w:t>
      </w:r>
      <w:r>
        <w:rPr>
          <w:rFonts w:hint="eastAsia" w:ascii="宋体" w:hAnsi="宋体" w:cs="宋体"/>
          <w:color w:val="auto"/>
          <w:szCs w:val="21"/>
          <w:highlight w:val="none"/>
        </w:rPr>
        <w:t>浙江省台州市经济开发区天和路95号天和大厦B幢1104</w:t>
      </w:r>
      <w:r>
        <w:rPr>
          <w:rFonts w:hint="eastAsia" w:ascii="宋体" w:hAnsi="宋体" w:cs="宋体"/>
          <w:color w:val="auto"/>
          <w:sz w:val="24"/>
          <w:highlight w:val="none"/>
        </w:rPr>
        <w:t>），</w:t>
      </w:r>
      <w:r>
        <w:rPr>
          <w:rFonts w:hint="eastAsia" w:ascii="宋体" w:hAnsi="宋体" w:cs="宋体"/>
          <w:b/>
          <w:bCs/>
          <w:color w:val="auto"/>
          <w:sz w:val="24"/>
          <w:highlight w:val="none"/>
        </w:rPr>
        <w:t>请充分考虑快递运输所需的时间，确保在投标截止时间前送达，逾期寄达或未按要求密封将被拒收。</w:t>
      </w:r>
    </w:p>
    <w:p>
      <w:pPr>
        <w:pStyle w:val="17"/>
        <w:spacing w:line="360" w:lineRule="auto"/>
        <w:ind w:firstLine="480" w:firstLineChars="200"/>
        <w:rPr>
          <w:rFonts w:ascii="宋体" w:hAnsi="宋体" w:cs="宋体"/>
          <w:color w:val="auto"/>
          <w:highlight w:val="none"/>
        </w:rPr>
      </w:pPr>
      <w:r>
        <w:rPr>
          <w:rFonts w:hint="eastAsia"/>
          <w:color w:val="auto"/>
          <w:highlight w:val="none"/>
        </w:rPr>
        <w:t>▲</w:t>
      </w:r>
      <w:r>
        <w:rPr>
          <w:rFonts w:hint="eastAsia" w:ascii="宋体" w:hAnsi="宋体" w:cs="宋体"/>
          <w:color w:val="auto"/>
          <w:highlight w:val="none"/>
        </w:rPr>
        <w:t>6、投标文件启用顺序和效力：</w:t>
      </w:r>
      <w:r>
        <w:rPr>
          <w:rFonts w:hint="eastAsia" w:ascii="宋体" w:hAnsi="宋体" w:cs="宋体"/>
          <w:b/>
          <w:bCs/>
          <w:color w:val="auto"/>
          <w:highlight w:val="none"/>
        </w:rPr>
        <w:t>投标文件的启用，按先后顺位分别为电子投标文件、备份投标文件。</w:t>
      </w:r>
      <w:r>
        <w:rPr>
          <w:rFonts w:hint="eastAsia" w:ascii="宋体" w:hAnsi="宋体" w:cs="宋体"/>
          <w:color w:val="auto"/>
          <w:highlight w:val="none"/>
        </w:rPr>
        <w:t>全部投标人的电子投标文件均已按时解密的，电子备份文件和纸质投标文件自动失效，若有供应商发生解密异常时，可以申请由采购代理机构使用电子备份标书上传处理，供应商的电子标书解密和备份标书解密均失败或逾期解密的，投标文件将作无效标处理。</w:t>
      </w:r>
      <w:r>
        <w:rPr>
          <w:rFonts w:hint="eastAsia" w:ascii="宋体" w:hAnsi="宋体" w:cs="宋体"/>
          <w:b/>
          <w:bCs/>
          <w:color w:val="auto"/>
          <w:highlight w:val="none"/>
          <w:u w:val="single"/>
        </w:rPr>
        <w:t>投标人仅提交备份投标文件，没有在电子交易平台传输递交“电子加密投标文件”的，投标无效。</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九、投标人信用信息查询渠道及截止时点、信用信息查询记录和证据留存的具体方式、信用信息的使用规则：</w:t>
      </w:r>
    </w:p>
    <w:p>
      <w:pPr>
        <w:numPr>
          <w:ilvl w:val="0"/>
          <w:numId w:val="10"/>
        </w:numPr>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查询渠道：</w:t>
      </w:r>
      <w:r>
        <w:rPr>
          <w:rFonts w:hint="eastAsia" w:ascii="宋体" w:hAnsi="宋体" w:cs="宋体"/>
          <w:color w:val="auto"/>
          <w:kern w:val="0"/>
          <w:sz w:val="24"/>
          <w:highlight w:val="none"/>
        </w:rPr>
        <w:t>信用中国（www.creditchina.gov.cn）、中国政府采购网（www.ccgp.gov.cn）、国家企业信用信息公示系统（www.gsxt.gov.cn）</w:t>
      </w:r>
      <w:r>
        <w:rPr>
          <w:rFonts w:hint="eastAsia" w:ascii="宋体" w:hAnsi="宋体" w:cs="宋体"/>
          <w:color w:val="auto"/>
          <w:sz w:val="24"/>
          <w:highlight w:val="none"/>
        </w:rPr>
        <w:t>。</w:t>
      </w:r>
    </w:p>
    <w:p>
      <w:pPr>
        <w:numPr>
          <w:ilvl w:val="0"/>
          <w:numId w:val="10"/>
        </w:numPr>
        <w:spacing w:line="360" w:lineRule="auto"/>
        <w:ind w:left="0" w:firstLine="480" w:firstLineChars="200"/>
        <w:rPr>
          <w:rFonts w:ascii="宋体" w:hAnsi="宋体" w:cs="宋体"/>
          <w:b/>
          <w:bCs/>
          <w:color w:val="auto"/>
          <w:sz w:val="24"/>
          <w:highlight w:val="none"/>
          <w:shd w:val="clear" w:color="FFFFFF" w:fill="D9D9D9"/>
        </w:rPr>
      </w:pPr>
      <w:r>
        <w:rPr>
          <w:rFonts w:hint="eastAsia" w:ascii="宋体" w:hAnsi="宋体" w:cs="宋体"/>
          <w:color w:val="auto"/>
          <w:sz w:val="24"/>
          <w:highlight w:val="none"/>
        </w:rPr>
        <w:t>截止时点：开标后评标前。</w:t>
      </w:r>
    </w:p>
    <w:p>
      <w:pPr>
        <w:numPr>
          <w:ilvl w:val="0"/>
          <w:numId w:val="10"/>
        </w:numPr>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信用信息查询记录和证据留存的具体方式：由采购组织机构在规定查询时间内打印信用信息查询记录并归入项目档案。</w:t>
      </w:r>
    </w:p>
    <w:p>
      <w:pPr>
        <w:numPr>
          <w:ilvl w:val="0"/>
          <w:numId w:val="10"/>
        </w:numPr>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使用规则：对列入失信被执行人、重大税收违法案件当事人名单、政府采购严重违法失信行为记录名单及其他不符合《中华人民共和国政府采购法》第二十二条规定条件的供应商，将被拒绝其参与政府采购活动。</w:t>
      </w:r>
    </w:p>
    <w:p>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十、</w:t>
      </w:r>
      <w:r>
        <w:rPr>
          <w:rFonts w:hint="eastAsia" w:ascii="宋体" w:hAnsi="宋体" w:cs="宋体"/>
          <w:b/>
          <w:color w:val="auto"/>
          <w:sz w:val="24"/>
          <w:highlight w:val="none"/>
        </w:rPr>
        <w:t>相关注意事项</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1、本项目公告期限为5个工作日，</w:t>
      </w:r>
      <w:r>
        <w:rPr>
          <w:rFonts w:hint="eastAsia" w:ascii="宋体" w:hAnsi="宋体" w:cs="宋体"/>
          <w:color w:val="auto"/>
          <w:sz w:val="24"/>
          <w:highlight w:val="none"/>
        </w:rPr>
        <w:t>供应商认为采购文件使自己的权益受到损害的，</w:t>
      </w:r>
      <w:r>
        <w:rPr>
          <w:rFonts w:hint="eastAsia" w:ascii="宋体" w:hAnsi="宋体" w:cs="宋体"/>
          <w:color w:val="auto"/>
          <w:kern w:val="0"/>
          <w:sz w:val="24"/>
          <w:highlight w:val="none"/>
        </w:rPr>
        <w:t>可以自获取采购文件之日或者采购文件公告期限届满之日（公告期限届满后获取采购文件的，以公告期限届满之日为准）起7个工作日内</w:t>
      </w:r>
      <w:r>
        <w:rPr>
          <w:rFonts w:hint="eastAsia" w:ascii="宋体" w:hAnsi="宋体" w:cs="宋体"/>
          <w:color w:val="auto"/>
          <w:sz w:val="24"/>
          <w:highlight w:val="none"/>
        </w:rPr>
        <w:t>，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2、本项目对符合财政扶持政策的中小企业（小型、微型）、监狱企业、残疾人福利性单位给予价格优惠扶持，执行节能产品政府强制采购和优先采购政策，执行环境标志产品政府优先采购政策。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获取招标文件截止时间之后有潜在供应商提出获取招标文件的，采购机构将允许其报名获取，但该供应商如对招标文件有异议的，应于自采购文件公告期限届满之日起七个工作日内且在投标截止时间之前以书面形式向采购机构提出，逾期提出的，采购组织机构可不予受理、答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根据《浙江省政府采购供应商注册及诚信管理暂行办法》浙财采监【2009】28号文件，请各投标供应商及时办理浙江政府采购网“政府采购供应商注册”手续。中标供应商必须在浙江政府采购网上进行正式注册入库，否则由此造成的后果由该供应商承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5、本项目所有公告发布网站：“浙江政府采购网”（http://www.zjzfcg.gov.cn）。项目如有更正或澄清公告，请各供应商自行及时登陆上述网站查看，采购代理机构不再作出书面通知。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6、本项目资格审查方式：资格后审。</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十一、联系方式：</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称：浙江建航工程咨询有限公司</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联 系 人：吴</w:t>
      </w:r>
      <w:r>
        <w:rPr>
          <w:rFonts w:hint="eastAsia" w:ascii="宋体" w:hAnsi="宋体" w:cs="宋体"/>
          <w:color w:val="auto"/>
          <w:sz w:val="24"/>
          <w:highlight w:val="none"/>
          <w:lang w:eastAsia="zh-CN"/>
        </w:rPr>
        <w:t>女士</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联系电话：13968405892</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 系 人：王女士（受理质疑）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联系电话：0576-88810077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址：浙江省台州市经济开发区天和路95号天和大厦B幢1104</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称：台州湾新区管理委员会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 系 人：</w:t>
      </w:r>
      <w:r>
        <w:rPr>
          <w:rFonts w:hint="eastAsia" w:ascii="宋体" w:hAnsi="宋体" w:cs="宋体"/>
          <w:color w:val="auto"/>
          <w:kern w:val="0"/>
          <w:sz w:val="24"/>
          <w:highlight w:val="none"/>
          <w:lang w:eastAsia="zh-CN"/>
        </w:rPr>
        <w:t>赵女士</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联系电话：0576-88511813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 系 人：</w:t>
      </w:r>
      <w:r>
        <w:rPr>
          <w:rFonts w:hint="eastAsia" w:ascii="宋体" w:hAnsi="宋体" w:cs="宋体"/>
          <w:color w:val="auto"/>
          <w:sz w:val="24"/>
          <w:highlight w:val="none"/>
          <w:lang w:eastAsia="zh-CN"/>
        </w:rPr>
        <w:t>徐</w:t>
      </w:r>
      <w:r>
        <w:rPr>
          <w:rFonts w:hint="eastAsia" w:ascii="宋体" w:hAnsi="宋体" w:cs="宋体"/>
          <w:color w:val="auto"/>
          <w:sz w:val="24"/>
          <w:highlight w:val="none"/>
        </w:rPr>
        <w:t>先生（受理质疑）　</w:t>
      </w:r>
    </w:p>
    <w:p>
      <w:pPr>
        <w:pStyle w:val="16"/>
        <w:ind w:firstLine="480" w:firstLineChars="200"/>
        <w:rPr>
          <w:color w:val="auto"/>
          <w:highlight w:val="none"/>
        </w:rPr>
      </w:pPr>
      <w:r>
        <w:rPr>
          <w:rFonts w:hint="eastAsia" w:ascii="宋体" w:hAnsi="宋体" w:cs="宋体"/>
          <w:color w:val="auto"/>
          <w:sz w:val="24"/>
          <w:highlight w:val="none"/>
        </w:rPr>
        <w:t>联系电话：0576-</w:t>
      </w:r>
      <w:r>
        <w:rPr>
          <w:rFonts w:hint="eastAsia"/>
          <w:color w:val="auto"/>
          <w:highlight w:val="none"/>
          <w:lang w:val="en-US" w:eastAsia="zh-CN"/>
        </w:rPr>
        <w:t>88518797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kern w:val="0"/>
          <w:sz w:val="24"/>
          <w:highlight w:val="none"/>
        </w:rPr>
        <w:t>台州市椒江区甲南大道东段9号</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（三）同级政府采购监督管理部门</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称：台州市财政局</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lang w:val="en-US" w:eastAsia="zh-CN"/>
        </w:rPr>
        <w:t>陈</w:t>
      </w:r>
      <w:r>
        <w:rPr>
          <w:rFonts w:hint="eastAsia" w:ascii="宋体" w:hAnsi="宋体" w:eastAsia="宋体" w:cs="宋体"/>
          <w:color w:val="auto"/>
          <w:sz w:val="24"/>
          <w:szCs w:val="24"/>
          <w:highlight w:val="none"/>
          <w:lang w:val="en-US" w:eastAsia="zh-CN"/>
        </w:rPr>
        <w:t>老师</w:t>
      </w:r>
      <w:r>
        <w:rPr>
          <w:rFonts w:hint="eastAsia" w:ascii="宋体" w:hAnsi="宋体" w:cs="宋体"/>
          <w:color w:val="auto"/>
          <w:sz w:val="24"/>
          <w:szCs w:val="24"/>
          <w:highlight w:val="none"/>
          <w:lang w:val="en-US" w:eastAsia="zh-CN"/>
        </w:rPr>
        <w:t>/李女士</w:t>
      </w:r>
      <w:r>
        <w:rPr>
          <w:rFonts w:hint="eastAsia" w:ascii="宋体" w:hAnsi="宋体" w:eastAsia="宋体" w:cs="宋体"/>
          <w:color w:val="auto"/>
          <w:sz w:val="24"/>
          <w:szCs w:val="24"/>
          <w:highlight w:val="none"/>
        </w:rPr>
        <w:t xml:space="preserve">                   </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监督电话：</w:t>
      </w:r>
      <w:r>
        <w:rPr>
          <w:rFonts w:hint="eastAsia" w:asciiTheme="minorEastAsia" w:hAnsiTheme="minorEastAsia" w:eastAsiaTheme="minorEastAsia" w:cstheme="minorEastAsia"/>
          <w:color w:val="auto"/>
          <w:sz w:val="24"/>
          <w:highlight w:val="none"/>
          <w:u w:val="none"/>
        </w:rPr>
        <w:t>0576-88206705</w:t>
      </w:r>
      <w:r>
        <w:rPr>
          <w:rFonts w:hint="eastAsia" w:asciiTheme="minorEastAsia" w:hAnsiTheme="minorEastAsia" w:eastAsiaTheme="minorEastAsia" w:cstheme="minorEastAsia"/>
          <w:color w:val="auto"/>
          <w:sz w:val="24"/>
          <w:highlight w:val="none"/>
          <w:u w:val="none"/>
          <w:lang w:val="en-US" w:eastAsia="zh-CN"/>
        </w:rPr>
        <w:t>/0576-</w:t>
      </w:r>
      <w:r>
        <w:rPr>
          <w:rFonts w:hint="eastAsia" w:asciiTheme="minorEastAsia" w:hAnsiTheme="minorEastAsia" w:eastAsiaTheme="minorEastAsia" w:cstheme="minorEastAsia"/>
          <w:color w:val="auto"/>
          <w:sz w:val="24"/>
          <w:highlight w:val="none"/>
          <w:u w:val="none"/>
        </w:rPr>
        <w:t>88206731</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址：浙江省台州市高新区纬一路66号</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（四）银行（中标项目贷款咨询）</w:t>
      </w:r>
      <w:r>
        <w:rPr>
          <w:rFonts w:hint="eastAsia" w:ascii="宋体" w:hAnsi="宋体" w:eastAsia="宋体" w:cs="宋体"/>
          <w:b/>
          <w:color w:val="auto"/>
          <w:sz w:val="24"/>
          <w:szCs w:val="24"/>
          <w:highlight w:val="none"/>
        </w:rPr>
        <w:br w:type="textWrapping"/>
      </w:r>
      <w:r>
        <w:rPr>
          <w:rFonts w:hint="eastAsia" w:ascii="宋体" w:hAnsi="宋体" w:eastAsia="宋体" w:cs="宋体"/>
          <w:color w:val="auto"/>
          <w:sz w:val="24"/>
          <w:szCs w:val="24"/>
          <w:highlight w:val="none"/>
        </w:rPr>
        <w:t>中标供应商如有融资需求，可使用以下银行的政采贷服务。</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9"/>
        <w:gridCol w:w="1514"/>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银行</w:t>
            </w:r>
          </w:p>
        </w:tc>
        <w:tc>
          <w:tcPr>
            <w:tcW w:w="1514"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贷款年利率</w:t>
            </w:r>
          </w:p>
        </w:tc>
        <w:tc>
          <w:tcPr>
            <w:tcW w:w="1688"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联系人</w:t>
            </w:r>
          </w:p>
        </w:tc>
        <w:tc>
          <w:tcPr>
            <w:tcW w:w="2131"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中国工商银行</w:t>
            </w:r>
          </w:p>
        </w:tc>
        <w:tc>
          <w:tcPr>
            <w:tcW w:w="1514"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3.8%起</w:t>
            </w:r>
          </w:p>
        </w:tc>
        <w:tc>
          <w:tcPr>
            <w:tcW w:w="1688"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王霖</w:t>
            </w:r>
          </w:p>
        </w:tc>
        <w:tc>
          <w:tcPr>
            <w:tcW w:w="2131"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中国农业银行</w:t>
            </w:r>
          </w:p>
        </w:tc>
        <w:tc>
          <w:tcPr>
            <w:tcW w:w="1514"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3.8%起</w:t>
            </w:r>
          </w:p>
        </w:tc>
        <w:tc>
          <w:tcPr>
            <w:tcW w:w="1688"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龚盛</w:t>
            </w:r>
          </w:p>
        </w:tc>
        <w:tc>
          <w:tcPr>
            <w:tcW w:w="2131"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中国建设银行</w:t>
            </w:r>
          </w:p>
        </w:tc>
        <w:tc>
          <w:tcPr>
            <w:tcW w:w="1514"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3.8%起</w:t>
            </w:r>
          </w:p>
        </w:tc>
        <w:tc>
          <w:tcPr>
            <w:tcW w:w="1688" w:type="dxa"/>
            <w:vAlign w:val="center"/>
          </w:tcPr>
          <w:p>
            <w:pPr>
              <w:jc w:val="center"/>
              <w:rPr>
                <w:rFonts w:hint="eastAsia" w:eastAsiaTheme="minor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梅晶晶</w:t>
            </w:r>
          </w:p>
        </w:tc>
        <w:tc>
          <w:tcPr>
            <w:tcW w:w="2131" w:type="dxa"/>
            <w:vAlign w:val="center"/>
          </w:tcPr>
          <w:p>
            <w:pPr>
              <w:jc w:val="center"/>
              <w:rPr>
                <w:rFonts w:hint="eastAsia"/>
                <w:color w:val="auto"/>
                <w:sz w:val="24"/>
                <w:szCs w:val="24"/>
                <w:highlight w:val="none"/>
                <w:vertAlign w:val="baseline"/>
                <w:lang w:val="en-US" w:eastAsia="zh-CN"/>
              </w:rPr>
            </w:pPr>
            <w:r>
              <w:rPr>
                <w:rFonts w:hint="eastAsia"/>
                <w:color w:val="auto"/>
                <w:sz w:val="24"/>
                <w:szCs w:val="24"/>
                <w:highlight w:val="none"/>
                <w:vertAlign w:val="baseline"/>
                <w:lang w:eastAsia="zh-CN"/>
              </w:rPr>
              <w:t>88</w:t>
            </w:r>
            <w:r>
              <w:rPr>
                <w:rFonts w:hint="eastAsia"/>
                <w:color w:val="auto"/>
                <w:sz w:val="24"/>
                <w:szCs w:val="24"/>
                <w:highlight w:val="none"/>
                <w:vertAlign w:val="baseline"/>
                <w:lang w:val="en-US" w:eastAsia="zh-CN"/>
              </w:rPr>
              <w:t>525339</w:t>
            </w:r>
          </w:p>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eastAsia="zh-CN"/>
              </w:rPr>
              <w:t>13</w:t>
            </w:r>
            <w:r>
              <w:rPr>
                <w:rFonts w:hint="eastAsia"/>
                <w:color w:val="auto"/>
                <w:sz w:val="24"/>
                <w:szCs w:val="24"/>
                <w:highlight w:val="none"/>
                <w:vertAlign w:val="baseline"/>
                <w:lang w:val="en-US" w:eastAsia="zh-CN"/>
              </w:rPr>
              <w:t>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中国银行</w:t>
            </w:r>
          </w:p>
        </w:tc>
        <w:tc>
          <w:tcPr>
            <w:tcW w:w="1514"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3.75%起</w:t>
            </w:r>
          </w:p>
        </w:tc>
        <w:tc>
          <w:tcPr>
            <w:tcW w:w="1688"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任茜</w:t>
            </w:r>
          </w:p>
        </w:tc>
        <w:tc>
          <w:tcPr>
            <w:tcW w:w="2131"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rFonts w:hint="eastAsia" w:eastAsiaTheme="minorEastAsia"/>
                <w:color w:val="auto"/>
                <w:sz w:val="24"/>
                <w:szCs w:val="24"/>
                <w:highlight w:val="none"/>
                <w:vertAlign w:val="baseline"/>
                <w:lang w:eastAsia="zh-CN"/>
              </w:rPr>
            </w:pPr>
            <w:r>
              <w:rPr>
                <w:rFonts w:hint="eastAsia"/>
                <w:color w:val="auto"/>
                <w:sz w:val="24"/>
                <w:szCs w:val="24"/>
                <w:highlight w:val="none"/>
                <w:vertAlign w:val="baseline"/>
                <w:lang w:eastAsia="zh-CN"/>
              </w:rPr>
              <w:t>浦发银行台州分行</w:t>
            </w:r>
          </w:p>
        </w:tc>
        <w:tc>
          <w:tcPr>
            <w:tcW w:w="1514"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4.05%起</w:t>
            </w:r>
          </w:p>
        </w:tc>
        <w:tc>
          <w:tcPr>
            <w:tcW w:w="1688"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王渊</w:t>
            </w:r>
          </w:p>
        </w:tc>
        <w:tc>
          <w:tcPr>
            <w:tcW w:w="2131"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浦发银行椒江分行</w:t>
            </w:r>
          </w:p>
        </w:tc>
        <w:tc>
          <w:tcPr>
            <w:tcW w:w="1514" w:type="dxa"/>
            <w:vAlign w:val="center"/>
          </w:tcPr>
          <w:p>
            <w:pPr>
              <w:jc w:val="center"/>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4.05%起</w:t>
            </w:r>
          </w:p>
        </w:tc>
        <w:tc>
          <w:tcPr>
            <w:tcW w:w="1688"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孙瑞华</w:t>
            </w:r>
          </w:p>
        </w:tc>
        <w:tc>
          <w:tcPr>
            <w:tcW w:w="2131"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val="en-US" w:eastAsia="zh-CN"/>
              </w:rPr>
              <w:t>交通银行台州分行</w:t>
            </w:r>
          </w:p>
        </w:tc>
        <w:tc>
          <w:tcPr>
            <w:tcW w:w="1514" w:type="dxa"/>
            <w:vAlign w:val="center"/>
          </w:tcPr>
          <w:p>
            <w:pPr>
              <w:jc w:val="center"/>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3.75%起</w:t>
            </w:r>
          </w:p>
        </w:tc>
        <w:tc>
          <w:tcPr>
            <w:tcW w:w="1688"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周翔宇</w:t>
            </w:r>
          </w:p>
        </w:tc>
        <w:tc>
          <w:tcPr>
            <w:tcW w:w="2131"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招商银行台州分行</w:t>
            </w:r>
          </w:p>
        </w:tc>
        <w:tc>
          <w:tcPr>
            <w:tcW w:w="1514"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4.32%起</w:t>
            </w:r>
          </w:p>
        </w:tc>
        <w:tc>
          <w:tcPr>
            <w:tcW w:w="1688"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王海玲</w:t>
            </w:r>
          </w:p>
        </w:tc>
        <w:tc>
          <w:tcPr>
            <w:tcW w:w="2131"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浙商银行台州分行</w:t>
            </w:r>
          </w:p>
        </w:tc>
        <w:tc>
          <w:tcPr>
            <w:tcW w:w="1514"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5.01%起</w:t>
            </w:r>
          </w:p>
        </w:tc>
        <w:tc>
          <w:tcPr>
            <w:tcW w:w="1688"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章涉漪</w:t>
            </w:r>
          </w:p>
        </w:tc>
        <w:tc>
          <w:tcPr>
            <w:tcW w:w="2131" w:type="dxa"/>
            <w:vAlign w:val="center"/>
          </w:tcPr>
          <w:p>
            <w:pPr>
              <w:jc w:val="center"/>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81880185</w:t>
            </w:r>
          </w:p>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中信银行台州分行</w:t>
            </w:r>
          </w:p>
        </w:tc>
        <w:tc>
          <w:tcPr>
            <w:tcW w:w="1514"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4.15%起</w:t>
            </w:r>
          </w:p>
        </w:tc>
        <w:tc>
          <w:tcPr>
            <w:tcW w:w="1688"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陈金园</w:t>
            </w:r>
          </w:p>
        </w:tc>
        <w:tc>
          <w:tcPr>
            <w:tcW w:w="2131"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华夏银行台州分行</w:t>
            </w:r>
          </w:p>
        </w:tc>
        <w:tc>
          <w:tcPr>
            <w:tcW w:w="1514"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4.5%起</w:t>
            </w:r>
          </w:p>
        </w:tc>
        <w:tc>
          <w:tcPr>
            <w:tcW w:w="1688"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邱明达</w:t>
            </w:r>
          </w:p>
        </w:tc>
        <w:tc>
          <w:tcPr>
            <w:tcW w:w="2131" w:type="dxa"/>
            <w:vAlign w:val="center"/>
          </w:tcPr>
          <w:p>
            <w:pPr>
              <w:jc w:val="center"/>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81871518</w:t>
            </w:r>
          </w:p>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泰隆银行开发区支行</w:t>
            </w:r>
          </w:p>
        </w:tc>
        <w:tc>
          <w:tcPr>
            <w:tcW w:w="1514"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5.6%起</w:t>
            </w:r>
          </w:p>
        </w:tc>
        <w:tc>
          <w:tcPr>
            <w:tcW w:w="1688"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梁宛莉</w:t>
            </w:r>
          </w:p>
        </w:tc>
        <w:tc>
          <w:tcPr>
            <w:tcW w:w="2131"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民泰银行椒江支行</w:t>
            </w:r>
          </w:p>
        </w:tc>
        <w:tc>
          <w:tcPr>
            <w:tcW w:w="1514"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5.8%起</w:t>
            </w:r>
          </w:p>
        </w:tc>
        <w:tc>
          <w:tcPr>
            <w:tcW w:w="1688"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陈慧珠</w:t>
            </w:r>
          </w:p>
        </w:tc>
        <w:tc>
          <w:tcPr>
            <w:tcW w:w="2131"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绍兴银行台州分行</w:t>
            </w:r>
          </w:p>
        </w:tc>
        <w:tc>
          <w:tcPr>
            <w:tcW w:w="1514"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5.1%起</w:t>
            </w:r>
          </w:p>
        </w:tc>
        <w:tc>
          <w:tcPr>
            <w:tcW w:w="1688"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郭庭斌</w:t>
            </w:r>
          </w:p>
        </w:tc>
        <w:tc>
          <w:tcPr>
            <w:tcW w:w="2131"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温州银行台州分行</w:t>
            </w:r>
          </w:p>
        </w:tc>
        <w:tc>
          <w:tcPr>
            <w:tcW w:w="1514"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4.55%起</w:t>
            </w:r>
          </w:p>
        </w:tc>
        <w:tc>
          <w:tcPr>
            <w:tcW w:w="1688"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王晓波</w:t>
            </w:r>
          </w:p>
        </w:tc>
        <w:tc>
          <w:tcPr>
            <w:tcW w:w="2131"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平安银行台州分行</w:t>
            </w:r>
          </w:p>
        </w:tc>
        <w:tc>
          <w:tcPr>
            <w:tcW w:w="1514"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6.53%起</w:t>
            </w:r>
          </w:p>
        </w:tc>
        <w:tc>
          <w:tcPr>
            <w:tcW w:w="1688"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李俊丽</w:t>
            </w:r>
          </w:p>
        </w:tc>
        <w:tc>
          <w:tcPr>
            <w:tcW w:w="2131"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宁波银行台州分行</w:t>
            </w:r>
          </w:p>
        </w:tc>
        <w:tc>
          <w:tcPr>
            <w:tcW w:w="1514"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4.35%起</w:t>
            </w:r>
          </w:p>
        </w:tc>
        <w:tc>
          <w:tcPr>
            <w:tcW w:w="1688"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戴莉丽</w:t>
            </w:r>
          </w:p>
        </w:tc>
        <w:tc>
          <w:tcPr>
            <w:tcW w:w="2131"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金华银行台州分行</w:t>
            </w:r>
          </w:p>
        </w:tc>
        <w:tc>
          <w:tcPr>
            <w:tcW w:w="1514"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4.05%起</w:t>
            </w:r>
          </w:p>
        </w:tc>
        <w:tc>
          <w:tcPr>
            <w:tcW w:w="1688"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金雪婷</w:t>
            </w:r>
          </w:p>
        </w:tc>
        <w:tc>
          <w:tcPr>
            <w:tcW w:w="2131" w:type="dxa"/>
            <w:vAlign w:val="center"/>
          </w:tcPr>
          <w:p>
            <w:pPr>
              <w:jc w:val="center"/>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81886670</w:t>
            </w:r>
          </w:p>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rFonts w:hint="eastAsia" w:eastAsiaTheme="minor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台州银行</w:t>
            </w:r>
          </w:p>
        </w:tc>
        <w:tc>
          <w:tcPr>
            <w:tcW w:w="1514" w:type="dxa"/>
            <w:vAlign w:val="center"/>
          </w:tcPr>
          <w:p>
            <w:pPr>
              <w:jc w:val="center"/>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5.6%起</w:t>
            </w:r>
          </w:p>
        </w:tc>
        <w:tc>
          <w:tcPr>
            <w:tcW w:w="1688" w:type="dxa"/>
            <w:vAlign w:val="center"/>
          </w:tcPr>
          <w:p>
            <w:pPr>
              <w:jc w:val="center"/>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洪婷</w:t>
            </w:r>
          </w:p>
        </w:tc>
        <w:tc>
          <w:tcPr>
            <w:tcW w:w="2131"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3189" w:type="dxa"/>
            <w:vAlign w:val="center"/>
          </w:tcPr>
          <w:p>
            <w:pPr>
              <w:jc w:val="center"/>
              <w:rPr>
                <w:rFonts w:hint="eastAsia" w:eastAsiaTheme="minor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邮储银行台州分行</w:t>
            </w:r>
          </w:p>
        </w:tc>
        <w:tc>
          <w:tcPr>
            <w:tcW w:w="1514"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3.85%起</w:t>
            </w:r>
          </w:p>
        </w:tc>
        <w:tc>
          <w:tcPr>
            <w:tcW w:w="1688"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eastAsia="zh-CN"/>
              </w:rPr>
              <w:t>董庆</w:t>
            </w:r>
          </w:p>
        </w:tc>
        <w:tc>
          <w:tcPr>
            <w:tcW w:w="2131" w:type="dxa"/>
            <w:vAlign w:val="center"/>
          </w:tcPr>
          <w:p>
            <w:pPr>
              <w:jc w:val="center"/>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81888982</w:t>
            </w:r>
          </w:p>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18957683735</w:t>
            </w:r>
          </w:p>
        </w:tc>
      </w:tr>
    </w:tbl>
    <w:p>
      <w:pPr>
        <w:pStyle w:val="56"/>
        <w:rPr>
          <w:rFonts w:hint="eastAsia" w:ascii="宋体" w:hAnsi="宋体" w:eastAsia="宋体" w:cs="宋体"/>
          <w:color w:val="auto"/>
          <w:sz w:val="24"/>
          <w:szCs w:val="24"/>
          <w:highlight w:val="none"/>
        </w:rPr>
      </w:pP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（五）</w:t>
      </w:r>
      <w:r>
        <w:rPr>
          <w:rFonts w:hint="eastAsia" w:ascii="宋体" w:hAnsi="宋体" w:eastAsia="宋体" w:cs="宋体"/>
          <w:b/>
          <w:color w:val="auto"/>
          <w:sz w:val="24"/>
          <w:szCs w:val="24"/>
          <w:highlight w:val="none"/>
        </w:rPr>
        <w:t>合同履约保函联系方式</w:t>
      </w:r>
    </w:p>
    <w:tbl>
      <w:tblPr>
        <w:tblStyle w:val="4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4"/>
        <w:gridCol w:w="1988"/>
        <w:gridCol w:w="992"/>
        <w:gridCol w:w="14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4074" w:type="dxa"/>
            <w:vAlign w:val="center"/>
          </w:tcPr>
          <w:p>
            <w:pPr>
              <w:jc w:val="center"/>
              <w:rPr>
                <w:color w:val="auto"/>
                <w:sz w:val="24"/>
                <w:szCs w:val="24"/>
                <w:highlight w:val="none"/>
              </w:rPr>
            </w:pPr>
            <w:r>
              <w:rPr>
                <w:rFonts w:hint="eastAsia"/>
                <w:color w:val="auto"/>
                <w:sz w:val="24"/>
                <w:szCs w:val="24"/>
                <w:highlight w:val="none"/>
              </w:rPr>
              <w:t>保险公司名称</w:t>
            </w:r>
          </w:p>
        </w:tc>
        <w:tc>
          <w:tcPr>
            <w:tcW w:w="1988" w:type="dxa"/>
            <w:vAlign w:val="center"/>
          </w:tcPr>
          <w:p>
            <w:pPr>
              <w:jc w:val="center"/>
              <w:rPr>
                <w:color w:val="auto"/>
                <w:sz w:val="24"/>
                <w:szCs w:val="24"/>
                <w:highlight w:val="none"/>
              </w:rPr>
            </w:pPr>
            <w:r>
              <w:rPr>
                <w:rFonts w:hint="eastAsia"/>
                <w:color w:val="auto"/>
                <w:sz w:val="24"/>
                <w:szCs w:val="24"/>
                <w:highlight w:val="none"/>
              </w:rPr>
              <w:t>保费率</w:t>
            </w:r>
          </w:p>
        </w:tc>
        <w:tc>
          <w:tcPr>
            <w:tcW w:w="992" w:type="dxa"/>
            <w:vAlign w:val="center"/>
          </w:tcPr>
          <w:p>
            <w:pPr>
              <w:jc w:val="center"/>
              <w:rPr>
                <w:color w:val="auto"/>
                <w:sz w:val="24"/>
                <w:szCs w:val="24"/>
                <w:highlight w:val="none"/>
              </w:rPr>
            </w:pPr>
            <w:r>
              <w:rPr>
                <w:rFonts w:hint="eastAsia"/>
                <w:color w:val="auto"/>
                <w:sz w:val="24"/>
                <w:szCs w:val="24"/>
                <w:highlight w:val="none"/>
              </w:rPr>
              <w:t>联系人</w:t>
            </w:r>
          </w:p>
        </w:tc>
        <w:tc>
          <w:tcPr>
            <w:tcW w:w="1468" w:type="dxa"/>
            <w:vAlign w:val="center"/>
          </w:tcPr>
          <w:p>
            <w:pPr>
              <w:jc w:val="center"/>
              <w:rPr>
                <w:color w:val="auto"/>
                <w:sz w:val="24"/>
                <w:szCs w:val="24"/>
                <w:highlight w:val="none"/>
              </w:rPr>
            </w:pPr>
            <w:r>
              <w:rPr>
                <w:rFonts w:hint="eastAsia"/>
                <w:color w:val="auto"/>
                <w:sz w:val="24"/>
                <w:szCs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中国人寿财产保险股份有限公司台州中心支公司</w:t>
            </w:r>
          </w:p>
        </w:tc>
        <w:tc>
          <w:tcPr>
            <w:tcW w:w="1988" w:type="dxa"/>
          </w:tcPr>
          <w:p>
            <w:pPr>
              <w:jc w:val="center"/>
              <w:rPr>
                <w:color w:val="auto"/>
                <w:highlight w:val="none"/>
              </w:rPr>
            </w:pPr>
            <w:r>
              <w:rPr>
                <w:rFonts w:hint="eastAsia"/>
                <w:color w:val="auto"/>
                <w:highlight w:val="none"/>
              </w:rPr>
              <w:t>年费率1%，最低保费500元</w:t>
            </w:r>
          </w:p>
        </w:tc>
        <w:tc>
          <w:tcPr>
            <w:tcW w:w="992" w:type="dxa"/>
          </w:tcPr>
          <w:p>
            <w:pPr>
              <w:jc w:val="center"/>
              <w:rPr>
                <w:color w:val="auto"/>
                <w:highlight w:val="none"/>
              </w:rPr>
            </w:pPr>
            <w:r>
              <w:rPr>
                <w:rFonts w:hint="eastAsia"/>
                <w:color w:val="auto"/>
                <w:highlight w:val="none"/>
              </w:rPr>
              <w:t>徐凌</w:t>
            </w:r>
          </w:p>
        </w:tc>
        <w:tc>
          <w:tcPr>
            <w:tcW w:w="1468" w:type="dxa"/>
          </w:tcPr>
          <w:p>
            <w:pPr>
              <w:jc w:val="center"/>
              <w:rPr>
                <w:color w:val="auto"/>
                <w:highlight w:val="none"/>
              </w:rPr>
            </w:pPr>
            <w:r>
              <w:rPr>
                <w:color w:val="auto"/>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永诚财产保险股份有限公司台州分公司</w:t>
            </w:r>
          </w:p>
        </w:tc>
        <w:tc>
          <w:tcPr>
            <w:tcW w:w="1988" w:type="dxa"/>
          </w:tcPr>
          <w:p>
            <w:pPr>
              <w:jc w:val="center"/>
              <w:rPr>
                <w:color w:val="auto"/>
                <w:highlight w:val="none"/>
              </w:rPr>
            </w:pPr>
            <w:r>
              <w:rPr>
                <w:rFonts w:hint="eastAsia"/>
                <w:color w:val="auto"/>
                <w:highlight w:val="none"/>
              </w:rPr>
              <w:t>年费率1%，最低保费1000元</w:t>
            </w:r>
          </w:p>
        </w:tc>
        <w:tc>
          <w:tcPr>
            <w:tcW w:w="992" w:type="dxa"/>
          </w:tcPr>
          <w:p>
            <w:pPr>
              <w:jc w:val="center"/>
              <w:rPr>
                <w:color w:val="auto"/>
                <w:highlight w:val="none"/>
              </w:rPr>
            </w:pPr>
            <w:r>
              <w:rPr>
                <w:rFonts w:hint="eastAsia"/>
                <w:color w:val="auto"/>
                <w:highlight w:val="none"/>
              </w:rPr>
              <w:t>尹刚强</w:t>
            </w:r>
          </w:p>
        </w:tc>
        <w:tc>
          <w:tcPr>
            <w:tcW w:w="1468" w:type="dxa"/>
          </w:tcPr>
          <w:p>
            <w:pPr>
              <w:jc w:val="center"/>
              <w:rPr>
                <w:color w:val="auto"/>
                <w:highlight w:val="none"/>
              </w:rPr>
            </w:pPr>
            <w:r>
              <w:rPr>
                <w:color w:val="auto"/>
                <w:highlight w:val="none"/>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华泰财产保险有限公司台州中心支公司</w:t>
            </w:r>
          </w:p>
        </w:tc>
        <w:tc>
          <w:tcPr>
            <w:tcW w:w="1988" w:type="dxa"/>
          </w:tcPr>
          <w:p>
            <w:pPr>
              <w:jc w:val="center"/>
              <w:rPr>
                <w:color w:val="auto"/>
                <w:highlight w:val="none"/>
              </w:rPr>
            </w:pPr>
            <w:r>
              <w:rPr>
                <w:rFonts w:hint="eastAsia"/>
                <w:color w:val="auto"/>
                <w:highlight w:val="none"/>
              </w:rPr>
              <w:t>年费率0.5%，最低保费1000元</w:t>
            </w:r>
          </w:p>
        </w:tc>
        <w:tc>
          <w:tcPr>
            <w:tcW w:w="992" w:type="dxa"/>
          </w:tcPr>
          <w:p>
            <w:pPr>
              <w:jc w:val="center"/>
              <w:rPr>
                <w:color w:val="auto"/>
                <w:highlight w:val="none"/>
              </w:rPr>
            </w:pPr>
            <w:r>
              <w:rPr>
                <w:rFonts w:hint="eastAsia"/>
                <w:color w:val="auto"/>
                <w:highlight w:val="none"/>
              </w:rPr>
              <w:t>王灵芳</w:t>
            </w:r>
          </w:p>
        </w:tc>
        <w:tc>
          <w:tcPr>
            <w:tcW w:w="1468" w:type="dxa"/>
          </w:tcPr>
          <w:p>
            <w:pPr>
              <w:jc w:val="center"/>
              <w:rPr>
                <w:color w:val="auto"/>
                <w:highlight w:val="none"/>
              </w:rPr>
            </w:pPr>
            <w:r>
              <w:rPr>
                <w:color w:val="auto"/>
                <w:highlight w:val="none"/>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中国大地财产保险股份有限公司台州中心支公司</w:t>
            </w:r>
          </w:p>
        </w:tc>
        <w:tc>
          <w:tcPr>
            <w:tcW w:w="1988" w:type="dxa"/>
          </w:tcPr>
          <w:p>
            <w:pPr>
              <w:jc w:val="center"/>
              <w:rPr>
                <w:color w:val="auto"/>
                <w:highlight w:val="none"/>
              </w:rPr>
            </w:pPr>
            <w:r>
              <w:rPr>
                <w:rFonts w:hint="eastAsia"/>
                <w:color w:val="auto"/>
                <w:highlight w:val="none"/>
              </w:rPr>
              <w:t>年费率1.5%，最低保费1000元</w:t>
            </w:r>
          </w:p>
        </w:tc>
        <w:tc>
          <w:tcPr>
            <w:tcW w:w="992" w:type="dxa"/>
          </w:tcPr>
          <w:p>
            <w:pPr>
              <w:jc w:val="center"/>
              <w:rPr>
                <w:color w:val="auto"/>
                <w:highlight w:val="none"/>
              </w:rPr>
            </w:pPr>
            <w:r>
              <w:rPr>
                <w:rFonts w:hint="eastAsia"/>
                <w:color w:val="auto"/>
                <w:highlight w:val="none"/>
              </w:rPr>
              <w:t>徐小明</w:t>
            </w:r>
          </w:p>
        </w:tc>
        <w:tc>
          <w:tcPr>
            <w:tcW w:w="1468" w:type="dxa"/>
          </w:tcPr>
          <w:p>
            <w:pPr>
              <w:jc w:val="center"/>
              <w:rPr>
                <w:color w:val="auto"/>
                <w:highlight w:val="none"/>
              </w:rPr>
            </w:pPr>
            <w:r>
              <w:rPr>
                <w:color w:val="auto"/>
                <w:highlight w:val="none"/>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阳光保险台州中心支公司</w:t>
            </w:r>
          </w:p>
        </w:tc>
        <w:tc>
          <w:tcPr>
            <w:tcW w:w="1988" w:type="dxa"/>
          </w:tcPr>
          <w:p>
            <w:pPr>
              <w:jc w:val="center"/>
              <w:rPr>
                <w:color w:val="auto"/>
                <w:highlight w:val="none"/>
              </w:rPr>
            </w:pPr>
            <w:r>
              <w:rPr>
                <w:rFonts w:hint="eastAsia"/>
                <w:color w:val="auto"/>
                <w:highlight w:val="none"/>
              </w:rPr>
              <w:t>年费率1%，最低保费500元</w:t>
            </w:r>
          </w:p>
        </w:tc>
        <w:tc>
          <w:tcPr>
            <w:tcW w:w="992" w:type="dxa"/>
          </w:tcPr>
          <w:p>
            <w:pPr>
              <w:jc w:val="center"/>
              <w:rPr>
                <w:color w:val="auto"/>
                <w:highlight w:val="none"/>
              </w:rPr>
            </w:pPr>
            <w:r>
              <w:rPr>
                <w:rFonts w:hint="eastAsia"/>
                <w:color w:val="auto"/>
                <w:highlight w:val="none"/>
              </w:rPr>
              <w:t>林高明</w:t>
            </w:r>
          </w:p>
        </w:tc>
        <w:tc>
          <w:tcPr>
            <w:tcW w:w="1468" w:type="dxa"/>
          </w:tcPr>
          <w:p>
            <w:pPr>
              <w:jc w:val="center"/>
              <w:rPr>
                <w:color w:val="auto"/>
                <w:highlight w:val="none"/>
              </w:rPr>
            </w:pPr>
            <w:r>
              <w:rPr>
                <w:color w:val="auto"/>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中华联合财产保险股份有限公司台州中心支公司</w:t>
            </w:r>
          </w:p>
        </w:tc>
        <w:tc>
          <w:tcPr>
            <w:tcW w:w="1988" w:type="dxa"/>
          </w:tcPr>
          <w:p>
            <w:pPr>
              <w:jc w:val="center"/>
              <w:rPr>
                <w:color w:val="auto"/>
                <w:highlight w:val="none"/>
              </w:rPr>
            </w:pPr>
            <w:r>
              <w:rPr>
                <w:rFonts w:hint="eastAsia"/>
                <w:color w:val="auto"/>
                <w:highlight w:val="none"/>
              </w:rPr>
              <w:t>年费率2%，最低保费500元</w:t>
            </w:r>
          </w:p>
        </w:tc>
        <w:tc>
          <w:tcPr>
            <w:tcW w:w="992" w:type="dxa"/>
          </w:tcPr>
          <w:p>
            <w:pPr>
              <w:jc w:val="center"/>
              <w:rPr>
                <w:color w:val="auto"/>
                <w:highlight w:val="none"/>
              </w:rPr>
            </w:pPr>
            <w:r>
              <w:rPr>
                <w:rFonts w:hint="eastAsia"/>
                <w:color w:val="auto"/>
                <w:highlight w:val="none"/>
              </w:rPr>
              <w:t>王仙高</w:t>
            </w:r>
          </w:p>
        </w:tc>
        <w:tc>
          <w:tcPr>
            <w:tcW w:w="1468" w:type="dxa"/>
          </w:tcPr>
          <w:p>
            <w:pPr>
              <w:jc w:val="center"/>
              <w:rPr>
                <w:color w:val="auto"/>
                <w:highlight w:val="none"/>
              </w:rPr>
            </w:pPr>
            <w:r>
              <w:rPr>
                <w:color w:val="auto"/>
                <w:highlight w:val="none"/>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中国人民财产保险股份有限公司台州中心支公司</w:t>
            </w:r>
          </w:p>
        </w:tc>
        <w:tc>
          <w:tcPr>
            <w:tcW w:w="1988" w:type="dxa"/>
          </w:tcPr>
          <w:p>
            <w:pPr>
              <w:jc w:val="center"/>
              <w:rPr>
                <w:color w:val="auto"/>
                <w:highlight w:val="none"/>
              </w:rPr>
            </w:pPr>
            <w:r>
              <w:rPr>
                <w:rFonts w:hint="eastAsia"/>
                <w:color w:val="auto"/>
                <w:highlight w:val="none"/>
              </w:rPr>
              <w:t>年费率0.3%，最低保费1000元</w:t>
            </w:r>
          </w:p>
        </w:tc>
        <w:tc>
          <w:tcPr>
            <w:tcW w:w="992" w:type="dxa"/>
          </w:tcPr>
          <w:p>
            <w:pPr>
              <w:jc w:val="center"/>
              <w:rPr>
                <w:color w:val="auto"/>
                <w:highlight w:val="none"/>
              </w:rPr>
            </w:pPr>
            <w:r>
              <w:rPr>
                <w:rFonts w:hint="eastAsia"/>
                <w:color w:val="auto"/>
                <w:highlight w:val="none"/>
              </w:rPr>
              <w:t>王仙春</w:t>
            </w:r>
          </w:p>
        </w:tc>
        <w:tc>
          <w:tcPr>
            <w:tcW w:w="1468" w:type="dxa"/>
          </w:tcPr>
          <w:p>
            <w:pPr>
              <w:jc w:val="center"/>
              <w:rPr>
                <w:color w:val="auto"/>
                <w:highlight w:val="none"/>
              </w:rPr>
            </w:pPr>
            <w:r>
              <w:rPr>
                <w:color w:val="auto"/>
                <w:highlight w:val="none"/>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永安财产保险股份有限公司台州中心支公司</w:t>
            </w:r>
          </w:p>
        </w:tc>
        <w:tc>
          <w:tcPr>
            <w:tcW w:w="1988" w:type="dxa"/>
          </w:tcPr>
          <w:p>
            <w:pPr>
              <w:jc w:val="center"/>
              <w:rPr>
                <w:color w:val="auto"/>
                <w:highlight w:val="none"/>
              </w:rPr>
            </w:pPr>
            <w:r>
              <w:rPr>
                <w:rFonts w:hint="eastAsia"/>
                <w:color w:val="auto"/>
                <w:highlight w:val="none"/>
              </w:rPr>
              <w:t>年费率0.3%，最低保费1000</w:t>
            </w:r>
          </w:p>
        </w:tc>
        <w:tc>
          <w:tcPr>
            <w:tcW w:w="992" w:type="dxa"/>
          </w:tcPr>
          <w:p>
            <w:pPr>
              <w:jc w:val="center"/>
              <w:rPr>
                <w:color w:val="auto"/>
                <w:highlight w:val="none"/>
              </w:rPr>
            </w:pPr>
            <w:r>
              <w:rPr>
                <w:rFonts w:hint="eastAsia"/>
                <w:color w:val="auto"/>
                <w:highlight w:val="none"/>
              </w:rPr>
              <w:t>王春宇</w:t>
            </w:r>
          </w:p>
        </w:tc>
        <w:tc>
          <w:tcPr>
            <w:tcW w:w="1468" w:type="dxa"/>
          </w:tcPr>
          <w:p>
            <w:pPr>
              <w:jc w:val="center"/>
              <w:rPr>
                <w:color w:val="auto"/>
                <w:highlight w:val="none"/>
              </w:rPr>
            </w:pPr>
            <w:r>
              <w:rPr>
                <w:color w:val="auto"/>
                <w:highlight w:val="none"/>
              </w:rPr>
              <w:t>13676675331</w:t>
            </w:r>
          </w:p>
        </w:tc>
      </w:tr>
    </w:tbl>
    <w:p>
      <w:pPr>
        <w:jc w:val="center"/>
        <w:rPr>
          <w:rFonts w:hint="eastAsia"/>
          <w:color w:val="auto"/>
          <w:sz w:val="32"/>
          <w:szCs w:val="32"/>
          <w:highlight w:val="none"/>
        </w:rPr>
      </w:pPr>
    </w:p>
    <w:p>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（六）预付款保函联系方式</w:t>
      </w:r>
    </w:p>
    <w:tbl>
      <w:tblPr>
        <w:tblStyle w:val="4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4"/>
        <w:gridCol w:w="1988"/>
        <w:gridCol w:w="992"/>
        <w:gridCol w:w="14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4074" w:type="dxa"/>
            <w:vAlign w:val="center"/>
          </w:tcPr>
          <w:p>
            <w:pPr>
              <w:jc w:val="center"/>
              <w:rPr>
                <w:color w:val="auto"/>
                <w:sz w:val="24"/>
                <w:szCs w:val="24"/>
                <w:highlight w:val="none"/>
              </w:rPr>
            </w:pPr>
            <w:r>
              <w:rPr>
                <w:rFonts w:hint="eastAsia"/>
                <w:color w:val="auto"/>
                <w:sz w:val="24"/>
                <w:szCs w:val="24"/>
                <w:highlight w:val="none"/>
              </w:rPr>
              <w:t>保险公司名称</w:t>
            </w:r>
          </w:p>
        </w:tc>
        <w:tc>
          <w:tcPr>
            <w:tcW w:w="1988" w:type="dxa"/>
            <w:vAlign w:val="center"/>
          </w:tcPr>
          <w:p>
            <w:pPr>
              <w:jc w:val="center"/>
              <w:rPr>
                <w:color w:val="auto"/>
                <w:highlight w:val="none"/>
              </w:rPr>
            </w:pPr>
            <w:r>
              <w:rPr>
                <w:rFonts w:hint="eastAsia"/>
                <w:color w:val="auto"/>
                <w:highlight w:val="none"/>
              </w:rPr>
              <w:t>保费率</w:t>
            </w:r>
          </w:p>
        </w:tc>
        <w:tc>
          <w:tcPr>
            <w:tcW w:w="992" w:type="dxa"/>
            <w:vAlign w:val="center"/>
          </w:tcPr>
          <w:p>
            <w:pPr>
              <w:jc w:val="center"/>
              <w:rPr>
                <w:color w:val="auto"/>
                <w:highlight w:val="none"/>
              </w:rPr>
            </w:pPr>
            <w:r>
              <w:rPr>
                <w:rFonts w:hint="eastAsia"/>
                <w:color w:val="auto"/>
                <w:highlight w:val="none"/>
              </w:rPr>
              <w:t>联系人</w:t>
            </w:r>
          </w:p>
        </w:tc>
        <w:tc>
          <w:tcPr>
            <w:tcW w:w="1468" w:type="dxa"/>
            <w:vAlign w:val="center"/>
          </w:tcPr>
          <w:p>
            <w:pPr>
              <w:jc w:val="center"/>
              <w:rPr>
                <w:color w:val="auto"/>
                <w:highlight w:val="none"/>
              </w:rPr>
            </w:pPr>
            <w:r>
              <w:rPr>
                <w:rFonts w:hint="eastAsia"/>
                <w:color w:val="auto"/>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中国人寿财产保险股份有限公司台州中心支公司</w:t>
            </w:r>
          </w:p>
        </w:tc>
        <w:tc>
          <w:tcPr>
            <w:tcW w:w="1988" w:type="dxa"/>
          </w:tcPr>
          <w:p>
            <w:pPr>
              <w:jc w:val="center"/>
              <w:rPr>
                <w:color w:val="auto"/>
                <w:highlight w:val="none"/>
              </w:rPr>
            </w:pPr>
            <w:r>
              <w:rPr>
                <w:rFonts w:hint="eastAsia"/>
                <w:color w:val="auto"/>
                <w:highlight w:val="none"/>
              </w:rPr>
              <w:t>年费率3%，最低保费500元</w:t>
            </w:r>
          </w:p>
        </w:tc>
        <w:tc>
          <w:tcPr>
            <w:tcW w:w="992" w:type="dxa"/>
          </w:tcPr>
          <w:p>
            <w:pPr>
              <w:jc w:val="center"/>
              <w:rPr>
                <w:color w:val="auto"/>
                <w:highlight w:val="none"/>
              </w:rPr>
            </w:pPr>
            <w:r>
              <w:rPr>
                <w:rFonts w:hint="eastAsia"/>
                <w:color w:val="auto"/>
                <w:highlight w:val="none"/>
              </w:rPr>
              <w:t>徐凌</w:t>
            </w:r>
          </w:p>
        </w:tc>
        <w:tc>
          <w:tcPr>
            <w:tcW w:w="1468" w:type="dxa"/>
          </w:tcPr>
          <w:p>
            <w:pPr>
              <w:jc w:val="center"/>
              <w:rPr>
                <w:color w:val="auto"/>
                <w:highlight w:val="none"/>
              </w:rPr>
            </w:pPr>
            <w:r>
              <w:rPr>
                <w:color w:val="auto"/>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阳光保险台州中心支公司</w:t>
            </w:r>
          </w:p>
        </w:tc>
        <w:tc>
          <w:tcPr>
            <w:tcW w:w="1988" w:type="dxa"/>
          </w:tcPr>
          <w:p>
            <w:pPr>
              <w:jc w:val="center"/>
              <w:rPr>
                <w:color w:val="auto"/>
                <w:highlight w:val="none"/>
              </w:rPr>
            </w:pPr>
            <w:r>
              <w:rPr>
                <w:rFonts w:hint="eastAsia"/>
                <w:color w:val="auto"/>
                <w:highlight w:val="none"/>
              </w:rPr>
              <w:t>年费率1%，最低保费500元</w:t>
            </w:r>
          </w:p>
        </w:tc>
        <w:tc>
          <w:tcPr>
            <w:tcW w:w="992" w:type="dxa"/>
          </w:tcPr>
          <w:p>
            <w:pPr>
              <w:jc w:val="center"/>
              <w:rPr>
                <w:color w:val="auto"/>
                <w:highlight w:val="none"/>
              </w:rPr>
            </w:pPr>
            <w:r>
              <w:rPr>
                <w:rFonts w:hint="eastAsia"/>
                <w:color w:val="auto"/>
                <w:highlight w:val="none"/>
              </w:rPr>
              <w:t>林高明</w:t>
            </w:r>
          </w:p>
        </w:tc>
        <w:tc>
          <w:tcPr>
            <w:tcW w:w="1468" w:type="dxa"/>
          </w:tcPr>
          <w:p>
            <w:pPr>
              <w:jc w:val="center"/>
              <w:rPr>
                <w:color w:val="auto"/>
                <w:highlight w:val="none"/>
              </w:rPr>
            </w:pPr>
            <w:r>
              <w:rPr>
                <w:color w:val="auto"/>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天安财产保险股份有限公司台州中心支公司</w:t>
            </w:r>
          </w:p>
        </w:tc>
        <w:tc>
          <w:tcPr>
            <w:tcW w:w="1988" w:type="dxa"/>
          </w:tcPr>
          <w:p>
            <w:pPr>
              <w:jc w:val="center"/>
              <w:rPr>
                <w:color w:val="auto"/>
                <w:highlight w:val="none"/>
              </w:rPr>
            </w:pPr>
            <w:r>
              <w:rPr>
                <w:rFonts w:hint="eastAsia"/>
                <w:color w:val="auto"/>
                <w:highlight w:val="none"/>
              </w:rPr>
              <w:t>年费率1%-2%，最低保费500元</w:t>
            </w:r>
          </w:p>
        </w:tc>
        <w:tc>
          <w:tcPr>
            <w:tcW w:w="992" w:type="dxa"/>
          </w:tcPr>
          <w:p>
            <w:pPr>
              <w:jc w:val="center"/>
              <w:rPr>
                <w:color w:val="auto"/>
                <w:highlight w:val="none"/>
              </w:rPr>
            </w:pPr>
            <w:r>
              <w:rPr>
                <w:rFonts w:hint="eastAsia"/>
                <w:color w:val="auto"/>
                <w:highlight w:val="none"/>
              </w:rPr>
              <w:t>罗赛</w:t>
            </w:r>
          </w:p>
        </w:tc>
        <w:tc>
          <w:tcPr>
            <w:tcW w:w="1468" w:type="dxa"/>
          </w:tcPr>
          <w:p>
            <w:pPr>
              <w:jc w:val="center"/>
              <w:rPr>
                <w:color w:val="auto"/>
                <w:highlight w:val="none"/>
              </w:rPr>
            </w:pPr>
            <w:r>
              <w:rPr>
                <w:rFonts w:hint="eastAsia"/>
                <w:color w:val="auto"/>
                <w:highlight w:val="none"/>
              </w:rPr>
              <w:t>13736605643</w:t>
            </w:r>
          </w:p>
        </w:tc>
      </w:tr>
    </w:tbl>
    <w:p>
      <w:pPr>
        <w:pStyle w:val="56"/>
        <w:rPr>
          <w:rFonts w:cs="宋体"/>
          <w:color w:val="auto"/>
          <w:szCs w:val="24"/>
          <w:highlight w:val="none"/>
        </w:rPr>
      </w:pPr>
    </w:p>
    <w:p>
      <w:pPr>
        <w:pStyle w:val="56"/>
        <w:rPr>
          <w:rFonts w:cs="宋体"/>
          <w:color w:val="auto"/>
          <w:szCs w:val="24"/>
          <w:highlight w:val="none"/>
        </w:rPr>
      </w:pPr>
    </w:p>
    <w:p>
      <w:pPr>
        <w:pStyle w:val="56"/>
        <w:rPr>
          <w:rFonts w:cs="宋体"/>
          <w:color w:val="auto"/>
          <w:szCs w:val="24"/>
          <w:highlight w:val="none"/>
        </w:rPr>
      </w:pPr>
    </w:p>
    <w:p>
      <w:pPr>
        <w:pStyle w:val="56"/>
        <w:rPr>
          <w:rFonts w:cs="宋体"/>
          <w:color w:val="auto"/>
          <w:szCs w:val="24"/>
          <w:highlight w:val="none"/>
        </w:rPr>
      </w:pPr>
    </w:p>
    <w:p>
      <w:pPr>
        <w:pStyle w:val="56"/>
        <w:rPr>
          <w:rFonts w:cs="宋体"/>
          <w:color w:val="auto"/>
          <w:szCs w:val="24"/>
          <w:highlight w:val="none"/>
        </w:rPr>
      </w:pPr>
    </w:p>
    <w:p>
      <w:pPr>
        <w:pStyle w:val="56"/>
        <w:rPr>
          <w:rFonts w:cs="宋体"/>
          <w:color w:val="auto"/>
          <w:szCs w:val="24"/>
          <w:highlight w:val="none"/>
        </w:rPr>
      </w:pPr>
    </w:p>
    <w:p>
      <w:pPr>
        <w:pStyle w:val="56"/>
        <w:rPr>
          <w:rFonts w:cs="宋体"/>
          <w:color w:val="auto"/>
          <w:szCs w:val="24"/>
          <w:highlight w:val="none"/>
        </w:rPr>
      </w:pPr>
    </w:p>
    <w:p>
      <w:pPr>
        <w:pStyle w:val="56"/>
        <w:rPr>
          <w:rFonts w:cs="宋体"/>
          <w:color w:val="auto"/>
          <w:szCs w:val="24"/>
          <w:highlight w:val="none"/>
        </w:rPr>
      </w:pPr>
    </w:p>
    <w:p>
      <w:pPr>
        <w:pStyle w:val="56"/>
        <w:rPr>
          <w:rFonts w:cs="宋体"/>
          <w:color w:val="auto"/>
          <w:szCs w:val="24"/>
          <w:highlight w:val="none"/>
        </w:rPr>
      </w:pPr>
    </w:p>
    <w:p>
      <w:pPr>
        <w:pStyle w:val="56"/>
        <w:rPr>
          <w:rFonts w:cs="宋体"/>
          <w:color w:val="auto"/>
          <w:szCs w:val="24"/>
          <w:highlight w:val="none"/>
        </w:rPr>
      </w:pPr>
    </w:p>
    <w:p>
      <w:pPr>
        <w:pStyle w:val="56"/>
        <w:rPr>
          <w:rFonts w:cs="宋体"/>
          <w:color w:val="auto"/>
          <w:szCs w:val="24"/>
          <w:highlight w:val="none"/>
        </w:rPr>
      </w:pPr>
    </w:p>
    <w:p>
      <w:pPr>
        <w:pStyle w:val="56"/>
        <w:rPr>
          <w:rFonts w:cs="宋体"/>
          <w:color w:val="auto"/>
          <w:szCs w:val="24"/>
          <w:highlight w:val="none"/>
        </w:rPr>
      </w:pPr>
    </w:p>
    <w:p>
      <w:pPr>
        <w:pStyle w:val="56"/>
        <w:rPr>
          <w:rFonts w:cs="宋体"/>
          <w:color w:val="auto"/>
          <w:szCs w:val="24"/>
          <w:highlight w:val="none"/>
        </w:rPr>
      </w:pPr>
    </w:p>
    <w:p>
      <w:pPr>
        <w:pStyle w:val="56"/>
        <w:rPr>
          <w:rFonts w:cs="宋体"/>
          <w:color w:val="auto"/>
          <w:szCs w:val="24"/>
          <w:highlight w:val="none"/>
        </w:rPr>
      </w:pPr>
    </w:p>
    <w:p>
      <w:pPr>
        <w:pStyle w:val="56"/>
        <w:rPr>
          <w:rFonts w:cs="宋体"/>
          <w:color w:val="auto"/>
          <w:szCs w:val="24"/>
          <w:highlight w:val="none"/>
        </w:rPr>
      </w:pPr>
    </w:p>
    <w:p>
      <w:pPr>
        <w:pStyle w:val="56"/>
        <w:rPr>
          <w:rFonts w:cs="宋体"/>
          <w:color w:val="auto"/>
          <w:szCs w:val="24"/>
          <w:highlight w:val="none"/>
        </w:rPr>
      </w:pPr>
    </w:p>
    <w:p>
      <w:pPr>
        <w:pStyle w:val="56"/>
        <w:rPr>
          <w:rFonts w:cs="宋体"/>
          <w:color w:val="auto"/>
          <w:szCs w:val="24"/>
          <w:highlight w:val="none"/>
        </w:rPr>
      </w:pPr>
    </w:p>
    <w:p>
      <w:pPr>
        <w:pStyle w:val="56"/>
        <w:rPr>
          <w:rFonts w:cs="宋体"/>
          <w:color w:val="auto"/>
          <w:szCs w:val="24"/>
          <w:highlight w:val="none"/>
        </w:rPr>
      </w:pPr>
    </w:p>
    <w:p>
      <w:pPr>
        <w:pStyle w:val="56"/>
        <w:rPr>
          <w:rFonts w:cs="宋体"/>
          <w:color w:val="auto"/>
          <w:szCs w:val="24"/>
          <w:highlight w:val="none"/>
        </w:rPr>
      </w:pPr>
    </w:p>
    <w:p>
      <w:pPr>
        <w:numPr>
          <w:ilvl w:val="0"/>
          <w:numId w:val="11"/>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投标人须知</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前  附  表</w:t>
      </w:r>
    </w:p>
    <w:tbl>
      <w:tblPr>
        <w:tblStyle w:val="43"/>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210"/>
        <w:gridCol w:w="6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    目</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供应商特定资格要求</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答疑会或</w:t>
            </w:r>
            <w:r>
              <w:rPr>
                <w:rFonts w:hint="eastAsia" w:ascii="宋体" w:hAnsi="宋体" w:cs="宋体"/>
                <w:color w:val="auto"/>
                <w:szCs w:val="21"/>
                <w:highlight w:val="none"/>
              </w:rPr>
              <w:t>现场踏勘</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电子投标要求</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投标人须按照招标文件和电子交易平台的要求</w:t>
            </w:r>
            <w:r>
              <w:rPr>
                <w:rFonts w:hint="eastAsia" w:ascii="宋体" w:hAnsi="宋体" w:cs="宋体"/>
                <w:color w:val="auto"/>
                <w:szCs w:val="21"/>
                <w:highlight w:val="none"/>
              </w:rPr>
              <w:t>编制、加密并提交</w:t>
            </w:r>
            <w:r>
              <w:rPr>
                <w:rFonts w:hint="eastAsia"/>
                <w:color w:val="auto"/>
                <w:szCs w:val="21"/>
                <w:highlight w:val="none"/>
              </w:rPr>
              <w:t>投标文件。未按规定加密的投标文件，将被拒收。</w:t>
            </w:r>
          </w:p>
          <w:p>
            <w:pPr>
              <w:spacing w:line="360" w:lineRule="auto"/>
              <w:rPr>
                <w:rFonts w:hint="eastAsia" w:eastAsia="宋体"/>
                <w:b/>
                <w:bCs/>
                <w:color w:val="auto"/>
                <w:szCs w:val="21"/>
                <w:highlight w:val="none"/>
                <w:u w:val="single"/>
                <w:lang w:eastAsia="zh-CN"/>
              </w:rPr>
            </w:pPr>
            <w:r>
              <w:rPr>
                <w:rFonts w:hint="eastAsia"/>
                <w:b/>
                <w:bCs/>
                <w:color w:val="auto"/>
                <w:szCs w:val="21"/>
                <w:highlight w:val="none"/>
                <w:u w:val="single"/>
              </w:rPr>
              <w:t>截止时间：北京时间</w:t>
            </w:r>
            <w:r>
              <w:rPr>
                <w:rFonts w:hint="eastAsia"/>
                <w:b/>
                <w:bCs/>
                <w:color w:val="auto"/>
                <w:szCs w:val="21"/>
                <w:highlight w:val="none"/>
                <w:u w:val="single"/>
                <w:lang w:eastAsia="zh-CN"/>
              </w:rPr>
              <w:t>202</w:t>
            </w:r>
            <w:r>
              <w:rPr>
                <w:rFonts w:hint="eastAsia"/>
                <w:b/>
                <w:bCs/>
                <w:color w:val="auto"/>
                <w:szCs w:val="21"/>
                <w:highlight w:val="none"/>
                <w:u w:val="single"/>
                <w:lang w:val="en-US" w:eastAsia="zh-CN"/>
              </w:rPr>
              <w:t>2</w:t>
            </w:r>
            <w:r>
              <w:rPr>
                <w:rFonts w:hint="eastAsia"/>
                <w:b/>
                <w:bCs/>
                <w:color w:val="auto"/>
                <w:szCs w:val="21"/>
                <w:highlight w:val="none"/>
                <w:u w:val="single"/>
                <w:lang w:eastAsia="zh-CN"/>
              </w:rPr>
              <w:t>年</w:t>
            </w:r>
            <w:r>
              <w:rPr>
                <w:rFonts w:hint="eastAsia"/>
                <w:b/>
                <w:bCs/>
                <w:color w:val="auto"/>
                <w:szCs w:val="21"/>
                <w:highlight w:val="none"/>
                <w:u w:val="single"/>
                <w:lang w:val="en-US" w:eastAsia="zh-CN"/>
              </w:rPr>
              <w:t>8</w:t>
            </w:r>
            <w:r>
              <w:rPr>
                <w:rFonts w:hint="eastAsia"/>
                <w:b/>
                <w:bCs/>
                <w:color w:val="auto"/>
                <w:szCs w:val="21"/>
                <w:highlight w:val="none"/>
                <w:u w:val="single"/>
                <w:lang w:eastAsia="zh-CN"/>
              </w:rPr>
              <w:t>月</w:t>
            </w:r>
            <w:r>
              <w:rPr>
                <w:rFonts w:hint="eastAsia"/>
                <w:b/>
                <w:bCs/>
                <w:color w:val="auto"/>
                <w:szCs w:val="21"/>
                <w:highlight w:val="none"/>
                <w:u w:val="single"/>
                <w:lang w:val="en-US" w:eastAsia="zh-CN"/>
              </w:rPr>
              <w:t xml:space="preserve"> 8 </w:t>
            </w:r>
            <w:r>
              <w:rPr>
                <w:rFonts w:hint="eastAsia"/>
                <w:b/>
                <w:bCs/>
                <w:color w:val="auto"/>
                <w:szCs w:val="21"/>
                <w:highlight w:val="none"/>
                <w:u w:val="single"/>
                <w:lang w:eastAsia="zh-CN"/>
              </w:rPr>
              <w:t>日09:30</w:t>
            </w:r>
          </w:p>
          <w:p>
            <w:pPr>
              <w:spacing w:line="360" w:lineRule="auto"/>
              <w:rPr>
                <w:color w:val="auto"/>
                <w:szCs w:val="21"/>
                <w:highlight w:val="none"/>
              </w:rPr>
            </w:pPr>
            <w:r>
              <w:rPr>
                <w:rFonts w:hint="eastAsia"/>
                <w:color w:val="auto"/>
                <w:szCs w:val="21"/>
                <w:highlight w:val="none"/>
              </w:rPr>
              <w:t>投标人应当在投标截止时间前完成投标文件的传输递交，</w:t>
            </w:r>
            <w:r>
              <w:rPr>
                <w:rFonts w:hint="eastAsia" w:ascii="宋体" w:hAnsi="宋体" w:cs="宋体"/>
                <w:color w:val="auto"/>
                <w:szCs w:val="21"/>
                <w:highlight w:val="none"/>
              </w:rPr>
              <w:t>投标截止时间前可以补充、修改或者撤回电子投标文件。补充或者修改电子投标文件的，应当先行撤回原文件，补充、修改后重新传输递交。投标截止时间前未完成传输的，视为撤回投标文件</w:t>
            </w:r>
            <w:r>
              <w:rPr>
                <w:rFonts w:hint="eastAsia"/>
                <w:color w:val="auto"/>
                <w:szCs w:val="21"/>
                <w:highlight w:val="none"/>
              </w:rPr>
              <w:t>。逾期上传的投标文件恕不接受。</w:t>
            </w:r>
          </w:p>
          <w:p>
            <w:pPr>
              <w:pStyle w:val="17"/>
              <w:spacing w:line="360" w:lineRule="auto"/>
              <w:rPr>
                <w:color w:val="auto"/>
                <w:sz w:val="21"/>
                <w:szCs w:val="21"/>
                <w:highlight w:val="none"/>
              </w:rPr>
            </w:pPr>
            <w:r>
              <w:rPr>
                <w:rFonts w:hint="eastAsia"/>
                <w:b/>
                <w:bCs/>
                <w:color w:val="auto"/>
                <w:sz w:val="21"/>
                <w:szCs w:val="21"/>
                <w:highlight w:val="none"/>
              </w:rPr>
              <w:t>温馨提醒：供应商应提前上传，以便在上传时遇到技术问题，有充足的时间请教平台的技术人员。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s="Arial" w:asciiTheme="minorEastAsia" w:hAnsiTheme="minorEastAsia" w:eastAsiaTheme="minorEastAsia"/>
                <w:b/>
                <w:bCs/>
                <w:color w:val="auto"/>
                <w:szCs w:val="21"/>
                <w:highlight w:val="none"/>
              </w:rPr>
              <w:t>备份电子投标文件</w:t>
            </w:r>
          </w:p>
        </w:tc>
        <w:tc>
          <w:tcPr>
            <w:tcW w:w="6467" w:type="dxa"/>
            <w:tcBorders>
              <w:top w:val="single" w:color="auto" w:sz="4" w:space="0"/>
              <w:left w:val="single" w:color="auto" w:sz="4" w:space="0"/>
              <w:bottom w:val="single" w:color="auto" w:sz="4" w:space="0"/>
              <w:right w:val="single" w:color="auto" w:sz="4" w:space="0"/>
            </w:tcBorders>
            <w:vAlign w:val="center"/>
          </w:tcPr>
          <w:p>
            <w:pPr>
              <w:pStyle w:val="55"/>
              <w:spacing w:line="360" w:lineRule="auto"/>
              <w:rPr>
                <w:rFonts w:ascii="宋体" w:hAnsi="宋体" w:cs="宋体"/>
                <w:color w:val="auto"/>
                <w:szCs w:val="21"/>
                <w:highlight w:val="none"/>
              </w:rPr>
            </w:pPr>
            <w:r>
              <w:rPr>
                <w:rFonts w:hint="eastAsia" w:ascii="宋体" w:hAnsi="宋体" w:cs="宋体"/>
                <w:color w:val="auto"/>
                <w:szCs w:val="21"/>
                <w:highlight w:val="none"/>
              </w:rPr>
              <w:t>投标人在投标截止时间前将备份电子投标文件</w:t>
            </w:r>
            <w:r>
              <w:rPr>
                <w:rFonts w:hint="eastAsia" w:ascii="宋体" w:hAnsi="宋体" w:cs="宋体"/>
                <w:b/>
                <w:bCs/>
                <w:color w:val="auto"/>
                <w:szCs w:val="21"/>
                <w:highlight w:val="none"/>
              </w:rPr>
              <w:t>（自愿提供，非实质性要求，因无法读取的后果由投标人自行承担）</w:t>
            </w:r>
            <w:r>
              <w:rPr>
                <w:rFonts w:hint="eastAsia"/>
                <w:color w:val="auto"/>
                <w:szCs w:val="21"/>
                <w:highlight w:val="none"/>
              </w:rPr>
              <w:t>以介质（U盘）存储形式按要求密封邮寄到指定地点或</w:t>
            </w:r>
            <w:r>
              <w:rPr>
                <w:rFonts w:hint="eastAsia" w:ascii="宋体" w:hAnsi="宋体" w:cs="宋体"/>
                <w:color w:val="auto"/>
                <w:szCs w:val="21"/>
                <w:highlight w:val="none"/>
              </w:rPr>
              <w:t>以电子邮件的方式发送至项目负责人邮箱</w:t>
            </w:r>
            <w:r>
              <w:rPr>
                <w:rFonts w:hint="eastAsia" w:ascii="宋体" w:hAnsi="宋体" w:cs="宋体"/>
                <w:color w:val="auto"/>
                <w:szCs w:val="21"/>
                <w:highlight w:val="none"/>
                <w:lang w:val="en-US" w:eastAsia="zh-CN"/>
              </w:rPr>
              <w:t>422958747</w:t>
            </w:r>
            <w:r>
              <w:rPr>
                <w:rFonts w:hint="eastAsia" w:ascii="宋体" w:hAnsi="宋体" w:cs="宋体"/>
                <w:color w:val="auto"/>
                <w:szCs w:val="21"/>
                <w:highlight w:val="none"/>
              </w:rPr>
              <w:t>@qq.com，以收到时间为准，逾期或不符合规定的投标文件恕不接受。</w:t>
            </w:r>
          </w:p>
          <w:p>
            <w:pPr>
              <w:pStyle w:val="55"/>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注：</w:t>
            </w:r>
            <w:r>
              <w:rPr>
                <w:rFonts w:hint="eastAsia" w:ascii="宋体" w:hAnsi="宋体" w:cs="宋体"/>
                <w:color w:val="auto"/>
                <w:szCs w:val="21"/>
                <w:highlight w:val="none"/>
              </w:rPr>
              <w:t>备份电子投标文件：通过“政采云”平台电子投标工具制作电子投标文件产生的备份文件（后缀名为“.bfbs”），投标人自行确定是否提交；若提交请将备份投标文件以U盘、光盘或电子邮件（发送至</w:t>
            </w:r>
            <w:r>
              <w:rPr>
                <w:rFonts w:hint="eastAsia" w:ascii="宋体" w:hAnsi="宋体" w:cs="宋体"/>
                <w:color w:val="auto"/>
                <w:szCs w:val="21"/>
                <w:highlight w:val="none"/>
                <w:lang w:val="en-US" w:eastAsia="zh-CN"/>
              </w:rPr>
              <w:t>422958747</w:t>
            </w:r>
            <w:r>
              <w:rPr>
                <w:rFonts w:hint="eastAsia" w:ascii="宋体" w:hAnsi="宋体" w:cs="宋体"/>
                <w:color w:val="auto"/>
                <w:szCs w:val="21"/>
                <w:highlight w:val="none"/>
              </w:rPr>
              <w:t>@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提示：</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1.投标文件已按时解密的，备份投标文件自动失效。</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2.投标文件未按时解密，供应商提供了备份投标文件的，以备份投标文件作为依据，否则视为投标文件撤回。</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3.投标文件未按时解密，又未提供备份投标文件的，视为放弃投标。</w:t>
            </w:r>
          </w:p>
          <w:p>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4.供应商仅提交备份投标文件的，投标无效。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开标说明</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本项目为电子投标项目，授权代表不需要参加现场投标和开标。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投标有效期为开标后90天，</w:t>
            </w:r>
            <w:r>
              <w:rPr>
                <w:rFonts w:hint="eastAsia" w:ascii="宋体" w:hAnsi="宋体" w:cs="宋体"/>
                <w:color w:val="auto"/>
                <w:kern w:val="0"/>
                <w:szCs w:val="21"/>
                <w:highlight w:val="none"/>
              </w:rPr>
              <w:t>投标有效期从提交电子投标文件的截止之日起算。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开标时间及地点</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时间：北京时间</w:t>
            </w:r>
            <w:r>
              <w:rPr>
                <w:rFonts w:hint="eastAsia" w:ascii="宋体" w:hAnsi="宋体" w:cs="宋体"/>
                <w:color w:val="auto"/>
                <w:szCs w:val="21"/>
                <w:highlight w:val="none"/>
                <w:lang w:eastAsia="zh-CN"/>
              </w:rPr>
              <w:t>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日09:30</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地点：政府采购云平台（www.zcygov.cn）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467" w:type="dxa"/>
            <w:tcBorders>
              <w:top w:val="single" w:color="auto" w:sz="4" w:space="0"/>
              <w:left w:val="single" w:color="auto" w:sz="4" w:space="0"/>
              <w:bottom w:val="single" w:color="auto" w:sz="4" w:space="0"/>
              <w:right w:val="single" w:color="auto" w:sz="4" w:space="0"/>
            </w:tcBorders>
            <w:vAlign w:val="center"/>
          </w:tcPr>
          <w:p>
            <w:pPr>
              <w:pStyle w:val="25"/>
              <w:spacing w:line="360" w:lineRule="auto"/>
              <w:ind w:left="0" w:left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在合同签订前，中标单位应交纳合同金额</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%的履约保证金，如未按规定提交履约保证金，招标人有权拒签合同。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2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电子投标文件签章</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kern w:val="0"/>
                <w:szCs w:val="21"/>
                <w:highlight w:val="none"/>
                <w:lang w:val="zh-CN"/>
              </w:rPr>
            </w:pPr>
            <w:r>
              <w:rPr>
                <w:rFonts w:hint="eastAsia" w:ascii="宋体" w:hAnsi="宋体" w:cs="宋体"/>
                <w:b/>
                <w:color w:val="auto"/>
                <w:szCs w:val="21"/>
                <w:highlight w:val="none"/>
              </w:rPr>
              <w:t>电子投标文件中所须加盖公章部分均采用CA签章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2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highlight w:val="none"/>
                <w:lang w:val="zh-CN"/>
              </w:rPr>
            </w:pPr>
            <w:r>
              <w:rPr>
                <w:rFonts w:hint="eastAsia" w:ascii="宋体" w:hAnsi="宋体" w:cs="宋体"/>
                <w:b/>
                <w:bCs/>
                <w:color w:val="auto"/>
                <w:kern w:val="0"/>
                <w:szCs w:val="21"/>
                <w:highlight w:val="none"/>
              </w:rPr>
              <w:t>纸质投标文件</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（1）为方便评审委员会评审，请供应商提供纸质投标文件（指商务与技术文件）一份给招标代理机构，纸质投标文件系电子投标文件纸质版，两者内容应一致。本项非实质性要求，供应商自愿提供。</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在投标截止时间之前邮寄（送达）至以下地点，以签收时间为准，逾期或不符合规定的投标文件恕不接受。</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收 件 人：</w:t>
            </w:r>
            <w:r>
              <w:rPr>
                <w:rFonts w:hint="eastAsia" w:ascii="宋体" w:hAnsi="宋体" w:cs="宋体"/>
                <w:color w:val="auto"/>
                <w:szCs w:val="21"/>
                <w:highlight w:val="none"/>
                <w:lang w:eastAsia="zh-CN"/>
              </w:rPr>
              <w:t>吴女士</w:t>
            </w:r>
            <w:r>
              <w:rPr>
                <w:rFonts w:hint="eastAsia" w:ascii="宋体" w:hAnsi="宋体" w:cs="宋体"/>
                <w:color w:val="auto"/>
                <w:szCs w:val="21"/>
                <w:highlight w:val="none"/>
              </w:rPr>
              <w:t>（浙江建航工程咨询有限公司）</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联系电话：0576-88810077</w:t>
            </w:r>
          </w:p>
          <w:p>
            <w:pPr>
              <w:pStyle w:val="17"/>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    址：浙江省台州市经济开发区天和路95号天和大厦B幢1104。</w:t>
            </w:r>
          </w:p>
          <w:p>
            <w:pPr>
              <w:pStyle w:val="17"/>
              <w:spacing w:line="360" w:lineRule="auto"/>
              <w:rPr>
                <w:rFonts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（2）中标供应商中标后需提供纸质投标文件给招标代理机构作为备案存档，纸质投标文件系电子投标文件纸质版，两者内容应一致；数量为：资格证明文件2份；商务与技术文件2份；报价文件2份。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2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实质性条款</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带“</w:t>
            </w:r>
            <w:r>
              <w:rPr>
                <w:rFonts w:hint="eastAsia" w:ascii="宋体" w:hAnsi="宋体" w:cs="宋体"/>
                <w:bCs/>
                <w:color w:val="auto"/>
                <w:szCs w:val="21"/>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2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6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本采购文件解释权属于采购人和采购代理机构</w:t>
            </w:r>
          </w:p>
        </w:tc>
      </w:tr>
    </w:tbl>
    <w:p>
      <w:pPr>
        <w:pStyle w:val="24"/>
        <w:snapToGrid w:val="0"/>
        <w:spacing w:before="120" w:after="120" w:line="360" w:lineRule="auto"/>
        <w:rPr>
          <w:rFonts w:asciiTheme="minorEastAsia" w:hAnsiTheme="minorEastAsia" w:eastAsiaTheme="minorEastAsia" w:cstheme="minorEastAsia"/>
          <w:b/>
          <w:color w:val="auto"/>
          <w:szCs w:val="21"/>
          <w:highlight w:val="none"/>
        </w:rPr>
      </w:pPr>
    </w:p>
    <w:p>
      <w:pPr>
        <w:pStyle w:val="24"/>
        <w:snapToGrid w:val="0"/>
        <w:spacing w:before="120" w:after="120" w:line="360" w:lineRule="auto"/>
        <w:rPr>
          <w:rFonts w:asciiTheme="minorEastAsia" w:hAnsiTheme="minorEastAsia" w:eastAsiaTheme="minorEastAsia" w:cstheme="minorEastAsia"/>
          <w:b/>
          <w:color w:val="auto"/>
          <w:szCs w:val="21"/>
          <w:highlight w:val="none"/>
        </w:rPr>
      </w:pPr>
    </w:p>
    <w:p>
      <w:pPr>
        <w:pStyle w:val="24"/>
        <w:snapToGrid w:val="0"/>
        <w:spacing w:before="120" w:after="120" w:line="360" w:lineRule="auto"/>
        <w:rPr>
          <w:rFonts w:asciiTheme="minorEastAsia" w:hAnsiTheme="minorEastAsia" w:eastAsiaTheme="minorEastAsia" w:cstheme="minorEastAsia"/>
          <w:b/>
          <w:color w:val="auto"/>
          <w:szCs w:val="21"/>
          <w:highlight w:val="none"/>
        </w:rPr>
      </w:pPr>
    </w:p>
    <w:p>
      <w:pPr>
        <w:pStyle w:val="24"/>
        <w:snapToGrid w:val="0"/>
        <w:spacing w:before="120" w:after="120" w:line="360" w:lineRule="auto"/>
        <w:rPr>
          <w:rFonts w:asciiTheme="minorEastAsia" w:hAnsiTheme="minorEastAsia" w:eastAsiaTheme="minorEastAsia" w:cstheme="minorEastAsia"/>
          <w:b/>
          <w:color w:val="auto"/>
          <w:szCs w:val="21"/>
          <w:highlight w:val="none"/>
        </w:rPr>
      </w:pPr>
    </w:p>
    <w:p>
      <w:pPr>
        <w:pStyle w:val="24"/>
        <w:snapToGrid w:val="0"/>
        <w:spacing w:before="120" w:after="120"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 、总  则</w:t>
      </w:r>
    </w:p>
    <w:p>
      <w:pPr>
        <w:snapToGrid w:val="0"/>
        <w:spacing w:line="360" w:lineRule="auto"/>
        <w:ind w:firstLine="413" w:firstLineChars="196"/>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 适用范围</w:t>
      </w:r>
    </w:p>
    <w:p>
      <w:pPr>
        <w:snapToGrid w:val="0"/>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本采购文件适用于</w:t>
      </w:r>
      <w:r>
        <w:rPr>
          <w:rFonts w:hint="eastAsia" w:asciiTheme="minorEastAsia" w:hAnsiTheme="minorEastAsia" w:eastAsiaTheme="minorEastAsia" w:cstheme="minorEastAsia"/>
          <w:bCs/>
          <w:color w:val="auto"/>
          <w:szCs w:val="21"/>
          <w:highlight w:val="none"/>
        </w:rPr>
        <w:t>本次</w:t>
      </w:r>
      <w:r>
        <w:rPr>
          <w:rFonts w:hint="eastAsia" w:asciiTheme="minorEastAsia" w:hAnsiTheme="minorEastAsia" w:eastAsiaTheme="minorEastAsia" w:cstheme="minorEastAsia"/>
          <w:color w:val="auto"/>
          <w:szCs w:val="21"/>
          <w:highlight w:val="none"/>
        </w:rPr>
        <w:t>项目的招标、投标、评标、定标、验收、合同履约、付款等行为（法律、法规另有规定的，从其规定）。</w:t>
      </w:r>
    </w:p>
    <w:p>
      <w:pPr>
        <w:snapToGrid w:val="0"/>
        <w:spacing w:beforeLines="50" w:line="360" w:lineRule="auto"/>
        <w:ind w:firstLine="310" w:firstLineChars="147"/>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（二）定义</w:t>
      </w:r>
    </w:p>
    <w:p>
      <w:pPr>
        <w:pStyle w:val="5"/>
        <w:keepNext w:val="0"/>
        <w:keepLines w:val="0"/>
        <w:numPr>
          <w:ilvl w:val="0"/>
          <w:numId w:val="12"/>
        </w:numPr>
        <w:tabs>
          <w:tab w:val="left" w:pos="0"/>
          <w:tab w:val="left" w:pos="851"/>
        </w:tabs>
        <w:autoSpaceDE w:val="0"/>
        <w:autoSpaceDN w:val="0"/>
        <w:adjustRightInd w:val="0"/>
        <w:snapToGrid w:val="0"/>
        <w:spacing w:before="0" w:after="0" w:line="360" w:lineRule="auto"/>
        <w:ind w:left="0" w:firstLine="420" w:firstLineChars="200"/>
        <w:jc w:val="left"/>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zh-CN"/>
        </w:rPr>
        <w:t>“采购组织机构”指采购人委托组织招标的采购代理机构。</w:t>
      </w:r>
    </w:p>
    <w:p>
      <w:pPr>
        <w:pStyle w:val="5"/>
        <w:keepNext w:val="0"/>
        <w:keepLines w:val="0"/>
        <w:numPr>
          <w:ilvl w:val="0"/>
          <w:numId w:val="12"/>
        </w:numPr>
        <w:tabs>
          <w:tab w:val="left" w:pos="0"/>
          <w:tab w:val="left" w:pos="851"/>
        </w:tabs>
        <w:autoSpaceDE w:val="0"/>
        <w:autoSpaceDN w:val="0"/>
        <w:adjustRightInd w:val="0"/>
        <w:snapToGrid w:val="0"/>
        <w:spacing w:before="0" w:after="0" w:line="360" w:lineRule="auto"/>
        <w:ind w:left="0" w:firstLine="420" w:firstLineChars="200"/>
        <w:jc w:val="left"/>
        <w:rPr>
          <w:rFonts w:asciiTheme="minorEastAsia" w:hAnsiTheme="minorEastAsia" w:eastAsiaTheme="minorEastAsia" w:cstheme="minorEastAsia"/>
          <w:b w:val="0"/>
          <w:bCs w:val="0"/>
          <w:color w:val="auto"/>
          <w:sz w:val="21"/>
          <w:szCs w:val="21"/>
          <w:highlight w:val="none"/>
          <w:lang w:val="zh-CN"/>
        </w:rPr>
      </w:pPr>
      <w:r>
        <w:rPr>
          <w:rFonts w:hint="eastAsia" w:asciiTheme="minorEastAsia" w:hAnsiTheme="minorEastAsia" w:eastAsiaTheme="minorEastAsia" w:cstheme="minorEastAsia"/>
          <w:b w:val="0"/>
          <w:bCs w:val="0"/>
          <w:color w:val="auto"/>
          <w:sz w:val="21"/>
          <w:szCs w:val="21"/>
          <w:highlight w:val="none"/>
          <w:lang w:val="zh-CN"/>
        </w:rPr>
        <w:t>采购人：是指委托采购代理机构采购本次项目的国家机关、事业单位和团体组织。</w:t>
      </w:r>
    </w:p>
    <w:p>
      <w:pPr>
        <w:numPr>
          <w:ilvl w:val="0"/>
          <w:numId w:val="12"/>
        </w:numPr>
        <w:snapToGrid w:val="0"/>
        <w:spacing w:line="360" w:lineRule="auto"/>
        <w:ind w:left="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投标人：是指向采购</w:t>
      </w:r>
      <w:r>
        <w:rPr>
          <w:rFonts w:hint="eastAsia" w:asciiTheme="minorEastAsia" w:hAnsiTheme="minorEastAsia" w:eastAsiaTheme="minorEastAsia" w:cstheme="minorEastAsia"/>
          <w:color w:val="auto"/>
          <w:szCs w:val="21"/>
          <w:highlight w:val="none"/>
          <w:lang w:val="zh-CN"/>
        </w:rPr>
        <w:t>组织</w:t>
      </w:r>
      <w:r>
        <w:rPr>
          <w:rFonts w:hint="eastAsia" w:asciiTheme="minorEastAsia" w:hAnsiTheme="minorEastAsia" w:eastAsiaTheme="minorEastAsia" w:cstheme="minorEastAsia"/>
          <w:color w:val="auto"/>
          <w:szCs w:val="21"/>
          <w:highlight w:val="none"/>
        </w:rPr>
        <w:t>机构提交投标文件的单位或个人。</w:t>
      </w:r>
    </w:p>
    <w:p>
      <w:pPr>
        <w:numPr>
          <w:ilvl w:val="0"/>
          <w:numId w:val="12"/>
        </w:numPr>
        <w:snapToGrid w:val="0"/>
        <w:spacing w:line="360" w:lineRule="auto"/>
        <w:ind w:left="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货物：是指各种形态和种类的物品，包括原材料、燃料、设备、产品等。</w:t>
      </w:r>
    </w:p>
    <w:p>
      <w:pPr>
        <w:numPr>
          <w:ilvl w:val="0"/>
          <w:numId w:val="12"/>
        </w:numPr>
        <w:snapToGrid w:val="0"/>
        <w:spacing w:line="360" w:lineRule="auto"/>
        <w:ind w:left="0" w:firstLine="420" w:firstLineChars="200"/>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服务：是指除货物和工程以外的政府采购对象，包括各类专业服务、信息网络开发服务、金融保险服务、运输服务，以及维修与维护服务等。</w:t>
      </w:r>
    </w:p>
    <w:p>
      <w:pPr>
        <w:numPr>
          <w:ilvl w:val="0"/>
          <w:numId w:val="12"/>
        </w:numPr>
        <w:snapToGrid w:val="0"/>
        <w:spacing w:line="360" w:lineRule="auto"/>
        <w:ind w:left="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“书面形式”包括信函、传真等。</w:t>
      </w:r>
    </w:p>
    <w:p>
      <w:pPr>
        <w:numPr>
          <w:ilvl w:val="0"/>
          <w:numId w:val="12"/>
        </w:numPr>
        <w:snapToGrid w:val="0"/>
        <w:spacing w:line="360" w:lineRule="auto"/>
        <w:ind w:left="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本采购文件所称公章是指单位法定名称章或者CA签章。</w:t>
      </w:r>
    </w:p>
    <w:p>
      <w:pPr>
        <w:numPr>
          <w:ilvl w:val="0"/>
          <w:numId w:val="12"/>
        </w:numPr>
        <w:snapToGrid w:val="0"/>
        <w:spacing w:line="360" w:lineRule="auto"/>
        <w:ind w:left="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“▲”系指实质性要求条款。</w:t>
      </w:r>
    </w:p>
    <w:p>
      <w:pPr>
        <w:snapToGrid w:val="0"/>
        <w:spacing w:beforeLines="50" w:line="360" w:lineRule="auto"/>
        <w:ind w:firstLine="413" w:firstLineChars="196"/>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（三）投标费用</w:t>
      </w:r>
    </w:p>
    <w:p>
      <w:pPr>
        <w:numPr>
          <w:ilvl w:val="0"/>
          <w:numId w:val="13"/>
        </w:numPr>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不论投标结果如何，投标人均应自行承担所有与投标有关的全部费用（采购文件有相关规定除外）。</w:t>
      </w:r>
    </w:p>
    <w:p>
      <w:pPr>
        <w:snapToGrid w:val="0"/>
        <w:spacing w:line="360" w:lineRule="auto"/>
        <w:ind w:firstLine="420" w:firstLineChars="200"/>
        <w:rPr>
          <w:rFonts w:hAnsi="宋体" w:cs="宋体"/>
          <w:color w:val="auto"/>
          <w:szCs w:val="21"/>
          <w:highlight w:val="none"/>
        </w:rPr>
      </w:pPr>
      <w:r>
        <w:rPr>
          <w:rFonts w:hint="eastAsia" w:asciiTheme="minorEastAsia" w:hAnsiTheme="minorEastAsia" w:eastAsiaTheme="minorEastAsia" w:cstheme="minorEastAsia"/>
          <w:color w:val="auto"/>
          <w:szCs w:val="21"/>
          <w:highlight w:val="none"/>
        </w:rPr>
        <w:t>2.招标代理服务费：根据《国家发展改革委关于进一步放开建设项目专业服务价格的通知》(发改价格2015 299号)规定的标准，按照中标通知书确定的中标金额，向中标单位收取代理服务费。该费用中标方须在领取中标通知书时一次性付清。</w:t>
      </w:r>
    </w:p>
    <w:p>
      <w:pPr>
        <w:pStyle w:val="24"/>
        <w:snapToGrid w:val="0"/>
        <w:spacing w:line="360" w:lineRule="auto"/>
        <w:ind w:left="2" w:leftChars="1"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（四）特别说明</w:t>
      </w:r>
    </w:p>
    <w:p>
      <w:pPr>
        <w:pStyle w:val="24"/>
        <w:numPr>
          <w:ilvl w:val="0"/>
          <w:numId w:val="14"/>
        </w:numPr>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投标人投标所使用的资格、信誉、荣誉、业绩与企业认证必须为本法人所拥有。投标人投标所使用的采购项目实施人员必须为本法人员工（指本法人或控股公司正式员工）。</w:t>
      </w:r>
    </w:p>
    <w:p>
      <w:pPr>
        <w:numPr>
          <w:ilvl w:val="0"/>
          <w:numId w:val="14"/>
        </w:numPr>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EastAsia"/>
          <w:color w:val="auto"/>
          <w:szCs w:val="21"/>
          <w:highlight w:val="none"/>
        </w:rPr>
        <w:tab/>
      </w:r>
    </w:p>
    <w:p>
      <w:pPr>
        <w:pStyle w:val="58"/>
        <w:numPr>
          <w:ilvl w:val="0"/>
          <w:numId w:val="14"/>
        </w:numPr>
        <w:snapToGrid w:val="0"/>
        <w:spacing w:line="360" w:lineRule="auto"/>
        <w:ind w:left="0"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5"/>
        <w:keepNext w:val="0"/>
        <w:keepLines w:val="0"/>
        <w:numPr>
          <w:ilvl w:val="0"/>
          <w:numId w:val="14"/>
        </w:numP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numPr>
          <w:ilvl w:val="0"/>
          <w:numId w:val="14"/>
        </w:numP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为采购项目提供整体设计、规范编制或者项目管理、监理、检测等服务的供应商，不得再参加该采购项目的其他采购活动。</w:t>
      </w:r>
    </w:p>
    <w:p>
      <w:pPr>
        <w:pStyle w:val="5"/>
        <w:keepNext w:val="0"/>
        <w:keepLines w:val="0"/>
        <w:numPr>
          <w:ilvl w:val="0"/>
          <w:numId w:val="14"/>
        </w:numP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投标文件格式中的表格式样可以根据项目差别做适当调整,但应当保持表格样式基本形态不变。</w:t>
      </w:r>
    </w:p>
    <w:p>
      <w:pPr>
        <w:pStyle w:val="5"/>
        <w:keepNext w:val="0"/>
        <w:keepLines w:val="0"/>
        <w:numPr>
          <w:ilvl w:val="0"/>
          <w:numId w:val="14"/>
        </w:numPr>
        <w:tabs>
          <w:tab w:val="left" w:pos="851"/>
        </w:tabs>
        <w:autoSpaceDE w:val="0"/>
        <w:autoSpaceDN w:val="0"/>
        <w:adjustRightInd w:val="0"/>
        <w:snapToGrid w:val="0"/>
        <w:spacing w:before="0" w:after="0" w:line="360" w:lineRule="auto"/>
        <w:ind w:left="0"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▲单位负责人为同一人或者存在直接控股、管理关系的不同供应商，不得参加同一合同项下的政府采购活动，否则，相关供应商均按无效标处理。</w:t>
      </w:r>
    </w:p>
    <w:p>
      <w:pPr>
        <w:pStyle w:val="5"/>
        <w:keepNext w:val="0"/>
        <w:keepLines w:val="0"/>
        <w:numPr>
          <w:ilvl w:val="0"/>
          <w:numId w:val="14"/>
        </w:numPr>
        <w:tabs>
          <w:tab w:val="left" w:pos="851"/>
        </w:tabs>
        <w:autoSpaceDE w:val="0"/>
        <w:autoSpaceDN w:val="0"/>
        <w:adjustRightInd w:val="0"/>
        <w:snapToGrid w:val="0"/>
        <w:spacing w:before="0" w:after="0" w:line="360" w:lineRule="auto"/>
        <w:ind w:left="0"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▲法定代表人或者负责人有夫妻、直系血亲、三代以内旁系血亲或者近姻亲关系的不同供应商，不得参加同一合同项下的政府采购活动，否则，相关供应商均按无效标处理。</w:t>
      </w:r>
    </w:p>
    <w:p>
      <w:pPr>
        <w:pStyle w:val="5"/>
        <w:keepNext w:val="0"/>
        <w:keepLines w:val="0"/>
        <w:numPr>
          <w:ilvl w:val="0"/>
          <w:numId w:val="14"/>
        </w:numP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公益一类事业单位不属于政府购买服务的承接主体，不得参与承接政府购买服务。</w:t>
      </w:r>
    </w:p>
    <w:p>
      <w:pPr>
        <w:pStyle w:val="55"/>
        <w:numPr>
          <w:ilvl w:val="0"/>
          <w:numId w:val="14"/>
        </w:numPr>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55"/>
        <w:numPr>
          <w:ilvl w:val="0"/>
          <w:numId w:val="14"/>
        </w:numPr>
        <w:spacing w:line="360" w:lineRule="auto"/>
        <w:ind w:left="0"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本项目的核心产品是：</w:t>
      </w:r>
      <w:r>
        <w:rPr>
          <w:rFonts w:hint="eastAsia" w:asciiTheme="minorEastAsia" w:hAnsiTheme="minorEastAsia" w:eastAsiaTheme="minorEastAsia" w:cstheme="minorEastAsia"/>
          <w:b/>
          <w:bCs/>
          <w:color w:val="auto"/>
          <w:szCs w:val="21"/>
          <w:highlight w:val="none"/>
          <w:u w:val="single"/>
        </w:rPr>
        <w:t xml:space="preserve"> 本项目为服务项目，不适用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二、招标文件</w:t>
      </w:r>
    </w:p>
    <w:p>
      <w:pP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（一）招标文件由招标文件总目录所列内容组成。</w:t>
      </w:r>
    </w:p>
    <w:p>
      <w:pP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（二）招标文件的澄清或修改</w:t>
      </w:r>
    </w:p>
    <w:p>
      <w:pP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17"/>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3、当招标文件与招标文件的澄清、修改、补充等在同一内容的表述上不一致时，以最后发出的书面文件为准。</w:t>
      </w:r>
    </w:p>
    <w:p>
      <w:pPr>
        <w:tabs>
          <w:tab w:val="left" w:pos="1418"/>
        </w:tabs>
        <w:autoSpaceDE w:val="0"/>
        <w:autoSpaceDN w:val="0"/>
        <w:adjustRightInd w:val="0"/>
        <w:spacing w:line="360" w:lineRule="auto"/>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 xml:space="preserve"> 三、投标文件</w:t>
      </w:r>
    </w:p>
    <w:p>
      <w:pPr>
        <w:autoSpaceDE w:val="0"/>
        <w:autoSpaceDN w:val="0"/>
        <w:adjustRightInd w:val="0"/>
        <w:spacing w:line="440" w:lineRule="exact"/>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szCs w:val="21"/>
          <w:highlight w:val="none"/>
          <w:lang w:val="zh-CN"/>
        </w:rPr>
        <w:t>（一）</w:t>
      </w:r>
      <w:r>
        <w:rPr>
          <w:rFonts w:hint="eastAsia" w:asciiTheme="minorEastAsia" w:hAnsiTheme="minorEastAsia" w:eastAsiaTheme="minorEastAsia" w:cstheme="minorEastAsia"/>
          <w:b/>
          <w:bCs/>
          <w:color w:val="auto"/>
          <w:kern w:val="0"/>
          <w:szCs w:val="21"/>
          <w:highlight w:val="none"/>
        </w:rPr>
        <w:t>投标文件的形式</w:t>
      </w:r>
      <w:r>
        <w:rPr>
          <w:rFonts w:hint="eastAsia" w:asciiTheme="minorEastAsia" w:hAnsiTheme="minorEastAsia" w:eastAsiaTheme="minorEastAsia" w:cstheme="minorEastAsia"/>
          <w:b/>
          <w:color w:val="auto"/>
          <w:szCs w:val="21"/>
          <w:highlight w:val="none"/>
        </w:rPr>
        <w:t>和使用规则</w:t>
      </w:r>
    </w:p>
    <w:p>
      <w:pPr>
        <w:autoSpaceDE w:val="0"/>
        <w:autoSpaceDN w:val="0"/>
        <w:adjustRightInd w:val="0"/>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本项目实行电子招投标，各供应商应按照本项目招标文件和政采云平台的相关要求编制、加密并提交投标文件，因现阶段为电子交易试运行阶段，为保证项目顺利开展，各供应商应同时制作以下内容：</w:t>
      </w:r>
    </w:p>
    <w:p>
      <w:pPr>
        <w:autoSpaceDE w:val="0"/>
        <w:autoSpaceDN w:val="0"/>
        <w:adjustRightInd w:val="0"/>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1、电子加密标书（</w:t>
      </w:r>
      <w:r>
        <w:rPr>
          <w:rFonts w:hint="eastAsia" w:asciiTheme="minorEastAsia" w:hAnsiTheme="minorEastAsia" w:eastAsiaTheme="minorEastAsia" w:cstheme="minorEastAsia"/>
          <w:color w:val="auto"/>
          <w:szCs w:val="21"/>
          <w:highlight w:val="none"/>
        </w:rPr>
        <w:t>供应商须通过政采云平台的政采云电子交易客户端制作投标文件，电子投标相关操作详见</w:t>
      </w:r>
      <w:r>
        <w:rPr>
          <w:color w:val="auto"/>
          <w:highlight w:val="none"/>
        </w:rPr>
        <w:fldChar w:fldCharType="begin"/>
      </w:r>
      <w:r>
        <w:rPr>
          <w:color w:val="auto"/>
          <w:highlight w:val="none"/>
        </w:rPr>
        <w:instrText xml:space="preserve"> HYPERLINK "https://service.zcygov.cn/" \l "/help/superior" </w:instrText>
      </w:r>
      <w:r>
        <w:rPr>
          <w:color w:val="auto"/>
          <w:highlight w:val="none"/>
        </w:rPr>
        <w:fldChar w:fldCharType="separate"/>
      </w:r>
      <w:r>
        <w:rPr>
          <w:rStyle w:val="50"/>
          <w:rFonts w:hint="eastAsia" w:asciiTheme="minorEastAsia" w:hAnsiTheme="minorEastAsia" w:eastAsiaTheme="minorEastAsia" w:cstheme="minorEastAsia"/>
          <w:color w:val="auto"/>
          <w:szCs w:val="21"/>
          <w:highlight w:val="none"/>
        </w:rPr>
        <w:t>https://service.zcygov.cn/#/help/superior</w:t>
      </w:r>
      <w:r>
        <w:rPr>
          <w:rStyle w:val="50"/>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zh-CN"/>
        </w:rPr>
        <w:t>在政采云系统平台上传）。</w:t>
      </w:r>
    </w:p>
    <w:p>
      <w:pPr>
        <w:autoSpaceDE w:val="0"/>
        <w:autoSpaceDN w:val="0"/>
        <w:adjustRightInd w:val="0"/>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2、电子备份标书一份（后缀名为“.bfbs”，以U盘或光盘等形式提供），单独密封包装。</w:t>
      </w:r>
    </w:p>
    <w:p>
      <w:pPr>
        <w:autoSpaceDE w:val="0"/>
        <w:autoSpaceDN w:val="0"/>
        <w:adjustRightInd w:val="0"/>
        <w:spacing w:line="440" w:lineRule="exact"/>
        <w:ind w:firstLine="420"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lang w:val="zh-CN"/>
        </w:rPr>
        <w:t>3、纸质投标文件（商务与技术文件）一份，密封包装。</w:t>
      </w:r>
    </w:p>
    <w:p>
      <w:pPr>
        <w:pStyle w:val="17"/>
        <w:ind w:firstLine="422" w:firstLineChars="200"/>
        <w:rPr>
          <w:rFonts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rPr>
        <w:t>注：</w:t>
      </w:r>
      <w:r>
        <w:rPr>
          <w:rFonts w:hint="eastAsia" w:asciiTheme="minorEastAsia" w:hAnsiTheme="minorEastAsia" w:eastAsiaTheme="minorEastAsia" w:cstheme="minorEastAsia"/>
          <w:b/>
          <w:color w:val="auto"/>
          <w:sz w:val="21"/>
          <w:szCs w:val="21"/>
          <w:highlight w:val="none"/>
          <w:lang w:val="zh-CN"/>
        </w:rPr>
        <w:t>投标文件启用顺序和效力：投标文件的启用，按先后顺位分别为电子投标文件、备份投标文件。</w:t>
      </w:r>
    </w:p>
    <w:p>
      <w:pPr>
        <w:pStyle w:val="17"/>
        <w:ind w:firstLine="422" w:firstLineChars="200"/>
        <w:rPr>
          <w:rFonts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全部投标人的电子投标文件均已按时解密的，电子备份文件和纸质投标文件自动失效，若有供应商发生解密异常时，可以申请由采购代理机构使用电子备份标书上传处理，供应商的电子标书解密和备份标书解密均失败或逾期解密的，投标文件将作无效标处理。投标人仅提交备份投标文件，没有在电子交易平台传输递交“电子加密投标文件”的，投标无效。</w:t>
      </w:r>
    </w:p>
    <w:p>
      <w:pPr>
        <w:autoSpaceDE w:val="0"/>
        <w:autoSpaceDN w:val="0"/>
        <w:adjustRightInd w:val="0"/>
        <w:spacing w:line="360"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szCs w:val="21"/>
          <w:highlight w:val="none"/>
          <w:lang w:val="zh-CN"/>
        </w:rPr>
        <w:t>（</w:t>
      </w:r>
      <w:r>
        <w:rPr>
          <w:rFonts w:hint="eastAsia" w:asciiTheme="minorEastAsia" w:hAnsiTheme="minorEastAsia" w:eastAsiaTheme="minorEastAsia" w:cstheme="minorEastAsia"/>
          <w:b/>
          <w:color w:val="auto"/>
          <w:szCs w:val="21"/>
          <w:highlight w:val="none"/>
        </w:rPr>
        <w:t>二</w:t>
      </w:r>
      <w:r>
        <w:rPr>
          <w:rFonts w:hint="eastAsia" w:asciiTheme="minorEastAsia" w:hAnsiTheme="minorEastAsia" w:eastAsiaTheme="minorEastAsia" w:cstheme="minorEastAsia"/>
          <w:b/>
          <w:color w:val="auto"/>
          <w:szCs w:val="21"/>
          <w:highlight w:val="none"/>
          <w:lang w:val="zh-CN"/>
        </w:rPr>
        <w:t>）</w:t>
      </w:r>
      <w:r>
        <w:rPr>
          <w:rFonts w:hint="eastAsia" w:asciiTheme="minorEastAsia" w:hAnsiTheme="minorEastAsia" w:eastAsiaTheme="minorEastAsia" w:cstheme="minorEastAsia"/>
          <w:b/>
          <w:bCs/>
          <w:color w:val="auto"/>
          <w:kern w:val="0"/>
          <w:szCs w:val="21"/>
          <w:highlight w:val="none"/>
        </w:rPr>
        <w:t>投标文件的组成</w:t>
      </w:r>
    </w:p>
    <w:p>
      <w:pPr>
        <w:snapToGrid w:val="0"/>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kern w:val="0"/>
          <w:szCs w:val="21"/>
          <w:highlight w:val="none"/>
        </w:rPr>
        <w:t xml:space="preserve">  投标人接到招标文件后，按照采购组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p>
    <w:p>
      <w:pPr>
        <w:snapToGrid w:val="0"/>
        <w:spacing w:line="360" w:lineRule="auto"/>
        <w:ind w:left="420" w:left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Cs w:val="21"/>
          <w:highlight w:val="none"/>
        </w:rPr>
        <w:t>▲1、资格证明文件的组成：</w:t>
      </w:r>
    </w:p>
    <w:p>
      <w:pPr>
        <w:widowControl/>
        <w:numPr>
          <w:ilvl w:val="0"/>
          <w:numId w:val="15"/>
        </w:numPr>
        <w:spacing w:line="360" w:lineRule="auto"/>
        <w:ind w:left="7" w:leftChars="0" w:right="60" w:firstLine="413" w:firstLineChars="0"/>
        <w:jc w:val="left"/>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投标声明书；</w:t>
      </w:r>
    </w:p>
    <w:p>
      <w:pPr>
        <w:widowControl/>
        <w:numPr>
          <w:ilvl w:val="0"/>
          <w:numId w:val="15"/>
        </w:numPr>
        <w:spacing w:line="360" w:lineRule="auto"/>
        <w:ind w:left="7" w:leftChars="0" w:right="60" w:firstLine="413" w:firstLineChars="0"/>
        <w:jc w:val="left"/>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授权委托书（法定代表人亲自办理投标事宜的，则无需提交)；</w:t>
      </w:r>
    </w:p>
    <w:p>
      <w:pPr>
        <w:widowControl/>
        <w:numPr>
          <w:ilvl w:val="0"/>
          <w:numId w:val="15"/>
        </w:numPr>
        <w:spacing w:line="360" w:lineRule="auto"/>
        <w:ind w:left="7" w:leftChars="0" w:right="60" w:firstLine="413" w:firstLineChars="0"/>
        <w:jc w:val="left"/>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法人或者其他组织的营业执照等证明文件，自然人的身份证明；</w:t>
      </w:r>
    </w:p>
    <w:p>
      <w:pPr>
        <w:widowControl/>
        <w:numPr>
          <w:ilvl w:val="0"/>
          <w:numId w:val="15"/>
        </w:numPr>
        <w:spacing w:line="360" w:lineRule="auto"/>
        <w:ind w:left="7" w:leftChars="0" w:right="60" w:firstLine="413" w:firstLineChars="0"/>
        <w:jc w:val="left"/>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具有良好的商业信誉和健全的财务会计制度的承诺（附件</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w:t>
      </w:r>
    </w:p>
    <w:p>
      <w:pPr>
        <w:widowControl/>
        <w:numPr>
          <w:ilvl w:val="0"/>
          <w:numId w:val="15"/>
        </w:numPr>
        <w:spacing w:line="360" w:lineRule="auto"/>
        <w:ind w:left="7" w:leftChars="0" w:right="60" w:firstLine="413" w:firstLineChars="0"/>
        <w:jc w:val="left"/>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依法缴纳税收和社会保障资金的承诺（附件</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w:t>
      </w:r>
    </w:p>
    <w:p>
      <w:pPr>
        <w:widowControl/>
        <w:numPr>
          <w:ilvl w:val="0"/>
          <w:numId w:val="15"/>
        </w:numPr>
        <w:spacing w:line="360" w:lineRule="auto"/>
        <w:ind w:left="7" w:leftChars="0" w:right="60" w:firstLine="413" w:firstLineChars="0"/>
        <w:jc w:val="left"/>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参加政府采购活动前三年内，在经营活动中没有重大违法记录（附件</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w:t>
      </w:r>
    </w:p>
    <w:p>
      <w:pPr>
        <w:widowControl/>
        <w:numPr>
          <w:ilvl w:val="0"/>
          <w:numId w:val="15"/>
        </w:numPr>
        <w:spacing w:line="360" w:lineRule="auto"/>
        <w:ind w:left="7" w:leftChars="0" w:right="60" w:firstLine="413" w:firstLineChars="0"/>
        <w:jc w:val="left"/>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中小企业声明函(格式详见附件</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w:t>
      </w:r>
    </w:p>
    <w:p>
      <w:pPr>
        <w:widowControl/>
        <w:numPr>
          <w:ilvl w:val="0"/>
          <w:numId w:val="15"/>
        </w:numPr>
        <w:spacing w:line="360" w:lineRule="auto"/>
        <w:ind w:left="7" w:leftChars="0" w:right="60" w:firstLine="413" w:firstLineChars="0"/>
        <w:jc w:val="left"/>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需要说明的其他资料。</w:t>
      </w:r>
    </w:p>
    <w:p>
      <w:pPr>
        <w:tabs>
          <w:tab w:val="left" w:pos="840"/>
        </w:tabs>
        <w:snapToGrid w:val="0"/>
        <w:spacing w:line="360" w:lineRule="auto"/>
        <w:ind w:left="420" w:leftChars="200"/>
        <w:rPr>
          <w:rFonts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rPr>
        <w:t>2、商务与技术文件的组成：</w:t>
      </w:r>
    </w:p>
    <w:p>
      <w:pPr>
        <w:pStyle w:val="13"/>
        <w:widowControl/>
        <w:adjustRightInd w:val="0"/>
        <w:snapToGrid w:val="0"/>
        <w:spacing w:line="360" w:lineRule="auto"/>
        <w:ind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（1）投标人情况介绍（人员与技术力量</w:t>
      </w:r>
      <w:r>
        <w:rPr>
          <w:rFonts w:hint="eastAsia" w:asciiTheme="minorEastAsia" w:hAnsiTheme="minorEastAsia" w:eastAsiaTheme="minorEastAsia" w:cstheme="minorEastAsia"/>
          <w:color w:val="auto"/>
          <w:szCs w:val="21"/>
          <w:highlight w:val="none"/>
          <w:lang w:val="en-US" w:eastAsia="zh-CN"/>
        </w:rPr>
        <w:t>\经营业绩</w:t>
      </w:r>
      <w:r>
        <w:rPr>
          <w:rFonts w:hint="eastAsia" w:asciiTheme="minorEastAsia" w:hAnsiTheme="minorEastAsia" w:eastAsiaTheme="minorEastAsia" w:cstheme="minorEastAsia"/>
          <w:color w:val="auto"/>
          <w:szCs w:val="21"/>
          <w:highlight w:val="none"/>
        </w:rPr>
        <w:t>等）。</w:t>
      </w:r>
    </w:p>
    <w:p>
      <w:pPr>
        <w:pStyle w:val="13"/>
        <w:widowControl/>
        <w:adjustRightInd w:val="0"/>
        <w:snapToGrid w:val="0"/>
        <w:spacing w:line="360" w:lineRule="auto"/>
        <w:ind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（2）投标方案描述：</w:t>
      </w:r>
    </w:p>
    <w:p>
      <w:pPr>
        <w:pStyle w:val="13"/>
        <w:widowControl/>
        <w:adjustRightInd w:val="0"/>
        <w:snapToGrid w:val="0"/>
        <w:spacing w:line="360" w:lineRule="auto"/>
        <w:ind w:left="218" w:leftChars="104" w:firstLine="541" w:firstLineChars="258"/>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A.项目需求的理解与分。</w:t>
      </w:r>
    </w:p>
    <w:p>
      <w:pPr>
        <w:pStyle w:val="13"/>
        <w:widowControl/>
        <w:adjustRightInd w:val="0"/>
        <w:snapToGrid w:val="0"/>
        <w:spacing w:line="360" w:lineRule="auto"/>
        <w:ind w:left="218" w:leftChars="104" w:firstLine="541" w:firstLineChars="258"/>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B.项目组织实施方案。</w:t>
      </w:r>
    </w:p>
    <w:p>
      <w:pPr>
        <w:pStyle w:val="13"/>
        <w:widowControl/>
        <w:adjustRightInd w:val="0"/>
        <w:snapToGrid w:val="0"/>
        <w:spacing w:line="360" w:lineRule="auto"/>
        <w:ind w:left="218" w:leftChars="104" w:firstLine="541" w:firstLineChars="258"/>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C.</w:t>
      </w:r>
      <w:r>
        <w:rPr>
          <w:rFonts w:hint="eastAsia" w:asciiTheme="minorEastAsia" w:hAnsiTheme="minorEastAsia" w:eastAsiaTheme="minorEastAsia" w:cstheme="minorEastAsia"/>
          <w:color w:val="auto"/>
          <w:szCs w:val="21"/>
          <w:highlight w:val="none"/>
        </w:rPr>
        <w:t>商务及技术响应表。</w:t>
      </w:r>
    </w:p>
    <w:p>
      <w:pPr>
        <w:autoSpaceDE w:val="0"/>
        <w:autoSpaceDN w:val="0"/>
        <w:adjustRightInd w:val="0"/>
        <w:spacing w:line="360" w:lineRule="auto"/>
        <w:ind w:firstLine="371" w:firstLineChars="177"/>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）投标人通过的质量管理和质量保证体系</w:t>
      </w:r>
      <w:r>
        <w:rPr>
          <w:rFonts w:hint="eastAsia" w:asciiTheme="minorEastAsia" w:hAnsiTheme="minorEastAsia" w:eastAsiaTheme="minorEastAsia" w:cstheme="minorEastAsia"/>
          <w:color w:val="auto"/>
          <w:szCs w:val="21"/>
          <w:highlight w:val="none"/>
        </w:rPr>
        <w:t>等等与本项目相关</w:t>
      </w:r>
      <w:r>
        <w:rPr>
          <w:rFonts w:hint="eastAsia" w:asciiTheme="minorEastAsia" w:hAnsiTheme="minorEastAsia" w:eastAsiaTheme="minorEastAsia" w:cstheme="minorEastAsia"/>
          <w:color w:val="auto"/>
          <w:kern w:val="0"/>
          <w:szCs w:val="21"/>
          <w:highlight w:val="none"/>
        </w:rPr>
        <w:t>的认证证书或文件；</w:t>
      </w:r>
    </w:p>
    <w:p>
      <w:pPr>
        <w:pStyle w:val="13"/>
        <w:widowControl/>
        <w:adjustRightInd w:val="0"/>
        <w:snapToGrid w:val="0"/>
        <w:spacing w:line="360" w:lineRule="auto"/>
        <w:ind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）近年来类似项目的成功案例（投标人类似项目实施情况一览表、合同复印件等</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w:t>
      </w:r>
    </w:p>
    <w:p>
      <w:pPr>
        <w:snapToGrid w:val="0"/>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）投标人认为需要提供的其他资料（包括可能影响投标人商务与技术文件评分的各类证明材料）。</w:t>
      </w:r>
    </w:p>
    <w:p>
      <w:pPr>
        <w:pStyle w:val="13"/>
        <w:widowControl/>
        <w:adjustRightInd w:val="0"/>
        <w:snapToGrid w:val="0"/>
        <w:spacing w:line="360" w:lineRule="auto"/>
        <w:ind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）售后服务描述及承诺：</w:t>
      </w:r>
    </w:p>
    <w:p>
      <w:pPr>
        <w:pStyle w:val="13"/>
        <w:widowControl/>
        <w:adjustRightInd w:val="0"/>
        <w:snapToGrid w:val="0"/>
        <w:spacing w:line="360" w:lineRule="auto"/>
        <w:ind w:left="218" w:leftChars="104" w:firstLine="541" w:firstLineChars="258"/>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A.距采购人最近的服务网点详细介绍（包括地理位置、技术力量、服务内容及联系电话等）。</w:t>
      </w:r>
    </w:p>
    <w:p>
      <w:pPr>
        <w:pStyle w:val="13"/>
        <w:widowControl/>
        <w:adjustRightInd w:val="0"/>
        <w:snapToGrid w:val="0"/>
        <w:spacing w:line="360" w:lineRule="auto"/>
        <w:ind w:left="218" w:leftChars="104" w:firstLine="541" w:firstLineChars="258"/>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B.针对本项目的售后服务措施及承诺（售后技术服务方案、人员配备、故障响应时间、技术培训方案等）。</w:t>
      </w:r>
    </w:p>
    <w:p>
      <w:pPr>
        <w:spacing w:line="41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pPr>
        <w:autoSpaceDE w:val="0"/>
        <w:autoSpaceDN w:val="0"/>
        <w:adjustRightInd w:val="0"/>
        <w:spacing w:line="360" w:lineRule="auto"/>
        <w:ind w:left="426" w:firstLine="57" w:firstLineChars="27"/>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3、报价文件的组成</w:t>
      </w:r>
    </w:p>
    <w:p>
      <w:pP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（1）开标一览表；</w:t>
      </w:r>
    </w:p>
    <w:p>
      <w:pP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）政府采购优惠政策相关表格：产品适用政府采购政策情况表（如有）；</w:t>
      </w:r>
    </w:p>
    <w:p>
      <w:pP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）投标人针对报价需要说明的其他文件和说明（如有）。</w:t>
      </w:r>
    </w:p>
    <w:p>
      <w:pPr>
        <w:autoSpaceDE w:val="0"/>
        <w:autoSpaceDN w:val="0"/>
        <w:adjustRightInd w:val="0"/>
        <w:spacing w:line="360"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4、投标报价</w:t>
      </w:r>
    </w:p>
    <w:p>
      <w:pP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（1）此报价为投标人一次性报出唯一的最终价格，包含其它一切所要涉及到的费用，有选择的报价将被拒绝。</w:t>
      </w:r>
    </w:p>
    <w:p>
      <w:pPr>
        <w:pStyle w:val="13"/>
        <w:spacing w:line="360" w:lineRule="auto"/>
        <w:ind w:firstLineChars="200"/>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w:t>
      </w: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zh-CN"/>
        </w:rPr>
        <w:t>）</w:t>
      </w:r>
      <w:r>
        <w:rPr>
          <w:rFonts w:hint="eastAsia" w:ascii="宋体" w:cs="宋体" w:eastAsiaTheme="minorEastAsia"/>
          <w:color w:val="auto"/>
          <w:kern w:val="0"/>
          <w:szCs w:val="21"/>
          <w:highlight w:val="none"/>
        </w:rPr>
        <w:t>投标总报价为完成本项目所包含的所有费用，投标总报价包括材料费、机械费、人工费（包括人工工资、预计加班费用、员工人身意外伤害保险、劳保用品费、保险等）、投入工具耗材费、装载费用、设施设备运行维修管理费、垃圾外运及处置费、税收、利润、其他项目费、措施费、风险费、综合管理费和税金等相关的一切费用。政策性文件规定及合同包含的所有风险、责任等各项应有费用均应考虑在内。投标人须充分考虑安全生产的相关措施费用，并计入投标报价</w:t>
      </w:r>
      <w:r>
        <w:rPr>
          <w:rFonts w:hint="eastAsia" w:ascii="宋体" w:cs="宋体"/>
          <w:color w:val="auto"/>
          <w:kern w:val="0"/>
          <w:szCs w:val="21"/>
          <w:highlight w:val="none"/>
        </w:rPr>
        <w:t>。</w:t>
      </w:r>
    </w:p>
    <w:p>
      <w:pP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szCs w:val="21"/>
          <w:highlight w:val="none"/>
        </w:rPr>
        <w:t>）投标报价应按招标文件中相关附表格式填写。</w:t>
      </w:r>
    </w:p>
    <w:p>
      <w:pPr>
        <w:numPr>
          <w:ilvl w:val="0"/>
          <w:numId w:val="16"/>
        </w:numPr>
        <w:spacing w:line="360" w:lineRule="auto"/>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投标文件的制作及递交要求</w:t>
      </w:r>
    </w:p>
    <w:p>
      <w:pPr>
        <w:snapToGrid w:val="0"/>
        <w:spacing w:beforeLines="50" w:line="360" w:lineRule="auto"/>
        <w:ind w:firstLine="413" w:firstLineChars="196"/>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1、投标文件的签署和份数</w:t>
      </w:r>
    </w:p>
    <w:p>
      <w:pPr>
        <w:snapToGrid w:val="0"/>
        <w:spacing w:line="360" w:lineRule="auto"/>
        <w:ind w:firstLine="411" w:firstLineChars="196"/>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电子投标文件：按本项目招标文件和“政府采购云平台”相关要求编制。电子投标文件中须加盖投标人公章部分均采用CA签章，并根据“政府采购云平台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napToGrid w:val="0"/>
        <w:spacing w:line="360" w:lineRule="auto"/>
        <w:ind w:firstLine="411" w:firstLineChars="196"/>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电子投标文件如内容不完整、编排混乱导致投标文件被误读、漏读，或者在按采购文件规定的部位查找不到相关内容的，由投标人自行承担。</w:t>
      </w:r>
    </w:p>
    <w:p>
      <w:pPr>
        <w:numPr>
          <w:ilvl w:val="0"/>
          <w:numId w:val="17"/>
        </w:numPr>
        <w:snapToGrid w:val="0"/>
        <w:spacing w:line="360" w:lineRule="auto"/>
        <w:ind w:firstLine="411" w:firstLineChars="196"/>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温馨提醒：</w:t>
      </w:r>
      <w:r>
        <w:rPr>
          <w:rFonts w:hint="eastAsia" w:asciiTheme="minorEastAsia" w:hAnsiTheme="minorEastAsia" w:eastAsiaTheme="minorEastAsia" w:cstheme="minorEastAsia"/>
          <w:color w:val="auto"/>
          <w:szCs w:val="21"/>
          <w:highlight w:val="none"/>
          <w:u w:val="single"/>
        </w:rPr>
        <w:t>CA签章上目前没有法定代表人或授权代表签字信息，需要投标人联系浙江杭州汇信科技有限公司等相应公司进行办理，或在投标文件中涉及到签字的位置线下签好字然后扫描或者拍照做成PDF的格式亦可。</w:t>
      </w:r>
    </w:p>
    <w:p>
      <w:pPr>
        <w:pStyle w:val="17"/>
        <w:spacing w:line="360" w:lineRule="auto"/>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（3）现阶段为电子交易试运行阶段，为保证项目顺利开展，本项目需要投标人提供“电子加密投标文件”同时生成的数据电文形式的电子备份标书，（电子备份标书后缀名为“.bfbs”，以U盘、光盘或邮件</w:t>
      </w:r>
      <w:r>
        <w:rPr>
          <w:rFonts w:hint="eastAsia" w:ascii="宋体" w:hAnsi="宋体" w:cs="宋体"/>
          <w:color w:val="auto"/>
          <w:sz w:val="21"/>
          <w:szCs w:val="21"/>
          <w:highlight w:val="none"/>
        </w:rPr>
        <w:t>（发送至4</w:t>
      </w:r>
      <w:r>
        <w:rPr>
          <w:rFonts w:hint="eastAsia" w:ascii="宋体" w:hAnsi="宋体" w:cs="宋体"/>
          <w:color w:val="auto"/>
          <w:sz w:val="21"/>
          <w:szCs w:val="21"/>
          <w:highlight w:val="none"/>
          <w:lang w:val="en-US" w:eastAsia="zh-CN"/>
        </w:rPr>
        <w:t>22958747</w:t>
      </w:r>
      <w:r>
        <w:rPr>
          <w:rFonts w:hint="eastAsia" w:ascii="宋体" w:hAnsi="宋体" w:cs="宋体"/>
          <w:color w:val="auto"/>
          <w:sz w:val="21"/>
          <w:szCs w:val="21"/>
          <w:highlight w:val="none"/>
        </w:rPr>
        <w:t>@qq.com）</w:t>
      </w:r>
      <w:r>
        <w:rPr>
          <w:rFonts w:hint="eastAsia" w:asciiTheme="minorEastAsia" w:hAnsiTheme="minorEastAsia" w:eastAsiaTheme="minorEastAsia" w:cstheme="minorEastAsia"/>
          <w:color w:val="auto"/>
          <w:sz w:val="21"/>
          <w:szCs w:val="21"/>
          <w:highlight w:val="none"/>
        </w:rPr>
        <w:t>等形式提供），并按要求装袋密封并在投标截止时间前通过邮寄方式送至浙江建航工程咨询有限公司（地址：浙江省台州市经济开发区天和路95号天和大厦B幢1104），逾期寄达或未按要求密封将被拒收。</w:t>
      </w:r>
    </w:p>
    <w:p>
      <w:pPr>
        <w:snapToGrid w:val="0"/>
        <w:spacing w:line="360" w:lineRule="auto"/>
        <w:ind w:firstLine="411" w:firstLineChars="196"/>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（4）</w:t>
      </w:r>
      <w:r>
        <w:rPr>
          <w:rFonts w:hint="eastAsia"/>
          <w:color w:val="auto"/>
          <w:szCs w:val="21"/>
          <w:highlight w:val="none"/>
        </w:rPr>
        <w:t>为方便评审委员会评审，请供应商提供纸质投标文件（指商务与技术文件）一份给招标代理机构，纸质投标文件系电子投标文件纸质版，两者内容应一致。</w:t>
      </w:r>
      <w:r>
        <w:rPr>
          <w:rFonts w:hint="eastAsia"/>
          <w:b/>
          <w:bCs/>
          <w:color w:val="auto"/>
          <w:szCs w:val="21"/>
          <w:highlight w:val="none"/>
        </w:rPr>
        <w:t>本项非实质性要求，供应商自愿提供</w:t>
      </w:r>
      <w:r>
        <w:rPr>
          <w:rFonts w:hint="eastAsia"/>
          <w:color w:val="auto"/>
          <w:szCs w:val="21"/>
          <w:highlight w:val="none"/>
        </w:rPr>
        <w:t>。</w:t>
      </w:r>
      <w:r>
        <w:rPr>
          <w:rFonts w:hint="eastAsia" w:asciiTheme="minorEastAsia" w:hAnsiTheme="minorEastAsia" w:eastAsiaTheme="minorEastAsia" w:cstheme="minorEastAsia"/>
          <w:bCs/>
          <w:color w:val="auto"/>
          <w:szCs w:val="21"/>
          <w:highlight w:val="none"/>
        </w:rPr>
        <w:t>在投标截止时间前送达（以邮寄形式）到指定地点，</w:t>
      </w:r>
      <w:r>
        <w:rPr>
          <w:rFonts w:hint="eastAsia" w:asciiTheme="minorEastAsia" w:hAnsiTheme="minorEastAsia" w:eastAsiaTheme="minorEastAsia" w:cstheme="minorEastAsia"/>
          <w:color w:val="auto"/>
          <w:szCs w:val="21"/>
          <w:highlight w:val="none"/>
        </w:rPr>
        <w:t>逾期寄达或未按要求密封将被拒收。</w:t>
      </w:r>
    </w:p>
    <w:p>
      <w:pPr>
        <w:snapToGrid w:val="0"/>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（5）纸质投标文件须由投标人在规定位置盖章并由法定代表人或授权委托代理人签署或盖章，投标人应写全称。纸质</w:t>
      </w:r>
      <w:r>
        <w:rPr>
          <w:rFonts w:hint="eastAsia" w:asciiTheme="minorEastAsia" w:hAnsiTheme="minorEastAsia" w:eastAsiaTheme="minorEastAsia" w:cstheme="minorEastAsia"/>
          <w:bCs/>
          <w:color w:val="auto"/>
          <w:szCs w:val="21"/>
          <w:highlight w:val="none"/>
        </w:rPr>
        <w:t>投标文件未按照招标文件要求签署、盖章的，其投标无效；</w:t>
      </w:r>
    </w:p>
    <w:p>
      <w:pPr>
        <w:snapToGrid w:val="0"/>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（6）投标文件不得涂改，若有修改错漏处，须加盖单位公章或者法定代表人或授权委托人签字或盖章。投标文件因字迹潦草或表达不清所引起的后果由投标人负责。</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b/>
          <w:bCs/>
          <w:color w:val="auto"/>
          <w:szCs w:val="21"/>
          <w:highlight w:val="none"/>
        </w:rPr>
        <w:t>投标文件的制作要求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（1）投标人应按照投标文件组成内容及项目招标需求和政采云平台制作投标文件，不按招标文件要求制作投标文件的将视情处理（拒收、扣分等），由此产生的责任由投标人自行承担。</w:t>
      </w:r>
    </w:p>
    <w:p>
      <w:pPr>
        <w:autoSpaceDE w:val="0"/>
        <w:autoSpaceDN w:val="0"/>
        <w:adjustRightIn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color w:val="auto"/>
          <w:szCs w:val="21"/>
          <w:highlight w:val="none"/>
        </w:rPr>
        <w:t>投标人应对所提供的全部资料的真实性承担法律责任，</w:t>
      </w:r>
      <w:r>
        <w:rPr>
          <w:rFonts w:hint="eastAsia" w:asciiTheme="minorEastAsia" w:hAnsiTheme="minorEastAsia" w:eastAsiaTheme="minorEastAsia" w:cstheme="minorEastAsia"/>
          <w:b/>
          <w:bCs/>
          <w:color w:val="auto"/>
          <w:szCs w:val="21"/>
          <w:highlight w:val="none"/>
        </w:rPr>
        <w:t>投标文件内容中有要求盖章或签字的地方，必须加盖投标人的公章以及法定代表人或授权委托代理人盖章或签字</w:t>
      </w:r>
      <w:r>
        <w:rPr>
          <w:rFonts w:hint="eastAsia" w:asciiTheme="minorEastAsia" w:hAnsiTheme="minorEastAsia" w:eastAsiaTheme="minorEastAsia" w:cstheme="minorEastAsia"/>
          <w:b/>
          <w:bCs/>
          <w:color w:val="auto"/>
          <w:szCs w:val="21"/>
          <w:highlight w:val="none"/>
          <w:lang w:val="zh-CN"/>
        </w:rPr>
        <w:t>，</w:t>
      </w:r>
      <w:r>
        <w:rPr>
          <w:rFonts w:hint="eastAsia" w:asciiTheme="minorEastAsia" w:hAnsiTheme="minorEastAsia" w:eastAsiaTheme="minorEastAsia" w:cstheme="minorEastAsia"/>
          <w:b/>
          <w:bCs/>
          <w:color w:val="auto"/>
          <w:szCs w:val="21"/>
          <w:highlight w:val="none"/>
        </w:rPr>
        <w:t>其中电子投标文件中所须加盖公章部分均采用CA签章（此为实质性条款）</w:t>
      </w:r>
      <w:r>
        <w:rPr>
          <w:rFonts w:hint="eastAsia" w:asciiTheme="minorEastAsia" w:hAnsiTheme="minorEastAsia" w:eastAsiaTheme="minorEastAsia" w:cstheme="minorEastAsia"/>
          <w:b/>
          <w:bCs/>
          <w:color w:val="auto"/>
          <w:szCs w:val="21"/>
          <w:highlight w:val="none"/>
          <w:lang w:val="zh-CN"/>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（3）投标文件以及投标人与采购组织机构就有关投标事宜的所有来往函电，均应以中文汉语书写。除签字、盖章、专用名称等特殊情形外，以中文汉语以外的文字表述的投标文件视同未提供。</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（4）投标计量单位，招标文件已有明确规定的，使用招标文件规定的计量单位；招标文件没有规定的，应采用中华人民共和国法定计量单位（货币单位：人民币元）。</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（5）若投标人不按招标文件的要求提供资格审查材料，其风险由投标人自行承担。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（6）与本次投标无关的内容请不要制作在内，确保投标文件有针对性、简洁明了，同时节约纸张；投标文件建议以A4纸大小双面打印并装订。</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3、投标文件的封装要求</w:t>
      </w:r>
    </w:p>
    <w:p>
      <w:pPr>
        <w:pStyle w:val="119"/>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（1）投标文件份数：①电子加密标书（在政采云系统平台上传）。②电子备份标书 1 份（后缀名为“.bfbs”，以U盘或光盘等形式提供），单独密封包装。③纸质投标文件（</w:t>
      </w:r>
      <w:r>
        <w:rPr>
          <w:rFonts w:hint="eastAsia" w:asciiTheme="minorEastAsia" w:hAnsiTheme="minorEastAsia" w:eastAsiaTheme="minorEastAsia" w:cstheme="minorEastAsia"/>
          <w:color w:val="auto"/>
          <w:highlight w:val="none"/>
          <w:lang w:val="zh-CN"/>
        </w:rPr>
        <w:t>商务与技术文件）以纸质形式编制，装订成册：商务与技术文件共一份，封装成一袋</w:t>
      </w:r>
      <w:r>
        <w:rPr>
          <w:rFonts w:hint="eastAsia" w:asciiTheme="minorEastAsia" w:hAnsiTheme="minorEastAsia" w:eastAsiaTheme="minorEastAsia" w:cstheme="minorEastAsia"/>
          <w:color w:val="auto"/>
          <w:highlight w:val="none"/>
        </w:rPr>
        <w:t>。</w:t>
      </w:r>
      <w:r>
        <w:rPr>
          <w:rFonts w:hint="eastAsia"/>
          <w:color w:val="auto"/>
          <w:highlight w:val="none"/>
        </w:rPr>
        <w:t>纸质投标文件系电子投标文件纸质版，两者内容应一致。</w:t>
      </w:r>
      <w:r>
        <w:rPr>
          <w:rFonts w:hint="eastAsia"/>
          <w:b/>
          <w:bCs/>
          <w:color w:val="auto"/>
          <w:highlight w:val="none"/>
        </w:rPr>
        <w:t>本项非实质性要求，供应商自愿提供。</w:t>
      </w:r>
      <w:r>
        <w:rPr>
          <w:rFonts w:hint="eastAsia" w:asciiTheme="minorEastAsia" w:hAnsiTheme="minorEastAsia" w:eastAsiaTheme="minorEastAsia" w:cstheme="minorEastAsia"/>
          <w:color w:val="auto"/>
          <w:highlight w:val="none"/>
        </w:rPr>
        <w:t>如有不同标项，请按标项号分别装订，密封要求同上。</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b/>
          <w:bCs/>
          <w:color w:val="auto"/>
          <w:szCs w:val="21"/>
          <w:highlight w:val="none"/>
        </w:rPr>
        <w:t>中标供应商</w:t>
      </w:r>
      <w:r>
        <w:rPr>
          <w:rFonts w:hint="eastAsia" w:asciiTheme="minorEastAsia" w:hAnsiTheme="minorEastAsia" w:eastAsiaTheme="minorEastAsia" w:cstheme="minorEastAsia"/>
          <w:color w:val="auto"/>
          <w:szCs w:val="21"/>
          <w:highlight w:val="none"/>
        </w:rPr>
        <w:t>中标后需提供纸质投标文件给招标代理机构作为备案存档，纸质投标文件系电子投标文件纸质版，两者内容应一致；资格证明文件、商务与技术文件、报价文件必须分别编制并分开单独装订成册：资格证明文件共两份（一份正本，一份副本，封装成一袋），商务与技术文件共两份（一份正本，一份副本，封装成一袋），报价文件共两份（一份正本，一份副本，封装成一袋）。投标文件的正本封面必须注明“正本”字样，副本可以采用正本的复印件。除报价文件外其余一律不准出现数字报价。如有不同标段，请按标段号分别装订。</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（3）所有投标资料按投标文件的组成所列内容及顺序装订成册，</w:t>
      </w:r>
      <w:r>
        <w:rPr>
          <w:rFonts w:hint="eastAsia" w:asciiTheme="minorEastAsia" w:hAnsiTheme="minorEastAsia" w:eastAsiaTheme="minorEastAsia" w:cstheme="minorEastAsia"/>
          <w:color w:val="auto"/>
          <w:szCs w:val="21"/>
          <w:highlight w:val="none"/>
          <w:lang w:val="zh-CN"/>
        </w:rPr>
        <w:t>并逐页连续标注页码。因投标文件内容不完整、编排混乱导致投标文件被误读、漏读或者查找不到相关内容的责任由投标人自行承担。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（4）电子备份标书和纸质投标文件在密封袋的封口处加盖投标人公章、法定代表人代表或授权委托代理人印章或签字。封皮上写明项目编号、标项、招标项目名称、投标人名称，并注明“投标文件名称（</w:t>
      </w:r>
      <w:r>
        <w:rPr>
          <w:rFonts w:hint="eastAsia" w:asciiTheme="minorEastAsia" w:hAnsiTheme="minorEastAsia" w:eastAsiaTheme="minorEastAsia" w:cstheme="minorEastAsia"/>
          <w:color w:val="auto"/>
          <w:szCs w:val="21"/>
          <w:highlight w:val="none"/>
          <w:lang w:val="zh-CN"/>
        </w:rPr>
        <w:t>资格及商务技术文件</w:t>
      </w:r>
      <w:r>
        <w:rPr>
          <w:rFonts w:hint="eastAsia" w:asciiTheme="minorEastAsia" w:hAnsiTheme="minorEastAsia" w:eastAsiaTheme="minorEastAsia" w:cstheme="minorEastAsia"/>
          <w:color w:val="auto"/>
          <w:szCs w:val="21"/>
          <w:highlight w:val="none"/>
        </w:rPr>
        <w:t>、报价文件）”、“开标时启封”字样，未按上述要求密封及加写标记，采购代理机构对投标文件的误投和提前启封不负责任。</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（5）项目如分标项，各标项投标文件必须分开编制，并按上述份数要求单独密封包装。</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color w:val="auto"/>
          <w:szCs w:val="21"/>
          <w:highlight w:val="none"/>
          <w:lang w:val="zh-CN"/>
        </w:rPr>
        <w:t>因密封不严、标记不明而造成失密、拒收、过早启封等情况，采购代理机构概不负责。</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4、投标文件的递交要求</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（1）投标人须按照招标文件和政采云平台的要求编制并加密投标文件，未按规定加密的投标文件，电子交易平台将被拒收，并在投标文件递交截止时间以前完成电子投标文件的传输递交，</w:t>
      </w:r>
      <w:r>
        <w:rPr>
          <w:rFonts w:hint="eastAsia" w:asciiTheme="minorEastAsia" w:hAnsiTheme="minorEastAsia" w:eastAsiaTheme="minorEastAsia" w:cstheme="minorEastAsia"/>
          <w:color w:val="auto"/>
          <w:kern w:val="0"/>
          <w:szCs w:val="21"/>
          <w:highlight w:val="none"/>
        </w:rPr>
        <w:t>同时应在投标截止时间前提供电子备份标书（后缀名为“.bfbs”，以U盘或光盘等形式提供）和纸质投标文件，按要求各自装袋密封后邮寄到指定地点，超过投标截止时间送达的将不予接收</w:t>
      </w:r>
      <w:r>
        <w:rPr>
          <w:rFonts w:hint="eastAsia" w:asciiTheme="minorEastAsia" w:hAnsiTheme="minorEastAsia" w:eastAsiaTheme="minorEastAsia" w:cstheme="minorEastAsia"/>
          <w:b/>
          <w:color w:val="auto"/>
          <w:kern w:val="0"/>
          <w:szCs w:val="21"/>
          <w:highlight w:val="none"/>
        </w:rPr>
        <w:t>。</w:t>
      </w:r>
    </w:p>
    <w:p>
      <w:pP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（2）若供应商未提交备份投标文件，其后果由供应商自行承担。投标人仅提交备份投标文件，未在投标截止时间前在电子交易系统中完成电子投标文件上传的，其电子备份标书和纸质备份投标文件也将无效。</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（3）如有特殊情况，采购代理机构延长截止时间和开标时间，采购代理机构和投标人的权利和义务将受到新的截止时间和开标时间的约束。</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5、投标文件的补充、修改和撤回。</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（1）投标人如需对已上传的电子投标文件进行补充或者修改的，应当在政采云平台上先行撤回原文件，补充、修改后重新传输递交。投标截止时间前未完成传输的，视为撤回投标文件。</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（2）投标人如需对上交的纸质投标文件进行补充、修改或撤回的，必须在投标截止时间前将书面的修改文件或撤消通知送达采购代理机构。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（3）投标修改文件必须密封，在密封袋上写明项目编号、标段、招标项目名称、投标人名称、并注明“修改文件”、“开标时启封”字样，其作为投标文件的组成部份。</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（三）投标文件的有效期</w:t>
      </w:r>
    </w:p>
    <w:p>
      <w:pPr>
        <w:spacing w:line="360" w:lineRule="auto"/>
        <w:ind w:firstLine="420" w:firstLineChars="200"/>
        <w:rPr>
          <w:rFonts w:asciiTheme="minorEastAsia" w:hAnsiTheme="minorEastAsia" w:eastAsiaTheme="minorEastAsia" w:cstheme="minorEastAsia"/>
          <w:color w:val="auto"/>
          <w:szCs w:val="21"/>
          <w:highlight w:val="none"/>
          <w:lang w:val="en-GB"/>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GB"/>
        </w:rPr>
        <w:t>自投标截止日起90天投标文件应保持有效。有效期不足的投标文件将被拒绝。</w:t>
      </w:r>
    </w:p>
    <w:p>
      <w:pPr>
        <w:spacing w:line="360" w:lineRule="auto"/>
        <w:ind w:firstLine="420" w:firstLineChars="200"/>
        <w:rPr>
          <w:rFonts w:asciiTheme="minorEastAsia" w:hAnsiTheme="minorEastAsia" w:eastAsiaTheme="minorEastAsia" w:cstheme="minorEastAsia"/>
          <w:color w:val="auto"/>
          <w:szCs w:val="21"/>
          <w:highlight w:val="none"/>
          <w:lang w:val="en-GB"/>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GB"/>
        </w:rPr>
        <w:t>在特殊情况下，采购人可与投标人协商延长投标文件的有效期，这种要求和答复均以书面形式进行。</w:t>
      </w:r>
    </w:p>
    <w:p>
      <w:pPr>
        <w:tabs>
          <w:tab w:val="left" w:pos="1898"/>
        </w:tabs>
        <w:autoSpaceDE w:val="0"/>
        <w:autoSpaceDN w:val="0"/>
        <w:adjustRightIn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en-GB"/>
        </w:rPr>
        <w:t>投标人可拒绝接受延期要求。同意延长有效期的投标人</w:t>
      </w:r>
      <w:r>
        <w:rPr>
          <w:rFonts w:hint="eastAsia" w:asciiTheme="minorEastAsia" w:hAnsiTheme="minorEastAsia" w:eastAsiaTheme="minorEastAsia" w:cstheme="minorEastAsia"/>
          <w:color w:val="auto"/>
          <w:szCs w:val="21"/>
          <w:highlight w:val="none"/>
        </w:rPr>
        <w:t>不能修改投标文件。</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4、中标人的投标文件自开标之日起至合同履行完毕均应保持有效。</w:t>
      </w:r>
    </w:p>
    <w:p>
      <w:pPr>
        <w:tabs>
          <w:tab w:val="left" w:pos="1418"/>
        </w:tabs>
        <w:autoSpaceDE w:val="0"/>
        <w:autoSpaceDN w:val="0"/>
        <w:adjustRightInd w:val="0"/>
        <w:spacing w:line="360" w:lineRule="auto"/>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四、投标保证金</w:t>
      </w:r>
    </w:p>
    <w:p>
      <w:pPr>
        <w:snapToGrid w:val="0"/>
        <w:spacing w:line="440" w:lineRule="exact"/>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kern w:val="0"/>
          <w:szCs w:val="21"/>
          <w:highlight w:val="none"/>
        </w:rPr>
        <w:t>本项目不收取投标保证金。</w:t>
      </w:r>
    </w:p>
    <w:p>
      <w:pPr>
        <w:snapToGrid w:val="0"/>
        <w:spacing w:line="360" w:lineRule="auto"/>
        <w:jc w:val="left"/>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五、开标</w:t>
      </w:r>
    </w:p>
    <w:p>
      <w:pPr>
        <w:autoSpaceDE w:val="0"/>
        <w:autoSpaceDN w:val="0"/>
        <w:adjustRightInd w:val="0"/>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    （一）开标事项</w:t>
      </w:r>
    </w:p>
    <w:p>
      <w:pPr>
        <w:autoSpaceDE w:val="0"/>
        <w:autoSpaceDN w:val="0"/>
        <w:adjustRightInd w:val="0"/>
        <w:spacing w:line="440" w:lineRule="exact"/>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kern w:val="0"/>
          <w:szCs w:val="21"/>
          <w:highlight w:val="none"/>
        </w:rPr>
        <w:t>采购组织机构在“招标公告”规定的时间和地点公开开标，</w:t>
      </w:r>
      <w:r>
        <w:rPr>
          <w:rFonts w:hint="eastAsia" w:asciiTheme="minorEastAsia" w:hAnsiTheme="minorEastAsia" w:eastAsiaTheme="minorEastAsia" w:cstheme="minorEastAsia"/>
          <w:color w:val="auto"/>
          <w:szCs w:val="21"/>
          <w:highlight w:val="none"/>
        </w:rPr>
        <w:t>本项目采用政采云平台线上开标，</w:t>
      </w:r>
      <w:r>
        <w:rPr>
          <w:rFonts w:hint="eastAsia" w:asciiTheme="minorEastAsia" w:hAnsiTheme="minorEastAsia" w:eastAsiaTheme="minorEastAsia" w:cstheme="minorEastAsia"/>
          <w:b/>
          <w:bCs/>
          <w:color w:val="auto"/>
          <w:szCs w:val="21"/>
          <w:highlight w:val="none"/>
          <w:u w:val="single"/>
        </w:rPr>
        <w:t>所有投标人均应当准时在线参加</w:t>
      </w:r>
      <w:r>
        <w:rPr>
          <w:rFonts w:hint="eastAsia" w:asciiTheme="minorEastAsia" w:hAnsiTheme="minorEastAsia" w:eastAsiaTheme="minorEastAsia" w:cstheme="minorEastAsia"/>
          <w:color w:val="auto"/>
          <w:szCs w:val="21"/>
          <w:highlight w:val="none"/>
        </w:rPr>
        <w:t>。（根据新冠肺炎疫情防控需要，投标人的法定代表人或其授权代表无需现场参加开标活动</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rPr>
        <w:t>）未准时参加线上开标的供应商视同放弃开标监督权利、认可开标结果，事后不得对采购相关人员、项目开标过程和评标结果提出异议。</w:t>
      </w:r>
      <w:r>
        <w:rPr>
          <w:rFonts w:hint="eastAsia" w:asciiTheme="minorEastAsia" w:hAnsiTheme="minorEastAsia" w:eastAsiaTheme="minorEastAsia" w:cstheme="minorEastAsia"/>
          <w:bCs/>
          <w:color w:val="auto"/>
          <w:szCs w:val="21"/>
          <w:highlight w:val="none"/>
        </w:rPr>
        <w:t>评标委员会成员不得参加开标活动。</w:t>
      </w:r>
      <w:r>
        <w:rPr>
          <w:rFonts w:hint="eastAsia" w:asciiTheme="minorEastAsia" w:hAnsiTheme="minorEastAsia" w:eastAsiaTheme="minorEastAsia" w:cstheme="minorEastAsia"/>
          <w:color w:val="auto"/>
          <w:szCs w:val="21"/>
          <w:highlight w:val="none"/>
        </w:rPr>
        <w:t>（本次招标采用先评审商务资格和技术服务方案，后公开并评审商务报价的办法实施）。</w:t>
      </w:r>
    </w:p>
    <w:p>
      <w:pPr>
        <w:autoSpaceDE w:val="0"/>
        <w:autoSpaceDN w:val="0"/>
        <w:adjustRightInd w:val="0"/>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（二） 开标程序：</w:t>
      </w:r>
    </w:p>
    <w:p>
      <w:pPr>
        <w:pStyle w:val="24"/>
        <w:snapToGrid w:val="0"/>
        <w:spacing w:line="360" w:lineRule="auto"/>
        <w:ind w:left="420" w:left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1、开标会由招标项目负责人主持，主持人宣布开标会议开始；</w:t>
      </w:r>
    </w:p>
    <w:p>
      <w:pP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项目到达开标时间，在采购代理机构开启解密标书的指令后，各供应商须在30分钟内自行在政采云平台上完成在线解密加密标书，若有供应商发生解密异常时，可以申请由采购代理机构使用电子备份标书上传处理，供应商的电子标书解密和备份标书解密均失败或逾期解密的，投标文件将作无效标处理。投标人仅提交备份投标文件，没有在电子交易平台传输递交“电子加密投标文件”的，投标无效。</w:t>
      </w:r>
    </w:p>
    <w:p>
      <w:pP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3、采购人和采购代理机构依法对投标人的资格进行审查，未通过资格审查的不进入下阶段评审。</w:t>
      </w:r>
    </w:p>
    <w:p>
      <w:pP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4、商务与技术文件评审结束后，公布商务与技术文件评审无效投标人名称及理由，同时公布经商务与技术文件评审符合采购需求的投标人名单以及商务与技术文件得分情况。</w:t>
      </w:r>
    </w:p>
    <w:p>
      <w:pP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5、开启报价文件，由评标委员会对报价的合理性、准确性等进行审查核实。</w:t>
      </w:r>
    </w:p>
    <w:p>
      <w:pP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6、评审结束后，公布报价文件得分、综合得分以及中标候选人排序名单。</w:t>
      </w:r>
    </w:p>
    <w:p>
      <w:pP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7、开标会议结束。</w:t>
      </w:r>
    </w:p>
    <w:p>
      <w:pPr>
        <w:snapToGrid w:val="0"/>
        <w:spacing w:line="440" w:lineRule="exact"/>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六、评标</w:t>
      </w:r>
    </w:p>
    <w:p>
      <w:pPr>
        <w:pStyle w:val="24"/>
        <w:snapToGrid w:val="0"/>
        <w:spacing w:line="360" w:lineRule="auto"/>
        <w:ind w:left="690" w:leftChars="228" w:hanging="211" w:hangingChars="1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（一）组建评标委员会</w:t>
      </w:r>
    </w:p>
    <w:p>
      <w:pPr>
        <w:pStyle w:val="24"/>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本项目评标委员会由政府采购评审专家和采购单位评审代表组成。</w:t>
      </w:r>
    </w:p>
    <w:p>
      <w:pPr>
        <w:pStyle w:val="24"/>
        <w:snapToGrid w:val="0"/>
        <w:spacing w:line="360" w:lineRule="auto"/>
        <w:ind w:left="690" w:leftChars="228" w:hanging="211" w:hangingChars="1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w:t>
      </w:r>
      <w:r>
        <w:rPr>
          <w:rFonts w:hint="eastAsia" w:asciiTheme="minorEastAsia" w:hAnsiTheme="minorEastAsia" w:eastAsiaTheme="minorEastAsia" w:cstheme="minorEastAsia"/>
          <w:b/>
          <w:bCs/>
          <w:color w:val="auto"/>
          <w:szCs w:val="21"/>
          <w:highlight w:val="none"/>
        </w:rPr>
        <w:t>评标程序</w:t>
      </w:r>
    </w:p>
    <w:p>
      <w:pPr>
        <w:numPr>
          <w:ilvl w:val="0"/>
          <w:numId w:val="18"/>
        </w:numPr>
        <w:snapToGrid w:val="0"/>
        <w:spacing w:line="360" w:lineRule="auto"/>
        <w:ind w:left="0"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资格审查</w:t>
      </w:r>
    </w:p>
    <w:p>
      <w:pPr>
        <w:pStyle w:val="39"/>
        <w:spacing w:before="0" w:beforeAutospacing="0" w:after="0" w:afterAutospacing="0" w:line="360" w:lineRule="auto"/>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pPr>
        <w:pStyle w:val="39"/>
        <w:numPr>
          <w:ilvl w:val="0"/>
          <w:numId w:val="18"/>
        </w:numPr>
        <w:spacing w:before="0" w:beforeAutospacing="0" w:after="0" w:afterAutospacing="0" w:line="360" w:lineRule="auto"/>
        <w:ind w:left="0" w:firstLine="422" w:firstLineChars="200"/>
        <w:jc w:val="both"/>
        <w:rPr>
          <w:rFonts w:hint="default" w:asciiTheme="minorEastAsia" w:hAnsiTheme="minorEastAsia" w:eastAsiaTheme="minorEastAsia" w:cstheme="minorEastAsia"/>
          <w:b/>
          <w:bCs/>
          <w:color w:val="auto"/>
          <w:sz w:val="21"/>
          <w:szCs w:val="21"/>
          <w:highlight w:val="none"/>
        </w:rPr>
      </w:pPr>
      <w:r>
        <w:rPr>
          <w:rFonts w:asciiTheme="minorEastAsia" w:hAnsiTheme="minorEastAsia" w:eastAsiaTheme="minorEastAsia" w:cstheme="minorEastAsia"/>
          <w:b/>
          <w:bCs/>
          <w:color w:val="auto"/>
          <w:sz w:val="21"/>
          <w:szCs w:val="21"/>
          <w:highlight w:val="none"/>
        </w:rPr>
        <w:t>符合性审查</w:t>
      </w:r>
    </w:p>
    <w:p>
      <w:pPr>
        <w:pStyle w:val="39"/>
        <w:spacing w:before="0" w:beforeAutospacing="0" w:after="0" w:afterAutospacing="0" w:line="360" w:lineRule="auto"/>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评标委员会应当对符合资格的投标人的投标文件进行符合性审查，以确定其是否满足采购文件的实质性要求，对审查发现无效的进行必要的询标，结束后公布无效投标的投标人名单、投标无效的原因。</w:t>
      </w:r>
    </w:p>
    <w:p>
      <w:pPr>
        <w:pStyle w:val="39"/>
        <w:numPr>
          <w:ilvl w:val="0"/>
          <w:numId w:val="18"/>
        </w:numPr>
        <w:spacing w:before="0" w:beforeAutospacing="0" w:after="0" w:afterAutospacing="0" w:line="360" w:lineRule="auto"/>
        <w:ind w:left="0" w:firstLine="422"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b/>
          <w:bCs/>
          <w:color w:val="auto"/>
          <w:sz w:val="21"/>
          <w:szCs w:val="21"/>
          <w:highlight w:val="none"/>
        </w:rPr>
        <w:t>综合比较与评价</w:t>
      </w:r>
    </w:p>
    <w:p>
      <w:pPr>
        <w:pStyle w:val="39"/>
        <w:spacing w:before="0" w:beforeAutospacing="0" w:after="0" w:afterAutospacing="0" w:line="360" w:lineRule="auto"/>
        <w:ind w:firstLine="315" w:firstLineChars="15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（1）对于投标文件中含义不明确、同类问题表述不一致或者有明显文字和计算错误的内容，评标委员会应当以书面形式要求投标人作出必要的澄清、说明或者补正（</w:t>
      </w:r>
      <w:r>
        <w:rPr>
          <w:rFonts w:asciiTheme="minorEastAsia" w:hAnsiTheme="minorEastAsia" w:eastAsiaTheme="minorEastAsia" w:cstheme="minorEastAsia"/>
          <w:b/>
          <w:bCs/>
          <w:color w:val="auto"/>
          <w:sz w:val="21"/>
          <w:szCs w:val="21"/>
          <w:highlight w:val="none"/>
        </w:rPr>
        <w:t>给予供应商提交澄清说明或补正的时间不得少于半小时，供应商已经明确表示澄清说明或补正完毕的除外</w:t>
      </w:r>
      <w:r>
        <w:rPr>
          <w:rFonts w:asciiTheme="minorEastAsia" w:hAnsiTheme="minorEastAsia" w:eastAsiaTheme="minorEastAsia" w:cstheme="minorEastAsia"/>
          <w:color w:val="auto"/>
          <w:sz w:val="21"/>
          <w:szCs w:val="21"/>
          <w:highlight w:val="none"/>
        </w:rPr>
        <w:t>）。</w:t>
      </w:r>
    </w:p>
    <w:p>
      <w:pPr>
        <w:pStyle w:val="39"/>
        <w:spacing w:before="0" w:beforeAutospacing="0" w:after="0" w:afterAutospacing="0" w:line="360" w:lineRule="auto"/>
        <w:ind w:firstLine="315" w:firstLineChars="15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（2）评标委员会应当按照采购文件中规定的评标方法和标准，对符合性审查合格的投标文件进行商务和技术评估，综合比较与评价。</w:t>
      </w:r>
    </w:p>
    <w:p>
      <w:pPr>
        <w:snapToGrid w:val="0"/>
        <w:spacing w:line="360" w:lineRule="auto"/>
        <w:ind w:firstLine="315" w:firstLineChars="15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（3）评标时，评标委员会各成员应当独立对每个投标人的投标文件进行评价，并汇总每个投标人的得分。</w:t>
      </w:r>
    </w:p>
    <w:p>
      <w:pPr>
        <w:numPr>
          <w:ilvl w:val="0"/>
          <w:numId w:val="18"/>
        </w:numPr>
        <w:snapToGrid w:val="0"/>
        <w:spacing w:line="360" w:lineRule="auto"/>
        <w:ind w:left="0"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得分确认及评审报告编写</w:t>
      </w:r>
    </w:p>
    <w:p>
      <w:pPr>
        <w:pStyle w:val="24"/>
        <w:snapToGrid w:val="0"/>
        <w:spacing w:line="360" w:lineRule="auto"/>
        <w:ind w:firstLine="367" w:firstLineChars="17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（1）评标委员会对报价文件进行复核，对于系统计算出的价格分及总得分进行确认；</w:t>
      </w:r>
    </w:p>
    <w:p>
      <w:pPr>
        <w:pStyle w:val="24"/>
        <w:snapToGrid w:val="0"/>
        <w:spacing w:line="360" w:lineRule="auto"/>
        <w:ind w:firstLine="367" w:firstLineChars="17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（2）评标委员会应当按照招标文件中规定的评标方法和标准，对符合性审查合格的投标文件进行商务和技术评估，综合比较与评价。</w:t>
      </w:r>
    </w:p>
    <w:p>
      <w:pPr>
        <w:snapToGrid w:val="0"/>
        <w:spacing w:line="360" w:lineRule="auto"/>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（3）评标委员会按评标原则及得分情况编写评审报告。</w:t>
      </w:r>
    </w:p>
    <w:p>
      <w:pPr>
        <w:numPr>
          <w:ilvl w:val="0"/>
          <w:numId w:val="18"/>
        </w:numPr>
        <w:snapToGrid w:val="0"/>
        <w:spacing w:line="360" w:lineRule="auto"/>
        <w:ind w:left="0" w:firstLine="422" w:firstLineChars="200"/>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评价</w:t>
      </w:r>
    </w:p>
    <w:p>
      <w:pPr>
        <w:snapToGrid w:val="0"/>
        <w:spacing w:line="360" w:lineRule="auto"/>
        <w:ind w:firstLine="420" w:firstLineChars="200"/>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szCs w:val="21"/>
          <w:highlight w:val="none"/>
        </w:rPr>
        <w:t>采购组织机构对评标委员会评审专家进行评价。</w:t>
      </w:r>
    </w:p>
    <w:p>
      <w:pPr>
        <w:snapToGrid w:val="0"/>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（三）澄清问题的形式</w:t>
      </w:r>
    </w:p>
    <w:p>
      <w:pP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审过程中若需要供应商对投标文件作出澄清、说明或者补正的，评审小组可要求供应商在合理期限内通过电子邮件等书面形式或线上询标澄清方式作出，并不得超出投标文件的范围或者改变投标文件的实质性内容。评审小组给予供应商提交澄清、说明或补正的时间不得少于半小时，供应商已经明确表示澄清、说明或补正完毕的除外。请投标供应商在开标期间保持电话畅通，如未及时接听电话或超出澄清、说明或补正时间的，视为放弃澄清、说明或补正的权利。</w:t>
      </w:r>
    </w:p>
    <w:p>
      <w:pPr>
        <w:pStyle w:val="24"/>
        <w:snapToGrid w:val="0"/>
        <w:spacing w:line="360" w:lineRule="auto"/>
        <w:ind w:left="690" w:leftChars="228" w:hanging="211" w:hangingChars="1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（四）错误修正</w:t>
      </w:r>
    </w:p>
    <w:p>
      <w:pPr>
        <w:pStyle w:val="39"/>
        <w:spacing w:before="0" w:beforeAutospacing="0" w:after="0" w:afterAutospacing="0" w:line="360" w:lineRule="auto"/>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投标文件报价出现前后不一致的，除采购文件另有规定外，按照下列规定修正：</w:t>
      </w:r>
    </w:p>
    <w:p>
      <w:pPr>
        <w:pStyle w:val="39"/>
        <w:numPr>
          <w:ilvl w:val="0"/>
          <w:numId w:val="19"/>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投标文件中开标一览表（报价表）内容与投标文件中相应内容不一致的，以开标一览表（报价表）为准；</w:t>
      </w:r>
    </w:p>
    <w:p>
      <w:pPr>
        <w:pStyle w:val="39"/>
        <w:numPr>
          <w:ilvl w:val="0"/>
          <w:numId w:val="19"/>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大写金额和小写金额不一致的，以大写金额为准；</w:t>
      </w:r>
    </w:p>
    <w:p>
      <w:pPr>
        <w:pStyle w:val="39"/>
        <w:numPr>
          <w:ilvl w:val="0"/>
          <w:numId w:val="19"/>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单价金额小数点或者百分比有明显错位的，以开标一览表的总价为准，并修改单价；</w:t>
      </w:r>
    </w:p>
    <w:p>
      <w:pPr>
        <w:pStyle w:val="39"/>
        <w:numPr>
          <w:ilvl w:val="0"/>
          <w:numId w:val="19"/>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总价金额与按单价汇总金额不一致的，以单价金额计算结果为准。</w:t>
      </w:r>
    </w:p>
    <w:p>
      <w:pPr>
        <w:pStyle w:val="39"/>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同时出现两种以上不一致的，按照前款规定的顺序修正。修正应当采用书面形式，并加盖公章（电子签章），或者由法定代表人或其授权的代表签字。修正后的报价经投标人确认后产生约束力，投标人不确认的，其投标无效。</w:t>
      </w:r>
    </w:p>
    <w:p>
      <w:pPr>
        <w:snapToGrid w:val="0"/>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（五）采购过程中出现以下情形，导致电子交易平台无法正常运行，或者无法保证电子交易的公平、公正和安全时，采购组织机构可中止电子交易活动：</w:t>
      </w:r>
    </w:p>
    <w:p>
      <w:pPr>
        <w:snapToGrid w:val="0"/>
        <w:spacing w:line="360" w:lineRule="auto"/>
        <w:ind w:left="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1.电子交易平台发生故障而无法登录访问的； </w:t>
      </w:r>
    </w:p>
    <w:p>
      <w:pPr>
        <w:snapToGrid w:val="0"/>
        <w:spacing w:line="360" w:lineRule="auto"/>
        <w:ind w:left="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2.电子交易平台应用或数据库出现错误，不能进行正常操作的；</w:t>
      </w:r>
    </w:p>
    <w:p>
      <w:pPr>
        <w:snapToGrid w:val="0"/>
        <w:spacing w:line="360" w:lineRule="auto"/>
        <w:ind w:left="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3.电子交易平台发现严重安全漏洞，有潜在泄密危险的；</w:t>
      </w:r>
    </w:p>
    <w:p>
      <w:pPr>
        <w:snapToGrid w:val="0"/>
        <w:spacing w:line="360" w:lineRule="auto"/>
        <w:ind w:left="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4.病毒发作导致不能进行正常操作的； </w:t>
      </w:r>
    </w:p>
    <w:p>
      <w:pPr>
        <w:snapToGrid w:val="0"/>
        <w:spacing w:line="360" w:lineRule="auto"/>
        <w:ind w:left="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5.其他无法保证电子交易的公平、公正和安全的情况。</w:t>
      </w:r>
    </w:p>
    <w:p>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出现上述情形，在不影响采购公平、公正性的前提下，采购组织机构可以待上述情形消除后继续组织电子交易活动，也可以决定某些环节以纸质形式进行；影响或可能影响采购公平、公正性的，应当重新采购。</w:t>
      </w:r>
    </w:p>
    <w:p>
      <w:pPr>
        <w:pStyle w:val="39"/>
        <w:spacing w:before="0" w:beforeAutospacing="0" w:after="0" w:afterAutospacing="0" w:line="360" w:lineRule="auto"/>
        <w:ind w:firstLine="316" w:firstLineChars="150"/>
        <w:jc w:val="both"/>
        <w:rPr>
          <w:rFonts w:hint="default" w:asciiTheme="minorEastAsia" w:hAnsiTheme="minorEastAsia" w:eastAsiaTheme="minorEastAsia" w:cstheme="minorEastAsia"/>
          <w:b/>
          <w:color w:val="auto"/>
          <w:sz w:val="21"/>
          <w:szCs w:val="21"/>
          <w:highlight w:val="none"/>
        </w:rPr>
      </w:pPr>
      <w:r>
        <w:rPr>
          <w:rFonts w:asciiTheme="minorEastAsia" w:hAnsiTheme="minorEastAsia" w:eastAsiaTheme="minorEastAsia" w:cstheme="minorEastAsia"/>
          <w:b/>
          <w:bCs/>
          <w:color w:val="auto"/>
          <w:sz w:val="21"/>
          <w:szCs w:val="21"/>
          <w:highlight w:val="none"/>
        </w:rPr>
        <w:t>（六）</w:t>
      </w:r>
      <w:r>
        <w:rPr>
          <w:rFonts w:asciiTheme="minorEastAsia" w:hAnsiTheme="minorEastAsia" w:eastAsiaTheme="minorEastAsia" w:cstheme="minorEastAsia"/>
          <w:b/>
          <w:color w:val="auto"/>
          <w:sz w:val="21"/>
          <w:szCs w:val="21"/>
          <w:highlight w:val="none"/>
        </w:rPr>
        <w:t>投标人存在下列情况之一的，投标无效</w:t>
      </w:r>
    </w:p>
    <w:p>
      <w:pPr>
        <w:numPr>
          <w:ilvl w:val="0"/>
          <w:numId w:val="20"/>
        </w:numPr>
        <w:adjustRightInd w:val="0"/>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资格证明文件或商务与技术文件跟报价文件出现混装或在资格证明文件或商务与技术文件中出现投标报价的，或者报价文件中报价的货物跟商务与技术文件中的投标货物出现重大偏差的；</w:t>
      </w:r>
    </w:p>
    <w:p>
      <w:pPr>
        <w:numPr>
          <w:ilvl w:val="0"/>
          <w:numId w:val="20"/>
        </w:numPr>
        <w:adjustRightInd w:val="0"/>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不具备采购文件中规定的资格要求的；</w:t>
      </w:r>
      <w:r>
        <w:rPr>
          <w:rFonts w:hint="eastAsia" w:asciiTheme="minorEastAsia" w:hAnsiTheme="minorEastAsia" w:eastAsiaTheme="minorEastAsia" w:cstheme="minorEastAsia"/>
          <w:color w:val="auto"/>
          <w:szCs w:val="21"/>
          <w:highlight w:val="none"/>
        </w:rPr>
        <w:tab/>
      </w:r>
    </w:p>
    <w:p>
      <w:pPr>
        <w:pStyle w:val="39"/>
        <w:numPr>
          <w:ilvl w:val="0"/>
          <w:numId w:val="20"/>
        </w:numPr>
        <w:adjustRightInd w:val="0"/>
        <w:snapToGrid w:val="0"/>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投标文件含有采购人不能接受的附加条件的；</w:t>
      </w:r>
    </w:p>
    <w:p>
      <w:pPr>
        <w:numPr>
          <w:ilvl w:val="0"/>
          <w:numId w:val="20"/>
        </w:numPr>
        <w:adjustRightInd w:val="0"/>
        <w:snapToGrid w:val="0"/>
        <w:spacing w:line="360" w:lineRule="auto"/>
        <w:ind w:left="0" w:firstLine="420" w:firstLineChars="200"/>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投标代表人未能出具身份证明或与法定代表人授权委托人身份不符的；</w:t>
      </w:r>
    </w:p>
    <w:p>
      <w:pPr>
        <w:pStyle w:val="39"/>
        <w:numPr>
          <w:ilvl w:val="0"/>
          <w:numId w:val="20"/>
        </w:numPr>
        <w:adjustRightInd w:val="0"/>
        <w:snapToGrid w:val="0"/>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0"/>
          <w:numId w:val="20"/>
        </w:numPr>
        <w:adjustRightInd w:val="0"/>
        <w:snapToGrid w:val="0"/>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报价超过采购文件中规定的预算金额或最高限价；</w:t>
      </w:r>
    </w:p>
    <w:p>
      <w:pPr>
        <w:pStyle w:val="39"/>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7.主要性能参数指标（打“▲”的）存在负偏离的。</w:t>
      </w:r>
    </w:p>
    <w:p>
      <w:pPr>
        <w:pStyle w:val="39"/>
        <w:adjustRightInd w:val="0"/>
        <w:snapToGrid w:val="0"/>
        <w:spacing w:before="0" w:beforeAutospacing="0" w:after="0" w:afterAutospacing="0" w:line="360" w:lineRule="auto"/>
        <w:ind w:left="420" w:left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8.投标文件提供虚假材料的；</w:t>
      </w:r>
    </w:p>
    <w:p>
      <w:pPr>
        <w:tabs>
          <w:tab w:val="left" w:pos="1898"/>
        </w:tabs>
        <w:autoSpaceDE w:val="0"/>
        <w:autoSpaceDN w:val="0"/>
        <w:adjustRightInd w:val="0"/>
        <w:snapToGri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9.未上传</w:t>
      </w:r>
      <w:r>
        <w:rPr>
          <w:rFonts w:hint="eastAsia" w:asciiTheme="minorEastAsia" w:hAnsiTheme="minorEastAsia" w:eastAsiaTheme="minorEastAsia" w:cstheme="minorEastAsia"/>
          <w:color w:val="auto"/>
          <w:szCs w:val="21"/>
          <w:highlight w:val="none"/>
        </w:rPr>
        <w:t>电子加密标书，或者非系统平台自身解密异常情况下电子加密标书和电子备份标书均解密失败或未按时解密的；</w:t>
      </w:r>
    </w:p>
    <w:p>
      <w:pPr>
        <w:pStyle w:val="39"/>
        <w:adjustRightInd w:val="0"/>
        <w:snapToGrid w:val="0"/>
        <w:spacing w:before="0" w:beforeAutospacing="0" w:after="0" w:afterAutospacing="0" w:line="360" w:lineRule="auto"/>
        <w:ind w:left="420" w:left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10.不符合中华人民共和国财政部令第87号《政府采购货物和服务招标投标管理办法》第三十七条情形之一的，视为投标人串通投标，其投标无效，并移送采购监管部门：</w:t>
      </w:r>
    </w:p>
    <w:p>
      <w:pPr>
        <w:pStyle w:val="39"/>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（1）不同投标人的投标文件由同一单位或者个人编制；</w:t>
      </w:r>
    </w:p>
    <w:p>
      <w:pPr>
        <w:pStyle w:val="39"/>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（2）不同投标人委托同一单位或者个人办理投标事宜；</w:t>
      </w:r>
    </w:p>
    <w:p>
      <w:pPr>
        <w:pStyle w:val="39"/>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（3）不同投标人的投标文件载明的项目管理成员或者联系人员为同一人；</w:t>
      </w:r>
    </w:p>
    <w:p>
      <w:pPr>
        <w:pStyle w:val="39"/>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（4）不同投标人的投标文件异常一致或者投标报价呈规律性差异；</w:t>
      </w:r>
    </w:p>
    <w:p>
      <w:pPr>
        <w:pStyle w:val="39"/>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（5）不同投标人的投标文件相互混装。</w:t>
      </w:r>
    </w:p>
    <w:p>
      <w:pPr>
        <w:autoSpaceDE w:val="0"/>
        <w:autoSpaceDN w:val="0"/>
        <w:adjustRightInd w:val="0"/>
        <w:spacing w:line="360" w:lineRule="auto"/>
        <w:ind w:left="420" w:left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11.投标文件制作机器码一致的；</w:t>
      </w:r>
    </w:p>
    <w:p>
      <w:pPr>
        <w:autoSpaceDE w:val="0"/>
        <w:autoSpaceDN w:val="0"/>
        <w:adjustRightInd w:val="0"/>
        <w:spacing w:line="360" w:lineRule="auto"/>
        <w:ind w:left="420" w:left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12.不符合法律、法规和采购文件中规定的其他实质性要求的（采购文件中打“▲”内容及被拒绝的条款）。</w:t>
      </w:r>
    </w:p>
    <w:p>
      <w:pPr>
        <w:autoSpaceDE w:val="0"/>
        <w:autoSpaceDN w:val="0"/>
        <w:adjustRightInd w:val="0"/>
        <w:spacing w:line="360" w:lineRule="auto"/>
        <w:ind w:left="48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kern w:val="0"/>
          <w:szCs w:val="21"/>
          <w:highlight w:val="none"/>
        </w:rPr>
        <w:t>（七）有下列情况之一的，本次招标作为废标处理</w:t>
      </w:r>
    </w:p>
    <w:p>
      <w:pPr>
        <w:pStyle w:val="39"/>
        <w:numPr>
          <w:ilvl w:val="0"/>
          <w:numId w:val="21"/>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出现影响采购公正的违法、违规行为的；</w:t>
      </w:r>
    </w:p>
    <w:p>
      <w:pPr>
        <w:pStyle w:val="39"/>
        <w:numPr>
          <w:ilvl w:val="0"/>
          <w:numId w:val="21"/>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b/>
          <w:bCs/>
          <w:color w:val="auto"/>
          <w:sz w:val="21"/>
          <w:szCs w:val="21"/>
          <w:highlight w:val="none"/>
        </w:rPr>
      </w:pPr>
      <w:r>
        <w:rPr>
          <w:rFonts w:asciiTheme="minorEastAsia" w:hAnsiTheme="minorEastAsia" w:eastAsiaTheme="minorEastAsia" w:cstheme="minorEastAsia"/>
          <w:color w:val="auto"/>
          <w:sz w:val="21"/>
          <w:szCs w:val="21"/>
          <w:highlight w:val="none"/>
        </w:rPr>
        <w:t xml:space="preserve">评标委员会发现采购文件存在歧义、重大缺陷导致评标工作无法进行，或者采购文件内容违反国家有关强制性规定的； </w:t>
      </w:r>
    </w:p>
    <w:p>
      <w:pPr>
        <w:pStyle w:val="39"/>
        <w:numPr>
          <w:ilvl w:val="0"/>
          <w:numId w:val="21"/>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因重大变故，采购任务取消的；</w:t>
      </w:r>
    </w:p>
    <w:p>
      <w:pPr>
        <w:pStyle w:val="39"/>
        <w:numPr>
          <w:ilvl w:val="0"/>
          <w:numId w:val="21"/>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法律、法规和采购文件规定的其他导致评标结果无效的。</w:t>
      </w:r>
    </w:p>
    <w:p>
      <w:pPr>
        <w:pStyle w:val="24"/>
        <w:tabs>
          <w:tab w:val="left" w:pos="630"/>
        </w:tabs>
        <w:snapToGrid w:val="0"/>
        <w:spacing w:line="360" w:lineRule="auto"/>
        <w:ind w:firstLine="413" w:firstLineChars="196"/>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（八）评标原则和评标办法</w:t>
      </w:r>
    </w:p>
    <w:p>
      <w:pPr>
        <w:pStyle w:val="24"/>
        <w:numPr>
          <w:ilvl w:val="0"/>
          <w:numId w:val="22"/>
        </w:numPr>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4"/>
        <w:numPr>
          <w:ilvl w:val="0"/>
          <w:numId w:val="22"/>
        </w:numPr>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评标办法。具体评标内容及评分标准等详见《第三章：评标方法及评分标准》。</w:t>
      </w:r>
    </w:p>
    <w:p>
      <w:pPr>
        <w:pStyle w:val="24"/>
        <w:snapToGrid w:val="0"/>
        <w:spacing w:line="360" w:lineRule="auto"/>
        <w:ind w:firstLine="413" w:firstLineChars="196"/>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（九）评标过程的监控</w:t>
      </w:r>
    </w:p>
    <w:p>
      <w:pPr>
        <w:pStyle w:val="39"/>
        <w:spacing w:before="0" w:beforeAutospacing="0" w:after="0" w:afterAutospacing="0" w:line="360" w:lineRule="auto"/>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pPr>
        <w:pStyle w:val="39"/>
        <w:spacing w:before="0" w:beforeAutospacing="0" w:after="0" w:afterAutospacing="0" w:line="360" w:lineRule="auto"/>
        <w:ind w:firstLine="316" w:firstLineChars="150"/>
        <w:jc w:val="both"/>
        <w:rPr>
          <w:rFonts w:hint="default" w:asciiTheme="minorEastAsia" w:hAnsiTheme="minorEastAsia" w:eastAsiaTheme="minorEastAsia" w:cstheme="minorEastAsia"/>
          <w:b/>
          <w:color w:val="auto"/>
          <w:sz w:val="21"/>
          <w:szCs w:val="21"/>
          <w:highlight w:val="none"/>
        </w:rPr>
      </w:pPr>
      <w:r>
        <w:rPr>
          <w:rFonts w:asciiTheme="minorEastAsia" w:hAnsiTheme="minorEastAsia" w:eastAsiaTheme="minorEastAsia" w:cstheme="minorEastAsia"/>
          <w:b/>
          <w:color w:val="auto"/>
          <w:sz w:val="21"/>
          <w:szCs w:val="21"/>
          <w:highlight w:val="none"/>
        </w:rPr>
        <w:t>七、定标</w:t>
      </w:r>
    </w:p>
    <w:p>
      <w:pPr>
        <w:pStyle w:val="39"/>
        <w:numPr>
          <w:ilvl w:val="0"/>
          <w:numId w:val="23"/>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numPr>
          <w:ilvl w:val="0"/>
          <w:numId w:val="23"/>
        </w:numPr>
        <w:spacing w:line="360" w:lineRule="auto"/>
        <w:ind w:left="0"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发布</w:t>
      </w:r>
      <w:r>
        <w:rPr>
          <w:rFonts w:hint="eastAsia" w:asciiTheme="minorEastAsia" w:hAnsiTheme="minorEastAsia" w:eastAsiaTheme="minorEastAsia" w:cstheme="minorEastAsia"/>
          <w:color w:val="auto"/>
          <w:szCs w:val="21"/>
          <w:highlight w:val="none"/>
        </w:rPr>
        <w:t>中标</w:t>
      </w:r>
      <w:r>
        <w:rPr>
          <w:rFonts w:hint="eastAsia" w:asciiTheme="minorEastAsia" w:hAnsiTheme="minorEastAsia" w:eastAsiaTheme="minorEastAsia" w:cstheme="minorEastAsia"/>
          <w:color w:val="auto"/>
          <w:kern w:val="0"/>
          <w:szCs w:val="21"/>
          <w:highlight w:val="none"/>
        </w:rPr>
        <w:t>结果公告。采购组织机构应当自中标人确定之日起2个工作日内，在省级以上财政部门指定的媒体及相关网站上公告中标结果。</w:t>
      </w:r>
    </w:p>
    <w:p>
      <w:pPr>
        <w:numPr>
          <w:ilvl w:val="0"/>
          <w:numId w:val="23"/>
        </w:numPr>
        <w:spacing w:line="360" w:lineRule="auto"/>
        <w:ind w:left="0"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发出中标通知书。采购组织机构在发布中标结果的同时，向中标人发出中标通知书。</w:t>
      </w:r>
    </w:p>
    <w:p>
      <w:pPr>
        <w:spacing w:line="360" w:lineRule="auto"/>
        <w:ind w:firstLine="422"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Cs w:val="21"/>
          <w:highlight w:val="none"/>
        </w:rPr>
        <w:t>八、</w:t>
      </w:r>
      <w:r>
        <w:rPr>
          <w:rFonts w:hint="eastAsia" w:asciiTheme="minorEastAsia" w:hAnsiTheme="minorEastAsia" w:eastAsiaTheme="minorEastAsia" w:cstheme="minorEastAsia"/>
          <w:b/>
          <w:color w:val="auto"/>
          <w:kern w:val="0"/>
          <w:szCs w:val="21"/>
          <w:highlight w:val="none"/>
        </w:rPr>
        <w:t>合同签订及公告</w:t>
      </w:r>
    </w:p>
    <w:p>
      <w:pPr>
        <w:spacing w:line="360" w:lineRule="auto"/>
        <w:ind w:firstLine="422" w:firstLineChars="200"/>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szCs w:val="21"/>
          <w:highlight w:val="none"/>
        </w:rPr>
        <w:t>（一）签订合同</w:t>
      </w:r>
    </w:p>
    <w:p>
      <w:pPr>
        <w:pStyle w:val="39"/>
        <w:numPr>
          <w:ilvl w:val="0"/>
          <w:numId w:val="24"/>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采购人应当自中标通知书发出之日起30日内，按照采购文件和中标人投标文件的规定，与中标人签订书面合同。所签订的合同不得对采购文件确定的事项和中标人投标文件作实质性修改。</w:t>
      </w:r>
    </w:p>
    <w:p>
      <w:pPr>
        <w:pStyle w:val="39"/>
        <w:numPr>
          <w:ilvl w:val="0"/>
          <w:numId w:val="24"/>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采购人不得向中标人提出任何不合理的要求作为签订合同的条件。</w:t>
      </w:r>
    </w:p>
    <w:p>
      <w:pPr>
        <w:pStyle w:val="39"/>
        <w:numPr>
          <w:ilvl w:val="0"/>
          <w:numId w:val="24"/>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中标供应商无故拖延、拒签合同的,取消中标资格。</w:t>
      </w:r>
    </w:p>
    <w:p>
      <w:pPr>
        <w:pStyle w:val="39"/>
        <w:numPr>
          <w:ilvl w:val="0"/>
          <w:numId w:val="24"/>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39"/>
        <w:numPr>
          <w:ilvl w:val="0"/>
          <w:numId w:val="24"/>
        </w:numPr>
        <w:spacing w:line="360" w:lineRule="auto"/>
        <w:ind w:left="0" w:firstLine="420"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询问或者质疑事项可能影响中标结果的，采购人应当暂停签订合同，已经签订合同的，应当中止履行合同（中标结果的质疑期为中标结果公告期限届满之日起七个工作日）。</w:t>
      </w:r>
    </w:p>
    <w:p>
      <w:pPr>
        <w:pStyle w:val="39"/>
        <w:spacing w:line="360" w:lineRule="auto"/>
        <w:ind w:firstLine="371" w:firstLineChars="176"/>
        <w:rPr>
          <w:rFonts w:hint="default" w:asciiTheme="minorEastAsia" w:hAnsiTheme="minorEastAsia" w:eastAsiaTheme="minorEastAsia" w:cstheme="minorEastAsia"/>
          <w:b/>
          <w:color w:val="auto"/>
          <w:sz w:val="21"/>
          <w:szCs w:val="21"/>
          <w:highlight w:val="none"/>
        </w:rPr>
      </w:pPr>
      <w:r>
        <w:rPr>
          <w:rFonts w:asciiTheme="minorEastAsia" w:hAnsiTheme="minorEastAsia" w:eastAsiaTheme="minorEastAsia" w:cstheme="minorEastAsia"/>
          <w:b/>
          <w:color w:val="auto"/>
          <w:sz w:val="21"/>
          <w:szCs w:val="21"/>
          <w:highlight w:val="none"/>
        </w:rPr>
        <w:t>（二）合同公告及备案</w:t>
      </w:r>
    </w:p>
    <w:p>
      <w:pPr>
        <w:pStyle w:val="20"/>
        <w:numPr>
          <w:ilvl w:val="0"/>
          <w:numId w:val="25"/>
        </w:numPr>
        <w:spacing w:line="360" w:lineRule="auto"/>
        <w:ind w:left="0" w:leftChars="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采购人应当自政府采购合同签订之日起2个工作日内，</w:t>
      </w:r>
      <w:r>
        <w:rPr>
          <w:rFonts w:hint="eastAsia" w:asciiTheme="minorEastAsia" w:hAnsiTheme="minorEastAsia" w:eastAsiaTheme="minorEastAsia" w:cstheme="minorEastAsia"/>
          <w:color w:val="auto"/>
          <w:kern w:val="0"/>
          <w:szCs w:val="21"/>
          <w:highlight w:val="none"/>
        </w:rPr>
        <w:t>在省级以上财政部门指定的政府采购信息发布媒体及相关网站上公告</w:t>
      </w:r>
      <w:r>
        <w:rPr>
          <w:rFonts w:hint="eastAsia" w:asciiTheme="minorEastAsia" w:hAnsiTheme="minorEastAsia" w:eastAsiaTheme="minorEastAsia" w:cstheme="minorEastAsia"/>
          <w:color w:val="auto"/>
          <w:szCs w:val="21"/>
          <w:highlight w:val="none"/>
        </w:rPr>
        <w:t>。</w:t>
      </w:r>
    </w:p>
    <w:p>
      <w:pPr>
        <w:pStyle w:val="20"/>
        <w:numPr>
          <w:ilvl w:val="0"/>
          <w:numId w:val="25"/>
        </w:numPr>
        <w:spacing w:line="360" w:lineRule="auto"/>
        <w:ind w:left="0" w:leftChars="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采购人应当自政府采购合同签订之日起7个工作日内，将政府采购合同副本报同级人民政府财政部门备案以及采购组织机构存档。</w:t>
      </w:r>
    </w:p>
    <w:p>
      <w:pPr>
        <w:pStyle w:val="20"/>
        <w:spacing w:line="360" w:lineRule="auto"/>
        <w:ind w:left="0" w:leftChars="0"/>
        <w:rPr>
          <w:rFonts w:ascii="宋体" w:hAnsi="宋体" w:cs="宋体"/>
          <w:color w:val="auto"/>
          <w:sz w:val="24"/>
          <w:highlight w:val="none"/>
        </w:rPr>
      </w:pPr>
    </w:p>
    <w:p>
      <w:pPr>
        <w:rPr>
          <w:rFonts w:ascii="宋体" w:hAnsi="宋体" w:cs="宋体"/>
          <w:color w:val="auto"/>
          <w:sz w:val="24"/>
          <w:highlight w:val="none"/>
        </w:rPr>
      </w:pPr>
    </w:p>
    <w:p>
      <w:pPr>
        <w:pStyle w:val="13"/>
        <w:rPr>
          <w:rFonts w:ascii="宋体" w:hAnsi="宋体" w:cs="宋体"/>
          <w:color w:val="auto"/>
          <w:sz w:val="24"/>
          <w:highlight w:val="none"/>
        </w:rPr>
      </w:pPr>
    </w:p>
    <w:p>
      <w:pPr>
        <w:rPr>
          <w:rFonts w:ascii="宋体" w:hAnsi="宋体" w:cs="宋体"/>
          <w:color w:val="auto"/>
          <w:sz w:val="24"/>
          <w:highlight w:val="none"/>
        </w:rPr>
      </w:pPr>
    </w:p>
    <w:p>
      <w:pPr>
        <w:pStyle w:val="13"/>
        <w:rPr>
          <w:rFonts w:ascii="宋体" w:hAnsi="宋体" w:cs="宋体"/>
          <w:color w:val="auto"/>
          <w:sz w:val="24"/>
          <w:highlight w:val="none"/>
        </w:rPr>
      </w:pPr>
    </w:p>
    <w:p>
      <w:pPr>
        <w:rPr>
          <w:rFonts w:ascii="宋体" w:hAnsi="宋体" w:cs="宋体"/>
          <w:color w:val="auto"/>
          <w:sz w:val="24"/>
          <w:highlight w:val="none"/>
        </w:rPr>
      </w:pPr>
    </w:p>
    <w:p>
      <w:pPr>
        <w:pStyle w:val="13"/>
        <w:rPr>
          <w:rFonts w:ascii="宋体" w:hAnsi="宋体" w:cs="宋体"/>
          <w:color w:val="auto"/>
          <w:sz w:val="24"/>
          <w:highlight w:val="none"/>
        </w:rPr>
      </w:pPr>
    </w:p>
    <w:p>
      <w:pPr>
        <w:rPr>
          <w:rFonts w:ascii="宋体" w:hAnsi="宋体" w:cs="宋体"/>
          <w:color w:val="auto"/>
          <w:sz w:val="24"/>
          <w:highlight w:val="none"/>
        </w:rPr>
      </w:pPr>
    </w:p>
    <w:p>
      <w:pPr>
        <w:pStyle w:val="13"/>
        <w:rPr>
          <w:rFonts w:ascii="宋体" w:hAnsi="宋体" w:cs="宋体"/>
          <w:color w:val="auto"/>
          <w:sz w:val="24"/>
          <w:highlight w:val="none"/>
        </w:rPr>
      </w:pPr>
    </w:p>
    <w:p>
      <w:pPr>
        <w:numPr>
          <w:ilvl w:val="0"/>
          <w:numId w:val="11"/>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评标办法及评分标准</w:t>
      </w:r>
    </w:p>
    <w:p>
      <w:pPr>
        <w:numPr>
          <w:ilvl w:val="0"/>
          <w:numId w:val="26"/>
        </w:num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采购组织机构将组织评标委员会，对投标人提供的投标文件进行综合评审。</w:t>
      </w:r>
    </w:p>
    <w:p>
      <w:pPr>
        <w:numPr>
          <w:ilvl w:val="0"/>
          <w:numId w:val="26"/>
        </w:num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本次招标项目的评标方法为综合评分法，总计100分。评标标准按以下内容及分值进行评审。</w:t>
      </w:r>
    </w:p>
    <w:tbl>
      <w:tblPr>
        <w:tblStyle w:val="43"/>
        <w:tblW w:w="7959"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151" w:type="dxa"/>
            <w:tcBorders>
              <w:tl2br w:val="single" w:color="auto" w:sz="4" w:space="0"/>
            </w:tcBorders>
          </w:tcPr>
          <w:p>
            <w:pPr>
              <w:autoSpaceDE w:val="0"/>
              <w:autoSpaceDN w:val="0"/>
              <w:adjustRightInd w:val="0"/>
              <w:jc w:val="left"/>
              <w:rPr>
                <w:rFonts w:ascii="宋体" w:hAnsi="宋体" w:cs="宋体"/>
                <w:color w:val="auto"/>
                <w:sz w:val="24"/>
                <w:highlight w:val="none"/>
              </w:rPr>
            </w:pPr>
            <w:r>
              <w:rPr>
                <w:rFonts w:hint="eastAsia" w:ascii="宋体" w:hAnsi="宋体" w:cs="宋体"/>
                <w:color w:val="auto"/>
                <w:sz w:val="24"/>
                <w:highlight w:val="none"/>
              </w:rPr>
              <w:t xml:space="preserve">          标段</w:t>
            </w:r>
          </w:p>
          <w:p>
            <w:pPr>
              <w:autoSpaceDE w:val="0"/>
              <w:autoSpaceDN w:val="0"/>
              <w:adjustRightInd w:val="0"/>
              <w:jc w:val="left"/>
              <w:rPr>
                <w:rFonts w:ascii="宋体" w:hAnsi="宋体" w:cs="宋体"/>
                <w:color w:val="auto"/>
                <w:sz w:val="24"/>
                <w:highlight w:val="none"/>
              </w:rPr>
            </w:pPr>
            <w:r>
              <w:rPr>
                <w:rFonts w:hint="eastAsia" w:ascii="宋体" w:hAnsi="宋体" w:cs="宋体"/>
                <w:color w:val="auto"/>
                <w:sz w:val="24"/>
                <w:highlight w:val="none"/>
              </w:rPr>
              <w:t>类别</w:t>
            </w:r>
          </w:p>
        </w:tc>
        <w:tc>
          <w:tcPr>
            <w:tcW w:w="4808" w:type="dxa"/>
            <w:vAlign w:val="center"/>
          </w:tcPr>
          <w:p>
            <w:pPr>
              <w:autoSpaceDE w:val="0"/>
              <w:autoSpaceDN w:val="0"/>
              <w:adjustRightInd w:val="0"/>
              <w:spacing w:line="480" w:lineRule="auto"/>
              <w:jc w:val="center"/>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1 \* CHINESENUM3</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一</w:t>
            </w:r>
            <w:r>
              <w:rPr>
                <w:rFonts w:hint="eastAsia" w:ascii="宋体" w:hAnsi="宋体" w:cs="宋体"/>
                <w:color w:val="auto"/>
                <w:sz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151" w:type="dxa"/>
            <w:vAlign w:val="center"/>
          </w:tcPr>
          <w:p>
            <w:pPr>
              <w:autoSpaceDE w:val="0"/>
              <w:autoSpaceDN w:val="0"/>
              <w:adjustRightInd w:val="0"/>
              <w:jc w:val="left"/>
              <w:rPr>
                <w:rFonts w:ascii="宋体" w:hAnsi="宋体" w:cs="宋体"/>
                <w:color w:val="auto"/>
                <w:kern w:val="0"/>
                <w:sz w:val="24"/>
                <w:highlight w:val="none"/>
              </w:rPr>
            </w:pPr>
            <w:r>
              <w:rPr>
                <w:rFonts w:hint="eastAsia" w:ascii="宋体" w:hAnsi="宋体" w:cs="宋体"/>
                <w:color w:val="auto"/>
                <w:kern w:val="0"/>
                <w:sz w:val="24"/>
                <w:highlight w:val="none"/>
              </w:rPr>
              <w:t>商务与技术</w:t>
            </w:r>
          </w:p>
        </w:tc>
        <w:tc>
          <w:tcPr>
            <w:tcW w:w="4808" w:type="dxa"/>
            <w:vAlign w:val="center"/>
          </w:tcPr>
          <w:p>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151" w:type="dxa"/>
            <w:vAlign w:val="center"/>
          </w:tcPr>
          <w:p>
            <w:pPr>
              <w:autoSpaceDE w:val="0"/>
              <w:autoSpaceDN w:val="0"/>
              <w:adjustRightInd w:val="0"/>
              <w:jc w:val="left"/>
              <w:rPr>
                <w:rFonts w:ascii="宋体" w:hAnsi="宋体" w:cs="宋体"/>
                <w:color w:val="auto"/>
                <w:kern w:val="0"/>
                <w:sz w:val="24"/>
                <w:highlight w:val="none"/>
              </w:rPr>
            </w:pPr>
            <w:r>
              <w:rPr>
                <w:rFonts w:hint="eastAsia" w:ascii="宋体" w:hAnsi="宋体" w:cs="宋体"/>
                <w:color w:val="auto"/>
                <w:kern w:val="0"/>
                <w:sz w:val="24"/>
                <w:highlight w:val="none"/>
              </w:rPr>
              <w:t>价格</w:t>
            </w:r>
          </w:p>
        </w:tc>
        <w:tc>
          <w:tcPr>
            <w:tcW w:w="4808" w:type="dxa"/>
            <w:vAlign w:val="center"/>
          </w:tcPr>
          <w:p>
            <w:pPr>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rPr>
              <w:t>10</w:t>
            </w:r>
          </w:p>
        </w:tc>
      </w:tr>
    </w:tbl>
    <w:p>
      <w:pPr>
        <w:autoSpaceDE w:val="0"/>
        <w:autoSpaceDN w:val="0"/>
        <w:adjustRightInd w:val="0"/>
        <w:spacing w:line="360" w:lineRule="auto"/>
        <w:ind w:right="84" w:firstLine="472"/>
        <w:rPr>
          <w:rFonts w:ascii="宋体" w:hAnsi="宋体" w:cs="宋体"/>
          <w:bCs/>
          <w:color w:val="auto"/>
          <w:sz w:val="24"/>
          <w:highlight w:val="none"/>
          <w:lang w:val="zh-CN"/>
        </w:rPr>
      </w:pPr>
    </w:p>
    <w:p>
      <w:pPr>
        <w:autoSpaceDE w:val="0"/>
        <w:autoSpaceDN w:val="0"/>
        <w:adjustRightInd w:val="0"/>
        <w:spacing w:line="360" w:lineRule="auto"/>
        <w:ind w:right="84" w:firstLine="472"/>
        <w:rPr>
          <w:rFonts w:ascii="宋体" w:hAnsi="宋体" w:cs="宋体"/>
          <w:bCs/>
          <w:color w:val="auto"/>
          <w:sz w:val="24"/>
          <w:highlight w:val="none"/>
          <w:lang w:val="zh-CN"/>
        </w:rPr>
      </w:pPr>
      <w:r>
        <w:rPr>
          <w:rFonts w:hint="eastAsia" w:ascii="宋体" w:hAnsi="宋体" w:cs="宋体"/>
          <w:bCs/>
          <w:color w:val="auto"/>
          <w:sz w:val="24"/>
          <w:highlight w:val="none"/>
          <w:lang w:val="zh-CN"/>
        </w:rPr>
        <w:t>（一）商务与技术文件中的客观分由评标委员会讨论后统一打分；其余在规定的分值内单独评定打分。</w:t>
      </w:r>
    </w:p>
    <w:p>
      <w:pPr>
        <w:autoSpaceDE w:val="0"/>
        <w:autoSpaceDN w:val="0"/>
        <w:adjustRightInd w:val="0"/>
        <w:spacing w:line="360" w:lineRule="auto"/>
        <w:ind w:right="84" w:firstLine="472"/>
        <w:rPr>
          <w:rFonts w:ascii="宋体" w:hAnsi="宋体" w:cs="宋体"/>
          <w:bCs/>
          <w:color w:val="auto"/>
          <w:sz w:val="24"/>
          <w:highlight w:val="none"/>
          <w:shd w:val="clear" w:color="FFFFFF" w:fill="D9D9D9"/>
          <w:lang w:val="zh-CN"/>
        </w:rPr>
      </w:pPr>
      <w:r>
        <w:rPr>
          <w:rFonts w:hint="eastAsia" w:ascii="宋体" w:hAnsi="宋体" w:cs="宋体"/>
          <w:bCs/>
          <w:color w:val="auto"/>
          <w:sz w:val="24"/>
          <w:highlight w:val="none"/>
          <w:lang w:val="zh-CN"/>
        </w:rPr>
        <w:t>（二）各投标人商务与技术文件</w:t>
      </w:r>
      <w:r>
        <w:rPr>
          <w:rFonts w:hint="eastAsia" w:ascii="宋体" w:hAnsi="宋体" w:cs="宋体"/>
          <w:color w:val="auto"/>
          <w:kern w:val="0"/>
          <w:sz w:val="24"/>
          <w:highlight w:val="none"/>
          <w:lang w:val="zh-CN"/>
        </w:rPr>
        <w:t>得分按照评标委员会成</w:t>
      </w:r>
      <w:r>
        <w:rPr>
          <w:rFonts w:hint="eastAsia" w:ascii="宋体" w:hAnsi="宋体" w:cs="宋体"/>
          <w:bCs/>
          <w:color w:val="auto"/>
          <w:sz w:val="24"/>
          <w:highlight w:val="none"/>
          <w:lang w:val="zh-CN"/>
        </w:rPr>
        <w:t>员的独立评分结果汇总后的算术平均分计算，计算公式为：</w:t>
      </w:r>
    </w:p>
    <w:p>
      <w:pPr>
        <w:autoSpaceDE w:val="0"/>
        <w:autoSpaceDN w:val="0"/>
        <w:adjustRightInd w:val="0"/>
        <w:spacing w:line="360" w:lineRule="auto"/>
        <w:ind w:right="84" w:firstLine="472"/>
        <w:rPr>
          <w:rFonts w:ascii="宋体" w:hAnsi="宋体" w:cs="宋体"/>
          <w:bCs/>
          <w:color w:val="auto"/>
          <w:sz w:val="24"/>
          <w:highlight w:val="none"/>
          <w:shd w:val="clear" w:color="FFFFFF" w:fill="D9D9D9"/>
          <w:lang w:val="zh-CN"/>
        </w:rPr>
      </w:pPr>
      <w:r>
        <w:rPr>
          <w:rFonts w:hint="eastAsia" w:ascii="宋体" w:hAnsi="宋体" w:cs="宋体"/>
          <w:color w:val="auto"/>
          <w:sz w:val="24"/>
          <w:highlight w:val="none"/>
        </w:rPr>
        <w:t>商务与技术文件得分</w:t>
      </w:r>
      <w:r>
        <w:rPr>
          <w:rFonts w:hint="eastAsia" w:ascii="宋体" w:hAnsi="宋体" w:cs="宋体"/>
          <w:bCs/>
          <w:color w:val="auto"/>
          <w:sz w:val="24"/>
          <w:highlight w:val="none"/>
          <w:lang w:val="zh-CN"/>
        </w:rPr>
        <w:t>=评标委员会所有成员评分合计数/评标委员会组成人员数</w:t>
      </w:r>
      <w:r>
        <w:rPr>
          <w:rFonts w:hint="eastAsia" w:ascii="宋体" w:hAnsi="宋体"/>
          <w:color w:val="auto"/>
          <w:sz w:val="24"/>
          <w:highlight w:val="none"/>
        </w:rPr>
        <w:t>（得分保留2位小数,小数点后第三位四舍五入）</w:t>
      </w:r>
      <w:r>
        <w:rPr>
          <w:rFonts w:hint="eastAsia" w:ascii="宋体" w:hAnsi="宋体" w:cs="宋体"/>
          <w:bCs/>
          <w:color w:val="auto"/>
          <w:sz w:val="24"/>
          <w:highlight w:val="none"/>
          <w:lang w:val="zh-CN"/>
        </w:rPr>
        <w:t>。</w:t>
      </w:r>
    </w:p>
    <w:p>
      <w:pP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bCs/>
          <w:color w:val="auto"/>
          <w:sz w:val="24"/>
          <w:highlight w:val="none"/>
          <w:lang w:val="zh-CN"/>
        </w:rPr>
        <w:t>（三）本项目</w:t>
      </w:r>
      <w:r>
        <w:rPr>
          <w:rFonts w:hint="eastAsia" w:ascii="宋体" w:hAnsi="宋体" w:cs="宋体"/>
          <w:color w:val="auto"/>
          <w:sz w:val="24"/>
          <w:highlight w:val="none"/>
          <w:lang w:val="zh-CN"/>
        </w:rPr>
        <w:t>投标报价得分采用低价优先法计算，即满足采购文件要求且本项目投标报价（费率）最低的投标报价为</w:t>
      </w:r>
      <w:r>
        <w:rPr>
          <w:rFonts w:hint="eastAsia" w:ascii="宋体" w:hAnsi="宋体" w:cs="宋体"/>
          <w:bCs/>
          <w:color w:val="auto"/>
          <w:sz w:val="24"/>
          <w:highlight w:val="none"/>
          <w:lang w:val="zh-CN"/>
        </w:rPr>
        <w:t>本项目</w:t>
      </w:r>
      <w:r>
        <w:rPr>
          <w:rFonts w:hint="eastAsia" w:ascii="宋体" w:hAnsi="宋体" w:cs="宋体"/>
          <w:color w:val="auto"/>
          <w:sz w:val="24"/>
          <w:highlight w:val="none"/>
          <w:lang w:val="zh-CN"/>
        </w:rPr>
        <w:t>的评标基准价，其报价得满分。</w:t>
      </w:r>
      <w:r>
        <w:rPr>
          <w:rFonts w:hint="eastAsia" w:ascii="宋体" w:hAnsi="宋体" w:cs="宋体"/>
          <w:bCs/>
          <w:color w:val="auto"/>
          <w:sz w:val="24"/>
          <w:highlight w:val="none"/>
          <w:lang w:val="zh-CN"/>
        </w:rPr>
        <w:t>本项目</w:t>
      </w:r>
      <w:r>
        <w:rPr>
          <w:rFonts w:hint="eastAsia" w:ascii="宋体" w:hAnsi="宋体" w:cs="宋体"/>
          <w:color w:val="auto"/>
          <w:sz w:val="24"/>
          <w:highlight w:val="none"/>
          <w:lang w:val="zh-CN"/>
        </w:rPr>
        <w:t>其他投标人的投标报价得分按下列公式计算：</w:t>
      </w:r>
    </w:p>
    <w:p>
      <w:pPr>
        <w:autoSpaceDE w:val="0"/>
        <w:autoSpaceDN w:val="0"/>
        <w:adjustRightInd w:val="0"/>
        <w:spacing w:line="360" w:lineRule="auto"/>
        <w:ind w:right="85"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投标报价</w:t>
      </w:r>
      <w:r>
        <w:rPr>
          <w:rFonts w:hint="eastAsia" w:ascii="宋体" w:hAnsi="宋体" w:cs="宋体"/>
          <w:color w:val="auto"/>
          <w:sz w:val="24"/>
          <w:highlight w:val="none"/>
          <w:u w:val="single"/>
          <w:lang w:val="zh-CN"/>
        </w:rPr>
        <w:t>（费率）</w:t>
      </w:r>
      <w:r>
        <w:rPr>
          <w:rFonts w:hint="eastAsia" w:ascii="宋体" w:hAnsi="宋体" w:cs="宋体"/>
          <w:color w:val="auto"/>
          <w:sz w:val="24"/>
          <w:highlight w:val="none"/>
          <w:u w:val="single"/>
        </w:rPr>
        <w:t>得分=(评标基准价／投标报价</w:t>
      </w:r>
      <w:r>
        <w:rPr>
          <w:rFonts w:hint="eastAsia" w:ascii="宋体" w:hAnsi="宋体" w:cs="宋体"/>
          <w:color w:val="auto"/>
          <w:sz w:val="24"/>
          <w:highlight w:val="none"/>
          <w:u w:val="single"/>
          <w:lang w:val="zh-CN"/>
        </w:rPr>
        <w:t>（费率）</w:t>
      </w:r>
      <w:r>
        <w:rPr>
          <w:rFonts w:hint="eastAsia" w:ascii="宋体" w:hAnsi="宋体" w:cs="宋体"/>
          <w:color w:val="auto"/>
          <w:sz w:val="24"/>
          <w:highlight w:val="none"/>
          <w:u w:val="single"/>
        </w:rPr>
        <w:t>)×10%×100</w:t>
      </w:r>
      <w:r>
        <w:rPr>
          <w:rFonts w:hint="eastAsia" w:ascii="宋体" w:hAnsi="宋体"/>
          <w:color w:val="auto"/>
          <w:sz w:val="24"/>
          <w:highlight w:val="none"/>
          <w:u w:val="single"/>
        </w:rPr>
        <w:t>（得分保留2位小数,小数点后第三位四舍五入）</w:t>
      </w:r>
      <w:r>
        <w:rPr>
          <w:rFonts w:hint="eastAsia" w:ascii="宋体" w:hAnsi="宋体" w:cs="宋体"/>
          <w:color w:val="auto"/>
          <w:sz w:val="24"/>
          <w:highlight w:val="none"/>
          <w:u w:val="single"/>
        </w:rPr>
        <w:t xml:space="preserve"> 。</w:t>
      </w:r>
    </w:p>
    <w:p>
      <w:pPr>
        <w:autoSpaceDE w:val="0"/>
        <w:autoSpaceDN w:val="0"/>
        <w:adjustRightInd w:val="0"/>
        <w:spacing w:line="360" w:lineRule="auto"/>
        <w:ind w:right="85" w:firstLine="480"/>
        <w:rPr>
          <w:rFonts w:hint="eastAsia" w:ascii="宋体" w:hAnsi="宋体" w:eastAsia="宋体" w:cs="宋体"/>
          <w:color w:val="auto"/>
          <w:sz w:val="24"/>
          <w:szCs w:val="24"/>
          <w:highlight w:val="none"/>
          <w:lang w:val="zh-CN"/>
        </w:rPr>
      </w:pPr>
      <w:r>
        <w:rPr>
          <w:rFonts w:hint="eastAsia" w:ascii="宋体" w:hAnsi="宋体" w:cs="宋体"/>
          <w:bCs/>
          <w:color w:val="auto"/>
          <w:sz w:val="24"/>
          <w:highlight w:val="none"/>
          <w:lang w:val="zh-CN"/>
        </w:rPr>
        <w:t>（四</w:t>
      </w:r>
      <w:r>
        <w:rPr>
          <w:rFonts w:hint="eastAsia" w:ascii="宋体" w:hAnsi="宋体" w:cs="宋体"/>
          <w:bCs/>
          <w:color w:val="auto"/>
          <w:sz w:val="24"/>
          <w:szCs w:val="24"/>
          <w:highlight w:val="none"/>
          <w:lang w:val="zh-CN"/>
        </w:rPr>
        <w:t>）</w:t>
      </w:r>
      <w:r>
        <w:rPr>
          <w:rFonts w:hint="eastAsia" w:ascii="宋体" w:hAnsi="宋体" w:eastAsia="宋体" w:cs="宋体"/>
          <w:color w:val="auto"/>
          <w:sz w:val="24"/>
          <w:szCs w:val="24"/>
          <w:highlight w:val="none"/>
          <w:lang w:val="zh-CN"/>
        </w:rPr>
        <w:t>中小企业政策：</w:t>
      </w:r>
    </w:p>
    <w:p>
      <w:pPr>
        <w:autoSpaceDE w:val="0"/>
        <w:autoSpaceDN w:val="0"/>
        <w:adjustRightInd w:val="0"/>
        <w:spacing w:line="500" w:lineRule="exact"/>
        <w:ind w:right="85" w:firstLine="48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 xml:space="preserve"> 1．关于中型、小型、微型企业（简称中小企业）：中小企业是指符合《中小企业划型标准规定》（工信部联企业〔2011〕300号）和《政府采购促进中小企业发展管理办法》（财库〔2020〕46号）的中小企业。中小企业参加政府采购活动必须提供《中小企业声明函》（供应商提供声明函内容不实的，属于提供虚假材料谋取中标、成交，依照《中华人民共和国政府采购法》等国家有关规定追究相应责任。）；</w:t>
      </w:r>
      <w:r>
        <w:rPr>
          <w:rFonts w:hint="eastAsia" w:ascii="宋体" w:hAnsi="宋体" w:eastAsia="宋体" w:cs="宋体"/>
          <w:color w:val="auto"/>
          <w:sz w:val="24"/>
          <w:szCs w:val="24"/>
          <w:highlight w:val="none"/>
          <w:lang w:val="zh-CN" w:eastAsia="zh-CN"/>
        </w:rPr>
        <w:t xml:space="preserve">         </w:t>
      </w:r>
    </w:p>
    <w:p>
      <w:pPr>
        <w:autoSpaceDE w:val="0"/>
        <w:autoSpaceDN w:val="0"/>
        <w:adjustRightInd w:val="0"/>
        <w:spacing w:line="500" w:lineRule="exact"/>
        <w:ind w:right="85" w:firstLine="48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2．监狱企业参加政府采购活动时，应当提供由省级以上监狱管理局、戒毒管理局（含新疆生产建设兵团）出具的属于监狱企业的证明文件，视同中小企业，享受中小企业政府采购政策；</w:t>
      </w:r>
    </w:p>
    <w:p>
      <w:pPr>
        <w:autoSpaceDE w:val="0"/>
        <w:autoSpaceDN w:val="0"/>
        <w:adjustRightInd w:val="0"/>
        <w:spacing w:line="500" w:lineRule="exact"/>
        <w:ind w:right="85" w:firstLine="48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3．残疾人福利性单位在参加政府采购活动时，应提供《残疾人福利性单位声明函》，视同中小企业，享受中小企业政府采购政策。享受政府采购支持政策的残疾人福利性单位应当同时满足以下条件：</w:t>
      </w:r>
    </w:p>
    <w:p>
      <w:pPr>
        <w:autoSpaceDE w:val="0"/>
        <w:autoSpaceDN w:val="0"/>
        <w:adjustRightInd w:val="0"/>
        <w:spacing w:line="500" w:lineRule="exact"/>
        <w:ind w:right="85" w:firstLine="48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①　安置的残疾人占本单位在职职工人数的比例不低于25%（含25%），并且安置的残疾人人数不少于10人（含10人）；</w:t>
      </w:r>
    </w:p>
    <w:p>
      <w:pPr>
        <w:autoSpaceDE w:val="0"/>
        <w:autoSpaceDN w:val="0"/>
        <w:adjustRightInd w:val="0"/>
        <w:spacing w:line="500" w:lineRule="exact"/>
        <w:ind w:right="85" w:firstLine="48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②　依法与安置的每位残疾人签订了一年以上（含一年）的劳动合同或服务协议；</w:t>
      </w:r>
    </w:p>
    <w:p>
      <w:pPr>
        <w:autoSpaceDE w:val="0"/>
        <w:autoSpaceDN w:val="0"/>
        <w:adjustRightInd w:val="0"/>
        <w:spacing w:line="500" w:lineRule="exact"/>
        <w:ind w:right="85" w:firstLine="48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③　为安置的每位残疾人按月足额缴纳了基本养老保险、基本医疗保险、失业保险、工伤保险和生育保险等社会保险费；</w:t>
      </w:r>
    </w:p>
    <w:p>
      <w:pPr>
        <w:autoSpaceDE w:val="0"/>
        <w:autoSpaceDN w:val="0"/>
        <w:adjustRightInd w:val="0"/>
        <w:spacing w:line="500" w:lineRule="exact"/>
        <w:ind w:right="85" w:firstLine="48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④　通过银行等金融机构向安置的每位残疾人，按月支付了不低于单位所在区县适用的经省级人民政府批准的月最低工资标准的工资；</w:t>
      </w:r>
    </w:p>
    <w:p>
      <w:pPr>
        <w:autoSpaceDE w:val="0"/>
        <w:autoSpaceDN w:val="0"/>
        <w:adjustRightInd w:val="0"/>
        <w:spacing w:line="500" w:lineRule="exact"/>
        <w:ind w:right="85" w:firstLine="48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⑤　提供本单位制造的货物、承担的工程或者服务（以下简称产品），或者提供其他残疾人福利性单位制造的货物（不包括使用非残疾人福利性单位注册商标的货物）。</w:t>
      </w:r>
    </w:p>
    <w:p>
      <w:pPr>
        <w:autoSpaceDE w:val="0"/>
        <w:autoSpaceDN w:val="0"/>
        <w:adjustRightInd w:val="0"/>
        <w:spacing w:line="500" w:lineRule="exact"/>
        <w:ind w:right="85" w:firstLine="480"/>
        <w:rPr>
          <w:rFonts w:hint="eastAsia" w:ascii="宋体"/>
          <w:color w:val="auto"/>
          <w:sz w:val="24"/>
          <w:szCs w:val="24"/>
          <w:highlight w:val="none"/>
          <w:lang w:val="zh-CN"/>
        </w:rPr>
      </w:pPr>
      <w:r>
        <w:rPr>
          <w:rFonts w:hint="eastAsia" w:ascii="宋体" w:hAnsi="宋体" w:eastAsia="宋体" w:cs="宋体"/>
          <w:color w:val="auto"/>
          <w:sz w:val="24"/>
          <w:szCs w:val="24"/>
          <w:highlight w:val="none"/>
          <w:lang w:val="zh-CN"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pacing w:line="500" w:lineRule="exact"/>
        <w:ind w:right="85" w:firstLine="480" w:firstLineChars="200"/>
        <w:rPr>
          <w:rFonts w:ascii="宋体" w:hAnsi="宋体" w:cs="宋体"/>
          <w:color w:val="auto"/>
          <w:sz w:val="24"/>
          <w:highlight w:val="none"/>
          <w:lang w:val="zh-CN"/>
        </w:rPr>
      </w:pPr>
      <w:r>
        <w:rPr>
          <w:rFonts w:hint="eastAsia" w:ascii="宋体" w:hAnsi="宋体" w:cs="宋体"/>
          <w:color w:val="auto"/>
          <w:sz w:val="24"/>
          <w:szCs w:val="24"/>
          <w:highlight w:val="none"/>
          <w:lang w:val="zh-CN"/>
        </w:rPr>
        <w:t>三、在最大限度地满足采购文件实质</w:t>
      </w:r>
      <w:r>
        <w:rPr>
          <w:rFonts w:hint="eastAsia" w:ascii="宋体" w:hAnsi="宋体" w:cs="宋体"/>
          <w:color w:val="auto"/>
          <w:sz w:val="24"/>
          <w:highlight w:val="none"/>
          <w:lang w:val="zh-CN"/>
        </w:rPr>
        <w:t>性要求前提下，评标委员会按照采购文件中规定的各项因素进行综合评审后，以评标总得分最高的投标人为第一中标候选人，以评标总得分次高的投标人为第二中标候选人。</w:t>
      </w:r>
    </w:p>
    <w:p>
      <w:pPr>
        <w:autoSpaceDE w:val="0"/>
        <w:autoSpaceDN w:val="0"/>
        <w:adjustRightInd w:val="0"/>
        <w:spacing w:line="500" w:lineRule="exact"/>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四、如综合得分相同，投标报价低者为先；如综合得分且投标报价相同的，由评审委员会现场抽签确定。</w:t>
      </w:r>
    </w:p>
    <w:p>
      <w:pPr>
        <w:autoSpaceDE w:val="0"/>
        <w:autoSpaceDN w:val="0"/>
        <w:adjustRightInd w:val="0"/>
        <w:spacing w:line="500" w:lineRule="exact"/>
        <w:ind w:firstLine="360" w:firstLineChars="15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500" w:lineRule="exact"/>
        <w:ind w:firstLine="360" w:firstLineChars="15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六</w:t>
      </w:r>
      <w:r>
        <w:rPr>
          <w:rFonts w:hint="eastAsia" w:ascii="宋体" w:hAnsi="宋体" w:cs="宋体"/>
          <w:color w:val="auto"/>
          <w:kern w:val="0"/>
          <w:sz w:val="24"/>
          <w:highlight w:val="none"/>
        </w:rPr>
        <w:t>、本次评分具体分值细化条款如下表：</w:t>
      </w:r>
    </w:p>
    <w:tbl>
      <w:tblPr>
        <w:tblStyle w:val="43"/>
        <w:tblW w:w="100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768"/>
        <w:gridCol w:w="1214"/>
        <w:gridCol w:w="6562"/>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pPr>
              <w:pStyle w:val="20"/>
              <w:widowControl/>
              <w:tabs>
                <w:tab w:val="left" w:pos="720"/>
                <w:tab w:val="left" w:pos="1260"/>
                <w:tab w:val="left" w:pos="2160"/>
                <w:tab w:val="left" w:pos="2880"/>
                <w:tab w:val="left" w:pos="3600"/>
                <w:tab w:val="left" w:pos="4320"/>
                <w:tab w:val="left" w:pos="5040"/>
                <w:tab w:val="left" w:pos="5760"/>
              </w:tabs>
              <w:snapToGrid w:val="0"/>
              <w:spacing w:line="440" w:lineRule="exact"/>
              <w:ind w:left="0" w:leftChars="0"/>
              <w:rPr>
                <w:b/>
                <w:color w:val="auto"/>
                <w:sz w:val="22"/>
                <w:szCs w:val="22"/>
                <w:highlight w:val="none"/>
              </w:rPr>
            </w:pPr>
            <w:r>
              <w:rPr>
                <w:rFonts w:hAnsi="宋体" w:cs="宋体"/>
                <w:b/>
                <w:color w:val="auto"/>
                <w:sz w:val="22"/>
                <w:szCs w:val="22"/>
                <w:highlight w:val="none"/>
              </w:rPr>
              <w:t>序号</w:t>
            </w:r>
          </w:p>
        </w:tc>
        <w:tc>
          <w:tcPr>
            <w:tcW w:w="1982" w:type="dxa"/>
            <w:gridSpan w:val="2"/>
            <w:tcBorders>
              <w:top w:val="single" w:color="000000" w:sz="4" w:space="0"/>
              <w:left w:val="single" w:color="000000" w:sz="4" w:space="0"/>
              <w:bottom w:val="single" w:color="000000" w:sz="4" w:space="0"/>
              <w:right w:val="single" w:color="auto" w:sz="4" w:space="0"/>
            </w:tcBorders>
            <w:vAlign w:val="center"/>
          </w:tcPr>
          <w:p>
            <w:pPr>
              <w:pStyle w:val="20"/>
              <w:widowControl/>
              <w:tabs>
                <w:tab w:val="left" w:pos="720"/>
                <w:tab w:val="left" w:pos="1260"/>
                <w:tab w:val="left" w:pos="2160"/>
                <w:tab w:val="left" w:pos="2880"/>
                <w:tab w:val="left" w:pos="3600"/>
                <w:tab w:val="left" w:pos="4320"/>
                <w:tab w:val="left" w:pos="5040"/>
                <w:tab w:val="left" w:pos="5760"/>
              </w:tabs>
              <w:snapToGrid w:val="0"/>
              <w:spacing w:line="440" w:lineRule="exact"/>
              <w:ind w:left="0" w:leftChars="0"/>
              <w:rPr>
                <w:b/>
                <w:color w:val="auto"/>
                <w:sz w:val="22"/>
                <w:szCs w:val="22"/>
                <w:highlight w:val="none"/>
              </w:rPr>
            </w:pPr>
            <w:r>
              <w:rPr>
                <w:rFonts w:cs="宋体"/>
                <w:b/>
                <w:color w:val="auto"/>
                <w:sz w:val="22"/>
                <w:szCs w:val="22"/>
                <w:highlight w:val="none"/>
              </w:rPr>
              <w:t>评审内容</w:t>
            </w:r>
          </w:p>
        </w:tc>
        <w:tc>
          <w:tcPr>
            <w:tcW w:w="6562" w:type="dxa"/>
            <w:tcBorders>
              <w:top w:val="single" w:color="000000" w:sz="4" w:space="0"/>
              <w:left w:val="single" w:color="000000" w:sz="4" w:space="0"/>
              <w:bottom w:val="single" w:color="000000" w:sz="4" w:space="0"/>
              <w:right w:val="single" w:color="auto" w:sz="4" w:space="0"/>
            </w:tcBorders>
            <w:vAlign w:val="center"/>
          </w:tcPr>
          <w:p>
            <w:pPr>
              <w:pStyle w:val="20"/>
              <w:widowControl/>
              <w:tabs>
                <w:tab w:val="left" w:pos="720"/>
                <w:tab w:val="left" w:pos="1260"/>
                <w:tab w:val="left" w:pos="2160"/>
                <w:tab w:val="left" w:pos="2880"/>
                <w:tab w:val="left" w:pos="3600"/>
                <w:tab w:val="left" w:pos="4320"/>
                <w:tab w:val="left" w:pos="5040"/>
                <w:tab w:val="left" w:pos="5760"/>
              </w:tabs>
              <w:snapToGrid w:val="0"/>
              <w:spacing w:line="440" w:lineRule="exact"/>
              <w:jc w:val="center"/>
              <w:rPr>
                <w:b/>
                <w:color w:val="auto"/>
                <w:sz w:val="22"/>
                <w:szCs w:val="22"/>
                <w:highlight w:val="none"/>
              </w:rPr>
            </w:pPr>
            <w:r>
              <w:rPr>
                <w:rFonts w:hAnsi="宋体" w:cs="宋体"/>
                <w:b/>
                <w:color w:val="auto"/>
                <w:sz w:val="22"/>
                <w:szCs w:val="22"/>
                <w:highlight w:val="none"/>
              </w:rPr>
              <w:t>评分标准</w:t>
            </w:r>
          </w:p>
        </w:tc>
        <w:tc>
          <w:tcPr>
            <w:tcW w:w="800" w:type="dxa"/>
            <w:tcBorders>
              <w:top w:val="single" w:color="000000" w:sz="4" w:space="0"/>
              <w:left w:val="single" w:color="auto" w:sz="4" w:space="0"/>
              <w:bottom w:val="single" w:color="000000" w:sz="4" w:space="0"/>
              <w:right w:val="single" w:color="000000" w:sz="4" w:space="0"/>
            </w:tcBorders>
            <w:vAlign w:val="center"/>
          </w:tcPr>
          <w:p>
            <w:pPr>
              <w:pStyle w:val="20"/>
              <w:widowControl/>
              <w:tabs>
                <w:tab w:val="left" w:pos="720"/>
                <w:tab w:val="left" w:pos="1260"/>
                <w:tab w:val="left" w:pos="2160"/>
                <w:tab w:val="left" w:pos="2880"/>
                <w:tab w:val="left" w:pos="3600"/>
                <w:tab w:val="left" w:pos="4320"/>
                <w:tab w:val="left" w:pos="5040"/>
                <w:tab w:val="left" w:pos="5760"/>
              </w:tabs>
              <w:snapToGrid w:val="0"/>
              <w:spacing w:line="440" w:lineRule="exact"/>
              <w:ind w:left="0" w:leftChars="0"/>
              <w:jc w:val="center"/>
              <w:rPr>
                <w:rFonts w:ascii="宋体" w:hAnsi="宋体" w:cs="宋体"/>
                <w:b/>
                <w:color w:val="auto"/>
                <w:sz w:val="22"/>
                <w:szCs w:val="22"/>
                <w:highlight w:val="none"/>
              </w:rPr>
            </w:pPr>
            <w:r>
              <w:rPr>
                <w:rFonts w:hint="eastAsia" w:ascii="宋体" w:hAnsi="宋体" w:cs="宋体"/>
                <w:b/>
                <w:color w:val="auto"/>
                <w:sz w:val="22"/>
                <w:szCs w:val="22"/>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768" w:type="dxa"/>
            <w:vMerge w:val="restart"/>
            <w:tcBorders>
              <w:top w:val="single" w:color="000000" w:sz="4" w:space="0"/>
              <w:left w:val="single" w:color="000000" w:sz="4" w:space="0"/>
              <w:right w:val="single" w:color="auto" w:sz="4" w:space="0"/>
            </w:tcBorders>
            <w:vAlign w:val="center"/>
          </w:tcPr>
          <w:p>
            <w:pPr>
              <w:widowControl/>
              <w:spacing w:line="360" w:lineRule="auto"/>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商务部分（</w:t>
            </w:r>
            <w:r>
              <w:rPr>
                <w:rFonts w:hint="eastAsia" w:ascii="宋体" w:hAnsi="宋体" w:cs="宋体"/>
                <w:color w:val="auto"/>
                <w:kern w:val="0"/>
                <w:sz w:val="22"/>
                <w:szCs w:val="22"/>
                <w:highlight w:val="none"/>
                <w:lang w:val="en-US" w:eastAsia="zh-CN"/>
              </w:rPr>
              <w:t>30分</w:t>
            </w:r>
            <w:r>
              <w:rPr>
                <w:rFonts w:hint="eastAsia" w:ascii="宋体" w:hAnsi="宋体" w:cs="宋体"/>
                <w:color w:val="auto"/>
                <w:kern w:val="0"/>
                <w:sz w:val="22"/>
                <w:szCs w:val="22"/>
                <w:highlight w:val="none"/>
                <w:lang w:eastAsia="zh-CN"/>
              </w:rPr>
              <w:t>）</w:t>
            </w:r>
          </w:p>
        </w:tc>
        <w:tc>
          <w:tcPr>
            <w:tcW w:w="1214" w:type="dxa"/>
            <w:tcBorders>
              <w:top w:val="single" w:color="000000" w:sz="4" w:space="0"/>
              <w:left w:val="single" w:color="000000" w:sz="4" w:space="0"/>
              <w:bottom w:val="single" w:color="000000"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企业认证</w:t>
            </w:r>
          </w:p>
        </w:tc>
        <w:tc>
          <w:tcPr>
            <w:tcW w:w="6562" w:type="dxa"/>
            <w:tcBorders>
              <w:top w:val="single" w:color="000000" w:sz="4" w:space="0"/>
              <w:left w:val="single" w:color="000000" w:sz="4" w:space="0"/>
              <w:bottom w:val="single" w:color="000000" w:sz="4" w:space="0"/>
              <w:right w:val="single" w:color="auto" w:sz="4" w:space="0"/>
            </w:tcBorders>
            <w:vAlign w:val="center"/>
          </w:tcPr>
          <w:p>
            <w:pPr>
              <w:widowControl/>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投标人具有有效的质量管理体系认证的得</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分，环境管理体系认证的得</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分，职业健康管理体系认证的得</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，此项最高得</w:t>
            </w:r>
            <w:r>
              <w:rPr>
                <w:rFonts w:hint="eastAsia" w:ascii="宋体" w:hAnsi="宋体" w:cs="宋体"/>
                <w:color w:val="auto"/>
                <w:sz w:val="22"/>
                <w:szCs w:val="22"/>
                <w:highlight w:val="none"/>
                <w:lang w:val="en-US" w:eastAsia="zh-CN"/>
              </w:rPr>
              <w:t>3分</w:t>
            </w:r>
            <w:r>
              <w:rPr>
                <w:rFonts w:hint="eastAsia" w:ascii="宋体" w:hAnsi="宋体" w:cs="宋体"/>
                <w:color w:val="auto"/>
                <w:sz w:val="22"/>
                <w:szCs w:val="22"/>
                <w:highlight w:val="none"/>
              </w:rPr>
              <w:t>。</w:t>
            </w:r>
            <w:r>
              <w:rPr>
                <w:rFonts w:hint="eastAsia" w:ascii="宋体" w:hAnsi="宋体" w:cs="宋体"/>
                <w:b/>
                <w:bCs/>
                <w:color w:val="auto"/>
                <w:sz w:val="22"/>
                <w:szCs w:val="22"/>
                <w:highlight w:val="none"/>
              </w:rPr>
              <w:t>（提供相关认证证书复印件加盖公章）</w:t>
            </w:r>
          </w:p>
        </w:tc>
        <w:tc>
          <w:tcPr>
            <w:tcW w:w="800" w:type="dxa"/>
            <w:tcBorders>
              <w:top w:val="single" w:color="000000" w:sz="4" w:space="0"/>
              <w:left w:val="single" w:color="auto" w:sz="4" w:space="0"/>
              <w:bottom w:val="single" w:color="000000" w:sz="4" w:space="0"/>
              <w:right w:val="single" w:color="000000" w:sz="4" w:space="0"/>
            </w:tcBorders>
            <w:vAlign w:val="center"/>
          </w:tcPr>
          <w:p>
            <w:pPr>
              <w:pStyle w:val="20"/>
              <w:widowControl/>
              <w:tabs>
                <w:tab w:val="left" w:pos="720"/>
                <w:tab w:val="left" w:pos="1260"/>
                <w:tab w:val="left" w:pos="2160"/>
                <w:tab w:val="left" w:pos="2880"/>
                <w:tab w:val="left" w:pos="3600"/>
                <w:tab w:val="left" w:pos="4320"/>
                <w:tab w:val="left" w:pos="5040"/>
                <w:tab w:val="left" w:pos="5760"/>
              </w:tabs>
              <w:snapToGrid w:val="0"/>
              <w:spacing w:line="440" w:lineRule="exact"/>
              <w:ind w:left="0" w:leftChars="0"/>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768" w:type="dxa"/>
            <w:vMerge w:val="continue"/>
            <w:tcBorders>
              <w:left w:val="single" w:color="000000" w:sz="4" w:space="0"/>
              <w:right w:val="single" w:color="auto" w:sz="4" w:space="0"/>
            </w:tcBorders>
            <w:vAlign w:val="center"/>
          </w:tcPr>
          <w:p>
            <w:pPr>
              <w:widowControl/>
              <w:spacing w:line="360" w:lineRule="auto"/>
              <w:jc w:val="center"/>
              <w:rPr>
                <w:rFonts w:hint="eastAsia" w:ascii="宋体" w:hAnsi="宋体" w:cs="宋体"/>
                <w:color w:val="auto"/>
                <w:kern w:val="0"/>
                <w:sz w:val="22"/>
                <w:szCs w:val="22"/>
                <w:highlight w:val="none"/>
              </w:rPr>
            </w:pPr>
          </w:p>
        </w:tc>
        <w:tc>
          <w:tcPr>
            <w:tcW w:w="1214" w:type="dxa"/>
            <w:tcBorders>
              <w:top w:val="single" w:color="000000" w:sz="4" w:space="0"/>
              <w:left w:val="single" w:color="000000" w:sz="4" w:space="0"/>
              <w:bottom w:val="single" w:color="000000" w:sz="4" w:space="0"/>
              <w:right w:val="single" w:color="auto" w:sz="4" w:space="0"/>
            </w:tcBorders>
            <w:vAlign w:val="center"/>
          </w:tcPr>
          <w:p>
            <w:pPr>
              <w:widowControl/>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类似业绩</w:t>
            </w:r>
          </w:p>
        </w:tc>
        <w:tc>
          <w:tcPr>
            <w:tcW w:w="6562" w:type="dxa"/>
            <w:tcBorders>
              <w:top w:val="single" w:color="000000" w:sz="4" w:space="0"/>
              <w:left w:val="single" w:color="000000" w:sz="4" w:space="0"/>
              <w:bottom w:val="single" w:color="000000" w:sz="4" w:space="0"/>
              <w:right w:val="single" w:color="auto" w:sz="4" w:space="0"/>
            </w:tcBorders>
            <w:vAlign w:val="center"/>
          </w:tcPr>
          <w:p>
            <w:pPr>
              <w:widowControl/>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自2018年1月1日以来（合同签订日期），承接过类似</w:t>
            </w:r>
            <w:r>
              <w:rPr>
                <w:rFonts w:hint="eastAsia" w:ascii="宋体" w:hAnsi="宋体" w:cs="宋体"/>
                <w:color w:val="auto"/>
                <w:sz w:val="22"/>
                <w:szCs w:val="22"/>
                <w:highlight w:val="none"/>
                <w:lang w:eastAsia="zh-CN"/>
              </w:rPr>
              <w:t>政府性</w:t>
            </w:r>
            <w:r>
              <w:rPr>
                <w:rFonts w:hint="eastAsia" w:ascii="宋体" w:hAnsi="宋体" w:cs="宋体"/>
                <w:color w:val="auto"/>
                <w:sz w:val="22"/>
                <w:szCs w:val="22"/>
                <w:highlight w:val="none"/>
              </w:rPr>
              <w:t>垃圾</w:t>
            </w:r>
            <w:r>
              <w:rPr>
                <w:rFonts w:hint="eastAsia" w:ascii="宋体" w:hAnsi="宋体" w:cs="宋体"/>
                <w:color w:val="auto"/>
                <w:sz w:val="22"/>
                <w:szCs w:val="22"/>
                <w:highlight w:val="none"/>
                <w:lang w:eastAsia="zh-CN"/>
              </w:rPr>
              <w:t>清运</w:t>
            </w:r>
            <w:r>
              <w:rPr>
                <w:rFonts w:hint="eastAsia" w:ascii="宋体" w:hAnsi="宋体" w:cs="宋体"/>
                <w:color w:val="auto"/>
                <w:sz w:val="22"/>
                <w:szCs w:val="22"/>
                <w:highlight w:val="none"/>
              </w:rPr>
              <w:t>服务项目业绩的，每提供1个业绩得</w:t>
            </w:r>
            <w:r>
              <w:rPr>
                <w:rFonts w:hint="eastAsia" w:ascii="宋体" w:hAnsi="宋体" w:cs="宋体"/>
                <w:color w:val="auto"/>
                <w:sz w:val="22"/>
                <w:szCs w:val="22"/>
                <w:highlight w:val="none"/>
                <w:lang w:val="en-US" w:eastAsia="zh-CN"/>
              </w:rPr>
              <w:t>0.5</w:t>
            </w:r>
            <w:r>
              <w:rPr>
                <w:rFonts w:hint="eastAsia" w:ascii="宋体" w:hAnsi="宋体" w:cs="宋体"/>
                <w:color w:val="auto"/>
                <w:sz w:val="22"/>
                <w:szCs w:val="22"/>
                <w:highlight w:val="none"/>
              </w:rPr>
              <w:t>分，本项最高得</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w:t>
            </w:r>
            <w:r>
              <w:rPr>
                <w:rFonts w:hint="eastAsia" w:ascii="宋体" w:hAnsi="宋体" w:cs="宋体"/>
                <w:b/>
                <w:bCs/>
                <w:color w:val="auto"/>
                <w:sz w:val="22"/>
                <w:szCs w:val="22"/>
                <w:highlight w:val="none"/>
              </w:rPr>
              <w:t>（提供合同复印件</w:t>
            </w:r>
            <w:r>
              <w:rPr>
                <w:rFonts w:hint="eastAsia" w:ascii="宋体" w:hAnsi="宋体" w:cs="宋体"/>
                <w:b/>
                <w:bCs/>
                <w:color w:val="auto"/>
                <w:kern w:val="0"/>
                <w:sz w:val="22"/>
                <w:szCs w:val="22"/>
                <w:highlight w:val="none"/>
              </w:rPr>
              <w:t>加盖公章</w:t>
            </w:r>
            <w:r>
              <w:rPr>
                <w:rFonts w:ascii="宋体" w:hAnsi="宋体" w:cs="宋体"/>
                <w:b/>
                <w:bCs/>
                <w:color w:val="auto"/>
                <w:kern w:val="0"/>
                <w:sz w:val="22"/>
                <w:szCs w:val="22"/>
                <w:highlight w:val="none"/>
              </w:rPr>
              <w:t>，否则不得分</w:t>
            </w:r>
            <w:r>
              <w:rPr>
                <w:rFonts w:hint="eastAsia" w:ascii="宋体" w:hAnsi="宋体" w:cs="宋体"/>
                <w:b/>
                <w:bCs/>
                <w:color w:val="auto"/>
                <w:sz w:val="22"/>
                <w:szCs w:val="22"/>
                <w:highlight w:val="none"/>
              </w:rPr>
              <w:t>。）</w:t>
            </w:r>
          </w:p>
        </w:tc>
        <w:tc>
          <w:tcPr>
            <w:tcW w:w="800" w:type="dxa"/>
            <w:tcBorders>
              <w:top w:val="single" w:color="000000" w:sz="4" w:space="0"/>
              <w:left w:val="single" w:color="auto" w:sz="4" w:space="0"/>
              <w:bottom w:val="single" w:color="000000" w:sz="4" w:space="0"/>
              <w:right w:val="single" w:color="000000" w:sz="4" w:space="0"/>
            </w:tcBorders>
            <w:vAlign w:val="center"/>
          </w:tcPr>
          <w:p>
            <w:pPr>
              <w:pStyle w:val="20"/>
              <w:widowControl/>
              <w:tabs>
                <w:tab w:val="left" w:pos="720"/>
                <w:tab w:val="left" w:pos="1260"/>
                <w:tab w:val="left" w:pos="2160"/>
                <w:tab w:val="left" w:pos="2880"/>
                <w:tab w:val="left" w:pos="3600"/>
                <w:tab w:val="left" w:pos="4320"/>
                <w:tab w:val="left" w:pos="5040"/>
                <w:tab w:val="left" w:pos="5760"/>
              </w:tabs>
              <w:snapToGrid w:val="0"/>
              <w:spacing w:line="440" w:lineRule="exact"/>
              <w:ind w:left="0" w:leftChars="0"/>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690" w:type="dxa"/>
            <w:vMerge w:val="restart"/>
            <w:tcBorders>
              <w:top w:val="single" w:color="000000" w:sz="4" w:space="0"/>
              <w:left w:val="single" w:color="000000" w:sz="4" w:space="0"/>
              <w:right w:val="single" w:color="000000" w:sz="4" w:space="0"/>
            </w:tcBorders>
            <w:vAlign w:val="center"/>
          </w:tcPr>
          <w:p>
            <w:pPr>
              <w:widowControl/>
              <w:spacing w:line="360" w:lineRule="auto"/>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c>
          <w:tcPr>
            <w:tcW w:w="768" w:type="dxa"/>
            <w:vMerge w:val="continue"/>
            <w:tcBorders>
              <w:left w:val="single" w:color="000000" w:sz="4" w:space="0"/>
              <w:right w:val="single" w:color="auto" w:sz="4" w:space="0"/>
            </w:tcBorders>
            <w:vAlign w:val="center"/>
          </w:tcPr>
          <w:p>
            <w:pPr>
              <w:widowControl/>
              <w:spacing w:line="360" w:lineRule="auto"/>
              <w:jc w:val="center"/>
              <w:rPr>
                <w:rFonts w:hint="eastAsia" w:ascii="宋体" w:hAnsi="宋体" w:cs="宋体"/>
                <w:color w:val="auto"/>
                <w:kern w:val="0"/>
                <w:sz w:val="22"/>
                <w:szCs w:val="22"/>
                <w:highlight w:val="none"/>
                <w:lang w:val="en-US" w:eastAsia="zh-CN"/>
              </w:rPr>
            </w:pPr>
          </w:p>
        </w:tc>
        <w:tc>
          <w:tcPr>
            <w:tcW w:w="1214" w:type="dxa"/>
            <w:vMerge w:val="restart"/>
            <w:tcBorders>
              <w:top w:val="single" w:color="000000" w:sz="4" w:space="0"/>
              <w:left w:val="single" w:color="000000" w:sz="4" w:space="0"/>
              <w:right w:val="single" w:color="auto" w:sz="4" w:space="0"/>
            </w:tcBorders>
            <w:vAlign w:val="center"/>
          </w:tcPr>
          <w:p>
            <w:pPr>
              <w:widowControl/>
              <w:spacing w:line="360" w:lineRule="auto"/>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项目团队人员</w:t>
            </w:r>
          </w:p>
        </w:tc>
        <w:tc>
          <w:tcPr>
            <w:tcW w:w="6562" w:type="dxa"/>
            <w:tcBorders>
              <w:top w:val="single" w:color="000000" w:sz="4" w:space="0"/>
              <w:left w:val="single" w:color="000000" w:sz="4" w:space="0"/>
              <w:bottom w:val="single" w:color="000000" w:sz="4" w:space="0"/>
              <w:right w:val="single" w:color="auto" w:sz="4" w:space="0"/>
            </w:tcBorders>
            <w:vAlign w:val="center"/>
          </w:tcPr>
          <w:p>
            <w:pPr>
              <w:widowControl/>
              <w:spacing w:line="360" w:lineRule="auto"/>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eastAsia="zh-CN"/>
              </w:rPr>
              <w:t>项目负责人具有环卫保洁相关证书的得</w:t>
            </w:r>
            <w:r>
              <w:rPr>
                <w:rFonts w:hint="eastAsia" w:ascii="宋体" w:hAnsi="宋体" w:cs="宋体"/>
                <w:color w:val="auto"/>
                <w:sz w:val="22"/>
                <w:szCs w:val="22"/>
                <w:highlight w:val="none"/>
                <w:lang w:val="en-US" w:eastAsia="zh-CN"/>
              </w:rPr>
              <w:t>3分。</w:t>
            </w:r>
            <w:r>
              <w:rPr>
                <w:rFonts w:hint="eastAsia" w:ascii="宋体" w:hAnsi="宋体" w:cs="宋体"/>
                <w:b/>
                <w:bCs/>
                <w:color w:val="auto"/>
                <w:sz w:val="22"/>
                <w:szCs w:val="22"/>
                <w:highlight w:val="none"/>
                <w:lang w:val="en-US" w:eastAsia="zh-CN"/>
              </w:rPr>
              <w:t>（提供相关证书复印件，及本单位近3个月社保缴纳证明材料复印件，加盖公章）</w:t>
            </w:r>
          </w:p>
        </w:tc>
        <w:tc>
          <w:tcPr>
            <w:tcW w:w="800" w:type="dxa"/>
            <w:tcBorders>
              <w:top w:val="single" w:color="000000" w:sz="4" w:space="0"/>
              <w:left w:val="single" w:color="auto" w:sz="4" w:space="0"/>
              <w:bottom w:val="single" w:color="000000" w:sz="4" w:space="0"/>
              <w:right w:val="single" w:color="000000" w:sz="4" w:space="0"/>
            </w:tcBorders>
            <w:vAlign w:val="center"/>
          </w:tcPr>
          <w:p>
            <w:pPr>
              <w:pStyle w:val="20"/>
              <w:widowControl/>
              <w:tabs>
                <w:tab w:val="left" w:pos="720"/>
                <w:tab w:val="left" w:pos="1260"/>
                <w:tab w:val="left" w:pos="2160"/>
                <w:tab w:val="left" w:pos="2880"/>
                <w:tab w:val="left" w:pos="3600"/>
                <w:tab w:val="left" w:pos="4320"/>
                <w:tab w:val="left" w:pos="5040"/>
                <w:tab w:val="left" w:pos="5760"/>
              </w:tabs>
              <w:snapToGrid w:val="0"/>
              <w:spacing w:line="440" w:lineRule="exact"/>
              <w:ind w:left="0" w:leftChars="0"/>
              <w:jc w:val="center"/>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690" w:type="dxa"/>
            <w:vMerge w:val="continue"/>
            <w:tcBorders>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cs="宋体"/>
                <w:color w:val="auto"/>
                <w:kern w:val="0"/>
                <w:sz w:val="22"/>
                <w:szCs w:val="22"/>
                <w:highlight w:val="none"/>
              </w:rPr>
            </w:pPr>
          </w:p>
        </w:tc>
        <w:tc>
          <w:tcPr>
            <w:tcW w:w="768" w:type="dxa"/>
            <w:vMerge w:val="continue"/>
            <w:tcBorders>
              <w:left w:val="single" w:color="000000" w:sz="4" w:space="0"/>
              <w:right w:val="single" w:color="auto" w:sz="4" w:space="0"/>
            </w:tcBorders>
            <w:vAlign w:val="center"/>
          </w:tcPr>
          <w:p>
            <w:pPr>
              <w:widowControl/>
              <w:spacing w:line="360" w:lineRule="auto"/>
              <w:jc w:val="center"/>
              <w:rPr>
                <w:rFonts w:hint="eastAsia" w:ascii="宋体" w:hAnsi="宋体" w:cs="宋体"/>
                <w:color w:val="auto"/>
                <w:kern w:val="0"/>
                <w:sz w:val="22"/>
                <w:szCs w:val="22"/>
                <w:highlight w:val="none"/>
              </w:rPr>
            </w:pPr>
          </w:p>
        </w:tc>
        <w:tc>
          <w:tcPr>
            <w:tcW w:w="1214" w:type="dxa"/>
            <w:vMerge w:val="continue"/>
            <w:tcBorders>
              <w:left w:val="single" w:color="000000" w:sz="4" w:space="0"/>
              <w:bottom w:val="single" w:color="000000" w:sz="4" w:space="0"/>
              <w:right w:val="single" w:color="auto" w:sz="4" w:space="0"/>
            </w:tcBorders>
            <w:vAlign w:val="center"/>
          </w:tcPr>
          <w:p>
            <w:pPr>
              <w:widowControl/>
              <w:spacing w:line="360" w:lineRule="auto"/>
              <w:jc w:val="center"/>
              <w:rPr>
                <w:rFonts w:hint="eastAsia" w:ascii="宋体" w:hAnsi="宋体" w:eastAsia="宋体" w:cs="宋体"/>
                <w:color w:val="auto"/>
                <w:kern w:val="0"/>
                <w:sz w:val="22"/>
                <w:szCs w:val="22"/>
                <w:highlight w:val="none"/>
                <w:lang w:eastAsia="zh-CN"/>
              </w:rPr>
            </w:pPr>
          </w:p>
        </w:tc>
        <w:tc>
          <w:tcPr>
            <w:tcW w:w="6562" w:type="dxa"/>
            <w:tcBorders>
              <w:top w:val="single" w:color="000000" w:sz="4" w:space="0"/>
              <w:left w:val="single" w:color="000000" w:sz="4" w:space="0"/>
              <w:bottom w:val="single" w:color="000000" w:sz="4" w:space="0"/>
              <w:right w:val="single" w:color="auto" w:sz="4" w:space="0"/>
            </w:tcBorders>
            <w:vAlign w:val="center"/>
          </w:tcPr>
          <w:p>
            <w:pPr>
              <w:widowControl/>
              <w:spacing w:line="360" w:lineRule="auto"/>
              <w:jc w:val="left"/>
              <w:rPr>
                <w:rFonts w:hint="eastAsia"/>
                <w:color w:val="auto"/>
                <w:highlight w:val="none"/>
                <w:lang w:eastAsia="zh-CN"/>
              </w:rPr>
            </w:pPr>
            <w:r>
              <w:rPr>
                <w:rFonts w:hint="eastAsia"/>
                <w:color w:val="auto"/>
                <w:highlight w:val="none"/>
                <w:lang w:eastAsia="zh-CN"/>
              </w:rPr>
              <w:t>投入</w:t>
            </w:r>
            <w:r>
              <w:rPr>
                <w:rFonts w:hint="eastAsia"/>
                <w:color w:val="auto"/>
                <w:highlight w:val="none"/>
              </w:rPr>
              <w:t>本项目</w:t>
            </w:r>
            <w:r>
              <w:rPr>
                <w:rFonts w:hint="eastAsia"/>
                <w:color w:val="auto"/>
                <w:highlight w:val="none"/>
                <w:lang w:eastAsia="zh-CN"/>
              </w:rPr>
              <w:t>的现场管理人员和</w:t>
            </w:r>
            <w:r>
              <w:rPr>
                <w:rFonts w:hint="eastAsia"/>
                <w:color w:val="auto"/>
                <w:highlight w:val="none"/>
              </w:rPr>
              <w:t>服务人员</w:t>
            </w:r>
            <w:r>
              <w:rPr>
                <w:rFonts w:hint="eastAsia"/>
                <w:color w:val="auto"/>
                <w:highlight w:val="none"/>
                <w:lang w:eastAsia="zh-CN"/>
              </w:rPr>
              <w:t>的资历</w:t>
            </w:r>
            <w:r>
              <w:rPr>
                <w:rFonts w:hint="eastAsia"/>
                <w:color w:val="auto"/>
                <w:highlight w:val="none"/>
              </w:rPr>
              <w:t>、资格证书、人员</w:t>
            </w:r>
            <w:r>
              <w:rPr>
                <w:rFonts w:hint="eastAsia"/>
                <w:color w:val="auto"/>
                <w:highlight w:val="none"/>
                <w:lang w:eastAsia="zh-CN"/>
              </w:rPr>
              <w:t>数量、专业素质等情况综合打分：</w:t>
            </w:r>
          </w:p>
          <w:p>
            <w:pPr>
              <w:widowControl/>
              <w:spacing w:line="360" w:lineRule="auto"/>
              <w:jc w:val="left"/>
              <w:rPr>
                <w:rFonts w:hint="eastAsia"/>
                <w:color w:val="auto"/>
                <w:highlight w:val="none"/>
                <w:lang w:val="en-US" w:eastAsia="zh-CN"/>
              </w:rPr>
            </w:pPr>
            <w:r>
              <w:rPr>
                <w:rFonts w:hint="eastAsia"/>
                <w:color w:val="auto"/>
                <w:highlight w:val="none"/>
                <w:lang w:eastAsia="zh-CN"/>
              </w:rPr>
              <w:t>人员资质专业、经验丰富，岗位安排合理全面的</w:t>
            </w:r>
            <w:r>
              <w:rPr>
                <w:rFonts w:hint="eastAsia"/>
                <w:color w:val="auto"/>
                <w:highlight w:val="none"/>
                <w:lang w:val="en-US" w:eastAsia="zh-CN"/>
              </w:rPr>
              <w:t>7.1-10分；</w:t>
            </w:r>
          </w:p>
          <w:p>
            <w:pPr>
              <w:widowControl/>
              <w:spacing w:line="360" w:lineRule="auto"/>
              <w:jc w:val="left"/>
              <w:rPr>
                <w:rFonts w:hint="eastAsia"/>
                <w:color w:val="auto"/>
                <w:highlight w:val="none"/>
                <w:lang w:val="en-US" w:eastAsia="zh-CN"/>
              </w:rPr>
            </w:pPr>
            <w:r>
              <w:rPr>
                <w:rFonts w:hint="eastAsia"/>
                <w:color w:val="auto"/>
                <w:highlight w:val="none"/>
                <w:lang w:eastAsia="zh-CN"/>
              </w:rPr>
              <w:t>人员资质和经验一般，岗位安排一般的</w:t>
            </w:r>
            <w:r>
              <w:rPr>
                <w:rFonts w:hint="eastAsia"/>
                <w:color w:val="auto"/>
                <w:highlight w:val="none"/>
                <w:lang w:val="en-US" w:eastAsia="zh-CN"/>
              </w:rPr>
              <w:t>4.1-7分；</w:t>
            </w:r>
          </w:p>
          <w:p>
            <w:pPr>
              <w:widowControl/>
              <w:spacing w:line="360" w:lineRule="auto"/>
              <w:jc w:val="left"/>
              <w:rPr>
                <w:rFonts w:hint="eastAsia" w:ascii="Times New Roman" w:hAnsi="Times New Roman" w:eastAsia="宋体" w:cs="Times New Roman"/>
                <w:color w:val="auto"/>
                <w:highlight w:val="none"/>
                <w:lang w:val="en-US" w:eastAsia="zh-CN"/>
              </w:rPr>
            </w:pPr>
            <w:r>
              <w:rPr>
                <w:rFonts w:hint="eastAsia"/>
                <w:color w:val="auto"/>
                <w:highlight w:val="none"/>
                <w:lang w:eastAsia="zh-CN"/>
              </w:rPr>
              <w:t>人员资质较低、缺乏经验，岗位安排缺乏可行性</w:t>
            </w:r>
            <w:r>
              <w:rPr>
                <w:rFonts w:hint="eastAsia" w:ascii="Times New Roman" w:hAnsi="Times New Roman" w:eastAsia="宋体" w:cs="Times New Roman"/>
                <w:color w:val="auto"/>
                <w:highlight w:val="none"/>
                <w:lang w:eastAsia="zh-CN"/>
              </w:rPr>
              <w:t>的</w:t>
            </w:r>
            <w:r>
              <w:rPr>
                <w:rFonts w:hint="eastAsia" w:ascii="Times New Roman" w:hAnsi="Times New Roman" w:eastAsia="宋体" w:cs="Times New Roman"/>
                <w:color w:val="auto"/>
                <w:highlight w:val="none"/>
                <w:lang w:val="en-US" w:eastAsia="zh-CN"/>
              </w:rPr>
              <w:t>0.1-</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分；</w:t>
            </w:r>
          </w:p>
          <w:p>
            <w:pPr>
              <w:widowControl/>
              <w:spacing w:line="360" w:lineRule="auto"/>
              <w:jc w:val="left"/>
              <w:rPr>
                <w:rFonts w:hint="default"/>
                <w:color w:val="auto"/>
                <w:highlight w:val="none"/>
                <w:lang w:val="en-US" w:eastAsia="zh-CN"/>
              </w:rPr>
            </w:pPr>
            <w:r>
              <w:rPr>
                <w:rFonts w:hint="eastAsia" w:ascii="Times New Roman" w:hAnsi="Times New Roman" w:eastAsia="宋体" w:cs="Times New Roman"/>
                <w:color w:val="auto"/>
                <w:highlight w:val="none"/>
                <w:lang w:val="en-US" w:eastAsia="zh-CN"/>
              </w:rPr>
              <w:t>未提及的不得分。</w:t>
            </w:r>
          </w:p>
        </w:tc>
        <w:tc>
          <w:tcPr>
            <w:tcW w:w="800" w:type="dxa"/>
            <w:tcBorders>
              <w:top w:val="single" w:color="000000" w:sz="4" w:space="0"/>
              <w:left w:val="single" w:color="auto" w:sz="4" w:space="0"/>
              <w:bottom w:val="single" w:color="000000" w:sz="4" w:space="0"/>
              <w:right w:val="single" w:color="000000" w:sz="4" w:space="0"/>
            </w:tcBorders>
            <w:vAlign w:val="center"/>
          </w:tcPr>
          <w:p>
            <w:pPr>
              <w:pStyle w:val="20"/>
              <w:widowControl/>
              <w:tabs>
                <w:tab w:val="left" w:pos="720"/>
                <w:tab w:val="left" w:pos="1260"/>
                <w:tab w:val="left" w:pos="2160"/>
                <w:tab w:val="left" w:pos="2880"/>
                <w:tab w:val="left" w:pos="3600"/>
                <w:tab w:val="left" w:pos="4320"/>
                <w:tab w:val="left" w:pos="5040"/>
                <w:tab w:val="left" w:pos="5760"/>
              </w:tabs>
              <w:snapToGrid w:val="0"/>
              <w:spacing w:line="440" w:lineRule="exact"/>
              <w:ind w:left="0" w:leftChars="0"/>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90" w:type="dxa"/>
            <w:vMerge w:val="restart"/>
            <w:tcBorders>
              <w:left w:val="single" w:color="000000" w:sz="4" w:space="0"/>
              <w:right w:val="single" w:color="000000" w:sz="4" w:space="0"/>
            </w:tcBorders>
            <w:vAlign w:val="center"/>
          </w:tcPr>
          <w:p>
            <w:pPr>
              <w:pStyle w:val="20"/>
              <w:widowControl/>
              <w:tabs>
                <w:tab w:val="left" w:pos="720"/>
                <w:tab w:val="left" w:pos="1260"/>
                <w:tab w:val="left" w:pos="2160"/>
                <w:tab w:val="left" w:pos="2880"/>
                <w:tab w:val="left" w:pos="3600"/>
                <w:tab w:val="left" w:pos="4320"/>
                <w:tab w:val="left" w:pos="5040"/>
                <w:tab w:val="left" w:pos="5760"/>
              </w:tabs>
              <w:snapToGrid w:val="0"/>
              <w:spacing w:line="440" w:lineRule="exact"/>
              <w:ind w:left="0" w:leftChars="0"/>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768" w:type="dxa"/>
            <w:vMerge w:val="continue"/>
            <w:tcBorders>
              <w:left w:val="single" w:color="000000" w:sz="4" w:space="0"/>
              <w:right w:val="single" w:color="auto" w:sz="4" w:space="0"/>
            </w:tcBorders>
            <w:vAlign w:val="center"/>
          </w:tcPr>
          <w:p>
            <w:pPr>
              <w:pStyle w:val="20"/>
              <w:widowControl/>
              <w:tabs>
                <w:tab w:val="left" w:pos="720"/>
                <w:tab w:val="left" w:pos="1260"/>
                <w:tab w:val="left" w:pos="2160"/>
                <w:tab w:val="left" w:pos="2880"/>
                <w:tab w:val="left" w:pos="3600"/>
                <w:tab w:val="left" w:pos="4320"/>
                <w:tab w:val="left" w:pos="5040"/>
                <w:tab w:val="left" w:pos="5760"/>
              </w:tabs>
              <w:snapToGrid w:val="0"/>
              <w:spacing w:line="440" w:lineRule="exact"/>
              <w:ind w:left="0" w:leftChars="0"/>
              <w:jc w:val="center"/>
              <w:rPr>
                <w:rFonts w:hint="eastAsia" w:ascii="宋体" w:hAnsi="宋体" w:cs="宋体"/>
                <w:color w:val="auto"/>
                <w:sz w:val="22"/>
                <w:szCs w:val="22"/>
                <w:highlight w:val="none"/>
              </w:rPr>
            </w:pPr>
          </w:p>
        </w:tc>
        <w:tc>
          <w:tcPr>
            <w:tcW w:w="1214" w:type="dxa"/>
            <w:vMerge w:val="restart"/>
            <w:tcBorders>
              <w:left w:val="single" w:color="000000" w:sz="4" w:space="0"/>
              <w:right w:val="single" w:color="auto" w:sz="4" w:space="0"/>
            </w:tcBorders>
            <w:vAlign w:val="center"/>
          </w:tcPr>
          <w:p>
            <w:pPr>
              <w:autoSpaceDE w:val="0"/>
              <w:autoSpaceDN w:val="0"/>
              <w:adjustRightInd w:val="0"/>
              <w:spacing w:line="440" w:lineRule="exact"/>
              <w:ind w:right="25"/>
              <w:jc w:val="center"/>
              <w:rPr>
                <w:rFonts w:ascii="宋体" w:hAnsi="宋体" w:cs="宋体"/>
                <w:color w:val="auto"/>
                <w:sz w:val="22"/>
                <w:szCs w:val="22"/>
                <w:highlight w:val="none"/>
              </w:rPr>
            </w:pPr>
            <w:r>
              <w:rPr>
                <w:rFonts w:hint="eastAsia" w:ascii="宋体" w:hAnsi="宋体"/>
                <w:color w:val="auto"/>
                <w:kern w:val="0"/>
                <w:sz w:val="22"/>
                <w:szCs w:val="22"/>
                <w:highlight w:val="none"/>
                <w:lang w:eastAsia="zh-CN"/>
              </w:rPr>
              <w:t>拟</w:t>
            </w:r>
            <w:r>
              <w:rPr>
                <w:rFonts w:hint="eastAsia" w:ascii="宋体" w:hAnsi="宋体"/>
                <w:color w:val="auto"/>
                <w:kern w:val="0"/>
                <w:sz w:val="22"/>
                <w:szCs w:val="22"/>
                <w:highlight w:val="none"/>
              </w:rPr>
              <w:t>投入设备情况</w:t>
            </w:r>
          </w:p>
        </w:tc>
        <w:tc>
          <w:tcPr>
            <w:tcW w:w="6562" w:type="dxa"/>
            <w:tcBorders>
              <w:top w:val="single" w:color="000000" w:sz="4" w:space="0"/>
              <w:left w:val="single" w:color="000000" w:sz="4" w:space="0"/>
              <w:bottom w:val="single" w:color="000000" w:sz="4" w:space="0"/>
              <w:right w:val="single" w:color="auto" w:sz="4" w:space="0"/>
            </w:tcBorders>
            <w:vAlign w:val="center"/>
          </w:tcPr>
          <w:p>
            <w:pPr>
              <w:widowControl/>
              <w:spacing w:line="340" w:lineRule="atLeast"/>
              <w:jc w:val="left"/>
              <w:rPr>
                <w:rFonts w:hint="eastAsia" w:ascii="宋体" w:hAnsi="宋体" w:eastAsia="宋体" w:cs="宋体"/>
                <w:color w:val="auto"/>
                <w:kern w:val="0"/>
                <w:sz w:val="22"/>
                <w:szCs w:val="22"/>
                <w:highlight w:val="none"/>
                <w:lang w:eastAsia="zh-CN"/>
              </w:rPr>
            </w:pPr>
            <w:r>
              <w:rPr>
                <w:rFonts w:hint="eastAsia" w:ascii="宋体" w:hAnsi="宋体"/>
                <w:color w:val="auto"/>
                <w:kern w:val="0"/>
                <w:sz w:val="22"/>
                <w:szCs w:val="22"/>
                <w:highlight w:val="none"/>
              </w:rPr>
              <w:t>投标供应商自有</w:t>
            </w:r>
            <w:r>
              <w:rPr>
                <w:rFonts w:hint="eastAsia" w:ascii="宋体" w:hAnsi="宋体"/>
                <w:color w:val="auto"/>
                <w:kern w:val="0"/>
                <w:sz w:val="22"/>
                <w:szCs w:val="22"/>
                <w:highlight w:val="none"/>
                <w:lang w:val="en-US" w:eastAsia="zh-CN"/>
              </w:rPr>
              <w:t>3</w:t>
            </w:r>
            <w:r>
              <w:rPr>
                <w:rFonts w:hint="eastAsia" w:ascii="宋体" w:hAnsi="宋体"/>
                <w:color w:val="auto"/>
                <w:kern w:val="0"/>
                <w:sz w:val="22"/>
                <w:szCs w:val="22"/>
                <w:highlight w:val="none"/>
              </w:rPr>
              <w:t xml:space="preserve"> 辆以上（不包含 </w:t>
            </w:r>
            <w:r>
              <w:rPr>
                <w:rFonts w:hint="eastAsia" w:ascii="宋体" w:hAnsi="宋体"/>
                <w:color w:val="auto"/>
                <w:kern w:val="0"/>
                <w:sz w:val="22"/>
                <w:szCs w:val="22"/>
                <w:highlight w:val="none"/>
                <w:lang w:val="en-US" w:eastAsia="zh-CN"/>
              </w:rPr>
              <w:t>3</w:t>
            </w:r>
            <w:r>
              <w:rPr>
                <w:rFonts w:hint="eastAsia" w:ascii="宋体" w:hAnsi="宋体"/>
                <w:color w:val="auto"/>
                <w:kern w:val="0"/>
                <w:sz w:val="22"/>
                <w:szCs w:val="22"/>
                <w:highlight w:val="none"/>
              </w:rPr>
              <w:t xml:space="preserve"> 辆）的专用清运车辆（每车可清运不少于</w:t>
            </w:r>
            <w:r>
              <w:rPr>
                <w:rFonts w:hint="eastAsia" w:ascii="宋体" w:hAnsi="宋体"/>
                <w:color w:val="auto"/>
                <w:kern w:val="0"/>
                <w:sz w:val="22"/>
                <w:szCs w:val="22"/>
                <w:highlight w:val="none"/>
                <w:lang w:val="en-US" w:eastAsia="zh-CN"/>
              </w:rPr>
              <w:t>3吨</w:t>
            </w:r>
            <w:r>
              <w:rPr>
                <w:rFonts w:hint="eastAsia" w:ascii="宋体" w:hAnsi="宋体"/>
                <w:color w:val="auto"/>
                <w:kern w:val="0"/>
                <w:sz w:val="22"/>
                <w:szCs w:val="22"/>
                <w:highlight w:val="none"/>
              </w:rPr>
              <w:t xml:space="preserve">）的得 </w:t>
            </w:r>
            <w:r>
              <w:rPr>
                <w:rFonts w:hint="eastAsia" w:ascii="宋体" w:hAnsi="宋体"/>
                <w:color w:val="auto"/>
                <w:kern w:val="0"/>
                <w:sz w:val="22"/>
                <w:szCs w:val="22"/>
                <w:highlight w:val="none"/>
                <w:lang w:val="en-US" w:eastAsia="zh-CN"/>
              </w:rPr>
              <w:t>3</w:t>
            </w:r>
            <w:r>
              <w:rPr>
                <w:rFonts w:hint="eastAsia" w:ascii="宋体" w:hAnsi="宋体"/>
                <w:color w:val="auto"/>
                <w:kern w:val="0"/>
                <w:sz w:val="22"/>
                <w:szCs w:val="22"/>
                <w:highlight w:val="none"/>
              </w:rPr>
              <w:t xml:space="preserve"> 分，否则不得分。</w:t>
            </w:r>
            <w:r>
              <w:rPr>
                <w:rFonts w:hint="eastAsia" w:ascii="宋体" w:hAnsi="宋体"/>
                <w:b/>
                <w:bCs/>
                <w:color w:val="auto"/>
                <w:kern w:val="0"/>
                <w:sz w:val="22"/>
                <w:szCs w:val="22"/>
                <w:highlight w:val="none"/>
              </w:rPr>
              <w:t>（提供</w:t>
            </w:r>
            <w:r>
              <w:rPr>
                <w:rFonts w:hint="eastAsia" w:ascii="宋体" w:hAnsi="宋体"/>
                <w:b/>
                <w:bCs/>
                <w:color w:val="auto"/>
                <w:kern w:val="0"/>
                <w:sz w:val="22"/>
                <w:szCs w:val="22"/>
                <w:highlight w:val="none"/>
                <w:lang w:eastAsia="zh-CN"/>
              </w:rPr>
              <w:t>购置</w:t>
            </w:r>
            <w:r>
              <w:rPr>
                <w:rFonts w:hint="eastAsia" w:ascii="宋体" w:hAnsi="宋体"/>
                <w:b/>
                <w:bCs/>
                <w:color w:val="auto"/>
                <w:kern w:val="0"/>
                <w:sz w:val="22"/>
                <w:szCs w:val="22"/>
                <w:highlight w:val="none"/>
              </w:rPr>
              <w:t>发票复印件加盖公章</w:t>
            </w:r>
            <w:r>
              <w:rPr>
                <w:rFonts w:hint="eastAsia" w:ascii="宋体" w:hAnsi="宋体"/>
                <w:b/>
                <w:bCs/>
                <w:color w:val="auto"/>
                <w:kern w:val="0"/>
                <w:sz w:val="22"/>
                <w:szCs w:val="22"/>
                <w:highlight w:val="none"/>
                <w:lang w:eastAsia="zh-CN"/>
              </w:rPr>
              <w:t>，否则不得分</w:t>
            </w:r>
            <w:r>
              <w:rPr>
                <w:rFonts w:hint="eastAsia" w:ascii="宋体" w:hAnsi="宋体"/>
                <w:b/>
                <w:bCs/>
                <w:color w:val="auto"/>
                <w:kern w:val="0"/>
                <w:sz w:val="22"/>
                <w:szCs w:val="22"/>
                <w:highlight w:val="none"/>
              </w:rPr>
              <w:t>）</w:t>
            </w:r>
          </w:p>
        </w:tc>
        <w:tc>
          <w:tcPr>
            <w:tcW w:w="800" w:type="dxa"/>
            <w:tcBorders>
              <w:top w:val="single" w:color="000000" w:sz="4" w:space="0"/>
              <w:left w:val="single" w:color="auto" w:sz="4" w:space="0"/>
              <w:bottom w:val="single" w:color="000000" w:sz="4" w:space="0"/>
              <w:right w:val="single" w:color="000000" w:sz="4" w:space="0"/>
            </w:tcBorders>
            <w:vAlign w:val="center"/>
          </w:tcPr>
          <w:p>
            <w:pPr>
              <w:widowControl/>
              <w:spacing w:line="440" w:lineRule="exact"/>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tcBorders>
              <w:left w:val="single" w:color="000000" w:sz="4" w:space="0"/>
              <w:right w:val="single" w:color="000000" w:sz="4" w:space="0"/>
            </w:tcBorders>
            <w:vAlign w:val="center"/>
          </w:tcPr>
          <w:p>
            <w:pPr>
              <w:pStyle w:val="20"/>
              <w:widowControl/>
              <w:tabs>
                <w:tab w:val="left" w:pos="720"/>
                <w:tab w:val="left" w:pos="1260"/>
                <w:tab w:val="left" w:pos="2160"/>
                <w:tab w:val="left" w:pos="2880"/>
                <w:tab w:val="left" w:pos="3600"/>
                <w:tab w:val="left" w:pos="4320"/>
                <w:tab w:val="left" w:pos="5040"/>
                <w:tab w:val="left" w:pos="5760"/>
              </w:tabs>
              <w:snapToGrid w:val="0"/>
              <w:spacing w:line="440" w:lineRule="exact"/>
              <w:ind w:left="0" w:leftChars="0"/>
              <w:jc w:val="center"/>
              <w:rPr>
                <w:rFonts w:hint="eastAsia" w:ascii="宋体" w:hAnsi="宋体" w:cs="宋体"/>
                <w:color w:val="auto"/>
                <w:sz w:val="22"/>
                <w:szCs w:val="22"/>
                <w:highlight w:val="none"/>
              </w:rPr>
            </w:pPr>
          </w:p>
        </w:tc>
        <w:tc>
          <w:tcPr>
            <w:tcW w:w="768" w:type="dxa"/>
            <w:vMerge w:val="continue"/>
            <w:tcBorders>
              <w:left w:val="single" w:color="000000" w:sz="4" w:space="0"/>
              <w:right w:val="single" w:color="auto" w:sz="4" w:space="0"/>
            </w:tcBorders>
            <w:vAlign w:val="center"/>
          </w:tcPr>
          <w:p>
            <w:pPr>
              <w:pStyle w:val="20"/>
              <w:widowControl/>
              <w:tabs>
                <w:tab w:val="left" w:pos="720"/>
                <w:tab w:val="left" w:pos="1260"/>
                <w:tab w:val="left" w:pos="2160"/>
                <w:tab w:val="left" w:pos="2880"/>
                <w:tab w:val="left" w:pos="3600"/>
                <w:tab w:val="left" w:pos="4320"/>
                <w:tab w:val="left" w:pos="5040"/>
                <w:tab w:val="left" w:pos="5760"/>
              </w:tabs>
              <w:snapToGrid w:val="0"/>
              <w:spacing w:line="440" w:lineRule="exact"/>
              <w:ind w:left="0" w:leftChars="0"/>
              <w:jc w:val="center"/>
              <w:rPr>
                <w:rFonts w:hint="eastAsia" w:ascii="宋体" w:hAnsi="宋体" w:cs="宋体"/>
                <w:color w:val="auto"/>
                <w:sz w:val="22"/>
                <w:szCs w:val="22"/>
                <w:highlight w:val="none"/>
              </w:rPr>
            </w:pPr>
          </w:p>
        </w:tc>
        <w:tc>
          <w:tcPr>
            <w:tcW w:w="1214" w:type="dxa"/>
            <w:vMerge w:val="continue"/>
            <w:tcBorders>
              <w:left w:val="single" w:color="000000" w:sz="4" w:space="0"/>
              <w:right w:val="single" w:color="auto" w:sz="4" w:space="0"/>
            </w:tcBorders>
            <w:vAlign w:val="center"/>
          </w:tcPr>
          <w:p>
            <w:pPr>
              <w:autoSpaceDE w:val="0"/>
              <w:autoSpaceDN w:val="0"/>
              <w:adjustRightInd w:val="0"/>
              <w:spacing w:line="440" w:lineRule="exact"/>
              <w:ind w:right="25"/>
              <w:jc w:val="center"/>
              <w:rPr>
                <w:rFonts w:hint="eastAsia" w:ascii="宋体" w:hAnsi="宋体"/>
                <w:color w:val="auto"/>
                <w:kern w:val="0"/>
                <w:sz w:val="22"/>
                <w:szCs w:val="22"/>
                <w:highlight w:val="none"/>
                <w:lang w:eastAsia="zh-CN"/>
              </w:rPr>
            </w:pPr>
          </w:p>
        </w:tc>
        <w:tc>
          <w:tcPr>
            <w:tcW w:w="6562" w:type="dxa"/>
            <w:tcBorders>
              <w:top w:val="single" w:color="000000" w:sz="4" w:space="0"/>
              <w:left w:val="single" w:color="000000" w:sz="4" w:space="0"/>
              <w:bottom w:val="single" w:color="000000" w:sz="4" w:space="0"/>
              <w:right w:val="single" w:color="auto" w:sz="4" w:space="0"/>
            </w:tcBorders>
            <w:vAlign w:val="center"/>
          </w:tcPr>
          <w:p>
            <w:pPr>
              <w:widowControl/>
              <w:spacing w:line="340" w:lineRule="atLeast"/>
              <w:jc w:val="left"/>
              <w:rPr>
                <w:rFonts w:hint="eastAsia"/>
                <w:color w:val="auto"/>
                <w:highlight w:val="none"/>
                <w:lang w:eastAsia="zh-CN"/>
              </w:rPr>
            </w:pPr>
            <w:r>
              <w:rPr>
                <w:rFonts w:hint="eastAsia"/>
                <w:color w:val="auto"/>
                <w:highlight w:val="none"/>
              </w:rPr>
              <w:t>针对本项目投入其他设备型号、车辆</w:t>
            </w:r>
            <w:r>
              <w:rPr>
                <w:rFonts w:hint="eastAsia"/>
                <w:color w:val="auto"/>
                <w:highlight w:val="none"/>
                <w:lang w:eastAsia="zh-CN"/>
              </w:rPr>
              <w:t>的专业性、充足性，以及日常作业车辆的管理、停放、及清洗保洁措施等进行</w:t>
            </w:r>
            <w:r>
              <w:rPr>
                <w:rFonts w:hint="eastAsia"/>
                <w:color w:val="auto"/>
                <w:highlight w:val="none"/>
              </w:rPr>
              <w:t>综合打分</w:t>
            </w:r>
            <w:r>
              <w:rPr>
                <w:rFonts w:hint="eastAsia"/>
                <w:color w:val="auto"/>
                <w:highlight w:val="none"/>
                <w:lang w:eastAsia="zh-CN"/>
              </w:rPr>
              <w:t>：</w:t>
            </w:r>
          </w:p>
          <w:p>
            <w:pPr>
              <w:widowControl/>
              <w:spacing w:line="340" w:lineRule="atLeast"/>
              <w:jc w:val="left"/>
              <w:rPr>
                <w:rFonts w:hint="eastAsia"/>
                <w:color w:val="auto"/>
                <w:highlight w:val="none"/>
                <w:lang w:val="en-US" w:eastAsia="zh-CN"/>
              </w:rPr>
            </w:pPr>
            <w:r>
              <w:rPr>
                <w:rFonts w:hint="eastAsia"/>
                <w:color w:val="auto"/>
                <w:highlight w:val="none"/>
                <w:lang w:eastAsia="zh-CN"/>
              </w:rPr>
              <w:t>投入的设备和车辆专业、充足，满足项目日常作业和需求的</w:t>
            </w:r>
            <w:r>
              <w:rPr>
                <w:rFonts w:hint="eastAsia"/>
                <w:color w:val="auto"/>
                <w:highlight w:val="none"/>
                <w:lang w:val="en-US" w:eastAsia="zh-CN"/>
              </w:rPr>
              <w:t>7.1-10分；</w:t>
            </w:r>
          </w:p>
          <w:p>
            <w:pPr>
              <w:widowControl/>
              <w:spacing w:line="340" w:lineRule="atLeast"/>
              <w:jc w:val="left"/>
              <w:rPr>
                <w:rFonts w:hint="eastAsia" w:ascii="Times New Roman" w:hAnsi="Times New Roman" w:eastAsia="宋体" w:cs="Times New Roman"/>
                <w:color w:val="auto"/>
                <w:highlight w:val="none"/>
                <w:lang w:val="en-US" w:eastAsia="zh-CN"/>
              </w:rPr>
            </w:pPr>
            <w:r>
              <w:rPr>
                <w:rFonts w:hint="eastAsia"/>
                <w:color w:val="auto"/>
                <w:highlight w:val="none"/>
                <w:lang w:val="en-US" w:eastAsia="zh-CN"/>
              </w:rPr>
              <w:t>投入的设备和车辆一般，基本能满足</w:t>
            </w:r>
            <w:r>
              <w:rPr>
                <w:rFonts w:hint="eastAsia" w:ascii="Times New Roman" w:hAnsi="Times New Roman" w:eastAsia="宋体" w:cs="Times New Roman"/>
                <w:color w:val="auto"/>
                <w:highlight w:val="none"/>
                <w:lang w:val="en-US" w:eastAsia="zh-CN"/>
              </w:rPr>
              <w:t>项目日常作业和需求的4.1-7分；</w:t>
            </w:r>
          </w:p>
          <w:p>
            <w:pPr>
              <w:widowControl/>
              <w:spacing w:line="340" w:lineRule="atLeast"/>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投入的设备和车辆薄弱，对项目日常作业和需求缺乏支持力度的0.1-4分；</w:t>
            </w:r>
          </w:p>
          <w:p>
            <w:pPr>
              <w:widowControl/>
              <w:spacing w:line="340" w:lineRule="atLeast"/>
              <w:jc w:val="left"/>
              <w:rPr>
                <w:rFonts w:hint="default"/>
                <w:color w:val="auto"/>
                <w:highlight w:val="none"/>
                <w:lang w:val="en-US" w:eastAsia="zh-CN"/>
              </w:rPr>
            </w:pPr>
            <w:r>
              <w:rPr>
                <w:rFonts w:hint="eastAsia" w:ascii="Times New Roman" w:hAnsi="Times New Roman" w:eastAsia="宋体" w:cs="Times New Roman"/>
                <w:color w:val="auto"/>
                <w:highlight w:val="none"/>
                <w:lang w:val="en-US" w:eastAsia="zh-CN"/>
              </w:rPr>
              <w:t>未提及的不得分。</w:t>
            </w:r>
          </w:p>
        </w:tc>
        <w:tc>
          <w:tcPr>
            <w:tcW w:w="800" w:type="dxa"/>
            <w:tcBorders>
              <w:top w:val="single" w:color="000000" w:sz="4" w:space="0"/>
              <w:left w:val="single" w:color="auto" w:sz="4" w:space="0"/>
              <w:bottom w:val="single" w:color="000000" w:sz="4" w:space="0"/>
              <w:right w:val="single" w:color="000000" w:sz="4" w:space="0"/>
            </w:tcBorders>
            <w:vAlign w:val="center"/>
          </w:tcPr>
          <w:p>
            <w:pPr>
              <w:widowControl/>
              <w:spacing w:line="440" w:lineRule="exact"/>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pPr>
              <w:pStyle w:val="20"/>
              <w:widowControl/>
              <w:tabs>
                <w:tab w:val="left" w:pos="720"/>
                <w:tab w:val="left" w:pos="1260"/>
                <w:tab w:val="left" w:pos="2160"/>
                <w:tab w:val="left" w:pos="2880"/>
                <w:tab w:val="left" w:pos="3600"/>
                <w:tab w:val="left" w:pos="4320"/>
                <w:tab w:val="left" w:pos="5040"/>
                <w:tab w:val="left" w:pos="5760"/>
              </w:tabs>
              <w:snapToGrid w:val="0"/>
              <w:spacing w:line="440" w:lineRule="exact"/>
              <w:ind w:left="0" w:leftChars="0" w:right="25" w:rightChars="12"/>
              <w:jc w:val="center"/>
              <w:rPr>
                <w:rFonts w:hAnsi="宋体" w:cs="宋体"/>
                <w:b/>
                <w:color w:val="auto"/>
                <w:kern w:val="0"/>
                <w:sz w:val="22"/>
                <w:szCs w:val="22"/>
                <w:highlight w:val="none"/>
              </w:rPr>
            </w:pPr>
            <w:r>
              <w:rPr>
                <w:rFonts w:hint="eastAsia" w:ascii="宋体" w:hAnsi="宋体" w:cs="宋体"/>
                <w:color w:val="auto"/>
                <w:sz w:val="22"/>
                <w:szCs w:val="22"/>
                <w:highlight w:val="none"/>
              </w:rPr>
              <w:t>5</w:t>
            </w:r>
          </w:p>
        </w:tc>
        <w:tc>
          <w:tcPr>
            <w:tcW w:w="768" w:type="dxa"/>
            <w:vMerge w:val="restart"/>
            <w:tcBorders>
              <w:top w:val="single" w:color="000000" w:sz="4" w:space="0"/>
              <w:left w:val="single" w:color="000000" w:sz="4" w:space="0"/>
              <w:right w:val="single" w:color="auto" w:sz="4" w:space="0"/>
            </w:tcBorders>
            <w:vAlign w:val="center"/>
          </w:tcPr>
          <w:p>
            <w:pPr>
              <w:pStyle w:val="20"/>
              <w:widowControl/>
              <w:tabs>
                <w:tab w:val="left" w:pos="720"/>
                <w:tab w:val="left" w:pos="1260"/>
                <w:tab w:val="left" w:pos="2160"/>
                <w:tab w:val="left" w:pos="2880"/>
                <w:tab w:val="left" w:pos="3600"/>
                <w:tab w:val="left" w:pos="4320"/>
                <w:tab w:val="left" w:pos="5040"/>
                <w:tab w:val="left" w:pos="5760"/>
              </w:tabs>
              <w:snapToGrid w:val="0"/>
              <w:spacing w:line="440" w:lineRule="exact"/>
              <w:ind w:left="0" w:leftChars="0" w:right="25" w:rightChars="12"/>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技术部分（</w:t>
            </w:r>
            <w:r>
              <w:rPr>
                <w:rFonts w:hint="eastAsia" w:ascii="宋体" w:hAnsi="宋体" w:cs="宋体"/>
                <w:color w:val="auto"/>
                <w:sz w:val="22"/>
                <w:szCs w:val="22"/>
                <w:highlight w:val="none"/>
                <w:lang w:val="en-US" w:eastAsia="zh-CN"/>
              </w:rPr>
              <w:t>60分</w:t>
            </w:r>
            <w:r>
              <w:rPr>
                <w:rFonts w:hint="eastAsia" w:ascii="宋体" w:hAnsi="宋体" w:cs="宋体"/>
                <w:color w:val="auto"/>
                <w:sz w:val="22"/>
                <w:szCs w:val="22"/>
                <w:highlight w:val="none"/>
                <w:lang w:eastAsia="zh-CN"/>
              </w:rPr>
              <w:t>）</w:t>
            </w:r>
          </w:p>
        </w:tc>
        <w:tc>
          <w:tcPr>
            <w:tcW w:w="1214" w:type="dxa"/>
            <w:tcBorders>
              <w:top w:val="single" w:color="000000" w:sz="4" w:space="0"/>
              <w:left w:val="single" w:color="000000" w:sz="4" w:space="0"/>
              <w:bottom w:val="single" w:color="000000" w:sz="4" w:space="0"/>
              <w:right w:val="single" w:color="auto" w:sz="4" w:space="0"/>
            </w:tcBorders>
            <w:vAlign w:val="center"/>
          </w:tcPr>
          <w:p>
            <w:pPr>
              <w:widowControl/>
              <w:spacing w:line="360" w:lineRule="auto"/>
              <w:jc w:val="center"/>
              <w:rPr>
                <w:rFonts w:hint="eastAsia" w:eastAsia="宋体" w:cs="宋体"/>
                <w:b/>
                <w:color w:val="auto"/>
                <w:sz w:val="22"/>
                <w:szCs w:val="22"/>
                <w:highlight w:val="none"/>
                <w:lang w:eastAsia="zh-CN"/>
              </w:rPr>
            </w:pPr>
            <w:r>
              <w:rPr>
                <w:rFonts w:hint="eastAsia" w:ascii="宋体" w:hAnsi="宋体" w:cs="宋体"/>
                <w:color w:val="auto"/>
                <w:kern w:val="0"/>
                <w:sz w:val="22"/>
                <w:szCs w:val="22"/>
                <w:highlight w:val="none"/>
              </w:rPr>
              <w:t>项目</w:t>
            </w:r>
            <w:r>
              <w:rPr>
                <w:rFonts w:hint="eastAsia" w:ascii="宋体" w:hAnsi="宋体" w:cs="宋体"/>
                <w:color w:val="auto"/>
                <w:kern w:val="0"/>
                <w:sz w:val="22"/>
                <w:szCs w:val="22"/>
                <w:highlight w:val="none"/>
                <w:lang w:eastAsia="zh-CN" w:bidi="en-US"/>
              </w:rPr>
              <w:t>现状调查与重难点分析</w:t>
            </w:r>
          </w:p>
        </w:tc>
        <w:tc>
          <w:tcPr>
            <w:tcW w:w="6562" w:type="dxa"/>
            <w:tcBorders>
              <w:top w:val="single" w:color="000000" w:sz="4" w:space="0"/>
              <w:left w:val="single" w:color="000000" w:sz="4" w:space="0"/>
              <w:bottom w:val="single" w:color="000000" w:sz="4" w:space="0"/>
              <w:right w:val="single" w:color="auto" w:sz="4" w:space="0"/>
            </w:tcBorders>
            <w:vAlign w:val="center"/>
          </w:tcPr>
          <w:p>
            <w:pPr>
              <w:widowControl/>
              <w:spacing w:line="340" w:lineRule="atLeast"/>
              <w:jc w:val="left"/>
              <w:rPr>
                <w:rFonts w:hint="eastAsia" w:ascii="Times New Roman" w:hAnsi="Times New Roman" w:eastAsia="宋体" w:cs="Times New Roman"/>
                <w:color w:val="auto"/>
                <w:highlight w:val="none"/>
                <w:lang w:eastAsia="zh-CN"/>
              </w:rPr>
            </w:pPr>
            <w:r>
              <w:rPr>
                <w:rFonts w:hint="eastAsia"/>
                <w:color w:val="auto"/>
                <w:highlight w:val="none"/>
              </w:rPr>
              <w:t>根据投标供应商对项目范围内的现状情况、存在的问题和垃圾外运</w:t>
            </w:r>
            <w:r>
              <w:rPr>
                <w:rFonts w:hint="eastAsia"/>
                <w:color w:val="auto"/>
                <w:highlight w:val="none"/>
                <w:lang w:eastAsia="zh-CN"/>
              </w:rPr>
              <w:t>、环境整治</w:t>
            </w:r>
            <w:r>
              <w:rPr>
                <w:rFonts w:hint="eastAsia"/>
                <w:color w:val="auto"/>
                <w:highlight w:val="none"/>
              </w:rPr>
              <w:t>的难点、要点等</w:t>
            </w:r>
            <w:r>
              <w:rPr>
                <w:rFonts w:hint="eastAsia" w:ascii="Times New Roman" w:hAnsi="Times New Roman" w:eastAsia="宋体" w:cs="Times New Roman"/>
                <w:color w:val="auto"/>
                <w:highlight w:val="none"/>
              </w:rPr>
              <w:t>问题进行调查剖析，并针对性的提出克服难点和要点技术措施综合打分</w:t>
            </w:r>
            <w:r>
              <w:rPr>
                <w:rFonts w:hint="eastAsia" w:ascii="Times New Roman" w:hAnsi="Times New Roman" w:eastAsia="宋体" w:cs="Times New Roman"/>
                <w:color w:val="auto"/>
                <w:highlight w:val="none"/>
                <w:lang w:eastAsia="zh-CN"/>
              </w:rPr>
              <w:t>：</w:t>
            </w:r>
          </w:p>
          <w:p>
            <w:pPr>
              <w:widowControl/>
              <w:spacing w:line="340" w:lineRule="atLeast"/>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eastAsia="zh-CN"/>
              </w:rPr>
              <w:t>对现状了解透彻，重难点分析全面，措施要点清晰、合理的</w:t>
            </w:r>
            <w:r>
              <w:rPr>
                <w:rFonts w:hint="eastAsia" w:ascii="Times New Roman" w:hAnsi="Times New Roman" w:eastAsia="宋体" w:cs="Times New Roman"/>
                <w:color w:val="auto"/>
                <w:highlight w:val="none"/>
                <w:lang w:val="en-US" w:eastAsia="zh-CN"/>
              </w:rPr>
              <w:t>10.1-15分；</w:t>
            </w:r>
          </w:p>
          <w:p>
            <w:pPr>
              <w:widowControl/>
              <w:spacing w:line="340" w:lineRule="atLeast"/>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eastAsia="zh-CN"/>
              </w:rPr>
              <w:t>对现状了解一般，重难点分析一般，措施要点较清晰、合理的</w:t>
            </w:r>
            <w:r>
              <w:rPr>
                <w:rFonts w:hint="eastAsia" w:ascii="Times New Roman" w:hAnsi="Times New Roman" w:eastAsia="宋体" w:cs="Times New Roman"/>
                <w:color w:val="auto"/>
                <w:highlight w:val="none"/>
                <w:lang w:val="en-US" w:eastAsia="zh-CN"/>
              </w:rPr>
              <w:t>5.1-10分；</w:t>
            </w:r>
          </w:p>
          <w:p>
            <w:pPr>
              <w:widowControl/>
              <w:spacing w:line="340" w:lineRule="atLeast"/>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eastAsia="zh-CN"/>
              </w:rPr>
              <w:t>对现状了解片面，重难点分析简单，措施要点缺乏合理性的</w:t>
            </w:r>
            <w:r>
              <w:rPr>
                <w:rFonts w:hint="eastAsia" w:ascii="Times New Roman" w:hAnsi="Times New Roman" w:eastAsia="宋体" w:cs="Times New Roman"/>
                <w:color w:val="auto"/>
                <w:highlight w:val="none"/>
                <w:lang w:val="en-US" w:eastAsia="zh-CN"/>
              </w:rPr>
              <w:t>0.1-5分；</w:t>
            </w:r>
          </w:p>
          <w:p>
            <w:pPr>
              <w:rPr>
                <w:rFonts w:hint="default"/>
                <w:color w:val="auto"/>
                <w:highlight w:val="none"/>
                <w:lang w:val="en-US" w:eastAsia="zh-CN"/>
              </w:rPr>
            </w:pPr>
            <w:r>
              <w:rPr>
                <w:rFonts w:hint="eastAsia"/>
                <w:color w:val="auto"/>
                <w:highlight w:val="none"/>
                <w:lang w:val="en-US" w:eastAsia="zh-CN"/>
              </w:rPr>
              <w:t>未提及的不得分。</w:t>
            </w:r>
          </w:p>
        </w:tc>
        <w:tc>
          <w:tcPr>
            <w:tcW w:w="800" w:type="dxa"/>
            <w:tcBorders>
              <w:top w:val="single" w:color="000000" w:sz="4" w:space="0"/>
              <w:left w:val="single" w:color="auto" w:sz="4" w:space="0"/>
              <w:bottom w:val="single" w:color="000000" w:sz="4" w:space="0"/>
              <w:right w:val="single" w:color="000000" w:sz="4" w:space="0"/>
            </w:tcBorders>
            <w:vAlign w:val="center"/>
          </w:tcPr>
          <w:p>
            <w:pPr>
              <w:pStyle w:val="20"/>
              <w:widowControl/>
              <w:tabs>
                <w:tab w:val="left" w:pos="720"/>
                <w:tab w:val="left" w:pos="1260"/>
                <w:tab w:val="left" w:pos="2160"/>
                <w:tab w:val="left" w:pos="2880"/>
                <w:tab w:val="left" w:pos="3600"/>
                <w:tab w:val="left" w:pos="4320"/>
                <w:tab w:val="left" w:pos="5040"/>
                <w:tab w:val="left" w:pos="5760"/>
              </w:tabs>
              <w:snapToGrid w:val="0"/>
              <w:spacing w:line="440" w:lineRule="exact"/>
              <w:ind w:left="0" w:leftChars="0"/>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90" w:type="dxa"/>
            <w:vMerge w:val="restart"/>
            <w:tcBorders>
              <w:top w:val="single" w:color="000000" w:sz="4" w:space="0"/>
              <w:left w:val="single" w:color="000000" w:sz="4" w:space="0"/>
              <w:right w:val="single" w:color="000000" w:sz="4" w:space="0"/>
            </w:tcBorders>
            <w:vAlign w:val="center"/>
          </w:tcPr>
          <w:p>
            <w:pPr>
              <w:pStyle w:val="20"/>
              <w:widowControl/>
              <w:tabs>
                <w:tab w:val="left" w:pos="720"/>
                <w:tab w:val="left" w:pos="1260"/>
                <w:tab w:val="left" w:pos="2160"/>
                <w:tab w:val="left" w:pos="2880"/>
                <w:tab w:val="left" w:pos="3600"/>
                <w:tab w:val="left" w:pos="4320"/>
                <w:tab w:val="left" w:pos="5040"/>
                <w:tab w:val="left" w:pos="5760"/>
              </w:tabs>
              <w:snapToGrid w:val="0"/>
              <w:spacing w:line="440" w:lineRule="exact"/>
              <w:ind w:left="0" w:leftChars="0"/>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768" w:type="dxa"/>
            <w:vMerge w:val="continue"/>
            <w:tcBorders>
              <w:left w:val="single" w:color="000000" w:sz="4" w:space="0"/>
              <w:right w:val="single" w:color="auto" w:sz="4" w:space="0"/>
            </w:tcBorders>
            <w:vAlign w:val="center"/>
          </w:tcPr>
          <w:p>
            <w:pPr>
              <w:pStyle w:val="20"/>
              <w:widowControl/>
              <w:tabs>
                <w:tab w:val="left" w:pos="720"/>
                <w:tab w:val="left" w:pos="1260"/>
                <w:tab w:val="left" w:pos="2160"/>
                <w:tab w:val="left" w:pos="2880"/>
                <w:tab w:val="left" w:pos="3600"/>
                <w:tab w:val="left" w:pos="4320"/>
                <w:tab w:val="left" w:pos="5040"/>
                <w:tab w:val="left" w:pos="5760"/>
              </w:tabs>
              <w:snapToGrid w:val="0"/>
              <w:spacing w:line="440" w:lineRule="exact"/>
              <w:ind w:left="0" w:leftChars="0"/>
              <w:jc w:val="center"/>
              <w:rPr>
                <w:rFonts w:hint="eastAsia" w:ascii="宋体" w:hAnsi="宋体" w:cs="宋体"/>
                <w:color w:val="auto"/>
                <w:sz w:val="22"/>
                <w:szCs w:val="22"/>
                <w:highlight w:val="none"/>
              </w:rPr>
            </w:pPr>
          </w:p>
        </w:tc>
        <w:tc>
          <w:tcPr>
            <w:tcW w:w="1214" w:type="dxa"/>
            <w:vMerge w:val="restart"/>
            <w:tcBorders>
              <w:top w:val="single" w:color="000000" w:sz="4" w:space="0"/>
              <w:left w:val="single" w:color="000000" w:sz="4" w:space="0"/>
              <w:right w:val="single" w:color="auto" w:sz="4" w:space="0"/>
            </w:tcBorders>
            <w:vAlign w:val="center"/>
          </w:tcPr>
          <w:p>
            <w:pPr>
              <w:autoSpaceDE w:val="0"/>
              <w:autoSpaceDN w:val="0"/>
              <w:adjustRightInd w:val="0"/>
              <w:spacing w:line="440" w:lineRule="exact"/>
              <w:ind w:right="25"/>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bidi="en-US"/>
              </w:rPr>
              <w:t>项目实施方案</w:t>
            </w:r>
          </w:p>
        </w:tc>
        <w:tc>
          <w:tcPr>
            <w:tcW w:w="6562" w:type="dxa"/>
            <w:tcBorders>
              <w:top w:val="single" w:color="000000" w:sz="4" w:space="0"/>
              <w:left w:val="single" w:color="000000" w:sz="4" w:space="0"/>
              <w:bottom w:val="single" w:color="000000" w:sz="4" w:space="0"/>
              <w:right w:val="single" w:color="auto" w:sz="4" w:space="0"/>
            </w:tcBorders>
            <w:vAlign w:val="center"/>
          </w:tcPr>
          <w:p>
            <w:pPr>
              <w:widowControl/>
              <w:spacing w:line="340" w:lineRule="atLeast"/>
              <w:jc w:val="left"/>
              <w:rPr>
                <w:rFonts w:hint="eastAsia" w:ascii="Times New Roman" w:hAnsi="Times New Roman" w:eastAsia="宋体" w:cs="Times New Roman"/>
                <w:color w:val="auto"/>
                <w:highlight w:val="none"/>
                <w:lang w:eastAsia="zh-CN"/>
              </w:rPr>
            </w:pPr>
            <w:r>
              <w:rPr>
                <w:rFonts w:hint="eastAsia"/>
                <w:color w:val="auto"/>
                <w:highlight w:val="none"/>
              </w:rPr>
              <w:t>根据投标供应商对本项目管理服务机构设置方案、运作流</w:t>
            </w:r>
            <w:r>
              <w:rPr>
                <w:rFonts w:hint="eastAsia" w:ascii="Times New Roman" w:hAnsi="Times New Roman" w:eastAsia="宋体" w:cs="Times New Roman"/>
                <w:color w:val="auto"/>
                <w:highlight w:val="none"/>
              </w:rPr>
              <w:t>程、</w:t>
            </w:r>
            <w:r>
              <w:rPr>
                <w:rFonts w:hint="eastAsia" w:ascii="Times New Roman" w:hAnsi="Times New Roman" w:eastAsia="宋体" w:cs="Times New Roman"/>
                <w:color w:val="auto"/>
                <w:highlight w:val="none"/>
                <w:lang w:eastAsia="zh-CN"/>
              </w:rPr>
              <w:t>日常作业计划、质量管理方式</w:t>
            </w:r>
            <w:r>
              <w:rPr>
                <w:rFonts w:hint="eastAsia" w:ascii="Times New Roman" w:hAnsi="Times New Roman" w:eastAsia="宋体" w:cs="Times New Roman"/>
                <w:color w:val="auto"/>
                <w:highlight w:val="none"/>
              </w:rPr>
              <w:t>及</w:t>
            </w:r>
            <w:r>
              <w:rPr>
                <w:rFonts w:hint="eastAsia" w:ascii="Times New Roman" w:hAnsi="Times New Roman" w:eastAsia="宋体" w:cs="Times New Roman"/>
                <w:color w:val="auto"/>
                <w:highlight w:val="none"/>
                <w:lang w:eastAsia="zh-CN"/>
              </w:rPr>
              <w:t>培训</w:t>
            </w:r>
            <w:r>
              <w:rPr>
                <w:rFonts w:hint="eastAsia" w:ascii="Times New Roman" w:hAnsi="Times New Roman" w:eastAsia="宋体" w:cs="Times New Roman"/>
                <w:color w:val="auto"/>
                <w:highlight w:val="none"/>
              </w:rPr>
              <w:t>计划综合打分</w:t>
            </w:r>
            <w:r>
              <w:rPr>
                <w:rFonts w:hint="eastAsia" w:ascii="Times New Roman" w:hAnsi="Times New Roman" w:eastAsia="宋体" w:cs="Times New Roman"/>
                <w:color w:val="auto"/>
                <w:highlight w:val="none"/>
                <w:lang w:eastAsia="zh-CN"/>
              </w:rPr>
              <w:t>：</w:t>
            </w:r>
          </w:p>
          <w:p>
            <w:pPr>
              <w:widowControl/>
              <w:spacing w:line="340" w:lineRule="atLeast"/>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eastAsia="zh-CN"/>
              </w:rPr>
              <w:t>管理服务机构完善，日常作业计划和质量管理方式全面，有保障的</w:t>
            </w:r>
            <w:r>
              <w:rPr>
                <w:rFonts w:hint="eastAsia" w:ascii="Times New Roman" w:hAnsi="Times New Roman" w:eastAsia="宋体" w:cs="Times New Roman"/>
                <w:color w:val="auto"/>
                <w:highlight w:val="none"/>
                <w:lang w:val="en-US" w:eastAsia="zh-CN"/>
              </w:rPr>
              <w:t>7.1-10分；</w:t>
            </w:r>
          </w:p>
          <w:p>
            <w:pPr>
              <w:widowControl/>
              <w:spacing w:line="340" w:lineRule="atLeast"/>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eastAsia="zh-CN"/>
              </w:rPr>
              <w:t>管理服务机构一般，日常作业计划和质量管理方式一般，较有保障的</w:t>
            </w:r>
            <w:r>
              <w:rPr>
                <w:rFonts w:hint="eastAsia" w:ascii="Times New Roman" w:hAnsi="Times New Roman" w:eastAsia="宋体" w:cs="Times New Roman"/>
                <w:color w:val="auto"/>
                <w:highlight w:val="none"/>
                <w:lang w:val="en-US" w:eastAsia="zh-CN"/>
              </w:rPr>
              <w:t>4.1-7分；</w:t>
            </w:r>
          </w:p>
          <w:p>
            <w:pPr>
              <w:widowControl/>
              <w:spacing w:line="340" w:lineRule="atLeast"/>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eastAsia="zh-CN"/>
              </w:rPr>
              <w:t>管理服务机构简单，日常作业计划和质量管理方式简单，缺乏保障的</w:t>
            </w:r>
            <w:r>
              <w:rPr>
                <w:rFonts w:hint="eastAsia" w:ascii="Times New Roman" w:hAnsi="Times New Roman" w:eastAsia="宋体" w:cs="Times New Roman"/>
                <w:color w:val="auto"/>
                <w:highlight w:val="none"/>
                <w:lang w:val="en-US" w:eastAsia="zh-CN"/>
              </w:rPr>
              <w:t>0.1-4分；</w:t>
            </w:r>
          </w:p>
          <w:p>
            <w:pPr>
              <w:rPr>
                <w:rFonts w:hint="default"/>
                <w:color w:val="auto"/>
                <w:highlight w:val="none"/>
                <w:lang w:val="en-US" w:eastAsia="zh-CN"/>
              </w:rPr>
            </w:pPr>
            <w:r>
              <w:rPr>
                <w:rFonts w:hint="eastAsia"/>
                <w:color w:val="auto"/>
                <w:highlight w:val="none"/>
                <w:lang w:val="en-US" w:eastAsia="zh-CN"/>
              </w:rPr>
              <w:t>未提及的不得分。</w:t>
            </w:r>
          </w:p>
        </w:tc>
        <w:tc>
          <w:tcPr>
            <w:tcW w:w="800" w:type="dxa"/>
            <w:tcBorders>
              <w:top w:val="single" w:color="000000" w:sz="4" w:space="0"/>
              <w:left w:val="single" w:color="auto" w:sz="4" w:space="0"/>
              <w:bottom w:val="single" w:color="000000" w:sz="4" w:space="0"/>
              <w:right w:val="single" w:color="000000" w:sz="4" w:space="0"/>
            </w:tcBorders>
            <w:vAlign w:val="center"/>
          </w:tcPr>
          <w:p>
            <w:pPr>
              <w:widowControl/>
              <w:spacing w:line="44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90" w:type="dxa"/>
            <w:vMerge w:val="continue"/>
            <w:tcBorders>
              <w:left w:val="single" w:color="000000" w:sz="4" w:space="0"/>
              <w:right w:val="single" w:color="000000" w:sz="4" w:space="0"/>
            </w:tcBorders>
            <w:vAlign w:val="center"/>
          </w:tcPr>
          <w:p>
            <w:pPr>
              <w:pStyle w:val="20"/>
              <w:widowControl/>
              <w:tabs>
                <w:tab w:val="left" w:pos="720"/>
                <w:tab w:val="left" w:pos="1260"/>
                <w:tab w:val="left" w:pos="2160"/>
                <w:tab w:val="left" w:pos="2880"/>
                <w:tab w:val="left" w:pos="3600"/>
                <w:tab w:val="left" w:pos="4320"/>
                <w:tab w:val="left" w:pos="5040"/>
                <w:tab w:val="left" w:pos="5760"/>
              </w:tabs>
              <w:snapToGrid w:val="0"/>
              <w:spacing w:line="440" w:lineRule="exact"/>
              <w:jc w:val="center"/>
              <w:rPr>
                <w:rFonts w:ascii="宋体" w:hAnsi="宋体" w:cs="宋体"/>
                <w:color w:val="auto"/>
                <w:sz w:val="22"/>
                <w:szCs w:val="22"/>
                <w:highlight w:val="none"/>
              </w:rPr>
            </w:pPr>
          </w:p>
        </w:tc>
        <w:tc>
          <w:tcPr>
            <w:tcW w:w="768" w:type="dxa"/>
            <w:vMerge w:val="continue"/>
            <w:tcBorders>
              <w:left w:val="single" w:color="000000" w:sz="4" w:space="0"/>
              <w:right w:val="single" w:color="auto" w:sz="4" w:space="0"/>
            </w:tcBorders>
            <w:vAlign w:val="center"/>
          </w:tcPr>
          <w:p>
            <w:pPr>
              <w:pStyle w:val="20"/>
              <w:widowControl/>
              <w:tabs>
                <w:tab w:val="left" w:pos="720"/>
                <w:tab w:val="left" w:pos="1260"/>
                <w:tab w:val="left" w:pos="2160"/>
                <w:tab w:val="left" w:pos="2880"/>
                <w:tab w:val="left" w:pos="3600"/>
                <w:tab w:val="left" w:pos="4320"/>
                <w:tab w:val="left" w:pos="5040"/>
                <w:tab w:val="left" w:pos="5760"/>
              </w:tabs>
              <w:snapToGrid w:val="0"/>
              <w:spacing w:line="440" w:lineRule="exact"/>
              <w:jc w:val="center"/>
              <w:rPr>
                <w:rFonts w:ascii="宋体" w:hAnsi="宋体" w:cs="宋体"/>
                <w:color w:val="auto"/>
                <w:sz w:val="22"/>
                <w:szCs w:val="22"/>
                <w:highlight w:val="none"/>
              </w:rPr>
            </w:pPr>
          </w:p>
        </w:tc>
        <w:tc>
          <w:tcPr>
            <w:tcW w:w="1214" w:type="dxa"/>
            <w:vMerge w:val="continue"/>
            <w:tcBorders>
              <w:left w:val="single" w:color="000000" w:sz="4" w:space="0"/>
              <w:right w:val="single" w:color="auto" w:sz="4" w:space="0"/>
            </w:tcBorders>
            <w:vAlign w:val="center"/>
          </w:tcPr>
          <w:p>
            <w:pPr>
              <w:autoSpaceDE w:val="0"/>
              <w:autoSpaceDN w:val="0"/>
              <w:adjustRightInd w:val="0"/>
              <w:spacing w:line="440" w:lineRule="exact"/>
              <w:ind w:right="25"/>
              <w:jc w:val="center"/>
              <w:rPr>
                <w:rFonts w:ascii="宋体" w:hAnsi="宋体" w:cs="宋体"/>
                <w:color w:val="auto"/>
                <w:sz w:val="22"/>
                <w:szCs w:val="22"/>
                <w:highlight w:val="none"/>
              </w:rPr>
            </w:pPr>
          </w:p>
        </w:tc>
        <w:tc>
          <w:tcPr>
            <w:tcW w:w="6562" w:type="dxa"/>
            <w:tcBorders>
              <w:top w:val="single" w:color="000000" w:sz="4" w:space="0"/>
              <w:left w:val="single" w:color="000000" w:sz="4" w:space="0"/>
              <w:bottom w:val="single" w:color="000000" w:sz="4" w:space="0"/>
              <w:right w:val="single" w:color="auto" w:sz="4" w:space="0"/>
            </w:tcBorders>
            <w:vAlign w:val="center"/>
          </w:tcPr>
          <w:p>
            <w:pPr>
              <w:widowControl/>
              <w:spacing w:line="340" w:lineRule="atLeast"/>
              <w:jc w:val="left"/>
              <w:rPr>
                <w:rFonts w:hint="eastAsia" w:ascii="Times New Roman" w:hAnsi="Times New Roman" w:eastAsia="宋体" w:cs="Times New Roman"/>
                <w:color w:val="auto"/>
                <w:highlight w:val="none"/>
                <w:lang w:eastAsia="zh-CN"/>
              </w:rPr>
            </w:pPr>
            <w:r>
              <w:rPr>
                <w:rFonts w:hint="eastAsia"/>
                <w:color w:val="auto"/>
                <w:highlight w:val="none"/>
              </w:rPr>
              <w:t>根据投标供应商对项目范围内建筑垃圾、装修垃圾、生活垃圾、园林垃圾、其他垃圾清运处置、打围墙、围挡、环境整治等具体实施方案</w:t>
            </w:r>
            <w:r>
              <w:rPr>
                <w:rFonts w:hint="eastAsia"/>
                <w:color w:val="auto"/>
                <w:highlight w:val="none"/>
                <w:lang w:eastAsia="zh-CN"/>
              </w:rPr>
              <w:t>，安</w:t>
            </w:r>
            <w:r>
              <w:rPr>
                <w:rFonts w:hint="eastAsia" w:ascii="Times New Roman" w:hAnsi="Times New Roman" w:eastAsia="宋体" w:cs="Times New Roman"/>
                <w:color w:val="auto"/>
                <w:highlight w:val="none"/>
                <w:lang w:eastAsia="zh-CN"/>
              </w:rPr>
              <w:t>全生产管理措施等进行</w:t>
            </w:r>
            <w:r>
              <w:rPr>
                <w:rFonts w:hint="eastAsia" w:ascii="Times New Roman" w:hAnsi="Times New Roman" w:eastAsia="宋体" w:cs="Times New Roman"/>
                <w:color w:val="auto"/>
                <w:highlight w:val="none"/>
              </w:rPr>
              <w:t>综合打分</w:t>
            </w:r>
            <w:r>
              <w:rPr>
                <w:rFonts w:hint="eastAsia" w:ascii="Times New Roman" w:hAnsi="Times New Roman" w:eastAsia="宋体" w:cs="Times New Roman"/>
                <w:color w:val="auto"/>
                <w:highlight w:val="none"/>
                <w:lang w:eastAsia="zh-CN"/>
              </w:rPr>
              <w:t>：</w:t>
            </w:r>
          </w:p>
          <w:p>
            <w:pPr>
              <w:widowControl/>
              <w:spacing w:line="340" w:lineRule="atLeast"/>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eastAsia="zh-CN"/>
              </w:rPr>
              <w:t>具体实施方案全面、科学，安全生产管理措施合理可行的</w:t>
            </w:r>
            <w:r>
              <w:rPr>
                <w:rFonts w:hint="eastAsia" w:ascii="Times New Roman" w:hAnsi="Times New Roman" w:eastAsia="宋体" w:cs="Times New Roman"/>
                <w:color w:val="auto"/>
                <w:highlight w:val="none"/>
                <w:lang w:val="en-US" w:eastAsia="zh-CN"/>
              </w:rPr>
              <w:t>10.1-15分；</w:t>
            </w:r>
          </w:p>
          <w:p>
            <w:pPr>
              <w:widowControl/>
              <w:spacing w:line="340" w:lineRule="atLeast"/>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eastAsia="zh-CN"/>
              </w:rPr>
              <w:t>具体实施方案一般，安全生产管理措施一般的</w:t>
            </w:r>
            <w:r>
              <w:rPr>
                <w:rFonts w:hint="eastAsia" w:ascii="Times New Roman" w:hAnsi="Times New Roman" w:eastAsia="宋体" w:cs="Times New Roman"/>
                <w:color w:val="auto"/>
                <w:highlight w:val="none"/>
                <w:lang w:val="en-US" w:eastAsia="zh-CN"/>
              </w:rPr>
              <w:t>5.1-10分；</w:t>
            </w:r>
          </w:p>
          <w:p>
            <w:pPr>
              <w:widowControl/>
              <w:spacing w:line="340" w:lineRule="atLeast"/>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eastAsia="zh-CN"/>
              </w:rPr>
              <w:t>具体实施方案和安全生产管理措施简单，缺乏合理性的</w:t>
            </w:r>
            <w:r>
              <w:rPr>
                <w:rFonts w:hint="eastAsia" w:ascii="Times New Roman" w:hAnsi="Times New Roman" w:eastAsia="宋体" w:cs="Times New Roman"/>
                <w:color w:val="auto"/>
                <w:highlight w:val="none"/>
                <w:lang w:val="en-US" w:eastAsia="zh-CN"/>
              </w:rPr>
              <w:t>0.1-5分；</w:t>
            </w:r>
          </w:p>
          <w:p>
            <w:pPr>
              <w:widowControl/>
              <w:spacing w:line="340" w:lineRule="atLeast"/>
              <w:jc w:val="left"/>
              <w:rPr>
                <w:rFonts w:hint="default"/>
                <w:color w:val="auto"/>
                <w:highlight w:val="none"/>
                <w:lang w:val="en-US" w:eastAsia="zh-CN"/>
              </w:rPr>
            </w:pPr>
            <w:r>
              <w:rPr>
                <w:rFonts w:hint="eastAsia" w:ascii="Times New Roman" w:hAnsi="Times New Roman" w:eastAsia="宋体" w:cs="Times New Roman"/>
                <w:color w:val="auto"/>
                <w:highlight w:val="none"/>
                <w:lang w:val="en-US" w:eastAsia="zh-CN"/>
              </w:rPr>
              <w:t>未提及的不得分。</w:t>
            </w:r>
          </w:p>
        </w:tc>
        <w:tc>
          <w:tcPr>
            <w:tcW w:w="800" w:type="dxa"/>
            <w:tcBorders>
              <w:top w:val="single" w:color="000000" w:sz="4" w:space="0"/>
              <w:left w:val="single" w:color="auto" w:sz="4" w:space="0"/>
              <w:bottom w:val="single" w:color="000000" w:sz="4" w:space="0"/>
              <w:right w:val="single" w:color="000000" w:sz="4" w:space="0"/>
            </w:tcBorders>
            <w:vAlign w:val="center"/>
          </w:tcPr>
          <w:p>
            <w:pPr>
              <w:widowControl/>
              <w:spacing w:line="44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90" w:type="dxa"/>
            <w:tcBorders>
              <w:left w:val="single" w:color="000000" w:sz="4" w:space="0"/>
              <w:right w:val="single" w:color="000000" w:sz="4" w:space="0"/>
            </w:tcBorders>
            <w:vAlign w:val="center"/>
          </w:tcPr>
          <w:p>
            <w:pPr>
              <w:pStyle w:val="20"/>
              <w:widowControl/>
              <w:tabs>
                <w:tab w:val="left" w:pos="720"/>
                <w:tab w:val="left" w:pos="1260"/>
                <w:tab w:val="left" w:pos="2160"/>
                <w:tab w:val="left" w:pos="2880"/>
                <w:tab w:val="left" w:pos="3600"/>
                <w:tab w:val="left" w:pos="4320"/>
                <w:tab w:val="left" w:pos="5040"/>
                <w:tab w:val="left" w:pos="5760"/>
              </w:tabs>
              <w:snapToGrid w:val="0"/>
              <w:spacing w:line="440" w:lineRule="exact"/>
              <w:ind w:left="0" w:leftChars="0"/>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768" w:type="dxa"/>
            <w:vMerge w:val="continue"/>
            <w:tcBorders>
              <w:left w:val="single" w:color="000000" w:sz="4" w:space="0"/>
              <w:right w:val="single" w:color="auto" w:sz="4" w:space="0"/>
            </w:tcBorders>
            <w:vAlign w:val="center"/>
          </w:tcPr>
          <w:p>
            <w:pPr>
              <w:pStyle w:val="20"/>
              <w:widowControl/>
              <w:tabs>
                <w:tab w:val="left" w:pos="720"/>
                <w:tab w:val="left" w:pos="1260"/>
                <w:tab w:val="left" w:pos="2160"/>
                <w:tab w:val="left" w:pos="2880"/>
                <w:tab w:val="left" w:pos="3600"/>
                <w:tab w:val="left" w:pos="4320"/>
                <w:tab w:val="left" w:pos="5040"/>
                <w:tab w:val="left" w:pos="5760"/>
              </w:tabs>
              <w:snapToGrid w:val="0"/>
              <w:spacing w:line="440" w:lineRule="exact"/>
              <w:ind w:left="0" w:leftChars="0"/>
              <w:jc w:val="center"/>
              <w:rPr>
                <w:rFonts w:hint="eastAsia" w:ascii="宋体" w:hAnsi="宋体" w:cs="宋体"/>
                <w:color w:val="auto"/>
                <w:sz w:val="22"/>
                <w:szCs w:val="22"/>
                <w:highlight w:val="none"/>
              </w:rPr>
            </w:pPr>
          </w:p>
        </w:tc>
        <w:tc>
          <w:tcPr>
            <w:tcW w:w="1214" w:type="dxa"/>
            <w:tcBorders>
              <w:left w:val="single" w:color="000000" w:sz="4" w:space="0"/>
              <w:right w:val="single" w:color="auto" w:sz="4" w:space="0"/>
            </w:tcBorders>
            <w:vAlign w:val="center"/>
          </w:tcPr>
          <w:p>
            <w:pPr>
              <w:spacing w:line="360" w:lineRule="auto"/>
              <w:jc w:val="center"/>
              <w:rPr>
                <w:rFonts w:ascii="宋体" w:hAnsi="宋体"/>
                <w:color w:val="auto"/>
                <w:sz w:val="22"/>
                <w:szCs w:val="22"/>
                <w:highlight w:val="none"/>
              </w:rPr>
            </w:pPr>
            <w:r>
              <w:rPr>
                <w:rFonts w:hint="eastAsia" w:ascii="宋体" w:hAnsi="宋体" w:cs="宋体"/>
                <w:color w:val="auto"/>
                <w:kern w:val="0"/>
                <w:sz w:val="22"/>
                <w:szCs w:val="22"/>
                <w:highlight w:val="none"/>
              </w:rPr>
              <w:t>售后服务方案</w:t>
            </w:r>
          </w:p>
        </w:tc>
        <w:tc>
          <w:tcPr>
            <w:tcW w:w="6562" w:type="dxa"/>
            <w:tcBorders>
              <w:top w:val="single" w:color="000000" w:sz="4" w:space="0"/>
              <w:left w:val="single" w:color="000000" w:sz="4" w:space="0"/>
              <w:bottom w:val="single" w:color="000000" w:sz="4" w:space="0"/>
              <w:right w:val="single" w:color="auto" w:sz="4" w:space="0"/>
            </w:tcBorders>
            <w:vAlign w:val="center"/>
          </w:tcPr>
          <w:p>
            <w:pPr>
              <w:widowControl/>
              <w:spacing w:line="340" w:lineRule="atLeast"/>
              <w:jc w:val="left"/>
              <w:rPr>
                <w:rFonts w:hint="eastAsia" w:ascii="Times New Roman" w:hAnsi="Times New Roman" w:eastAsia="宋体" w:cs="Times New Roman"/>
                <w:color w:val="auto"/>
                <w:highlight w:val="none"/>
                <w:lang w:eastAsia="zh-CN"/>
              </w:rPr>
            </w:pPr>
            <w:r>
              <w:rPr>
                <w:rFonts w:hint="eastAsia"/>
                <w:color w:val="auto"/>
                <w:highlight w:val="none"/>
              </w:rPr>
              <w:t>根据投标人对项目目标计</w:t>
            </w:r>
            <w:r>
              <w:rPr>
                <w:rFonts w:hint="eastAsia" w:ascii="Times New Roman" w:hAnsi="Times New Roman" w:eastAsia="宋体" w:cs="Times New Roman"/>
                <w:color w:val="auto"/>
                <w:highlight w:val="none"/>
              </w:rPr>
              <w:t>划的完成度以及售后服务方案、服务承诺等方面进行打分</w:t>
            </w:r>
            <w:r>
              <w:rPr>
                <w:rFonts w:hint="eastAsia" w:ascii="Times New Roman" w:hAnsi="Times New Roman" w:eastAsia="宋体" w:cs="Times New Roman"/>
                <w:color w:val="auto"/>
                <w:highlight w:val="none"/>
                <w:lang w:eastAsia="zh-CN"/>
              </w:rPr>
              <w:t>：</w:t>
            </w:r>
          </w:p>
          <w:p>
            <w:pPr>
              <w:widowControl/>
              <w:spacing w:line="340" w:lineRule="atLeast"/>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eastAsia="zh-CN"/>
              </w:rPr>
              <w:t>目标计划符合项目要求，售后服务方案全面，承诺可行的</w:t>
            </w:r>
            <w:r>
              <w:rPr>
                <w:rFonts w:hint="eastAsia" w:ascii="Times New Roman" w:hAnsi="Times New Roman" w:eastAsia="宋体" w:cs="Times New Roman"/>
                <w:color w:val="auto"/>
                <w:highlight w:val="none"/>
                <w:lang w:val="en-US" w:eastAsia="zh-CN"/>
              </w:rPr>
              <w:t>7.1-10分；</w:t>
            </w:r>
          </w:p>
          <w:p>
            <w:pPr>
              <w:widowControl/>
              <w:spacing w:line="340" w:lineRule="atLeast"/>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目标计划基本符合项目要求，售后服务方案一般的3.1-7分；</w:t>
            </w:r>
          </w:p>
          <w:p>
            <w:pPr>
              <w:widowControl/>
              <w:spacing w:line="340" w:lineRule="atLeast"/>
              <w:jc w:val="left"/>
              <w:rPr>
                <w:rFonts w:hint="eastAsia"/>
                <w:color w:val="auto"/>
                <w:highlight w:val="none"/>
                <w:lang w:val="en-US" w:eastAsia="zh-CN"/>
              </w:rPr>
            </w:pPr>
            <w:r>
              <w:rPr>
                <w:rFonts w:hint="eastAsia" w:ascii="Times New Roman" w:hAnsi="Times New Roman" w:eastAsia="宋体" w:cs="Times New Roman"/>
                <w:color w:val="auto"/>
                <w:highlight w:val="none"/>
                <w:lang w:val="en-US" w:eastAsia="zh-CN"/>
              </w:rPr>
              <w:t>目标计划简单片面，售后服务方案和承诺缺乏针对性的0.1-3分；</w:t>
            </w:r>
          </w:p>
          <w:p>
            <w:pPr>
              <w:rPr>
                <w:rFonts w:hint="default"/>
                <w:color w:val="auto"/>
                <w:highlight w:val="none"/>
                <w:lang w:val="en-US" w:eastAsia="zh-CN"/>
              </w:rPr>
            </w:pPr>
            <w:r>
              <w:rPr>
                <w:rFonts w:hint="eastAsia" w:ascii="宋体" w:hAnsi="宋体" w:eastAsia="宋体" w:cs="Times New Roman"/>
                <w:color w:val="auto"/>
                <w:kern w:val="0"/>
                <w:sz w:val="22"/>
                <w:szCs w:val="22"/>
                <w:highlight w:val="none"/>
                <w:lang w:val="en-US" w:eastAsia="zh-CN"/>
              </w:rPr>
              <w:t>未提及的不得分。</w:t>
            </w:r>
          </w:p>
        </w:tc>
        <w:tc>
          <w:tcPr>
            <w:tcW w:w="800" w:type="dxa"/>
            <w:tcBorders>
              <w:top w:val="single" w:color="000000" w:sz="4" w:space="0"/>
              <w:left w:val="single" w:color="auto" w:sz="4" w:space="0"/>
              <w:bottom w:val="single" w:color="000000" w:sz="4" w:space="0"/>
              <w:right w:val="single" w:color="000000" w:sz="4" w:space="0"/>
            </w:tcBorders>
            <w:vAlign w:val="center"/>
          </w:tcPr>
          <w:p>
            <w:pPr>
              <w:widowControl/>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90" w:type="dxa"/>
            <w:tcBorders>
              <w:left w:val="single" w:color="000000" w:sz="4" w:space="0"/>
              <w:right w:val="single" w:color="000000" w:sz="4" w:space="0"/>
            </w:tcBorders>
            <w:vAlign w:val="center"/>
          </w:tcPr>
          <w:p>
            <w:pPr>
              <w:pStyle w:val="20"/>
              <w:widowControl/>
              <w:tabs>
                <w:tab w:val="left" w:pos="720"/>
                <w:tab w:val="left" w:pos="1260"/>
                <w:tab w:val="left" w:pos="2160"/>
                <w:tab w:val="left" w:pos="2880"/>
                <w:tab w:val="left" w:pos="3600"/>
                <w:tab w:val="left" w:pos="4320"/>
                <w:tab w:val="left" w:pos="5040"/>
                <w:tab w:val="left" w:pos="5760"/>
              </w:tabs>
              <w:snapToGrid w:val="0"/>
              <w:spacing w:line="440" w:lineRule="exact"/>
              <w:ind w:left="0" w:leftChars="0"/>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768" w:type="dxa"/>
            <w:vMerge w:val="continue"/>
            <w:tcBorders>
              <w:left w:val="single" w:color="000000" w:sz="4" w:space="0"/>
              <w:right w:val="single" w:color="auto" w:sz="4" w:space="0"/>
            </w:tcBorders>
            <w:vAlign w:val="center"/>
          </w:tcPr>
          <w:p>
            <w:pPr>
              <w:pStyle w:val="20"/>
              <w:widowControl/>
              <w:tabs>
                <w:tab w:val="left" w:pos="720"/>
                <w:tab w:val="left" w:pos="1260"/>
                <w:tab w:val="left" w:pos="2160"/>
                <w:tab w:val="left" w:pos="2880"/>
                <w:tab w:val="left" w:pos="3600"/>
                <w:tab w:val="left" w:pos="4320"/>
                <w:tab w:val="left" w:pos="5040"/>
                <w:tab w:val="left" w:pos="5760"/>
              </w:tabs>
              <w:snapToGrid w:val="0"/>
              <w:spacing w:line="440" w:lineRule="exact"/>
              <w:ind w:left="0" w:leftChars="0"/>
              <w:jc w:val="center"/>
              <w:rPr>
                <w:rFonts w:hint="eastAsia" w:ascii="宋体" w:hAnsi="宋体" w:cs="宋体"/>
                <w:color w:val="auto"/>
                <w:sz w:val="22"/>
                <w:szCs w:val="22"/>
                <w:highlight w:val="none"/>
              </w:rPr>
            </w:pPr>
          </w:p>
        </w:tc>
        <w:tc>
          <w:tcPr>
            <w:tcW w:w="1214" w:type="dxa"/>
            <w:tcBorders>
              <w:left w:val="single" w:color="000000" w:sz="4" w:space="0"/>
              <w:right w:val="single" w:color="auto" w:sz="4" w:space="0"/>
            </w:tcBorders>
            <w:vAlign w:val="center"/>
          </w:tcPr>
          <w:p>
            <w:pPr>
              <w:widowControl/>
              <w:spacing w:line="360" w:lineRule="auto"/>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应急预案</w:t>
            </w:r>
          </w:p>
        </w:tc>
        <w:tc>
          <w:tcPr>
            <w:tcW w:w="6562" w:type="dxa"/>
            <w:tcBorders>
              <w:top w:val="single" w:color="000000" w:sz="4" w:space="0"/>
              <w:left w:val="single" w:color="000000" w:sz="4" w:space="0"/>
              <w:bottom w:val="single" w:color="000000" w:sz="4" w:space="0"/>
              <w:right w:val="single" w:color="auto" w:sz="4" w:space="0"/>
            </w:tcBorders>
            <w:vAlign w:val="center"/>
          </w:tcPr>
          <w:p>
            <w:pPr>
              <w:widowControl/>
              <w:spacing w:line="360" w:lineRule="auto"/>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针对突发事件保障措施的及时性、可靠性等内容，包含迎检、极端天气等各类应对措施进行评分：</w:t>
            </w:r>
          </w:p>
          <w:p>
            <w:pPr>
              <w:widowControl/>
              <w:spacing w:line="360" w:lineRule="auto"/>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eastAsia="zh-CN"/>
              </w:rPr>
              <w:t>应急预案全面，保障措施具有可操作性性的</w:t>
            </w:r>
            <w:r>
              <w:rPr>
                <w:rFonts w:hint="eastAsia" w:ascii="宋体" w:hAnsi="宋体" w:eastAsia="宋体" w:cs="宋体"/>
                <w:color w:val="auto"/>
                <w:kern w:val="0"/>
                <w:sz w:val="22"/>
                <w:szCs w:val="22"/>
                <w:highlight w:val="none"/>
                <w:lang w:val="en-US" w:eastAsia="zh-CN"/>
              </w:rPr>
              <w:t>3.1-5分；</w:t>
            </w:r>
          </w:p>
          <w:p>
            <w:pPr>
              <w:widowControl/>
              <w:spacing w:line="360" w:lineRule="auto"/>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应急预案一般，保障措施缺乏可行性和严谨性的0.1-3分；</w:t>
            </w:r>
          </w:p>
          <w:p>
            <w:pPr>
              <w:widowControl/>
              <w:spacing w:line="360" w:lineRule="auto"/>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未提及的不得分。</w:t>
            </w:r>
          </w:p>
        </w:tc>
        <w:tc>
          <w:tcPr>
            <w:tcW w:w="800"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90" w:type="dxa"/>
            <w:tcBorders>
              <w:left w:val="single" w:color="000000" w:sz="4" w:space="0"/>
              <w:right w:val="single" w:color="000000" w:sz="4" w:space="0"/>
            </w:tcBorders>
            <w:vAlign w:val="center"/>
          </w:tcPr>
          <w:p>
            <w:pPr>
              <w:pStyle w:val="20"/>
              <w:widowControl/>
              <w:tabs>
                <w:tab w:val="left" w:pos="720"/>
                <w:tab w:val="left" w:pos="1260"/>
                <w:tab w:val="left" w:pos="2160"/>
                <w:tab w:val="left" w:pos="2880"/>
                <w:tab w:val="left" w:pos="3600"/>
                <w:tab w:val="left" w:pos="4320"/>
                <w:tab w:val="left" w:pos="5040"/>
                <w:tab w:val="left" w:pos="5760"/>
              </w:tabs>
              <w:snapToGrid w:val="0"/>
              <w:spacing w:line="440" w:lineRule="exact"/>
              <w:ind w:left="0" w:leftChars="0"/>
              <w:jc w:val="cente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768" w:type="dxa"/>
            <w:vMerge w:val="continue"/>
            <w:tcBorders>
              <w:left w:val="single" w:color="000000" w:sz="4" w:space="0"/>
              <w:right w:val="single" w:color="auto" w:sz="4" w:space="0"/>
            </w:tcBorders>
            <w:vAlign w:val="center"/>
          </w:tcPr>
          <w:p>
            <w:pPr>
              <w:pStyle w:val="20"/>
              <w:widowControl/>
              <w:tabs>
                <w:tab w:val="left" w:pos="720"/>
                <w:tab w:val="left" w:pos="1260"/>
                <w:tab w:val="left" w:pos="2160"/>
                <w:tab w:val="left" w:pos="2880"/>
                <w:tab w:val="left" w:pos="3600"/>
                <w:tab w:val="left" w:pos="4320"/>
                <w:tab w:val="left" w:pos="5040"/>
                <w:tab w:val="left" w:pos="5760"/>
              </w:tabs>
              <w:snapToGrid w:val="0"/>
              <w:spacing w:line="440" w:lineRule="exact"/>
              <w:ind w:left="0" w:leftChars="0"/>
              <w:jc w:val="center"/>
              <w:rPr>
                <w:rFonts w:hint="eastAsia" w:ascii="宋体" w:hAnsi="宋体" w:cs="宋体"/>
                <w:color w:val="auto"/>
                <w:sz w:val="22"/>
                <w:szCs w:val="22"/>
                <w:highlight w:val="none"/>
              </w:rPr>
            </w:pPr>
          </w:p>
        </w:tc>
        <w:tc>
          <w:tcPr>
            <w:tcW w:w="1214" w:type="dxa"/>
            <w:tcBorders>
              <w:left w:val="single" w:color="000000" w:sz="4" w:space="0"/>
              <w:right w:val="single" w:color="auto" w:sz="4" w:space="0"/>
            </w:tcBorders>
            <w:vAlign w:val="center"/>
          </w:tcPr>
          <w:p>
            <w:pPr>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合理化建议</w:t>
            </w:r>
          </w:p>
        </w:tc>
        <w:tc>
          <w:tcPr>
            <w:tcW w:w="6562" w:type="dxa"/>
            <w:tcBorders>
              <w:top w:val="single" w:color="000000" w:sz="4" w:space="0"/>
              <w:left w:val="single" w:color="000000" w:sz="4" w:space="0"/>
              <w:bottom w:val="single" w:color="000000" w:sz="4" w:space="0"/>
              <w:right w:val="single" w:color="auto" w:sz="4" w:space="0"/>
            </w:tcBorders>
          </w:tcPr>
          <w:p>
            <w:pPr>
              <w:widowControl/>
              <w:spacing w:line="360" w:lineRule="auto"/>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根据投标人依据本项目服务要求、实际作业需求提出的合理化建议进行打分：</w:t>
            </w:r>
          </w:p>
          <w:p>
            <w:pPr>
              <w:widowControl/>
              <w:spacing w:line="360" w:lineRule="auto"/>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eastAsia="zh-CN"/>
              </w:rPr>
              <w:t>建议合理，对实际作业有帮助的</w:t>
            </w: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val="en-US" w:eastAsia="zh-CN"/>
              </w:rPr>
              <w:t>.1-</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lang w:val="en-US" w:eastAsia="zh-CN"/>
              </w:rPr>
              <w:t>分；</w:t>
            </w:r>
          </w:p>
          <w:p>
            <w:pPr>
              <w:widowControl/>
              <w:spacing w:line="360" w:lineRule="auto"/>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建议一般，对实际作业帮助不大的0.1-</w:t>
            </w: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val="en-US" w:eastAsia="zh-CN"/>
              </w:rPr>
              <w:t>分；</w:t>
            </w:r>
          </w:p>
          <w:p>
            <w:pPr>
              <w:widowControl/>
              <w:spacing w:line="360" w:lineRule="auto"/>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未提及的不得分。</w:t>
            </w:r>
          </w:p>
        </w:tc>
        <w:tc>
          <w:tcPr>
            <w:tcW w:w="800" w:type="dxa"/>
            <w:tcBorders>
              <w:top w:val="single" w:color="000000" w:sz="4" w:space="0"/>
              <w:left w:val="single" w:color="auto" w:sz="4" w:space="0"/>
              <w:bottom w:val="single" w:color="000000" w:sz="4" w:space="0"/>
              <w:right w:val="single" w:color="000000" w:sz="4" w:space="0"/>
            </w:tcBorders>
            <w:vAlign w:val="center"/>
          </w:tcPr>
          <w:p>
            <w:pPr>
              <w:widowControl/>
              <w:spacing w:line="44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234" w:type="dxa"/>
            <w:gridSpan w:val="4"/>
            <w:tcBorders>
              <w:left w:val="single" w:color="000000" w:sz="4" w:space="0"/>
              <w:right w:val="single" w:color="000000" w:sz="4" w:space="0"/>
            </w:tcBorders>
            <w:vAlign w:val="center"/>
          </w:tcPr>
          <w:p>
            <w:pPr>
              <w:spacing w:line="360" w:lineRule="auto"/>
              <w:jc w:val="center"/>
              <w:rPr>
                <w:rFonts w:hint="eastAsia" w:ascii="宋体" w:hAnsi="宋体" w:cs="宋体"/>
                <w:b/>
                <w:bCs/>
                <w:color w:val="auto"/>
                <w:kern w:val="0"/>
                <w:sz w:val="22"/>
                <w:szCs w:val="22"/>
                <w:highlight w:val="none"/>
                <w:lang w:eastAsia="zh-CN"/>
              </w:rPr>
            </w:pPr>
            <w:r>
              <w:rPr>
                <w:rFonts w:hint="eastAsia" w:ascii="宋体" w:hAnsi="宋体" w:cs="宋体"/>
                <w:b/>
                <w:bCs/>
                <w:color w:val="auto"/>
                <w:kern w:val="0"/>
                <w:sz w:val="22"/>
                <w:szCs w:val="22"/>
                <w:highlight w:val="none"/>
                <w:lang w:eastAsia="zh-CN"/>
              </w:rPr>
              <w:t>合计</w:t>
            </w:r>
          </w:p>
        </w:tc>
        <w:tc>
          <w:tcPr>
            <w:tcW w:w="800" w:type="dxa"/>
            <w:tcBorders>
              <w:top w:val="single" w:color="000000" w:sz="4" w:space="0"/>
              <w:left w:val="single" w:color="auto" w:sz="4" w:space="0"/>
              <w:bottom w:val="single" w:color="000000" w:sz="4" w:space="0"/>
              <w:right w:val="single" w:color="000000" w:sz="4" w:space="0"/>
            </w:tcBorders>
            <w:vAlign w:val="center"/>
          </w:tcPr>
          <w:p>
            <w:pPr>
              <w:widowControl/>
              <w:spacing w:line="440" w:lineRule="exact"/>
              <w:jc w:val="center"/>
              <w:rPr>
                <w:rFonts w:hint="default"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90</w:t>
            </w:r>
          </w:p>
        </w:tc>
      </w:tr>
    </w:tbl>
    <w:p>
      <w:pPr>
        <w:spacing w:line="360" w:lineRule="auto"/>
        <w:ind w:firstLine="472" w:firstLineChars="196"/>
        <w:jc w:val="center"/>
        <w:rPr>
          <w:rFonts w:hAnsi="宋体" w:cs="仿宋_GB2312"/>
          <w:b/>
          <w:bCs/>
          <w:color w:val="auto"/>
          <w:sz w:val="24"/>
          <w:highlight w:val="none"/>
        </w:rPr>
        <w:sectPr>
          <w:footerReference r:id="rId3" w:type="default"/>
          <w:pgSz w:w="11906" w:h="16838"/>
          <w:pgMar w:top="1440" w:right="1800" w:bottom="1440" w:left="1800" w:header="851" w:footer="851" w:gutter="0"/>
          <w:cols w:space="720" w:num="1"/>
          <w:docGrid w:linePitch="312" w:charSpace="0"/>
        </w:sectPr>
      </w:pPr>
    </w:p>
    <w:p>
      <w:pPr>
        <w:numPr>
          <w:ilvl w:val="0"/>
          <w:numId w:val="11"/>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公开招标需求</w:t>
      </w:r>
    </w:p>
    <w:p>
      <w:pPr>
        <w:tabs>
          <w:tab w:val="left" w:pos="8280"/>
        </w:tabs>
        <w:autoSpaceDE w:val="0"/>
        <w:autoSpaceDN w:val="0"/>
        <w:adjustRightInd w:val="0"/>
        <w:spacing w:line="360" w:lineRule="auto"/>
        <w:ind w:right="25"/>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color w:val="auto"/>
          <w:sz w:val="24"/>
          <w:szCs w:val="24"/>
          <w:highlight w:val="none"/>
        </w:rPr>
        <w:t>一、招标项目一览表</w:t>
      </w:r>
    </w:p>
    <w:p>
      <w:pPr>
        <w:tabs>
          <w:tab w:val="left" w:pos="8280"/>
        </w:tabs>
        <w:autoSpaceDE w:val="0"/>
        <w:autoSpaceDN w:val="0"/>
        <w:adjustRightInd w:val="0"/>
        <w:spacing w:line="360" w:lineRule="auto"/>
        <w:ind w:right="25" w:firstLine="2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本次招标共</w:t>
      </w:r>
      <w:r>
        <w:rPr>
          <w:rFonts w:hint="eastAsia" w:cs="宋体" w:asciiTheme="minorEastAsia" w:hAnsiTheme="minorEastAsia" w:eastAsiaTheme="minorEastAsia"/>
          <w:color w:val="auto"/>
          <w:sz w:val="24"/>
          <w:szCs w:val="24"/>
          <w:highlight w:val="none"/>
          <w:u w:val="single"/>
        </w:rPr>
        <w:t xml:space="preserve"> 1 </w:t>
      </w:r>
      <w:r>
        <w:rPr>
          <w:rFonts w:hint="eastAsia" w:cs="宋体" w:asciiTheme="minorEastAsia" w:hAnsiTheme="minorEastAsia" w:eastAsiaTheme="minorEastAsia"/>
          <w:color w:val="auto"/>
          <w:sz w:val="24"/>
          <w:szCs w:val="24"/>
          <w:highlight w:val="none"/>
        </w:rPr>
        <w:t>个标段，具体内容如下表：</w:t>
      </w:r>
    </w:p>
    <w:tbl>
      <w:tblPr>
        <w:tblStyle w:val="43"/>
        <w:tblW w:w="9537" w:type="dxa"/>
        <w:tblInd w:w="-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313"/>
        <w:gridCol w:w="1583"/>
        <w:gridCol w:w="956"/>
        <w:gridCol w:w="991"/>
        <w:gridCol w:w="1322"/>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904" w:type="dxa"/>
            <w:vAlign w:val="center"/>
          </w:tcPr>
          <w:p>
            <w:pPr>
              <w:tabs>
                <w:tab w:val="left" w:pos="8280"/>
              </w:tabs>
              <w:autoSpaceDE w:val="0"/>
              <w:autoSpaceDN w:val="0"/>
              <w:adjustRightInd w:val="0"/>
              <w:spacing w:line="360" w:lineRule="auto"/>
              <w:ind w:right="25"/>
              <w:jc w:val="center"/>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序号</w:t>
            </w:r>
          </w:p>
        </w:tc>
        <w:tc>
          <w:tcPr>
            <w:tcW w:w="2313" w:type="dxa"/>
            <w:vAlign w:val="center"/>
          </w:tcPr>
          <w:p>
            <w:pPr>
              <w:tabs>
                <w:tab w:val="left" w:pos="8280"/>
              </w:tabs>
              <w:autoSpaceDE w:val="0"/>
              <w:autoSpaceDN w:val="0"/>
              <w:adjustRightInd w:val="0"/>
              <w:spacing w:line="360" w:lineRule="auto"/>
              <w:ind w:right="25" w:firstLine="120" w:firstLineChars="50"/>
              <w:jc w:val="center"/>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项目名称</w:t>
            </w:r>
          </w:p>
        </w:tc>
        <w:tc>
          <w:tcPr>
            <w:tcW w:w="1583" w:type="dxa"/>
            <w:vAlign w:val="center"/>
          </w:tcPr>
          <w:p>
            <w:pPr>
              <w:tabs>
                <w:tab w:val="left" w:pos="8280"/>
              </w:tabs>
              <w:autoSpaceDE w:val="0"/>
              <w:autoSpaceDN w:val="0"/>
              <w:adjustRightInd w:val="0"/>
              <w:spacing w:line="360" w:lineRule="auto"/>
              <w:ind w:right="25"/>
              <w:jc w:val="center"/>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内容</w:t>
            </w:r>
          </w:p>
        </w:tc>
        <w:tc>
          <w:tcPr>
            <w:tcW w:w="956" w:type="dxa"/>
            <w:vAlign w:val="center"/>
          </w:tcPr>
          <w:p>
            <w:pPr>
              <w:tabs>
                <w:tab w:val="left" w:pos="8280"/>
              </w:tabs>
              <w:autoSpaceDE w:val="0"/>
              <w:autoSpaceDN w:val="0"/>
              <w:adjustRightInd w:val="0"/>
              <w:spacing w:line="360" w:lineRule="auto"/>
              <w:ind w:right="25"/>
              <w:jc w:val="center"/>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数量</w:t>
            </w:r>
          </w:p>
        </w:tc>
        <w:tc>
          <w:tcPr>
            <w:tcW w:w="991" w:type="dxa"/>
            <w:vAlign w:val="center"/>
          </w:tcPr>
          <w:p>
            <w:pPr>
              <w:tabs>
                <w:tab w:val="left" w:pos="8280"/>
              </w:tabs>
              <w:autoSpaceDE w:val="0"/>
              <w:autoSpaceDN w:val="0"/>
              <w:adjustRightInd w:val="0"/>
              <w:spacing w:line="360" w:lineRule="auto"/>
              <w:ind w:right="25"/>
              <w:jc w:val="center"/>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单位</w:t>
            </w:r>
          </w:p>
        </w:tc>
        <w:tc>
          <w:tcPr>
            <w:tcW w:w="1322" w:type="dxa"/>
            <w:vAlign w:val="center"/>
          </w:tcPr>
          <w:p>
            <w:pPr>
              <w:tabs>
                <w:tab w:val="left" w:pos="8280"/>
              </w:tabs>
              <w:autoSpaceDE w:val="0"/>
              <w:autoSpaceDN w:val="0"/>
              <w:adjustRightInd w:val="0"/>
              <w:spacing w:line="360" w:lineRule="auto"/>
              <w:ind w:right="25"/>
              <w:jc w:val="center"/>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预算</w:t>
            </w:r>
          </w:p>
          <w:p>
            <w:pPr>
              <w:tabs>
                <w:tab w:val="left" w:pos="8280"/>
              </w:tabs>
              <w:autoSpaceDE w:val="0"/>
              <w:autoSpaceDN w:val="0"/>
              <w:adjustRightInd w:val="0"/>
              <w:spacing w:line="360" w:lineRule="auto"/>
              <w:ind w:right="25"/>
              <w:jc w:val="center"/>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（万元）</w:t>
            </w:r>
          </w:p>
        </w:tc>
        <w:tc>
          <w:tcPr>
            <w:tcW w:w="1468" w:type="dxa"/>
            <w:vAlign w:val="center"/>
          </w:tcPr>
          <w:p>
            <w:pPr>
              <w:tabs>
                <w:tab w:val="left" w:pos="8280"/>
              </w:tabs>
              <w:autoSpaceDE w:val="0"/>
              <w:autoSpaceDN w:val="0"/>
              <w:adjustRightInd w:val="0"/>
              <w:spacing w:line="360" w:lineRule="auto"/>
              <w:ind w:right="25"/>
              <w:jc w:val="center"/>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bCs/>
                <w:color w:val="auto"/>
                <w:sz w:val="24"/>
                <w:szCs w:val="24"/>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04" w:type="dxa"/>
            <w:vAlign w:val="center"/>
          </w:tcPr>
          <w:p>
            <w:pPr>
              <w:tabs>
                <w:tab w:val="left" w:pos="8280"/>
              </w:tabs>
              <w:autoSpaceDE w:val="0"/>
              <w:autoSpaceDN w:val="0"/>
              <w:adjustRightInd w:val="0"/>
              <w:spacing w:line="360" w:lineRule="auto"/>
              <w:ind w:right="25"/>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p>
        </w:tc>
        <w:tc>
          <w:tcPr>
            <w:tcW w:w="2313" w:type="dxa"/>
            <w:vAlign w:val="center"/>
          </w:tcPr>
          <w:p>
            <w:pPr>
              <w:spacing w:line="360" w:lineRule="auto"/>
              <w:jc w:val="center"/>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垃圾处置清理及环境整治工程</w:t>
            </w:r>
          </w:p>
        </w:tc>
        <w:tc>
          <w:tcPr>
            <w:tcW w:w="1583" w:type="dxa"/>
            <w:vAlign w:val="center"/>
          </w:tcPr>
          <w:p>
            <w:pPr>
              <w:spacing w:line="360" w:lineRule="auto"/>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详见具体技术需求</w:t>
            </w:r>
          </w:p>
        </w:tc>
        <w:tc>
          <w:tcPr>
            <w:tcW w:w="956" w:type="dxa"/>
            <w:vAlign w:val="center"/>
          </w:tcPr>
          <w:p>
            <w:pPr>
              <w:spacing w:line="360" w:lineRule="auto"/>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p>
        </w:tc>
        <w:tc>
          <w:tcPr>
            <w:tcW w:w="991" w:type="dxa"/>
            <w:vAlign w:val="center"/>
          </w:tcPr>
          <w:p>
            <w:pPr>
              <w:spacing w:line="360" w:lineRule="auto"/>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项</w:t>
            </w:r>
          </w:p>
        </w:tc>
        <w:tc>
          <w:tcPr>
            <w:tcW w:w="1322" w:type="dxa"/>
            <w:vAlign w:val="center"/>
          </w:tcPr>
          <w:p>
            <w:pPr>
              <w:spacing w:line="360" w:lineRule="auto"/>
              <w:jc w:val="center"/>
              <w:rPr>
                <w:rFonts w:hint="default"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b/>
                <w:bCs/>
                <w:color w:val="auto"/>
                <w:sz w:val="24"/>
                <w:szCs w:val="24"/>
                <w:highlight w:val="none"/>
                <w:lang w:val="en-US" w:eastAsia="zh-CN"/>
              </w:rPr>
              <w:t>115.5</w:t>
            </w:r>
          </w:p>
        </w:tc>
        <w:tc>
          <w:tcPr>
            <w:tcW w:w="1468" w:type="dxa"/>
            <w:vAlign w:val="center"/>
          </w:tcPr>
          <w:p>
            <w:pPr>
              <w:autoSpaceDE w:val="0"/>
              <w:autoSpaceDN w:val="0"/>
              <w:adjustRightInd w:val="0"/>
              <w:spacing w:line="360" w:lineRule="auto"/>
              <w:jc w:val="center"/>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rPr>
              <w:t>一年</w:t>
            </w:r>
          </w:p>
        </w:tc>
      </w:tr>
    </w:tbl>
    <w:p>
      <w:pPr>
        <w:pStyle w:val="13"/>
        <w:autoSpaceDE w:val="0"/>
        <w:autoSpaceDN w:val="0"/>
        <w:adjustRightInd w:val="0"/>
        <w:spacing w:line="360" w:lineRule="auto"/>
        <w:ind w:firstLine="0"/>
        <w:rPr>
          <w:rFonts w:asciiTheme="minorEastAsia" w:hAnsiTheme="minorEastAsia" w:eastAsiaTheme="minorEastAsia"/>
          <w:color w:val="auto"/>
          <w:sz w:val="24"/>
          <w:szCs w:val="24"/>
          <w:highlight w:val="none"/>
        </w:rPr>
      </w:pPr>
    </w:p>
    <w:p>
      <w:pPr>
        <w:pStyle w:val="4"/>
        <w:keepNext w:val="0"/>
        <w:keepLines w:val="0"/>
        <w:numPr>
          <w:ilvl w:val="1"/>
          <w:numId w:val="0"/>
        </w:numPr>
        <w:spacing w:before="11" w:after="0" w:line="360" w:lineRule="auto"/>
        <w:jc w:val="left"/>
        <w:rPr>
          <w:rFonts w:hint="eastAsia" w:asciiTheme="minorEastAsia" w:hAnsiTheme="minorEastAsia" w:eastAsiaTheme="minorEastAsia"/>
          <w:color w:val="auto"/>
          <w:sz w:val="24"/>
          <w:szCs w:val="24"/>
          <w:highlight w:val="none"/>
          <w:lang w:val="en-US" w:eastAsia="zh-CN"/>
        </w:rPr>
      </w:pPr>
      <w:bookmarkStart w:id="1" w:name="_Toc11096"/>
      <w:bookmarkStart w:id="2" w:name="_Toc65768188"/>
      <w:bookmarkStart w:id="3" w:name="_Toc2395"/>
      <w:bookmarkStart w:id="4" w:name="_Toc11476"/>
      <w:r>
        <w:rPr>
          <w:rFonts w:hint="eastAsia" w:asciiTheme="minorEastAsia" w:hAnsiTheme="minorEastAsia" w:eastAsiaTheme="minorEastAsia"/>
          <w:color w:val="auto"/>
          <w:sz w:val="24"/>
          <w:szCs w:val="24"/>
          <w:highlight w:val="none"/>
        </w:rPr>
        <w:t>二、</w:t>
      </w:r>
      <w:bookmarkEnd w:id="1"/>
      <w:bookmarkEnd w:id="2"/>
      <w:r>
        <w:rPr>
          <w:rFonts w:hint="eastAsia" w:asciiTheme="minorEastAsia" w:hAnsiTheme="minorEastAsia" w:eastAsiaTheme="minorEastAsia"/>
          <w:color w:val="auto"/>
          <w:sz w:val="24"/>
          <w:szCs w:val="24"/>
          <w:highlight w:val="none"/>
        </w:rPr>
        <w:t>服务范围</w:t>
      </w:r>
      <w:r>
        <w:rPr>
          <w:rFonts w:hint="eastAsia" w:asciiTheme="minorEastAsia" w:hAnsiTheme="minorEastAsia" w:eastAsiaTheme="minorEastAsia"/>
          <w:color w:val="auto"/>
          <w:sz w:val="24"/>
          <w:szCs w:val="24"/>
          <w:highlight w:val="none"/>
          <w:lang w:eastAsia="zh-CN"/>
        </w:rPr>
        <w:t>及内容</w:t>
      </w:r>
    </w:p>
    <w:p>
      <w:pPr>
        <w:keepNext w:val="0"/>
        <w:keepLines w:val="0"/>
        <w:pageBreakBefore w:val="0"/>
        <w:widowControl w:val="0"/>
        <w:tabs>
          <w:tab w:val="left" w:pos="1080"/>
          <w:tab w:val="left" w:pos="1260"/>
        </w:tabs>
        <w:kinsoku/>
        <w:wordWrap/>
        <w:overflowPunct/>
        <w:topLinePunct w:val="0"/>
        <w:autoSpaceDE/>
        <w:autoSpaceDN/>
        <w:bidi w:val="0"/>
        <w:adjustRightInd/>
        <w:snapToGrid/>
        <w:spacing w:line="600" w:lineRule="exact"/>
        <w:ind w:right="0" w:rightChars="0"/>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1、服务内容：台州湾新区范围内建筑垃圾、装修垃圾、生活垃圾、园林垃圾、其他垃圾清运</w:t>
      </w:r>
      <w:r>
        <w:rPr>
          <w:rFonts w:hint="eastAsia" w:ascii="宋体" w:hAnsi="宋体"/>
          <w:color w:val="auto"/>
          <w:sz w:val="24"/>
          <w:szCs w:val="24"/>
          <w:highlight w:val="none"/>
          <w:lang w:val="en-US" w:eastAsia="zh-CN"/>
        </w:rPr>
        <w:t>处置</w:t>
      </w:r>
      <w:r>
        <w:rPr>
          <w:rFonts w:hint="eastAsia" w:ascii="宋体" w:hAnsi="宋体" w:eastAsia="宋体" w:cs="Times New Roman"/>
          <w:color w:val="auto"/>
          <w:sz w:val="24"/>
          <w:szCs w:val="24"/>
          <w:highlight w:val="none"/>
          <w:lang w:val="en-US" w:eastAsia="zh-CN"/>
        </w:rPr>
        <w:t>、打围墙、围挡、环境整治等，</w:t>
      </w:r>
      <w:r>
        <w:rPr>
          <w:rFonts w:hint="eastAsia" w:ascii="宋体" w:hAnsi="宋体" w:eastAsia="宋体" w:cs="Times New Roman"/>
          <w:b w:val="0"/>
          <w:bCs w:val="0"/>
          <w:color w:val="auto"/>
          <w:spacing w:val="0"/>
          <w:w w:val="100"/>
          <w:kern w:val="2"/>
          <w:sz w:val="24"/>
          <w:szCs w:val="24"/>
          <w:highlight w:val="none"/>
          <w:lang w:val="en-US" w:eastAsia="zh-CN" w:bidi="ar-SA"/>
        </w:rPr>
        <w:t>垃圾临时堆放场地</w:t>
      </w:r>
      <w:r>
        <w:rPr>
          <w:rFonts w:hint="eastAsia" w:ascii="宋体" w:hAnsi="宋体" w:cs="Times New Roman"/>
          <w:b w:val="0"/>
          <w:bCs w:val="0"/>
          <w:color w:val="auto"/>
          <w:spacing w:val="0"/>
          <w:w w:val="100"/>
          <w:kern w:val="2"/>
          <w:sz w:val="24"/>
          <w:szCs w:val="24"/>
          <w:highlight w:val="none"/>
          <w:lang w:val="en-US" w:eastAsia="zh-CN" w:bidi="ar-SA"/>
        </w:rPr>
        <w:t>由中标单位自行解决，须符合相关</w:t>
      </w:r>
      <w:r>
        <w:rPr>
          <w:rFonts w:hint="eastAsia" w:ascii="宋体" w:hAnsi="宋体" w:eastAsia="宋体" w:cs="Times New Roman"/>
          <w:b w:val="0"/>
          <w:bCs w:val="0"/>
          <w:color w:val="auto"/>
          <w:spacing w:val="0"/>
          <w:w w:val="100"/>
          <w:kern w:val="2"/>
          <w:sz w:val="24"/>
          <w:szCs w:val="24"/>
          <w:highlight w:val="none"/>
          <w:lang w:val="en-US" w:eastAsia="zh-CN" w:bidi="ar-SA"/>
        </w:rPr>
        <w:t>主管部门</w:t>
      </w:r>
      <w:r>
        <w:rPr>
          <w:rFonts w:hint="eastAsia" w:ascii="宋体" w:hAnsi="宋体" w:cs="Times New Roman"/>
          <w:b w:val="0"/>
          <w:bCs w:val="0"/>
          <w:color w:val="auto"/>
          <w:spacing w:val="0"/>
          <w:w w:val="100"/>
          <w:kern w:val="2"/>
          <w:sz w:val="24"/>
          <w:szCs w:val="24"/>
          <w:highlight w:val="none"/>
          <w:lang w:val="en-US" w:eastAsia="zh-CN" w:bidi="ar-SA"/>
        </w:rPr>
        <w:t>要求，由投标单位自行考虑</w:t>
      </w:r>
      <w:r>
        <w:rPr>
          <w:rFonts w:hint="eastAsia" w:ascii="宋体" w:hAnsi="宋体" w:eastAsia="宋体"/>
          <w:color w:val="auto"/>
          <w:sz w:val="24"/>
          <w:szCs w:val="24"/>
          <w:highlight w:val="none"/>
          <w:lang w:val="en-US" w:eastAsia="zh-CN"/>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color w:val="auto"/>
          <w:sz w:val="24"/>
          <w:szCs w:val="24"/>
          <w:highlight w:val="none"/>
          <w:lang w:val="en-US" w:eastAsia="zh-CN"/>
        </w:rPr>
        <w:t>2、项目地址</w:t>
      </w:r>
      <w:r>
        <w:rPr>
          <w:rFonts w:hint="eastAsia" w:ascii="宋体" w:hAnsi="宋体" w:eastAsia="宋体"/>
          <w:color w:val="auto"/>
          <w:sz w:val="24"/>
          <w:szCs w:val="24"/>
          <w:highlight w:val="none"/>
          <w:lang w:val="en-US" w:eastAsia="zh-CN"/>
        </w:rPr>
        <w:t>：台州湾新区范围内</w:t>
      </w:r>
    </w:p>
    <w:p>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服务</w:t>
      </w:r>
      <w:r>
        <w:rPr>
          <w:rFonts w:hint="eastAsia" w:ascii="宋体" w:hAnsi="宋体" w:eastAsia="宋体" w:cs="宋体"/>
          <w:b/>
          <w:bCs/>
          <w:color w:val="auto"/>
          <w:sz w:val="24"/>
          <w:szCs w:val="24"/>
          <w:highlight w:val="none"/>
          <w:lang w:eastAsia="zh-CN"/>
        </w:rPr>
        <w:t>期限</w:t>
      </w:r>
      <w:r>
        <w:rPr>
          <w:rFonts w:hint="eastAsia" w:ascii="宋体" w:hAnsi="宋体" w:eastAsia="宋体" w:cs="宋体"/>
          <w:b/>
          <w:bCs/>
          <w:color w:val="auto"/>
          <w:sz w:val="24"/>
          <w:szCs w:val="24"/>
          <w:highlight w:val="none"/>
        </w:rPr>
        <w:t>：1年</w:t>
      </w:r>
      <w:r>
        <w:rPr>
          <w:rFonts w:hint="eastAsia" w:ascii="宋体" w:hAnsi="宋体" w:eastAsia="宋体" w:cs="宋体"/>
          <w:b/>
          <w:bCs/>
          <w:color w:val="auto"/>
          <w:sz w:val="24"/>
          <w:szCs w:val="24"/>
          <w:highlight w:val="none"/>
          <w:lang w:eastAsia="zh-CN"/>
        </w:rPr>
        <w:t>，预算金额</w:t>
      </w:r>
      <w:r>
        <w:rPr>
          <w:rFonts w:hint="eastAsia" w:ascii="宋体" w:hAnsi="宋体" w:eastAsia="宋体" w:cs="宋体"/>
          <w:b/>
          <w:bCs/>
          <w:color w:val="auto"/>
          <w:sz w:val="24"/>
          <w:szCs w:val="24"/>
          <w:highlight w:val="none"/>
          <w:lang w:val="en-US" w:eastAsia="zh-CN"/>
        </w:rPr>
        <w:t>115.5万元，</w:t>
      </w:r>
      <w:r>
        <w:rPr>
          <w:rFonts w:hint="eastAsia" w:ascii="宋体" w:hAnsi="宋体" w:cs="宋体"/>
          <w:b/>
          <w:bCs/>
          <w:color w:val="auto"/>
          <w:sz w:val="24"/>
          <w:szCs w:val="24"/>
          <w:highlight w:val="none"/>
          <w:lang w:eastAsia="zh-CN"/>
        </w:rPr>
        <w:t xml:space="preserve">（供应商服务费用在合同期内进行按实结算，若结算价款满合同限额 </w:t>
      </w:r>
      <w:r>
        <w:rPr>
          <w:rFonts w:hint="eastAsia" w:ascii="宋体" w:hAnsi="宋体" w:cs="宋体"/>
          <w:b/>
          <w:bCs/>
          <w:color w:val="auto"/>
          <w:sz w:val="24"/>
          <w:szCs w:val="24"/>
          <w:highlight w:val="none"/>
          <w:lang w:val="en-US" w:eastAsia="zh-CN"/>
        </w:rPr>
        <w:t>115.5</w:t>
      </w:r>
      <w:r>
        <w:rPr>
          <w:rFonts w:hint="eastAsia" w:ascii="宋体" w:hAnsi="宋体" w:cs="宋体"/>
          <w:b/>
          <w:bCs/>
          <w:color w:val="auto"/>
          <w:sz w:val="24"/>
          <w:szCs w:val="24"/>
          <w:highlight w:val="none"/>
          <w:lang w:eastAsia="zh-CN"/>
        </w:rPr>
        <w:t>万元后则提前自动解除，服务期时间及合同价款结算金额两者以先达到为准）。</w:t>
      </w:r>
    </w:p>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服务地点：采购人指定地点</w:t>
      </w:r>
      <w:r>
        <w:rPr>
          <w:rFonts w:hint="eastAsia" w:ascii="宋体" w:hAnsi="宋体" w:eastAsia="宋体" w:cs="宋体"/>
          <w:color w:val="auto"/>
          <w:sz w:val="24"/>
          <w:szCs w:val="24"/>
          <w:highlight w:val="none"/>
          <w:lang w:eastAsia="zh-CN"/>
        </w:rPr>
        <w:t>，无特殊情况下采购人提早 1 天通知，投标人按时到场； 紧急情况下，接到采购人通知后投标人应 1 小时内响应到场</w:t>
      </w:r>
      <w:r>
        <w:rPr>
          <w:rFonts w:hint="eastAsia" w:ascii="宋体" w:hAnsi="宋体" w:eastAsia="宋体" w:cs="宋体"/>
          <w:color w:val="auto"/>
          <w:sz w:val="24"/>
          <w:szCs w:val="24"/>
          <w:highlight w:val="none"/>
        </w:rPr>
        <w:t>。该施工时间包括节假日在内（如结算价款满合同限额后则提前自动解除）</w:t>
      </w:r>
    </w:p>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承包人不能及时根据发包人要求按时提供人员、设备或未按发包人规定的时间完成的，发生一次扣罚 5000 元。超过三次以上，终止合同并没收履约保证金。</w:t>
      </w:r>
    </w:p>
    <w:p>
      <w:pPr>
        <w:widowControl/>
        <w:numPr>
          <w:ilvl w:val="0"/>
          <w:numId w:val="27"/>
        </w:numPr>
        <w:spacing w:line="360" w:lineRule="auto"/>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具体综合单价如下：</w:t>
      </w:r>
    </w:p>
    <w:p>
      <w:pPr>
        <w:widowControl/>
        <w:numPr>
          <w:ilvl w:val="0"/>
          <w:numId w:val="0"/>
        </w:numPr>
        <w:spacing w:line="360" w:lineRule="auto"/>
        <w:jc w:val="center"/>
        <w:rPr>
          <w:rFonts w:hint="eastAsia" w:ascii="宋体" w:hAnsi="宋体" w:eastAsia="宋体" w:cs="宋体"/>
          <w:b/>
          <w:bCs w:val="0"/>
          <w:color w:val="auto"/>
          <w:kern w:val="2"/>
          <w:sz w:val="24"/>
          <w:szCs w:val="24"/>
          <w:highlight w:val="none"/>
          <w:shd w:val="clear" w:color="auto" w:fill="auto"/>
          <w:lang w:val="en-US" w:eastAsia="zh-CN" w:bidi="ar-SA"/>
        </w:rPr>
      </w:pPr>
      <w:r>
        <w:rPr>
          <w:rFonts w:hint="eastAsia" w:ascii="宋体" w:hAnsi="宋体" w:cs="宋体"/>
          <w:b/>
          <w:bCs w:val="0"/>
          <w:color w:val="auto"/>
          <w:sz w:val="24"/>
          <w:szCs w:val="24"/>
          <w:highlight w:val="none"/>
          <w:lang w:eastAsia="zh-CN"/>
        </w:rPr>
        <w:t>《台州湾新区202</w:t>
      </w:r>
      <w:r>
        <w:rPr>
          <w:rFonts w:hint="eastAsia" w:ascii="宋体" w:hAnsi="宋体" w:cs="宋体"/>
          <w:b/>
          <w:bCs w:val="0"/>
          <w:color w:val="auto"/>
          <w:sz w:val="24"/>
          <w:szCs w:val="24"/>
          <w:highlight w:val="none"/>
          <w:lang w:val="en-US" w:eastAsia="zh-CN"/>
        </w:rPr>
        <w:t>2</w:t>
      </w:r>
      <w:r>
        <w:rPr>
          <w:rFonts w:hint="eastAsia" w:ascii="宋体" w:hAnsi="宋体" w:cs="宋体"/>
          <w:b/>
          <w:bCs w:val="0"/>
          <w:color w:val="auto"/>
          <w:sz w:val="24"/>
          <w:szCs w:val="24"/>
          <w:highlight w:val="none"/>
          <w:lang w:eastAsia="zh-CN"/>
        </w:rPr>
        <w:t>年垃圾处置清理及环境整治工程人工、零星机械单价表》</w:t>
      </w:r>
    </w:p>
    <w:p>
      <w:pPr>
        <w:pStyle w:val="53"/>
        <w:rPr>
          <w:rFonts w:hint="default"/>
          <w:color w:val="auto"/>
          <w:sz w:val="24"/>
          <w:szCs w:val="24"/>
          <w:highlight w:val="none"/>
          <w:lang w:val="en-US" w:eastAsia="zh-CN"/>
        </w:rPr>
      </w:pPr>
    </w:p>
    <w:tbl>
      <w:tblPr>
        <w:tblStyle w:val="43"/>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079"/>
        <w:gridCol w:w="3212"/>
        <w:gridCol w:w="1860"/>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blHeader/>
          <w:jc w:val="center"/>
        </w:trPr>
        <w:tc>
          <w:tcPr>
            <w:tcW w:w="550" w:type="dxa"/>
            <w:noWrap w:val="0"/>
            <w:vAlign w:val="center"/>
          </w:tcPr>
          <w:p>
            <w:pPr>
              <w:spacing w:line="360" w:lineRule="exact"/>
              <w:jc w:val="center"/>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编号</w:t>
            </w:r>
          </w:p>
        </w:tc>
        <w:tc>
          <w:tcPr>
            <w:tcW w:w="1079" w:type="dxa"/>
            <w:noWrap w:val="0"/>
            <w:vAlign w:val="center"/>
          </w:tcPr>
          <w:p>
            <w:pPr>
              <w:spacing w:line="360" w:lineRule="exact"/>
              <w:jc w:val="center"/>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设备类别</w:t>
            </w:r>
          </w:p>
        </w:tc>
        <w:tc>
          <w:tcPr>
            <w:tcW w:w="3212" w:type="dxa"/>
            <w:noWrap w:val="0"/>
            <w:vAlign w:val="center"/>
          </w:tcPr>
          <w:p>
            <w:pPr>
              <w:spacing w:line="360" w:lineRule="exact"/>
              <w:jc w:val="center"/>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型号</w:t>
            </w:r>
          </w:p>
        </w:tc>
        <w:tc>
          <w:tcPr>
            <w:tcW w:w="1860" w:type="dxa"/>
            <w:noWrap w:val="0"/>
            <w:vAlign w:val="center"/>
          </w:tcPr>
          <w:p>
            <w:pPr>
              <w:spacing w:line="360" w:lineRule="exact"/>
              <w:jc w:val="center"/>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综合单价（元/台班）</w:t>
            </w:r>
          </w:p>
        </w:tc>
        <w:tc>
          <w:tcPr>
            <w:tcW w:w="2236" w:type="dxa"/>
            <w:noWrap w:val="0"/>
            <w:vAlign w:val="center"/>
          </w:tcPr>
          <w:p>
            <w:pPr>
              <w:spacing w:line="360" w:lineRule="exact"/>
              <w:jc w:val="center"/>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dxa"/>
            <w:vMerge w:val="restart"/>
            <w:noWrap w:val="0"/>
            <w:vAlign w:val="center"/>
          </w:tcPr>
          <w:p>
            <w:pPr>
              <w:spacing w:line="600" w:lineRule="exact"/>
              <w:jc w:val="left"/>
              <w:rPr>
                <w:rFonts w:hint="eastAsia" w:ascii="仿宋_GB2312" w:hAnsi="新宋体" w:eastAsia="仿宋_GB2312" w:cs="Arial"/>
                <w:color w:val="auto"/>
                <w:sz w:val="21"/>
                <w:szCs w:val="21"/>
                <w:highlight w:val="none"/>
              </w:rPr>
            </w:pPr>
            <w:r>
              <w:rPr>
                <w:rFonts w:hint="eastAsia" w:ascii="仿宋_GB2312" w:hAnsi="新宋体" w:eastAsia="仿宋_GB2312" w:cs="Arial"/>
                <w:color w:val="auto"/>
                <w:sz w:val="21"/>
                <w:szCs w:val="21"/>
                <w:highlight w:val="none"/>
              </w:rPr>
              <w:t>1</w:t>
            </w:r>
          </w:p>
        </w:tc>
        <w:tc>
          <w:tcPr>
            <w:tcW w:w="1079" w:type="dxa"/>
            <w:vMerge w:val="restart"/>
            <w:noWrap w:val="0"/>
            <w:vAlign w:val="center"/>
          </w:tcPr>
          <w:p>
            <w:pPr>
              <w:jc w:val="left"/>
              <w:rPr>
                <w:rFonts w:ascii="宋体" w:hAnsi="宋体" w:cs="宋体"/>
                <w:color w:val="auto"/>
                <w:sz w:val="21"/>
                <w:szCs w:val="21"/>
                <w:highlight w:val="none"/>
              </w:rPr>
            </w:pPr>
            <w:r>
              <w:rPr>
                <w:rFonts w:hint="eastAsia"/>
                <w:color w:val="auto"/>
                <w:sz w:val="21"/>
                <w:szCs w:val="21"/>
                <w:highlight w:val="none"/>
              </w:rPr>
              <w:t>汽车类</w:t>
            </w:r>
          </w:p>
        </w:tc>
        <w:tc>
          <w:tcPr>
            <w:tcW w:w="3212" w:type="dxa"/>
            <w:noWrap w:val="0"/>
            <w:vAlign w:val="center"/>
          </w:tcPr>
          <w:p>
            <w:pPr>
              <w:jc w:val="left"/>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小四轮工具车</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400</w:t>
            </w:r>
          </w:p>
        </w:tc>
        <w:tc>
          <w:tcPr>
            <w:tcW w:w="2236" w:type="dxa"/>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dxa"/>
            <w:vMerge w:val="continue"/>
            <w:noWrap w:val="0"/>
            <w:vAlign w:val="center"/>
          </w:tcPr>
          <w:p>
            <w:pPr>
              <w:spacing w:line="600" w:lineRule="exact"/>
              <w:jc w:val="left"/>
              <w:rPr>
                <w:rFonts w:hint="eastAsia" w:ascii="仿宋_GB2312" w:hAnsi="新宋体" w:eastAsia="仿宋_GB2312" w:cs="Arial"/>
                <w:color w:val="auto"/>
                <w:sz w:val="21"/>
                <w:szCs w:val="21"/>
                <w:highlight w:val="none"/>
              </w:rPr>
            </w:pPr>
          </w:p>
        </w:tc>
        <w:tc>
          <w:tcPr>
            <w:tcW w:w="1079" w:type="dxa"/>
            <w:vMerge w:val="continue"/>
            <w:noWrap w:val="0"/>
            <w:vAlign w:val="center"/>
          </w:tcPr>
          <w:p>
            <w:pPr>
              <w:jc w:val="left"/>
              <w:rPr>
                <w:rFonts w:hint="eastAsia" w:ascii="仿宋_GB2312" w:hAnsi="新宋体" w:eastAsia="仿宋_GB2312"/>
                <w:color w:val="auto"/>
                <w:sz w:val="21"/>
                <w:szCs w:val="21"/>
                <w:highlight w:val="none"/>
              </w:rPr>
            </w:pPr>
          </w:p>
        </w:tc>
        <w:tc>
          <w:tcPr>
            <w:tcW w:w="3212"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1.5吨自卸运输车</w:t>
            </w:r>
            <w:r>
              <w:rPr>
                <w:rFonts w:hint="eastAsia"/>
                <w:color w:val="auto"/>
                <w:sz w:val="21"/>
                <w:szCs w:val="21"/>
                <w:highlight w:val="none"/>
                <w:lang w:eastAsia="zh-CN"/>
              </w:rPr>
              <w:t>（</w:t>
            </w:r>
            <w:r>
              <w:rPr>
                <w:rFonts w:hint="eastAsia"/>
                <w:color w:val="auto"/>
                <w:sz w:val="21"/>
                <w:szCs w:val="21"/>
                <w:highlight w:val="none"/>
                <w:lang w:val="en-US" w:eastAsia="zh-CN"/>
              </w:rPr>
              <w:t>6轮）</w:t>
            </w:r>
            <w:r>
              <w:rPr>
                <w:rFonts w:hint="eastAsia"/>
                <w:color w:val="auto"/>
                <w:sz w:val="21"/>
                <w:szCs w:val="21"/>
                <w:highlight w:val="none"/>
                <w:lang w:eastAsia="zh-CN"/>
              </w:rPr>
              <w:t>）</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950</w:t>
            </w:r>
          </w:p>
        </w:tc>
        <w:tc>
          <w:tcPr>
            <w:tcW w:w="2236" w:type="dxa"/>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79" w:type="dxa"/>
            <w:vMerge w:val="continue"/>
            <w:noWrap w:val="0"/>
            <w:vAlign w:val="center"/>
          </w:tcPr>
          <w:p>
            <w:pPr>
              <w:jc w:val="left"/>
              <w:rPr>
                <w:rFonts w:hint="eastAsia" w:ascii="仿宋_GB2312" w:hAnsi="新宋体" w:eastAsia="仿宋_GB2312"/>
                <w:color w:val="auto"/>
                <w:sz w:val="21"/>
                <w:szCs w:val="21"/>
                <w:highlight w:val="none"/>
              </w:rPr>
            </w:pPr>
          </w:p>
        </w:tc>
        <w:tc>
          <w:tcPr>
            <w:tcW w:w="3212"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2吨轻型卡车</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800</w:t>
            </w:r>
          </w:p>
        </w:tc>
        <w:tc>
          <w:tcPr>
            <w:tcW w:w="2236" w:type="dxa"/>
            <w:noWrap w:val="0"/>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79" w:type="dxa"/>
            <w:vMerge w:val="continue"/>
            <w:noWrap w:val="0"/>
            <w:vAlign w:val="center"/>
          </w:tcPr>
          <w:p>
            <w:pPr>
              <w:jc w:val="left"/>
              <w:rPr>
                <w:rFonts w:hint="eastAsia" w:ascii="仿宋_GB2312" w:hAnsi="新宋体" w:eastAsia="仿宋_GB2312"/>
                <w:color w:val="auto"/>
                <w:sz w:val="21"/>
                <w:szCs w:val="21"/>
                <w:highlight w:val="none"/>
              </w:rPr>
            </w:pPr>
          </w:p>
        </w:tc>
        <w:tc>
          <w:tcPr>
            <w:tcW w:w="3212"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10吨货车</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1800</w:t>
            </w:r>
          </w:p>
        </w:tc>
        <w:tc>
          <w:tcPr>
            <w:tcW w:w="2236" w:type="dxa"/>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79" w:type="dxa"/>
            <w:vMerge w:val="continue"/>
            <w:noWrap w:val="0"/>
            <w:vAlign w:val="center"/>
          </w:tcPr>
          <w:p>
            <w:pPr>
              <w:jc w:val="left"/>
              <w:rPr>
                <w:rFonts w:hint="eastAsia" w:ascii="仿宋_GB2312" w:hAnsi="新宋体" w:eastAsia="仿宋_GB2312"/>
                <w:color w:val="auto"/>
                <w:sz w:val="21"/>
                <w:szCs w:val="21"/>
                <w:highlight w:val="none"/>
              </w:rPr>
            </w:pPr>
          </w:p>
        </w:tc>
        <w:tc>
          <w:tcPr>
            <w:tcW w:w="3212"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十通自卸车</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1300</w:t>
            </w:r>
          </w:p>
        </w:tc>
        <w:tc>
          <w:tcPr>
            <w:tcW w:w="2236" w:type="dxa"/>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79" w:type="dxa"/>
            <w:vMerge w:val="continue"/>
            <w:noWrap w:val="0"/>
            <w:vAlign w:val="center"/>
          </w:tcPr>
          <w:p>
            <w:pPr>
              <w:jc w:val="left"/>
              <w:rPr>
                <w:rFonts w:hint="eastAsia" w:ascii="仿宋_GB2312" w:hAnsi="新宋体" w:eastAsia="仿宋_GB2312"/>
                <w:color w:val="auto"/>
                <w:sz w:val="21"/>
                <w:szCs w:val="21"/>
                <w:highlight w:val="none"/>
              </w:rPr>
            </w:pPr>
          </w:p>
        </w:tc>
        <w:tc>
          <w:tcPr>
            <w:tcW w:w="3212" w:type="dxa"/>
            <w:noWrap w:val="0"/>
            <w:vAlign w:val="center"/>
          </w:tcPr>
          <w:p>
            <w:pPr>
              <w:jc w:val="left"/>
              <w:rPr>
                <w:rFonts w:hint="eastAsia"/>
                <w:color w:val="auto"/>
                <w:sz w:val="21"/>
                <w:szCs w:val="21"/>
                <w:highlight w:val="none"/>
              </w:rPr>
            </w:pPr>
            <w:r>
              <w:rPr>
                <w:rFonts w:hint="eastAsia"/>
                <w:color w:val="auto"/>
                <w:sz w:val="21"/>
                <w:szCs w:val="21"/>
                <w:highlight w:val="none"/>
              </w:rPr>
              <w:t>前四后八双桥自卸车</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2380</w:t>
            </w:r>
          </w:p>
        </w:tc>
        <w:tc>
          <w:tcPr>
            <w:tcW w:w="2236" w:type="dxa"/>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79" w:type="dxa"/>
            <w:vMerge w:val="continue"/>
            <w:noWrap w:val="0"/>
            <w:vAlign w:val="center"/>
          </w:tcPr>
          <w:p>
            <w:pPr>
              <w:jc w:val="left"/>
              <w:rPr>
                <w:rFonts w:ascii="宋体" w:hAnsi="宋体" w:cs="宋体"/>
                <w:color w:val="auto"/>
                <w:sz w:val="21"/>
                <w:szCs w:val="21"/>
                <w:highlight w:val="none"/>
              </w:rPr>
            </w:pPr>
          </w:p>
        </w:tc>
        <w:tc>
          <w:tcPr>
            <w:tcW w:w="3212"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15吨货车（车厢长9.6米）</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2350</w:t>
            </w:r>
          </w:p>
        </w:tc>
        <w:tc>
          <w:tcPr>
            <w:tcW w:w="2236" w:type="dxa"/>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50" w:type="dxa"/>
            <w:vMerge w:val="restart"/>
            <w:noWrap w:val="0"/>
            <w:vAlign w:val="center"/>
          </w:tcPr>
          <w:p>
            <w:pPr>
              <w:spacing w:line="600" w:lineRule="exact"/>
              <w:jc w:val="left"/>
              <w:rPr>
                <w:rFonts w:hint="eastAsia" w:ascii="仿宋_GB2312" w:hAnsi="新宋体" w:eastAsia="仿宋_GB2312" w:cs="Arial"/>
                <w:color w:val="auto"/>
                <w:sz w:val="21"/>
                <w:szCs w:val="21"/>
                <w:highlight w:val="none"/>
              </w:rPr>
            </w:pPr>
            <w:r>
              <w:rPr>
                <w:rFonts w:hint="eastAsia" w:ascii="仿宋_GB2312" w:hAnsi="新宋体" w:eastAsia="仿宋_GB2312" w:cs="Arial"/>
                <w:color w:val="auto"/>
                <w:sz w:val="21"/>
                <w:szCs w:val="21"/>
                <w:highlight w:val="none"/>
              </w:rPr>
              <w:t>2</w:t>
            </w:r>
          </w:p>
        </w:tc>
        <w:tc>
          <w:tcPr>
            <w:tcW w:w="1079" w:type="dxa"/>
            <w:vMerge w:val="restart"/>
            <w:noWrap w:val="0"/>
            <w:vAlign w:val="center"/>
          </w:tcPr>
          <w:p>
            <w:pPr>
              <w:jc w:val="left"/>
              <w:rPr>
                <w:rFonts w:hint="eastAsia" w:ascii="仿宋_GB2312" w:hAnsi="新宋体" w:eastAsia="仿宋_GB2312"/>
                <w:color w:val="auto"/>
                <w:sz w:val="21"/>
                <w:szCs w:val="21"/>
                <w:highlight w:val="none"/>
              </w:rPr>
            </w:pPr>
            <w:r>
              <w:rPr>
                <w:rFonts w:hint="eastAsia"/>
                <w:color w:val="auto"/>
                <w:sz w:val="21"/>
                <w:szCs w:val="21"/>
                <w:highlight w:val="none"/>
              </w:rPr>
              <w:t>挖机类</w:t>
            </w:r>
          </w:p>
        </w:tc>
        <w:tc>
          <w:tcPr>
            <w:tcW w:w="3212"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60型履带式液压单斗挖掘机</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1400</w:t>
            </w:r>
          </w:p>
        </w:tc>
        <w:tc>
          <w:tcPr>
            <w:tcW w:w="2236" w:type="dxa"/>
            <w:noWrap w:val="0"/>
            <w:vAlign w:val="center"/>
          </w:tcPr>
          <w:p>
            <w:pPr>
              <w:jc w:val="left"/>
              <w:rPr>
                <w:rFonts w:hint="eastAsia"/>
                <w:color w:val="auto"/>
                <w:sz w:val="21"/>
                <w:szCs w:val="21"/>
                <w:highlight w:val="none"/>
              </w:rPr>
            </w:pPr>
            <w:r>
              <w:rPr>
                <w:rFonts w:hint="eastAsia"/>
                <w:color w:val="auto"/>
                <w:sz w:val="21"/>
                <w:szCs w:val="21"/>
                <w:highlight w:val="none"/>
              </w:rPr>
              <w:t>进出场费按400元/次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79" w:type="dxa"/>
            <w:vMerge w:val="continue"/>
            <w:noWrap w:val="0"/>
            <w:vAlign w:val="center"/>
          </w:tcPr>
          <w:p>
            <w:pPr>
              <w:jc w:val="left"/>
              <w:rPr>
                <w:rFonts w:hint="eastAsia" w:ascii="仿宋_GB2312" w:hAnsi="新宋体" w:eastAsia="仿宋_GB2312"/>
                <w:color w:val="auto"/>
                <w:sz w:val="21"/>
                <w:szCs w:val="21"/>
                <w:highlight w:val="none"/>
              </w:rPr>
            </w:pPr>
          </w:p>
        </w:tc>
        <w:tc>
          <w:tcPr>
            <w:tcW w:w="3212"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轮胎式液压单斗挖掘机</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1550</w:t>
            </w:r>
          </w:p>
        </w:tc>
        <w:tc>
          <w:tcPr>
            <w:tcW w:w="2236" w:type="dxa"/>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50"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79" w:type="dxa"/>
            <w:vMerge w:val="continue"/>
            <w:noWrap w:val="0"/>
            <w:vAlign w:val="center"/>
          </w:tcPr>
          <w:p>
            <w:pPr>
              <w:jc w:val="left"/>
              <w:rPr>
                <w:rFonts w:hint="eastAsia" w:ascii="仿宋_GB2312" w:hAnsi="新宋体" w:eastAsia="仿宋_GB2312"/>
                <w:color w:val="auto"/>
                <w:sz w:val="21"/>
                <w:szCs w:val="21"/>
                <w:highlight w:val="none"/>
              </w:rPr>
            </w:pPr>
          </w:p>
        </w:tc>
        <w:tc>
          <w:tcPr>
            <w:tcW w:w="3212"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120型履带式液压单斗挖掘机</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1800</w:t>
            </w:r>
          </w:p>
        </w:tc>
        <w:tc>
          <w:tcPr>
            <w:tcW w:w="2236" w:type="dxa"/>
            <w:noWrap w:val="0"/>
            <w:vAlign w:val="center"/>
          </w:tcPr>
          <w:p>
            <w:pPr>
              <w:jc w:val="left"/>
              <w:rPr>
                <w:rFonts w:hint="eastAsia"/>
                <w:color w:val="auto"/>
                <w:sz w:val="21"/>
                <w:szCs w:val="21"/>
                <w:highlight w:val="none"/>
              </w:rPr>
            </w:pPr>
            <w:r>
              <w:rPr>
                <w:rFonts w:hint="eastAsia"/>
                <w:color w:val="auto"/>
                <w:sz w:val="21"/>
                <w:szCs w:val="21"/>
                <w:highlight w:val="none"/>
              </w:rPr>
              <w:t>进出场费按400元/次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50"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79" w:type="dxa"/>
            <w:vMerge w:val="continue"/>
            <w:noWrap w:val="0"/>
            <w:vAlign w:val="center"/>
          </w:tcPr>
          <w:p>
            <w:pPr>
              <w:jc w:val="left"/>
              <w:rPr>
                <w:rFonts w:hint="eastAsia" w:ascii="仿宋_GB2312" w:hAnsi="新宋体" w:eastAsia="仿宋_GB2312"/>
                <w:color w:val="auto"/>
                <w:sz w:val="21"/>
                <w:szCs w:val="21"/>
                <w:highlight w:val="none"/>
              </w:rPr>
            </w:pPr>
          </w:p>
        </w:tc>
        <w:tc>
          <w:tcPr>
            <w:tcW w:w="3212"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200型履带式液压单斗挖掘机</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2500</w:t>
            </w:r>
          </w:p>
        </w:tc>
        <w:tc>
          <w:tcPr>
            <w:tcW w:w="2236" w:type="dxa"/>
            <w:noWrap w:val="0"/>
            <w:vAlign w:val="center"/>
          </w:tcPr>
          <w:p>
            <w:pPr>
              <w:jc w:val="left"/>
              <w:rPr>
                <w:rFonts w:hint="eastAsia"/>
                <w:color w:val="auto"/>
                <w:sz w:val="21"/>
                <w:szCs w:val="21"/>
                <w:highlight w:val="none"/>
              </w:rPr>
            </w:pPr>
            <w:r>
              <w:rPr>
                <w:rFonts w:hint="eastAsia"/>
                <w:color w:val="auto"/>
                <w:sz w:val="21"/>
                <w:szCs w:val="21"/>
                <w:highlight w:val="none"/>
              </w:rPr>
              <w:t>进出场费按400元/次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50"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79" w:type="dxa"/>
            <w:vMerge w:val="continue"/>
            <w:noWrap w:val="0"/>
            <w:vAlign w:val="center"/>
          </w:tcPr>
          <w:p>
            <w:pPr>
              <w:jc w:val="left"/>
              <w:rPr>
                <w:rFonts w:hint="eastAsia" w:ascii="仿宋_GB2312" w:hAnsi="新宋体" w:eastAsia="仿宋_GB2312"/>
                <w:color w:val="auto"/>
                <w:sz w:val="21"/>
                <w:szCs w:val="21"/>
                <w:highlight w:val="none"/>
              </w:rPr>
            </w:pPr>
          </w:p>
        </w:tc>
        <w:tc>
          <w:tcPr>
            <w:tcW w:w="3212" w:type="dxa"/>
            <w:noWrap w:val="0"/>
            <w:vAlign w:val="center"/>
          </w:tcPr>
          <w:p>
            <w:pPr>
              <w:jc w:val="left"/>
              <w:rPr>
                <w:rFonts w:hint="eastAsia"/>
                <w:color w:val="auto"/>
                <w:sz w:val="21"/>
                <w:szCs w:val="21"/>
                <w:highlight w:val="none"/>
              </w:rPr>
            </w:pPr>
            <w:r>
              <w:rPr>
                <w:rFonts w:hint="eastAsia"/>
                <w:color w:val="auto"/>
                <w:sz w:val="21"/>
                <w:szCs w:val="21"/>
                <w:highlight w:val="none"/>
              </w:rPr>
              <w:t>220型履带式液压单斗挖掘机</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2500</w:t>
            </w:r>
          </w:p>
        </w:tc>
        <w:tc>
          <w:tcPr>
            <w:tcW w:w="2236" w:type="dxa"/>
            <w:noWrap w:val="0"/>
            <w:vAlign w:val="center"/>
          </w:tcPr>
          <w:p>
            <w:pPr>
              <w:jc w:val="left"/>
              <w:rPr>
                <w:rFonts w:hint="eastAsia"/>
                <w:color w:val="auto"/>
                <w:sz w:val="21"/>
                <w:szCs w:val="21"/>
                <w:highlight w:val="none"/>
              </w:rPr>
            </w:pPr>
            <w:r>
              <w:rPr>
                <w:rFonts w:hint="eastAsia"/>
                <w:color w:val="auto"/>
                <w:sz w:val="21"/>
                <w:szCs w:val="21"/>
                <w:highlight w:val="none"/>
              </w:rPr>
              <w:t>进出场费按400元/次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50"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79" w:type="dxa"/>
            <w:vMerge w:val="continue"/>
            <w:noWrap w:val="0"/>
            <w:vAlign w:val="center"/>
          </w:tcPr>
          <w:p>
            <w:pPr>
              <w:jc w:val="left"/>
              <w:rPr>
                <w:rFonts w:hint="eastAsia" w:ascii="仿宋_GB2312" w:hAnsi="新宋体" w:eastAsia="仿宋_GB2312"/>
                <w:color w:val="auto"/>
                <w:sz w:val="21"/>
                <w:szCs w:val="21"/>
                <w:highlight w:val="none"/>
              </w:rPr>
            </w:pPr>
          </w:p>
        </w:tc>
        <w:tc>
          <w:tcPr>
            <w:tcW w:w="3212"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300型履带式液压单斗挖掘机</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4500</w:t>
            </w:r>
          </w:p>
        </w:tc>
        <w:tc>
          <w:tcPr>
            <w:tcW w:w="2236"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进出场费按400元/次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79" w:type="dxa"/>
            <w:vMerge w:val="continue"/>
            <w:noWrap w:val="0"/>
            <w:vAlign w:val="center"/>
          </w:tcPr>
          <w:p>
            <w:pPr>
              <w:jc w:val="left"/>
              <w:rPr>
                <w:rFonts w:hint="eastAsia" w:ascii="仿宋_GB2312" w:hAnsi="新宋体" w:eastAsia="仿宋_GB2312"/>
                <w:color w:val="auto"/>
                <w:sz w:val="21"/>
                <w:szCs w:val="21"/>
                <w:highlight w:val="none"/>
              </w:rPr>
            </w:pPr>
          </w:p>
        </w:tc>
        <w:tc>
          <w:tcPr>
            <w:tcW w:w="3212" w:type="dxa"/>
            <w:noWrap w:val="0"/>
            <w:vAlign w:val="center"/>
          </w:tcPr>
          <w:p>
            <w:pPr>
              <w:jc w:val="left"/>
              <w:rPr>
                <w:rFonts w:hint="eastAsia"/>
                <w:color w:val="auto"/>
                <w:sz w:val="21"/>
                <w:szCs w:val="21"/>
                <w:highlight w:val="none"/>
              </w:rPr>
            </w:pPr>
            <w:r>
              <w:rPr>
                <w:rFonts w:hint="eastAsia"/>
                <w:color w:val="auto"/>
                <w:sz w:val="21"/>
                <w:szCs w:val="21"/>
                <w:highlight w:val="none"/>
              </w:rPr>
              <w:t>60型轮胎式液压单斗破碎机</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1700</w:t>
            </w:r>
          </w:p>
        </w:tc>
        <w:tc>
          <w:tcPr>
            <w:tcW w:w="2236" w:type="dxa"/>
            <w:noWrap w:val="0"/>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50"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79" w:type="dxa"/>
            <w:vMerge w:val="continue"/>
            <w:noWrap w:val="0"/>
            <w:vAlign w:val="center"/>
          </w:tcPr>
          <w:p>
            <w:pPr>
              <w:jc w:val="left"/>
              <w:rPr>
                <w:rFonts w:hint="eastAsia" w:ascii="仿宋_GB2312" w:hAnsi="新宋体" w:eastAsia="仿宋_GB2312"/>
                <w:color w:val="auto"/>
                <w:sz w:val="21"/>
                <w:szCs w:val="21"/>
                <w:highlight w:val="none"/>
              </w:rPr>
            </w:pPr>
          </w:p>
        </w:tc>
        <w:tc>
          <w:tcPr>
            <w:tcW w:w="3212"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120型液压单斗破碎机</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2500</w:t>
            </w:r>
          </w:p>
        </w:tc>
        <w:tc>
          <w:tcPr>
            <w:tcW w:w="2236"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进出场费按400元/次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50"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79" w:type="dxa"/>
            <w:vMerge w:val="continue"/>
            <w:noWrap w:val="0"/>
            <w:vAlign w:val="center"/>
          </w:tcPr>
          <w:p>
            <w:pPr>
              <w:jc w:val="left"/>
              <w:rPr>
                <w:rFonts w:hint="eastAsia" w:ascii="仿宋_GB2312" w:hAnsi="新宋体" w:eastAsia="仿宋_GB2312"/>
                <w:color w:val="auto"/>
                <w:sz w:val="21"/>
                <w:szCs w:val="21"/>
                <w:highlight w:val="none"/>
              </w:rPr>
            </w:pPr>
          </w:p>
        </w:tc>
        <w:tc>
          <w:tcPr>
            <w:tcW w:w="3212" w:type="dxa"/>
            <w:noWrap w:val="0"/>
            <w:vAlign w:val="center"/>
          </w:tcPr>
          <w:p>
            <w:pPr>
              <w:jc w:val="left"/>
              <w:rPr>
                <w:rFonts w:hint="eastAsia"/>
                <w:color w:val="auto"/>
                <w:sz w:val="21"/>
                <w:szCs w:val="21"/>
                <w:highlight w:val="none"/>
              </w:rPr>
            </w:pPr>
            <w:r>
              <w:rPr>
                <w:rFonts w:hint="eastAsia"/>
                <w:color w:val="auto"/>
                <w:sz w:val="21"/>
                <w:szCs w:val="21"/>
                <w:highlight w:val="none"/>
              </w:rPr>
              <w:t>200型液压单斗破碎机</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3600</w:t>
            </w:r>
          </w:p>
        </w:tc>
        <w:tc>
          <w:tcPr>
            <w:tcW w:w="2236" w:type="dxa"/>
            <w:noWrap w:val="0"/>
            <w:vAlign w:val="center"/>
          </w:tcPr>
          <w:p>
            <w:pPr>
              <w:jc w:val="left"/>
              <w:rPr>
                <w:rFonts w:hint="eastAsia"/>
                <w:color w:val="auto"/>
                <w:sz w:val="21"/>
                <w:szCs w:val="21"/>
                <w:highlight w:val="none"/>
              </w:rPr>
            </w:pPr>
            <w:r>
              <w:rPr>
                <w:rFonts w:hint="eastAsia"/>
                <w:color w:val="auto"/>
                <w:sz w:val="21"/>
                <w:szCs w:val="21"/>
                <w:highlight w:val="none"/>
              </w:rPr>
              <w:t>进出场费按400元/次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50"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79" w:type="dxa"/>
            <w:vMerge w:val="continue"/>
            <w:noWrap w:val="0"/>
            <w:vAlign w:val="center"/>
          </w:tcPr>
          <w:p>
            <w:pPr>
              <w:jc w:val="left"/>
              <w:rPr>
                <w:rFonts w:hint="eastAsia" w:ascii="仿宋_GB2312" w:hAnsi="新宋体" w:eastAsia="仿宋_GB2312"/>
                <w:color w:val="auto"/>
                <w:sz w:val="21"/>
                <w:szCs w:val="21"/>
                <w:highlight w:val="none"/>
              </w:rPr>
            </w:pPr>
          </w:p>
        </w:tc>
        <w:tc>
          <w:tcPr>
            <w:tcW w:w="3212" w:type="dxa"/>
            <w:noWrap w:val="0"/>
            <w:vAlign w:val="center"/>
          </w:tcPr>
          <w:p>
            <w:pPr>
              <w:jc w:val="left"/>
              <w:rPr>
                <w:rFonts w:hint="eastAsia"/>
                <w:color w:val="auto"/>
                <w:sz w:val="21"/>
                <w:szCs w:val="21"/>
                <w:highlight w:val="none"/>
              </w:rPr>
            </w:pPr>
            <w:r>
              <w:rPr>
                <w:rFonts w:hint="eastAsia"/>
                <w:color w:val="auto"/>
                <w:sz w:val="21"/>
                <w:szCs w:val="21"/>
                <w:highlight w:val="none"/>
              </w:rPr>
              <w:t>长臂挖机</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4500</w:t>
            </w:r>
          </w:p>
        </w:tc>
        <w:tc>
          <w:tcPr>
            <w:tcW w:w="2236" w:type="dxa"/>
            <w:noWrap w:val="0"/>
            <w:vAlign w:val="center"/>
          </w:tcPr>
          <w:p>
            <w:pPr>
              <w:jc w:val="left"/>
              <w:rPr>
                <w:rFonts w:hint="eastAsia"/>
                <w:color w:val="auto"/>
                <w:sz w:val="21"/>
                <w:szCs w:val="21"/>
                <w:highlight w:val="none"/>
              </w:rPr>
            </w:pPr>
            <w:r>
              <w:rPr>
                <w:rFonts w:hint="eastAsia"/>
                <w:color w:val="auto"/>
                <w:sz w:val="21"/>
                <w:szCs w:val="21"/>
                <w:highlight w:val="none"/>
              </w:rPr>
              <w:t>进出场费按400元/次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50"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79" w:type="dxa"/>
            <w:vMerge w:val="continue"/>
            <w:noWrap w:val="0"/>
            <w:vAlign w:val="center"/>
          </w:tcPr>
          <w:p>
            <w:pPr>
              <w:jc w:val="left"/>
              <w:rPr>
                <w:rFonts w:hint="eastAsia" w:ascii="仿宋_GB2312" w:hAnsi="新宋体" w:eastAsia="仿宋_GB2312"/>
                <w:color w:val="auto"/>
                <w:sz w:val="21"/>
                <w:szCs w:val="21"/>
                <w:highlight w:val="none"/>
              </w:rPr>
            </w:pPr>
          </w:p>
        </w:tc>
        <w:tc>
          <w:tcPr>
            <w:tcW w:w="3212" w:type="dxa"/>
            <w:noWrap w:val="0"/>
            <w:vAlign w:val="center"/>
          </w:tcPr>
          <w:p>
            <w:pPr>
              <w:jc w:val="left"/>
              <w:rPr>
                <w:rFonts w:hint="eastAsia"/>
                <w:color w:val="auto"/>
                <w:sz w:val="21"/>
                <w:szCs w:val="21"/>
                <w:highlight w:val="none"/>
              </w:rPr>
            </w:pPr>
            <w:r>
              <w:rPr>
                <w:rFonts w:hint="eastAsia"/>
                <w:color w:val="auto"/>
                <w:sz w:val="21"/>
                <w:szCs w:val="21"/>
                <w:highlight w:val="none"/>
              </w:rPr>
              <w:t>船式挖机</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4300</w:t>
            </w:r>
          </w:p>
        </w:tc>
        <w:tc>
          <w:tcPr>
            <w:tcW w:w="2236" w:type="dxa"/>
            <w:noWrap w:val="0"/>
            <w:vAlign w:val="center"/>
          </w:tcPr>
          <w:p>
            <w:pPr>
              <w:jc w:val="left"/>
              <w:rPr>
                <w:rFonts w:hint="eastAsia"/>
                <w:color w:val="auto"/>
                <w:sz w:val="21"/>
                <w:szCs w:val="21"/>
                <w:highlight w:val="none"/>
              </w:rPr>
            </w:pPr>
            <w:r>
              <w:rPr>
                <w:rFonts w:hint="eastAsia"/>
                <w:color w:val="auto"/>
                <w:sz w:val="21"/>
                <w:szCs w:val="21"/>
                <w:highlight w:val="none"/>
              </w:rPr>
              <w:t>进出场费按400元/次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50"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79" w:type="dxa"/>
            <w:vMerge w:val="continue"/>
            <w:noWrap w:val="0"/>
            <w:vAlign w:val="center"/>
          </w:tcPr>
          <w:p>
            <w:pPr>
              <w:jc w:val="left"/>
              <w:rPr>
                <w:rFonts w:ascii="宋体" w:hAnsi="宋体" w:cs="宋体"/>
                <w:color w:val="auto"/>
                <w:sz w:val="21"/>
                <w:szCs w:val="21"/>
                <w:highlight w:val="none"/>
              </w:rPr>
            </w:pPr>
          </w:p>
        </w:tc>
        <w:tc>
          <w:tcPr>
            <w:tcW w:w="3212"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水陆两用挖机</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3900</w:t>
            </w:r>
          </w:p>
        </w:tc>
        <w:tc>
          <w:tcPr>
            <w:tcW w:w="2236" w:type="dxa"/>
            <w:noWrap w:val="0"/>
            <w:vAlign w:val="center"/>
          </w:tcPr>
          <w:p>
            <w:pPr>
              <w:jc w:val="left"/>
              <w:rPr>
                <w:rFonts w:hint="eastAsia"/>
                <w:color w:val="auto"/>
                <w:sz w:val="21"/>
                <w:szCs w:val="21"/>
                <w:highlight w:val="none"/>
              </w:rPr>
            </w:pPr>
            <w:r>
              <w:rPr>
                <w:rFonts w:hint="eastAsia"/>
                <w:color w:val="auto"/>
                <w:sz w:val="21"/>
                <w:szCs w:val="21"/>
                <w:highlight w:val="none"/>
              </w:rPr>
              <w:t>进出场费按400元/次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dxa"/>
            <w:vMerge w:val="restart"/>
            <w:noWrap w:val="0"/>
            <w:vAlign w:val="center"/>
          </w:tcPr>
          <w:p>
            <w:pPr>
              <w:spacing w:line="600" w:lineRule="exact"/>
              <w:jc w:val="left"/>
              <w:rPr>
                <w:rFonts w:hint="eastAsia" w:ascii="仿宋_GB2312" w:hAnsi="新宋体" w:eastAsia="仿宋_GB2312" w:cs="Arial"/>
                <w:color w:val="auto"/>
                <w:sz w:val="21"/>
                <w:szCs w:val="21"/>
                <w:highlight w:val="none"/>
              </w:rPr>
            </w:pPr>
            <w:r>
              <w:rPr>
                <w:rFonts w:hint="eastAsia" w:ascii="仿宋_GB2312" w:hAnsi="新宋体" w:eastAsia="仿宋_GB2312" w:cs="Arial"/>
                <w:color w:val="auto"/>
                <w:sz w:val="21"/>
                <w:szCs w:val="21"/>
                <w:highlight w:val="none"/>
              </w:rPr>
              <w:t>3</w:t>
            </w:r>
          </w:p>
        </w:tc>
        <w:tc>
          <w:tcPr>
            <w:tcW w:w="1079" w:type="dxa"/>
            <w:vMerge w:val="restart"/>
            <w:noWrap w:val="0"/>
            <w:vAlign w:val="center"/>
          </w:tcPr>
          <w:p>
            <w:pPr>
              <w:jc w:val="left"/>
              <w:rPr>
                <w:rFonts w:ascii="宋体" w:hAnsi="宋体" w:cs="宋体"/>
                <w:color w:val="auto"/>
                <w:sz w:val="21"/>
                <w:szCs w:val="21"/>
                <w:highlight w:val="none"/>
              </w:rPr>
            </w:pPr>
            <w:r>
              <w:rPr>
                <w:rFonts w:hint="eastAsia"/>
                <w:color w:val="auto"/>
                <w:sz w:val="21"/>
                <w:szCs w:val="21"/>
                <w:highlight w:val="none"/>
              </w:rPr>
              <w:t>铲车类</w:t>
            </w:r>
          </w:p>
        </w:tc>
        <w:tc>
          <w:tcPr>
            <w:tcW w:w="3212"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12型小铲车</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700</w:t>
            </w:r>
          </w:p>
        </w:tc>
        <w:tc>
          <w:tcPr>
            <w:tcW w:w="2236" w:type="dxa"/>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dxa"/>
            <w:vMerge w:val="continue"/>
            <w:noWrap w:val="0"/>
            <w:vAlign w:val="center"/>
          </w:tcPr>
          <w:p>
            <w:pPr>
              <w:spacing w:line="600" w:lineRule="exact"/>
              <w:jc w:val="left"/>
              <w:rPr>
                <w:rFonts w:hint="eastAsia" w:ascii="仿宋_GB2312" w:hAnsi="新宋体" w:eastAsia="仿宋_GB2312" w:cs="Arial"/>
                <w:color w:val="auto"/>
                <w:sz w:val="21"/>
                <w:szCs w:val="21"/>
                <w:highlight w:val="none"/>
              </w:rPr>
            </w:pPr>
          </w:p>
        </w:tc>
        <w:tc>
          <w:tcPr>
            <w:tcW w:w="1079" w:type="dxa"/>
            <w:vMerge w:val="continue"/>
            <w:noWrap w:val="0"/>
            <w:vAlign w:val="center"/>
          </w:tcPr>
          <w:p>
            <w:pPr>
              <w:jc w:val="left"/>
              <w:rPr>
                <w:rFonts w:ascii="宋体" w:hAnsi="宋体" w:cs="宋体"/>
                <w:color w:val="auto"/>
                <w:sz w:val="21"/>
                <w:szCs w:val="21"/>
                <w:highlight w:val="none"/>
              </w:rPr>
            </w:pPr>
          </w:p>
        </w:tc>
        <w:tc>
          <w:tcPr>
            <w:tcW w:w="3212" w:type="dxa"/>
            <w:noWrap w:val="0"/>
            <w:vAlign w:val="center"/>
          </w:tcPr>
          <w:p>
            <w:pPr>
              <w:jc w:val="left"/>
              <w:rPr>
                <w:rFonts w:hint="eastAsia"/>
                <w:color w:val="auto"/>
                <w:sz w:val="21"/>
                <w:szCs w:val="21"/>
                <w:highlight w:val="none"/>
              </w:rPr>
            </w:pPr>
            <w:r>
              <w:rPr>
                <w:rFonts w:hint="eastAsia"/>
                <w:color w:val="auto"/>
                <w:sz w:val="21"/>
                <w:szCs w:val="21"/>
                <w:highlight w:val="none"/>
              </w:rPr>
              <w:t>18型小铲车</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900</w:t>
            </w:r>
          </w:p>
        </w:tc>
        <w:tc>
          <w:tcPr>
            <w:tcW w:w="2236" w:type="dxa"/>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dxa"/>
            <w:vMerge w:val="continue"/>
            <w:noWrap w:val="0"/>
            <w:vAlign w:val="center"/>
          </w:tcPr>
          <w:p>
            <w:pPr>
              <w:spacing w:line="600" w:lineRule="exact"/>
              <w:jc w:val="left"/>
              <w:rPr>
                <w:rFonts w:hint="eastAsia" w:ascii="仿宋_GB2312" w:hAnsi="新宋体" w:eastAsia="仿宋_GB2312" w:cs="Arial"/>
                <w:color w:val="auto"/>
                <w:sz w:val="21"/>
                <w:szCs w:val="21"/>
                <w:highlight w:val="none"/>
              </w:rPr>
            </w:pPr>
          </w:p>
        </w:tc>
        <w:tc>
          <w:tcPr>
            <w:tcW w:w="1079" w:type="dxa"/>
            <w:vMerge w:val="continue"/>
            <w:noWrap w:val="0"/>
            <w:vAlign w:val="center"/>
          </w:tcPr>
          <w:p>
            <w:pPr>
              <w:jc w:val="left"/>
              <w:rPr>
                <w:rFonts w:hint="eastAsia" w:ascii="仿宋_GB2312" w:hAnsi="新宋体" w:eastAsia="仿宋_GB2312"/>
                <w:color w:val="auto"/>
                <w:sz w:val="21"/>
                <w:szCs w:val="21"/>
                <w:highlight w:val="none"/>
              </w:rPr>
            </w:pPr>
          </w:p>
        </w:tc>
        <w:tc>
          <w:tcPr>
            <w:tcW w:w="3212"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30型小铲车</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1200</w:t>
            </w:r>
          </w:p>
        </w:tc>
        <w:tc>
          <w:tcPr>
            <w:tcW w:w="2236" w:type="dxa"/>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79" w:type="dxa"/>
            <w:vMerge w:val="continue"/>
            <w:noWrap w:val="0"/>
            <w:vAlign w:val="center"/>
          </w:tcPr>
          <w:p>
            <w:pPr>
              <w:jc w:val="left"/>
              <w:rPr>
                <w:rFonts w:hint="eastAsia" w:ascii="仿宋_GB2312" w:hAnsi="新宋体" w:eastAsia="仿宋_GB2312"/>
                <w:color w:val="auto"/>
                <w:sz w:val="21"/>
                <w:szCs w:val="21"/>
                <w:highlight w:val="none"/>
              </w:rPr>
            </w:pPr>
          </w:p>
        </w:tc>
        <w:tc>
          <w:tcPr>
            <w:tcW w:w="3212" w:type="dxa"/>
            <w:noWrap w:val="0"/>
            <w:vAlign w:val="center"/>
          </w:tcPr>
          <w:p>
            <w:pPr>
              <w:jc w:val="left"/>
              <w:rPr>
                <w:color w:val="auto"/>
                <w:sz w:val="21"/>
                <w:szCs w:val="21"/>
                <w:highlight w:val="none"/>
              </w:rPr>
            </w:pPr>
            <w:r>
              <w:rPr>
                <w:rFonts w:hint="eastAsia"/>
                <w:color w:val="auto"/>
                <w:sz w:val="21"/>
                <w:szCs w:val="21"/>
                <w:highlight w:val="none"/>
              </w:rPr>
              <w:t>50型铲车</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2598</w:t>
            </w:r>
          </w:p>
        </w:tc>
        <w:tc>
          <w:tcPr>
            <w:tcW w:w="2236" w:type="dxa"/>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50" w:type="dxa"/>
            <w:vMerge w:val="restart"/>
            <w:noWrap w:val="0"/>
            <w:vAlign w:val="center"/>
          </w:tcPr>
          <w:p>
            <w:pPr>
              <w:spacing w:line="240" w:lineRule="exact"/>
              <w:jc w:val="left"/>
              <w:rPr>
                <w:rFonts w:hint="eastAsia" w:ascii="仿宋_GB2312" w:hAnsi="新宋体" w:eastAsia="仿宋_GB2312" w:cs="Arial"/>
                <w:color w:val="auto"/>
                <w:sz w:val="21"/>
                <w:szCs w:val="21"/>
                <w:highlight w:val="none"/>
              </w:rPr>
            </w:pPr>
            <w:r>
              <w:rPr>
                <w:rFonts w:hint="eastAsia" w:ascii="仿宋_GB2312" w:hAnsi="新宋体" w:eastAsia="仿宋_GB2312" w:cs="Arial"/>
                <w:color w:val="auto"/>
                <w:sz w:val="21"/>
                <w:szCs w:val="21"/>
                <w:highlight w:val="none"/>
              </w:rPr>
              <w:t>4</w:t>
            </w:r>
          </w:p>
        </w:tc>
        <w:tc>
          <w:tcPr>
            <w:tcW w:w="1079" w:type="dxa"/>
            <w:vMerge w:val="restart"/>
            <w:noWrap w:val="0"/>
            <w:vAlign w:val="center"/>
          </w:tcPr>
          <w:p>
            <w:pPr>
              <w:jc w:val="left"/>
              <w:rPr>
                <w:rFonts w:hint="eastAsia" w:ascii="仿宋_GB2312" w:hAnsi="新宋体" w:eastAsia="仿宋_GB2312"/>
                <w:color w:val="auto"/>
                <w:sz w:val="21"/>
                <w:szCs w:val="21"/>
                <w:highlight w:val="none"/>
              </w:rPr>
            </w:pPr>
            <w:r>
              <w:rPr>
                <w:rFonts w:hint="eastAsia"/>
                <w:color w:val="auto"/>
                <w:sz w:val="21"/>
                <w:szCs w:val="21"/>
                <w:highlight w:val="none"/>
              </w:rPr>
              <w:t>吊车类</w:t>
            </w:r>
          </w:p>
        </w:tc>
        <w:tc>
          <w:tcPr>
            <w:tcW w:w="3212" w:type="dxa"/>
            <w:noWrap w:val="0"/>
            <w:vAlign w:val="center"/>
          </w:tcPr>
          <w:p>
            <w:pPr>
              <w:jc w:val="left"/>
              <w:rPr>
                <w:color w:val="auto"/>
                <w:sz w:val="21"/>
                <w:szCs w:val="21"/>
                <w:highlight w:val="none"/>
              </w:rPr>
            </w:pPr>
            <w:r>
              <w:rPr>
                <w:rFonts w:hint="eastAsia"/>
                <w:color w:val="auto"/>
                <w:sz w:val="21"/>
                <w:szCs w:val="21"/>
                <w:highlight w:val="none"/>
              </w:rPr>
              <w:t>8吨汽车吊</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1100</w:t>
            </w:r>
          </w:p>
        </w:tc>
        <w:tc>
          <w:tcPr>
            <w:tcW w:w="2236" w:type="dxa"/>
            <w:noWrap w:val="0"/>
            <w:vAlign w:val="center"/>
          </w:tcPr>
          <w:p>
            <w:pPr>
              <w:jc w:val="left"/>
              <w:rPr>
                <w:rFonts w:hint="eastAsia"/>
                <w:color w:val="auto"/>
                <w:sz w:val="21"/>
                <w:szCs w:val="21"/>
                <w:highlight w:val="none"/>
              </w:rPr>
            </w:pPr>
            <w:r>
              <w:rPr>
                <w:rFonts w:hint="eastAsia"/>
                <w:color w:val="auto"/>
                <w:sz w:val="21"/>
                <w:szCs w:val="21"/>
                <w:highlight w:val="none"/>
              </w:rPr>
              <w:t>不足两小时按400元计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50"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79" w:type="dxa"/>
            <w:vMerge w:val="continue"/>
            <w:noWrap w:val="0"/>
            <w:vAlign w:val="center"/>
          </w:tcPr>
          <w:p>
            <w:pPr>
              <w:jc w:val="left"/>
              <w:rPr>
                <w:rFonts w:hint="eastAsia" w:ascii="仿宋_GB2312" w:hAnsi="新宋体" w:eastAsia="仿宋_GB2312"/>
                <w:color w:val="auto"/>
                <w:sz w:val="21"/>
                <w:szCs w:val="21"/>
                <w:highlight w:val="none"/>
              </w:rPr>
            </w:pPr>
          </w:p>
        </w:tc>
        <w:tc>
          <w:tcPr>
            <w:tcW w:w="3212" w:type="dxa"/>
            <w:noWrap w:val="0"/>
            <w:vAlign w:val="center"/>
          </w:tcPr>
          <w:p>
            <w:pPr>
              <w:jc w:val="left"/>
              <w:rPr>
                <w:rFonts w:hint="eastAsia"/>
                <w:color w:val="auto"/>
                <w:sz w:val="21"/>
                <w:szCs w:val="21"/>
                <w:highlight w:val="none"/>
              </w:rPr>
            </w:pPr>
            <w:r>
              <w:rPr>
                <w:rFonts w:hint="eastAsia"/>
                <w:color w:val="auto"/>
                <w:sz w:val="21"/>
                <w:szCs w:val="21"/>
                <w:highlight w:val="none"/>
              </w:rPr>
              <w:t>16吨汽车吊</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1300</w:t>
            </w:r>
          </w:p>
        </w:tc>
        <w:tc>
          <w:tcPr>
            <w:tcW w:w="2236" w:type="dxa"/>
            <w:noWrap w:val="0"/>
            <w:vAlign w:val="center"/>
          </w:tcPr>
          <w:p>
            <w:pPr>
              <w:jc w:val="left"/>
              <w:rPr>
                <w:rFonts w:hint="eastAsia"/>
                <w:color w:val="auto"/>
                <w:sz w:val="21"/>
                <w:szCs w:val="21"/>
                <w:highlight w:val="none"/>
              </w:rPr>
            </w:pPr>
            <w:r>
              <w:rPr>
                <w:rFonts w:hint="eastAsia"/>
                <w:color w:val="auto"/>
                <w:sz w:val="21"/>
                <w:szCs w:val="21"/>
                <w:highlight w:val="none"/>
              </w:rPr>
              <w:t>不足两小时按500元计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50"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79" w:type="dxa"/>
            <w:vMerge w:val="continue"/>
            <w:noWrap w:val="0"/>
            <w:vAlign w:val="center"/>
          </w:tcPr>
          <w:p>
            <w:pPr>
              <w:jc w:val="left"/>
              <w:rPr>
                <w:rFonts w:hint="eastAsia" w:ascii="仿宋_GB2312" w:hAnsi="新宋体" w:eastAsia="仿宋_GB2312"/>
                <w:color w:val="auto"/>
                <w:sz w:val="21"/>
                <w:szCs w:val="21"/>
                <w:highlight w:val="none"/>
              </w:rPr>
            </w:pPr>
          </w:p>
        </w:tc>
        <w:tc>
          <w:tcPr>
            <w:tcW w:w="3212" w:type="dxa"/>
            <w:noWrap w:val="0"/>
            <w:vAlign w:val="center"/>
          </w:tcPr>
          <w:p>
            <w:pPr>
              <w:jc w:val="left"/>
              <w:rPr>
                <w:rFonts w:hint="eastAsia"/>
                <w:color w:val="auto"/>
                <w:sz w:val="21"/>
                <w:szCs w:val="21"/>
                <w:highlight w:val="none"/>
              </w:rPr>
            </w:pPr>
            <w:r>
              <w:rPr>
                <w:rFonts w:hint="eastAsia"/>
                <w:color w:val="auto"/>
                <w:sz w:val="21"/>
                <w:szCs w:val="21"/>
                <w:highlight w:val="none"/>
              </w:rPr>
              <w:t>20吨汽车吊</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1600</w:t>
            </w:r>
          </w:p>
        </w:tc>
        <w:tc>
          <w:tcPr>
            <w:tcW w:w="2236" w:type="dxa"/>
            <w:noWrap w:val="0"/>
            <w:vAlign w:val="center"/>
          </w:tcPr>
          <w:p>
            <w:pPr>
              <w:jc w:val="left"/>
              <w:rPr>
                <w:rFonts w:hint="eastAsia"/>
                <w:color w:val="auto"/>
                <w:sz w:val="21"/>
                <w:szCs w:val="21"/>
                <w:highlight w:val="none"/>
              </w:rPr>
            </w:pPr>
            <w:r>
              <w:rPr>
                <w:rFonts w:hint="eastAsia"/>
                <w:color w:val="auto"/>
                <w:sz w:val="21"/>
                <w:szCs w:val="21"/>
                <w:highlight w:val="none"/>
              </w:rPr>
              <w:t>不足两小时按500元计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50"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79" w:type="dxa"/>
            <w:vMerge w:val="continue"/>
            <w:noWrap w:val="0"/>
            <w:vAlign w:val="center"/>
          </w:tcPr>
          <w:p>
            <w:pPr>
              <w:jc w:val="left"/>
              <w:rPr>
                <w:rFonts w:hint="eastAsia" w:ascii="仿宋_GB2312" w:hAnsi="新宋体" w:eastAsia="仿宋_GB2312"/>
                <w:color w:val="auto"/>
                <w:sz w:val="21"/>
                <w:szCs w:val="21"/>
                <w:highlight w:val="none"/>
              </w:rPr>
            </w:pPr>
          </w:p>
        </w:tc>
        <w:tc>
          <w:tcPr>
            <w:tcW w:w="3212" w:type="dxa"/>
            <w:noWrap w:val="0"/>
            <w:vAlign w:val="center"/>
          </w:tcPr>
          <w:p>
            <w:pPr>
              <w:jc w:val="left"/>
              <w:rPr>
                <w:color w:val="auto"/>
                <w:sz w:val="21"/>
                <w:szCs w:val="21"/>
                <w:highlight w:val="none"/>
              </w:rPr>
            </w:pPr>
            <w:r>
              <w:rPr>
                <w:rFonts w:hint="eastAsia"/>
                <w:color w:val="auto"/>
                <w:sz w:val="21"/>
                <w:szCs w:val="21"/>
                <w:highlight w:val="none"/>
              </w:rPr>
              <w:t>25吨汽车吊</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2700</w:t>
            </w:r>
          </w:p>
        </w:tc>
        <w:tc>
          <w:tcPr>
            <w:tcW w:w="2236" w:type="dxa"/>
            <w:noWrap w:val="0"/>
            <w:vAlign w:val="center"/>
          </w:tcPr>
          <w:p>
            <w:pPr>
              <w:jc w:val="left"/>
              <w:rPr>
                <w:rFonts w:hint="eastAsia"/>
                <w:color w:val="auto"/>
                <w:sz w:val="21"/>
                <w:szCs w:val="21"/>
                <w:highlight w:val="none"/>
              </w:rPr>
            </w:pPr>
            <w:r>
              <w:rPr>
                <w:rFonts w:hint="eastAsia"/>
                <w:color w:val="auto"/>
                <w:sz w:val="21"/>
                <w:szCs w:val="21"/>
                <w:highlight w:val="none"/>
              </w:rPr>
              <w:t>不足两小时按500元计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79" w:type="dxa"/>
            <w:vMerge w:val="continue"/>
            <w:noWrap w:val="0"/>
            <w:vAlign w:val="center"/>
          </w:tcPr>
          <w:p>
            <w:pPr>
              <w:jc w:val="left"/>
              <w:rPr>
                <w:rFonts w:hint="eastAsia" w:ascii="仿宋_GB2312" w:hAnsi="新宋体" w:eastAsia="仿宋_GB2312"/>
                <w:color w:val="auto"/>
                <w:sz w:val="21"/>
                <w:szCs w:val="21"/>
                <w:highlight w:val="none"/>
              </w:rPr>
            </w:pPr>
          </w:p>
        </w:tc>
        <w:tc>
          <w:tcPr>
            <w:tcW w:w="3212" w:type="dxa"/>
            <w:noWrap w:val="0"/>
            <w:vAlign w:val="center"/>
          </w:tcPr>
          <w:p>
            <w:pPr>
              <w:jc w:val="left"/>
              <w:rPr>
                <w:rFonts w:hint="eastAsia"/>
                <w:color w:val="auto"/>
                <w:sz w:val="21"/>
                <w:szCs w:val="21"/>
                <w:highlight w:val="none"/>
              </w:rPr>
            </w:pPr>
            <w:r>
              <w:rPr>
                <w:rFonts w:hint="eastAsia"/>
                <w:color w:val="auto"/>
                <w:sz w:val="21"/>
                <w:szCs w:val="21"/>
                <w:highlight w:val="none"/>
              </w:rPr>
              <w:t>35吨汽车吊</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2800</w:t>
            </w:r>
          </w:p>
        </w:tc>
        <w:tc>
          <w:tcPr>
            <w:tcW w:w="2236" w:type="dxa"/>
            <w:noWrap w:val="0"/>
            <w:vAlign w:val="center"/>
          </w:tcPr>
          <w:p>
            <w:pPr>
              <w:jc w:val="left"/>
              <w:rPr>
                <w:rFonts w:hint="eastAsia"/>
                <w:color w:val="auto"/>
                <w:sz w:val="21"/>
                <w:szCs w:val="21"/>
                <w:highlight w:val="none"/>
              </w:rPr>
            </w:pPr>
            <w:r>
              <w:rPr>
                <w:rFonts w:hint="eastAsia"/>
                <w:color w:val="auto"/>
                <w:sz w:val="21"/>
                <w:szCs w:val="21"/>
                <w:highlight w:val="none"/>
              </w:rPr>
              <w:t>不足两小时按600元计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50" w:type="dxa"/>
            <w:vMerge w:val="continue"/>
            <w:noWrap w:val="0"/>
            <w:vAlign w:val="center"/>
          </w:tcPr>
          <w:p>
            <w:pPr>
              <w:spacing w:line="240" w:lineRule="exact"/>
              <w:jc w:val="left"/>
              <w:rPr>
                <w:rFonts w:hint="eastAsia"/>
                <w:color w:val="auto"/>
                <w:sz w:val="21"/>
                <w:szCs w:val="21"/>
                <w:highlight w:val="none"/>
              </w:rPr>
            </w:pPr>
          </w:p>
        </w:tc>
        <w:tc>
          <w:tcPr>
            <w:tcW w:w="1079" w:type="dxa"/>
            <w:vMerge w:val="continue"/>
            <w:noWrap w:val="0"/>
            <w:vAlign w:val="center"/>
          </w:tcPr>
          <w:p>
            <w:pPr>
              <w:jc w:val="left"/>
              <w:rPr>
                <w:color w:val="auto"/>
                <w:sz w:val="21"/>
                <w:szCs w:val="21"/>
                <w:highlight w:val="none"/>
              </w:rPr>
            </w:pPr>
          </w:p>
        </w:tc>
        <w:tc>
          <w:tcPr>
            <w:tcW w:w="3212" w:type="dxa"/>
            <w:noWrap w:val="0"/>
            <w:vAlign w:val="center"/>
          </w:tcPr>
          <w:p>
            <w:pPr>
              <w:jc w:val="left"/>
              <w:rPr>
                <w:color w:val="auto"/>
                <w:sz w:val="21"/>
                <w:szCs w:val="21"/>
                <w:highlight w:val="none"/>
              </w:rPr>
            </w:pPr>
            <w:r>
              <w:rPr>
                <w:rFonts w:hint="eastAsia"/>
                <w:color w:val="auto"/>
                <w:sz w:val="21"/>
                <w:szCs w:val="21"/>
                <w:highlight w:val="none"/>
              </w:rPr>
              <w:t>50吨汽车吊</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6800</w:t>
            </w:r>
          </w:p>
        </w:tc>
        <w:tc>
          <w:tcPr>
            <w:tcW w:w="2236"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不足两小时按1200元计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50" w:type="dxa"/>
            <w:vMerge w:val="restart"/>
            <w:noWrap w:val="0"/>
            <w:vAlign w:val="center"/>
          </w:tcPr>
          <w:p>
            <w:pPr>
              <w:jc w:val="left"/>
              <w:rPr>
                <w:rFonts w:hint="eastAsia"/>
                <w:color w:val="auto"/>
                <w:sz w:val="21"/>
                <w:szCs w:val="21"/>
                <w:highlight w:val="none"/>
              </w:rPr>
            </w:pPr>
            <w:r>
              <w:rPr>
                <w:rFonts w:hint="eastAsia"/>
                <w:color w:val="auto"/>
                <w:sz w:val="21"/>
                <w:szCs w:val="21"/>
                <w:highlight w:val="none"/>
              </w:rPr>
              <w:t>5</w:t>
            </w:r>
          </w:p>
        </w:tc>
        <w:tc>
          <w:tcPr>
            <w:tcW w:w="1079" w:type="dxa"/>
            <w:vMerge w:val="restart"/>
            <w:noWrap w:val="0"/>
            <w:vAlign w:val="center"/>
          </w:tcPr>
          <w:p>
            <w:pPr>
              <w:jc w:val="left"/>
              <w:rPr>
                <w:rFonts w:hint="eastAsia"/>
                <w:color w:val="auto"/>
                <w:sz w:val="21"/>
                <w:szCs w:val="21"/>
                <w:highlight w:val="none"/>
              </w:rPr>
            </w:pPr>
            <w:r>
              <w:rPr>
                <w:rFonts w:hint="eastAsia"/>
                <w:color w:val="auto"/>
                <w:sz w:val="21"/>
                <w:szCs w:val="21"/>
                <w:highlight w:val="none"/>
              </w:rPr>
              <w:t>叉车类</w:t>
            </w:r>
          </w:p>
        </w:tc>
        <w:tc>
          <w:tcPr>
            <w:tcW w:w="3212" w:type="dxa"/>
            <w:noWrap w:val="0"/>
            <w:vAlign w:val="center"/>
          </w:tcPr>
          <w:p>
            <w:pPr>
              <w:jc w:val="left"/>
              <w:rPr>
                <w:rFonts w:hint="eastAsia"/>
                <w:color w:val="auto"/>
                <w:sz w:val="21"/>
                <w:szCs w:val="21"/>
                <w:highlight w:val="none"/>
              </w:rPr>
            </w:pPr>
            <w:r>
              <w:rPr>
                <w:rFonts w:hint="eastAsia"/>
                <w:color w:val="auto"/>
                <w:sz w:val="21"/>
                <w:szCs w:val="21"/>
                <w:highlight w:val="none"/>
              </w:rPr>
              <w:t>2-3吨叉车</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1420</w:t>
            </w:r>
          </w:p>
        </w:tc>
        <w:tc>
          <w:tcPr>
            <w:tcW w:w="2236" w:type="dxa"/>
            <w:noWrap w:val="0"/>
            <w:vAlign w:val="center"/>
          </w:tcPr>
          <w:p>
            <w:pPr>
              <w:jc w:val="left"/>
              <w:rPr>
                <w:rFonts w:hint="eastAsia"/>
                <w:color w:val="auto"/>
                <w:sz w:val="21"/>
                <w:szCs w:val="21"/>
                <w:highlight w:val="none"/>
              </w:rPr>
            </w:pPr>
            <w:r>
              <w:rPr>
                <w:rFonts w:hint="eastAsia"/>
                <w:color w:val="auto"/>
                <w:sz w:val="21"/>
                <w:szCs w:val="21"/>
                <w:highlight w:val="none"/>
              </w:rPr>
              <w:t>不足两小时按300元计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50" w:type="dxa"/>
            <w:vMerge w:val="continue"/>
            <w:noWrap w:val="0"/>
            <w:vAlign w:val="center"/>
          </w:tcPr>
          <w:p>
            <w:pPr>
              <w:jc w:val="left"/>
              <w:rPr>
                <w:rFonts w:hint="eastAsia" w:ascii="仿宋_GB2312" w:hAnsi="新宋体" w:eastAsia="仿宋_GB2312" w:cs="Arial"/>
                <w:b/>
                <w:bCs/>
                <w:color w:val="auto"/>
                <w:sz w:val="21"/>
                <w:szCs w:val="21"/>
                <w:highlight w:val="none"/>
              </w:rPr>
            </w:pPr>
          </w:p>
        </w:tc>
        <w:tc>
          <w:tcPr>
            <w:tcW w:w="1079" w:type="dxa"/>
            <w:vMerge w:val="continue"/>
            <w:noWrap w:val="0"/>
            <w:vAlign w:val="center"/>
          </w:tcPr>
          <w:p>
            <w:pPr>
              <w:jc w:val="left"/>
              <w:rPr>
                <w:rFonts w:hint="eastAsia" w:ascii="宋体" w:hAnsi="宋体" w:cs="宋体"/>
                <w:b/>
                <w:bCs/>
                <w:i/>
                <w:iCs/>
                <w:color w:val="auto"/>
                <w:sz w:val="21"/>
                <w:szCs w:val="21"/>
                <w:highlight w:val="none"/>
              </w:rPr>
            </w:pPr>
          </w:p>
        </w:tc>
        <w:tc>
          <w:tcPr>
            <w:tcW w:w="3212" w:type="dxa"/>
            <w:noWrap w:val="0"/>
            <w:vAlign w:val="center"/>
          </w:tcPr>
          <w:p>
            <w:pPr>
              <w:jc w:val="left"/>
              <w:rPr>
                <w:color w:val="auto"/>
                <w:sz w:val="21"/>
                <w:szCs w:val="21"/>
                <w:highlight w:val="none"/>
              </w:rPr>
            </w:pPr>
            <w:r>
              <w:rPr>
                <w:rFonts w:hint="eastAsia"/>
                <w:color w:val="auto"/>
                <w:sz w:val="21"/>
                <w:szCs w:val="21"/>
                <w:highlight w:val="none"/>
              </w:rPr>
              <w:t>5吨叉车</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2547</w:t>
            </w:r>
          </w:p>
        </w:tc>
        <w:tc>
          <w:tcPr>
            <w:tcW w:w="2236"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不足两小时按500元计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dxa"/>
            <w:vMerge w:val="restart"/>
            <w:noWrap w:val="0"/>
            <w:vAlign w:val="center"/>
          </w:tcPr>
          <w:p>
            <w:pPr>
              <w:jc w:val="left"/>
              <w:rPr>
                <w:rFonts w:hint="eastAsia" w:ascii="仿宋_GB2312" w:hAnsi="新宋体" w:eastAsia="仿宋_GB2312" w:cs="Arial"/>
                <w:color w:val="auto"/>
                <w:sz w:val="21"/>
                <w:szCs w:val="21"/>
                <w:highlight w:val="none"/>
              </w:rPr>
            </w:pPr>
            <w:r>
              <w:rPr>
                <w:rFonts w:hint="eastAsia"/>
                <w:color w:val="auto"/>
                <w:sz w:val="21"/>
                <w:szCs w:val="21"/>
                <w:highlight w:val="none"/>
              </w:rPr>
              <w:t>6</w:t>
            </w:r>
          </w:p>
        </w:tc>
        <w:tc>
          <w:tcPr>
            <w:tcW w:w="1079" w:type="dxa"/>
            <w:vMerge w:val="restart"/>
            <w:noWrap w:val="0"/>
            <w:vAlign w:val="center"/>
          </w:tcPr>
          <w:p>
            <w:pPr>
              <w:jc w:val="left"/>
              <w:rPr>
                <w:rFonts w:hint="eastAsia" w:ascii="宋体" w:hAnsi="宋体" w:cs="宋体"/>
                <w:b/>
                <w:bCs/>
                <w:i/>
                <w:iCs/>
                <w:color w:val="auto"/>
                <w:sz w:val="21"/>
                <w:szCs w:val="21"/>
                <w:highlight w:val="none"/>
              </w:rPr>
            </w:pPr>
            <w:r>
              <w:rPr>
                <w:rFonts w:hint="eastAsia"/>
                <w:color w:val="auto"/>
                <w:sz w:val="21"/>
                <w:szCs w:val="21"/>
                <w:highlight w:val="none"/>
              </w:rPr>
              <w:t>压路机类</w:t>
            </w:r>
          </w:p>
        </w:tc>
        <w:tc>
          <w:tcPr>
            <w:tcW w:w="3212" w:type="dxa"/>
            <w:noWrap w:val="0"/>
            <w:vAlign w:val="center"/>
          </w:tcPr>
          <w:p>
            <w:pPr>
              <w:jc w:val="left"/>
              <w:rPr>
                <w:color w:val="auto"/>
                <w:sz w:val="21"/>
                <w:szCs w:val="21"/>
                <w:highlight w:val="none"/>
              </w:rPr>
            </w:pPr>
            <w:r>
              <w:rPr>
                <w:rFonts w:hint="eastAsia"/>
                <w:color w:val="auto"/>
                <w:sz w:val="21"/>
                <w:szCs w:val="21"/>
                <w:highlight w:val="none"/>
              </w:rPr>
              <w:t>15吨振动式压路机</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3008</w:t>
            </w:r>
          </w:p>
        </w:tc>
        <w:tc>
          <w:tcPr>
            <w:tcW w:w="2236" w:type="dxa"/>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79" w:type="dxa"/>
            <w:vMerge w:val="continue"/>
            <w:noWrap w:val="0"/>
            <w:vAlign w:val="center"/>
          </w:tcPr>
          <w:p>
            <w:pPr>
              <w:jc w:val="left"/>
              <w:rPr>
                <w:rFonts w:hint="eastAsia" w:ascii="宋体" w:hAnsi="宋体" w:cs="宋体"/>
                <w:b/>
                <w:bCs/>
                <w:i/>
                <w:iCs/>
                <w:color w:val="auto"/>
                <w:sz w:val="21"/>
                <w:szCs w:val="21"/>
                <w:highlight w:val="none"/>
              </w:rPr>
            </w:pPr>
          </w:p>
        </w:tc>
        <w:tc>
          <w:tcPr>
            <w:tcW w:w="3212" w:type="dxa"/>
            <w:noWrap w:val="0"/>
            <w:vAlign w:val="center"/>
          </w:tcPr>
          <w:p>
            <w:pPr>
              <w:jc w:val="left"/>
              <w:rPr>
                <w:rFonts w:hint="eastAsia"/>
                <w:color w:val="auto"/>
                <w:sz w:val="21"/>
                <w:szCs w:val="21"/>
                <w:highlight w:val="none"/>
              </w:rPr>
            </w:pPr>
            <w:r>
              <w:rPr>
                <w:rFonts w:hint="eastAsia"/>
                <w:color w:val="auto"/>
                <w:sz w:val="21"/>
                <w:szCs w:val="21"/>
                <w:highlight w:val="none"/>
              </w:rPr>
              <w:t>20吨振动式压路机</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3072</w:t>
            </w:r>
          </w:p>
        </w:tc>
        <w:tc>
          <w:tcPr>
            <w:tcW w:w="2236" w:type="dxa"/>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79" w:type="dxa"/>
            <w:vMerge w:val="continue"/>
            <w:noWrap w:val="0"/>
            <w:vAlign w:val="center"/>
          </w:tcPr>
          <w:p>
            <w:pPr>
              <w:jc w:val="left"/>
              <w:rPr>
                <w:rFonts w:hint="eastAsia" w:ascii="宋体" w:hAnsi="宋体" w:cs="宋体"/>
                <w:color w:val="auto"/>
                <w:sz w:val="21"/>
                <w:szCs w:val="21"/>
                <w:highlight w:val="none"/>
              </w:rPr>
            </w:pPr>
          </w:p>
        </w:tc>
        <w:tc>
          <w:tcPr>
            <w:tcW w:w="3212" w:type="dxa"/>
            <w:noWrap w:val="0"/>
            <w:vAlign w:val="center"/>
          </w:tcPr>
          <w:p>
            <w:pPr>
              <w:jc w:val="left"/>
              <w:rPr>
                <w:rFonts w:hint="eastAsia"/>
                <w:color w:val="auto"/>
                <w:sz w:val="21"/>
                <w:szCs w:val="21"/>
                <w:highlight w:val="none"/>
              </w:rPr>
            </w:pPr>
            <w:r>
              <w:rPr>
                <w:rFonts w:hint="eastAsia"/>
                <w:color w:val="auto"/>
                <w:sz w:val="21"/>
                <w:szCs w:val="21"/>
                <w:highlight w:val="none"/>
              </w:rPr>
              <w:t>26吨振动式压路机</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3468</w:t>
            </w:r>
          </w:p>
        </w:tc>
        <w:tc>
          <w:tcPr>
            <w:tcW w:w="2236" w:type="dxa"/>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dxa"/>
            <w:vMerge w:val="restart"/>
            <w:noWrap w:val="0"/>
            <w:vAlign w:val="center"/>
          </w:tcPr>
          <w:p>
            <w:pPr>
              <w:spacing w:line="240" w:lineRule="exact"/>
              <w:jc w:val="left"/>
              <w:rPr>
                <w:rFonts w:hint="eastAsia" w:ascii="仿宋_GB2312" w:hAnsi="新宋体" w:eastAsia="仿宋_GB2312" w:cs="Arial"/>
                <w:color w:val="auto"/>
                <w:sz w:val="21"/>
                <w:szCs w:val="21"/>
                <w:highlight w:val="none"/>
              </w:rPr>
            </w:pPr>
            <w:r>
              <w:rPr>
                <w:rFonts w:hint="eastAsia" w:ascii="仿宋_GB2312" w:hAnsi="新宋体" w:eastAsia="仿宋_GB2312" w:cs="Arial"/>
                <w:color w:val="auto"/>
                <w:sz w:val="21"/>
                <w:szCs w:val="21"/>
                <w:highlight w:val="none"/>
              </w:rPr>
              <w:t>7</w:t>
            </w:r>
          </w:p>
        </w:tc>
        <w:tc>
          <w:tcPr>
            <w:tcW w:w="1079" w:type="dxa"/>
            <w:vMerge w:val="restart"/>
            <w:noWrap w:val="0"/>
            <w:vAlign w:val="center"/>
          </w:tcPr>
          <w:p>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空压机</w:t>
            </w:r>
            <w:r>
              <w:rPr>
                <w:rFonts w:hint="eastAsia"/>
                <w:color w:val="auto"/>
                <w:sz w:val="21"/>
                <w:szCs w:val="21"/>
                <w:highlight w:val="none"/>
              </w:rPr>
              <w:t>类</w:t>
            </w:r>
          </w:p>
        </w:tc>
        <w:tc>
          <w:tcPr>
            <w:tcW w:w="3212" w:type="dxa"/>
            <w:noWrap w:val="0"/>
            <w:vAlign w:val="center"/>
          </w:tcPr>
          <w:p>
            <w:pPr>
              <w:jc w:val="left"/>
              <w:rPr>
                <w:rFonts w:hint="eastAsia"/>
                <w:color w:val="auto"/>
                <w:sz w:val="21"/>
                <w:szCs w:val="21"/>
                <w:highlight w:val="none"/>
              </w:rPr>
            </w:pPr>
            <w:r>
              <w:rPr>
                <w:rFonts w:hint="eastAsia"/>
                <w:color w:val="auto"/>
                <w:sz w:val="21"/>
                <w:szCs w:val="21"/>
                <w:highlight w:val="none"/>
              </w:rPr>
              <w:t>柴油单头空压机</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900</w:t>
            </w:r>
          </w:p>
        </w:tc>
        <w:tc>
          <w:tcPr>
            <w:tcW w:w="2236" w:type="dxa"/>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79" w:type="dxa"/>
            <w:vMerge w:val="continue"/>
            <w:noWrap w:val="0"/>
            <w:vAlign w:val="center"/>
          </w:tcPr>
          <w:p>
            <w:pPr>
              <w:jc w:val="left"/>
              <w:rPr>
                <w:rFonts w:hint="eastAsia" w:ascii="宋体" w:hAnsi="宋体" w:cs="宋体"/>
                <w:color w:val="auto"/>
                <w:sz w:val="21"/>
                <w:szCs w:val="21"/>
                <w:highlight w:val="none"/>
              </w:rPr>
            </w:pPr>
          </w:p>
        </w:tc>
        <w:tc>
          <w:tcPr>
            <w:tcW w:w="3212" w:type="dxa"/>
            <w:noWrap w:val="0"/>
            <w:vAlign w:val="center"/>
          </w:tcPr>
          <w:p>
            <w:pPr>
              <w:jc w:val="left"/>
              <w:rPr>
                <w:rFonts w:hint="eastAsia"/>
                <w:color w:val="auto"/>
                <w:sz w:val="21"/>
                <w:szCs w:val="21"/>
                <w:highlight w:val="none"/>
              </w:rPr>
            </w:pPr>
            <w:r>
              <w:rPr>
                <w:rFonts w:hint="eastAsia"/>
                <w:color w:val="auto"/>
                <w:sz w:val="21"/>
                <w:szCs w:val="21"/>
                <w:highlight w:val="none"/>
              </w:rPr>
              <w:t>柴油双头空压机</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1600</w:t>
            </w:r>
          </w:p>
        </w:tc>
        <w:tc>
          <w:tcPr>
            <w:tcW w:w="2236" w:type="dxa"/>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50" w:type="dxa"/>
            <w:noWrap w:val="0"/>
            <w:vAlign w:val="center"/>
          </w:tcPr>
          <w:p>
            <w:pPr>
              <w:spacing w:line="240" w:lineRule="exact"/>
              <w:jc w:val="left"/>
              <w:rPr>
                <w:rFonts w:hint="eastAsia" w:ascii="仿宋_GB2312" w:hAnsi="新宋体" w:eastAsia="仿宋_GB2312" w:cs="Arial"/>
                <w:color w:val="auto"/>
                <w:sz w:val="21"/>
                <w:szCs w:val="21"/>
                <w:highlight w:val="none"/>
              </w:rPr>
            </w:pPr>
            <w:r>
              <w:rPr>
                <w:rFonts w:hint="eastAsia" w:ascii="仿宋_GB2312" w:hAnsi="新宋体" w:eastAsia="仿宋_GB2312" w:cs="Arial"/>
                <w:color w:val="auto"/>
                <w:sz w:val="21"/>
                <w:szCs w:val="21"/>
                <w:highlight w:val="none"/>
              </w:rPr>
              <w:t>8</w:t>
            </w:r>
          </w:p>
        </w:tc>
        <w:tc>
          <w:tcPr>
            <w:tcW w:w="1079" w:type="dxa"/>
            <w:noWrap w:val="0"/>
            <w:vAlign w:val="center"/>
          </w:tcPr>
          <w:p>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摊铺机类</w:t>
            </w:r>
          </w:p>
        </w:tc>
        <w:tc>
          <w:tcPr>
            <w:tcW w:w="3212" w:type="dxa"/>
            <w:noWrap w:val="0"/>
            <w:vAlign w:val="center"/>
          </w:tcPr>
          <w:p>
            <w:pPr>
              <w:jc w:val="left"/>
              <w:rPr>
                <w:rFonts w:hint="eastAsia"/>
                <w:color w:val="auto"/>
                <w:sz w:val="21"/>
                <w:szCs w:val="21"/>
                <w:highlight w:val="none"/>
              </w:rPr>
            </w:pPr>
            <w:r>
              <w:rPr>
                <w:rFonts w:hint="eastAsia"/>
                <w:color w:val="auto"/>
                <w:sz w:val="21"/>
                <w:szCs w:val="21"/>
                <w:highlight w:val="none"/>
              </w:rPr>
              <w:t>SSP100C-6摊铺机或相当于</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6336</w:t>
            </w:r>
          </w:p>
        </w:tc>
        <w:tc>
          <w:tcPr>
            <w:tcW w:w="2236" w:type="dxa"/>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dxa"/>
            <w:vMerge w:val="restart"/>
            <w:noWrap w:val="0"/>
            <w:vAlign w:val="center"/>
          </w:tcPr>
          <w:p>
            <w:pPr>
              <w:spacing w:line="240" w:lineRule="exact"/>
              <w:jc w:val="left"/>
              <w:rPr>
                <w:rFonts w:hint="eastAsia" w:ascii="仿宋_GB2312" w:hAnsi="新宋体" w:eastAsia="仿宋_GB2312" w:cs="Arial"/>
                <w:color w:val="auto"/>
                <w:sz w:val="21"/>
                <w:szCs w:val="21"/>
                <w:highlight w:val="none"/>
              </w:rPr>
            </w:pPr>
            <w:r>
              <w:rPr>
                <w:rFonts w:hint="eastAsia" w:ascii="仿宋_GB2312" w:hAnsi="新宋体" w:eastAsia="仿宋_GB2312" w:cs="Arial"/>
                <w:color w:val="auto"/>
                <w:sz w:val="21"/>
                <w:szCs w:val="21"/>
                <w:highlight w:val="none"/>
              </w:rPr>
              <w:t>9</w:t>
            </w:r>
          </w:p>
        </w:tc>
        <w:tc>
          <w:tcPr>
            <w:tcW w:w="1079" w:type="dxa"/>
            <w:vMerge w:val="restart"/>
            <w:noWrap w:val="0"/>
            <w:vAlign w:val="center"/>
          </w:tcPr>
          <w:p>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铣刨机类</w:t>
            </w:r>
          </w:p>
        </w:tc>
        <w:tc>
          <w:tcPr>
            <w:tcW w:w="3212" w:type="dxa"/>
            <w:noWrap w:val="0"/>
            <w:vAlign w:val="center"/>
          </w:tcPr>
          <w:p>
            <w:pPr>
              <w:jc w:val="left"/>
              <w:rPr>
                <w:rFonts w:hint="eastAsia"/>
                <w:color w:val="auto"/>
                <w:sz w:val="21"/>
                <w:szCs w:val="21"/>
                <w:highlight w:val="none"/>
              </w:rPr>
            </w:pPr>
            <w:r>
              <w:rPr>
                <w:rFonts w:hint="eastAsia"/>
                <w:color w:val="auto"/>
                <w:sz w:val="21"/>
                <w:szCs w:val="21"/>
                <w:highlight w:val="none"/>
              </w:rPr>
              <w:t>W1000</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14080</w:t>
            </w:r>
          </w:p>
        </w:tc>
        <w:tc>
          <w:tcPr>
            <w:tcW w:w="2236" w:type="dxa"/>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79" w:type="dxa"/>
            <w:vMerge w:val="continue"/>
            <w:noWrap w:val="0"/>
            <w:vAlign w:val="center"/>
          </w:tcPr>
          <w:p>
            <w:pPr>
              <w:jc w:val="left"/>
              <w:rPr>
                <w:rFonts w:hint="eastAsia" w:ascii="宋体" w:hAnsi="宋体" w:cs="宋体"/>
                <w:color w:val="auto"/>
                <w:sz w:val="21"/>
                <w:szCs w:val="21"/>
                <w:highlight w:val="none"/>
              </w:rPr>
            </w:pPr>
          </w:p>
        </w:tc>
        <w:tc>
          <w:tcPr>
            <w:tcW w:w="3212" w:type="dxa"/>
            <w:noWrap w:val="0"/>
            <w:vAlign w:val="center"/>
          </w:tcPr>
          <w:p>
            <w:pPr>
              <w:jc w:val="left"/>
              <w:rPr>
                <w:rFonts w:hint="eastAsia"/>
                <w:color w:val="auto"/>
                <w:sz w:val="21"/>
                <w:szCs w:val="21"/>
                <w:highlight w:val="none"/>
              </w:rPr>
            </w:pPr>
            <w:r>
              <w:rPr>
                <w:rFonts w:hint="eastAsia"/>
                <w:color w:val="auto"/>
                <w:sz w:val="21"/>
                <w:szCs w:val="21"/>
                <w:highlight w:val="none"/>
              </w:rPr>
              <w:t>W1900</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16012</w:t>
            </w:r>
          </w:p>
        </w:tc>
        <w:tc>
          <w:tcPr>
            <w:tcW w:w="2236" w:type="dxa"/>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dxa"/>
            <w:vMerge w:val="restart"/>
            <w:noWrap w:val="0"/>
            <w:vAlign w:val="center"/>
          </w:tcPr>
          <w:p>
            <w:pPr>
              <w:spacing w:line="240" w:lineRule="exact"/>
              <w:jc w:val="left"/>
              <w:rPr>
                <w:rFonts w:hint="eastAsia" w:ascii="仿宋_GB2312" w:hAnsi="新宋体" w:eastAsia="仿宋_GB2312" w:cs="Arial"/>
                <w:color w:val="auto"/>
                <w:sz w:val="21"/>
                <w:szCs w:val="21"/>
                <w:highlight w:val="none"/>
              </w:rPr>
            </w:pPr>
            <w:r>
              <w:rPr>
                <w:rFonts w:hint="eastAsia" w:ascii="仿宋_GB2312" w:hAnsi="新宋体" w:eastAsia="仿宋_GB2312" w:cs="Arial"/>
                <w:color w:val="auto"/>
                <w:sz w:val="21"/>
                <w:szCs w:val="21"/>
                <w:highlight w:val="none"/>
              </w:rPr>
              <w:t>10</w:t>
            </w:r>
          </w:p>
        </w:tc>
        <w:tc>
          <w:tcPr>
            <w:tcW w:w="1079" w:type="dxa"/>
            <w:vMerge w:val="restart"/>
            <w:noWrap w:val="0"/>
            <w:vAlign w:val="center"/>
          </w:tcPr>
          <w:p>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随车起重运输车</w:t>
            </w:r>
          </w:p>
        </w:tc>
        <w:tc>
          <w:tcPr>
            <w:tcW w:w="3212" w:type="dxa"/>
            <w:noWrap w:val="0"/>
            <w:vAlign w:val="center"/>
          </w:tcPr>
          <w:p>
            <w:pPr>
              <w:jc w:val="left"/>
              <w:rPr>
                <w:rFonts w:hint="eastAsia"/>
                <w:color w:val="auto"/>
                <w:sz w:val="21"/>
                <w:szCs w:val="21"/>
                <w:highlight w:val="none"/>
              </w:rPr>
            </w:pPr>
            <w:r>
              <w:rPr>
                <w:rFonts w:hint="eastAsia"/>
                <w:color w:val="auto"/>
                <w:sz w:val="21"/>
                <w:szCs w:val="21"/>
                <w:highlight w:val="none"/>
              </w:rPr>
              <w:t>4吨随车起重运输车</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1600</w:t>
            </w:r>
          </w:p>
        </w:tc>
        <w:tc>
          <w:tcPr>
            <w:tcW w:w="2236" w:type="dxa"/>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79" w:type="dxa"/>
            <w:vMerge w:val="continue"/>
            <w:noWrap w:val="0"/>
            <w:vAlign w:val="center"/>
          </w:tcPr>
          <w:p>
            <w:pPr>
              <w:jc w:val="left"/>
              <w:rPr>
                <w:rFonts w:hint="eastAsia" w:ascii="宋体" w:hAnsi="宋体" w:cs="宋体"/>
                <w:color w:val="auto"/>
                <w:sz w:val="21"/>
                <w:szCs w:val="21"/>
                <w:highlight w:val="none"/>
              </w:rPr>
            </w:pPr>
          </w:p>
        </w:tc>
        <w:tc>
          <w:tcPr>
            <w:tcW w:w="3212" w:type="dxa"/>
            <w:noWrap w:val="0"/>
            <w:vAlign w:val="center"/>
          </w:tcPr>
          <w:p>
            <w:pPr>
              <w:jc w:val="left"/>
              <w:rPr>
                <w:rFonts w:hint="eastAsia"/>
                <w:color w:val="auto"/>
                <w:sz w:val="21"/>
                <w:szCs w:val="21"/>
                <w:highlight w:val="none"/>
              </w:rPr>
            </w:pPr>
            <w:r>
              <w:rPr>
                <w:rFonts w:hint="eastAsia"/>
                <w:color w:val="auto"/>
                <w:sz w:val="21"/>
                <w:szCs w:val="21"/>
                <w:highlight w:val="none"/>
              </w:rPr>
              <w:t>8吨随车起重运输车</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2000</w:t>
            </w:r>
          </w:p>
        </w:tc>
        <w:tc>
          <w:tcPr>
            <w:tcW w:w="2236" w:type="dxa"/>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79" w:type="dxa"/>
            <w:vMerge w:val="continue"/>
            <w:noWrap w:val="0"/>
            <w:vAlign w:val="center"/>
          </w:tcPr>
          <w:p>
            <w:pPr>
              <w:jc w:val="left"/>
              <w:rPr>
                <w:rFonts w:hint="eastAsia" w:ascii="宋体" w:hAnsi="宋体" w:cs="宋体"/>
                <w:color w:val="auto"/>
                <w:sz w:val="21"/>
                <w:szCs w:val="21"/>
                <w:highlight w:val="none"/>
              </w:rPr>
            </w:pPr>
          </w:p>
        </w:tc>
        <w:tc>
          <w:tcPr>
            <w:tcW w:w="3212" w:type="dxa"/>
            <w:noWrap w:val="0"/>
            <w:vAlign w:val="center"/>
          </w:tcPr>
          <w:p>
            <w:pPr>
              <w:jc w:val="left"/>
              <w:rPr>
                <w:rFonts w:hint="eastAsia"/>
                <w:color w:val="auto"/>
                <w:sz w:val="21"/>
                <w:szCs w:val="21"/>
                <w:highlight w:val="none"/>
              </w:rPr>
            </w:pPr>
            <w:r>
              <w:rPr>
                <w:rFonts w:hint="eastAsia"/>
                <w:color w:val="auto"/>
                <w:sz w:val="21"/>
                <w:szCs w:val="21"/>
                <w:highlight w:val="none"/>
              </w:rPr>
              <w:t>12吨随车起重运输车</w:t>
            </w:r>
          </w:p>
        </w:tc>
        <w:tc>
          <w:tcPr>
            <w:tcW w:w="186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2600</w:t>
            </w:r>
          </w:p>
        </w:tc>
        <w:tc>
          <w:tcPr>
            <w:tcW w:w="2236" w:type="dxa"/>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dxa"/>
            <w:vMerge w:val="restart"/>
            <w:noWrap w:val="0"/>
            <w:vAlign w:val="center"/>
          </w:tcPr>
          <w:p>
            <w:pPr>
              <w:spacing w:line="240" w:lineRule="exact"/>
              <w:jc w:val="left"/>
              <w:rPr>
                <w:rFonts w:hint="eastAsia" w:ascii="仿宋_GB2312" w:hAnsi="新宋体" w:eastAsia="仿宋_GB2312" w:cs="Arial"/>
                <w:color w:val="auto"/>
                <w:sz w:val="21"/>
                <w:szCs w:val="21"/>
                <w:highlight w:val="none"/>
              </w:rPr>
            </w:pPr>
            <w:r>
              <w:rPr>
                <w:rFonts w:hint="eastAsia" w:ascii="仿宋_GB2312" w:hAnsi="新宋体" w:eastAsia="仿宋_GB2312" w:cs="Arial"/>
                <w:color w:val="auto"/>
                <w:sz w:val="21"/>
                <w:szCs w:val="21"/>
                <w:highlight w:val="none"/>
              </w:rPr>
              <w:t>11</w:t>
            </w:r>
          </w:p>
        </w:tc>
        <w:tc>
          <w:tcPr>
            <w:tcW w:w="1079" w:type="dxa"/>
            <w:vMerge w:val="restart"/>
            <w:noWrap w:val="0"/>
            <w:vAlign w:val="center"/>
          </w:tcPr>
          <w:p>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拖车类</w:t>
            </w:r>
          </w:p>
        </w:tc>
        <w:tc>
          <w:tcPr>
            <w:tcW w:w="3212" w:type="dxa"/>
            <w:noWrap w:val="0"/>
            <w:vAlign w:val="center"/>
          </w:tcPr>
          <w:p>
            <w:pPr>
              <w:jc w:val="left"/>
              <w:rPr>
                <w:rFonts w:hint="eastAsia"/>
                <w:color w:val="auto"/>
                <w:sz w:val="21"/>
                <w:szCs w:val="21"/>
                <w:highlight w:val="none"/>
              </w:rPr>
            </w:pPr>
            <w:r>
              <w:rPr>
                <w:rFonts w:hint="eastAsia"/>
                <w:color w:val="auto"/>
                <w:sz w:val="21"/>
                <w:szCs w:val="21"/>
                <w:highlight w:val="none"/>
              </w:rPr>
              <w:t>40吨平板拖车组（次）</w:t>
            </w:r>
          </w:p>
        </w:tc>
        <w:tc>
          <w:tcPr>
            <w:tcW w:w="1860" w:type="dxa"/>
            <w:noWrap w:val="0"/>
            <w:vAlign w:val="center"/>
          </w:tcPr>
          <w:p>
            <w:pPr>
              <w:jc w:val="center"/>
              <w:rPr>
                <w:rFonts w:hint="default" w:eastAsia="宋体"/>
                <w:color w:val="auto"/>
                <w:sz w:val="21"/>
                <w:szCs w:val="21"/>
                <w:highlight w:val="none"/>
                <w:lang w:val="en-US" w:eastAsia="zh-CN"/>
              </w:rPr>
            </w:pPr>
            <w:r>
              <w:rPr>
                <w:rFonts w:hint="eastAsia"/>
                <w:b w:val="0"/>
                <w:bCs w:val="0"/>
                <w:i w:val="0"/>
                <w:iCs w:val="0"/>
                <w:color w:val="auto"/>
                <w:sz w:val="21"/>
                <w:szCs w:val="21"/>
                <w:highlight w:val="none"/>
                <w:lang w:val="en-US" w:eastAsia="zh-CN"/>
              </w:rPr>
              <w:t>550</w:t>
            </w:r>
          </w:p>
        </w:tc>
        <w:tc>
          <w:tcPr>
            <w:tcW w:w="2236" w:type="dxa"/>
            <w:vMerge w:val="restart"/>
            <w:noWrap w:val="0"/>
            <w:vAlign w:val="center"/>
          </w:tcPr>
          <w:p>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甲方</w:t>
            </w:r>
            <w:r>
              <w:rPr>
                <w:rFonts w:hint="eastAsia" w:ascii="宋体" w:hAnsi="宋体" w:cs="宋体"/>
                <w:bCs/>
                <w:color w:val="auto"/>
                <w:spacing w:val="-4"/>
                <w:sz w:val="21"/>
                <w:szCs w:val="21"/>
                <w:highlight w:val="none"/>
              </w:rPr>
              <w:t>有权在分配工作方式时自由选定。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50" w:type="dxa"/>
            <w:vMerge w:val="continue"/>
            <w:noWrap w:val="0"/>
            <w:vAlign w:val="center"/>
          </w:tcPr>
          <w:p>
            <w:pPr>
              <w:spacing w:line="240" w:lineRule="exact"/>
              <w:jc w:val="left"/>
              <w:rPr>
                <w:rFonts w:hint="default" w:ascii="仿宋_GB2312" w:hAnsi="新宋体" w:eastAsia="仿宋_GB2312" w:cs="Arial"/>
                <w:color w:val="auto"/>
                <w:sz w:val="21"/>
                <w:szCs w:val="21"/>
                <w:highlight w:val="none"/>
                <w:lang w:val="en-US" w:eastAsia="zh-CN"/>
              </w:rPr>
            </w:pPr>
          </w:p>
        </w:tc>
        <w:tc>
          <w:tcPr>
            <w:tcW w:w="1079" w:type="dxa"/>
            <w:vMerge w:val="continue"/>
            <w:noWrap w:val="0"/>
            <w:vAlign w:val="center"/>
          </w:tcPr>
          <w:p>
            <w:pPr>
              <w:jc w:val="left"/>
              <w:rPr>
                <w:rFonts w:hint="eastAsia" w:ascii="宋体" w:hAnsi="宋体" w:eastAsia="宋体" w:cs="宋体"/>
                <w:color w:val="auto"/>
                <w:sz w:val="21"/>
                <w:szCs w:val="21"/>
                <w:highlight w:val="none"/>
                <w:lang w:eastAsia="zh-CN"/>
              </w:rPr>
            </w:pPr>
          </w:p>
        </w:tc>
        <w:tc>
          <w:tcPr>
            <w:tcW w:w="3212" w:type="dxa"/>
            <w:noWrap w:val="0"/>
            <w:vAlign w:val="center"/>
          </w:tcPr>
          <w:p>
            <w:pPr>
              <w:jc w:val="left"/>
              <w:rPr>
                <w:rFonts w:hint="eastAsia"/>
                <w:color w:val="auto"/>
                <w:sz w:val="21"/>
                <w:szCs w:val="21"/>
                <w:highlight w:val="none"/>
              </w:rPr>
            </w:pPr>
            <w:r>
              <w:rPr>
                <w:rFonts w:hint="eastAsia"/>
                <w:color w:val="auto"/>
                <w:sz w:val="21"/>
                <w:szCs w:val="21"/>
                <w:highlight w:val="none"/>
              </w:rPr>
              <w:t>40吨平板拖车组（台班）</w:t>
            </w:r>
          </w:p>
        </w:tc>
        <w:tc>
          <w:tcPr>
            <w:tcW w:w="1860" w:type="dxa"/>
            <w:noWrap w:val="0"/>
            <w:vAlign w:val="center"/>
          </w:tcPr>
          <w:p>
            <w:pPr>
              <w:jc w:val="center"/>
              <w:rPr>
                <w:rFonts w:hint="default"/>
                <w:color w:val="auto"/>
                <w:sz w:val="21"/>
                <w:szCs w:val="21"/>
                <w:highlight w:val="none"/>
                <w:lang w:val="en-US"/>
              </w:rPr>
            </w:pPr>
            <w:r>
              <w:rPr>
                <w:rFonts w:hint="eastAsia"/>
                <w:color w:val="auto"/>
                <w:sz w:val="21"/>
                <w:szCs w:val="21"/>
                <w:highlight w:val="none"/>
                <w:lang w:val="en-US" w:eastAsia="zh-CN"/>
              </w:rPr>
              <w:t>3900</w:t>
            </w:r>
          </w:p>
        </w:tc>
        <w:tc>
          <w:tcPr>
            <w:tcW w:w="2236" w:type="dxa"/>
            <w:vMerge w:val="continue"/>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dxa"/>
            <w:vMerge w:val="restart"/>
            <w:noWrap w:val="0"/>
            <w:vAlign w:val="center"/>
          </w:tcPr>
          <w:p>
            <w:pPr>
              <w:spacing w:line="240" w:lineRule="exact"/>
              <w:jc w:val="left"/>
              <w:rPr>
                <w:rFonts w:hint="eastAsia" w:ascii="仿宋_GB2312" w:hAnsi="新宋体" w:eastAsia="仿宋_GB2312" w:cs="Arial"/>
                <w:color w:val="auto"/>
                <w:sz w:val="21"/>
                <w:szCs w:val="21"/>
                <w:highlight w:val="none"/>
                <w:lang w:val="en-US" w:eastAsia="zh-CN"/>
              </w:rPr>
            </w:pPr>
            <w:r>
              <w:rPr>
                <w:rFonts w:hint="eastAsia" w:ascii="仿宋_GB2312" w:hAnsi="新宋体" w:eastAsia="仿宋_GB2312" w:cs="Arial"/>
                <w:color w:val="auto"/>
                <w:sz w:val="21"/>
                <w:szCs w:val="21"/>
                <w:highlight w:val="none"/>
                <w:lang w:val="en-US" w:eastAsia="zh-CN"/>
              </w:rPr>
              <w:t>12</w:t>
            </w:r>
          </w:p>
        </w:tc>
        <w:tc>
          <w:tcPr>
            <w:tcW w:w="1079" w:type="dxa"/>
            <w:vMerge w:val="restart"/>
            <w:noWrap w:val="0"/>
            <w:vAlign w:val="center"/>
          </w:tcPr>
          <w:p>
            <w:pPr>
              <w:jc w:val="lef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其他类</w:t>
            </w:r>
          </w:p>
        </w:tc>
        <w:tc>
          <w:tcPr>
            <w:tcW w:w="3212" w:type="dxa"/>
            <w:noWrap w:val="0"/>
            <w:vAlign w:val="center"/>
          </w:tcPr>
          <w:p>
            <w:pPr>
              <w:jc w:val="left"/>
              <w:rPr>
                <w:rFonts w:hint="eastAsia"/>
                <w:color w:val="auto"/>
                <w:sz w:val="21"/>
                <w:szCs w:val="21"/>
                <w:highlight w:val="none"/>
                <w:lang w:eastAsia="zh-CN"/>
              </w:rPr>
            </w:pPr>
            <w:r>
              <w:rPr>
                <w:rFonts w:hint="eastAsia"/>
                <w:color w:val="auto"/>
                <w:sz w:val="21"/>
                <w:szCs w:val="21"/>
                <w:highlight w:val="none"/>
                <w:lang w:eastAsia="zh-CN"/>
              </w:rPr>
              <w:t>升降机（</w:t>
            </w:r>
            <w:r>
              <w:rPr>
                <w:rFonts w:hint="eastAsia"/>
                <w:color w:val="auto"/>
                <w:sz w:val="21"/>
                <w:szCs w:val="21"/>
                <w:highlight w:val="none"/>
                <w:lang w:val="en-US" w:eastAsia="zh-CN"/>
              </w:rPr>
              <w:t>20米内）</w:t>
            </w:r>
          </w:p>
        </w:tc>
        <w:tc>
          <w:tcPr>
            <w:tcW w:w="1860" w:type="dxa"/>
            <w:noWrap w:val="0"/>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1500</w:t>
            </w:r>
          </w:p>
        </w:tc>
        <w:tc>
          <w:tcPr>
            <w:tcW w:w="2236" w:type="dxa"/>
            <w:vMerge w:val="restart"/>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dxa"/>
            <w:vMerge w:val="continue"/>
            <w:noWrap w:val="0"/>
            <w:vAlign w:val="center"/>
          </w:tcPr>
          <w:p>
            <w:pPr>
              <w:spacing w:line="240" w:lineRule="exact"/>
              <w:jc w:val="left"/>
              <w:rPr>
                <w:rFonts w:hint="default" w:ascii="仿宋_GB2312" w:hAnsi="新宋体" w:eastAsia="仿宋_GB2312" w:cs="Arial"/>
                <w:color w:val="auto"/>
                <w:sz w:val="21"/>
                <w:szCs w:val="21"/>
                <w:highlight w:val="none"/>
                <w:lang w:val="en-US" w:eastAsia="zh-CN"/>
              </w:rPr>
            </w:pPr>
          </w:p>
        </w:tc>
        <w:tc>
          <w:tcPr>
            <w:tcW w:w="1079" w:type="dxa"/>
            <w:vMerge w:val="continue"/>
            <w:noWrap w:val="0"/>
            <w:vAlign w:val="center"/>
          </w:tcPr>
          <w:p>
            <w:pPr>
              <w:jc w:val="left"/>
              <w:rPr>
                <w:rFonts w:hint="default" w:ascii="宋体" w:hAnsi="宋体" w:eastAsia="宋体" w:cs="宋体"/>
                <w:color w:val="auto"/>
                <w:sz w:val="21"/>
                <w:szCs w:val="21"/>
                <w:highlight w:val="none"/>
                <w:lang w:val="en-US" w:eastAsia="zh-CN"/>
              </w:rPr>
            </w:pPr>
          </w:p>
        </w:tc>
        <w:tc>
          <w:tcPr>
            <w:tcW w:w="3212" w:type="dxa"/>
            <w:noWrap w:val="0"/>
            <w:vAlign w:val="center"/>
          </w:tcPr>
          <w:p>
            <w:pPr>
              <w:jc w:val="left"/>
              <w:rPr>
                <w:rFonts w:hint="eastAsia" w:eastAsia="宋体"/>
                <w:color w:val="auto"/>
                <w:sz w:val="21"/>
                <w:szCs w:val="21"/>
                <w:highlight w:val="none"/>
                <w:lang w:eastAsia="zh-CN"/>
              </w:rPr>
            </w:pPr>
            <w:r>
              <w:rPr>
                <w:rFonts w:hint="eastAsia"/>
                <w:color w:val="auto"/>
                <w:sz w:val="21"/>
                <w:szCs w:val="21"/>
                <w:highlight w:val="none"/>
                <w:lang w:eastAsia="zh-CN"/>
              </w:rPr>
              <w:t>油锯</w:t>
            </w:r>
          </w:p>
        </w:tc>
        <w:tc>
          <w:tcPr>
            <w:tcW w:w="1860" w:type="dxa"/>
            <w:noWrap w:val="0"/>
            <w:vAlign w:val="center"/>
          </w:tcPr>
          <w:p>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450</w:t>
            </w:r>
          </w:p>
        </w:tc>
        <w:tc>
          <w:tcPr>
            <w:tcW w:w="2236" w:type="dxa"/>
            <w:vMerge w:val="continue"/>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dxa"/>
            <w:vMerge w:val="restart"/>
            <w:noWrap w:val="0"/>
            <w:vAlign w:val="center"/>
          </w:tcPr>
          <w:p>
            <w:pPr>
              <w:spacing w:line="240" w:lineRule="exact"/>
              <w:jc w:val="left"/>
              <w:rPr>
                <w:rFonts w:hint="eastAsia" w:ascii="仿宋_GB2312" w:hAnsi="新宋体" w:eastAsia="仿宋_GB2312" w:cs="Arial"/>
                <w:color w:val="auto"/>
                <w:sz w:val="21"/>
                <w:szCs w:val="21"/>
                <w:highlight w:val="none"/>
                <w:lang w:val="en-US" w:eastAsia="zh-CN"/>
              </w:rPr>
            </w:pPr>
            <w:r>
              <w:rPr>
                <w:rFonts w:hint="eastAsia" w:ascii="仿宋_GB2312" w:hAnsi="新宋体" w:eastAsia="仿宋_GB2312" w:cs="Arial"/>
                <w:color w:val="auto"/>
                <w:sz w:val="21"/>
                <w:szCs w:val="21"/>
                <w:highlight w:val="none"/>
                <w:lang w:val="en-US" w:eastAsia="zh-CN"/>
              </w:rPr>
              <w:t>13</w:t>
            </w:r>
          </w:p>
        </w:tc>
        <w:tc>
          <w:tcPr>
            <w:tcW w:w="1079" w:type="dxa"/>
            <w:vMerge w:val="restart"/>
            <w:noWrap w:val="0"/>
            <w:vAlign w:val="center"/>
          </w:tcPr>
          <w:p>
            <w:pPr>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人工类</w:t>
            </w:r>
            <w:r>
              <w:rPr>
                <w:rFonts w:hint="eastAsia"/>
                <w:color w:val="auto"/>
                <w:sz w:val="21"/>
                <w:szCs w:val="21"/>
                <w:highlight w:val="none"/>
              </w:rPr>
              <w:t>（含餐费、交通费等全部费用）</w:t>
            </w:r>
          </w:p>
        </w:tc>
        <w:tc>
          <w:tcPr>
            <w:tcW w:w="3212" w:type="dxa"/>
            <w:noWrap w:val="0"/>
            <w:vAlign w:val="center"/>
          </w:tcPr>
          <w:p>
            <w:pPr>
              <w:jc w:val="left"/>
              <w:rPr>
                <w:rFonts w:hint="eastAsia"/>
                <w:color w:val="auto"/>
                <w:sz w:val="21"/>
                <w:szCs w:val="21"/>
                <w:highlight w:val="none"/>
                <w:lang w:eastAsia="zh-CN"/>
              </w:rPr>
            </w:pPr>
            <w:r>
              <w:rPr>
                <w:rFonts w:hint="eastAsia"/>
                <w:color w:val="auto"/>
                <w:sz w:val="21"/>
                <w:szCs w:val="21"/>
                <w:highlight w:val="none"/>
                <w:lang w:eastAsia="zh-CN"/>
              </w:rPr>
              <w:t>普工</w:t>
            </w:r>
          </w:p>
        </w:tc>
        <w:tc>
          <w:tcPr>
            <w:tcW w:w="1860" w:type="dxa"/>
            <w:noWrap w:val="0"/>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250</w:t>
            </w:r>
          </w:p>
        </w:tc>
        <w:tc>
          <w:tcPr>
            <w:tcW w:w="2236" w:type="dxa"/>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lang w:val="en-US" w:eastAsia="zh-CN"/>
              </w:rPr>
            </w:pPr>
          </w:p>
        </w:tc>
        <w:tc>
          <w:tcPr>
            <w:tcW w:w="1079" w:type="dxa"/>
            <w:vMerge w:val="continue"/>
            <w:noWrap w:val="0"/>
            <w:vAlign w:val="center"/>
          </w:tcPr>
          <w:p>
            <w:pPr>
              <w:jc w:val="left"/>
              <w:rPr>
                <w:rFonts w:hint="eastAsia" w:ascii="宋体" w:hAnsi="宋体" w:cs="宋体"/>
                <w:color w:val="auto"/>
                <w:sz w:val="21"/>
                <w:szCs w:val="21"/>
                <w:highlight w:val="none"/>
                <w:lang w:val="en-US" w:eastAsia="zh-CN"/>
              </w:rPr>
            </w:pPr>
          </w:p>
        </w:tc>
        <w:tc>
          <w:tcPr>
            <w:tcW w:w="3212" w:type="dxa"/>
            <w:noWrap w:val="0"/>
            <w:vAlign w:val="center"/>
          </w:tcPr>
          <w:p>
            <w:pPr>
              <w:jc w:val="left"/>
              <w:rPr>
                <w:rFonts w:hint="eastAsia"/>
                <w:color w:val="auto"/>
                <w:sz w:val="21"/>
                <w:szCs w:val="21"/>
                <w:highlight w:val="none"/>
                <w:lang w:eastAsia="zh-CN"/>
              </w:rPr>
            </w:pPr>
            <w:r>
              <w:rPr>
                <w:rFonts w:hint="eastAsia"/>
                <w:color w:val="auto"/>
                <w:sz w:val="21"/>
                <w:szCs w:val="21"/>
                <w:highlight w:val="none"/>
                <w:lang w:eastAsia="zh-CN"/>
              </w:rPr>
              <w:t>技工（水、电、空压机等技工）</w:t>
            </w:r>
          </w:p>
        </w:tc>
        <w:tc>
          <w:tcPr>
            <w:tcW w:w="1860" w:type="dxa"/>
            <w:noWrap w:val="0"/>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350</w:t>
            </w:r>
          </w:p>
        </w:tc>
        <w:tc>
          <w:tcPr>
            <w:tcW w:w="2236" w:type="dxa"/>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50"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lang w:val="en-US" w:eastAsia="zh-CN"/>
              </w:rPr>
            </w:pPr>
          </w:p>
        </w:tc>
        <w:tc>
          <w:tcPr>
            <w:tcW w:w="1079" w:type="dxa"/>
            <w:vMerge w:val="continue"/>
            <w:noWrap w:val="0"/>
            <w:vAlign w:val="center"/>
          </w:tcPr>
          <w:p>
            <w:pPr>
              <w:jc w:val="left"/>
              <w:rPr>
                <w:rFonts w:hint="eastAsia" w:ascii="宋体" w:hAnsi="宋体" w:cs="宋体"/>
                <w:color w:val="auto"/>
                <w:sz w:val="21"/>
                <w:szCs w:val="21"/>
                <w:highlight w:val="none"/>
                <w:lang w:val="en-US" w:eastAsia="zh-CN"/>
              </w:rPr>
            </w:pPr>
          </w:p>
        </w:tc>
        <w:tc>
          <w:tcPr>
            <w:tcW w:w="3212" w:type="dxa"/>
            <w:noWrap w:val="0"/>
            <w:vAlign w:val="center"/>
          </w:tcPr>
          <w:p>
            <w:pPr>
              <w:jc w:val="left"/>
              <w:rPr>
                <w:rFonts w:hint="eastAsia" w:ascii="Calibri" w:hAnsi="Calibri" w:eastAsia="宋体" w:cs="Times New Roman"/>
                <w:color w:val="auto"/>
                <w:kern w:val="2"/>
                <w:sz w:val="21"/>
                <w:szCs w:val="21"/>
                <w:highlight w:val="none"/>
                <w:lang w:val="en-US" w:eastAsia="zh-CN" w:bidi="ar-SA"/>
              </w:rPr>
            </w:pPr>
            <w:r>
              <w:rPr>
                <w:rFonts w:hint="eastAsia"/>
                <w:color w:val="auto"/>
                <w:sz w:val="21"/>
                <w:szCs w:val="21"/>
                <w:highlight w:val="none"/>
                <w:lang w:eastAsia="zh-CN"/>
              </w:rPr>
              <w:t>现场安全维护、管理、协调等人员</w:t>
            </w:r>
          </w:p>
        </w:tc>
        <w:tc>
          <w:tcPr>
            <w:tcW w:w="1860" w:type="dxa"/>
            <w:noWrap w:val="0"/>
            <w:vAlign w:val="center"/>
          </w:tcPr>
          <w:p>
            <w:pPr>
              <w:jc w:val="center"/>
              <w:rPr>
                <w:rFonts w:hint="eastAsia" w:ascii="Calibri" w:hAnsi="Calibri"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250</w:t>
            </w:r>
          </w:p>
        </w:tc>
        <w:tc>
          <w:tcPr>
            <w:tcW w:w="2236" w:type="dxa"/>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dxa"/>
            <w:noWrap w:val="0"/>
            <w:vAlign w:val="center"/>
          </w:tcPr>
          <w:p>
            <w:pPr>
              <w:spacing w:line="240" w:lineRule="exact"/>
              <w:jc w:val="left"/>
              <w:rPr>
                <w:rFonts w:hint="default" w:ascii="仿宋_GB2312" w:hAnsi="新宋体" w:eastAsia="仿宋_GB2312" w:cs="Arial"/>
                <w:color w:val="auto"/>
                <w:sz w:val="21"/>
                <w:szCs w:val="21"/>
                <w:highlight w:val="none"/>
                <w:lang w:val="en-US" w:eastAsia="zh-CN"/>
              </w:rPr>
            </w:pPr>
            <w:r>
              <w:rPr>
                <w:rFonts w:hint="eastAsia" w:ascii="仿宋_GB2312" w:hAnsi="新宋体" w:eastAsia="仿宋_GB2312" w:cs="Arial"/>
                <w:color w:val="auto"/>
                <w:sz w:val="21"/>
                <w:szCs w:val="21"/>
                <w:highlight w:val="none"/>
                <w:lang w:val="en-US" w:eastAsia="zh-CN"/>
              </w:rPr>
              <w:t>14</w:t>
            </w:r>
          </w:p>
        </w:tc>
        <w:tc>
          <w:tcPr>
            <w:tcW w:w="107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打围墙</w:t>
            </w:r>
          </w:p>
        </w:tc>
        <w:tc>
          <w:tcPr>
            <w:tcW w:w="3212" w:type="dxa"/>
            <w:noWrap w:val="0"/>
            <w:vAlign w:val="center"/>
          </w:tcPr>
          <w:p>
            <w:pPr>
              <w:jc w:val="left"/>
              <w:rPr>
                <w:rFonts w:hint="default"/>
                <w:color w:val="auto"/>
                <w:sz w:val="21"/>
                <w:szCs w:val="21"/>
                <w:highlight w:val="none"/>
                <w:lang w:val="en-US" w:eastAsia="zh-CN"/>
              </w:rPr>
            </w:pPr>
            <w:r>
              <w:rPr>
                <w:rFonts w:hint="eastAsia"/>
                <w:color w:val="auto"/>
                <w:sz w:val="21"/>
                <w:szCs w:val="21"/>
                <w:highlight w:val="none"/>
                <w:lang w:eastAsia="zh-CN"/>
              </w:rPr>
              <w:t>高</w:t>
            </w:r>
            <w:r>
              <w:rPr>
                <w:rFonts w:hint="eastAsia"/>
                <w:color w:val="auto"/>
                <w:sz w:val="21"/>
                <w:szCs w:val="21"/>
                <w:highlight w:val="none"/>
                <w:lang w:val="en-US" w:eastAsia="zh-CN"/>
              </w:rPr>
              <w:t>2米，不含广告</w:t>
            </w:r>
          </w:p>
        </w:tc>
        <w:tc>
          <w:tcPr>
            <w:tcW w:w="1860" w:type="dxa"/>
            <w:noWrap w:val="0"/>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630元/米</w:t>
            </w:r>
          </w:p>
        </w:tc>
        <w:tc>
          <w:tcPr>
            <w:tcW w:w="2236" w:type="dxa"/>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8937" w:type="dxa"/>
            <w:gridSpan w:val="5"/>
            <w:noWrap w:val="0"/>
            <w:vAlign w:val="center"/>
          </w:tcPr>
          <w:p>
            <w:pPr>
              <w:widowControl/>
              <w:spacing w:line="360" w:lineRule="exact"/>
              <w:rPr>
                <w:rFonts w:hint="eastAsia" w:eastAsia="宋体"/>
                <w:color w:val="auto"/>
                <w:sz w:val="21"/>
                <w:szCs w:val="21"/>
                <w:highlight w:val="none"/>
                <w:lang w:eastAsia="zh-CN"/>
              </w:rPr>
            </w:pPr>
            <w:r>
              <w:rPr>
                <w:rFonts w:hint="eastAsia"/>
                <w:color w:val="auto"/>
                <w:sz w:val="21"/>
                <w:szCs w:val="21"/>
                <w:highlight w:val="none"/>
              </w:rPr>
              <w:t>注：1、</w:t>
            </w:r>
            <w:r>
              <w:rPr>
                <w:rFonts w:hint="eastAsia"/>
                <w:color w:val="auto"/>
                <w:sz w:val="21"/>
                <w:szCs w:val="21"/>
                <w:highlight w:val="none"/>
                <w:lang w:eastAsia="zh-CN"/>
              </w:rPr>
              <w:t>报价要求：在以上综合单价基础上</w:t>
            </w:r>
            <w:r>
              <w:rPr>
                <w:rFonts w:hint="eastAsia"/>
                <w:color w:val="auto"/>
                <w:sz w:val="21"/>
                <w:szCs w:val="21"/>
                <w:highlight w:val="none"/>
              </w:rPr>
              <w:t>，投标报价统一采用费率报价</w:t>
            </w:r>
            <w:r>
              <w:rPr>
                <w:rFonts w:hint="eastAsia"/>
                <w:color w:val="auto"/>
                <w:sz w:val="21"/>
                <w:szCs w:val="21"/>
                <w:highlight w:val="none"/>
                <w:lang w:eastAsia="zh-CN"/>
              </w:rPr>
              <w:t>，</w:t>
            </w:r>
            <w:r>
              <w:rPr>
                <w:rFonts w:hint="eastAsia" w:ascii="宋体" w:hAnsi="宋体" w:cs="宋体"/>
                <w:b/>
                <w:bCs/>
                <w:color w:val="auto"/>
                <w:sz w:val="21"/>
                <w:szCs w:val="21"/>
                <w:highlight w:val="none"/>
                <w:u w:val="single"/>
              </w:rPr>
              <w:t>供应商各项服务项目投标费率不得高于100%，否则其</w:t>
            </w:r>
            <w:r>
              <w:rPr>
                <w:rFonts w:hint="eastAsia"/>
                <w:b/>
                <w:bCs/>
                <w:color w:val="auto"/>
                <w:sz w:val="21"/>
                <w:szCs w:val="21"/>
                <w:highlight w:val="none"/>
                <w:u w:val="single"/>
              </w:rPr>
              <w:t>投标</w:t>
            </w:r>
            <w:r>
              <w:rPr>
                <w:rFonts w:hint="eastAsia"/>
                <w:b/>
                <w:bCs/>
                <w:color w:val="auto"/>
                <w:sz w:val="21"/>
                <w:szCs w:val="21"/>
                <w:highlight w:val="none"/>
                <w:u w:val="single"/>
                <w:lang w:eastAsia="zh-CN"/>
              </w:rPr>
              <w:t>作无效标处理</w:t>
            </w:r>
            <w:r>
              <w:rPr>
                <w:rFonts w:hint="eastAsia"/>
                <w:b/>
                <w:bCs/>
                <w:color w:val="auto"/>
                <w:sz w:val="21"/>
                <w:szCs w:val="21"/>
                <w:highlight w:val="none"/>
                <w:u w:val="single"/>
              </w:rPr>
              <w:t>。</w:t>
            </w:r>
          </w:p>
          <w:p>
            <w:pPr>
              <w:widowControl/>
              <w:spacing w:line="360" w:lineRule="exact"/>
              <w:ind w:firstLine="420" w:firstLineChars="200"/>
              <w:rPr>
                <w:rFonts w:hint="default" w:eastAsia="宋体"/>
                <w:color w:val="auto"/>
                <w:sz w:val="21"/>
                <w:szCs w:val="21"/>
                <w:highlight w:val="none"/>
                <w:lang w:val="en-US" w:eastAsia="zh-CN"/>
              </w:rPr>
            </w:pPr>
            <w:r>
              <w:rPr>
                <w:rFonts w:hint="eastAsia"/>
                <w:color w:val="auto"/>
                <w:sz w:val="21"/>
                <w:szCs w:val="21"/>
                <w:highlight w:val="none"/>
                <w:lang w:val="en-US" w:eastAsia="zh-CN"/>
              </w:rPr>
              <w:t>2、</w:t>
            </w:r>
            <w:r>
              <w:rPr>
                <w:rStyle w:val="414"/>
                <w:rFonts w:cs="Times New Roman"/>
                <w:bCs/>
                <w:color w:val="auto"/>
                <w:sz w:val="21"/>
                <w:szCs w:val="21"/>
                <w:highlight w:val="none"/>
              </w:rPr>
              <w:t>作业人员职工年龄</w:t>
            </w:r>
            <w:r>
              <w:rPr>
                <w:rStyle w:val="414"/>
                <w:rFonts w:hint="eastAsia" w:cs="Times New Roman"/>
                <w:bCs/>
                <w:color w:val="auto"/>
                <w:sz w:val="21"/>
                <w:szCs w:val="21"/>
                <w:highlight w:val="none"/>
                <w:lang w:eastAsia="zh-CN"/>
              </w:rPr>
              <w:t>不得大于</w:t>
            </w:r>
            <w:r>
              <w:rPr>
                <w:rStyle w:val="414"/>
                <w:rFonts w:cs="Times New Roman"/>
                <w:bCs/>
                <w:color w:val="auto"/>
                <w:sz w:val="21"/>
                <w:szCs w:val="21"/>
                <w:highlight w:val="none"/>
              </w:rPr>
              <w:t>6</w:t>
            </w:r>
            <w:r>
              <w:rPr>
                <w:rStyle w:val="414"/>
                <w:rFonts w:hint="eastAsia" w:cs="Times New Roman"/>
                <w:bCs/>
                <w:color w:val="auto"/>
                <w:sz w:val="21"/>
                <w:szCs w:val="21"/>
                <w:highlight w:val="none"/>
                <w:lang w:val="en-US" w:eastAsia="zh-CN"/>
              </w:rPr>
              <w:t>0</w:t>
            </w:r>
            <w:r>
              <w:rPr>
                <w:rStyle w:val="414"/>
                <w:rFonts w:cs="Times New Roman"/>
                <w:bCs/>
                <w:color w:val="auto"/>
                <w:sz w:val="21"/>
                <w:szCs w:val="21"/>
                <w:highlight w:val="none"/>
              </w:rPr>
              <w:t>周岁，且要热爱环卫事业，身体健康，无严重残疾和不良嗜好。</w:t>
            </w:r>
          </w:p>
          <w:p>
            <w:pPr>
              <w:widowControl/>
              <w:spacing w:line="360" w:lineRule="exact"/>
              <w:ind w:firstLine="420" w:firstLineChars="200"/>
              <w:rPr>
                <w:rFonts w:hint="eastAsia"/>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以上价格为全费用综合单价，所有相关费用均包含在内。此单价包括质量标准规定的所有工作内容在内的施工设备（机械设备、运输车辆、机械操作人员要求证件齐全）、劳务、管理、材料、人工费（包括人工工资、预计加班费用、员工人身意外伤害保险、劳保用品费、保险等）、运输、安装、维护、保险、机械进退场费、施工技术措施费、施工组织措施费、企业管理费、利润、税金及合同包含的所有风险、责任等各项应有费用均应考虑在内。投标人须充分考虑安全生产的相关措施费用，并计入投标报价。</w:t>
            </w:r>
          </w:p>
          <w:p>
            <w:pPr>
              <w:widowControl/>
              <w:spacing w:line="360" w:lineRule="exact"/>
              <w:ind w:firstLine="420" w:firstLineChars="200"/>
              <w:rPr>
                <w:rFonts w:hint="eastAsia"/>
                <w:color w:val="auto"/>
                <w:sz w:val="21"/>
                <w:szCs w:val="21"/>
                <w:highlight w:val="none"/>
              </w:rPr>
            </w:pPr>
            <w:r>
              <w:rPr>
                <w:rFonts w:hint="eastAsia"/>
                <w:color w:val="auto"/>
                <w:sz w:val="21"/>
                <w:szCs w:val="21"/>
                <w:highlight w:val="none"/>
                <w:lang w:val="en-US" w:eastAsia="zh-CN"/>
              </w:rPr>
              <w:t>4</w:t>
            </w:r>
            <w:r>
              <w:rPr>
                <w:rFonts w:hint="eastAsia"/>
                <w:color w:val="auto"/>
                <w:sz w:val="21"/>
                <w:szCs w:val="21"/>
                <w:highlight w:val="none"/>
              </w:rPr>
              <w:t>、以上服务项目中工作时间皆按8小时计算；施工过程中需要的其他机械设备产生的费用由投标单位自行解决；特殊情况需要加班的，根据采购人要求，做好加班工作，费用按小时计算。</w:t>
            </w:r>
          </w:p>
          <w:p>
            <w:pPr>
              <w:widowControl/>
              <w:spacing w:line="360" w:lineRule="exact"/>
              <w:ind w:firstLine="420" w:firstLineChars="200"/>
              <w:rPr>
                <w:rFonts w:hint="eastAsia"/>
                <w:color w:val="auto"/>
                <w:sz w:val="21"/>
                <w:szCs w:val="21"/>
                <w:highlight w:val="none"/>
              </w:rPr>
            </w:pPr>
            <w:r>
              <w:rPr>
                <w:rFonts w:hint="eastAsia"/>
                <w:color w:val="auto"/>
                <w:sz w:val="21"/>
                <w:szCs w:val="21"/>
                <w:highlight w:val="none"/>
                <w:lang w:val="en-US" w:eastAsia="zh-CN"/>
              </w:rPr>
              <w:t>5</w:t>
            </w:r>
            <w:r>
              <w:rPr>
                <w:rFonts w:hint="eastAsia"/>
                <w:color w:val="auto"/>
                <w:sz w:val="21"/>
                <w:szCs w:val="21"/>
                <w:highlight w:val="none"/>
              </w:rPr>
              <w:t>、最终工程量按实结算，本项目</w:t>
            </w:r>
            <w:r>
              <w:rPr>
                <w:rFonts w:hint="eastAsia"/>
                <w:color w:val="auto"/>
                <w:sz w:val="21"/>
                <w:szCs w:val="21"/>
                <w:highlight w:val="none"/>
                <w:lang w:eastAsia="zh-CN"/>
              </w:rPr>
              <w:t>人工、机械</w:t>
            </w:r>
            <w:r>
              <w:rPr>
                <w:rFonts w:hint="eastAsia"/>
                <w:color w:val="auto"/>
                <w:sz w:val="21"/>
                <w:szCs w:val="21"/>
                <w:highlight w:val="none"/>
              </w:rPr>
              <w:t>最终</w:t>
            </w:r>
            <w:r>
              <w:rPr>
                <w:rFonts w:hint="eastAsia"/>
                <w:color w:val="auto"/>
                <w:sz w:val="21"/>
                <w:szCs w:val="21"/>
                <w:highlight w:val="none"/>
                <w:lang w:eastAsia="zh-CN"/>
              </w:rPr>
              <w:t>中标</w:t>
            </w:r>
            <w:r>
              <w:rPr>
                <w:rFonts w:hint="eastAsia"/>
                <w:color w:val="auto"/>
                <w:sz w:val="21"/>
                <w:szCs w:val="21"/>
                <w:highlight w:val="none"/>
              </w:rPr>
              <w:t>单价=</w:t>
            </w:r>
            <w:r>
              <w:rPr>
                <w:rFonts w:hint="eastAsia"/>
                <w:color w:val="auto"/>
                <w:sz w:val="21"/>
                <w:szCs w:val="21"/>
                <w:highlight w:val="none"/>
                <w:lang w:eastAsia="zh-CN"/>
              </w:rPr>
              <w:t>全费用综合</w:t>
            </w:r>
            <w:r>
              <w:rPr>
                <w:rFonts w:hint="eastAsia"/>
                <w:color w:val="auto"/>
                <w:sz w:val="21"/>
                <w:szCs w:val="21"/>
                <w:highlight w:val="none"/>
              </w:rPr>
              <w:t>单价*</w:t>
            </w:r>
            <w:r>
              <w:rPr>
                <w:rFonts w:hint="eastAsia"/>
                <w:color w:val="auto"/>
                <w:sz w:val="21"/>
                <w:szCs w:val="21"/>
                <w:highlight w:val="none"/>
                <w:lang w:eastAsia="zh-CN"/>
              </w:rPr>
              <w:t>中标</w:t>
            </w:r>
            <w:r>
              <w:rPr>
                <w:rFonts w:hint="eastAsia"/>
                <w:color w:val="auto"/>
                <w:sz w:val="21"/>
                <w:szCs w:val="21"/>
                <w:highlight w:val="none"/>
              </w:rPr>
              <w:t>费率。</w:t>
            </w:r>
          </w:p>
          <w:p>
            <w:pPr>
              <w:widowControl/>
              <w:spacing w:line="360" w:lineRule="auto"/>
              <w:ind w:firstLine="420" w:firstLineChars="200"/>
              <w:jc w:val="left"/>
              <w:rPr>
                <w:rFonts w:hint="eastAsia" w:ascii="宋体" w:hAnsi="宋体" w:eastAsia="宋体" w:cs="宋体"/>
                <w:b w:val="0"/>
                <w:bCs/>
                <w:color w:val="auto"/>
                <w:sz w:val="24"/>
                <w:szCs w:val="24"/>
                <w:highlight w:val="none"/>
                <w:lang w:val="en-US" w:eastAsia="zh-CN"/>
              </w:rPr>
            </w:pPr>
            <w:r>
              <w:rPr>
                <w:rFonts w:hint="eastAsia"/>
                <w:color w:val="auto"/>
                <w:sz w:val="21"/>
                <w:szCs w:val="21"/>
                <w:highlight w:val="none"/>
                <w:lang w:val="en-US" w:eastAsia="zh-CN"/>
              </w:rPr>
              <w:t>6</w:t>
            </w:r>
            <w:r>
              <w:rPr>
                <w:rFonts w:hint="eastAsia"/>
                <w:color w:val="auto"/>
                <w:sz w:val="21"/>
                <w:szCs w:val="21"/>
                <w:highlight w:val="none"/>
              </w:rPr>
              <w:t>、</w:t>
            </w:r>
            <w:r>
              <w:rPr>
                <w:rFonts w:hint="eastAsia" w:ascii="Times New Roman" w:hAnsi="Times New Roman" w:eastAsia="宋体" w:cs="Times New Roman"/>
                <w:color w:val="auto"/>
                <w:sz w:val="21"/>
                <w:szCs w:val="21"/>
                <w:highlight w:val="none"/>
                <w:lang w:val="en-US" w:eastAsia="zh-CN"/>
              </w:rPr>
              <w:t>垃圾处置费按246元/吨结算，垃圾处置量按实结算，结算时以联系单为准。</w:t>
            </w:r>
          </w:p>
          <w:p>
            <w:pPr>
              <w:widowControl/>
              <w:spacing w:line="360" w:lineRule="exact"/>
              <w:ind w:firstLine="420" w:firstLineChars="200"/>
              <w:rPr>
                <w:rFonts w:hint="eastAsia"/>
                <w:color w:val="auto"/>
                <w:sz w:val="21"/>
                <w:szCs w:val="21"/>
                <w:highlight w:val="none"/>
              </w:rPr>
            </w:pPr>
            <w:r>
              <w:rPr>
                <w:rFonts w:hint="eastAsia"/>
                <w:color w:val="auto"/>
                <w:sz w:val="21"/>
                <w:szCs w:val="21"/>
                <w:highlight w:val="none"/>
                <w:lang w:val="en-US" w:eastAsia="zh-CN"/>
              </w:rPr>
              <w:t>7、</w:t>
            </w:r>
            <w:r>
              <w:rPr>
                <w:rFonts w:hint="eastAsia"/>
                <w:color w:val="auto"/>
                <w:sz w:val="21"/>
                <w:szCs w:val="21"/>
                <w:highlight w:val="none"/>
              </w:rPr>
              <w:t>该项目要求中标单位及时响应并完成清运处置、打围墙、围挡、环境整治等任务。</w:t>
            </w:r>
          </w:p>
          <w:p>
            <w:pPr>
              <w:widowControl/>
              <w:spacing w:line="360" w:lineRule="exact"/>
              <w:ind w:firstLine="420" w:firstLineChars="200"/>
              <w:rPr>
                <w:rFonts w:hint="eastAsia"/>
                <w:color w:val="auto"/>
                <w:sz w:val="21"/>
                <w:szCs w:val="21"/>
                <w:highlight w:val="none"/>
              </w:rPr>
            </w:pPr>
            <w:r>
              <w:rPr>
                <w:rFonts w:hint="eastAsia"/>
                <w:color w:val="auto"/>
                <w:sz w:val="21"/>
                <w:szCs w:val="21"/>
                <w:highlight w:val="none"/>
                <w:lang w:val="en-US" w:eastAsia="zh-CN"/>
              </w:rPr>
              <w:t>8</w:t>
            </w:r>
            <w:r>
              <w:rPr>
                <w:rFonts w:hint="eastAsia"/>
                <w:color w:val="auto"/>
                <w:sz w:val="21"/>
                <w:szCs w:val="21"/>
                <w:highlight w:val="none"/>
              </w:rPr>
              <w:t>、中标供应商需为所有乙方委派的工作人员购买人身伤亡意外险，负责用工人员的人身伤亡</w:t>
            </w:r>
            <w:r>
              <w:rPr>
                <w:rFonts w:hint="eastAsia"/>
                <w:color w:val="auto"/>
                <w:sz w:val="21"/>
                <w:szCs w:val="21"/>
                <w:highlight w:val="none"/>
                <w:lang w:eastAsia="zh-CN"/>
              </w:rPr>
              <w:t>和作业安全</w:t>
            </w:r>
            <w:r>
              <w:rPr>
                <w:rFonts w:hint="eastAsia"/>
                <w:color w:val="auto"/>
                <w:sz w:val="21"/>
                <w:szCs w:val="21"/>
                <w:highlight w:val="none"/>
              </w:rPr>
              <w:t>。</w:t>
            </w:r>
          </w:p>
          <w:p>
            <w:pPr>
              <w:ind w:firstLine="420" w:firstLineChars="200"/>
              <w:jc w:val="left"/>
              <w:rPr>
                <w:rFonts w:hint="eastAsia" w:ascii="宋体" w:hAnsi="宋体" w:cs="宋体"/>
                <w:color w:val="auto"/>
                <w:sz w:val="21"/>
                <w:szCs w:val="21"/>
                <w:highlight w:val="none"/>
              </w:rPr>
            </w:pPr>
            <w:r>
              <w:rPr>
                <w:rFonts w:hint="eastAsia"/>
                <w:color w:val="auto"/>
                <w:sz w:val="21"/>
                <w:szCs w:val="21"/>
                <w:highlight w:val="none"/>
                <w:lang w:val="en-US" w:eastAsia="zh-CN"/>
              </w:rPr>
              <w:t>9、</w:t>
            </w:r>
            <w:r>
              <w:rPr>
                <w:rFonts w:hint="eastAsia"/>
                <w:color w:val="auto"/>
                <w:sz w:val="21"/>
                <w:szCs w:val="21"/>
                <w:highlight w:val="none"/>
                <w:lang w:eastAsia="zh-CN"/>
              </w:rPr>
              <w:t>投标供应商</w:t>
            </w:r>
            <w:r>
              <w:rPr>
                <w:rFonts w:hint="eastAsia"/>
                <w:color w:val="auto"/>
                <w:sz w:val="21"/>
                <w:szCs w:val="21"/>
                <w:highlight w:val="none"/>
              </w:rPr>
              <w:t>必须承诺在承包服务期内，各项成交价不变，并按采购人要求及时提供每次服务所需人数及专用机械车辆，无条件接受采购人安排。</w:t>
            </w:r>
          </w:p>
        </w:tc>
      </w:tr>
      <w:bookmarkEnd w:id="3"/>
      <w:bookmarkEnd w:id="4"/>
    </w:tbl>
    <w:p>
      <w:pPr>
        <w:widowControl/>
        <w:autoSpaceDE w:val="0"/>
        <w:autoSpaceDN w:val="0"/>
        <w:adjustRightInd w:val="0"/>
        <w:spacing w:line="460" w:lineRule="atLeast"/>
        <w:textAlignment w:val="bottom"/>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三、</w:t>
      </w:r>
      <w:r>
        <w:rPr>
          <w:rFonts w:hint="eastAsia" w:ascii="宋体" w:hAnsi="宋体" w:eastAsia="宋体" w:cs="宋体"/>
          <w:b/>
          <w:bCs w:val="0"/>
          <w:color w:val="auto"/>
          <w:sz w:val="24"/>
          <w:szCs w:val="24"/>
          <w:highlight w:val="none"/>
        </w:rPr>
        <w:t>服务</w:t>
      </w:r>
      <w:r>
        <w:rPr>
          <w:rFonts w:hint="eastAsia" w:ascii="宋体" w:hAnsi="宋体" w:eastAsia="宋体" w:cs="宋体"/>
          <w:b/>
          <w:bCs w:val="0"/>
          <w:color w:val="auto"/>
          <w:sz w:val="24"/>
          <w:szCs w:val="24"/>
          <w:highlight w:val="none"/>
          <w:lang w:eastAsia="zh-CN"/>
        </w:rPr>
        <w:t>要求</w:t>
      </w:r>
    </w:p>
    <w:p>
      <w:pPr>
        <w:spacing w:line="360" w:lineRule="auto"/>
        <w:ind w:right="-87" w:firstLine="600" w:firstLineChars="250"/>
        <w:rPr>
          <w:rFonts w:hint="eastAsia" w:ascii="宋体" w:hAnsi="宋体" w:eastAsia="宋体" w:cs="宋体"/>
          <w:color w:val="auto"/>
          <w:sz w:val="24"/>
          <w:szCs w:val="24"/>
          <w:highlight w:val="none"/>
        </w:rPr>
      </w:pPr>
      <w:bookmarkStart w:id="5" w:name="_Toc512617888"/>
      <w:bookmarkStart w:id="6" w:name="_Toc408310316"/>
      <w:r>
        <w:rPr>
          <w:rFonts w:hint="eastAsia" w:ascii="宋体" w:hAnsi="宋体" w:eastAsia="宋体" w:cs="宋体"/>
          <w:color w:val="auto"/>
          <w:sz w:val="24"/>
          <w:szCs w:val="24"/>
          <w:highlight w:val="none"/>
          <w:lang w:val="en-US" w:eastAsia="zh-CN"/>
        </w:rPr>
        <w:t>1、</w:t>
      </w:r>
      <w:r>
        <w:rPr>
          <w:rFonts w:hint="eastAsia" w:ascii="宋体" w:hAnsi="宋体" w:eastAsia="宋体" w:cs="宋体"/>
          <w:bCs/>
          <w:color w:val="auto"/>
          <w:sz w:val="24"/>
          <w:szCs w:val="24"/>
          <w:highlight w:val="none"/>
        </w:rPr>
        <w:t>承包方</w:t>
      </w:r>
      <w:r>
        <w:rPr>
          <w:rFonts w:hint="eastAsia" w:ascii="宋体" w:hAnsi="宋体" w:eastAsia="宋体" w:cs="宋体"/>
          <w:color w:val="auto"/>
          <w:sz w:val="24"/>
          <w:szCs w:val="24"/>
          <w:highlight w:val="none"/>
        </w:rPr>
        <w:t>须对招标人临时集置点的垃圾以及招标人管理范围内的所有所需清运的垃圾进行清运，</w:t>
      </w:r>
      <w:r>
        <w:rPr>
          <w:rFonts w:hint="eastAsia" w:ascii="宋体" w:hAnsi="宋体" w:eastAsia="宋体" w:cs="宋体"/>
          <w:bCs/>
          <w:color w:val="auto"/>
          <w:sz w:val="24"/>
          <w:szCs w:val="24"/>
          <w:highlight w:val="none"/>
        </w:rPr>
        <w:t>承包方</w:t>
      </w:r>
      <w:r>
        <w:rPr>
          <w:rFonts w:hint="eastAsia" w:ascii="宋体" w:hAnsi="宋体" w:eastAsia="宋体" w:cs="宋体"/>
          <w:color w:val="auto"/>
          <w:sz w:val="24"/>
          <w:szCs w:val="24"/>
          <w:highlight w:val="none"/>
        </w:rPr>
        <w:t>必须建立垃圾清运管理领导小组，分解管理责任目标；建立健全各项垃圾清运管理的规章制度；健全巡查制度，有巡查日志；各项台帐资料齐全、确实可信并及时上报。</w:t>
      </w:r>
    </w:p>
    <w:p>
      <w:pPr>
        <w:spacing w:line="360" w:lineRule="auto"/>
        <w:ind w:right="-87" w:firstLine="600" w:firstLineChars="2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color w:val="auto"/>
          <w:sz w:val="24"/>
          <w:szCs w:val="24"/>
          <w:highlight w:val="none"/>
        </w:rPr>
        <w:t>垃圾清运途中，严防沿途抛洒。如发现垃圾运送车辆在运输途中有垃圾洒落，且未运至具有相应垃圾处理资质的垃圾消纳点，造成的一切后果由承包方承担。</w:t>
      </w:r>
    </w:p>
    <w:bookmarkEnd w:id="5"/>
    <w:bookmarkEnd w:id="6"/>
    <w:p>
      <w:pPr>
        <w:spacing w:line="360" w:lineRule="auto"/>
        <w:ind w:right="-183" w:rightChars="-87" w:firstLine="540" w:firstLineChars="225"/>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bCs/>
          <w:color w:val="auto"/>
          <w:sz w:val="24"/>
          <w:szCs w:val="24"/>
          <w:highlight w:val="none"/>
        </w:rPr>
        <w:t>承包方</w:t>
      </w:r>
      <w:r>
        <w:rPr>
          <w:rFonts w:hint="eastAsia" w:ascii="宋体" w:hAnsi="宋体" w:eastAsia="宋体" w:cs="宋体"/>
          <w:color w:val="auto"/>
          <w:sz w:val="24"/>
          <w:szCs w:val="24"/>
          <w:highlight w:val="none"/>
        </w:rPr>
        <w:t>必须具有合法的垃圾处置（消纳）场地，垃圾处置（消纳）场地须有相关职能部门证明并提供租赁合同</w:t>
      </w:r>
      <w:r>
        <w:rPr>
          <w:rFonts w:hint="eastAsia" w:ascii="宋体" w:hAnsi="宋体" w:eastAsia="宋体" w:cs="宋体"/>
          <w:color w:val="auto"/>
          <w:sz w:val="24"/>
          <w:szCs w:val="24"/>
          <w:highlight w:val="none"/>
          <w:lang w:eastAsia="zh-CN"/>
        </w:rPr>
        <w:t>或自有产权证明</w:t>
      </w:r>
      <w:r>
        <w:rPr>
          <w:rFonts w:hint="eastAsia" w:ascii="宋体" w:hAnsi="宋体" w:eastAsia="宋体" w:cs="宋体"/>
          <w:color w:val="auto"/>
          <w:sz w:val="24"/>
          <w:szCs w:val="24"/>
          <w:highlight w:val="none"/>
        </w:rPr>
        <w:t>。</w:t>
      </w:r>
    </w:p>
    <w:p>
      <w:pPr>
        <w:spacing w:line="360" w:lineRule="auto"/>
        <w:ind w:right="-183" w:rightChars="-87" w:firstLine="540" w:firstLineChars="225"/>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bCs/>
          <w:color w:val="auto"/>
          <w:sz w:val="24"/>
          <w:szCs w:val="24"/>
          <w:highlight w:val="none"/>
        </w:rPr>
        <w:t>承包方</w:t>
      </w:r>
      <w:r>
        <w:rPr>
          <w:rFonts w:hint="eastAsia" w:ascii="宋体" w:hAnsi="宋体" w:eastAsia="宋体" w:cs="宋体"/>
          <w:color w:val="auto"/>
          <w:sz w:val="24"/>
          <w:szCs w:val="24"/>
          <w:highlight w:val="none"/>
        </w:rPr>
        <w:t>应建立健全安全生产管理制度和落实安全生产责任人。作业车辆出车前必须进行检查，确保车况良好方可上路进行作业。严格遵守交通规则，作业时应开启警示灯。</w:t>
      </w:r>
    </w:p>
    <w:p>
      <w:pPr>
        <w:spacing w:line="360" w:lineRule="auto"/>
        <w:ind w:right="-87" w:firstLine="600" w:firstLineChars="2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投标人必须配备专业垃圾清运车3辆</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配置不少于3名工作人员，不得投入其他标项或项目内使用（需提供保证仅用于本清运项目的承诺书），因设备故障或维修，经采购人同意</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承包方</w:t>
      </w:r>
      <w:r>
        <w:rPr>
          <w:rFonts w:hint="eastAsia" w:ascii="宋体" w:hAnsi="宋体" w:eastAsia="宋体" w:cs="宋体"/>
          <w:color w:val="auto"/>
          <w:sz w:val="24"/>
          <w:szCs w:val="24"/>
          <w:highlight w:val="none"/>
        </w:rPr>
        <w:t>可更换同类型设备。必备车辆：运输车辆车厢必须是密闭的，并且要符合垃圾装载要求，车辆驾驶员必须是B驾驶执照，证件有效、合法。</w:t>
      </w:r>
    </w:p>
    <w:p>
      <w:pPr>
        <w:widowControl/>
        <w:autoSpaceDE w:val="0"/>
        <w:autoSpaceDN w:val="0"/>
        <w:adjustRightInd w:val="0"/>
        <w:spacing w:line="460" w:lineRule="atLeast"/>
        <w:ind w:firstLine="480" w:firstLineChars="20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、员工上岗之前，承包人必须进行安全教育和技能培训，做到不教育不培训不能上岗。承包人应定期、经常对员工进行安全生产教育和培训。</w:t>
      </w:r>
    </w:p>
    <w:p>
      <w:pPr>
        <w:widowControl/>
        <w:autoSpaceDE w:val="0"/>
        <w:autoSpaceDN w:val="0"/>
        <w:adjustRightInd w:val="0"/>
        <w:spacing w:line="460" w:lineRule="atLeast"/>
        <w:ind w:firstLine="480" w:firstLineChars="20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、承包方应根据采购人指定范围进行环境整治，如达不到采购人要求，承包方将无条件返工直至满足采购人要求为止，发生的费用由承包方承担。</w:t>
      </w:r>
    </w:p>
    <w:p>
      <w:pPr>
        <w:widowControl/>
        <w:autoSpaceDE w:val="0"/>
        <w:autoSpaceDN w:val="0"/>
        <w:adjustRightInd w:val="0"/>
        <w:spacing w:line="460" w:lineRule="atLeast"/>
        <w:ind w:firstLine="480" w:firstLineChars="20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、所需的设备、工具</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清洁用品用具费用由承包方承担。</w:t>
      </w:r>
    </w:p>
    <w:p>
      <w:pPr>
        <w:autoSpaceDE w:val="0"/>
        <w:autoSpaceDN w:val="0"/>
        <w:adjustRightInd w:val="0"/>
        <w:spacing w:line="46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在承包服务期内，各项</w:t>
      </w:r>
      <w:r>
        <w:rPr>
          <w:rFonts w:hint="eastAsia" w:ascii="宋体" w:hAnsi="宋体" w:eastAsia="宋体" w:cs="宋体"/>
          <w:bCs/>
          <w:color w:val="auto"/>
          <w:sz w:val="24"/>
          <w:szCs w:val="24"/>
          <w:highlight w:val="none"/>
          <w:lang w:eastAsia="zh-CN"/>
        </w:rPr>
        <w:t>中标单</w:t>
      </w:r>
      <w:r>
        <w:rPr>
          <w:rFonts w:hint="eastAsia" w:ascii="宋体" w:hAnsi="宋体" w:eastAsia="宋体" w:cs="宋体"/>
          <w:bCs/>
          <w:color w:val="auto"/>
          <w:sz w:val="24"/>
          <w:szCs w:val="24"/>
          <w:highlight w:val="none"/>
        </w:rPr>
        <w:t>价不变，并按采购人要求及时提供每次服务所需人数及专用机械车辆，无条件接受采购人安排。</w:t>
      </w:r>
    </w:p>
    <w:p>
      <w:pPr>
        <w:autoSpaceDE w:val="0"/>
        <w:autoSpaceDN w:val="0"/>
        <w:adjustRightInd w:val="0"/>
        <w:spacing w:line="46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、按照精细化管理要求，进行文明施工。</w:t>
      </w:r>
    </w:p>
    <w:p>
      <w:pPr>
        <w:autoSpaceDE w:val="0"/>
        <w:autoSpaceDN w:val="0"/>
        <w:adjustRightInd w:val="0"/>
        <w:spacing w:line="46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11、</w:t>
      </w:r>
      <w:r>
        <w:rPr>
          <w:rFonts w:hint="eastAsia" w:ascii="宋体" w:hAnsi="宋体" w:eastAsia="宋体" w:cs="宋体"/>
          <w:bCs/>
          <w:color w:val="auto"/>
          <w:sz w:val="24"/>
          <w:szCs w:val="24"/>
          <w:highlight w:val="none"/>
        </w:rPr>
        <w:t>项目安全事项</w:t>
      </w:r>
    </w:p>
    <w:p>
      <w:pPr>
        <w:autoSpaceDE w:val="0"/>
        <w:autoSpaceDN w:val="0"/>
        <w:adjustRightInd w:val="0"/>
        <w:spacing w:line="46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(1)现场作业人员安全由中标单位负责。必须保证人员安全，做好预防保护工作，</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中标后必须为本项目所招用的每一个工人办好人身意外保险。</w:t>
      </w:r>
    </w:p>
    <w:p>
      <w:pPr>
        <w:autoSpaceDE w:val="0"/>
        <w:autoSpaceDN w:val="0"/>
        <w:adjustRightInd w:val="0"/>
        <w:spacing w:line="46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(2)若发生与本项目相关的事故，一切责任均由承包单位承担，采购单位概不负责。</w:t>
      </w:r>
    </w:p>
    <w:p>
      <w:pPr>
        <w:autoSpaceDE w:val="0"/>
        <w:autoSpaceDN w:val="0"/>
        <w:adjustRightInd w:val="0"/>
        <w:spacing w:line="46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(3)垃圾清运期间承包单位应密切注意气象预报，及时采取防范措施，防止暴风雨、洪水、雷电、冰冻、高温等造成人身损害，承包单位不得以任何理由提出索赔要求。</w:t>
      </w:r>
    </w:p>
    <w:p>
      <w:pPr>
        <w:autoSpaceDE w:val="0"/>
        <w:autoSpaceDN w:val="0"/>
        <w:adjustRightInd w:val="0"/>
        <w:spacing w:line="46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(4)作业过程中，不得野蛮作业，合理保护施工现场，文明施工。必须保证附近电线电缆、管道等的安全，做好预防保护措施，确保万无一失。如若发生电线电缆、管道损毁的情况，后果由承包单位承担。</w:t>
      </w:r>
    </w:p>
    <w:p>
      <w:pPr>
        <w:autoSpaceDE w:val="0"/>
        <w:autoSpaceDN w:val="0"/>
        <w:adjustRightInd w:val="0"/>
        <w:spacing w:line="46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color w:val="auto"/>
          <w:sz w:val="24"/>
          <w:szCs w:val="24"/>
          <w:highlight w:val="none"/>
        </w:rPr>
        <w:t>工作人员在垃圾清运过程中，应做到文明规范操作，避免与群众发生矛盾，遇到问题及时与甲方联系沟通</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必须保证周围群众、建筑物和财产安全，做好预防保护工作。如若周围群众、建筑物和财产安全受到不利影响，后果由承包单位承担。</w:t>
      </w:r>
    </w:p>
    <w:p>
      <w:pPr>
        <w:widowControl/>
        <w:autoSpaceDE w:val="0"/>
        <w:autoSpaceDN w:val="0"/>
        <w:adjustRightInd w:val="0"/>
        <w:spacing w:line="460" w:lineRule="atLeast"/>
        <w:ind w:firstLine="480" w:firstLineChars="20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、转让和分包</w:t>
      </w:r>
    </w:p>
    <w:p>
      <w:pPr>
        <w:autoSpaceDE w:val="0"/>
        <w:autoSpaceDN w:val="0"/>
        <w:adjustRightInd w:val="0"/>
        <w:spacing w:line="460" w:lineRule="atLeast"/>
        <w:ind w:firstLine="480" w:firstLineChars="200"/>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未经采购单位事先书面同意，中标人不得转包或变相转包其应履行的合同义务，否则，采购单位有权终止合同并扣除履约保证金作为违约金。</w:t>
      </w:r>
    </w:p>
    <w:p>
      <w:pPr>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商务</w:t>
      </w:r>
      <w:r>
        <w:rPr>
          <w:rFonts w:hint="eastAsia" w:ascii="宋体" w:hAnsi="宋体" w:eastAsia="宋体" w:cs="宋体"/>
          <w:b/>
          <w:bCs/>
          <w:color w:val="auto"/>
          <w:sz w:val="24"/>
          <w:szCs w:val="24"/>
          <w:highlight w:val="none"/>
          <w:lang w:eastAsia="zh-CN"/>
        </w:rPr>
        <w:t>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付款方式</w:t>
      </w:r>
    </w:p>
    <w:p>
      <w:pPr>
        <w:widowControl/>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结算：</w:t>
      </w:r>
    </w:p>
    <w:p>
      <w:pPr>
        <w:widowControl/>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1.1人工、机械单价按《台州湾新区2022年垃圾处置清理及环境整治工程人工、零星机械单价表》，结合投标承诺费率执行（</w:t>
      </w:r>
      <w:r>
        <w:rPr>
          <w:rFonts w:hint="eastAsia" w:ascii="宋体" w:hAnsi="宋体" w:cs="宋体"/>
          <w:b/>
          <w:bCs w:val="0"/>
          <w:color w:val="auto"/>
          <w:sz w:val="24"/>
          <w:szCs w:val="24"/>
          <w:highlight w:val="none"/>
          <w:lang w:eastAsia="zh-CN"/>
        </w:rPr>
        <w:t>最终结算单价</w:t>
      </w:r>
      <w:r>
        <w:rPr>
          <w:rFonts w:hint="eastAsia" w:ascii="宋体" w:hAnsi="宋体" w:cs="宋体"/>
          <w:b/>
          <w:bCs w:val="0"/>
          <w:color w:val="auto"/>
          <w:sz w:val="24"/>
          <w:szCs w:val="24"/>
          <w:highlight w:val="none"/>
          <w:lang w:val="en-US" w:eastAsia="zh-CN"/>
        </w:rPr>
        <w:t>=</w:t>
      </w:r>
      <w:r>
        <w:rPr>
          <w:rFonts w:hint="eastAsia" w:ascii="宋体" w:hAnsi="宋体" w:cs="宋体"/>
          <w:b/>
          <w:bCs w:val="0"/>
          <w:color w:val="auto"/>
          <w:sz w:val="24"/>
          <w:szCs w:val="24"/>
          <w:highlight w:val="none"/>
          <w:lang w:eastAsia="zh-CN"/>
        </w:rPr>
        <w:t>综合单价</w:t>
      </w:r>
      <w:r>
        <w:rPr>
          <w:rFonts w:hint="eastAsia" w:ascii="宋体" w:hAnsi="宋体" w:eastAsia="宋体" w:cs="宋体"/>
          <w:b/>
          <w:bCs w:val="0"/>
          <w:color w:val="auto"/>
          <w:sz w:val="24"/>
          <w:szCs w:val="24"/>
          <w:highlight w:val="none"/>
        </w:rPr>
        <w:t>×</w:t>
      </w:r>
      <w:r>
        <w:rPr>
          <w:rFonts w:hint="eastAsia" w:ascii="宋体" w:hAnsi="宋体" w:cs="宋体"/>
          <w:b/>
          <w:bCs w:val="0"/>
          <w:color w:val="auto"/>
          <w:sz w:val="24"/>
          <w:szCs w:val="24"/>
          <w:highlight w:val="none"/>
          <w:lang w:eastAsia="zh-CN"/>
        </w:rPr>
        <w:t>中标费率</w:t>
      </w:r>
      <w:r>
        <w:rPr>
          <w:rFonts w:hint="eastAsia" w:ascii="宋体" w:hAnsi="宋体" w:eastAsia="宋体" w:cs="宋体"/>
          <w:b w:val="0"/>
          <w:bCs/>
          <w:color w:val="auto"/>
          <w:sz w:val="24"/>
          <w:szCs w:val="24"/>
          <w:highlight w:val="none"/>
          <w:lang w:val="en-US" w:eastAsia="zh-CN"/>
        </w:rPr>
        <w:t>），工程量按实结算，结算时以联系单为准；</w:t>
      </w:r>
    </w:p>
    <w:p>
      <w:pPr>
        <w:widowControl/>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1.2垃圾处置费按246元/吨结算，垃圾处置量按实结算，结算时以联系单为准。</w:t>
      </w:r>
    </w:p>
    <w:p>
      <w:pPr>
        <w:widowControl/>
        <w:spacing w:line="360" w:lineRule="auto"/>
        <w:ind w:firstLine="480" w:firstLineChars="200"/>
        <w:jc w:val="left"/>
        <w:rPr>
          <w:rFonts w:hint="eastAsia" w:ascii="宋体" w:hAnsi="宋体" w:eastAsia="宋体" w:cs="宋体"/>
          <w:b/>
          <w:bCs w:val="0"/>
          <w:color w:val="auto"/>
          <w:sz w:val="24"/>
          <w:szCs w:val="24"/>
          <w:highlight w:val="none"/>
          <w:lang w:eastAsia="zh-CN"/>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2</w:t>
      </w:r>
      <w:r>
        <w:rPr>
          <w:rFonts w:hint="eastAsia" w:ascii="宋体" w:hAnsi="宋体" w:cs="宋体"/>
          <w:b w:val="0"/>
          <w:bCs/>
          <w:color w:val="auto"/>
          <w:sz w:val="24"/>
          <w:szCs w:val="24"/>
          <w:highlight w:val="none"/>
          <w:lang w:eastAsia="zh-CN"/>
        </w:rPr>
        <w:t>）支付方式：</w:t>
      </w:r>
      <w:r>
        <w:rPr>
          <w:rFonts w:hint="eastAsia" w:ascii="宋体" w:hAnsi="宋体" w:eastAsia="宋体" w:cs="宋体"/>
          <w:b/>
          <w:bCs w:val="0"/>
          <w:color w:val="auto"/>
          <w:sz w:val="24"/>
          <w:szCs w:val="24"/>
          <w:highlight w:val="none"/>
          <w:lang w:eastAsia="zh-CN"/>
        </w:rPr>
        <w:t>垃圾清运费用一个季度结算一次</w:t>
      </w:r>
    </w:p>
    <w:p>
      <w:pPr>
        <w:widowControl/>
        <w:spacing w:line="360" w:lineRule="auto"/>
        <w:ind w:firstLine="480" w:firstLineChars="200"/>
        <w:jc w:val="left"/>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eastAsia="zh-CN"/>
        </w:rPr>
        <w:t>）合同形式：采用综合单价合同，合同期限内不因国家定额、取费、材料、人工机械价格等政策调整以及市场价格波动等因素而调整。</w:t>
      </w:r>
    </w:p>
    <w:p>
      <w:pPr>
        <w:widowControl/>
        <w:spacing w:line="360" w:lineRule="auto"/>
        <w:ind w:right="-87"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服务质量承诺</w:t>
      </w:r>
    </w:p>
    <w:p>
      <w:pPr>
        <w:widowControl/>
        <w:spacing w:line="360" w:lineRule="auto"/>
        <w:ind w:right="-87"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3.1</w:t>
      </w:r>
      <w:r>
        <w:rPr>
          <w:rFonts w:hint="eastAsia" w:ascii="宋体" w:hAnsi="宋体" w:eastAsia="宋体" w:cs="宋体"/>
          <w:bCs/>
          <w:color w:val="auto"/>
          <w:sz w:val="24"/>
          <w:szCs w:val="24"/>
          <w:highlight w:val="none"/>
        </w:rPr>
        <w:t>为确保服务质量及与招标方沟通联络，中标方须设置专职主管，负责对承包项目范围、服务质量的检查监督及与招标方日常业务联系；</w:t>
      </w:r>
    </w:p>
    <w:p>
      <w:pPr>
        <w:widowControl/>
        <w:spacing w:line="360" w:lineRule="auto"/>
        <w:ind w:right="-87"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3.2</w:t>
      </w:r>
      <w:r>
        <w:rPr>
          <w:rFonts w:hint="eastAsia" w:ascii="宋体" w:hAnsi="宋体" w:eastAsia="宋体" w:cs="宋体"/>
          <w:bCs/>
          <w:color w:val="auto"/>
          <w:sz w:val="24"/>
          <w:szCs w:val="24"/>
          <w:highlight w:val="none"/>
        </w:rPr>
        <w:t>中标方需提供员工管理服务规范要求及确保服务质量达标的具体措施；</w:t>
      </w:r>
    </w:p>
    <w:p>
      <w:pPr>
        <w:widowControl/>
        <w:spacing w:line="360" w:lineRule="auto"/>
        <w:ind w:right="-87"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3.3</w:t>
      </w:r>
      <w:r>
        <w:rPr>
          <w:rFonts w:hint="eastAsia" w:ascii="宋体" w:hAnsi="宋体" w:eastAsia="宋体" w:cs="宋体"/>
          <w:bCs/>
          <w:color w:val="auto"/>
          <w:sz w:val="24"/>
          <w:szCs w:val="24"/>
          <w:highlight w:val="none"/>
        </w:rPr>
        <w:t>中标方须须无条件的接受甲方的监督检查和整改要求；</w:t>
      </w:r>
    </w:p>
    <w:p>
      <w:pPr>
        <w:widowControl/>
        <w:spacing w:line="360" w:lineRule="auto"/>
        <w:ind w:right="-87"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3.4</w:t>
      </w:r>
      <w:r>
        <w:rPr>
          <w:rFonts w:hint="eastAsia" w:ascii="宋体" w:hAnsi="宋体" w:eastAsia="宋体" w:cs="宋体"/>
          <w:bCs/>
          <w:color w:val="auto"/>
          <w:sz w:val="24"/>
          <w:szCs w:val="24"/>
          <w:highlight w:val="none"/>
        </w:rPr>
        <w:t>中标</w:t>
      </w:r>
      <w:r>
        <w:rPr>
          <w:rFonts w:hint="eastAsia" w:ascii="宋体" w:hAnsi="宋体" w:eastAsia="宋体" w:cs="宋体"/>
          <w:bCs/>
          <w:color w:val="auto"/>
          <w:sz w:val="24"/>
          <w:szCs w:val="24"/>
          <w:highlight w:val="none"/>
          <w:lang w:val="en-US" w:eastAsia="zh-CN"/>
        </w:rPr>
        <w:t>方须按招标要求和投标服务承诺，保质保量完成甲方委托的垃圾清理处置、环境整治工作</w:t>
      </w:r>
      <w:r>
        <w:rPr>
          <w:rFonts w:hint="eastAsia" w:ascii="宋体" w:hAnsi="宋体" w:eastAsia="宋体" w:cs="宋体"/>
          <w:bCs/>
          <w:color w:val="auto"/>
          <w:sz w:val="24"/>
          <w:szCs w:val="24"/>
          <w:highlight w:val="none"/>
        </w:rPr>
        <w:t>；</w:t>
      </w:r>
    </w:p>
    <w:p>
      <w:pPr>
        <w:widowControl/>
        <w:spacing w:line="360" w:lineRule="auto"/>
        <w:ind w:right="-87"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3.5若有新发现垃圾的，</w:t>
      </w:r>
      <w:r>
        <w:rPr>
          <w:rFonts w:hint="eastAsia" w:ascii="宋体" w:hAnsi="宋体" w:eastAsia="宋体" w:cs="宋体"/>
          <w:bCs/>
          <w:color w:val="auto"/>
          <w:sz w:val="24"/>
          <w:szCs w:val="24"/>
          <w:highlight w:val="none"/>
        </w:rPr>
        <w:t>中标</w:t>
      </w:r>
      <w:r>
        <w:rPr>
          <w:rFonts w:hint="eastAsia" w:ascii="宋体" w:hAnsi="宋体" w:eastAsia="宋体" w:cs="宋体"/>
          <w:bCs/>
          <w:color w:val="auto"/>
          <w:sz w:val="24"/>
          <w:szCs w:val="24"/>
          <w:highlight w:val="none"/>
          <w:lang w:val="en-US" w:eastAsia="zh-CN"/>
        </w:rPr>
        <w:t>方应及时通知甲方，并在征得甲方同意后及时派人到现场检查、督促清理清运到位；</w:t>
      </w:r>
    </w:p>
    <w:p>
      <w:pPr>
        <w:widowControl/>
        <w:spacing w:line="360" w:lineRule="auto"/>
        <w:ind w:right="-87"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3.6</w:t>
      </w:r>
      <w:r>
        <w:rPr>
          <w:rFonts w:hint="eastAsia" w:ascii="宋体" w:hAnsi="宋体" w:eastAsia="宋体" w:cs="宋体"/>
          <w:bCs/>
          <w:color w:val="auto"/>
          <w:sz w:val="24"/>
          <w:szCs w:val="24"/>
          <w:highlight w:val="none"/>
        </w:rPr>
        <w:t>中标</w:t>
      </w:r>
      <w:r>
        <w:rPr>
          <w:rFonts w:hint="eastAsia" w:ascii="宋体" w:hAnsi="宋体" w:eastAsia="宋体" w:cs="宋体"/>
          <w:bCs/>
          <w:color w:val="auto"/>
          <w:sz w:val="24"/>
          <w:szCs w:val="24"/>
          <w:highlight w:val="none"/>
          <w:lang w:val="en-US" w:eastAsia="zh-CN"/>
        </w:rPr>
        <w:t>方负责安排车辆和装卸垃圾工作人员，垃圾清运过程中所产生的一切费用(人工、机械除外)由</w:t>
      </w:r>
      <w:r>
        <w:rPr>
          <w:rFonts w:hint="eastAsia" w:ascii="宋体" w:hAnsi="宋体" w:eastAsia="宋体" w:cs="宋体"/>
          <w:bCs/>
          <w:color w:val="auto"/>
          <w:sz w:val="24"/>
          <w:szCs w:val="24"/>
          <w:highlight w:val="none"/>
        </w:rPr>
        <w:t>中标</w:t>
      </w:r>
      <w:r>
        <w:rPr>
          <w:rFonts w:hint="eastAsia" w:ascii="宋体" w:hAnsi="宋体" w:eastAsia="宋体" w:cs="宋体"/>
          <w:bCs/>
          <w:color w:val="auto"/>
          <w:sz w:val="24"/>
          <w:szCs w:val="24"/>
          <w:highlight w:val="none"/>
          <w:lang w:val="en-US" w:eastAsia="zh-CN"/>
        </w:rPr>
        <w:t>方承担；</w:t>
      </w:r>
    </w:p>
    <w:p>
      <w:pPr>
        <w:widowControl/>
        <w:spacing w:line="360" w:lineRule="auto"/>
        <w:ind w:right="-87"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3.7中标方清运车辆运行需作好封闭措施，避免垃圾沿路飘落，以保持沿路环境卫生。</w:t>
      </w:r>
    </w:p>
    <w:p>
      <w:pPr>
        <w:widowControl/>
        <w:spacing w:line="360" w:lineRule="auto"/>
        <w:ind w:right="-87"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3.8</w:t>
      </w:r>
      <w:r>
        <w:rPr>
          <w:rFonts w:hint="eastAsia" w:ascii="宋体" w:hAnsi="宋体" w:eastAsia="宋体" w:cs="宋体"/>
          <w:bCs/>
          <w:color w:val="auto"/>
          <w:sz w:val="24"/>
          <w:szCs w:val="24"/>
          <w:highlight w:val="none"/>
        </w:rPr>
        <w:t>中标</w:t>
      </w:r>
      <w:r>
        <w:rPr>
          <w:rFonts w:hint="eastAsia" w:ascii="宋体" w:hAnsi="宋体" w:eastAsia="宋体" w:cs="宋体"/>
          <w:bCs/>
          <w:color w:val="auto"/>
          <w:sz w:val="24"/>
          <w:szCs w:val="24"/>
          <w:highlight w:val="none"/>
          <w:lang w:val="en-US" w:eastAsia="zh-CN"/>
        </w:rPr>
        <w:t>方在垃圾清理清运工作时应做到安全、有序，自觉遵守管理制度。</w:t>
      </w:r>
      <w:r>
        <w:rPr>
          <w:rFonts w:hint="eastAsia" w:ascii="宋体" w:hAnsi="宋体" w:eastAsia="宋体" w:cs="宋体"/>
          <w:bCs/>
          <w:color w:val="auto"/>
          <w:sz w:val="24"/>
          <w:szCs w:val="24"/>
          <w:highlight w:val="none"/>
        </w:rPr>
        <w:t>中标</w:t>
      </w:r>
      <w:r>
        <w:rPr>
          <w:rFonts w:hint="eastAsia" w:ascii="宋体" w:hAnsi="宋体" w:eastAsia="宋体" w:cs="宋体"/>
          <w:bCs/>
          <w:color w:val="auto"/>
          <w:sz w:val="24"/>
          <w:szCs w:val="24"/>
          <w:highlight w:val="none"/>
          <w:lang w:val="en-US" w:eastAsia="zh-CN"/>
        </w:rPr>
        <w:t>方人员在垃圾清运工作时，发生伤亡或损坏</w:t>
      </w:r>
      <w:r>
        <w:rPr>
          <w:rFonts w:hint="eastAsia" w:ascii="宋体" w:hAnsi="宋体" w:eastAsia="宋体" w:cs="宋体"/>
          <w:bCs/>
          <w:color w:val="auto"/>
          <w:sz w:val="24"/>
          <w:szCs w:val="24"/>
          <w:highlight w:val="none"/>
        </w:rPr>
        <w:t>中标</w:t>
      </w:r>
      <w:r>
        <w:rPr>
          <w:rFonts w:hint="eastAsia" w:ascii="宋体" w:hAnsi="宋体" w:eastAsia="宋体" w:cs="宋体"/>
          <w:bCs/>
          <w:color w:val="auto"/>
          <w:sz w:val="24"/>
          <w:szCs w:val="24"/>
          <w:highlight w:val="none"/>
          <w:lang w:val="en-US" w:eastAsia="zh-CN"/>
        </w:rPr>
        <w:t>方财产、产品等安全事故，其一切责任由</w:t>
      </w:r>
      <w:r>
        <w:rPr>
          <w:rFonts w:hint="eastAsia" w:ascii="宋体" w:hAnsi="宋体" w:eastAsia="宋体" w:cs="宋体"/>
          <w:bCs/>
          <w:color w:val="auto"/>
          <w:sz w:val="24"/>
          <w:szCs w:val="24"/>
          <w:highlight w:val="none"/>
        </w:rPr>
        <w:t>中标</w:t>
      </w:r>
      <w:r>
        <w:rPr>
          <w:rFonts w:hint="eastAsia" w:ascii="宋体" w:hAnsi="宋体" w:eastAsia="宋体" w:cs="宋体"/>
          <w:bCs/>
          <w:color w:val="auto"/>
          <w:sz w:val="24"/>
          <w:szCs w:val="24"/>
          <w:highlight w:val="none"/>
          <w:lang w:val="en-US" w:eastAsia="zh-CN"/>
        </w:rPr>
        <w:t>方自负，承担相应赔偿责任，甲方不承担任何责任。</w:t>
      </w:r>
    </w:p>
    <w:p>
      <w:pPr>
        <w:widowControl/>
        <w:spacing w:line="360" w:lineRule="auto"/>
        <w:ind w:right="-87"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3.9</w:t>
      </w:r>
      <w:r>
        <w:rPr>
          <w:rFonts w:hint="eastAsia" w:ascii="宋体" w:hAnsi="宋体" w:eastAsia="宋体" w:cs="宋体"/>
          <w:bCs/>
          <w:color w:val="auto"/>
          <w:sz w:val="24"/>
          <w:szCs w:val="24"/>
          <w:highlight w:val="none"/>
        </w:rPr>
        <w:t>中标</w:t>
      </w:r>
      <w:r>
        <w:rPr>
          <w:rFonts w:hint="eastAsia" w:ascii="宋体" w:hAnsi="宋体" w:eastAsia="宋体" w:cs="宋体"/>
          <w:bCs/>
          <w:color w:val="auto"/>
          <w:sz w:val="24"/>
          <w:szCs w:val="24"/>
          <w:highlight w:val="none"/>
          <w:lang w:val="en-US" w:eastAsia="zh-CN"/>
        </w:rPr>
        <w:t>方工作行为应该符合法律和政府相关部门之规定，如有违反，</w:t>
      </w:r>
      <w:r>
        <w:rPr>
          <w:rFonts w:hint="eastAsia" w:ascii="宋体" w:hAnsi="宋体" w:eastAsia="宋体" w:cs="宋体"/>
          <w:bCs/>
          <w:color w:val="auto"/>
          <w:sz w:val="24"/>
          <w:szCs w:val="24"/>
          <w:highlight w:val="none"/>
        </w:rPr>
        <w:t>中标</w:t>
      </w:r>
      <w:r>
        <w:rPr>
          <w:rFonts w:hint="eastAsia" w:ascii="宋体" w:hAnsi="宋体" w:eastAsia="宋体" w:cs="宋体"/>
          <w:bCs/>
          <w:color w:val="auto"/>
          <w:sz w:val="24"/>
          <w:szCs w:val="24"/>
          <w:highlight w:val="none"/>
          <w:lang w:val="en-US" w:eastAsia="zh-CN"/>
        </w:rPr>
        <w:t>方受到政府相关部门的干涉和处罚，相关责任由</w:t>
      </w:r>
      <w:r>
        <w:rPr>
          <w:rFonts w:hint="eastAsia" w:ascii="宋体" w:hAnsi="宋体" w:eastAsia="宋体" w:cs="宋体"/>
          <w:bCs/>
          <w:color w:val="auto"/>
          <w:sz w:val="24"/>
          <w:szCs w:val="24"/>
          <w:highlight w:val="none"/>
        </w:rPr>
        <w:t>中标</w:t>
      </w:r>
      <w:r>
        <w:rPr>
          <w:rFonts w:hint="eastAsia" w:ascii="宋体" w:hAnsi="宋体" w:eastAsia="宋体" w:cs="宋体"/>
          <w:bCs/>
          <w:color w:val="auto"/>
          <w:sz w:val="24"/>
          <w:szCs w:val="24"/>
          <w:highlight w:val="none"/>
          <w:lang w:val="en-US" w:eastAsia="zh-CN"/>
        </w:rPr>
        <w:t>方自行承担和解决。</w:t>
      </w:r>
    </w:p>
    <w:p>
      <w:pPr>
        <w:tabs>
          <w:tab w:val="left" w:pos="1418"/>
        </w:tabs>
        <w:autoSpaceDE w:val="0"/>
        <w:autoSpaceDN w:val="0"/>
        <w:adjustRightInd w:val="0"/>
        <w:spacing w:line="360" w:lineRule="auto"/>
        <w:rPr>
          <w:rFonts w:ascii="宋体" w:hAnsi="宋体" w:cstheme="minorBidi"/>
          <w:color w:val="auto"/>
          <w:sz w:val="24"/>
          <w:szCs w:val="24"/>
          <w:highlight w:val="none"/>
        </w:rPr>
      </w:pPr>
      <w:r>
        <w:rPr>
          <w:rFonts w:hint="eastAsia" w:ascii="宋体" w:hAnsi="宋体" w:cstheme="minorBidi"/>
          <w:color w:val="auto"/>
          <w:sz w:val="24"/>
          <w:szCs w:val="24"/>
          <w:highlight w:val="none"/>
          <w:lang w:val="en-US" w:eastAsia="zh-CN"/>
        </w:rPr>
        <w:t>4、履约保证金：</w:t>
      </w:r>
      <w:r>
        <w:rPr>
          <w:rFonts w:hint="eastAsia" w:ascii="宋体" w:hAnsi="宋体" w:cstheme="minorBidi"/>
          <w:color w:val="auto"/>
          <w:sz w:val="24"/>
          <w:szCs w:val="24"/>
          <w:highlight w:val="none"/>
        </w:rPr>
        <w:t>本项目履约保证金为合同金额的</w:t>
      </w:r>
      <w:r>
        <w:rPr>
          <w:rFonts w:hint="eastAsia" w:ascii="宋体" w:hAnsi="宋体" w:cstheme="minorBidi"/>
          <w:color w:val="auto"/>
          <w:sz w:val="24"/>
          <w:szCs w:val="24"/>
          <w:highlight w:val="none"/>
          <w:lang w:val="en-US" w:eastAsia="zh-CN"/>
        </w:rPr>
        <w:t xml:space="preserve"> </w:t>
      </w:r>
      <w:r>
        <w:rPr>
          <w:rFonts w:hint="eastAsia" w:ascii="宋体" w:hAnsi="宋体" w:cstheme="minorBidi"/>
          <w:color w:val="auto"/>
          <w:sz w:val="24"/>
          <w:szCs w:val="24"/>
          <w:highlight w:val="none"/>
          <w:u w:val="single"/>
          <w:lang w:val="en-US" w:eastAsia="zh-CN"/>
        </w:rPr>
        <w:t xml:space="preserve">1 </w:t>
      </w:r>
      <w:r>
        <w:rPr>
          <w:rFonts w:hint="eastAsia" w:ascii="宋体" w:hAnsi="宋体" w:cstheme="minorBidi"/>
          <w:color w:val="auto"/>
          <w:sz w:val="24"/>
          <w:szCs w:val="24"/>
          <w:highlight w:val="none"/>
        </w:rPr>
        <w:t>% 。</w:t>
      </w:r>
      <w:r>
        <w:rPr>
          <w:rFonts w:hint="eastAsia" w:ascii="宋体" w:hAnsi="宋体" w:cstheme="minorBidi"/>
          <w:color w:val="auto"/>
          <w:sz w:val="24"/>
          <w:szCs w:val="24"/>
          <w:highlight w:val="none"/>
          <w:lang w:val="zh-CN"/>
        </w:rPr>
        <w:t>[履约保证金交至采购人处，在合同履约完毕后</w:t>
      </w:r>
      <w:r>
        <w:rPr>
          <w:rFonts w:hint="eastAsia" w:ascii="宋体" w:hAnsi="宋体" w:cstheme="minorBidi"/>
          <w:color w:val="auto"/>
          <w:sz w:val="24"/>
          <w:szCs w:val="24"/>
          <w:highlight w:val="none"/>
          <w:lang w:val="en-US" w:eastAsia="zh-CN"/>
        </w:rPr>
        <w:t>1</w:t>
      </w:r>
      <w:r>
        <w:rPr>
          <w:rFonts w:hint="eastAsia" w:ascii="宋体" w:hAnsi="宋体" w:cstheme="minorBidi"/>
          <w:color w:val="auto"/>
          <w:sz w:val="24"/>
          <w:szCs w:val="24"/>
          <w:highlight w:val="none"/>
          <w:lang w:val="zh-CN"/>
        </w:rPr>
        <w:t>5个工作日内无息退还]</w:t>
      </w:r>
    </w:p>
    <w:p>
      <w:pPr>
        <w:pStyle w:val="18"/>
        <w:ind w:left="0" w:leftChars="0" w:firstLine="0" w:firstLineChars="0"/>
        <w:rPr>
          <w:rFonts w:hint="eastAsia" w:ascii="黑体" w:hAnsi="黑体" w:eastAsia="黑体" w:cs="黑体"/>
          <w:color w:val="auto"/>
          <w:sz w:val="32"/>
          <w:szCs w:val="32"/>
          <w:highlight w:val="none"/>
          <w:lang w:val="en-US" w:eastAsia="zh-CN"/>
        </w:rPr>
      </w:pPr>
    </w:p>
    <w:p>
      <w:pPr>
        <w:pStyle w:val="18"/>
        <w:ind w:left="0" w:leftChars="0" w:firstLine="0" w:firstLineChars="0"/>
        <w:rPr>
          <w:rFonts w:hint="eastAsia" w:ascii="黑体" w:hAnsi="黑体" w:eastAsia="黑体" w:cs="黑体"/>
          <w:color w:val="auto"/>
          <w:sz w:val="32"/>
          <w:szCs w:val="32"/>
          <w:highlight w:val="none"/>
          <w:lang w:val="en-US" w:eastAsia="zh-CN"/>
        </w:rPr>
      </w:pPr>
    </w:p>
    <w:p>
      <w:pPr>
        <w:pStyle w:val="53"/>
        <w:rPr>
          <w:rFonts w:hint="eastAsia" w:ascii="黑体" w:hAnsi="黑体" w:eastAsia="黑体" w:cs="黑体"/>
          <w:color w:val="auto"/>
          <w:sz w:val="32"/>
          <w:szCs w:val="32"/>
          <w:highlight w:val="none"/>
          <w:lang w:val="en-US" w:eastAsia="zh-CN"/>
        </w:rPr>
      </w:pPr>
    </w:p>
    <w:p>
      <w:pPr>
        <w:numPr>
          <w:ilvl w:val="0"/>
          <w:numId w:val="11"/>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政府采购合同主要条款指引</w:t>
      </w:r>
    </w:p>
    <w:p>
      <w:pPr>
        <w:widowControl/>
        <w:shd w:val="clear" w:color="auto" w:fill="FFFFFF"/>
        <w:spacing w:after="150" w:line="360" w:lineRule="auto"/>
        <w:ind w:firstLine="480"/>
        <w:jc w:val="left"/>
        <w:rPr>
          <w:rFonts w:ascii="宋体"/>
          <w:color w:val="auto"/>
          <w:sz w:val="24"/>
          <w:highlight w:val="none"/>
        </w:rPr>
      </w:pPr>
      <w:r>
        <w:rPr>
          <w:rFonts w:hint="eastAsia" w:ascii="宋体"/>
          <w:color w:val="auto"/>
          <w:sz w:val="24"/>
          <w:highlight w:val="none"/>
        </w:rPr>
        <w:t>以下为成交后签定本项目合同的通用条款，成交供应商不得提出实质性的修改，关于专用条款将由采购人与成交供应商结合本项目具体情况协商后签订。</w:t>
      </w:r>
    </w:p>
    <w:p>
      <w:pPr>
        <w:pStyle w:val="24"/>
        <w:snapToGrid w:val="0"/>
        <w:spacing w:before="120" w:after="120" w:line="360" w:lineRule="auto"/>
        <w:rPr>
          <w:color w:val="auto"/>
          <w:sz w:val="24"/>
          <w:highlight w:val="none"/>
        </w:rPr>
      </w:pPr>
      <w:r>
        <w:rPr>
          <w:rFonts w:hint="eastAsia"/>
          <w:color w:val="auto"/>
          <w:sz w:val="24"/>
          <w:highlight w:val="none"/>
        </w:rPr>
        <w:t>项目名称：                                       项目编号：</w:t>
      </w:r>
    </w:p>
    <w:p>
      <w:pPr>
        <w:pStyle w:val="24"/>
        <w:snapToGrid w:val="0"/>
        <w:spacing w:before="120" w:after="120" w:line="360" w:lineRule="auto"/>
        <w:rPr>
          <w:color w:val="auto"/>
          <w:sz w:val="24"/>
          <w:highlight w:val="none"/>
        </w:rPr>
      </w:pPr>
      <w:r>
        <w:rPr>
          <w:color w:val="auto"/>
          <w:sz w:val="24"/>
          <w:highlight w:val="none"/>
        </w:rPr>
        <w:t>甲方：（</w:t>
      </w:r>
      <w:r>
        <w:rPr>
          <w:rFonts w:hint="eastAsia"/>
          <w:color w:val="auto"/>
          <w:sz w:val="24"/>
          <w:highlight w:val="none"/>
        </w:rPr>
        <w:t>采购单位</w:t>
      </w:r>
      <w:r>
        <w:rPr>
          <w:color w:val="auto"/>
          <w:sz w:val="24"/>
          <w:highlight w:val="none"/>
        </w:rPr>
        <w:t>）</w:t>
      </w:r>
      <w:r>
        <w:rPr>
          <w:rFonts w:hint="eastAsia"/>
          <w:color w:val="auto"/>
          <w:sz w:val="24"/>
          <w:highlight w:val="none"/>
        </w:rPr>
        <w:t xml:space="preserve">                            所在地：                              </w:t>
      </w:r>
    </w:p>
    <w:p>
      <w:pPr>
        <w:pStyle w:val="24"/>
        <w:snapToGrid w:val="0"/>
        <w:spacing w:before="120" w:after="120" w:line="360" w:lineRule="auto"/>
        <w:rPr>
          <w:color w:val="auto"/>
          <w:sz w:val="24"/>
          <w:highlight w:val="none"/>
        </w:rPr>
      </w:pPr>
      <w:r>
        <w:rPr>
          <w:color w:val="auto"/>
          <w:sz w:val="24"/>
          <w:highlight w:val="none"/>
        </w:rPr>
        <w:t>乙方：（</w:t>
      </w:r>
      <w:r>
        <w:rPr>
          <w:rFonts w:hint="eastAsia"/>
          <w:color w:val="auto"/>
          <w:sz w:val="24"/>
          <w:highlight w:val="none"/>
        </w:rPr>
        <w:t>中标供应商</w:t>
      </w:r>
      <w:r>
        <w:rPr>
          <w:color w:val="auto"/>
          <w:sz w:val="24"/>
          <w:highlight w:val="none"/>
        </w:rPr>
        <w:t>）</w:t>
      </w:r>
      <w:r>
        <w:rPr>
          <w:rFonts w:hint="eastAsia"/>
          <w:color w:val="auto"/>
          <w:sz w:val="24"/>
          <w:highlight w:val="none"/>
        </w:rPr>
        <w:t xml:space="preserve">                          所在地：</w:t>
      </w:r>
    </w:p>
    <w:p>
      <w:pPr>
        <w:numPr>
          <w:ilvl w:val="0"/>
          <w:numId w:val="28"/>
        </w:numPr>
        <w:spacing w:line="360" w:lineRule="auto"/>
        <w:rPr>
          <w:color w:val="auto"/>
          <w:sz w:val="24"/>
          <w:highlight w:val="none"/>
        </w:rPr>
      </w:pPr>
      <w:r>
        <w:rPr>
          <w:rFonts w:hint="eastAsia"/>
          <w:color w:val="auto"/>
          <w:sz w:val="24"/>
          <w:highlight w:val="none"/>
        </w:rPr>
        <w:t>乙双方根据</w:t>
      </w:r>
      <w:r>
        <w:rPr>
          <w:rFonts w:hint="eastAsia" w:cs="Arial"/>
          <w:color w:val="auto"/>
          <w:sz w:val="24"/>
          <w:highlight w:val="none"/>
        </w:rPr>
        <w:t>××</w:t>
      </w:r>
      <w:r>
        <w:rPr>
          <w:rFonts w:hint="eastAsia"/>
          <w:color w:val="auto"/>
          <w:sz w:val="24"/>
          <w:highlight w:val="none"/>
        </w:rPr>
        <w:t>(采购组织机构名称）关于</w:t>
      </w:r>
      <w:r>
        <w:rPr>
          <w:rFonts w:hint="eastAsia" w:cs="Arial"/>
          <w:color w:val="auto"/>
          <w:sz w:val="24"/>
          <w:highlight w:val="none"/>
        </w:rPr>
        <w:t>××</w:t>
      </w:r>
      <w:r>
        <w:rPr>
          <w:rFonts w:hint="eastAsia"/>
          <w:color w:val="auto"/>
          <w:sz w:val="24"/>
          <w:highlight w:val="none"/>
        </w:rPr>
        <w:t>单位</w:t>
      </w:r>
      <w:r>
        <w:rPr>
          <w:rFonts w:hint="eastAsia" w:cs="Arial"/>
          <w:color w:val="auto"/>
          <w:sz w:val="24"/>
          <w:highlight w:val="none"/>
        </w:rPr>
        <w:t>××</w:t>
      </w:r>
      <w:r>
        <w:rPr>
          <w:rFonts w:hint="eastAsia"/>
          <w:color w:val="auto"/>
          <w:sz w:val="24"/>
          <w:highlight w:val="none"/>
        </w:rPr>
        <w:t>项目公开招标的结果，签署本合同。</w:t>
      </w:r>
    </w:p>
    <w:p>
      <w:pPr>
        <w:spacing w:line="360" w:lineRule="auto"/>
        <w:rPr>
          <w:rFonts w:ascii="宋体"/>
          <w:b/>
          <w:bCs/>
          <w:color w:val="auto"/>
          <w:sz w:val="24"/>
          <w:highlight w:val="none"/>
          <w:lang w:val="zh-CN"/>
        </w:rPr>
      </w:pPr>
      <w:r>
        <w:rPr>
          <w:rFonts w:hint="eastAsia" w:ascii="宋体"/>
          <w:b/>
          <w:bCs/>
          <w:color w:val="auto"/>
          <w:sz w:val="24"/>
          <w:highlight w:val="none"/>
          <w:lang w:val="zh-CN"/>
        </w:rPr>
        <w:t xml:space="preserve">一、合同文件： </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1.合同条款。</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2.中标通知书。</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3.更正补充文件。</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4.招标文件。</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5.中标供应商投标文件。</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6.其他。</w:t>
      </w:r>
    </w:p>
    <w:p>
      <w:pPr>
        <w:pStyle w:val="24"/>
        <w:snapToGrid w:val="0"/>
        <w:spacing w:line="360" w:lineRule="auto"/>
        <w:ind w:firstLine="480" w:firstLineChars="200"/>
        <w:rPr>
          <w:rFonts w:hAnsi="宋体"/>
          <w:b/>
          <w:color w:val="auto"/>
          <w:sz w:val="24"/>
          <w:highlight w:val="none"/>
        </w:rPr>
      </w:pPr>
      <w:r>
        <w:rPr>
          <w:rFonts w:hint="eastAsia"/>
          <w:color w:val="auto"/>
          <w:sz w:val="24"/>
          <w:highlight w:val="none"/>
          <w:lang w:val="zh-CN"/>
        </w:rPr>
        <w:t>上述所指合同文件应认为是互相补充和解释的，但是有模棱两可或互相矛盾之处，以其所列内容顺序为准。</w:t>
      </w:r>
    </w:p>
    <w:p>
      <w:pPr>
        <w:widowControl/>
        <w:shd w:val="clear" w:color="auto" w:fill="FFFFFF"/>
        <w:spacing w:after="150" w:line="375" w:lineRule="atLeast"/>
        <w:jc w:val="left"/>
        <w:rPr>
          <w:rFonts w:hint="eastAsia" w:ascii="宋体" w:hAnsi="宋体" w:eastAsia="宋体" w:cs="Arial"/>
          <w:b/>
          <w:color w:val="auto"/>
          <w:kern w:val="0"/>
          <w:sz w:val="24"/>
          <w:highlight w:val="none"/>
          <w:lang w:eastAsia="zh-CN"/>
        </w:rPr>
      </w:pPr>
      <w:r>
        <w:rPr>
          <w:rFonts w:hint="eastAsia" w:ascii="宋体" w:hAnsi="宋体"/>
          <w:b/>
          <w:color w:val="auto"/>
          <w:sz w:val="24"/>
          <w:highlight w:val="none"/>
        </w:rPr>
        <w:t>二</w:t>
      </w:r>
      <w:r>
        <w:rPr>
          <w:rFonts w:ascii="宋体" w:hAnsi="宋体"/>
          <w:b/>
          <w:color w:val="auto"/>
          <w:sz w:val="24"/>
          <w:highlight w:val="none"/>
        </w:rPr>
        <w:t>、</w:t>
      </w:r>
      <w:r>
        <w:rPr>
          <w:rFonts w:hint="eastAsia" w:ascii="宋体" w:hAnsi="宋体" w:cs="Arial"/>
          <w:b/>
          <w:color w:val="auto"/>
          <w:kern w:val="0"/>
          <w:sz w:val="24"/>
          <w:highlight w:val="none"/>
          <w:lang w:eastAsia="zh-CN"/>
        </w:rPr>
        <w:t>服务</w:t>
      </w:r>
      <w:r>
        <w:rPr>
          <w:rFonts w:ascii="宋体" w:hAnsi="宋体" w:cs="Arial"/>
          <w:b/>
          <w:color w:val="auto"/>
          <w:kern w:val="0"/>
          <w:sz w:val="24"/>
          <w:highlight w:val="none"/>
        </w:rPr>
        <w:t>内容</w:t>
      </w:r>
    </w:p>
    <w:p>
      <w:pPr>
        <w:keepNext w:val="0"/>
        <w:keepLines w:val="0"/>
        <w:pageBreakBefore w:val="0"/>
        <w:widowControl w:val="0"/>
        <w:tabs>
          <w:tab w:val="left" w:pos="1080"/>
          <w:tab w:val="left" w:pos="1260"/>
        </w:tabs>
        <w:kinsoku/>
        <w:wordWrap/>
        <w:overflowPunct/>
        <w:topLinePunct w:val="0"/>
        <w:autoSpaceDE/>
        <w:autoSpaceDN/>
        <w:bidi w:val="0"/>
        <w:adjustRightInd/>
        <w:snapToGrid/>
        <w:spacing w:line="600" w:lineRule="exact"/>
        <w:ind w:right="0" w:rightChars="0"/>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1、服务内容：台州湾新区范围内建筑垃圾、装修垃圾、生活垃圾、园林垃圾、其他垃圾清运</w:t>
      </w:r>
      <w:r>
        <w:rPr>
          <w:rFonts w:hint="eastAsia" w:ascii="宋体" w:hAnsi="宋体"/>
          <w:color w:val="auto"/>
          <w:sz w:val="24"/>
          <w:szCs w:val="24"/>
          <w:highlight w:val="none"/>
          <w:lang w:val="en-US" w:eastAsia="zh-CN"/>
        </w:rPr>
        <w:t>处置</w:t>
      </w:r>
      <w:r>
        <w:rPr>
          <w:rFonts w:hint="eastAsia" w:ascii="宋体" w:hAnsi="宋体" w:eastAsia="宋体" w:cs="Times New Roman"/>
          <w:color w:val="auto"/>
          <w:sz w:val="24"/>
          <w:szCs w:val="24"/>
          <w:highlight w:val="none"/>
          <w:lang w:val="en-US" w:eastAsia="zh-CN"/>
        </w:rPr>
        <w:t>、打围墙、围挡、环境整治等，</w:t>
      </w:r>
      <w:r>
        <w:rPr>
          <w:rFonts w:hint="eastAsia" w:ascii="宋体" w:hAnsi="宋体" w:eastAsia="宋体" w:cs="Times New Roman"/>
          <w:b w:val="0"/>
          <w:bCs w:val="0"/>
          <w:color w:val="auto"/>
          <w:spacing w:val="0"/>
          <w:w w:val="100"/>
          <w:kern w:val="2"/>
          <w:sz w:val="24"/>
          <w:szCs w:val="24"/>
          <w:highlight w:val="none"/>
          <w:lang w:val="en-US" w:eastAsia="zh-CN" w:bidi="ar-SA"/>
        </w:rPr>
        <w:t>垃圾临时堆放场地由</w:t>
      </w:r>
      <w:r>
        <w:rPr>
          <w:rFonts w:hint="eastAsia" w:ascii="宋体" w:hAnsi="宋体" w:cs="Times New Roman"/>
          <w:b w:val="0"/>
          <w:bCs w:val="0"/>
          <w:color w:val="auto"/>
          <w:spacing w:val="0"/>
          <w:w w:val="100"/>
          <w:kern w:val="2"/>
          <w:sz w:val="24"/>
          <w:szCs w:val="24"/>
          <w:highlight w:val="none"/>
          <w:lang w:val="en-US" w:eastAsia="zh-CN" w:bidi="ar-SA"/>
        </w:rPr>
        <w:t>采购</w:t>
      </w:r>
      <w:r>
        <w:rPr>
          <w:rFonts w:hint="eastAsia" w:ascii="宋体" w:hAnsi="宋体" w:eastAsia="宋体" w:cs="Times New Roman"/>
          <w:b w:val="0"/>
          <w:bCs w:val="0"/>
          <w:color w:val="auto"/>
          <w:spacing w:val="0"/>
          <w:w w:val="100"/>
          <w:kern w:val="2"/>
          <w:sz w:val="24"/>
          <w:szCs w:val="24"/>
          <w:highlight w:val="none"/>
          <w:lang w:val="en-US" w:eastAsia="zh-CN" w:bidi="ar-SA"/>
        </w:rPr>
        <w:t>方主管部门综合行政执法分局指定</w:t>
      </w:r>
      <w:r>
        <w:rPr>
          <w:rFonts w:hint="eastAsia" w:ascii="宋体" w:hAnsi="宋体" w:eastAsia="宋体"/>
          <w:color w:val="auto"/>
          <w:sz w:val="24"/>
          <w:szCs w:val="24"/>
          <w:highlight w:val="none"/>
          <w:lang w:val="en-US" w:eastAsia="zh-CN"/>
        </w:rPr>
        <w:t>。  　　</w:t>
      </w:r>
    </w:p>
    <w:p>
      <w:pPr>
        <w:keepNext w:val="0"/>
        <w:keepLines w:val="0"/>
        <w:pageBreakBefore w:val="0"/>
        <w:widowControl w:val="0"/>
        <w:tabs>
          <w:tab w:val="left" w:pos="1080"/>
          <w:tab w:val="left" w:pos="1260"/>
        </w:tabs>
        <w:kinsoku/>
        <w:wordWrap/>
        <w:overflowPunct/>
        <w:topLinePunct w:val="0"/>
        <w:autoSpaceDE/>
        <w:autoSpaceDN/>
        <w:bidi w:val="0"/>
        <w:adjustRightInd/>
        <w:snapToGrid/>
        <w:spacing w:line="600" w:lineRule="exact"/>
        <w:ind w:right="0" w:rightChars="0"/>
        <w:textAlignment w:val="auto"/>
        <w:outlineLvl w:val="9"/>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2、项目地址</w:t>
      </w:r>
      <w:r>
        <w:rPr>
          <w:rFonts w:hint="eastAsia" w:ascii="宋体" w:hAnsi="宋体" w:eastAsia="宋体"/>
          <w:color w:val="auto"/>
          <w:sz w:val="24"/>
          <w:szCs w:val="24"/>
          <w:highlight w:val="none"/>
          <w:lang w:val="en-US" w:eastAsia="zh-CN"/>
        </w:rPr>
        <w:t>：台州湾新区范围内</w:t>
      </w:r>
    </w:p>
    <w:p>
      <w:pPr>
        <w:keepNext w:val="0"/>
        <w:keepLines w:val="0"/>
        <w:pageBreakBefore w:val="0"/>
        <w:widowControl w:val="0"/>
        <w:tabs>
          <w:tab w:val="left" w:pos="1080"/>
          <w:tab w:val="left" w:pos="1260"/>
        </w:tabs>
        <w:kinsoku/>
        <w:wordWrap/>
        <w:overflowPunct/>
        <w:topLinePunct w:val="0"/>
        <w:autoSpaceDE/>
        <w:autoSpaceDN/>
        <w:bidi w:val="0"/>
        <w:adjustRightInd/>
        <w:snapToGrid/>
        <w:spacing w:line="600" w:lineRule="exact"/>
        <w:ind w:right="0" w:rightChars="0"/>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3、服务期限：1年，</w:t>
      </w:r>
      <w:r>
        <w:rPr>
          <w:rFonts w:hint="eastAsia" w:ascii="宋体" w:hAnsi="宋体" w:eastAsia="宋体"/>
          <w:color w:val="auto"/>
          <w:sz w:val="24"/>
          <w:szCs w:val="24"/>
          <w:highlight w:val="none"/>
          <w:u w:val="single"/>
          <w:lang w:val="en-US" w:eastAsia="zh-CN"/>
        </w:rPr>
        <w:t>自  年  月 日至  年  月  日</w:t>
      </w:r>
      <w:r>
        <w:rPr>
          <w:rFonts w:hint="eastAsia" w:ascii="宋体" w:hAnsi="宋体" w:eastAsia="宋体"/>
          <w:color w:val="auto"/>
          <w:sz w:val="24"/>
          <w:szCs w:val="24"/>
          <w:highlight w:val="none"/>
          <w:lang w:val="en-US" w:eastAsia="zh-CN"/>
        </w:rPr>
        <w:t>。</w:t>
      </w:r>
    </w:p>
    <w:p>
      <w:pPr>
        <w:keepNext w:val="0"/>
        <w:keepLines w:val="0"/>
        <w:pageBreakBefore w:val="0"/>
        <w:widowControl w:val="0"/>
        <w:tabs>
          <w:tab w:val="left" w:pos="1080"/>
          <w:tab w:val="left" w:pos="1260"/>
        </w:tabs>
        <w:kinsoku/>
        <w:wordWrap/>
        <w:overflowPunct/>
        <w:topLinePunct w:val="0"/>
        <w:autoSpaceDE/>
        <w:autoSpaceDN/>
        <w:bidi w:val="0"/>
        <w:adjustRightInd/>
        <w:snapToGrid/>
        <w:spacing w:line="600" w:lineRule="exact"/>
        <w:ind w:right="0" w:rightChars="0"/>
        <w:textAlignment w:val="auto"/>
        <w:outlineLvl w:val="9"/>
        <w:rPr>
          <w:rFonts w:hint="eastAsia" w:ascii="宋体" w:hAnsi="宋体" w:eastAsia="宋体"/>
          <w:b/>
          <w:bCs/>
          <w:color w:val="auto"/>
          <w:sz w:val="24"/>
          <w:szCs w:val="24"/>
          <w:highlight w:val="none"/>
          <w:lang w:val="en-US" w:eastAsia="zh-CN"/>
        </w:rPr>
      </w:pPr>
      <w:r>
        <w:rPr>
          <w:rFonts w:hint="eastAsia" w:ascii="宋体" w:hAnsi="宋体" w:eastAsia="宋体"/>
          <w:color w:val="auto"/>
          <w:sz w:val="24"/>
          <w:szCs w:val="24"/>
          <w:highlight w:val="none"/>
          <w:lang w:val="en-US" w:eastAsia="zh-CN"/>
        </w:rPr>
        <w:t>4、服务地点：采购人指定地点，无特殊情况下采购人提早 1 天通知，乙方按时到场；紧急情况下，接到甲方通知后乙方应 1 小时内响应到场。</w:t>
      </w:r>
      <w:r>
        <w:rPr>
          <w:rFonts w:hint="eastAsia" w:ascii="宋体" w:hAnsi="宋体" w:eastAsia="宋体"/>
          <w:b/>
          <w:bCs/>
          <w:color w:val="auto"/>
          <w:sz w:val="24"/>
          <w:szCs w:val="24"/>
          <w:highlight w:val="none"/>
          <w:lang w:val="en-US" w:eastAsia="zh-CN"/>
        </w:rPr>
        <w:t>该施工时间包括节假日在内（如结算价款满合同限额后则提前自动解除）</w:t>
      </w:r>
      <w:r>
        <w:rPr>
          <w:rFonts w:hint="eastAsia" w:ascii="宋体" w:hAnsi="宋体"/>
          <w:b/>
          <w:bCs/>
          <w:color w:val="auto"/>
          <w:sz w:val="24"/>
          <w:szCs w:val="24"/>
          <w:highlight w:val="none"/>
          <w:lang w:val="en-US" w:eastAsia="zh-CN"/>
        </w:rPr>
        <w:t>。</w:t>
      </w:r>
    </w:p>
    <w:p>
      <w:pPr>
        <w:keepNext w:val="0"/>
        <w:keepLines w:val="0"/>
        <w:pageBreakBefore w:val="0"/>
        <w:widowControl w:val="0"/>
        <w:tabs>
          <w:tab w:val="left" w:pos="1080"/>
          <w:tab w:val="left" w:pos="1260"/>
        </w:tabs>
        <w:kinsoku/>
        <w:wordWrap/>
        <w:overflowPunct/>
        <w:topLinePunct w:val="0"/>
        <w:autoSpaceDE/>
        <w:autoSpaceDN/>
        <w:bidi w:val="0"/>
        <w:adjustRightInd/>
        <w:snapToGrid/>
        <w:spacing w:line="600" w:lineRule="exact"/>
        <w:ind w:right="0" w:rightChars="0"/>
        <w:textAlignment w:val="auto"/>
        <w:outlineLvl w:val="9"/>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三、合同金额</w:t>
      </w:r>
    </w:p>
    <w:p>
      <w:pPr>
        <w:widowControl/>
        <w:spacing w:line="360" w:lineRule="auto"/>
        <w:jc w:val="left"/>
        <w:rPr>
          <w:rFonts w:hint="eastAsia" w:ascii="宋体" w:hAnsi="宋体" w:eastAsia="宋体"/>
          <w:color w:val="auto"/>
          <w:sz w:val="24"/>
          <w:szCs w:val="24"/>
          <w:highlight w:val="none"/>
          <w:lang w:val="en-US" w:eastAsia="zh-CN"/>
        </w:rPr>
      </w:pPr>
      <w:r>
        <w:rPr>
          <w:rFonts w:hint="eastAsia" w:hAnsi="宋体"/>
          <w:color w:val="auto"/>
          <w:sz w:val="24"/>
          <w:highlight w:val="none"/>
          <w:lang w:val="en-US" w:eastAsia="zh-CN"/>
        </w:rPr>
        <w:t>1、</w:t>
      </w:r>
      <w:r>
        <w:rPr>
          <w:rFonts w:hAnsi="宋体"/>
          <w:color w:val="auto"/>
          <w:sz w:val="24"/>
          <w:highlight w:val="none"/>
        </w:rPr>
        <w:t>本</w:t>
      </w:r>
      <w:r>
        <w:rPr>
          <w:rFonts w:hint="eastAsia" w:hAnsi="宋体"/>
          <w:color w:val="auto"/>
          <w:sz w:val="24"/>
          <w:highlight w:val="none"/>
        </w:rPr>
        <w:t xml:space="preserve">合同价款以 </w:t>
      </w:r>
      <w:r>
        <w:rPr>
          <w:rFonts w:hint="eastAsia" w:hAnsi="宋体"/>
          <w:color w:val="auto"/>
          <w:sz w:val="24"/>
          <w:highlight w:val="none"/>
          <w:lang w:val="en-US" w:eastAsia="zh-CN"/>
        </w:rPr>
        <w:t>115.5</w:t>
      </w:r>
      <w:r>
        <w:rPr>
          <w:rFonts w:hint="eastAsia" w:hAnsi="宋体"/>
          <w:color w:val="auto"/>
          <w:sz w:val="24"/>
          <w:highlight w:val="none"/>
        </w:rPr>
        <w:t>万元为限，具体</w:t>
      </w:r>
      <w:r>
        <w:rPr>
          <w:rFonts w:hint="eastAsia" w:ascii="宋体" w:hAnsi="宋体" w:eastAsia="宋体"/>
          <w:color w:val="auto"/>
          <w:sz w:val="24"/>
          <w:szCs w:val="24"/>
          <w:highlight w:val="none"/>
          <w:lang w:val="en-US" w:eastAsia="zh-CN"/>
        </w:rPr>
        <w:t>工程量按实计取。（供应商服务费用在合同期内进行按实结算，若结算价款满合同限额 115.5万元后则提前自动解除，服务期时间及合同价款结算金额两者以先达到为准）。</w:t>
      </w:r>
    </w:p>
    <w:p>
      <w:pPr>
        <w:widowControl/>
        <w:spacing w:line="360" w:lineRule="auto"/>
        <w:jc w:val="left"/>
        <w:rPr>
          <w:rFonts w:hint="default" w:ascii="宋体" w:hAnsi="宋体" w:eastAsia="宋体"/>
          <w:b w:val="0"/>
          <w:bCs w:val="0"/>
          <w:color w:val="auto"/>
          <w:sz w:val="24"/>
          <w:szCs w:val="24"/>
          <w:highlight w:val="none"/>
          <w:u w:val="single"/>
          <w:lang w:val="en-US" w:eastAsia="zh-CN"/>
        </w:rPr>
      </w:pPr>
      <w:r>
        <w:rPr>
          <w:rFonts w:hint="eastAsia" w:ascii="宋体" w:hAnsi="宋体"/>
          <w:color w:val="auto"/>
          <w:sz w:val="24"/>
          <w:szCs w:val="24"/>
          <w:highlight w:val="none"/>
          <w:lang w:val="en-US" w:eastAsia="zh-CN"/>
        </w:rPr>
        <w:t>2</w:t>
      </w:r>
      <w:r>
        <w:rPr>
          <w:rFonts w:hint="eastAsia" w:ascii="宋体" w:hAnsi="宋体" w:eastAsia="宋体"/>
          <w:color w:val="auto"/>
          <w:sz w:val="24"/>
          <w:szCs w:val="24"/>
          <w:highlight w:val="none"/>
          <w:lang w:val="en-US" w:eastAsia="zh-CN"/>
        </w:rPr>
        <w:t>、</w:t>
      </w:r>
      <w:r>
        <w:rPr>
          <w:rFonts w:hint="eastAsia" w:ascii="宋体" w:hAnsi="宋体"/>
          <w:color w:val="auto"/>
          <w:sz w:val="24"/>
          <w:szCs w:val="24"/>
          <w:highlight w:val="none"/>
          <w:lang w:val="en-US" w:eastAsia="zh-CN"/>
        </w:rPr>
        <w:t>中标费率为</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none"/>
          <w:lang w:val="en-US" w:eastAsia="zh-CN"/>
        </w:rPr>
        <w:t xml:space="preserve"> %，具体中标综合单价如下：</w:t>
      </w:r>
    </w:p>
    <w:tbl>
      <w:tblPr>
        <w:tblStyle w:val="43"/>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033"/>
        <w:gridCol w:w="3023"/>
        <w:gridCol w:w="1800"/>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blHeader/>
          <w:jc w:val="center"/>
        </w:trPr>
        <w:tc>
          <w:tcPr>
            <w:tcW w:w="527" w:type="dxa"/>
            <w:noWrap w:val="0"/>
            <w:vAlign w:val="center"/>
          </w:tcPr>
          <w:p>
            <w:pPr>
              <w:spacing w:line="360" w:lineRule="exact"/>
              <w:jc w:val="center"/>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编号</w:t>
            </w:r>
          </w:p>
        </w:tc>
        <w:tc>
          <w:tcPr>
            <w:tcW w:w="1033" w:type="dxa"/>
            <w:noWrap w:val="0"/>
            <w:vAlign w:val="center"/>
          </w:tcPr>
          <w:p>
            <w:pPr>
              <w:spacing w:line="360" w:lineRule="exact"/>
              <w:jc w:val="center"/>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设备类别</w:t>
            </w:r>
          </w:p>
        </w:tc>
        <w:tc>
          <w:tcPr>
            <w:tcW w:w="3023" w:type="dxa"/>
            <w:noWrap w:val="0"/>
            <w:vAlign w:val="center"/>
          </w:tcPr>
          <w:p>
            <w:pPr>
              <w:spacing w:line="360" w:lineRule="exact"/>
              <w:jc w:val="center"/>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型号</w:t>
            </w:r>
          </w:p>
        </w:tc>
        <w:tc>
          <w:tcPr>
            <w:tcW w:w="1800" w:type="dxa"/>
            <w:noWrap w:val="0"/>
            <w:vAlign w:val="center"/>
          </w:tcPr>
          <w:p>
            <w:pPr>
              <w:spacing w:line="360" w:lineRule="exact"/>
              <w:jc w:val="center"/>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lang w:eastAsia="zh-CN"/>
              </w:rPr>
              <w:t>合同</w:t>
            </w:r>
            <w:r>
              <w:rPr>
                <w:rFonts w:hint="eastAsia" w:ascii="黑体" w:hAnsi="黑体" w:eastAsia="黑体" w:cs="黑体"/>
                <w:b w:val="0"/>
                <w:bCs/>
                <w:color w:val="auto"/>
                <w:sz w:val="21"/>
                <w:szCs w:val="21"/>
                <w:highlight w:val="none"/>
              </w:rPr>
              <w:t>综合单价（元/台班）</w:t>
            </w:r>
          </w:p>
        </w:tc>
        <w:tc>
          <w:tcPr>
            <w:tcW w:w="2375" w:type="dxa"/>
            <w:noWrap w:val="0"/>
            <w:vAlign w:val="center"/>
          </w:tcPr>
          <w:p>
            <w:pPr>
              <w:spacing w:line="360" w:lineRule="exact"/>
              <w:jc w:val="center"/>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27" w:type="dxa"/>
            <w:vMerge w:val="restart"/>
            <w:noWrap w:val="0"/>
            <w:vAlign w:val="center"/>
          </w:tcPr>
          <w:p>
            <w:pPr>
              <w:spacing w:line="600" w:lineRule="exact"/>
              <w:jc w:val="left"/>
              <w:rPr>
                <w:rFonts w:hint="eastAsia" w:ascii="仿宋_GB2312" w:hAnsi="新宋体" w:eastAsia="仿宋_GB2312" w:cs="Arial"/>
                <w:color w:val="auto"/>
                <w:sz w:val="21"/>
                <w:szCs w:val="21"/>
                <w:highlight w:val="none"/>
              </w:rPr>
            </w:pPr>
            <w:r>
              <w:rPr>
                <w:rFonts w:hint="eastAsia" w:ascii="仿宋_GB2312" w:hAnsi="新宋体" w:eastAsia="仿宋_GB2312" w:cs="Arial"/>
                <w:color w:val="auto"/>
                <w:sz w:val="21"/>
                <w:szCs w:val="21"/>
                <w:highlight w:val="none"/>
              </w:rPr>
              <w:t>1</w:t>
            </w:r>
          </w:p>
        </w:tc>
        <w:tc>
          <w:tcPr>
            <w:tcW w:w="1033" w:type="dxa"/>
            <w:vMerge w:val="restart"/>
            <w:noWrap w:val="0"/>
            <w:vAlign w:val="center"/>
          </w:tcPr>
          <w:p>
            <w:pPr>
              <w:jc w:val="left"/>
              <w:rPr>
                <w:rFonts w:ascii="宋体" w:hAnsi="宋体" w:cs="宋体"/>
                <w:color w:val="auto"/>
                <w:sz w:val="21"/>
                <w:szCs w:val="21"/>
                <w:highlight w:val="none"/>
              </w:rPr>
            </w:pPr>
            <w:r>
              <w:rPr>
                <w:rFonts w:hint="eastAsia"/>
                <w:color w:val="auto"/>
                <w:sz w:val="21"/>
                <w:szCs w:val="21"/>
                <w:highlight w:val="none"/>
              </w:rPr>
              <w:t>汽车类</w:t>
            </w:r>
          </w:p>
        </w:tc>
        <w:tc>
          <w:tcPr>
            <w:tcW w:w="3023" w:type="dxa"/>
            <w:noWrap w:val="0"/>
            <w:vAlign w:val="center"/>
          </w:tcPr>
          <w:p>
            <w:pPr>
              <w:jc w:val="left"/>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小四轮工具车</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27" w:type="dxa"/>
            <w:vMerge w:val="continue"/>
            <w:noWrap w:val="0"/>
            <w:vAlign w:val="center"/>
          </w:tcPr>
          <w:p>
            <w:pPr>
              <w:spacing w:line="600" w:lineRule="exact"/>
              <w:jc w:val="left"/>
              <w:rPr>
                <w:rFonts w:hint="eastAsia" w:ascii="仿宋_GB2312" w:hAnsi="新宋体" w:eastAsia="仿宋_GB2312" w:cs="Arial"/>
                <w:color w:val="auto"/>
                <w:sz w:val="21"/>
                <w:szCs w:val="21"/>
                <w:highlight w:val="none"/>
              </w:rPr>
            </w:pPr>
          </w:p>
        </w:tc>
        <w:tc>
          <w:tcPr>
            <w:tcW w:w="1033" w:type="dxa"/>
            <w:vMerge w:val="continue"/>
            <w:noWrap w:val="0"/>
            <w:vAlign w:val="center"/>
          </w:tcPr>
          <w:p>
            <w:pPr>
              <w:jc w:val="left"/>
              <w:rPr>
                <w:rFonts w:hint="eastAsia" w:ascii="仿宋_GB2312" w:hAnsi="新宋体" w:eastAsia="仿宋_GB2312"/>
                <w:color w:val="auto"/>
                <w:sz w:val="21"/>
                <w:szCs w:val="21"/>
                <w:highlight w:val="none"/>
              </w:rPr>
            </w:pPr>
          </w:p>
        </w:tc>
        <w:tc>
          <w:tcPr>
            <w:tcW w:w="3023"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1.5吨自卸运输车</w:t>
            </w:r>
            <w:r>
              <w:rPr>
                <w:rFonts w:hint="eastAsia"/>
                <w:color w:val="auto"/>
                <w:sz w:val="21"/>
                <w:szCs w:val="21"/>
                <w:highlight w:val="none"/>
                <w:lang w:eastAsia="zh-CN"/>
              </w:rPr>
              <w:t>（</w:t>
            </w:r>
            <w:r>
              <w:rPr>
                <w:rFonts w:hint="eastAsia"/>
                <w:color w:val="auto"/>
                <w:sz w:val="21"/>
                <w:szCs w:val="21"/>
                <w:highlight w:val="none"/>
                <w:lang w:val="en-US" w:eastAsia="zh-CN"/>
              </w:rPr>
              <w:t>6轮）</w:t>
            </w:r>
            <w:r>
              <w:rPr>
                <w:rFonts w:hint="eastAsia"/>
                <w:color w:val="auto"/>
                <w:sz w:val="21"/>
                <w:szCs w:val="21"/>
                <w:highlight w:val="none"/>
                <w:lang w:eastAsia="zh-CN"/>
              </w:rPr>
              <w:t>）</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27"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33" w:type="dxa"/>
            <w:vMerge w:val="continue"/>
            <w:noWrap w:val="0"/>
            <w:vAlign w:val="center"/>
          </w:tcPr>
          <w:p>
            <w:pPr>
              <w:jc w:val="left"/>
              <w:rPr>
                <w:rFonts w:hint="eastAsia" w:ascii="仿宋_GB2312" w:hAnsi="新宋体" w:eastAsia="仿宋_GB2312"/>
                <w:color w:val="auto"/>
                <w:sz w:val="21"/>
                <w:szCs w:val="21"/>
                <w:highlight w:val="none"/>
              </w:rPr>
            </w:pPr>
          </w:p>
        </w:tc>
        <w:tc>
          <w:tcPr>
            <w:tcW w:w="3023"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2吨轻型卡车</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27"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33" w:type="dxa"/>
            <w:vMerge w:val="continue"/>
            <w:noWrap w:val="0"/>
            <w:vAlign w:val="center"/>
          </w:tcPr>
          <w:p>
            <w:pPr>
              <w:jc w:val="left"/>
              <w:rPr>
                <w:rFonts w:hint="eastAsia" w:ascii="仿宋_GB2312" w:hAnsi="新宋体" w:eastAsia="仿宋_GB2312"/>
                <w:color w:val="auto"/>
                <w:sz w:val="21"/>
                <w:szCs w:val="21"/>
                <w:highlight w:val="none"/>
              </w:rPr>
            </w:pPr>
          </w:p>
        </w:tc>
        <w:tc>
          <w:tcPr>
            <w:tcW w:w="3023"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10吨货车</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27"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33" w:type="dxa"/>
            <w:vMerge w:val="continue"/>
            <w:noWrap w:val="0"/>
            <w:vAlign w:val="center"/>
          </w:tcPr>
          <w:p>
            <w:pPr>
              <w:jc w:val="left"/>
              <w:rPr>
                <w:rFonts w:hint="eastAsia" w:ascii="仿宋_GB2312" w:hAnsi="新宋体" w:eastAsia="仿宋_GB2312"/>
                <w:color w:val="auto"/>
                <w:sz w:val="21"/>
                <w:szCs w:val="21"/>
                <w:highlight w:val="none"/>
              </w:rPr>
            </w:pPr>
          </w:p>
        </w:tc>
        <w:tc>
          <w:tcPr>
            <w:tcW w:w="3023"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十通自卸车</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27"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33" w:type="dxa"/>
            <w:vMerge w:val="continue"/>
            <w:noWrap w:val="0"/>
            <w:vAlign w:val="center"/>
          </w:tcPr>
          <w:p>
            <w:pPr>
              <w:jc w:val="left"/>
              <w:rPr>
                <w:rFonts w:hint="eastAsia" w:ascii="仿宋_GB2312" w:hAnsi="新宋体" w:eastAsia="仿宋_GB2312"/>
                <w:color w:val="auto"/>
                <w:sz w:val="21"/>
                <w:szCs w:val="21"/>
                <w:highlight w:val="none"/>
              </w:rPr>
            </w:pPr>
          </w:p>
        </w:tc>
        <w:tc>
          <w:tcPr>
            <w:tcW w:w="3023" w:type="dxa"/>
            <w:noWrap w:val="0"/>
            <w:vAlign w:val="center"/>
          </w:tcPr>
          <w:p>
            <w:pPr>
              <w:jc w:val="left"/>
              <w:rPr>
                <w:rFonts w:hint="eastAsia"/>
                <w:color w:val="auto"/>
                <w:sz w:val="21"/>
                <w:szCs w:val="21"/>
                <w:highlight w:val="none"/>
              </w:rPr>
            </w:pPr>
            <w:r>
              <w:rPr>
                <w:rFonts w:hint="eastAsia"/>
                <w:color w:val="auto"/>
                <w:sz w:val="21"/>
                <w:szCs w:val="21"/>
                <w:highlight w:val="none"/>
              </w:rPr>
              <w:t>前四后八双桥自卸车</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27"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33" w:type="dxa"/>
            <w:vMerge w:val="continue"/>
            <w:noWrap w:val="0"/>
            <w:vAlign w:val="center"/>
          </w:tcPr>
          <w:p>
            <w:pPr>
              <w:jc w:val="left"/>
              <w:rPr>
                <w:rFonts w:ascii="宋体" w:hAnsi="宋体" w:cs="宋体"/>
                <w:color w:val="auto"/>
                <w:sz w:val="21"/>
                <w:szCs w:val="21"/>
                <w:highlight w:val="none"/>
              </w:rPr>
            </w:pPr>
          </w:p>
        </w:tc>
        <w:tc>
          <w:tcPr>
            <w:tcW w:w="3023"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15吨货车（车厢长9.6米）</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27" w:type="dxa"/>
            <w:vMerge w:val="restart"/>
            <w:noWrap w:val="0"/>
            <w:vAlign w:val="center"/>
          </w:tcPr>
          <w:p>
            <w:pPr>
              <w:spacing w:line="600" w:lineRule="exact"/>
              <w:jc w:val="left"/>
              <w:rPr>
                <w:rFonts w:hint="eastAsia" w:ascii="仿宋_GB2312" w:hAnsi="新宋体" w:eastAsia="仿宋_GB2312" w:cs="Arial"/>
                <w:color w:val="auto"/>
                <w:sz w:val="21"/>
                <w:szCs w:val="21"/>
                <w:highlight w:val="none"/>
              </w:rPr>
            </w:pPr>
            <w:r>
              <w:rPr>
                <w:rFonts w:hint="eastAsia" w:ascii="仿宋_GB2312" w:hAnsi="新宋体" w:eastAsia="仿宋_GB2312" w:cs="Arial"/>
                <w:color w:val="auto"/>
                <w:sz w:val="21"/>
                <w:szCs w:val="21"/>
                <w:highlight w:val="none"/>
              </w:rPr>
              <w:t>2</w:t>
            </w:r>
          </w:p>
        </w:tc>
        <w:tc>
          <w:tcPr>
            <w:tcW w:w="1033" w:type="dxa"/>
            <w:vMerge w:val="restart"/>
            <w:noWrap w:val="0"/>
            <w:vAlign w:val="center"/>
          </w:tcPr>
          <w:p>
            <w:pPr>
              <w:jc w:val="left"/>
              <w:rPr>
                <w:rFonts w:hint="eastAsia" w:ascii="仿宋_GB2312" w:hAnsi="新宋体" w:eastAsia="仿宋_GB2312"/>
                <w:color w:val="auto"/>
                <w:sz w:val="21"/>
                <w:szCs w:val="21"/>
                <w:highlight w:val="none"/>
              </w:rPr>
            </w:pPr>
            <w:r>
              <w:rPr>
                <w:rFonts w:hint="eastAsia"/>
                <w:color w:val="auto"/>
                <w:sz w:val="21"/>
                <w:szCs w:val="21"/>
                <w:highlight w:val="none"/>
              </w:rPr>
              <w:t>挖机类</w:t>
            </w:r>
          </w:p>
        </w:tc>
        <w:tc>
          <w:tcPr>
            <w:tcW w:w="3023"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60型履带式液压单斗挖掘机</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color w:val="auto"/>
                <w:sz w:val="21"/>
                <w:szCs w:val="21"/>
                <w:highlight w:val="none"/>
              </w:rPr>
            </w:pPr>
            <w:r>
              <w:rPr>
                <w:rFonts w:hint="eastAsia"/>
                <w:color w:val="auto"/>
                <w:sz w:val="21"/>
                <w:szCs w:val="21"/>
                <w:highlight w:val="none"/>
              </w:rPr>
              <w:t>进出场费按400元/次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27"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33" w:type="dxa"/>
            <w:vMerge w:val="continue"/>
            <w:noWrap w:val="0"/>
            <w:vAlign w:val="center"/>
          </w:tcPr>
          <w:p>
            <w:pPr>
              <w:jc w:val="left"/>
              <w:rPr>
                <w:rFonts w:hint="eastAsia" w:ascii="仿宋_GB2312" w:hAnsi="新宋体" w:eastAsia="仿宋_GB2312"/>
                <w:color w:val="auto"/>
                <w:sz w:val="21"/>
                <w:szCs w:val="21"/>
                <w:highlight w:val="none"/>
              </w:rPr>
            </w:pPr>
          </w:p>
        </w:tc>
        <w:tc>
          <w:tcPr>
            <w:tcW w:w="3023"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轮胎式液压单斗挖掘机</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27"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33" w:type="dxa"/>
            <w:vMerge w:val="continue"/>
            <w:noWrap w:val="0"/>
            <w:vAlign w:val="center"/>
          </w:tcPr>
          <w:p>
            <w:pPr>
              <w:jc w:val="left"/>
              <w:rPr>
                <w:rFonts w:hint="eastAsia" w:ascii="仿宋_GB2312" w:hAnsi="新宋体" w:eastAsia="仿宋_GB2312"/>
                <w:color w:val="auto"/>
                <w:sz w:val="21"/>
                <w:szCs w:val="21"/>
                <w:highlight w:val="none"/>
              </w:rPr>
            </w:pPr>
          </w:p>
        </w:tc>
        <w:tc>
          <w:tcPr>
            <w:tcW w:w="3023"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120型履带式液压单斗挖掘机</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color w:val="auto"/>
                <w:sz w:val="21"/>
                <w:szCs w:val="21"/>
                <w:highlight w:val="none"/>
              </w:rPr>
            </w:pPr>
            <w:r>
              <w:rPr>
                <w:rFonts w:hint="eastAsia"/>
                <w:color w:val="auto"/>
                <w:sz w:val="21"/>
                <w:szCs w:val="21"/>
                <w:highlight w:val="none"/>
              </w:rPr>
              <w:t>进出场费按400元/次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27"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33" w:type="dxa"/>
            <w:vMerge w:val="continue"/>
            <w:noWrap w:val="0"/>
            <w:vAlign w:val="center"/>
          </w:tcPr>
          <w:p>
            <w:pPr>
              <w:jc w:val="left"/>
              <w:rPr>
                <w:rFonts w:hint="eastAsia" w:ascii="仿宋_GB2312" w:hAnsi="新宋体" w:eastAsia="仿宋_GB2312"/>
                <w:color w:val="auto"/>
                <w:sz w:val="21"/>
                <w:szCs w:val="21"/>
                <w:highlight w:val="none"/>
              </w:rPr>
            </w:pPr>
          </w:p>
        </w:tc>
        <w:tc>
          <w:tcPr>
            <w:tcW w:w="3023"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200型履带式液压单斗挖掘机</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color w:val="auto"/>
                <w:sz w:val="21"/>
                <w:szCs w:val="21"/>
                <w:highlight w:val="none"/>
              </w:rPr>
            </w:pPr>
            <w:r>
              <w:rPr>
                <w:rFonts w:hint="eastAsia"/>
                <w:color w:val="auto"/>
                <w:sz w:val="21"/>
                <w:szCs w:val="21"/>
                <w:highlight w:val="none"/>
              </w:rPr>
              <w:t>进出场费按400元/次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27"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33" w:type="dxa"/>
            <w:vMerge w:val="continue"/>
            <w:noWrap w:val="0"/>
            <w:vAlign w:val="center"/>
          </w:tcPr>
          <w:p>
            <w:pPr>
              <w:jc w:val="left"/>
              <w:rPr>
                <w:rFonts w:hint="eastAsia" w:ascii="仿宋_GB2312" w:hAnsi="新宋体" w:eastAsia="仿宋_GB2312"/>
                <w:color w:val="auto"/>
                <w:sz w:val="21"/>
                <w:szCs w:val="21"/>
                <w:highlight w:val="none"/>
              </w:rPr>
            </w:pPr>
          </w:p>
        </w:tc>
        <w:tc>
          <w:tcPr>
            <w:tcW w:w="3023" w:type="dxa"/>
            <w:noWrap w:val="0"/>
            <w:vAlign w:val="center"/>
          </w:tcPr>
          <w:p>
            <w:pPr>
              <w:jc w:val="left"/>
              <w:rPr>
                <w:rFonts w:hint="eastAsia"/>
                <w:color w:val="auto"/>
                <w:sz w:val="21"/>
                <w:szCs w:val="21"/>
                <w:highlight w:val="none"/>
              </w:rPr>
            </w:pPr>
            <w:r>
              <w:rPr>
                <w:rFonts w:hint="eastAsia"/>
                <w:color w:val="auto"/>
                <w:sz w:val="21"/>
                <w:szCs w:val="21"/>
                <w:highlight w:val="none"/>
              </w:rPr>
              <w:t>220型履带式液压单斗挖掘机</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color w:val="auto"/>
                <w:sz w:val="21"/>
                <w:szCs w:val="21"/>
                <w:highlight w:val="none"/>
              </w:rPr>
            </w:pPr>
            <w:r>
              <w:rPr>
                <w:rFonts w:hint="eastAsia"/>
                <w:color w:val="auto"/>
                <w:sz w:val="21"/>
                <w:szCs w:val="21"/>
                <w:highlight w:val="none"/>
              </w:rPr>
              <w:t>进出场费按400元/次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27"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33" w:type="dxa"/>
            <w:vMerge w:val="continue"/>
            <w:noWrap w:val="0"/>
            <w:vAlign w:val="center"/>
          </w:tcPr>
          <w:p>
            <w:pPr>
              <w:jc w:val="left"/>
              <w:rPr>
                <w:rFonts w:hint="eastAsia" w:ascii="仿宋_GB2312" w:hAnsi="新宋体" w:eastAsia="仿宋_GB2312"/>
                <w:color w:val="auto"/>
                <w:sz w:val="21"/>
                <w:szCs w:val="21"/>
                <w:highlight w:val="none"/>
              </w:rPr>
            </w:pPr>
          </w:p>
        </w:tc>
        <w:tc>
          <w:tcPr>
            <w:tcW w:w="3023"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300型履带式液压单斗挖掘机</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进出场费按400元/次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27"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33" w:type="dxa"/>
            <w:vMerge w:val="continue"/>
            <w:noWrap w:val="0"/>
            <w:vAlign w:val="center"/>
          </w:tcPr>
          <w:p>
            <w:pPr>
              <w:jc w:val="left"/>
              <w:rPr>
                <w:rFonts w:hint="eastAsia" w:ascii="仿宋_GB2312" w:hAnsi="新宋体" w:eastAsia="仿宋_GB2312"/>
                <w:color w:val="auto"/>
                <w:sz w:val="21"/>
                <w:szCs w:val="21"/>
                <w:highlight w:val="none"/>
              </w:rPr>
            </w:pPr>
          </w:p>
        </w:tc>
        <w:tc>
          <w:tcPr>
            <w:tcW w:w="3023" w:type="dxa"/>
            <w:noWrap w:val="0"/>
            <w:vAlign w:val="center"/>
          </w:tcPr>
          <w:p>
            <w:pPr>
              <w:jc w:val="left"/>
              <w:rPr>
                <w:rFonts w:hint="eastAsia"/>
                <w:color w:val="auto"/>
                <w:sz w:val="21"/>
                <w:szCs w:val="21"/>
                <w:highlight w:val="none"/>
              </w:rPr>
            </w:pPr>
            <w:r>
              <w:rPr>
                <w:rFonts w:hint="eastAsia"/>
                <w:color w:val="auto"/>
                <w:sz w:val="21"/>
                <w:szCs w:val="21"/>
                <w:highlight w:val="none"/>
              </w:rPr>
              <w:t>60型轮胎式液压单斗破碎机</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27"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33" w:type="dxa"/>
            <w:vMerge w:val="continue"/>
            <w:noWrap w:val="0"/>
            <w:vAlign w:val="center"/>
          </w:tcPr>
          <w:p>
            <w:pPr>
              <w:jc w:val="left"/>
              <w:rPr>
                <w:rFonts w:hint="eastAsia" w:ascii="仿宋_GB2312" w:hAnsi="新宋体" w:eastAsia="仿宋_GB2312"/>
                <w:color w:val="auto"/>
                <w:sz w:val="21"/>
                <w:szCs w:val="21"/>
                <w:highlight w:val="none"/>
              </w:rPr>
            </w:pPr>
          </w:p>
        </w:tc>
        <w:tc>
          <w:tcPr>
            <w:tcW w:w="3023"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120型液压单斗破碎机</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进出场费按400元/次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27"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33" w:type="dxa"/>
            <w:vMerge w:val="continue"/>
            <w:noWrap w:val="0"/>
            <w:vAlign w:val="center"/>
          </w:tcPr>
          <w:p>
            <w:pPr>
              <w:jc w:val="left"/>
              <w:rPr>
                <w:rFonts w:hint="eastAsia" w:ascii="仿宋_GB2312" w:hAnsi="新宋体" w:eastAsia="仿宋_GB2312"/>
                <w:color w:val="auto"/>
                <w:sz w:val="21"/>
                <w:szCs w:val="21"/>
                <w:highlight w:val="none"/>
              </w:rPr>
            </w:pPr>
          </w:p>
        </w:tc>
        <w:tc>
          <w:tcPr>
            <w:tcW w:w="3023" w:type="dxa"/>
            <w:noWrap w:val="0"/>
            <w:vAlign w:val="center"/>
          </w:tcPr>
          <w:p>
            <w:pPr>
              <w:jc w:val="left"/>
              <w:rPr>
                <w:rFonts w:hint="eastAsia"/>
                <w:color w:val="auto"/>
                <w:sz w:val="21"/>
                <w:szCs w:val="21"/>
                <w:highlight w:val="none"/>
              </w:rPr>
            </w:pPr>
            <w:r>
              <w:rPr>
                <w:rFonts w:hint="eastAsia"/>
                <w:color w:val="auto"/>
                <w:sz w:val="21"/>
                <w:szCs w:val="21"/>
                <w:highlight w:val="none"/>
              </w:rPr>
              <w:t>200型液压单斗破碎机</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color w:val="auto"/>
                <w:sz w:val="21"/>
                <w:szCs w:val="21"/>
                <w:highlight w:val="none"/>
              </w:rPr>
            </w:pPr>
            <w:r>
              <w:rPr>
                <w:rFonts w:hint="eastAsia"/>
                <w:color w:val="auto"/>
                <w:sz w:val="21"/>
                <w:szCs w:val="21"/>
                <w:highlight w:val="none"/>
              </w:rPr>
              <w:t>进出场费按400元/次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27"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33" w:type="dxa"/>
            <w:vMerge w:val="continue"/>
            <w:noWrap w:val="0"/>
            <w:vAlign w:val="center"/>
          </w:tcPr>
          <w:p>
            <w:pPr>
              <w:jc w:val="left"/>
              <w:rPr>
                <w:rFonts w:hint="eastAsia" w:ascii="仿宋_GB2312" w:hAnsi="新宋体" w:eastAsia="仿宋_GB2312"/>
                <w:color w:val="auto"/>
                <w:sz w:val="21"/>
                <w:szCs w:val="21"/>
                <w:highlight w:val="none"/>
              </w:rPr>
            </w:pPr>
          </w:p>
        </w:tc>
        <w:tc>
          <w:tcPr>
            <w:tcW w:w="3023" w:type="dxa"/>
            <w:noWrap w:val="0"/>
            <w:vAlign w:val="center"/>
          </w:tcPr>
          <w:p>
            <w:pPr>
              <w:jc w:val="left"/>
              <w:rPr>
                <w:rFonts w:hint="eastAsia"/>
                <w:color w:val="auto"/>
                <w:sz w:val="21"/>
                <w:szCs w:val="21"/>
                <w:highlight w:val="none"/>
              </w:rPr>
            </w:pPr>
            <w:r>
              <w:rPr>
                <w:rFonts w:hint="eastAsia"/>
                <w:color w:val="auto"/>
                <w:sz w:val="21"/>
                <w:szCs w:val="21"/>
                <w:highlight w:val="none"/>
              </w:rPr>
              <w:t>长臂挖机</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color w:val="auto"/>
                <w:sz w:val="21"/>
                <w:szCs w:val="21"/>
                <w:highlight w:val="none"/>
              </w:rPr>
            </w:pPr>
            <w:r>
              <w:rPr>
                <w:rFonts w:hint="eastAsia"/>
                <w:color w:val="auto"/>
                <w:sz w:val="21"/>
                <w:szCs w:val="21"/>
                <w:highlight w:val="none"/>
              </w:rPr>
              <w:t>进出场费按400元/次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27"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33" w:type="dxa"/>
            <w:vMerge w:val="continue"/>
            <w:noWrap w:val="0"/>
            <w:vAlign w:val="center"/>
          </w:tcPr>
          <w:p>
            <w:pPr>
              <w:jc w:val="left"/>
              <w:rPr>
                <w:rFonts w:hint="eastAsia" w:ascii="仿宋_GB2312" w:hAnsi="新宋体" w:eastAsia="仿宋_GB2312"/>
                <w:color w:val="auto"/>
                <w:sz w:val="21"/>
                <w:szCs w:val="21"/>
                <w:highlight w:val="none"/>
              </w:rPr>
            </w:pPr>
          </w:p>
        </w:tc>
        <w:tc>
          <w:tcPr>
            <w:tcW w:w="3023" w:type="dxa"/>
            <w:noWrap w:val="0"/>
            <w:vAlign w:val="center"/>
          </w:tcPr>
          <w:p>
            <w:pPr>
              <w:jc w:val="left"/>
              <w:rPr>
                <w:rFonts w:hint="eastAsia"/>
                <w:color w:val="auto"/>
                <w:sz w:val="21"/>
                <w:szCs w:val="21"/>
                <w:highlight w:val="none"/>
              </w:rPr>
            </w:pPr>
            <w:r>
              <w:rPr>
                <w:rFonts w:hint="eastAsia"/>
                <w:color w:val="auto"/>
                <w:sz w:val="21"/>
                <w:szCs w:val="21"/>
                <w:highlight w:val="none"/>
              </w:rPr>
              <w:t>船式挖机</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color w:val="auto"/>
                <w:sz w:val="21"/>
                <w:szCs w:val="21"/>
                <w:highlight w:val="none"/>
              </w:rPr>
            </w:pPr>
            <w:r>
              <w:rPr>
                <w:rFonts w:hint="eastAsia"/>
                <w:color w:val="auto"/>
                <w:sz w:val="21"/>
                <w:szCs w:val="21"/>
                <w:highlight w:val="none"/>
              </w:rPr>
              <w:t>进出场费按400元/次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27"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33" w:type="dxa"/>
            <w:vMerge w:val="continue"/>
            <w:noWrap w:val="0"/>
            <w:vAlign w:val="center"/>
          </w:tcPr>
          <w:p>
            <w:pPr>
              <w:jc w:val="left"/>
              <w:rPr>
                <w:rFonts w:ascii="宋体" w:hAnsi="宋体" w:cs="宋体"/>
                <w:color w:val="auto"/>
                <w:sz w:val="21"/>
                <w:szCs w:val="21"/>
                <w:highlight w:val="none"/>
              </w:rPr>
            </w:pPr>
          </w:p>
        </w:tc>
        <w:tc>
          <w:tcPr>
            <w:tcW w:w="3023"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水陆两用挖机</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color w:val="auto"/>
                <w:sz w:val="21"/>
                <w:szCs w:val="21"/>
                <w:highlight w:val="none"/>
              </w:rPr>
            </w:pPr>
            <w:r>
              <w:rPr>
                <w:rFonts w:hint="eastAsia"/>
                <w:color w:val="auto"/>
                <w:sz w:val="21"/>
                <w:szCs w:val="21"/>
                <w:highlight w:val="none"/>
              </w:rPr>
              <w:t>进出场费按400元/次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27" w:type="dxa"/>
            <w:vMerge w:val="restart"/>
            <w:noWrap w:val="0"/>
            <w:vAlign w:val="center"/>
          </w:tcPr>
          <w:p>
            <w:pPr>
              <w:spacing w:line="600" w:lineRule="exact"/>
              <w:jc w:val="left"/>
              <w:rPr>
                <w:rFonts w:hint="eastAsia" w:ascii="仿宋_GB2312" w:hAnsi="新宋体" w:eastAsia="仿宋_GB2312" w:cs="Arial"/>
                <w:color w:val="auto"/>
                <w:sz w:val="21"/>
                <w:szCs w:val="21"/>
                <w:highlight w:val="none"/>
              </w:rPr>
            </w:pPr>
            <w:r>
              <w:rPr>
                <w:rFonts w:hint="eastAsia" w:ascii="仿宋_GB2312" w:hAnsi="新宋体" w:eastAsia="仿宋_GB2312" w:cs="Arial"/>
                <w:color w:val="auto"/>
                <w:sz w:val="21"/>
                <w:szCs w:val="21"/>
                <w:highlight w:val="none"/>
              </w:rPr>
              <w:t>3</w:t>
            </w:r>
          </w:p>
        </w:tc>
        <w:tc>
          <w:tcPr>
            <w:tcW w:w="1033" w:type="dxa"/>
            <w:vMerge w:val="restart"/>
            <w:noWrap w:val="0"/>
            <w:vAlign w:val="center"/>
          </w:tcPr>
          <w:p>
            <w:pPr>
              <w:jc w:val="left"/>
              <w:rPr>
                <w:rFonts w:ascii="宋体" w:hAnsi="宋体" w:cs="宋体"/>
                <w:color w:val="auto"/>
                <w:sz w:val="21"/>
                <w:szCs w:val="21"/>
                <w:highlight w:val="none"/>
              </w:rPr>
            </w:pPr>
            <w:r>
              <w:rPr>
                <w:rFonts w:hint="eastAsia"/>
                <w:color w:val="auto"/>
                <w:sz w:val="21"/>
                <w:szCs w:val="21"/>
                <w:highlight w:val="none"/>
              </w:rPr>
              <w:t>铲车类</w:t>
            </w:r>
          </w:p>
        </w:tc>
        <w:tc>
          <w:tcPr>
            <w:tcW w:w="3023"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12型小铲车</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27" w:type="dxa"/>
            <w:vMerge w:val="continue"/>
            <w:noWrap w:val="0"/>
            <w:vAlign w:val="center"/>
          </w:tcPr>
          <w:p>
            <w:pPr>
              <w:spacing w:line="600" w:lineRule="exact"/>
              <w:jc w:val="left"/>
              <w:rPr>
                <w:rFonts w:hint="eastAsia" w:ascii="仿宋_GB2312" w:hAnsi="新宋体" w:eastAsia="仿宋_GB2312" w:cs="Arial"/>
                <w:color w:val="auto"/>
                <w:sz w:val="21"/>
                <w:szCs w:val="21"/>
                <w:highlight w:val="none"/>
              </w:rPr>
            </w:pPr>
          </w:p>
        </w:tc>
        <w:tc>
          <w:tcPr>
            <w:tcW w:w="1033" w:type="dxa"/>
            <w:vMerge w:val="continue"/>
            <w:noWrap w:val="0"/>
            <w:vAlign w:val="center"/>
          </w:tcPr>
          <w:p>
            <w:pPr>
              <w:jc w:val="left"/>
              <w:rPr>
                <w:rFonts w:ascii="宋体" w:hAnsi="宋体" w:cs="宋体"/>
                <w:color w:val="auto"/>
                <w:sz w:val="21"/>
                <w:szCs w:val="21"/>
                <w:highlight w:val="none"/>
              </w:rPr>
            </w:pPr>
          </w:p>
        </w:tc>
        <w:tc>
          <w:tcPr>
            <w:tcW w:w="3023" w:type="dxa"/>
            <w:noWrap w:val="0"/>
            <w:vAlign w:val="center"/>
          </w:tcPr>
          <w:p>
            <w:pPr>
              <w:jc w:val="left"/>
              <w:rPr>
                <w:rFonts w:hint="eastAsia"/>
                <w:color w:val="auto"/>
                <w:sz w:val="21"/>
                <w:szCs w:val="21"/>
                <w:highlight w:val="none"/>
              </w:rPr>
            </w:pPr>
            <w:r>
              <w:rPr>
                <w:rFonts w:hint="eastAsia"/>
                <w:color w:val="auto"/>
                <w:sz w:val="21"/>
                <w:szCs w:val="21"/>
                <w:highlight w:val="none"/>
              </w:rPr>
              <w:t>18型小铲车</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27" w:type="dxa"/>
            <w:vMerge w:val="continue"/>
            <w:noWrap w:val="0"/>
            <w:vAlign w:val="center"/>
          </w:tcPr>
          <w:p>
            <w:pPr>
              <w:spacing w:line="600" w:lineRule="exact"/>
              <w:jc w:val="left"/>
              <w:rPr>
                <w:rFonts w:hint="eastAsia" w:ascii="仿宋_GB2312" w:hAnsi="新宋体" w:eastAsia="仿宋_GB2312" w:cs="Arial"/>
                <w:color w:val="auto"/>
                <w:sz w:val="21"/>
                <w:szCs w:val="21"/>
                <w:highlight w:val="none"/>
              </w:rPr>
            </w:pPr>
          </w:p>
        </w:tc>
        <w:tc>
          <w:tcPr>
            <w:tcW w:w="1033" w:type="dxa"/>
            <w:vMerge w:val="continue"/>
            <w:noWrap w:val="0"/>
            <w:vAlign w:val="center"/>
          </w:tcPr>
          <w:p>
            <w:pPr>
              <w:jc w:val="left"/>
              <w:rPr>
                <w:rFonts w:hint="eastAsia" w:ascii="仿宋_GB2312" w:hAnsi="新宋体" w:eastAsia="仿宋_GB2312"/>
                <w:color w:val="auto"/>
                <w:sz w:val="21"/>
                <w:szCs w:val="21"/>
                <w:highlight w:val="none"/>
              </w:rPr>
            </w:pPr>
          </w:p>
        </w:tc>
        <w:tc>
          <w:tcPr>
            <w:tcW w:w="3023"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30型小铲车</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27"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33" w:type="dxa"/>
            <w:vMerge w:val="continue"/>
            <w:noWrap w:val="0"/>
            <w:vAlign w:val="center"/>
          </w:tcPr>
          <w:p>
            <w:pPr>
              <w:jc w:val="left"/>
              <w:rPr>
                <w:rFonts w:hint="eastAsia" w:ascii="仿宋_GB2312" w:hAnsi="新宋体" w:eastAsia="仿宋_GB2312"/>
                <w:color w:val="auto"/>
                <w:sz w:val="21"/>
                <w:szCs w:val="21"/>
                <w:highlight w:val="none"/>
              </w:rPr>
            </w:pPr>
          </w:p>
        </w:tc>
        <w:tc>
          <w:tcPr>
            <w:tcW w:w="3023" w:type="dxa"/>
            <w:noWrap w:val="0"/>
            <w:vAlign w:val="center"/>
          </w:tcPr>
          <w:p>
            <w:pPr>
              <w:jc w:val="left"/>
              <w:rPr>
                <w:color w:val="auto"/>
                <w:sz w:val="21"/>
                <w:szCs w:val="21"/>
                <w:highlight w:val="none"/>
              </w:rPr>
            </w:pPr>
            <w:r>
              <w:rPr>
                <w:rFonts w:hint="eastAsia"/>
                <w:color w:val="auto"/>
                <w:sz w:val="21"/>
                <w:szCs w:val="21"/>
                <w:highlight w:val="none"/>
              </w:rPr>
              <w:t>50型铲车</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27" w:type="dxa"/>
            <w:vMerge w:val="restart"/>
            <w:noWrap w:val="0"/>
            <w:vAlign w:val="center"/>
          </w:tcPr>
          <w:p>
            <w:pPr>
              <w:spacing w:line="240" w:lineRule="exact"/>
              <w:jc w:val="left"/>
              <w:rPr>
                <w:rFonts w:hint="eastAsia" w:ascii="仿宋_GB2312" w:hAnsi="新宋体" w:eastAsia="仿宋_GB2312" w:cs="Arial"/>
                <w:color w:val="auto"/>
                <w:sz w:val="21"/>
                <w:szCs w:val="21"/>
                <w:highlight w:val="none"/>
              </w:rPr>
            </w:pPr>
            <w:r>
              <w:rPr>
                <w:rFonts w:hint="eastAsia" w:ascii="仿宋_GB2312" w:hAnsi="新宋体" w:eastAsia="仿宋_GB2312" w:cs="Arial"/>
                <w:color w:val="auto"/>
                <w:sz w:val="21"/>
                <w:szCs w:val="21"/>
                <w:highlight w:val="none"/>
              </w:rPr>
              <w:t>4</w:t>
            </w:r>
          </w:p>
        </w:tc>
        <w:tc>
          <w:tcPr>
            <w:tcW w:w="1033" w:type="dxa"/>
            <w:vMerge w:val="restart"/>
            <w:noWrap w:val="0"/>
            <w:vAlign w:val="center"/>
          </w:tcPr>
          <w:p>
            <w:pPr>
              <w:jc w:val="left"/>
              <w:rPr>
                <w:rFonts w:hint="eastAsia" w:ascii="仿宋_GB2312" w:hAnsi="新宋体" w:eastAsia="仿宋_GB2312"/>
                <w:color w:val="auto"/>
                <w:sz w:val="21"/>
                <w:szCs w:val="21"/>
                <w:highlight w:val="none"/>
              </w:rPr>
            </w:pPr>
            <w:r>
              <w:rPr>
                <w:rFonts w:hint="eastAsia"/>
                <w:color w:val="auto"/>
                <w:sz w:val="21"/>
                <w:szCs w:val="21"/>
                <w:highlight w:val="none"/>
              </w:rPr>
              <w:t>吊车类</w:t>
            </w:r>
          </w:p>
        </w:tc>
        <w:tc>
          <w:tcPr>
            <w:tcW w:w="3023" w:type="dxa"/>
            <w:noWrap w:val="0"/>
            <w:vAlign w:val="center"/>
          </w:tcPr>
          <w:p>
            <w:pPr>
              <w:jc w:val="left"/>
              <w:rPr>
                <w:color w:val="auto"/>
                <w:sz w:val="21"/>
                <w:szCs w:val="21"/>
                <w:highlight w:val="none"/>
              </w:rPr>
            </w:pPr>
            <w:r>
              <w:rPr>
                <w:rFonts w:hint="eastAsia"/>
                <w:color w:val="auto"/>
                <w:sz w:val="21"/>
                <w:szCs w:val="21"/>
                <w:highlight w:val="none"/>
              </w:rPr>
              <w:t>8吨汽车吊</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color w:val="auto"/>
                <w:sz w:val="21"/>
                <w:szCs w:val="21"/>
                <w:highlight w:val="none"/>
              </w:rPr>
            </w:pPr>
            <w:r>
              <w:rPr>
                <w:rFonts w:hint="eastAsia"/>
                <w:color w:val="auto"/>
                <w:sz w:val="21"/>
                <w:szCs w:val="21"/>
                <w:highlight w:val="none"/>
              </w:rPr>
              <w:t>不足两小时按400元计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27"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33" w:type="dxa"/>
            <w:vMerge w:val="continue"/>
            <w:noWrap w:val="0"/>
            <w:vAlign w:val="center"/>
          </w:tcPr>
          <w:p>
            <w:pPr>
              <w:jc w:val="left"/>
              <w:rPr>
                <w:rFonts w:hint="eastAsia" w:ascii="仿宋_GB2312" w:hAnsi="新宋体" w:eastAsia="仿宋_GB2312"/>
                <w:color w:val="auto"/>
                <w:sz w:val="21"/>
                <w:szCs w:val="21"/>
                <w:highlight w:val="none"/>
              </w:rPr>
            </w:pPr>
          </w:p>
        </w:tc>
        <w:tc>
          <w:tcPr>
            <w:tcW w:w="3023" w:type="dxa"/>
            <w:noWrap w:val="0"/>
            <w:vAlign w:val="center"/>
          </w:tcPr>
          <w:p>
            <w:pPr>
              <w:jc w:val="left"/>
              <w:rPr>
                <w:rFonts w:hint="eastAsia"/>
                <w:color w:val="auto"/>
                <w:sz w:val="21"/>
                <w:szCs w:val="21"/>
                <w:highlight w:val="none"/>
              </w:rPr>
            </w:pPr>
            <w:r>
              <w:rPr>
                <w:rFonts w:hint="eastAsia"/>
                <w:color w:val="auto"/>
                <w:sz w:val="21"/>
                <w:szCs w:val="21"/>
                <w:highlight w:val="none"/>
              </w:rPr>
              <w:t>16吨汽车吊</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color w:val="auto"/>
                <w:sz w:val="21"/>
                <w:szCs w:val="21"/>
                <w:highlight w:val="none"/>
              </w:rPr>
            </w:pPr>
            <w:r>
              <w:rPr>
                <w:rFonts w:hint="eastAsia"/>
                <w:color w:val="auto"/>
                <w:sz w:val="21"/>
                <w:szCs w:val="21"/>
                <w:highlight w:val="none"/>
              </w:rPr>
              <w:t>不足两小时按500元计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27"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33" w:type="dxa"/>
            <w:vMerge w:val="continue"/>
            <w:noWrap w:val="0"/>
            <w:vAlign w:val="center"/>
          </w:tcPr>
          <w:p>
            <w:pPr>
              <w:jc w:val="left"/>
              <w:rPr>
                <w:rFonts w:hint="eastAsia" w:ascii="仿宋_GB2312" w:hAnsi="新宋体" w:eastAsia="仿宋_GB2312"/>
                <w:color w:val="auto"/>
                <w:sz w:val="21"/>
                <w:szCs w:val="21"/>
                <w:highlight w:val="none"/>
              </w:rPr>
            </w:pPr>
          </w:p>
        </w:tc>
        <w:tc>
          <w:tcPr>
            <w:tcW w:w="3023" w:type="dxa"/>
            <w:noWrap w:val="0"/>
            <w:vAlign w:val="center"/>
          </w:tcPr>
          <w:p>
            <w:pPr>
              <w:jc w:val="left"/>
              <w:rPr>
                <w:rFonts w:hint="eastAsia"/>
                <w:color w:val="auto"/>
                <w:sz w:val="21"/>
                <w:szCs w:val="21"/>
                <w:highlight w:val="none"/>
              </w:rPr>
            </w:pPr>
            <w:r>
              <w:rPr>
                <w:rFonts w:hint="eastAsia"/>
                <w:color w:val="auto"/>
                <w:sz w:val="21"/>
                <w:szCs w:val="21"/>
                <w:highlight w:val="none"/>
              </w:rPr>
              <w:t>20吨汽车吊</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color w:val="auto"/>
                <w:sz w:val="21"/>
                <w:szCs w:val="21"/>
                <w:highlight w:val="none"/>
              </w:rPr>
            </w:pPr>
            <w:r>
              <w:rPr>
                <w:rFonts w:hint="eastAsia"/>
                <w:color w:val="auto"/>
                <w:sz w:val="21"/>
                <w:szCs w:val="21"/>
                <w:highlight w:val="none"/>
              </w:rPr>
              <w:t>不足两小时按500元计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27"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33" w:type="dxa"/>
            <w:vMerge w:val="continue"/>
            <w:noWrap w:val="0"/>
            <w:vAlign w:val="center"/>
          </w:tcPr>
          <w:p>
            <w:pPr>
              <w:jc w:val="left"/>
              <w:rPr>
                <w:rFonts w:hint="eastAsia" w:ascii="仿宋_GB2312" w:hAnsi="新宋体" w:eastAsia="仿宋_GB2312"/>
                <w:color w:val="auto"/>
                <w:sz w:val="21"/>
                <w:szCs w:val="21"/>
                <w:highlight w:val="none"/>
              </w:rPr>
            </w:pPr>
          </w:p>
        </w:tc>
        <w:tc>
          <w:tcPr>
            <w:tcW w:w="3023" w:type="dxa"/>
            <w:noWrap w:val="0"/>
            <w:vAlign w:val="center"/>
          </w:tcPr>
          <w:p>
            <w:pPr>
              <w:jc w:val="left"/>
              <w:rPr>
                <w:color w:val="auto"/>
                <w:sz w:val="21"/>
                <w:szCs w:val="21"/>
                <w:highlight w:val="none"/>
              </w:rPr>
            </w:pPr>
            <w:r>
              <w:rPr>
                <w:rFonts w:hint="eastAsia"/>
                <w:color w:val="auto"/>
                <w:sz w:val="21"/>
                <w:szCs w:val="21"/>
                <w:highlight w:val="none"/>
              </w:rPr>
              <w:t>25吨汽车吊</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color w:val="auto"/>
                <w:sz w:val="21"/>
                <w:szCs w:val="21"/>
                <w:highlight w:val="none"/>
              </w:rPr>
            </w:pPr>
            <w:r>
              <w:rPr>
                <w:rFonts w:hint="eastAsia"/>
                <w:color w:val="auto"/>
                <w:sz w:val="21"/>
                <w:szCs w:val="21"/>
                <w:highlight w:val="none"/>
              </w:rPr>
              <w:t>不足两小时按500元计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27"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33" w:type="dxa"/>
            <w:vMerge w:val="continue"/>
            <w:noWrap w:val="0"/>
            <w:vAlign w:val="center"/>
          </w:tcPr>
          <w:p>
            <w:pPr>
              <w:jc w:val="left"/>
              <w:rPr>
                <w:rFonts w:hint="eastAsia" w:ascii="仿宋_GB2312" w:hAnsi="新宋体" w:eastAsia="仿宋_GB2312"/>
                <w:color w:val="auto"/>
                <w:sz w:val="21"/>
                <w:szCs w:val="21"/>
                <w:highlight w:val="none"/>
              </w:rPr>
            </w:pPr>
          </w:p>
        </w:tc>
        <w:tc>
          <w:tcPr>
            <w:tcW w:w="3023" w:type="dxa"/>
            <w:noWrap w:val="0"/>
            <w:vAlign w:val="center"/>
          </w:tcPr>
          <w:p>
            <w:pPr>
              <w:jc w:val="left"/>
              <w:rPr>
                <w:rFonts w:hint="eastAsia"/>
                <w:color w:val="auto"/>
                <w:sz w:val="21"/>
                <w:szCs w:val="21"/>
                <w:highlight w:val="none"/>
              </w:rPr>
            </w:pPr>
            <w:r>
              <w:rPr>
                <w:rFonts w:hint="eastAsia"/>
                <w:color w:val="auto"/>
                <w:sz w:val="21"/>
                <w:szCs w:val="21"/>
                <w:highlight w:val="none"/>
              </w:rPr>
              <w:t>35吨汽车吊</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color w:val="auto"/>
                <w:sz w:val="21"/>
                <w:szCs w:val="21"/>
                <w:highlight w:val="none"/>
              </w:rPr>
            </w:pPr>
            <w:r>
              <w:rPr>
                <w:rFonts w:hint="eastAsia"/>
                <w:color w:val="auto"/>
                <w:sz w:val="21"/>
                <w:szCs w:val="21"/>
                <w:highlight w:val="none"/>
              </w:rPr>
              <w:t>不足两小时按600元计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27" w:type="dxa"/>
            <w:vMerge w:val="continue"/>
            <w:noWrap w:val="0"/>
            <w:vAlign w:val="center"/>
          </w:tcPr>
          <w:p>
            <w:pPr>
              <w:spacing w:line="240" w:lineRule="exact"/>
              <w:jc w:val="left"/>
              <w:rPr>
                <w:rFonts w:hint="eastAsia"/>
                <w:color w:val="auto"/>
                <w:sz w:val="21"/>
                <w:szCs w:val="21"/>
                <w:highlight w:val="none"/>
              </w:rPr>
            </w:pPr>
          </w:p>
        </w:tc>
        <w:tc>
          <w:tcPr>
            <w:tcW w:w="1033" w:type="dxa"/>
            <w:vMerge w:val="continue"/>
            <w:noWrap w:val="0"/>
            <w:vAlign w:val="center"/>
          </w:tcPr>
          <w:p>
            <w:pPr>
              <w:jc w:val="left"/>
              <w:rPr>
                <w:color w:val="auto"/>
                <w:sz w:val="21"/>
                <w:szCs w:val="21"/>
                <w:highlight w:val="none"/>
              </w:rPr>
            </w:pPr>
          </w:p>
        </w:tc>
        <w:tc>
          <w:tcPr>
            <w:tcW w:w="3023" w:type="dxa"/>
            <w:noWrap w:val="0"/>
            <w:vAlign w:val="center"/>
          </w:tcPr>
          <w:p>
            <w:pPr>
              <w:jc w:val="left"/>
              <w:rPr>
                <w:color w:val="auto"/>
                <w:sz w:val="21"/>
                <w:szCs w:val="21"/>
                <w:highlight w:val="none"/>
              </w:rPr>
            </w:pPr>
            <w:r>
              <w:rPr>
                <w:rFonts w:hint="eastAsia"/>
                <w:color w:val="auto"/>
                <w:sz w:val="21"/>
                <w:szCs w:val="21"/>
                <w:highlight w:val="none"/>
              </w:rPr>
              <w:t>50吨汽车吊</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不足两小时按1200元计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27" w:type="dxa"/>
            <w:vMerge w:val="restart"/>
            <w:noWrap w:val="0"/>
            <w:vAlign w:val="center"/>
          </w:tcPr>
          <w:p>
            <w:pPr>
              <w:jc w:val="left"/>
              <w:rPr>
                <w:rFonts w:hint="eastAsia"/>
                <w:color w:val="auto"/>
                <w:sz w:val="21"/>
                <w:szCs w:val="21"/>
                <w:highlight w:val="none"/>
              </w:rPr>
            </w:pPr>
            <w:r>
              <w:rPr>
                <w:rFonts w:hint="eastAsia"/>
                <w:color w:val="auto"/>
                <w:sz w:val="21"/>
                <w:szCs w:val="21"/>
                <w:highlight w:val="none"/>
              </w:rPr>
              <w:t>5</w:t>
            </w:r>
          </w:p>
        </w:tc>
        <w:tc>
          <w:tcPr>
            <w:tcW w:w="1033" w:type="dxa"/>
            <w:vMerge w:val="restart"/>
            <w:noWrap w:val="0"/>
            <w:vAlign w:val="center"/>
          </w:tcPr>
          <w:p>
            <w:pPr>
              <w:jc w:val="left"/>
              <w:rPr>
                <w:rFonts w:hint="eastAsia"/>
                <w:color w:val="auto"/>
                <w:sz w:val="21"/>
                <w:szCs w:val="21"/>
                <w:highlight w:val="none"/>
              </w:rPr>
            </w:pPr>
            <w:r>
              <w:rPr>
                <w:rFonts w:hint="eastAsia"/>
                <w:color w:val="auto"/>
                <w:sz w:val="21"/>
                <w:szCs w:val="21"/>
                <w:highlight w:val="none"/>
              </w:rPr>
              <w:t>叉车类</w:t>
            </w:r>
          </w:p>
        </w:tc>
        <w:tc>
          <w:tcPr>
            <w:tcW w:w="3023" w:type="dxa"/>
            <w:noWrap w:val="0"/>
            <w:vAlign w:val="center"/>
          </w:tcPr>
          <w:p>
            <w:pPr>
              <w:jc w:val="left"/>
              <w:rPr>
                <w:rFonts w:hint="eastAsia"/>
                <w:color w:val="auto"/>
                <w:sz w:val="21"/>
                <w:szCs w:val="21"/>
                <w:highlight w:val="none"/>
              </w:rPr>
            </w:pPr>
            <w:r>
              <w:rPr>
                <w:rFonts w:hint="eastAsia"/>
                <w:color w:val="auto"/>
                <w:sz w:val="21"/>
                <w:szCs w:val="21"/>
                <w:highlight w:val="none"/>
              </w:rPr>
              <w:t>2-3吨叉车</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color w:val="auto"/>
                <w:sz w:val="21"/>
                <w:szCs w:val="21"/>
                <w:highlight w:val="none"/>
              </w:rPr>
            </w:pPr>
            <w:r>
              <w:rPr>
                <w:rFonts w:hint="eastAsia"/>
                <w:color w:val="auto"/>
                <w:sz w:val="21"/>
                <w:szCs w:val="21"/>
                <w:highlight w:val="none"/>
              </w:rPr>
              <w:t>不足两小时按300元计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27" w:type="dxa"/>
            <w:vMerge w:val="continue"/>
            <w:noWrap w:val="0"/>
            <w:vAlign w:val="center"/>
          </w:tcPr>
          <w:p>
            <w:pPr>
              <w:jc w:val="left"/>
              <w:rPr>
                <w:rFonts w:hint="eastAsia" w:ascii="仿宋_GB2312" w:hAnsi="新宋体" w:eastAsia="仿宋_GB2312" w:cs="Arial"/>
                <w:b/>
                <w:bCs/>
                <w:color w:val="auto"/>
                <w:sz w:val="21"/>
                <w:szCs w:val="21"/>
                <w:highlight w:val="none"/>
              </w:rPr>
            </w:pPr>
          </w:p>
        </w:tc>
        <w:tc>
          <w:tcPr>
            <w:tcW w:w="1033" w:type="dxa"/>
            <w:vMerge w:val="continue"/>
            <w:noWrap w:val="0"/>
            <w:vAlign w:val="center"/>
          </w:tcPr>
          <w:p>
            <w:pPr>
              <w:jc w:val="left"/>
              <w:rPr>
                <w:rFonts w:hint="eastAsia" w:ascii="宋体" w:hAnsi="宋体" w:cs="宋体"/>
                <w:b/>
                <w:bCs/>
                <w:i/>
                <w:iCs/>
                <w:color w:val="auto"/>
                <w:sz w:val="21"/>
                <w:szCs w:val="21"/>
                <w:highlight w:val="none"/>
              </w:rPr>
            </w:pPr>
          </w:p>
        </w:tc>
        <w:tc>
          <w:tcPr>
            <w:tcW w:w="3023" w:type="dxa"/>
            <w:noWrap w:val="0"/>
            <w:vAlign w:val="center"/>
          </w:tcPr>
          <w:p>
            <w:pPr>
              <w:jc w:val="left"/>
              <w:rPr>
                <w:color w:val="auto"/>
                <w:sz w:val="21"/>
                <w:szCs w:val="21"/>
                <w:highlight w:val="none"/>
              </w:rPr>
            </w:pPr>
            <w:r>
              <w:rPr>
                <w:rFonts w:hint="eastAsia"/>
                <w:color w:val="auto"/>
                <w:sz w:val="21"/>
                <w:szCs w:val="21"/>
                <w:highlight w:val="none"/>
              </w:rPr>
              <w:t>5吨叉车</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不足两小时按500元计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27" w:type="dxa"/>
            <w:vMerge w:val="restart"/>
            <w:noWrap w:val="0"/>
            <w:vAlign w:val="center"/>
          </w:tcPr>
          <w:p>
            <w:pPr>
              <w:jc w:val="left"/>
              <w:rPr>
                <w:rFonts w:hint="eastAsia" w:ascii="仿宋_GB2312" w:hAnsi="新宋体" w:eastAsia="仿宋_GB2312" w:cs="Arial"/>
                <w:color w:val="auto"/>
                <w:sz w:val="21"/>
                <w:szCs w:val="21"/>
                <w:highlight w:val="none"/>
              </w:rPr>
            </w:pPr>
            <w:r>
              <w:rPr>
                <w:rFonts w:hint="eastAsia"/>
                <w:color w:val="auto"/>
                <w:sz w:val="21"/>
                <w:szCs w:val="21"/>
                <w:highlight w:val="none"/>
              </w:rPr>
              <w:t>6</w:t>
            </w:r>
          </w:p>
        </w:tc>
        <w:tc>
          <w:tcPr>
            <w:tcW w:w="1033" w:type="dxa"/>
            <w:vMerge w:val="restart"/>
            <w:noWrap w:val="0"/>
            <w:vAlign w:val="center"/>
          </w:tcPr>
          <w:p>
            <w:pPr>
              <w:jc w:val="left"/>
              <w:rPr>
                <w:rFonts w:hint="eastAsia" w:ascii="宋体" w:hAnsi="宋体" w:cs="宋体"/>
                <w:b/>
                <w:bCs/>
                <w:i/>
                <w:iCs/>
                <w:color w:val="auto"/>
                <w:sz w:val="21"/>
                <w:szCs w:val="21"/>
                <w:highlight w:val="none"/>
              </w:rPr>
            </w:pPr>
            <w:r>
              <w:rPr>
                <w:rFonts w:hint="eastAsia"/>
                <w:color w:val="auto"/>
                <w:sz w:val="21"/>
                <w:szCs w:val="21"/>
                <w:highlight w:val="none"/>
              </w:rPr>
              <w:t>压路机类</w:t>
            </w:r>
          </w:p>
        </w:tc>
        <w:tc>
          <w:tcPr>
            <w:tcW w:w="3023" w:type="dxa"/>
            <w:noWrap w:val="0"/>
            <w:vAlign w:val="center"/>
          </w:tcPr>
          <w:p>
            <w:pPr>
              <w:jc w:val="left"/>
              <w:rPr>
                <w:color w:val="auto"/>
                <w:sz w:val="21"/>
                <w:szCs w:val="21"/>
                <w:highlight w:val="none"/>
              </w:rPr>
            </w:pPr>
            <w:r>
              <w:rPr>
                <w:rFonts w:hint="eastAsia"/>
                <w:color w:val="auto"/>
                <w:sz w:val="21"/>
                <w:szCs w:val="21"/>
                <w:highlight w:val="none"/>
              </w:rPr>
              <w:t>15吨振动式压路机</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27"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33" w:type="dxa"/>
            <w:vMerge w:val="continue"/>
            <w:noWrap w:val="0"/>
            <w:vAlign w:val="center"/>
          </w:tcPr>
          <w:p>
            <w:pPr>
              <w:jc w:val="left"/>
              <w:rPr>
                <w:rFonts w:hint="eastAsia" w:ascii="宋体" w:hAnsi="宋体" w:cs="宋体"/>
                <w:b/>
                <w:bCs/>
                <w:i/>
                <w:iCs/>
                <w:color w:val="auto"/>
                <w:sz w:val="21"/>
                <w:szCs w:val="21"/>
                <w:highlight w:val="none"/>
              </w:rPr>
            </w:pPr>
          </w:p>
        </w:tc>
        <w:tc>
          <w:tcPr>
            <w:tcW w:w="3023" w:type="dxa"/>
            <w:noWrap w:val="0"/>
            <w:vAlign w:val="center"/>
          </w:tcPr>
          <w:p>
            <w:pPr>
              <w:jc w:val="left"/>
              <w:rPr>
                <w:rFonts w:hint="eastAsia"/>
                <w:color w:val="auto"/>
                <w:sz w:val="21"/>
                <w:szCs w:val="21"/>
                <w:highlight w:val="none"/>
              </w:rPr>
            </w:pPr>
            <w:r>
              <w:rPr>
                <w:rFonts w:hint="eastAsia"/>
                <w:color w:val="auto"/>
                <w:sz w:val="21"/>
                <w:szCs w:val="21"/>
                <w:highlight w:val="none"/>
              </w:rPr>
              <w:t>20吨振动式压路机</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27"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33" w:type="dxa"/>
            <w:vMerge w:val="continue"/>
            <w:noWrap w:val="0"/>
            <w:vAlign w:val="center"/>
          </w:tcPr>
          <w:p>
            <w:pPr>
              <w:jc w:val="left"/>
              <w:rPr>
                <w:rFonts w:hint="eastAsia" w:ascii="宋体" w:hAnsi="宋体" w:cs="宋体"/>
                <w:color w:val="auto"/>
                <w:sz w:val="21"/>
                <w:szCs w:val="21"/>
                <w:highlight w:val="none"/>
              </w:rPr>
            </w:pPr>
          </w:p>
        </w:tc>
        <w:tc>
          <w:tcPr>
            <w:tcW w:w="3023" w:type="dxa"/>
            <w:noWrap w:val="0"/>
            <w:vAlign w:val="center"/>
          </w:tcPr>
          <w:p>
            <w:pPr>
              <w:jc w:val="left"/>
              <w:rPr>
                <w:rFonts w:hint="eastAsia"/>
                <w:color w:val="auto"/>
                <w:sz w:val="21"/>
                <w:szCs w:val="21"/>
                <w:highlight w:val="none"/>
              </w:rPr>
            </w:pPr>
            <w:r>
              <w:rPr>
                <w:rFonts w:hint="eastAsia"/>
                <w:color w:val="auto"/>
                <w:sz w:val="21"/>
                <w:szCs w:val="21"/>
                <w:highlight w:val="none"/>
              </w:rPr>
              <w:t>26吨振动式压路机</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27" w:type="dxa"/>
            <w:vMerge w:val="restart"/>
            <w:noWrap w:val="0"/>
            <w:vAlign w:val="center"/>
          </w:tcPr>
          <w:p>
            <w:pPr>
              <w:spacing w:line="240" w:lineRule="exact"/>
              <w:jc w:val="left"/>
              <w:rPr>
                <w:rFonts w:hint="eastAsia" w:ascii="仿宋_GB2312" w:hAnsi="新宋体" w:eastAsia="仿宋_GB2312" w:cs="Arial"/>
                <w:color w:val="auto"/>
                <w:sz w:val="21"/>
                <w:szCs w:val="21"/>
                <w:highlight w:val="none"/>
              </w:rPr>
            </w:pPr>
            <w:r>
              <w:rPr>
                <w:rFonts w:hint="eastAsia" w:ascii="仿宋_GB2312" w:hAnsi="新宋体" w:eastAsia="仿宋_GB2312" w:cs="Arial"/>
                <w:color w:val="auto"/>
                <w:sz w:val="21"/>
                <w:szCs w:val="21"/>
                <w:highlight w:val="none"/>
              </w:rPr>
              <w:t>7</w:t>
            </w:r>
          </w:p>
        </w:tc>
        <w:tc>
          <w:tcPr>
            <w:tcW w:w="1033" w:type="dxa"/>
            <w:vMerge w:val="restart"/>
            <w:noWrap w:val="0"/>
            <w:vAlign w:val="center"/>
          </w:tcPr>
          <w:p>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空压机</w:t>
            </w:r>
            <w:r>
              <w:rPr>
                <w:rFonts w:hint="eastAsia"/>
                <w:color w:val="auto"/>
                <w:sz w:val="21"/>
                <w:szCs w:val="21"/>
                <w:highlight w:val="none"/>
              </w:rPr>
              <w:t>类</w:t>
            </w:r>
          </w:p>
        </w:tc>
        <w:tc>
          <w:tcPr>
            <w:tcW w:w="3023" w:type="dxa"/>
            <w:noWrap w:val="0"/>
            <w:vAlign w:val="center"/>
          </w:tcPr>
          <w:p>
            <w:pPr>
              <w:jc w:val="left"/>
              <w:rPr>
                <w:rFonts w:hint="eastAsia"/>
                <w:color w:val="auto"/>
                <w:sz w:val="21"/>
                <w:szCs w:val="21"/>
                <w:highlight w:val="none"/>
              </w:rPr>
            </w:pPr>
            <w:r>
              <w:rPr>
                <w:rFonts w:hint="eastAsia"/>
                <w:color w:val="auto"/>
                <w:sz w:val="21"/>
                <w:szCs w:val="21"/>
                <w:highlight w:val="none"/>
              </w:rPr>
              <w:t>柴油单头空压机</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27"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33" w:type="dxa"/>
            <w:vMerge w:val="continue"/>
            <w:noWrap w:val="0"/>
            <w:vAlign w:val="center"/>
          </w:tcPr>
          <w:p>
            <w:pPr>
              <w:jc w:val="left"/>
              <w:rPr>
                <w:rFonts w:hint="eastAsia" w:ascii="宋体" w:hAnsi="宋体" w:cs="宋体"/>
                <w:color w:val="auto"/>
                <w:sz w:val="21"/>
                <w:szCs w:val="21"/>
                <w:highlight w:val="none"/>
              </w:rPr>
            </w:pPr>
          </w:p>
        </w:tc>
        <w:tc>
          <w:tcPr>
            <w:tcW w:w="3023" w:type="dxa"/>
            <w:noWrap w:val="0"/>
            <w:vAlign w:val="center"/>
          </w:tcPr>
          <w:p>
            <w:pPr>
              <w:jc w:val="left"/>
              <w:rPr>
                <w:rFonts w:hint="eastAsia"/>
                <w:color w:val="auto"/>
                <w:sz w:val="21"/>
                <w:szCs w:val="21"/>
                <w:highlight w:val="none"/>
              </w:rPr>
            </w:pPr>
            <w:r>
              <w:rPr>
                <w:rFonts w:hint="eastAsia"/>
                <w:color w:val="auto"/>
                <w:sz w:val="21"/>
                <w:szCs w:val="21"/>
                <w:highlight w:val="none"/>
              </w:rPr>
              <w:t>柴油双头空压机</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27" w:type="dxa"/>
            <w:noWrap w:val="0"/>
            <w:vAlign w:val="center"/>
          </w:tcPr>
          <w:p>
            <w:pPr>
              <w:spacing w:line="240" w:lineRule="exact"/>
              <w:jc w:val="left"/>
              <w:rPr>
                <w:rFonts w:hint="eastAsia" w:ascii="仿宋_GB2312" w:hAnsi="新宋体" w:eastAsia="仿宋_GB2312" w:cs="Arial"/>
                <w:color w:val="auto"/>
                <w:sz w:val="21"/>
                <w:szCs w:val="21"/>
                <w:highlight w:val="none"/>
              </w:rPr>
            </w:pPr>
            <w:r>
              <w:rPr>
                <w:rFonts w:hint="eastAsia" w:ascii="仿宋_GB2312" w:hAnsi="新宋体" w:eastAsia="仿宋_GB2312" w:cs="Arial"/>
                <w:color w:val="auto"/>
                <w:sz w:val="21"/>
                <w:szCs w:val="21"/>
                <w:highlight w:val="none"/>
              </w:rPr>
              <w:t>8</w:t>
            </w:r>
          </w:p>
        </w:tc>
        <w:tc>
          <w:tcPr>
            <w:tcW w:w="1033" w:type="dxa"/>
            <w:noWrap w:val="0"/>
            <w:vAlign w:val="center"/>
          </w:tcPr>
          <w:p>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摊铺机类</w:t>
            </w:r>
          </w:p>
        </w:tc>
        <w:tc>
          <w:tcPr>
            <w:tcW w:w="3023" w:type="dxa"/>
            <w:noWrap w:val="0"/>
            <w:vAlign w:val="center"/>
          </w:tcPr>
          <w:p>
            <w:pPr>
              <w:jc w:val="left"/>
              <w:rPr>
                <w:rFonts w:hint="eastAsia"/>
                <w:color w:val="auto"/>
                <w:sz w:val="21"/>
                <w:szCs w:val="21"/>
                <w:highlight w:val="none"/>
              </w:rPr>
            </w:pPr>
            <w:r>
              <w:rPr>
                <w:rFonts w:hint="eastAsia"/>
                <w:color w:val="auto"/>
                <w:sz w:val="21"/>
                <w:szCs w:val="21"/>
                <w:highlight w:val="none"/>
              </w:rPr>
              <w:t>SSP100C-6摊铺机或相当于</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27" w:type="dxa"/>
            <w:vMerge w:val="restart"/>
            <w:noWrap w:val="0"/>
            <w:vAlign w:val="center"/>
          </w:tcPr>
          <w:p>
            <w:pPr>
              <w:spacing w:line="240" w:lineRule="exact"/>
              <w:jc w:val="left"/>
              <w:rPr>
                <w:rFonts w:hint="eastAsia" w:ascii="仿宋_GB2312" w:hAnsi="新宋体" w:eastAsia="仿宋_GB2312" w:cs="Arial"/>
                <w:color w:val="auto"/>
                <w:sz w:val="21"/>
                <w:szCs w:val="21"/>
                <w:highlight w:val="none"/>
              </w:rPr>
            </w:pPr>
            <w:r>
              <w:rPr>
                <w:rFonts w:hint="eastAsia" w:ascii="仿宋_GB2312" w:hAnsi="新宋体" w:eastAsia="仿宋_GB2312" w:cs="Arial"/>
                <w:color w:val="auto"/>
                <w:sz w:val="21"/>
                <w:szCs w:val="21"/>
                <w:highlight w:val="none"/>
              </w:rPr>
              <w:t>9</w:t>
            </w:r>
          </w:p>
        </w:tc>
        <w:tc>
          <w:tcPr>
            <w:tcW w:w="1033" w:type="dxa"/>
            <w:vMerge w:val="restart"/>
            <w:noWrap w:val="0"/>
            <w:vAlign w:val="center"/>
          </w:tcPr>
          <w:p>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铣刨机类</w:t>
            </w:r>
          </w:p>
        </w:tc>
        <w:tc>
          <w:tcPr>
            <w:tcW w:w="3023" w:type="dxa"/>
            <w:noWrap w:val="0"/>
            <w:vAlign w:val="center"/>
          </w:tcPr>
          <w:p>
            <w:pPr>
              <w:jc w:val="left"/>
              <w:rPr>
                <w:rFonts w:hint="eastAsia"/>
                <w:color w:val="auto"/>
                <w:sz w:val="21"/>
                <w:szCs w:val="21"/>
                <w:highlight w:val="none"/>
              </w:rPr>
            </w:pPr>
            <w:r>
              <w:rPr>
                <w:rFonts w:hint="eastAsia"/>
                <w:color w:val="auto"/>
                <w:sz w:val="21"/>
                <w:szCs w:val="21"/>
                <w:highlight w:val="none"/>
              </w:rPr>
              <w:t>W1000</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27"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33" w:type="dxa"/>
            <w:vMerge w:val="continue"/>
            <w:noWrap w:val="0"/>
            <w:vAlign w:val="center"/>
          </w:tcPr>
          <w:p>
            <w:pPr>
              <w:jc w:val="left"/>
              <w:rPr>
                <w:rFonts w:hint="eastAsia" w:ascii="宋体" w:hAnsi="宋体" w:cs="宋体"/>
                <w:color w:val="auto"/>
                <w:sz w:val="21"/>
                <w:szCs w:val="21"/>
                <w:highlight w:val="none"/>
              </w:rPr>
            </w:pPr>
          </w:p>
        </w:tc>
        <w:tc>
          <w:tcPr>
            <w:tcW w:w="3023" w:type="dxa"/>
            <w:noWrap w:val="0"/>
            <w:vAlign w:val="center"/>
          </w:tcPr>
          <w:p>
            <w:pPr>
              <w:jc w:val="left"/>
              <w:rPr>
                <w:rFonts w:hint="eastAsia"/>
                <w:color w:val="auto"/>
                <w:sz w:val="21"/>
                <w:szCs w:val="21"/>
                <w:highlight w:val="none"/>
              </w:rPr>
            </w:pPr>
            <w:r>
              <w:rPr>
                <w:rFonts w:hint="eastAsia"/>
                <w:color w:val="auto"/>
                <w:sz w:val="21"/>
                <w:szCs w:val="21"/>
                <w:highlight w:val="none"/>
              </w:rPr>
              <w:t>W1900</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27" w:type="dxa"/>
            <w:vMerge w:val="restart"/>
            <w:noWrap w:val="0"/>
            <w:vAlign w:val="center"/>
          </w:tcPr>
          <w:p>
            <w:pPr>
              <w:spacing w:line="240" w:lineRule="exact"/>
              <w:jc w:val="left"/>
              <w:rPr>
                <w:rFonts w:hint="eastAsia" w:ascii="仿宋_GB2312" w:hAnsi="新宋体" w:eastAsia="仿宋_GB2312" w:cs="Arial"/>
                <w:color w:val="auto"/>
                <w:sz w:val="21"/>
                <w:szCs w:val="21"/>
                <w:highlight w:val="none"/>
              </w:rPr>
            </w:pPr>
            <w:r>
              <w:rPr>
                <w:rFonts w:hint="eastAsia" w:ascii="仿宋_GB2312" w:hAnsi="新宋体" w:eastAsia="仿宋_GB2312" w:cs="Arial"/>
                <w:color w:val="auto"/>
                <w:sz w:val="21"/>
                <w:szCs w:val="21"/>
                <w:highlight w:val="none"/>
              </w:rPr>
              <w:t>10</w:t>
            </w:r>
          </w:p>
        </w:tc>
        <w:tc>
          <w:tcPr>
            <w:tcW w:w="1033" w:type="dxa"/>
            <w:vMerge w:val="restart"/>
            <w:noWrap w:val="0"/>
            <w:vAlign w:val="center"/>
          </w:tcPr>
          <w:p>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随车起重运输车</w:t>
            </w:r>
          </w:p>
        </w:tc>
        <w:tc>
          <w:tcPr>
            <w:tcW w:w="3023" w:type="dxa"/>
            <w:noWrap w:val="0"/>
            <w:vAlign w:val="center"/>
          </w:tcPr>
          <w:p>
            <w:pPr>
              <w:jc w:val="left"/>
              <w:rPr>
                <w:rFonts w:hint="eastAsia"/>
                <w:color w:val="auto"/>
                <w:sz w:val="21"/>
                <w:szCs w:val="21"/>
                <w:highlight w:val="none"/>
              </w:rPr>
            </w:pPr>
            <w:r>
              <w:rPr>
                <w:rFonts w:hint="eastAsia"/>
                <w:color w:val="auto"/>
                <w:sz w:val="21"/>
                <w:szCs w:val="21"/>
                <w:highlight w:val="none"/>
              </w:rPr>
              <w:t>4吨随车起重运输车</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27"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33" w:type="dxa"/>
            <w:vMerge w:val="continue"/>
            <w:noWrap w:val="0"/>
            <w:vAlign w:val="center"/>
          </w:tcPr>
          <w:p>
            <w:pPr>
              <w:jc w:val="left"/>
              <w:rPr>
                <w:rFonts w:hint="eastAsia" w:ascii="宋体" w:hAnsi="宋体" w:cs="宋体"/>
                <w:color w:val="auto"/>
                <w:sz w:val="21"/>
                <w:szCs w:val="21"/>
                <w:highlight w:val="none"/>
              </w:rPr>
            </w:pPr>
          </w:p>
        </w:tc>
        <w:tc>
          <w:tcPr>
            <w:tcW w:w="3023" w:type="dxa"/>
            <w:noWrap w:val="0"/>
            <w:vAlign w:val="center"/>
          </w:tcPr>
          <w:p>
            <w:pPr>
              <w:jc w:val="left"/>
              <w:rPr>
                <w:rFonts w:hint="eastAsia"/>
                <w:color w:val="auto"/>
                <w:sz w:val="21"/>
                <w:szCs w:val="21"/>
                <w:highlight w:val="none"/>
              </w:rPr>
            </w:pPr>
            <w:r>
              <w:rPr>
                <w:rFonts w:hint="eastAsia"/>
                <w:color w:val="auto"/>
                <w:sz w:val="21"/>
                <w:szCs w:val="21"/>
                <w:highlight w:val="none"/>
              </w:rPr>
              <w:t>8吨随车起重运输车</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27"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033" w:type="dxa"/>
            <w:vMerge w:val="continue"/>
            <w:noWrap w:val="0"/>
            <w:vAlign w:val="center"/>
          </w:tcPr>
          <w:p>
            <w:pPr>
              <w:jc w:val="left"/>
              <w:rPr>
                <w:rFonts w:hint="eastAsia" w:ascii="宋体" w:hAnsi="宋体" w:cs="宋体"/>
                <w:color w:val="auto"/>
                <w:sz w:val="21"/>
                <w:szCs w:val="21"/>
                <w:highlight w:val="none"/>
              </w:rPr>
            </w:pPr>
          </w:p>
        </w:tc>
        <w:tc>
          <w:tcPr>
            <w:tcW w:w="3023" w:type="dxa"/>
            <w:noWrap w:val="0"/>
            <w:vAlign w:val="center"/>
          </w:tcPr>
          <w:p>
            <w:pPr>
              <w:jc w:val="left"/>
              <w:rPr>
                <w:rFonts w:hint="eastAsia"/>
                <w:color w:val="auto"/>
                <w:sz w:val="21"/>
                <w:szCs w:val="21"/>
                <w:highlight w:val="none"/>
              </w:rPr>
            </w:pPr>
            <w:r>
              <w:rPr>
                <w:rFonts w:hint="eastAsia"/>
                <w:color w:val="auto"/>
                <w:sz w:val="21"/>
                <w:szCs w:val="21"/>
                <w:highlight w:val="none"/>
              </w:rPr>
              <w:t>12吨随车起重运输车</w:t>
            </w:r>
          </w:p>
        </w:tc>
        <w:tc>
          <w:tcPr>
            <w:tcW w:w="1800" w:type="dxa"/>
            <w:noWrap w:val="0"/>
            <w:vAlign w:val="center"/>
          </w:tcPr>
          <w:p>
            <w:pPr>
              <w:jc w:val="center"/>
              <w:rPr>
                <w:rFonts w:hint="default" w:eastAsia="宋体"/>
                <w:b w:val="0"/>
                <w:bCs w:val="0"/>
                <w:i w:val="0"/>
                <w:iCs w:val="0"/>
                <w:color w:val="auto"/>
                <w:sz w:val="21"/>
                <w:szCs w:val="21"/>
                <w:highlight w:val="none"/>
                <w:lang w:val="en-US" w:eastAsia="zh-CN"/>
              </w:rPr>
            </w:pPr>
          </w:p>
        </w:tc>
        <w:tc>
          <w:tcPr>
            <w:tcW w:w="2375" w:type="dxa"/>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27" w:type="dxa"/>
            <w:vMerge w:val="restart"/>
            <w:noWrap w:val="0"/>
            <w:vAlign w:val="center"/>
          </w:tcPr>
          <w:p>
            <w:pPr>
              <w:spacing w:line="240" w:lineRule="exact"/>
              <w:jc w:val="left"/>
              <w:rPr>
                <w:rFonts w:hint="eastAsia" w:ascii="仿宋_GB2312" w:hAnsi="新宋体" w:eastAsia="仿宋_GB2312" w:cs="Arial"/>
                <w:color w:val="auto"/>
                <w:sz w:val="21"/>
                <w:szCs w:val="21"/>
                <w:highlight w:val="none"/>
              </w:rPr>
            </w:pPr>
            <w:r>
              <w:rPr>
                <w:rFonts w:hint="eastAsia" w:ascii="仿宋_GB2312" w:hAnsi="新宋体" w:eastAsia="仿宋_GB2312" w:cs="Arial"/>
                <w:color w:val="auto"/>
                <w:sz w:val="21"/>
                <w:szCs w:val="21"/>
                <w:highlight w:val="none"/>
              </w:rPr>
              <w:t>11</w:t>
            </w:r>
          </w:p>
        </w:tc>
        <w:tc>
          <w:tcPr>
            <w:tcW w:w="1033" w:type="dxa"/>
            <w:vMerge w:val="restart"/>
            <w:noWrap w:val="0"/>
            <w:vAlign w:val="center"/>
          </w:tcPr>
          <w:p>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拖车类</w:t>
            </w:r>
          </w:p>
        </w:tc>
        <w:tc>
          <w:tcPr>
            <w:tcW w:w="3023" w:type="dxa"/>
            <w:noWrap w:val="0"/>
            <w:vAlign w:val="center"/>
          </w:tcPr>
          <w:p>
            <w:pPr>
              <w:jc w:val="left"/>
              <w:rPr>
                <w:rFonts w:hint="eastAsia"/>
                <w:color w:val="auto"/>
                <w:sz w:val="21"/>
                <w:szCs w:val="21"/>
                <w:highlight w:val="none"/>
              </w:rPr>
            </w:pPr>
            <w:r>
              <w:rPr>
                <w:rFonts w:hint="eastAsia"/>
                <w:color w:val="auto"/>
                <w:sz w:val="21"/>
                <w:szCs w:val="21"/>
                <w:highlight w:val="none"/>
              </w:rPr>
              <w:t>40吨平板拖车组（次）</w:t>
            </w:r>
          </w:p>
        </w:tc>
        <w:tc>
          <w:tcPr>
            <w:tcW w:w="1800" w:type="dxa"/>
            <w:noWrap w:val="0"/>
            <w:vAlign w:val="center"/>
          </w:tcPr>
          <w:p>
            <w:pPr>
              <w:jc w:val="center"/>
              <w:rPr>
                <w:rFonts w:hint="default" w:eastAsia="宋体"/>
                <w:color w:val="auto"/>
                <w:sz w:val="21"/>
                <w:szCs w:val="21"/>
                <w:highlight w:val="none"/>
                <w:lang w:val="en-US" w:eastAsia="zh-CN"/>
              </w:rPr>
            </w:pPr>
          </w:p>
        </w:tc>
        <w:tc>
          <w:tcPr>
            <w:tcW w:w="2375" w:type="dxa"/>
            <w:vMerge w:val="restart"/>
            <w:noWrap w:val="0"/>
            <w:vAlign w:val="center"/>
          </w:tcPr>
          <w:p>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甲方</w:t>
            </w:r>
            <w:r>
              <w:rPr>
                <w:rFonts w:hint="eastAsia" w:ascii="宋体" w:hAnsi="宋体" w:cs="宋体"/>
                <w:bCs/>
                <w:color w:val="auto"/>
                <w:spacing w:val="-4"/>
                <w:sz w:val="21"/>
                <w:szCs w:val="21"/>
                <w:highlight w:val="none"/>
              </w:rPr>
              <w:t>有权在分配工作方式时自由选定。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27" w:type="dxa"/>
            <w:vMerge w:val="continue"/>
            <w:noWrap w:val="0"/>
            <w:vAlign w:val="center"/>
          </w:tcPr>
          <w:p>
            <w:pPr>
              <w:spacing w:line="240" w:lineRule="exact"/>
              <w:jc w:val="left"/>
              <w:rPr>
                <w:rFonts w:hint="default" w:ascii="仿宋_GB2312" w:hAnsi="新宋体" w:eastAsia="仿宋_GB2312" w:cs="Arial"/>
                <w:color w:val="auto"/>
                <w:sz w:val="21"/>
                <w:szCs w:val="21"/>
                <w:highlight w:val="none"/>
                <w:lang w:val="en-US" w:eastAsia="zh-CN"/>
              </w:rPr>
            </w:pPr>
          </w:p>
        </w:tc>
        <w:tc>
          <w:tcPr>
            <w:tcW w:w="1033" w:type="dxa"/>
            <w:vMerge w:val="continue"/>
            <w:noWrap w:val="0"/>
            <w:vAlign w:val="center"/>
          </w:tcPr>
          <w:p>
            <w:pPr>
              <w:jc w:val="left"/>
              <w:rPr>
                <w:rFonts w:hint="eastAsia" w:ascii="宋体" w:hAnsi="宋体" w:eastAsia="宋体" w:cs="宋体"/>
                <w:color w:val="auto"/>
                <w:sz w:val="21"/>
                <w:szCs w:val="21"/>
                <w:highlight w:val="none"/>
                <w:lang w:eastAsia="zh-CN"/>
              </w:rPr>
            </w:pPr>
          </w:p>
        </w:tc>
        <w:tc>
          <w:tcPr>
            <w:tcW w:w="3023" w:type="dxa"/>
            <w:noWrap w:val="0"/>
            <w:vAlign w:val="center"/>
          </w:tcPr>
          <w:p>
            <w:pPr>
              <w:jc w:val="left"/>
              <w:rPr>
                <w:rFonts w:hint="eastAsia"/>
                <w:color w:val="auto"/>
                <w:sz w:val="21"/>
                <w:szCs w:val="21"/>
                <w:highlight w:val="none"/>
              </w:rPr>
            </w:pPr>
            <w:r>
              <w:rPr>
                <w:rFonts w:hint="eastAsia"/>
                <w:color w:val="auto"/>
                <w:sz w:val="21"/>
                <w:szCs w:val="21"/>
                <w:highlight w:val="none"/>
              </w:rPr>
              <w:t>40吨平板拖车组（台班）</w:t>
            </w:r>
          </w:p>
        </w:tc>
        <w:tc>
          <w:tcPr>
            <w:tcW w:w="1800" w:type="dxa"/>
            <w:noWrap w:val="0"/>
            <w:vAlign w:val="center"/>
          </w:tcPr>
          <w:p>
            <w:pPr>
              <w:jc w:val="center"/>
              <w:rPr>
                <w:rFonts w:hint="default"/>
                <w:color w:val="auto"/>
                <w:sz w:val="21"/>
                <w:szCs w:val="21"/>
                <w:highlight w:val="none"/>
                <w:lang w:val="en-US"/>
              </w:rPr>
            </w:pPr>
          </w:p>
        </w:tc>
        <w:tc>
          <w:tcPr>
            <w:tcW w:w="2375" w:type="dxa"/>
            <w:vMerge w:val="continue"/>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27" w:type="dxa"/>
            <w:vMerge w:val="restart"/>
            <w:noWrap w:val="0"/>
            <w:vAlign w:val="center"/>
          </w:tcPr>
          <w:p>
            <w:pPr>
              <w:spacing w:line="240" w:lineRule="exact"/>
              <w:jc w:val="left"/>
              <w:rPr>
                <w:rFonts w:hint="eastAsia" w:ascii="仿宋_GB2312" w:hAnsi="新宋体" w:eastAsia="仿宋_GB2312" w:cs="Arial"/>
                <w:color w:val="auto"/>
                <w:sz w:val="21"/>
                <w:szCs w:val="21"/>
                <w:highlight w:val="none"/>
                <w:lang w:val="en-US" w:eastAsia="zh-CN"/>
              </w:rPr>
            </w:pPr>
            <w:r>
              <w:rPr>
                <w:rFonts w:hint="eastAsia" w:ascii="仿宋_GB2312" w:hAnsi="新宋体" w:eastAsia="仿宋_GB2312" w:cs="Arial"/>
                <w:color w:val="auto"/>
                <w:sz w:val="21"/>
                <w:szCs w:val="21"/>
                <w:highlight w:val="none"/>
                <w:lang w:val="en-US" w:eastAsia="zh-CN"/>
              </w:rPr>
              <w:t>12</w:t>
            </w:r>
          </w:p>
        </w:tc>
        <w:tc>
          <w:tcPr>
            <w:tcW w:w="1033" w:type="dxa"/>
            <w:vMerge w:val="restart"/>
            <w:noWrap w:val="0"/>
            <w:vAlign w:val="center"/>
          </w:tcPr>
          <w:p>
            <w:pPr>
              <w:jc w:val="lef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其他类</w:t>
            </w:r>
          </w:p>
        </w:tc>
        <w:tc>
          <w:tcPr>
            <w:tcW w:w="3023" w:type="dxa"/>
            <w:noWrap w:val="0"/>
            <w:vAlign w:val="center"/>
          </w:tcPr>
          <w:p>
            <w:pPr>
              <w:jc w:val="left"/>
              <w:rPr>
                <w:rFonts w:hint="eastAsia"/>
                <w:color w:val="auto"/>
                <w:sz w:val="21"/>
                <w:szCs w:val="21"/>
                <w:highlight w:val="none"/>
                <w:lang w:eastAsia="zh-CN"/>
              </w:rPr>
            </w:pPr>
            <w:r>
              <w:rPr>
                <w:rFonts w:hint="eastAsia"/>
                <w:color w:val="auto"/>
                <w:sz w:val="21"/>
                <w:szCs w:val="21"/>
                <w:highlight w:val="none"/>
                <w:lang w:eastAsia="zh-CN"/>
              </w:rPr>
              <w:t>升降机（</w:t>
            </w:r>
            <w:r>
              <w:rPr>
                <w:rFonts w:hint="eastAsia"/>
                <w:color w:val="auto"/>
                <w:sz w:val="21"/>
                <w:szCs w:val="21"/>
                <w:highlight w:val="none"/>
                <w:lang w:val="en-US" w:eastAsia="zh-CN"/>
              </w:rPr>
              <w:t>20米内）</w:t>
            </w:r>
          </w:p>
        </w:tc>
        <w:tc>
          <w:tcPr>
            <w:tcW w:w="1800" w:type="dxa"/>
            <w:noWrap w:val="0"/>
            <w:vAlign w:val="center"/>
          </w:tcPr>
          <w:p>
            <w:pPr>
              <w:jc w:val="center"/>
              <w:rPr>
                <w:rFonts w:hint="default"/>
                <w:color w:val="auto"/>
                <w:sz w:val="21"/>
                <w:szCs w:val="21"/>
                <w:highlight w:val="none"/>
                <w:lang w:val="en-US" w:eastAsia="zh-CN"/>
              </w:rPr>
            </w:pPr>
          </w:p>
        </w:tc>
        <w:tc>
          <w:tcPr>
            <w:tcW w:w="2375" w:type="dxa"/>
            <w:vMerge w:val="restart"/>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27" w:type="dxa"/>
            <w:vMerge w:val="continue"/>
            <w:noWrap w:val="0"/>
            <w:vAlign w:val="center"/>
          </w:tcPr>
          <w:p>
            <w:pPr>
              <w:spacing w:line="240" w:lineRule="exact"/>
              <w:jc w:val="left"/>
              <w:rPr>
                <w:rFonts w:hint="default" w:ascii="仿宋_GB2312" w:hAnsi="新宋体" w:eastAsia="仿宋_GB2312" w:cs="Arial"/>
                <w:color w:val="auto"/>
                <w:sz w:val="21"/>
                <w:szCs w:val="21"/>
                <w:highlight w:val="none"/>
                <w:lang w:val="en-US" w:eastAsia="zh-CN"/>
              </w:rPr>
            </w:pPr>
          </w:p>
        </w:tc>
        <w:tc>
          <w:tcPr>
            <w:tcW w:w="1033" w:type="dxa"/>
            <w:vMerge w:val="continue"/>
            <w:noWrap w:val="0"/>
            <w:vAlign w:val="center"/>
          </w:tcPr>
          <w:p>
            <w:pPr>
              <w:jc w:val="left"/>
              <w:rPr>
                <w:rFonts w:hint="default" w:ascii="宋体" w:hAnsi="宋体" w:eastAsia="宋体" w:cs="宋体"/>
                <w:color w:val="auto"/>
                <w:sz w:val="21"/>
                <w:szCs w:val="21"/>
                <w:highlight w:val="none"/>
                <w:lang w:val="en-US" w:eastAsia="zh-CN"/>
              </w:rPr>
            </w:pPr>
          </w:p>
        </w:tc>
        <w:tc>
          <w:tcPr>
            <w:tcW w:w="3023" w:type="dxa"/>
            <w:noWrap w:val="0"/>
            <w:vAlign w:val="center"/>
          </w:tcPr>
          <w:p>
            <w:pPr>
              <w:jc w:val="left"/>
              <w:rPr>
                <w:rFonts w:hint="eastAsia" w:eastAsia="宋体"/>
                <w:color w:val="auto"/>
                <w:sz w:val="21"/>
                <w:szCs w:val="21"/>
                <w:highlight w:val="none"/>
                <w:lang w:eastAsia="zh-CN"/>
              </w:rPr>
            </w:pPr>
            <w:r>
              <w:rPr>
                <w:rFonts w:hint="eastAsia"/>
                <w:color w:val="auto"/>
                <w:sz w:val="21"/>
                <w:szCs w:val="21"/>
                <w:highlight w:val="none"/>
                <w:lang w:eastAsia="zh-CN"/>
              </w:rPr>
              <w:t>油锯</w:t>
            </w:r>
          </w:p>
        </w:tc>
        <w:tc>
          <w:tcPr>
            <w:tcW w:w="1800" w:type="dxa"/>
            <w:noWrap w:val="0"/>
            <w:vAlign w:val="center"/>
          </w:tcPr>
          <w:p>
            <w:pPr>
              <w:jc w:val="center"/>
              <w:rPr>
                <w:rFonts w:hint="default" w:eastAsia="宋体"/>
                <w:color w:val="auto"/>
                <w:sz w:val="21"/>
                <w:szCs w:val="21"/>
                <w:highlight w:val="none"/>
                <w:lang w:val="en-US" w:eastAsia="zh-CN"/>
              </w:rPr>
            </w:pPr>
          </w:p>
        </w:tc>
        <w:tc>
          <w:tcPr>
            <w:tcW w:w="2375" w:type="dxa"/>
            <w:vMerge w:val="continue"/>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27" w:type="dxa"/>
            <w:vMerge w:val="restart"/>
            <w:noWrap w:val="0"/>
            <w:vAlign w:val="center"/>
          </w:tcPr>
          <w:p>
            <w:pPr>
              <w:spacing w:line="240" w:lineRule="exact"/>
              <w:jc w:val="left"/>
              <w:rPr>
                <w:rFonts w:hint="eastAsia" w:ascii="仿宋_GB2312" w:hAnsi="新宋体" w:eastAsia="仿宋_GB2312" w:cs="Arial"/>
                <w:color w:val="auto"/>
                <w:sz w:val="21"/>
                <w:szCs w:val="21"/>
                <w:highlight w:val="none"/>
                <w:lang w:val="en-US" w:eastAsia="zh-CN"/>
              </w:rPr>
            </w:pPr>
            <w:r>
              <w:rPr>
                <w:rFonts w:hint="eastAsia" w:ascii="仿宋_GB2312" w:hAnsi="新宋体" w:eastAsia="仿宋_GB2312" w:cs="Arial"/>
                <w:color w:val="auto"/>
                <w:sz w:val="21"/>
                <w:szCs w:val="21"/>
                <w:highlight w:val="none"/>
                <w:lang w:val="en-US" w:eastAsia="zh-CN"/>
              </w:rPr>
              <w:t>13</w:t>
            </w:r>
          </w:p>
        </w:tc>
        <w:tc>
          <w:tcPr>
            <w:tcW w:w="1033" w:type="dxa"/>
            <w:vMerge w:val="restart"/>
            <w:noWrap w:val="0"/>
            <w:vAlign w:val="center"/>
          </w:tcPr>
          <w:p>
            <w:pPr>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人工类</w:t>
            </w:r>
            <w:r>
              <w:rPr>
                <w:rFonts w:hint="eastAsia"/>
                <w:color w:val="auto"/>
                <w:sz w:val="21"/>
                <w:szCs w:val="21"/>
                <w:highlight w:val="none"/>
              </w:rPr>
              <w:t>（含餐费、交通费等全部费用）</w:t>
            </w:r>
          </w:p>
        </w:tc>
        <w:tc>
          <w:tcPr>
            <w:tcW w:w="3023" w:type="dxa"/>
            <w:noWrap w:val="0"/>
            <w:vAlign w:val="center"/>
          </w:tcPr>
          <w:p>
            <w:pPr>
              <w:jc w:val="left"/>
              <w:rPr>
                <w:rFonts w:hint="eastAsia"/>
                <w:color w:val="auto"/>
                <w:sz w:val="21"/>
                <w:szCs w:val="21"/>
                <w:highlight w:val="none"/>
                <w:lang w:eastAsia="zh-CN"/>
              </w:rPr>
            </w:pPr>
            <w:r>
              <w:rPr>
                <w:rFonts w:hint="eastAsia"/>
                <w:color w:val="auto"/>
                <w:sz w:val="21"/>
                <w:szCs w:val="21"/>
                <w:highlight w:val="none"/>
                <w:lang w:eastAsia="zh-CN"/>
              </w:rPr>
              <w:t>普工</w:t>
            </w:r>
          </w:p>
        </w:tc>
        <w:tc>
          <w:tcPr>
            <w:tcW w:w="1800" w:type="dxa"/>
            <w:noWrap w:val="0"/>
            <w:vAlign w:val="center"/>
          </w:tcPr>
          <w:p>
            <w:pPr>
              <w:jc w:val="center"/>
              <w:rPr>
                <w:rFonts w:hint="default"/>
                <w:color w:val="auto"/>
                <w:sz w:val="21"/>
                <w:szCs w:val="21"/>
                <w:highlight w:val="none"/>
                <w:lang w:val="en-US" w:eastAsia="zh-CN"/>
              </w:rPr>
            </w:pPr>
          </w:p>
        </w:tc>
        <w:tc>
          <w:tcPr>
            <w:tcW w:w="2375" w:type="dxa"/>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27"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lang w:val="en-US" w:eastAsia="zh-CN"/>
              </w:rPr>
            </w:pPr>
          </w:p>
        </w:tc>
        <w:tc>
          <w:tcPr>
            <w:tcW w:w="1033" w:type="dxa"/>
            <w:vMerge w:val="continue"/>
            <w:noWrap w:val="0"/>
            <w:vAlign w:val="center"/>
          </w:tcPr>
          <w:p>
            <w:pPr>
              <w:jc w:val="left"/>
              <w:rPr>
                <w:rFonts w:hint="eastAsia" w:ascii="宋体" w:hAnsi="宋体" w:cs="宋体"/>
                <w:color w:val="auto"/>
                <w:sz w:val="21"/>
                <w:szCs w:val="21"/>
                <w:highlight w:val="none"/>
                <w:lang w:val="en-US" w:eastAsia="zh-CN"/>
              </w:rPr>
            </w:pPr>
          </w:p>
        </w:tc>
        <w:tc>
          <w:tcPr>
            <w:tcW w:w="3023" w:type="dxa"/>
            <w:noWrap w:val="0"/>
            <w:vAlign w:val="center"/>
          </w:tcPr>
          <w:p>
            <w:pPr>
              <w:jc w:val="left"/>
              <w:rPr>
                <w:rFonts w:hint="eastAsia"/>
                <w:color w:val="auto"/>
                <w:sz w:val="21"/>
                <w:szCs w:val="21"/>
                <w:highlight w:val="none"/>
                <w:lang w:eastAsia="zh-CN"/>
              </w:rPr>
            </w:pPr>
            <w:r>
              <w:rPr>
                <w:rFonts w:hint="eastAsia"/>
                <w:color w:val="auto"/>
                <w:sz w:val="21"/>
                <w:szCs w:val="21"/>
                <w:highlight w:val="none"/>
                <w:lang w:eastAsia="zh-CN"/>
              </w:rPr>
              <w:t>技工（水、电、空压机等技工）</w:t>
            </w:r>
          </w:p>
        </w:tc>
        <w:tc>
          <w:tcPr>
            <w:tcW w:w="1800" w:type="dxa"/>
            <w:noWrap w:val="0"/>
            <w:vAlign w:val="center"/>
          </w:tcPr>
          <w:p>
            <w:pPr>
              <w:jc w:val="center"/>
              <w:rPr>
                <w:rFonts w:hint="default"/>
                <w:color w:val="auto"/>
                <w:sz w:val="21"/>
                <w:szCs w:val="21"/>
                <w:highlight w:val="none"/>
                <w:lang w:val="en-US" w:eastAsia="zh-CN"/>
              </w:rPr>
            </w:pPr>
          </w:p>
        </w:tc>
        <w:tc>
          <w:tcPr>
            <w:tcW w:w="2375" w:type="dxa"/>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27"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lang w:val="en-US" w:eastAsia="zh-CN"/>
              </w:rPr>
            </w:pPr>
          </w:p>
        </w:tc>
        <w:tc>
          <w:tcPr>
            <w:tcW w:w="1033" w:type="dxa"/>
            <w:vMerge w:val="continue"/>
            <w:noWrap w:val="0"/>
            <w:vAlign w:val="center"/>
          </w:tcPr>
          <w:p>
            <w:pPr>
              <w:jc w:val="left"/>
              <w:rPr>
                <w:rFonts w:hint="eastAsia" w:ascii="宋体" w:hAnsi="宋体" w:cs="宋体"/>
                <w:color w:val="auto"/>
                <w:sz w:val="21"/>
                <w:szCs w:val="21"/>
                <w:highlight w:val="none"/>
                <w:lang w:val="en-US" w:eastAsia="zh-CN"/>
              </w:rPr>
            </w:pPr>
          </w:p>
        </w:tc>
        <w:tc>
          <w:tcPr>
            <w:tcW w:w="3023" w:type="dxa"/>
            <w:noWrap w:val="0"/>
            <w:vAlign w:val="center"/>
          </w:tcPr>
          <w:p>
            <w:pPr>
              <w:jc w:val="left"/>
              <w:rPr>
                <w:rFonts w:hint="eastAsia" w:ascii="Calibri" w:hAnsi="Calibri" w:eastAsia="宋体" w:cs="Times New Roman"/>
                <w:color w:val="auto"/>
                <w:kern w:val="2"/>
                <w:sz w:val="21"/>
                <w:szCs w:val="21"/>
                <w:highlight w:val="none"/>
                <w:lang w:val="en-US" w:eastAsia="zh-CN" w:bidi="ar-SA"/>
              </w:rPr>
            </w:pPr>
            <w:r>
              <w:rPr>
                <w:rFonts w:hint="eastAsia"/>
                <w:color w:val="auto"/>
                <w:sz w:val="21"/>
                <w:szCs w:val="21"/>
                <w:highlight w:val="none"/>
                <w:lang w:eastAsia="zh-CN"/>
              </w:rPr>
              <w:t>现场安全维护、管理、协调等人员</w:t>
            </w:r>
          </w:p>
        </w:tc>
        <w:tc>
          <w:tcPr>
            <w:tcW w:w="1800" w:type="dxa"/>
            <w:noWrap w:val="0"/>
            <w:vAlign w:val="center"/>
          </w:tcPr>
          <w:p>
            <w:pPr>
              <w:jc w:val="center"/>
              <w:rPr>
                <w:rFonts w:hint="eastAsia" w:ascii="Calibri" w:hAnsi="Calibri" w:eastAsia="宋体" w:cs="Times New Roman"/>
                <w:color w:val="auto"/>
                <w:kern w:val="2"/>
                <w:sz w:val="21"/>
                <w:szCs w:val="21"/>
                <w:highlight w:val="none"/>
                <w:lang w:val="en-US" w:eastAsia="zh-CN" w:bidi="ar-SA"/>
              </w:rPr>
            </w:pPr>
          </w:p>
        </w:tc>
        <w:tc>
          <w:tcPr>
            <w:tcW w:w="2375" w:type="dxa"/>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27" w:type="dxa"/>
            <w:noWrap w:val="0"/>
            <w:vAlign w:val="center"/>
          </w:tcPr>
          <w:p>
            <w:pPr>
              <w:spacing w:line="240" w:lineRule="exact"/>
              <w:jc w:val="left"/>
              <w:rPr>
                <w:rFonts w:hint="default" w:ascii="仿宋_GB2312" w:hAnsi="新宋体" w:eastAsia="仿宋_GB2312" w:cs="Arial"/>
                <w:color w:val="auto"/>
                <w:sz w:val="21"/>
                <w:szCs w:val="21"/>
                <w:highlight w:val="none"/>
                <w:lang w:val="en-US" w:eastAsia="zh-CN"/>
              </w:rPr>
            </w:pPr>
            <w:r>
              <w:rPr>
                <w:rFonts w:hint="eastAsia" w:ascii="仿宋_GB2312" w:hAnsi="新宋体" w:eastAsia="仿宋_GB2312" w:cs="Arial"/>
                <w:color w:val="auto"/>
                <w:sz w:val="21"/>
                <w:szCs w:val="21"/>
                <w:highlight w:val="none"/>
                <w:lang w:val="en-US" w:eastAsia="zh-CN"/>
              </w:rPr>
              <w:t>14</w:t>
            </w:r>
          </w:p>
        </w:tc>
        <w:tc>
          <w:tcPr>
            <w:tcW w:w="1033"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打围墙</w:t>
            </w:r>
          </w:p>
        </w:tc>
        <w:tc>
          <w:tcPr>
            <w:tcW w:w="3023" w:type="dxa"/>
            <w:noWrap w:val="0"/>
            <w:vAlign w:val="center"/>
          </w:tcPr>
          <w:p>
            <w:pPr>
              <w:jc w:val="left"/>
              <w:rPr>
                <w:rFonts w:hint="default"/>
                <w:color w:val="auto"/>
                <w:sz w:val="21"/>
                <w:szCs w:val="21"/>
                <w:highlight w:val="none"/>
                <w:lang w:val="en-US" w:eastAsia="zh-CN"/>
              </w:rPr>
            </w:pPr>
            <w:r>
              <w:rPr>
                <w:rFonts w:hint="eastAsia"/>
                <w:color w:val="auto"/>
                <w:sz w:val="21"/>
                <w:szCs w:val="21"/>
                <w:highlight w:val="none"/>
                <w:lang w:eastAsia="zh-CN"/>
              </w:rPr>
              <w:t>高</w:t>
            </w:r>
            <w:r>
              <w:rPr>
                <w:rFonts w:hint="eastAsia"/>
                <w:color w:val="auto"/>
                <w:sz w:val="21"/>
                <w:szCs w:val="21"/>
                <w:highlight w:val="none"/>
                <w:lang w:val="en-US" w:eastAsia="zh-CN"/>
              </w:rPr>
              <w:t>2米，不含广告</w:t>
            </w:r>
          </w:p>
        </w:tc>
        <w:tc>
          <w:tcPr>
            <w:tcW w:w="1800" w:type="dxa"/>
            <w:noWrap w:val="0"/>
            <w:vAlign w:val="center"/>
          </w:tcPr>
          <w:p>
            <w:pPr>
              <w:jc w:val="center"/>
              <w:rPr>
                <w:rFonts w:hint="default"/>
                <w:color w:val="auto"/>
                <w:sz w:val="21"/>
                <w:szCs w:val="21"/>
                <w:highlight w:val="none"/>
                <w:lang w:val="en-US" w:eastAsia="zh-CN"/>
              </w:rPr>
            </w:pPr>
          </w:p>
        </w:tc>
        <w:tc>
          <w:tcPr>
            <w:tcW w:w="2375" w:type="dxa"/>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jc w:val="center"/>
        </w:trPr>
        <w:tc>
          <w:tcPr>
            <w:tcW w:w="8758" w:type="dxa"/>
            <w:gridSpan w:val="5"/>
            <w:noWrap w:val="0"/>
            <w:vAlign w:val="center"/>
          </w:tcPr>
          <w:p>
            <w:pPr>
              <w:widowControl/>
              <w:spacing w:line="360" w:lineRule="exact"/>
              <w:rPr>
                <w:rFonts w:hint="eastAsia" w:eastAsia="宋体"/>
                <w:color w:val="auto"/>
                <w:sz w:val="21"/>
                <w:szCs w:val="21"/>
                <w:highlight w:val="none"/>
                <w:lang w:eastAsia="zh-CN"/>
              </w:rPr>
            </w:pPr>
            <w:r>
              <w:rPr>
                <w:rFonts w:hint="eastAsia"/>
                <w:color w:val="auto"/>
                <w:sz w:val="21"/>
                <w:szCs w:val="21"/>
                <w:highlight w:val="none"/>
              </w:rPr>
              <w:t>注：1、</w:t>
            </w:r>
            <w:r>
              <w:rPr>
                <w:rFonts w:hint="eastAsia"/>
                <w:color w:val="auto"/>
                <w:sz w:val="21"/>
                <w:szCs w:val="21"/>
                <w:highlight w:val="none"/>
                <w:lang w:eastAsia="zh-CN"/>
              </w:rPr>
              <w:t>报价要求：在以上综合单价基础上</w:t>
            </w:r>
            <w:r>
              <w:rPr>
                <w:rFonts w:hint="eastAsia"/>
                <w:color w:val="auto"/>
                <w:sz w:val="21"/>
                <w:szCs w:val="21"/>
                <w:highlight w:val="none"/>
              </w:rPr>
              <w:t>，投标报价统一采用费率报价</w:t>
            </w:r>
            <w:r>
              <w:rPr>
                <w:rFonts w:hint="eastAsia"/>
                <w:color w:val="auto"/>
                <w:sz w:val="21"/>
                <w:szCs w:val="21"/>
                <w:highlight w:val="none"/>
                <w:lang w:eastAsia="zh-CN"/>
              </w:rPr>
              <w:t>，</w:t>
            </w:r>
            <w:r>
              <w:rPr>
                <w:rFonts w:hint="eastAsia" w:ascii="宋体" w:hAnsi="宋体" w:cs="宋体"/>
                <w:b/>
                <w:bCs/>
                <w:color w:val="auto"/>
                <w:sz w:val="21"/>
                <w:szCs w:val="21"/>
                <w:highlight w:val="none"/>
                <w:u w:val="single"/>
              </w:rPr>
              <w:t>供应商各项服务项目投标费率不得高于100%，否则其</w:t>
            </w:r>
            <w:r>
              <w:rPr>
                <w:rFonts w:hint="eastAsia"/>
                <w:b/>
                <w:bCs/>
                <w:color w:val="auto"/>
                <w:sz w:val="21"/>
                <w:szCs w:val="21"/>
                <w:highlight w:val="none"/>
                <w:u w:val="single"/>
              </w:rPr>
              <w:t>投标</w:t>
            </w:r>
            <w:r>
              <w:rPr>
                <w:rFonts w:hint="eastAsia"/>
                <w:b/>
                <w:bCs/>
                <w:color w:val="auto"/>
                <w:sz w:val="21"/>
                <w:szCs w:val="21"/>
                <w:highlight w:val="none"/>
                <w:u w:val="single"/>
                <w:lang w:eastAsia="zh-CN"/>
              </w:rPr>
              <w:t>作无效标处理</w:t>
            </w:r>
            <w:r>
              <w:rPr>
                <w:rFonts w:hint="eastAsia"/>
                <w:b/>
                <w:bCs/>
                <w:color w:val="auto"/>
                <w:sz w:val="21"/>
                <w:szCs w:val="21"/>
                <w:highlight w:val="none"/>
                <w:u w:val="single"/>
              </w:rPr>
              <w:t>。</w:t>
            </w:r>
          </w:p>
          <w:p>
            <w:pPr>
              <w:widowControl/>
              <w:spacing w:line="360" w:lineRule="exact"/>
              <w:ind w:firstLine="420" w:firstLineChars="200"/>
              <w:rPr>
                <w:rFonts w:hint="default" w:eastAsia="宋体"/>
                <w:color w:val="auto"/>
                <w:sz w:val="21"/>
                <w:szCs w:val="21"/>
                <w:highlight w:val="none"/>
                <w:lang w:val="en-US" w:eastAsia="zh-CN"/>
              </w:rPr>
            </w:pPr>
            <w:r>
              <w:rPr>
                <w:rFonts w:hint="eastAsia"/>
                <w:color w:val="auto"/>
                <w:sz w:val="21"/>
                <w:szCs w:val="21"/>
                <w:highlight w:val="none"/>
                <w:lang w:val="en-US" w:eastAsia="zh-CN"/>
              </w:rPr>
              <w:t>2、</w:t>
            </w:r>
            <w:r>
              <w:rPr>
                <w:rStyle w:val="414"/>
                <w:rFonts w:cs="Times New Roman"/>
                <w:bCs/>
                <w:color w:val="auto"/>
                <w:sz w:val="21"/>
                <w:szCs w:val="21"/>
                <w:highlight w:val="none"/>
              </w:rPr>
              <w:t>作业人员职工年龄</w:t>
            </w:r>
            <w:r>
              <w:rPr>
                <w:rStyle w:val="414"/>
                <w:rFonts w:hint="eastAsia" w:cs="Times New Roman"/>
                <w:bCs/>
                <w:color w:val="auto"/>
                <w:sz w:val="21"/>
                <w:szCs w:val="21"/>
                <w:highlight w:val="none"/>
                <w:lang w:eastAsia="zh-CN"/>
              </w:rPr>
              <w:t>不得大于</w:t>
            </w:r>
            <w:r>
              <w:rPr>
                <w:rStyle w:val="414"/>
                <w:rFonts w:cs="Times New Roman"/>
                <w:bCs/>
                <w:color w:val="auto"/>
                <w:sz w:val="21"/>
                <w:szCs w:val="21"/>
                <w:highlight w:val="none"/>
              </w:rPr>
              <w:t>6</w:t>
            </w:r>
            <w:r>
              <w:rPr>
                <w:rStyle w:val="414"/>
                <w:rFonts w:hint="eastAsia" w:cs="Times New Roman"/>
                <w:bCs/>
                <w:color w:val="auto"/>
                <w:sz w:val="21"/>
                <w:szCs w:val="21"/>
                <w:highlight w:val="none"/>
                <w:lang w:val="en-US" w:eastAsia="zh-CN"/>
              </w:rPr>
              <w:t>0</w:t>
            </w:r>
            <w:r>
              <w:rPr>
                <w:rStyle w:val="414"/>
                <w:rFonts w:cs="Times New Roman"/>
                <w:bCs/>
                <w:color w:val="auto"/>
                <w:sz w:val="21"/>
                <w:szCs w:val="21"/>
                <w:highlight w:val="none"/>
              </w:rPr>
              <w:t>周岁，且要热爱环卫事业，身体健康，无严重残疾和不良嗜好。</w:t>
            </w:r>
          </w:p>
          <w:p>
            <w:pPr>
              <w:widowControl/>
              <w:spacing w:line="360" w:lineRule="exact"/>
              <w:ind w:firstLine="420" w:firstLineChars="200"/>
              <w:rPr>
                <w:rFonts w:hint="eastAsia"/>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以上价格为全费用综合单价，所有相关费用均包含在内。此单价包括质量标准规定的所有工作内容在内的施工设备（机械设备、运输车辆、机械操作人员要求证件齐全）、劳务、管理、材料、人工费（包括人工工资、预计加班费用、员工人身意外伤害保险、劳保用品费、保险等）、运输、安装、维护、保险、机械进退场费、施工技术措施费、施工组织措施费、企业管理费、利润、税金及合同包含的所有风险、责任等各项应有费用均应考虑在内。投标人须充分考虑安全生产的相关措施费用，并计入投标报价。</w:t>
            </w:r>
          </w:p>
          <w:p>
            <w:pPr>
              <w:widowControl/>
              <w:spacing w:line="360" w:lineRule="exact"/>
              <w:ind w:firstLine="420" w:firstLineChars="200"/>
              <w:rPr>
                <w:rFonts w:hint="eastAsia"/>
                <w:color w:val="auto"/>
                <w:sz w:val="21"/>
                <w:szCs w:val="21"/>
                <w:highlight w:val="none"/>
              </w:rPr>
            </w:pPr>
            <w:r>
              <w:rPr>
                <w:rFonts w:hint="eastAsia"/>
                <w:color w:val="auto"/>
                <w:sz w:val="21"/>
                <w:szCs w:val="21"/>
                <w:highlight w:val="none"/>
                <w:lang w:val="en-US" w:eastAsia="zh-CN"/>
              </w:rPr>
              <w:t>4</w:t>
            </w:r>
            <w:r>
              <w:rPr>
                <w:rFonts w:hint="eastAsia"/>
                <w:color w:val="auto"/>
                <w:sz w:val="21"/>
                <w:szCs w:val="21"/>
                <w:highlight w:val="none"/>
              </w:rPr>
              <w:t>、以上服务项目中工作时间皆按8小时计算；施工过程中需要的其他机械设备产生的费用由投标单位自行解决；特殊情况需要加班的，根据采购人要求，做好加班工作，费用按小时计算。</w:t>
            </w:r>
          </w:p>
          <w:p>
            <w:pPr>
              <w:widowControl/>
              <w:spacing w:line="360" w:lineRule="exact"/>
              <w:ind w:firstLine="420" w:firstLineChars="200"/>
              <w:rPr>
                <w:rFonts w:hint="eastAsia"/>
                <w:color w:val="auto"/>
                <w:sz w:val="21"/>
                <w:szCs w:val="21"/>
                <w:highlight w:val="none"/>
              </w:rPr>
            </w:pPr>
            <w:r>
              <w:rPr>
                <w:rFonts w:hint="eastAsia"/>
                <w:color w:val="auto"/>
                <w:sz w:val="21"/>
                <w:szCs w:val="21"/>
                <w:highlight w:val="none"/>
                <w:lang w:val="en-US" w:eastAsia="zh-CN"/>
              </w:rPr>
              <w:t>5</w:t>
            </w:r>
            <w:r>
              <w:rPr>
                <w:rFonts w:hint="eastAsia"/>
                <w:color w:val="auto"/>
                <w:sz w:val="21"/>
                <w:szCs w:val="21"/>
                <w:highlight w:val="none"/>
              </w:rPr>
              <w:t>、最终工程量按实结算，本项目</w:t>
            </w:r>
            <w:r>
              <w:rPr>
                <w:rFonts w:hint="eastAsia"/>
                <w:color w:val="auto"/>
                <w:sz w:val="21"/>
                <w:szCs w:val="21"/>
                <w:highlight w:val="none"/>
                <w:lang w:eastAsia="zh-CN"/>
              </w:rPr>
              <w:t>人工、机械</w:t>
            </w:r>
            <w:r>
              <w:rPr>
                <w:rFonts w:hint="eastAsia"/>
                <w:color w:val="auto"/>
                <w:sz w:val="21"/>
                <w:szCs w:val="21"/>
                <w:highlight w:val="none"/>
              </w:rPr>
              <w:t>最终</w:t>
            </w:r>
            <w:r>
              <w:rPr>
                <w:rFonts w:hint="eastAsia"/>
                <w:color w:val="auto"/>
                <w:sz w:val="21"/>
                <w:szCs w:val="21"/>
                <w:highlight w:val="none"/>
                <w:lang w:eastAsia="zh-CN"/>
              </w:rPr>
              <w:t>中标</w:t>
            </w:r>
            <w:r>
              <w:rPr>
                <w:rFonts w:hint="eastAsia"/>
                <w:color w:val="auto"/>
                <w:sz w:val="21"/>
                <w:szCs w:val="21"/>
                <w:highlight w:val="none"/>
              </w:rPr>
              <w:t>单价=</w:t>
            </w:r>
            <w:r>
              <w:rPr>
                <w:rFonts w:hint="eastAsia"/>
                <w:color w:val="auto"/>
                <w:sz w:val="21"/>
                <w:szCs w:val="21"/>
                <w:highlight w:val="none"/>
                <w:lang w:eastAsia="zh-CN"/>
              </w:rPr>
              <w:t>全费用综合</w:t>
            </w:r>
            <w:r>
              <w:rPr>
                <w:rFonts w:hint="eastAsia"/>
                <w:color w:val="auto"/>
                <w:sz w:val="21"/>
                <w:szCs w:val="21"/>
                <w:highlight w:val="none"/>
              </w:rPr>
              <w:t>单价*</w:t>
            </w:r>
            <w:r>
              <w:rPr>
                <w:rFonts w:hint="eastAsia"/>
                <w:color w:val="auto"/>
                <w:sz w:val="21"/>
                <w:szCs w:val="21"/>
                <w:highlight w:val="none"/>
                <w:lang w:eastAsia="zh-CN"/>
              </w:rPr>
              <w:t>中标</w:t>
            </w:r>
            <w:r>
              <w:rPr>
                <w:rFonts w:hint="eastAsia"/>
                <w:color w:val="auto"/>
                <w:sz w:val="21"/>
                <w:szCs w:val="21"/>
                <w:highlight w:val="none"/>
              </w:rPr>
              <w:t>费率。</w:t>
            </w:r>
          </w:p>
          <w:p>
            <w:pPr>
              <w:widowControl/>
              <w:spacing w:line="360" w:lineRule="exact"/>
              <w:ind w:firstLine="420" w:firstLineChars="200"/>
              <w:rPr>
                <w:rFonts w:hint="eastAsia" w:ascii="Times New Roman" w:hAnsi="Times New Roman" w:eastAsia="宋体" w:cs="Times New Roman"/>
                <w:color w:val="auto"/>
                <w:sz w:val="21"/>
                <w:szCs w:val="21"/>
                <w:highlight w:val="none"/>
                <w:lang w:val="en-US" w:eastAsia="zh-CN"/>
              </w:rPr>
            </w:pPr>
            <w:r>
              <w:rPr>
                <w:rFonts w:hint="eastAsia"/>
                <w:color w:val="auto"/>
                <w:sz w:val="21"/>
                <w:szCs w:val="21"/>
                <w:highlight w:val="none"/>
                <w:lang w:val="en-US" w:eastAsia="zh-CN"/>
              </w:rPr>
              <w:t>6</w:t>
            </w:r>
            <w:r>
              <w:rPr>
                <w:rFonts w:hint="eastAsia"/>
                <w:color w:val="auto"/>
                <w:sz w:val="21"/>
                <w:szCs w:val="21"/>
                <w:highlight w:val="none"/>
              </w:rPr>
              <w:t>、</w:t>
            </w:r>
            <w:r>
              <w:rPr>
                <w:rFonts w:hint="eastAsia" w:ascii="Times New Roman" w:hAnsi="Times New Roman" w:eastAsia="宋体" w:cs="Times New Roman"/>
                <w:color w:val="auto"/>
                <w:sz w:val="21"/>
                <w:szCs w:val="21"/>
                <w:highlight w:val="none"/>
                <w:lang w:val="en-US" w:eastAsia="zh-CN"/>
              </w:rPr>
              <w:t>垃圾处置费按246元/吨结算，垃圾处置量按实结算，结算时以联系单为准。</w:t>
            </w:r>
          </w:p>
          <w:p>
            <w:pPr>
              <w:widowControl/>
              <w:spacing w:line="360" w:lineRule="exact"/>
              <w:ind w:firstLine="420" w:firstLineChars="200"/>
              <w:rPr>
                <w:rFonts w:hint="eastAsia"/>
                <w:color w:val="auto"/>
                <w:sz w:val="21"/>
                <w:szCs w:val="21"/>
                <w:highlight w:val="none"/>
              </w:rPr>
            </w:pPr>
            <w:r>
              <w:rPr>
                <w:rFonts w:hint="eastAsia" w:ascii="Times New Roman" w:hAnsi="Times New Roman" w:eastAsia="宋体" w:cs="Times New Roman"/>
                <w:color w:val="auto"/>
                <w:sz w:val="21"/>
                <w:szCs w:val="21"/>
                <w:highlight w:val="none"/>
                <w:lang w:val="en-US" w:eastAsia="zh-CN"/>
              </w:rPr>
              <w:t>7、</w:t>
            </w:r>
            <w:r>
              <w:rPr>
                <w:rFonts w:hint="eastAsia"/>
                <w:color w:val="auto"/>
                <w:sz w:val="21"/>
                <w:szCs w:val="21"/>
                <w:highlight w:val="none"/>
              </w:rPr>
              <w:t>该项目要求中标单位及时响应并完成清运处置、打围墙、围挡、环境整治等任务。</w:t>
            </w:r>
          </w:p>
          <w:p>
            <w:pPr>
              <w:widowControl/>
              <w:spacing w:line="360" w:lineRule="exact"/>
              <w:ind w:firstLine="420" w:firstLineChars="200"/>
              <w:rPr>
                <w:rFonts w:hint="eastAsia"/>
                <w:color w:val="auto"/>
                <w:sz w:val="21"/>
                <w:szCs w:val="21"/>
                <w:highlight w:val="none"/>
              </w:rPr>
            </w:pPr>
            <w:r>
              <w:rPr>
                <w:rFonts w:hint="eastAsia"/>
                <w:color w:val="auto"/>
                <w:sz w:val="21"/>
                <w:szCs w:val="21"/>
                <w:highlight w:val="none"/>
                <w:lang w:val="en-US" w:eastAsia="zh-CN"/>
              </w:rPr>
              <w:t>8</w:t>
            </w:r>
            <w:r>
              <w:rPr>
                <w:rFonts w:hint="eastAsia"/>
                <w:color w:val="auto"/>
                <w:sz w:val="21"/>
                <w:szCs w:val="21"/>
                <w:highlight w:val="none"/>
              </w:rPr>
              <w:t>、中标供应商需为所有乙方委派的工作人员购买人身伤亡意外险，负责用工人员的人身伤亡</w:t>
            </w:r>
            <w:r>
              <w:rPr>
                <w:rFonts w:hint="eastAsia"/>
                <w:color w:val="auto"/>
                <w:sz w:val="21"/>
                <w:szCs w:val="21"/>
                <w:highlight w:val="none"/>
                <w:lang w:eastAsia="zh-CN"/>
              </w:rPr>
              <w:t>和作业安全</w:t>
            </w:r>
            <w:r>
              <w:rPr>
                <w:rFonts w:hint="eastAsia"/>
                <w:color w:val="auto"/>
                <w:sz w:val="21"/>
                <w:szCs w:val="21"/>
                <w:highlight w:val="none"/>
              </w:rPr>
              <w:t>。</w:t>
            </w:r>
          </w:p>
          <w:p>
            <w:pPr>
              <w:ind w:firstLine="420" w:firstLineChars="200"/>
              <w:jc w:val="left"/>
              <w:rPr>
                <w:rFonts w:hint="eastAsia" w:ascii="宋体" w:hAnsi="宋体" w:cs="宋体"/>
                <w:color w:val="auto"/>
                <w:sz w:val="21"/>
                <w:szCs w:val="21"/>
                <w:highlight w:val="none"/>
              </w:rPr>
            </w:pPr>
            <w:r>
              <w:rPr>
                <w:rFonts w:hint="eastAsia"/>
                <w:color w:val="auto"/>
                <w:sz w:val="21"/>
                <w:szCs w:val="21"/>
                <w:highlight w:val="none"/>
                <w:lang w:val="en-US" w:eastAsia="zh-CN"/>
              </w:rPr>
              <w:t>9、</w:t>
            </w:r>
            <w:r>
              <w:rPr>
                <w:rFonts w:hint="eastAsia"/>
                <w:color w:val="auto"/>
                <w:sz w:val="21"/>
                <w:szCs w:val="21"/>
                <w:highlight w:val="none"/>
                <w:lang w:eastAsia="zh-CN"/>
              </w:rPr>
              <w:t>投标供应商</w:t>
            </w:r>
            <w:r>
              <w:rPr>
                <w:rFonts w:hint="eastAsia"/>
                <w:color w:val="auto"/>
                <w:sz w:val="21"/>
                <w:szCs w:val="21"/>
                <w:highlight w:val="none"/>
              </w:rPr>
              <w:t>必须承诺在承包服务期内，各项成交价不变，并按采购人要求及时提供每次服务所需人数及专用机械车辆，无条件接受采购人安排。</w:t>
            </w:r>
          </w:p>
        </w:tc>
      </w:tr>
    </w:tbl>
    <w:p>
      <w:pPr>
        <w:widowControl/>
        <w:spacing w:line="360" w:lineRule="auto"/>
        <w:jc w:val="left"/>
        <w:rPr>
          <w:rFonts w:hint="default" w:ascii="宋体" w:hAnsi="宋体" w:eastAsia="宋体"/>
          <w:b w:val="0"/>
          <w:bCs w:val="0"/>
          <w:color w:val="auto"/>
          <w:sz w:val="24"/>
          <w:szCs w:val="24"/>
          <w:highlight w:val="none"/>
          <w:u w:val="single"/>
          <w:lang w:val="en-US" w:eastAsia="zh-CN"/>
        </w:rPr>
      </w:pPr>
    </w:p>
    <w:p>
      <w:pPr>
        <w:numPr>
          <w:ilvl w:val="0"/>
          <w:numId w:val="0"/>
        </w:numPr>
        <w:spacing w:line="360" w:lineRule="auto"/>
        <w:ind w:right="-87" w:right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四、服务要求：</w:t>
      </w:r>
    </w:p>
    <w:p>
      <w:pPr>
        <w:numPr>
          <w:ilvl w:val="0"/>
          <w:numId w:val="0"/>
        </w:numPr>
        <w:spacing w:line="360" w:lineRule="auto"/>
        <w:ind w:right="-87"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bCs/>
          <w:color w:val="auto"/>
          <w:sz w:val="24"/>
          <w:szCs w:val="24"/>
          <w:highlight w:val="none"/>
        </w:rPr>
        <w:t>承包方</w:t>
      </w:r>
      <w:r>
        <w:rPr>
          <w:rFonts w:hint="eastAsia" w:ascii="宋体" w:hAnsi="宋体" w:eastAsia="宋体" w:cs="宋体"/>
          <w:color w:val="auto"/>
          <w:sz w:val="24"/>
          <w:szCs w:val="24"/>
          <w:highlight w:val="none"/>
        </w:rPr>
        <w:t>须对招标人临时集置点的垃圾以及招标人管理范围内的所有所需清运的垃圾进行清运，</w:t>
      </w:r>
      <w:r>
        <w:rPr>
          <w:rFonts w:hint="eastAsia" w:ascii="宋体" w:hAnsi="宋体" w:eastAsia="宋体" w:cs="宋体"/>
          <w:bCs/>
          <w:color w:val="auto"/>
          <w:sz w:val="24"/>
          <w:szCs w:val="24"/>
          <w:highlight w:val="none"/>
        </w:rPr>
        <w:t>承包方</w:t>
      </w:r>
      <w:r>
        <w:rPr>
          <w:rFonts w:hint="eastAsia" w:ascii="宋体" w:hAnsi="宋体" w:eastAsia="宋体" w:cs="宋体"/>
          <w:color w:val="auto"/>
          <w:sz w:val="24"/>
          <w:szCs w:val="24"/>
          <w:highlight w:val="none"/>
        </w:rPr>
        <w:t>必须建立垃圾清运管理领导小组，分解管理责任目标；建立健全各项垃圾清运管理的规章制度；健全巡查制度，有巡查日志；各项台帐资料齐全、确实可信并及时上报。</w:t>
      </w:r>
    </w:p>
    <w:p>
      <w:pPr>
        <w:spacing w:line="360" w:lineRule="auto"/>
        <w:ind w:right="-87" w:firstLine="600" w:firstLineChars="2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color w:val="auto"/>
          <w:sz w:val="24"/>
          <w:szCs w:val="24"/>
          <w:highlight w:val="none"/>
        </w:rPr>
        <w:t>垃圾清运途中，严防沿途抛洒。如发现垃圾运送车辆在运输途中有垃圾洒落，且未运至具有相应垃圾处理资质的垃圾消纳点，造成的一切后果由承包方承担。</w:t>
      </w:r>
    </w:p>
    <w:p>
      <w:pPr>
        <w:spacing w:line="360" w:lineRule="auto"/>
        <w:ind w:right="-183" w:rightChars="-87" w:firstLine="540" w:firstLineChars="225"/>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bCs/>
          <w:color w:val="auto"/>
          <w:sz w:val="24"/>
          <w:szCs w:val="24"/>
          <w:highlight w:val="none"/>
        </w:rPr>
        <w:t>承包方</w:t>
      </w:r>
      <w:r>
        <w:rPr>
          <w:rFonts w:hint="eastAsia" w:ascii="宋体" w:hAnsi="宋体" w:eastAsia="宋体" w:cs="宋体"/>
          <w:color w:val="auto"/>
          <w:sz w:val="24"/>
          <w:szCs w:val="24"/>
          <w:highlight w:val="none"/>
        </w:rPr>
        <w:t>必须具有合法的垃圾处置（消纳）场地，垃圾处置（消纳）场地须有相关职能部门证明并提供租赁合同</w:t>
      </w:r>
      <w:r>
        <w:rPr>
          <w:rFonts w:hint="eastAsia" w:ascii="宋体" w:hAnsi="宋体" w:eastAsia="宋体" w:cs="宋体"/>
          <w:color w:val="auto"/>
          <w:sz w:val="24"/>
          <w:szCs w:val="24"/>
          <w:highlight w:val="none"/>
          <w:lang w:eastAsia="zh-CN"/>
        </w:rPr>
        <w:t>或自有产权证明</w:t>
      </w:r>
      <w:r>
        <w:rPr>
          <w:rFonts w:hint="eastAsia" w:ascii="宋体" w:hAnsi="宋体" w:eastAsia="宋体" w:cs="宋体"/>
          <w:color w:val="auto"/>
          <w:sz w:val="24"/>
          <w:szCs w:val="24"/>
          <w:highlight w:val="none"/>
        </w:rPr>
        <w:t>。</w:t>
      </w:r>
    </w:p>
    <w:p>
      <w:pPr>
        <w:spacing w:line="360" w:lineRule="auto"/>
        <w:ind w:right="-183" w:rightChars="-87" w:firstLine="540" w:firstLineChars="225"/>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bCs/>
          <w:color w:val="auto"/>
          <w:sz w:val="24"/>
          <w:szCs w:val="24"/>
          <w:highlight w:val="none"/>
        </w:rPr>
        <w:t>承包方</w:t>
      </w:r>
      <w:r>
        <w:rPr>
          <w:rFonts w:hint="eastAsia" w:ascii="宋体" w:hAnsi="宋体" w:eastAsia="宋体" w:cs="宋体"/>
          <w:color w:val="auto"/>
          <w:sz w:val="24"/>
          <w:szCs w:val="24"/>
          <w:highlight w:val="none"/>
        </w:rPr>
        <w:t>应建立健全安全生产管理制度和落实安全生产责任人。作业车辆出车前必须进行检查，确保车况良好方可上路进行作业。严格遵守交通规则，作业时应开启警示灯。</w:t>
      </w:r>
    </w:p>
    <w:p>
      <w:pPr>
        <w:spacing w:line="360" w:lineRule="auto"/>
        <w:ind w:right="-87" w:firstLine="600" w:firstLineChars="2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投标人必须配备专业垃圾清运车3辆</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配置不少于3名工作人员，不得投入其他标项或项目内使用（需提供保证仅用于本清运项目的承诺书），因设备故障或维修，经采购人同意</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承包方</w:t>
      </w:r>
      <w:r>
        <w:rPr>
          <w:rFonts w:hint="eastAsia" w:ascii="宋体" w:hAnsi="宋体" w:eastAsia="宋体" w:cs="宋体"/>
          <w:color w:val="auto"/>
          <w:sz w:val="24"/>
          <w:szCs w:val="24"/>
          <w:highlight w:val="none"/>
        </w:rPr>
        <w:t>可更换同类型设备。必备车辆：运输车辆车厢必须是密闭的，并且要符合垃圾装载要求，车辆驾驶员必须是B驾驶执照，证件有效、合法。</w:t>
      </w:r>
    </w:p>
    <w:p>
      <w:pPr>
        <w:widowControl/>
        <w:autoSpaceDE w:val="0"/>
        <w:autoSpaceDN w:val="0"/>
        <w:adjustRightInd w:val="0"/>
        <w:spacing w:line="460" w:lineRule="atLeast"/>
        <w:ind w:firstLine="480" w:firstLineChars="20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、员工上岗之前，承包人必须进行安全教育和技能培训，做到不教育不培训不能上岗。承包人应定期、经常对员工进行安全生产教育和培训。</w:t>
      </w:r>
    </w:p>
    <w:p>
      <w:pPr>
        <w:widowControl/>
        <w:autoSpaceDE w:val="0"/>
        <w:autoSpaceDN w:val="0"/>
        <w:adjustRightInd w:val="0"/>
        <w:spacing w:line="460" w:lineRule="atLeast"/>
        <w:ind w:firstLine="480" w:firstLineChars="20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、承包方应根据采购人指定范围进行环境整治，如达不到采购人要求，承包方将无条件返工直至满足采购人要求为止，发生的费用由承包方承担。</w:t>
      </w:r>
    </w:p>
    <w:p>
      <w:pPr>
        <w:widowControl/>
        <w:autoSpaceDE w:val="0"/>
        <w:autoSpaceDN w:val="0"/>
        <w:adjustRightInd w:val="0"/>
        <w:spacing w:line="460" w:lineRule="atLeast"/>
        <w:ind w:firstLine="480" w:firstLineChars="20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、所需的设备、工具</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清洁用品用具费用由承包方承担。</w:t>
      </w:r>
    </w:p>
    <w:p>
      <w:pPr>
        <w:autoSpaceDE w:val="0"/>
        <w:autoSpaceDN w:val="0"/>
        <w:adjustRightInd w:val="0"/>
        <w:spacing w:line="46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在承包服务期内，各项</w:t>
      </w:r>
      <w:r>
        <w:rPr>
          <w:rFonts w:hint="eastAsia" w:ascii="宋体" w:hAnsi="宋体" w:eastAsia="宋体" w:cs="宋体"/>
          <w:bCs/>
          <w:color w:val="auto"/>
          <w:sz w:val="24"/>
          <w:szCs w:val="24"/>
          <w:highlight w:val="none"/>
          <w:lang w:eastAsia="zh-CN"/>
        </w:rPr>
        <w:t>中标单</w:t>
      </w:r>
      <w:r>
        <w:rPr>
          <w:rFonts w:hint="eastAsia" w:ascii="宋体" w:hAnsi="宋体" w:eastAsia="宋体" w:cs="宋体"/>
          <w:bCs/>
          <w:color w:val="auto"/>
          <w:sz w:val="24"/>
          <w:szCs w:val="24"/>
          <w:highlight w:val="none"/>
        </w:rPr>
        <w:t>价不变，并按采购人要求及时提供每次服务所需人数及专用机械车辆，无条件接受采购人安排。</w:t>
      </w:r>
    </w:p>
    <w:p>
      <w:pPr>
        <w:autoSpaceDE w:val="0"/>
        <w:autoSpaceDN w:val="0"/>
        <w:adjustRightInd w:val="0"/>
        <w:spacing w:line="46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、按照精细化管理要求，进行文明施工。</w:t>
      </w:r>
    </w:p>
    <w:p>
      <w:pPr>
        <w:autoSpaceDE w:val="0"/>
        <w:autoSpaceDN w:val="0"/>
        <w:adjustRightInd w:val="0"/>
        <w:spacing w:line="46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11、</w:t>
      </w:r>
      <w:r>
        <w:rPr>
          <w:rFonts w:hint="eastAsia" w:ascii="宋体" w:hAnsi="宋体" w:eastAsia="宋体" w:cs="宋体"/>
          <w:bCs/>
          <w:color w:val="auto"/>
          <w:sz w:val="24"/>
          <w:szCs w:val="24"/>
          <w:highlight w:val="none"/>
        </w:rPr>
        <w:t>项目安全事项</w:t>
      </w:r>
    </w:p>
    <w:p>
      <w:pPr>
        <w:autoSpaceDE w:val="0"/>
        <w:autoSpaceDN w:val="0"/>
        <w:adjustRightInd w:val="0"/>
        <w:spacing w:line="46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(1)现场作业人员安全由中标单位负责。必须保证人员安全，做好预防保护工作，</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中标后必须为本项目所招用的每一个工人办好人身意外保险。</w:t>
      </w:r>
    </w:p>
    <w:p>
      <w:pPr>
        <w:autoSpaceDE w:val="0"/>
        <w:autoSpaceDN w:val="0"/>
        <w:adjustRightInd w:val="0"/>
        <w:spacing w:line="46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(2)若发生与本项目相关的事故，一切责任均由承包单位承担，采购单位概不负责。</w:t>
      </w:r>
    </w:p>
    <w:p>
      <w:pPr>
        <w:autoSpaceDE w:val="0"/>
        <w:autoSpaceDN w:val="0"/>
        <w:adjustRightInd w:val="0"/>
        <w:spacing w:line="46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(3)垃圾清运期间承包单位应密切注意气象预报，及时采取防范措施，防止暴风雨、洪水、雷电、冰冻、高温等造成人身损害，承包单位不得以任何理由提出索赔要求。</w:t>
      </w:r>
    </w:p>
    <w:p>
      <w:pPr>
        <w:autoSpaceDE w:val="0"/>
        <w:autoSpaceDN w:val="0"/>
        <w:adjustRightInd w:val="0"/>
        <w:spacing w:line="46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(4)作业过程中，不得野蛮作业，合理保护施工现场，文明施工。必须保证附近电线电缆、管道等的安全，做好预防保护措施，确保万无一失。如若发生电线电缆、管道损毁的情况，后果由承包单位承担。</w:t>
      </w:r>
    </w:p>
    <w:p>
      <w:pPr>
        <w:autoSpaceDE w:val="0"/>
        <w:autoSpaceDN w:val="0"/>
        <w:adjustRightInd w:val="0"/>
        <w:spacing w:line="46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color w:val="auto"/>
          <w:sz w:val="24"/>
          <w:szCs w:val="24"/>
          <w:highlight w:val="none"/>
        </w:rPr>
        <w:t>工作人员在垃圾清运过程中，应做到文明规范操作，避免与群众发生矛盾，遇到问题及时与甲方联系沟通</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必须保证周围群众、建筑物和财产安全，做好预防保护工作。如若周围群众、建筑物和财产安全受到不利影响，后果由承包单位承担。</w:t>
      </w:r>
    </w:p>
    <w:p>
      <w:pPr>
        <w:widowControl/>
        <w:autoSpaceDE w:val="0"/>
        <w:autoSpaceDN w:val="0"/>
        <w:adjustRightInd w:val="0"/>
        <w:spacing w:line="460" w:lineRule="atLeast"/>
        <w:ind w:firstLine="480" w:firstLineChars="20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、转让和分包</w:t>
      </w:r>
    </w:p>
    <w:p>
      <w:pPr>
        <w:autoSpaceDE w:val="0"/>
        <w:autoSpaceDN w:val="0"/>
        <w:adjustRightInd w:val="0"/>
        <w:spacing w:line="460" w:lineRule="atLeast"/>
        <w:ind w:firstLine="480" w:firstLineChars="200"/>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未经采购单位事先书面同意，中标人不得转包或变相转包其应履行的合同义务，否则，采购单位有权终止合同并扣除履约保证金作为违约金。</w:t>
      </w:r>
    </w:p>
    <w:p>
      <w:pPr>
        <w:widowControl/>
        <w:shd w:val="clear" w:color="auto" w:fill="FFFFFF"/>
        <w:spacing w:after="150" w:line="375" w:lineRule="atLeast"/>
        <w:jc w:val="left"/>
        <w:rPr>
          <w:rFonts w:ascii="宋体" w:hAnsi="宋体" w:cs="Arial"/>
          <w:b/>
          <w:color w:val="auto"/>
          <w:kern w:val="0"/>
          <w:sz w:val="24"/>
          <w:szCs w:val="24"/>
          <w:highlight w:val="none"/>
        </w:rPr>
      </w:pPr>
      <w:r>
        <w:rPr>
          <w:rFonts w:hint="eastAsia" w:ascii="宋体" w:hAnsi="宋体" w:cs="Arial"/>
          <w:b/>
          <w:color w:val="auto"/>
          <w:kern w:val="0"/>
          <w:sz w:val="24"/>
          <w:szCs w:val="24"/>
          <w:highlight w:val="none"/>
          <w:lang w:eastAsia="zh-CN"/>
        </w:rPr>
        <w:t>五</w:t>
      </w:r>
      <w:r>
        <w:rPr>
          <w:rFonts w:ascii="宋体" w:hAnsi="宋体" w:cs="Arial"/>
          <w:b/>
          <w:color w:val="auto"/>
          <w:kern w:val="0"/>
          <w:sz w:val="24"/>
          <w:szCs w:val="24"/>
          <w:highlight w:val="none"/>
        </w:rPr>
        <w:t>、甲乙双方责任</w:t>
      </w:r>
    </w:p>
    <w:p>
      <w:pPr>
        <w:pStyle w:val="39"/>
        <w:shd w:val="clear" w:color="auto" w:fill="FFFFFF"/>
        <w:spacing w:before="0" w:beforeAutospacing="0" w:after="150" w:afterAutospacing="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b/>
          <w:bCs/>
          <w:color w:val="auto"/>
          <w:sz w:val="24"/>
          <w:szCs w:val="24"/>
          <w:highlight w:val="none"/>
          <w:lang w:val="en-US" w:eastAsia="zh-CN"/>
        </w:rPr>
        <w:t>甲方的权利和义务</w:t>
      </w:r>
    </w:p>
    <w:p>
      <w:pPr>
        <w:keepNext w:val="0"/>
        <w:keepLines w:val="0"/>
        <w:pageBreakBefore w:val="0"/>
        <w:widowControl w:val="0"/>
        <w:tabs>
          <w:tab w:val="left" w:pos="1080"/>
          <w:tab w:val="left" w:pos="1260"/>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1.甲方有权检查乙方的垃圾清运质量，有权对乙方现场清运过程中出现的“满桶、漏桶、落渣、漏渣”等不符合垃圾清运质量的现象要求立即整改。  　　</w:t>
      </w:r>
    </w:p>
    <w:p>
      <w:pPr>
        <w:keepNext w:val="0"/>
        <w:keepLines w:val="0"/>
        <w:pageBreakBefore w:val="0"/>
        <w:widowControl w:val="0"/>
        <w:tabs>
          <w:tab w:val="left" w:pos="1080"/>
          <w:tab w:val="left" w:pos="1260"/>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2.乙方将垃圾及时运输到</w:t>
      </w:r>
      <w:r>
        <w:rPr>
          <w:rFonts w:hint="eastAsia" w:ascii="宋体" w:hAnsi="宋体" w:eastAsia="宋体" w:cs="宋体"/>
          <w:b w:val="0"/>
          <w:bCs w:val="0"/>
          <w:color w:val="auto"/>
          <w:spacing w:val="0"/>
          <w:w w:val="100"/>
          <w:kern w:val="2"/>
          <w:sz w:val="24"/>
          <w:szCs w:val="24"/>
          <w:highlight w:val="none"/>
          <w:lang w:val="en-US" w:eastAsia="zh-CN" w:bidi="ar-SA"/>
        </w:rPr>
        <w:t>甲方主管部门综合行政执法分局指定的垃圾临时堆放场地</w:t>
      </w:r>
      <w:r>
        <w:rPr>
          <w:rFonts w:hint="eastAsia" w:ascii="宋体" w:hAnsi="宋体" w:eastAsia="宋体" w:cs="宋体"/>
          <w:b w:val="0"/>
          <w:bCs w:val="0"/>
          <w:color w:val="auto"/>
          <w:sz w:val="24"/>
          <w:szCs w:val="24"/>
          <w:highlight w:val="none"/>
          <w:lang w:val="en-US" w:eastAsia="zh-CN"/>
        </w:rPr>
        <w:t>，按有关规定进处理，不得随意卸放。</w:t>
      </w:r>
    </w:p>
    <w:p>
      <w:pPr>
        <w:keepNext w:val="0"/>
        <w:keepLines w:val="0"/>
        <w:pageBreakBefore w:val="0"/>
        <w:widowControl w:val="0"/>
        <w:tabs>
          <w:tab w:val="left" w:pos="1080"/>
          <w:tab w:val="left" w:pos="1260"/>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3.甲方对乙方垃圾清运工作有权进行监督、管理，乙方须确保工作质量满足甲方要求，并服从甲方管理。　　</w:t>
      </w:r>
    </w:p>
    <w:p>
      <w:pPr>
        <w:keepNext w:val="0"/>
        <w:keepLines w:val="0"/>
        <w:pageBreakBefore w:val="0"/>
        <w:widowControl w:val="0"/>
        <w:tabs>
          <w:tab w:val="left" w:pos="1080"/>
          <w:tab w:val="left" w:pos="1260"/>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4.甲方如遇检查等特殊情况，电话通知乙方，乙方须配合甲方适当增加垃圾清理清运次数。</w:t>
      </w:r>
    </w:p>
    <w:p>
      <w:pPr>
        <w:keepNext w:val="0"/>
        <w:keepLines w:val="0"/>
        <w:pageBreakBefore w:val="0"/>
        <w:widowControl w:val="0"/>
        <w:tabs>
          <w:tab w:val="left" w:pos="1080"/>
          <w:tab w:val="left" w:pos="1260"/>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5.当</w:t>
      </w:r>
      <w:r>
        <w:rPr>
          <w:rFonts w:hint="eastAsia" w:ascii="宋体" w:hAnsi="宋体" w:eastAsia="宋体" w:cs="宋体"/>
          <w:b w:val="0"/>
          <w:bCs w:val="0"/>
          <w:color w:val="auto"/>
          <w:spacing w:val="0"/>
          <w:w w:val="100"/>
          <w:kern w:val="2"/>
          <w:sz w:val="24"/>
          <w:szCs w:val="24"/>
          <w:highlight w:val="none"/>
          <w:lang w:val="en-US" w:eastAsia="zh-CN" w:bidi="ar-SA"/>
        </w:rPr>
        <w:t>垃圾临时堆放场地无法满足堆放需求时，甲方不得硬性要求乙方对指定垃圾进行清运处置。</w:t>
      </w:r>
    </w:p>
    <w:p>
      <w:pPr>
        <w:pStyle w:val="39"/>
        <w:shd w:val="clear" w:color="auto" w:fill="FFFFFF"/>
        <w:spacing w:before="0" w:beforeAutospacing="0" w:after="150" w:afterAutospacing="0" w:line="360" w:lineRule="auto"/>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6.甲方代表应如实做好联系单签证工作，并按合同约定及时支付</w:t>
      </w:r>
      <w:r>
        <w:rPr>
          <w:rFonts w:hint="eastAsia" w:ascii="宋体" w:hAnsi="宋体" w:eastAsia="宋体" w:cs="宋体"/>
          <w:b w:val="0"/>
          <w:bCs w:val="0"/>
          <w:color w:val="auto"/>
          <w:spacing w:val="0"/>
          <w:w w:val="100"/>
          <w:kern w:val="2"/>
          <w:sz w:val="24"/>
          <w:szCs w:val="24"/>
          <w:highlight w:val="none"/>
          <w:lang w:val="en-US" w:eastAsia="zh-CN" w:bidi="ar-SA"/>
        </w:rPr>
        <w:t>乙方项目委托费用。</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（二）</w:t>
      </w:r>
      <w:r>
        <w:rPr>
          <w:rFonts w:hint="eastAsia" w:ascii="宋体" w:hAnsi="宋体" w:eastAsia="宋体" w:cs="宋体"/>
          <w:b/>
          <w:bCs/>
          <w:color w:val="auto"/>
          <w:sz w:val="24"/>
          <w:szCs w:val="24"/>
          <w:highlight w:val="none"/>
          <w:lang w:val="en-US" w:eastAsia="zh-CN"/>
        </w:rPr>
        <w:t>乙方的权利和义务  　　</w:t>
      </w:r>
    </w:p>
    <w:p>
      <w:pPr>
        <w:widowControl/>
        <w:spacing w:line="360" w:lineRule="auto"/>
        <w:ind w:right="-87"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为确保服务质量及与</w:t>
      </w:r>
      <w:r>
        <w:rPr>
          <w:rFonts w:hint="eastAsia" w:ascii="宋体" w:hAnsi="宋体" w:eastAsia="宋体" w:cs="宋体"/>
          <w:bCs/>
          <w:color w:val="auto"/>
          <w:sz w:val="24"/>
          <w:szCs w:val="24"/>
          <w:highlight w:val="none"/>
          <w:lang w:eastAsia="zh-CN"/>
        </w:rPr>
        <w:t>甲</w:t>
      </w:r>
      <w:r>
        <w:rPr>
          <w:rFonts w:hint="eastAsia" w:ascii="宋体" w:hAnsi="宋体" w:eastAsia="宋体" w:cs="宋体"/>
          <w:bCs/>
          <w:color w:val="auto"/>
          <w:sz w:val="24"/>
          <w:szCs w:val="24"/>
          <w:highlight w:val="none"/>
        </w:rPr>
        <w:t>方沟通联络，</w:t>
      </w:r>
      <w:r>
        <w:rPr>
          <w:rFonts w:hint="eastAsia" w:ascii="宋体" w:hAnsi="宋体" w:eastAsia="宋体" w:cs="宋体"/>
          <w:bCs/>
          <w:color w:val="auto"/>
          <w:sz w:val="24"/>
          <w:szCs w:val="24"/>
          <w:highlight w:val="none"/>
          <w:lang w:eastAsia="zh-CN"/>
        </w:rPr>
        <w:t>乙</w:t>
      </w:r>
      <w:r>
        <w:rPr>
          <w:rFonts w:hint="eastAsia" w:ascii="宋体" w:hAnsi="宋体" w:eastAsia="宋体" w:cs="宋体"/>
          <w:bCs/>
          <w:color w:val="auto"/>
          <w:sz w:val="24"/>
          <w:szCs w:val="24"/>
          <w:highlight w:val="none"/>
        </w:rPr>
        <w:t>方须设置专职主管，负责对承包项目范围、服务质量的检查监督及与</w:t>
      </w:r>
      <w:r>
        <w:rPr>
          <w:rFonts w:hint="eastAsia" w:ascii="宋体" w:hAnsi="宋体" w:eastAsia="宋体" w:cs="宋体"/>
          <w:bCs/>
          <w:color w:val="auto"/>
          <w:sz w:val="24"/>
          <w:szCs w:val="24"/>
          <w:highlight w:val="none"/>
          <w:lang w:eastAsia="zh-CN"/>
        </w:rPr>
        <w:t>甲</w:t>
      </w:r>
      <w:r>
        <w:rPr>
          <w:rFonts w:hint="eastAsia" w:ascii="宋体" w:hAnsi="宋体" w:eastAsia="宋体" w:cs="宋体"/>
          <w:bCs/>
          <w:color w:val="auto"/>
          <w:sz w:val="24"/>
          <w:szCs w:val="24"/>
          <w:highlight w:val="none"/>
        </w:rPr>
        <w:t>方日常业务联系；</w:t>
      </w:r>
    </w:p>
    <w:p>
      <w:pPr>
        <w:widowControl/>
        <w:spacing w:line="360" w:lineRule="auto"/>
        <w:ind w:right="-87"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乙</w:t>
      </w:r>
      <w:r>
        <w:rPr>
          <w:rFonts w:hint="eastAsia" w:ascii="宋体" w:hAnsi="宋体" w:eastAsia="宋体" w:cs="宋体"/>
          <w:bCs/>
          <w:color w:val="auto"/>
          <w:sz w:val="24"/>
          <w:szCs w:val="24"/>
          <w:highlight w:val="none"/>
        </w:rPr>
        <w:t>方需提供员工管理服务规范要求及确保服务质量达标的具体措施；</w:t>
      </w:r>
    </w:p>
    <w:p>
      <w:pPr>
        <w:keepNext w:val="0"/>
        <w:keepLines w:val="0"/>
        <w:pageBreakBefore w:val="0"/>
        <w:widowControl w:val="0"/>
        <w:tabs>
          <w:tab w:val="left" w:pos="1080"/>
          <w:tab w:val="left" w:pos="1260"/>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3.合同期间，乙方须无条件的接受甲方的监督检查和整改要求。  　　</w:t>
      </w:r>
    </w:p>
    <w:p>
      <w:pPr>
        <w:keepNext w:val="0"/>
        <w:keepLines w:val="0"/>
        <w:pageBreakBefore w:val="0"/>
        <w:widowControl w:val="0"/>
        <w:tabs>
          <w:tab w:val="left" w:pos="1080"/>
          <w:tab w:val="left" w:pos="1260"/>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4.乙方须按本合同要求，保质保量完成甲方委托的垃圾清理处置、</w:t>
      </w:r>
      <w:r>
        <w:rPr>
          <w:rFonts w:hint="eastAsia" w:ascii="宋体" w:hAnsi="宋体" w:eastAsia="宋体" w:cs="宋体"/>
          <w:color w:val="auto"/>
          <w:sz w:val="24"/>
          <w:szCs w:val="24"/>
          <w:highlight w:val="none"/>
          <w:lang w:val="en-US" w:eastAsia="zh-CN"/>
        </w:rPr>
        <w:t>环境整治</w:t>
      </w:r>
      <w:r>
        <w:rPr>
          <w:rFonts w:hint="eastAsia" w:ascii="宋体" w:hAnsi="宋体" w:eastAsia="宋体" w:cs="宋体"/>
          <w:b w:val="0"/>
          <w:bCs w:val="0"/>
          <w:color w:val="auto"/>
          <w:sz w:val="24"/>
          <w:szCs w:val="24"/>
          <w:highlight w:val="none"/>
          <w:lang w:val="en-US" w:eastAsia="zh-CN"/>
        </w:rPr>
        <w:t>工作。  　　</w:t>
      </w:r>
    </w:p>
    <w:p>
      <w:pPr>
        <w:keepNext w:val="0"/>
        <w:keepLines w:val="0"/>
        <w:pageBreakBefore w:val="0"/>
        <w:widowControl w:val="0"/>
        <w:tabs>
          <w:tab w:val="left" w:pos="1080"/>
          <w:tab w:val="left" w:pos="1260"/>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5.若有新发现垃圾的，乙方应及时通知甲方，并在征得甲方同意后及时派人到现场检查、督促清理清运到位。  　　</w:t>
      </w:r>
    </w:p>
    <w:p>
      <w:pPr>
        <w:keepNext w:val="0"/>
        <w:keepLines w:val="0"/>
        <w:pageBreakBefore w:val="0"/>
        <w:widowControl w:val="0"/>
        <w:tabs>
          <w:tab w:val="left" w:pos="1080"/>
          <w:tab w:val="left" w:pos="1260"/>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6.乙方负责安排车辆和装卸垃圾工作人员，垃圾清运过程中所产生的一切费用(人工、机械除外)由乙方承担。  　　</w:t>
      </w:r>
    </w:p>
    <w:p>
      <w:pPr>
        <w:keepNext w:val="0"/>
        <w:keepLines w:val="0"/>
        <w:pageBreakBefore w:val="0"/>
        <w:widowControl w:val="0"/>
        <w:tabs>
          <w:tab w:val="left" w:pos="1080"/>
          <w:tab w:val="left" w:pos="1260"/>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7.乙方清运车辆运行需作好封闭措施，避免垃圾沿路飘落，以保持沿路环境卫生。  　　</w:t>
      </w:r>
    </w:p>
    <w:p>
      <w:pPr>
        <w:keepNext w:val="0"/>
        <w:keepLines w:val="0"/>
        <w:pageBreakBefore w:val="0"/>
        <w:widowControl w:val="0"/>
        <w:tabs>
          <w:tab w:val="left" w:pos="1080"/>
          <w:tab w:val="left" w:pos="1260"/>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乙方在垃圾清理清运工作时应做到安全、有序，自觉遵守管理制度。乙方人员在垃圾清运工作时，发生伤亡或损坏乙方财产、产品等安全事故，其一切责任由乙方自负，承担相应赔偿责任，甲方不承担任何责任。</w:t>
      </w:r>
    </w:p>
    <w:p>
      <w:pPr>
        <w:keepNext w:val="0"/>
        <w:keepLines w:val="0"/>
        <w:pageBreakBefore w:val="0"/>
        <w:widowControl w:val="0"/>
        <w:tabs>
          <w:tab w:val="left" w:pos="1080"/>
          <w:tab w:val="left" w:pos="1260"/>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9.乙方工作行为应该符合法律和政府相关部门之规定，如有违反，乙方受到政府相关部门的干涉和处罚，相关责任由乙方自行承担和解决。</w:t>
      </w:r>
    </w:p>
    <w:p>
      <w:pPr>
        <w:pStyle w:val="39"/>
        <w:shd w:val="clear" w:color="auto" w:fill="FFFFFF"/>
        <w:spacing w:before="0" w:beforeAutospacing="0" w:after="150" w:afterAutospacing="0" w:line="375" w:lineRule="atLeast"/>
        <w:ind w:firstLine="480"/>
        <w:rPr>
          <w:rFonts w:hint="default" w:cs="Arial"/>
          <w:color w:val="auto"/>
          <w:highlight w:val="none"/>
        </w:rPr>
      </w:pPr>
    </w:p>
    <w:p>
      <w:pPr>
        <w:pStyle w:val="24"/>
        <w:snapToGrid w:val="0"/>
        <w:spacing w:before="120" w:after="120" w:line="360" w:lineRule="auto"/>
        <w:rPr>
          <w:rFonts w:hAnsi="宋体"/>
          <w:b/>
          <w:color w:val="auto"/>
          <w:sz w:val="24"/>
          <w:highlight w:val="none"/>
        </w:rPr>
      </w:pPr>
      <w:r>
        <w:rPr>
          <w:rFonts w:hint="eastAsia" w:hAnsi="宋体"/>
          <w:b/>
          <w:color w:val="auto"/>
          <w:sz w:val="24"/>
          <w:highlight w:val="none"/>
          <w:lang w:eastAsia="zh-CN"/>
        </w:rPr>
        <w:t>六</w:t>
      </w:r>
      <w:r>
        <w:rPr>
          <w:rFonts w:hAnsi="宋体"/>
          <w:b/>
          <w:color w:val="auto"/>
          <w:sz w:val="24"/>
          <w:highlight w:val="none"/>
        </w:rPr>
        <w:t>、技术资料</w:t>
      </w:r>
    </w:p>
    <w:p>
      <w:pPr>
        <w:pStyle w:val="24"/>
        <w:snapToGrid w:val="0"/>
        <w:spacing w:before="120" w:after="120" w:line="360" w:lineRule="auto"/>
        <w:ind w:left="410" w:hanging="410" w:hangingChars="171"/>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乙方应按招标文件规定的时间向甲方提供有关技术资料。</w:t>
      </w:r>
    </w:p>
    <w:p>
      <w:pPr>
        <w:pStyle w:val="24"/>
        <w:snapToGrid w:val="0"/>
        <w:spacing w:before="120" w:after="120" w:line="360" w:lineRule="auto"/>
        <w:ind w:left="410" w:hanging="410" w:hangingChars="171"/>
        <w:rPr>
          <w:rFonts w:hAnsi="宋体"/>
          <w:color w:val="auto"/>
          <w:sz w:val="24"/>
          <w:highlight w:val="none"/>
        </w:rPr>
      </w:pPr>
      <w:r>
        <w:rPr>
          <w:rFonts w:hAnsi="宋体"/>
          <w:color w:val="auto"/>
          <w:sz w:val="24"/>
          <w:highlight w:val="none"/>
        </w:rPr>
        <w:t>2</w:t>
      </w:r>
      <w:r>
        <w:rPr>
          <w:rFonts w:hint="eastAsia" w:hAnsi="宋体"/>
          <w:color w:val="auto"/>
          <w:sz w:val="24"/>
          <w:highlight w:val="none"/>
        </w:rPr>
        <w:t>.</w:t>
      </w:r>
      <w:r>
        <w:rPr>
          <w:rFonts w:hAnsi="宋体"/>
          <w:color w:val="auto"/>
          <w:sz w:val="24"/>
          <w:highlight w:val="none"/>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4"/>
        <w:snapToGrid w:val="0"/>
        <w:spacing w:before="120" w:after="120" w:line="360" w:lineRule="auto"/>
        <w:ind w:left="412" w:hanging="412" w:hangingChars="171"/>
        <w:rPr>
          <w:rFonts w:hAnsi="宋体"/>
          <w:b/>
          <w:color w:val="auto"/>
          <w:sz w:val="24"/>
          <w:highlight w:val="none"/>
        </w:rPr>
      </w:pPr>
      <w:r>
        <w:rPr>
          <w:rFonts w:hint="eastAsia" w:hAnsi="宋体"/>
          <w:b/>
          <w:color w:val="auto"/>
          <w:sz w:val="24"/>
          <w:highlight w:val="none"/>
          <w:lang w:eastAsia="zh-CN"/>
        </w:rPr>
        <w:t>七</w:t>
      </w:r>
      <w:r>
        <w:rPr>
          <w:rFonts w:hAnsi="宋体"/>
          <w:b/>
          <w:color w:val="auto"/>
          <w:sz w:val="24"/>
          <w:highlight w:val="none"/>
        </w:rPr>
        <w:t>、知识产权</w:t>
      </w:r>
    </w:p>
    <w:p>
      <w:pPr>
        <w:pStyle w:val="24"/>
        <w:snapToGrid w:val="0"/>
        <w:spacing w:before="120" w:after="120" w:line="360" w:lineRule="auto"/>
        <w:ind w:left="410" w:hanging="410" w:hangingChars="171"/>
        <w:rPr>
          <w:rFonts w:hAnsi="宋体"/>
          <w:b/>
          <w:bCs/>
          <w:color w:val="auto"/>
          <w:sz w:val="24"/>
          <w:highlight w:val="none"/>
        </w:rPr>
      </w:pPr>
      <w:r>
        <w:rPr>
          <w:rFonts w:hAnsi="宋体"/>
          <w:color w:val="auto"/>
          <w:sz w:val="24"/>
          <w:highlight w:val="none"/>
        </w:rPr>
        <w:t>乙方应保证提供服务过程中不会侵犯任何第三方的知识产权。</w:t>
      </w:r>
    </w:p>
    <w:p>
      <w:pPr>
        <w:pStyle w:val="24"/>
        <w:snapToGrid w:val="0"/>
        <w:spacing w:before="120" w:after="120" w:line="360" w:lineRule="auto"/>
        <w:ind w:left="410" w:hanging="410" w:hangingChars="170"/>
        <w:rPr>
          <w:rFonts w:hAnsi="宋体"/>
          <w:b/>
          <w:color w:val="auto"/>
          <w:sz w:val="24"/>
          <w:highlight w:val="none"/>
        </w:rPr>
      </w:pPr>
      <w:r>
        <w:rPr>
          <w:rFonts w:hint="eastAsia" w:hAnsi="宋体"/>
          <w:b/>
          <w:color w:val="auto"/>
          <w:sz w:val="24"/>
          <w:highlight w:val="none"/>
          <w:lang w:eastAsia="zh-CN"/>
        </w:rPr>
        <w:t>八</w:t>
      </w:r>
      <w:r>
        <w:rPr>
          <w:rFonts w:hAnsi="宋体"/>
          <w:b/>
          <w:color w:val="auto"/>
          <w:sz w:val="24"/>
          <w:highlight w:val="none"/>
        </w:rPr>
        <w:t>、履约保证金</w:t>
      </w:r>
    </w:p>
    <w:p>
      <w:pPr>
        <w:tabs>
          <w:tab w:val="left" w:pos="1418"/>
        </w:tabs>
        <w:autoSpaceDE w:val="0"/>
        <w:autoSpaceDN w:val="0"/>
        <w:adjustRightInd w:val="0"/>
        <w:spacing w:line="360" w:lineRule="auto"/>
        <w:ind w:left="480"/>
        <w:rPr>
          <w:rFonts w:ascii="宋体" w:hAnsi="宋体" w:cstheme="minorBidi"/>
          <w:color w:val="auto"/>
          <w:sz w:val="24"/>
          <w:highlight w:val="none"/>
        </w:rPr>
      </w:pPr>
      <w:r>
        <w:rPr>
          <w:rFonts w:hint="eastAsia" w:ascii="宋体" w:hAnsi="宋体" w:cstheme="minorBidi"/>
          <w:color w:val="auto"/>
          <w:sz w:val="24"/>
          <w:highlight w:val="none"/>
        </w:rPr>
        <w:t>本项目履约保证金为合同金额的</w:t>
      </w:r>
      <w:r>
        <w:rPr>
          <w:rFonts w:hint="eastAsia" w:ascii="宋体" w:hAnsi="宋体" w:cstheme="minorBidi"/>
          <w:color w:val="auto"/>
          <w:sz w:val="24"/>
          <w:highlight w:val="none"/>
          <w:lang w:val="en-US" w:eastAsia="zh-CN"/>
        </w:rPr>
        <w:t xml:space="preserve"> </w:t>
      </w:r>
      <w:r>
        <w:rPr>
          <w:rFonts w:hint="eastAsia" w:ascii="宋体" w:hAnsi="宋体" w:cstheme="minorBidi"/>
          <w:color w:val="auto"/>
          <w:sz w:val="24"/>
          <w:highlight w:val="none"/>
          <w:u w:val="single"/>
          <w:lang w:val="en-US" w:eastAsia="zh-CN"/>
        </w:rPr>
        <w:t>1</w:t>
      </w:r>
      <w:r>
        <w:rPr>
          <w:rFonts w:hint="eastAsia" w:ascii="宋体" w:hAnsi="宋体" w:cstheme="minorBidi"/>
          <w:color w:val="auto"/>
          <w:sz w:val="24"/>
          <w:highlight w:val="none"/>
        </w:rPr>
        <w:t>% 。</w:t>
      </w:r>
      <w:r>
        <w:rPr>
          <w:rFonts w:hint="eastAsia" w:ascii="宋体" w:hAnsi="宋体" w:cstheme="minorBidi"/>
          <w:color w:val="auto"/>
          <w:sz w:val="24"/>
          <w:highlight w:val="none"/>
          <w:lang w:val="zh-CN"/>
        </w:rPr>
        <w:t>[履约保证金交至采购人处，在合同履约完毕后</w:t>
      </w:r>
      <w:r>
        <w:rPr>
          <w:rFonts w:hint="eastAsia" w:ascii="宋体" w:hAnsi="宋体" w:cstheme="minorBidi"/>
          <w:color w:val="auto"/>
          <w:sz w:val="24"/>
          <w:highlight w:val="none"/>
          <w:lang w:val="en-US" w:eastAsia="zh-CN"/>
        </w:rPr>
        <w:t>1</w:t>
      </w:r>
      <w:r>
        <w:rPr>
          <w:rFonts w:hint="eastAsia" w:ascii="宋体" w:hAnsi="宋体" w:cstheme="minorBidi"/>
          <w:color w:val="auto"/>
          <w:sz w:val="24"/>
          <w:highlight w:val="none"/>
          <w:lang w:val="zh-CN"/>
        </w:rPr>
        <w:t>5个工作日内无息退还]</w:t>
      </w:r>
    </w:p>
    <w:p>
      <w:pPr>
        <w:snapToGrid w:val="0"/>
        <w:spacing w:beforeLines="50" w:afterLines="50" w:line="360" w:lineRule="auto"/>
        <w:rPr>
          <w:rFonts w:ascii="宋体" w:hAnsi="宋体"/>
          <w:b/>
          <w:color w:val="auto"/>
          <w:sz w:val="24"/>
          <w:highlight w:val="none"/>
        </w:rPr>
      </w:pPr>
      <w:r>
        <w:rPr>
          <w:rFonts w:hint="eastAsia" w:ascii="宋体" w:hAnsi="宋体"/>
          <w:b/>
          <w:color w:val="auto"/>
          <w:sz w:val="24"/>
          <w:highlight w:val="none"/>
          <w:lang w:eastAsia="zh-CN"/>
        </w:rPr>
        <w:t>九</w:t>
      </w:r>
      <w:r>
        <w:rPr>
          <w:rFonts w:hint="eastAsia" w:ascii="宋体" w:hAnsi="宋体"/>
          <w:b/>
          <w:color w:val="auto"/>
          <w:sz w:val="24"/>
          <w:highlight w:val="none"/>
        </w:rPr>
        <w:t>、转包或分包</w:t>
      </w:r>
    </w:p>
    <w:p>
      <w:pPr>
        <w:snapToGrid w:val="0"/>
        <w:spacing w:beforeLines="50" w:afterLines="50" w:line="360" w:lineRule="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.本合同范围的服务，应由</w:t>
      </w:r>
      <w:r>
        <w:rPr>
          <w:rFonts w:ascii="宋体" w:hAnsi="宋体"/>
          <w:color w:val="auto"/>
          <w:sz w:val="24"/>
          <w:highlight w:val="none"/>
        </w:rPr>
        <w:t>乙</w:t>
      </w:r>
      <w:r>
        <w:rPr>
          <w:rFonts w:hint="eastAsia" w:ascii="宋体" w:hAnsi="宋体"/>
          <w:color w:val="auto"/>
          <w:sz w:val="24"/>
          <w:highlight w:val="none"/>
        </w:rPr>
        <w:t>方直接供应，不得转让他人供应；</w:t>
      </w:r>
    </w:p>
    <w:p>
      <w:pPr>
        <w:snapToGrid w:val="0"/>
        <w:spacing w:beforeLines="50" w:afterLines="50" w:line="360" w:lineRule="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除非得到甲方的书面同意，</w:t>
      </w:r>
      <w:r>
        <w:rPr>
          <w:rFonts w:ascii="宋体" w:hAnsi="宋体"/>
          <w:color w:val="auto"/>
          <w:sz w:val="24"/>
          <w:highlight w:val="none"/>
        </w:rPr>
        <w:t>乙</w:t>
      </w:r>
      <w:r>
        <w:rPr>
          <w:rFonts w:hint="eastAsia" w:ascii="宋体" w:hAnsi="宋体"/>
          <w:color w:val="auto"/>
          <w:sz w:val="24"/>
          <w:highlight w:val="none"/>
        </w:rPr>
        <w:t>方不得将本合同范围的服务全部或部分分包给他人供应；</w:t>
      </w:r>
    </w:p>
    <w:p>
      <w:pPr>
        <w:snapToGrid w:val="0"/>
        <w:spacing w:beforeLines="50" w:afterLines="50" w:line="360" w:lineRule="auto"/>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.如有转让和未经甲方同意的分包行为，甲方有权解除合同，没收履约保证金并追究乙方的违约责任。</w:t>
      </w:r>
    </w:p>
    <w:p>
      <w:pPr>
        <w:pStyle w:val="24"/>
        <w:snapToGrid w:val="0"/>
        <w:spacing w:before="120" w:after="120" w:line="360" w:lineRule="auto"/>
        <w:rPr>
          <w:rFonts w:hAnsi="宋体"/>
          <w:b/>
          <w:color w:val="auto"/>
          <w:sz w:val="24"/>
          <w:highlight w:val="none"/>
        </w:rPr>
      </w:pPr>
      <w:r>
        <w:rPr>
          <w:rFonts w:hint="eastAsia" w:hAnsi="宋体"/>
          <w:b/>
          <w:color w:val="auto"/>
          <w:sz w:val="24"/>
          <w:highlight w:val="none"/>
          <w:lang w:eastAsia="zh-CN"/>
        </w:rPr>
        <w:t>十</w:t>
      </w:r>
      <w:r>
        <w:rPr>
          <w:rFonts w:hAnsi="宋体"/>
          <w:b/>
          <w:color w:val="auto"/>
          <w:sz w:val="24"/>
          <w:highlight w:val="none"/>
        </w:rPr>
        <w:t>、合同履行时间、履行方式及履行地点</w:t>
      </w:r>
    </w:p>
    <w:p>
      <w:pPr>
        <w:tabs>
          <w:tab w:val="left" w:pos="360"/>
          <w:tab w:val="left" w:pos="540"/>
        </w:tabs>
        <w:spacing w:line="360" w:lineRule="auto"/>
        <w:ind w:right="-21"/>
        <w:rPr>
          <w:rFonts w:ascii="宋体" w:hAnsi="宋体" w:cs="宋体"/>
          <w:color w:val="auto"/>
          <w:kern w:val="1"/>
          <w:sz w:val="24"/>
          <w:highlight w:val="none"/>
        </w:rPr>
      </w:pPr>
      <w:r>
        <w:rPr>
          <w:rFonts w:hint="eastAsia" w:ascii="宋体" w:hAnsi="宋体" w:cs="宋体"/>
          <w:b/>
          <w:bCs/>
          <w:color w:val="auto"/>
          <w:sz w:val="24"/>
          <w:highlight w:val="none"/>
        </w:rPr>
        <w:t>1.服务期限：一年</w:t>
      </w:r>
      <w:r>
        <w:rPr>
          <w:rFonts w:hint="eastAsia" w:ascii="宋体" w:hAnsi="宋体" w:eastAsia="宋体"/>
          <w:b/>
          <w:bCs/>
          <w:color w:val="auto"/>
          <w:sz w:val="24"/>
          <w:szCs w:val="24"/>
          <w:highlight w:val="none"/>
          <w:lang w:val="en-US" w:eastAsia="zh-CN"/>
        </w:rPr>
        <w:t>（如结算价款满合同限额后则提前自动解除）</w:t>
      </w:r>
    </w:p>
    <w:p>
      <w:pPr>
        <w:spacing w:before="120" w:after="120" w:line="312" w:lineRule="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2. 履行方式：</w:t>
      </w:r>
      <w:r>
        <w:rPr>
          <w:rFonts w:hint="eastAsia" w:ascii="宋体" w:hAnsi="宋体" w:cs="宋体"/>
          <w:bCs/>
          <w:color w:val="auto"/>
          <w:sz w:val="24"/>
          <w:highlight w:val="none"/>
          <w:lang w:eastAsia="zh-CN"/>
        </w:rPr>
        <w:t>按甲方要求提供服务</w:t>
      </w:r>
    </w:p>
    <w:p>
      <w:pPr>
        <w:spacing w:before="120" w:after="120" w:line="312" w:lineRule="auto"/>
        <w:rPr>
          <w:rFonts w:ascii="宋体" w:hAnsi="宋体" w:cs="宋体"/>
          <w:bCs/>
          <w:color w:val="auto"/>
          <w:sz w:val="24"/>
          <w:highlight w:val="none"/>
        </w:rPr>
      </w:pPr>
      <w:r>
        <w:rPr>
          <w:rFonts w:hint="eastAsia" w:ascii="宋体" w:hAnsi="宋体" w:cs="宋体"/>
          <w:bCs/>
          <w:color w:val="auto"/>
          <w:sz w:val="24"/>
          <w:highlight w:val="none"/>
        </w:rPr>
        <w:t>3. 履行地点：甲方指定地点</w:t>
      </w:r>
    </w:p>
    <w:p>
      <w:pPr>
        <w:pStyle w:val="24"/>
        <w:snapToGrid w:val="0"/>
        <w:spacing w:before="120" w:after="120" w:line="360" w:lineRule="auto"/>
        <w:rPr>
          <w:rFonts w:hAnsi="宋体"/>
          <w:b/>
          <w:color w:val="auto"/>
          <w:sz w:val="24"/>
          <w:highlight w:val="none"/>
        </w:rPr>
      </w:pPr>
      <w:r>
        <w:rPr>
          <w:rFonts w:hint="eastAsia" w:hAnsi="宋体"/>
          <w:b/>
          <w:color w:val="auto"/>
          <w:sz w:val="24"/>
          <w:highlight w:val="none"/>
        </w:rPr>
        <w:t>十一</w:t>
      </w:r>
      <w:r>
        <w:rPr>
          <w:rFonts w:hAnsi="宋体"/>
          <w:b/>
          <w:color w:val="auto"/>
          <w:sz w:val="24"/>
          <w:highlight w:val="none"/>
        </w:rPr>
        <w:t>、款项支付</w:t>
      </w:r>
    </w:p>
    <w:p>
      <w:pPr>
        <w:widowControl/>
        <w:spacing w:line="360" w:lineRule="auto"/>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1、结算：</w:t>
      </w:r>
    </w:p>
    <w:p>
      <w:pPr>
        <w:widowControl/>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1.1人工、机械单价按《台州湾新区2022年垃圾处置清理及环境整治工程人工、零星机械单价表》，结合投标承诺费率执行（</w:t>
      </w:r>
      <w:r>
        <w:rPr>
          <w:rFonts w:hint="eastAsia" w:ascii="宋体" w:hAnsi="宋体" w:cs="宋体"/>
          <w:b/>
          <w:bCs w:val="0"/>
          <w:color w:val="auto"/>
          <w:sz w:val="24"/>
          <w:szCs w:val="24"/>
          <w:highlight w:val="none"/>
          <w:lang w:eastAsia="zh-CN"/>
        </w:rPr>
        <w:t>最终结算单价</w:t>
      </w:r>
      <w:r>
        <w:rPr>
          <w:rFonts w:hint="eastAsia" w:ascii="宋体" w:hAnsi="宋体" w:cs="宋体"/>
          <w:b/>
          <w:bCs w:val="0"/>
          <w:color w:val="auto"/>
          <w:sz w:val="24"/>
          <w:szCs w:val="24"/>
          <w:highlight w:val="none"/>
          <w:lang w:val="en-US" w:eastAsia="zh-CN"/>
        </w:rPr>
        <w:t>=</w:t>
      </w:r>
      <w:r>
        <w:rPr>
          <w:rFonts w:hint="eastAsia" w:ascii="宋体" w:hAnsi="宋体" w:cs="宋体"/>
          <w:b/>
          <w:bCs w:val="0"/>
          <w:color w:val="auto"/>
          <w:sz w:val="24"/>
          <w:szCs w:val="24"/>
          <w:highlight w:val="none"/>
          <w:lang w:eastAsia="zh-CN"/>
        </w:rPr>
        <w:t>综合单价</w:t>
      </w:r>
      <w:r>
        <w:rPr>
          <w:rFonts w:hint="eastAsia" w:ascii="宋体" w:hAnsi="宋体" w:eastAsia="宋体" w:cs="宋体"/>
          <w:b/>
          <w:bCs w:val="0"/>
          <w:color w:val="auto"/>
          <w:sz w:val="24"/>
          <w:szCs w:val="24"/>
          <w:highlight w:val="none"/>
        </w:rPr>
        <w:t>×</w:t>
      </w:r>
      <w:r>
        <w:rPr>
          <w:rFonts w:hint="eastAsia" w:ascii="宋体" w:hAnsi="宋体" w:cs="宋体"/>
          <w:b/>
          <w:bCs w:val="0"/>
          <w:color w:val="auto"/>
          <w:sz w:val="24"/>
          <w:szCs w:val="24"/>
          <w:highlight w:val="none"/>
          <w:lang w:eastAsia="zh-CN"/>
        </w:rPr>
        <w:t>中标费率</w:t>
      </w:r>
      <w:r>
        <w:rPr>
          <w:rFonts w:hint="eastAsia" w:ascii="宋体" w:hAnsi="宋体" w:eastAsia="宋体" w:cs="宋体"/>
          <w:b w:val="0"/>
          <w:bCs/>
          <w:color w:val="auto"/>
          <w:sz w:val="24"/>
          <w:szCs w:val="24"/>
          <w:highlight w:val="none"/>
          <w:lang w:val="en-US" w:eastAsia="zh-CN"/>
        </w:rPr>
        <w:t>），工程量按实结算，结算时以联系单为准；</w:t>
      </w:r>
    </w:p>
    <w:p>
      <w:pPr>
        <w:widowControl/>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1.2垃圾处置费按246元/吨结算，垃圾处置量按实结算，结算时以联系单为准。</w:t>
      </w:r>
    </w:p>
    <w:p>
      <w:pPr>
        <w:widowControl/>
        <w:spacing w:line="360" w:lineRule="auto"/>
        <w:jc w:val="left"/>
        <w:rPr>
          <w:rFonts w:hint="eastAsia" w:ascii="宋体" w:hAnsi="宋体" w:eastAsia="宋体" w:cs="宋体"/>
          <w:b/>
          <w:bCs w:val="0"/>
          <w:color w:val="auto"/>
          <w:sz w:val="24"/>
          <w:szCs w:val="24"/>
          <w:highlight w:val="none"/>
          <w:lang w:eastAsia="zh-CN"/>
        </w:rPr>
      </w:pPr>
      <w:r>
        <w:rPr>
          <w:rFonts w:hint="eastAsia" w:ascii="宋体" w:hAnsi="宋体" w:cs="宋体"/>
          <w:b w:val="0"/>
          <w:bCs/>
          <w:color w:val="auto"/>
          <w:sz w:val="24"/>
          <w:szCs w:val="24"/>
          <w:highlight w:val="none"/>
          <w:lang w:val="en-US" w:eastAsia="zh-CN"/>
        </w:rPr>
        <w:t>2、</w:t>
      </w:r>
      <w:r>
        <w:rPr>
          <w:rFonts w:hint="eastAsia" w:ascii="宋体" w:hAnsi="宋体" w:cs="宋体"/>
          <w:b w:val="0"/>
          <w:bCs/>
          <w:color w:val="auto"/>
          <w:sz w:val="24"/>
          <w:szCs w:val="24"/>
          <w:highlight w:val="none"/>
          <w:lang w:eastAsia="zh-CN"/>
        </w:rPr>
        <w:t>支付方式：</w:t>
      </w:r>
      <w:r>
        <w:rPr>
          <w:rFonts w:hint="eastAsia" w:ascii="宋体" w:hAnsi="宋体" w:eastAsia="宋体" w:cs="宋体"/>
          <w:b/>
          <w:bCs w:val="0"/>
          <w:color w:val="auto"/>
          <w:sz w:val="24"/>
          <w:szCs w:val="24"/>
          <w:highlight w:val="none"/>
          <w:lang w:eastAsia="zh-CN"/>
        </w:rPr>
        <w:t>垃圾清运费用一个季度结算一次</w:t>
      </w:r>
    </w:p>
    <w:p>
      <w:pPr>
        <w:widowControl/>
        <w:spacing w:line="360" w:lineRule="auto"/>
        <w:jc w:val="left"/>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eastAsia="zh-CN"/>
        </w:rPr>
        <w:t>合同形式：采用综合单价合同，合同期限内不因国家定额、取费、材料、人工机械价格等政策调整以及市场价格波动等因素而调整。</w:t>
      </w:r>
    </w:p>
    <w:p>
      <w:pPr>
        <w:snapToGrid w:val="0"/>
        <w:spacing w:beforeLines="50" w:afterLines="50" w:line="360" w:lineRule="auto"/>
        <w:rPr>
          <w:rFonts w:ascii="宋体"/>
          <w:b/>
          <w:color w:val="auto"/>
          <w:sz w:val="24"/>
          <w:highlight w:val="none"/>
        </w:rPr>
      </w:pPr>
      <w:r>
        <w:rPr>
          <w:rFonts w:hint="eastAsia" w:ascii="宋体"/>
          <w:b/>
          <w:color w:val="auto"/>
          <w:sz w:val="24"/>
          <w:highlight w:val="none"/>
        </w:rPr>
        <w:t>十二、税费</w:t>
      </w:r>
    </w:p>
    <w:p>
      <w:pPr>
        <w:snapToGrid w:val="0"/>
        <w:spacing w:beforeLines="50" w:afterLines="50" w:line="360" w:lineRule="auto"/>
        <w:rPr>
          <w:rFonts w:ascii="宋体"/>
          <w:color w:val="auto"/>
          <w:sz w:val="24"/>
          <w:highlight w:val="none"/>
        </w:rPr>
      </w:pPr>
      <w:r>
        <w:rPr>
          <w:rFonts w:hint="eastAsia" w:ascii="宋体"/>
          <w:color w:val="auto"/>
          <w:sz w:val="24"/>
          <w:highlight w:val="none"/>
        </w:rPr>
        <w:t>本合同执行中相关的一切税费均由乙方负担。</w:t>
      </w:r>
    </w:p>
    <w:p>
      <w:pPr>
        <w:pStyle w:val="24"/>
        <w:snapToGrid w:val="0"/>
        <w:spacing w:before="120" w:after="120" w:line="360" w:lineRule="auto"/>
        <w:ind w:left="412" w:hanging="412" w:hangingChars="171"/>
        <w:rPr>
          <w:color w:val="auto"/>
          <w:sz w:val="24"/>
          <w:highlight w:val="none"/>
        </w:rPr>
      </w:pPr>
      <w:r>
        <w:rPr>
          <w:rFonts w:hint="eastAsia"/>
          <w:b/>
          <w:color w:val="auto"/>
          <w:sz w:val="24"/>
          <w:highlight w:val="none"/>
        </w:rPr>
        <w:t>十三、质量保证及售后服务</w:t>
      </w:r>
    </w:p>
    <w:p>
      <w:pPr>
        <w:spacing w:before="120" w:after="120" w:line="312" w:lineRule="auto"/>
        <w:rPr>
          <w:rFonts w:ascii="宋体" w:hAnsi="宋体" w:cs="宋体"/>
          <w:bCs/>
          <w:color w:val="auto"/>
          <w:sz w:val="24"/>
          <w:highlight w:val="none"/>
        </w:rPr>
      </w:pPr>
      <w:r>
        <w:rPr>
          <w:rFonts w:hint="eastAsia" w:ascii="宋体" w:hAnsi="宋体" w:cs="宋体"/>
          <w:bCs/>
          <w:color w:val="auto"/>
          <w:sz w:val="24"/>
          <w:highlight w:val="none"/>
        </w:rPr>
        <w:t>1. 乙方应按招标文件规定向甲方提供服务。</w:t>
      </w:r>
    </w:p>
    <w:p>
      <w:pPr>
        <w:spacing w:before="120" w:after="120" w:line="312" w:lineRule="auto"/>
        <w:rPr>
          <w:rFonts w:ascii="宋体" w:hAnsi="宋体" w:cs="宋体"/>
          <w:bCs/>
          <w:color w:val="auto"/>
          <w:sz w:val="24"/>
          <w:highlight w:val="none"/>
        </w:rPr>
      </w:pPr>
      <w:r>
        <w:rPr>
          <w:rFonts w:hint="eastAsia" w:ascii="宋体" w:hAnsi="宋体" w:cs="宋体"/>
          <w:bCs/>
          <w:color w:val="auto"/>
          <w:sz w:val="24"/>
          <w:highlight w:val="none"/>
        </w:rPr>
        <w:t xml:space="preserve">  2. 乙方提供的服务成果在服务质量保证期内发生故障，乙方应负责免费提供后续服务。对达不到要求者，根据实际情况，经双方协商，可按以下办法处理：</w:t>
      </w:r>
    </w:p>
    <w:p>
      <w:pPr>
        <w:spacing w:before="120" w:after="120" w:line="312" w:lineRule="auto"/>
        <w:ind w:left="71"/>
        <w:rPr>
          <w:rFonts w:ascii="宋体" w:hAnsi="宋体" w:cs="宋体"/>
          <w:color w:val="auto"/>
          <w:sz w:val="24"/>
          <w:highlight w:val="none"/>
        </w:rPr>
      </w:pPr>
      <w:r>
        <w:rPr>
          <w:rFonts w:hint="eastAsia" w:ascii="宋体" w:hAnsi="宋体" w:cs="宋体"/>
          <w:color w:val="auto"/>
          <w:sz w:val="24"/>
          <w:highlight w:val="none"/>
        </w:rPr>
        <w:t xml:space="preserve">  ⑴重做：由乙方承担所发生的全部费用。</w:t>
      </w:r>
    </w:p>
    <w:p>
      <w:pPr>
        <w:spacing w:before="120" w:after="120" w:line="312" w:lineRule="auto"/>
        <w:ind w:left="71"/>
        <w:rPr>
          <w:rFonts w:ascii="宋体" w:hAnsi="宋体" w:cs="宋体"/>
          <w:color w:val="auto"/>
          <w:sz w:val="24"/>
          <w:highlight w:val="none"/>
        </w:rPr>
      </w:pPr>
      <w:r>
        <w:rPr>
          <w:rFonts w:hint="eastAsia" w:ascii="宋体" w:hAnsi="宋体" w:cs="宋体"/>
          <w:color w:val="auto"/>
          <w:sz w:val="24"/>
          <w:highlight w:val="none"/>
        </w:rPr>
        <w:t xml:space="preserve">  ⑵贬值处理：由甲乙双方合议定价。</w:t>
      </w:r>
    </w:p>
    <w:p>
      <w:pPr>
        <w:spacing w:before="120" w:after="120" w:line="312" w:lineRule="auto"/>
        <w:ind w:left="71"/>
        <w:rPr>
          <w:rFonts w:ascii="宋体" w:hAnsi="宋体" w:cs="宋体"/>
          <w:color w:val="auto"/>
          <w:sz w:val="24"/>
          <w:highlight w:val="none"/>
        </w:rPr>
      </w:pPr>
      <w:r>
        <w:rPr>
          <w:rFonts w:hint="eastAsia" w:ascii="宋体" w:hAnsi="宋体" w:cs="宋体"/>
          <w:color w:val="auto"/>
          <w:sz w:val="24"/>
          <w:highlight w:val="none"/>
        </w:rPr>
        <w:t xml:space="preserve">  ⑶解除合同。</w:t>
      </w:r>
    </w:p>
    <w:p>
      <w:pPr>
        <w:spacing w:before="120" w:after="120" w:line="312" w:lineRule="auto"/>
        <w:ind w:left="71"/>
        <w:rPr>
          <w:rFonts w:ascii="宋体" w:hAnsi="宋体" w:cs="宋体"/>
          <w:color w:val="auto"/>
          <w:sz w:val="24"/>
          <w:highlight w:val="none"/>
        </w:rPr>
      </w:pPr>
      <w:r>
        <w:rPr>
          <w:rFonts w:hint="eastAsia" w:ascii="宋体" w:hAnsi="宋体" w:cs="宋体"/>
          <w:color w:val="auto"/>
          <w:sz w:val="24"/>
          <w:highlight w:val="none"/>
        </w:rPr>
        <w:t xml:space="preserve">  3.如在使用过程中发生问题，乙方在接到甲方通知后在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小时内到达甲方现场。</w:t>
      </w:r>
    </w:p>
    <w:p>
      <w:pPr>
        <w:spacing w:before="120" w:after="120" w:line="312" w:lineRule="auto"/>
        <w:ind w:left="71"/>
        <w:rPr>
          <w:rFonts w:ascii="宋体" w:hAnsi="宋体" w:cs="宋体"/>
          <w:color w:val="auto"/>
          <w:sz w:val="24"/>
          <w:highlight w:val="none"/>
        </w:rPr>
      </w:pPr>
      <w:r>
        <w:rPr>
          <w:rFonts w:hint="eastAsia" w:ascii="宋体" w:hAnsi="宋体" w:cs="宋体"/>
          <w:color w:val="auto"/>
          <w:sz w:val="24"/>
          <w:highlight w:val="none"/>
        </w:rPr>
        <w:t xml:space="preserve">  4.在服务期内，乙方应对出现的质量及安全问题负责处理解决并承担一切费用。</w:t>
      </w:r>
    </w:p>
    <w:p>
      <w:pPr>
        <w:pStyle w:val="24"/>
        <w:snapToGrid w:val="0"/>
        <w:spacing w:before="120" w:after="120" w:line="360" w:lineRule="auto"/>
        <w:rPr>
          <w:b/>
          <w:color w:val="auto"/>
          <w:sz w:val="24"/>
          <w:highlight w:val="none"/>
        </w:rPr>
      </w:pPr>
      <w:r>
        <w:rPr>
          <w:rFonts w:hint="eastAsia"/>
          <w:b/>
          <w:color w:val="auto"/>
          <w:sz w:val="24"/>
          <w:highlight w:val="none"/>
        </w:rPr>
        <w:t>十四、违约责任</w:t>
      </w:r>
    </w:p>
    <w:p>
      <w:pPr>
        <w:pStyle w:val="24"/>
        <w:snapToGrid w:val="0"/>
        <w:spacing w:before="120" w:after="120" w:line="360" w:lineRule="auto"/>
        <w:ind w:left="410" w:hanging="410" w:hangingChars="171"/>
        <w:rPr>
          <w:rFonts w:hint="eastAsia"/>
          <w:color w:val="auto"/>
          <w:sz w:val="24"/>
          <w:highlight w:val="none"/>
        </w:rPr>
      </w:pPr>
      <w:r>
        <w:rPr>
          <w:rFonts w:hint="eastAsia"/>
          <w:color w:val="auto"/>
          <w:sz w:val="24"/>
          <w:highlight w:val="none"/>
        </w:rPr>
        <w:t xml:space="preserve"> 1.承包人不能及时根据发包人要求按时提供人员、设备或未按发包人规定的时间完成的，发生一次扣罚 5000 元。超过三次以上，终止合同并没收履约保证金。</w:t>
      </w:r>
    </w:p>
    <w:p>
      <w:pPr>
        <w:pStyle w:val="24"/>
        <w:snapToGrid w:val="0"/>
        <w:spacing w:before="120" w:after="120" w:line="360" w:lineRule="auto"/>
        <w:ind w:left="410" w:hanging="410" w:hangingChars="171"/>
        <w:rPr>
          <w:rFonts w:hint="eastAsia"/>
          <w:color w:val="auto"/>
          <w:sz w:val="24"/>
          <w:highlight w:val="none"/>
        </w:rPr>
      </w:pPr>
      <w:r>
        <w:rPr>
          <w:rFonts w:hint="eastAsia"/>
          <w:color w:val="auto"/>
          <w:sz w:val="24"/>
          <w:highlight w:val="none"/>
          <w:lang w:val="en-US" w:eastAsia="zh-CN"/>
        </w:rPr>
        <w:t>2.</w:t>
      </w:r>
      <w:r>
        <w:rPr>
          <w:rFonts w:hint="eastAsia"/>
          <w:color w:val="auto"/>
          <w:sz w:val="24"/>
          <w:highlight w:val="none"/>
        </w:rPr>
        <w:t>因乙方原因造成垃圾未及时清理给甲方带来损失的，甲方有权要求乙方赔偿，乙方应向甲方支付合同总值5%的违约金。如乙方延迟清理经甲方催告后仍未清理的，或乙方清理不当无法达到甲方要求，或乙方与第三方存在纠纷影响清理进程的，甲方均有权解除合同。</w:t>
      </w:r>
    </w:p>
    <w:p>
      <w:pPr>
        <w:pStyle w:val="24"/>
        <w:snapToGrid w:val="0"/>
        <w:spacing w:before="120" w:after="120" w:line="360" w:lineRule="auto"/>
        <w:ind w:left="410" w:hanging="410" w:hangingChars="171"/>
        <w:rPr>
          <w:rFonts w:hint="eastAsia"/>
          <w:color w:val="auto"/>
          <w:sz w:val="24"/>
          <w:highlight w:val="none"/>
        </w:rPr>
      </w:pPr>
      <w:r>
        <w:rPr>
          <w:rFonts w:hint="eastAsia"/>
          <w:color w:val="auto"/>
          <w:sz w:val="24"/>
          <w:highlight w:val="none"/>
          <w:lang w:val="en-US" w:eastAsia="zh-CN"/>
        </w:rPr>
        <w:t>3</w:t>
      </w:r>
      <w:r>
        <w:rPr>
          <w:rFonts w:hint="eastAsia"/>
          <w:color w:val="auto"/>
          <w:sz w:val="24"/>
          <w:highlight w:val="none"/>
        </w:rPr>
        <w:t>.在本合同生效期间乙方不得擅自增加费用，否则应当承担违约责任，擅自增加的费用由乙方自行承担。</w:t>
      </w:r>
    </w:p>
    <w:p>
      <w:pPr>
        <w:pStyle w:val="24"/>
        <w:snapToGrid w:val="0"/>
        <w:spacing w:before="120" w:after="120" w:line="360" w:lineRule="auto"/>
        <w:ind w:left="410" w:hanging="410" w:hangingChars="171"/>
        <w:rPr>
          <w:color w:val="auto"/>
          <w:sz w:val="24"/>
          <w:highlight w:val="none"/>
        </w:rPr>
      </w:pPr>
      <w:r>
        <w:rPr>
          <w:rFonts w:hint="eastAsia"/>
          <w:color w:val="auto"/>
          <w:sz w:val="24"/>
          <w:highlight w:val="none"/>
          <w:lang w:val="en-US" w:eastAsia="zh-CN"/>
        </w:rPr>
        <w:t>4</w:t>
      </w:r>
      <w:r>
        <w:rPr>
          <w:rFonts w:hint="eastAsia"/>
          <w:color w:val="auto"/>
          <w:sz w:val="24"/>
          <w:highlight w:val="none"/>
        </w:rPr>
        <w:t>．甲方无正当理由拒收接受服务的，甲方向乙方偿付合同款项百分之五作为违约金。</w:t>
      </w:r>
    </w:p>
    <w:p>
      <w:pPr>
        <w:pStyle w:val="24"/>
        <w:snapToGrid w:val="0"/>
        <w:spacing w:before="120" w:after="120" w:line="360" w:lineRule="auto"/>
        <w:ind w:left="410" w:hanging="410" w:hangingChars="171"/>
        <w:rPr>
          <w:color w:val="auto"/>
          <w:sz w:val="24"/>
          <w:highlight w:val="none"/>
        </w:rPr>
      </w:pPr>
      <w:r>
        <w:rPr>
          <w:rFonts w:hint="eastAsia"/>
          <w:color w:val="auto"/>
          <w:sz w:val="24"/>
          <w:highlight w:val="none"/>
        </w:rPr>
        <w:t xml:space="preserve"> </w:t>
      </w:r>
      <w:r>
        <w:rPr>
          <w:rFonts w:hint="eastAsia"/>
          <w:color w:val="auto"/>
          <w:sz w:val="24"/>
          <w:highlight w:val="none"/>
          <w:lang w:val="en-US" w:eastAsia="zh-CN"/>
        </w:rPr>
        <w:t>5</w:t>
      </w:r>
      <w:r>
        <w:rPr>
          <w:rFonts w:hint="eastAsia"/>
          <w:color w:val="auto"/>
          <w:sz w:val="24"/>
          <w:highlight w:val="none"/>
        </w:rPr>
        <w:t>．甲方无故逾期验收和办理款项支付手续的,甲方应按逾期付款总额每日万分之五向乙方支付违约金。</w:t>
      </w:r>
    </w:p>
    <w:p>
      <w:pPr>
        <w:pStyle w:val="24"/>
        <w:snapToGrid w:val="0"/>
        <w:spacing w:before="120" w:after="120" w:line="360" w:lineRule="auto"/>
        <w:ind w:left="410" w:hanging="410" w:hangingChars="171"/>
        <w:rPr>
          <w:color w:val="auto"/>
          <w:sz w:val="24"/>
          <w:highlight w:val="none"/>
        </w:rPr>
      </w:pPr>
      <w:r>
        <w:rPr>
          <w:rFonts w:hint="eastAsia"/>
          <w:color w:val="auto"/>
          <w:sz w:val="24"/>
          <w:highlight w:val="none"/>
        </w:rPr>
        <w:t xml:space="preserve"> </w:t>
      </w:r>
      <w:r>
        <w:rPr>
          <w:rFonts w:hint="eastAsia"/>
          <w:color w:val="auto"/>
          <w:sz w:val="24"/>
          <w:highlight w:val="none"/>
          <w:lang w:val="en-US" w:eastAsia="zh-CN"/>
        </w:rPr>
        <w:t>6</w:t>
      </w:r>
      <w:r>
        <w:rPr>
          <w:rFonts w:hint="eastAsia"/>
          <w:color w:val="auto"/>
          <w:sz w:val="24"/>
          <w:highlight w:val="none"/>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pStyle w:val="24"/>
        <w:snapToGrid w:val="0"/>
        <w:spacing w:before="120" w:after="120" w:line="360" w:lineRule="auto"/>
        <w:ind w:left="410" w:hanging="410" w:hangingChars="171"/>
        <w:rPr>
          <w:color w:val="auto"/>
          <w:sz w:val="24"/>
          <w:highlight w:val="none"/>
        </w:rPr>
      </w:pPr>
      <w:r>
        <w:rPr>
          <w:rFonts w:hint="eastAsia"/>
          <w:color w:val="auto"/>
          <w:sz w:val="24"/>
          <w:highlight w:val="none"/>
          <w:lang w:val="en-US" w:eastAsia="zh-CN"/>
        </w:rPr>
        <w:t>7</w:t>
      </w:r>
      <w:r>
        <w:rPr>
          <w:rFonts w:hint="eastAsia"/>
          <w:color w:val="auto"/>
          <w:sz w:val="24"/>
          <w:highlight w:val="none"/>
        </w:rPr>
        <w:t>.若发生纠纷，由违约方赔偿守约方因纠纷所支付的费用（包括但不限于律师费、差旅费、诉讼费、保全费、鉴定费、评估费等）</w:t>
      </w:r>
    </w:p>
    <w:p>
      <w:pPr>
        <w:pStyle w:val="24"/>
        <w:snapToGrid w:val="0"/>
        <w:spacing w:before="120" w:after="120" w:line="360" w:lineRule="auto"/>
        <w:rPr>
          <w:b/>
          <w:color w:val="auto"/>
          <w:sz w:val="24"/>
          <w:highlight w:val="none"/>
        </w:rPr>
      </w:pPr>
      <w:r>
        <w:rPr>
          <w:rFonts w:hint="eastAsia"/>
          <w:b/>
          <w:color w:val="auto"/>
          <w:sz w:val="24"/>
          <w:highlight w:val="none"/>
        </w:rPr>
        <w:t>十五、不可抗力事件处理</w:t>
      </w:r>
    </w:p>
    <w:p>
      <w:pPr>
        <w:pStyle w:val="24"/>
        <w:snapToGrid w:val="0"/>
        <w:spacing w:before="120" w:after="120" w:line="360" w:lineRule="auto"/>
        <w:rPr>
          <w:color w:val="auto"/>
          <w:sz w:val="24"/>
          <w:highlight w:val="none"/>
        </w:rPr>
      </w:pPr>
      <w:r>
        <w:rPr>
          <w:rFonts w:hint="eastAsia"/>
          <w:color w:val="auto"/>
          <w:sz w:val="24"/>
          <w:highlight w:val="none"/>
        </w:rPr>
        <w:t>1. 在合同有效期内，任何一方因不可抗力事件导致不能履行合同，则合同履行</w:t>
      </w:r>
    </w:p>
    <w:p>
      <w:pPr>
        <w:pStyle w:val="24"/>
        <w:snapToGrid w:val="0"/>
        <w:spacing w:before="120" w:after="120" w:line="360" w:lineRule="auto"/>
        <w:ind w:firstLine="360" w:firstLineChars="150"/>
        <w:rPr>
          <w:color w:val="auto"/>
          <w:sz w:val="24"/>
          <w:highlight w:val="none"/>
        </w:rPr>
      </w:pPr>
      <w:r>
        <w:rPr>
          <w:rFonts w:hint="eastAsia"/>
          <w:color w:val="auto"/>
          <w:sz w:val="24"/>
          <w:highlight w:val="none"/>
        </w:rPr>
        <w:t>期可延长，其延长期与不可抗力影响期相同。</w:t>
      </w:r>
    </w:p>
    <w:p>
      <w:pPr>
        <w:pStyle w:val="24"/>
        <w:snapToGrid w:val="0"/>
        <w:spacing w:before="120" w:after="120" w:line="360" w:lineRule="auto"/>
        <w:rPr>
          <w:color w:val="auto"/>
          <w:sz w:val="24"/>
          <w:highlight w:val="none"/>
        </w:rPr>
      </w:pPr>
      <w:r>
        <w:rPr>
          <w:rFonts w:hint="eastAsia"/>
          <w:color w:val="auto"/>
          <w:sz w:val="24"/>
          <w:highlight w:val="none"/>
        </w:rPr>
        <w:t>2. 不可抗力事件发生后，应立即通知对方，并寄送有关权威机构出具的证明。</w:t>
      </w:r>
    </w:p>
    <w:p>
      <w:pPr>
        <w:pStyle w:val="24"/>
        <w:snapToGrid w:val="0"/>
        <w:spacing w:before="120" w:after="120" w:line="360" w:lineRule="auto"/>
        <w:rPr>
          <w:color w:val="auto"/>
          <w:sz w:val="24"/>
          <w:highlight w:val="none"/>
        </w:rPr>
      </w:pPr>
      <w:r>
        <w:rPr>
          <w:rFonts w:hint="eastAsia"/>
          <w:color w:val="auto"/>
          <w:sz w:val="24"/>
          <w:highlight w:val="none"/>
        </w:rPr>
        <w:t>3. 不可抗力事件延续120天以上，双方应通过友好协商，确定是否继续履行合</w:t>
      </w:r>
    </w:p>
    <w:p>
      <w:pPr>
        <w:pStyle w:val="24"/>
        <w:snapToGrid w:val="0"/>
        <w:spacing w:before="120" w:after="120" w:line="360" w:lineRule="auto"/>
        <w:ind w:firstLine="360" w:firstLineChars="150"/>
        <w:rPr>
          <w:color w:val="auto"/>
          <w:sz w:val="24"/>
          <w:highlight w:val="none"/>
        </w:rPr>
      </w:pPr>
      <w:r>
        <w:rPr>
          <w:rFonts w:hint="eastAsia"/>
          <w:color w:val="auto"/>
          <w:sz w:val="24"/>
          <w:highlight w:val="none"/>
        </w:rPr>
        <w:t>同。</w:t>
      </w:r>
    </w:p>
    <w:p>
      <w:pPr>
        <w:pStyle w:val="24"/>
        <w:snapToGrid w:val="0"/>
        <w:spacing w:before="120" w:after="120" w:line="360" w:lineRule="auto"/>
        <w:rPr>
          <w:b/>
          <w:color w:val="auto"/>
          <w:sz w:val="24"/>
          <w:highlight w:val="none"/>
        </w:rPr>
      </w:pPr>
      <w:r>
        <w:rPr>
          <w:rFonts w:hint="eastAsia"/>
          <w:b/>
          <w:color w:val="auto"/>
          <w:sz w:val="24"/>
          <w:highlight w:val="none"/>
        </w:rPr>
        <w:t>十六、解决争议的方法</w:t>
      </w:r>
    </w:p>
    <w:p>
      <w:pPr>
        <w:pStyle w:val="24"/>
        <w:tabs>
          <w:tab w:val="left" w:pos="5790"/>
        </w:tabs>
        <w:snapToGrid w:val="0"/>
        <w:spacing w:before="120" w:after="120" w:line="360" w:lineRule="auto"/>
        <w:ind w:firstLine="480" w:firstLineChars="200"/>
        <w:rPr>
          <w:rFonts w:hint="eastAsia" w:ascii="宋体" w:cs="宋体"/>
          <w:color w:val="auto"/>
          <w:kern w:val="0"/>
          <w:sz w:val="24"/>
          <w:highlight w:val="none"/>
        </w:rPr>
      </w:pPr>
      <w:r>
        <w:rPr>
          <w:rFonts w:hint="eastAsia" w:ascii="宋体" w:cs="宋体"/>
          <w:color w:val="auto"/>
          <w:kern w:val="0"/>
          <w:sz w:val="24"/>
          <w:highlight w:val="none"/>
        </w:rPr>
        <w:t>因执行本合同发生争议，由甲、乙双方友好协商解决；协商不成的，可向甲方所在地人民法院提起诉讼</w:t>
      </w:r>
    </w:p>
    <w:p>
      <w:pPr>
        <w:pStyle w:val="24"/>
        <w:tabs>
          <w:tab w:val="left" w:pos="5790"/>
        </w:tabs>
        <w:snapToGrid w:val="0"/>
        <w:spacing w:before="120" w:after="120" w:line="360" w:lineRule="auto"/>
        <w:rPr>
          <w:b/>
          <w:color w:val="auto"/>
          <w:sz w:val="24"/>
          <w:highlight w:val="none"/>
        </w:rPr>
      </w:pPr>
      <w:r>
        <w:rPr>
          <w:rFonts w:hint="eastAsia"/>
          <w:b/>
          <w:color w:val="auto"/>
          <w:sz w:val="24"/>
          <w:highlight w:val="none"/>
        </w:rPr>
        <w:t>十七、合同生效及其它</w:t>
      </w:r>
      <w:r>
        <w:rPr>
          <w:rFonts w:hint="eastAsia"/>
          <w:b/>
          <w:color w:val="auto"/>
          <w:sz w:val="24"/>
          <w:highlight w:val="none"/>
        </w:rPr>
        <w:tab/>
      </w:r>
    </w:p>
    <w:p>
      <w:pPr>
        <w:pStyle w:val="17"/>
        <w:widowControl/>
        <w:spacing w:line="360" w:lineRule="auto"/>
        <w:ind w:right="-88"/>
        <w:rPr>
          <w:rFonts w:ascii="宋体"/>
          <w:color w:val="auto"/>
          <w:highlight w:val="none"/>
        </w:rPr>
      </w:pPr>
      <w:r>
        <w:rPr>
          <w:rFonts w:hint="eastAsia" w:ascii="宋体"/>
          <w:color w:val="auto"/>
          <w:highlight w:val="none"/>
        </w:rPr>
        <w:t>1. 合同经双方法定代表人或授权代表签字并加盖单位公章后生效。</w:t>
      </w:r>
    </w:p>
    <w:p>
      <w:pPr>
        <w:pStyle w:val="17"/>
        <w:widowControl/>
        <w:spacing w:line="360" w:lineRule="auto"/>
        <w:ind w:right="-88"/>
        <w:rPr>
          <w:rFonts w:ascii="宋体"/>
          <w:color w:val="auto"/>
          <w:highlight w:val="none"/>
        </w:rPr>
      </w:pPr>
      <w:r>
        <w:rPr>
          <w:rFonts w:hint="eastAsia" w:ascii="宋体"/>
          <w:color w:val="auto"/>
          <w:highlight w:val="none"/>
        </w:rPr>
        <w:t>2. 本合同未尽事宜，遵照《</w:t>
      </w:r>
      <w:r>
        <w:rPr>
          <w:rFonts w:hint="eastAsia" w:ascii="宋体"/>
          <w:color w:val="auto"/>
          <w:highlight w:val="none"/>
          <w:lang w:eastAsia="zh-CN"/>
        </w:rPr>
        <w:t>民法典</w:t>
      </w:r>
      <w:r>
        <w:rPr>
          <w:rFonts w:hint="eastAsia" w:ascii="宋体"/>
          <w:color w:val="auto"/>
          <w:highlight w:val="none"/>
        </w:rPr>
        <w:t>》有关条文执行。</w:t>
      </w:r>
    </w:p>
    <w:p>
      <w:pPr>
        <w:pStyle w:val="17"/>
        <w:widowControl/>
        <w:spacing w:line="360" w:lineRule="auto"/>
        <w:ind w:right="-88"/>
        <w:rPr>
          <w:rFonts w:ascii="宋体"/>
          <w:color w:val="auto"/>
          <w:highlight w:val="none"/>
        </w:rPr>
      </w:pPr>
      <w:r>
        <w:rPr>
          <w:rFonts w:hint="eastAsia" w:ascii="宋体"/>
          <w:color w:val="auto"/>
          <w:highlight w:val="none"/>
        </w:rPr>
        <w:t>3. 本合同一式四份。甲、乙双方各执</w:t>
      </w:r>
      <w:r>
        <w:rPr>
          <w:rFonts w:hint="eastAsia" w:ascii="宋体"/>
          <w:color w:val="auto"/>
          <w:highlight w:val="none"/>
          <w:lang w:eastAsia="zh-CN"/>
        </w:rPr>
        <w:t>两</w:t>
      </w:r>
      <w:r>
        <w:rPr>
          <w:rFonts w:hint="eastAsia" w:ascii="宋体"/>
          <w:color w:val="auto"/>
          <w:highlight w:val="none"/>
        </w:rPr>
        <w:t>份。本项目未尽事宜以招标文件、投标文件及澄清文件等为准。</w:t>
      </w:r>
    </w:p>
    <w:p>
      <w:pPr>
        <w:widowControl/>
        <w:spacing w:line="360" w:lineRule="auto"/>
        <w:rPr>
          <w:rFonts w:ascii="宋体"/>
          <w:b/>
          <w:color w:val="auto"/>
          <w:sz w:val="24"/>
          <w:highlight w:val="none"/>
        </w:rPr>
      </w:pPr>
    </w:p>
    <w:p>
      <w:pPr>
        <w:widowControl/>
        <w:spacing w:line="360" w:lineRule="auto"/>
        <w:rPr>
          <w:rFonts w:ascii="宋体"/>
          <w:b/>
          <w:color w:val="auto"/>
          <w:sz w:val="24"/>
          <w:highlight w:val="none"/>
        </w:rPr>
      </w:pPr>
    </w:p>
    <w:p>
      <w:pPr>
        <w:spacing w:line="360" w:lineRule="auto"/>
        <w:rPr>
          <w:rFonts w:ascii="宋体"/>
          <w:color w:val="auto"/>
          <w:sz w:val="24"/>
          <w:highlight w:val="none"/>
        </w:rPr>
      </w:pPr>
      <w:r>
        <w:rPr>
          <w:rFonts w:hint="eastAsia" w:ascii="宋体"/>
          <w:color w:val="auto"/>
          <w:sz w:val="24"/>
          <w:highlight w:val="none"/>
        </w:rPr>
        <w:t>甲方（公章）                                     乙方（公章）</w:t>
      </w:r>
    </w:p>
    <w:p>
      <w:pPr>
        <w:spacing w:line="360" w:lineRule="auto"/>
        <w:rPr>
          <w:rFonts w:ascii="宋体"/>
          <w:color w:val="auto"/>
          <w:sz w:val="24"/>
          <w:highlight w:val="none"/>
        </w:rPr>
      </w:pPr>
      <w:r>
        <w:rPr>
          <w:rFonts w:hint="eastAsia" w:ascii="宋体"/>
          <w:color w:val="auto"/>
          <w:sz w:val="24"/>
          <w:highlight w:val="none"/>
        </w:rPr>
        <w:t>法定代表人：                                     法定代表人：</w:t>
      </w:r>
    </w:p>
    <w:p>
      <w:pPr>
        <w:spacing w:line="360" w:lineRule="auto"/>
        <w:rPr>
          <w:rFonts w:ascii="宋体"/>
          <w:color w:val="auto"/>
          <w:sz w:val="24"/>
          <w:highlight w:val="none"/>
        </w:rPr>
      </w:pPr>
      <w:r>
        <w:rPr>
          <w:rFonts w:hint="eastAsia" w:ascii="宋体"/>
          <w:color w:val="auto"/>
          <w:sz w:val="24"/>
          <w:highlight w:val="none"/>
        </w:rPr>
        <w:t>委托代理人：                                     委托代理人：</w:t>
      </w:r>
    </w:p>
    <w:p>
      <w:pPr>
        <w:spacing w:line="360" w:lineRule="auto"/>
        <w:rPr>
          <w:rFonts w:ascii="宋体"/>
          <w:color w:val="auto"/>
          <w:sz w:val="24"/>
          <w:highlight w:val="none"/>
        </w:rPr>
      </w:pPr>
      <w:r>
        <w:rPr>
          <w:rFonts w:hint="eastAsia" w:ascii="宋体"/>
          <w:color w:val="auto"/>
          <w:sz w:val="24"/>
          <w:highlight w:val="none"/>
        </w:rPr>
        <w:t>联系电话：                                       联系电话：</w:t>
      </w:r>
    </w:p>
    <w:p>
      <w:pPr>
        <w:spacing w:line="360" w:lineRule="auto"/>
        <w:rPr>
          <w:rFonts w:ascii="宋体"/>
          <w:color w:val="auto"/>
          <w:sz w:val="24"/>
          <w:highlight w:val="none"/>
        </w:rPr>
      </w:pPr>
      <w:r>
        <w:rPr>
          <w:rFonts w:hint="eastAsia" w:ascii="宋体"/>
          <w:color w:val="auto"/>
          <w:sz w:val="24"/>
          <w:highlight w:val="none"/>
        </w:rPr>
        <w:t>开户银行：                                       开户银行：</w:t>
      </w:r>
    </w:p>
    <w:p>
      <w:pPr>
        <w:spacing w:line="360" w:lineRule="auto"/>
        <w:rPr>
          <w:rFonts w:ascii="宋体"/>
          <w:color w:val="auto"/>
          <w:sz w:val="24"/>
          <w:highlight w:val="none"/>
        </w:rPr>
      </w:pPr>
      <w:r>
        <w:rPr>
          <w:rFonts w:hint="eastAsia" w:ascii="宋体"/>
          <w:color w:val="auto"/>
          <w:sz w:val="24"/>
          <w:highlight w:val="none"/>
        </w:rPr>
        <w:t>帐号：                                           帐号：</w:t>
      </w:r>
    </w:p>
    <w:p>
      <w:pPr>
        <w:spacing w:line="360" w:lineRule="auto"/>
        <w:rPr>
          <w:rFonts w:ascii="宋体"/>
          <w:color w:val="auto"/>
          <w:sz w:val="24"/>
          <w:highlight w:val="none"/>
        </w:rPr>
      </w:pPr>
      <w:r>
        <w:rPr>
          <w:rFonts w:hint="eastAsia" w:ascii="宋体"/>
          <w:color w:val="auto"/>
          <w:sz w:val="24"/>
          <w:highlight w:val="none"/>
        </w:rPr>
        <w:t>地址及邮编：                                     地址及邮编：</w:t>
      </w:r>
    </w:p>
    <w:p>
      <w:pPr>
        <w:spacing w:line="360" w:lineRule="auto"/>
        <w:rPr>
          <w:rFonts w:ascii="宋体"/>
          <w:color w:val="auto"/>
          <w:sz w:val="24"/>
          <w:highlight w:val="none"/>
        </w:rPr>
      </w:pPr>
    </w:p>
    <w:p>
      <w:pPr>
        <w:spacing w:line="360" w:lineRule="auto"/>
        <w:ind w:firstLine="4920" w:firstLineChars="2050"/>
        <w:rPr>
          <w:rFonts w:ascii="宋体"/>
          <w:color w:val="auto"/>
          <w:sz w:val="24"/>
          <w:highlight w:val="none"/>
        </w:rPr>
      </w:pPr>
      <w:r>
        <w:rPr>
          <w:rFonts w:hint="eastAsia" w:ascii="宋体"/>
          <w:color w:val="auto"/>
          <w:sz w:val="24"/>
          <w:highlight w:val="none"/>
        </w:rPr>
        <w:t>签订时间：    年   月    日</w:t>
      </w:r>
    </w:p>
    <w:p>
      <w:pPr>
        <w:spacing w:line="360" w:lineRule="auto"/>
        <w:ind w:firstLine="4920" w:firstLineChars="2050"/>
        <w:rPr>
          <w:rFonts w:ascii="宋体" w:hAnsi="宋体"/>
          <w:color w:val="auto"/>
          <w:sz w:val="24"/>
          <w:highlight w:val="none"/>
        </w:rPr>
      </w:pPr>
    </w:p>
    <w:p>
      <w:pPr>
        <w:spacing w:line="360" w:lineRule="auto"/>
        <w:rPr>
          <w:rFonts w:ascii="宋体" w:hAnsi="宋体" w:cs="宋体"/>
          <w:color w:val="auto"/>
          <w:sz w:val="24"/>
          <w:highlight w:val="none"/>
        </w:rPr>
      </w:pPr>
    </w:p>
    <w:p>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numPr>
          <w:ilvl w:val="0"/>
          <w:numId w:val="11"/>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投标文件格式附件</w:t>
      </w:r>
    </w:p>
    <w:p>
      <w:pPr>
        <w:rPr>
          <w:rFonts w:ascii="宋体" w:hAnsi="宋体" w:cs="宋体"/>
          <w:b/>
          <w:color w:val="auto"/>
          <w:sz w:val="30"/>
          <w:szCs w:val="30"/>
          <w:highlight w:val="none"/>
        </w:rPr>
      </w:pPr>
      <w:r>
        <w:rPr>
          <w:rFonts w:hint="eastAsia" w:ascii="宋体" w:hAnsi="宋体" w:cs="宋体"/>
          <w:b/>
          <w:color w:val="auto"/>
          <w:kern w:val="0"/>
          <w:sz w:val="28"/>
          <w:szCs w:val="28"/>
          <w:highlight w:val="none"/>
        </w:rPr>
        <w:t>附件1</w:t>
      </w:r>
      <w:r>
        <w:rPr>
          <w:rFonts w:hint="eastAsia" w:ascii="宋体" w:hAnsi="宋体" w:cs="宋体"/>
          <w:color w:val="auto"/>
          <w:sz w:val="30"/>
          <w:szCs w:val="30"/>
          <w:highlight w:val="none"/>
        </w:rPr>
        <w:t xml:space="preserve"> 　　　</w:t>
      </w:r>
    </w:p>
    <w:p>
      <w:pPr>
        <w:spacing w:beforeLines="100" w:line="360" w:lineRule="auto"/>
        <w:ind w:right="-108"/>
        <w:jc w:val="center"/>
        <w:rPr>
          <w:rFonts w:ascii="宋体" w:hAnsi="宋体" w:cs="宋体"/>
          <w:color w:val="auto"/>
          <w:spacing w:val="40"/>
          <w:sz w:val="48"/>
          <w:szCs w:val="48"/>
          <w:highlight w:val="none"/>
        </w:rPr>
      </w:pPr>
      <w:r>
        <w:rPr>
          <w:rFonts w:hint="eastAsia" w:ascii="宋体" w:hAnsi="宋体" w:cs="宋体"/>
          <w:color w:val="auto"/>
          <w:spacing w:val="40"/>
          <w:sz w:val="48"/>
          <w:szCs w:val="48"/>
          <w:highlight w:val="none"/>
        </w:rPr>
        <w:t>项目名称</w:t>
      </w:r>
    </w:p>
    <w:p>
      <w:pPr>
        <w:spacing w:beforeLines="100" w:line="360" w:lineRule="auto"/>
        <w:ind w:right="-108"/>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
          <w:color w:val="auto"/>
          <w:spacing w:val="40"/>
          <w:sz w:val="28"/>
          <w:szCs w:val="28"/>
          <w:highlight w:val="none"/>
        </w:rPr>
        <w:t>资格证明文件）</w:t>
      </w:r>
    </w:p>
    <w:p>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投标人全称（公章或CA签章）：</w:t>
      </w:r>
    </w:p>
    <w:p>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地    址：</w:t>
      </w:r>
    </w:p>
    <w:p>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时    间：</w:t>
      </w:r>
    </w:p>
    <w:p>
      <w:pPr>
        <w:snapToGrid w:val="0"/>
        <w:spacing w:before="50" w:after="50" w:line="360" w:lineRule="auto"/>
        <w:rPr>
          <w:rFonts w:ascii="宋体" w:hAnsi="宋体" w:cs="宋体"/>
          <w:b/>
          <w:color w:val="auto"/>
          <w:sz w:val="36"/>
          <w:szCs w:val="36"/>
          <w:highlight w:val="none"/>
        </w:rPr>
      </w:pPr>
    </w:p>
    <w:p>
      <w:pPr>
        <w:snapToGrid w:val="0"/>
        <w:spacing w:before="50" w:after="50" w:line="360" w:lineRule="auto"/>
        <w:rPr>
          <w:rFonts w:ascii="宋体" w:hAnsi="宋体" w:cs="宋体"/>
          <w:b/>
          <w:color w:val="auto"/>
          <w:sz w:val="36"/>
          <w:szCs w:val="36"/>
          <w:highlight w:val="none"/>
        </w:rPr>
      </w:pPr>
    </w:p>
    <w:p>
      <w:pPr>
        <w:snapToGrid w:val="0"/>
        <w:spacing w:before="50" w:after="50" w:line="360" w:lineRule="auto"/>
        <w:rPr>
          <w:rFonts w:ascii="宋体" w:hAnsi="宋体" w:cs="宋体"/>
          <w:b/>
          <w:color w:val="auto"/>
          <w:sz w:val="36"/>
          <w:szCs w:val="36"/>
          <w:highlight w:val="none"/>
        </w:rPr>
      </w:pPr>
    </w:p>
    <w:p>
      <w:pPr>
        <w:snapToGrid w:val="0"/>
        <w:spacing w:before="50" w:after="50"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资格证明文件目录</w:t>
      </w:r>
    </w:p>
    <w:p>
      <w:pPr>
        <w:snapToGrid w:val="0"/>
        <w:spacing w:before="50" w:after="50" w:line="360" w:lineRule="auto"/>
        <w:jc w:val="center"/>
        <w:rPr>
          <w:rFonts w:ascii="宋体" w:hAnsi="宋体" w:cs="宋体"/>
          <w:b/>
          <w:bCs/>
          <w:color w:val="auto"/>
          <w:sz w:val="36"/>
          <w:szCs w:val="36"/>
          <w:highlight w:val="none"/>
        </w:rPr>
      </w:pPr>
    </w:p>
    <w:p>
      <w:pPr>
        <w:spacing w:line="360" w:lineRule="auto"/>
        <w:ind w:firstLine="240" w:firstLineChars="1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（1）投标声明书（附件2）；</w:t>
      </w:r>
    </w:p>
    <w:p>
      <w:pPr>
        <w:spacing w:line="360" w:lineRule="auto"/>
        <w:ind w:firstLine="240" w:firstLineChars="1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（2）授权委托书（附件</w:t>
      </w:r>
      <w:r>
        <w:rPr>
          <w:rFonts w:hint="eastAsia" w:ascii="宋体" w:hAnsi="宋体" w:cs="宋体"/>
          <w:color w:val="auto"/>
          <w:sz w:val="24"/>
          <w:szCs w:val="32"/>
          <w:highlight w:val="none"/>
        </w:rPr>
        <w:t>3</w:t>
      </w:r>
      <w:r>
        <w:rPr>
          <w:rFonts w:hint="eastAsia" w:ascii="宋体" w:hAnsi="宋体" w:eastAsia="宋体" w:cs="宋体"/>
          <w:color w:val="auto"/>
          <w:sz w:val="24"/>
          <w:szCs w:val="32"/>
          <w:highlight w:val="none"/>
        </w:rPr>
        <w:t>）；</w:t>
      </w:r>
    </w:p>
    <w:p>
      <w:pPr>
        <w:spacing w:line="360" w:lineRule="auto"/>
        <w:ind w:firstLine="240" w:firstLineChars="1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（3）法人或者其他组织的营业执照等证明文件，自然人的身份证明（附件4）；</w:t>
      </w:r>
    </w:p>
    <w:p>
      <w:pPr>
        <w:spacing w:line="360" w:lineRule="auto"/>
        <w:ind w:firstLine="240" w:firstLineChars="1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（4）具有良好的商业信誉和健全的财务会计制度的承诺（附件5）；</w:t>
      </w:r>
    </w:p>
    <w:p>
      <w:pPr>
        <w:spacing w:line="360" w:lineRule="auto"/>
        <w:ind w:firstLine="240" w:firstLineChars="1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（5）依法缴纳税收和社会保障资金的承诺（附件6）；</w:t>
      </w:r>
    </w:p>
    <w:p>
      <w:pPr>
        <w:spacing w:line="360" w:lineRule="auto"/>
        <w:ind w:firstLine="240" w:firstLineChars="1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（6）参加政府采购活动前三年内，在经营活动中没有重大违法记录（附件7）；</w:t>
      </w:r>
    </w:p>
    <w:p>
      <w:pPr>
        <w:spacing w:line="360" w:lineRule="auto"/>
        <w:ind w:firstLine="240" w:firstLineChars="1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（7）</w:t>
      </w:r>
      <w:r>
        <w:rPr>
          <w:rFonts w:ascii="宋体" w:hAnsi="宋体" w:eastAsia="宋体" w:cs="宋体"/>
          <w:color w:val="auto"/>
          <w:sz w:val="24"/>
          <w:szCs w:val="32"/>
          <w:highlight w:val="none"/>
        </w:rPr>
        <w:t>中小企业声明函(格式详见附件</w:t>
      </w:r>
      <w:r>
        <w:rPr>
          <w:rFonts w:hint="eastAsia" w:ascii="宋体" w:hAnsi="宋体" w:eastAsia="宋体" w:cs="宋体"/>
          <w:color w:val="auto"/>
          <w:sz w:val="24"/>
          <w:szCs w:val="32"/>
          <w:highlight w:val="none"/>
        </w:rPr>
        <w:t>8</w:t>
      </w:r>
      <w:r>
        <w:rPr>
          <w:rFonts w:ascii="宋体" w:hAnsi="宋体" w:eastAsia="宋体" w:cs="宋体"/>
          <w:color w:val="auto"/>
          <w:sz w:val="24"/>
          <w:szCs w:val="32"/>
          <w:highlight w:val="none"/>
        </w:rPr>
        <w:t>)</w:t>
      </w:r>
      <w:r>
        <w:rPr>
          <w:rFonts w:hint="eastAsia" w:ascii="宋体" w:hAnsi="宋体" w:eastAsia="宋体" w:cs="宋体"/>
          <w:color w:val="auto"/>
          <w:sz w:val="24"/>
          <w:szCs w:val="32"/>
          <w:highlight w:val="none"/>
        </w:rPr>
        <w:t>；</w:t>
      </w:r>
    </w:p>
    <w:p>
      <w:pPr>
        <w:spacing w:line="360" w:lineRule="auto"/>
        <w:ind w:firstLine="240" w:firstLineChars="1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8</w:t>
      </w:r>
      <w:r>
        <w:rPr>
          <w:rFonts w:hint="eastAsia" w:ascii="宋体" w:hAnsi="宋体" w:eastAsia="宋体" w:cs="宋体"/>
          <w:color w:val="auto"/>
          <w:sz w:val="24"/>
          <w:szCs w:val="32"/>
          <w:highlight w:val="none"/>
        </w:rPr>
        <w:t>）需要说明的其他资料。</w:t>
      </w:r>
    </w:p>
    <w:p>
      <w:pPr>
        <w:spacing w:line="360" w:lineRule="auto"/>
        <w:rPr>
          <w:rFonts w:ascii="宋体" w:hAnsi="宋体" w:cs="宋体"/>
          <w:b/>
          <w:color w:val="auto"/>
          <w:sz w:val="28"/>
          <w:highlight w:val="none"/>
        </w:rPr>
      </w:pPr>
    </w:p>
    <w:p>
      <w:pPr>
        <w:pStyle w:val="40"/>
        <w:rPr>
          <w:rFonts w:ascii="宋体" w:hAnsi="宋体" w:cs="宋体"/>
          <w:color w:val="auto"/>
          <w:sz w:val="28"/>
          <w:highlight w:val="none"/>
        </w:rPr>
      </w:pPr>
    </w:p>
    <w:p>
      <w:pPr>
        <w:rPr>
          <w:rFonts w:ascii="宋体" w:hAnsi="宋体" w:cs="宋体"/>
          <w:b/>
          <w:color w:val="auto"/>
          <w:sz w:val="28"/>
          <w:highlight w:val="none"/>
        </w:rPr>
      </w:pPr>
    </w:p>
    <w:p>
      <w:pPr>
        <w:pStyle w:val="40"/>
        <w:rPr>
          <w:rFonts w:ascii="宋体" w:hAnsi="宋体" w:cs="宋体"/>
          <w:color w:val="auto"/>
          <w:sz w:val="28"/>
          <w:highlight w:val="none"/>
        </w:rPr>
      </w:pPr>
    </w:p>
    <w:p>
      <w:pPr>
        <w:rPr>
          <w:color w:val="auto"/>
          <w:highlight w:val="none"/>
        </w:rPr>
      </w:pPr>
    </w:p>
    <w:p>
      <w:pPr>
        <w:spacing w:line="360" w:lineRule="auto"/>
        <w:ind w:left="420"/>
        <w:rPr>
          <w:rFonts w:ascii="宋体" w:hAnsi="宋体" w:cs="宋体"/>
          <w:b/>
          <w:color w:val="auto"/>
          <w:sz w:val="28"/>
          <w:highlight w:val="none"/>
        </w:rPr>
      </w:pPr>
    </w:p>
    <w:p>
      <w:pPr>
        <w:spacing w:line="360" w:lineRule="auto"/>
        <w:ind w:left="420"/>
        <w:rPr>
          <w:rFonts w:ascii="宋体" w:hAnsi="宋体" w:cs="宋体"/>
          <w:b/>
          <w:color w:val="auto"/>
          <w:sz w:val="28"/>
          <w:highlight w:val="none"/>
        </w:rPr>
      </w:pPr>
    </w:p>
    <w:p>
      <w:pPr>
        <w:spacing w:line="360" w:lineRule="auto"/>
        <w:ind w:left="420"/>
        <w:rPr>
          <w:rFonts w:ascii="宋体" w:hAnsi="宋体" w:cs="宋体"/>
          <w:b/>
          <w:color w:val="auto"/>
          <w:sz w:val="28"/>
          <w:highlight w:val="none"/>
        </w:rPr>
      </w:pPr>
    </w:p>
    <w:p>
      <w:pPr>
        <w:pStyle w:val="17"/>
        <w:rPr>
          <w:color w:val="auto"/>
          <w:highlight w:val="none"/>
        </w:rPr>
      </w:pPr>
    </w:p>
    <w:p>
      <w:pPr>
        <w:spacing w:line="360" w:lineRule="auto"/>
        <w:ind w:left="420"/>
        <w:rPr>
          <w:rFonts w:ascii="宋体" w:hAnsi="宋体" w:cs="宋体"/>
          <w:b/>
          <w:color w:val="auto"/>
          <w:sz w:val="28"/>
          <w:highlight w:val="none"/>
        </w:rPr>
      </w:pPr>
    </w:p>
    <w:p>
      <w:pPr>
        <w:pStyle w:val="55"/>
        <w:rPr>
          <w:color w:val="auto"/>
          <w:highlight w:val="none"/>
        </w:rPr>
      </w:pPr>
    </w:p>
    <w:p>
      <w:pPr>
        <w:pStyle w:val="55"/>
        <w:rPr>
          <w:color w:val="auto"/>
          <w:highlight w:val="none"/>
        </w:rPr>
      </w:pPr>
    </w:p>
    <w:p>
      <w:pPr>
        <w:pStyle w:val="55"/>
        <w:rPr>
          <w:color w:val="auto"/>
          <w:highlight w:val="none"/>
        </w:rPr>
      </w:pPr>
    </w:p>
    <w:p>
      <w:pPr>
        <w:pStyle w:val="55"/>
        <w:rPr>
          <w:color w:val="auto"/>
          <w:highlight w:val="none"/>
        </w:rPr>
      </w:pPr>
    </w:p>
    <w:p>
      <w:pPr>
        <w:spacing w:line="360" w:lineRule="auto"/>
        <w:rPr>
          <w:rFonts w:ascii="宋体" w:hAnsi="宋体" w:cs="宋体"/>
          <w:b/>
          <w:color w:val="auto"/>
          <w:sz w:val="28"/>
          <w:highlight w:val="none"/>
        </w:rPr>
      </w:pPr>
      <w:r>
        <w:rPr>
          <w:rFonts w:hint="eastAsia" w:ascii="宋体" w:hAnsi="宋体" w:cs="宋体"/>
          <w:b/>
          <w:color w:val="auto"/>
          <w:sz w:val="28"/>
          <w:highlight w:val="none"/>
        </w:rPr>
        <w:t>附件2</w:t>
      </w:r>
    </w:p>
    <w:p>
      <w:pPr>
        <w:adjustRightInd w:val="0"/>
        <w:snapToGrid w:val="0"/>
        <w:spacing w:line="360" w:lineRule="auto"/>
        <w:ind w:right="480"/>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投标声明书</w:t>
      </w:r>
    </w:p>
    <w:p>
      <w:pPr>
        <w:snapToGrid w:val="0"/>
        <w:spacing w:beforeLines="50" w:after="50" w:line="28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浙江建航工程咨询有限公司：</w:t>
      </w:r>
    </w:p>
    <w:p>
      <w:pPr>
        <w:snapToGrid w:val="0"/>
        <w:spacing w:beforeLines="50" w:after="50"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（投标人名称）系中华人民共和国合法企业，经营地址：。</w:t>
      </w:r>
    </w:p>
    <w:p>
      <w:pPr>
        <w:snapToGrid w:val="0"/>
        <w:spacing w:beforeLines="50" w:after="5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我（</w:t>
      </w:r>
      <w:r>
        <w:rPr>
          <w:rFonts w:hint="eastAsia" w:ascii="宋体" w:hAnsi="宋体" w:cs="宋体"/>
          <w:color w:val="auto"/>
          <w:kern w:val="0"/>
          <w:szCs w:val="21"/>
          <w:highlight w:val="none"/>
          <w:u w:val="single"/>
        </w:rPr>
        <w:t xml:space="preserve"> 姓名 </w:t>
      </w: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投标人名称 </w:t>
      </w:r>
      <w:r>
        <w:rPr>
          <w:rFonts w:hint="eastAsia" w:ascii="宋体" w:hAnsi="宋体" w:cs="宋体"/>
          <w:color w:val="auto"/>
          <w:kern w:val="0"/>
          <w:szCs w:val="21"/>
          <w:highlight w:val="none"/>
        </w:rPr>
        <w:t>）的法定代表人，我公司自愿参加贵方组织的</w:t>
      </w:r>
      <w:r>
        <w:rPr>
          <w:rFonts w:hint="eastAsia" w:ascii="宋体" w:hAnsi="宋体" w:cs="宋体"/>
          <w:color w:val="auto"/>
          <w:kern w:val="0"/>
          <w:szCs w:val="21"/>
          <w:highlight w:val="none"/>
          <w:lang w:eastAsia="zh-CN"/>
        </w:rPr>
        <w:t>垃圾处置清理及环境整治工程</w:t>
      </w:r>
      <w:r>
        <w:rPr>
          <w:rFonts w:hint="eastAsia" w:ascii="宋体" w:hAnsi="宋体" w:cs="宋体"/>
          <w:color w:val="auto"/>
          <w:kern w:val="0"/>
          <w:szCs w:val="21"/>
          <w:highlight w:val="none"/>
        </w:rPr>
        <w:t>（编号为</w:t>
      </w:r>
      <w:r>
        <w:rPr>
          <w:rFonts w:hint="eastAsia" w:ascii="宋体" w:hAnsi="宋体" w:cs="宋体"/>
          <w:color w:val="auto"/>
          <w:kern w:val="0"/>
          <w:szCs w:val="21"/>
          <w:highlight w:val="none"/>
          <w:lang w:eastAsia="zh-CN"/>
        </w:rPr>
        <w:t xml:space="preserve">ZJJH-2022-132号 </w:t>
      </w:r>
      <w:r>
        <w:rPr>
          <w:rFonts w:hint="eastAsia" w:ascii="宋体" w:hAnsi="宋体" w:cs="宋体"/>
          <w:color w:val="auto"/>
          <w:kern w:val="0"/>
          <w:szCs w:val="21"/>
          <w:highlight w:val="none"/>
        </w:rPr>
        <w:t>）的投标，为此，我公司就本次投标有关事项郑重声明如下：</w:t>
      </w:r>
    </w:p>
    <w:p>
      <w:pPr>
        <w:snapToGrid w:val="0"/>
        <w:spacing w:beforeLines="50" w:after="50"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Lines="50" w:after="5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我公司在参与投标前已详细审查了采购文件和所有相关资料，我方完全明白并认为此采购文件没有倾向性，也没有存在排斥潜在投标人的内容，我方同意采购文件的相关条款，放弃对采购文件提出误解和质疑的一切权利。</w:t>
      </w:r>
    </w:p>
    <w:p>
      <w:pPr>
        <w:numPr>
          <w:ilvl w:val="255"/>
          <w:numId w:val="0"/>
        </w:numPr>
        <w:snapToGrid w:val="0"/>
        <w:spacing w:beforeLines="50" w:after="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3、我</w:t>
      </w:r>
      <w:r>
        <w:rPr>
          <w:rFonts w:hint="eastAsia" w:ascii="宋体" w:hAnsi="宋体" w:cs="宋体"/>
          <w:color w:val="auto"/>
          <w:kern w:val="0"/>
          <w:szCs w:val="21"/>
          <w:highlight w:val="none"/>
          <w:lang w:val="zh-CN"/>
        </w:rPr>
        <w:t>公司</w:t>
      </w:r>
      <w:r>
        <w:rPr>
          <w:rFonts w:hint="eastAsia" w:ascii="宋体" w:hAnsi="宋体" w:cs="宋体"/>
          <w:color w:val="auto"/>
          <w:szCs w:val="21"/>
          <w:highlight w:val="none"/>
        </w:rPr>
        <w:t>不是采购人的附属机构；在获知本项目采购信息后，与采购人聘请的为此项目提供咨询服务的公司及其附属机构没有任何联系。</w:t>
      </w:r>
    </w:p>
    <w:p>
      <w:pPr>
        <w:snapToGrid w:val="0"/>
        <w:spacing w:beforeLines="50" w:after="50" w:line="360" w:lineRule="auto"/>
        <w:ind w:firstLine="420" w:firstLineChars="200"/>
        <w:rPr>
          <w:rFonts w:ascii="宋体" w:hAnsi="宋体" w:cs="宋体"/>
          <w:color w:val="auto"/>
          <w:kern w:val="0"/>
          <w:szCs w:val="21"/>
          <w:highlight w:val="none"/>
          <w:lang w:val="af-ZA"/>
        </w:rPr>
      </w:pPr>
      <w:r>
        <w:rPr>
          <w:rFonts w:hint="eastAsia" w:ascii="宋体" w:hAnsi="宋体" w:cs="宋体"/>
          <w:color w:val="auto"/>
          <w:szCs w:val="21"/>
          <w:highlight w:val="none"/>
        </w:rPr>
        <w:t>4、</w:t>
      </w:r>
      <w:r>
        <w:rPr>
          <w:rFonts w:hint="eastAsia" w:ascii="宋体" w:hAnsi="宋体" w:cs="宋体"/>
          <w:color w:val="auto"/>
          <w:kern w:val="0"/>
          <w:szCs w:val="21"/>
          <w:highlight w:val="none"/>
        </w:rPr>
        <w:t>我</w:t>
      </w:r>
      <w:r>
        <w:rPr>
          <w:rFonts w:hint="eastAsia" w:ascii="宋体" w:hAnsi="宋体" w:cs="宋体"/>
          <w:color w:val="auto"/>
          <w:kern w:val="0"/>
          <w:szCs w:val="21"/>
          <w:highlight w:val="none"/>
          <w:lang w:val="zh-CN"/>
        </w:rPr>
        <w:t>公司</w:t>
      </w:r>
      <w:r>
        <w:rPr>
          <w:rFonts w:hint="eastAsia" w:ascii="宋体" w:hAnsi="宋体" w:cs="宋体"/>
          <w:color w:val="auto"/>
          <w:kern w:val="0"/>
          <w:szCs w:val="21"/>
          <w:highlight w:val="none"/>
        </w:rPr>
        <w:t>保证，</w:t>
      </w:r>
      <w:r>
        <w:rPr>
          <w:rFonts w:hint="eastAsia" w:ascii="宋体" w:hAnsi="宋体" w:cs="宋体"/>
          <w:color w:val="auto"/>
          <w:kern w:val="0"/>
          <w:szCs w:val="21"/>
          <w:highlight w:val="none"/>
          <w:lang w:val="af-ZA"/>
        </w:rPr>
        <w:t>采购人在中华人民共和国境内使用</w:t>
      </w:r>
      <w:r>
        <w:rPr>
          <w:rFonts w:hint="eastAsia" w:ascii="宋体" w:hAnsi="宋体" w:cs="宋体"/>
          <w:color w:val="auto"/>
          <w:kern w:val="0"/>
          <w:szCs w:val="21"/>
          <w:highlight w:val="none"/>
        </w:rPr>
        <w:t>我</w:t>
      </w:r>
      <w:r>
        <w:rPr>
          <w:rFonts w:hint="eastAsia" w:ascii="宋体" w:hAnsi="宋体" w:cs="宋体"/>
          <w:color w:val="auto"/>
          <w:kern w:val="0"/>
          <w:szCs w:val="21"/>
          <w:highlight w:val="none"/>
          <w:lang w:val="zh-CN"/>
        </w:rPr>
        <w:t>公司</w:t>
      </w:r>
      <w:r>
        <w:rPr>
          <w:rFonts w:hint="eastAsia" w:ascii="宋体" w:hAnsi="宋体" w:cs="宋体"/>
          <w:color w:val="auto"/>
          <w:kern w:val="0"/>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beforeLines="50" w:after="50"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val="af-ZA"/>
        </w:rPr>
        <w:t>5、我</w:t>
      </w:r>
      <w:r>
        <w:rPr>
          <w:rFonts w:hint="eastAsia" w:ascii="宋体" w:hAnsi="宋体" w:cs="宋体"/>
          <w:color w:val="auto"/>
          <w:kern w:val="0"/>
          <w:szCs w:val="21"/>
          <w:highlight w:val="none"/>
          <w:lang w:val="zh-CN"/>
        </w:rPr>
        <w:t>公司</w:t>
      </w:r>
      <w:r>
        <w:rPr>
          <w:rFonts w:hint="eastAsia" w:ascii="宋体" w:hAnsi="宋体" w:cs="宋体"/>
          <w:color w:val="auto"/>
          <w:kern w:val="0"/>
          <w:szCs w:val="21"/>
          <w:highlight w:val="none"/>
          <w:lang w:val="af-ZA"/>
        </w:rPr>
        <w:t>严格履行政府采购合同，不降低合同约定的产品质量和服务，不擅自变更、中止、终止合同，或拒绝履行合同义务；</w:t>
      </w:r>
    </w:p>
    <w:p>
      <w:pPr>
        <w:snapToGrid w:val="0"/>
        <w:spacing w:beforeLines="50" w:after="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6、以上事项如有虚假或隐瞒，我</w:t>
      </w:r>
      <w:r>
        <w:rPr>
          <w:rFonts w:hint="eastAsia" w:ascii="宋体" w:hAnsi="宋体" w:cs="宋体"/>
          <w:color w:val="auto"/>
          <w:kern w:val="0"/>
          <w:szCs w:val="21"/>
          <w:highlight w:val="none"/>
          <w:lang w:val="zh-CN"/>
        </w:rPr>
        <w:t>公司</w:t>
      </w:r>
      <w:r>
        <w:rPr>
          <w:rFonts w:hint="eastAsia" w:ascii="宋体" w:hAnsi="宋体" w:cs="宋体"/>
          <w:color w:val="auto"/>
          <w:szCs w:val="21"/>
          <w:highlight w:val="none"/>
        </w:rPr>
        <w:t>愿意承担一切后果，并不再寻求任何旨在减轻或免除法律责任的辩解。</w:t>
      </w:r>
    </w:p>
    <w:p>
      <w:pPr>
        <w:adjustRightInd w:val="0"/>
        <w:snapToGrid w:val="0"/>
        <w:spacing w:line="360" w:lineRule="auto"/>
        <w:ind w:firstLine="480"/>
        <w:rPr>
          <w:rFonts w:ascii="宋体" w:hAnsi="宋体" w:cs="宋体"/>
          <w:color w:val="auto"/>
          <w:kern w:val="0"/>
          <w:szCs w:val="21"/>
          <w:highlight w:val="none"/>
        </w:rPr>
      </w:pPr>
    </w:p>
    <w:p>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投标人名称（公章或CA签章）：</w:t>
      </w:r>
    </w:p>
    <w:p>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szCs w:val="21"/>
          <w:highlight w:val="none"/>
        </w:rPr>
        <w:t>法定代表人或授权委托人(签字或盖章)</w:t>
      </w:r>
      <w:r>
        <w:rPr>
          <w:rFonts w:hint="eastAsia" w:ascii="宋体" w:hAnsi="宋体" w:cs="宋体"/>
          <w:color w:val="auto"/>
          <w:kern w:val="0"/>
          <w:szCs w:val="21"/>
          <w:highlight w:val="none"/>
          <w:lang w:val="zh-CN"/>
        </w:rPr>
        <w:t>：</w:t>
      </w:r>
    </w:p>
    <w:p>
      <w:pPr>
        <w:adjustRightInd w:val="0"/>
        <w:snapToGrid w:val="0"/>
        <w:spacing w:line="360" w:lineRule="auto"/>
        <w:ind w:right="480"/>
        <w:rPr>
          <w:rFonts w:ascii="宋体" w:hAnsi="宋体" w:cs="宋体"/>
          <w:color w:val="auto"/>
          <w:kern w:val="0"/>
          <w:sz w:val="24"/>
          <w:highlight w:val="none"/>
          <w:lang w:val="zh-CN"/>
        </w:rPr>
      </w:pPr>
      <w:r>
        <w:rPr>
          <w:rFonts w:hint="eastAsia" w:ascii="宋体" w:hAnsi="宋体" w:cs="宋体"/>
          <w:color w:val="auto"/>
          <w:kern w:val="0"/>
          <w:szCs w:val="21"/>
          <w:highlight w:val="none"/>
          <w:lang w:val="zh-CN"/>
        </w:rPr>
        <w:t>日期：年 月 日</w:t>
      </w:r>
    </w:p>
    <w:p>
      <w:pPr>
        <w:adjustRightInd w:val="0"/>
        <w:snapToGrid w:val="0"/>
        <w:spacing w:line="360" w:lineRule="auto"/>
        <w:ind w:right="480"/>
        <w:rPr>
          <w:rFonts w:ascii="宋体" w:hAnsi="宋体" w:cs="宋体"/>
          <w:b/>
          <w:color w:val="auto"/>
          <w:sz w:val="28"/>
          <w:highlight w:val="none"/>
        </w:rPr>
      </w:pPr>
    </w:p>
    <w:p>
      <w:pPr>
        <w:adjustRightInd w:val="0"/>
        <w:snapToGrid w:val="0"/>
        <w:spacing w:line="360" w:lineRule="auto"/>
        <w:ind w:right="480"/>
        <w:rPr>
          <w:rFonts w:ascii="宋体" w:hAnsi="宋体" w:cs="宋体"/>
          <w:b/>
          <w:color w:val="auto"/>
          <w:sz w:val="28"/>
          <w:highlight w:val="none"/>
        </w:rPr>
      </w:pPr>
    </w:p>
    <w:p>
      <w:pPr>
        <w:adjustRightInd w:val="0"/>
        <w:snapToGrid w:val="0"/>
        <w:spacing w:line="360" w:lineRule="auto"/>
        <w:ind w:right="480"/>
        <w:rPr>
          <w:rFonts w:ascii="宋体" w:hAnsi="宋体" w:cs="宋体"/>
          <w:b/>
          <w:color w:val="auto"/>
          <w:sz w:val="30"/>
          <w:szCs w:val="30"/>
          <w:highlight w:val="none"/>
        </w:rPr>
      </w:pPr>
      <w:r>
        <w:rPr>
          <w:rFonts w:hint="eastAsia" w:ascii="宋体" w:hAnsi="宋体" w:cs="宋体"/>
          <w:b/>
          <w:color w:val="auto"/>
          <w:sz w:val="28"/>
          <w:highlight w:val="none"/>
        </w:rPr>
        <w:t>附件3</w:t>
      </w:r>
    </w:p>
    <w:p>
      <w:pPr>
        <w:spacing w:line="360" w:lineRule="auto"/>
        <w:ind w:firstLine="321" w:firstLineChars="100"/>
        <w:jc w:val="center"/>
        <w:rPr>
          <w:rFonts w:ascii="宋体" w:hAnsi="宋体" w:cs="宋体"/>
          <w:b/>
          <w:color w:val="auto"/>
          <w:sz w:val="32"/>
          <w:szCs w:val="32"/>
          <w:highlight w:val="none"/>
          <w:u w:val="single"/>
        </w:rPr>
      </w:pPr>
      <w:r>
        <w:rPr>
          <w:rFonts w:hint="eastAsia" w:ascii="宋体" w:hAnsi="宋体" w:cs="宋体"/>
          <w:b/>
          <w:color w:val="auto"/>
          <w:sz w:val="32"/>
          <w:szCs w:val="32"/>
          <w:highlight w:val="none"/>
        </w:rPr>
        <w:t>授权委托书</w:t>
      </w:r>
    </w:p>
    <w:p>
      <w:pPr>
        <w:pStyle w:val="24"/>
        <w:spacing w:line="500" w:lineRule="exact"/>
        <w:rPr>
          <w:rFonts w:hAnsi="宋体" w:cs="宋体"/>
          <w:b/>
          <w:color w:val="auto"/>
          <w:sz w:val="24"/>
          <w:highlight w:val="none"/>
        </w:rPr>
      </w:pPr>
      <w:r>
        <w:rPr>
          <w:rFonts w:hint="eastAsia" w:hAnsi="宋体" w:cs="宋体"/>
          <w:color w:val="auto"/>
          <w:kern w:val="0"/>
          <w:sz w:val="24"/>
          <w:highlight w:val="none"/>
        </w:rPr>
        <w:t>浙江建航工程咨询有限公司</w:t>
      </w:r>
      <w:r>
        <w:rPr>
          <w:rFonts w:hint="eastAsia" w:hAnsi="宋体" w:cs="宋体"/>
          <w:b/>
          <w:color w:val="auto"/>
          <w:sz w:val="24"/>
          <w:highlight w:val="none"/>
        </w:rPr>
        <w:t>：</w:t>
      </w:r>
    </w:p>
    <w:p>
      <w:pPr>
        <w:pStyle w:val="24"/>
        <w:spacing w:line="500" w:lineRule="exact"/>
        <w:ind w:left="240" w:hanging="240" w:hangingChars="100"/>
        <w:rPr>
          <w:rFonts w:hAnsi="宋体" w:cs="宋体"/>
          <w:color w:val="auto"/>
          <w:sz w:val="24"/>
          <w:highlight w:val="none"/>
        </w:rPr>
      </w:pPr>
      <w:r>
        <w:rPr>
          <w:rFonts w:hint="eastAsia" w:hAnsi="宋体" w:cs="宋体"/>
          <w:color w:val="auto"/>
          <w:sz w:val="24"/>
          <w:highlight w:val="none"/>
          <w:u w:val="single"/>
        </w:rPr>
        <w:t xml:space="preserve">  （投标人全称）  </w:t>
      </w:r>
      <w:r>
        <w:rPr>
          <w:rFonts w:hint="eastAsia" w:hAnsi="宋体" w:cs="宋体"/>
          <w:color w:val="auto"/>
          <w:sz w:val="24"/>
          <w:highlight w:val="none"/>
        </w:rPr>
        <w:t>法定代表人（或营业执照中单位负责人）</w:t>
      </w:r>
      <w:r>
        <w:rPr>
          <w:rFonts w:hint="eastAsia" w:hAnsi="宋体" w:cs="宋体"/>
          <w:color w:val="auto"/>
          <w:sz w:val="24"/>
          <w:highlight w:val="none"/>
          <w:u w:val="single"/>
        </w:rPr>
        <w:tab/>
      </w:r>
      <w:r>
        <w:rPr>
          <w:rFonts w:hint="eastAsia" w:hAnsi="宋体" w:cs="宋体"/>
          <w:color w:val="auto"/>
          <w:sz w:val="24"/>
          <w:highlight w:val="none"/>
          <w:u w:val="single"/>
        </w:rPr>
        <w:t xml:space="preserve">（法定代表人或营业执照中单位负责人姓名） </w:t>
      </w:r>
      <w:r>
        <w:rPr>
          <w:rFonts w:hint="eastAsia" w:hAnsi="宋体" w:cs="宋体"/>
          <w:color w:val="auto"/>
          <w:sz w:val="24"/>
          <w:highlight w:val="none"/>
        </w:rPr>
        <w:t>授权</w:t>
      </w:r>
      <w:r>
        <w:rPr>
          <w:rFonts w:hint="eastAsia" w:hAnsi="宋体" w:cs="宋体"/>
          <w:color w:val="auto"/>
          <w:sz w:val="24"/>
          <w:highlight w:val="none"/>
          <w:u w:val="single"/>
        </w:rPr>
        <w:t xml:space="preserve">   （全权代表姓名） </w:t>
      </w:r>
      <w:r>
        <w:rPr>
          <w:rFonts w:hint="eastAsia" w:hAnsi="宋体" w:cs="宋体"/>
          <w:color w:val="auto"/>
          <w:sz w:val="24"/>
          <w:highlight w:val="none"/>
        </w:rPr>
        <w:t>为全权代表，参加贵单位组织</w:t>
      </w:r>
      <w:r>
        <w:rPr>
          <w:rFonts w:hint="eastAsia" w:hAnsi="宋体" w:cs="宋体"/>
          <w:color w:val="auto"/>
          <w:kern w:val="0"/>
          <w:sz w:val="24"/>
          <w:highlight w:val="none"/>
        </w:rPr>
        <w:t>的</w:t>
      </w:r>
      <w:r>
        <w:rPr>
          <w:rFonts w:hint="eastAsia" w:hAnsi="宋体" w:cs="宋体"/>
          <w:color w:val="auto"/>
          <w:kern w:val="0"/>
          <w:sz w:val="24"/>
          <w:highlight w:val="none"/>
          <w:lang w:eastAsia="zh-CN"/>
        </w:rPr>
        <w:t>垃圾处置清理及环境整治工程</w:t>
      </w:r>
      <w:r>
        <w:rPr>
          <w:rFonts w:hint="eastAsia" w:hAnsi="宋体" w:cs="宋体"/>
          <w:color w:val="auto"/>
          <w:sz w:val="24"/>
          <w:highlight w:val="none"/>
        </w:rPr>
        <w:t>的采购活动，并代表我方全权办理针对上述项目的投标、开标、评标、签约等具体事务和签署相关文件。我方对全权代表的签字事项负全部责任。</w:t>
      </w:r>
    </w:p>
    <w:p>
      <w:pPr>
        <w:pStyle w:val="24"/>
        <w:spacing w:line="500" w:lineRule="exact"/>
        <w:ind w:left="139" w:leftChars="66" w:firstLine="480" w:firstLineChars="200"/>
        <w:rPr>
          <w:rFonts w:hAnsi="宋体" w:cs="宋体"/>
          <w:color w:val="auto"/>
          <w:sz w:val="24"/>
          <w:highlight w:val="none"/>
        </w:rPr>
      </w:pPr>
      <w:r>
        <w:rPr>
          <w:rFonts w:hint="eastAsia" w:hAnsi="宋体" w:cs="宋体"/>
          <w:color w:val="auto"/>
          <w:sz w:val="24"/>
          <w:highlight w:val="none"/>
        </w:rPr>
        <w:t>在撤销授权的书面通知以前，本授权书一直有效。全权代表在授权委托书有效期内签署的所有文件不因授权的撤销而失效。</w:t>
      </w:r>
    </w:p>
    <w:p>
      <w:pPr>
        <w:pStyle w:val="24"/>
        <w:spacing w:line="500" w:lineRule="exact"/>
        <w:ind w:left="139" w:leftChars="66" w:firstLine="480" w:firstLineChars="200"/>
        <w:rPr>
          <w:rFonts w:hAnsi="宋体" w:cs="宋体"/>
          <w:color w:val="auto"/>
          <w:sz w:val="24"/>
          <w:highlight w:val="none"/>
        </w:rPr>
      </w:pPr>
      <w:r>
        <w:rPr>
          <w:rFonts w:hint="eastAsia" w:hAnsi="宋体" w:cs="宋体"/>
          <w:color w:val="auto"/>
          <w:sz w:val="24"/>
          <w:highlight w:val="none"/>
        </w:rPr>
        <w:t>全权代表无转委托权，特此委托。</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法定代表人（签字或盖章）：</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投标人全称（公章或CA签章）：                         日期：</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p>
    <w:tbl>
      <w:tblPr>
        <w:tblStyle w:val="4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法定代表人身份证复印件粘贴处</w:t>
            </w:r>
          </w:p>
        </w:tc>
      </w:tr>
    </w:tbl>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法定代表人姓名：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详细通讯地址：</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p>
      <w:pPr>
        <w:spacing w:line="360" w:lineRule="auto"/>
        <w:rPr>
          <w:rFonts w:hint="eastAsia" w:ascii="宋体" w:hAnsi="宋体" w:eastAsia="宋体" w:cs="宋体"/>
          <w:color w:val="auto"/>
          <w:sz w:val="24"/>
          <w:highlight w:val="none"/>
        </w:rPr>
      </w:pPr>
    </w:p>
    <w:tbl>
      <w:tblPr>
        <w:tblStyle w:val="4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全权代表身份证复印件粘贴处</w:t>
            </w:r>
          </w:p>
        </w:tc>
      </w:tr>
    </w:tbl>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全权代表姓名：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职务：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详细通讯地址：</w:t>
      </w:r>
    </w:p>
    <w:p>
      <w:pPr>
        <w:spacing w:line="360" w:lineRule="auto"/>
        <w:rPr>
          <w:rFonts w:ascii="宋体" w:hAnsi="宋体" w:eastAsia="宋体" w:cs="宋体"/>
          <w:b/>
          <w:bCs/>
          <w:color w:val="auto"/>
          <w:sz w:val="32"/>
          <w:szCs w:val="32"/>
          <w:highlight w:val="none"/>
          <w:lang w:val="zh-CN"/>
        </w:rPr>
      </w:pPr>
      <w:r>
        <w:rPr>
          <w:rFonts w:hint="eastAsia" w:ascii="宋体" w:hAnsi="宋体" w:eastAsia="宋体" w:cs="宋体"/>
          <w:color w:val="auto"/>
          <w:sz w:val="24"/>
          <w:highlight w:val="none"/>
        </w:rPr>
        <w:t>邮政编码</w:t>
      </w:r>
      <w:r>
        <w:rPr>
          <w:rFonts w:hint="eastAsia" w:ascii="宋体" w:hAnsi="宋体" w:eastAsia="宋体" w:cs="宋体"/>
          <w:color w:val="auto"/>
          <w:highlight w:val="none"/>
        </w:rPr>
        <w:t>：</w:t>
      </w:r>
    </w:p>
    <w:p>
      <w:pPr>
        <w:rPr>
          <w:rFonts w:ascii="宋体" w:hAnsi="宋体" w:cs="宋体"/>
          <w:b/>
          <w:color w:val="auto"/>
          <w:sz w:val="28"/>
          <w:highlight w:val="none"/>
        </w:rPr>
      </w:pPr>
      <w:r>
        <w:rPr>
          <w:rFonts w:hint="eastAsia" w:ascii="宋体" w:hAnsi="宋体" w:cs="宋体"/>
          <w:b/>
          <w:color w:val="auto"/>
          <w:sz w:val="28"/>
          <w:highlight w:val="none"/>
        </w:rPr>
        <w:br w:type="page"/>
      </w:r>
    </w:p>
    <w:p>
      <w:pPr>
        <w:spacing w:line="360" w:lineRule="auto"/>
        <w:ind w:right="-110"/>
        <w:rPr>
          <w:rFonts w:hint="eastAsia" w:ascii="宋体" w:hAnsi="宋体" w:eastAsia="宋体" w:cs="Times New Roman"/>
          <w:b/>
          <w:color w:val="auto"/>
          <w:sz w:val="32"/>
          <w:szCs w:val="32"/>
          <w:highlight w:val="none"/>
          <w:lang w:eastAsia="zh-CN"/>
        </w:rPr>
      </w:pPr>
      <w:r>
        <w:rPr>
          <w:rFonts w:hint="eastAsia" w:ascii="宋体" w:hAnsi="宋体" w:eastAsia="宋体" w:cs="Times New Roman"/>
          <w:b/>
          <w:color w:val="auto"/>
          <w:sz w:val="32"/>
          <w:szCs w:val="32"/>
          <w:highlight w:val="none"/>
        </w:rPr>
        <w:t>附件</w:t>
      </w:r>
      <w:r>
        <w:rPr>
          <w:rFonts w:hint="eastAsia" w:ascii="宋体" w:hAnsi="宋体" w:eastAsia="宋体" w:cs="Times New Roman"/>
          <w:b/>
          <w:color w:val="auto"/>
          <w:sz w:val="32"/>
          <w:szCs w:val="32"/>
          <w:highlight w:val="none"/>
          <w:lang w:val="en-US" w:eastAsia="zh-CN"/>
        </w:rPr>
        <w:t>4：</w:t>
      </w:r>
    </w:p>
    <w:p>
      <w:pPr>
        <w:spacing w:after="312" w:afterLines="100" w:line="480" w:lineRule="auto"/>
        <w:ind w:firstLine="482"/>
        <w:jc w:val="center"/>
        <w:rPr>
          <w:rFonts w:asciiTheme="minorEastAsia" w:hAnsiTheme="minorEastAsia" w:eastAsiaTheme="minorEastAsia" w:cstheme="minorEastAsia"/>
          <w:color w:val="auto"/>
          <w:sz w:val="28"/>
          <w:szCs w:val="36"/>
          <w:highlight w:val="none"/>
        </w:rPr>
      </w:pPr>
      <w:r>
        <w:rPr>
          <w:rFonts w:hint="eastAsia" w:asciiTheme="minorEastAsia" w:hAnsiTheme="minorEastAsia" w:eastAsiaTheme="minorEastAsia" w:cstheme="minorEastAsia"/>
          <w:b/>
          <w:bCs/>
          <w:color w:val="auto"/>
          <w:kern w:val="0"/>
          <w:sz w:val="28"/>
          <w:szCs w:val="36"/>
          <w:highlight w:val="none"/>
          <w:lang w:val="zh-CN"/>
        </w:rPr>
        <w:t>具备健全的财务会计制度的承诺函</w:t>
      </w:r>
    </w:p>
    <w:p>
      <w:pPr>
        <w:widowControl/>
        <w:spacing w:line="600" w:lineRule="exact"/>
        <w:ind w:firstLine="480"/>
        <w:rPr>
          <w:rFonts w:asciiTheme="minorEastAsia" w:hAnsiTheme="minorEastAsia" w:eastAsiaTheme="minorEastAsia" w:cstheme="minorEastAsia"/>
          <w:color w:val="auto"/>
          <w:kern w:val="0"/>
          <w:highlight w:val="none"/>
        </w:rPr>
      </w:pPr>
    </w:p>
    <w:p>
      <w:pPr>
        <w:widowControl/>
        <w:spacing w:line="600" w:lineRule="exact"/>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致：</w:t>
      </w:r>
      <w:r>
        <w:rPr>
          <w:rFonts w:hint="eastAsia" w:asciiTheme="minorEastAsia" w:hAnsiTheme="minorEastAsia" w:eastAsiaTheme="minorEastAsia" w:cstheme="minorEastAsia"/>
          <w:color w:val="auto"/>
          <w:highlight w:val="none"/>
          <w:u w:val="single"/>
        </w:rPr>
        <w:t>浙江建航工程咨询有限公司</w:t>
      </w:r>
    </w:p>
    <w:p>
      <w:pPr>
        <w:pStyle w:val="17"/>
        <w:spacing w:line="600" w:lineRule="exact"/>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我公</w:t>
      </w:r>
      <w:r>
        <w:rPr>
          <w:rFonts w:hint="eastAsia" w:ascii="宋体" w:hAnsi="宋体" w:eastAsia="宋体" w:cs="宋体"/>
          <w:color w:val="auto"/>
          <w:highlight w:val="none"/>
        </w:rPr>
        <w:t>司参加</w:t>
      </w:r>
      <w:r>
        <w:rPr>
          <w:rFonts w:hint="eastAsia" w:ascii="宋体" w:hAnsi="宋体" w:cs="宋体"/>
          <w:color w:val="auto"/>
          <w:szCs w:val="32"/>
          <w:highlight w:val="none"/>
          <w:u w:val="single"/>
          <w:lang w:eastAsia="zh-CN"/>
        </w:rPr>
        <w:t>垃圾处置清理及环境整治工程</w:t>
      </w:r>
      <w:r>
        <w:rPr>
          <w:rFonts w:hint="eastAsia" w:ascii="宋体" w:hAnsi="宋体" w:eastAsia="宋体" w:cs="宋体"/>
          <w:color w:val="auto"/>
          <w:highlight w:val="none"/>
          <w:u w:val="single"/>
        </w:rPr>
        <w:t>（编号为</w:t>
      </w:r>
      <w:r>
        <w:rPr>
          <w:rFonts w:hint="eastAsia" w:ascii="宋体" w:hAnsi="宋体" w:eastAsia="宋体" w:cs="宋体"/>
          <w:color w:val="auto"/>
          <w:szCs w:val="32"/>
          <w:highlight w:val="none"/>
          <w:u w:val="single"/>
        </w:rPr>
        <w:t>ZJJH-2022-132号</w:t>
      </w:r>
      <w:r>
        <w:rPr>
          <w:rFonts w:hint="eastAsia" w:ascii="宋体" w:hAnsi="宋体" w:eastAsia="宋体" w:cs="宋体"/>
          <w:color w:val="auto"/>
          <w:highlight w:val="none"/>
          <w:u w:val="single"/>
        </w:rPr>
        <w:t>）</w:t>
      </w:r>
      <w:r>
        <w:rPr>
          <w:rFonts w:hint="eastAsia" w:ascii="宋体" w:hAnsi="宋体" w:eastAsia="宋体" w:cs="宋体"/>
          <w:color w:val="auto"/>
          <w:highlight w:val="none"/>
        </w:rPr>
        <w:t>的投标活动，作如下承诺</w:t>
      </w:r>
      <w:r>
        <w:rPr>
          <w:rFonts w:hint="eastAsia" w:asciiTheme="minorEastAsia" w:hAnsiTheme="minorEastAsia" w:eastAsiaTheme="minorEastAsia" w:cstheme="minorEastAsia"/>
          <w:color w:val="auto"/>
          <w:highlight w:val="none"/>
        </w:rPr>
        <w:t>：</w:t>
      </w:r>
    </w:p>
    <w:p>
      <w:pPr>
        <w:pStyle w:val="17"/>
        <w:spacing w:line="600" w:lineRule="exact"/>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我公司在参加本项目政府采购活动前，</w:t>
      </w:r>
      <w:r>
        <w:rPr>
          <w:rFonts w:hint="eastAsia" w:asciiTheme="minorEastAsia" w:hAnsiTheme="minorEastAsia" w:eastAsiaTheme="minorEastAsia" w:cstheme="minorEastAsia"/>
          <w:color w:val="auto"/>
          <w:kern w:val="0"/>
          <w:highlight w:val="none"/>
        </w:rPr>
        <w:t>没有处于被责令停产、财产被接管、冻结或破产状态，具有足够的流动资金，有能力履行合同；我公司</w:t>
      </w:r>
      <w:r>
        <w:rPr>
          <w:rFonts w:hint="eastAsia" w:asciiTheme="minorEastAsia" w:hAnsiTheme="minorEastAsia" w:eastAsiaTheme="minorEastAsia" w:cstheme="minorEastAsia"/>
          <w:color w:val="auto"/>
          <w:highlight w:val="none"/>
        </w:rPr>
        <w:t>具有良好的商业信誉和健全的财务会计制度。</w:t>
      </w:r>
    </w:p>
    <w:p>
      <w:pPr>
        <w:spacing w:line="600" w:lineRule="exact"/>
        <w:ind w:firstLine="48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如违反以上承诺，本公司愿承担一切法律责任。</w:t>
      </w:r>
    </w:p>
    <w:p>
      <w:pPr>
        <w:ind w:firstLine="480"/>
        <w:rPr>
          <w:rFonts w:asciiTheme="minorEastAsia" w:hAnsiTheme="minorEastAsia" w:eastAsiaTheme="minorEastAsia" w:cstheme="minorEastAsia"/>
          <w:color w:val="auto"/>
          <w:highlight w:val="none"/>
          <w:lang w:val="zh-CN"/>
        </w:rPr>
      </w:pPr>
    </w:p>
    <w:p>
      <w:pPr>
        <w:pStyle w:val="17"/>
        <w:ind w:firstLine="480"/>
        <w:rPr>
          <w:rFonts w:asciiTheme="minorEastAsia" w:hAnsiTheme="minorEastAsia" w:eastAsiaTheme="minorEastAsia" w:cstheme="minorEastAsia"/>
          <w:color w:val="auto"/>
          <w:highlight w:val="none"/>
          <w:lang w:val="zh-CN"/>
        </w:rPr>
      </w:pPr>
    </w:p>
    <w:p>
      <w:pPr>
        <w:pStyle w:val="17"/>
        <w:ind w:firstLine="480"/>
        <w:rPr>
          <w:rFonts w:asciiTheme="minorEastAsia" w:hAnsiTheme="minorEastAsia" w:eastAsiaTheme="minorEastAsia" w:cstheme="minorEastAsia"/>
          <w:color w:val="auto"/>
          <w:highlight w:val="none"/>
          <w:lang w:val="zh-CN"/>
        </w:rPr>
      </w:pPr>
    </w:p>
    <w:p>
      <w:pPr>
        <w:pStyle w:val="17"/>
        <w:ind w:firstLine="480"/>
        <w:rPr>
          <w:rFonts w:asciiTheme="minorEastAsia" w:hAnsiTheme="minorEastAsia" w:eastAsiaTheme="minorEastAsia" w:cstheme="minorEastAsia"/>
          <w:color w:val="auto"/>
          <w:sz w:val="28"/>
          <w:szCs w:val="28"/>
          <w:highlight w:val="none"/>
          <w:lang w:val="zh-CN"/>
        </w:rPr>
      </w:pPr>
    </w:p>
    <w:p>
      <w:pPr>
        <w:widowControl/>
        <w:wordWrap w:val="0"/>
        <w:ind w:firstLine="480"/>
        <w:jc w:val="right"/>
        <w:rPr>
          <w:rFonts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sz w:val="24"/>
          <w:szCs w:val="32"/>
          <w:highlight w:val="none"/>
        </w:rPr>
        <w:t>投标人名称</w:t>
      </w:r>
      <w:r>
        <w:rPr>
          <w:rFonts w:hint="eastAsia" w:asciiTheme="minorEastAsia" w:hAnsiTheme="minorEastAsia" w:eastAsiaTheme="minorEastAsia" w:cstheme="minorEastAsia"/>
          <w:color w:val="auto"/>
          <w:kern w:val="0"/>
          <w:sz w:val="24"/>
          <w:szCs w:val="32"/>
          <w:highlight w:val="none"/>
        </w:rPr>
        <w:t>(</w:t>
      </w:r>
      <w:r>
        <w:rPr>
          <w:rFonts w:hint="eastAsia" w:asciiTheme="minorEastAsia" w:hAnsiTheme="minorEastAsia" w:eastAsiaTheme="minorEastAsia" w:cstheme="minorEastAsia"/>
          <w:color w:val="auto"/>
          <w:sz w:val="24"/>
          <w:szCs w:val="32"/>
          <w:highlight w:val="none"/>
        </w:rPr>
        <w:t xml:space="preserve">公章或CA签章)： </w:t>
      </w:r>
      <w:r>
        <w:rPr>
          <w:rFonts w:hint="eastAsia" w:asciiTheme="minorEastAsia" w:hAnsiTheme="minorEastAsia" w:eastAsiaTheme="minorEastAsia" w:cstheme="minorEastAsia"/>
          <w:color w:val="auto"/>
          <w:kern w:val="0"/>
          <w:sz w:val="24"/>
          <w:szCs w:val="32"/>
          <w:highlight w:val="none"/>
        </w:rPr>
        <w:t xml:space="preserve">            </w:t>
      </w:r>
    </w:p>
    <w:p>
      <w:pPr>
        <w:widowControl/>
        <w:ind w:firstLine="480"/>
        <w:jc w:val="left"/>
        <w:rPr>
          <w:rFonts w:asciiTheme="minorEastAsia" w:hAnsiTheme="minorEastAsia" w:eastAsiaTheme="minorEastAsia" w:cstheme="minorEastAsia"/>
          <w:color w:val="auto"/>
          <w:kern w:val="0"/>
          <w:sz w:val="28"/>
          <w:szCs w:val="36"/>
          <w:highlight w:val="none"/>
        </w:rPr>
      </w:pPr>
    </w:p>
    <w:p>
      <w:pPr>
        <w:widowControl/>
        <w:ind w:firstLine="480"/>
        <w:jc w:val="right"/>
        <w:rPr>
          <w:rFonts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kern w:val="0"/>
          <w:sz w:val="24"/>
          <w:szCs w:val="32"/>
          <w:highlight w:val="none"/>
        </w:rPr>
        <w:t>法定代表人(签字或盖章)或授权委托代理人(签字)：</w:t>
      </w:r>
    </w:p>
    <w:p>
      <w:pPr>
        <w:widowControl/>
        <w:ind w:firstLine="480"/>
        <w:jc w:val="left"/>
        <w:rPr>
          <w:rFonts w:asciiTheme="minorEastAsia" w:hAnsiTheme="minorEastAsia" w:eastAsiaTheme="minorEastAsia" w:cstheme="minorEastAsia"/>
          <w:color w:val="auto"/>
          <w:kern w:val="0"/>
          <w:sz w:val="24"/>
          <w:szCs w:val="32"/>
          <w:highlight w:val="none"/>
        </w:rPr>
      </w:pPr>
    </w:p>
    <w:p>
      <w:pPr>
        <w:ind w:firstLine="480"/>
        <w:jc w:val="right"/>
        <w:rPr>
          <w:rFonts w:asciiTheme="minorEastAsia" w:hAnsiTheme="minorEastAsia" w:eastAsiaTheme="minorEastAsia" w:cstheme="minorEastAsia"/>
          <w:color w:val="auto"/>
          <w:sz w:val="22"/>
          <w:szCs w:val="28"/>
          <w:highlight w:val="none"/>
        </w:rPr>
      </w:pPr>
      <w:r>
        <w:rPr>
          <w:rFonts w:hint="eastAsia" w:asciiTheme="minorEastAsia" w:hAnsiTheme="minorEastAsia" w:eastAsiaTheme="minorEastAsia" w:cstheme="minorEastAsia"/>
          <w:color w:val="auto"/>
          <w:kern w:val="0"/>
          <w:sz w:val="24"/>
          <w:szCs w:val="32"/>
          <w:highlight w:val="none"/>
        </w:rPr>
        <w:t>日期：</w:t>
      </w:r>
      <w:r>
        <w:rPr>
          <w:rFonts w:hint="eastAsia" w:asciiTheme="minorEastAsia" w:hAnsiTheme="minorEastAsia" w:eastAsiaTheme="minorEastAsia" w:cstheme="minorEastAsia"/>
          <w:color w:val="auto"/>
          <w:sz w:val="24"/>
          <w:szCs w:val="32"/>
          <w:highlight w:val="none"/>
          <w:u w:val="single"/>
        </w:rPr>
        <w:t xml:space="preserve">     </w:t>
      </w:r>
      <w:r>
        <w:rPr>
          <w:rFonts w:hint="eastAsia" w:asciiTheme="minorEastAsia" w:hAnsiTheme="minorEastAsia" w:eastAsiaTheme="minorEastAsia" w:cstheme="minorEastAsia"/>
          <w:color w:val="auto"/>
          <w:kern w:val="0"/>
          <w:sz w:val="24"/>
          <w:szCs w:val="32"/>
          <w:highlight w:val="none"/>
          <w:lang w:val="zh-CN"/>
        </w:rPr>
        <w:t>年</w:t>
      </w:r>
      <w:r>
        <w:rPr>
          <w:rFonts w:hint="eastAsia" w:asciiTheme="minorEastAsia" w:hAnsiTheme="minorEastAsia" w:eastAsiaTheme="minorEastAsia" w:cstheme="minorEastAsia"/>
          <w:color w:val="auto"/>
          <w:sz w:val="24"/>
          <w:szCs w:val="32"/>
          <w:highlight w:val="none"/>
          <w:u w:val="single"/>
        </w:rPr>
        <w:t xml:space="preserve">     </w:t>
      </w:r>
      <w:r>
        <w:rPr>
          <w:rFonts w:hint="eastAsia" w:asciiTheme="minorEastAsia" w:hAnsiTheme="minorEastAsia" w:eastAsiaTheme="minorEastAsia" w:cstheme="minorEastAsia"/>
          <w:color w:val="auto"/>
          <w:kern w:val="0"/>
          <w:sz w:val="24"/>
          <w:szCs w:val="32"/>
          <w:highlight w:val="none"/>
          <w:lang w:val="zh-CN"/>
        </w:rPr>
        <w:t>月</w:t>
      </w:r>
      <w:r>
        <w:rPr>
          <w:rFonts w:hint="eastAsia" w:asciiTheme="minorEastAsia" w:hAnsiTheme="minorEastAsia" w:eastAsiaTheme="minorEastAsia" w:cstheme="minorEastAsia"/>
          <w:color w:val="auto"/>
          <w:sz w:val="24"/>
          <w:szCs w:val="32"/>
          <w:highlight w:val="none"/>
          <w:u w:val="single"/>
        </w:rPr>
        <w:t xml:space="preserve">     </w:t>
      </w:r>
      <w:r>
        <w:rPr>
          <w:rFonts w:hint="eastAsia" w:asciiTheme="minorEastAsia" w:hAnsiTheme="minorEastAsia" w:eastAsiaTheme="minorEastAsia" w:cstheme="minorEastAsia"/>
          <w:color w:val="auto"/>
          <w:kern w:val="0"/>
          <w:sz w:val="24"/>
          <w:szCs w:val="32"/>
          <w:highlight w:val="none"/>
          <w:lang w:val="zh-CN"/>
        </w:rPr>
        <w:t>日</w:t>
      </w:r>
    </w:p>
    <w:p>
      <w:pPr>
        <w:ind w:firstLine="562"/>
        <w:rPr>
          <w:rFonts w:hint="eastAsia"/>
          <w:b/>
          <w:bCs/>
          <w:color w:val="auto"/>
          <w:sz w:val="32"/>
          <w:szCs w:val="32"/>
          <w:highlight w:val="none"/>
        </w:rPr>
      </w:pPr>
    </w:p>
    <w:p>
      <w:pPr>
        <w:ind w:firstLine="562"/>
        <w:rPr>
          <w:rFonts w:hint="eastAsia"/>
          <w:b/>
          <w:bCs/>
          <w:color w:val="auto"/>
          <w:sz w:val="28"/>
          <w:szCs w:val="28"/>
          <w:highlight w:val="none"/>
        </w:rPr>
      </w:pPr>
    </w:p>
    <w:p>
      <w:pPr>
        <w:ind w:firstLine="562"/>
        <w:rPr>
          <w:rFonts w:hint="eastAsia"/>
          <w:b/>
          <w:bCs/>
          <w:color w:val="auto"/>
          <w:sz w:val="28"/>
          <w:szCs w:val="28"/>
          <w:highlight w:val="none"/>
        </w:rPr>
      </w:pPr>
    </w:p>
    <w:p>
      <w:pPr>
        <w:ind w:firstLine="562"/>
        <w:rPr>
          <w:rFonts w:hint="eastAsia"/>
          <w:b/>
          <w:bCs/>
          <w:color w:val="auto"/>
          <w:sz w:val="28"/>
          <w:szCs w:val="28"/>
          <w:highlight w:val="none"/>
        </w:rPr>
      </w:pPr>
    </w:p>
    <w:p>
      <w:pPr>
        <w:ind w:firstLine="562"/>
        <w:rPr>
          <w:rFonts w:hint="eastAsia"/>
          <w:b/>
          <w:bCs/>
          <w:color w:val="auto"/>
          <w:sz w:val="28"/>
          <w:szCs w:val="28"/>
          <w:highlight w:val="none"/>
        </w:rPr>
      </w:pPr>
    </w:p>
    <w:p>
      <w:pPr>
        <w:ind w:firstLine="562"/>
        <w:rPr>
          <w:rFonts w:hint="eastAsia"/>
          <w:b/>
          <w:bCs/>
          <w:color w:val="auto"/>
          <w:sz w:val="28"/>
          <w:szCs w:val="28"/>
          <w:highlight w:val="none"/>
        </w:rPr>
      </w:pPr>
    </w:p>
    <w:p>
      <w:pPr>
        <w:spacing w:line="360" w:lineRule="auto"/>
        <w:ind w:right="-110"/>
        <w:rPr>
          <w:rFonts w:hint="eastAsia" w:ascii="宋体" w:hAnsi="宋体" w:eastAsia="宋体" w:cs="Times New Roman"/>
          <w:b/>
          <w:color w:val="auto"/>
          <w:sz w:val="32"/>
          <w:szCs w:val="32"/>
          <w:highlight w:val="none"/>
          <w:lang w:eastAsia="zh-CN"/>
        </w:rPr>
      </w:pPr>
      <w:r>
        <w:rPr>
          <w:rFonts w:hint="eastAsia" w:ascii="宋体" w:hAnsi="宋体" w:eastAsia="宋体" w:cs="Times New Roman"/>
          <w:b/>
          <w:color w:val="auto"/>
          <w:sz w:val="32"/>
          <w:szCs w:val="32"/>
          <w:highlight w:val="none"/>
        </w:rPr>
        <w:t>附件</w:t>
      </w:r>
      <w:r>
        <w:rPr>
          <w:rFonts w:hint="eastAsia" w:ascii="宋体" w:hAnsi="宋体" w:eastAsia="宋体" w:cs="Times New Roman"/>
          <w:b/>
          <w:color w:val="auto"/>
          <w:sz w:val="32"/>
          <w:szCs w:val="32"/>
          <w:highlight w:val="none"/>
          <w:lang w:val="en-US" w:eastAsia="zh-CN"/>
        </w:rPr>
        <w:t>5：</w:t>
      </w:r>
    </w:p>
    <w:p>
      <w:pPr>
        <w:spacing w:after="312" w:afterLines="100" w:line="480" w:lineRule="auto"/>
        <w:ind w:firstLine="482"/>
        <w:jc w:val="center"/>
        <w:rPr>
          <w:rFonts w:asciiTheme="minorEastAsia" w:hAnsiTheme="minorEastAsia" w:eastAsiaTheme="minorEastAsia" w:cstheme="minorEastAsia"/>
          <w:color w:val="auto"/>
          <w:sz w:val="28"/>
          <w:szCs w:val="36"/>
          <w:highlight w:val="none"/>
        </w:rPr>
      </w:pPr>
      <w:r>
        <w:rPr>
          <w:rFonts w:hint="eastAsia" w:asciiTheme="minorEastAsia" w:hAnsiTheme="minorEastAsia" w:eastAsiaTheme="minorEastAsia" w:cstheme="minorEastAsia"/>
          <w:b/>
          <w:bCs/>
          <w:color w:val="auto"/>
          <w:kern w:val="0"/>
          <w:sz w:val="28"/>
          <w:szCs w:val="36"/>
          <w:highlight w:val="none"/>
          <w:lang w:val="zh-CN"/>
        </w:rPr>
        <w:t>无税收缴纳、社会保障等方面的失信记录的承诺函</w:t>
      </w:r>
    </w:p>
    <w:p>
      <w:pPr>
        <w:widowControl/>
        <w:spacing w:line="600" w:lineRule="exact"/>
        <w:ind w:firstLine="480"/>
        <w:rPr>
          <w:rFonts w:ascii="宋体" w:hAnsi="宋体" w:eastAsia="宋体" w:cs="宋体"/>
          <w:color w:val="auto"/>
          <w:kern w:val="0"/>
          <w:highlight w:val="none"/>
        </w:rPr>
      </w:pPr>
    </w:p>
    <w:p>
      <w:pPr>
        <w:widowControl/>
        <w:spacing w:line="480" w:lineRule="auto"/>
        <w:ind w:firstLine="480"/>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sz w:val="24"/>
          <w:szCs w:val="24"/>
          <w:highlight w:val="none"/>
          <w:u w:val="single"/>
        </w:rPr>
        <w:t>浙江建航工程咨询有限公司</w:t>
      </w:r>
    </w:p>
    <w:p>
      <w:pPr>
        <w:pStyle w:val="17"/>
        <w:spacing w:line="48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我公司参加</w:t>
      </w:r>
      <w:r>
        <w:rPr>
          <w:rFonts w:hint="eastAsia" w:ascii="宋体" w:hAnsi="宋体" w:cs="宋体"/>
          <w:color w:val="auto"/>
          <w:sz w:val="24"/>
          <w:szCs w:val="24"/>
          <w:highlight w:val="none"/>
          <w:u w:val="single"/>
          <w:lang w:eastAsia="zh-CN"/>
        </w:rPr>
        <w:t>垃圾处置清理及环境整治工程</w:t>
      </w:r>
      <w:r>
        <w:rPr>
          <w:rFonts w:hint="eastAsia" w:ascii="宋体" w:hAnsi="宋体" w:eastAsia="宋体" w:cs="宋体"/>
          <w:color w:val="auto"/>
          <w:sz w:val="24"/>
          <w:szCs w:val="24"/>
          <w:highlight w:val="none"/>
          <w:u w:val="single"/>
        </w:rPr>
        <w:t>（编号为ZJJH-2022-088号）</w:t>
      </w:r>
      <w:r>
        <w:rPr>
          <w:rFonts w:hint="eastAsia" w:ascii="宋体" w:hAnsi="宋体" w:eastAsia="宋体" w:cs="宋体"/>
          <w:color w:val="auto"/>
          <w:sz w:val="24"/>
          <w:szCs w:val="24"/>
          <w:highlight w:val="none"/>
        </w:rPr>
        <w:t>的投标活动，作如下承诺：</w:t>
      </w:r>
    </w:p>
    <w:p>
      <w:pPr>
        <w:pStyle w:val="17"/>
        <w:spacing w:line="48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pPr>
        <w:spacing w:line="480" w:lineRule="auto"/>
        <w:ind w:firstLine="48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如违反以上承诺，本公司愿承担一切法律责任。</w:t>
      </w:r>
    </w:p>
    <w:p>
      <w:pPr>
        <w:ind w:firstLine="480"/>
        <w:rPr>
          <w:rFonts w:asciiTheme="minorEastAsia" w:hAnsiTheme="minorEastAsia" w:eastAsiaTheme="minorEastAsia" w:cstheme="minorEastAsia"/>
          <w:color w:val="auto"/>
          <w:highlight w:val="none"/>
          <w:lang w:val="zh-CN"/>
        </w:rPr>
      </w:pPr>
    </w:p>
    <w:p>
      <w:pPr>
        <w:pStyle w:val="17"/>
        <w:ind w:firstLine="480"/>
        <w:rPr>
          <w:rFonts w:asciiTheme="minorEastAsia" w:hAnsiTheme="minorEastAsia" w:eastAsiaTheme="minorEastAsia" w:cstheme="minorEastAsia"/>
          <w:color w:val="auto"/>
          <w:highlight w:val="none"/>
          <w:lang w:val="zh-CN"/>
        </w:rPr>
      </w:pPr>
    </w:p>
    <w:p>
      <w:pPr>
        <w:pStyle w:val="17"/>
        <w:ind w:firstLine="480"/>
        <w:rPr>
          <w:rFonts w:asciiTheme="minorEastAsia" w:hAnsiTheme="minorEastAsia" w:eastAsiaTheme="minorEastAsia" w:cstheme="minorEastAsia"/>
          <w:color w:val="auto"/>
          <w:highlight w:val="none"/>
          <w:lang w:val="zh-CN"/>
        </w:rPr>
      </w:pPr>
    </w:p>
    <w:p>
      <w:pPr>
        <w:widowControl/>
        <w:wordWrap w:val="0"/>
        <w:ind w:firstLine="480"/>
        <w:jc w:val="right"/>
        <w:rPr>
          <w:rFonts w:asciiTheme="minorEastAsia" w:hAnsiTheme="minorEastAsia" w:eastAsiaTheme="minorEastAsia" w:cstheme="minorEastAsia"/>
          <w:color w:val="auto"/>
          <w:kern w:val="0"/>
          <w:sz w:val="22"/>
          <w:szCs w:val="28"/>
          <w:highlight w:val="none"/>
        </w:rPr>
      </w:pPr>
      <w:r>
        <w:rPr>
          <w:rFonts w:hint="eastAsia" w:asciiTheme="minorEastAsia" w:hAnsiTheme="minorEastAsia" w:eastAsiaTheme="minorEastAsia" w:cstheme="minorEastAsia"/>
          <w:color w:val="auto"/>
          <w:sz w:val="22"/>
          <w:szCs w:val="28"/>
          <w:highlight w:val="none"/>
        </w:rPr>
        <w:t xml:space="preserve">投标人名称(公章或CA签章)： </w:t>
      </w:r>
      <w:r>
        <w:rPr>
          <w:rFonts w:hint="eastAsia" w:asciiTheme="minorEastAsia" w:hAnsiTheme="minorEastAsia" w:eastAsiaTheme="minorEastAsia" w:cstheme="minorEastAsia"/>
          <w:color w:val="auto"/>
          <w:kern w:val="0"/>
          <w:sz w:val="22"/>
          <w:szCs w:val="28"/>
          <w:highlight w:val="none"/>
        </w:rPr>
        <w:t xml:space="preserve">            </w:t>
      </w:r>
    </w:p>
    <w:p>
      <w:pPr>
        <w:widowControl/>
        <w:ind w:firstLine="480"/>
        <w:jc w:val="left"/>
        <w:rPr>
          <w:rFonts w:asciiTheme="minorEastAsia" w:hAnsiTheme="minorEastAsia" w:eastAsiaTheme="minorEastAsia" w:cstheme="minorEastAsia"/>
          <w:color w:val="auto"/>
          <w:kern w:val="0"/>
          <w:sz w:val="22"/>
          <w:szCs w:val="28"/>
          <w:highlight w:val="none"/>
        </w:rPr>
      </w:pPr>
    </w:p>
    <w:p>
      <w:pPr>
        <w:widowControl/>
        <w:ind w:firstLine="480"/>
        <w:jc w:val="right"/>
        <w:rPr>
          <w:rFonts w:asciiTheme="minorEastAsia" w:hAnsiTheme="minorEastAsia" w:eastAsiaTheme="minorEastAsia" w:cstheme="minorEastAsia"/>
          <w:color w:val="auto"/>
          <w:kern w:val="0"/>
          <w:sz w:val="22"/>
          <w:szCs w:val="28"/>
          <w:highlight w:val="none"/>
        </w:rPr>
      </w:pPr>
      <w:r>
        <w:rPr>
          <w:rFonts w:hint="eastAsia" w:asciiTheme="minorEastAsia" w:hAnsiTheme="minorEastAsia" w:eastAsiaTheme="minorEastAsia" w:cstheme="minorEastAsia"/>
          <w:color w:val="auto"/>
          <w:kern w:val="0"/>
          <w:sz w:val="22"/>
          <w:szCs w:val="28"/>
          <w:highlight w:val="none"/>
        </w:rPr>
        <w:t>法定代表人(签字或盖章)或授权委托代理人(签字)：</w:t>
      </w:r>
    </w:p>
    <w:p>
      <w:pPr>
        <w:widowControl/>
        <w:ind w:firstLine="480"/>
        <w:jc w:val="left"/>
        <w:rPr>
          <w:rFonts w:asciiTheme="minorEastAsia" w:hAnsiTheme="minorEastAsia" w:eastAsiaTheme="minorEastAsia" w:cstheme="minorEastAsia"/>
          <w:color w:val="auto"/>
          <w:kern w:val="0"/>
          <w:sz w:val="22"/>
          <w:szCs w:val="28"/>
          <w:highlight w:val="none"/>
        </w:rPr>
      </w:pPr>
    </w:p>
    <w:p>
      <w:pPr>
        <w:ind w:firstLine="480"/>
        <w:jc w:val="right"/>
        <w:rPr>
          <w:rFonts w:asciiTheme="minorEastAsia" w:hAnsiTheme="minorEastAsia" w:eastAsiaTheme="minorEastAsia" w:cstheme="minorEastAsia"/>
          <w:color w:val="auto"/>
          <w:sz w:val="22"/>
          <w:szCs w:val="28"/>
          <w:highlight w:val="none"/>
        </w:rPr>
      </w:pPr>
      <w:r>
        <w:rPr>
          <w:rFonts w:hint="eastAsia" w:asciiTheme="minorEastAsia" w:hAnsiTheme="minorEastAsia" w:eastAsiaTheme="minorEastAsia" w:cstheme="minorEastAsia"/>
          <w:color w:val="auto"/>
          <w:kern w:val="0"/>
          <w:sz w:val="22"/>
          <w:szCs w:val="28"/>
          <w:highlight w:val="none"/>
        </w:rPr>
        <w:t>日期：</w:t>
      </w:r>
      <w:r>
        <w:rPr>
          <w:rFonts w:hint="eastAsia" w:asciiTheme="minorEastAsia" w:hAnsiTheme="minorEastAsia" w:eastAsiaTheme="minorEastAsia" w:cstheme="minorEastAsia"/>
          <w:color w:val="auto"/>
          <w:sz w:val="22"/>
          <w:szCs w:val="28"/>
          <w:highlight w:val="none"/>
          <w:u w:val="single"/>
        </w:rPr>
        <w:t xml:space="preserve">     </w:t>
      </w:r>
      <w:r>
        <w:rPr>
          <w:rFonts w:hint="eastAsia" w:asciiTheme="minorEastAsia" w:hAnsiTheme="minorEastAsia" w:eastAsiaTheme="minorEastAsia" w:cstheme="minorEastAsia"/>
          <w:color w:val="auto"/>
          <w:kern w:val="0"/>
          <w:sz w:val="22"/>
          <w:szCs w:val="28"/>
          <w:highlight w:val="none"/>
          <w:lang w:val="zh-CN"/>
        </w:rPr>
        <w:t>年</w:t>
      </w:r>
      <w:r>
        <w:rPr>
          <w:rFonts w:hint="eastAsia" w:asciiTheme="minorEastAsia" w:hAnsiTheme="minorEastAsia" w:eastAsiaTheme="minorEastAsia" w:cstheme="minorEastAsia"/>
          <w:color w:val="auto"/>
          <w:sz w:val="22"/>
          <w:szCs w:val="28"/>
          <w:highlight w:val="none"/>
          <w:u w:val="single"/>
        </w:rPr>
        <w:t xml:space="preserve">     </w:t>
      </w:r>
      <w:r>
        <w:rPr>
          <w:rFonts w:hint="eastAsia" w:asciiTheme="minorEastAsia" w:hAnsiTheme="minorEastAsia" w:eastAsiaTheme="minorEastAsia" w:cstheme="minorEastAsia"/>
          <w:color w:val="auto"/>
          <w:kern w:val="0"/>
          <w:sz w:val="22"/>
          <w:szCs w:val="28"/>
          <w:highlight w:val="none"/>
          <w:lang w:val="zh-CN"/>
        </w:rPr>
        <w:t>月</w:t>
      </w:r>
      <w:r>
        <w:rPr>
          <w:rFonts w:hint="eastAsia" w:asciiTheme="minorEastAsia" w:hAnsiTheme="minorEastAsia" w:eastAsiaTheme="minorEastAsia" w:cstheme="minorEastAsia"/>
          <w:color w:val="auto"/>
          <w:sz w:val="22"/>
          <w:szCs w:val="28"/>
          <w:highlight w:val="none"/>
          <w:u w:val="single"/>
        </w:rPr>
        <w:t xml:space="preserve">     </w:t>
      </w:r>
      <w:r>
        <w:rPr>
          <w:rFonts w:hint="eastAsia" w:asciiTheme="minorEastAsia" w:hAnsiTheme="minorEastAsia" w:eastAsiaTheme="minorEastAsia" w:cstheme="minorEastAsia"/>
          <w:color w:val="auto"/>
          <w:kern w:val="0"/>
          <w:sz w:val="22"/>
          <w:szCs w:val="28"/>
          <w:highlight w:val="none"/>
          <w:lang w:val="zh-CN"/>
        </w:rPr>
        <w:t>日</w:t>
      </w:r>
    </w:p>
    <w:p>
      <w:pPr>
        <w:ind w:firstLine="562"/>
        <w:rPr>
          <w:rFonts w:hint="eastAsia"/>
          <w:b/>
          <w:bCs/>
          <w:color w:val="auto"/>
          <w:sz w:val="28"/>
          <w:szCs w:val="28"/>
          <w:highlight w:val="none"/>
        </w:rPr>
      </w:pPr>
    </w:p>
    <w:p>
      <w:pPr>
        <w:ind w:firstLine="562"/>
        <w:rPr>
          <w:rFonts w:hint="eastAsia"/>
          <w:b/>
          <w:bCs/>
          <w:color w:val="auto"/>
          <w:sz w:val="28"/>
          <w:szCs w:val="28"/>
          <w:highlight w:val="none"/>
        </w:rPr>
      </w:pPr>
    </w:p>
    <w:p>
      <w:pPr>
        <w:ind w:firstLine="562"/>
        <w:rPr>
          <w:rFonts w:hint="eastAsia"/>
          <w:b/>
          <w:bCs/>
          <w:color w:val="auto"/>
          <w:sz w:val="28"/>
          <w:szCs w:val="28"/>
          <w:highlight w:val="none"/>
        </w:rPr>
      </w:pPr>
    </w:p>
    <w:p>
      <w:pPr>
        <w:ind w:firstLine="562"/>
        <w:rPr>
          <w:rFonts w:hint="eastAsia"/>
          <w:b/>
          <w:bCs/>
          <w:color w:val="auto"/>
          <w:sz w:val="28"/>
          <w:szCs w:val="28"/>
          <w:highlight w:val="none"/>
        </w:rPr>
      </w:pPr>
    </w:p>
    <w:p>
      <w:pPr>
        <w:ind w:firstLine="562"/>
        <w:rPr>
          <w:rFonts w:hint="eastAsia"/>
          <w:b/>
          <w:bCs/>
          <w:color w:val="auto"/>
          <w:sz w:val="28"/>
          <w:szCs w:val="28"/>
          <w:highlight w:val="none"/>
        </w:rPr>
      </w:pPr>
    </w:p>
    <w:p>
      <w:pPr>
        <w:ind w:firstLine="562"/>
        <w:rPr>
          <w:rFonts w:hint="eastAsia"/>
          <w:b/>
          <w:bCs/>
          <w:color w:val="auto"/>
          <w:sz w:val="28"/>
          <w:szCs w:val="28"/>
          <w:highlight w:val="none"/>
        </w:rPr>
      </w:pPr>
    </w:p>
    <w:p>
      <w:pPr>
        <w:spacing w:line="360" w:lineRule="auto"/>
        <w:ind w:right="-110"/>
        <w:rPr>
          <w:rFonts w:hint="eastAsia" w:ascii="宋体" w:hAnsi="宋体" w:eastAsia="宋体" w:cs="Times New Roman"/>
          <w:b/>
          <w:color w:val="auto"/>
          <w:sz w:val="32"/>
          <w:szCs w:val="32"/>
          <w:highlight w:val="none"/>
        </w:rPr>
      </w:pPr>
    </w:p>
    <w:p>
      <w:pPr>
        <w:spacing w:line="360" w:lineRule="auto"/>
        <w:ind w:right="-110"/>
        <w:rPr>
          <w:rFonts w:hint="eastAsia" w:ascii="宋体" w:hAnsi="宋体" w:eastAsia="宋体" w:cs="Times New Roman"/>
          <w:b/>
          <w:color w:val="auto"/>
          <w:sz w:val="32"/>
          <w:szCs w:val="32"/>
          <w:highlight w:val="none"/>
          <w:lang w:eastAsia="zh-CN"/>
        </w:rPr>
      </w:pPr>
      <w:r>
        <w:rPr>
          <w:rFonts w:hint="eastAsia" w:ascii="宋体" w:hAnsi="宋体" w:eastAsia="宋体" w:cs="Times New Roman"/>
          <w:b/>
          <w:color w:val="auto"/>
          <w:sz w:val="32"/>
          <w:szCs w:val="32"/>
          <w:highlight w:val="none"/>
        </w:rPr>
        <w:t>附件</w:t>
      </w:r>
      <w:r>
        <w:rPr>
          <w:rFonts w:hint="eastAsia" w:ascii="宋体" w:hAnsi="宋体" w:eastAsia="宋体" w:cs="Times New Roman"/>
          <w:b/>
          <w:color w:val="auto"/>
          <w:sz w:val="32"/>
          <w:szCs w:val="32"/>
          <w:highlight w:val="none"/>
          <w:lang w:val="en-US" w:eastAsia="zh-CN"/>
        </w:rPr>
        <w:t>6：</w:t>
      </w:r>
    </w:p>
    <w:p>
      <w:pPr>
        <w:widowControl/>
        <w:spacing w:line="360" w:lineRule="auto"/>
        <w:ind w:firstLine="458"/>
        <w:jc w:val="center"/>
        <w:outlineLvl w:val="2"/>
        <w:rPr>
          <w:rFonts w:asciiTheme="minorEastAsia" w:hAnsiTheme="minorEastAsia" w:eastAsiaTheme="minorEastAsia" w:cstheme="minorEastAsia"/>
          <w:b/>
          <w:color w:val="auto"/>
          <w:spacing w:val="-6"/>
          <w:sz w:val="24"/>
          <w:szCs w:val="32"/>
          <w:highlight w:val="none"/>
        </w:rPr>
      </w:pPr>
      <w:r>
        <w:rPr>
          <w:rFonts w:hint="eastAsia" w:asciiTheme="minorEastAsia" w:hAnsiTheme="minorEastAsia" w:eastAsiaTheme="minorEastAsia" w:cstheme="minorEastAsia"/>
          <w:b/>
          <w:color w:val="auto"/>
          <w:spacing w:val="-6"/>
          <w:sz w:val="24"/>
          <w:szCs w:val="32"/>
          <w:highlight w:val="none"/>
        </w:rPr>
        <w:t>参加政府采购活动前3年内在经营活动中没有重大违法记录的书面声明</w:t>
      </w:r>
    </w:p>
    <w:p>
      <w:pPr>
        <w:pStyle w:val="33"/>
        <w:spacing w:line="360" w:lineRule="auto"/>
        <w:ind w:left="169" w:hanging="199" w:hangingChars="74"/>
        <w:jc w:val="center"/>
        <w:rPr>
          <w:rFonts w:asciiTheme="minorEastAsia" w:hAnsiTheme="minorEastAsia" w:eastAsiaTheme="minorEastAsia" w:cstheme="minorEastAsia"/>
          <w:b/>
          <w:color w:val="auto"/>
          <w:spacing w:val="-6"/>
          <w:sz w:val="28"/>
          <w:szCs w:val="36"/>
          <w:highlight w:val="none"/>
        </w:rPr>
      </w:pPr>
      <w:r>
        <w:rPr>
          <w:rFonts w:hint="eastAsia" w:asciiTheme="minorEastAsia" w:hAnsiTheme="minorEastAsia" w:eastAsiaTheme="minorEastAsia" w:cstheme="minorEastAsia"/>
          <w:b/>
          <w:color w:val="auto"/>
          <w:spacing w:val="-6"/>
          <w:sz w:val="28"/>
          <w:szCs w:val="36"/>
          <w:highlight w:val="none"/>
        </w:rPr>
        <w:t>声明函</w:t>
      </w:r>
    </w:p>
    <w:p>
      <w:pPr>
        <w:spacing w:line="480" w:lineRule="auto"/>
        <w:ind w:firstLine="456"/>
        <w:rPr>
          <w:rFonts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致：</w:t>
      </w:r>
      <w:r>
        <w:rPr>
          <w:rFonts w:hint="eastAsia" w:asciiTheme="minorEastAsia" w:hAnsiTheme="minorEastAsia" w:eastAsiaTheme="minorEastAsia" w:cstheme="minorEastAsia"/>
          <w:color w:val="auto"/>
          <w:spacing w:val="-6"/>
          <w:sz w:val="24"/>
          <w:szCs w:val="24"/>
          <w:highlight w:val="none"/>
          <w:u w:val="single"/>
        </w:rPr>
        <w:t>浙江建航工程咨询有限公司</w:t>
      </w:r>
    </w:p>
    <w:p>
      <w:pPr>
        <w:spacing w:line="480" w:lineRule="auto"/>
        <w:ind w:firstLine="456"/>
        <w:rPr>
          <w:rFonts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我公司郑重承诺在参加本项目政府采购活动前三年内，在经营活动中</w:t>
      </w:r>
      <w:r>
        <w:rPr>
          <w:rFonts w:hint="eastAsia" w:asciiTheme="minorEastAsia" w:hAnsiTheme="minorEastAsia" w:eastAsiaTheme="minorEastAsia" w:cstheme="minorEastAsia"/>
          <w:b/>
          <w:color w:val="auto"/>
          <w:spacing w:val="-6"/>
          <w:sz w:val="24"/>
          <w:szCs w:val="24"/>
          <w:highlight w:val="none"/>
          <w:u w:val="single"/>
        </w:rPr>
        <w:t xml:space="preserve">     </w:t>
      </w:r>
      <w:r>
        <w:rPr>
          <w:rFonts w:hint="eastAsia" w:asciiTheme="minorEastAsia" w:hAnsiTheme="minorEastAsia" w:eastAsiaTheme="minorEastAsia" w:cstheme="minorEastAsia"/>
          <w:b/>
          <w:color w:val="auto"/>
          <w:spacing w:val="-6"/>
          <w:sz w:val="24"/>
          <w:szCs w:val="24"/>
          <w:highlight w:val="none"/>
        </w:rPr>
        <w:t>（填写“有”或“没有”，如实填写，如不填写视同未提供本声明函）</w:t>
      </w:r>
      <w:r>
        <w:rPr>
          <w:rFonts w:hint="eastAsia" w:asciiTheme="minorEastAsia" w:hAnsiTheme="minorEastAsia" w:eastAsiaTheme="minorEastAsia" w:cstheme="minorEastAsia"/>
          <w:color w:val="auto"/>
          <w:spacing w:val="-6"/>
          <w:sz w:val="24"/>
          <w:szCs w:val="24"/>
          <w:highlight w:val="none"/>
        </w:rPr>
        <w:t>重大违法记录，重大违法记录是指供应商因违法经营受到刑事处罚或者责令停产停业、吊销许可证或者执照、较大数额罚款等行政处罚。</w:t>
      </w:r>
    </w:p>
    <w:p>
      <w:pPr>
        <w:spacing w:line="480" w:lineRule="auto"/>
        <w:ind w:firstLine="456"/>
        <w:rPr>
          <w:rFonts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以上事项如有虚假或隐瞒，我方愿意承担一切后果和责任。</w:t>
      </w:r>
    </w:p>
    <w:p>
      <w:pPr>
        <w:spacing w:line="480" w:lineRule="auto"/>
        <w:ind w:firstLine="456"/>
        <w:rPr>
          <w:rFonts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特此声明。</w:t>
      </w:r>
    </w:p>
    <w:p>
      <w:pPr>
        <w:spacing w:line="480" w:lineRule="auto"/>
        <w:ind w:firstLine="456"/>
        <w:rPr>
          <w:rFonts w:asciiTheme="minorEastAsia" w:hAnsiTheme="minorEastAsia" w:eastAsiaTheme="minorEastAsia" w:cstheme="minorEastAsia"/>
          <w:color w:val="auto"/>
          <w:spacing w:val="-6"/>
          <w:sz w:val="24"/>
          <w:szCs w:val="24"/>
          <w:highlight w:val="none"/>
        </w:rPr>
      </w:pPr>
    </w:p>
    <w:p>
      <w:pPr>
        <w:pStyle w:val="420"/>
        <w:spacing w:line="480" w:lineRule="auto"/>
        <w:rPr>
          <w:rFonts w:asciiTheme="minorEastAsia" w:hAnsiTheme="minorEastAsia" w:eastAsiaTheme="minorEastAsia" w:cstheme="minorEastAsia"/>
          <w:color w:val="auto"/>
          <w:spacing w:val="-6"/>
          <w:sz w:val="24"/>
          <w:szCs w:val="24"/>
          <w:highlight w:val="none"/>
        </w:rPr>
      </w:pPr>
    </w:p>
    <w:p>
      <w:pPr>
        <w:pStyle w:val="421"/>
        <w:spacing w:line="480" w:lineRule="auto"/>
        <w:ind w:left="0"/>
        <w:rPr>
          <w:rFonts w:asciiTheme="minorEastAsia" w:hAnsiTheme="minorEastAsia" w:eastAsiaTheme="minorEastAsia" w:cstheme="minorEastAsia"/>
          <w:color w:val="auto"/>
          <w:sz w:val="24"/>
          <w:szCs w:val="24"/>
          <w:highlight w:val="none"/>
        </w:rPr>
      </w:pPr>
    </w:p>
    <w:p>
      <w:pPr>
        <w:spacing w:line="480" w:lineRule="auto"/>
        <w:ind w:firstLine="456"/>
        <w:rPr>
          <w:rFonts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供应商名称（</w:t>
      </w:r>
      <w:r>
        <w:rPr>
          <w:rFonts w:hint="eastAsia" w:ascii="宋体" w:hAnsi="宋体" w:cs="宋体"/>
          <w:color w:val="auto"/>
          <w:sz w:val="24"/>
          <w:szCs w:val="24"/>
          <w:highlight w:val="none"/>
        </w:rPr>
        <w:t>公章或CA签章</w:t>
      </w:r>
      <w:r>
        <w:rPr>
          <w:rFonts w:hint="eastAsia" w:asciiTheme="minorEastAsia" w:hAnsiTheme="minorEastAsia" w:eastAsiaTheme="minorEastAsia" w:cstheme="minorEastAsia"/>
          <w:color w:val="auto"/>
          <w:spacing w:val="-6"/>
          <w:sz w:val="24"/>
          <w:szCs w:val="24"/>
          <w:highlight w:val="none"/>
        </w:rPr>
        <w:t>）：</w:t>
      </w:r>
    </w:p>
    <w:p>
      <w:pPr>
        <w:spacing w:line="480" w:lineRule="auto"/>
        <w:ind w:firstLine="480"/>
        <w:rPr>
          <w:rFonts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kern w:val="0"/>
          <w:sz w:val="24"/>
          <w:szCs w:val="24"/>
          <w:highlight w:val="none"/>
        </w:rPr>
        <w:t>法定代表人(签字或盖章)或授权委托代理人(签字)</w:t>
      </w:r>
      <w:r>
        <w:rPr>
          <w:rFonts w:hint="eastAsia" w:asciiTheme="minorEastAsia" w:hAnsiTheme="minorEastAsia" w:eastAsiaTheme="minorEastAsia" w:cstheme="minorEastAsia"/>
          <w:color w:val="auto"/>
          <w:spacing w:val="-6"/>
          <w:sz w:val="24"/>
          <w:szCs w:val="24"/>
          <w:highlight w:val="none"/>
        </w:rPr>
        <w:t>：</w:t>
      </w:r>
    </w:p>
    <w:p>
      <w:pPr>
        <w:widowControl/>
        <w:tabs>
          <w:tab w:val="left" w:pos="3225"/>
        </w:tabs>
        <w:spacing w:line="480" w:lineRule="auto"/>
        <w:ind w:firstLine="456"/>
        <w:rPr>
          <w:rFonts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日期：     年   月   日</w:t>
      </w:r>
    </w:p>
    <w:p>
      <w:pPr>
        <w:snapToGrid w:val="0"/>
        <w:spacing w:beforeLines="50" w:after="50" w:line="360" w:lineRule="auto"/>
        <w:rPr>
          <w:rFonts w:hint="eastAsia" w:ascii="宋体" w:hAnsi="宋体" w:cs="宋体"/>
          <w:b/>
          <w:color w:val="auto"/>
          <w:sz w:val="28"/>
          <w:highlight w:val="none"/>
        </w:rPr>
      </w:pPr>
    </w:p>
    <w:p>
      <w:pPr>
        <w:snapToGrid w:val="0"/>
        <w:spacing w:beforeLines="50" w:after="50" w:line="360" w:lineRule="auto"/>
        <w:rPr>
          <w:rFonts w:hint="eastAsia" w:ascii="宋体" w:hAnsi="宋体" w:cs="宋体"/>
          <w:b/>
          <w:color w:val="auto"/>
          <w:sz w:val="28"/>
          <w:highlight w:val="none"/>
        </w:rPr>
      </w:pPr>
    </w:p>
    <w:p>
      <w:pPr>
        <w:snapToGrid w:val="0"/>
        <w:spacing w:beforeLines="50" w:after="50" w:line="360" w:lineRule="auto"/>
        <w:rPr>
          <w:rFonts w:hint="eastAsia" w:ascii="宋体" w:hAnsi="宋体" w:cs="宋体"/>
          <w:b/>
          <w:color w:val="auto"/>
          <w:sz w:val="28"/>
          <w:highlight w:val="none"/>
        </w:rPr>
      </w:pPr>
    </w:p>
    <w:p>
      <w:pPr>
        <w:snapToGrid w:val="0"/>
        <w:spacing w:beforeLines="50" w:after="50" w:line="360" w:lineRule="auto"/>
        <w:rPr>
          <w:rFonts w:hint="eastAsia" w:ascii="宋体" w:hAnsi="宋体" w:cs="宋体"/>
          <w:b/>
          <w:color w:val="auto"/>
          <w:sz w:val="28"/>
          <w:highlight w:val="none"/>
        </w:rPr>
      </w:pPr>
    </w:p>
    <w:p>
      <w:pPr>
        <w:spacing w:line="360" w:lineRule="auto"/>
        <w:ind w:right="-110"/>
        <w:rPr>
          <w:rFonts w:hint="eastAsia" w:ascii="宋体" w:hAnsi="宋体"/>
          <w:b/>
          <w:color w:val="auto"/>
          <w:sz w:val="32"/>
          <w:szCs w:val="32"/>
          <w:highlight w:val="none"/>
        </w:rPr>
      </w:pPr>
    </w:p>
    <w:p>
      <w:pPr>
        <w:spacing w:line="360" w:lineRule="auto"/>
        <w:ind w:right="-110"/>
        <w:rPr>
          <w:rFonts w:hint="eastAsia" w:ascii="宋体" w:hAnsi="宋体"/>
          <w:b/>
          <w:color w:val="auto"/>
          <w:sz w:val="32"/>
          <w:szCs w:val="32"/>
          <w:highlight w:val="none"/>
        </w:rPr>
      </w:pPr>
      <w:r>
        <w:rPr>
          <w:rFonts w:hint="eastAsia" w:ascii="宋体" w:hAnsi="宋体"/>
          <w:b/>
          <w:color w:val="auto"/>
          <w:sz w:val="32"/>
          <w:szCs w:val="32"/>
          <w:highlight w:val="none"/>
        </w:rPr>
        <w:t>附件</w:t>
      </w:r>
      <w:r>
        <w:rPr>
          <w:rFonts w:hint="eastAsia" w:ascii="宋体" w:hAnsi="宋体"/>
          <w:b/>
          <w:color w:val="auto"/>
          <w:sz w:val="32"/>
          <w:szCs w:val="32"/>
          <w:highlight w:val="none"/>
          <w:lang w:val="en-US" w:eastAsia="zh-CN"/>
        </w:rPr>
        <w:t>7</w:t>
      </w:r>
      <w:r>
        <w:rPr>
          <w:rFonts w:hint="eastAsia" w:ascii="宋体" w:hAnsi="宋体"/>
          <w:b/>
          <w:color w:val="auto"/>
          <w:sz w:val="32"/>
          <w:szCs w:val="32"/>
          <w:highlight w:val="none"/>
        </w:rPr>
        <w:t>：</w:t>
      </w:r>
    </w:p>
    <w:p>
      <w:pPr>
        <w:spacing w:line="360" w:lineRule="auto"/>
        <w:ind w:right="-110"/>
        <w:jc w:val="center"/>
        <w:rPr>
          <w:b/>
          <w:color w:val="auto"/>
          <w:sz w:val="24"/>
          <w:highlight w:val="none"/>
        </w:rPr>
      </w:pPr>
      <w:r>
        <w:rPr>
          <w:rFonts w:hint="eastAsia"/>
          <w:b/>
          <w:color w:val="auto"/>
          <w:sz w:val="28"/>
          <w:szCs w:val="28"/>
          <w:highlight w:val="none"/>
        </w:rPr>
        <w:t>中小企业声明函（工程、服务类）</w:t>
      </w:r>
    </w:p>
    <w:p>
      <w:pPr>
        <w:pStyle w:val="24"/>
        <w:snapToGrid w:val="0"/>
        <w:spacing w:before="120" w:after="120" w:line="360" w:lineRule="auto"/>
        <w:ind w:firstLine="480"/>
        <w:jc w:val="left"/>
        <w:rPr>
          <w:bCs/>
          <w:color w:val="auto"/>
          <w:sz w:val="24"/>
          <w:highlight w:val="none"/>
        </w:rPr>
      </w:pPr>
      <w:r>
        <w:rPr>
          <w:rFonts w:hint="eastAsia"/>
          <w:bCs/>
          <w:color w:val="auto"/>
          <w:sz w:val="24"/>
          <w:highlight w:val="none"/>
        </w:rPr>
        <w:t>本公司（联合体）郑重声明，根据《政府采购促进中小企业发展管理办法》（财库［20</w:t>
      </w:r>
      <w:r>
        <w:rPr>
          <w:bCs/>
          <w:color w:val="auto"/>
          <w:sz w:val="24"/>
          <w:highlight w:val="none"/>
        </w:rPr>
        <w:t>20</w:t>
      </w:r>
      <w:r>
        <w:rPr>
          <w:rFonts w:hint="eastAsia"/>
          <w:bCs/>
          <w:color w:val="auto"/>
          <w:sz w:val="24"/>
          <w:highlight w:val="none"/>
        </w:rPr>
        <w:t>］</w:t>
      </w:r>
      <w:r>
        <w:rPr>
          <w:bCs/>
          <w:color w:val="auto"/>
          <w:sz w:val="24"/>
          <w:highlight w:val="none"/>
        </w:rPr>
        <w:t>46</w:t>
      </w:r>
      <w:r>
        <w:rPr>
          <w:rFonts w:hint="eastAsia"/>
          <w:bCs/>
          <w:color w:val="auto"/>
          <w:sz w:val="24"/>
          <w:highlight w:val="none"/>
        </w:rPr>
        <w:t>号）的规定，本公司（联合体）参加</w:t>
      </w:r>
      <w:r>
        <w:rPr>
          <w:rFonts w:hint="eastAsia"/>
          <w:bCs/>
          <w:color w:val="auto"/>
          <w:sz w:val="24"/>
          <w:highlight w:val="none"/>
          <w:u w:val="single"/>
        </w:rPr>
        <w:t>（单位名称）</w:t>
      </w:r>
      <w:r>
        <w:rPr>
          <w:rFonts w:hint="eastAsia"/>
          <w:bCs/>
          <w:color w:val="auto"/>
          <w:sz w:val="24"/>
          <w:highlight w:val="none"/>
        </w:rPr>
        <w:t xml:space="preserve"> 的</w:t>
      </w:r>
      <w:r>
        <w:rPr>
          <w:rFonts w:hint="eastAsia"/>
          <w:bCs/>
          <w:color w:val="auto"/>
          <w:sz w:val="24"/>
          <w:highlight w:val="none"/>
          <w:u w:val="single"/>
        </w:rPr>
        <w:t xml:space="preserve"> （项目名称）</w:t>
      </w:r>
      <w:r>
        <w:rPr>
          <w:rFonts w:hint="eastAsia"/>
          <w:bCs/>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24"/>
        <w:snapToGrid w:val="0"/>
        <w:spacing w:before="120" w:after="120" w:line="360" w:lineRule="auto"/>
        <w:ind w:firstLine="480"/>
        <w:jc w:val="left"/>
        <w:rPr>
          <w:bCs/>
          <w:color w:val="auto"/>
          <w:sz w:val="24"/>
          <w:highlight w:val="none"/>
          <w:u w:val="single"/>
        </w:rPr>
      </w:pPr>
      <w:r>
        <w:rPr>
          <w:rFonts w:hint="eastAsia"/>
          <w:bCs/>
          <w:color w:val="auto"/>
          <w:sz w:val="24"/>
          <w:highlight w:val="none"/>
        </w:rPr>
        <w:t>1、</w:t>
      </w:r>
      <w:r>
        <w:rPr>
          <w:rFonts w:hint="eastAsia"/>
          <w:bCs/>
          <w:color w:val="auto"/>
          <w:sz w:val="24"/>
          <w:highlight w:val="none"/>
          <w:u w:val="single"/>
        </w:rPr>
        <w:t>（标的名称）</w:t>
      </w:r>
      <w:r>
        <w:rPr>
          <w:rFonts w:hint="eastAsia"/>
          <w:bCs/>
          <w:color w:val="auto"/>
          <w:sz w:val="24"/>
          <w:highlight w:val="none"/>
        </w:rPr>
        <w:t>，属于《工业和信息化部、国家统计局、国家发展和改革委员会、财政部关于印发中小企业划型标准规定的通知》（工信部联企业[2011]300号）规定的划分标准：第四条第</w:t>
      </w:r>
      <w:r>
        <w:rPr>
          <w:rFonts w:hint="eastAsia"/>
          <w:bCs/>
          <w:color w:val="auto"/>
          <w:sz w:val="24"/>
          <w:highlight w:val="none"/>
          <w:u w:val="single"/>
        </w:rPr>
        <w:t xml:space="preserve">      </w:t>
      </w:r>
      <w:r>
        <w:rPr>
          <w:rFonts w:hint="eastAsia"/>
          <w:bCs/>
          <w:color w:val="auto"/>
          <w:sz w:val="24"/>
          <w:highlight w:val="none"/>
        </w:rPr>
        <w:t>项</w:t>
      </w:r>
      <w:r>
        <w:rPr>
          <w:rFonts w:hint="eastAsia"/>
          <w:bCs/>
          <w:color w:val="auto"/>
          <w:sz w:val="24"/>
          <w:highlight w:val="none"/>
          <w:u w:val="single"/>
        </w:rPr>
        <w:t xml:space="preserve">      </w:t>
      </w:r>
      <w:r>
        <w:rPr>
          <w:rFonts w:hint="eastAsia"/>
          <w:bCs/>
          <w:color w:val="auto"/>
          <w:sz w:val="24"/>
          <w:highlight w:val="none"/>
        </w:rPr>
        <w:t>行业，承建（承接）企业为</w:t>
      </w:r>
      <w:r>
        <w:rPr>
          <w:rFonts w:hint="eastAsia"/>
          <w:bCs/>
          <w:color w:val="auto"/>
          <w:sz w:val="24"/>
          <w:highlight w:val="none"/>
          <w:u w:val="single"/>
        </w:rPr>
        <w:t>（企业名称）</w:t>
      </w:r>
      <w:r>
        <w:rPr>
          <w:rFonts w:hint="eastAsia"/>
          <w:bCs/>
          <w:color w:val="auto"/>
          <w:sz w:val="24"/>
          <w:highlight w:val="none"/>
        </w:rPr>
        <w:t>，该企业</w:t>
      </w:r>
      <w:r>
        <w:rPr>
          <w:rFonts w:hint="eastAsia"/>
          <w:b/>
          <w:bCs/>
          <w:color w:val="auto"/>
          <w:sz w:val="24"/>
          <w:highlight w:val="none"/>
          <w:u w:val="single"/>
          <w:shd w:val="pct10" w:color="auto" w:fill="FFFFFF"/>
        </w:rPr>
        <w:t>上一年度</w:t>
      </w:r>
      <w:r>
        <w:rPr>
          <w:rFonts w:hint="eastAsia"/>
          <w:bCs/>
          <w:iCs/>
          <w:color w:val="auto"/>
          <w:sz w:val="24"/>
          <w:highlight w:val="none"/>
        </w:rPr>
        <w:t>从业人员</w:t>
      </w:r>
      <w:r>
        <w:rPr>
          <w:rFonts w:hint="eastAsia"/>
          <w:bCs/>
          <w:iCs/>
          <w:color w:val="auto"/>
          <w:sz w:val="24"/>
          <w:highlight w:val="none"/>
          <w:u w:val="single"/>
        </w:rPr>
        <w:t xml:space="preserve"> </w:t>
      </w:r>
      <w:r>
        <w:rPr>
          <w:bCs/>
          <w:iCs/>
          <w:color w:val="auto"/>
          <w:sz w:val="24"/>
          <w:highlight w:val="none"/>
          <w:u w:val="single"/>
        </w:rPr>
        <w:t xml:space="preserve"> </w:t>
      </w:r>
      <w:r>
        <w:rPr>
          <w:rFonts w:hint="eastAsia"/>
          <w:bCs/>
          <w:iCs/>
          <w:color w:val="auto"/>
          <w:sz w:val="24"/>
          <w:highlight w:val="none"/>
          <w:u w:val="single"/>
        </w:rPr>
        <w:t xml:space="preserve"> </w:t>
      </w:r>
      <w:r>
        <w:rPr>
          <w:rFonts w:hint="eastAsia"/>
          <w:bCs/>
          <w:iCs/>
          <w:color w:val="auto"/>
          <w:sz w:val="24"/>
          <w:highlight w:val="none"/>
        </w:rPr>
        <w:t>人、营业收入为</w:t>
      </w:r>
      <w:r>
        <w:rPr>
          <w:rFonts w:hint="eastAsia"/>
          <w:bCs/>
          <w:iCs/>
          <w:color w:val="auto"/>
          <w:sz w:val="24"/>
          <w:highlight w:val="none"/>
          <w:u w:val="single"/>
        </w:rPr>
        <w:t xml:space="preserve">   </w:t>
      </w:r>
      <w:r>
        <w:rPr>
          <w:rFonts w:hint="eastAsia"/>
          <w:bCs/>
          <w:iCs/>
          <w:color w:val="auto"/>
          <w:sz w:val="24"/>
          <w:highlight w:val="none"/>
        </w:rPr>
        <w:t>万元</w:t>
      </w:r>
      <w:r>
        <w:rPr>
          <w:rFonts w:hint="eastAsia"/>
          <w:bCs/>
          <w:color w:val="auto"/>
          <w:sz w:val="24"/>
          <w:highlight w:val="none"/>
        </w:rPr>
        <w:t>，资产总额</w:t>
      </w:r>
      <w:r>
        <w:rPr>
          <w:rFonts w:hint="eastAsia"/>
          <w:bCs/>
          <w:iCs/>
          <w:color w:val="auto"/>
          <w:sz w:val="24"/>
          <w:highlight w:val="none"/>
          <w:u w:val="single"/>
        </w:rPr>
        <w:t xml:space="preserve">   </w:t>
      </w:r>
      <w:r>
        <w:rPr>
          <w:rFonts w:hint="eastAsia"/>
          <w:bCs/>
          <w:color w:val="auto"/>
          <w:sz w:val="24"/>
          <w:highlight w:val="none"/>
        </w:rPr>
        <w:t>万元，属于</w:t>
      </w:r>
      <w:r>
        <w:rPr>
          <w:bCs/>
          <w:color w:val="auto"/>
          <w:sz w:val="24"/>
          <w:highlight w:val="none"/>
          <w:u w:val="single"/>
        </w:rPr>
        <w:t xml:space="preserve"> </w:t>
      </w:r>
      <w:r>
        <w:rPr>
          <w:rFonts w:hint="eastAsia"/>
          <w:bCs/>
          <w:color w:val="auto"/>
          <w:sz w:val="24"/>
          <w:highlight w:val="none"/>
          <w:u w:val="single"/>
        </w:rPr>
        <w:t>（中型企业、小型企业、微型企业）；</w:t>
      </w:r>
    </w:p>
    <w:p>
      <w:pPr>
        <w:pStyle w:val="24"/>
        <w:snapToGrid w:val="0"/>
        <w:spacing w:before="120" w:after="120" w:line="360" w:lineRule="auto"/>
        <w:ind w:firstLine="480"/>
        <w:jc w:val="left"/>
        <w:rPr>
          <w:bCs/>
          <w:color w:val="auto"/>
          <w:sz w:val="24"/>
          <w:highlight w:val="none"/>
          <w:u w:val="single"/>
        </w:rPr>
      </w:pPr>
      <w:r>
        <w:rPr>
          <w:bCs/>
          <w:color w:val="auto"/>
          <w:sz w:val="24"/>
          <w:highlight w:val="none"/>
        </w:rPr>
        <w:t>2</w:t>
      </w:r>
      <w:r>
        <w:rPr>
          <w:rFonts w:hint="eastAsia"/>
          <w:bCs/>
          <w:color w:val="auto"/>
          <w:sz w:val="24"/>
          <w:highlight w:val="none"/>
        </w:rPr>
        <w:t>、</w:t>
      </w:r>
      <w:r>
        <w:rPr>
          <w:rFonts w:hint="eastAsia"/>
          <w:bCs/>
          <w:color w:val="auto"/>
          <w:sz w:val="24"/>
          <w:highlight w:val="none"/>
          <w:u w:val="single"/>
        </w:rPr>
        <w:t>（标的名称）</w:t>
      </w:r>
      <w:r>
        <w:rPr>
          <w:rFonts w:hint="eastAsia"/>
          <w:bCs/>
          <w:color w:val="auto"/>
          <w:sz w:val="24"/>
          <w:highlight w:val="none"/>
        </w:rPr>
        <w:t>，属于《工业和信息化部、国家统计局、国家发展和改革委员会、财政部关于印发中小企业划型标准规定的通知》（工信部联企业[2011]300号）规定的划分标准：第四条第</w:t>
      </w:r>
      <w:r>
        <w:rPr>
          <w:rFonts w:hint="eastAsia"/>
          <w:bCs/>
          <w:color w:val="auto"/>
          <w:sz w:val="24"/>
          <w:highlight w:val="none"/>
          <w:u w:val="single"/>
        </w:rPr>
        <w:t xml:space="preserve">      </w:t>
      </w:r>
      <w:r>
        <w:rPr>
          <w:rFonts w:hint="eastAsia"/>
          <w:bCs/>
          <w:color w:val="auto"/>
          <w:sz w:val="24"/>
          <w:highlight w:val="none"/>
        </w:rPr>
        <w:t>项</w:t>
      </w:r>
      <w:r>
        <w:rPr>
          <w:rFonts w:hint="eastAsia"/>
          <w:bCs/>
          <w:color w:val="auto"/>
          <w:sz w:val="24"/>
          <w:highlight w:val="none"/>
          <w:u w:val="single"/>
        </w:rPr>
        <w:t xml:space="preserve">      </w:t>
      </w:r>
      <w:r>
        <w:rPr>
          <w:rFonts w:hint="eastAsia"/>
          <w:bCs/>
          <w:color w:val="auto"/>
          <w:sz w:val="24"/>
          <w:highlight w:val="none"/>
        </w:rPr>
        <w:t>行业，承建（承接）企业为</w:t>
      </w:r>
      <w:r>
        <w:rPr>
          <w:rFonts w:hint="eastAsia"/>
          <w:bCs/>
          <w:color w:val="auto"/>
          <w:sz w:val="24"/>
          <w:highlight w:val="none"/>
          <w:u w:val="single"/>
        </w:rPr>
        <w:t>（企业名称）</w:t>
      </w:r>
      <w:r>
        <w:rPr>
          <w:rFonts w:hint="eastAsia"/>
          <w:bCs/>
          <w:color w:val="auto"/>
          <w:sz w:val="24"/>
          <w:highlight w:val="none"/>
        </w:rPr>
        <w:t>，该企业</w:t>
      </w:r>
      <w:r>
        <w:rPr>
          <w:rFonts w:hint="eastAsia"/>
          <w:b/>
          <w:bCs/>
          <w:color w:val="auto"/>
          <w:sz w:val="24"/>
          <w:highlight w:val="none"/>
          <w:u w:val="single"/>
          <w:shd w:val="pct10" w:color="auto" w:fill="FFFFFF"/>
        </w:rPr>
        <w:t>上一年度</w:t>
      </w:r>
      <w:r>
        <w:rPr>
          <w:rFonts w:hint="eastAsia"/>
          <w:bCs/>
          <w:iCs/>
          <w:color w:val="auto"/>
          <w:sz w:val="24"/>
          <w:highlight w:val="none"/>
        </w:rPr>
        <w:t>从业人员</w:t>
      </w:r>
      <w:r>
        <w:rPr>
          <w:rFonts w:hint="eastAsia"/>
          <w:bCs/>
          <w:iCs/>
          <w:color w:val="auto"/>
          <w:sz w:val="24"/>
          <w:highlight w:val="none"/>
          <w:u w:val="single"/>
        </w:rPr>
        <w:t xml:space="preserve"> </w:t>
      </w:r>
      <w:r>
        <w:rPr>
          <w:bCs/>
          <w:iCs/>
          <w:color w:val="auto"/>
          <w:sz w:val="24"/>
          <w:highlight w:val="none"/>
          <w:u w:val="single"/>
        </w:rPr>
        <w:t xml:space="preserve"> </w:t>
      </w:r>
      <w:r>
        <w:rPr>
          <w:rFonts w:hint="eastAsia"/>
          <w:bCs/>
          <w:iCs/>
          <w:color w:val="auto"/>
          <w:sz w:val="24"/>
          <w:highlight w:val="none"/>
          <w:u w:val="single"/>
        </w:rPr>
        <w:t xml:space="preserve"> </w:t>
      </w:r>
      <w:r>
        <w:rPr>
          <w:rFonts w:hint="eastAsia"/>
          <w:bCs/>
          <w:iCs/>
          <w:color w:val="auto"/>
          <w:sz w:val="24"/>
          <w:highlight w:val="none"/>
        </w:rPr>
        <w:t>人、营业收入为</w:t>
      </w:r>
      <w:r>
        <w:rPr>
          <w:rFonts w:hint="eastAsia"/>
          <w:bCs/>
          <w:iCs/>
          <w:color w:val="auto"/>
          <w:sz w:val="24"/>
          <w:highlight w:val="none"/>
          <w:u w:val="single"/>
        </w:rPr>
        <w:t xml:space="preserve">   </w:t>
      </w:r>
      <w:r>
        <w:rPr>
          <w:rFonts w:hint="eastAsia"/>
          <w:bCs/>
          <w:iCs/>
          <w:color w:val="auto"/>
          <w:sz w:val="24"/>
          <w:highlight w:val="none"/>
        </w:rPr>
        <w:t>万元</w:t>
      </w:r>
      <w:r>
        <w:rPr>
          <w:rFonts w:hint="eastAsia"/>
          <w:bCs/>
          <w:color w:val="auto"/>
          <w:sz w:val="24"/>
          <w:highlight w:val="none"/>
        </w:rPr>
        <w:t>，资产总额</w:t>
      </w:r>
      <w:r>
        <w:rPr>
          <w:rFonts w:hint="eastAsia"/>
          <w:bCs/>
          <w:iCs/>
          <w:color w:val="auto"/>
          <w:sz w:val="24"/>
          <w:highlight w:val="none"/>
          <w:u w:val="single"/>
        </w:rPr>
        <w:t xml:space="preserve">   </w:t>
      </w:r>
      <w:r>
        <w:rPr>
          <w:rFonts w:hint="eastAsia"/>
          <w:bCs/>
          <w:color w:val="auto"/>
          <w:sz w:val="24"/>
          <w:highlight w:val="none"/>
        </w:rPr>
        <w:t>万元，属于</w:t>
      </w:r>
      <w:r>
        <w:rPr>
          <w:bCs/>
          <w:color w:val="auto"/>
          <w:sz w:val="24"/>
          <w:highlight w:val="none"/>
          <w:u w:val="single"/>
        </w:rPr>
        <w:t xml:space="preserve"> </w:t>
      </w:r>
      <w:r>
        <w:rPr>
          <w:rFonts w:hint="eastAsia"/>
          <w:bCs/>
          <w:color w:val="auto"/>
          <w:sz w:val="24"/>
          <w:highlight w:val="none"/>
          <w:u w:val="single"/>
        </w:rPr>
        <w:t>（中型企业、小型企业、微型企业）；</w:t>
      </w:r>
    </w:p>
    <w:p>
      <w:pPr>
        <w:pStyle w:val="24"/>
        <w:snapToGrid w:val="0"/>
        <w:spacing w:before="120" w:after="120" w:line="360" w:lineRule="auto"/>
        <w:ind w:firstLine="480"/>
        <w:jc w:val="left"/>
        <w:rPr>
          <w:bCs/>
          <w:color w:val="auto"/>
          <w:sz w:val="24"/>
          <w:highlight w:val="none"/>
        </w:rPr>
      </w:pPr>
      <w:r>
        <w:rPr>
          <w:bCs/>
          <w:color w:val="auto"/>
          <w:sz w:val="24"/>
          <w:highlight w:val="none"/>
        </w:rPr>
        <w:t>………</w:t>
      </w:r>
    </w:p>
    <w:p>
      <w:pPr>
        <w:pStyle w:val="24"/>
        <w:snapToGrid w:val="0"/>
        <w:spacing w:before="120" w:after="120"/>
        <w:jc w:val="left"/>
        <w:rPr>
          <w:b/>
          <w:bCs/>
          <w:color w:val="auto"/>
          <w:sz w:val="24"/>
          <w:highlight w:val="none"/>
          <w:u w:val="single"/>
          <w:shd w:val="pct10" w:color="auto" w:fill="FFFFFF"/>
        </w:rPr>
      </w:pPr>
      <w:r>
        <w:rPr>
          <w:rFonts w:hint="eastAsia"/>
          <w:b/>
          <w:bCs/>
          <w:color w:val="auto"/>
          <w:sz w:val="24"/>
          <w:highlight w:val="none"/>
          <w:u w:val="single"/>
          <w:shd w:val="pct10" w:color="auto" w:fill="FFFFFF"/>
        </w:rPr>
        <w:t>备注：1、标的工程、服务分别由不同企业承建（承接）的，请按序号填写齐全所有标的物内容；</w:t>
      </w:r>
    </w:p>
    <w:p>
      <w:pPr>
        <w:pStyle w:val="24"/>
        <w:snapToGrid w:val="0"/>
        <w:spacing w:before="120" w:after="120"/>
        <w:jc w:val="left"/>
        <w:rPr>
          <w:b/>
          <w:bCs/>
          <w:color w:val="auto"/>
          <w:sz w:val="24"/>
          <w:highlight w:val="none"/>
          <w:u w:val="single"/>
          <w:shd w:val="pct10" w:color="auto" w:fill="FFFFFF"/>
        </w:rPr>
      </w:pPr>
      <w:r>
        <w:rPr>
          <w:rFonts w:hint="eastAsia"/>
          <w:b/>
          <w:bCs/>
          <w:color w:val="auto"/>
          <w:sz w:val="24"/>
          <w:highlight w:val="none"/>
          <w:u w:val="single"/>
          <w:shd w:val="pct10" w:color="auto" w:fill="FFFFFF"/>
        </w:rPr>
        <w:t>2、上述空格内容应填写而未进行填写或未如实填写的，不予认定为小微企业；</w:t>
      </w:r>
    </w:p>
    <w:p>
      <w:pPr>
        <w:pStyle w:val="24"/>
        <w:snapToGrid w:val="0"/>
        <w:spacing w:before="120" w:after="120"/>
        <w:jc w:val="left"/>
        <w:rPr>
          <w:b/>
          <w:bCs/>
          <w:color w:val="auto"/>
          <w:sz w:val="24"/>
          <w:highlight w:val="none"/>
          <w:u w:val="single"/>
          <w:shd w:val="pct10" w:color="auto" w:fill="FFFFFF"/>
        </w:rPr>
      </w:pPr>
      <w:r>
        <w:rPr>
          <w:b/>
          <w:bCs/>
          <w:color w:val="auto"/>
          <w:sz w:val="24"/>
          <w:highlight w:val="none"/>
          <w:u w:val="single"/>
          <w:shd w:val="pct10" w:color="auto" w:fill="FFFFFF"/>
        </w:rPr>
        <w:t>3</w:t>
      </w:r>
      <w:r>
        <w:rPr>
          <w:rFonts w:hint="eastAsia"/>
          <w:b/>
          <w:bCs/>
          <w:color w:val="auto"/>
          <w:sz w:val="24"/>
          <w:highlight w:val="none"/>
          <w:u w:val="single"/>
          <w:shd w:val="pct10" w:color="auto" w:fill="FFFFFF"/>
        </w:rPr>
        <w:t>、如国家对中小企业划型标准有新的规定的，从其规定。</w:t>
      </w:r>
    </w:p>
    <w:p>
      <w:pPr>
        <w:pStyle w:val="24"/>
        <w:snapToGrid w:val="0"/>
        <w:spacing w:before="120" w:after="120" w:line="360" w:lineRule="auto"/>
        <w:ind w:firstLine="480" w:firstLineChars="200"/>
        <w:jc w:val="left"/>
        <w:rPr>
          <w:bCs/>
          <w:color w:val="auto"/>
          <w:sz w:val="24"/>
          <w:highlight w:val="none"/>
        </w:rPr>
      </w:pPr>
      <w:r>
        <w:rPr>
          <w:bCs/>
          <w:color w:val="auto"/>
          <w:sz w:val="24"/>
          <w:highlight w:val="none"/>
        </w:rPr>
        <w:t xml:space="preserve"> </w:t>
      </w:r>
      <w:r>
        <w:rPr>
          <w:rFonts w:hint="eastAsia"/>
          <w:bCs/>
          <w:color w:val="auto"/>
          <w:sz w:val="24"/>
          <w:highlight w:val="none"/>
        </w:rPr>
        <w:t>以上企业，不属于大企业的分支机构，不存在控股股东为大企业的情形，也不存在与大企业的负责人为同一人的情形。</w:t>
      </w:r>
    </w:p>
    <w:p>
      <w:pPr>
        <w:pStyle w:val="24"/>
        <w:snapToGrid w:val="0"/>
        <w:spacing w:before="120" w:after="120" w:line="360" w:lineRule="auto"/>
        <w:ind w:firstLine="482" w:firstLineChars="200"/>
        <w:jc w:val="left"/>
        <w:rPr>
          <w:bCs/>
          <w:color w:val="auto"/>
          <w:sz w:val="24"/>
          <w:highlight w:val="none"/>
        </w:rPr>
      </w:pPr>
      <w:r>
        <w:rPr>
          <w:rFonts w:hint="eastAsia"/>
          <w:b/>
          <w:bCs/>
          <w:color w:val="auto"/>
          <w:sz w:val="24"/>
          <w:highlight w:val="none"/>
          <w:u w:val="single"/>
          <w:shd w:val="pct10" w:color="auto" w:fill="FFFFFF"/>
        </w:rPr>
        <w:t>本公司对上述声明的真实性负责。如有虚假，将依法承担相应责任。</w:t>
      </w:r>
    </w:p>
    <w:p>
      <w:pPr>
        <w:pStyle w:val="24"/>
        <w:snapToGrid w:val="0"/>
        <w:spacing w:before="120" w:after="120"/>
        <w:rPr>
          <w:rFonts w:hAnsi="宋体"/>
          <w:color w:val="auto"/>
          <w:spacing w:val="20"/>
          <w:sz w:val="24"/>
          <w:highlight w:val="none"/>
        </w:rPr>
      </w:pPr>
      <w:r>
        <w:rPr>
          <w:rFonts w:hint="eastAsia" w:hAnsi="宋体"/>
          <w:color w:val="auto"/>
          <w:spacing w:val="20"/>
          <w:sz w:val="24"/>
          <w:highlight w:val="none"/>
        </w:rPr>
        <w:t xml:space="preserve">法定代表人签字（或盖章）：            投标人（盖章）： </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 xml:space="preserve">                                              </w:t>
      </w:r>
    </w:p>
    <w:p>
      <w:pPr>
        <w:snapToGrid w:val="0"/>
        <w:spacing w:line="360" w:lineRule="auto"/>
        <w:jc w:val="center"/>
        <w:rPr>
          <w:color w:val="auto"/>
          <w:sz w:val="24"/>
          <w:highlight w:val="none"/>
        </w:rPr>
      </w:pPr>
      <w:r>
        <w:rPr>
          <w:rFonts w:hint="eastAsia"/>
          <w:color w:val="auto"/>
          <w:sz w:val="24"/>
          <w:highlight w:val="none"/>
        </w:rPr>
        <w:t xml:space="preserve">                                             日期:_____年___月___日</w:t>
      </w:r>
    </w:p>
    <w:p>
      <w:pPr>
        <w:pStyle w:val="24"/>
        <w:spacing w:line="360" w:lineRule="auto"/>
        <w:jc w:val="left"/>
        <w:outlineLvl w:val="1"/>
        <w:rPr>
          <w:rFonts w:hAnsi="宋体" w:cs="宋体"/>
          <w:b/>
          <w:color w:val="auto"/>
          <w:sz w:val="28"/>
          <w:highlight w:val="none"/>
        </w:rPr>
      </w:pPr>
      <w:r>
        <w:rPr>
          <w:rFonts w:hint="eastAsia" w:hAnsi="宋体" w:cs="宋体"/>
          <w:b/>
          <w:color w:val="auto"/>
          <w:sz w:val="28"/>
          <w:highlight w:val="none"/>
        </w:rPr>
        <w:t>附件</w:t>
      </w:r>
      <w:r>
        <w:rPr>
          <w:rFonts w:hint="eastAsia" w:hAnsi="宋体" w:cs="宋体"/>
          <w:b/>
          <w:color w:val="auto"/>
          <w:sz w:val="28"/>
          <w:highlight w:val="none"/>
          <w:lang w:val="en-US" w:eastAsia="zh-CN"/>
        </w:rPr>
        <w:t>8</w:t>
      </w:r>
      <w:r>
        <w:rPr>
          <w:rFonts w:hint="eastAsia" w:hAnsi="宋体" w:cs="宋体"/>
          <w:b/>
          <w:color w:val="auto"/>
          <w:sz w:val="28"/>
          <w:highlight w:val="none"/>
        </w:rPr>
        <w:t>：</w:t>
      </w:r>
    </w:p>
    <w:p>
      <w:pPr>
        <w:pStyle w:val="24"/>
        <w:spacing w:line="360" w:lineRule="auto"/>
        <w:jc w:val="center"/>
        <w:outlineLvl w:val="1"/>
        <w:rPr>
          <w:rFonts w:hAnsi="宋体" w:cs="宋体"/>
          <w:b/>
          <w:color w:val="auto"/>
          <w:sz w:val="32"/>
          <w:szCs w:val="32"/>
          <w:highlight w:val="none"/>
          <w:lang w:val="en-GB"/>
        </w:rPr>
      </w:pPr>
      <w:r>
        <w:rPr>
          <w:rFonts w:hint="eastAsia" w:hAnsi="宋体" w:cs="宋体"/>
          <w:b/>
          <w:color w:val="auto"/>
          <w:sz w:val="32"/>
          <w:szCs w:val="32"/>
          <w:highlight w:val="none"/>
          <w:lang w:val="en-GB"/>
        </w:rPr>
        <w:t>残疾人福利性单位声明函</w:t>
      </w:r>
    </w:p>
    <w:p>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tabs>
          <w:tab w:val="left" w:pos="4860"/>
        </w:tabs>
        <w:spacing w:line="588" w:lineRule="exact"/>
        <w:ind w:right="1560" w:firstLine="504" w:firstLineChars="200"/>
        <w:jc w:val="center"/>
        <w:rPr>
          <w:rFonts w:ascii="宋体" w:hAnsi="宋体" w:cs="宋体"/>
          <w:color w:val="auto"/>
          <w:spacing w:val="6"/>
          <w:sz w:val="24"/>
          <w:highlight w:val="none"/>
        </w:rPr>
      </w:pPr>
    </w:p>
    <w:p>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单位名称（公章或CA签章）：</w:t>
      </w:r>
    </w:p>
    <w:p>
      <w:pPr>
        <w:tabs>
          <w:tab w:val="left" w:pos="4860"/>
        </w:tabs>
        <w:spacing w:line="588" w:lineRule="exact"/>
        <w:ind w:right="1560" w:firstLine="504" w:firstLineChars="200"/>
        <w:jc w:val="center"/>
        <w:rPr>
          <w:rFonts w:ascii="宋体" w:hAnsi="宋体" w:cs="宋体"/>
          <w:color w:val="auto"/>
          <w:sz w:val="24"/>
          <w:highlight w:val="none"/>
        </w:rPr>
      </w:pPr>
      <w:r>
        <w:rPr>
          <w:rFonts w:hint="eastAsia" w:ascii="宋体" w:hAnsi="宋体" w:cs="宋体"/>
          <w:color w:val="auto"/>
          <w:spacing w:val="6"/>
          <w:sz w:val="24"/>
          <w:highlight w:val="none"/>
        </w:rPr>
        <w:t xml:space="preserve">       日  期：</w:t>
      </w:r>
    </w:p>
    <w:p>
      <w:pPr>
        <w:pStyle w:val="39"/>
        <w:widowControl w:val="0"/>
        <w:spacing w:before="0" w:beforeAutospacing="0" w:after="0" w:afterAutospacing="0" w:line="360" w:lineRule="auto"/>
        <w:jc w:val="center"/>
        <w:rPr>
          <w:rFonts w:hint="eastAsia" w:ascii="宋体" w:hAnsi="宋体" w:eastAsia="宋体" w:cs="宋体"/>
          <w:b/>
          <w:i w:val="0"/>
          <w:iCs w:val="0"/>
          <w:color w:val="auto"/>
          <w:kern w:val="2"/>
          <w:sz w:val="36"/>
          <w:szCs w:val="36"/>
          <w:highlight w:val="none"/>
          <w:lang w:bidi="ar"/>
        </w:rPr>
      </w:pPr>
    </w:p>
    <w:p>
      <w:pPr>
        <w:pStyle w:val="39"/>
        <w:widowControl w:val="0"/>
        <w:spacing w:before="0" w:beforeAutospacing="0" w:after="0" w:afterAutospacing="0" w:line="360" w:lineRule="auto"/>
        <w:jc w:val="center"/>
        <w:rPr>
          <w:rFonts w:hint="eastAsia" w:ascii="宋体" w:hAnsi="宋体" w:eastAsia="宋体" w:cs="宋体"/>
          <w:b/>
          <w:i w:val="0"/>
          <w:iCs w:val="0"/>
          <w:color w:val="auto"/>
          <w:kern w:val="2"/>
          <w:sz w:val="36"/>
          <w:szCs w:val="36"/>
          <w:highlight w:val="none"/>
          <w:lang w:bidi="ar"/>
        </w:rPr>
      </w:pPr>
    </w:p>
    <w:p>
      <w:pPr>
        <w:snapToGrid w:val="0"/>
        <w:spacing w:beforeLines="50" w:after="50" w:line="360" w:lineRule="auto"/>
        <w:rPr>
          <w:rFonts w:hint="eastAsia" w:ascii="宋体" w:hAnsi="宋体" w:cs="宋体"/>
          <w:b/>
          <w:color w:val="auto"/>
          <w:sz w:val="28"/>
          <w:highlight w:val="none"/>
        </w:rPr>
      </w:pPr>
    </w:p>
    <w:p>
      <w:pPr>
        <w:snapToGrid w:val="0"/>
        <w:spacing w:beforeLines="50" w:after="50" w:line="360" w:lineRule="auto"/>
        <w:rPr>
          <w:rFonts w:hint="eastAsia" w:ascii="宋体" w:hAnsi="宋体" w:cs="宋体"/>
          <w:b/>
          <w:color w:val="auto"/>
          <w:sz w:val="28"/>
          <w:highlight w:val="none"/>
        </w:rPr>
      </w:pPr>
    </w:p>
    <w:p>
      <w:pPr>
        <w:snapToGrid w:val="0"/>
        <w:spacing w:beforeLines="50" w:after="50" w:line="360" w:lineRule="auto"/>
        <w:rPr>
          <w:rFonts w:hint="eastAsia" w:ascii="宋体" w:hAnsi="宋体" w:cs="宋体"/>
          <w:b/>
          <w:color w:val="auto"/>
          <w:sz w:val="28"/>
          <w:highlight w:val="none"/>
        </w:rPr>
      </w:pPr>
    </w:p>
    <w:p>
      <w:pPr>
        <w:snapToGrid w:val="0"/>
        <w:spacing w:beforeLines="50" w:after="50" w:line="360" w:lineRule="auto"/>
        <w:rPr>
          <w:rFonts w:hint="eastAsia" w:ascii="宋体" w:hAnsi="宋体" w:cs="宋体"/>
          <w:b/>
          <w:color w:val="auto"/>
          <w:sz w:val="28"/>
          <w:highlight w:val="none"/>
        </w:rPr>
      </w:pPr>
    </w:p>
    <w:p>
      <w:pPr>
        <w:snapToGrid w:val="0"/>
        <w:spacing w:beforeLines="50" w:after="50" w:line="360" w:lineRule="auto"/>
        <w:rPr>
          <w:rFonts w:hint="eastAsia" w:ascii="宋体" w:hAnsi="宋体" w:cs="宋体"/>
          <w:b/>
          <w:color w:val="auto"/>
          <w:sz w:val="28"/>
          <w:highlight w:val="none"/>
        </w:rPr>
      </w:pPr>
    </w:p>
    <w:p>
      <w:pPr>
        <w:snapToGrid w:val="0"/>
        <w:spacing w:beforeLines="50" w:after="50" w:line="360" w:lineRule="auto"/>
        <w:rPr>
          <w:rFonts w:hint="eastAsia" w:ascii="宋体" w:hAnsi="宋体" w:cs="宋体"/>
          <w:b/>
          <w:color w:val="auto"/>
          <w:sz w:val="28"/>
          <w:highlight w:val="none"/>
        </w:rPr>
      </w:pPr>
    </w:p>
    <w:p>
      <w:pPr>
        <w:snapToGrid w:val="0"/>
        <w:spacing w:beforeLines="50" w:after="50" w:line="360" w:lineRule="auto"/>
        <w:rPr>
          <w:rFonts w:hint="eastAsia" w:ascii="宋体" w:hAnsi="宋体" w:cs="宋体"/>
          <w:b/>
          <w:color w:val="auto"/>
          <w:sz w:val="28"/>
          <w:highlight w:val="none"/>
        </w:rPr>
      </w:pPr>
    </w:p>
    <w:p>
      <w:pPr>
        <w:snapToGrid w:val="0"/>
        <w:spacing w:beforeLines="50" w:after="50" w:line="360" w:lineRule="auto"/>
        <w:rPr>
          <w:rFonts w:hint="eastAsia" w:ascii="宋体" w:hAnsi="宋体" w:cs="宋体"/>
          <w:b/>
          <w:color w:val="auto"/>
          <w:sz w:val="28"/>
          <w:highlight w:val="none"/>
        </w:rPr>
      </w:pPr>
    </w:p>
    <w:p>
      <w:pPr>
        <w:snapToGrid w:val="0"/>
        <w:spacing w:beforeLines="50" w:after="50" w:line="360" w:lineRule="auto"/>
        <w:rPr>
          <w:rFonts w:ascii="宋体" w:hAnsi="宋体" w:cs="宋体"/>
          <w:bCs/>
          <w:color w:val="auto"/>
          <w:sz w:val="30"/>
          <w:szCs w:val="30"/>
          <w:highlight w:val="none"/>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9</w:t>
      </w:r>
      <w:r>
        <w:rPr>
          <w:rFonts w:hint="eastAsia" w:ascii="宋体" w:hAnsi="宋体" w:cs="宋体"/>
          <w:b/>
          <w:color w:val="auto"/>
          <w:sz w:val="28"/>
          <w:highlight w:val="none"/>
        </w:rPr>
        <w:t>：</w:t>
      </w:r>
    </w:p>
    <w:p>
      <w:pPr>
        <w:spacing w:line="360" w:lineRule="auto"/>
        <w:ind w:right="-110"/>
        <w:jc w:val="center"/>
        <w:rPr>
          <w:rFonts w:ascii="宋体" w:hAnsi="宋体" w:cs="宋体"/>
          <w:color w:val="auto"/>
          <w:spacing w:val="40"/>
          <w:sz w:val="48"/>
          <w:szCs w:val="48"/>
          <w:highlight w:val="none"/>
        </w:rPr>
      </w:pPr>
      <w:r>
        <w:rPr>
          <w:rFonts w:hint="eastAsia" w:ascii="宋体" w:hAnsi="宋体" w:cs="宋体"/>
          <w:color w:val="auto"/>
          <w:spacing w:val="40"/>
          <w:sz w:val="48"/>
          <w:szCs w:val="48"/>
          <w:highlight w:val="none"/>
        </w:rPr>
        <w:t>项目名称</w:t>
      </w:r>
    </w:p>
    <w:p>
      <w:pPr>
        <w:spacing w:beforeLines="100" w:line="360" w:lineRule="auto"/>
        <w:ind w:right="-108"/>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pStyle w:val="56"/>
        <w:rPr>
          <w:color w:val="auto"/>
          <w:highlight w:val="none"/>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pStyle w:val="56"/>
        <w:rPr>
          <w:color w:val="auto"/>
          <w:highlight w:val="none"/>
        </w:rPr>
      </w:pPr>
    </w:p>
    <w:p>
      <w:pPr>
        <w:spacing w:after="100" w:afterAutospacing="1" w:line="360" w:lineRule="auto"/>
        <w:ind w:right="-108"/>
        <w:jc w:val="center"/>
        <w:rPr>
          <w:rFonts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Cs/>
          <w:color w:val="auto"/>
          <w:sz w:val="24"/>
          <w:highlight w:val="none"/>
          <w:lang w:val="zh-CN"/>
        </w:rPr>
        <w:t>商务与技术文件</w:t>
      </w:r>
      <w:r>
        <w:rPr>
          <w:rFonts w:hint="eastAsia" w:ascii="宋体" w:hAnsi="宋体" w:cs="宋体"/>
          <w:b/>
          <w:color w:val="auto"/>
          <w:spacing w:val="40"/>
          <w:sz w:val="28"/>
          <w:szCs w:val="28"/>
          <w:highlight w:val="none"/>
        </w:rPr>
        <w:t>）</w:t>
      </w:r>
    </w:p>
    <w:p>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投标人全称（公章或CA签章）：</w:t>
      </w:r>
    </w:p>
    <w:p>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地    址：</w:t>
      </w:r>
    </w:p>
    <w:p>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时    间：</w:t>
      </w:r>
    </w:p>
    <w:p>
      <w:pPr>
        <w:snapToGrid w:val="0"/>
        <w:spacing w:before="50" w:after="50" w:line="360" w:lineRule="auto"/>
        <w:rPr>
          <w:rFonts w:ascii="宋体" w:hAnsi="宋体" w:cs="宋体"/>
          <w:b/>
          <w:color w:val="auto"/>
          <w:sz w:val="36"/>
          <w:szCs w:val="36"/>
          <w:highlight w:val="none"/>
        </w:rPr>
      </w:pPr>
    </w:p>
    <w:p>
      <w:pPr>
        <w:rPr>
          <w:rFonts w:ascii="宋体" w:hAnsi="宋体" w:cs="宋体"/>
          <w:b/>
          <w:color w:val="auto"/>
          <w:sz w:val="28"/>
          <w:highlight w:val="none"/>
        </w:rPr>
      </w:pPr>
    </w:p>
    <w:p>
      <w:pPr>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pPr>
        <w:spacing w:before="156" w:after="156"/>
        <w:jc w:val="center"/>
        <w:rPr>
          <w:rFonts w:ascii="宋体" w:hAnsi="宋体"/>
          <w:b/>
          <w:color w:val="auto"/>
          <w:sz w:val="44"/>
          <w:highlight w:val="none"/>
        </w:rPr>
      </w:pPr>
      <w:r>
        <w:rPr>
          <w:rFonts w:hint="eastAsia" w:ascii="宋体" w:hAnsi="宋体"/>
          <w:b/>
          <w:color w:val="auto"/>
          <w:sz w:val="44"/>
          <w:highlight w:val="none"/>
        </w:rPr>
        <w:t>评分索引表</w:t>
      </w:r>
    </w:p>
    <w:tbl>
      <w:tblPr>
        <w:tblStyle w:val="43"/>
        <w:tblW w:w="0" w:type="auto"/>
        <w:jc w:val="center"/>
        <w:tblLayout w:type="fixed"/>
        <w:tblCellMar>
          <w:top w:w="0" w:type="dxa"/>
          <w:left w:w="0" w:type="dxa"/>
          <w:bottom w:w="0" w:type="dxa"/>
          <w:right w:w="0" w:type="dxa"/>
        </w:tblCellMar>
      </w:tblPr>
      <w:tblGrid>
        <w:gridCol w:w="837"/>
        <w:gridCol w:w="4661"/>
        <w:gridCol w:w="1141"/>
        <w:gridCol w:w="2060"/>
      </w:tblGrid>
      <w:tr>
        <w:tblPrEx>
          <w:tblCellMar>
            <w:top w:w="0" w:type="dxa"/>
            <w:left w:w="0" w:type="dxa"/>
            <w:bottom w:w="0" w:type="dxa"/>
            <w:right w:w="0" w:type="dxa"/>
          </w:tblCellMar>
        </w:tblPrEx>
        <w:trPr>
          <w:trHeight w:val="765"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hAnsi="宋体"/>
                <w:b/>
                <w:color w:val="auto"/>
                <w:highlight w:val="none"/>
              </w:rPr>
            </w:pPr>
            <w:r>
              <w:rPr>
                <w:rFonts w:hint="eastAsia" w:ascii="宋体" w:hAnsi="宋体"/>
                <w:b/>
                <w:color w:val="auto"/>
                <w:highlight w:val="none"/>
              </w:rPr>
              <w:t>序号</w:t>
            </w: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hAnsi="宋体"/>
                <w:b/>
                <w:color w:val="auto"/>
                <w:highlight w:val="none"/>
              </w:rPr>
            </w:pPr>
            <w:r>
              <w:rPr>
                <w:rFonts w:hint="eastAsia" w:ascii="宋体" w:hAnsi="宋体"/>
                <w:b/>
                <w:color w:val="auto"/>
                <w:szCs w:val="21"/>
                <w:highlight w:val="none"/>
              </w:rPr>
              <w:t>评分项目和评分细则</w:t>
            </w: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hAnsi="宋体"/>
                <w:b/>
                <w:color w:val="auto"/>
                <w:highlight w:val="none"/>
              </w:rPr>
            </w:pPr>
            <w:r>
              <w:rPr>
                <w:rFonts w:hint="eastAsia" w:ascii="宋体" w:hAnsi="宋体"/>
                <w:b/>
                <w:color w:val="auto"/>
                <w:highlight w:val="none"/>
              </w:rPr>
              <w:t>自评分</w:t>
            </w: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hAnsi="宋体"/>
                <w:b/>
                <w:color w:val="auto"/>
                <w:highlight w:val="none"/>
              </w:rPr>
            </w:pPr>
            <w:r>
              <w:rPr>
                <w:rFonts w:hint="eastAsia" w:ascii="宋体" w:hAnsi="宋体"/>
                <w:b/>
                <w:color w:val="auto"/>
                <w:highlight w:val="none"/>
              </w:rPr>
              <w:t>在投标文件中所对应的</w:t>
            </w:r>
            <w:r>
              <w:rPr>
                <w:rFonts w:ascii="宋体" w:hAnsi="宋体"/>
                <w:b/>
                <w:color w:val="auto"/>
                <w:highlight w:val="none"/>
              </w:rPr>
              <w:t>页码</w:t>
            </w: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color w:val="auto"/>
                <w:highlight w:val="none"/>
              </w:rPr>
            </w:pPr>
            <w:r>
              <w:rPr>
                <w:rFonts w:ascii="宋体" w:hAnsi="宋体"/>
                <w:b/>
                <w:color w:val="auto"/>
                <w:sz w:val="24"/>
                <w:highlight w:val="none"/>
              </w:rPr>
              <w:t>…</w:t>
            </w: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olor w:val="auto"/>
                <w:highlight w:val="none"/>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olor w:val="auto"/>
                <w:highlight w:val="none"/>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olor w:val="auto"/>
                <w:highlight w:val="none"/>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olor w:val="auto"/>
                <w:highlight w:val="none"/>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olor w:val="auto"/>
                <w:highlight w:val="none"/>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olor w:val="auto"/>
                <w:highlight w:val="none"/>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olor w:val="auto"/>
                <w:highlight w:val="none"/>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olor w:val="auto"/>
                <w:highlight w:val="none"/>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olor w:val="auto"/>
                <w:highlight w:val="none"/>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olor w:val="auto"/>
                <w:highlight w:val="none"/>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olor w:val="auto"/>
                <w:highlight w:val="none"/>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olor w:val="auto"/>
                <w:highlight w:val="none"/>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color w:val="auto"/>
                <w:sz w:val="24"/>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olor w:val="auto"/>
                <w:highlight w:val="none"/>
              </w:rPr>
            </w:pPr>
          </w:p>
        </w:tc>
      </w:tr>
    </w:tbl>
    <w:p>
      <w:pPr>
        <w:spacing w:line="400" w:lineRule="exact"/>
        <w:ind w:firstLine="413"/>
        <w:rPr>
          <w:rFonts w:ascii="宋体" w:hAnsi="宋体"/>
          <w:b/>
          <w:color w:val="auto"/>
          <w:highlight w:val="none"/>
        </w:rPr>
      </w:pPr>
      <w:r>
        <w:rPr>
          <w:rFonts w:ascii="宋体" w:hAnsi="宋体"/>
          <w:b/>
          <w:color w:val="auto"/>
          <w:highlight w:val="none"/>
        </w:rPr>
        <w:t>注：</w:t>
      </w:r>
      <w:r>
        <w:rPr>
          <w:rFonts w:hint="eastAsia" w:ascii="宋体" w:hAnsi="宋体"/>
          <w:b/>
          <w:color w:val="auto"/>
          <w:highlight w:val="none"/>
        </w:rPr>
        <w:t>1、投标供应商应结合本招标文件评分细则认真填制相关内容，以及在投标文件中所对应的页码，如未提供，评委有权认为不具备或不符合，有可能影响投标人的得分。</w:t>
      </w:r>
    </w:p>
    <w:p>
      <w:pPr>
        <w:numPr>
          <w:ilvl w:val="0"/>
          <w:numId w:val="29"/>
        </w:numPr>
        <w:rPr>
          <w:rFonts w:ascii="宋体" w:hAnsi="宋体"/>
          <w:b/>
          <w:color w:val="auto"/>
          <w:highlight w:val="none"/>
        </w:rPr>
      </w:pPr>
      <w:r>
        <w:rPr>
          <w:rFonts w:hint="eastAsia" w:ascii="宋体" w:hAnsi="宋体"/>
          <w:b/>
          <w:color w:val="auto"/>
          <w:highlight w:val="none"/>
        </w:rPr>
        <w:t>如本表格不适合投标单位的实际情况，可根据本表格式自行制表填写。</w:t>
      </w:r>
    </w:p>
    <w:p>
      <w:pPr>
        <w:rPr>
          <w:rFonts w:ascii="宋体" w:hAnsi="宋体" w:cs="宋体"/>
          <w:b/>
          <w:color w:val="auto"/>
          <w:sz w:val="28"/>
          <w:highlight w:val="none"/>
        </w:rPr>
      </w:pPr>
    </w:p>
    <w:p>
      <w:pPr>
        <w:rPr>
          <w:rFonts w:ascii="宋体" w:hAnsi="宋体" w:cs="宋体"/>
          <w:b/>
          <w:color w:val="auto"/>
          <w:sz w:val="28"/>
          <w:highlight w:val="none"/>
        </w:rPr>
      </w:pPr>
    </w:p>
    <w:p>
      <w:pPr>
        <w:rPr>
          <w:rFonts w:ascii="宋体" w:hAnsi="宋体" w:cs="宋体"/>
          <w:b/>
          <w:color w:val="auto"/>
          <w:sz w:val="28"/>
          <w:highlight w:val="none"/>
        </w:rPr>
      </w:pPr>
    </w:p>
    <w:p>
      <w:pPr>
        <w:rPr>
          <w:rFonts w:ascii="宋体" w:hAnsi="宋体" w:cs="宋体"/>
          <w:b/>
          <w:color w:val="auto"/>
          <w:sz w:val="28"/>
          <w:highlight w:val="none"/>
        </w:rPr>
      </w:pPr>
    </w:p>
    <w:p>
      <w:pPr>
        <w:rPr>
          <w:rFonts w:ascii="宋体" w:hAnsi="宋体" w:cs="宋体"/>
          <w:b/>
          <w:color w:val="auto"/>
          <w:sz w:val="28"/>
          <w:highlight w:val="none"/>
        </w:rPr>
      </w:pPr>
    </w:p>
    <w:p>
      <w:pPr>
        <w:rPr>
          <w:rFonts w:ascii="宋体" w:hAnsi="宋体" w:cs="宋体"/>
          <w:b/>
          <w:color w:val="auto"/>
          <w:sz w:val="28"/>
          <w:highlight w:val="none"/>
        </w:rPr>
      </w:pPr>
    </w:p>
    <w:p>
      <w:pPr>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附件</w:t>
      </w:r>
      <w:r>
        <w:rPr>
          <w:rFonts w:hint="eastAsia" w:ascii="宋体" w:hAnsi="宋体" w:cs="宋体"/>
          <w:b/>
          <w:color w:val="auto"/>
          <w:sz w:val="32"/>
          <w:szCs w:val="32"/>
          <w:highlight w:val="none"/>
          <w:lang w:val="en-US" w:eastAsia="zh-CN"/>
        </w:rPr>
        <w:t>11</w:t>
      </w:r>
      <w:r>
        <w:rPr>
          <w:rFonts w:hint="eastAsia" w:ascii="宋体" w:hAnsi="宋体" w:cs="宋体"/>
          <w:b/>
          <w:color w:val="auto"/>
          <w:sz w:val="32"/>
          <w:szCs w:val="32"/>
          <w:highlight w:val="none"/>
        </w:rPr>
        <w:t>：</w:t>
      </w:r>
    </w:p>
    <w:p>
      <w:pPr>
        <w:snapToGrid w:val="0"/>
        <w:spacing w:beforeLines="50" w:after="50" w:line="360" w:lineRule="auto"/>
        <w:jc w:val="center"/>
        <w:rPr>
          <w:rFonts w:ascii="宋体" w:hAnsi="宋体"/>
          <w:b/>
          <w:color w:val="auto"/>
          <w:sz w:val="36"/>
          <w:szCs w:val="36"/>
          <w:highlight w:val="none"/>
        </w:rPr>
      </w:pPr>
      <w:r>
        <w:rPr>
          <w:rFonts w:hint="eastAsia" w:ascii="宋体" w:hAnsi="宋体"/>
          <w:b/>
          <w:color w:val="auto"/>
          <w:sz w:val="32"/>
          <w:szCs w:val="32"/>
          <w:highlight w:val="none"/>
        </w:rPr>
        <w:t>项目实施人员一览表</w:t>
      </w:r>
    </w:p>
    <w:p>
      <w:pPr>
        <w:snapToGrid w:val="0"/>
        <w:spacing w:beforeLines="50" w:after="50" w:line="360" w:lineRule="auto"/>
        <w:ind w:firstLine="2400" w:firstLineChars="1000"/>
        <w:rPr>
          <w:rFonts w:ascii="宋体" w:hAnsi="宋体"/>
          <w:color w:val="auto"/>
          <w:sz w:val="24"/>
          <w:highlight w:val="none"/>
        </w:rPr>
      </w:pPr>
      <w:r>
        <w:rPr>
          <w:rFonts w:hint="eastAsia" w:ascii="宋体" w:hAnsi="宋体"/>
          <w:color w:val="auto"/>
          <w:sz w:val="24"/>
          <w:highlight w:val="none"/>
        </w:rPr>
        <w:t>（主要从业人员及其技术资格）</w:t>
      </w:r>
    </w:p>
    <w:tbl>
      <w:tblPr>
        <w:tblStyle w:val="4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color w:val="auto"/>
                <w:sz w:val="24"/>
                <w:szCs w:val="20"/>
                <w:highlight w:val="none"/>
              </w:rPr>
            </w:pPr>
            <w:r>
              <w:rPr>
                <w:rFonts w:hint="eastAsia" w:ascii="宋体" w:hAnsi="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25"/>
              <w:snapToGrid w:val="0"/>
              <w:spacing w:beforeLines="50" w:after="50" w:line="360" w:lineRule="auto"/>
              <w:ind w:left="5250"/>
              <w:rPr>
                <w:rFonts w:ascii="宋体" w:hAns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25"/>
              <w:snapToGrid w:val="0"/>
              <w:spacing w:beforeLines="50" w:after="50" w:line="360" w:lineRule="auto"/>
              <w:ind w:left="5250"/>
              <w:rPr>
                <w:rFonts w:ascii="宋体" w:hAnsi="宋体" w:eastAsia="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25"/>
              <w:spacing w:line="360" w:lineRule="auto"/>
              <w:ind w:left="5250"/>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7"/>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在填写时，如本表格不适合投标单位的实际情况，可根据本表格式自行划表填写。</w:t>
      </w:r>
    </w:p>
    <w:p>
      <w:pPr>
        <w:pStyle w:val="62"/>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2.附人员证书复印件；</w:t>
      </w:r>
    </w:p>
    <w:p>
      <w:pPr>
        <w:pStyle w:val="62"/>
        <w:spacing w:line="360" w:lineRule="auto"/>
        <w:ind w:left="424" w:hanging="424" w:hangingChars="202"/>
        <w:rPr>
          <w:rFonts w:ascii="宋体" w:hAnsi="宋体"/>
          <w:color w:val="auto"/>
          <w:szCs w:val="21"/>
          <w:highlight w:val="none"/>
        </w:rPr>
      </w:pPr>
      <w:r>
        <w:rPr>
          <w:rFonts w:hint="eastAsia" w:ascii="宋体" w:hAnsi="宋体"/>
          <w:color w:val="auto"/>
          <w:szCs w:val="21"/>
          <w:highlight w:val="none"/>
        </w:rPr>
        <w:t>　</w:t>
      </w:r>
    </w:p>
    <w:p>
      <w:pPr>
        <w:spacing w:line="360" w:lineRule="auto"/>
        <w:ind w:left="420"/>
        <w:rPr>
          <w:rFonts w:ascii="宋体" w:hAnsi="宋体"/>
          <w:color w:val="auto"/>
          <w:sz w:val="24"/>
          <w:highlight w:val="none"/>
        </w:rPr>
      </w:pPr>
    </w:p>
    <w:p>
      <w:pPr>
        <w:spacing w:line="360" w:lineRule="auto"/>
        <w:ind w:left="420"/>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435"/>
        <w:rPr>
          <w:rFonts w:ascii="宋体" w:hAnsi="宋体"/>
          <w:b/>
          <w:color w:val="auto"/>
          <w:sz w:val="28"/>
          <w:highlight w:val="none"/>
        </w:rPr>
      </w:pPr>
    </w:p>
    <w:p>
      <w:pPr>
        <w:spacing w:line="360" w:lineRule="auto"/>
        <w:ind w:firstLine="435"/>
        <w:rPr>
          <w:rFonts w:ascii="宋体" w:hAnsi="宋体"/>
          <w:color w:val="auto"/>
          <w:highlight w:val="none"/>
        </w:rPr>
      </w:pPr>
      <w:r>
        <w:rPr>
          <w:rFonts w:hint="eastAsia" w:ascii="宋体" w:hAnsi="宋体"/>
          <w:b/>
          <w:color w:val="auto"/>
          <w:sz w:val="28"/>
          <w:highlight w:val="none"/>
        </w:rPr>
        <w:t>附件</w:t>
      </w:r>
      <w:r>
        <w:rPr>
          <w:rFonts w:hint="eastAsia" w:ascii="宋体" w:hAnsi="宋体"/>
          <w:b/>
          <w:color w:val="auto"/>
          <w:sz w:val="28"/>
          <w:highlight w:val="none"/>
          <w:lang w:val="en-US" w:eastAsia="zh-CN"/>
        </w:rPr>
        <w:t>12</w:t>
      </w:r>
      <w:r>
        <w:rPr>
          <w:rFonts w:hint="eastAsia" w:ascii="宋体" w:hAnsi="宋体"/>
          <w:b/>
          <w:color w:val="auto"/>
          <w:sz w:val="28"/>
          <w:highlight w:val="none"/>
        </w:rPr>
        <w:t>：</w:t>
      </w:r>
    </w:p>
    <w:p>
      <w:pPr>
        <w:spacing w:beforeLines="5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p>
      <w:pPr>
        <w:spacing w:line="360" w:lineRule="auto"/>
        <w:rPr>
          <w:rFonts w:ascii="宋体" w:hAnsi="宋体"/>
          <w:color w:val="auto"/>
          <w:highlight w:val="none"/>
        </w:rPr>
      </w:pPr>
      <w:r>
        <w:rPr>
          <w:rFonts w:hint="eastAsia" w:ascii="宋体" w:hAnsi="宋体"/>
          <w:color w:val="auto"/>
          <w:highlight w:val="none"/>
        </w:rPr>
        <w:t>采购项目：                                            采购编号：</w:t>
      </w:r>
    </w:p>
    <w:tbl>
      <w:tblPr>
        <w:tblStyle w:val="4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bl>
    <w:p>
      <w:pPr>
        <w:spacing w:line="360" w:lineRule="auto"/>
        <w:ind w:left="420"/>
        <w:rPr>
          <w:rFonts w:ascii="宋体" w:hAnsi="宋体"/>
          <w:color w:val="auto"/>
          <w:sz w:val="24"/>
          <w:highlight w:val="none"/>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435"/>
        <w:rPr>
          <w:rFonts w:ascii="宋体" w:hAnsi="宋体"/>
          <w:color w:val="auto"/>
          <w:sz w:val="24"/>
          <w:highlight w:val="none"/>
        </w:rPr>
      </w:pPr>
    </w:p>
    <w:p>
      <w:pPr>
        <w:spacing w:line="360" w:lineRule="auto"/>
        <w:ind w:left="549" w:hanging="549" w:hangingChars="171"/>
        <w:jc w:val="center"/>
        <w:rPr>
          <w:rFonts w:ascii="宋体" w:hAnsi="宋体" w:cs="宋体"/>
          <w:b/>
          <w:color w:val="auto"/>
          <w:sz w:val="32"/>
          <w:szCs w:val="32"/>
          <w:highlight w:val="none"/>
        </w:rPr>
      </w:pPr>
    </w:p>
    <w:p>
      <w:pPr>
        <w:spacing w:line="360" w:lineRule="auto"/>
        <w:ind w:left="549" w:hanging="549" w:hangingChars="171"/>
        <w:rPr>
          <w:rFonts w:ascii="宋体" w:hAnsi="宋体" w:cs="宋体"/>
          <w:b/>
          <w:color w:val="auto"/>
          <w:sz w:val="32"/>
          <w:szCs w:val="32"/>
          <w:highlight w:val="none"/>
        </w:rPr>
      </w:pPr>
      <w:r>
        <w:rPr>
          <w:rFonts w:hint="eastAsia" w:ascii="宋体" w:hAnsi="宋体" w:cs="宋体"/>
          <w:b/>
          <w:color w:val="auto"/>
          <w:sz w:val="32"/>
          <w:szCs w:val="32"/>
          <w:highlight w:val="none"/>
        </w:rPr>
        <w:t>附件</w:t>
      </w:r>
      <w:r>
        <w:rPr>
          <w:rFonts w:hint="eastAsia" w:ascii="宋体" w:hAnsi="宋体" w:cs="宋体"/>
          <w:b/>
          <w:color w:val="auto"/>
          <w:sz w:val="32"/>
          <w:szCs w:val="32"/>
          <w:highlight w:val="none"/>
          <w:lang w:val="en-US" w:eastAsia="zh-CN"/>
        </w:rPr>
        <w:t>13</w:t>
      </w:r>
      <w:r>
        <w:rPr>
          <w:rFonts w:hint="eastAsia" w:ascii="宋体" w:hAnsi="宋体" w:cs="宋体"/>
          <w:b/>
          <w:color w:val="auto"/>
          <w:sz w:val="32"/>
          <w:szCs w:val="32"/>
          <w:highlight w:val="none"/>
        </w:rPr>
        <w:t>：</w:t>
      </w:r>
    </w:p>
    <w:p>
      <w:pPr>
        <w:spacing w:line="360" w:lineRule="auto"/>
        <w:ind w:left="549" w:hanging="549" w:hangingChars="171"/>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技术需求响应表</w:t>
      </w:r>
    </w:p>
    <w:tbl>
      <w:tblPr>
        <w:tblStyle w:val="43"/>
        <w:tblW w:w="84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200"/>
        <w:gridCol w:w="1923"/>
        <w:gridCol w:w="1727"/>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2" w:hRule="atLeast"/>
        </w:trPr>
        <w:tc>
          <w:tcPr>
            <w:tcW w:w="906" w:type="dxa"/>
            <w:vAlign w:val="center"/>
          </w:tcPr>
          <w:p>
            <w:pPr>
              <w:spacing w:line="360" w:lineRule="auto"/>
              <w:rPr>
                <w:rFonts w:ascii="宋体" w:hAnsi="宋体" w:cs="宋体"/>
                <w:b/>
                <w:color w:val="auto"/>
                <w:sz w:val="24"/>
                <w:highlight w:val="none"/>
              </w:rPr>
            </w:pPr>
            <w:r>
              <w:rPr>
                <w:rFonts w:hint="eastAsia" w:ascii="宋体" w:hAnsi="宋体" w:cs="宋体"/>
                <w:b/>
                <w:color w:val="auto"/>
                <w:sz w:val="24"/>
                <w:highlight w:val="none"/>
              </w:rPr>
              <w:t>序号</w:t>
            </w:r>
          </w:p>
        </w:tc>
        <w:tc>
          <w:tcPr>
            <w:tcW w:w="2200" w:type="dxa"/>
            <w:vAlign w:val="center"/>
          </w:tcPr>
          <w:p>
            <w:pPr>
              <w:spacing w:line="360" w:lineRule="auto"/>
              <w:ind w:left="13" w:leftChars="6" w:firstLine="482" w:firstLineChars="200"/>
              <w:rPr>
                <w:rFonts w:ascii="宋体" w:hAnsi="宋体" w:cs="宋体"/>
                <w:b/>
                <w:color w:val="auto"/>
                <w:sz w:val="24"/>
                <w:highlight w:val="none"/>
              </w:rPr>
            </w:pPr>
            <w:r>
              <w:rPr>
                <w:rFonts w:hint="eastAsia" w:ascii="宋体" w:hAnsi="宋体" w:cs="宋体"/>
                <w:b/>
                <w:color w:val="auto"/>
                <w:sz w:val="24"/>
                <w:highlight w:val="none"/>
              </w:rPr>
              <w:t>名称</w:t>
            </w:r>
          </w:p>
        </w:tc>
        <w:tc>
          <w:tcPr>
            <w:tcW w:w="1923" w:type="dxa"/>
            <w:vAlign w:val="center"/>
          </w:tcPr>
          <w:p>
            <w:pPr>
              <w:spacing w:line="360" w:lineRule="auto"/>
              <w:ind w:left="152"/>
              <w:rPr>
                <w:rFonts w:ascii="宋体" w:hAnsi="宋体" w:cs="宋体"/>
                <w:b/>
                <w:color w:val="auto"/>
                <w:sz w:val="24"/>
                <w:highlight w:val="none"/>
              </w:rPr>
            </w:pPr>
            <w:r>
              <w:rPr>
                <w:rFonts w:hint="eastAsia" w:ascii="宋体" w:hAnsi="宋体" w:cs="宋体"/>
                <w:b/>
                <w:color w:val="auto"/>
                <w:sz w:val="24"/>
                <w:highlight w:val="none"/>
              </w:rPr>
              <w:t>招标参数</w:t>
            </w:r>
          </w:p>
        </w:tc>
        <w:tc>
          <w:tcPr>
            <w:tcW w:w="1727" w:type="dxa"/>
            <w:vAlign w:val="center"/>
          </w:tcPr>
          <w:p>
            <w:pPr>
              <w:spacing w:line="360" w:lineRule="auto"/>
              <w:rPr>
                <w:rFonts w:ascii="宋体" w:hAnsi="宋体" w:cs="宋体"/>
                <w:b/>
                <w:color w:val="auto"/>
                <w:sz w:val="24"/>
                <w:highlight w:val="none"/>
              </w:rPr>
            </w:pPr>
            <w:r>
              <w:rPr>
                <w:rFonts w:hint="eastAsia" w:ascii="宋体" w:hAnsi="宋体" w:cs="宋体"/>
                <w:b/>
                <w:color w:val="auto"/>
                <w:sz w:val="24"/>
                <w:highlight w:val="none"/>
              </w:rPr>
              <w:t>投标参数</w:t>
            </w:r>
          </w:p>
        </w:tc>
        <w:tc>
          <w:tcPr>
            <w:tcW w:w="1682" w:type="dxa"/>
            <w:vAlign w:val="center"/>
          </w:tcPr>
          <w:p>
            <w:pPr>
              <w:spacing w:line="360" w:lineRule="auto"/>
              <w:rPr>
                <w:rFonts w:ascii="宋体" w:hAnsi="宋体" w:cs="宋体"/>
                <w:b/>
                <w:color w:val="auto"/>
                <w:sz w:val="24"/>
                <w:highlight w:val="none"/>
              </w:rPr>
            </w:pPr>
            <w:r>
              <w:rPr>
                <w:rFonts w:hint="eastAsia" w:ascii="宋体" w:hAnsi="宋体" w:cs="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906" w:type="dxa"/>
            <w:vAlign w:val="center"/>
          </w:tcPr>
          <w:p>
            <w:pPr>
              <w:spacing w:line="360" w:lineRule="auto"/>
              <w:rPr>
                <w:rFonts w:ascii="宋体" w:hAnsi="宋体" w:cs="宋体"/>
                <w:color w:val="auto"/>
                <w:sz w:val="24"/>
                <w:highlight w:val="none"/>
              </w:rPr>
            </w:pPr>
          </w:p>
        </w:tc>
        <w:tc>
          <w:tcPr>
            <w:tcW w:w="2200" w:type="dxa"/>
            <w:vAlign w:val="center"/>
          </w:tcPr>
          <w:p>
            <w:pPr>
              <w:spacing w:line="360" w:lineRule="auto"/>
              <w:rPr>
                <w:rFonts w:ascii="宋体" w:hAnsi="宋体" w:cs="宋体"/>
                <w:color w:val="auto"/>
                <w:sz w:val="24"/>
                <w:highlight w:val="none"/>
              </w:rPr>
            </w:pPr>
          </w:p>
        </w:tc>
        <w:tc>
          <w:tcPr>
            <w:tcW w:w="1923" w:type="dxa"/>
            <w:vAlign w:val="center"/>
          </w:tcPr>
          <w:p>
            <w:pPr>
              <w:spacing w:line="360" w:lineRule="auto"/>
              <w:rPr>
                <w:rFonts w:ascii="宋体" w:hAnsi="宋体" w:cs="宋体"/>
                <w:color w:val="auto"/>
                <w:sz w:val="24"/>
                <w:highlight w:val="none"/>
              </w:rPr>
            </w:pPr>
          </w:p>
        </w:tc>
        <w:tc>
          <w:tcPr>
            <w:tcW w:w="1727" w:type="dxa"/>
            <w:vAlign w:val="center"/>
          </w:tcPr>
          <w:p>
            <w:pPr>
              <w:spacing w:line="360" w:lineRule="auto"/>
              <w:rPr>
                <w:rFonts w:ascii="宋体" w:hAnsi="宋体" w:cs="宋体"/>
                <w:color w:val="auto"/>
                <w:sz w:val="24"/>
                <w:highlight w:val="none"/>
              </w:rPr>
            </w:pPr>
          </w:p>
        </w:tc>
        <w:tc>
          <w:tcPr>
            <w:tcW w:w="1682"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906" w:type="dxa"/>
            <w:vAlign w:val="center"/>
          </w:tcPr>
          <w:p>
            <w:pPr>
              <w:spacing w:line="360" w:lineRule="auto"/>
              <w:rPr>
                <w:rFonts w:ascii="宋体" w:hAnsi="宋体" w:cs="宋体"/>
                <w:color w:val="auto"/>
                <w:sz w:val="24"/>
                <w:highlight w:val="none"/>
              </w:rPr>
            </w:pPr>
          </w:p>
        </w:tc>
        <w:tc>
          <w:tcPr>
            <w:tcW w:w="2200" w:type="dxa"/>
            <w:vAlign w:val="center"/>
          </w:tcPr>
          <w:p>
            <w:pPr>
              <w:spacing w:line="360" w:lineRule="auto"/>
              <w:rPr>
                <w:rFonts w:ascii="宋体" w:hAnsi="宋体" w:cs="宋体"/>
                <w:color w:val="auto"/>
                <w:sz w:val="24"/>
                <w:highlight w:val="none"/>
              </w:rPr>
            </w:pPr>
          </w:p>
        </w:tc>
        <w:tc>
          <w:tcPr>
            <w:tcW w:w="1923" w:type="dxa"/>
            <w:vAlign w:val="center"/>
          </w:tcPr>
          <w:p>
            <w:pPr>
              <w:spacing w:line="360" w:lineRule="auto"/>
              <w:rPr>
                <w:rFonts w:ascii="宋体" w:hAnsi="宋体" w:cs="宋体"/>
                <w:color w:val="auto"/>
                <w:sz w:val="24"/>
                <w:highlight w:val="none"/>
              </w:rPr>
            </w:pPr>
          </w:p>
        </w:tc>
        <w:tc>
          <w:tcPr>
            <w:tcW w:w="1727" w:type="dxa"/>
            <w:vAlign w:val="center"/>
          </w:tcPr>
          <w:p>
            <w:pPr>
              <w:spacing w:line="360" w:lineRule="auto"/>
              <w:rPr>
                <w:rFonts w:ascii="宋体" w:hAnsi="宋体" w:cs="宋体"/>
                <w:color w:val="auto"/>
                <w:sz w:val="24"/>
                <w:highlight w:val="none"/>
              </w:rPr>
            </w:pPr>
          </w:p>
        </w:tc>
        <w:tc>
          <w:tcPr>
            <w:tcW w:w="1682"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06" w:type="dxa"/>
            <w:vAlign w:val="center"/>
          </w:tcPr>
          <w:p>
            <w:pPr>
              <w:spacing w:line="360" w:lineRule="auto"/>
              <w:rPr>
                <w:rFonts w:ascii="宋体" w:hAnsi="宋体" w:cs="宋体"/>
                <w:color w:val="auto"/>
                <w:sz w:val="24"/>
                <w:highlight w:val="none"/>
              </w:rPr>
            </w:pPr>
          </w:p>
        </w:tc>
        <w:tc>
          <w:tcPr>
            <w:tcW w:w="2200" w:type="dxa"/>
            <w:vAlign w:val="center"/>
          </w:tcPr>
          <w:p>
            <w:pPr>
              <w:spacing w:line="360" w:lineRule="auto"/>
              <w:rPr>
                <w:rFonts w:ascii="宋体" w:hAnsi="宋体" w:cs="宋体"/>
                <w:color w:val="auto"/>
                <w:sz w:val="24"/>
                <w:highlight w:val="none"/>
              </w:rPr>
            </w:pPr>
          </w:p>
        </w:tc>
        <w:tc>
          <w:tcPr>
            <w:tcW w:w="1923" w:type="dxa"/>
            <w:vAlign w:val="center"/>
          </w:tcPr>
          <w:p>
            <w:pPr>
              <w:spacing w:line="360" w:lineRule="auto"/>
              <w:rPr>
                <w:rFonts w:ascii="宋体" w:hAnsi="宋体" w:cs="宋体"/>
                <w:color w:val="auto"/>
                <w:sz w:val="24"/>
                <w:highlight w:val="none"/>
              </w:rPr>
            </w:pPr>
          </w:p>
        </w:tc>
        <w:tc>
          <w:tcPr>
            <w:tcW w:w="1727" w:type="dxa"/>
            <w:vAlign w:val="center"/>
          </w:tcPr>
          <w:p>
            <w:pPr>
              <w:spacing w:line="360" w:lineRule="auto"/>
              <w:rPr>
                <w:rFonts w:ascii="宋体" w:hAnsi="宋体" w:cs="宋体"/>
                <w:color w:val="auto"/>
                <w:sz w:val="24"/>
                <w:highlight w:val="none"/>
              </w:rPr>
            </w:pPr>
          </w:p>
        </w:tc>
        <w:tc>
          <w:tcPr>
            <w:tcW w:w="1682"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6" w:hRule="atLeast"/>
        </w:trPr>
        <w:tc>
          <w:tcPr>
            <w:tcW w:w="906" w:type="dxa"/>
            <w:vAlign w:val="center"/>
          </w:tcPr>
          <w:p>
            <w:pPr>
              <w:spacing w:line="360" w:lineRule="auto"/>
              <w:rPr>
                <w:rFonts w:ascii="宋体" w:hAnsi="宋体" w:cs="宋体"/>
                <w:color w:val="auto"/>
                <w:sz w:val="24"/>
                <w:highlight w:val="none"/>
              </w:rPr>
            </w:pPr>
          </w:p>
        </w:tc>
        <w:tc>
          <w:tcPr>
            <w:tcW w:w="2200" w:type="dxa"/>
            <w:vAlign w:val="center"/>
          </w:tcPr>
          <w:p>
            <w:pPr>
              <w:spacing w:line="360" w:lineRule="auto"/>
              <w:rPr>
                <w:rFonts w:ascii="宋体" w:hAnsi="宋体" w:cs="宋体"/>
                <w:color w:val="auto"/>
                <w:sz w:val="24"/>
                <w:highlight w:val="none"/>
              </w:rPr>
            </w:pPr>
          </w:p>
        </w:tc>
        <w:tc>
          <w:tcPr>
            <w:tcW w:w="1923" w:type="dxa"/>
            <w:vAlign w:val="center"/>
          </w:tcPr>
          <w:p>
            <w:pPr>
              <w:spacing w:line="360" w:lineRule="auto"/>
              <w:rPr>
                <w:rFonts w:ascii="宋体" w:hAnsi="宋体" w:cs="宋体"/>
                <w:color w:val="auto"/>
                <w:sz w:val="24"/>
                <w:highlight w:val="none"/>
              </w:rPr>
            </w:pPr>
          </w:p>
        </w:tc>
        <w:tc>
          <w:tcPr>
            <w:tcW w:w="1727" w:type="dxa"/>
            <w:vAlign w:val="center"/>
          </w:tcPr>
          <w:p>
            <w:pPr>
              <w:spacing w:line="360" w:lineRule="auto"/>
              <w:rPr>
                <w:rFonts w:ascii="宋体" w:hAnsi="宋体" w:cs="宋体"/>
                <w:color w:val="auto"/>
                <w:sz w:val="24"/>
                <w:highlight w:val="none"/>
              </w:rPr>
            </w:pPr>
          </w:p>
        </w:tc>
        <w:tc>
          <w:tcPr>
            <w:tcW w:w="1682"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906" w:type="dxa"/>
            <w:vAlign w:val="center"/>
          </w:tcPr>
          <w:p>
            <w:pPr>
              <w:spacing w:line="360" w:lineRule="auto"/>
              <w:rPr>
                <w:rFonts w:ascii="宋体" w:hAnsi="宋体" w:cs="宋体"/>
                <w:color w:val="auto"/>
                <w:sz w:val="24"/>
                <w:highlight w:val="none"/>
              </w:rPr>
            </w:pPr>
          </w:p>
        </w:tc>
        <w:tc>
          <w:tcPr>
            <w:tcW w:w="2200" w:type="dxa"/>
            <w:vAlign w:val="center"/>
          </w:tcPr>
          <w:p>
            <w:pPr>
              <w:spacing w:line="360" w:lineRule="auto"/>
              <w:rPr>
                <w:rFonts w:ascii="宋体" w:hAnsi="宋体" w:cs="宋体"/>
                <w:color w:val="auto"/>
                <w:sz w:val="24"/>
                <w:highlight w:val="none"/>
              </w:rPr>
            </w:pPr>
          </w:p>
        </w:tc>
        <w:tc>
          <w:tcPr>
            <w:tcW w:w="1923" w:type="dxa"/>
            <w:vAlign w:val="center"/>
          </w:tcPr>
          <w:p>
            <w:pPr>
              <w:spacing w:line="360" w:lineRule="auto"/>
              <w:rPr>
                <w:rFonts w:ascii="宋体" w:hAnsi="宋体" w:cs="宋体"/>
                <w:color w:val="auto"/>
                <w:sz w:val="24"/>
                <w:highlight w:val="none"/>
              </w:rPr>
            </w:pPr>
          </w:p>
        </w:tc>
        <w:tc>
          <w:tcPr>
            <w:tcW w:w="1727" w:type="dxa"/>
            <w:vAlign w:val="center"/>
          </w:tcPr>
          <w:p>
            <w:pPr>
              <w:spacing w:line="360" w:lineRule="auto"/>
              <w:rPr>
                <w:rFonts w:ascii="宋体" w:hAnsi="宋体" w:cs="宋体"/>
                <w:color w:val="auto"/>
                <w:sz w:val="24"/>
                <w:highlight w:val="none"/>
              </w:rPr>
            </w:pPr>
          </w:p>
        </w:tc>
        <w:tc>
          <w:tcPr>
            <w:tcW w:w="1682"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5" w:hRule="atLeast"/>
        </w:trPr>
        <w:tc>
          <w:tcPr>
            <w:tcW w:w="906" w:type="dxa"/>
            <w:vAlign w:val="center"/>
          </w:tcPr>
          <w:p>
            <w:pPr>
              <w:spacing w:line="360" w:lineRule="auto"/>
              <w:rPr>
                <w:rFonts w:ascii="宋体" w:hAnsi="宋体" w:cs="宋体"/>
                <w:color w:val="auto"/>
                <w:sz w:val="24"/>
                <w:highlight w:val="none"/>
              </w:rPr>
            </w:pPr>
          </w:p>
        </w:tc>
        <w:tc>
          <w:tcPr>
            <w:tcW w:w="2200" w:type="dxa"/>
            <w:vAlign w:val="center"/>
          </w:tcPr>
          <w:p>
            <w:pPr>
              <w:spacing w:line="360" w:lineRule="auto"/>
              <w:rPr>
                <w:rFonts w:ascii="宋体" w:hAnsi="宋体" w:cs="宋体"/>
                <w:color w:val="auto"/>
                <w:sz w:val="24"/>
                <w:highlight w:val="none"/>
              </w:rPr>
            </w:pPr>
          </w:p>
        </w:tc>
        <w:tc>
          <w:tcPr>
            <w:tcW w:w="1923" w:type="dxa"/>
            <w:vAlign w:val="center"/>
          </w:tcPr>
          <w:p>
            <w:pPr>
              <w:spacing w:line="360" w:lineRule="auto"/>
              <w:rPr>
                <w:rFonts w:ascii="宋体" w:hAnsi="宋体" w:cs="宋体"/>
                <w:color w:val="auto"/>
                <w:sz w:val="24"/>
                <w:highlight w:val="none"/>
              </w:rPr>
            </w:pPr>
          </w:p>
        </w:tc>
        <w:tc>
          <w:tcPr>
            <w:tcW w:w="1727" w:type="dxa"/>
            <w:vAlign w:val="center"/>
          </w:tcPr>
          <w:p>
            <w:pPr>
              <w:spacing w:line="360" w:lineRule="auto"/>
              <w:rPr>
                <w:rFonts w:ascii="宋体" w:hAnsi="宋体" w:cs="宋体"/>
                <w:color w:val="auto"/>
                <w:sz w:val="24"/>
                <w:highlight w:val="none"/>
              </w:rPr>
            </w:pPr>
          </w:p>
        </w:tc>
        <w:tc>
          <w:tcPr>
            <w:tcW w:w="1682"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6" w:hRule="atLeast"/>
        </w:trPr>
        <w:tc>
          <w:tcPr>
            <w:tcW w:w="906" w:type="dxa"/>
            <w:vAlign w:val="center"/>
          </w:tcPr>
          <w:p>
            <w:pPr>
              <w:spacing w:line="360" w:lineRule="auto"/>
              <w:rPr>
                <w:rFonts w:ascii="宋体" w:hAnsi="宋体" w:cs="宋体"/>
                <w:color w:val="auto"/>
                <w:sz w:val="24"/>
                <w:highlight w:val="none"/>
              </w:rPr>
            </w:pPr>
          </w:p>
        </w:tc>
        <w:tc>
          <w:tcPr>
            <w:tcW w:w="2200" w:type="dxa"/>
            <w:vAlign w:val="center"/>
          </w:tcPr>
          <w:p>
            <w:pPr>
              <w:spacing w:line="360" w:lineRule="auto"/>
              <w:rPr>
                <w:rFonts w:ascii="宋体" w:hAnsi="宋体" w:cs="宋体"/>
                <w:color w:val="auto"/>
                <w:sz w:val="24"/>
                <w:highlight w:val="none"/>
              </w:rPr>
            </w:pPr>
          </w:p>
        </w:tc>
        <w:tc>
          <w:tcPr>
            <w:tcW w:w="1923" w:type="dxa"/>
            <w:vAlign w:val="center"/>
          </w:tcPr>
          <w:p>
            <w:pPr>
              <w:spacing w:line="360" w:lineRule="auto"/>
              <w:rPr>
                <w:rFonts w:ascii="宋体" w:hAnsi="宋体" w:cs="宋体"/>
                <w:color w:val="auto"/>
                <w:sz w:val="24"/>
                <w:highlight w:val="none"/>
              </w:rPr>
            </w:pPr>
          </w:p>
        </w:tc>
        <w:tc>
          <w:tcPr>
            <w:tcW w:w="1727" w:type="dxa"/>
            <w:vAlign w:val="center"/>
          </w:tcPr>
          <w:p>
            <w:pPr>
              <w:spacing w:line="360" w:lineRule="auto"/>
              <w:rPr>
                <w:rFonts w:ascii="宋体" w:hAnsi="宋体" w:cs="宋体"/>
                <w:color w:val="auto"/>
                <w:sz w:val="24"/>
                <w:highlight w:val="none"/>
              </w:rPr>
            </w:pPr>
          </w:p>
        </w:tc>
        <w:tc>
          <w:tcPr>
            <w:tcW w:w="1682" w:type="dxa"/>
            <w:vAlign w:val="center"/>
          </w:tcPr>
          <w:p>
            <w:pPr>
              <w:spacing w:line="360" w:lineRule="auto"/>
              <w:rPr>
                <w:rFonts w:ascii="宋体" w:hAnsi="宋体" w:cs="宋体"/>
                <w:color w:val="auto"/>
                <w:sz w:val="24"/>
                <w:highlight w:val="none"/>
              </w:rPr>
            </w:pPr>
          </w:p>
        </w:tc>
      </w:tr>
    </w:tbl>
    <w:p>
      <w:pPr>
        <w:pStyle w:val="63"/>
        <w:tabs>
          <w:tab w:val="left" w:pos="360"/>
        </w:tabs>
        <w:spacing w:line="360" w:lineRule="auto"/>
        <w:ind w:right="84" w:rightChars="40"/>
        <w:rPr>
          <w:rFonts w:ascii="宋体" w:hAnsi="宋体" w:cs="宋体"/>
          <w:b/>
          <w:color w:val="auto"/>
          <w:szCs w:val="21"/>
          <w:highlight w:val="none"/>
        </w:rPr>
      </w:pPr>
      <w:r>
        <w:rPr>
          <w:rFonts w:hint="eastAsia" w:ascii="宋体" w:hAnsi="宋体" w:cs="宋体"/>
          <w:b/>
          <w:color w:val="auto"/>
          <w:szCs w:val="21"/>
          <w:highlight w:val="none"/>
        </w:rPr>
        <w:t>要求：</w:t>
      </w:r>
    </w:p>
    <w:p>
      <w:pPr>
        <w:pStyle w:val="63"/>
        <w:spacing w:line="360" w:lineRule="auto"/>
        <w:ind w:right="84" w:rightChars="40" w:firstLine="420" w:firstLineChars="200"/>
        <w:rPr>
          <w:rFonts w:ascii="宋体" w:hAnsi="宋体" w:cs="宋体"/>
          <w:color w:val="auto"/>
          <w:szCs w:val="21"/>
          <w:highlight w:val="none"/>
        </w:rPr>
      </w:pPr>
      <w:r>
        <w:rPr>
          <w:rFonts w:hint="eastAsia" w:ascii="宋体" w:hAnsi="宋体" w:cs="宋体"/>
          <w:color w:val="auto"/>
          <w:szCs w:val="21"/>
          <w:highlight w:val="none"/>
        </w:rPr>
        <w:t>本表参照本采购文件第四章“第四章公开招标需求”内第二条“技术需求”填制，投标人应根据投标服务指标，对照采购文件要求在“偏离情况”栏注明“正偏离”、“负偏离”或“无偏离”。</w:t>
      </w:r>
    </w:p>
    <w:p>
      <w:pPr>
        <w:spacing w:line="360" w:lineRule="auto"/>
        <w:rPr>
          <w:rFonts w:ascii="宋体" w:hAnsi="宋体" w:cs="宋体"/>
          <w:color w:val="auto"/>
          <w:sz w:val="24"/>
          <w:highlight w:val="none"/>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日        期：</w:t>
      </w:r>
    </w:p>
    <w:p>
      <w:pPr>
        <w:rPr>
          <w:rFonts w:ascii="宋体" w:hAnsi="宋体" w:cs="宋体"/>
          <w:b/>
          <w:color w:val="auto"/>
          <w:sz w:val="28"/>
          <w:highlight w:val="none"/>
        </w:rPr>
      </w:pPr>
      <w:r>
        <w:rPr>
          <w:rFonts w:hint="eastAsia" w:ascii="宋体" w:hAnsi="宋体" w:cs="宋体"/>
          <w:b/>
          <w:color w:val="auto"/>
          <w:sz w:val="28"/>
          <w:highlight w:val="none"/>
        </w:rPr>
        <w:br w:type="page"/>
      </w:r>
    </w:p>
    <w:p>
      <w:pPr>
        <w:pStyle w:val="65"/>
        <w:tabs>
          <w:tab w:val="left" w:pos="1050"/>
        </w:tabs>
        <w:spacing w:line="360" w:lineRule="auto"/>
        <w:rPr>
          <w:rFonts w:ascii="宋体" w:hAnsi="宋体" w:cs="Arial"/>
          <w:color w:val="auto"/>
          <w:sz w:val="28"/>
          <w:szCs w:val="28"/>
          <w:highlight w:val="none"/>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14</w:t>
      </w:r>
      <w:r>
        <w:rPr>
          <w:rFonts w:hint="eastAsia" w:ascii="宋体" w:hAnsi="宋体" w:cs="宋体"/>
          <w:b/>
          <w:color w:val="auto"/>
          <w:sz w:val="28"/>
          <w:highlight w:val="none"/>
        </w:rPr>
        <w:t>：</w:t>
      </w:r>
    </w:p>
    <w:p>
      <w:pPr>
        <w:spacing w:line="360" w:lineRule="auto"/>
        <w:ind w:left="549" w:hanging="549" w:hangingChars="171"/>
        <w:jc w:val="center"/>
        <w:rPr>
          <w:rFonts w:ascii="宋体" w:hAnsi="宋体" w:cs="宋体"/>
          <w:b/>
          <w:color w:val="auto"/>
          <w:sz w:val="18"/>
          <w:szCs w:val="18"/>
          <w:highlight w:val="none"/>
        </w:rPr>
      </w:pPr>
      <w:r>
        <w:rPr>
          <w:rFonts w:hint="eastAsia" w:ascii="宋体" w:hAnsi="宋体" w:cs="宋体"/>
          <w:b/>
          <w:color w:val="auto"/>
          <w:sz w:val="32"/>
          <w:szCs w:val="32"/>
          <w:highlight w:val="none"/>
        </w:rPr>
        <w:t xml:space="preserve">资信及商务需求响应表 </w:t>
      </w:r>
    </w:p>
    <w:tbl>
      <w:tblPr>
        <w:tblStyle w:val="4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66" w:hRule="atLeast"/>
        </w:trPr>
        <w:tc>
          <w:tcPr>
            <w:tcW w:w="735" w:type="dxa"/>
            <w:vAlign w:val="center"/>
          </w:tcPr>
          <w:p>
            <w:pPr>
              <w:rPr>
                <w:rFonts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pPr>
              <w:rPr>
                <w:rFonts w:ascii="宋体" w:hAnsi="宋体" w:cs="宋体"/>
                <w:b/>
                <w:color w:val="auto"/>
                <w:sz w:val="24"/>
                <w:highlight w:val="none"/>
              </w:rPr>
            </w:pPr>
            <w:r>
              <w:rPr>
                <w:rFonts w:hint="eastAsia" w:ascii="宋体" w:hAnsi="宋体" w:cs="宋体"/>
                <w:b/>
                <w:color w:val="auto"/>
                <w:sz w:val="24"/>
                <w:highlight w:val="none"/>
              </w:rPr>
              <w:t xml:space="preserve">   内容</w:t>
            </w:r>
          </w:p>
        </w:tc>
        <w:tc>
          <w:tcPr>
            <w:tcW w:w="1785" w:type="dxa"/>
            <w:vAlign w:val="center"/>
          </w:tcPr>
          <w:p>
            <w:pPr>
              <w:ind w:left="53" w:leftChars="25" w:firstLine="241" w:firstLineChars="100"/>
              <w:rPr>
                <w:rFonts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pPr>
              <w:ind w:left="152"/>
              <w:rPr>
                <w:rFonts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s="宋体"/>
                <w:color w:val="auto"/>
                <w:sz w:val="24"/>
                <w:highlight w:val="none"/>
              </w:rPr>
            </w:pPr>
          </w:p>
        </w:tc>
        <w:tc>
          <w:tcPr>
            <w:tcW w:w="1785" w:type="dxa"/>
          </w:tcPr>
          <w:p>
            <w:pPr>
              <w:snapToGrid w:val="0"/>
              <w:rPr>
                <w:rFonts w:ascii="宋体" w:hAnsi="宋体"/>
                <w:color w:val="auto"/>
                <w:sz w:val="24"/>
                <w:highlight w:val="none"/>
              </w:rPr>
            </w:pPr>
            <w:r>
              <w:rPr>
                <w:rFonts w:hint="eastAsia" w:ascii="宋体" w:hAnsi="宋体"/>
                <w:color w:val="auto"/>
                <w:sz w:val="24"/>
                <w:highlight w:val="none"/>
              </w:rPr>
              <w:t>售后服务保障要求</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sz w:val="24"/>
                <w:highlight w:val="none"/>
              </w:rPr>
            </w:pPr>
          </w:p>
        </w:tc>
        <w:tc>
          <w:tcPr>
            <w:tcW w:w="1785" w:type="dxa"/>
          </w:tcPr>
          <w:p>
            <w:pPr>
              <w:snapToGrid w:val="0"/>
              <w:rPr>
                <w:rFonts w:ascii="宋体" w:hAnsi="宋体"/>
                <w:color w:val="auto"/>
                <w:sz w:val="24"/>
                <w:highlight w:val="none"/>
              </w:rPr>
            </w:pPr>
            <w:r>
              <w:rPr>
                <w:rFonts w:hint="eastAsia" w:ascii="宋体" w:hAnsi="宋体"/>
                <w:color w:val="auto"/>
                <w:sz w:val="24"/>
                <w:highlight w:val="none"/>
              </w:rPr>
              <w:t>服务</w:t>
            </w:r>
          </w:p>
          <w:p>
            <w:pPr>
              <w:snapToGrid w:val="0"/>
              <w:rPr>
                <w:rFonts w:ascii="宋体" w:hAnsi="宋体"/>
                <w:color w:val="auto"/>
                <w:sz w:val="24"/>
                <w:highlight w:val="none"/>
              </w:rPr>
            </w:pPr>
            <w:r>
              <w:rPr>
                <w:rFonts w:hint="eastAsia" w:ascii="宋体" w:hAnsi="宋体"/>
                <w:color w:val="auto"/>
                <w:sz w:val="24"/>
                <w:highlight w:val="none"/>
              </w:rPr>
              <w:t>时间及地点</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sz w:val="24"/>
                <w:highlight w:val="none"/>
              </w:rPr>
            </w:pPr>
          </w:p>
        </w:tc>
        <w:tc>
          <w:tcPr>
            <w:tcW w:w="1785" w:type="dxa"/>
          </w:tcPr>
          <w:p>
            <w:pPr>
              <w:snapToGrid w:val="0"/>
              <w:rPr>
                <w:rFonts w:ascii="宋体" w:hAnsi="宋体"/>
                <w:color w:val="auto"/>
                <w:sz w:val="24"/>
                <w:highlight w:val="none"/>
              </w:rPr>
            </w:pPr>
            <w:r>
              <w:rPr>
                <w:rFonts w:hint="eastAsia" w:ascii="宋体" w:hAnsi="宋体"/>
                <w:color w:val="auto"/>
                <w:sz w:val="24"/>
                <w:highlight w:val="none"/>
              </w:rPr>
              <w:t>付款条件</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735" w:type="dxa"/>
            <w:vAlign w:val="center"/>
          </w:tcPr>
          <w:p>
            <w:pPr>
              <w:rPr>
                <w:rFonts w:ascii="宋体" w:hAnsi="宋体" w:cs="宋体"/>
                <w:color w:val="auto"/>
                <w:sz w:val="24"/>
                <w:highlight w:val="none"/>
              </w:rPr>
            </w:pPr>
          </w:p>
        </w:tc>
        <w:tc>
          <w:tcPr>
            <w:tcW w:w="1785" w:type="dxa"/>
          </w:tcPr>
          <w:p>
            <w:pPr>
              <w:snapToGrid w:val="0"/>
              <w:rPr>
                <w:rFonts w:ascii="宋体" w:hAnsi="宋体"/>
                <w:color w:val="auto"/>
                <w:sz w:val="24"/>
                <w:highlight w:val="none"/>
              </w:rPr>
            </w:pPr>
            <w:r>
              <w:rPr>
                <w:rFonts w:hint="eastAsia" w:ascii="宋体" w:hAnsi="宋体"/>
                <w:color w:val="auto"/>
                <w:sz w:val="24"/>
                <w:highlight w:val="none"/>
              </w:rPr>
              <w:t>……</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3" w:hRule="atLeast"/>
        </w:trPr>
        <w:tc>
          <w:tcPr>
            <w:tcW w:w="735" w:type="dxa"/>
            <w:vAlign w:val="center"/>
          </w:tcPr>
          <w:p>
            <w:pPr>
              <w:rPr>
                <w:rFonts w:ascii="宋体" w:hAnsi="宋体" w:cs="宋体"/>
                <w:color w:val="auto"/>
                <w:sz w:val="24"/>
                <w:highlight w:val="none"/>
              </w:rPr>
            </w:pPr>
          </w:p>
        </w:tc>
        <w:tc>
          <w:tcPr>
            <w:tcW w:w="1785" w:type="dxa"/>
          </w:tcPr>
          <w:p>
            <w:pPr>
              <w:snapToGrid w:val="0"/>
              <w:rPr>
                <w:rFonts w:ascii="宋体" w:hAnsi="宋体" w:cs="宋体"/>
                <w:color w:val="auto"/>
                <w:sz w:val="24"/>
                <w:highlight w:val="none"/>
              </w:rPr>
            </w:pP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0" w:hRule="atLeast"/>
        </w:trPr>
        <w:tc>
          <w:tcPr>
            <w:tcW w:w="735" w:type="dxa"/>
            <w:vAlign w:val="center"/>
          </w:tcPr>
          <w:p>
            <w:pPr>
              <w:rPr>
                <w:rFonts w:ascii="宋体" w:hAnsi="宋体" w:cs="宋体"/>
                <w:color w:val="auto"/>
                <w:sz w:val="24"/>
                <w:highlight w:val="none"/>
              </w:rPr>
            </w:pPr>
          </w:p>
        </w:tc>
        <w:tc>
          <w:tcPr>
            <w:tcW w:w="1785" w:type="dxa"/>
          </w:tcPr>
          <w:p>
            <w:pPr>
              <w:snapToGrid w:val="0"/>
              <w:rPr>
                <w:rFonts w:ascii="宋体" w:hAnsi="宋体" w:cs="宋体"/>
                <w:color w:val="auto"/>
                <w:sz w:val="24"/>
                <w:highlight w:val="none"/>
              </w:rPr>
            </w:pP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bl>
    <w:p>
      <w:pPr>
        <w:spacing w:line="360" w:lineRule="auto"/>
        <w:rPr>
          <w:rFonts w:ascii="宋体" w:hAnsi="宋体" w:cs="宋体"/>
          <w:color w:val="auto"/>
          <w:sz w:val="24"/>
          <w:highlight w:val="none"/>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u w:val="single"/>
        </w:rPr>
      </w:pPr>
      <w:r>
        <w:rPr>
          <w:rFonts w:hint="eastAsia" w:ascii="宋体" w:hAnsi="宋体" w:cs="宋体"/>
          <w:color w:val="auto"/>
          <w:sz w:val="24"/>
          <w:highlight w:val="none"/>
        </w:rPr>
        <w:t>日        期：</w:t>
      </w:r>
    </w:p>
    <w:p>
      <w:pPr>
        <w:rPr>
          <w:rFonts w:ascii="宋体" w:hAnsi="宋体" w:cs="宋体"/>
          <w:b/>
          <w:color w:val="auto"/>
          <w:sz w:val="28"/>
          <w:highlight w:val="none"/>
        </w:rPr>
      </w:pPr>
      <w:r>
        <w:rPr>
          <w:rFonts w:hint="eastAsia" w:ascii="宋体" w:hAnsi="宋体" w:cs="宋体"/>
          <w:b/>
          <w:color w:val="auto"/>
          <w:sz w:val="28"/>
          <w:highlight w:val="none"/>
        </w:rPr>
        <w:br w:type="page"/>
      </w:r>
    </w:p>
    <w:p>
      <w:pPr>
        <w:spacing w:line="360" w:lineRule="auto"/>
        <w:ind w:right="-110"/>
        <w:jc w:val="left"/>
        <w:rPr>
          <w:rFonts w:hint="eastAsia" w:ascii="宋体" w:hAnsi="宋体" w:eastAsia="宋体" w:cs="宋体"/>
          <w:color w:val="auto"/>
          <w:spacing w:val="40"/>
          <w:sz w:val="52"/>
          <w:szCs w:val="52"/>
          <w:highlight w:val="none"/>
          <w:lang w:eastAsia="zh-CN"/>
        </w:rPr>
      </w:pPr>
      <w:r>
        <w:rPr>
          <w:rFonts w:hint="eastAsia" w:ascii="宋体" w:hAnsi="宋体" w:cs="宋体"/>
          <w:b/>
          <w:color w:val="auto"/>
          <w:sz w:val="28"/>
          <w:highlight w:val="none"/>
        </w:rPr>
        <w:t>附件1</w:t>
      </w:r>
      <w:r>
        <w:rPr>
          <w:rFonts w:hint="eastAsia" w:ascii="宋体" w:hAnsi="宋体" w:cs="宋体"/>
          <w:b/>
          <w:color w:val="auto"/>
          <w:sz w:val="28"/>
          <w:highlight w:val="none"/>
          <w:lang w:val="en-US" w:eastAsia="zh-CN"/>
        </w:rPr>
        <w:t>5</w:t>
      </w:r>
    </w:p>
    <w:p>
      <w:pPr>
        <w:spacing w:beforeLines="100" w:line="360" w:lineRule="auto"/>
        <w:ind w:right="-108"/>
        <w:jc w:val="center"/>
        <w:rPr>
          <w:rFonts w:ascii="宋体" w:hAnsi="宋体" w:cs="宋体"/>
          <w:color w:val="auto"/>
          <w:spacing w:val="40"/>
          <w:sz w:val="48"/>
          <w:szCs w:val="48"/>
          <w:highlight w:val="none"/>
        </w:rPr>
      </w:pPr>
      <w:r>
        <w:rPr>
          <w:rFonts w:hint="eastAsia" w:ascii="宋体" w:hAnsi="宋体" w:cs="宋体"/>
          <w:color w:val="auto"/>
          <w:spacing w:val="40"/>
          <w:sz w:val="48"/>
          <w:szCs w:val="48"/>
          <w:highlight w:val="none"/>
        </w:rPr>
        <w:t>项目名称</w:t>
      </w:r>
    </w:p>
    <w:p>
      <w:pPr>
        <w:spacing w:beforeLines="100" w:line="360" w:lineRule="auto"/>
        <w:ind w:right="-108"/>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pPr>
        <w:spacing w:after="100" w:afterAutospacing="1" w:line="360" w:lineRule="auto"/>
        <w:ind w:right="-108"/>
        <w:jc w:val="center"/>
        <w:rPr>
          <w:rFonts w:ascii="宋体" w:hAnsi="宋体" w:cs="宋体"/>
          <w:b/>
          <w:color w:val="auto"/>
          <w:spacing w:val="40"/>
          <w:sz w:val="84"/>
          <w:szCs w:val="84"/>
          <w:highlight w:val="none"/>
        </w:rPr>
      </w:pPr>
    </w:p>
    <w:p>
      <w:pPr>
        <w:spacing w:after="100" w:afterAutospacing="1" w:line="360" w:lineRule="auto"/>
        <w:ind w:right="-108"/>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pPr>
        <w:spacing w:after="100" w:afterAutospacing="1" w:line="360" w:lineRule="auto"/>
        <w:ind w:right="-108"/>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pPr>
        <w:spacing w:after="100" w:afterAutospacing="1" w:line="360" w:lineRule="auto"/>
        <w:ind w:right="-108"/>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pPr>
        <w:spacing w:after="100" w:afterAutospacing="1" w:line="360" w:lineRule="auto"/>
        <w:ind w:right="-108"/>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pPr>
        <w:spacing w:line="360" w:lineRule="auto"/>
        <w:ind w:right="532"/>
        <w:jc w:val="center"/>
        <w:rPr>
          <w:rFonts w:ascii="宋体" w:hAnsi="宋体" w:cs="宋体"/>
          <w:color w:val="auto"/>
          <w:sz w:val="36"/>
          <w:szCs w:val="36"/>
          <w:highlight w:val="none"/>
        </w:rPr>
      </w:pPr>
    </w:p>
    <w:p>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供应商全称（公章或CA签章）：</w:t>
      </w:r>
    </w:p>
    <w:p>
      <w:pPr>
        <w:spacing w:line="360" w:lineRule="auto"/>
        <w:ind w:right="-108"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地    址：</w:t>
      </w:r>
    </w:p>
    <w:p>
      <w:pPr>
        <w:spacing w:line="360" w:lineRule="auto"/>
        <w:ind w:right="-108"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时    间：</w:t>
      </w:r>
    </w:p>
    <w:p>
      <w:pPr>
        <w:spacing w:line="360" w:lineRule="auto"/>
        <w:ind w:right="-108"/>
        <w:jc w:val="center"/>
        <w:rPr>
          <w:rFonts w:ascii="宋体" w:hAnsi="宋体" w:cs="宋体"/>
          <w:b/>
          <w:color w:val="auto"/>
          <w:sz w:val="36"/>
          <w:szCs w:val="36"/>
          <w:highlight w:val="none"/>
        </w:rPr>
      </w:pPr>
    </w:p>
    <w:p>
      <w:pPr>
        <w:spacing w:line="360" w:lineRule="auto"/>
        <w:ind w:right="-108"/>
        <w:jc w:val="center"/>
        <w:rPr>
          <w:rFonts w:ascii="宋体" w:hAnsi="宋体" w:cs="宋体"/>
          <w:b/>
          <w:color w:val="auto"/>
          <w:sz w:val="32"/>
          <w:szCs w:val="32"/>
          <w:highlight w:val="none"/>
        </w:rPr>
      </w:pPr>
    </w:p>
    <w:p>
      <w:pPr>
        <w:spacing w:line="360" w:lineRule="auto"/>
        <w:ind w:right="-108"/>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报价文件目录</w:t>
      </w:r>
    </w:p>
    <w:p>
      <w:pPr>
        <w:spacing w:line="360" w:lineRule="auto"/>
        <w:ind w:right="-108"/>
        <w:jc w:val="center"/>
        <w:rPr>
          <w:rFonts w:ascii="宋体" w:hAnsi="宋体" w:cs="宋体"/>
          <w:b/>
          <w:color w:val="auto"/>
          <w:sz w:val="36"/>
          <w:szCs w:val="36"/>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1、开标一览表（附件1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p>
    <w:p>
      <w:pPr>
        <w:spacing w:line="360" w:lineRule="auto"/>
        <w:rPr>
          <w:rFonts w:ascii="宋体" w:hAnsi="宋体" w:cs="宋体"/>
          <w:b/>
          <w:color w:val="auto"/>
          <w:sz w:val="28"/>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、针对报价投标人认为其他需要说明的。</w:t>
      </w: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rPr>
          <w:rFonts w:ascii="宋体" w:hAnsi="宋体" w:cs="宋体"/>
          <w:b/>
          <w:color w:val="auto"/>
          <w:sz w:val="28"/>
          <w:highlight w:val="none"/>
        </w:rPr>
      </w:pPr>
      <w:r>
        <w:rPr>
          <w:rFonts w:hint="eastAsia" w:ascii="宋体" w:hAnsi="宋体" w:cs="宋体"/>
          <w:b/>
          <w:color w:val="auto"/>
          <w:sz w:val="28"/>
          <w:highlight w:val="none"/>
        </w:rPr>
        <w:br w:type="page"/>
      </w:r>
    </w:p>
    <w:p>
      <w:pPr>
        <w:spacing w:line="360" w:lineRule="auto"/>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附件1</w:t>
      </w:r>
      <w:r>
        <w:rPr>
          <w:rFonts w:hint="eastAsia" w:ascii="宋体" w:hAnsi="宋体" w:cs="宋体"/>
          <w:b/>
          <w:color w:val="auto"/>
          <w:sz w:val="28"/>
          <w:highlight w:val="none"/>
          <w:lang w:val="en-US" w:eastAsia="zh-CN"/>
        </w:rPr>
        <w:t>6</w:t>
      </w:r>
    </w:p>
    <w:p>
      <w:pPr>
        <w:pStyle w:val="70"/>
        <w:spacing w:line="360" w:lineRule="auto"/>
        <w:ind w:right="480"/>
        <w:jc w:val="center"/>
        <w:rPr>
          <w:rFonts w:ascii="宋体" w:hAnsi="宋体" w:cs="宋体"/>
          <w:b/>
          <w:color w:val="auto"/>
          <w:sz w:val="32"/>
          <w:szCs w:val="32"/>
          <w:highlight w:val="none"/>
        </w:rPr>
      </w:pPr>
      <w:r>
        <w:rPr>
          <w:rFonts w:hint="eastAsia" w:ascii="宋体" w:hAnsi="宋体" w:cs="宋体"/>
          <w:b/>
          <w:color w:val="auto"/>
          <w:sz w:val="32"/>
          <w:szCs w:val="32"/>
          <w:highlight w:val="none"/>
        </w:rPr>
        <w:t xml:space="preserve">开标一览表 </w:t>
      </w:r>
    </w:p>
    <w:p>
      <w:pPr>
        <w:pStyle w:val="70"/>
        <w:spacing w:line="360" w:lineRule="auto"/>
        <w:ind w:right="480"/>
        <w:jc w:val="right"/>
        <w:rPr>
          <w:rFonts w:ascii="宋体" w:hAnsi="宋体" w:cs="宋体"/>
          <w:color w:val="auto"/>
          <w:sz w:val="24"/>
          <w:highlight w:val="none"/>
        </w:rPr>
      </w:pPr>
      <w:r>
        <w:rPr>
          <w:rFonts w:hint="eastAsia" w:ascii="宋体" w:hAnsi="宋体" w:cs="宋体"/>
          <w:color w:val="auto"/>
          <w:sz w:val="24"/>
          <w:highlight w:val="none"/>
        </w:rPr>
        <w:t>[货币单位：人民币元]</w:t>
      </w:r>
    </w:p>
    <w:tbl>
      <w:tblPr>
        <w:tblStyle w:val="43"/>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3191"/>
        <w:gridCol w:w="3510"/>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39"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19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3510" w:type="dxa"/>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投标</w:t>
            </w:r>
            <w:r>
              <w:rPr>
                <w:rFonts w:hint="eastAsia" w:ascii="宋体" w:hAnsi="宋体" w:cs="宋体"/>
                <w:color w:val="auto"/>
                <w:szCs w:val="21"/>
                <w:highlight w:val="none"/>
                <w:lang w:eastAsia="zh-CN"/>
              </w:rPr>
              <w:t>报价（费率）</w:t>
            </w:r>
          </w:p>
        </w:tc>
        <w:tc>
          <w:tcPr>
            <w:tcW w:w="1238"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839"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191" w:type="dxa"/>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垃圾处置清理及环境整治工程</w:t>
            </w:r>
          </w:p>
        </w:tc>
        <w:tc>
          <w:tcPr>
            <w:tcW w:w="3510" w:type="dxa"/>
            <w:noWrap w:val="0"/>
            <w:vAlign w:val="center"/>
          </w:tcPr>
          <w:p>
            <w:pPr>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大写：百分之</w:t>
            </w:r>
            <w:r>
              <w:rPr>
                <w:rFonts w:hint="eastAsia" w:ascii="宋体" w:hAnsi="宋体"/>
                <w:color w:val="auto"/>
                <w:szCs w:val="21"/>
                <w:highlight w:val="none"/>
                <w:u w:val="single"/>
                <w:lang w:val="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val="zh-CN"/>
              </w:rPr>
              <w:t xml:space="preserve">  </w:t>
            </w:r>
          </w:p>
          <w:p>
            <w:pPr>
              <w:spacing w:line="360" w:lineRule="auto"/>
              <w:rPr>
                <w:rFonts w:hint="eastAsia" w:ascii="宋体" w:hAnsi="宋体" w:eastAsia="宋体" w:cs="宋体"/>
                <w:color w:val="auto"/>
                <w:szCs w:val="21"/>
                <w:highlight w:val="none"/>
                <w:lang w:val="en-US" w:eastAsia="zh-CN"/>
              </w:rPr>
            </w:pPr>
            <w:r>
              <w:rPr>
                <w:rFonts w:hint="eastAsia" w:ascii="宋体" w:hAnsi="宋体"/>
                <w:color w:val="auto"/>
                <w:szCs w:val="21"/>
                <w:highlight w:val="none"/>
                <w:lang w:val="zh-CN"/>
              </w:rPr>
              <w:t>小写：</w:t>
            </w:r>
            <w:r>
              <w:rPr>
                <w:rFonts w:hint="eastAsia" w:ascii="宋体" w:hAnsi="宋体"/>
                <w:color w:val="auto"/>
                <w:szCs w:val="21"/>
                <w:highlight w:val="none"/>
                <w:u w:val="single"/>
                <w:lang w:val="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val="zh-CN"/>
              </w:rPr>
              <w:t xml:space="preserve">  </w:t>
            </w:r>
            <w:r>
              <w:rPr>
                <w:rFonts w:hint="eastAsia" w:ascii="宋体" w:hAnsi="宋体"/>
                <w:color w:val="auto"/>
                <w:szCs w:val="21"/>
                <w:highlight w:val="none"/>
                <w:lang w:val="en-US" w:eastAsia="zh-CN"/>
              </w:rPr>
              <w:t>%</w:t>
            </w:r>
          </w:p>
        </w:tc>
        <w:tc>
          <w:tcPr>
            <w:tcW w:w="1238" w:type="dxa"/>
            <w:noWrap w:val="0"/>
            <w:vAlign w:val="center"/>
          </w:tcPr>
          <w:p>
            <w:pPr>
              <w:spacing w:line="360" w:lineRule="auto"/>
              <w:jc w:val="center"/>
              <w:rPr>
                <w:rFonts w:hint="default" w:ascii="宋体" w:hAnsi="宋体" w:eastAsia="宋体"/>
                <w:color w:val="auto"/>
                <w:szCs w:val="21"/>
                <w:highlight w:val="none"/>
                <w:lang w:val="en-US" w:eastAsia="zh-CN"/>
              </w:rPr>
            </w:pPr>
            <w:r>
              <w:rPr>
                <w:rFonts w:hint="eastAsia" w:ascii="Arial" w:hAnsi="Arial" w:cs="Arial"/>
                <w:color w:val="auto"/>
                <w:szCs w:val="21"/>
                <w:highlight w:val="none"/>
                <w:lang w:val="zh-CN"/>
              </w:rPr>
              <w:t>费率</w:t>
            </w:r>
            <w:r>
              <w:rPr>
                <w:rFonts w:hint="default" w:ascii="Arial" w:hAnsi="Arial" w:cs="Arial"/>
                <w:color w:val="auto"/>
                <w:szCs w:val="21"/>
                <w:highlight w:val="none"/>
                <w:lang w:val="zh-CN"/>
              </w:rPr>
              <w:t>≤</w:t>
            </w:r>
            <w:r>
              <w:rPr>
                <w:rFonts w:hint="eastAsia" w:ascii="宋体" w:hAnsi="宋体"/>
                <w:color w:val="auto"/>
                <w:szCs w:val="21"/>
                <w:highlight w:val="none"/>
                <w:lang w:val="en-US" w:eastAsia="zh-CN"/>
              </w:rPr>
              <w:t>100%</w:t>
            </w:r>
          </w:p>
        </w:tc>
      </w:tr>
    </w:tbl>
    <w:p>
      <w:pPr>
        <w:spacing w:line="360" w:lineRule="auto"/>
        <w:ind w:left="480"/>
        <w:rPr>
          <w:rFonts w:ascii="宋体" w:hAnsi="宋体" w:cs="宋体"/>
          <w:b/>
          <w:color w:val="auto"/>
          <w:sz w:val="30"/>
          <w:highlight w:val="none"/>
        </w:rPr>
      </w:pPr>
    </w:p>
    <w:p>
      <w:pPr>
        <w:spacing w:line="360" w:lineRule="auto"/>
        <w:rPr>
          <w:rFonts w:ascii="宋体" w:hAnsi="宋体" w:cs="宋体"/>
          <w:color w:val="auto"/>
          <w:sz w:val="24"/>
          <w:highlight w:val="none"/>
        </w:rPr>
      </w:pPr>
      <w:r>
        <w:rPr>
          <w:rFonts w:hint="eastAsia" w:ascii="宋体" w:hAnsi="宋体" w:cs="宋体"/>
          <w:b/>
          <w:color w:val="auto"/>
          <w:szCs w:val="21"/>
          <w:highlight w:val="none"/>
        </w:rPr>
        <w:t>填报要求：</w:t>
      </w:r>
    </w:p>
    <w:p>
      <w:pPr>
        <w:pStyle w:val="13"/>
        <w:spacing w:line="360" w:lineRule="auto"/>
        <w:ind w:firstLineChars="200"/>
        <w:rPr>
          <w:rFonts w:hint="eastAsia" w:ascii="宋体" w:hAnsi="宋体" w:eastAsia="宋体" w:cs="宋体"/>
          <w:color w:val="auto"/>
          <w:kern w:val="0"/>
          <w:szCs w:val="21"/>
          <w:highlight w:val="none"/>
        </w:rPr>
      </w:pPr>
      <w:r>
        <w:rPr>
          <w:rFonts w:hint="eastAsia" w:ascii="宋体" w:cs="宋体"/>
          <w:color w:val="auto"/>
          <w:kern w:val="0"/>
          <w:szCs w:val="21"/>
          <w:highlight w:val="none"/>
        </w:rPr>
        <w:t>1.</w:t>
      </w:r>
      <w:r>
        <w:rPr>
          <w:rFonts w:hint="eastAsia" w:ascii="宋体" w:hAnsi="宋体" w:cs="宋体"/>
          <w:color w:val="auto"/>
          <w:kern w:val="0"/>
          <w:szCs w:val="21"/>
          <w:highlight w:val="none"/>
        </w:rPr>
        <w:t>投标报价为完成本项目所包含的所有费用，</w:t>
      </w:r>
      <w:r>
        <w:rPr>
          <w:rFonts w:hint="eastAsia"/>
          <w:color w:val="auto"/>
          <w:sz w:val="21"/>
          <w:szCs w:val="21"/>
          <w:highlight w:val="none"/>
        </w:rPr>
        <w:t>包括质量标准规定的所有工作内容在内的施工设备（机械设备、运输车辆、机械操作人员要求证件齐全）、劳务、管理、材料、</w:t>
      </w:r>
      <w:r>
        <w:rPr>
          <w:rFonts w:hint="eastAsia" w:ascii="宋体" w:cs="宋体"/>
          <w:color w:val="auto"/>
          <w:kern w:val="0"/>
          <w:szCs w:val="21"/>
          <w:highlight w:val="none"/>
        </w:rPr>
        <w:t>人工费（包括人工工资、预计加班费用、员工人身意外伤害保险、劳保用品费、保险等）</w:t>
      </w:r>
      <w:r>
        <w:rPr>
          <w:rFonts w:hint="eastAsia" w:ascii="宋体" w:cs="宋体"/>
          <w:color w:val="auto"/>
          <w:kern w:val="0"/>
          <w:szCs w:val="21"/>
          <w:highlight w:val="none"/>
          <w:lang w:eastAsia="zh-CN"/>
        </w:rPr>
        <w:t>、</w:t>
      </w:r>
      <w:r>
        <w:rPr>
          <w:rFonts w:hint="eastAsia"/>
          <w:color w:val="auto"/>
          <w:sz w:val="21"/>
          <w:szCs w:val="21"/>
          <w:highlight w:val="none"/>
        </w:rPr>
        <w:t>运输、安装、维护、保险、机械进退场费、施工技术措施费、施工组</w:t>
      </w:r>
      <w:r>
        <w:rPr>
          <w:rFonts w:hint="eastAsia" w:ascii="宋体" w:hAnsi="宋体" w:eastAsia="宋体" w:cs="宋体"/>
          <w:color w:val="auto"/>
          <w:kern w:val="0"/>
          <w:szCs w:val="21"/>
          <w:highlight w:val="none"/>
        </w:rPr>
        <w:t>织措施费、企业管理费、利润、税金及合同包含的所有风险、责任等各项应有费用均应考虑在内。投标人须充分考虑安全生产的相关措施费用，并计入投标报价。</w:t>
      </w:r>
    </w:p>
    <w:p>
      <w:pPr>
        <w:pStyle w:val="13"/>
        <w:spacing w:line="360" w:lineRule="auto"/>
        <w:ind w:firstLineChars="200"/>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最终工程量按实结算，本项目</w:t>
      </w:r>
      <w:r>
        <w:rPr>
          <w:rFonts w:hint="eastAsia" w:ascii="宋体" w:hAnsi="宋体" w:cs="宋体"/>
          <w:b/>
          <w:bCs/>
          <w:color w:val="auto"/>
          <w:kern w:val="0"/>
          <w:szCs w:val="21"/>
          <w:highlight w:val="none"/>
          <w:lang w:val="en-US" w:eastAsia="zh-CN"/>
        </w:rPr>
        <w:t>人工、机械</w:t>
      </w:r>
      <w:r>
        <w:rPr>
          <w:rFonts w:hint="eastAsia" w:ascii="宋体" w:hAnsi="宋体" w:eastAsia="宋体" w:cs="宋体"/>
          <w:b/>
          <w:bCs/>
          <w:color w:val="auto"/>
          <w:kern w:val="0"/>
          <w:szCs w:val="21"/>
          <w:highlight w:val="none"/>
          <w:lang w:val="en-US" w:eastAsia="zh-CN"/>
        </w:rPr>
        <w:t>最终中标单价=全费用综合单价*中标费率。</w:t>
      </w:r>
    </w:p>
    <w:p>
      <w:pPr>
        <w:pStyle w:val="13"/>
        <w:spacing w:line="360" w:lineRule="auto"/>
        <w:ind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3.垃圾处置费按246元/吨结算，垃圾处置量按实结算，结算时以联系单为准。</w:t>
      </w:r>
    </w:p>
    <w:p>
      <w:pPr>
        <w:pStyle w:val="13"/>
        <w:spacing w:line="360" w:lineRule="auto"/>
        <w:ind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报价一经涂改，应在涂改处加盖单位公章，或者由法定代表人或授权委托代理人签字或盖章，否则其投标作无效标处理。</w:t>
      </w:r>
    </w:p>
    <w:p>
      <w:pPr>
        <w:spacing w:line="360" w:lineRule="auto"/>
        <w:rPr>
          <w:rFonts w:ascii="宋体" w:hAnsi="宋体" w:cs="宋体"/>
          <w:color w:val="auto"/>
          <w:sz w:val="24"/>
          <w:highlight w:val="none"/>
        </w:rPr>
      </w:pPr>
    </w:p>
    <w:p>
      <w:pPr>
        <w:spacing w:line="360" w:lineRule="auto"/>
        <w:ind w:left="420"/>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widowControl/>
        <w:numPr>
          <w:ilvl w:val="0"/>
          <w:numId w:val="0"/>
        </w:numPr>
        <w:spacing w:line="360" w:lineRule="auto"/>
        <w:ind w:firstLine="480" w:firstLineChars="200"/>
        <w:jc w:val="both"/>
        <w:rPr>
          <w:rFonts w:hint="eastAsia" w:ascii="宋体" w:hAnsi="宋体" w:cs="宋体"/>
          <w:color w:val="auto"/>
          <w:sz w:val="24"/>
          <w:highlight w:val="none"/>
          <w:lang w:eastAsia="zh-CN"/>
        </w:rPr>
      </w:pPr>
      <w:r>
        <w:rPr>
          <w:rFonts w:hint="eastAsia" w:ascii="宋体" w:hAnsi="宋体" w:cs="宋体"/>
          <w:color w:val="auto"/>
          <w:sz w:val="24"/>
          <w:highlight w:val="none"/>
        </w:rPr>
        <w:t>日        期</w:t>
      </w:r>
      <w:r>
        <w:rPr>
          <w:rFonts w:hint="eastAsia" w:ascii="宋体" w:hAnsi="宋体" w:cs="宋体"/>
          <w:color w:val="auto"/>
          <w:sz w:val="24"/>
          <w:highlight w:val="none"/>
          <w:lang w:eastAsia="zh-CN"/>
        </w:rPr>
        <w:t>：</w:t>
      </w:r>
    </w:p>
    <w:p>
      <w:pPr>
        <w:widowControl/>
        <w:numPr>
          <w:ilvl w:val="0"/>
          <w:numId w:val="0"/>
        </w:numPr>
        <w:spacing w:line="360" w:lineRule="auto"/>
        <w:jc w:val="center"/>
        <w:rPr>
          <w:rFonts w:hint="eastAsia" w:ascii="宋体" w:hAnsi="宋体" w:cs="宋体"/>
          <w:color w:val="auto"/>
          <w:sz w:val="24"/>
          <w:highlight w:val="none"/>
          <w:lang w:eastAsia="zh-CN"/>
        </w:rPr>
      </w:pPr>
    </w:p>
    <w:p>
      <w:pPr>
        <w:pStyle w:val="2"/>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附件</w:t>
      </w:r>
      <w:r>
        <w:rPr>
          <w:rFonts w:hint="eastAsia" w:ascii="宋体" w:hAnsi="宋体" w:cs="宋体"/>
          <w:color w:val="auto"/>
          <w:sz w:val="24"/>
          <w:highlight w:val="none"/>
          <w:lang w:val="en-US" w:eastAsia="zh-CN"/>
        </w:rPr>
        <w:t>17：</w:t>
      </w:r>
    </w:p>
    <w:p>
      <w:pPr>
        <w:widowControl/>
        <w:numPr>
          <w:ilvl w:val="0"/>
          <w:numId w:val="0"/>
        </w:numPr>
        <w:spacing w:line="360" w:lineRule="auto"/>
        <w:jc w:val="center"/>
        <w:rPr>
          <w:rFonts w:hint="eastAsia" w:ascii="宋体" w:hAnsi="宋体" w:eastAsia="宋体" w:cs="宋体"/>
          <w:b/>
          <w:bCs w:val="0"/>
          <w:color w:val="auto"/>
          <w:kern w:val="2"/>
          <w:sz w:val="24"/>
          <w:szCs w:val="24"/>
          <w:highlight w:val="none"/>
          <w:shd w:val="clear" w:color="auto" w:fill="auto"/>
          <w:lang w:val="en-US" w:eastAsia="zh-CN" w:bidi="ar-SA"/>
        </w:rPr>
      </w:pPr>
      <w:r>
        <w:rPr>
          <w:rFonts w:hint="eastAsia" w:ascii="宋体" w:hAnsi="宋体" w:cs="宋体"/>
          <w:b/>
          <w:bCs w:val="0"/>
          <w:color w:val="auto"/>
          <w:sz w:val="24"/>
          <w:szCs w:val="24"/>
          <w:highlight w:val="none"/>
          <w:lang w:eastAsia="zh-CN"/>
        </w:rPr>
        <w:t>《台州湾新区202</w:t>
      </w:r>
      <w:r>
        <w:rPr>
          <w:rFonts w:hint="eastAsia" w:ascii="宋体" w:hAnsi="宋体" w:cs="宋体"/>
          <w:b/>
          <w:bCs w:val="0"/>
          <w:color w:val="auto"/>
          <w:sz w:val="24"/>
          <w:szCs w:val="24"/>
          <w:highlight w:val="none"/>
          <w:lang w:val="en-US" w:eastAsia="zh-CN"/>
        </w:rPr>
        <w:t>2</w:t>
      </w:r>
      <w:r>
        <w:rPr>
          <w:rFonts w:hint="eastAsia" w:ascii="宋体" w:hAnsi="宋体" w:cs="宋体"/>
          <w:b/>
          <w:bCs w:val="0"/>
          <w:color w:val="auto"/>
          <w:sz w:val="24"/>
          <w:szCs w:val="24"/>
          <w:highlight w:val="none"/>
          <w:lang w:eastAsia="zh-CN"/>
        </w:rPr>
        <w:t>年垃圾处置清理及环境整治工程人工、零星机械单价表》</w:t>
      </w:r>
    </w:p>
    <w:p>
      <w:pPr>
        <w:pStyle w:val="53"/>
        <w:rPr>
          <w:rFonts w:hint="default"/>
          <w:color w:val="auto"/>
          <w:sz w:val="24"/>
          <w:szCs w:val="24"/>
          <w:highlight w:val="none"/>
          <w:lang w:val="en-US" w:eastAsia="zh-CN"/>
        </w:rPr>
      </w:pPr>
    </w:p>
    <w:tbl>
      <w:tblPr>
        <w:tblStyle w:val="43"/>
        <w:tblW w:w="9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561"/>
        <w:gridCol w:w="3195"/>
        <w:gridCol w:w="1590"/>
        <w:gridCol w:w="1935"/>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blHeader/>
          <w:jc w:val="center"/>
        </w:trPr>
        <w:tc>
          <w:tcPr>
            <w:tcW w:w="503" w:type="dxa"/>
            <w:noWrap w:val="0"/>
            <w:vAlign w:val="center"/>
          </w:tcPr>
          <w:p>
            <w:pPr>
              <w:spacing w:line="360" w:lineRule="exact"/>
              <w:jc w:val="center"/>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编号</w:t>
            </w:r>
          </w:p>
        </w:tc>
        <w:tc>
          <w:tcPr>
            <w:tcW w:w="1561" w:type="dxa"/>
            <w:noWrap w:val="0"/>
            <w:vAlign w:val="center"/>
          </w:tcPr>
          <w:p>
            <w:pPr>
              <w:spacing w:line="360" w:lineRule="exact"/>
              <w:jc w:val="center"/>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设备类别</w:t>
            </w:r>
          </w:p>
        </w:tc>
        <w:tc>
          <w:tcPr>
            <w:tcW w:w="3195" w:type="dxa"/>
            <w:noWrap w:val="0"/>
            <w:vAlign w:val="center"/>
          </w:tcPr>
          <w:p>
            <w:pPr>
              <w:spacing w:line="360" w:lineRule="exact"/>
              <w:jc w:val="center"/>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型号</w:t>
            </w:r>
          </w:p>
        </w:tc>
        <w:tc>
          <w:tcPr>
            <w:tcW w:w="1590" w:type="dxa"/>
            <w:noWrap w:val="0"/>
            <w:vAlign w:val="center"/>
          </w:tcPr>
          <w:p>
            <w:pPr>
              <w:spacing w:line="360" w:lineRule="exact"/>
              <w:jc w:val="center"/>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综合单价（元/台班）</w:t>
            </w:r>
          </w:p>
        </w:tc>
        <w:tc>
          <w:tcPr>
            <w:tcW w:w="1935" w:type="dxa"/>
            <w:noWrap w:val="0"/>
            <w:vAlign w:val="center"/>
          </w:tcPr>
          <w:p>
            <w:pPr>
              <w:spacing w:line="360" w:lineRule="exact"/>
              <w:jc w:val="center"/>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备注</w:t>
            </w:r>
          </w:p>
        </w:tc>
        <w:tc>
          <w:tcPr>
            <w:tcW w:w="1198" w:type="dxa"/>
            <w:noWrap w:val="0"/>
            <w:vAlign w:val="center"/>
          </w:tcPr>
          <w:p>
            <w:pPr>
              <w:spacing w:line="360" w:lineRule="exact"/>
              <w:jc w:val="center"/>
              <w:rPr>
                <w:rFonts w:hint="eastAsia" w:ascii="黑体" w:hAnsi="黑体" w:eastAsia="黑体" w:cs="黑体"/>
                <w:b w:val="0"/>
                <w:bCs/>
                <w:color w:val="auto"/>
                <w:sz w:val="21"/>
                <w:szCs w:val="21"/>
                <w:highlight w:val="none"/>
                <w:lang w:eastAsia="zh-CN"/>
              </w:rPr>
            </w:pPr>
            <w:r>
              <w:rPr>
                <w:rFonts w:hint="eastAsia" w:ascii="黑体" w:hAnsi="黑体" w:eastAsia="黑体" w:cs="黑体"/>
                <w:b w:val="0"/>
                <w:bCs/>
                <w:color w:val="auto"/>
                <w:sz w:val="21"/>
                <w:szCs w:val="21"/>
                <w:highlight w:val="none"/>
                <w:lang w:eastAsia="zh-CN"/>
              </w:rPr>
              <w:t>投标费率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3" w:type="dxa"/>
            <w:vMerge w:val="restart"/>
            <w:noWrap w:val="0"/>
            <w:vAlign w:val="center"/>
          </w:tcPr>
          <w:p>
            <w:pPr>
              <w:spacing w:line="600" w:lineRule="exact"/>
              <w:jc w:val="left"/>
              <w:rPr>
                <w:rFonts w:hint="eastAsia" w:ascii="仿宋_GB2312" w:hAnsi="新宋体" w:eastAsia="仿宋_GB2312" w:cs="Arial"/>
                <w:color w:val="auto"/>
                <w:sz w:val="21"/>
                <w:szCs w:val="21"/>
                <w:highlight w:val="none"/>
              </w:rPr>
            </w:pPr>
            <w:r>
              <w:rPr>
                <w:rFonts w:hint="eastAsia" w:ascii="仿宋_GB2312" w:hAnsi="新宋体" w:eastAsia="仿宋_GB2312" w:cs="Arial"/>
                <w:color w:val="auto"/>
                <w:sz w:val="21"/>
                <w:szCs w:val="21"/>
                <w:highlight w:val="none"/>
              </w:rPr>
              <w:t>1</w:t>
            </w:r>
          </w:p>
        </w:tc>
        <w:tc>
          <w:tcPr>
            <w:tcW w:w="1561" w:type="dxa"/>
            <w:vMerge w:val="restart"/>
            <w:noWrap w:val="0"/>
            <w:vAlign w:val="center"/>
          </w:tcPr>
          <w:p>
            <w:pPr>
              <w:jc w:val="left"/>
              <w:rPr>
                <w:rFonts w:ascii="宋体" w:hAnsi="宋体" w:cs="宋体"/>
                <w:color w:val="auto"/>
                <w:sz w:val="21"/>
                <w:szCs w:val="21"/>
                <w:highlight w:val="none"/>
              </w:rPr>
            </w:pPr>
            <w:r>
              <w:rPr>
                <w:rFonts w:hint="eastAsia"/>
                <w:color w:val="auto"/>
                <w:sz w:val="21"/>
                <w:szCs w:val="21"/>
                <w:highlight w:val="none"/>
              </w:rPr>
              <w:t>汽车类</w:t>
            </w:r>
          </w:p>
        </w:tc>
        <w:tc>
          <w:tcPr>
            <w:tcW w:w="3195" w:type="dxa"/>
            <w:noWrap w:val="0"/>
            <w:vAlign w:val="center"/>
          </w:tcPr>
          <w:p>
            <w:pPr>
              <w:jc w:val="left"/>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小四轮工具车</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400</w:t>
            </w:r>
          </w:p>
        </w:tc>
        <w:tc>
          <w:tcPr>
            <w:tcW w:w="1935" w:type="dxa"/>
            <w:noWrap w:val="0"/>
            <w:vAlign w:val="center"/>
          </w:tcPr>
          <w:p>
            <w:pPr>
              <w:jc w:val="left"/>
              <w:rPr>
                <w:rFonts w:hint="eastAsia"/>
                <w:color w:val="auto"/>
                <w:sz w:val="21"/>
                <w:szCs w:val="21"/>
                <w:highlight w:val="none"/>
              </w:rPr>
            </w:pPr>
          </w:p>
        </w:tc>
        <w:tc>
          <w:tcPr>
            <w:tcW w:w="1198" w:type="dxa"/>
            <w:vMerge w:val="restart"/>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3" w:type="dxa"/>
            <w:vMerge w:val="continue"/>
            <w:noWrap w:val="0"/>
            <w:vAlign w:val="center"/>
          </w:tcPr>
          <w:p>
            <w:pPr>
              <w:spacing w:line="600" w:lineRule="exact"/>
              <w:jc w:val="left"/>
              <w:rPr>
                <w:rFonts w:hint="eastAsia" w:ascii="仿宋_GB2312" w:hAnsi="新宋体" w:eastAsia="仿宋_GB2312" w:cs="Arial"/>
                <w:color w:val="auto"/>
                <w:sz w:val="21"/>
                <w:szCs w:val="21"/>
                <w:highlight w:val="none"/>
              </w:rPr>
            </w:pPr>
          </w:p>
        </w:tc>
        <w:tc>
          <w:tcPr>
            <w:tcW w:w="1561" w:type="dxa"/>
            <w:vMerge w:val="continue"/>
            <w:noWrap w:val="0"/>
            <w:vAlign w:val="center"/>
          </w:tcPr>
          <w:p>
            <w:pPr>
              <w:jc w:val="left"/>
              <w:rPr>
                <w:rFonts w:hint="eastAsia" w:ascii="仿宋_GB2312" w:hAnsi="新宋体" w:eastAsia="仿宋_GB2312"/>
                <w:color w:val="auto"/>
                <w:sz w:val="21"/>
                <w:szCs w:val="21"/>
                <w:highlight w:val="none"/>
              </w:rPr>
            </w:pPr>
          </w:p>
        </w:tc>
        <w:tc>
          <w:tcPr>
            <w:tcW w:w="3195"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1.5吨自卸运输车</w:t>
            </w:r>
            <w:r>
              <w:rPr>
                <w:rFonts w:hint="eastAsia"/>
                <w:color w:val="auto"/>
                <w:sz w:val="21"/>
                <w:szCs w:val="21"/>
                <w:highlight w:val="none"/>
                <w:lang w:eastAsia="zh-CN"/>
              </w:rPr>
              <w:t>（</w:t>
            </w:r>
            <w:r>
              <w:rPr>
                <w:rFonts w:hint="eastAsia"/>
                <w:color w:val="auto"/>
                <w:sz w:val="21"/>
                <w:szCs w:val="21"/>
                <w:highlight w:val="none"/>
                <w:lang w:val="en-US" w:eastAsia="zh-CN"/>
              </w:rPr>
              <w:t>6轮）</w:t>
            </w:r>
            <w:r>
              <w:rPr>
                <w:rFonts w:hint="eastAsia"/>
                <w:color w:val="auto"/>
                <w:sz w:val="21"/>
                <w:szCs w:val="21"/>
                <w:highlight w:val="none"/>
                <w:lang w:eastAsia="zh-CN"/>
              </w:rPr>
              <w:t>）</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950</w:t>
            </w:r>
          </w:p>
        </w:tc>
        <w:tc>
          <w:tcPr>
            <w:tcW w:w="1935" w:type="dxa"/>
            <w:noWrap w:val="0"/>
            <w:vAlign w:val="center"/>
          </w:tcPr>
          <w:p>
            <w:pPr>
              <w:jc w:val="left"/>
              <w:rPr>
                <w:rFonts w:hint="eastAsia"/>
                <w:color w:val="auto"/>
                <w:sz w:val="21"/>
                <w:szCs w:val="21"/>
                <w:highlight w:val="none"/>
              </w:rPr>
            </w:pPr>
          </w:p>
        </w:tc>
        <w:tc>
          <w:tcPr>
            <w:tcW w:w="1198" w:type="dxa"/>
            <w:vMerge w:val="continue"/>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3"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561" w:type="dxa"/>
            <w:vMerge w:val="continue"/>
            <w:noWrap w:val="0"/>
            <w:vAlign w:val="center"/>
          </w:tcPr>
          <w:p>
            <w:pPr>
              <w:jc w:val="left"/>
              <w:rPr>
                <w:rFonts w:hint="eastAsia" w:ascii="仿宋_GB2312" w:hAnsi="新宋体" w:eastAsia="仿宋_GB2312"/>
                <w:color w:val="auto"/>
                <w:sz w:val="21"/>
                <w:szCs w:val="21"/>
                <w:highlight w:val="none"/>
              </w:rPr>
            </w:pPr>
          </w:p>
        </w:tc>
        <w:tc>
          <w:tcPr>
            <w:tcW w:w="3195"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2吨轻型卡车</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800</w:t>
            </w:r>
          </w:p>
        </w:tc>
        <w:tc>
          <w:tcPr>
            <w:tcW w:w="1935" w:type="dxa"/>
            <w:noWrap w:val="0"/>
            <w:vAlign w:val="center"/>
          </w:tcPr>
          <w:p>
            <w:pPr>
              <w:jc w:val="left"/>
              <w:rPr>
                <w:rFonts w:ascii="宋体" w:hAnsi="宋体" w:cs="宋体"/>
                <w:color w:val="auto"/>
                <w:sz w:val="21"/>
                <w:szCs w:val="21"/>
                <w:highlight w:val="none"/>
              </w:rPr>
            </w:pPr>
          </w:p>
        </w:tc>
        <w:tc>
          <w:tcPr>
            <w:tcW w:w="1198" w:type="dxa"/>
            <w:vMerge w:val="continue"/>
            <w:noWrap w:val="0"/>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3"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561" w:type="dxa"/>
            <w:vMerge w:val="continue"/>
            <w:noWrap w:val="0"/>
            <w:vAlign w:val="center"/>
          </w:tcPr>
          <w:p>
            <w:pPr>
              <w:jc w:val="left"/>
              <w:rPr>
                <w:rFonts w:hint="eastAsia" w:ascii="仿宋_GB2312" w:hAnsi="新宋体" w:eastAsia="仿宋_GB2312"/>
                <w:color w:val="auto"/>
                <w:sz w:val="21"/>
                <w:szCs w:val="21"/>
                <w:highlight w:val="none"/>
              </w:rPr>
            </w:pPr>
          </w:p>
        </w:tc>
        <w:tc>
          <w:tcPr>
            <w:tcW w:w="3195"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10吨货车</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1800</w:t>
            </w:r>
          </w:p>
        </w:tc>
        <w:tc>
          <w:tcPr>
            <w:tcW w:w="1935" w:type="dxa"/>
            <w:noWrap w:val="0"/>
            <w:vAlign w:val="center"/>
          </w:tcPr>
          <w:p>
            <w:pPr>
              <w:jc w:val="left"/>
              <w:rPr>
                <w:rFonts w:hint="eastAsia"/>
                <w:color w:val="auto"/>
                <w:sz w:val="21"/>
                <w:szCs w:val="21"/>
                <w:highlight w:val="none"/>
              </w:rPr>
            </w:pPr>
          </w:p>
        </w:tc>
        <w:tc>
          <w:tcPr>
            <w:tcW w:w="1198" w:type="dxa"/>
            <w:vMerge w:val="continue"/>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3"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561" w:type="dxa"/>
            <w:vMerge w:val="continue"/>
            <w:noWrap w:val="0"/>
            <w:vAlign w:val="center"/>
          </w:tcPr>
          <w:p>
            <w:pPr>
              <w:jc w:val="left"/>
              <w:rPr>
                <w:rFonts w:hint="eastAsia" w:ascii="仿宋_GB2312" w:hAnsi="新宋体" w:eastAsia="仿宋_GB2312"/>
                <w:color w:val="auto"/>
                <w:sz w:val="21"/>
                <w:szCs w:val="21"/>
                <w:highlight w:val="none"/>
              </w:rPr>
            </w:pPr>
          </w:p>
        </w:tc>
        <w:tc>
          <w:tcPr>
            <w:tcW w:w="3195"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十通自卸车</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1300</w:t>
            </w:r>
          </w:p>
        </w:tc>
        <w:tc>
          <w:tcPr>
            <w:tcW w:w="1935" w:type="dxa"/>
            <w:noWrap w:val="0"/>
            <w:vAlign w:val="center"/>
          </w:tcPr>
          <w:p>
            <w:pPr>
              <w:jc w:val="left"/>
              <w:rPr>
                <w:rFonts w:hint="eastAsia"/>
                <w:color w:val="auto"/>
                <w:sz w:val="21"/>
                <w:szCs w:val="21"/>
                <w:highlight w:val="none"/>
              </w:rPr>
            </w:pPr>
          </w:p>
        </w:tc>
        <w:tc>
          <w:tcPr>
            <w:tcW w:w="1198" w:type="dxa"/>
            <w:vMerge w:val="continue"/>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3"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561" w:type="dxa"/>
            <w:vMerge w:val="continue"/>
            <w:noWrap w:val="0"/>
            <w:vAlign w:val="center"/>
          </w:tcPr>
          <w:p>
            <w:pPr>
              <w:jc w:val="left"/>
              <w:rPr>
                <w:rFonts w:hint="eastAsia" w:ascii="仿宋_GB2312" w:hAnsi="新宋体" w:eastAsia="仿宋_GB2312"/>
                <w:color w:val="auto"/>
                <w:sz w:val="21"/>
                <w:szCs w:val="21"/>
                <w:highlight w:val="none"/>
              </w:rPr>
            </w:pPr>
          </w:p>
        </w:tc>
        <w:tc>
          <w:tcPr>
            <w:tcW w:w="3195" w:type="dxa"/>
            <w:noWrap w:val="0"/>
            <w:vAlign w:val="center"/>
          </w:tcPr>
          <w:p>
            <w:pPr>
              <w:jc w:val="left"/>
              <w:rPr>
                <w:rFonts w:hint="eastAsia"/>
                <w:color w:val="auto"/>
                <w:sz w:val="21"/>
                <w:szCs w:val="21"/>
                <w:highlight w:val="none"/>
              </w:rPr>
            </w:pPr>
            <w:r>
              <w:rPr>
                <w:rFonts w:hint="eastAsia"/>
                <w:color w:val="auto"/>
                <w:sz w:val="21"/>
                <w:szCs w:val="21"/>
                <w:highlight w:val="none"/>
              </w:rPr>
              <w:t>前四后八双桥自卸车</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2380</w:t>
            </w:r>
          </w:p>
        </w:tc>
        <w:tc>
          <w:tcPr>
            <w:tcW w:w="1935" w:type="dxa"/>
            <w:noWrap w:val="0"/>
            <w:vAlign w:val="center"/>
          </w:tcPr>
          <w:p>
            <w:pPr>
              <w:jc w:val="left"/>
              <w:rPr>
                <w:rFonts w:hint="eastAsia"/>
                <w:color w:val="auto"/>
                <w:sz w:val="21"/>
                <w:szCs w:val="21"/>
                <w:highlight w:val="none"/>
              </w:rPr>
            </w:pPr>
          </w:p>
        </w:tc>
        <w:tc>
          <w:tcPr>
            <w:tcW w:w="1198" w:type="dxa"/>
            <w:vMerge w:val="continue"/>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3"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561" w:type="dxa"/>
            <w:vMerge w:val="continue"/>
            <w:noWrap w:val="0"/>
            <w:vAlign w:val="center"/>
          </w:tcPr>
          <w:p>
            <w:pPr>
              <w:jc w:val="left"/>
              <w:rPr>
                <w:rFonts w:ascii="宋体" w:hAnsi="宋体" w:cs="宋体"/>
                <w:color w:val="auto"/>
                <w:sz w:val="21"/>
                <w:szCs w:val="21"/>
                <w:highlight w:val="none"/>
              </w:rPr>
            </w:pPr>
          </w:p>
        </w:tc>
        <w:tc>
          <w:tcPr>
            <w:tcW w:w="3195"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15吨货车（车厢长9.6米）</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2350</w:t>
            </w:r>
          </w:p>
        </w:tc>
        <w:tc>
          <w:tcPr>
            <w:tcW w:w="1935" w:type="dxa"/>
            <w:noWrap w:val="0"/>
            <w:vAlign w:val="center"/>
          </w:tcPr>
          <w:p>
            <w:pPr>
              <w:jc w:val="left"/>
              <w:rPr>
                <w:rFonts w:hint="eastAsia"/>
                <w:color w:val="auto"/>
                <w:sz w:val="21"/>
                <w:szCs w:val="21"/>
                <w:highlight w:val="none"/>
              </w:rPr>
            </w:pPr>
          </w:p>
        </w:tc>
        <w:tc>
          <w:tcPr>
            <w:tcW w:w="1198" w:type="dxa"/>
            <w:vMerge w:val="continue"/>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03" w:type="dxa"/>
            <w:vMerge w:val="restart"/>
            <w:noWrap w:val="0"/>
            <w:vAlign w:val="center"/>
          </w:tcPr>
          <w:p>
            <w:pPr>
              <w:spacing w:line="600" w:lineRule="exact"/>
              <w:jc w:val="left"/>
              <w:rPr>
                <w:rFonts w:hint="eastAsia" w:ascii="仿宋_GB2312" w:hAnsi="新宋体" w:eastAsia="仿宋_GB2312" w:cs="Arial"/>
                <w:color w:val="auto"/>
                <w:sz w:val="21"/>
                <w:szCs w:val="21"/>
                <w:highlight w:val="none"/>
              </w:rPr>
            </w:pPr>
            <w:r>
              <w:rPr>
                <w:rFonts w:hint="eastAsia" w:ascii="仿宋_GB2312" w:hAnsi="新宋体" w:eastAsia="仿宋_GB2312" w:cs="Arial"/>
                <w:color w:val="auto"/>
                <w:sz w:val="21"/>
                <w:szCs w:val="21"/>
                <w:highlight w:val="none"/>
              </w:rPr>
              <w:t>2</w:t>
            </w:r>
          </w:p>
        </w:tc>
        <w:tc>
          <w:tcPr>
            <w:tcW w:w="1561" w:type="dxa"/>
            <w:vMerge w:val="restart"/>
            <w:noWrap w:val="0"/>
            <w:vAlign w:val="center"/>
          </w:tcPr>
          <w:p>
            <w:pPr>
              <w:jc w:val="left"/>
              <w:rPr>
                <w:rFonts w:hint="eastAsia" w:ascii="仿宋_GB2312" w:hAnsi="新宋体" w:eastAsia="仿宋_GB2312"/>
                <w:color w:val="auto"/>
                <w:sz w:val="21"/>
                <w:szCs w:val="21"/>
                <w:highlight w:val="none"/>
              </w:rPr>
            </w:pPr>
            <w:r>
              <w:rPr>
                <w:rFonts w:hint="eastAsia"/>
                <w:color w:val="auto"/>
                <w:sz w:val="21"/>
                <w:szCs w:val="21"/>
                <w:highlight w:val="none"/>
              </w:rPr>
              <w:t>挖机类</w:t>
            </w:r>
          </w:p>
        </w:tc>
        <w:tc>
          <w:tcPr>
            <w:tcW w:w="3195"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60型履带式液压单斗挖掘机</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1400</w:t>
            </w:r>
          </w:p>
        </w:tc>
        <w:tc>
          <w:tcPr>
            <w:tcW w:w="1935" w:type="dxa"/>
            <w:noWrap w:val="0"/>
            <w:vAlign w:val="center"/>
          </w:tcPr>
          <w:p>
            <w:pPr>
              <w:jc w:val="left"/>
              <w:rPr>
                <w:rFonts w:hint="eastAsia"/>
                <w:color w:val="auto"/>
                <w:sz w:val="21"/>
                <w:szCs w:val="21"/>
                <w:highlight w:val="none"/>
              </w:rPr>
            </w:pPr>
            <w:r>
              <w:rPr>
                <w:rFonts w:hint="eastAsia"/>
                <w:color w:val="auto"/>
                <w:sz w:val="21"/>
                <w:szCs w:val="21"/>
                <w:highlight w:val="none"/>
              </w:rPr>
              <w:t>进出场费按400元/次</w:t>
            </w:r>
          </w:p>
        </w:tc>
        <w:tc>
          <w:tcPr>
            <w:tcW w:w="1198" w:type="dxa"/>
            <w:vMerge w:val="continue"/>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3"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561" w:type="dxa"/>
            <w:vMerge w:val="continue"/>
            <w:noWrap w:val="0"/>
            <w:vAlign w:val="center"/>
          </w:tcPr>
          <w:p>
            <w:pPr>
              <w:jc w:val="left"/>
              <w:rPr>
                <w:rFonts w:hint="eastAsia" w:ascii="仿宋_GB2312" w:hAnsi="新宋体" w:eastAsia="仿宋_GB2312"/>
                <w:color w:val="auto"/>
                <w:sz w:val="21"/>
                <w:szCs w:val="21"/>
                <w:highlight w:val="none"/>
              </w:rPr>
            </w:pPr>
          </w:p>
        </w:tc>
        <w:tc>
          <w:tcPr>
            <w:tcW w:w="3195"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轮胎式液压单斗挖掘机</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1550</w:t>
            </w:r>
          </w:p>
        </w:tc>
        <w:tc>
          <w:tcPr>
            <w:tcW w:w="1935" w:type="dxa"/>
            <w:noWrap w:val="0"/>
            <w:vAlign w:val="center"/>
          </w:tcPr>
          <w:p>
            <w:pPr>
              <w:jc w:val="left"/>
              <w:rPr>
                <w:rFonts w:hint="eastAsia"/>
                <w:color w:val="auto"/>
                <w:sz w:val="21"/>
                <w:szCs w:val="21"/>
                <w:highlight w:val="none"/>
              </w:rPr>
            </w:pPr>
          </w:p>
        </w:tc>
        <w:tc>
          <w:tcPr>
            <w:tcW w:w="1198" w:type="dxa"/>
            <w:vMerge w:val="continue"/>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03"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561" w:type="dxa"/>
            <w:vMerge w:val="continue"/>
            <w:noWrap w:val="0"/>
            <w:vAlign w:val="center"/>
          </w:tcPr>
          <w:p>
            <w:pPr>
              <w:jc w:val="left"/>
              <w:rPr>
                <w:rFonts w:hint="eastAsia" w:ascii="仿宋_GB2312" w:hAnsi="新宋体" w:eastAsia="仿宋_GB2312"/>
                <w:color w:val="auto"/>
                <w:sz w:val="21"/>
                <w:szCs w:val="21"/>
                <w:highlight w:val="none"/>
              </w:rPr>
            </w:pPr>
          </w:p>
        </w:tc>
        <w:tc>
          <w:tcPr>
            <w:tcW w:w="3195"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120型履带式液压单斗挖掘机</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1800</w:t>
            </w:r>
          </w:p>
        </w:tc>
        <w:tc>
          <w:tcPr>
            <w:tcW w:w="1935" w:type="dxa"/>
            <w:noWrap w:val="0"/>
            <w:vAlign w:val="center"/>
          </w:tcPr>
          <w:p>
            <w:pPr>
              <w:jc w:val="left"/>
              <w:rPr>
                <w:rFonts w:hint="eastAsia"/>
                <w:color w:val="auto"/>
                <w:sz w:val="21"/>
                <w:szCs w:val="21"/>
                <w:highlight w:val="none"/>
              </w:rPr>
            </w:pPr>
            <w:r>
              <w:rPr>
                <w:rFonts w:hint="eastAsia"/>
                <w:color w:val="auto"/>
                <w:sz w:val="21"/>
                <w:szCs w:val="21"/>
                <w:highlight w:val="none"/>
              </w:rPr>
              <w:t>进出场费按400元/次</w:t>
            </w:r>
          </w:p>
        </w:tc>
        <w:tc>
          <w:tcPr>
            <w:tcW w:w="1198" w:type="dxa"/>
            <w:vMerge w:val="continue"/>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03"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561" w:type="dxa"/>
            <w:vMerge w:val="continue"/>
            <w:noWrap w:val="0"/>
            <w:vAlign w:val="center"/>
          </w:tcPr>
          <w:p>
            <w:pPr>
              <w:jc w:val="left"/>
              <w:rPr>
                <w:rFonts w:hint="eastAsia" w:ascii="仿宋_GB2312" w:hAnsi="新宋体" w:eastAsia="仿宋_GB2312"/>
                <w:color w:val="auto"/>
                <w:sz w:val="21"/>
                <w:szCs w:val="21"/>
                <w:highlight w:val="none"/>
              </w:rPr>
            </w:pPr>
          </w:p>
        </w:tc>
        <w:tc>
          <w:tcPr>
            <w:tcW w:w="3195"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200型履带式液压单斗挖掘机</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2500</w:t>
            </w:r>
          </w:p>
        </w:tc>
        <w:tc>
          <w:tcPr>
            <w:tcW w:w="1935" w:type="dxa"/>
            <w:noWrap w:val="0"/>
            <w:vAlign w:val="center"/>
          </w:tcPr>
          <w:p>
            <w:pPr>
              <w:jc w:val="left"/>
              <w:rPr>
                <w:rFonts w:hint="eastAsia"/>
                <w:color w:val="auto"/>
                <w:sz w:val="21"/>
                <w:szCs w:val="21"/>
                <w:highlight w:val="none"/>
              </w:rPr>
            </w:pPr>
            <w:r>
              <w:rPr>
                <w:rFonts w:hint="eastAsia"/>
                <w:color w:val="auto"/>
                <w:sz w:val="21"/>
                <w:szCs w:val="21"/>
                <w:highlight w:val="none"/>
              </w:rPr>
              <w:t>进出场费按400元/次</w:t>
            </w:r>
          </w:p>
        </w:tc>
        <w:tc>
          <w:tcPr>
            <w:tcW w:w="1198" w:type="dxa"/>
            <w:vMerge w:val="continue"/>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03"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561" w:type="dxa"/>
            <w:vMerge w:val="continue"/>
            <w:noWrap w:val="0"/>
            <w:vAlign w:val="center"/>
          </w:tcPr>
          <w:p>
            <w:pPr>
              <w:jc w:val="left"/>
              <w:rPr>
                <w:rFonts w:hint="eastAsia" w:ascii="仿宋_GB2312" w:hAnsi="新宋体" w:eastAsia="仿宋_GB2312"/>
                <w:color w:val="auto"/>
                <w:sz w:val="21"/>
                <w:szCs w:val="21"/>
                <w:highlight w:val="none"/>
              </w:rPr>
            </w:pPr>
          </w:p>
        </w:tc>
        <w:tc>
          <w:tcPr>
            <w:tcW w:w="3195" w:type="dxa"/>
            <w:noWrap w:val="0"/>
            <w:vAlign w:val="center"/>
          </w:tcPr>
          <w:p>
            <w:pPr>
              <w:jc w:val="left"/>
              <w:rPr>
                <w:rFonts w:hint="eastAsia"/>
                <w:color w:val="auto"/>
                <w:sz w:val="21"/>
                <w:szCs w:val="21"/>
                <w:highlight w:val="none"/>
              </w:rPr>
            </w:pPr>
            <w:r>
              <w:rPr>
                <w:rFonts w:hint="eastAsia"/>
                <w:color w:val="auto"/>
                <w:sz w:val="21"/>
                <w:szCs w:val="21"/>
                <w:highlight w:val="none"/>
              </w:rPr>
              <w:t>220型履带式液压单斗挖掘机</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2500</w:t>
            </w:r>
          </w:p>
        </w:tc>
        <w:tc>
          <w:tcPr>
            <w:tcW w:w="1935" w:type="dxa"/>
            <w:noWrap w:val="0"/>
            <w:vAlign w:val="center"/>
          </w:tcPr>
          <w:p>
            <w:pPr>
              <w:jc w:val="left"/>
              <w:rPr>
                <w:rFonts w:hint="eastAsia"/>
                <w:color w:val="auto"/>
                <w:sz w:val="21"/>
                <w:szCs w:val="21"/>
                <w:highlight w:val="none"/>
              </w:rPr>
            </w:pPr>
            <w:r>
              <w:rPr>
                <w:rFonts w:hint="eastAsia"/>
                <w:color w:val="auto"/>
                <w:sz w:val="21"/>
                <w:szCs w:val="21"/>
                <w:highlight w:val="none"/>
              </w:rPr>
              <w:t>进出场费按400元/次</w:t>
            </w:r>
          </w:p>
        </w:tc>
        <w:tc>
          <w:tcPr>
            <w:tcW w:w="1198" w:type="dxa"/>
            <w:vMerge w:val="continue"/>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03"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561" w:type="dxa"/>
            <w:vMerge w:val="continue"/>
            <w:noWrap w:val="0"/>
            <w:vAlign w:val="center"/>
          </w:tcPr>
          <w:p>
            <w:pPr>
              <w:jc w:val="left"/>
              <w:rPr>
                <w:rFonts w:hint="eastAsia" w:ascii="仿宋_GB2312" w:hAnsi="新宋体" w:eastAsia="仿宋_GB2312"/>
                <w:color w:val="auto"/>
                <w:sz w:val="21"/>
                <w:szCs w:val="21"/>
                <w:highlight w:val="none"/>
              </w:rPr>
            </w:pPr>
          </w:p>
        </w:tc>
        <w:tc>
          <w:tcPr>
            <w:tcW w:w="3195"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300型履带式液压单斗挖掘机</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4500</w:t>
            </w:r>
          </w:p>
        </w:tc>
        <w:tc>
          <w:tcPr>
            <w:tcW w:w="1935"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进出场费按400元/次</w:t>
            </w:r>
          </w:p>
        </w:tc>
        <w:tc>
          <w:tcPr>
            <w:tcW w:w="1198" w:type="dxa"/>
            <w:vMerge w:val="continue"/>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3"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561" w:type="dxa"/>
            <w:vMerge w:val="continue"/>
            <w:noWrap w:val="0"/>
            <w:vAlign w:val="center"/>
          </w:tcPr>
          <w:p>
            <w:pPr>
              <w:jc w:val="left"/>
              <w:rPr>
                <w:rFonts w:hint="eastAsia" w:ascii="仿宋_GB2312" w:hAnsi="新宋体" w:eastAsia="仿宋_GB2312"/>
                <w:color w:val="auto"/>
                <w:sz w:val="21"/>
                <w:szCs w:val="21"/>
                <w:highlight w:val="none"/>
              </w:rPr>
            </w:pPr>
          </w:p>
        </w:tc>
        <w:tc>
          <w:tcPr>
            <w:tcW w:w="3195" w:type="dxa"/>
            <w:noWrap w:val="0"/>
            <w:vAlign w:val="center"/>
          </w:tcPr>
          <w:p>
            <w:pPr>
              <w:jc w:val="left"/>
              <w:rPr>
                <w:rFonts w:hint="eastAsia"/>
                <w:color w:val="auto"/>
                <w:sz w:val="21"/>
                <w:szCs w:val="21"/>
                <w:highlight w:val="none"/>
              </w:rPr>
            </w:pPr>
            <w:r>
              <w:rPr>
                <w:rFonts w:hint="eastAsia"/>
                <w:color w:val="auto"/>
                <w:sz w:val="21"/>
                <w:szCs w:val="21"/>
                <w:highlight w:val="none"/>
              </w:rPr>
              <w:t>60型轮胎式液压单斗破碎机</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1700</w:t>
            </w:r>
          </w:p>
        </w:tc>
        <w:tc>
          <w:tcPr>
            <w:tcW w:w="1935" w:type="dxa"/>
            <w:noWrap w:val="0"/>
            <w:vAlign w:val="center"/>
          </w:tcPr>
          <w:p>
            <w:pPr>
              <w:jc w:val="left"/>
              <w:rPr>
                <w:rFonts w:ascii="宋体" w:hAnsi="宋体" w:cs="宋体"/>
                <w:color w:val="auto"/>
                <w:sz w:val="21"/>
                <w:szCs w:val="21"/>
                <w:highlight w:val="none"/>
              </w:rPr>
            </w:pPr>
          </w:p>
        </w:tc>
        <w:tc>
          <w:tcPr>
            <w:tcW w:w="1198" w:type="dxa"/>
            <w:vMerge w:val="continue"/>
            <w:noWrap w:val="0"/>
            <w:vAlign w:val="center"/>
          </w:tcPr>
          <w:p>
            <w:pPr>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03"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561" w:type="dxa"/>
            <w:vMerge w:val="continue"/>
            <w:noWrap w:val="0"/>
            <w:vAlign w:val="center"/>
          </w:tcPr>
          <w:p>
            <w:pPr>
              <w:jc w:val="left"/>
              <w:rPr>
                <w:rFonts w:hint="eastAsia" w:ascii="仿宋_GB2312" w:hAnsi="新宋体" w:eastAsia="仿宋_GB2312"/>
                <w:color w:val="auto"/>
                <w:sz w:val="21"/>
                <w:szCs w:val="21"/>
                <w:highlight w:val="none"/>
              </w:rPr>
            </w:pPr>
          </w:p>
        </w:tc>
        <w:tc>
          <w:tcPr>
            <w:tcW w:w="3195"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120型液压单斗破碎机</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2500</w:t>
            </w:r>
          </w:p>
        </w:tc>
        <w:tc>
          <w:tcPr>
            <w:tcW w:w="1935"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进出场费按400元/次</w:t>
            </w:r>
          </w:p>
        </w:tc>
        <w:tc>
          <w:tcPr>
            <w:tcW w:w="1198" w:type="dxa"/>
            <w:vMerge w:val="continue"/>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03"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561" w:type="dxa"/>
            <w:vMerge w:val="continue"/>
            <w:noWrap w:val="0"/>
            <w:vAlign w:val="center"/>
          </w:tcPr>
          <w:p>
            <w:pPr>
              <w:jc w:val="left"/>
              <w:rPr>
                <w:rFonts w:hint="eastAsia" w:ascii="仿宋_GB2312" w:hAnsi="新宋体" w:eastAsia="仿宋_GB2312"/>
                <w:color w:val="auto"/>
                <w:sz w:val="21"/>
                <w:szCs w:val="21"/>
                <w:highlight w:val="none"/>
              </w:rPr>
            </w:pPr>
          </w:p>
        </w:tc>
        <w:tc>
          <w:tcPr>
            <w:tcW w:w="3195" w:type="dxa"/>
            <w:noWrap w:val="0"/>
            <w:vAlign w:val="center"/>
          </w:tcPr>
          <w:p>
            <w:pPr>
              <w:jc w:val="left"/>
              <w:rPr>
                <w:rFonts w:hint="eastAsia"/>
                <w:color w:val="auto"/>
                <w:sz w:val="21"/>
                <w:szCs w:val="21"/>
                <w:highlight w:val="none"/>
              </w:rPr>
            </w:pPr>
            <w:r>
              <w:rPr>
                <w:rFonts w:hint="eastAsia"/>
                <w:color w:val="auto"/>
                <w:sz w:val="21"/>
                <w:szCs w:val="21"/>
                <w:highlight w:val="none"/>
              </w:rPr>
              <w:t>200型液压单斗破碎机</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3600</w:t>
            </w:r>
          </w:p>
        </w:tc>
        <w:tc>
          <w:tcPr>
            <w:tcW w:w="1935" w:type="dxa"/>
            <w:noWrap w:val="0"/>
            <w:vAlign w:val="center"/>
          </w:tcPr>
          <w:p>
            <w:pPr>
              <w:jc w:val="left"/>
              <w:rPr>
                <w:rFonts w:hint="eastAsia"/>
                <w:color w:val="auto"/>
                <w:sz w:val="21"/>
                <w:szCs w:val="21"/>
                <w:highlight w:val="none"/>
              </w:rPr>
            </w:pPr>
            <w:r>
              <w:rPr>
                <w:rFonts w:hint="eastAsia"/>
                <w:color w:val="auto"/>
                <w:sz w:val="21"/>
                <w:szCs w:val="21"/>
                <w:highlight w:val="none"/>
              </w:rPr>
              <w:t>进出场费按400元/次</w:t>
            </w:r>
          </w:p>
        </w:tc>
        <w:tc>
          <w:tcPr>
            <w:tcW w:w="1198" w:type="dxa"/>
            <w:vMerge w:val="continue"/>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03"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561" w:type="dxa"/>
            <w:vMerge w:val="continue"/>
            <w:noWrap w:val="0"/>
            <w:vAlign w:val="center"/>
          </w:tcPr>
          <w:p>
            <w:pPr>
              <w:jc w:val="left"/>
              <w:rPr>
                <w:rFonts w:hint="eastAsia" w:ascii="仿宋_GB2312" w:hAnsi="新宋体" w:eastAsia="仿宋_GB2312"/>
                <w:color w:val="auto"/>
                <w:sz w:val="21"/>
                <w:szCs w:val="21"/>
                <w:highlight w:val="none"/>
              </w:rPr>
            </w:pPr>
          </w:p>
        </w:tc>
        <w:tc>
          <w:tcPr>
            <w:tcW w:w="3195" w:type="dxa"/>
            <w:noWrap w:val="0"/>
            <w:vAlign w:val="center"/>
          </w:tcPr>
          <w:p>
            <w:pPr>
              <w:jc w:val="left"/>
              <w:rPr>
                <w:rFonts w:hint="eastAsia"/>
                <w:color w:val="auto"/>
                <w:sz w:val="21"/>
                <w:szCs w:val="21"/>
                <w:highlight w:val="none"/>
              </w:rPr>
            </w:pPr>
            <w:r>
              <w:rPr>
                <w:rFonts w:hint="eastAsia"/>
                <w:color w:val="auto"/>
                <w:sz w:val="21"/>
                <w:szCs w:val="21"/>
                <w:highlight w:val="none"/>
              </w:rPr>
              <w:t>长臂挖机</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4500</w:t>
            </w:r>
          </w:p>
        </w:tc>
        <w:tc>
          <w:tcPr>
            <w:tcW w:w="1935" w:type="dxa"/>
            <w:noWrap w:val="0"/>
            <w:vAlign w:val="center"/>
          </w:tcPr>
          <w:p>
            <w:pPr>
              <w:jc w:val="left"/>
              <w:rPr>
                <w:rFonts w:hint="eastAsia"/>
                <w:color w:val="auto"/>
                <w:sz w:val="21"/>
                <w:szCs w:val="21"/>
                <w:highlight w:val="none"/>
              </w:rPr>
            </w:pPr>
            <w:r>
              <w:rPr>
                <w:rFonts w:hint="eastAsia"/>
                <w:color w:val="auto"/>
                <w:sz w:val="21"/>
                <w:szCs w:val="21"/>
                <w:highlight w:val="none"/>
              </w:rPr>
              <w:t>进出场费按400元/次</w:t>
            </w:r>
          </w:p>
        </w:tc>
        <w:tc>
          <w:tcPr>
            <w:tcW w:w="1198" w:type="dxa"/>
            <w:vMerge w:val="continue"/>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03"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561" w:type="dxa"/>
            <w:vMerge w:val="continue"/>
            <w:noWrap w:val="0"/>
            <w:vAlign w:val="center"/>
          </w:tcPr>
          <w:p>
            <w:pPr>
              <w:jc w:val="left"/>
              <w:rPr>
                <w:rFonts w:hint="eastAsia" w:ascii="仿宋_GB2312" w:hAnsi="新宋体" w:eastAsia="仿宋_GB2312"/>
                <w:color w:val="auto"/>
                <w:sz w:val="21"/>
                <w:szCs w:val="21"/>
                <w:highlight w:val="none"/>
              </w:rPr>
            </w:pPr>
          </w:p>
        </w:tc>
        <w:tc>
          <w:tcPr>
            <w:tcW w:w="3195" w:type="dxa"/>
            <w:noWrap w:val="0"/>
            <w:vAlign w:val="center"/>
          </w:tcPr>
          <w:p>
            <w:pPr>
              <w:jc w:val="left"/>
              <w:rPr>
                <w:rFonts w:hint="eastAsia"/>
                <w:color w:val="auto"/>
                <w:sz w:val="21"/>
                <w:szCs w:val="21"/>
                <w:highlight w:val="none"/>
              </w:rPr>
            </w:pPr>
            <w:r>
              <w:rPr>
                <w:rFonts w:hint="eastAsia"/>
                <w:color w:val="auto"/>
                <w:sz w:val="21"/>
                <w:szCs w:val="21"/>
                <w:highlight w:val="none"/>
              </w:rPr>
              <w:t>船式挖机</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4300</w:t>
            </w:r>
          </w:p>
        </w:tc>
        <w:tc>
          <w:tcPr>
            <w:tcW w:w="1935" w:type="dxa"/>
            <w:noWrap w:val="0"/>
            <w:vAlign w:val="center"/>
          </w:tcPr>
          <w:p>
            <w:pPr>
              <w:jc w:val="left"/>
              <w:rPr>
                <w:rFonts w:hint="eastAsia"/>
                <w:color w:val="auto"/>
                <w:sz w:val="21"/>
                <w:szCs w:val="21"/>
                <w:highlight w:val="none"/>
              </w:rPr>
            </w:pPr>
            <w:r>
              <w:rPr>
                <w:rFonts w:hint="eastAsia"/>
                <w:color w:val="auto"/>
                <w:sz w:val="21"/>
                <w:szCs w:val="21"/>
                <w:highlight w:val="none"/>
              </w:rPr>
              <w:t>进出场费按400元/次</w:t>
            </w:r>
          </w:p>
        </w:tc>
        <w:tc>
          <w:tcPr>
            <w:tcW w:w="1198" w:type="dxa"/>
            <w:vMerge w:val="continue"/>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03"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561" w:type="dxa"/>
            <w:vMerge w:val="continue"/>
            <w:noWrap w:val="0"/>
            <w:vAlign w:val="center"/>
          </w:tcPr>
          <w:p>
            <w:pPr>
              <w:jc w:val="left"/>
              <w:rPr>
                <w:rFonts w:ascii="宋体" w:hAnsi="宋体" w:cs="宋体"/>
                <w:color w:val="auto"/>
                <w:sz w:val="21"/>
                <w:szCs w:val="21"/>
                <w:highlight w:val="none"/>
              </w:rPr>
            </w:pPr>
          </w:p>
        </w:tc>
        <w:tc>
          <w:tcPr>
            <w:tcW w:w="3195"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水陆两用挖机</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3900</w:t>
            </w:r>
          </w:p>
        </w:tc>
        <w:tc>
          <w:tcPr>
            <w:tcW w:w="1935" w:type="dxa"/>
            <w:noWrap w:val="0"/>
            <w:vAlign w:val="center"/>
          </w:tcPr>
          <w:p>
            <w:pPr>
              <w:jc w:val="left"/>
              <w:rPr>
                <w:rFonts w:hint="eastAsia"/>
                <w:color w:val="auto"/>
                <w:sz w:val="21"/>
                <w:szCs w:val="21"/>
                <w:highlight w:val="none"/>
              </w:rPr>
            </w:pPr>
            <w:r>
              <w:rPr>
                <w:rFonts w:hint="eastAsia"/>
                <w:color w:val="auto"/>
                <w:sz w:val="21"/>
                <w:szCs w:val="21"/>
                <w:highlight w:val="none"/>
              </w:rPr>
              <w:t>进出场费按400元/次</w:t>
            </w:r>
          </w:p>
        </w:tc>
        <w:tc>
          <w:tcPr>
            <w:tcW w:w="1198" w:type="dxa"/>
            <w:vMerge w:val="continue"/>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3" w:type="dxa"/>
            <w:vMerge w:val="restart"/>
            <w:noWrap w:val="0"/>
            <w:vAlign w:val="center"/>
          </w:tcPr>
          <w:p>
            <w:pPr>
              <w:spacing w:line="600" w:lineRule="exact"/>
              <w:jc w:val="left"/>
              <w:rPr>
                <w:rFonts w:hint="eastAsia" w:ascii="仿宋_GB2312" w:hAnsi="新宋体" w:eastAsia="仿宋_GB2312" w:cs="Arial"/>
                <w:color w:val="auto"/>
                <w:sz w:val="21"/>
                <w:szCs w:val="21"/>
                <w:highlight w:val="none"/>
              </w:rPr>
            </w:pPr>
            <w:r>
              <w:rPr>
                <w:rFonts w:hint="eastAsia" w:ascii="仿宋_GB2312" w:hAnsi="新宋体" w:eastAsia="仿宋_GB2312" w:cs="Arial"/>
                <w:color w:val="auto"/>
                <w:sz w:val="21"/>
                <w:szCs w:val="21"/>
                <w:highlight w:val="none"/>
              </w:rPr>
              <w:t>3</w:t>
            </w:r>
          </w:p>
        </w:tc>
        <w:tc>
          <w:tcPr>
            <w:tcW w:w="1561" w:type="dxa"/>
            <w:vMerge w:val="restart"/>
            <w:noWrap w:val="0"/>
            <w:vAlign w:val="center"/>
          </w:tcPr>
          <w:p>
            <w:pPr>
              <w:jc w:val="left"/>
              <w:rPr>
                <w:rFonts w:ascii="宋体" w:hAnsi="宋体" w:cs="宋体"/>
                <w:color w:val="auto"/>
                <w:sz w:val="21"/>
                <w:szCs w:val="21"/>
                <w:highlight w:val="none"/>
              </w:rPr>
            </w:pPr>
            <w:r>
              <w:rPr>
                <w:rFonts w:hint="eastAsia"/>
                <w:color w:val="auto"/>
                <w:sz w:val="21"/>
                <w:szCs w:val="21"/>
                <w:highlight w:val="none"/>
              </w:rPr>
              <w:t>铲车类</w:t>
            </w:r>
          </w:p>
        </w:tc>
        <w:tc>
          <w:tcPr>
            <w:tcW w:w="3195"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12型小铲车</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700</w:t>
            </w:r>
          </w:p>
        </w:tc>
        <w:tc>
          <w:tcPr>
            <w:tcW w:w="1935" w:type="dxa"/>
            <w:noWrap w:val="0"/>
            <w:vAlign w:val="center"/>
          </w:tcPr>
          <w:p>
            <w:pPr>
              <w:jc w:val="left"/>
              <w:rPr>
                <w:rFonts w:hint="eastAsia"/>
                <w:color w:val="auto"/>
                <w:sz w:val="21"/>
                <w:szCs w:val="21"/>
                <w:highlight w:val="none"/>
              </w:rPr>
            </w:pPr>
          </w:p>
        </w:tc>
        <w:tc>
          <w:tcPr>
            <w:tcW w:w="1198" w:type="dxa"/>
            <w:vMerge w:val="continue"/>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3" w:type="dxa"/>
            <w:vMerge w:val="continue"/>
            <w:noWrap w:val="0"/>
            <w:vAlign w:val="center"/>
          </w:tcPr>
          <w:p>
            <w:pPr>
              <w:spacing w:line="600" w:lineRule="exact"/>
              <w:jc w:val="left"/>
              <w:rPr>
                <w:rFonts w:hint="eastAsia" w:ascii="仿宋_GB2312" w:hAnsi="新宋体" w:eastAsia="仿宋_GB2312" w:cs="Arial"/>
                <w:color w:val="auto"/>
                <w:sz w:val="21"/>
                <w:szCs w:val="21"/>
                <w:highlight w:val="none"/>
              </w:rPr>
            </w:pPr>
          </w:p>
        </w:tc>
        <w:tc>
          <w:tcPr>
            <w:tcW w:w="1561" w:type="dxa"/>
            <w:vMerge w:val="continue"/>
            <w:noWrap w:val="0"/>
            <w:vAlign w:val="center"/>
          </w:tcPr>
          <w:p>
            <w:pPr>
              <w:jc w:val="left"/>
              <w:rPr>
                <w:rFonts w:ascii="宋体" w:hAnsi="宋体" w:cs="宋体"/>
                <w:color w:val="auto"/>
                <w:sz w:val="21"/>
                <w:szCs w:val="21"/>
                <w:highlight w:val="none"/>
              </w:rPr>
            </w:pPr>
          </w:p>
        </w:tc>
        <w:tc>
          <w:tcPr>
            <w:tcW w:w="3195" w:type="dxa"/>
            <w:noWrap w:val="0"/>
            <w:vAlign w:val="center"/>
          </w:tcPr>
          <w:p>
            <w:pPr>
              <w:jc w:val="left"/>
              <w:rPr>
                <w:rFonts w:hint="eastAsia"/>
                <w:color w:val="auto"/>
                <w:sz w:val="21"/>
                <w:szCs w:val="21"/>
                <w:highlight w:val="none"/>
              </w:rPr>
            </w:pPr>
            <w:r>
              <w:rPr>
                <w:rFonts w:hint="eastAsia"/>
                <w:color w:val="auto"/>
                <w:sz w:val="21"/>
                <w:szCs w:val="21"/>
                <w:highlight w:val="none"/>
              </w:rPr>
              <w:t>18型小铲车</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900</w:t>
            </w:r>
          </w:p>
        </w:tc>
        <w:tc>
          <w:tcPr>
            <w:tcW w:w="1935" w:type="dxa"/>
            <w:noWrap w:val="0"/>
            <w:vAlign w:val="center"/>
          </w:tcPr>
          <w:p>
            <w:pPr>
              <w:jc w:val="left"/>
              <w:rPr>
                <w:rFonts w:hint="eastAsia"/>
                <w:color w:val="auto"/>
                <w:sz w:val="21"/>
                <w:szCs w:val="21"/>
                <w:highlight w:val="none"/>
              </w:rPr>
            </w:pPr>
          </w:p>
        </w:tc>
        <w:tc>
          <w:tcPr>
            <w:tcW w:w="1198" w:type="dxa"/>
            <w:vMerge w:val="continue"/>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3" w:type="dxa"/>
            <w:vMerge w:val="continue"/>
            <w:noWrap w:val="0"/>
            <w:vAlign w:val="center"/>
          </w:tcPr>
          <w:p>
            <w:pPr>
              <w:spacing w:line="600" w:lineRule="exact"/>
              <w:jc w:val="left"/>
              <w:rPr>
                <w:rFonts w:hint="eastAsia" w:ascii="仿宋_GB2312" w:hAnsi="新宋体" w:eastAsia="仿宋_GB2312" w:cs="Arial"/>
                <w:color w:val="auto"/>
                <w:sz w:val="21"/>
                <w:szCs w:val="21"/>
                <w:highlight w:val="none"/>
              </w:rPr>
            </w:pPr>
          </w:p>
        </w:tc>
        <w:tc>
          <w:tcPr>
            <w:tcW w:w="1561" w:type="dxa"/>
            <w:vMerge w:val="continue"/>
            <w:noWrap w:val="0"/>
            <w:vAlign w:val="center"/>
          </w:tcPr>
          <w:p>
            <w:pPr>
              <w:jc w:val="left"/>
              <w:rPr>
                <w:rFonts w:hint="eastAsia" w:ascii="仿宋_GB2312" w:hAnsi="新宋体" w:eastAsia="仿宋_GB2312"/>
                <w:color w:val="auto"/>
                <w:sz w:val="21"/>
                <w:szCs w:val="21"/>
                <w:highlight w:val="none"/>
              </w:rPr>
            </w:pPr>
          </w:p>
        </w:tc>
        <w:tc>
          <w:tcPr>
            <w:tcW w:w="3195"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30型小铲车</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1200</w:t>
            </w:r>
          </w:p>
        </w:tc>
        <w:tc>
          <w:tcPr>
            <w:tcW w:w="1935" w:type="dxa"/>
            <w:noWrap w:val="0"/>
            <w:vAlign w:val="center"/>
          </w:tcPr>
          <w:p>
            <w:pPr>
              <w:jc w:val="left"/>
              <w:rPr>
                <w:rFonts w:hint="eastAsia"/>
                <w:color w:val="auto"/>
                <w:sz w:val="21"/>
                <w:szCs w:val="21"/>
                <w:highlight w:val="none"/>
              </w:rPr>
            </w:pPr>
          </w:p>
        </w:tc>
        <w:tc>
          <w:tcPr>
            <w:tcW w:w="1198" w:type="dxa"/>
            <w:vMerge w:val="continue"/>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3"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561" w:type="dxa"/>
            <w:vMerge w:val="continue"/>
            <w:noWrap w:val="0"/>
            <w:vAlign w:val="center"/>
          </w:tcPr>
          <w:p>
            <w:pPr>
              <w:jc w:val="left"/>
              <w:rPr>
                <w:rFonts w:hint="eastAsia" w:ascii="仿宋_GB2312" w:hAnsi="新宋体" w:eastAsia="仿宋_GB2312"/>
                <w:color w:val="auto"/>
                <w:sz w:val="21"/>
                <w:szCs w:val="21"/>
                <w:highlight w:val="none"/>
              </w:rPr>
            </w:pPr>
          </w:p>
        </w:tc>
        <w:tc>
          <w:tcPr>
            <w:tcW w:w="3195" w:type="dxa"/>
            <w:noWrap w:val="0"/>
            <w:vAlign w:val="center"/>
          </w:tcPr>
          <w:p>
            <w:pPr>
              <w:jc w:val="left"/>
              <w:rPr>
                <w:color w:val="auto"/>
                <w:sz w:val="21"/>
                <w:szCs w:val="21"/>
                <w:highlight w:val="none"/>
              </w:rPr>
            </w:pPr>
            <w:r>
              <w:rPr>
                <w:rFonts w:hint="eastAsia"/>
                <w:color w:val="auto"/>
                <w:sz w:val="21"/>
                <w:szCs w:val="21"/>
                <w:highlight w:val="none"/>
              </w:rPr>
              <w:t>50型铲车</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2598</w:t>
            </w:r>
          </w:p>
        </w:tc>
        <w:tc>
          <w:tcPr>
            <w:tcW w:w="1935" w:type="dxa"/>
            <w:noWrap w:val="0"/>
            <w:vAlign w:val="center"/>
          </w:tcPr>
          <w:p>
            <w:pPr>
              <w:jc w:val="left"/>
              <w:rPr>
                <w:rFonts w:hint="eastAsia"/>
                <w:color w:val="auto"/>
                <w:sz w:val="21"/>
                <w:szCs w:val="21"/>
                <w:highlight w:val="none"/>
              </w:rPr>
            </w:pPr>
          </w:p>
        </w:tc>
        <w:tc>
          <w:tcPr>
            <w:tcW w:w="1198" w:type="dxa"/>
            <w:vMerge w:val="continue"/>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03" w:type="dxa"/>
            <w:vMerge w:val="restart"/>
            <w:noWrap w:val="0"/>
            <w:vAlign w:val="center"/>
          </w:tcPr>
          <w:p>
            <w:pPr>
              <w:spacing w:line="240" w:lineRule="exact"/>
              <w:jc w:val="left"/>
              <w:rPr>
                <w:rFonts w:hint="eastAsia" w:ascii="仿宋_GB2312" w:hAnsi="新宋体" w:eastAsia="仿宋_GB2312" w:cs="Arial"/>
                <w:color w:val="auto"/>
                <w:sz w:val="21"/>
                <w:szCs w:val="21"/>
                <w:highlight w:val="none"/>
              </w:rPr>
            </w:pPr>
            <w:r>
              <w:rPr>
                <w:rFonts w:hint="eastAsia" w:ascii="仿宋_GB2312" w:hAnsi="新宋体" w:eastAsia="仿宋_GB2312" w:cs="Arial"/>
                <w:color w:val="auto"/>
                <w:sz w:val="21"/>
                <w:szCs w:val="21"/>
                <w:highlight w:val="none"/>
              </w:rPr>
              <w:t>4</w:t>
            </w:r>
          </w:p>
        </w:tc>
        <w:tc>
          <w:tcPr>
            <w:tcW w:w="1561" w:type="dxa"/>
            <w:vMerge w:val="restart"/>
            <w:noWrap w:val="0"/>
            <w:vAlign w:val="center"/>
          </w:tcPr>
          <w:p>
            <w:pPr>
              <w:jc w:val="left"/>
              <w:rPr>
                <w:rFonts w:hint="eastAsia" w:ascii="仿宋_GB2312" w:hAnsi="新宋体" w:eastAsia="仿宋_GB2312"/>
                <w:color w:val="auto"/>
                <w:sz w:val="21"/>
                <w:szCs w:val="21"/>
                <w:highlight w:val="none"/>
              </w:rPr>
            </w:pPr>
            <w:r>
              <w:rPr>
                <w:rFonts w:hint="eastAsia"/>
                <w:color w:val="auto"/>
                <w:sz w:val="21"/>
                <w:szCs w:val="21"/>
                <w:highlight w:val="none"/>
              </w:rPr>
              <w:t>吊车类</w:t>
            </w:r>
          </w:p>
        </w:tc>
        <w:tc>
          <w:tcPr>
            <w:tcW w:w="3195" w:type="dxa"/>
            <w:noWrap w:val="0"/>
            <w:vAlign w:val="center"/>
          </w:tcPr>
          <w:p>
            <w:pPr>
              <w:jc w:val="left"/>
              <w:rPr>
                <w:color w:val="auto"/>
                <w:sz w:val="21"/>
                <w:szCs w:val="21"/>
                <w:highlight w:val="none"/>
              </w:rPr>
            </w:pPr>
            <w:r>
              <w:rPr>
                <w:rFonts w:hint="eastAsia"/>
                <w:color w:val="auto"/>
                <w:sz w:val="21"/>
                <w:szCs w:val="21"/>
                <w:highlight w:val="none"/>
              </w:rPr>
              <w:t>8吨汽车吊</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1100</w:t>
            </w:r>
          </w:p>
        </w:tc>
        <w:tc>
          <w:tcPr>
            <w:tcW w:w="1935" w:type="dxa"/>
            <w:noWrap w:val="0"/>
            <w:vAlign w:val="center"/>
          </w:tcPr>
          <w:p>
            <w:pPr>
              <w:jc w:val="left"/>
              <w:rPr>
                <w:rFonts w:hint="eastAsia"/>
                <w:color w:val="auto"/>
                <w:sz w:val="21"/>
                <w:szCs w:val="21"/>
                <w:highlight w:val="none"/>
              </w:rPr>
            </w:pPr>
            <w:r>
              <w:rPr>
                <w:rFonts w:hint="eastAsia"/>
                <w:color w:val="auto"/>
                <w:sz w:val="21"/>
                <w:szCs w:val="21"/>
                <w:highlight w:val="none"/>
              </w:rPr>
              <w:t>不足两小时按400元计</w:t>
            </w:r>
          </w:p>
        </w:tc>
        <w:tc>
          <w:tcPr>
            <w:tcW w:w="1198" w:type="dxa"/>
            <w:vMerge w:val="continue"/>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03"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561" w:type="dxa"/>
            <w:vMerge w:val="continue"/>
            <w:noWrap w:val="0"/>
            <w:vAlign w:val="center"/>
          </w:tcPr>
          <w:p>
            <w:pPr>
              <w:jc w:val="left"/>
              <w:rPr>
                <w:rFonts w:hint="eastAsia" w:ascii="仿宋_GB2312" w:hAnsi="新宋体" w:eastAsia="仿宋_GB2312"/>
                <w:color w:val="auto"/>
                <w:sz w:val="21"/>
                <w:szCs w:val="21"/>
                <w:highlight w:val="none"/>
              </w:rPr>
            </w:pPr>
          </w:p>
        </w:tc>
        <w:tc>
          <w:tcPr>
            <w:tcW w:w="3195" w:type="dxa"/>
            <w:noWrap w:val="0"/>
            <w:vAlign w:val="center"/>
          </w:tcPr>
          <w:p>
            <w:pPr>
              <w:jc w:val="left"/>
              <w:rPr>
                <w:rFonts w:hint="eastAsia"/>
                <w:color w:val="auto"/>
                <w:sz w:val="21"/>
                <w:szCs w:val="21"/>
                <w:highlight w:val="none"/>
              </w:rPr>
            </w:pPr>
            <w:r>
              <w:rPr>
                <w:rFonts w:hint="eastAsia"/>
                <w:color w:val="auto"/>
                <w:sz w:val="21"/>
                <w:szCs w:val="21"/>
                <w:highlight w:val="none"/>
              </w:rPr>
              <w:t>16吨汽车吊</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1300</w:t>
            </w:r>
          </w:p>
        </w:tc>
        <w:tc>
          <w:tcPr>
            <w:tcW w:w="1935" w:type="dxa"/>
            <w:noWrap w:val="0"/>
            <w:vAlign w:val="center"/>
          </w:tcPr>
          <w:p>
            <w:pPr>
              <w:jc w:val="left"/>
              <w:rPr>
                <w:rFonts w:hint="eastAsia"/>
                <w:color w:val="auto"/>
                <w:sz w:val="21"/>
                <w:szCs w:val="21"/>
                <w:highlight w:val="none"/>
              </w:rPr>
            </w:pPr>
            <w:r>
              <w:rPr>
                <w:rFonts w:hint="eastAsia"/>
                <w:color w:val="auto"/>
                <w:sz w:val="21"/>
                <w:szCs w:val="21"/>
                <w:highlight w:val="none"/>
              </w:rPr>
              <w:t>不足两小时按500元计</w:t>
            </w:r>
          </w:p>
        </w:tc>
        <w:tc>
          <w:tcPr>
            <w:tcW w:w="1198" w:type="dxa"/>
            <w:vMerge w:val="continue"/>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03"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561" w:type="dxa"/>
            <w:vMerge w:val="continue"/>
            <w:noWrap w:val="0"/>
            <w:vAlign w:val="center"/>
          </w:tcPr>
          <w:p>
            <w:pPr>
              <w:jc w:val="left"/>
              <w:rPr>
                <w:rFonts w:hint="eastAsia" w:ascii="仿宋_GB2312" w:hAnsi="新宋体" w:eastAsia="仿宋_GB2312"/>
                <w:color w:val="auto"/>
                <w:sz w:val="21"/>
                <w:szCs w:val="21"/>
                <w:highlight w:val="none"/>
              </w:rPr>
            </w:pPr>
          </w:p>
        </w:tc>
        <w:tc>
          <w:tcPr>
            <w:tcW w:w="3195" w:type="dxa"/>
            <w:noWrap w:val="0"/>
            <w:vAlign w:val="center"/>
          </w:tcPr>
          <w:p>
            <w:pPr>
              <w:jc w:val="left"/>
              <w:rPr>
                <w:rFonts w:hint="eastAsia"/>
                <w:color w:val="auto"/>
                <w:sz w:val="21"/>
                <w:szCs w:val="21"/>
                <w:highlight w:val="none"/>
              </w:rPr>
            </w:pPr>
            <w:r>
              <w:rPr>
                <w:rFonts w:hint="eastAsia"/>
                <w:color w:val="auto"/>
                <w:sz w:val="21"/>
                <w:szCs w:val="21"/>
                <w:highlight w:val="none"/>
              </w:rPr>
              <w:t>20吨汽车吊</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1600</w:t>
            </w:r>
          </w:p>
        </w:tc>
        <w:tc>
          <w:tcPr>
            <w:tcW w:w="1935" w:type="dxa"/>
            <w:noWrap w:val="0"/>
            <w:vAlign w:val="center"/>
          </w:tcPr>
          <w:p>
            <w:pPr>
              <w:jc w:val="left"/>
              <w:rPr>
                <w:rFonts w:hint="eastAsia"/>
                <w:color w:val="auto"/>
                <w:sz w:val="21"/>
                <w:szCs w:val="21"/>
                <w:highlight w:val="none"/>
              </w:rPr>
            </w:pPr>
            <w:r>
              <w:rPr>
                <w:rFonts w:hint="eastAsia"/>
                <w:color w:val="auto"/>
                <w:sz w:val="21"/>
                <w:szCs w:val="21"/>
                <w:highlight w:val="none"/>
              </w:rPr>
              <w:t>不足两小时按500元计</w:t>
            </w:r>
          </w:p>
        </w:tc>
        <w:tc>
          <w:tcPr>
            <w:tcW w:w="1198" w:type="dxa"/>
            <w:vMerge w:val="continue"/>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03"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561" w:type="dxa"/>
            <w:vMerge w:val="continue"/>
            <w:noWrap w:val="0"/>
            <w:vAlign w:val="center"/>
          </w:tcPr>
          <w:p>
            <w:pPr>
              <w:jc w:val="left"/>
              <w:rPr>
                <w:rFonts w:hint="eastAsia" w:ascii="仿宋_GB2312" w:hAnsi="新宋体" w:eastAsia="仿宋_GB2312"/>
                <w:color w:val="auto"/>
                <w:sz w:val="21"/>
                <w:szCs w:val="21"/>
                <w:highlight w:val="none"/>
              </w:rPr>
            </w:pPr>
          </w:p>
        </w:tc>
        <w:tc>
          <w:tcPr>
            <w:tcW w:w="3195" w:type="dxa"/>
            <w:noWrap w:val="0"/>
            <w:vAlign w:val="center"/>
          </w:tcPr>
          <w:p>
            <w:pPr>
              <w:jc w:val="left"/>
              <w:rPr>
                <w:color w:val="auto"/>
                <w:sz w:val="21"/>
                <w:szCs w:val="21"/>
                <w:highlight w:val="none"/>
              </w:rPr>
            </w:pPr>
            <w:r>
              <w:rPr>
                <w:rFonts w:hint="eastAsia"/>
                <w:color w:val="auto"/>
                <w:sz w:val="21"/>
                <w:szCs w:val="21"/>
                <w:highlight w:val="none"/>
              </w:rPr>
              <w:t>25吨汽车吊</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2700</w:t>
            </w:r>
          </w:p>
        </w:tc>
        <w:tc>
          <w:tcPr>
            <w:tcW w:w="1935" w:type="dxa"/>
            <w:noWrap w:val="0"/>
            <w:vAlign w:val="center"/>
          </w:tcPr>
          <w:p>
            <w:pPr>
              <w:jc w:val="left"/>
              <w:rPr>
                <w:rFonts w:hint="eastAsia"/>
                <w:color w:val="auto"/>
                <w:sz w:val="21"/>
                <w:szCs w:val="21"/>
                <w:highlight w:val="none"/>
              </w:rPr>
            </w:pPr>
            <w:r>
              <w:rPr>
                <w:rFonts w:hint="eastAsia"/>
                <w:color w:val="auto"/>
                <w:sz w:val="21"/>
                <w:szCs w:val="21"/>
                <w:highlight w:val="none"/>
              </w:rPr>
              <w:t>不足两小时按500元计</w:t>
            </w:r>
          </w:p>
        </w:tc>
        <w:tc>
          <w:tcPr>
            <w:tcW w:w="1198" w:type="dxa"/>
            <w:vMerge w:val="continue"/>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03"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561" w:type="dxa"/>
            <w:vMerge w:val="continue"/>
            <w:noWrap w:val="0"/>
            <w:vAlign w:val="center"/>
          </w:tcPr>
          <w:p>
            <w:pPr>
              <w:jc w:val="left"/>
              <w:rPr>
                <w:rFonts w:hint="eastAsia" w:ascii="仿宋_GB2312" w:hAnsi="新宋体" w:eastAsia="仿宋_GB2312"/>
                <w:color w:val="auto"/>
                <w:sz w:val="21"/>
                <w:szCs w:val="21"/>
                <w:highlight w:val="none"/>
              </w:rPr>
            </w:pPr>
          </w:p>
        </w:tc>
        <w:tc>
          <w:tcPr>
            <w:tcW w:w="3195" w:type="dxa"/>
            <w:noWrap w:val="0"/>
            <w:vAlign w:val="center"/>
          </w:tcPr>
          <w:p>
            <w:pPr>
              <w:jc w:val="left"/>
              <w:rPr>
                <w:rFonts w:hint="eastAsia"/>
                <w:color w:val="auto"/>
                <w:sz w:val="21"/>
                <w:szCs w:val="21"/>
                <w:highlight w:val="none"/>
              </w:rPr>
            </w:pPr>
            <w:r>
              <w:rPr>
                <w:rFonts w:hint="eastAsia"/>
                <w:color w:val="auto"/>
                <w:sz w:val="21"/>
                <w:szCs w:val="21"/>
                <w:highlight w:val="none"/>
              </w:rPr>
              <w:t>35吨汽车吊</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2800</w:t>
            </w:r>
          </w:p>
        </w:tc>
        <w:tc>
          <w:tcPr>
            <w:tcW w:w="1935" w:type="dxa"/>
            <w:noWrap w:val="0"/>
            <w:vAlign w:val="center"/>
          </w:tcPr>
          <w:p>
            <w:pPr>
              <w:jc w:val="left"/>
              <w:rPr>
                <w:rFonts w:hint="eastAsia"/>
                <w:color w:val="auto"/>
                <w:sz w:val="21"/>
                <w:szCs w:val="21"/>
                <w:highlight w:val="none"/>
              </w:rPr>
            </w:pPr>
            <w:r>
              <w:rPr>
                <w:rFonts w:hint="eastAsia"/>
                <w:color w:val="auto"/>
                <w:sz w:val="21"/>
                <w:szCs w:val="21"/>
                <w:highlight w:val="none"/>
              </w:rPr>
              <w:t>不足两小时按600元计</w:t>
            </w:r>
          </w:p>
        </w:tc>
        <w:tc>
          <w:tcPr>
            <w:tcW w:w="1198" w:type="dxa"/>
            <w:vMerge w:val="continue"/>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03" w:type="dxa"/>
            <w:vMerge w:val="continue"/>
            <w:noWrap w:val="0"/>
            <w:vAlign w:val="center"/>
          </w:tcPr>
          <w:p>
            <w:pPr>
              <w:spacing w:line="240" w:lineRule="exact"/>
              <w:jc w:val="left"/>
              <w:rPr>
                <w:rFonts w:hint="eastAsia"/>
                <w:color w:val="auto"/>
                <w:sz w:val="21"/>
                <w:szCs w:val="21"/>
                <w:highlight w:val="none"/>
              </w:rPr>
            </w:pPr>
          </w:p>
        </w:tc>
        <w:tc>
          <w:tcPr>
            <w:tcW w:w="1561" w:type="dxa"/>
            <w:vMerge w:val="continue"/>
            <w:noWrap w:val="0"/>
            <w:vAlign w:val="center"/>
          </w:tcPr>
          <w:p>
            <w:pPr>
              <w:jc w:val="left"/>
              <w:rPr>
                <w:color w:val="auto"/>
                <w:sz w:val="21"/>
                <w:szCs w:val="21"/>
                <w:highlight w:val="none"/>
              </w:rPr>
            </w:pPr>
          </w:p>
        </w:tc>
        <w:tc>
          <w:tcPr>
            <w:tcW w:w="3195" w:type="dxa"/>
            <w:noWrap w:val="0"/>
            <w:vAlign w:val="center"/>
          </w:tcPr>
          <w:p>
            <w:pPr>
              <w:jc w:val="left"/>
              <w:rPr>
                <w:color w:val="auto"/>
                <w:sz w:val="21"/>
                <w:szCs w:val="21"/>
                <w:highlight w:val="none"/>
              </w:rPr>
            </w:pPr>
            <w:r>
              <w:rPr>
                <w:rFonts w:hint="eastAsia"/>
                <w:color w:val="auto"/>
                <w:sz w:val="21"/>
                <w:szCs w:val="21"/>
                <w:highlight w:val="none"/>
              </w:rPr>
              <w:t>50吨汽车吊</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6800</w:t>
            </w:r>
          </w:p>
        </w:tc>
        <w:tc>
          <w:tcPr>
            <w:tcW w:w="1935"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不足两小时按1200元计</w:t>
            </w:r>
          </w:p>
        </w:tc>
        <w:tc>
          <w:tcPr>
            <w:tcW w:w="1198" w:type="dxa"/>
            <w:vMerge w:val="continue"/>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03" w:type="dxa"/>
            <w:vMerge w:val="restart"/>
            <w:noWrap w:val="0"/>
            <w:vAlign w:val="center"/>
          </w:tcPr>
          <w:p>
            <w:pPr>
              <w:jc w:val="left"/>
              <w:rPr>
                <w:rFonts w:hint="eastAsia"/>
                <w:color w:val="auto"/>
                <w:sz w:val="21"/>
                <w:szCs w:val="21"/>
                <w:highlight w:val="none"/>
              </w:rPr>
            </w:pPr>
            <w:r>
              <w:rPr>
                <w:rFonts w:hint="eastAsia"/>
                <w:color w:val="auto"/>
                <w:sz w:val="21"/>
                <w:szCs w:val="21"/>
                <w:highlight w:val="none"/>
              </w:rPr>
              <w:t>5</w:t>
            </w:r>
          </w:p>
        </w:tc>
        <w:tc>
          <w:tcPr>
            <w:tcW w:w="1561" w:type="dxa"/>
            <w:vMerge w:val="restart"/>
            <w:noWrap w:val="0"/>
            <w:vAlign w:val="center"/>
          </w:tcPr>
          <w:p>
            <w:pPr>
              <w:jc w:val="left"/>
              <w:rPr>
                <w:rFonts w:hint="eastAsia"/>
                <w:color w:val="auto"/>
                <w:sz w:val="21"/>
                <w:szCs w:val="21"/>
                <w:highlight w:val="none"/>
              </w:rPr>
            </w:pPr>
            <w:r>
              <w:rPr>
                <w:rFonts w:hint="eastAsia"/>
                <w:color w:val="auto"/>
                <w:sz w:val="21"/>
                <w:szCs w:val="21"/>
                <w:highlight w:val="none"/>
              </w:rPr>
              <w:t>叉车类</w:t>
            </w:r>
          </w:p>
        </w:tc>
        <w:tc>
          <w:tcPr>
            <w:tcW w:w="3195" w:type="dxa"/>
            <w:noWrap w:val="0"/>
            <w:vAlign w:val="center"/>
          </w:tcPr>
          <w:p>
            <w:pPr>
              <w:jc w:val="left"/>
              <w:rPr>
                <w:rFonts w:hint="eastAsia"/>
                <w:color w:val="auto"/>
                <w:sz w:val="21"/>
                <w:szCs w:val="21"/>
                <w:highlight w:val="none"/>
              </w:rPr>
            </w:pPr>
            <w:r>
              <w:rPr>
                <w:rFonts w:hint="eastAsia"/>
                <w:color w:val="auto"/>
                <w:sz w:val="21"/>
                <w:szCs w:val="21"/>
                <w:highlight w:val="none"/>
              </w:rPr>
              <w:t>2-3吨叉车</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1420</w:t>
            </w:r>
          </w:p>
        </w:tc>
        <w:tc>
          <w:tcPr>
            <w:tcW w:w="1935" w:type="dxa"/>
            <w:noWrap w:val="0"/>
            <w:vAlign w:val="center"/>
          </w:tcPr>
          <w:p>
            <w:pPr>
              <w:jc w:val="left"/>
              <w:rPr>
                <w:rFonts w:hint="eastAsia"/>
                <w:color w:val="auto"/>
                <w:sz w:val="21"/>
                <w:szCs w:val="21"/>
                <w:highlight w:val="none"/>
              </w:rPr>
            </w:pPr>
            <w:r>
              <w:rPr>
                <w:rFonts w:hint="eastAsia"/>
                <w:color w:val="auto"/>
                <w:sz w:val="21"/>
                <w:szCs w:val="21"/>
                <w:highlight w:val="none"/>
              </w:rPr>
              <w:t>不足两小时按300元计</w:t>
            </w:r>
          </w:p>
        </w:tc>
        <w:tc>
          <w:tcPr>
            <w:tcW w:w="1198" w:type="dxa"/>
            <w:vMerge w:val="continue"/>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03" w:type="dxa"/>
            <w:vMerge w:val="continue"/>
            <w:noWrap w:val="0"/>
            <w:vAlign w:val="center"/>
          </w:tcPr>
          <w:p>
            <w:pPr>
              <w:jc w:val="left"/>
              <w:rPr>
                <w:rFonts w:hint="eastAsia" w:ascii="仿宋_GB2312" w:hAnsi="新宋体" w:eastAsia="仿宋_GB2312" w:cs="Arial"/>
                <w:b/>
                <w:bCs/>
                <w:color w:val="auto"/>
                <w:sz w:val="21"/>
                <w:szCs w:val="21"/>
                <w:highlight w:val="none"/>
              </w:rPr>
            </w:pPr>
          </w:p>
        </w:tc>
        <w:tc>
          <w:tcPr>
            <w:tcW w:w="1561" w:type="dxa"/>
            <w:vMerge w:val="continue"/>
            <w:noWrap w:val="0"/>
            <w:vAlign w:val="center"/>
          </w:tcPr>
          <w:p>
            <w:pPr>
              <w:jc w:val="left"/>
              <w:rPr>
                <w:rFonts w:hint="eastAsia" w:ascii="宋体" w:hAnsi="宋体" w:cs="宋体"/>
                <w:b/>
                <w:bCs/>
                <w:i/>
                <w:iCs/>
                <w:color w:val="auto"/>
                <w:sz w:val="21"/>
                <w:szCs w:val="21"/>
                <w:highlight w:val="none"/>
              </w:rPr>
            </w:pPr>
          </w:p>
        </w:tc>
        <w:tc>
          <w:tcPr>
            <w:tcW w:w="3195" w:type="dxa"/>
            <w:noWrap w:val="0"/>
            <w:vAlign w:val="center"/>
          </w:tcPr>
          <w:p>
            <w:pPr>
              <w:jc w:val="left"/>
              <w:rPr>
                <w:color w:val="auto"/>
                <w:sz w:val="21"/>
                <w:szCs w:val="21"/>
                <w:highlight w:val="none"/>
              </w:rPr>
            </w:pPr>
            <w:r>
              <w:rPr>
                <w:rFonts w:hint="eastAsia"/>
                <w:color w:val="auto"/>
                <w:sz w:val="21"/>
                <w:szCs w:val="21"/>
                <w:highlight w:val="none"/>
              </w:rPr>
              <w:t>5吨叉车</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2547</w:t>
            </w:r>
          </w:p>
        </w:tc>
        <w:tc>
          <w:tcPr>
            <w:tcW w:w="1935" w:type="dxa"/>
            <w:noWrap w:val="0"/>
            <w:vAlign w:val="center"/>
          </w:tcPr>
          <w:p>
            <w:pPr>
              <w:jc w:val="left"/>
              <w:rPr>
                <w:rFonts w:ascii="宋体" w:hAnsi="宋体" w:cs="宋体"/>
                <w:color w:val="auto"/>
                <w:sz w:val="21"/>
                <w:szCs w:val="21"/>
                <w:highlight w:val="none"/>
              </w:rPr>
            </w:pPr>
            <w:r>
              <w:rPr>
                <w:rFonts w:hint="eastAsia"/>
                <w:color w:val="auto"/>
                <w:sz w:val="21"/>
                <w:szCs w:val="21"/>
                <w:highlight w:val="none"/>
              </w:rPr>
              <w:t>不足两小时按500元计</w:t>
            </w:r>
          </w:p>
        </w:tc>
        <w:tc>
          <w:tcPr>
            <w:tcW w:w="1198" w:type="dxa"/>
            <w:vMerge w:val="continue"/>
            <w:noWrap w:val="0"/>
            <w:vAlign w:val="center"/>
          </w:tcPr>
          <w:p>
            <w:pPr>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3" w:type="dxa"/>
            <w:vMerge w:val="restart"/>
            <w:noWrap w:val="0"/>
            <w:vAlign w:val="center"/>
          </w:tcPr>
          <w:p>
            <w:pPr>
              <w:jc w:val="left"/>
              <w:rPr>
                <w:rFonts w:hint="eastAsia" w:ascii="仿宋_GB2312" w:hAnsi="新宋体" w:eastAsia="仿宋_GB2312" w:cs="Arial"/>
                <w:color w:val="auto"/>
                <w:sz w:val="21"/>
                <w:szCs w:val="21"/>
                <w:highlight w:val="none"/>
              </w:rPr>
            </w:pPr>
            <w:r>
              <w:rPr>
                <w:rFonts w:hint="eastAsia"/>
                <w:color w:val="auto"/>
                <w:sz w:val="21"/>
                <w:szCs w:val="21"/>
                <w:highlight w:val="none"/>
              </w:rPr>
              <w:t>6</w:t>
            </w:r>
          </w:p>
        </w:tc>
        <w:tc>
          <w:tcPr>
            <w:tcW w:w="1561" w:type="dxa"/>
            <w:vMerge w:val="restart"/>
            <w:noWrap w:val="0"/>
            <w:vAlign w:val="center"/>
          </w:tcPr>
          <w:p>
            <w:pPr>
              <w:jc w:val="left"/>
              <w:rPr>
                <w:rFonts w:hint="eastAsia" w:ascii="宋体" w:hAnsi="宋体" w:cs="宋体"/>
                <w:b/>
                <w:bCs/>
                <w:i/>
                <w:iCs/>
                <w:color w:val="auto"/>
                <w:sz w:val="21"/>
                <w:szCs w:val="21"/>
                <w:highlight w:val="none"/>
              </w:rPr>
            </w:pPr>
            <w:r>
              <w:rPr>
                <w:rFonts w:hint="eastAsia"/>
                <w:color w:val="auto"/>
                <w:sz w:val="21"/>
                <w:szCs w:val="21"/>
                <w:highlight w:val="none"/>
              </w:rPr>
              <w:t>压路机类</w:t>
            </w:r>
          </w:p>
        </w:tc>
        <w:tc>
          <w:tcPr>
            <w:tcW w:w="3195" w:type="dxa"/>
            <w:noWrap w:val="0"/>
            <w:vAlign w:val="center"/>
          </w:tcPr>
          <w:p>
            <w:pPr>
              <w:jc w:val="left"/>
              <w:rPr>
                <w:color w:val="auto"/>
                <w:sz w:val="21"/>
                <w:szCs w:val="21"/>
                <w:highlight w:val="none"/>
              </w:rPr>
            </w:pPr>
            <w:r>
              <w:rPr>
                <w:rFonts w:hint="eastAsia"/>
                <w:color w:val="auto"/>
                <w:sz w:val="21"/>
                <w:szCs w:val="21"/>
                <w:highlight w:val="none"/>
              </w:rPr>
              <w:t>15吨振动式压路机</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3008</w:t>
            </w:r>
          </w:p>
        </w:tc>
        <w:tc>
          <w:tcPr>
            <w:tcW w:w="1935" w:type="dxa"/>
            <w:noWrap w:val="0"/>
            <w:vAlign w:val="center"/>
          </w:tcPr>
          <w:p>
            <w:pPr>
              <w:jc w:val="left"/>
              <w:rPr>
                <w:rFonts w:hint="eastAsia" w:ascii="宋体" w:hAnsi="宋体" w:cs="宋体"/>
                <w:color w:val="auto"/>
                <w:sz w:val="21"/>
                <w:szCs w:val="21"/>
                <w:highlight w:val="none"/>
              </w:rPr>
            </w:pPr>
          </w:p>
        </w:tc>
        <w:tc>
          <w:tcPr>
            <w:tcW w:w="1198" w:type="dxa"/>
            <w:vMerge w:val="continue"/>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3"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561" w:type="dxa"/>
            <w:vMerge w:val="continue"/>
            <w:noWrap w:val="0"/>
            <w:vAlign w:val="center"/>
          </w:tcPr>
          <w:p>
            <w:pPr>
              <w:jc w:val="left"/>
              <w:rPr>
                <w:rFonts w:hint="eastAsia" w:ascii="宋体" w:hAnsi="宋体" w:cs="宋体"/>
                <w:b/>
                <w:bCs/>
                <w:i/>
                <w:iCs/>
                <w:color w:val="auto"/>
                <w:sz w:val="21"/>
                <w:szCs w:val="21"/>
                <w:highlight w:val="none"/>
              </w:rPr>
            </w:pPr>
          </w:p>
        </w:tc>
        <w:tc>
          <w:tcPr>
            <w:tcW w:w="3195" w:type="dxa"/>
            <w:noWrap w:val="0"/>
            <w:vAlign w:val="center"/>
          </w:tcPr>
          <w:p>
            <w:pPr>
              <w:jc w:val="left"/>
              <w:rPr>
                <w:rFonts w:hint="eastAsia"/>
                <w:color w:val="auto"/>
                <w:sz w:val="21"/>
                <w:szCs w:val="21"/>
                <w:highlight w:val="none"/>
              </w:rPr>
            </w:pPr>
            <w:r>
              <w:rPr>
                <w:rFonts w:hint="eastAsia"/>
                <w:color w:val="auto"/>
                <w:sz w:val="21"/>
                <w:szCs w:val="21"/>
                <w:highlight w:val="none"/>
              </w:rPr>
              <w:t>20吨振动式压路机</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3072</w:t>
            </w:r>
          </w:p>
        </w:tc>
        <w:tc>
          <w:tcPr>
            <w:tcW w:w="1935" w:type="dxa"/>
            <w:noWrap w:val="0"/>
            <w:vAlign w:val="center"/>
          </w:tcPr>
          <w:p>
            <w:pPr>
              <w:jc w:val="left"/>
              <w:rPr>
                <w:rFonts w:hint="eastAsia" w:ascii="宋体" w:hAnsi="宋体" w:cs="宋体"/>
                <w:color w:val="auto"/>
                <w:sz w:val="21"/>
                <w:szCs w:val="21"/>
                <w:highlight w:val="none"/>
              </w:rPr>
            </w:pPr>
          </w:p>
        </w:tc>
        <w:tc>
          <w:tcPr>
            <w:tcW w:w="1198" w:type="dxa"/>
            <w:vMerge w:val="continue"/>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3"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561" w:type="dxa"/>
            <w:vMerge w:val="continue"/>
            <w:noWrap w:val="0"/>
            <w:vAlign w:val="center"/>
          </w:tcPr>
          <w:p>
            <w:pPr>
              <w:jc w:val="left"/>
              <w:rPr>
                <w:rFonts w:hint="eastAsia" w:ascii="宋体" w:hAnsi="宋体" w:cs="宋体"/>
                <w:color w:val="auto"/>
                <w:sz w:val="21"/>
                <w:szCs w:val="21"/>
                <w:highlight w:val="none"/>
              </w:rPr>
            </w:pPr>
          </w:p>
        </w:tc>
        <w:tc>
          <w:tcPr>
            <w:tcW w:w="3195" w:type="dxa"/>
            <w:noWrap w:val="0"/>
            <w:vAlign w:val="center"/>
          </w:tcPr>
          <w:p>
            <w:pPr>
              <w:jc w:val="left"/>
              <w:rPr>
                <w:rFonts w:hint="eastAsia"/>
                <w:color w:val="auto"/>
                <w:sz w:val="21"/>
                <w:szCs w:val="21"/>
                <w:highlight w:val="none"/>
              </w:rPr>
            </w:pPr>
            <w:r>
              <w:rPr>
                <w:rFonts w:hint="eastAsia"/>
                <w:color w:val="auto"/>
                <w:sz w:val="21"/>
                <w:szCs w:val="21"/>
                <w:highlight w:val="none"/>
              </w:rPr>
              <w:t>26吨振动式压路机</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3468</w:t>
            </w:r>
          </w:p>
        </w:tc>
        <w:tc>
          <w:tcPr>
            <w:tcW w:w="1935" w:type="dxa"/>
            <w:noWrap w:val="0"/>
            <w:vAlign w:val="center"/>
          </w:tcPr>
          <w:p>
            <w:pPr>
              <w:jc w:val="left"/>
              <w:rPr>
                <w:rFonts w:hint="eastAsia" w:ascii="宋体" w:hAnsi="宋体" w:cs="宋体"/>
                <w:color w:val="auto"/>
                <w:sz w:val="21"/>
                <w:szCs w:val="21"/>
                <w:highlight w:val="none"/>
              </w:rPr>
            </w:pPr>
          </w:p>
        </w:tc>
        <w:tc>
          <w:tcPr>
            <w:tcW w:w="1198" w:type="dxa"/>
            <w:vMerge w:val="continue"/>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3" w:type="dxa"/>
            <w:vMerge w:val="restart"/>
            <w:noWrap w:val="0"/>
            <w:vAlign w:val="center"/>
          </w:tcPr>
          <w:p>
            <w:pPr>
              <w:spacing w:line="240" w:lineRule="exact"/>
              <w:jc w:val="left"/>
              <w:rPr>
                <w:rFonts w:hint="eastAsia" w:ascii="仿宋_GB2312" w:hAnsi="新宋体" w:eastAsia="仿宋_GB2312" w:cs="Arial"/>
                <w:color w:val="auto"/>
                <w:sz w:val="21"/>
                <w:szCs w:val="21"/>
                <w:highlight w:val="none"/>
              </w:rPr>
            </w:pPr>
            <w:r>
              <w:rPr>
                <w:rFonts w:hint="eastAsia" w:ascii="仿宋_GB2312" w:hAnsi="新宋体" w:eastAsia="仿宋_GB2312" w:cs="Arial"/>
                <w:color w:val="auto"/>
                <w:sz w:val="21"/>
                <w:szCs w:val="21"/>
                <w:highlight w:val="none"/>
              </w:rPr>
              <w:t>7</w:t>
            </w:r>
          </w:p>
        </w:tc>
        <w:tc>
          <w:tcPr>
            <w:tcW w:w="1561" w:type="dxa"/>
            <w:vMerge w:val="restart"/>
            <w:noWrap w:val="0"/>
            <w:vAlign w:val="center"/>
          </w:tcPr>
          <w:p>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空压机</w:t>
            </w:r>
            <w:r>
              <w:rPr>
                <w:rFonts w:hint="eastAsia"/>
                <w:color w:val="auto"/>
                <w:sz w:val="21"/>
                <w:szCs w:val="21"/>
                <w:highlight w:val="none"/>
              </w:rPr>
              <w:t>类</w:t>
            </w:r>
          </w:p>
        </w:tc>
        <w:tc>
          <w:tcPr>
            <w:tcW w:w="3195" w:type="dxa"/>
            <w:noWrap w:val="0"/>
            <w:vAlign w:val="center"/>
          </w:tcPr>
          <w:p>
            <w:pPr>
              <w:jc w:val="left"/>
              <w:rPr>
                <w:rFonts w:hint="eastAsia"/>
                <w:color w:val="auto"/>
                <w:sz w:val="21"/>
                <w:szCs w:val="21"/>
                <w:highlight w:val="none"/>
              </w:rPr>
            </w:pPr>
            <w:r>
              <w:rPr>
                <w:rFonts w:hint="eastAsia"/>
                <w:color w:val="auto"/>
                <w:sz w:val="21"/>
                <w:szCs w:val="21"/>
                <w:highlight w:val="none"/>
              </w:rPr>
              <w:t>柴油单头空压机</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900</w:t>
            </w:r>
          </w:p>
        </w:tc>
        <w:tc>
          <w:tcPr>
            <w:tcW w:w="1935" w:type="dxa"/>
            <w:noWrap w:val="0"/>
            <w:vAlign w:val="center"/>
          </w:tcPr>
          <w:p>
            <w:pPr>
              <w:jc w:val="left"/>
              <w:rPr>
                <w:rFonts w:hint="eastAsia" w:ascii="宋体" w:hAnsi="宋体" w:cs="宋体"/>
                <w:color w:val="auto"/>
                <w:sz w:val="21"/>
                <w:szCs w:val="21"/>
                <w:highlight w:val="none"/>
              </w:rPr>
            </w:pPr>
          </w:p>
        </w:tc>
        <w:tc>
          <w:tcPr>
            <w:tcW w:w="1198" w:type="dxa"/>
            <w:vMerge w:val="continue"/>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3"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561" w:type="dxa"/>
            <w:vMerge w:val="continue"/>
            <w:noWrap w:val="0"/>
            <w:vAlign w:val="center"/>
          </w:tcPr>
          <w:p>
            <w:pPr>
              <w:jc w:val="left"/>
              <w:rPr>
                <w:rFonts w:hint="eastAsia" w:ascii="宋体" w:hAnsi="宋体" w:cs="宋体"/>
                <w:color w:val="auto"/>
                <w:sz w:val="21"/>
                <w:szCs w:val="21"/>
                <w:highlight w:val="none"/>
              </w:rPr>
            </w:pPr>
          </w:p>
        </w:tc>
        <w:tc>
          <w:tcPr>
            <w:tcW w:w="3195" w:type="dxa"/>
            <w:noWrap w:val="0"/>
            <w:vAlign w:val="center"/>
          </w:tcPr>
          <w:p>
            <w:pPr>
              <w:jc w:val="left"/>
              <w:rPr>
                <w:rFonts w:hint="eastAsia"/>
                <w:color w:val="auto"/>
                <w:sz w:val="21"/>
                <w:szCs w:val="21"/>
                <w:highlight w:val="none"/>
              </w:rPr>
            </w:pPr>
            <w:r>
              <w:rPr>
                <w:rFonts w:hint="eastAsia"/>
                <w:color w:val="auto"/>
                <w:sz w:val="21"/>
                <w:szCs w:val="21"/>
                <w:highlight w:val="none"/>
              </w:rPr>
              <w:t>柴油双头空压机</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1600</w:t>
            </w:r>
          </w:p>
        </w:tc>
        <w:tc>
          <w:tcPr>
            <w:tcW w:w="1935" w:type="dxa"/>
            <w:noWrap w:val="0"/>
            <w:vAlign w:val="center"/>
          </w:tcPr>
          <w:p>
            <w:pPr>
              <w:jc w:val="left"/>
              <w:rPr>
                <w:rFonts w:hint="eastAsia" w:ascii="宋体" w:hAnsi="宋体" w:cs="宋体"/>
                <w:color w:val="auto"/>
                <w:sz w:val="21"/>
                <w:szCs w:val="21"/>
                <w:highlight w:val="none"/>
              </w:rPr>
            </w:pPr>
          </w:p>
        </w:tc>
        <w:tc>
          <w:tcPr>
            <w:tcW w:w="1198" w:type="dxa"/>
            <w:vMerge w:val="continue"/>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03" w:type="dxa"/>
            <w:noWrap w:val="0"/>
            <w:vAlign w:val="center"/>
          </w:tcPr>
          <w:p>
            <w:pPr>
              <w:spacing w:line="240" w:lineRule="exact"/>
              <w:jc w:val="left"/>
              <w:rPr>
                <w:rFonts w:hint="eastAsia" w:ascii="仿宋_GB2312" w:hAnsi="新宋体" w:eastAsia="仿宋_GB2312" w:cs="Arial"/>
                <w:color w:val="auto"/>
                <w:sz w:val="21"/>
                <w:szCs w:val="21"/>
                <w:highlight w:val="none"/>
              </w:rPr>
            </w:pPr>
            <w:r>
              <w:rPr>
                <w:rFonts w:hint="eastAsia" w:ascii="仿宋_GB2312" w:hAnsi="新宋体" w:eastAsia="仿宋_GB2312" w:cs="Arial"/>
                <w:color w:val="auto"/>
                <w:sz w:val="21"/>
                <w:szCs w:val="21"/>
                <w:highlight w:val="none"/>
              </w:rPr>
              <w:t>8</w:t>
            </w:r>
          </w:p>
        </w:tc>
        <w:tc>
          <w:tcPr>
            <w:tcW w:w="1561" w:type="dxa"/>
            <w:noWrap w:val="0"/>
            <w:vAlign w:val="center"/>
          </w:tcPr>
          <w:p>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摊铺机类</w:t>
            </w:r>
          </w:p>
        </w:tc>
        <w:tc>
          <w:tcPr>
            <w:tcW w:w="3195" w:type="dxa"/>
            <w:noWrap w:val="0"/>
            <w:vAlign w:val="center"/>
          </w:tcPr>
          <w:p>
            <w:pPr>
              <w:jc w:val="left"/>
              <w:rPr>
                <w:rFonts w:hint="eastAsia"/>
                <w:color w:val="auto"/>
                <w:sz w:val="21"/>
                <w:szCs w:val="21"/>
                <w:highlight w:val="none"/>
              </w:rPr>
            </w:pPr>
            <w:r>
              <w:rPr>
                <w:rFonts w:hint="eastAsia"/>
                <w:color w:val="auto"/>
                <w:sz w:val="21"/>
                <w:szCs w:val="21"/>
                <w:highlight w:val="none"/>
              </w:rPr>
              <w:t>SSP100C-6摊铺机或相当于</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6336</w:t>
            </w:r>
          </w:p>
        </w:tc>
        <w:tc>
          <w:tcPr>
            <w:tcW w:w="1935" w:type="dxa"/>
            <w:noWrap w:val="0"/>
            <w:vAlign w:val="center"/>
          </w:tcPr>
          <w:p>
            <w:pPr>
              <w:jc w:val="left"/>
              <w:rPr>
                <w:rFonts w:hint="eastAsia" w:ascii="宋体" w:hAnsi="宋体" w:cs="宋体"/>
                <w:color w:val="auto"/>
                <w:sz w:val="21"/>
                <w:szCs w:val="21"/>
                <w:highlight w:val="none"/>
              </w:rPr>
            </w:pPr>
          </w:p>
        </w:tc>
        <w:tc>
          <w:tcPr>
            <w:tcW w:w="1198" w:type="dxa"/>
            <w:vMerge w:val="continue"/>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3" w:type="dxa"/>
            <w:vMerge w:val="restart"/>
            <w:noWrap w:val="0"/>
            <w:vAlign w:val="center"/>
          </w:tcPr>
          <w:p>
            <w:pPr>
              <w:spacing w:line="240" w:lineRule="exact"/>
              <w:jc w:val="left"/>
              <w:rPr>
                <w:rFonts w:hint="eastAsia" w:ascii="仿宋_GB2312" w:hAnsi="新宋体" w:eastAsia="仿宋_GB2312" w:cs="Arial"/>
                <w:color w:val="auto"/>
                <w:sz w:val="21"/>
                <w:szCs w:val="21"/>
                <w:highlight w:val="none"/>
              </w:rPr>
            </w:pPr>
            <w:r>
              <w:rPr>
                <w:rFonts w:hint="eastAsia" w:ascii="仿宋_GB2312" w:hAnsi="新宋体" w:eastAsia="仿宋_GB2312" w:cs="Arial"/>
                <w:color w:val="auto"/>
                <w:sz w:val="21"/>
                <w:szCs w:val="21"/>
                <w:highlight w:val="none"/>
              </w:rPr>
              <w:t>9</w:t>
            </w:r>
          </w:p>
        </w:tc>
        <w:tc>
          <w:tcPr>
            <w:tcW w:w="1561" w:type="dxa"/>
            <w:vMerge w:val="restart"/>
            <w:noWrap w:val="0"/>
            <w:vAlign w:val="center"/>
          </w:tcPr>
          <w:p>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铣刨机类</w:t>
            </w:r>
          </w:p>
        </w:tc>
        <w:tc>
          <w:tcPr>
            <w:tcW w:w="3195" w:type="dxa"/>
            <w:noWrap w:val="0"/>
            <w:vAlign w:val="center"/>
          </w:tcPr>
          <w:p>
            <w:pPr>
              <w:jc w:val="left"/>
              <w:rPr>
                <w:rFonts w:hint="eastAsia"/>
                <w:color w:val="auto"/>
                <w:sz w:val="21"/>
                <w:szCs w:val="21"/>
                <w:highlight w:val="none"/>
              </w:rPr>
            </w:pPr>
            <w:r>
              <w:rPr>
                <w:rFonts w:hint="eastAsia"/>
                <w:color w:val="auto"/>
                <w:sz w:val="21"/>
                <w:szCs w:val="21"/>
                <w:highlight w:val="none"/>
              </w:rPr>
              <w:t>W1000</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14080</w:t>
            </w:r>
          </w:p>
        </w:tc>
        <w:tc>
          <w:tcPr>
            <w:tcW w:w="1935" w:type="dxa"/>
            <w:noWrap w:val="0"/>
            <w:vAlign w:val="center"/>
          </w:tcPr>
          <w:p>
            <w:pPr>
              <w:jc w:val="left"/>
              <w:rPr>
                <w:rFonts w:hint="eastAsia" w:ascii="宋体" w:hAnsi="宋体" w:cs="宋体"/>
                <w:color w:val="auto"/>
                <w:sz w:val="21"/>
                <w:szCs w:val="21"/>
                <w:highlight w:val="none"/>
              </w:rPr>
            </w:pPr>
          </w:p>
        </w:tc>
        <w:tc>
          <w:tcPr>
            <w:tcW w:w="1198" w:type="dxa"/>
            <w:vMerge w:val="continue"/>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3"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561" w:type="dxa"/>
            <w:vMerge w:val="continue"/>
            <w:noWrap w:val="0"/>
            <w:vAlign w:val="center"/>
          </w:tcPr>
          <w:p>
            <w:pPr>
              <w:jc w:val="left"/>
              <w:rPr>
                <w:rFonts w:hint="eastAsia" w:ascii="宋体" w:hAnsi="宋体" w:cs="宋体"/>
                <w:color w:val="auto"/>
                <w:sz w:val="21"/>
                <w:szCs w:val="21"/>
                <w:highlight w:val="none"/>
              </w:rPr>
            </w:pPr>
          </w:p>
        </w:tc>
        <w:tc>
          <w:tcPr>
            <w:tcW w:w="3195" w:type="dxa"/>
            <w:noWrap w:val="0"/>
            <w:vAlign w:val="center"/>
          </w:tcPr>
          <w:p>
            <w:pPr>
              <w:jc w:val="left"/>
              <w:rPr>
                <w:rFonts w:hint="eastAsia"/>
                <w:color w:val="auto"/>
                <w:sz w:val="21"/>
                <w:szCs w:val="21"/>
                <w:highlight w:val="none"/>
              </w:rPr>
            </w:pPr>
            <w:r>
              <w:rPr>
                <w:rFonts w:hint="eastAsia"/>
                <w:color w:val="auto"/>
                <w:sz w:val="21"/>
                <w:szCs w:val="21"/>
                <w:highlight w:val="none"/>
              </w:rPr>
              <w:t>W1900</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16012</w:t>
            </w:r>
          </w:p>
        </w:tc>
        <w:tc>
          <w:tcPr>
            <w:tcW w:w="1935" w:type="dxa"/>
            <w:noWrap w:val="0"/>
            <w:vAlign w:val="center"/>
          </w:tcPr>
          <w:p>
            <w:pPr>
              <w:jc w:val="left"/>
              <w:rPr>
                <w:rFonts w:hint="eastAsia" w:ascii="宋体" w:hAnsi="宋体" w:cs="宋体"/>
                <w:color w:val="auto"/>
                <w:sz w:val="21"/>
                <w:szCs w:val="21"/>
                <w:highlight w:val="none"/>
              </w:rPr>
            </w:pPr>
          </w:p>
        </w:tc>
        <w:tc>
          <w:tcPr>
            <w:tcW w:w="1198" w:type="dxa"/>
            <w:vMerge w:val="continue"/>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3" w:type="dxa"/>
            <w:vMerge w:val="restart"/>
            <w:noWrap w:val="0"/>
            <w:vAlign w:val="center"/>
          </w:tcPr>
          <w:p>
            <w:pPr>
              <w:spacing w:line="240" w:lineRule="exact"/>
              <w:jc w:val="left"/>
              <w:rPr>
                <w:rFonts w:hint="eastAsia" w:ascii="仿宋_GB2312" w:hAnsi="新宋体" w:eastAsia="仿宋_GB2312" w:cs="Arial"/>
                <w:color w:val="auto"/>
                <w:sz w:val="21"/>
                <w:szCs w:val="21"/>
                <w:highlight w:val="none"/>
              </w:rPr>
            </w:pPr>
            <w:r>
              <w:rPr>
                <w:rFonts w:hint="eastAsia" w:ascii="仿宋_GB2312" w:hAnsi="新宋体" w:eastAsia="仿宋_GB2312" w:cs="Arial"/>
                <w:color w:val="auto"/>
                <w:sz w:val="21"/>
                <w:szCs w:val="21"/>
                <w:highlight w:val="none"/>
              </w:rPr>
              <w:t>10</w:t>
            </w:r>
          </w:p>
        </w:tc>
        <w:tc>
          <w:tcPr>
            <w:tcW w:w="1561" w:type="dxa"/>
            <w:vMerge w:val="restart"/>
            <w:noWrap w:val="0"/>
            <w:vAlign w:val="center"/>
          </w:tcPr>
          <w:p>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随车起重运输车</w:t>
            </w:r>
          </w:p>
        </w:tc>
        <w:tc>
          <w:tcPr>
            <w:tcW w:w="3195" w:type="dxa"/>
            <w:noWrap w:val="0"/>
            <w:vAlign w:val="center"/>
          </w:tcPr>
          <w:p>
            <w:pPr>
              <w:jc w:val="left"/>
              <w:rPr>
                <w:rFonts w:hint="eastAsia"/>
                <w:color w:val="auto"/>
                <w:sz w:val="21"/>
                <w:szCs w:val="21"/>
                <w:highlight w:val="none"/>
              </w:rPr>
            </w:pPr>
            <w:r>
              <w:rPr>
                <w:rFonts w:hint="eastAsia"/>
                <w:color w:val="auto"/>
                <w:sz w:val="21"/>
                <w:szCs w:val="21"/>
                <w:highlight w:val="none"/>
              </w:rPr>
              <w:t>4吨随车起重运输车</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1600</w:t>
            </w:r>
          </w:p>
        </w:tc>
        <w:tc>
          <w:tcPr>
            <w:tcW w:w="1935" w:type="dxa"/>
            <w:noWrap w:val="0"/>
            <w:vAlign w:val="center"/>
          </w:tcPr>
          <w:p>
            <w:pPr>
              <w:jc w:val="left"/>
              <w:rPr>
                <w:rFonts w:hint="eastAsia" w:ascii="宋体" w:hAnsi="宋体" w:cs="宋体"/>
                <w:color w:val="auto"/>
                <w:sz w:val="21"/>
                <w:szCs w:val="21"/>
                <w:highlight w:val="none"/>
              </w:rPr>
            </w:pPr>
          </w:p>
        </w:tc>
        <w:tc>
          <w:tcPr>
            <w:tcW w:w="1198" w:type="dxa"/>
            <w:vMerge w:val="continue"/>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3"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561" w:type="dxa"/>
            <w:vMerge w:val="continue"/>
            <w:noWrap w:val="0"/>
            <w:vAlign w:val="center"/>
          </w:tcPr>
          <w:p>
            <w:pPr>
              <w:jc w:val="left"/>
              <w:rPr>
                <w:rFonts w:hint="eastAsia" w:ascii="宋体" w:hAnsi="宋体" w:cs="宋体"/>
                <w:color w:val="auto"/>
                <w:sz w:val="21"/>
                <w:szCs w:val="21"/>
                <w:highlight w:val="none"/>
              </w:rPr>
            </w:pPr>
          </w:p>
        </w:tc>
        <w:tc>
          <w:tcPr>
            <w:tcW w:w="3195" w:type="dxa"/>
            <w:noWrap w:val="0"/>
            <w:vAlign w:val="center"/>
          </w:tcPr>
          <w:p>
            <w:pPr>
              <w:jc w:val="left"/>
              <w:rPr>
                <w:rFonts w:hint="eastAsia"/>
                <w:color w:val="auto"/>
                <w:sz w:val="21"/>
                <w:szCs w:val="21"/>
                <w:highlight w:val="none"/>
              </w:rPr>
            </w:pPr>
            <w:r>
              <w:rPr>
                <w:rFonts w:hint="eastAsia"/>
                <w:color w:val="auto"/>
                <w:sz w:val="21"/>
                <w:szCs w:val="21"/>
                <w:highlight w:val="none"/>
              </w:rPr>
              <w:t>8吨随车起重运输车</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eastAsia="宋体"/>
                <w:b w:val="0"/>
                <w:bCs w:val="0"/>
                <w:i w:val="0"/>
                <w:iCs w:val="0"/>
                <w:color w:val="auto"/>
                <w:sz w:val="21"/>
                <w:szCs w:val="21"/>
                <w:highlight w:val="none"/>
                <w:lang w:val="en-US" w:eastAsia="zh-CN"/>
              </w:rPr>
              <w:t>2000</w:t>
            </w:r>
          </w:p>
        </w:tc>
        <w:tc>
          <w:tcPr>
            <w:tcW w:w="1935" w:type="dxa"/>
            <w:noWrap w:val="0"/>
            <w:vAlign w:val="center"/>
          </w:tcPr>
          <w:p>
            <w:pPr>
              <w:jc w:val="left"/>
              <w:rPr>
                <w:rFonts w:hint="eastAsia" w:ascii="宋体" w:hAnsi="宋体" w:cs="宋体"/>
                <w:color w:val="auto"/>
                <w:sz w:val="21"/>
                <w:szCs w:val="21"/>
                <w:highlight w:val="none"/>
              </w:rPr>
            </w:pPr>
          </w:p>
        </w:tc>
        <w:tc>
          <w:tcPr>
            <w:tcW w:w="1198" w:type="dxa"/>
            <w:vMerge w:val="continue"/>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3"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rPr>
            </w:pPr>
          </w:p>
        </w:tc>
        <w:tc>
          <w:tcPr>
            <w:tcW w:w="1561" w:type="dxa"/>
            <w:vMerge w:val="continue"/>
            <w:noWrap w:val="0"/>
            <w:vAlign w:val="center"/>
          </w:tcPr>
          <w:p>
            <w:pPr>
              <w:jc w:val="left"/>
              <w:rPr>
                <w:rFonts w:hint="eastAsia" w:ascii="宋体" w:hAnsi="宋体" w:cs="宋体"/>
                <w:color w:val="auto"/>
                <w:sz w:val="21"/>
                <w:szCs w:val="21"/>
                <w:highlight w:val="none"/>
              </w:rPr>
            </w:pPr>
          </w:p>
        </w:tc>
        <w:tc>
          <w:tcPr>
            <w:tcW w:w="3195" w:type="dxa"/>
            <w:noWrap w:val="0"/>
            <w:vAlign w:val="center"/>
          </w:tcPr>
          <w:p>
            <w:pPr>
              <w:jc w:val="left"/>
              <w:rPr>
                <w:rFonts w:hint="eastAsia"/>
                <w:color w:val="auto"/>
                <w:sz w:val="21"/>
                <w:szCs w:val="21"/>
                <w:highlight w:val="none"/>
              </w:rPr>
            </w:pPr>
            <w:r>
              <w:rPr>
                <w:rFonts w:hint="eastAsia"/>
                <w:color w:val="auto"/>
                <w:sz w:val="21"/>
                <w:szCs w:val="21"/>
                <w:highlight w:val="none"/>
              </w:rPr>
              <w:t>12吨随车起重运输车</w:t>
            </w:r>
          </w:p>
        </w:tc>
        <w:tc>
          <w:tcPr>
            <w:tcW w:w="1590" w:type="dxa"/>
            <w:noWrap w:val="0"/>
            <w:vAlign w:val="center"/>
          </w:tcPr>
          <w:p>
            <w:pPr>
              <w:jc w:val="center"/>
              <w:rPr>
                <w:rFonts w:hint="default" w:eastAsia="宋体"/>
                <w:b w:val="0"/>
                <w:bCs w:val="0"/>
                <w:i w:val="0"/>
                <w:iCs w:val="0"/>
                <w:color w:val="auto"/>
                <w:sz w:val="21"/>
                <w:szCs w:val="21"/>
                <w:highlight w:val="none"/>
                <w:lang w:val="en-US" w:eastAsia="zh-CN"/>
              </w:rPr>
            </w:pPr>
            <w:r>
              <w:rPr>
                <w:rFonts w:hint="eastAsia"/>
                <w:b w:val="0"/>
                <w:bCs w:val="0"/>
                <w:i w:val="0"/>
                <w:iCs w:val="0"/>
                <w:color w:val="auto"/>
                <w:sz w:val="21"/>
                <w:szCs w:val="21"/>
                <w:highlight w:val="none"/>
                <w:lang w:val="en-US" w:eastAsia="zh-CN"/>
              </w:rPr>
              <w:t>2600</w:t>
            </w:r>
          </w:p>
        </w:tc>
        <w:tc>
          <w:tcPr>
            <w:tcW w:w="1935" w:type="dxa"/>
            <w:noWrap w:val="0"/>
            <w:vAlign w:val="center"/>
          </w:tcPr>
          <w:p>
            <w:pPr>
              <w:jc w:val="left"/>
              <w:rPr>
                <w:rFonts w:hint="eastAsia" w:ascii="宋体" w:hAnsi="宋体" w:cs="宋体"/>
                <w:color w:val="auto"/>
                <w:sz w:val="21"/>
                <w:szCs w:val="21"/>
                <w:highlight w:val="none"/>
              </w:rPr>
            </w:pPr>
          </w:p>
        </w:tc>
        <w:tc>
          <w:tcPr>
            <w:tcW w:w="1198" w:type="dxa"/>
            <w:vMerge w:val="continue"/>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3" w:type="dxa"/>
            <w:vMerge w:val="restart"/>
            <w:noWrap w:val="0"/>
            <w:vAlign w:val="center"/>
          </w:tcPr>
          <w:p>
            <w:pPr>
              <w:spacing w:line="240" w:lineRule="exact"/>
              <w:jc w:val="left"/>
              <w:rPr>
                <w:rFonts w:hint="eastAsia" w:ascii="仿宋_GB2312" w:hAnsi="新宋体" w:eastAsia="仿宋_GB2312" w:cs="Arial"/>
                <w:color w:val="auto"/>
                <w:sz w:val="21"/>
                <w:szCs w:val="21"/>
                <w:highlight w:val="none"/>
              </w:rPr>
            </w:pPr>
            <w:r>
              <w:rPr>
                <w:rFonts w:hint="eastAsia" w:ascii="仿宋_GB2312" w:hAnsi="新宋体" w:eastAsia="仿宋_GB2312" w:cs="Arial"/>
                <w:color w:val="auto"/>
                <w:sz w:val="21"/>
                <w:szCs w:val="21"/>
                <w:highlight w:val="none"/>
              </w:rPr>
              <w:t>11</w:t>
            </w:r>
          </w:p>
        </w:tc>
        <w:tc>
          <w:tcPr>
            <w:tcW w:w="1561" w:type="dxa"/>
            <w:vMerge w:val="restart"/>
            <w:noWrap w:val="0"/>
            <w:vAlign w:val="center"/>
          </w:tcPr>
          <w:p>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拖车类</w:t>
            </w:r>
          </w:p>
        </w:tc>
        <w:tc>
          <w:tcPr>
            <w:tcW w:w="3195" w:type="dxa"/>
            <w:noWrap w:val="0"/>
            <w:vAlign w:val="center"/>
          </w:tcPr>
          <w:p>
            <w:pPr>
              <w:jc w:val="left"/>
              <w:rPr>
                <w:rFonts w:hint="eastAsia"/>
                <w:color w:val="auto"/>
                <w:sz w:val="21"/>
                <w:szCs w:val="21"/>
                <w:highlight w:val="none"/>
              </w:rPr>
            </w:pPr>
            <w:r>
              <w:rPr>
                <w:rFonts w:hint="eastAsia"/>
                <w:color w:val="auto"/>
                <w:sz w:val="21"/>
                <w:szCs w:val="21"/>
                <w:highlight w:val="none"/>
              </w:rPr>
              <w:t>40吨平板拖车组（次）</w:t>
            </w:r>
          </w:p>
        </w:tc>
        <w:tc>
          <w:tcPr>
            <w:tcW w:w="1590" w:type="dxa"/>
            <w:noWrap w:val="0"/>
            <w:vAlign w:val="center"/>
          </w:tcPr>
          <w:p>
            <w:pPr>
              <w:jc w:val="center"/>
              <w:rPr>
                <w:rFonts w:hint="default" w:eastAsia="宋体"/>
                <w:color w:val="auto"/>
                <w:sz w:val="21"/>
                <w:szCs w:val="21"/>
                <w:highlight w:val="none"/>
                <w:lang w:val="en-US" w:eastAsia="zh-CN"/>
              </w:rPr>
            </w:pPr>
            <w:r>
              <w:rPr>
                <w:rFonts w:hint="eastAsia"/>
                <w:b w:val="0"/>
                <w:bCs w:val="0"/>
                <w:i w:val="0"/>
                <w:iCs w:val="0"/>
                <w:color w:val="auto"/>
                <w:sz w:val="21"/>
                <w:szCs w:val="21"/>
                <w:highlight w:val="none"/>
                <w:lang w:val="en-US" w:eastAsia="zh-CN"/>
              </w:rPr>
              <w:t>550</w:t>
            </w:r>
          </w:p>
        </w:tc>
        <w:tc>
          <w:tcPr>
            <w:tcW w:w="1935" w:type="dxa"/>
            <w:vMerge w:val="restart"/>
            <w:noWrap w:val="0"/>
            <w:vAlign w:val="center"/>
          </w:tcPr>
          <w:p>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甲方</w:t>
            </w:r>
            <w:r>
              <w:rPr>
                <w:rFonts w:hint="eastAsia" w:ascii="宋体" w:hAnsi="宋体" w:cs="宋体"/>
                <w:bCs/>
                <w:color w:val="auto"/>
                <w:spacing w:val="-4"/>
                <w:sz w:val="21"/>
                <w:szCs w:val="21"/>
                <w:highlight w:val="none"/>
              </w:rPr>
              <w:t>有权在分配工作方式时自由选定。</w:t>
            </w:r>
          </w:p>
        </w:tc>
        <w:tc>
          <w:tcPr>
            <w:tcW w:w="1198" w:type="dxa"/>
            <w:vMerge w:val="continue"/>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03" w:type="dxa"/>
            <w:vMerge w:val="continue"/>
            <w:noWrap w:val="0"/>
            <w:vAlign w:val="center"/>
          </w:tcPr>
          <w:p>
            <w:pPr>
              <w:spacing w:line="240" w:lineRule="exact"/>
              <w:jc w:val="left"/>
              <w:rPr>
                <w:rFonts w:hint="default" w:ascii="仿宋_GB2312" w:hAnsi="新宋体" w:eastAsia="仿宋_GB2312" w:cs="Arial"/>
                <w:color w:val="auto"/>
                <w:sz w:val="21"/>
                <w:szCs w:val="21"/>
                <w:highlight w:val="none"/>
                <w:lang w:val="en-US" w:eastAsia="zh-CN"/>
              </w:rPr>
            </w:pPr>
          </w:p>
        </w:tc>
        <w:tc>
          <w:tcPr>
            <w:tcW w:w="1561" w:type="dxa"/>
            <w:vMerge w:val="continue"/>
            <w:noWrap w:val="0"/>
            <w:vAlign w:val="center"/>
          </w:tcPr>
          <w:p>
            <w:pPr>
              <w:jc w:val="left"/>
              <w:rPr>
                <w:rFonts w:hint="eastAsia" w:ascii="宋体" w:hAnsi="宋体" w:eastAsia="宋体" w:cs="宋体"/>
                <w:color w:val="auto"/>
                <w:sz w:val="21"/>
                <w:szCs w:val="21"/>
                <w:highlight w:val="none"/>
                <w:lang w:eastAsia="zh-CN"/>
              </w:rPr>
            </w:pPr>
          </w:p>
        </w:tc>
        <w:tc>
          <w:tcPr>
            <w:tcW w:w="3195" w:type="dxa"/>
            <w:noWrap w:val="0"/>
            <w:vAlign w:val="center"/>
          </w:tcPr>
          <w:p>
            <w:pPr>
              <w:jc w:val="left"/>
              <w:rPr>
                <w:rFonts w:hint="eastAsia"/>
                <w:color w:val="auto"/>
                <w:sz w:val="21"/>
                <w:szCs w:val="21"/>
                <w:highlight w:val="none"/>
              </w:rPr>
            </w:pPr>
            <w:r>
              <w:rPr>
                <w:rFonts w:hint="eastAsia"/>
                <w:color w:val="auto"/>
                <w:sz w:val="21"/>
                <w:szCs w:val="21"/>
                <w:highlight w:val="none"/>
              </w:rPr>
              <w:t>40吨平板拖车组（台班）</w:t>
            </w:r>
          </w:p>
        </w:tc>
        <w:tc>
          <w:tcPr>
            <w:tcW w:w="1590" w:type="dxa"/>
            <w:noWrap w:val="0"/>
            <w:vAlign w:val="center"/>
          </w:tcPr>
          <w:p>
            <w:pPr>
              <w:jc w:val="center"/>
              <w:rPr>
                <w:rFonts w:hint="default"/>
                <w:color w:val="auto"/>
                <w:sz w:val="21"/>
                <w:szCs w:val="21"/>
                <w:highlight w:val="none"/>
                <w:lang w:val="en-US"/>
              </w:rPr>
            </w:pPr>
            <w:r>
              <w:rPr>
                <w:rFonts w:hint="eastAsia"/>
                <w:color w:val="auto"/>
                <w:sz w:val="21"/>
                <w:szCs w:val="21"/>
                <w:highlight w:val="none"/>
                <w:lang w:val="en-US" w:eastAsia="zh-CN"/>
              </w:rPr>
              <w:t>3900</w:t>
            </w:r>
          </w:p>
        </w:tc>
        <w:tc>
          <w:tcPr>
            <w:tcW w:w="1935" w:type="dxa"/>
            <w:vMerge w:val="continue"/>
            <w:noWrap w:val="0"/>
            <w:vAlign w:val="center"/>
          </w:tcPr>
          <w:p>
            <w:pPr>
              <w:jc w:val="left"/>
              <w:rPr>
                <w:rFonts w:hint="eastAsia" w:ascii="宋体" w:hAnsi="宋体" w:cs="宋体"/>
                <w:color w:val="auto"/>
                <w:sz w:val="21"/>
                <w:szCs w:val="21"/>
                <w:highlight w:val="none"/>
              </w:rPr>
            </w:pPr>
          </w:p>
        </w:tc>
        <w:tc>
          <w:tcPr>
            <w:tcW w:w="1198" w:type="dxa"/>
            <w:vMerge w:val="continue"/>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3" w:type="dxa"/>
            <w:vMerge w:val="restart"/>
            <w:noWrap w:val="0"/>
            <w:vAlign w:val="center"/>
          </w:tcPr>
          <w:p>
            <w:pPr>
              <w:spacing w:line="240" w:lineRule="exact"/>
              <w:jc w:val="left"/>
              <w:rPr>
                <w:rFonts w:hint="eastAsia" w:ascii="仿宋_GB2312" w:hAnsi="新宋体" w:eastAsia="仿宋_GB2312" w:cs="Arial"/>
                <w:color w:val="auto"/>
                <w:sz w:val="21"/>
                <w:szCs w:val="21"/>
                <w:highlight w:val="none"/>
                <w:lang w:val="en-US" w:eastAsia="zh-CN"/>
              </w:rPr>
            </w:pPr>
            <w:r>
              <w:rPr>
                <w:rFonts w:hint="eastAsia" w:ascii="仿宋_GB2312" w:hAnsi="新宋体" w:eastAsia="仿宋_GB2312" w:cs="Arial"/>
                <w:color w:val="auto"/>
                <w:sz w:val="21"/>
                <w:szCs w:val="21"/>
                <w:highlight w:val="none"/>
                <w:lang w:val="en-US" w:eastAsia="zh-CN"/>
              </w:rPr>
              <w:t>12</w:t>
            </w:r>
          </w:p>
        </w:tc>
        <w:tc>
          <w:tcPr>
            <w:tcW w:w="1561" w:type="dxa"/>
            <w:vMerge w:val="restart"/>
            <w:noWrap w:val="0"/>
            <w:vAlign w:val="center"/>
          </w:tcPr>
          <w:p>
            <w:pPr>
              <w:jc w:val="lef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其他类</w:t>
            </w:r>
          </w:p>
        </w:tc>
        <w:tc>
          <w:tcPr>
            <w:tcW w:w="3195" w:type="dxa"/>
            <w:noWrap w:val="0"/>
            <w:vAlign w:val="center"/>
          </w:tcPr>
          <w:p>
            <w:pPr>
              <w:jc w:val="left"/>
              <w:rPr>
                <w:rFonts w:hint="eastAsia"/>
                <w:color w:val="auto"/>
                <w:sz w:val="21"/>
                <w:szCs w:val="21"/>
                <w:highlight w:val="none"/>
                <w:lang w:eastAsia="zh-CN"/>
              </w:rPr>
            </w:pPr>
            <w:r>
              <w:rPr>
                <w:rFonts w:hint="eastAsia"/>
                <w:color w:val="auto"/>
                <w:sz w:val="21"/>
                <w:szCs w:val="21"/>
                <w:highlight w:val="none"/>
                <w:lang w:eastAsia="zh-CN"/>
              </w:rPr>
              <w:t>升降机（</w:t>
            </w:r>
            <w:r>
              <w:rPr>
                <w:rFonts w:hint="eastAsia"/>
                <w:color w:val="auto"/>
                <w:sz w:val="21"/>
                <w:szCs w:val="21"/>
                <w:highlight w:val="none"/>
                <w:lang w:val="en-US" w:eastAsia="zh-CN"/>
              </w:rPr>
              <w:t>20米内）</w:t>
            </w:r>
          </w:p>
        </w:tc>
        <w:tc>
          <w:tcPr>
            <w:tcW w:w="1590" w:type="dxa"/>
            <w:noWrap w:val="0"/>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1500</w:t>
            </w:r>
          </w:p>
        </w:tc>
        <w:tc>
          <w:tcPr>
            <w:tcW w:w="1935" w:type="dxa"/>
            <w:vMerge w:val="restart"/>
            <w:noWrap w:val="0"/>
            <w:vAlign w:val="center"/>
          </w:tcPr>
          <w:p>
            <w:pPr>
              <w:jc w:val="left"/>
              <w:rPr>
                <w:rFonts w:hint="eastAsia" w:ascii="宋体" w:hAnsi="宋体" w:cs="宋体"/>
                <w:color w:val="auto"/>
                <w:sz w:val="21"/>
                <w:szCs w:val="21"/>
                <w:highlight w:val="none"/>
              </w:rPr>
            </w:pPr>
          </w:p>
        </w:tc>
        <w:tc>
          <w:tcPr>
            <w:tcW w:w="1198" w:type="dxa"/>
            <w:vMerge w:val="continue"/>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3" w:type="dxa"/>
            <w:vMerge w:val="continue"/>
            <w:noWrap w:val="0"/>
            <w:vAlign w:val="center"/>
          </w:tcPr>
          <w:p>
            <w:pPr>
              <w:spacing w:line="240" w:lineRule="exact"/>
              <w:jc w:val="left"/>
              <w:rPr>
                <w:rFonts w:hint="default" w:ascii="仿宋_GB2312" w:hAnsi="新宋体" w:eastAsia="仿宋_GB2312" w:cs="Arial"/>
                <w:color w:val="auto"/>
                <w:sz w:val="21"/>
                <w:szCs w:val="21"/>
                <w:highlight w:val="none"/>
                <w:lang w:val="en-US" w:eastAsia="zh-CN"/>
              </w:rPr>
            </w:pPr>
          </w:p>
        </w:tc>
        <w:tc>
          <w:tcPr>
            <w:tcW w:w="1561" w:type="dxa"/>
            <w:vMerge w:val="continue"/>
            <w:noWrap w:val="0"/>
            <w:vAlign w:val="center"/>
          </w:tcPr>
          <w:p>
            <w:pPr>
              <w:jc w:val="left"/>
              <w:rPr>
                <w:rFonts w:hint="default" w:ascii="宋体" w:hAnsi="宋体" w:eastAsia="宋体" w:cs="宋体"/>
                <w:color w:val="auto"/>
                <w:sz w:val="21"/>
                <w:szCs w:val="21"/>
                <w:highlight w:val="none"/>
                <w:lang w:val="en-US" w:eastAsia="zh-CN"/>
              </w:rPr>
            </w:pPr>
          </w:p>
        </w:tc>
        <w:tc>
          <w:tcPr>
            <w:tcW w:w="3195" w:type="dxa"/>
            <w:noWrap w:val="0"/>
            <w:vAlign w:val="center"/>
          </w:tcPr>
          <w:p>
            <w:pPr>
              <w:jc w:val="left"/>
              <w:rPr>
                <w:rFonts w:hint="eastAsia" w:eastAsia="宋体"/>
                <w:color w:val="auto"/>
                <w:sz w:val="21"/>
                <w:szCs w:val="21"/>
                <w:highlight w:val="none"/>
                <w:lang w:eastAsia="zh-CN"/>
              </w:rPr>
            </w:pPr>
            <w:r>
              <w:rPr>
                <w:rFonts w:hint="eastAsia"/>
                <w:color w:val="auto"/>
                <w:sz w:val="21"/>
                <w:szCs w:val="21"/>
                <w:highlight w:val="none"/>
                <w:lang w:eastAsia="zh-CN"/>
              </w:rPr>
              <w:t>油锯</w:t>
            </w:r>
          </w:p>
        </w:tc>
        <w:tc>
          <w:tcPr>
            <w:tcW w:w="1590" w:type="dxa"/>
            <w:noWrap w:val="0"/>
            <w:vAlign w:val="center"/>
          </w:tcPr>
          <w:p>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450</w:t>
            </w:r>
          </w:p>
        </w:tc>
        <w:tc>
          <w:tcPr>
            <w:tcW w:w="1935" w:type="dxa"/>
            <w:vMerge w:val="continue"/>
            <w:noWrap w:val="0"/>
            <w:vAlign w:val="center"/>
          </w:tcPr>
          <w:p>
            <w:pPr>
              <w:jc w:val="left"/>
              <w:rPr>
                <w:rFonts w:hint="eastAsia" w:ascii="宋体" w:hAnsi="宋体" w:cs="宋体"/>
                <w:color w:val="auto"/>
                <w:sz w:val="21"/>
                <w:szCs w:val="21"/>
                <w:highlight w:val="none"/>
              </w:rPr>
            </w:pPr>
          </w:p>
        </w:tc>
        <w:tc>
          <w:tcPr>
            <w:tcW w:w="1198" w:type="dxa"/>
            <w:vMerge w:val="continue"/>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3" w:type="dxa"/>
            <w:vMerge w:val="restart"/>
            <w:noWrap w:val="0"/>
            <w:vAlign w:val="center"/>
          </w:tcPr>
          <w:p>
            <w:pPr>
              <w:spacing w:line="240" w:lineRule="exact"/>
              <w:jc w:val="left"/>
              <w:rPr>
                <w:rFonts w:hint="eastAsia" w:ascii="仿宋_GB2312" w:hAnsi="新宋体" w:eastAsia="仿宋_GB2312" w:cs="Arial"/>
                <w:color w:val="auto"/>
                <w:sz w:val="21"/>
                <w:szCs w:val="21"/>
                <w:highlight w:val="none"/>
                <w:lang w:val="en-US" w:eastAsia="zh-CN"/>
              </w:rPr>
            </w:pPr>
            <w:r>
              <w:rPr>
                <w:rFonts w:hint="eastAsia" w:ascii="仿宋_GB2312" w:hAnsi="新宋体" w:eastAsia="仿宋_GB2312" w:cs="Arial"/>
                <w:color w:val="auto"/>
                <w:sz w:val="21"/>
                <w:szCs w:val="21"/>
                <w:highlight w:val="none"/>
                <w:lang w:val="en-US" w:eastAsia="zh-CN"/>
              </w:rPr>
              <w:t>13</w:t>
            </w:r>
          </w:p>
        </w:tc>
        <w:tc>
          <w:tcPr>
            <w:tcW w:w="1561" w:type="dxa"/>
            <w:vMerge w:val="restart"/>
            <w:noWrap w:val="0"/>
            <w:vAlign w:val="center"/>
          </w:tcPr>
          <w:p>
            <w:pPr>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人工类</w:t>
            </w:r>
            <w:r>
              <w:rPr>
                <w:rFonts w:hint="eastAsia"/>
                <w:color w:val="auto"/>
                <w:sz w:val="21"/>
                <w:szCs w:val="21"/>
                <w:highlight w:val="none"/>
              </w:rPr>
              <w:t>（含餐费、交通费等全部费用）</w:t>
            </w:r>
          </w:p>
        </w:tc>
        <w:tc>
          <w:tcPr>
            <w:tcW w:w="3195" w:type="dxa"/>
            <w:noWrap w:val="0"/>
            <w:vAlign w:val="center"/>
          </w:tcPr>
          <w:p>
            <w:pPr>
              <w:jc w:val="left"/>
              <w:rPr>
                <w:rFonts w:hint="eastAsia"/>
                <w:color w:val="auto"/>
                <w:sz w:val="21"/>
                <w:szCs w:val="21"/>
                <w:highlight w:val="none"/>
                <w:lang w:eastAsia="zh-CN"/>
              </w:rPr>
            </w:pPr>
            <w:r>
              <w:rPr>
                <w:rFonts w:hint="eastAsia"/>
                <w:color w:val="auto"/>
                <w:sz w:val="21"/>
                <w:szCs w:val="21"/>
                <w:highlight w:val="none"/>
                <w:lang w:eastAsia="zh-CN"/>
              </w:rPr>
              <w:t>普工</w:t>
            </w:r>
          </w:p>
        </w:tc>
        <w:tc>
          <w:tcPr>
            <w:tcW w:w="1590" w:type="dxa"/>
            <w:noWrap w:val="0"/>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250</w:t>
            </w:r>
          </w:p>
        </w:tc>
        <w:tc>
          <w:tcPr>
            <w:tcW w:w="1935" w:type="dxa"/>
            <w:noWrap w:val="0"/>
            <w:vAlign w:val="center"/>
          </w:tcPr>
          <w:p>
            <w:pPr>
              <w:jc w:val="left"/>
              <w:rPr>
                <w:rFonts w:hint="eastAsia" w:ascii="宋体" w:hAnsi="宋体" w:cs="宋体"/>
                <w:color w:val="auto"/>
                <w:sz w:val="21"/>
                <w:szCs w:val="21"/>
                <w:highlight w:val="none"/>
              </w:rPr>
            </w:pPr>
          </w:p>
        </w:tc>
        <w:tc>
          <w:tcPr>
            <w:tcW w:w="1198" w:type="dxa"/>
            <w:vMerge w:val="continue"/>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3"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lang w:val="en-US" w:eastAsia="zh-CN"/>
              </w:rPr>
            </w:pPr>
          </w:p>
        </w:tc>
        <w:tc>
          <w:tcPr>
            <w:tcW w:w="1561" w:type="dxa"/>
            <w:vMerge w:val="continue"/>
            <w:noWrap w:val="0"/>
            <w:vAlign w:val="center"/>
          </w:tcPr>
          <w:p>
            <w:pPr>
              <w:jc w:val="left"/>
              <w:rPr>
                <w:rFonts w:hint="eastAsia" w:ascii="宋体" w:hAnsi="宋体" w:cs="宋体"/>
                <w:color w:val="auto"/>
                <w:sz w:val="21"/>
                <w:szCs w:val="21"/>
                <w:highlight w:val="none"/>
                <w:lang w:val="en-US" w:eastAsia="zh-CN"/>
              </w:rPr>
            </w:pPr>
          </w:p>
        </w:tc>
        <w:tc>
          <w:tcPr>
            <w:tcW w:w="3195" w:type="dxa"/>
            <w:noWrap w:val="0"/>
            <w:vAlign w:val="center"/>
          </w:tcPr>
          <w:p>
            <w:pPr>
              <w:jc w:val="left"/>
              <w:rPr>
                <w:rFonts w:hint="eastAsia"/>
                <w:color w:val="auto"/>
                <w:sz w:val="21"/>
                <w:szCs w:val="21"/>
                <w:highlight w:val="none"/>
                <w:lang w:eastAsia="zh-CN"/>
              </w:rPr>
            </w:pPr>
            <w:r>
              <w:rPr>
                <w:rFonts w:hint="eastAsia"/>
                <w:color w:val="auto"/>
                <w:sz w:val="21"/>
                <w:szCs w:val="21"/>
                <w:highlight w:val="none"/>
                <w:lang w:eastAsia="zh-CN"/>
              </w:rPr>
              <w:t>技工（水、电、空压机等技工）</w:t>
            </w:r>
          </w:p>
        </w:tc>
        <w:tc>
          <w:tcPr>
            <w:tcW w:w="1590" w:type="dxa"/>
            <w:noWrap w:val="0"/>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350</w:t>
            </w:r>
          </w:p>
        </w:tc>
        <w:tc>
          <w:tcPr>
            <w:tcW w:w="1935" w:type="dxa"/>
            <w:noWrap w:val="0"/>
            <w:vAlign w:val="center"/>
          </w:tcPr>
          <w:p>
            <w:pPr>
              <w:jc w:val="left"/>
              <w:rPr>
                <w:rFonts w:hint="eastAsia" w:ascii="宋体" w:hAnsi="宋体" w:cs="宋体"/>
                <w:color w:val="auto"/>
                <w:sz w:val="21"/>
                <w:szCs w:val="21"/>
                <w:highlight w:val="none"/>
              </w:rPr>
            </w:pPr>
          </w:p>
        </w:tc>
        <w:tc>
          <w:tcPr>
            <w:tcW w:w="1198" w:type="dxa"/>
            <w:vMerge w:val="continue"/>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503" w:type="dxa"/>
            <w:vMerge w:val="continue"/>
            <w:noWrap w:val="0"/>
            <w:vAlign w:val="center"/>
          </w:tcPr>
          <w:p>
            <w:pPr>
              <w:spacing w:line="240" w:lineRule="exact"/>
              <w:jc w:val="left"/>
              <w:rPr>
                <w:rFonts w:hint="eastAsia" w:ascii="仿宋_GB2312" w:hAnsi="新宋体" w:eastAsia="仿宋_GB2312" w:cs="Arial"/>
                <w:color w:val="auto"/>
                <w:sz w:val="21"/>
                <w:szCs w:val="21"/>
                <w:highlight w:val="none"/>
                <w:lang w:val="en-US" w:eastAsia="zh-CN"/>
              </w:rPr>
            </w:pPr>
          </w:p>
        </w:tc>
        <w:tc>
          <w:tcPr>
            <w:tcW w:w="1561" w:type="dxa"/>
            <w:vMerge w:val="continue"/>
            <w:noWrap w:val="0"/>
            <w:vAlign w:val="center"/>
          </w:tcPr>
          <w:p>
            <w:pPr>
              <w:jc w:val="left"/>
              <w:rPr>
                <w:rFonts w:hint="eastAsia" w:ascii="宋体" w:hAnsi="宋体" w:cs="宋体"/>
                <w:color w:val="auto"/>
                <w:sz w:val="21"/>
                <w:szCs w:val="21"/>
                <w:highlight w:val="none"/>
                <w:lang w:val="en-US" w:eastAsia="zh-CN"/>
              </w:rPr>
            </w:pPr>
          </w:p>
        </w:tc>
        <w:tc>
          <w:tcPr>
            <w:tcW w:w="3195" w:type="dxa"/>
            <w:noWrap w:val="0"/>
            <w:vAlign w:val="center"/>
          </w:tcPr>
          <w:p>
            <w:pPr>
              <w:jc w:val="left"/>
              <w:rPr>
                <w:rFonts w:hint="eastAsia" w:ascii="Calibri" w:hAnsi="Calibri" w:eastAsia="宋体" w:cs="Times New Roman"/>
                <w:color w:val="auto"/>
                <w:kern w:val="2"/>
                <w:sz w:val="21"/>
                <w:szCs w:val="21"/>
                <w:highlight w:val="none"/>
                <w:lang w:val="en-US" w:eastAsia="zh-CN" w:bidi="ar-SA"/>
              </w:rPr>
            </w:pPr>
            <w:r>
              <w:rPr>
                <w:rFonts w:hint="eastAsia"/>
                <w:color w:val="auto"/>
                <w:sz w:val="21"/>
                <w:szCs w:val="21"/>
                <w:highlight w:val="none"/>
                <w:lang w:eastAsia="zh-CN"/>
              </w:rPr>
              <w:t>现场安全维护、管理、协调等人员</w:t>
            </w:r>
          </w:p>
        </w:tc>
        <w:tc>
          <w:tcPr>
            <w:tcW w:w="1590" w:type="dxa"/>
            <w:noWrap w:val="0"/>
            <w:vAlign w:val="center"/>
          </w:tcPr>
          <w:p>
            <w:pPr>
              <w:jc w:val="center"/>
              <w:rPr>
                <w:rFonts w:hint="eastAsia" w:ascii="Calibri" w:hAnsi="Calibri"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250</w:t>
            </w:r>
          </w:p>
        </w:tc>
        <w:tc>
          <w:tcPr>
            <w:tcW w:w="1935" w:type="dxa"/>
            <w:noWrap w:val="0"/>
            <w:vAlign w:val="center"/>
          </w:tcPr>
          <w:p>
            <w:pPr>
              <w:jc w:val="left"/>
              <w:rPr>
                <w:rFonts w:hint="eastAsia" w:ascii="宋体" w:hAnsi="宋体" w:cs="宋体"/>
                <w:color w:val="auto"/>
                <w:sz w:val="21"/>
                <w:szCs w:val="21"/>
                <w:highlight w:val="none"/>
              </w:rPr>
            </w:pPr>
          </w:p>
        </w:tc>
        <w:tc>
          <w:tcPr>
            <w:tcW w:w="1198" w:type="dxa"/>
            <w:vMerge w:val="continue"/>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3" w:type="dxa"/>
            <w:noWrap w:val="0"/>
            <w:vAlign w:val="center"/>
          </w:tcPr>
          <w:p>
            <w:pPr>
              <w:spacing w:line="240" w:lineRule="exact"/>
              <w:jc w:val="left"/>
              <w:rPr>
                <w:rFonts w:hint="default" w:ascii="仿宋_GB2312" w:hAnsi="新宋体" w:eastAsia="仿宋_GB2312" w:cs="Arial"/>
                <w:color w:val="auto"/>
                <w:sz w:val="21"/>
                <w:szCs w:val="21"/>
                <w:highlight w:val="none"/>
                <w:lang w:val="en-US" w:eastAsia="zh-CN"/>
              </w:rPr>
            </w:pPr>
            <w:r>
              <w:rPr>
                <w:rFonts w:hint="eastAsia" w:ascii="仿宋_GB2312" w:hAnsi="新宋体" w:eastAsia="仿宋_GB2312" w:cs="Arial"/>
                <w:color w:val="auto"/>
                <w:sz w:val="21"/>
                <w:szCs w:val="21"/>
                <w:highlight w:val="none"/>
                <w:lang w:val="en-US" w:eastAsia="zh-CN"/>
              </w:rPr>
              <w:t>14</w:t>
            </w:r>
          </w:p>
        </w:tc>
        <w:tc>
          <w:tcPr>
            <w:tcW w:w="1561"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打围墙</w:t>
            </w:r>
          </w:p>
        </w:tc>
        <w:tc>
          <w:tcPr>
            <w:tcW w:w="3195" w:type="dxa"/>
            <w:noWrap w:val="0"/>
            <w:vAlign w:val="center"/>
          </w:tcPr>
          <w:p>
            <w:pPr>
              <w:jc w:val="left"/>
              <w:rPr>
                <w:rFonts w:hint="default"/>
                <w:color w:val="auto"/>
                <w:sz w:val="21"/>
                <w:szCs w:val="21"/>
                <w:highlight w:val="none"/>
                <w:lang w:val="en-US" w:eastAsia="zh-CN"/>
              </w:rPr>
            </w:pPr>
            <w:r>
              <w:rPr>
                <w:rFonts w:hint="eastAsia"/>
                <w:color w:val="auto"/>
                <w:sz w:val="21"/>
                <w:szCs w:val="21"/>
                <w:highlight w:val="none"/>
                <w:lang w:eastAsia="zh-CN"/>
              </w:rPr>
              <w:t>高</w:t>
            </w:r>
            <w:r>
              <w:rPr>
                <w:rFonts w:hint="eastAsia"/>
                <w:color w:val="auto"/>
                <w:sz w:val="21"/>
                <w:szCs w:val="21"/>
                <w:highlight w:val="none"/>
                <w:lang w:val="en-US" w:eastAsia="zh-CN"/>
              </w:rPr>
              <w:t>2米，不含广告</w:t>
            </w:r>
          </w:p>
        </w:tc>
        <w:tc>
          <w:tcPr>
            <w:tcW w:w="1590" w:type="dxa"/>
            <w:noWrap w:val="0"/>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630元/米</w:t>
            </w:r>
          </w:p>
        </w:tc>
        <w:tc>
          <w:tcPr>
            <w:tcW w:w="1935" w:type="dxa"/>
            <w:noWrap w:val="0"/>
            <w:vAlign w:val="center"/>
          </w:tcPr>
          <w:p>
            <w:pPr>
              <w:jc w:val="left"/>
              <w:rPr>
                <w:rFonts w:hint="eastAsia" w:ascii="宋体" w:hAnsi="宋体" w:cs="宋体"/>
                <w:color w:val="auto"/>
                <w:sz w:val="21"/>
                <w:szCs w:val="21"/>
                <w:highlight w:val="none"/>
              </w:rPr>
            </w:pPr>
          </w:p>
        </w:tc>
        <w:tc>
          <w:tcPr>
            <w:tcW w:w="1198" w:type="dxa"/>
            <w:vMerge w:val="continue"/>
            <w:noWrap w:val="0"/>
            <w:vAlign w:val="center"/>
          </w:tcPr>
          <w:p>
            <w:pPr>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0" w:hRule="atLeast"/>
          <w:jc w:val="center"/>
        </w:trPr>
        <w:tc>
          <w:tcPr>
            <w:tcW w:w="9982" w:type="dxa"/>
            <w:gridSpan w:val="6"/>
            <w:noWrap w:val="0"/>
            <w:vAlign w:val="center"/>
          </w:tcPr>
          <w:p>
            <w:pPr>
              <w:widowControl/>
              <w:spacing w:line="360" w:lineRule="exact"/>
              <w:rPr>
                <w:rFonts w:hint="eastAsia" w:eastAsia="宋体"/>
                <w:color w:val="auto"/>
                <w:sz w:val="21"/>
                <w:szCs w:val="21"/>
                <w:highlight w:val="none"/>
                <w:lang w:eastAsia="zh-CN"/>
              </w:rPr>
            </w:pPr>
            <w:r>
              <w:rPr>
                <w:rFonts w:hint="eastAsia"/>
                <w:color w:val="auto"/>
                <w:sz w:val="21"/>
                <w:szCs w:val="21"/>
                <w:highlight w:val="none"/>
              </w:rPr>
              <w:t>注：1、</w:t>
            </w:r>
            <w:r>
              <w:rPr>
                <w:rFonts w:hint="eastAsia"/>
                <w:color w:val="auto"/>
                <w:sz w:val="21"/>
                <w:szCs w:val="21"/>
                <w:highlight w:val="none"/>
                <w:lang w:eastAsia="zh-CN"/>
              </w:rPr>
              <w:t>报价要求：在以上综合单价基础上</w:t>
            </w:r>
            <w:r>
              <w:rPr>
                <w:rFonts w:hint="eastAsia"/>
                <w:color w:val="auto"/>
                <w:sz w:val="21"/>
                <w:szCs w:val="21"/>
                <w:highlight w:val="none"/>
              </w:rPr>
              <w:t>，投标报价统一采用费率报价</w:t>
            </w:r>
            <w:r>
              <w:rPr>
                <w:rFonts w:hint="eastAsia"/>
                <w:color w:val="auto"/>
                <w:sz w:val="21"/>
                <w:szCs w:val="21"/>
                <w:highlight w:val="none"/>
                <w:lang w:eastAsia="zh-CN"/>
              </w:rPr>
              <w:t>，</w:t>
            </w:r>
            <w:r>
              <w:rPr>
                <w:rFonts w:hint="eastAsia" w:ascii="宋体" w:hAnsi="宋体" w:cs="宋体"/>
                <w:b/>
                <w:bCs/>
                <w:color w:val="auto"/>
                <w:sz w:val="21"/>
                <w:szCs w:val="21"/>
                <w:highlight w:val="none"/>
                <w:u w:val="single"/>
              </w:rPr>
              <w:t>供应商各项服务项目投标费率不得高于100%，否则其</w:t>
            </w:r>
            <w:r>
              <w:rPr>
                <w:rFonts w:hint="eastAsia"/>
                <w:b/>
                <w:bCs/>
                <w:color w:val="auto"/>
                <w:sz w:val="21"/>
                <w:szCs w:val="21"/>
                <w:highlight w:val="none"/>
                <w:u w:val="single"/>
              </w:rPr>
              <w:t>投标</w:t>
            </w:r>
            <w:r>
              <w:rPr>
                <w:rFonts w:hint="eastAsia"/>
                <w:b/>
                <w:bCs/>
                <w:color w:val="auto"/>
                <w:sz w:val="21"/>
                <w:szCs w:val="21"/>
                <w:highlight w:val="none"/>
                <w:u w:val="single"/>
                <w:lang w:eastAsia="zh-CN"/>
              </w:rPr>
              <w:t>作无效标处理</w:t>
            </w:r>
            <w:r>
              <w:rPr>
                <w:rFonts w:hint="eastAsia"/>
                <w:b/>
                <w:bCs/>
                <w:color w:val="auto"/>
                <w:sz w:val="21"/>
                <w:szCs w:val="21"/>
                <w:highlight w:val="none"/>
                <w:u w:val="single"/>
              </w:rPr>
              <w:t>。</w:t>
            </w:r>
          </w:p>
          <w:p>
            <w:pPr>
              <w:widowControl/>
              <w:spacing w:line="360" w:lineRule="exact"/>
              <w:ind w:firstLine="420" w:firstLineChars="200"/>
              <w:rPr>
                <w:rFonts w:hint="default" w:eastAsia="宋体"/>
                <w:color w:val="auto"/>
                <w:sz w:val="21"/>
                <w:szCs w:val="21"/>
                <w:highlight w:val="none"/>
                <w:lang w:val="en-US" w:eastAsia="zh-CN"/>
              </w:rPr>
            </w:pPr>
            <w:r>
              <w:rPr>
                <w:rFonts w:hint="eastAsia"/>
                <w:color w:val="auto"/>
                <w:sz w:val="21"/>
                <w:szCs w:val="21"/>
                <w:highlight w:val="none"/>
                <w:lang w:val="en-US" w:eastAsia="zh-CN"/>
              </w:rPr>
              <w:t>2、</w:t>
            </w:r>
            <w:r>
              <w:rPr>
                <w:rStyle w:val="414"/>
                <w:rFonts w:cs="Times New Roman"/>
                <w:bCs/>
                <w:color w:val="auto"/>
                <w:sz w:val="21"/>
                <w:szCs w:val="21"/>
                <w:highlight w:val="none"/>
              </w:rPr>
              <w:t>作业人员职工年龄</w:t>
            </w:r>
            <w:r>
              <w:rPr>
                <w:rStyle w:val="414"/>
                <w:rFonts w:hint="eastAsia" w:cs="Times New Roman"/>
                <w:bCs/>
                <w:color w:val="auto"/>
                <w:sz w:val="21"/>
                <w:szCs w:val="21"/>
                <w:highlight w:val="none"/>
                <w:lang w:eastAsia="zh-CN"/>
              </w:rPr>
              <w:t>不得大于</w:t>
            </w:r>
            <w:r>
              <w:rPr>
                <w:rStyle w:val="414"/>
                <w:rFonts w:cs="Times New Roman"/>
                <w:bCs/>
                <w:color w:val="auto"/>
                <w:sz w:val="21"/>
                <w:szCs w:val="21"/>
                <w:highlight w:val="none"/>
              </w:rPr>
              <w:t>6</w:t>
            </w:r>
            <w:r>
              <w:rPr>
                <w:rStyle w:val="414"/>
                <w:rFonts w:hint="eastAsia" w:cs="Times New Roman"/>
                <w:bCs/>
                <w:color w:val="auto"/>
                <w:sz w:val="21"/>
                <w:szCs w:val="21"/>
                <w:highlight w:val="none"/>
                <w:lang w:val="en-US" w:eastAsia="zh-CN"/>
              </w:rPr>
              <w:t>0</w:t>
            </w:r>
            <w:r>
              <w:rPr>
                <w:rStyle w:val="414"/>
                <w:rFonts w:cs="Times New Roman"/>
                <w:bCs/>
                <w:color w:val="auto"/>
                <w:sz w:val="21"/>
                <w:szCs w:val="21"/>
                <w:highlight w:val="none"/>
              </w:rPr>
              <w:t>周岁，且要热爱环卫事业，身体健康，无严重残疾和不良嗜好。</w:t>
            </w:r>
          </w:p>
          <w:p>
            <w:pPr>
              <w:widowControl/>
              <w:spacing w:line="360" w:lineRule="exact"/>
              <w:ind w:firstLine="420" w:firstLineChars="200"/>
              <w:rPr>
                <w:rFonts w:hint="eastAsia"/>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以上价格为全费用综合单价，所有相关费用均包含在内。此单价包括质量标准规定的所有工作内容在内的施工设备（机械设备、运输车辆、机械操作人员要求证件齐全）、劳务、管理、材料、人工费（包括人工工资、预计加班费用、员工人身意外伤害保险、劳保用品费、保险等）、运输、安装、维护、保险、机械进退场费、施工技术措施费、施工组织措施费、企业管理费、利润、税金及合同包含的所有风险、责任等各项应有费用均应考虑在内。投标人须充分考虑安全生产的相关措施费用，并计入投标报价。</w:t>
            </w:r>
          </w:p>
          <w:p>
            <w:pPr>
              <w:widowControl/>
              <w:spacing w:line="360" w:lineRule="exact"/>
              <w:ind w:firstLine="420" w:firstLineChars="200"/>
              <w:rPr>
                <w:rFonts w:hint="eastAsia"/>
                <w:color w:val="auto"/>
                <w:sz w:val="21"/>
                <w:szCs w:val="21"/>
                <w:highlight w:val="none"/>
              </w:rPr>
            </w:pPr>
            <w:r>
              <w:rPr>
                <w:rFonts w:hint="eastAsia"/>
                <w:color w:val="auto"/>
                <w:sz w:val="21"/>
                <w:szCs w:val="21"/>
                <w:highlight w:val="none"/>
                <w:lang w:val="en-US" w:eastAsia="zh-CN"/>
              </w:rPr>
              <w:t>4</w:t>
            </w:r>
            <w:r>
              <w:rPr>
                <w:rFonts w:hint="eastAsia"/>
                <w:color w:val="auto"/>
                <w:sz w:val="21"/>
                <w:szCs w:val="21"/>
                <w:highlight w:val="none"/>
              </w:rPr>
              <w:t>、以上服务项目中工作时间皆按8小时计算；施工过程中需要的其他机械设备产生的费用由投标单位自行解决；特殊情况需要加班的，根据采购人要求，做好加班工作，费用按小时计算。</w:t>
            </w:r>
          </w:p>
          <w:p>
            <w:pPr>
              <w:widowControl/>
              <w:spacing w:line="360" w:lineRule="exact"/>
              <w:ind w:firstLine="420" w:firstLineChars="200"/>
              <w:rPr>
                <w:rFonts w:hint="eastAsia"/>
                <w:color w:val="auto"/>
                <w:sz w:val="21"/>
                <w:szCs w:val="21"/>
                <w:highlight w:val="none"/>
              </w:rPr>
            </w:pPr>
            <w:r>
              <w:rPr>
                <w:rFonts w:hint="eastAsia"/>
                <w:color w:val="auto"/>
                <w:sz w:val="21"/>
                <w:szCs w:val="21"/>
                <w:highlight w:val="none"/>
                <w:lang w:val="en-US" w:eastAsia="zh-CN"/>
              </w:rPr>
              <w:t>5</w:t>
            </w:r>
            <w:r>
              <w:rPr>
                <w:rFonts w:hint="eastAsia"/>
                <w:color w:val="auto"/>
                <w:sz w:val="21"/>
                <w:szCs w:val="21"/>
                <w:highlight w:val="none"/>
              </w:rPr>
              <w:t>、最终工程量按实结算，本项目</w:t>
            </w:r>
            <w:r>
              <w:rPr>
                <w:rFonts w:hint="eastAsia"/>
                <w:color w:val="auto"/>
                <w:sz w:val="21"/>
                <w:szCs w:val="21"/>
                <w:highlight w:val="none"/>
                <w:lang w:eastAsia="zh-CN"/>
              </w:rPr>
              <w:t>人工、机械</w:t>
            </w:r>
            <w:r>
              <w:rPr>
                <w:rFonts w:hint="eastAsia"/>
                <w:color w:val="auto"/>
                <w:sz w:val="21"/>
                <w:szCs w:val="21"/>
                <w:highlight w:val="none"/>
              </w:rPr>
              <w:t>最终</w:t>
            </w:r>
            <w:r>
              <w:rPr>
                <w:rFonts w:hint="eastAsia"/>
                <w:color w:val="auto"/>
                <w:sz w:val="21"/>
                <w:szCs w:val="21"/>
                <w:highlight w:val="none"/>
                <w:lang w:eastAsia="zh-CN"/>
              </w:rPr>
              <w:t>中标</w:t>
            </w:r>
            <w:r>
              <w:rPr>
                <w:rFonts w:hint="eastAsia"/>
                <w:color w:val="auto"/>
                <w:sz w:val="21"/>
                <w:szCs w:val="21"/>
                <w:highlight w:val="none"/>
              </w:rPr>
              <w:t>单价=</w:t>
            </w:r>
            <w:r>
              <w:rPr>
                <w:rFonts w:hint="eastAsia"/>
                <w:color w:val="auto"/>
                <w:sz w:val="21"/>
                <w:szCs w:val="21"/>
                <w:highlight w:val="none"/>
                <w:lang w:eastAsia="zh-CN"/>
              </w:rPr>
              <w:t>全费用综合</w:t>
            </w:r>
            <w:r>
              <w:rPr>
                <w:rFonts w:hint="eastAsia"/>
                <w:color w:val="auto"/>
                <w:sz w:val="21"/>
                <w:szCs w:val="21"/>
                <w:highlight w:val="none"/>
              </w:rPr>
              <w:t>单价*</w:t>
            </w:r>
            <w:r>
              <w:rPr>
                <w:rFonts w:hint="eastAsia"/>
                <w:color w:val="auto"/>
                <w:sz w:val="21"/>
                <w:szCs w:val="21"/>
                <w:highlight w:val="none"/>
                <w:lang w:eastAsia="zh-CN"/>
              </w:rPr>
              <w:t>中标</w:t>
            </w:r>
            <w:r>
              <w:rPr>
                <w:rFonts w:hint="eastAsia"/>
                <w:color w:val="auto"/>
                <w:sz w:val="21"/>
                <w:szCs w:val="21"/>
                <w:highlight w:val="none"/>
              </w:rPr>
              <w:t>费率。</w:t>
            </w:r>
          </w:p>
          <w:p>
            <w:pPr>
              <w:widowControl/>
              <w:spacing w:line="360" w:lineRule="auto"/>
              <w:ind w:firstLine="420" w:firstLineChars="200"/>
              <w:jc w:val="left"/>
              <w:rPr>
                <w:rFonts w:hint="eastAsia" w:ascii="宋体" w:hAnsi="宋体" w:eastAsia="宋体" w:cs="宋体"/>
                <w:b w:val="0"/>
                <w:bCs/>
                <w:color w:val="auto"/>
                <w:sz w:val="24"/>
                <w:szCs w:val="24"/>
                <w:highlight w:val="none"/>
                <w:lang w:val="en-US" w:eastAsia="zh-CN"/>
              </w:rPr>
            </w:pPr>
            <w:r>
              <w:rPr>
                <w:rFonts w:hint="eastAsia"/>
                <w:color w:val="auto"/>
                <w:sz w:val="21"/>
                <w:szCs w:val="21"/>
                <w:highlight w:val="none"/>
                <w:lang w:val="en-US" w:eastAsia="zh-CN"/>
              </w:rPr>
              <w:t>6</w:t>
            </w:r>
            <w:r>
              <w:rPr>
                <w:rFonts w:hint="eastAsia"/>
                <w:color w:val="auto"/>
                <w:sz w:val="21"/>
                <w:szCs w:val="21"/>
                <w:highlight w:val="none"/>
              </w:rPr>
              <w:t>、</w:t>
            </w:r>
            <w:r>
              <w:rPr>
                <w:rFonts w:hint="eastAsia" w:ascii="Times New Roman" w:hAnsi="Times New Roman" w:eastAsia="宋体" w:cs="Times New Roman"/>
                <w:color w:val="auto"/>
                <w:sz w:val="21"/>
                <w:szCs w:val="21"/>
                <w:highlight w:val="none"/>
                <w:lang w:val="en-US" w:eastAsia="zh-CN"/>
              </w:rPr>
              <w:t>垃圾处置费按246元/吨结算，垃圾处置量按实结算，结算时以联系单为准。</w:t>
            </w:r>
          </w:p>
          <w:p>
            <w:pPr>
              <w:widowControl/>
              <w:spacing w:line="360" w:lineRule="exact"/>
              <w:ind w:firstLine="420" w:firstLineChars="200"/>
              <w:rPr>
                <w:rFonts w:hint="eastAsia"/>
                <w:color w:val="auto"/>
                <w:sz w:val="21"/>
                <w:szCs w:val="21"/>
                <w:highlight w:val="none"/>
              </w:rPr>
            </w:pPr>
            <w:r>
              <w:rPr>
                <w:rFonts w:hint="eastAsia"/>
                <w:color w:val="auto"/>
                <w:sz w:val="21"/>
                <w:szCs w:val="21"/>
                <w:highlight w:val="none"/>
                <w:lang w:val="en-US" w:eastAsia="zh-CN"/>
              </w:rPr>
              <w:t>7、</w:t>
            </w:r>
            <w:r>
              <w:rPr>
                <w:rFonts w:hint="eastAsia"/>
                <w:color w:val="auto"/>
                <w:sz w:val="21"/>
                <w:szCs w:val="21"/>
                <w:highlight w:val="none"/>
              </w:rPr>
              <w:t>该项目要求中标单位及时响应并完成清运处置、打围墙、围挡、环境整治等任务。</w:t>
            </w:r>
          </w:p>
          <w:p>
            <w:pPr>
              <w:widowControl/>
              <w:spacing w:line="360" w:lineRule="exact"/>
              <w:ind w:firstLine="420" w:firstLineChars="200"/>
              <w:rPr>
                <w:rFonts w:hint="eastAsia"/>
                <w:color w:val="auto"/>
                <w:sz w:val="21"/>
                <w:szCs w:val="21"/>
                <w:highlight w:val="none"/>
              </w:rPr>
            </w:pPr>
            <w:r>
              <w:rPr>
                <w:rFonts w:hint="eastAsia"/>
                <w:color w:val="auto"/>
                <w:sz w:val="21"/>
                <w:szCs w:val="21"/>
                <w:highlight w:val="none"/>
                <w:lang w:val="en-US" w:eastAsia="zh-CN"/>
              </w:rPr>
              <w:t>8</w:t>
            </w:r>
            <w:r>
              <w:rPr>
                <w:rFonts w:hint="eastAsia"/>
                <w:color w:val="auto"/>
                <w:sz w:val="21"/>
                <w:szCs w:val="21"/>
                <w:highlight w:val="none"/>
              </w:rPr>
              <w:t>、中标供应商需为所有乙方委派的工作人员购买人身伤亡意外险，负责用工人员的人身伤亡</w:t>
            </w:r>
            <w:r>
              <w:rPr>
                <w:rFonts w:hint="eastAsia"/>
                <w:color w:val="auto"/>
                <w:sz w:val="21"/>
                <w:szCs w:val="21"/>
                <w:highlight w:val="none"/>
                <w:lang w:eastAsia="zh-CN"/>
              </w:rPr>
              <w:t>和作业安全</w:t>
            </w:r>
            <w:r>
              <w:rPr>
                <w:rFonts w:hint="eastAsia"/>
                <w:color w:val="auto"/>
                <w:sz w:val="21"/>
                <w:szCs w:val="21"/>
                <w:highlight w:val="none"/>
              </w:rPr>
              <w:t>。</w:t>
            </w:r>
          </w:p>
          <w:p>
            <w:pPr>
              <w:ind w:firstLine="420" w:firstLineChars="200"/>
              <w:jc w:val="left"/>
              <w:rPr>
                <w:rFonts w:hint="eastAsia"/>
                <w:color w:val="auto"/>
                <w:sz w:val="21"/>
                <w:szCs w:val="21"/>
                <w:highlight w:val="none"/>
                <w:lang w:val="en-US" w:eastAsia="zh-CN"/>
              </w:rPr>
            </w:pPr>
            <w:r>
              <w:rPr>
                <w:rFonts w:hint="eastAsia"/>
                <w:color w:val="auto"/>
                <w:sz w:val="21"/>
                <w:szCs w:val="21"/>
                <w:highlight w:val="none"/>
                <w:lang w:val="en-US" w:eastAsia="zh-CN"/>
              </w:rPr>
              <w:t>9、</w:t>
            </w:r>
            <w:r>
              <w:rPr>
                <w:rFonts w:hint="eastAsia"/>
                <w:color w:val="auto"/>
                <w:sz w:val="21"/>
                <w:szCs w:val="21"/>
                <w:highlight w:val="none"/>
                <w:lang w:eastAsia="zh-CN"/>
              </w:rPr>
              <w:t>投标供应商</w:t>
            </w:r>
            <w:r>
              <w:rPr>
                <w:rFonts w:hint="eastAsia"/>
                <w:color w:val="auto"/>
                <w:sz w:val="21"/>
                <w:szCs w:val="21"/>
                <w:highlight w:val="none"/>
              </w:rPr>
              <w:t>必须承诺在承包服务期内，各项成交价不变，并按采购人要求及时提供每次服务所需人数及专用机械车辆，无条件接受采购人安排。</w:t>
            </w:r>
          </w:p>
        </w:tc>
      </w:tr>
    </w:tbl>
    <w:p>
      <w:pPr>
        <w:spacing w:line="360" w:lineRule="auto"/>
        <w:ind w:left="420"/>
        <w:rPr>
          <w:rFonts w:hint="eastAsia" w:ascii="宋体" w:hAnsi="宋体" w:cs="宋体"/>
          <w:color w:val="auto"/>
          <w:sz w:val="24"/>
          <w:highlight w:val="none"/>
        </w:rPr>
      </w:pPr>
    </w:p>
    <w:p>
      <w:pPr>
        <w:spacing w:line="360" w:lineRule="auto"/>
        <w:ind w:left="420"/>
        <w:rPr>
          <w:rFonts w:hint="eastAsia" w:ascii="宋体" w:hAnsi="宋体" w:cs="宋体"/>
          <w:color w:val="auto"/>
          <w:sz w:val="24"/>
          <w:highlight w:val="none"/>
        </w:rPr>
      </w:pPr>
    </w:p>
    <w:p>
      <w:pPr>
        <w:spacing w:line="360" w:lineRule="auto"/>
        <w:ind w:left="420" w:firstLine="2880" w:firstLineChars="1200"/>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pPr>
        <w:spacing w:line="360" w:lineRule="auto"/>
        <w:ind w:firstLine="3132" w:firstLineChars="130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widowControl/>
        <w:numPr>
          <w:ilvl w:val="0"/>
          <w:numId w:val="0"/>
        </w:numPr>
        <w:spacing w:line="360" w:lineRule="auto"/>
        <w:ind w:firstLine="3360" w:firstLineChars="1400"/>
        <w:jc w:val="both"/>
        <w:rPr>
          <w:rFonts w:hint="eastAsia" w:ascii="宋体" w:hAnsi="宋体" w:cs="宋体"/>
          <w:color w:val="auto"/>
          <w:sz w:val="24"/>
          <w:highlight w:val="none"/>
          <w:lang w:eastAsia="zh-CN"/>
        </w:rPr>
      </w:pPr>
      <w:r>
        <w:rPr>
          <w:rFonts w:hint="eastAsia" w:ascii="宋体" w:hAnsi="宋体" w:cs="宋体"/>
          <w:color w:val="auto"/>
          <w:sz w:val="24"/>
          <w:highlight w:val="none"/>
        </w:rPr>
        <w:t>日        期</w:t>
      </w:r>
      <w:r>
        <w:rPr>
          <w:rFonts w:hint="eastAsia" w:ascii="宋体" w:hAnsi="宋体" w:cs="宋体"/>
          <w:color w:val="auto"/>
          <w:sz w:val="24"/>
          <w:highlight w:val="none"/>
          <w:lang w:eastAsia="zh-CN"/>
        </w:rPr>
        <w:t>：</w:t>
      </w:r>
    </w:p>
    <w:p>
      <w:pPr>
        <w:spacing w:line="360" w:lineRule="auto"/>
        <w:ind w:firstLine="435"/>
        <w:rPr>
          <w:color w:val="auto"/>
          <w:highlight w:val="none"/>
        </w:rPr>
      </w:pPr>
    </w:p>
    <w:sectPr>
      <w:headerReference r:id="rId4" w:type="default"/>
      <w:footerReference r:id="rId5"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圆体-简">
    <w:altName w:val="宋体"/>
    <w:panose1 w:val="00000000000000000000"/>
    <w:charset w:val="86"/>
    <w:family w:val="roman"/>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6350">
                        <a:noFill/>
                      </a:ln>
                      <a:effectLst/>
                    </wps:spPr>
                    <wps:txbx>
                      <w:txbxContent>
                        <w:p>
                          <w:pPr>
                            <w:pStyle w:val="29"/>
                          </w:pPr>
                          <w:r>
                            <w:rPr>
                              <w:rFonts w:hint="eastAsia"/>
                            </w:rPr>
                            <w:t xml:space="preserve">第 </w:t>
                          </w:r>
                          <w:r>
                            <w:fldChar w:fldCharType="begin"/>
                          </w:r>
                          <w:r>
                            <w:instrText xml:space="preserve"> PAGE  \* MERGEFORMAT </w:instrText>
                          </w:r>
                          <w:r>
                            <w:fldChar w:fldCharType="separate"/>
                          </w:r>
                          <w:r>
                            <w:t>27</w:t>
                          </w:r>
                          <w:r>
                            <w:fldChar w:fldCharType="end"/>
                          </w:r>
                          <w:r>
                            <w:rPr>
                              <w:rFonts w:hint="eastAsia"/>
                            </w:rPr>
                            <w:t xml:space="preserve"> 页 共 </w:t>
                          </w:r>
                          <w:r>
                            <w:fldChar w:fldCharType="begin"/>
                          </w:r>
                          <w:r>
                            <w:instrText xml:space="preserve"> NUMPAGES  \* MERGEFORMAT </w:instrText>
                          </w:r>
                          <w:r>
                            <w:fldChar w:fldCharType="separate"/>
                          </w:r>
                          <w:r>
                            <w:t>60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MXxmdIAAAAEAQAADwAAAAAAAAABACAAAAAiAAAAZHJzL2Rvd25yZXYueG1s&#10;UEsBAhQAFAAAAAgAh07iQHpFSzA3AgAAYQQAAA4AAAAAAAAAAQAgAAAAIQEAAGRycy9lMm9Eb2Mu&#10;eG1sUEsFBgAAAAAGAAYAWQEAAMoFAAAAAA==&#10;">
              <v:fill on="f" focussize="0,0"/>
              <v:stroke on="f" weight="0.5pt"/>
              <v:imagedata o:title=""/>
              <o:lock v:ext="edit" aspectratio="f"/>
              <v:textbox inset="0mm,0mm,0mm,0mm" style="mso-fit-shape-to-text:t;">
                <w:txbxContent>
                  <w:p>
                    <w:pPr>
                      <w:pStyle w:val="29"/>
                    </w:pPr>
                    <w:r>
                      <w:rPr>
                        <w:rFonts w:hint="eastAsia"/>
                      </w:rPr>
                      <w:t xml:space="preserve">第 </w:t>
                    </w:r>
                    <w:r>
                      <w:fldChar w:fldCharType="begin"/>
                    </w:r>
                    <w:r>
                      <w:instrText xml:space="preserve"> PAGE  \* MERGEFORMAT </w:instrText>
                    </w:r>
                    <w:r>
                      <w:fldChar w:fldCharType="separate"/>
                    </w:r>
                    <w:r>
                      <w:t>27</w:t>
                    </w:r>
                    <w:r>
                      <w:fldChar w:fldCharType="end"/>
                    </w:r>
                    <w:r>
                      <w:rPr>
                        <w:rFonts w:hint="eastAsia"/>
                      </w:rPr>
                      <w:t xml:space="preserve"> 页 共 </w:t>
                    </w:r>
                    <w:r>
                      <w:fldChar w:fldCharType="begin"/>
                    </w:r>
                    <w:r>
                      <w:instrText xml:space="preserve"> NUMPAGES  \* MERGEFORMAT </w:instrText>
                    </w:r>
                    <w:r>
                      <w:fldChar w:fldCharType="separate"/>
                    </w:r>
                    <w:r>
                      <w:t>60</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6350">
                        <a:noFill/>
                      </a:ln>
                      <a:effectLst/>
                    </wps:spPr>
                    <wps:txbx>
                      <w:txbxContent>
                        <w:p>
                          <w:pPr>
                            <w:pStyle w:val="29"/>
                          </w:pPr>
                          <w:r>
                            <w:rPr>
                              <w:rFonts w:hint="eastAsia"/>
                            </w:rPr>
                            <w:t xml:space="preserve">第 </w:t>
                          </w:r>
                          <w:r>
                            <w:fldChar w:fldCharType="begin"/>
                          </w:r>
                          <w:r>
                            <w:instrText xml:space="preserve"> PAGE  \* MERGEFORMAT </w:instrText>
                          </w:r>
                          <w:r>
                            <w:fldChar w:fldCharType="separate"/>
                          </w:r>
                          <w:r>
                            <w:t>60</w:t>
                          </w:r>
                          <w:r>
                            <w:fldChar w:fldCharType="end"/>
                          </w:r>
                          <w:r>
                            <w:rPr>
                              <w:rFonts w:hint="eastAsia"/>
                            </w:rPr>
                            <w:t xml:space="preserve"> 页 共 </w:t>
                          </w:r>
                          <w:r>
                            <w:fldChar w:fldCharType="begin"/>
                          </w:r>
                          <w:r>
                            <w:instrText xml:space="preserve"> NUMPAGES  \* MERGEFORMAT </w:instrText>
                          </w:r>
                          <w:r>
                            <w:fldChar w:fldCharType="separate"/>
                          </w:r>
                          <w:r>
                            <w:t>60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A1QvR/OAIAAGEEAAAOAAAAAAAAAAEAIAAAACEBAABkcnMvZTJvRG9j&#10;LnhtbFBLBQYAAAAABgAGAFkBAADLBQAAAAA=&#10;">
              <v:fill on="f" focussize="0,0"/>
              <v:stroke on="f" weight="0.5pt"/>
              <v:imagedata o:title=""/>
              <o:lock v:ext="edit" aspectratio="f"/>
              <v:textbox inset="0mm,0mm,0mm,0mm" style="mso-fit-shape-to-text:t;">
                <w:txbxContent>
                  <w:p>
                    <w:pPr>
                      <w:pStyle w:val="29"/>
                    </w:pPr>
                    <w:r>
                      <w:rPr>
                        <w:rFonts w:hint="eastAsia"/>
                      </w:rPr>
                      <w:t xml:space="preserve">第 </w:t>
                    </w:r>
                    <w:r>
                      <w:fldChar w:fldCharType="begin"/>
                    </w:r>
                    <w:r>
                      <w:instrText xml:space="preserve"> PAGE  \* MERGEFORMAT </w:instrText>
                    </w:r>
                    <w:r>
                      <w:fldChar w:fldCharType="separate"/>
                    </w:r>
                    <w:r>
                      <w:t>60</w:t>
                    </w:r>
                    <w:r>
                      <w:fldChar w:fldCharType="end"/>
                    </w:r>
                    <w:r>
                      <w:rPr>
                        <w:rFonts w:hint="eastAsia"/>
                      </w:rPr>
                      <w:t xml:space="preserve"> 页 共 </w:t>
                    </w:r>
                    <w:r>
                      <w:fldChar w:fldCharType="begin"/>
                    </w:r>
                    <w:r>
                      <w:instrText xml:space="preserve"> NUMPAGES  \* MERGEFORMAT </w:instrText>
                    </w:r>
                    <w:r>
                      <w:fldChar w:fldCharType="separate"/>
                    </w:r>
                    <w:r>
                      <w:t>60</w:t>
                    </w:r>
                    <w:r>
                      <w:fldChar w:fldCharType="end"/>
                    </w:r>
                    <w:r>
                      <w:rPr>
                        <w:rFonts w:hint="eastAsia"/>
                      </w:rPr>
                      <w:t xml:space="preserve"> 页</w:t>
                    </w:r>
                  </w:p>
                </w:txbxContent>
              </v:textbox>
            </v:shape>
          </w:pict>
        </mc:Fallback>
      </mc:AlternateContent>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台州市政府采购招标文件</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60</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60</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B351F"/>
    <w:multiLevelType w:val="singleLevel"/>
    <w:tmpl w:val="81DB351F"/>
    <w:lvl w:ilvl="0" w:tentative="0">
      <w:start w:val="1"/>
      <w:numFmt w:val="decimal"/>
      <w:lvlText w:val="%1."/>
      <w:lvlJc w:val="left"/>
      <w:pPr>
        <w:ind w:left="425" w:hanging="425"/>
      </w:pPr>
      <w:rPr>
        <w:rFonts w:hint="default"/>
      </w:rPr>
    </w:lvl>
  </w:abstractNum>
  <w:abstractNum w:abstractNumId="1">
    <w:nsid w:val="8906E671"/>
    <w:multiLevelType w:val="singleLevel"/>
    <w:tmpl w:val="8906E671"/>
    <w:lvl w:ilvl="0" w:tentative="0">
      <w:start w:val="1"/>
      <w:numFmt w:val="decimal"/>
      <w:suff w:val="space"/>
      <w:lvlText w:val="%1."/>
      <w:lvlJc w:val="left"/>
      <w:pPr>
        <w:ind w:left="454" w:hanging="454"/>
      </w:pPr>
      <w:rPr>
        <w:rFonts w:hint="default"/>
      </w:rPr>
    </w:lvl>
  </w:abstractNum>
  <w:abstractNum w:abstractNumId="2">
    <w:nsid w:val="9C911FB7"/>
    <w:multiLevelType w:val="singleLevel"/>
    <w:tmpl w:val="9C911FB7"/>
    <w:lvl w:ilvl="0" w:tentative="0">
      <w:start w:val="5"/>
      <w:numFmt w:val="decimal"/>
      <w:suff w:val="nothing"/>
      <w:lvlText w:val="%1、"/>
      <w:lvlJc w:val="left"/>
    </w:lvl>
  </w:abstractNum>
  <w:abstractNum w:abstractNumId="3">
    <w:nsid w:val="A87EFCEA"/>
    <w:multiLevelType w:val="singleLevel"/>
    <w:tmpl w:val="A87EFCEA"/>
    <w:lvl w:ilvl="0" w:tentative="0">
      <w:start w:val="1"/>
      <w:numFmt w:val="decimal"/>
      <w:lvlText w:val="%1."/>
      <w:lvlJc w:val="left"/>
      <w:pPr>
        <w:ind w:left="1134" w:hanging="425"/>
      </w:pPr>
      <w:rPr>
        <w:rFonts w:hint="default"/>
      </w:rPr>
    </w:lvl>
  </w:abstractNum>
  <w:abstractNum w:abstractNumId="4">
    <w:nsid w:val="AC019F3D"/>
    <w:multiLevelType w:val="singleLevel"/>
    <w:tmpl w:val="AC019F3D"/>
    <w:lvl w:ilvl="0" w:tentative="0">
      <w:start w:val="1"/>
      <w:numFmt w:val="decimal"/>
      <w:lvlText w:val="%1."/>
      <w:lvlJc w:val="left"/>
      <w:pPr>
        <w:ind w:left="425" w:hanging="425"/>
      </w:pPr>
      <w:rPr>
        <w:rFonts w:hint="default"/>
      </w:rPr>
    </w:lvl>
  </w:abstractNum>
  <w:abstractNum w:abstractNumId="5">
    <w:nsid w:val="AE2D8F7B"/>
    <w:multiLevelType w:val="singleLevel"/>
    <w:tmpl w:val="AE2D8F7B"/>
    <w:lvl w:ilvl="0" w:tentative="0">
      <w:start w:val="1"/>
      <w:numFmt w:val="decimal"/>
      <w:pStyle w:val="12"/>
      <w:lvlText w:val="%1."/>
      <w:lvlJc w:val="left"/>
      <w:pPr>
        <w:tabs>
          <w:tab w:val="left" w:pos="360"/>
        </w:tabs>
        <w:ind w:left="360" w:hanging="360"/>
      </w:pPr>
    </w:lvl>
  </w:abstractNum>
  <w:abstractNum w:abstractNumId="6">
    <w:nsid w:val="AF3E1766"/>
    <w:multiLevelType w:val="singleLevel"/>
    <w:tmpl w:val="AF3E1766"/>
    <w:lvl w:ilvl="0" w:tentative="0">
      <w:start w:val="1"/>
      <w:numFmt w:val="decimal"/>
      <w:suff w:val="nothing"/>
      <w:lvlText w:val="（%1）"/>
      <w:lvlJc w:val="left"/>
      <w:pPr>
        <w:ind w:left="7"/>
      </w:pPr>
    </w:lvl>
  </w:abstractNum>
  <w:abstractNum w:abstractNumId="7">
    <w:nsid w:val="C588194D"/>
    <w:multiLevelType w:val="singleLevel"/>
    <w:tmpl w:val="C588194D"/>
    <w:lvl w:ilvl="0" w:tentative="0">
      <w:start w:val="1"/>
      <w:numFmt w:val="chineseCounting"/>
      <w:suff w:val="space"/>
      <w:lvlText w:val="第%1章"/>
      <w:lvlJc w:val="left"/>
      <w:rPr>
        <w:rFonts w:hint="eastAsia"/>
      </w:rPr>
    </w:lvl>
  </w:abstractNum>
  <w:abstractNum w:abstractNumId="8">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9">
    <w:nsid w:val="D09F2148"/>
    <w:multiLevelType w:val="singleLevel"/>
    <w:tmpl w:val="D09F2148"/>
    <w:lvl w:ilvl="0" w:tentative="0">
      <w:start w:val="1"/>
      <w:numFmt w:val="decimal"/>
      <w:lvlText w:val="%1."/>
      <w:lvlJc w:val="left"/>
      <w:pPr>
        <w:ind w:left="425" w:hanging="425"/>
      </w:pPr>
      <w:rPr>
        <w:rFonts w:hint="default"/>
      </w:rPr>
    </w:lvl>
  </w:abstractNum>
  <w:abstractNum w:abstractNumId="10">
    <w:nsid w:val="EB1BD96B"/>
    <w:multiLevelType w:val="singleLevel"/>
    <w:tmpl w:val="EB1BD96B"/>
    <w:lvl w:ilvl="0" w:tentative="0">
      <w:start w:val="2"/>
      <w:numFmt w:val="decimal"/>
      <w:suff w:val="nothing"/>
      <w:lvlText w:val="（%1）"/>
      <w:lvlJc w:val="left"/>
    </w:lvl>
  </w:abstractNum>
  <w:abstractNum w:abstractNumId="11">
    <w:nsid w:val="FAEE2C8F"/>
    <w:multiLevelType w:val="singleLevel"/>
    <w:tmpl w:val="FAEE2C8F"/>
    <w:lvl w:ilvl="0" w:tentative="0">
      <w:start w:val="1"/>
      <w:numFmt w:val="chineseCounting"/>
      <w:suff w:val="nothing"/>
      <w:lvlText w:val="%1、"/>
      <w:lvlJc w:val="left"/>
      <w:rPr>
        <w:rFonts w:hint="eastAsia"/>
      </w:rPr>
    </w:lvl>
  </w:abstractNum>
  <w:abstractNum w:abstractNumId="12">
    <w:nsid w:val="FF27596F"/>
    <w:multiLevelType w:val="singleLevel"/>
    <w:tmpl w:val="FF27596F"/>
    <w:lvl w:ilvl="0" w:tentative="0">
      <w:start w:val="1"/>
      <w:numFmt w:val="decimal"/>
      <w:lvlText w:val="%1."/>
      <w:lvlJc w:val="left"/>
      <w:pPr>
        <w:ind w:left="425" w:hanging="425"/>
      </w:pPr>
      <w:rPr>
        <w:rFonts w:hint="default"/>
      </w:rPr>
    </w:lvl>
  </w:abstractNum>
  <w:abstractNum w:abstractNumId="13">
    <w:nsid w:val="0000000E"/>
    <w:multiLevelType w:val="multilevel"/>
    <w:tmpl w:val="0000000E"/>
    <w:lvl w:ilvl="0" w:tentative="0">
      <w:start w:val="1"/>
      <w:numFmt w:val="decimal"/>
      <w:pStyle w:val="385"/>
      <w:lvlText w:val="%1."/>
      <w:lvlJc w:val="left"/>
      <w:pPr>
        <w:tabs>
          <w:tab w:val="left" w:pos="420"/>
        </w:tabs>
        <w:ind w:left="420" w:hanging="420"/>
      </w:p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4">
    <w:nsid w:val="0A760F1C"/>
    <w:multiLevelType w:val="multilevel"/>
    <w:tmpl w:val="0A760F1C"/>
    <w:lvl w:ilvl="0" w:tentative="0">
      <w:start w:val="1"/>
      <w:numFmt w:val="decimal"/>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pStyle w:val="391"/>
      <w:suff w:val="space"/>
      <w:lvlText w:val="%1.%2.%3"/>
      <w:lvlJc w:val="left"/>
      <w:pPr>
        <w:ind w:left="426" w:firstLine="0"/>
      </w:pPr>
      <w:rPr>
        <w:rFonts w:hint="eastAsia" w:ascii="黑体" w:hAnsi="黑体" w:eastAsia="黑体"/>
        <w:sz w:val="28"/>
      </w:rPr>
    </w:lvl>
    <w:lvl w:ilvl="3" w:tentative="0">
      <w:start w:val="1"/>
      <w:numFmt w:val="decimal"/>
      <w:pStyle w:val="390"/>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5">
    <w:nsid w:val="0C4DD487"/>
    <w:multiLevelType w:val="singleLevel"/>
    <w:tmpl w:val="0C4DD487"/>
    <w:lvl w:ilvl="0" w:tentative="0">
      <w:start w:val="1"/>
      <w:numFmt w:val="ideographTraditional"/>
      <w:suff w:val="nothing"/>
      <w:lvlText w:val="%1、"/>
      <w:lvlJc w:val="left"/>
      <w:rPr>
        <w:rFonts w:hint="eastAsia"/>
      </w:rPr>
    </w:lvl>
  </w:abstractNum>
  <w:abstractNum w:abstractNumId="16">
    <w:nsid w:val="18BE30EF"/>
    <w:multiLevelType w:val="singleLevel"/>
    <w:tmpl w:val="18BE30EF"/>
    <w:lvl w:ilvl="0" w:tentative="0">
      <w:start w:val="1"/>
      <w:numFmt w:val="decimal"/>
      <w:lvlText w:val="%1."/>
      <w:lvlJc w:val="left"/>
      <w:pPr>
        <w:ind w:left="425" w:hanging="425"/>
      </w:pPr>
      <w:rPr>
        <w:rFonts w:hint="default"/>
      </w:rPr>
    </w:lvl>
  </w:abstractNum>
  <w:abstractNum w:abstractNumId="17">
    <w:nsid w:val="19DCF4C9"/>
    <w:multiLevelType w:val="singleLevel"/>
    <w:tmpl w:val="19DCF4C9"/>
    <w:lvl w:ilvl="0" w:tentative="0">
      <w:start w:val="1"/>
      <w:numFmt w:val="decimal"/>
      <w:lvlText w:val="%1."/>
      <w:lvlJc w:val="left"/>
      <w:pPr>
        <w:ind w:left="425" w:hanging="425"/>
      </w:pPr>
      <w:rPr>
        <w:rFonts w:hint="default"/>
      </w:rPr>
    </w:lvl>
  </w:abstractNum>
  <w:abstractNum w:abstractNumId="18">
    <w:nsid w:val="3B363D98"/>
    <w:multiLevelType w:val="multilevel"/>
    <w:tmpl w:val="3B363D98"/>
    <w:lvl w:ilvl="0" w:tentative="0">
      <w:start w:val="1"/>
      <w:numFmt w:val="decimal"/>
      <w:pStyle w:val="14"/>
      <w:suff w:val="space"/>
      <w:lvlText w:val="图%1."/>
      <w:lvlJc w:val="left"/>
      <w:pPr>
        <w:ind w:left="2263"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9">
    <w:nsid w:val="461E5E94"/>
    <w:multiLevelType w:val="singleLevel"/>
    <w:tmpl w:val="461E5E94"/>
    <w:lvl w:ilvl="0" w:tentative="0">
      <w:start w:val="2"/>
      <w:numFmt w:val="chineseCounting"/>
      <w:suff w:val="space"/>
      <w:lvlText w:val="第%1章"/>
      <w:lvlJc w:val="left"/>
      <w:rPr>
        <w:rFonts w:hint="eastAsia"/>
      </w:rPr>
    </w:lvl>
  </w:abstractNum>
  <w:abstractNum w:abstractNumId="20">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21">
    <w:nsid w:val="4EB1C310"/>
    <w:multiLevelType w:val="singleLevel"/>
    <w:tmpl w:val="4EB1C310"/>
    <w:lvl w:ilvl="0" w:tentative="0">
      <w:start w:val="1"/>
      <w:numFmt w:val="decimal"/>
      <w:lvlText w:val="%1."/>
      <w:lvlJc w:val="left"/>
      <w:pPr>
        <w:ind w:left="425" w:hanging="425"/>
      </w:pPr>
      <w:rPr>
        <w:rFonts w:hint="default"/>
      </w:rPr>
    </w:lvl>
  </w:abstractNum>
  <w:abstractNum w:abstractNumId="22">
    <w:nsid w:val="561F21D4"/>
    <w:multiLevelType w:val="multilevel"/>
    <w:tmpl w:val="561F21D4"/>
    <w:lvl w:ilvl="0" w:tentative="0">
      <w:start w:val="1"/>
      <w:numFmt w:val="bullet"/>
      <w:pStyle w:val="38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56FB16F3"/>
    <w:multiLevelType w:val="multilevel"/>
    <w:tmpl w:val="56FB16F3"/>
    <w:lvl w:ilvl="0" w:tentative="0">
      <w:start w:val="1"/>
      <w:numFmt w:val="decimal"/>
      <w:pStyle w:val="416"/>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4">
    <w:nsid w:val="632B4536"/>
    <w:multiLevelType w:val="singleLevel"/>
    <w:tmpl w:val="632B4536"/>
    <w:lvl w:ilvl="0" w:tentative="0">
      <w:start w:val="1"/>
      <w:numFmt w:val="decimal"/>
      <w:lvlText w:val="%1."/>
      <w:lvlJc w:val="left"/>
      <w:pPr>
        <w:ind w:left="425" w:hanging="425"/>
      </w:pPr>
      <w:rPr>
        <w:rFonts w:hint="default"/>
      </w:rPr>
    </w:lvl>
  </w:abstractNum>
  <w:abstractNum w:abstractNumId="25">
    <w:nsid w:val="6A6E8E67"/>
    <w:multiLevelType w:val="singleLevel"/>
    <w:tmpl w:val="6A6E8E67"/>
    <w:lvl w:ilvl="0" w:tentative="0">
      <w:start w:val="1"/>
      <w:numFmt w:val="decimal"/>
      <w:suff w:val="space"/>
      <w:lvlText w:val="%1."/>
      <w:lvlJc w:val="left"/>
      <w:pPr>
        <w:ind w:left="454" w:hanging="454"/>
      </w:pPr>
      <w:rPr>
        <w:rFonts w:hint="default"/>
      </w:rPr>
    </w:lvl>
  </w:abstractNum>
  <w:abstractNum w:abstractNumId="26">
    <w:nsid w:val="70C45358"/>
    <w:multiLevelType w:val="multilevel"/>
    <w:tmpl w:val="70C45358"/>
    <w:lvl w:ilvl="0" w:tentative="0">
      <w:start w:val="1"/>
      <w:numFmt w:val="decimal"/>
      <w:lvlText w:val="第%1章 "/>
      <w:lvlJc w:val="left"/>
      <w:pPr>
        <w:tabs>
          <w:tab w:val="left" w:pos="567"/>
        </w:tabs>
        <w:ind w:left="0" w:firstLine="0"/>
      </w:pPr>
      <w:rPr>
        <w:rFonts w:cs="Times New Roman"/>
        <w:lang w:val="en-US"/>
      </w:rPr>
    </w:lvl>
    <w:lvl w:ilvl="1" w:tentative="0">
      <w:start w:val="1"/>
      <w:numFmt w:val="decimal"/>
      <w:pStyle w:val="86"/>
      <w:lvlText w:val="%1.%2"/>
      <w:lvlJc w:val="left"/>
      <w:pPr>
        <w:tabs>
          <w:tab w:val="left" w:pos="993"/>
        </w:tabs>
        <w:ind w:left="426" w:firstLine="0"/>
      </w:pPr>
      <w:rPr>
        <w:rFonts w:cs="Times New Roman"/>
      </w:rPr>
    </w:lvl>
    <w:lvl w:ilvl="2" w:tentative="0">
      <w:start w:val="1"/>
      <w:numFmt w:val="decimal"/>
      <w:pStyle w:val="87"/>
      <w:lvlText w:val="%1.%2.%3"/>
      <w:lvlJc w:val="left"/>
      <w:pPr>
        <w:tabs>
          <w:tab w:val="left" w:pos="98"/>
        </w:tabs>
        <w:ind w:left="-639" w:firstLine="0"/>
      </w:pPr>
      <w:rPr>
        <w:rFonts w:cs="Times New Roman"/>
      </w:rPr>
    </w:lvl>
    <w:lvl w:ilvl="3" w:tentative="0">
      <w:start w:val="1"/>
      <w:numFmt w:val="decimal"/>
      <w:pStyle w:val="88"/>
      <w:lvlText w:val="%1.%2.%3.%4"/>
      <w:lvlJc w:val="left"/>
      <w:pPr>
        <w:tabs>
          <w:tab w:val="left" w:pos="-72"/>
        </w:tabs>
        <w:ind w:left="-639" w:firstLine="0"/>
      </w:pPr>
      <w:rPr>
        <w:rFonts w:cs="Times New Roman"/>
      </w:rPr>
    </w:lvl>
    <w:lvl w:ilvl="4" w:tentative="0">
      <w:start w:val="1"/>
      <w:numFmt w:val="decimal"/>
      <w:lvlText w:val="%1.%2.%3.%4.%5"/>
      <w:lvlJc w:val="left"/>
      <w:pPr>
        <w:tabs>
          <w:tab w:val="left" w:pos="-72"/>
        </w:tabs>
        <w:ind w:left="-639" w:firstLine="0"/>
      </w:pPr>
      <w:rPr>
        <w:rFonts w:cs="Times New Roman"/>
      </w:rPr>
    </w:lvl>
    <w:lvl w:ilvl="5" w:tentative="0">
      <w:start w:val="1"/>
      <w:numFmt w:val="decimal"/>
      <w:lvlText w:val="%1.%2.%3.%4.%5.%6."/>
      <w:lvlJc w:val="left"/>
      <w:pPr>
        <w:tabs>
          <w:tab w:val="left" w:pos="495"/>
        </w:tabs>
        <w:ind w:left="495" w:hanging="1134"/>
      </w:pPr>
      <w:rPr>
        <w:rFonts w:cs="Times New Roman"/>
      </w:rPr>
    </w:lvl>
    <w:lvl w:ilvl="6" w:tentative="0">
      <w:start w:val="1"/>
      <w:numFmt w:val="decimal"/>
      <w:lvlText w:val="%1.%2.%3.%4.%5.%6.%7."/>
      <w:lvlJc w:val="left"/>
      <w:pPr>
        <w:tabs>
          <w:tab w:val="left" w:pos="637"/>
        </w:tabs>
        <w:ind w:left="637" w:hanging="1276"/>
      </w:pPr>
      <w:rPr>
        <w:rFonts w:cs="Times New Roman"/>
      </w:rPr>
    </w:lvl>
    <w:lvl w:ilvl="7" w:tentative="0">
      <w:start w:val="1"/>
      <w:numFmt w:val="decimal"/>
      <w:lvlText w:val="%1.%2.%3.%4.%5.%6.%7.%8."/>
      <w:lvlJc w:val="left"/>
      <w:pPr>
        <w:tabs>
          <w:tab w:val="left" w:pos="779"/>
        </w:tabs>
        <w:ind w:left="779" w:hanging="1418"/>
      </w:pPr>
      <w:rPr>
        <w:rFonts w:cs="Times New Roman"/>
      </w:rPr>
    </w:lvl>
    <w:lvl w:ilvl="8" w:tentative="0">
      <w:start w:val="1"/>
      <w:numFmt w:val="decimal"/>
      <w:lvlText w:val="%1.%2.%3.%4.%5.%6.%7.%8.%9."/>
      <w:lvlJc w:val="left"/>
      <w:pPr>
        <w:tabs>
          <w:tab w:val="left" w:pos="920"/>
        </w:tabs>
        <w:ind w:left="920" w:hanging="1559"/>
      </w:pPr>
      <w:rPr>
        <w:rFonts w:cs="Times New Roman"/>
      </w:rPr>
    </w:lvl>
  </w:abstractNum>
  <w:abstractNum w:abstractNumId="27">
    <w:nsid w:val="76DBCC66"/>
    <w:multiLevelType w:val="singleLevel"/>
    <w:tmpl w:val="76DBCC66"/>
    <w:lvl w:ilvl="0" w:tentative="0">
      <w:start w:val="1"/>
      <w:numFmt w:val="decimal"/>
      <w:lvlText w:val="%1."/>
      <w:lvlJc w:val="left"/>
      <w:pPr>
        <w:ind w:left="425" w:hanging="425"/>
      </w:pPr>
      <w:rPr>
        <w:rFonts w:hint="default"/>
      </w:rPr>
    </w:lvl>
  </w:abstractNum>
  <w:abstractNum w:abstractNumId="28">
    <w:nsid w:val="77B25A75"/>
    <w:multiLevelType w:val="singleLevel"/>
    <w:tmpl w:val="77B25A75"/>
    <w:lvl w:ilvl="0" w:tentative="0">
      <w:start w:val="1"/>
      <w:numFmt w:val="decimal"/>
      <w:suff w:val="nothing"/>
      <w:lvlText w:val="%1、"/>
      <w:lvlJc w:val="left"/>
    </w:lvl>
  </w:abstractNum>
  <w:num w:numId="1">
    <w:abstractNumId w:val="5"/>
  </w:num>
  <w:num w:numId="2">
    <w:abstractNumId w:val="18"/>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3"/>
  </w:num>
  <w:num w:numId="6">
    <w:abstractNumId w:val="14"/>
  </w:num>
  <w:num w:numId="7">
    <w:abstractNumId w:val="23"/>
  </w:num>
  <w:num w:numId="8">
    <w:abstractNumId w:val="20"/>
  </w:num>
  <w:num w:numId="9">
    <w:abstractNumId w:val="7"/>
  </w:num>
  <w:num w:numId="10">
    <w:abstractNumId w:val="27"/>
  </w:num>
  <w:num w:numId="11">
    <w:abstractNumId w:val="19"/>
  </w:num>
  <w:num w:numId="12">
    <w:abstractNumId w:val="3"/>
  </w:num>
  <w:num w:numId="13">
    <w:abstractNumId w:val="9"/>
  </w:num>
  <w:num w:numId="14">
    <w:abstractNumId w:val="1"/>
  </w:num>
  <w:num w:numId="15">
    <w:abstractNumId w:val="6"/>
  </w:num>
  <w:num w:numId="16">
    <w:abstractNumId w:val="8"/>
  </w:num>
  <w:num w:numId="17">
    <w:abstractNumId w:val="10"/>
  </w:num>
  <w:num w:numId="18">
    <w:abstractNumId w:val="0"/>
  </w:num>
  <w:num w:numId="19">
    <w:abstractNumId w:val="24"/>
  </w:num>
  <w:num w:numId="20">
    <w:abstractNumId w:val="25"/>
  </w:num>
  <w:num w:numId="21">
    <w:abstractNumId w:val="4"/>
  </w:num>
  <w:num w:numId="22">
    <w:abstractNumId w:val="12"/>
  </w:num>
  <w:num w:numId="23">
    <w:abstractNumId w:val="17"/>
  </w:num>
  <w:num w:numId="24">
    <w:abstractNumId w:val="21"/>
  </w:num>
  <w:num w:numId="25">
    <w:abstractNumId w:val="16"/>
  </w:num>
  <w:num w:numId="26">
    <w:abstractNumId w:val="11"/>
  </w:num>
  <w:num w:numId="27">
    <w:abstractNumId w:val="2"/>
  </w:num>
  <w:num w:numId="28">
    <w:abstractNumId w:val="1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9"/>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MjE3MTViZjhlYTRhM2NiZmQxZDY1ZTRhNmYwNzQifQ=="/>
  </w:docVars>
  <w:rsids>
    <w:rsidRoot w:val="00172A27"/>
    <w:rsid w:val="00002067"/>
    <w:rsid w:val="0006294D"/>
    <w:rsid w:val="00062AB3"/>
    <w:rsid w:val="00084D81"/>
    <w:rsid w:val="00107BF6"/>
    <w:rsid w:val="00130920"/>
    <w:rsid w:val="00131E56"/>
    <w:rsid w:val="00157DF0"/>
    <w:rsid w:val="00165F2A"/>
    <w:rsid w:val="00172A27"/>
    <w:rsid w:val="001A7B3F"/>
    <w:rsid w:val="00201D62"/>
    <w:rsid w:val="0020565B"/>
    <w:rsid w:val="0021318F"/>
    <w:rsid w:val="0025202F"/>
    <w:rsid w:val="002862BF"/>
    <w:rsid w:val="002A1620"/>
    <w:rsid w:val="002D0AD5"/>
    <w:rsid w:val="002D1B30"/>
    <w:rsid w:val="003102FB"/>
    <w:rsid w:val="00332E30"/>
    <w:rsid w:val="00364D1B"/>
    <w:rsid w:val="003B0C36"/>
    <w:rsid w:val="003B179B"/>
    <w:rsid w:val="003B2B7B"/>
    <w:rsid w:val="003C5E00"/>
    <w:rsid w:val="003F595C"/>
    <w:rsid w:val="003F5F57"/>
    <w:rsid w:val="003F78E0"/>
    <w:rsid w:val="00441FAE"/>
    <w:rsid w:val="00446CEF"/>
    <w:rsid w:val="004530E3"/>
    <w:rsid w:val="004635CB"/>
    <w:rsid w:val="0048507C"/>
    <w:rsid w:val="00491BDF"/>
    <w:rsid w:val="004B4165"/>
    <w:rsid w:val="004D19C1"/>
    <w:rsid w:val="005006C9"/>
    <w:rsid w:val="00502EEF"/>
    <w:rsid w:val="00533F91"/>
    <w:rsid w:val="005367EF"/>
    <w:rsid w:val="00557E2E"/>
    <w:rsid w:val="005A37B2"/>
    <w:rsid w:val="005A3EE1"/>
    <w:rsid w:val="005A6E52"/>
    <w:rsid w:val="005D2872"/>
    <w:rsid w:val="005F6730"/>
    <w:rsid w:val="00613659"/>
    <w:rsid w:val="00616E31"/>
    <w:rsid w:val="00633CCC"/>
    <w:rsid w:val="00655E3C"/>
    <w:rsid w:val="00674C42"/>
    <w:rsid w:val="00685D15"/>
    <w:rsid w:val="006870A6"/>
    <w:rsid w:val="00691A5A"/>
    <w:rsid w:val="006A1C16"/>
    <w:rsid w:val="006D1A30"/>
    <w:rsid w:val="006F4DFE"/>
    <w:rsid w:val="007335C3"/>
    <w:rsid w:val="007462BF"/>
    <w:rsid w:val="00764C83"/>
    <w:rsid w:val="007966E1"/>
    <w:rsid w:val="007A236B"/>
    <w:rsid w:val="007A2629"/>
    <w:rsid w:val="007A373B"/>
    <w:rsid w:val="007C1005"/>
    <w:rsid w:val="007C4A33"/>
    <w:rsid w:val="007E5052"/>
    <w:rsid w:val="007F3C66"/>
    <w:rsid w:val="00802325"/>
    <w:rsid w:val="00847BE5"/>
    <w:rsid w:val="00872730"/>
    <w:rsid w:val="0088066B"/>
    <w:rsid w:val="0089471E"/>
    <w:rsid w:val="008C660F"/>
    <w:rsid w:val="008D7912"/>
    <w:rsid w:val="008E3039"/>
    <w:rsid w:val="008E7664"/>
    <w:rsid w:val="00906412"/>
    <w:rsid w:val="00912983"/>
    <w:rsid w:val="00913BD5"/>
    <w:rsid w:val="00947AA5"/>
    <w:rsid w:val="00984075"/>
    <w:rsid w:val="009B3E22"/>
    <w:rsid w:val="009D5E8E"/>
    <w:rsid w:val="009E4231"/>
    <w:rsid w:val="009F3459"/>
    <w:rsid w:val="00A017BA"/>
    <w:rsid w:val="00A30B75"/>
    <w:rsid w:val="00A41DFA"/>
    <w:rsid w:val="00A730CA"/>
    <w:rsid w:val="00A74044"/>
    <w:rsid w:val="00A968FC"/>
    <w:rsid w:val="00AB2DE5"/>
    <w:rsid w:val="00B14B4D"/>
    <w:rsid w:val="00B84C10"/>
    <w:rsid w:val="00BB106D"/>
    <w:rsid w:val="00BE081B"/>
    <w:rsid w:val="00C425B3"/>
    <w:rsid w:val="00C52E14"/>
    <w:rsid w:val="00C767D4"/>
    <w:rsid w:val="00C86AB9"/>
    <w:rsid w:val="00C92BDE"/>
    <w:rsid w:val="00CC232E"/>
    <w:rsid w:val="00CD1804"/>
    <w:rsid w:val="00CF6EFD"/>
    <w:rsid w:val="00D13C71"/>
    <w:rsid w:val="00D21762"/>
    <w:rsid w:val="00D323E8"/>
    <w:rsid w:val="00D556E6"/>
    <w:rsid w:val="00DF68EA"/>
    <w:rsid w:val="00E319E7"/>
    <w:rsid w:val="00E35A25"/>
    <w:rsid w:val="00E73EE1"/>
    <w:rsid w:val="00E94D5A"/>
    <w:rsid w:val="00EB1C8A"/>
    <w:rsid w:val="00EB4E41"/>
    <w:rsid w:val="00EF2797"/>
    <w:rsid w:val="00F05C63"/>
    <w:rsid w:val="00F10C2F"/>
    <w:rsid w:val="00F127FF"/>
    <w:rsid w:val="00F15903"/>
    <w:rsid w:val="00FB70BA"/>
    <w:rsid w:val="00FD1291"/>
    <w:rsid w:val="00FD19A7"/>
    <w:rsid w:val="0122167A"/>
    <w:rsid w:val="01245453"/>
    <w:rsid w:val="013E4022"/>
    <w:rsid w:val="01935887"/>
    <w:rsid w:val="020B3C53"/>
    <w:rsid w:val="02291D3B"/>
    <w:rsid w:val="033605E0"/>
    <w:rsid w:val="038F65D0"/>
    <w:rsid w:val="03E36D31"/>
    <w:rsid w:val="04CC341D"/>
    <w:rsid w:val="04F8157B"/>
    <w:rsid w:val="05137CD7"/>
    <w:rsid w:val="05FA5187"/>
    <w:rsid w:val="060B26E0"/>
    <w:rsid w:val="061C17FE"/>
    <w:rsid w:val="06293766"/>
    <w:rsid w:val="06F51849"/>
    <w:rsid w:val="08505D37"/>
    <w:rsid w:val="08B06CBC"/>
    <w:rsid w:val="0A1666F8"/>
    <w:rsid w:val="0A6516C8"/>
    <w:rsid w:val="0A7E73DA"/>
    <w:rsid w:val="0AC97250"/>
    <w:rsid w:val="0B420AE2"/>
    <w:rsid w:val="0BE40A94"/>
    <w:rsid w:val="0BFA1D66"/>
    <w:rsid w:val="0C1E2BA0"/>
    <w:rsid w:val="0C765CB2"/>
    <w:rsid w:val="0CCF474E"/>
    <w:rsid w:val="0D075B79"/>
    <w:rsid w:val="0E1F781C"/>
    <w:rsid w:val="0E970358"/>
    <w:rsid w:val="0F6A1A20"/>
    <w:rsid w:val="0FD0632B"/>
    <w:rsid w:val="10392EAE"/>
    <w:rsid w:val="10646958"/>
    <w:rsid w:val="10706EC2"/>
    <w:rsid w:val="109F6B76"/>
    <w:rsid w:val="10D3404B"/>
    <w:rsid w:val="114E5D29"/>
    <w:rsid w:val="114F40BB"/>
    <w:rsid w:val="120C1CC5"/>
    <w:rsid w:val="124503FC"/>
    <w:rsid w:val="127C0CA6"/>
    <w:rsid w:val="12807280"/>
    <w:rsid w:val="13546461"/>
    <w:rsid w:val="13636FCF"/>
    <w:rsid w:val="14490CA5"/>
    <w:rsid w:val="145713EB"/>
    <w:rsid w:val="146A2080"/>
    <w:rsid w:val="147D0790"/>
    <w:rsid w:val="148463E6"/>
    <w:rsid w:val="148D4AB1"/>
    <w:rsid w:val="14D20D9B"/>
    <w:rsid w:val="150F5D9A"/>
    <w:rsid w:val="15A72BED"/>
    <w:rsid w:val="15D05D1C"/>
    <w:rsid w:val="1621170E"/>
    <w:rsid w:val="18B91D2B"/>
    <w:rsid w:val="18C40414"/>
    <w:rsid w:val="19321FE3"/>
    <w:rsid w:val="193F5D85"/>
    <w:rsid w:val="19C02F21"/>
    <w:rsid w:val="19D16D8A"/>
    <w:rsid w:val="1A6A6D44"/>
    <w:rsid w:val="1A817123"/>
    <w:rsid w:val="1B506387"/>
    <w:rsid w:val="1C093ECB"/>
    <w:rsid w:val="1C1D644D"/>
    <w:rsid w:val="1C652823"/>
    <w:rsid w:val="1CE4433A"/>
    <w:rsid w:val="1D0A1321"/>
    <w:rsid w:val="1D89079B"/>
    <w:rsid w:val="1DE539F7"/>
    <w:rsid w:val="1E1E6F53"/>
    <w:rsid w:val="1EE84AA8"/>
    <w:rsid w:val="1F6542F4"/>
    <w:rsid w:val="1F7550C2"/>
    <w:rsid w:val="1FBC0993"/>
    <w:rsid w:val="1FE67646"/>
    <w:rsid w:val="20195531"/>
    <w:rsid w:val="211E6D74"/>
    <w:rsid w:val="21C47A14"/>
    <w:rsid w:val="2236615E"/>
    <w:rsid w:val="22556F69"/>
    <w:rsid w:val="228447E5"/>
    <w:rsid w:val="22BB5608"/>
    <w:rsid w:val="230D1036"/>
    <w:rsid w:val="23424F53"/>
    <w:rsid w:val="236E14E2"/>
    <w:rsid w:val="23AB029F"/>
    <w:rsid w:val="24093984"/>
    <w:rsid w:val="24E76928"/>
    <w:rsid w:val="25057870"/>
    <w:rsid w:val="25113937"/>
    <w:rsid w:val="25874129"/>
    <w:rsid w:val="25C95F4D"/>
    <w:rsid w:val="260B2FF2"/>
    <w:rsid w:val="26F5563E"/>
    <w:rsid w:val="26FB5993"/>
    <w:rsid w:val="27447783"/>
    <w:rsid w:val="2769687D"/>
    <w:rsid w:val="27971227"/>
    <w:rsid w:val="2798423C"/>
    <w:rsid w:val="29D148D0"/>
    <w:rsid w:val="2A04456F"/>
    <w:rsid w:val="2A3E3DF9"/>
    <w:rsid w:val="2AC803DC"/>
    <w:rsid w:val="2ACD0D4B"/>
    <w:rsid w:val="2AF418F0"/>
    <w:rsid w:val="2AFB68A2"/>
    <w:rsid w:val="2B14447A"/>
    <w:rsid w:val="2B657F18"/>
    <w:rsid w:val="2B902755"/>
    <w:rsid w:val="2BB30714"/>
    <w:rsid w:val="2C5A1E80"/>
    <w:rsid w:val="2DEC5949"/>
    <w:rsid w:val="2DF5334F"/>
    <w:rsid w:val="2F9E10B4"/>
    <w:rsid w:val="2FCE3214"/>
    <w:rsid w:val="30143D85"/>
    <w:rsid w:val="30603468"/>
    <w:rsid w:val="3080303E"/>
    <w:rsid w:val="30B83F4E"/>
    <w:rsid w:val="30D74678"/>
    <w:rsid w:val="31734783"/>
    <w:rsid w:val="31752B09"/>
    <w:rsid w:val="323853F3"/>
    <w:rsid w:val="32A16455"/>
    <w:rsid w:val="33355271"/>
    <w:rsid w:val="341548E3"/>
    <w:rsid w:val="34476D51"/>
    <w:rsid w:val="34FF0747"/>
    <w:rsid w:val="35E531B2"/>
    <w:rsid w:val="3648776F"/>
    <w:rsid w:val="36891CDA"/>
    <w:rsid w:val="36933729"/>
    <w:rsid w:val="370B23AB"/>
    <w:rsid w:val="37621ECE"/>
    <w:rsid w:val="37663AEE"/>
    <w:rsid w:val="37712A39"/>
    <w:rsid w:val="37831A17"/>
    <w:rsid w:val="38932B53"/>
    <w:rsid w:val="39280784"/>
    <w:rsid w:val="39761340"/>
    <w:rsid w:val="39E55D12"/>
    <w:rsid w:val="39FE5526"/>
    <w:rsid w:val="3AAF1BDA"/>
    <w:rsid w:val="3AE50133"/>
    <w:rsid w:val="3AE636B8"/>
    <w:rsid w:val="3AF61231"/>
    <w:rsid w:val="3B345EA5"/>
    <w:rsid w:val="3C2356AF"/>
    <w:rsid w:val="3CAA65A9"/>
    <w:rsid w:val="3D962EF2"/>
    <w:rsid w:val="3DB531EC"/>
    <w:rsid w:val="3DC234A9"/>
    <w:rsid w:val="3DCC30CB"/>
    <w:rsid w:val="3E394E0C"/>
    <w:rsid w:val="3E7E033A"/>
    <w:rsid w:val="3EF55C06"/>
    <w:rsid w:val="3EFE63F7"/>
    <w:rsid w:val="3F552DD8"/>
    <w:rsid w:val="3F731F4D"/>
    <w:rsid w:val="3F777AC3"/>
    <w:rsid w:val="3FF14728"/>
    <w:rsid w:val="40000BA2"/>
    <w:rsid w:val="402F0F6D"/>
    <w:rsid w:val="40BF6EB5"/>
    <w:rsid w:val="4131094E"/>
    <w:rsid w:val="41442AAE"/>
    <w:rsid w:val="414940CE"/>
    <w:rsid w:val="426A53A4"/>
    <w:rsid w:val="43036342"/>
    <w:rsid w:val="430948CB"/>
    <w:rsid w:val="432B139E"/>
    <w:rsid w:val="433C63C3"/>
    <w:rsid w:val="43894FCF"/>
    <w:rsid w:val="43FF65D9"/>
    <w:rsid w:val="44010B62"/>
    <w:rsid w:val="443C255B"/>
    <w:rsid w:val="447C7AED"/>
    <w:rsid w:val="44DA2976"/>
    <w:rsid w:val="4563730C"/>
    <w:rsid w:val="4736526E"/>
    <w:rsid w:val="4782341B"/>
    <w:rsid w:val="47E629E2"/>
    <w:rsid w:val="480C62D5"/>
    <w:rsid w:val="484212CB"/>
    <w:rsid w:val="48625C43"/>
    <w:rsid w:val="48694FA0"/>
    <w:rsid w:val="488E768B"/>
    <w:rsid w:val="48BB582D"/>
    <w:rsid w:val="491633CD"/>
    <w:rsid w:val="495F7D2E"/>
    <w:rsid w:val="498F622E"/>
    <w:rsid w:val="49F41D5E"/>
    <w:rsid w:val="4A325E82"/>
    <w:rsid w:val="4A910D71"/>
    <w:rsid w:val="4AA0530C"/>
    <w:rsid w:val="4AB6441D"/>
    <w:rsid w:val="4ADA01C5"/>
    <w:rsid w:val="4AE6653E"/>
    <w:rsid w:val="4B1E31F7"/>
    <w:rsid w:val="4BBF0F5D"/>
    <w:rsid w:val="4BCB3573"/>
    <w:rsid w:val="4CAF4277"/>
    <w:rsid w:val="4CB16394"/>
    <w:rsid w:val="4CC103F7"/>
    <w:rsid w:val="4CE75373"/>
    <w:rsid w:val="4DB737CA"/>
    <w:rsid w:val="4DFA6A2B"/>
    <w:rsid w:val="4E3A0519"/>
    <w:rsid w:val="4EA97723"/>
    <w:rsid w:val="4EDF54B5"/>
    <w:rsid w:val="4FD71D64"/>
    <w:rsid w:val="50136BDE"/>
    <w:rsid w:val="50400BF6"/>
    <w:rsid w:val="50B94F2C"/>
    <w:rsid w:val="51A7715F"/>
    <w:rsid w:val="521B4E34"/>
    <w:rsid w:val="52DA2233"/>
    <w:rsid w:val="531541D9"/>
    <w:rsid w:val="549855E2"/>
    <w:rsid w:val="55770053"/>
    <w:rsid w:val="55C77B84"/>
    <w:rsid w:val="566D4B95"/>
    <w:rsid w:val="567C0D51"/>
    <w:rsid w:val="572656D4"/>
    <w:rsid w:val="57616FF6"/>
    <w:rsid w:val="57651379"/>
    <w:rsid w:val="578D035B"/>
    <w:rsid w:val="57B9623A"/>
    <w:rsid w:val="58573E31"/>
    <w:rsid w:val="58664A9E"/>
    <w:rsid w:val="59050A31"/>
    <w:rsid w:val="59161D1C"/>
    <w:rsid w:val="59A059CB"/>
    <w:rsid w:val="59AD06A4"/>
    <w:rsid w:val="59D70A4F"/>
    <w:rsid w:val="5A4D586D"/>
    <w:rsid w:val="5A5F64D7"/>
    <w:rsid w:val="5A6249B0"/>
    <w:rsid w:val="5A960EAB"/>
    <w:rsid w:val="5BF56818"/>
    <w:rsid w:val="5CC25D8E"/>
    <w:rsid w:val="5D4E3FA5"/>
    <w:rsid w:val="5D7F3676"/>
    <w:rsid w:val="5E71670A"/>
    <w:rsid w:val="5EE84C68"/>
    <w:rsid w:val="5F285855"/>
    <w:rsid w:val="5F75144C"/>
    <w:rsid w:val="5F7E5731"/>
    <w:rsid w:val="5FAD59C4"/>
    <w:rsid w:val="5FE3043E"/>
    <w:rsid w:val="612C7FAF"/>
    <w:rsid w:val="61E91B05"/>
    <w:rsid w:val="61F11111"/>
    <w:rsid w:val="621D5BA4"/>
    <w:rsid w:val="62616A1D"/>
    <w:rsid w:val="633C44B1"/>
    <w:rsid w:val="635B6748"/>
    <w:rsid w:val="63947A95"/>
    <w:rsid w:val="63C714BF"/>
    <w:rsid w:val="63E90322"/>
    <w:rsid w:val="6557284E"/>
    <w:rsid w:val="66943411"/>
    <w:rsid w:val="66A108CB"/>
    <w:rsid w:val="671F6C89"/>
    <w:rsid w:val="67B167D1"/>
    <w:rsid w:val="67BB7ACC"/>
    <w:rsid w:val="67C1070A"/>
    <w:rsid w:val="67C8546A"/>
    <w:rsid w:val="67C95222"/>
    <w:rsid w:val="68147595"/>
    <w:rsid w:val="685F1C50"/>
    <w:rsid w:val="689F4646"/>
    <w:rsid w:val="68CA3EEA"/>
    <w:rsid w:val="68DE7E55"/>
    <w:rsid w:val="699022E9"/>
    <w:rsid w:val="69996604"/>
    <w:rsid w:val="69B94C0E"/>
    <w:rsid w:val="69C72C9E"/>
    <w:rsid w:val="69D247C7"/>
    <w:rsid w:val="69FF2938"/>
    <w:rsid w:val="6A714498"/>
    <w:rsid w:val="6A8E0ABC"/>
    <w:rsid w:val="6B4C6CF4"/>
    <w:rsid w:val="6BA444D2"/>
    <w:rsid w:val="6BAA31DE"/>
    <w:rsid w:val="6BAE0F48"/>
    <w:rsid w:val="6D33687C"/>
    <w:rsid w:val="6D6467B2"/>
    <w:rsid w:val="6D6A7762"/>
    <w:rsid w:val="6DA04EE5"/>
    <w:rsid w:val="6DB937D5"/>
    <w:rsid w:val="6DCD2F33"/>
    <w:rsid w:val="6E601F01"/>
    <w:rsid w:val="6E8D0D3D"/>
    <w:rsid w:val="6F2E0BC3"/>
    <w:rsid w:val="6F3510C4"/>
    <w:rsid w:val="6F3E3D9B"/>
    <w:rsid w:val="6F896BFB"/>
    <w:rsid w:val="6FDE7453"/>
    <w:rsid w:val="70304D45"/>
    <w:rsid w:val="70345B2D"/>
    <w:rsid w:val="7065082F"/>
    <w:rsid w:val="70913F9E"/>
    <w:rsid w:val="709D04F4"/>
    <w:rsid w:val="70D44E46"/>
    <w:rsid w:val="70ED402C"/>
    <w:rsid w:val="714375FF"/>
    <w:rsid w:val="72A27523"/>
    <w:rsid w:val="73657593"/>
    <w:rsid w:val="73660E79"/>
    <w:rsid w:val="737C0DB1"/>
    <w:rsid w:val="74144AF0"/>
    <w:rsid w:val="741C6C52"/>
    <w:rsid w:val="745919C6"/>
    <w:rsid w:val="74702A9A"/>
    <w:rsid w:val="74883655"/>
    <w:rsid w:val="748A309D"/>
    <w:rsid w:val="74E92E35"/>
    <w:rsid w:val="74ED462C"/>
    <w:rsid w:val="752743F5"/>
    <w:rsid w:val="75B14EE1"/>
    <w:rsid w:val="75D869F6"/>
    <w:rsid w:val="75F378C9"/>
    <w:rsid w:val="761C2BBB"/>
    <w:rsid w:val="76A3778E"/>
    <w:rsid w:val="76BD5CD9"/>
    <w:rsid w:val="776A1DE8"/>
    <w:rsid w:val="778F2F6E"/>
    <w:rsid w:val="77AE550D"/>
    <w:rsid w:val="785D00CA"/>
    <w:rsid w:val="78CD06B7"/>
    <w:rsid w:val="795804BC"/>
    <w:rsid w:val="79635820"/>
    <w:rsid w:val="79D03D4B"/>
    <w:rsid w:val="79DA30F6"/>
    <w:rsid w:val="7A107949"/>
    <w:rsid w:val="7A156DB0"/>
    <w:rsid w:val="7A6C197B"/>
    <w:rsid w:val="7B73169F"/>
    <w:rsid w:val="7BB164E3"/>
    <w:rsid w:val="7C264ADD"/>
    <w:rsid w:val="7C927B30"/>
    <w:rsid w:val="7C931089"/>
    <w:rsid w:val="7D2D0B46"/>
    <w:rsid w:val="7D426594"/>
    <w:rsid w:val="7D4A5A41"/>
    <w:rsid w:val="7D6E5BA2"/>
    <w:rsid w:val="7DDD6CEA"/>
    <w:rsid w:val="7E1C1443"/>
    <w:rsid w:val="7E251DE7"/>
    <w:rsid w:val="7E636E14"/>
    <w:rsid w:val="7F33321A"/>
    <w:rsid w:val="7F437B5A"/>
    <w:rsid w:val="7F664B03"/>
    <w:rsid w:val="7F8E0716"/>
    <w:rsid w:val="7FD428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1"/>
    <w:qFormat/>
    <w:uiPriority w:val="99"/>
    <w:pPr>
      <w:keepNext/>
      <w:keepLines/>
      <w:spacing w:line="578" w:lineRule="auto"/>
      <w:ind w:left="425" w:hanging="425"/>
      <w:outlineLvl w:val="0"/>
    </w:pPr>
    <w:rPr>
      <w:rFonts w:ascii="宋体" w:hAnsi="宋体" w:cs="宋体"/>
      <w:b/>
      <w:bCs/>
      <w:kern w:val="44"/>
      <w:sz w:val="44"/>
      <w:szCs w:val="44"/>
    </w:rPr>
  </w:style>
  <w:style w:type="paragraph" w:styleId="4">
    <w:name w:val="heading 2"/>
    <w:basedOn w:val="1"/>
    <w:next w:val="1"/>
    <w:link w:val="8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97"/>
    <w:unhideWhenUsed/>
    <w:qFormat/>
    <w:uiPriority w:val="9"/>
    <w:pPr>
      <w:keepNext/>
      <w:keepLines/>
      <w:spacing w:before="260" w:after="260" w:line="416" w:lineRule="auto"/>
      <w:outlineLvl w:val="2"/>
    </w:pPr>
    <w:rPr>
      <w:b/>
      <w:bCs/>
      <w:sz w:val="32"/>
      <w:szCs w:val="32"/>
    </w:rPr>
  </w:style>
  <w:style w:type="paragraph" w:styleId="2">
    <w:name w:val="heading 4"/>
    <w:basedOn w:val="1"/>
    <w:next w:val="1"/>
    <w:link w:val="9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92"/>
    <w:unhideWhenUsed/>
    <w:qFormat/>
    <w:uiPriority w:val="9"/>
    <w:pPr>
      <w:keepNext/>
      <w:keepLines/>
      <w:spacing w:line="376" w:lineRule="auto"/>
      <w:ind w:left="2125" w:hanging="425"/>
      <w:outlineLvl w:val="4"/>
    </w:pPr>
    <w:rPr>
      <w:rFonts w:ascii="宋体" w:hAnsi="宋体" w:cs="宋体"/>
      <w:b/>
      <w:bCs/>
      <w:kern w:val="0"/>
      <w:sz w:val="28"/>
      <w:szCs w:val="28"/>
    </w:rPr>
  </w:style>
  <w:style w:type="paragraph" w:styleId="7">
    <w:name w:val="heading 6"/>
    <w:basedOn w:val="1"/>
    <w:next w:val="1"/>
    <w:link w:val="93"/>
    <w:unhideWhenUsed/>
    <w:qFormat/>
    <w:uiPriority w:val="9"/>
    <w:pPr>
      <w:keepNext/>
      <w:keepLines/>
      <w:spacing w:line="320" w:lineRule="auto"/>
      <w:ind w:left="2550" w:hanging="425"/>
      <w:outlineLvl w:val="5"/>
    </w:pPr>
    <w:rPr>
      <w:rFonts w:asciiTheme="majorHAnsi" w:hAnsiTheme="majorHAnsi" w:cstheme="majorBidi"/>
      <w:b/>
      <w:bCs/>
      <w:kern w:val="0"/>
      <w:sz w:val="24"/>
    </w:rPr>
  </w:style>
  <w:style w:type="paragraph" w:styleId="8">
    <w:name w:val="heading 7"/>
    <w:basedOn w:val="1"/>
    <w:next w:val="1"/>
    <w:link w:val="94"/>
    <w:unhideWhenUsed/>
    <w:qFormat/>
    <w:uiPriority w:val="9"/>
    <w:pPr>
      <w:keepNext/>
      <w:keepLines/>
      <w:spacing w:line="320" w:lineRule="auto"/>
      <w:ind w:left="2975" w:hanging="425"/>
      <w:outlineLvl w:val="6"/>
    </w:pPr>
    <w:rPr>
      <w:rFonts w:ascii="宋体" w:hAnsi="宋体" w:cs="宋体"/>
      <w:b/>
      <w:bCs/>
      <w:kern w:val="0"/>
      <w:sz w:val="24"/>
    </w:rPr>
  </w:style>
  <w:style w:type="paragraph" w:styleId="9">
    <w:name w:val="heading 8"/>
    <w:basedOn w:val="1"/>
    <w:next w:val="1"/>
    <w:link w:val="95"/>
    <w:unhideWhenUsed/>
    <w:qFormat/>
    <w:uiPriority w:val="9"/>
    <w:pPr>
      <w:keepNext/>
      <w:keepLines/>
      <w:spacing w:line="320" w:lineRule="auto"/>
      <w:ind w:left="3400" w:hanging="425"/>
      <w:outlineLvl w:val="7"/>
    </w:pPr>
    <w:rPr>
      <w:rFonts w:asciiTheme="majorHAnsi" w:hAnsiTheme="majorHAnsi" w:cstheme="majorBidi"/>
      <w:b/>
      <w:kern w:val="0"/>
      <w:sz w:val="24"/>
    </w:rPr>
  </w:style>
  <w:style w:type="paragraph" w:styleId="10">
    <w:name w:val="heading 9"/>
    <w:basedOn w:val="1"/>
    <w:next w:val="1"/>
    <w:link w:val="96"/>
    <w:unhideWhenUsed/>
    <w:qFormat/>
    <w:uiPriority w:val="9"/>
    <w:pPr>
      <w:keepNext/>
      <w:keepLines/>
      <w:spacing w:line="320" w:lineRule="auto"/>
      <w:ind w:left="3825" w:hanging="425"/>
      <w:outlineLvl w:val="8"/>
    </w:pPr>
    <w:rPr>
      <w:rFonts w:asciiTheme="majorHAnsi" w:hAnsiTheme="majorHAnsi" w:cstheme="majorBidi"/>
      <w:b/>
      <w:kern w:val="0"/>
      <w:sz w:val="24"/>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widowControl/>
      <w:ind w:left="2520" w:leftChars="1200"/>
      <w:jc w:val="left"/>
    </w:pPr>
    <w:rPr>
      <w:rFonts w:ascii="宋体" w:hAnsi="宋体" w:cs="宋体"/>
      <w:kern w:val="0"/>
      <w:sz w:val="24"/>
    </w:rPr>
  </w:style>
  <w:style w:type="paragraph" w:styleId="12">
    <w:name w:val="List Number"/>
    <w:basedOn w:val="1"/>
    <w:qFormat/>
    <w:uiPriority w:val="0"/>
    <w:pPr>
      <w:numPr>
        <w:ilvl w:val="0"/>
        <w:numId w:val="1"/>
      </w:numPr>
    </w:pPr>
  </w:style>
  <w:style w:type="paragraph" w:styleId="13">
    <w:name w:val="Normal Indent"/>
    <w:basedOn w:val="1"/>
    <w:next w:val="1"/>
    <w:qFormat/>
    <w:uiPriority w:val="0"/>
    <w:pPr>
      <w:ind w:firstLine="420"/>
    </w:pPr>
    <w:rPr>
      <w:szCs w:val="20"/>
    </w:rPr>
  </w:style>
  <w:style w:type="paragraph" w:styleId="14">
    <w:name w:val="caption"/>
    <w:basedOn w:val="1"/>
    <w:next w:val="1"/>
    <w:link w:val="404"/>
    <w:unhideWhenUsed/>
    <w:qFormat/>
    <w:uiPriority w:val="35"/>
    <w:pPr>
      <w:numPr>
        <w:ilvl w:val="0"/>
        <w:numId w:val="2"/>
      </w:numPr>
      <w:spacing w:line="360" w:lineRule="auto"/>
      <w:ind w:firstLine="0"/>
      <w:jc w:val="center"/>
    </w:pPr>
    <w:rPr>
      <w:rFonts w:ascii="Arial Unicode MS" w:hAnsi="Arial Unicode MS" w:cs="宋体"/>
      <w:kern w:val="0"/>
      <w:sz w:val="24"/>
      <w:szCs w:val="20"/>
    </w:rPr>
  </w:style>
  <w:style w:type="paragraph" w:styleId="15">
    <w:name w:val="Document Map"/>
    <w:basedOn w:val="1"/>
    <w:link w:val="98"/>
    <w:unhideWhenUsed/>
    <w:qFormat/>
    <w:uiPriority w:val="99"/>
    <w:pPr>
      <w:widowControl/>
      <w:jc w:val="left"/>
    </w:pPr>
    <w:rPr>
      <w:rFonts w:ascii="宋体" w:hAnsi="宋体" w:cs="宋体"/>
      <w:kern w:val="0"/>
      <w:sz w:val="18"/>
      <w:szCs w:val="18"/>
    </w:rPr>
  </w:style>
  <w:style w:type="paragraph" w:styleId="16">
    <w:name w:val="annotation text"/>
    <w:basedOn w:val="1"/>
    <w:link w:val="73"/>
    <w:qFormat/>
    <w:uiPriority w:val="0"/>
    <w:pPr>
      <w:jc w:val="left"/>
    </w:pPr>
  </w:style>
  <w:style w:type="paragraph" w:styleId="17">
    <w:name w:val="Body Text"/>
    <w:basedOn w:val="1"/>
    <w:next w:val="18"/>
    <w:link w:val="104"/>
    <w:qFormat/>
    <w:uiPriority w:val="99"/>
    <w:pPr>
      <w:spacing w:line="360" w:lineRule="exact"/>
    </w:pPr>
    <w:rPr>
      <w:sz w:val="24"/>
    </w:rPr>
  </w:style>
  <w:style w:type="paragraph" w:styleId="18">
    <w:name w:val="Body Text First Indent"/>
    <w:basedOn w:val="17"/>
    <w:next w:val="19"/>
    <w:link w:val="105"/>
    <w:unhideWhenUsed/>
    <w:qFormat/>
    <w:uiPriority w:val="99"/>
    <w:pPr>
      <w:widowControl/>
      <w:spacing w:after="120" w:line="240" w:lineRule="auto"/>
      <w:ind w:firstLine="420" w:firstLineChars="100"/>
      <w:jc w:val="left"/>
    </w:pPr>
    <w:rPr>
      <w:color w:val="000000"/>
      <w:spacing w:val="12"/>
      <w:kern w:val="0"/>
      <w:sz w:val="28"/>
      <w:szCs w:val="20"/>
    </w:rPr>
  </w:style>
  <w:style w:type="paragraph" w:styleId="19">
    <w:name w:val="toc 6"/>
    <w:basedOn w:val="1"/>
    <w:next w:val="1"/>
    <w:unhideWhenUsed/>
    <w:qFormat/>
    <w:uiPriority w:val="39"/>
    <w:pPr>
      <w:widowControl/>
      <w:ind w:left="2100" w:leftChars="1000"/>
      <w:jc w:val="left"/>
    </w:pPr>
    <w:rPr>
      <w:rFonts w:ascii="宋体" w:hAnsi="宋体" w:cs="宋体"/>
      <w:kern w:val="0"/>
      <w:sz w:val="24"/>
    </w:rPr>
  </w:style>
  <w:style w:type="paragraph" w:styleId="20">
    <w:name w:val="Body Text Indent"/>
    <w:basedOn w:val="1"/>
    <w:next w:val="1"/>
    <w:link w:val="76"/>
    <w:qFormat/>
    <w:uiPriority w:val="0"/>
    <w:pPr>
      <w:spacing w:after="120"/>
      <w:ind w:left="420" w:leftChars="200"/>
    </w:pPr>
  </w:style>
  <w:style w:type="paragraph" w:styleId="21">
    <w:name w:val="Block Text"/>
    <w:basedOn w:val="1"/>
    <w:qFormat/>
    <w:uiPriority w:val="0"/>
    <w:pPr>
      <w:adjustRightInd w:val="0"/>
      <w:snapToGrid w:val="0"/>
      <w:spacing w:line="360" w:lineRule="auto"/>
      <w:ind w:left="270" w:leftChars="270" w:right="-150" w:rightChars="-150" w:firstLine="200" w:firstLineChars="200"/>
    </w:pPr>
    <w:rPr>
      <w:rFonts w:ascii="宋体"/>
      <w:sz w:val="24"/>
      <w:szCs w:val="20"/>
    </w:rPr>
  </w:style>
  <w:style w:type="paragraph" w:styleId="22">
    <w:name w:val="toc 5"/>
    <w:basedOn w:val="1"/>
    <w:next w:val="1"/>
    <w:unhideWhenUsed/>
    <w:qFormat/>
    <w:uiPriority w:val="39"/>
    <w:pPr>
      <w:widowControl/>
      <w:ind w:left="1680" w:leftChars="800"/>
      <w:jc w:val="left"/>
    </w:pPr>
    <w:rPr>
      <w:rFonts w:ascii="宋体" w:hAnsi="宋体" w:cs="宋体"/>
      <w:kern w:val="0"/>
      <w:sz w:val="24"/>
    </w:rPr>
  </w:style>
  <w:style w:type="paragraph" w:styleId="23">
    <w:name w:val="toc 3"/>
    <w:basedOn w:val="1"/>
    <w:next w:val="1"/>
    <w:unhideWhenUsed/>
    <w:qFormat/>
    <w:uiPriority w:val="39"/>
    <w:pPr>
      <w:widowControl/>
      <w:spacing w:line="360" w:lineRule="auto"/>
      <w:ind w:firstLine="400" w:firstLineChars="400"/>
      <w:jc w:val="left"/>
    </w:pPr>
    <w:rPr>
      <w:rFonts w:cs="宋体"/>
      <w:kern w:val="0"/>
      <w:sz w:val="24"/>
    </w:rPr>
  </w:style>
  <w:style w:type="paragraph" w:styleId="24">
    <w:name w:val="Plain Text"/>
    <w:basedOn w:val="1"/>
    <w:next w:val="25"/>
    <w:link w:val="80"/>
    <w:qFormat/>
    <w:uiPriority w:val="0"/>
    <w:rPr>
      <w:rFonts w:ascii="宋体" w:hAnsi="Courier New" w:cstheme="minorBidi"/>
    </w:rPr>
  </w:style>
  <w:style w:type="paragraph" w:styleId="25">
    <w:name w:val="Date"/>
    <w:basedOn w:val="1"/>
    <w:next w:val="1"/>
    <w:link w:val="406"/>
    <w:qFormat/>
    <w:uiPriority w:val="99"/>
    <w:pPr>
      <w:ind w:left="2500" w:leftChars="2500"/>
    </w:pPr>
    <w:rPr>
      <w:rFonts w:eastAsia="楷体_GB2312" w:asciiTheme="minorHAnsi" w:hAnsiTheme="minorHAnsi" w:cstheme="minorBidi"/>
      <w:sz w:val="32"/>
      <w:szCs w:val="22"/>
    </w:rPr>
  </w:style>
  <w:style w:type="paragraph" w:styleId="26">
    <w:name w:val="toc 8"/>
    <w:basedOn w:val="1"/>
    <w:next w:val="1"/>
    <w:unhideWhenUsed/>
    <w:qFormat/>
    <w:uiPriority w:val="39"/>
    <w:pPr>
      <w:widowControl/>
      <w:ind w:left="2940" w:leftChars="1400"/>
      <w:jc w:val="left"/>
    </w:pPr>
    <w:rPr>
      <w:rFonts w:ascii="宋体" w:hAnsi="宋体" w:cs="宋体"/>
      <w:kern w:val="0"/>
      <w:sz w:val="24"/>
    </w:rPr>
  </w:style>
  <w:style w:type="paragraph" w:styleId="27">
    <w:name w:val="Body Text Indent 2"/>
    <w:basedOn w:val="1"/>
    <w:link w:val="100"/>
    <w:unhideWhenUsed/>
    <w:qFormat/>
    <w:uiPriority w:val="99"/>
    <w:pPr>
      <w:widowControl/>
      <w:spacing w:after="120" w:line="480" w:lineRule="auto"/>
      <w:ind w:left="420" w:leftChars="200"/>
      <w:jc w:val="left"/>
    </w:pPr>
    <w:rPr>
      <w:rFonts w:ascii="宋体" w:hAnsi="宋体" w:cs="宋体"/>
      <w:kern w:val="0"/>
      <w:sz w:val="24"/>
    </w:rPr>
  </w:style>
  <w:style w:type="paragraph" w:styleId="28">
    <w:name w:val="Balloon Text"/>
    <w:basedOn w:val="1"/>
    <w:link w:val="75"/>
    <w:qFormat/>
    <w:uiPriority w:val="99"/>
    <w:rPr>
      <w:sz w:val="18"/>
      <w:szCs w:val="18"/>
    </w:rPr>
  </w:style>
  <w:style w:type="paragraph" w:styleId="29">
    <w:name w:val="footer"/>
    <w:basedOn w:val="1"/>
    <w:link w:val="101"/>
    <w:qFormat/>
    <w:uiPriority w:val="99"/>
    <w:pPr>
      <w:tabs>
        <w:tab w:val="center" w:pos="4153"/>
        <w:tab w:val="right" w:pos="8306"/>
      </w:tabs>
      <w:snapToGrid w:val="0"/>
      <w:jc w:val="left"/>
    </w:pPr>
    <w:rPr>
      <w:sz w:val="18"/>
    </w:rPr>
  </w:style>
  <w:style w:type="paragraph" w:styleId="30">
    <w:name w:val="header"/>
    <w:basedOn w:val="1"/>
    <w:link w:val="10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1">
    <w:name w:val="toc 1"/>
    <w:basedOn w:val="1"/>
    <w:next w:val="1"/>
    <w:unhideWhenUsed/>
    <w:qFormat/>
    <w:uiPriority w:val="39"/>
    <w:pPr>
      <w:widowControl/>
      <w:jc w:val="left"/>
    </w:pPr>
    <w:rPr>
      <w:rFonts w:cs="宋体"/>
      <w:b/>
      <w:color w:val="000000" w:themeColor="text1"/>
      <w:kern w:val="0"/>
      <w:sz w:val="28"/>
      <w14:textFill>
        <w14:solidFill>
          <w14:schemeClr w14:val="tx1"/>
        </w14:solidFill>
      </w14:textFill>
    </w:rPr>
  </w:style>
  <w:style w:type="paragraph" w:styleId="32">
    <w:name w:val="toc 4"/>
    <w:basedOn w:val="1"/>
    <w:next w:val="1"/>
    <w:unhideWhenUsed/>
    <w:qFormat/>
    <w:uiPriority w:val="39"/>
    <w:pPr>
      <w:widowControl/>
      <w:ind w:left="1260" w:leftChars="600"/>
      <w:jc w:val="left"/>
    </w:pPr>
    <w:rPr>
      <w:rFonts w:ascii="宋体" w:hAnsi="宋体" w:cs="宋体"/>
      <w:kern w:val="0"/>
      <w:sz w:val="24"/>
    </w:rPr>
  </w:style>
  <w:style w:type="paragraph" w:styleId="33">
    <w:name w:val="List"/>
    <w:basedOn w:val="1"/>
    <w:qFormat/>
    <w:uiPriority w:val="0"/>
    <w:pPr>
      <w:ind w:left="200" w:hanging="200" w:hangingChars="200"/>
    </w:pPr>
  </w:style>
  <w:style w:type="paragraph" w:styleId="34">
    <w:name w:val="footnote text"/>
    <w:basedOn w:val="1"/>
    <w:link w:val="103"/>
    <w:unhideWhenUsed/>
    <w:qFormat/>
    <w:uiPriority w:val="99"/>
    <w:pPr>
      <w:widowControl/>
      <w:snapToGrid w:val="0"/>
      <w:jc w:val="left"/>
    </w:pPr>
    <w:rPr>
      <w:rFonts w:ascii="宋体" w:hAnsi="宋体" w:cs="宋体"/>
      <w:kern w:val="0"/>
      <w:sz w:val="18"/>
      <w:szCs w:val="18"/>
    </w:rPr>
  </w:style>
  <w:style w:type="paragraph" w:styleId="35">
    <w:name w:val="Body Text Indent 3"/>
    <w:basedOn w:val="1"/>
    <w:qFormat/>
    <w:uiPriority w:val="0"/>
    <w:pPr>
      <w:spacing w:after="120"/>
      <w:ind w:left="420" w:leftChars="200"/>
    </w:pPr>
    <w:rPr>
      <w:sz w:val="16"/>
      <w:szCs w:val="16"/>
    </w:rPr>
  </w:style>
  <w:style w:type="paragraph" w:styleId="36">
    <w:name w:val="toc 2"/>
    <w:basedOn w:val="1"/>
    <w:next w:val="1"/>
    <w:unhideWhenUsed/>
    <w:qFormat/>
    <w:uiPriority w:val="39"/>
    <w:pPr>
      <w:widowControl/>
      <w:spacing w:line="360" w:lineRule="auto"/>
      <w:ind w:firstLine="200" w:firstLineChars="200"/>
      <w:jc w:val="left"/>
    </w:pPr>
    <w:rPr>
      <w:rFonts w:cs="宋体"/>
      <w:kern w:val="0"/>
      <w:sz w:val="24"/>
    </w:rPr>
  </w:style>
  <w:style w:type="paragraph" w:styleId="37">
    <w:name w:val="toc 9"/>
    <w:basedOn w:val="1"/>
    <w:next w:val="1"/>
    <w:unhideWhenUsed/>
    <w:qFormat/>
    <w:uiPriority w:val="39"/>
    <w:pPr>
      <w:widowControl/>
      <w:ind w:left="3360" w:leftChars="1600"/>
      <w:jc w:val="left"/>
    </w:pPr>
    <w:rPr>
      <w:rFonts w:ascii="宋体" w:hAnsi="宋体" w:cs="宋体"/>
      <w:kern w:val="0"/>
      <w:sz w:val="24"/>
    </w:rPr>
  </w:style>
  <w:style w:type="paragraph" w:styleId="38">
    <w:name w:val="HTML Preformatted"/>
    <w:basedOn w:val="1"/>
    <w:link w:val="40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next w:val="36"/>
    <w:qFormat/>
    <w:uiPriority w:val="0"/>
    <w:pPr>
      <w:widowControl/>
      <w:spacing w:before="100" w:beforeAutospacing="1" w:after="100" w:afterAutospacing="1"/>
      <w:jc w:val="left"/>
    </w:pPr>
    <w:rPr>
      <w:rFonts w:hint="eastAsia" w:ascii="宋体" w:hAnsi="宋体"/>
      <w:kern w:val="0"/>
      <w:sz w:val="24"/>
    </w:rPr>
  </w:style>
  <w:style w:type="paragraph" w:styleId="40">
    <w:name w:val="Title"/>
    <w:basedOn w:val="1"/>
    <w:next w:val="1"/>
    <w:link w:val="409"/>
    <w:qFormat/>
    <w:uiPriority w:val="0"/>
    <w:pPr>
      <w:spacing w:before="240" w:after="60" w:line="360" w:lineRule="auto"/>
      <w:jc w:val="center"/>
      <w:outlineLvl w:val="0"/>
    </w:pPr>
    <w:rPr>
      <w:rFonts w:ascii="Arial" w:hAnsi="Arial"/>
      <w:b/>
      <w:bCs/>
      <w:kern w:val="36"/>
      <w:sz w:val="32"/>
      <w:szCs w:val="32"/>
    </w:rPr>
  </w:style>
  <w:style w:type="paragraph" w:styleId="41">
    <w:name w:val="annotation subject"/>
    <w:basedOn w:val="16"/>
    <w:next w:val="16"/>
    <w:link w:val="74"/>
    <w:qFormat/>
    <w:uiPriority w:val="99"/>
    <w:rPr>
      <w:b/>
      <w:bCs/>
    </w:rPr>
  </w:style>
  <w:style w:type="paragraph" w:styleId="42">
    <w:name w:val="Body Text First Indent 2"/>
    <w:basedOn w:val="20"/>
    <w:next w:val="1"/>
    <w:link w:val="106"/>
    <w:qFormat/>
    <w:uiPriority w:val="0"/>
    <w:pPr>
      <w:widowControl/>
      <w:snapToGrid w:val="0"/>
      <w:spacing w:afterLines="100"/>
      <w:ind w:left="200" w:firstLine="210" w:firstLineChars="200"/>
      <w:jc w:val="left"/>
    </w:pPr>
    <w:rPr>
      <w:rFonts w:ascii="宋体" w:hAnsi="宋体" w:cs="宋体"/>
      <w:kern w:val="28"/>
      <w:sz w:val="24"/>
      <w:lang w:val="zh-CN"/>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0"/>
    <w:rPr>
      <w:b/>
    </w:rPr>
  </w:style>
  <w:style w:type="character" w:styleId="47">
    <w:name w:val="page number"/>
    <w:basedOn w:val="45"/>
    <w:unhideWhenUsed/>
    <w:qFormat/>
    <w:uiPriority w:val="99"/>
  </w:style>
  <w:style w:type="character" w:styleId="48">
    <w:name w:val="FollowedHyperlink"/>
    <w:basedOn w:val="45"/>
    <w:unhideWhenUsed/>
    <w:qFormat/>
    <w:uiPriority w:val="99"/>
    <w:rPr>
      <w:color w:val="800080"/>
      <w:u w:val="single"/>
    </w:rPr>
  </w:style>
  <w:style w:type="character" w:styleId="49">
    <w:name w:val="Emphasis"/>
    <w:basedOn w:val="45"/>
    <w:qFormat/>
    <w:uiPriority w:val="20"/>
    <w:rPr>
      <w:i/>
      <w:iCs/>
    </w:rPr>
  </w:style>
  <w:style w:type="character" w:styleId="50">
    <w:name w:val="Hyperlink"/>
    <w:basedOn w:val="45"/>
    <w:qFormat/>
    <w:uiPriority w:val="99"/>
    <w:rPr>
      <w:color w:val="0000FF"/>
      <w:u w:val="single"/>
    </w:rPr>
  </w:style>
  <w:style w:type="character" w:styleId="51">
    <w:name w:val="annotation reference"/>
    <w:basedOn w:val="45"/>
    <w:qFormat/>
    <w:uiPriority w:val="0"/>
    <w:rPr>
      <w:sz w:val="21"/>
      <w:szCs w:val="21"/>
    </w:rPr>
  </w:style>
  <w:style w:type="character" w:styleId="52">
    <w:name w:val="footnote reference"/>
    <w:basedOn w:val="45"/>
    <w:unhideWhenUsed/>
    <w:qFormat/>
    <w:uiPriority w:val="99"/>
    <w:rPr>
      <w:vertAlign w:val="superscript"/>
    </w:rPr>
  </w:style>
  <w:style w:type="paragraph" w:customStyle="1" w:styleId="53">
    <w:name w:val="无间隔1"/>
    <w:qFormat/>
    <w:uiPriority w:val="1"/>
    <w:pPr>
      <w:adjustRightInd w:val="0"/>
      <w:snapToGrid w:val="0"/>
    </w:pPr>
    <w:rPr>
      <w:rFonts w:ascii="Tahoma" w:hAnsi="Tahoma" w:eastAsia="微软雅黑" w:cstheme="minorBidi"/>
      <w:sz w:val="22"/>
      <w:szCs w:val="22"/>
      <w:lang w:val="en-US" w:eastAsia="zh-CN" w:bidi="ar-SA"/>
    </w:rPr>
  </w:style>
  <w:style w:type="paragraph" w:customStyle="1" w:styleId="54">
    <w:name w:val="表格文字"/>
    <w:basedOn w:val="24"/>
    <w:next w:val="17"/>
    <w:qFormat/>
    <w:uiPriority w:val="0"/>
    <w:rPr>
      <w:sz w:val="24"/>
    </w:rPr>
  </w:style>
  <w:style w:type="paragraph" w:customStyle="1" w:styleId="55">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56">
    <w:name w:val="[Normal]"/>
    <w:qFormat/>
    <w:uiPriority w:val="0"/>
    <w:rPr>
      <w:rFonts w:ascii="宋体" w:hAnsi="宋体" w:eastAsia="宋体" w:cs="Times New Roman"/>
      <w:sz w:val="24"/>
      <w:szCs w:val="22"/>
      <w:lang w:val="zh-CN" w:eastAsia="zh-CN" w:bidi="ar-SA"/>
    </w:rPr>
  </w:style>
  <w:style w:type="paragraph" w:customStyle="1" w:styleId="57">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58">
    <w:name w:val="List Paragraph"/>
    <w:basedOn w:val="1"/>
    <w:link w:val="394"/>
    <w:qFormat/>
    <w:uiPriority w:val="34"/>
    <w:pPr>
      <w:ind w:firstLine="420" w:firstLineChars="200"/>
    </w:pPr>
    <w:rPr>
      <w:rFonts w:ascii="Calibri" w:hAnsi="Calibri"/>
      <w:szCs w:val="22"/>
    </w:rPr>
  </w:style>
  <w:style w:type="paragraph" w:customStyle="1" w:styleId="59">
    <w:name w:val="列出段落1"/>
    <w:basedOn w:val="1"/>
    <w:qFormat/>
    <w:uiPriority w:val="34"/>
    <w:pPr>
      <w:ind w:firstLine="420" w:firstLineChars="200"/>
    </w:pPr>
    <w:rPr>
      <w:rFonts w:ascii="Calibri" w:hAnsi="Calibri"/>
      <w:kern w:val="0"/>
      <w:szCs w:val="20"/>
    </w:rPr>
  </w:style>
  <w:style w:type="paragraph" w:customStyle="1" w:styleId="60">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6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14"/>
    <w:qFormat/>
    <w:uiPriority w:val="0"/>
    <w:rPr>
      <w:rFonts w:ascii="Times New Roman" w:hAnsi="Times New Roman" w:eastAsia="宋体" w:cs="Times New Roman"/>
      <w:sz w:val="21"/>
      <w:szCs w:val="22"/>
      <w:lang w:val="en-US" w:eastAsia="zh-CN" w:bidi="ar-SA"/>
    </w:rPr>
  </w:style>
  <w:style w:type="paragraph" w:customStyle="1" w:styleId="6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纯文本_3"/>
    <w:basedOn w:val="66"/>
    <w:qFormat/>
    <w:uiPriority w:val="0"/>
    <w:pPr>
      <w:widowControl/>
      <w:jc w:val="left"/>
    </w:pPr>
    <w:rPr>
      <w:rFonts w:ascii="宋体" w:hAnsi="Courier New" w:eastAsiaTheme="minorEastAsia" w:cstheme="minorBidi"/>
      <w:szCs w:val="21"/>
    </w:rPr>
  </w:style>
  <w:style w:type="paragraph" w:customStyle="1" w:styleId="68">
    <w:name w:val="纯文本_0_1"/>
    <w:basedOn w:val="1"/>
    <w:qFormat/>
    <w:uiPriority w:val="0"/>
    <w:pPr>
      <w:widowControl/>
      <w:jc w:val="left"/>
    </w:pPr>
    <w:rPr>
      <w:rFonts w:ascii="宋体" w:hAnsi="Courier New" w:eastAsiaTheme="minorEastAsia" w:cstheme="minorBidi"/>
      <w:szCs w:val="21"/>
    </w:rPr>
  </w:style>
  <w:style w:type="paragraph" w:customStyle="1" w:styleId="6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73">
    <w:name w:val="批注文字 Char"/>
    <w:basedOn w:val="45"/>
    <w:link w:val="16"/>
    <w:qFormat/>
    <w:uiPriority w:val="0"/>
    <w:rPr>
      <w:rFonts w:ascii="Times New Roman" w:hAnsi="Times New Roman" w:eastAsia="宋体" w:cs="Times New Roman"/>
      <w:kern w:val="2"/>
      <w:sz w:val="21"/>
      <w:szCs w:val="24"/>
    </w:rPr>
  </w:style>
  <w:style w:type="character" w:customStyle="1" w:styleId="74">
    <w:name w:val="批注主题 Char"/>
    <w:basedOn w:val="73"/>
    <w:link w:val="41"/>
    <w:qFormat/>
    <w:uiPriority w:val="99"/>
    <w:rPr>
      <w:rFonts w:ascii="Times New Roman" w:hAnsi="Times New Roman" w:eastAsia="宋体" w:cs="Times New Roman"/>
      <w:b/>
      <w:bCs/>
      <w:kern w:val="2"/>
      <w:sz w:val="21"/>
      <w:szCs w:val="24"/>
    </w:rPr>
  </w:style>
  <w:style w:type="character" w:customStyle="1" w:styleId="75">
    <w:name w:val="批注框文本 Char"/>
    <w:basedOn w:val="45"/>
    <w:link w:val="28"/>
    <w:qFormat/>
    <w:uiPriority w:val="99"/>
    <w:rPr>
      <w:rFonts w:ascii="Times New Roman" w:hAnsi="Times New Roman" w:eastAsia="宋体" w:cs="Times New Roman"/>
      <w:kern w:val="2"/>
      <w:sz w:val="18"/>
      <w:szCs w:val="18"/>
    </w:rPr>
  </w:style>
  <w:style w:type="character" w:customStyle="1" w:styleId="76">
    <w:name w:val="正文文本缩进 Char"/>
    <w:basedOn w:val="45"/>
    <w:link w:val="20"/>
    <w:qFormat/>
    <w:uiPriority w:val="0"/>
    <w:rPr>
      <w:kern w:val="2"/>
      <w:sz w:val="21"/>
      <w:szCs w:val="24"/>
    </w:rPr>
  </w:style>
  <w:style w:type="paragraph" w:customStyle="1" w:styleId="7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_Style 2"/>
    <w:basedOn w:val="1"/>
    <w:qFormat/>
    <w:uiPriority w:val="99"/>
    <w:pPr>
      <w:adjustRightInd w:val="0"/>
      <w:snapToGrid w:val="0"/>
    </w:pPr>
    <w:rPr>
      <w:rFonts w:ascii="Tahoma" w:hAnsi="Tahoma" w:eastAsia="微软雅黑" w:cs="Tahoma"/>
      <w:sz w:val="22"/>
      <w:szCs w:val="22"/>
    </w:rPr>
  </w:style>
  <w:style w:type="paragraph" w:customStyle="1" w:styleId="79">
    <w:name w:val="Table Paragraph"/>
    <w:basedOn w:val="1"/>
    <w:qFormat/>
    <w:uiPriority w:val="1"/>
    <w:rPr>
      <w:rFonts w:ascii="Noto Sans Mono CJK JP Regular" w:hAnsi="Noto Sans Mono CJK JP Regular" w:eastAsia="Noto Sans Mono CJK JP Regular" w:cs="Noto Sans Mono CJK JP Regular"/>
    </w:rPr>
  </w:style>
  <w:style w:type="character" w:customStyle="1" w:styleId="80">
    <w:name w:val="纯文本 Char"/>
    <w:basedOn w:val="45"/>
    <w:link w:val="24"/>
    <w:qFormat/>
    <w:uiPriority w:val="0"/>
    <w:rPr>
      <w:rFonts w:ascii="宋体" w:hAnsi="Courier New" w:cstheme="minorBidi"/>
      <w:kern w:val="2"/>
      <w:sz w:val="21"/>
      <w:szCs w:val="24"/>
    </w:rPr>
  </w:style>
  <w:style w:type="paragraph" w:customStyle="1" w:styleId="81">
    <w:name w:val="*正文"/>
    <w:link w:val="82"/>
    <w:qFormat/>
    <w:uiPriority w:val="0"/>
    <w:pPr>
      <w:spacing w:line="360" w:lineRule="auto"/>
      <w:ind w:firstLine="200" w:firstLineChars="200"/>
      <w:jc w:val="both"/>
      <w:textAlignment w:val="baseline"/>
    </w:pPr>
    <w:rPr>
      <w:rFonts w:ascii="Times New Roman" w:hAnsi="Times New Roman" w:eastAsia="宋体" w:cs="Times New Roman"/>
      <w:color w:val="000000"/>
      <w:sz w:val="24"/>
      <w:lang w:val="en-US" w:eastAsia="zh-CN" w:bidi="ar-SA"/>
    </w:rPr>
  </w:style>
  <w:style w:type="character" w:customStyle="1" w:styleId="82">
    <w:name w:val="*正文 Char"/>
    <w:link w:val="81"/>
    <w:qFormat/>
    <w:uiPriority w:val="0"/>
    <w:rPr>
      <w:color w:val="000000"/>
      <w:sz w:val="24"/>
    </w:rPr>
  </w:style>
  <w:style w:type="paragraph" w:customStyle="1" w:styleId="83">
    <w:name w:val="正文（深信服）"/>
    <w:link w:val="84"/>
    <w:qFormat/>
    <w:uiPriority w:val="0"/>
    <w:pPr>
      <w:adjustRightInd w:val="0"/>
      <w:snapToGrid w:val="0"/>
      <w:spacing w:line="360" w:lineRule="auto"/>
      <w:ind w:firstLine="480" w:firstLineChars="200"/>
      <w:jc w:val="both"/>
    </w:pPr>
    <w:rPr>
      <w:rFonts w:ascii="Times New Roman" w:hAnsi="Times New Roman" w:eastAsia="宋体" w:cs="Times New Roman"/>
      <w:sz w:val="24"/>
      <w:szCs w:val="21"/>
      <w:lang w:val="en-US" w:eastAsia="zh-CN" w:bidi="ar-SA"/>
    </w:rPr>
  </w:style>
  <w:style w:type="character" w:customStyle="1" w:styleId="84">
    <w:name w:val="正文（深信服） 字符"/>
    <w:link w:val="83"/>
    <w:qFormat/>
    <w:uiPriority w:val="0"/>
    <w:rPr>
      <w:sz w:val="24"/>
      <w:szCs w:val="21"/>
    </w:rPr>
  </w:style>
  <w:style w:type="paragraph" w:customStyle="1" w:styleId="85">
    <w:name w:val="内容文本"/>
    <w:basedOn w:val="1"/>
    <w:qFormat/>
    <w:uiPriority w:val="0"/>
    <w:pPr>
      <w:spacing w:line="360" w:lineRule="auto"/>
      <w:ind w:firstLine="200" w:firstLineChars="200"/>
      <w:contextualSpacing/>
      <w:jc w:val="left"/>
    </w:pPr>
    <w:rPr>
      <w:rFonts w:ascii="宋体" w:hAnsi="宋体"/>
      <w:kern w:val="0"/>
      <w:sz w:val="24"/>
      <w:lang w:eastAsia="en-US" w:bidi="en-US"/>
    </w:rPr>
  </w:style>
  <w:style w:type="paragraph" w:customStyle="1" w:styleId="86">
    <w:name w:val="SANGFOR_2_标题2"/>
    <w:basedOn w:val="4"/>
    <w:next w:val="1"/>
    <w:qFormat/>
    <w:uiPriority w:val="0"/>
    <w:pPr>
      <w:numPr>
        <w:ilvl w:val="1"/>
        <w:numId w:val="3"/>
      </w:numPr>
      <w:tabs>
        <w:tab w:val="left" w:pos="360"/>
        <w:tab w:val="left" w:pos="426"/>
        <w:tab w:val="left" w:pos="567"/>
        <w:tab w:val="left" w:pos="1206"/>
        <w:tab w:val="clear" w:pos="993"/>
      </w:tabs>
      <w:snapToGrid w:val="0"/>
      <w:spacing w:beforeLines="50" w:afterLines="50" w:line="240" w:lineRule="auto"/>
      <w:ind w:left="0"/>
    </w:pPr>
    <w:rPr>
      <w:rFonts w:eastAsia="微软雅黑" w:cs="Times New Roman"/>
      <w:kern w:val="0"/>
      <w:sz w:val="30"/>
      <w:szCs w:val="30"/>
    </w:rPr>
  </w:style>
  <w:style w:type="paragraph" w:customStyle="1" w:styleId="87">
    <w:name w:val="SANGFOR_3_标题3"/>
    <w:basedOn w:val="5"/>
    <w:next w:val="1"/>
    <w:qFormat/>
    <w:uiPriority w:val="0"/>
    <w:pPr>
      <w:numPr>
        <w:ilvl w:val="2"/>
        <w:numId w:val="3"/>
      </w:numPr>
      <w:tabs>
        <w:tab w:val="left" w:pos="0"/>
        <w:tab w:val="left" w:pos="360"/>
        <w:tab w:val="left" w:pos="426"/>
        <w:tab w:val="left" w:pos="567"/>
        <w:tab w:val="left" w:pos="1206"/>
      </w:tabs>
      <w:snapToGrid w:val="0"/>
      <w:spacing w:beforeLines="50" w:afterLines="50" w:line="240" w:lineRule="auto"/>
    </w:pPr>
    <w:rPr>
      <w:rFonts w:ascii="宋体" w:hAnsi="宋体" w:eastAsia="微软雅黑"/>
      <w:kern w:val="0"/>
    </w:rPr>
  </w:style>
  <w:style w:type="paragraph" w:customStyle="1" w:styleId="88">
    <w:name w:val="SANGFOR_4_标题4"/>
    <w:basedOn w:val="2"/>
    <w:next w:val="1"/>
    <w:qFormat/>
    <w:uiPriority w:val="0"/>
    <w:pPr>
      <w:numPr>
        <w:ilvl w:val="3"/>
        <w:numId w:val="3"/>
      </w:numPr>
      <w:tabs>
        <w:tab w:val="left" w:pos="360"/>
        <w:tab w:val="left" w:pos="567"/>
        <w:tab w:val="left" w:pos="1206"/>
        <w:tab w:val="clear" w:pos="-72"/>
      </w:tabs>
      <w:snapToGrid w:val="0"/>
      <w:spacing w:beforeLines="50" w:afterLines="50" w:line="240" w:lineRule="auto"/>
      <w:ind w:left="0" w:right="100" w:rightChars="100"/>
    </w:pPr>
    <w:rPr>
      <w:rFonts w:ascii="Arial" w:hAnsi="Arial" w:eastAsia="微软雅黑" w:cs="Times New Roman"/>
      <w:bCs w:val="0"/>
      <w:kern w:val="0"/>
    </w:rPr>
  </w:style>
  <w:style w:type="character" w:customStyle="1" w:styleId="89">
    <w:name w:val="标题 2 Char"/>
    <w:basedOn w:val="45"/>
    <w:link w:val="4"/>
    <w:qFormat/>
    <w:uiPriority w:val="9"/>
    <w:rPr>
      <w:rFonts w:asciiTheme="majorHAnsi" w:hAnsiTheme="majorHAnsi" w:eastAsiaTheme="majorEastAsia" w:cstheme="majorBidi"/>
      <w:b/>
      <w:bCs/>
      <w:kern w:val="2"/>
      <w:sz w:val="32"/>
      <w:szCs w:val="32"/>
    </w:rPr>
  </w:style>
  <w:style w:type="character" w:customStyle="1" w:styleId="90">
    <w:name w:val="标题 4 Char"/>
    <w:basedOn w:val="45"/>
    <w:link w:val="2"/>
    <w:qFormat/>
    <w:uiPriority w:val="9"/>
    <w:rPr>
      <w:rFonts w:asciiTheme="majorHAnsi" w:hAnsiTheme="majorHAnsi" w:eastAsiaTheme="majorEastAsia" w:cstheme="majorBidi"/>
      <w:b/>
      <w:bCs/>
      <w:kern w:val="2"/>
      <w:sz w:val="28"/>
      <w:szCs w:val="28"/>
    </w:rPr>
  </w:style>
  <w:style w:type="character" w:customStyle="1" w:styleId="91">
    <w:name w:val="标题 1 Char"/>
    <w:basedOn w:val="45"/>
    <w:link w:val="3"/>
    <w:qFormat/>
    <w:uiPriority w:val="99"/>
    <w:rPr>
      <w:rFonts w:ascii="宋体" w:hAnsi="宋体" w:cs="宋体"/>
      <w:b/>
      <w:bCs/>
      <w:kern w:val="44"/>
      <w:sz w:val="44"/>
      <w:szCs w:val="44"/>
    </w:rPr>
  </w:style>
  <w:style w:type="character" w:customStyle="1" w:styleId="92">
    <w:name w:val="标题 5 Char"/>
    <w:basedOn w:val="45"/>
    <w:link w:val="6"/>
    <w:qFormat/>
    <w:uiPriority w:val="9"/>
    <w:rPr>
      <w:rFonts w:ascii="宋体" w:hAnsi="宋体" w:cs="宋体"/>
      <w:b/>
      <w:bCs/>
      <w:sz w:val="28"/>
      <w:szCs w:val="28"/>
    </w:rPr>
  </w:style>
  <w:style w:type="character" w:customStyle="1" w:styleId="93">
    <w:name w:val="标题 6 Char"/>
    <w:basedOn w:val="45"/>
    <w:link w:val="7"/>
    <w:qFormat/>
    <w:uiPriority w:val="9"/>
    <w:rPr>
      <w:rFonts w:asciiTheme="majorHAnsi" w:hAnsiTheme="majorHAnsi" w:cstheme="majorBidi"/>
      <w:b/>
      <w:bCs/>
      <w:sz w:val="24"/>
      <w:szCs w:val="24"/>
    </w:rPr>
  </w:style>
  <w:style w:type="character" w:customStyle="1" w:styleId="94">
    <w:name w:val="标题 7 Char"/>
    <w:basedOn w:val="45"/>
    <w:link w:val="8"/>
    <w:qFormat/>
    <w:uiPriority w:val="9"/>
    <w:rPr>
      <w:rFonts w:ascii="宋体" w:hAnsi="宋体" w:cs="宋体"/>
      <w:b/>
      <w:bCs/>
      <w:sz w:val="24"/>
      <w:szCs w:val="24"/>
    </w:rPr>
  </w:style>
  <w:style w:type="character" w:customStyle="1" w:styleId="95">
    <w:name w:val="标题 8 Char"/>
    <w:basedOn w:val="45"/>
    <w:link w:val="9"/>
    <w:qFormat/>
    <w:uiPriority w:val="9"/>
    <w:rPr>
      <w:rFonts w:asciiTheme="majorHAnsi" w:hAnsiTheme="majorHAnsi" w:cstheme="majorBidi"/>
      <w:b/>
      <w:sz w:val="24"/>
      <w:szCs w:val="24"/>
    </w:rPr>
  </w:style>
  <w:style w:type="character" w:customStyle="1" w:styleId="96">
    <w:name w:val="标题 9 Char"/>
    <w:basedOn w:val="45"/>
    <w:link w:val="10"/>
    <w:qFormat/>
    <w:uiPriority w:val="9"/>
    <w:rPr>
      <w:rFonts w:asciiTheme="majorHAnsi" w:hAnsiTheme="majorHAnsi" w:cstheme="majorBidi"/>
      <w:b/>
      <w:sz w:val="24"/>
      <w:szCs w:val="21"/>
    </w:rPr>
  </w:style>
  <w:style w:type="character" w:customStyle="1" w:styleId="97">
    <w:name w:val="标题 3 Char"/>
    <w:basedOn w:val="45"/>
    <w:link w:val="5"/>
    <w:qFormat/>
    <w:uiPriority w:val="9"/>
    <w:rPr>
      <w:b/>
      <w:bCs/>
      <w:kern w:val="2"/>
      <w:sz w:val="32"/>
      <w:szCs w:val="32"/>
    </w:rPr>
  </w:style>
  <w:style w:type="character" w:customStyle="1" w:styleId="98">
    <w:name w:val="文档结构图 Char"/>
    <w:basedOn w:val="45"/>
    <w:link w:val="15"/>
    <w:qFormat/>
    <w:uiPriority w:val="99"/>
    <w:rPr>
      <w:rFonts w:ascii="宋体" w:hAnsi="宋体" w:cs="宋体"/>
      <w:sz w:val="18"/>
      <w:szCs w:val="18"/>
    </w:rPr>
  </w:style>
  <w:style w:type="character" w:customStyle="1" w:styleId="99">
    <w:name w:val="正文文本 Char"/>
    <w:basedOn w:val="45"/>
    <w:qFormat/>
    <w:uiPriority w:val="99"/>
    <w:rPr>
      <w:rFonts w:ascii="宋体" w:hAnsi="宋体" w:eastAsia="宋体" w:cs="宋体"/>
      <w:kern w:val="0"/>
      <w:sz w:val="24"/>
    </w:rPr>
  </w:style>
  <w:style w:type="character" w:customStyle="1" w:styleId="100">
    <w:name w:val="正文文本缩进 2 Char"/>
    <w:basedOn w:val="45"/>
    <w:link w:val="27"/>
    <w:qFormat/>
    <w:uiPriority w:val="99"/>
    <w:rPr>
      <w:rFonts w:ascii="宋体" w:hAnsi="宋体" w:cs="宋体"/>
      <w:sz w:val="24"/>
      <w:szCs w:val="24"/>
    </w:rPr>
  </w:style>
  <w:style w:type="character" w:customStyle="1" w:styleId="101">
    <w:name w:val="页脚 Char"/>
    <w:basedOn w:val="45"/>
    <w:link w:val="29"/>
    <w:qFormat/>
    <w:uiPriority w:val="99"/>
    <w:rPr>
      <w:kern w:val="2"/>
      <w:sz w:val="18"/>
      <w:szCs w:val="24"/>
    </w:rPr>
  </w:style>
  <w:style w:type="character" w:customStyle="1" w:styleId="102">
    <w:name w:val="页眉 Char"/>
    <w:basedOn w:val="45"/>
    <w:link w:val="30"/>
    <w:qFormat/>
    <w:uiPriority w:val="99"/>
    <w:rPr>
      <w:kern w:val="2"/>
      <w:sz w:val="18"/>
      <w:szCs w:val="24"/>
    </w:rPr>
  </w:style>
  <w:style w:type="character" w:customStyle="1" w:styleId="103">
    <w:name w:val="脚注文本 Char"/>
    <w:basedOn w:val="45"/>
    <w:link w:val="34"/>
    <w:qFormat/>
    <w:uiPriority w:val="99"/>
    <w:rPr>
      <w:rFonts w:ascii="宋体" w:hAnsi="宋体" w:cs="宋体"/>
      <w:sz w:val="18"/>
      <w:szCs w:val="18"/>
    </w:rPr>
  </w:style>
  <w:style w:type="character" w:customStyle="1" w:styleId="104">
    <w:name w:val="正文文本 Char1"/>
    <w:basedOn w:val="45"/>
    <w:link w:val="17"/>
    <w:qFormat/>
    <w:uiPriority w:val="99"/>
    <w:rPr>
      <w:kern w:val="2"/>
      <w:sz w:val="24"/>
      <w:szCs w:val="24"/>
    </w:rPr>
  </w:style>
  <w:style w:type="character" w:customStyle="1" w:styleId="105">
    <w:name w:val="正文首行缩进 Char"/>
    <w:basedOn w:val="104"/>
    <w:link w:val="18"/>
    <w:qFormat/>
    <w:uiPriority w:val="99"/>
    <w:rPr>
      <w:color w:val="000000"/>
      <w:spacing w:val="12"/>
      <w:kern w:val="2"/>
      <w:sz w:val="28"/>
      <w:szCs w:val="24"/>
    </w:rPr>
  </w:style>
  <w:style w:type="character" w:customStyle="1" w:styleId="106">
    <w:name w:val="正文首行缩进 2 Char"/>
    <w:basedOn w:val="76"/>
    <w:link w:val="42"/>
    <w:qFormat/>
    <w:uiPriority w:val="0"/>
    <w:rPr>
      <w:rFonts w:ascii="宋体" w:hAnsi="宋体" w:cs="宋体"/>
      <w:kern w:val="28"/>
      <w:sz w:val="24"/>
      <w:szCs w:val="24"/>
      <w:lang w:val="zh-CN"/>
    </w:rPr>
  </w:style>
  <w:style w:type="paragraph" w:styleId="107">
    <w:name w:val="No Spacing"/>
    <w:link w:val="108"/>
    <w:qFormat/>
    <w:uiPriority w:val="1"/>
    <w:rPr>
      <w:rFonts w:asciiTheme="minorHAnsi" w:hAnsiTheme="minorHAnsi" w:eastAsiaTheme="minorEastAsia" w:cstheme="minorBidi"/>
      <w:sz w:val="22"/>
      <w:szCs w:val="22"/>
      <w:lang w:val="en-US" w:eastAsia="zh-CN" w:bidi="ar-SA"/>
    </w:rPr>
  </w:style>
  <w:style w:type="character" w:customStyle="1" w:styleId="108">
    <w:name w:val="无间隔 Char"/>
    <w:basedOn w:val="45"/>
    <w:link w:val="107"/>
    <w:qFormat/>
    <w:uiPriority w:val="1"/>
    <w:rPr>
      <w:rFonts w:asciiTheme="minorHAnsi" w:hAnsiTheme="minorHAnsi" w:eastAsiaTheme="minorEastAsia" w:cstheme="minorBidi"/>
      <w:sz w:val="22"/>
      <w:szCs w:val="22"/>
    </w:rPr>
  </w:style>
  <w:style w:type="character" w:customStyle="1" w:styleId="109">
    <w:name w:val="font31"/>
    <w:basedOn w:val="45"/>
    <w:qFormat/>
    <w:uiPriority w:val="0"/>
    <w:rPr>
      <w:rFonts w:hint="eastAsia" w:ascii="宋体" w:hAnsi="宋体" w:eastAsia="宋体" w:cs="宋体"/>
      <w:color w:val="FF0000"/>
      <w:kern w:val="0"/>
      <w:sz w:val="21"/>
      <w:szCs w:val="21"/>
      <w:u w:val="none"/>
      <w:lang w:eastAsia="en-US"/>
    </w:rPr>
  </w:style>
  <w:style w:type="character" w:customStyle="1" w:styleId="110">
    <w:name w:val="font11"/>
    <w:basedOn w:val="45"/>
    <w:qFormat/>
    <w:uiPriority w:val="0"/>
    <w:rPr>
      <w:rFonts w:hint="eastAsia" w:ascii="微软雅黑" w:hAnsi="微软雅黑" w:eastAsia="微软雅黑" w:cs="微软雅黑"/>
      <w:color w:val="000000"/>
      <w:kern w:val="0"/>
      <w:sz w:val="20"/>
      <w:szCs w:val="20"/>
      <w:u w:val="single"/>
      <w:lang w:eastAsia="en-US"/>
    </w:rPr>
  </w:style>
  <w:style w:type="character" w:customStyle="1" w:styleId="111">
    <w:name w:val="font21"/>
    <w:basedOn w:val="45"/>
    <w:qFormat/>
    <w:uiPriority w:val="0"/>
    <w:rPr>
      <w:rFonts w:hint="eastAsia" w:ascii="宋体" w:hAnsi="宋体" w:eastAsia="宋体" w:cs="宋体"/>
      <w:color w:val="000000"/>
      <w:kern w:val="0"/>
      <w:sz w:val="22"/>
      <w:szCs w:val="22"/>
      <w:u w:val="none"/>
      <w:lang w:eastAsia="en-US"/>
    </w:rPr>
  </w:style>
  <w:style w:type="character" w:customStyle="1" w:styleId="112">
    <w:name w:val="font61"/>
    <w:basedOn w:val="45"/>
    <w:qFormat/>
    <w:uiPriority w:val="0"/>
    <w:rPr>
      <w:rFonts w:hint="eastAsia" w:ascii="仿宋" w:hAnsi="仿宋" w:eastAsia="仿宋" w:cs="仿宋"/>
      <w:color w:val="000000"/>
      <w:kern w:val="0"/>
      <w:sz w:val="20"/>
      <w:szCs w:val="20"/>
      <w:u w:val="none"/>
      <w:lang w:eastAsia="en-US"/>
    </w:rPr>
  </w:style>
  <w:style w:type="character" w:customStyle="1" w:styleId="113">
    <w:name w:val="font41"/>
    <w:basedOn w:val="45"/>
    <w:qFormat/>
    <w:uiPriority w:val="0"/>
    <w:rPr>
      <w:rFonts w:hint="eastAsia" w:ascii="微软雅黑" w:hAnsi="微软雅黑" w:eastAsia="微软雅黑" w:cs="微软雅黑"/>
      <w:color w:val="000000"/>
      <w:kern w:val="0"/>
      <w:sz w:val="24"/>
      <w:szCs w:val="24"/>
      <w:u w:val="single"/>
      <w:lang w:eastAsia="en-US"/>
    </w:rPr>
  </w:style>
  <w:style w:type="paragraph" w:customStyle="1" w:styleId="114">
    <w:name w:val="正文 样式"/>
    <w:basedOn w:val="1"/>
    <w:link w:val="115"/>
    <w:qFormat/>
    <w:uiPriority w:val="0"/>
    <w:pPr>
      <w:widowControl/>
      <w:spacing w:before="260" w:line="360" w:lineRule="auto"/>
      <w:ind w:firstLine="480" w:firstLineChars="200"/>
      <w:jc w:val="left"/>
    </w:pPr>
    <w:rPr>
      <w:rFonts w:ascii="宋体" w:hAnsi="宋体" w:cs="宋体"/>
      <w:kern w:val="0"/>
      <w:sz w:val="24"/>
    </w:rPr>
  </w:style>
  <w:style w:type="character" w:customStyle="1" w:styleId="115">
    <w:name w:val="正文 样式 Char"/>
    <w:link w:val="114"/>
    <w:qFormat/>
    <w:locked/>
    <w:uiPriority w:val="0"/>
    <w:rPr>
      <w:rFonts w:ascii="宋体" w:hAnsi="宋体" w:cs="宋体"/>
      <w:sz w:val="24"/>
      <w:szCs w:val="24"/>
    </w:rPr>
  </w:style>
  <w:style w:type="paragraph" w:customStyle="1" w:styleId="116">
    <w:name w:val="p17"/>
    <w:basedOn w:val="1"/>
    <w:qFormat/>
    <w:uiPriority w:val="0"/>
    <w:pPr>
      <w:widowControl/>
      <w:spacing w:before="260" w:after="120" w:line="415" w:lineRule="auto"/>
      <w:ind w:firstLine="420"/>
      <w:jc w:val="left"/>
    </w:pPr>
    <w:rPr>
      <w:rFonts w:cs="宋体"/>
      <w:kern w:val="0"/>
      <w:sz w:val="28"/>
      <w:szCs w:val="28"/>
    </w:rPr>
  </w:style>
  <w:style w:type="character" w:customStyle="1" w:styleId="117">
    <w:name w:val="apple-converted-space"/>
    <w:basedOn w:val="45"/>
    <w:qFormat/>
    <w:uiPriority w:val="0"/>
  </w:style>
  <w:style w:type="paragraph" w:customStyle="1" w:styleId="118">
    <w:name w:val="序号1."/>
    <w:basedOn w:val="1"/>
    <w:qFormat/>
    <w:uiPriority w:val="0"/>
    <w:pPr>
      <w:widowControl/>
      <w:tabs>
        <w:tab w:val="left" w:pos="720"/>
      </w:tabs>
      <w:adjustRightInd w:val="0"/>
      <w:snapToGrid w:val="0"/>
      <w:spacing w:line="360" w:lineRule="auto"/>
      <w:ind w:left="720" w:hanging="720" w:firstLineChars="200"/>
      <w:jc w:val="left"/>
    </w:pPr>
    <w:rPr>
      <w:kern w:val="0"/>
      <w:sz w:val="24"/>
    </w:rPr>
  </w:style>
  <w:style w:type="paragraph" w:customStyle="1" w:styleId="119">
    <w:name w:val="正文1"/>
    <w:next w:val="1"/>
    <w:qFormat/>
    <w:uiPriority w:val="0"/>
    <w:pPr>
      <w:jc w:val="both"/>
    </w:pPr>
    <w:rPr>
      <w:rFonts w:ascii="Times New Roman" w:hAnsi="Times New Roman" w:eastAsia="宋体" w:cs="Times New Roman"/>
      <w:kern w:val="2"/>
      <w:sz w:val="21"/>
      <w:szCs w:val="21"/>
      <w:lang w:val="en-US" w:eastAsia="zh-CN" w:bidi="ar-SA"/>
    </w:rPr>
  </w:style>
  <w:style w:type="character" w:customStyle="1" w:styleId="120">
    <w:name w:val="15"/>
    <w:basedOn w:val="45"/>
    <w:qFormat/>
    <w:uiPriority w:val="0"/>
    <w:rPr>
      <w:rFonts w:hint="eastAsia" w:ascii="宋体" w:hAnsi="宋体" w:eastAsia="宋体" w:cs="Times New Roman"/>
      <w:b/>
      <w:bCs/>
      <w:sz w:val="32"/>
      <w:szCs w:val="32"/>
    </w:rPr>
  </w:style>
  <w:style w:type="paragraph" w:customStyle="1" w:styleId="121">
    <w:name w:val="文章正文"/>
    <w:basedOn w:val="1"/>
    <w:qFormat/>
    <w:uiPriority w:val="0"/>
    <w:pPr>
      <w:widowControl/>
      <w:spacing w:line="360" w:lineRule="auto"/>
      <w:ind w:firstLine="560" w:firstLineChars="200"/>
      <w:jc w:val="left"/>
    </w:pPr>
    <w:rPr>
      <w:rFonts w:eastAsia="仿宋_GB2312"/>
      <w:kern w:val="0"/>
      <w:sz w:val="28"/>
    </w:rPr>
  </w:style>
  <w:style w:type="paragraph" w:customStyle="1" w:styleId="122">
    <w:name w:val="列出段落2"/>
    <w:basedOn w:val="1"/>
    <w:unhideWhenUsed/>
    <w:qFormat/>
    <w:uiPriority w:val="99"/>
    <w:pPr>
      <w:widowControl/>
      <w:spacing w:line="360" w:lineRule="auto"/>
      <w:ind w:firstLine="420" w:firstLineChars="200"/>
      <w:jc w:val="left"/>
    </w:pPr>
    <w:rPr>
      <w:rFonts w:cs="宋体"/>
      <w:kern w:val="0"/>
      <w:sz w:val="24"/>
    </w:rPr>
  </w:style>
  <w:style w:type="paragraph" w:customStyle="1" w:styleId="123">
    <w:name w:val="列出段落3"/>
    <w:basedOn w:val="1"/>
    <w:next w:val="1"/>
    <w:qFormat/>
    <w:uiPriority w:val="34"/>
    <w:pPr>
      <w:widowControl/>
      <w:spacing w:beforeLines="20" w:afterLines="20"/>
      <w:jc w:val="left"/>
      <w:outlineLvl w:val="4"/>
    </w:pPr>
    <w:rPr>
      <w:rFonts w:eastAsia="黑体"/>
      <w:b/>
      <w:kern w:val="0"/>
      <w:sz w:val="24"/>
    </w:rPr>
  </w:style>
  <w:style w:type="paragraph" w:customStyle="1" w:styleId="124">
    <w:name w:val="表格表头"/>
    <w:basedOn w:val="1"/>
    <w:qFormat/>
    <w:uiPriority w:val="0"/>
    <w:pPr>
      <w:widowControl/>
      <w:spacing w:beforeLines="50" w:afterLines="50" w:line="360" w:lineRule="auto"/>
      <w:jc w:val="center"/>
    </w:pPr>
    <w:rPr>
      <w:b/>
      <w:kern w:val="0"/>
      <w:sz w:val="24"/>
      <w:szCs w:val="21"/>
    </w:rPr>
  </w:style>
  <w:style w:type="paragraph" w:customStyle="1" w:styleId="125">
    <w:name w:val="表格正文"/>
    <w:basedOn w:val="1"/>
    <w:link w:val="126"/>
    <w:qFormat/>
    <w:uiPriority w:val="0"/>
    <w:pPr>
      <w:widowControl/>
      <w:spacing w:line="360" w:lineRule="auto"/>
      <w:jc w:val="left"/>
    </w:pPr>
    <w:rPr>
      <w:kern w:val="0"/>
      <w:sz w:val="24"/>
      <w:lang w:val="zh-CN"/>
    </w:rPr>
  </w:style>
  <w:style w:type="character" w:customStyle="1" w:styleId="126">
    <w:name w:val="表格正文 Char"/>
    <w:link w:val="125"/>
    <w:qFormat/>
    <w:uiPriority w:val="0"/>
    <w:rPr>
      <w:sz w:val="24"/>
      <w:szCs w:val="24"/>
      <w:lang w:val="zh-CN"/>
    </w:rPr>
  </w:style>
  <w:style w:type="paragraph" w:customStyle="1" w:styleId="127">
    <w:name w:val="TOC 标题1"/>
    <w:basedOn w:val="3"/>
    <w:next w:val="1"/>
    <w:unhideWhenUsed/>
    <w:qFormat/>
    <w:uiPriority w:val="39"/>
    <w:pPr>
      <w:widowControl/>
      <w:spacing w:before="480" w:line="276" w:lineRule="auto"/>
      <w:ind w:left="0" w:firstLine="0"/>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128">
    <w:name w:val="表格文字（居左）"/>
    <w:basedOn w:val="129"/>
    <w:qFormat/>
    <w:uiPriority w:val="0"/>
    <w:pPr>
      <w:jc w:val="left"/>
    </w:pPr>
  </w:style>
  <w:style w:type="paragraph" w:customStyle="1" w:styleId="129">
    <w:name w:val="表格文字（居中）"/>
    <w:basedOn w:val="1"/>
    <w:qFormat/>
    <w:uiPriority w:val="0"/>
    <w:pPr>
      <w:widowControl/>
      <w:jc w:val="center"/>
    </w:pPr>
    <w:rPr>
      <w:kern w:val="0"/>
      <w:sz w:val="24"/>
    </w:rPr>
  </w:style>
  <w:style w:type="paragraph" w:customStyle="1" w:styleId="130">
    <w:name w:val="表格标题/图片标题/日期格式/图片居中"/>
    <w:qFormat/>
    <w:uiPriority w:val="0"/>
    <w:pPr>
      <w:jc w:val="center"/>
    </w:pPr>
    <w:rPr>
      <w:rFonts w:ascii="Times New Roman" w:hAnsi="Times New Roman" w:eastAsia="宋体" w:cs="Times New Roman"/>
      <w:b/>
      <w:kern w:val="2"/>
      <w:sz w:val="21"/>
      <w:szCs w:val="24"/>
      <w:lang w:val="en-US" w:eastAsia="zh-CN" w:bidi="ar-SA"/>
    </w:rPr>
  </w:style>
  <w:style w:type="paragraph" w:customStyle="1" w:styleId="13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3">
    <w:name w:val="font7"/>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34">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5">
    <w:name w:val="font9"/>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36">
    <w:name w:val="font10"/>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38">
    <w:name w:val="font1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39">
    <w:name w:val="font14"/>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40">
    <w:name w:val="font15"/>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41">
    <w:name w:val="font1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2">
    <w:name w:val="font1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3">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45">
    <w:name w:val="xl105"/>
    <w:basedOn w:val="1"/>
    <w:qFormat/>
    <w:uiPriority w:val="0"/>
    <w:pPr>
      <w:widowControl/>
      <w:spacing w:before="100" w:beforeAutospacing="1" w:after="100" w:afterAutospacing="1"/>
      <w:jc w:val="center"/>
    </w:pPr>
    <w:rPr>
      <w:rFonts w:ascii="Arial" w:hAnsi="Arial" w:cs="Arial"/>
      <w:kern w:val="0"/>
      <w:sz w:val="20"/>
      <w:szCs w:val="20"/>
    </w:rPr>
  </w:style>
  <w:style w:type="paragraph" w:customStyle="1" w:styleId="14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47">
    <w:name w:val="xl107"/>
    <w:basedOn w:val="1"/>
    <w:qFormat/>
    <w:uiPriority w:val="0"/>
    <w:pPr>
      <w:widowControl/>
      <w:spacing w:before="100" w:beforeAutospacing="1" w:after="100" w:afterAutospacing="1"/>
      <w:jc w:val="center"/>
    </w:pPr>
    <w:rPr>
      <w:rFonts w:ascii="Arial" w:hAnsi="Arial" w:cs="Arial"/>
      <w:kern w:val="0"/>
      <w:sz w:val="20"/>
      <w:szCs w:val="20"/>
    </w:rPr>
  </w:style>
  <w:style w:type="paragraph" w:customStyle="1" w:styleId="14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149">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50">
    <w:name w:val="xl11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51">
    <w:name w:val="xl111"/>
    <w:basedOn w:val="1"/>
    <w:qFormat/>
    <w:uiPriority w:val="0"/>
    <w:pPr>
      <w:widowControl/>
      <w:shd w:val="clear" w:color="000000" w:fill="BFBFBF"/>
      <w:spacing w:before="100" w:beforeAutospacing="1" w:after="100" w:afterAutospacing="1"/>
      <w:jc w:val="center"/>
    </w:pPr>
    <w:rPr>
      <w:rFonts w:ascii="Arial" w:hAnsi="Arial" w:cs="Arial"/>
      <w:kern w:val="0"/>
      <w:sz w:val="20"/>
      <w:szCs w:val="20"/>
    </w:rPr>
  </w:style>
  <w:style w:type="paragraph" w:customStyle="1" w:styleId="152">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color w:val="000000"/>
      <w:kern w:val="0"/>
      <w:sz w:val="20"/>
      <w:szCs w:val="20"/>
    </w:rPr>
  </w:style>
  <w:style w:type="paragraph" w:customStyle="1" w:styleId="153">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4">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5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57">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58">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59">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1">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2">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63">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64">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5">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66">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7">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1">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72">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73">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5">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6">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7">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8">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80">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1">
    <w:name w:val="xl1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2">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83">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4">
    <w:name w:val="xl144"/>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185">
    <w:name w:val="xl145"/>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186">
    <w:name w:val="xl146"/>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187">
    <w:name w:val="列出段落4"/>
    <w:basedOn w:val="1"/>
    <w:unhideWhenUsed/>
    <w:qFormat/>
    <w:uiPriority w:val="99"/>
    <w:pPr>
      <w:widowControl/>
      <w:spacing w:line="360" w:lineRule="auto"/>
      <w:ind w:firstLine="420" w:firstLineChars="200"/>
      <w:jc w:val="left"/>
    </w:pPr>
    <w:rPr>
      <w:rFonts w:cs="宋体"/>
      <w:kern w:val="0"/>
      <w:sz w:val="24"/>
    </w:rPr>
  </w:style>
  <w:style w:type="paragraph" w:customStyle="1" w:styleId="18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9">
    <w:name w:val="xl103"/>
    <w:basedOn w:val="1"/>
    <w:qFormat/>
    <w:uiPriority w:val="0"/>
    <w:pPr>
      <w:widowControl/>
      <w:spacing w:before="100" w:beforeAutospacing="1" w:after="100" w:afterAutospacing="1"/>
      <w:jc w:val="center"/>
    </w:pPr>
    <w:rPr>
      <w:rFonts w:ascii="Arial" w:hAnsi="Arial" w:cs="Arial"/>
      <w:kern w:val="0"/>
      <w:sz w:val="20"/>
      <w:szCs w:val="20"/>
    </w:rPr>
  </w:style>
  <w:style w:type="paragraph" w:customStyle="1" w:styleId="190">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19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92">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9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95">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7">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98">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9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01">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2">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0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4">
    <w:name w:val="xl16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05">
    <w:name w:val="xl162"/>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06">
    <w:name w:val="xl163"/>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207">
    <w:name w:val="xl164"/>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208">
    <w:name w:val="xl165"/>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209">
    <w:name w:val="font19"/>
    <w:basedOn w:val="1"/>
    <w:qFormat/>
    <w:uiPriority w:val="0"/>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210">
    <w:name w:val="font20"/>
    <w:basedOn w:val="1"/>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11">
    <w:name w:val="font22"/>
    <w:basedOn w:val="1"/>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12">
    <w:name w:val="font23"/>
    <w:basedOn w:val="1"/>
    <w:qFormat/>
    <w:uiPriority w:val="0"/>
    <w:pPr>
      <w:widowControl/>
      <w:spacing w:before="100" w:beforeAutospacing="1" w:after="100" w:afterAutospacing="1"/>
      <w:jc w:val="left"/>
    </w:pPr>
    <w:rPr>
      <w:kern w:val="0"/>
      <w:sz w:val="18"/>
      <w:szCs w:val="18"/>
    </w:rPr>
  </w:style>
  <w:style w:type="paragraph" w:customStyle="1" w:styleId="213">
    <w:name w:val="font24"/>
    <w:basedOn w:val="1"/>
    <w:qFormat/>
    <w:uiPriority w:val="0"/>
    <w:pPr>
      <w:widowControl/>
      <w:spacing w:before="100" w:beforeAutospacing="1" w:after="100" w:afterAutospacing="1"/>
      <w:jc w:val="left"/>
    </w:pPr>
    <w:rPr>
      <w:kern w:val="0"/>
      <w:sz w:val="18"/>
      <w:szCs w:val="18"/>
    </w:rPr>
  </w:style>
  <w:style w:type="paragraph" w:customStyle="1" w:styleId="214">
    <w:name w:val="font25"/>
    <w:basedOn w:val="1"/>
    <w:qFormat/>
    <w:uiPriority w:val="0"/>
    <w:pPr>
      <w:widowControl/>
      <w:spacing w:before="100" w:beforeAutospacing="1" w:after="100" w:afterAutospacing="1"/>
      <w:jc w:val="left"/>
    </w:pPr>
    <w:rPr>
      <w:rFonts w:ascii="宋体" w:hAnsi="宋体" w:cs="宋体"/>
      <w:b/>
      <w:bCs/>
      <w:kern w:val="0"/>
      <w:sz w:val="20"/>
      <w:szCs w:val="20"/>
      <w:u w:val="single"/>
    </w:rPr>
  </w:style>
  <w:style w:type="paragraph" w:customStyle="1" w:styleId="215">
    <w:name w:val="font26"/>
    <w:basedOn w:val="1"/>
    <w:qFormat/>
    <w:uiPriority w:val="0"/>
    <w:pPr>
      <w:widowControl/>
      <w:spacing w:before="100" w:beforeAutospacing="1" w:after="100" w:afterAutospacing="1"/>
      <w:jc w:val="left"/>
    </w:pPr>
    <w:rPr>
      <w:rFonts w:ascii="Arial" w:hAnsi="Arial" w:cs="Arial"/>
      <w:b/>
      <w:bCs/>
      <w:kern w:val="0"/>
      <w:sz w:val="20"/>
      <w:szCs w:val="20"/>
      <w:u w:val="single"/>
    </w:rPr>
  </w:style>
  <w:style w:type="paragraph" w:customStyle="1" w:styleId="21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1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2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2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2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2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2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2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3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1">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32">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33">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34">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6">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37">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38">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39">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42">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3">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44">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5">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6">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7">
    <w:name w:val="xl18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8">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49">
    <w:name w:val="xl1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0">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1">
    <w:name w:val="xl1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2">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253">
    <w:name w:val="xl187"/>
    <w:basedOn w:val="1"/>
    <w:qFormat/>
    <w:uiPriority w:val="0"/>
    <w:pPr>
      <w:widowControl/>
      <w:shd w:val="clear" w:color="000000" w:fill="FFFF00"/>
      <w:spacing w:before="100" w:beforeAutospacing="1" w:after="100" w:afterAutospacing="1"/>
      <w:jc w:val="center"/>
    </w:pPr>
    <w:rPr>
      <w:rFonts w:ascii="Arial" w:hAnsi="Arial" w:cs="Arial"/>
      <w:kern w:val="0"/>
      <w:sz w:val="20"/>
      <w:szCs w:val="20"/>
    </w:rPr>
  </w:style>
  <w:style w:type="paragraph" w:customStyle="1" w:styleId="254">
    <w:name w:val="xl18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kern w:val="0"/>
      <w:sz w:val="20"/>
      <w:szCs w:val="20"/>
    </w:rPr>
  </w:style>
  <w:style w:type="paragraph" w:customStyle="1" w:styleId="255">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56">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57">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kern w:val="0"/>
      <w:sz w:val="20"/>
      <w:szCs w:val="20"/>
    </w:rPr>
  </w:style>
  <w:style w:type="paragraph" w:customStyle="1" w:styleId="258">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59">
    <w:name w:val="xl19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60">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261">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2">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3">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64">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65">
    <w:name w:val="xl19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266">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67">
    <w:name w:val="TOC 标题2"/>
    <w:basedOn w:val="3"/>
    <w:next w:val="1"/>
    <w:semiHidden/>
    <w:unhideWhenUsed/>
    <w:qFormat/>
    <w:uiPriority w:val="39"/>
    <w:pPr>
      <w:widowControl/>
      <w:spacing w:before="480" w:line="276" w:lineRule="auto"/>
      <w:ind w:left="0" w:firstLine="0"/>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268">
    <w:name w:val="font0"/>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69">
    <w:name w:val="font27"/>
    <w:basedOn w:val="1"/>
    <w:qFormat/>
    <w:uiPriority w:val="0"/>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270">
    <w:name w:val="font28"/>
    <w:basedOn w:val="1"/>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71">
    <w:name w:val="font2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72">
    <w:name w:val="xl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273">
    <w:name w:val="xl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275">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76">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77">
    <w:name w:val="xl206"/>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278">
    <w:name w:val="xl20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79">
    <w:name w:val="xl20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0">
    <w:name w:val="xl20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1">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4">
    <w:name w:val="xl84"/>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85">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6">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圆体-简" w:hAnsi="宋体" w:eastAsia="圆体-简" w:cs="宋体"/>
      <w:color w:val="000000"/>
      <w:kern w:val="0"/>
      <w:sz w:val="20"/>
      <w:szCs w:val="20"/>
    </w:rPr>
  </w:style>
  <w:style w:type="paragraph" w:customStyle="1" w:styleId="287">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88">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89">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0">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1">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2">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93">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圆体-简" w:hAnsi="宋体" w:eastAsia="圆体-简" w:cs="宋体"/>
      <w:kern w:val="0"/>
      <w:sz w:val="20"/>
      <w:szCs w:val="20"/>
    </w:rPr>
  </w:style>
  <w:style w:type="paragraph" w:customStyle="1" w:styleId="29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95">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96">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7">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u w:val="single"/>
    </w:rPr>
  </w:style>
  <w:style w:type="paragraph" w:customStyle="1" w:styleId="298">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99">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0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1">
    <w:name w:val="xl228"/>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302">
    <w:name w:val="xl22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303">
    <w:name w:val="xl230"/>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304">
    <w:name w:val="xl2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5">
    <w:name w:val="xl2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06">
    <w:name w:val="xl2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07">
    <w:name w:val="xl234"/>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08">
    <w:name w:val="xl2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09">
    <w:name w:val="xl236"/>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0">
    <w:name w:val="xl2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1">
    <w:name w:val="xl238"/>
    <w:basedOn w:val="1"/>
    <w:qFormat/>
    <w:uiPriority w:val="0"/>
    <w:pPr>
      <w:widowControl/>
      <w:pBdr>
        <w:left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12">
    <w:name w:val="xl239"/>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13">
    <w:name w:val="xl240"/>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14">
    <w:name w:val="xl241"/>
    <w:basedOn w:val="1"/>
    <w:qFormat/>
    <w:uiPriority w:val="0"/>
    <w:pPr>
      <w:widowControl/>
      <w:pBdr>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15">
    <w:name w:val="xl242"/>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16">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17">
    <w:name w:val="xl24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18">
    <w:name w:val="xl2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31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320">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21">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2">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23">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4">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2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6">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27">
    <w:name w:val="xl2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8">
    <w:name w:val="xl25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9">
    <w:name w:val="xl25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33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3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33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3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3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33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33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33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kern w:val="0"/>
      <w:sz w:val="20"/>
      <w:szCs w:val="20"/>
    </w:rPr>
  </w:style>
  <w:style w:type="paragraph" w:customStyle="1" w:styleId="33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kern w:val="0"/>
      <w:sz w:val="20"/>
      <w:szCs w:val="20"/>
    </w:rPr>
  </w:style>
  <w:style w:type="paragraph" w:customStyle="1" w:styleId="34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kern w:val="0"/>
      <w:sz w:val="20"/>
      <w:szCs w:val="20"/>
    </w:rPr>
  </w:style>
  <w:style w:type="paragraph" w:customStyle="1" w:styleId="34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kern w:val="0"/>
      <w:sz w:val="20"/>
      <w:szCs w:val="20"/>
    </w:rPr>
  </w:style>
  <w:style w:type="paragraph" w:customStyle="1" w:styleId="342">
    <w:name w:val="xl76"/>
    <w:basedOn w:val="1"/>
    <w:qFormat/>
    <w:uiPriority w:val="0"/>
    <w:pPr>
      <w:widowControl/>
      <w:spacing w:before="100" w:beforeAutospacing="1" w:after="100" w:afterAutospacing="1"/>
      <w:jc w:val="left"/>
    </w:pPr>
    <w:rPr>
      <w:rFonts w:ascii="Arial" w:hAnsi="Arial" w:cs="Arial"/>
      <w:kern w:val="0"/>
      <w:sz w:val="24"/>
    </w:rPr>
  </w:style>
  <w:style w:type="paragraph" w:customStyle="1" w:styleId="343">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Arial" w:hAnsi="Arial" w:cs="Arial"/>
      <w:b/>
      <w:bCs/>
      <w:color w:val="000000"/>
      <w:kern w:val="0"/>
      <w:sz w:val="20"/>
      <w:szCs w:val="20"/>
    </w:rPr>
  </w:style>
  <w:style w:type="paragraph" w:customStyle="1" w:styleId="34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Arial" w:hAnsi="Arial" w:cs="Arial"/>
      <w:b/>
      <w:bCs/>
      <w:color w:val="000000"/>
      <w:kern w:val="0"/>
      <w:sz w:val="20"/>
      <w:szCs w:val="20"/>
    </w:rPr>
  </w:style>
  <w:style w:type="paragraph" w:customStyle="1" w:styleId="34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right"/>
      <w:textAlignment w:val="center"/>
    </w:pPr>
    <w:rPr>
      <w:rFonts w:ascii="Arial" w:hAnsi="Arial" w:cs="Arial"/>
      <w:b/>
      <w:bCs/>
      <w:color w:val="000000"/>
      <w:kern w:val="0"/>
      <w:sz w:val="20"/>
      <w:szCs w:val="20"/>
    </w:rPr>
  </w:style>
  <w:style w:type="paragraph" w:customStyle="1" w:styleId="34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4"/>
    </w:rPr>
  </w:style>
  <w:style w:type="paragraph" w:customStyle="1" w:styleId="34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34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6"/>
      <w:szCs w:val="16"/>
    </w:rPr>
  </w:style>
  <w:style w:type="paragraph" w:customStyle="1" w:styleId="34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character" w:customStyle="1" w:styleId="350">
    <w:name w:val="font01"/>
    <w:basedOn w:val="45"/>
    <w:qFormat/>
    <w:uiPriority w:val="0"/>
    <w:rPr>
      <w:rFonts w:hint="eastAsia" w:ascii="宋体" w:hAnsi="宋体" w:eastAsia="宋体" w:cs="宋体"/>
      <w:color w:val="000000"/>
      <w:sz w:val="20"/>
      <w:szCs w:val="20"/>
      <w:u w:val="none"/>
    </w:rPr>
  </w:style>
  <w:style w:type="character" w:customStyle="1" w:styleId="351">
    <w:name w:val="font191"/>
    <w:basedOn w:val="45"/>
    <w:qFormat/>
    <w:uiPriority w:val="0"/>
    <w:rPr>
      <w:rFonts w:hint="eastAsia" w:ascii="宋体" w:hAnsi="宋体" w:eastAsia="宋体" w:cs="宋体"/>
      <w:b/>
      <w:color w:val="000000"/>
      <w:sz w:val="20"/>
      <w:szCs w:val="20"/>
      <w:u w:val="none"/>
    </w:rPr>
  </w:style>
  <w:style w:type="character" w:customStyle="1" w:styleId="352">
    <w:name w:val="font161"/>
    <w:basedOn w:val="45"/>
    <w:qFormat/>
    <w:uiPriority w:val="0"/>
    <w:rPr>
      <w:rFonts w:hint="default" w:ascii="Arial" w:hAnsi="Arial" w:cs="Arial"/>
      <w:b/>
      <w:color w:val="000000"/>
      <w:sz w:val="20"/>
      <w:szCs w:val="20"/>
      <w:u w:val="none"/>
    </w:rPr>
  </w:style>
  <w:style w:type="character" w:customStyle="1" w:styleId="353">
    <w:name w:val="font181"/>
    <w:basedOn w:val="45"/>
    <w:qFormat/>
    <w:uiPriority w:val="0"/>
    <w:rPr>
      <w:rFonts w:hint="eastAsia" w:ascii="宋体" w:hAnsi="宋体" w:eastAsia="宋体" w:cs="宋体"/>
      <w:color w:val="000000"/>
      <w:sz w:val="20"/>
      <w:szCs w:val="20"/>
      <w:u w:val="none"/>
    </w:rPr>
  </w:style>
  <w:style w:type="character" w:customStyle="1" w:styleId="354">
    <w:name w:val="font171"/>
    <w:basedOn w:val="45"/>
    <w:qFormat/>
    <w:uiPriority w:val="0"/>
    <w:rPr>
      <w:rFonts w:hint="default" w:ascii="Arial" w:hAnsi="Arial" w:cs="Arial"/>
      <w:color w:val="000000"/>
      <w:sz w:val="20"/>
      <w:szCs w:val="20"/>
      <w:u w:val="none"/>
    </w:rPr>
  </w:style>
  <w:style w:type="character" w:customStyle="1" w:styleId="355">
    <w:name w:val="font112"/>
    <w:basedOn w:val="45"/>
    <w:qFormat/>
    <w:uiPriority w:val="0"/>
    <w:rPr>
      <w:rFonts w:hint="default" w:ascii="Arial" w:hAnsi="Arial" w:cs="Arial"/>
      <w:color w:val="000000"/>
      <w:sz w:val="16"/>
      <w:szCs w:val="16"/>
      <w:u w:val="none"/>
    </w:rPr>
  </w:style>
  <w:style w:type="character" w:customStyle="1" w:styleId="356">
    <w:name w:val="font101"/>
    <w:basedOn w:val="45"/>
    <w:qFormat/>
    <w:uiPriority w:val="0"/>
    <w:rPr>
      <w:rFonts w:hint="eastAsia" w:ascii="宋体" w:hAnsi="宋体" w:eastAsia="宋体" w:cs="宋体"/>
      <w:b/>
      <w:color w:val="000000"/>
      <w:sz w:val="20"/>
      <w:szCs w:val="20"/>
      <w:u w:val="none"/>
    </w:rPr>
  </w:style>
  <w:style w:type="character" w:customStyle="1" w:styleId="357">
    <w:name w:val="font91"/>
    <w:basedOn w:val="45"/>
    <w:qFormat/>
    <w:uiPriority w:val="0"/>
    <w:rPr>
      <w:rFonts w:ascii="Segoe UI Symbol" w:hAnsi="Segoe UI Symbol" w:eastAsia="Segoe UI Symbol" w:cs="Segoe UI Symbol"/>
      <w:color w:val="000000"/>
      <w:sz w:val="20"/>
      <w:szCs w:val="20"/>
      <w:u w:val="none"/>
    </w:rPr>
  </w:style>
  <w:style w:type="character" w:customStyle="1" w:styleId="358">
    <w:name w:val="font81"/>
    <w:basedOn w:val="45"/>
    <w:qFormat/>
    <w:uiPriority w:val="0"/>
    <w:rPr>
      <w:rFonts w:hint="default" w:ascii="Arial" w:hAnsi="Arial" w:cs="Arial"/>
      <w:color w:val="000000"/>
      <w:sz w:val="24"/>
      <w:szCs w:val="24"/>
      <w:u w:val="none"/>
      <w:vertAlign w:val="superscript"/>
    </w:rPr>
  </w:style>
  <w:style w:type="character" w:customStyle="1" w:styleId="359">
    <w:name w:val="font212"/>
    <w:basedOn w:val="45"/>
    <w:qFormat/>
    <w:uiPriority w:val="0"/>
    <w:rPr>
      <w:rFonts w:hint="default" w:ascii="Arial" w:hAnsi="Arial" w:cs="Arial"/>
      <w:color w:val="000000"/>
      <w:sz w:val="20"/>
      <w:szCs w:val="20"/>
      <w:u w:val="none"/>
    </w:rPr>
  </w:style>
  <w:style w:type="character" w:customStyle="1" w:styleId="360">
    <w:name w:val="font131"/>
    <w:basedOn w:val="45"/>
    <w:qFormat/>
    <w:uiPriority w:val="0"/>
    <w:rPr>
      <w:rFonts w:hint="eastAsia" w:ascii="宋体" w:hAnsi="宋体" w:eastAsia="宋体" w:cs="宋体"/>
      <w:color w:val="000000"/>
      <w:sz w:val="20"/>
      <w:szCs w:val="20"/>
      <w:u w:val="none"/>
    </w:rPr>
  </w:style>
  <w:style w:type="character" w:customStyle="1" w:styleId="361">
    <w:name w:val="font241"/>
    <w:basedOn w:val="45"/>
    <w:qFormat/>
    <w:uiPriority w:val="0"/>
    <w:rPr>
      <w:rFonts w:hint="eastAsia" w:ascii="宋体" w:hAnsi="宋体" w:eastAsia="宋体" w:cs="宋体"/>
      <w:color w:val="000000"/>
      <w:sz w:val="20"/>
      <w:szCs w:val="20"/>
      <w:u w:val="none"/>
    </w:rPr>
  </w:style>
  <w:style w:type="character" w:customStyle="1" w:styleId="362">
    <w:name w:val="font231"/>
    <w:basedOn w:val="45"/>
    <w:qFormat/>
    <w:uiPriority w:val="0"/>
    <w:rPr>
      <w:rFonts w:hint="default" w:ascii="Arial" w:hAnsi="Arial" w:cs="Arial"/>
      <w:color w:val="000000"/>
      <w:sz w:val="20"/>
      <w:szCs w:val="20"/>
      <w:u w:val="none"/>
    </w:rPr>
  </w:style>
  <w:style w:type="character" w:customStyle="1" w:styleId="363">
    <w:name w:val="font71"/>
    <w:basedOn w:val="45"/>
    <w:qFormat/>
    <w:uiPriority w:val="0"/>
    <w:rPr>
      <w:rFonts w:ascii="微软雅黑" w:hAnsi="微软雅黑" w:eastAsia="微软雅黑" w:cs="微软雅黑"/>
      <w:color w:val="000000"/>
      <w:sz w:val="20"/>
      <w:szCs w:val="20"/>
      <w:u w:val="none"/>
    </w:rPr>
  </w:style>
  <w:style w:type="character" w:customStyle="1" w:styleId="364">
    <w:name w:val="font51"/>
    <w:basedOn w:val="45"/>
    <w:qFormat/>
    <w:uiPriority w:val="0"/>
    <w:rPr>
      <w:rFonts w:hint="eastAsia" w:ascii="宋体" w:hAnsi="宋体" w:eastAsia="宋体" w:cs="宋体"/>
      <w:color w:val="000000"/>
      <w:sz w:val="20"/>
      <w:szCs w:val="20"/>
      <w:u w:val="none"/>
    </w:rPr>
  </w:style>
  <w:style w:type="character" w:customStyle="1" w:styleId="365">
    <w:name w:val="font121"/>
    <w:basedOn w:val="45"/>
    <w:qFormat/>
    <w:uiPriority w:val="0"/>
    <w:rPr>
      <w:rFonts w:hint="default" w:ascii="Arial" w:hAnsi="Arial" w:cs="Arial"/>
      <w:color w:val="000000"/>
      <w:sz w:val="20"/>
      <w:szCs w:val="20"/>
      <w:u w:val="none"/>
    </w:rPr>
  </w:style>
  <w:style w:type="character" w:customStyle="1" w:styleId="366">
    <w:name w:val="font132"/>
    <w:basedOn w:val="45"/>
    <w:qFormat/>
    <w:uiPriority w:val="0"/>
    <w:rPr>
      <w:rFonts w:hint="eastAsia" w:ascii="宋体" w:hAnsi="宋体" w:eastAsia="宋体" w:cs="宋体"/>
      <w:color w:val="000000"/>
      <w:sz w:val="20"/>
      <w:szCs w:val="20"/>
      <w:u w:val="none"/>
    </w:rPr>
  </w:style>
  <w:style w:type="character" w:customStyle="1" w:styleId="367">
    <w:name w:val="font111"/>
    <w:basedOn w:val="45"/>
    <w:qFormat/>
    <w:uiPriority w:val="0"/>
    <w:rPr>
      <w:rFonts w:hint="default" w:ascii="Arial" w:hAnsi="Arial" w:cs="Arial"/>
      <w:color w:val="000000"/>
      <w:sz w:val="20"/>
      <w:szCs w:val="20"/>
      <w:u w:val="none"/>
    </w:rPr>
  </w:style>
  <w:style w:type="character" w:customStyle="1" w:styleId="368">
    <w:name w:val="font122"/>
    <w:basedOn w:val="45"/>
    <w:qFormat/>
    <w:uiPriority w:val="0"/>
    <w:rPr>
      <w:rFonts w:hint="eastAsia" w:ascii="宋体" w:hAnsi="宋体" w:eastAsia="宋体" w:cs="宋体"/>
      <w:color w:val="000000"/>
      <w:sz w:val="20"/>
      <w:szCs w:val="20"/>
      <w:u w:val="none"/>
    </w:rPr>
  </w:style>
  <w:style w:type="character" w:customStyle="1" w:styleId="369">
    <w:name w:val="font222"/>
    <w:basedOn w:val="45"/>
    <w:qFormat/>
    <w:uiPriority w:val="0"/>
    <w:rPr>
      <w:rFonts w:hint="eastAsia" w:ascii="宋体" w:hAnsi="宋体" w:eastAsia="宋体" w:cs="宋体"/>
      <w:b/>
      <w:color w:val="000000"/>
      <w:sz w:val="20"/>
      <w:szCs w:val="20"/>
      <w:u w:val="none"/>
    </w:rPr>
  </w:style>
  <w:style w:type="character" w:customStyle="1" w:styleId="370">
    <w:name w:val="font211"/>
    <w:basedOn w:val="45"/>
    <w:qFormat/>
    <w:uiPriority w:val="0"/>
    <w:rPr>
      <w:rFonts w:hint="default" w:ascii="Arial" w:hAnsi="Arial" w:cs="Arial"/>
      <w:color w:val="000000"/>
      <w:sz w:val="20"/>
      <w:szCs w:val="20"/>
      <w:u w:val="none"/>
    </w:rPr>
  </w:style>
  <w:style w:type="character" w:customStyle="1" w:styleId="371">
    <w:name w:val="font201"/>
    <w:basedOn w:val="45"/>
    <w:qFormat/>
    <w:uiPriority w:val="0"/>
    <w:rPr>
      <w:rFonts w:hint="default" w:ascii="Arial" w:hAnsi="Arial" w:cs="Arial"/>
      <w:color w:val="000000"/>
      <w:sz w:val="20"/>
      <w:szCs w:val="20"/>
      <w:u w:val="none"/>
    </w:rPr>
  </w:style>
  <w:style w:type="character" w:customStyle="1" w:styleId="372">
    <w:name w:val="font151"/>
    <w:basedOn w:val="45"/>
    <w:qFormat/>
    <w:uiPriority w:val="0"/>
    <w:rPr>
      <w:rFonts w:hint="eastAsia" w:ascii="宋体" w:hAnsi="宋体" w:eastAsia="宋体" w:cs="宋体"/>
      <w:color w:val="000000"/>
      <w:sz w:val="16"/>
      <w:szCs w:val="16"/>
      <w:u w:val="none"/>
    </w:rPr>
  </w:style>
  <w:style w:type="character" w:customStyle="1" w:styleId="373">
    <w:name w:val="font141"/>
    <w:basedOn w:val="45"/>
    <w:qFormat/>
    <w:uiPriority w:val="0"/>
    <w:rPr>
      <w:rFonts w:hint="eastAsia" w:ascii="宋体" w:hAnsi="宋体" w:eastAsia="宋体" w:cs="宋体"/>
      <w:b/>
      <w:color w:val="000000"/>
      <w:sz w:val="20"/>
      <w:szCs w:val="20"/>
      <w:u w:val="none"/>
    </w:rPr>
  </w:style>
  <w:style w:type="paragraph" w:customStyle="1" w:styleId="37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76">
    <w:name w:val="编号，小四"/>
    <w:basedOn w:val="1"/>
    <w:qFormat/>
    <w:uiPriority w:val="0"/>
    <w:pPr>
      <w:widowControl/>
      <w:tabs>
        <w:tab w:val="left" w:pos="2211"/>
      </w:tabs>
      <w:spacing w:line="360" w:lineRule="auto"/>
      <w:ind w:left="2211" w:hanging="510"/>
      <w:jc w:val="left"/>
    </w:pPr>
    <w:rPr>
      <w:rFonts w:ascii="Arial" w:hAnsi="Arial" w:cs="宋体"/>
      <w:kern w:val="0"/>
      <w:sz w:val="24"/>
      <w:szCs w:val="20"/>
    </w:rPr>
  </w:style>
  <w:style w:type="paragraph" w:customStyle="1" w:styleId="377">
    <w:name w:val="标准正文"/>
    <w:basedOn w:val="1"/>
    <w:qFormat/>
    <w:uiPriority w:val="0"/>
    <w:pPr>
      <w:widowControl/>
      <w:spacing w:before="156" w:after="156" w:line="360" w:lineRule="auto"/>
      <w:ind w:firstLine="480" w:firstLineChars="200"/>
      <w:jc w:val="left"/>
    </w:pPr>
    <w:rPr>
      <w:kern w:val="0"/>
      <w:sz w:val="24"/>
      <w:szCs w:val="20"/>
      <w:lang w:val="zh-CN"/>
    </w:rPr>
  </w:style>
  <w:style w:type="paragraph" w:customStyle="1" w:styleId="378">
    <w:name w:val="首行缩进"/>
    <w:basedOn w:val="1"/>
    <w:qFormat/>
    <w:uiPriority w:val="0"/>
    <w:pPr>
      <w:widowControl/>
      <w:ind w:firstLine="480" w:firstLineChars="200"/>
      <w:jc w:val="left"/>
    </w:pPr>
    <w:rPr>
      <w:rFonts w:ascii="宋体" w:hAnsi="宋体" w:cs="宋体"/>
      <w:kern w:val="0"/>
      <w:sz w:val="24"/>
      <w:lang w:val="zh-CN"/>
    </w:rPr>
  </w:style>
  <w:style w:type="paragraph" w:customStyle="1" w:styleId="379">
    <w:name w:val="SANGFOR_6_正文"/>
    <w:basedOn w:val="1"/>
    <w:qFormat/>
    <w:uiPriority w:val="0"/>
    <w:pPr>
      <w:widowControl/>
      <w:spacing w:line="360" w:lineRule="auto"/>
      <w:jc w:val="left"/>
    </w:pPr>
    <w:rPr>
      <w:rFonts w:ascii="宋体" w:hAnsi="宋体" w:cs="宋体"/>
      <w:kern w:val="0"/>
      <w:sz w:val="24"/>
      <w:szCs w:val="21"/>
    </w:rPr>
  </w:style>
  <w:style w:type="paragraph" w:customStyle="1" w:styleId="380">
    <w:name w:val="列表段落1"/>
    <w:basedOn w:val="1"/>
    <w:qFormat/>
    <w:uiPriority w:val="34"/>
    <w:pPr>
      <w:widowControl/>
      <w:ind w:firstLine="420" w:firstLineChars="200"/>
      <w:jc w:val="left"/>
    </w:pPr>
    <w:rPr>
      <w:rFonts w:ascii="宋体" w:hAnsi="宋体" w:cs="宋体"/>
      <w:kern w:val="0"/>
      <w:sz w:val="24"/>
    </w:rPr>
  </w:style>
  <w:style w:type="paragraph" w:customStyle="1" w:styleId="38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82">
    <w:name w:val="样式2 Char Char"/>
    <w:link w:val="383"/>
    <w:qFormat/>
    <w:uiPriority w:val="0"/>
    <w:rPr>
      <w:rFonts w:ascii="Calibri" w:hAnsi="Calibri" w:eastAsia="微软雅黑"/>
      <w:b/>
      <w:color w:val="FF6600"/>
      <w:sz w:val="24"/>
    </w:rPr>
  </w:style>
  <w:style w:type="paragraph" w:customStyle="1" w:styleId="383">
    <w:name w:val="样式2"/>
    <w:basedOn w:val="1"/>
    <w:link w:val="382"/>
    <w:qFormat/>
    <w:uiPriority w:val="0"/>
    <w:pPr>
      <w:widowControl/>
      <w:overflowPunct w:val="0"/>
      <w:autoSpaceDE w:val="0"/>
      <w:autoSpaceDN w:val="0"/>
      <w:adjustRightInd w:val="0"/>
      <w:spacing w:line="336" w:lineRule="auto"/>
      <w:jc w:val="left"/>
    </w:pPr>
    <w:rPr>
      <w:rFonts w:ascii="Calibri" w:hAnsi="Calibri" w:eastAsia="微软雅黑"/>
      <w:b/>
      <w:color w:val="FF6600"/>
      <w:kern w:val="0"/>
      <w:sz w:val="24"/>
      <w:szCs w:val="20"/>
    </w:rPr>
  </w:style>
  <w:style w:type="paragraph" w:customStyle="1" w:styleId="384">
    <w:name w:val="样式4"/>
    <w:basedOn w:val="1"/>
    <w:qFormat/>
    <w:uiPriority w:val="0"/>
    <w:pPr>
      <w:numPr>
        <w:ilvl w:val="0"/>
        <w:numId w:val="4"/>
      </w:numPr>
      <w:tabs>
        <w:tab w:val="left" w:pos="720"/>
      </w:tabs>
      <w:overflowPunct w:val="0"/>
      <w:autoSpaceDE w:val="0"/>
      <w:autoSpaceDN w:val="0"/>
      <w:adjustRightInd w:val="0"/>
      <w:spacing w:line="336" w:lineRule="auto"/>
      <w:jc w:val="left"/>
    </w:pPr>
    <w:rPr>
      <w:rFonts w:ascii="Calibri" w:hAnsi="Calibri" w:eastAsia="微软雅黑"/>
      <w:color w:val="808080"/>
      <w:kern w:val="0"/>
      <w:sz w:val="24"/>
      <w:szCs w:val="21"/>
    </w:rPr>
  </w:style>
  <w:style w:type="paragraph" w:customStyle="1" w:styleId="385">
    <w:name w:val="样式3"/>
    <w:basedOn w:val="1"/>
    <w:qFormat/>
    <w:uiPriority w:val="0"/>
    <w:pPr>
      <w:numPr>
        <w:ilvl w:val="0"/>
        <w:numId w:val="5"/>
      </w:numPr>
      <w:tabs>
        <w:tab w:val="left" w:pos="360"/>
      </w:tabs>
      <w:overflowPunct w:val="0"/>
      <w:autoSpaceDE w:val="0"/>
      <w:autoSpaceDN w:val="0"/>
      <w:adjustRightInd w:val="0"/>
      <w:spacing w:line="336" w:lineRule="auto"/>
      <w:ind w:right="210" w:rightChars="100"/>
      <w:jc w:val="left"/>
    </w:pPr>
    <w:rPr>
      <w:rFonts w:ascii="Calibri" w:hAnsi="Calibri" w:eastAsia="微软雅黑" w:cs="宋体"/>
      <w:color w:val="808080"/>
      <w:kern w:val="0"/>
      <w:sz w:val="24"/>
      <w:lang w:val="zh-CN"/>
    </w:rPr>
  </w:style>
  <w:style w:type="character" w:customStyle="1" w:styleId="386">
    <w:name w:val="3zw1"/>
    <w:qFormat/>
    <w:uiPriority w:val="0"/>
    <w:rPr>
      <w:rFonts w:ascii="Times New Roman"/>
    </w:rPr>
  </w:style>
  <w:style w:type="paragraph" w:customStyle="1" w:styleId="387">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88">
    <w:name w:val="正文首行缩进（深信服）"/>
    <w:basedOn w:val="1"/>
    <w:qFormat/>
    <w:uiPriority w:val="0"/>
    <w:pPr>
      <w:widowControl/>
      <w:spacing w:after="50" w:line="360" w:lineRule="auto"/>
      <w:ind w:firstLine="480" w:firstLineChars="200"/>
      <w:jc w:val="left"/>
    </w:pPr>
    <w:rPr>
      <w:rFonts w:ascii="Arial" w:hAnsi="Arial"/>
      <w:kern w:val="0"/>
      <w:sz w:val="24"/>
      <w:szCs w:val="21"/>
    </w:rPr>
  </w:style>
  <w:style w:type="paragraph" w:customStyle="1" w:styleId="389">
    <w:name w:val="正文首行缩进1"/>
    <w:basedOn w:val="17"/>
    <w:qFormat/>
    <w:uiPriority w:val="0"/>
    <w:pPr>
      <w:widowControl/>
      <w:spacing w:line="360" w:lineRule="auto"/>
      <w:ind w:firstLine="200" w:firstLineChars="200"/>
      <w:jc w:val="left"/>
    </w:pPr>
    <w:rPr>
      <w:rFonts w:eastAsia="仿宋_GB2312"/>
      <w:kern w:val="0"/>
      <w:sz w:val="28"/>
    </w:rPr>
  </w:style>
  <w:style w:type="paragraph" w:customStyle="1" w:styleId="390">
    <w:name w:val="4级标题"/>
    <w:basedOn w:val="59"/>
    <w:qFormat/>
    <w:uiPriority w:val="0"/>
    <w:pPr>
      <w:keepLines/>
      <w:widowControl/>
      <w:numPr>
        <w:ilvl w:val="3"/>
        <w:numId w:val="6"/>
      </w:numPr>
      <w:spacing w:line="360" w:lineRule="auto"/>
      <w:ind w:firstLineChars="0"/>
      <w:contextualSpacing/>
      <w:jc w:val="left"/>
      <w:outlineLvl w:val="3"/>
    </w:pPr>
    <w:rPr>
      <w:rFonts w:ascii="黑体" w:hAnsi="黑体" w:eastAsia="黑体"/>
      <w:sz w:val="24"/>
      <w:szCs w:val="24"/>
      <w:lang w:eastAsia="en-US" w:bidi="en-US"/>
    </w:rPr>
  </w:style>
  <w:style w:type="paragraph" w:customStyle="1" w:styleId="391">
    <w:name w:val="3级标题"/>
    <w:basedOn w:val="59"/>
    <w:link w:val="393"/>
    <w:qFormat/>
    <w:uiPriority w:val="0"/>
    <w:pPr>
      <w:keepLines/>
      <w:widowControl/>
      <w:numPr>
        <w:ilvl w:val="2"/>
        <w:numId w:val="6"/>
      </w:numPr>
      <w:spacing w:before="120" w:after="120" w:line="360" w:lineRule="auto"/>
      <w:ind w:firstLineChars="0"/>
      <w:contextualSpacing/>
      <w:jc w:val="left"/>
      <w:outlineLvl w:val="2"/>
    </w:pPr>
    <w:rPr>
      <w:rFonts w:ascii="黑体" w:hAnsi="黑体" w:eastAsia="黑体"/>
      <w:sz w:val="28"/>
      <w:szCs w:val="36"/>
      <w:lang w:eastAsia="en-US" w:bidi="en-US"/>
    </w:rPr>
  </w:style>
  <w:style w:type="paragraph" w:customStyle="1" w:styleId="392">
    <w:name w:val="样式 首行缩进:  0 字符"/>
    <w:basedOn w:val="1"/>
    <w:link w:val="395"/>
    <w:qFormat/>
    <w:uiPriority w:val="0"/>
    <w:pPr>
      <w:widowControl/>
      <w:spacing w:line="360" w:lineRule="auto"/>
      <w:ind w:firstLine="200" w:firstLineChars="200"/>
      <w:jc w:val="left"/>
    </w:pPr>
    <w:rPr>
      <w:rFonts w:cs="宋体"/>
      <w:kern w:val="0"/>
      <w:sz w:val="24"/>
      <w:szCs w:val="20"/>
    </w:rPr>
  </w:style>
  <w:style w:type="character" w:customStyle="1" w:styleId="393">
    <w:name w:val="3级标题 Char"/>
    <w:link w:val="391"/>
    <w:qFormat/>
    <w:uiPriority w:val="0"/>
    <w:rPr>
      <w:rFonts w:ascii="黑体" w:hAnsi="黑体" w:eastAsia="黑体"/>
      <w:sz w:val="28"/>
      <w:szCs w:val="36"/>
      <w:lang w:eastAsia="en-US" w:bidi="en-US"/>
    </w:rPr>
  </w:style>
  <w:style w:type="character" w:customStyle="1" w:styleId="394">
    <w:name w:val="列出段落 Char"/>
    <w:link w:val="58"/>
    <w:qFormat/>
    <w:locked/>
    <w:uiPriority w:val="34"/>
    <w:rPr>
      <w:rFonts w:ascii="Calibri" w:hAnsi="Calibri"/>
      <w:kern w:val="2"/>
      <w:sz w:val="21"/>
      <w:szCs w:val="22"/>
    </w:rPr>
  </w:style>
  <w:style w:type="character" w:customStyle="1" w:styleId="395">
    <w:name w:val="样式 首行缩进:  0 字符 Char"/>
    <w:link w:val="392"/>
    <w:qFormat/>
    <w:locked/>
    <w:uiPriority w:val="0"/>
    <w:rPr>
      <w:rFonts w:cs="宋体"/>
      <w:sz w:val="24"/>
    </w:rPr>
  </w:style>
  <w:style w:type="paragraph" w:customStyle="1" w:styleId="39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97">
    <w:name w:val="正文 A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98">
    <w:name w:val="列表段落11"/>
    <w:basedOn w:val="1"/>
    <w:qFormat/>
    <w:uiPriority w:val="34"/>
    <w:pPr>
      <w:ind w:firstLine="420" w:firstLineChars="200"/>
    </w:pPr>
    <w:rPr>
      <w:rFonts w:ascii="Calibri" w:hAnsi="Calibri"/>
      <w:szCs w:val="22"/>
    </w:rPr>
  </w:style>
  <w:style w:type="paragraph" w:customStyle="1" w:styleId="399">
    <w:name w:val="0表格样式"/>
    <w:qFormat/>
    <w:uiPriority w:val="0"/>
    <w:rPr>
      <w:rFonts w:ascii="Calibri" w:hAnsi="Calibri" w:eastAsia="仿宋" w:cs="仿宋_GB2312"/>
      <w:kern w:val="2"/>
      <w:sz w:val="21"/>
      <w:szCs w:val="28"/>
      <w:lang w:val="en-US" w:eastAsia="zh-CN" w:bidi="ar-SA"/>
    </w:rPr>
  </w:style>
  <w:style w:type="paragraph" w:customStyle="1" w:styleId="400">
    <w:name w:val="修订3"/>
    <w:hidden/>
    <w:semiHidden/>
    <w:qFormat/>
    <w:uiPriority w:val="99"/>
    <w:rPr>
      <w:rFonts w:ascii="宋体" w:hAnsi="宋体" w:eastAsia="宋体" w:cs="宋体"/>
      <w:sz w:val="24"/>
      <w:szCs w:val="24"/>
      <w:lang w:val="en-US" w:eastAsia="zh-CN" w:bidi="ar-SA"/>
    </w:rPr>
  </w:style>
  <w:style w:type="character" w:customStyle="1" w:styleId="401">
    <w:name w:val="方案正文 Char"/>
    <w:link w:val="402"/>
    <w:qFormat/>
    <w:locked/>
    <w:uiPriority w:val="0"/>
    <w:rPr>
      <w:rFonts w:ascii="宋体" w:hAnsi="宋体" w:eastAsia="微软雅黑" w:cs="宋体"/>
      <w:color w:val="000000"/>
      <w:sz w:val="24"/>
    </w:rPr>
  </w:style>
  <w:style w:type="paragraph" w:customStyle="1" w:styleId="402">
    <w:name w:val="方案正文"/>
    <w:basedOn w:val="1"/>
    <w:link w:val="401"/>
    <w:qFormat/>
    <w:uiPriority w:val="0"/>
    <w:pPr>
      <w:widowControl/>
      <w:adjustRightInd w:val="0"/>
      <w:snapToGrid w:val="0"/>
      <w:spacing w:line="288" w:lineRule="auto"/>
      <w:ind w:firstLine="200" w:firstLineChars="200"/>
    </w:pPr>
    <w:rPr>
      <w:rFonts w:ascii="宋体" w:hAnsi="宋体" w:eastAsia="微软雅黑" w:cs="宋体"/>
      <w:color w:val="000000"/>
      <w:kern w:val="0"/>
      <w:sz w:val="24"/>
      <w:szCs w:val="20"/>
    </w:rPr>
  </w:style>
  <w:style w:type="paragraph" w:customStyle="1" w:styleId="403">
    <w:name w:val="技术文档正文"/>
    <w:basedOn w:val="1"/>
    <w:qFormat/>
    <w:uiPriority w:val="0"/>
    <w:pPr>
      <w:spacing w:line="360" w:lineRule="auto"/>
      <w:ind w:firstLine="200" w:firstLineChars="200"/>
    </w:pPr>
    <w:rPr>
      <w:rFonts w:cstheme="minorBidi"/>
      <w:sz w:val="24"/>
      <w:szCs w:val="21"/>
    </w:rPr>
  </w:style>
  <w:style w:type="character" w:customStyle="1" w:styleId="404">
    <w:name w:val="题注 Char"/>
    <w:link w:val="14"/>
    <w:qFormat/>
    <w:uiPriority w:val="35"/>
    <w:rPr>
      <w:rFonts w:ascii="Arial Unicode MS" w:hAnsi="Arial Unicode MS" w:cs="宋体"/>
      <w:sz w:val="24"/>
    </w:rPr>
  </w:style>
  <w:style w:type="character" w:customStyle="1" w:styleId="405">
    <w:name w:val="Unresolved Mention"/>
    <w:basedOn w:val="45"/>
    <w:semiHidden/>
    <w:unhideWhenUsed/>
    <w:qFormat/>
    <w:uiPriority w:val="99"/>
    <w:rPr>
      <w:color w:val="605E5C"/>
      <w:shd w:val="clear" w:color="auto" w:fill="E1DFDD"/>
    </w:rPr>
  </w:style>
  <w:style w:type="character" w:customStyle="1" w:styleId="406">
    <w:name w:val="日期 Char"/>
    <w:basedOn w:val="45"/>
    <w:link w:val="25"/>
    <w:qFormat/>
    <w:uiPriority w:val="99"/>
    <w:rPr>
      <w:rFonts w:eastAsia="楷体_GB2312" w:asciiTheme="minorHAnsi" w:hAnsiTheme="minorHAnsi" w:cstheme="minorBidi"/>
      <w:kern w:val="2"/>
      <w:sz w:val="32"/>
      <w:szCs w:val="22"/>
    </w:rPr>
  </w:style>
  <w:style w:type="character" w:customStyle="1" w:styleId="407">
    <w:name w:val="param-explain"/>
    <w:basedOn w:val="45"/>
    <w:qFormat/>
    <w:uiPriority w:val="0"/>
  </w:style>
  <w:style w:type="character" w:customStyle="1" w:styleId="408">
    <w:name w:val="HTML 预设格式 Char"/>
    <w:basedOn w:val="45"/>
    <w:link w:val="38"/>
    <w:qFormat/>
    <w:uiPriority w:val="99"/>
    <w:rPr>
      <w:rFonts w:ascii="宋体" w:hAnsi="宋体" w:cs="宋体"/>
      <w:sz w:val="24"/>
      <w:szCs w:val="24"/>
    </w:rPr>
  </w:style>
  <w:style w:type="character" w:customStyle="1" w:styleId="409">
    <w:name w:val="标题 Char"/>
    <w:basedOn w:val="45"/>
    <w:link w:val="40"/>
    <w:qFormat/>
    <w:uiPriority w:val="0"/>
    <w:rPr>
      <w:rFonts w:ascii="Arial" w:hAnsi="Arial"/>
      <w:b/>
      <w:bCs/>
      <w:kern w:val="36"/>
      <w:sz w:val="32"/>
      <w:szCs w:val="32"/>
    </w:rPr>
  </w:style>
  <w:style w:type="paragraph" w:customStyle="1" w:styleId="410">
    <w:name w:val="Char1"/>
    <w:basedOn w:val="1"/>
    <w:qFormat/>
    <w:uiPriority w:val="0"/>
    <w:rPr>
      <w:rFonts w:ascii="Tahoma" w:hAnsi="Tahoma"/>
      <w:sz w:val="24"/>
      <w:szCs w:val="20"/>
    </w:rPr>
  </w:style>
  <w:style w:type="paragraph" w:customStyle="1" w:styleId="411">
    <w:name w:val="正文（首行缩进2字符）"/>
    <w:basedOn w:val="1"/>
    <w:qFormat/>
    <w:uiPriority w:val="0"/>
    <w:pPr>
      <w:ind w:firstLine="480" w:firstLineChars="200"/>
    </w:pPr>
    <w:rPr>
      <w:sz w:val="24"/>
      <w:szCs w:val="20"/>
    </w:rPr>
  </w:style>
  <w:style w:type="paragraph" w:customStyle="1" w:styleId="412">
    <w:name w:val="表格内文"/>
    <w:basedOn w:val="1"/>
    <w:qFormat/>
    <w:uiPriority w:val="99"/>
    <w:pPr>
      <w:spacing w:line="400" w:lineRule="exact"/>
    </w:pPr>
    <w:rPr>
      <w:rFonts w:ascii="Arial" w:hAnsi="Arial" w:cs="宋体"/>
      <w:szCs w:val="20"/>
    </w:rPr>
  </w:style>
  <w:style w:type="paragraph" w:customStyle="1" w:styleId="413">
    <w:name w:val="_Style 1"/>
    <w:qFormat/>
    <w:uiPriority w:val="99"/>
    <w:rPr>
      <w:rFonts w:ascii="Calibri" w:hAnsi="Calibri" w:eastAsia="宋体" w:cs="Times New Roman"/>
      <w:kern w:val="2"/>
      <w:sz w:val="28"/>
      <w:szCs w:val="22"/>
      <w:lang w:val="en-US" w:eastAsia="zh-CN" w:bidi="ar-SA"/>
    </w:rPr>
  </w:style>
  <w:style w:type="character" w:customStyle="1" w:styleId="414">
    <w:name w:val="NormalCharacter"/>
    <w:semiHidden/>
    <w:qFormat/>
    <w:uiPriority w:val="0"/>
  </w:style>
  <w:style w:type="paragraph" w:customStyle="1" w:styleId="415">
    <w:name w:val="_Style 116"/>
    <w:qFormat/>
    <w:uiPriority w:val="99"/>
    <w:rPr>
      <w:rFonts w:ascii="Times New Roman" w:hAnsi="Times New Roman" w:eastAsia="宋体" w:cs="Times New Roman"/>
      <w:sz w:val="24"/>
      <w:szCs w:val="22"/>
      <w:lang w:val="en-US" w:eastAsia="zh-CN" w:bidi="ar-SA"/>
    </w:rPr>
  </w:style>
  <w:style w:type="paragraph" w:customStyle="1" w:styleId="416">
    <w:name w:val="hea"/>
    <w:basedOn w:val="1"/>
    <w:next w:val="1"/>
    <w:qFormat/>
    <w:uiPriority w:val="0"/>
    <w:pPr>
      <w:keepNext/>
      <w:keepLines/>
      <w:numPr>
        <w:ilvl w:val="0"/>
        <w:numId w:val="7"/>
      </w:numPr>
      <w:spacing w:before="340" w:after="330" w:line="578" w:lineRule="auto"/>
      <w:outlineLvl w:val="0"/>
    </w:pPr>
    <w:rPr>
      <w:b/>
      <w:bCs/>
      <w:kern w:val="44"/>
      <w:sz w:val="44"/>
      <w:szCs w:val="44"/>
    </w:rPr>
  </w:style>
  <w:style w:type="paragraph" w:customStyle="1" w:styleId="417">
    <w:name w:val="￥正文"/>
    <w:basedOn w:val="1"/>
    <w:qFormat/>
    <w:uiPriority w:val="0"/>
    <w:pPr>
      <w:ind w:firstLine="200" w:firstLineChars="200"/>
    </w:pPr>
    <w:rPr>
      <w:rFonts w:ascii="Calibri" w:hAnsi="Calibri"/>
    </w:rPr>
  </w:style>
  <w:style w:type="paragraph" w:customStyle="1" w:styleId="418">
    <w:name w:val="正文空格"/>
    <w:basedOn w:val="1"/>
    <w:next w:val="1"/>
    <w:qFormat/>
    <w:uiPriority w:val="0"/>
    <w:pPr>
      <w:spacing w:line="400" w:lineRule="exact"/>
      <w:ind w:firstLine="200" w:firstLineChars="200"/>
    </w:pPr>
    <w:rPr>
      <w:sz w:val="24"/>
      <w:szCs w:val="22"/>
    </w:rPr>
  </w:style>
  <w:style w:type="paragraph" w:customStyle="1" w:styleId="419">
    <w:name w:val="纯文本11"/>
    <w:basedOn w:val="1"/>
    <w:qFormat/>
    <w:uiPriority w:val="0"/>
    <w:rPr>
      <w:rFonts w:ascii="宋体" w:hAnsi="Courier New"/>
    </w:rPr>
  </w:style>
  <w:style w:type="paragraph" w:customStyle="1" w:styleId="420">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42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63</Pages>
  <Words>33280</Words>
  <Characters>35361</Characters>
  <Lines>234</Lines>
  <Paragraphs>66</Paragraphs>
  <TotalTime>3</TotalTime>
  <ScaleCrop>false</ScaleCrop>
  <LinksUpToDate>false</LinksUpToDate>
  <CharactersWithSpaces>36599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2021-07-07T09:32:00Z</dcterms:created>
  <dc:creator>S-mile</dc:creator>
  <cp:lastModifiedBy>が Yuki◇◆</cp:lastModifiedBy>
  <cp:lastPrinted>2020-03-06T05:47:00Z</cp:lastPrinted>
  <dcterms:modified xsi:type="dcterms:W3CDTF">2022-07-19T02:16:55Z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9E0AA76BFA6740B598994E186F9D3713</vt:lpwstr>
  </property>
</Properties>
</file>