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1"/>
        <w:ind w:firstLine="0" w:firstLineChars="0"/>
        <w:jc w:val="center"/>
        <w:rPr>
          <w:rFonts w:ascii="宋体" w:hAnsi="宋体" w:cs="宋体"/>
          <w:b/>
          <w:spacing w:val="-20"/>
          <w:sz w:val="48"/>
          <w:szCs w:val="48"/>
        </w:rPr>
      </w:pPr>
      <w:bookmarkStart w:id="0" w:name="_Toc303756353"/>
      <w:bookmarkStart w:id="1" w:name="_Toc301187513"/>
      <w:bookmarkStart w:id="2" w:name="_Toc499904867"/>
      <w:bookmarkStart w:id="3" w:name="_Toc342654505"/>
      <w:bookmarkStart w:id="4" w:name="_Toc301187515"/>
      <w:bookmarkStart w:id="5" w:name="_Toc22550"/>
      <w:bookmarkStart w:id="6" w:name="_Toc303756355"/>
    </w:p>
    <w:p>
      <w:pPr>
        <w:jc w:val="center"/>
        <w:rPr>
          <w:rFonts w:hint="eastAsia" w:ascii="宋体" w:hAnsi="宋体" w:eastAsia="宋体" w:cs="宋体"/>
          <w:b/>
          <w:spacing w:val="-20"/>
          <w:sz w:val="52"/>
          <w:szCs w:val="52"/>
          <w:lang w:eastAsia="zh-CN"/>
        </w:rPr>
      </w:pPr>
      <w:r>
        <w:rPr>
          <w:rFonts w:hint="eastAsia" w:ascii="宋体" w:hAnsi="宋体" w:cs="宋体"/>
          <w:b/>
          <w:spacing w:val="-20"/>
          <w:sz w:val="48"/>
          <w:szCs w:val="48"/>
          <w:lang w:eastAsia="zh-CN"/>
        </w:rPr>
        <w:t>缙云县公安局雪亮工程六、八期升级改造项目</w:t>
      </w:r>
    </w:p>
    <w:p>
      <w:pPr>
        <w:pStyle w:val="15"/>
        <w:rPr>
          <w:rFonts w:ascii="宋体" w:hAnsi="宋体" w:cs="宋体"/>
          <w:lang w:val="zh-CN"/>
        </w:rPr>
      </w:pPr>
    </w:p>
    <w:p>
      <w:pPr>
        <w:rPr>
          <w:rFonts w:ascii="宋体" w:hAnsi="宋体" w:cs="宋体"/>
          <w:lang w:val="zh-CN"/>
        </w:rPr>
      </w:pPr>
    </w:p>
    <w:p>
      <w:pPr>
        <w:jc w:val="center"/>
        <w:rPr>
          <w:rFonts w:ascii="宋体" w:hAnsi="宋体" w:cs="宋体"/>
          <w:b/>
          <w:bCs/>
          <w:spacing w:val="20"/>
          <w:sz w:val="96"/>
          <w:szCs w:val="96"/>
          <w:lang w:val="zh-CN"/>
        </w:rPr>
      </w:pPr>
    </w:p>
    <w:p>
      <w:pPr>
        <w:jc w:val="center"/>
        <w:rPr>
          <w:rFonts w:ascii="宋体" w:hAnsi="宋体" w:cs="宋体"/>
          <w:b/>
          <w:bCs/>
          <w:spacing w:val="20"/>
          <w:sz w:val="96"/>
          <w:szCs w:val="96"/>
          <w:lang w:val="zh-CN"/>
        </w:rPr>
      </w:pPr>
    </w:p>
    <w:p>
      <w:pPr>
        <w:pStyle w:val="15"/>
        <w:rPr>
          <w:rFonts w:ascii="宋体" w:hAnsi="宋体" w:cs="宋体"/>
          <w:lang w:val="zh-CN"/>
        </w:rPr>
      </w:pPr>
    </w:p>
    <w:p>
      <w:pPr>
        <w:pStyle w:val="15"/>
        <w:rPr>
          <w:rFonts w:ascii="宋体" w:hAnsi="宋体" w:cs="宋体"/>
          <w:lang w:val="zh-CN"/>
        </w:rPr>
      </w:pPr>
    </w:p>
    <w:p>
      <w:pPr>
        <w:jc w:val="center"/>
        <w:rPr>
          <w:rFonts w:ascii="宋体" w:hAnsi="宋体" w:cs="宋体"/>
          <w:b/>
          <w:bCs/>
          <w:spacing w:val="20"/>
          <w:sz w:val="96"/>
          <w:szCs w:val="96"/>
          <w:lang w:val="zh-CN"/>
        </w:rPr>
      </w:pPr>
      <w:r>
        <w:rPr>
          <w:rFonts w:hint="eastAsia" w:ascii="宋体" w:hAnsi="宋体" w:cs="宋体"/>
          <w:b/>
          <w:bCs/>
          <w:spacing w:val="20"/>
          <w:sz w:val="72"/>
          <w:szCs w:val="72"/>
          <w:lang w:val="zh-CN"/>
        </w:rPr>
        <w:t>竞争性磋商文件</w:t>
      </w:r>
    </w:p>
    <w:p>
      <w:pPr>
        <w:spacing w:line="160" w:lineRule="exact"/>
        <w:rPr>
          <w:rFonts w:ascii="宋体" w:hAnsi="宋体" w:cs="宋体"/>
          <w:b/>
          <w:bCs/>
          <w:sz w:val="48"/>
        </w:rPr>
      </w:pPr>
    </w:p>
    <w:p>
      <w:pPr>
        <w:adjustRightInd w:val="0"/>
        <w:snapToGrid w:val="0"/>
        <w:spacing w:line="600" w:lineRule="exact"/>
        <w:ind w:firstLine="422" w:firstLineChars="150"/>
        <w:jc w:val="center"/>
        <w:rPr>
          <w:rFonts w:ascii="宋体" w:hAnsi="宋体" w:cs="宋体"/>
          <w:b/>
          <w:snapToGrid w:val="0"/>
          <w:sz w:val="28"/>
          <w:szCs w:val="28"/>
        </w:rPr>
      </w:pPr>
    </w:p>
    <w:p>
      <w:pPr>
        <w:adjustRightInd w:val="0"/>
        <w:snapToGrid w:val="0"/>
        <w:spacing w:line="800" w:lineRule="atLeast"/>
        <w:jc w:val="center"/>
        <w:rPr>
          <w:rFonts w:ascii="宋体" w:hAnsi="宋体" w:cs="宋体"/>
          <w:b/>
          <w:snapToGrid w:val="0"/>
          <w:sz w:val="72"/>
          <w:szCs w:val="72"/>
        </w:rPr>
      </w:pPr>
    </w:p>
    <w:p>
      <w:pPr>
        <w:pStyle w:val="2"/>
        <w:rPr>
          <w:rFonts w:ascii="宋体" w:hAnsi="宋体" w:cs="宋体"/>
        </w:rPr>
      </w:pPr>
    </w:p>
    <w:p>
      <w:pPr>
        <w:adjustRightInd w:val="0"/>
        <w:snapToGrid w:val="0"/>
        <w:spacing w:line="600" w:lineRule="exact"/>
        <w:rPr>
          <w:rFonts w:ascii="宋体" w:hAnsi="宋体" w:cs="宋体"/>
          <w:b/>
          <w:snapToGrid w:val="0"/>
          <w:sz w:val="32"/>
          <w:szCs w:val="32"/>
        </w:rPr>
      </w:pPr>
    </w:p>
    <w:p>
      <w:pPr>
        <w:pStyle w:val="2"/>
        <w:rPr>
          <w:rFonts w:ascii="宋体" w:hAnsi="宋体" w:cs="宋体"/>
        </w:rPr>
      </w:pPr>
    </w:p>
    <w:p>
      <w:pPr>
        <w:adjustRightInd w:val="0"/>
        <w:snapToGrid w:val="0"/>
        <w:spacing w:line="600" w:lineRule="exact"/>
        <w:rPr>
          <w:rFonts w:ascii="宋体" w:hAnsi="宋体" w:cs="宋体"/>
          <w:b/>
          <w:snapToGrid w:val="0"/>
          <w:sz w:val="32"/>
          <w:szCs w:val="32"/>
        </w:rPr>
      </w:pPr>
    </w:p>
    <w:p>
      <w:pPr>
        <w:adjustRightInd w:val="0"/>
        <w:snapToGrid w:val="0"/>
        <w:spacing w:line="360" w:lineRule="auto"/>
        <w:ind w:firstLine="321" w:firstLineChars="100"/>
        <w:rPr>
          <w:rFonts w:ascii="宋体" w:hAnsi="宋体" w:cs="宋体"/>
          <w:b/>
          <w:snapToGrid w:val="0"/>
          <w:sz w:val="32"/>
          <w:szCs w:val="32"/>
        </w:rPr>
      </w:pPr>
      <w:r>
        <w:rPr>
          <w:rFonts w:hint="eastAsia" w:ascii="宋体" w:hAnsi="宋体" w:cs="宋体"/>
          <w:b/>
          <w:snapToGrid w:val="0"/>
          <w:sz w:val="32"/>
          <w:szCs w:val="32"/>
        </w:rPr>
        <w:t>项目编号：</w:t>
      </w:r>
      <w:r>
        <w:rPr>
          <w:rFonts w:hint="eastAsia" w:ascii="宋体" w:hAnsi="宋体" w:cs="宋体"/>
          <w:b/>
          <w:snapToGrid w:val="0"/>
          <w:sz w:val="32"/>
          <w:szCs w:val="32"/>
          <w:u w:val="single"/>
          <w:lang w:eastAsia="zh-CN"/>
        </w:rPr>
        <w:t>JYZFCG（分散）磋商2022-74</w:t>
      </w:r>
      <w:r>
        <w:rPr>
          <w:rFonts w:hint="eastAsia" w:ascii="宋体" w:hAnsi="宋体" w:cs="宋体"/>
          <w:b/>
          <w:snapToGrid w:val="0"/>
          <w:sz w:val="32"/>
          <w:szCs w:val="32"/>
        </w:rPr>
        <w:t xml:space="preserve"> </w:t>
      </w:r>
    </w:p>
    <w:p>
      <w:pPr>
        <w:adjustRightInd w:val="0"/>
        <w:snapToGrid w:val="0"/>
        <w:spacing w:line="360" w:lineRule="auto"/>
        <w:ind w:firstLine="321" w:firstLineChars="100"/>
        <w:rPr>
          <w:rFonts w:ascii="宋体" w:hAnsi="宋体" w:cs="宋体"/>
          <w:b/>
          <w:snapToGrid w:val="0"/>
          <w:sz w:val="32"/>
          <w:szCs w:val="32"/>
          <w:u w:val="single"/>
        </w:rPr>
      </w:pPr>
      <w:r>
        <w:rPr>
          <w:rFonts w:hint="eastAsia" w:ascii="宋体" w:hAnsi="宋体" w:cs="宋体"/>
          <w:b/>
          <w:snapToGrid w:val="0"/>
          <w:sz w:val="32"/>
          <w:szCs w:val="32"/>
        </w:rPr>
        <w:t>采购单位：</w:t>
      </w:r>
      <w:r>
        <w:rPr>
          <w:rFonts w:hint="eastAsia" w:ascii="宋体" w:hAnsi="宋体" w:cs="宋体"/>
          <w:b/>
          <w:snapToGrid w:val="0"/>
          <w:sz w:val="32"/>
          <w:szCs w:val="32"/>
          <w:u w:val="single"/>
        </w:rPr>
        <w:t>缙云县公安局</w:t>
      </w:r>
    </w:p>
    <w:p>
      <w:pPr>
        <w:adjustRightInd w:val="0"/>
        <w:snapToGrid w:val="0"/>
        <w:spacing w:line="360" w:lineRule="auto"/>
        <w:ind w:firstLine="321" w:firstLineChars="100"/>
        <w:rPr>
          <w:rFonts w:ascii="宋体" w:hAnsi="宋体" w:cs="宋体"/>
          <w:b/>
          <w:snapToGrid w:val="0"/>
          <w:sz w:val="32"/>
          <w:szCs w:val="32"/>
        </w:rPr>
      </w:pPr>
      <w:r>
        <w:rPr>
          <w:rFonts w:hint="eastAsia" w:ascii="宋体" w:hAnsi="宋体" w:cs="宋体"/>
          <w:b/>
          <w:snapToGrid w:val="0"/>
          <w:sz w:val="32"/>
          <w:szCs w:val="32"/>
        </w:rPr>
        <w:t>采购代理机构：</w:t>
      </w:r>
      <w:r>
        <w:rPr>
          <w:rFonts w:hint="eastAsia" w:ascii="宋体" w:hAnsi="宋体" w:cs="宋体"/>
          <w:b/>
          <w:snapToGrid w:val="0"/>
          <w:sz w:val="32"/>
          <w:szCs w:val="32"/>
          <w:u w:val="single"/>
        </w:rPr>
        <w:t>浙江鼎峰工程咨询有限公司</w:t>
      </w:r>
    </w:p>
    <w:p>
      <w:pPr>
        <w:pStyle w:val="193"/>
        <w:widowControl w:val="0"/>
        <w:spacing w:afterLines="0" w:line="360" w:lineRule="auto"/>
        <w:ind w:firstLine="321" w:firstLineChars="100"/>
        <w:rPr>
          <w:rFonts w:ascii="宋体" w:hAnsi="宋体" w:cs="宋体"/>
          <w:b/>
          <w:snapToGrid w:val="0"/>
          <w:sz w:val="32"/>
          <w:szCs w:val="32"/>
          <w:u w:val="single"/>
        </w:rPr>
      </w:pPr>
      <w:r>
        <w:rPr>
          <w:rFonts w:hint="eastAsia" w:ascii="宋体" w:hAnsi="宋体" w:cs="宋体"/>
          <w:b/>
          <w:snapToGrid w:val="0"/>
          <w:sz w:val="32"/>
          <w:szCs w:val="32"/>
        </w:rPr>
        <w:t>日   期：</w:t>
      </w:r>
      <w:r>
        <w:rPr>
          <w:rFonts w:hint="eastAsia" w:ascii="宋体" w:hAnsi="宋体" w:cs="宋体"/>
          <w:b/>
          <w:snapToGrid w:val="0"/>
          <w:sz w:val="32"/>
          <w:szCs w:val="32"/>
          <w:u w:val="single"/>
        </w:rPr>
        <w:t>二○二二年九月</w:t>
      </w:r>
    </w:p>
    <w:p>
      <w:pPr>
        <w:pStyle w:val="193"/>
        <w:widowControl w:val="0"/>
        <w:spacing w:afterLines="0" w:line="360" w:lineRule="auto"/>
        <w:ind w:firstLine="0" w:firstLineChars="0"/>
        <w:jc w:val="center"/>
        <w:rPr>
          <w:rFonts w:ascii="宋体" w:hAnsi="宋体" w:cs="宋体"/>
          <w:b/>
          <w:sz w:val="30"/>
          <w:szCs w:val="30"/>
        </w:rPr>
      </w:pPr>
      <w:r>
        <w:rPr>
          <w:rFonts w:hint="eastAsia" w:ascii="宋体" w:hAnsi="宋体" w:cs="宋体"/>
          <w:b/>
          <w:snapToGrid w:val="0"/>
          <w:sz w:val="32"/>
          <w:szCs w:val="32"/>
          <w:u w:val="single"/>
        </w:rPr>
        <w:br w:type="page"/>
      </w:r>
      <w:r>
        <w:rPr>
          <w:rFonts w:hint="eastAsia" w:ascii="宋体" w:hAnsi="宋体" w:cs="宋体"/>
          <w:b/>
          <w:sz w:val="30"/>
          <w:szCs w:val="30"/>
        </w:rPr>
        <w:t>目  录</w:t>
      </w:r>
    </w:p>
    <w:bookmarkEnd w:id="0"/>
    <w:bookmarkEnd w:id="1"/>
    <w:bookmarkEnd w:id="2"/>
    <w:p>
      <w:pPr>
        <w:pStyle w:val="28"/>
        <w:tabs>
          <w:tab w:val="right" w:leader="dot" w:pos="9072"/>
          <w:tab w:val="clear" w:pos="9060"/>
        </w:tabs>
        <w:spacing w:line="360" w:lineRule="auto"/>
      </w:pPr>
      <w:bookmarkStart w:id="7" w:name="_Toc301187514"/>
      <w:bookmarkStart w:id="8" w:name="_Toc303756354"/>
      <w:r>
        <w:rPr>
          <w:rFonts w:hint="eastAsia" w:ascii="宋体" w:hAnsi="宋体" w:cs="宋体"/>
          <w:b/>
          <w:szCs w:val="21"/>
        </w:rPr>
        <w:fldChar w:fldCharType="begin"/>
      </w:r>
      <w:r>
        <w:rPr>
          <w:rFonts w:hint="eastAsia" w:ascii="宋体" w:hAnsi="宋体" w:cs="宋体"/>
          <w:b/>
          <w:szCs w:val="21"/>
        </w:rPr>
        <w:instrText xml:space="preserve">TOC \o "1-3" \h \u </w:instrText>
      </w:r>
      <w:r>
        <w:rPr>
          <w:rFonts w:hint="eastAsia" w:ascii="宋体" w:hAnsi="宋体" w:cs="宋体"/>
          <w:b/>
          <w:szCs w:val="21"/>
        </w:rPr>
        <w:fldChar w:fldCharType="separate"/>
      </w:r>
      <w:r>
        <w:fldChar w:fldCharType="begin"/>
      </w:r>
      <w:r>
        <w:instrText xml:space="preserve"> HYPERLINK \l "_Toc8245" </w:instrText>
      </w:r>
      <w:r>
        <w:fldChar w:fldCharType="separate"/>
      </w:r>
      <w:r>
        <w:rPr>
          <w:rFonts w:hint="eastAsia" w:ascii="宋体" w:hAnsi="宋体" w:cs="宋体"/>
          <w:bCs/>
        </w:rPr>
        <w:t xml:space="preserve">第一章 </w:t>
      </w:r>
      <w:r>
        <w:rPr>
          <w:rFonts w:hint="eastAsia" w:ascii="宋体" w:hAnsi="宋体" w:cs="宋体"/>
        </w:rPr>
        <w:t>竞争性磋商</w:t>
      </w:r>
      <w:r>
        <w:rPr>
          <w:rFonts w:hint="eastAsia" w:ascii="宋体" w:hAnsi="宋体" w:cs="宋体"/>
          <w:bCs/>
        </w:rPr>
        <w:t>公告</w:t>
      </w:r>
      <w:r>
        <w:tab/>
      </w:r>
      <w:r>
        <w:fldChar w:fldCharType="begin"/>
      </w:r>
      <w:r>
        <w:instrText xml:space="preserve"> PAGEREF _Toc8245 \h </w:instrText>
      </w:r>
      <w:r>
        <w:fldChar w:fldCharType="separate"/>
      </w:r>
      <w:r>
        <w:t>3</w:t>
      </w:r>
      <w:r>
        <w:fldChar w:fldCharType="end"/>
      </w:r>
      <w:r>
        <w:fldChar w:fldCharType="end"/>
      </w:r>
    </w:p>
    <w:p>
      <w:pPr>
        <w:pStyle w:val="28"/>
        <w:tabs>
          <w:tab w:val="right" w:leader="dot" w:pos="9072"/>
          <w:tab w:val="clear" w:pos="9060"/>
        </w:tabs>
        <w:spacing w:line="360" w:lineRule="auto"/>
      </w:pPr>
      <w:r>
        <w:fldChar w:fldCharType="begin"/>
      </w:r>
      <w:r>
        <w:instrText xml:space="preserve"> HYPERLINK \l "_Toc30775" </w:instrText>
      </w:r>
      <w:r>
        <w:fldChar w:fldCharType="separate"/>
      </w:r>
      <w:r>
        <w:rPr>
          <w:rFonts w:hint="eastAsia" w:ascii="宋体" w:hAnsi="宋体" w:cs="宋体"/>
          <w:szCs w:val="32"/>
        </w:rPr>
        <w:t>第二章 采购需求</w:t>
      </w:r>
      <w:r>
        <w:tab/>
      </w:r>
      <w:r>
        <w:fldChar w:fldCharType="begin"/>
      </w:r>
      <w:r>
        <w:instrText xml:space="preserve"> PAGEREF _Toc30775 \h </w:instrText>
      </w:r>
      <w:r>
        <w:fldChar w:fldCharType="separate"/>
      </w:r>
      <w:r>
        <w:t>5</w:t>
      </w:r>
      <w:r>
        <w:fldChar w:fldCharType="end"/>
      </w:r>
      <w:r>
        <w:fldChar w:fldCharType="end"/>
      </w:r>
    </w:p>
    <w:p>
      <w:pPr>
        <w:pStyle w:val="28"/>
        <w:tabs>
          <w:tab w:val="right" w:leader="dot" w:pos="9072"/>
          <w:tab w:val="clear" w:pos="9060"/>
        </w:tabs>
        <w:spacing w:line="360" w:lineRule="auto"/>
      </w:pPr>
      <w:r>
        <w:fldChar w:fldCharType="begin"/>
      </w:r>
      <w:r>
        <w:instrText xml:space="preserve"> HYPERLINK \l "_Toc7570" </w:instrText>
      </w:r>
      <w:r>
        <w:fldChar w:fldCharType="separate"/>
      </w:r>
      <w:r>
        <w:rPr>
          <w:rFonts w:hint="eastAsia" w:ascii="宋体" w:hAnsi="宋体" w:cs="宋体"/>
          <w:szCs w:val="22"/>
        </w:rPr>
        <w:t>第三章 供应商须知</w:t>
      </w:r>
      <w:r>
        <w:tab/>
      </w:r>
      <w:r>
        <w:fldChar w:fldCharType="begin"/>
      </w:r>
      <w:r>
        <w:instrText xml:space="preserve"> PAGEREF _Toc7570 \h </w:instrText>
      </w:r>
      <w:r>
        <w:fldChar w:fldCharType="separate"/>
      </w:r>
      <w:r>
        <w:t>9</w:t>
      </w:r>
      <w:r>
        <w:fldChar w:fldCharType="end"/>
      </w:r>
      <w:r>
        <w:fldChar w:fldCharType="end"/>
      </w:r>
    </w:p>
    <w:p>
      <w:pPr>
        <w:pStyle w:val="35"/>
        <w:tabs>
          <w:tab w:val="right" w:leader="dot" w:pos="9072"/>
          <w:tab w:val="clear" w:pos="1470"/>
          <w:tab w:val="clear" w:pos="9060"/>
        </w:tabs>
        <w:spacing w:line="360" w:lineRule="auto"/>
      </w:pPr>
      <w:r>
        <w:fldChar w:fldCharType="begin"/>
      </w:r>
      <w:r>
        <w:instrText xml:space="preserve"> HYPERLINK \l "_Toc2251" </w:instrText>
      </w:r>
      <w:r>
        <w:fldChar w:fldCharType="separate"/>
      </w:r>
      <w:r>
        <w:rPr>
          <w:rFonts w:hint="eastAsia" w:ascii="宋体" w:hAnsi="宋体" w:cs="宋体"/>
          <w:szCs w:val="21"/>
        </w:rPr>
        <w:t>1</w:t>
      </w:r>
      <w:r>
        <w:rPr>
          <w:rFonts w:hint="eastAsia" w:ascii="宋体" w:hAnsi="宋体" w:cs="宋体"/>
        </w:rPr>
        <w:t>．</w:t>
      </w:r>
      <w:r>
        <w:rPr>
          <w:rFonts w:hint="eastAsia" w:ascii="宋体" w:hAnsi="宋体" w:cs="宋体"/>
          <w:szCs w:val="21"/>
        </w:rPr>
        <w:t>总则</w:t>
      </w:r>
      <w:r>
        <w:tab/>
      </w:r>
      <w:r>
        <w:fldChar w:fldCharType="begin"/>
      </w:r>
      <w:r>
        <w:instrText xml:space="preserve"> PAGEREF _Toc2251 \h </w:instrText>
      </w:r>
      <w:r>
        <w:fldChar w:fldCharType="separate"/>
      </w:r>
      <w:r>
        <w:t>13</w:t>
      </w:r>
      <w:r>
        <w:fldChar w:fldCharType="end"/>
      </w:r>
      <w:r>
        <w:fldChar w:fldCharType="end"/>
      </w:r>
    </w:p>
    <w:p>
      <w:pPr>
        <w:pStyle w:val="35"/>
        <w:tabs>
          <w:tab w:val="right" w:leader="dot" w:pos="9072"/>
          <w:tab w:val="clear" w:pos="1470"/>
          <w:tab w:val="clear" w:pos="9060"/>
        </w:tabs>
        <w:spacing w:line="360" w:lineRule="auto"/>
      </w:pPr>
      <w:r>
        <w:fldChar w:fldCharType="begin"/>
      </w:r>
      <w:r>
        <w:instrText xml:space="preserve"> HYPERLINK \l "_Toc19188" </w:instrText>
      </w:r>
      <w:r>
        <w:fldChar w:fldCharType="separate"/>
      </w:r>
      <w:r>
        <w:rPr>
          <w:rFonts w:hint="eastAsia" w:ascii="宋体" w:hAnsi="宋体" w:cs="宋体"/>
        </w:rPr>
        <w:t>2．竞争性磋商文件</w:t>
      </w:r>
      <w:r>
        <w:tab/>
      </w:r>
      <w:r>
        <w:fldChar w:fldCharType="begin"/>
      </w:r>
      <w:r>
        <w:instrText xml:space="preserve"> PAGEREF _Toc19188 \h </w:instrText>
      </w:r>
      <w:r>
        <w:fldChar w:fldCharType="separate"/>
      </w:r>
      <w:r>
        <w:t>17</w:t>
      </w:r>
      <w:r>
        <w:fldChar w:fldCharType="end"/>
      </w:r>
      <w:r>
        <w:fldChar w:fldCharType="end"/>
      </w:r>
    </w:p>
    <w:p>
      <w:pPr>
        <w:pStyle w:val="35"/>
        <w:tabs>
          <w:tab w:val="right" w:leader="dot" w:pos="9072"/>
          <w:tab w:val="clear" w:pos="1470"/>
          <w:tab w:val="clear" w:pos="9060"/>
        </w:tabs>
        <w:spacing w:line="360" w:lineRule="auto"/>
      </w:pPr>
      <w:r>
        <w:fldChar w:fldCharType="begin"/>
      </w:r>
      <w:r>
        <w:instrText xml:space="preserve"> HYPERLINK \l "_Toc30703" </w:instrText>
      </w:r>
      <w:r>
        <w:fldChar w:fldCharType="separate"/>
      </w:r>
      <w:r>
        <w:rPr>
          <w:rFonts w:hint="eastAsia" w:ascii="宋体" w:hAnsi="宋体" w:cs="宋体"/>
        </w:rPr>
        <w:t>3．响应文件的组成</w:t>
      </w:r>
      <w:r>
        <w:tab/>
      </w:r>
      <w:r>
        <w:fldChar w:fldCharType="begin"/>
      </w:r>
      <w:r>
        <w:instrText xml:space="preserve"> PAGEREF _Toc30703 \h </w:instrText>
      </w:r>
      <w:r>
        <w:fldChar w:fldCharType="separate"/>
      </w:r>
      <w:r>
        <w:t>17</w:t>
      </w:r>
      <w:r>
        <w:fldChar w:fldCharType="end"/>
      </w:r>
      <w:r>
        <w:fldChar w:fldCharType="end"/>
      </w:r>
    </w:p>
    <w:p>
      <w:pPr>
        <w:pStyle w:val="35"/>
        <w:tabs>
          <w:tab w:val="right" w:leader="dot" w:pos="9072"/>
          <w:tab w:val="clear" w:pos="1470"/>
          <w:tab w:val="clear" w:pos="9060"/>
        </w:tabs>
        <w:spacing w:line="360" w:lineRule="auto"/>
      </w:pPr>
      <w:r>
        <w:fldChar w:fldCharType="begin"/>
      </w:r>
      <w:r>
        <w:instrText xml:space="preserve"> HYPERLINK \l "_Toc22986" </w:instrText>
      </w:r>
      <w:r>
        <w:fldChar w:fldCharType="separate"/>
      </w:r>
      <w:r>
        <w:rPr>
          <w:rFonts w:hint="eastAsia" w:ascii="宋体" w:hAnsi="宋体" w:cs="宋体"/>
        </w:rPr>
        <w:t>4．响应文件的编制</w:t>
      </w:r>
      <w:r>
        <w:tab/>
      </w:r>
      <w:r>
        <w:fldChar w:fldCharType="begin"/>
      </w:r>
      <w:r>
        <w:instrText xml:space="preserve"> PAGEREF _Toc22986 \h </w:instrText>
      </w:r>
      <w:r>
        <w:fldChar w:fldCharType="separate"/>
      </w:r>
      <w:r>
        <w:t>18</w:t>
      </w:r>
      <w:r>
        <w:fldChar w:fldCharType="end"/>
      </w:r>
      <w:r>
        <w:fldChar w:fldCharType="end"/>
      </w:r>
    </w:p>
    <w:p>
      <w:pPr>
        <w:pStyle w:val="35"/>
        <w:tabs>
          <w:tab w:val="right" w:leader="dot" w:pos="9072"/>
          <w:tab w:val="clear" w:pos="1470"/>
          <w:tab w:val="clear" w:pos="9060"/>
        </w:tabs>
        <w:spacing w:line="360" w:lineRule="auto"/>
      </w:pPr>
      <w:r>
        <w:fldChar w:fldCharType="begin"/>
      </w:r>
      <w:r>
        <w:instrText xml:space="preserve"> HYPERLINK \l "_Toc28744" </w:instrText>
      </w:r>
      <w:r>
        <w:fldChar w:fldCharType="separate"/>
      </w:r>
      <w:r>
        <w:rPr>
          <w:rFonts w:hint="eastAsia" w:ascii="宋体" w:hAnsi="宋体" w:cs="宋体"/>
        </w:rPr>
        <w:t>5．响应文件的递交</w:t>
      </w:r>
      <w:r>
        <w:tab/>
      </w:r>
      <w:r>
        <w:fldChar w:fldCharType="begin"/>
      </w:r>
      <w:r>
        <w:instrText xml:space="preserve"> PAGEREF _Toc28744 \h </w:instrText>
      </w:r>
      <w:r>
        <w:fldChar w:fldCharType="separate"/>
      </w:r>
      <w:r>
        <w:t>19</w:t>
      </w:r>
      <w:r>
        <w:fldChar w:fldCharType="end"/>
      </w:r>
      <w:r>
        <w:fldChar w:fldCharType="end"/>
      </w:r>
    </w:p>
    <w:p>
      <w:pPr>
        <w:pStyle w:val="35"/>
        <w:tabs>
          <w:tab w:val="right" w:leader="dot" w:pos="9072"/>
          <w:tab w:val="clear" w:pos="1470"/>
          <w:tab w:val="clear" w:pos="9060"/>
        </w:tabs>
        <w:spacing w:line="360" w:lineRule="auto"/>
      </w:pPr>
      <w:r>
        <w:fldChar w:fldCharType="begin"/>
      </w:r>
      <w:r>
        <w:instrText xml:space="preserve"> HYPERLINK \l "_Toc21839" </w:instrText>
      </w:r>
      <w:r>
        <w:fldChar w:fldCharType="separate"/>
      </w:r>
      <w:r>
        <w:rPr>
          <w:rFonts w:hint="eastAsia" w:ascii="宋体" w:hAnsi="宋体" w:cs="宋体"/>
        </w:rPr>
        <w:t>6．磋商无效情形</w:t>
      </w:r>
      <w:r>
        <w:tab/>
      </w:r>
      <w:r>
        <w:fldChar w:fldCharType="begin"/>
      </w:r>
      <w:r>
        <w:instrText xml:space="preserve"> PAGEREF _Toc21839 \h </w:instrText>
      </w:r>
      <w:r>
        <w:fldChar w:fldCharType="separate"/>
      </w:r>
      <w:r>
        <w:t>19</w:t>
      </w:r>
      <w:r>
        <w:fldChar w:fldCharType="end"/>
      </w:r>
      <w:r>
        <w:fldChar w:fldCharType="end"/>
      </w:r>
    </w:p>
    <w:p>
      <w:pPr>
        <w:pStyle w:val="35"/>
        <w:tabs>
          <w:tab w:val="right" w:leader="dot" w:pos="9072"/>
          <w:tab w:val="clear" w:pos="1470"/>
          <w:tab w:val="clear" w:pos="9060"/>
        </w:tabs>
        <w:spacing w:line="360" w:lineRule="auto"/>
      </w:pPr>
      <w:r>
        <w:fldChar w:fldCharType="begin"/>
      </w:r>
      <w:r>
        <w:instrText xml:space="preserve"> HYPERLINK \l "_Toc22182" </w:instrText>
      </w:r>
      <w:r>
        <w:fldChar w:fldCharType="separate"/>
      </w:r>
      <w:r>
        <w:rPr>
          <w:rFonts w:hint="eastAsia" w:ascii="宋体" w:hAnsi="宋体" w:cs="宋体"/>
        </w:rPr>
        <w:t>7．磋商、磋商评审及定标</w:t>
      </w:r>
      <w:r>
        <w:tab/>
      </w:r>
      <w:r>
        <w:fldChar w:fldCharType="begin"/>
      </w:r>
      <w:r>
        <w:instrText xml:space="preserve"> PAGEREF _Toc22182 \h </w:instrText>
      </w:r>
      <w:r>
        <w:fldChar w:fldCharType="separate"/>
      </w:r>
      <w:r>
        <w:t>20</w:t>
      </w:r>
      <w:r>
        <w:fldChar w:fldCharType="end"/>
      </w:r>
      <w:r>
        <w:fldChar w:fldCharType="end"/>
      </w:r>
    </w:p>
    <w:p>
      <w:pPr>
        <w:pStyle w:val="35"/>
        <w:tabs>
          <w:tab w:val="right" w:leader="dot" w:pos="9072"/>
          <w:tab w:val="clear" w:pos="1470"/>
          <w:tab w:val="clear" w:pos="9060"/>
        </w:tabs>
        <w:spacing w:line="360" w:lineRule="auto"/>
      </w:pPr>
      <w:r>
        <w:fldChar w:fldCharType="begin"/>
      </w:r>
      <w:r>
        <w:instrText xml:space="preserve"> HYPERLINK \l "_Toc913" </w:instrText>
      </w:r>
      <w:r>
        <w:fldChar w:fldCharType="separate"/>
      </w:r>
      <w:r>
        <w:rPr>
          <w:rFonts w:hint="eastAsia" w:ascii="宋体" w:hAnsi="宋体" w:cs="宋体"/>
        </w:rPr>
        <w:t>8．成交和合同</w:t>
      </w:r>
      <w:r>
        <w:tab/>
      </w:r>
      <w:r>
        <w:fldChar w:fldCharType="begin"/>
      </w:r>
      <w:r>
        <w:instrText xml:space="preserve"> PAGEREF _Toc913 \h </w:instrText>
      </w:r>
      <w:r>
        <w:fldChar w:fldCharType="separate"/>
      </w:r>
      <w:r>
        <w:t>24</w:t>
      </w:r>
      <w:r>
        <w:fldChar w:fldCharType="end"/>
      </w:r>
      <w:r>
        <w:fldChar w:fldCharType="end"/>
      </w:r>
    </w:p>
    <w:p>
      <w:pPr>
        <w:pStyle w:val="35"/>
        <w:tabs>
          <w:tab w:val="right" w:leader="dot" w:pos="9072"/>
          <w:tab w:val="clear" w:pos="1470"/>
          <w:tab w:val="clear" w:pos="9060"/>
        </w:tabs>
        <w:spacing w:line="360" w:lineRule="auto"/>
      </w:pPr>
      <w:r>
        <w:fldChar w:fldCharType="begin"/>
      </w:r>
      <w:r>
        <w:instrText xml:space="preserve"> HYPERLINK \l "_Toc25457" </w:instrText>
      </w:r>
      <w:r>
        <w:fldChar w:fldCharType="separate"/>
      </w:r>
      <w:r>
        <w:rPr>
          <w:rFonts w:hint="eastAsia" w:ascii="宋体" w:hAnsi="宋体" w:cs="宋体"/>
        </w:rPr>
        <w:t>9．履约保证金</w:t>
      </w:r>
      <w:r>
        <w:tab/>
      </w:r>
      <w:r>
        <w:fldChar w:fldCharType="begin"/>
      </w:r>
      <w:r>
        <w:instrText xml:space="preserve"> PAGEREF _Toc25457 \h </w:instrText>
      </w:r>
      <w:r>
        <w:fldChar w:fldCharType="separate"/>
      </w:r>
      <w:r>
        <w:t>25</w:t>
      </w:r>
      <w:r>
        <w:fldChar w:fldCharType="end"/>
      </w:r>
      <w:r>
        <w:fldChar w:fldCharType="end"/>
      </w:r>
    </w:p>
    <w:p>
      <w:pPr>
        <w:pStyle w:val="35"/>
        <w:tabs>
          <w:tab w:val="right" w:leader="dot" w:pos="9072"/>
          <w:tab w:val="clear" w:pos="1470"/>
          <w:tab w:val="clear" w:pos="9060"/>
        </w:tabs>
        <w:spacing w:line="360" w:lineRule="auto"/>
      </w:pPr>
      <w:r>
        <w:fldChar w:fldCharType="begin"/>
      </w:r>
      <w:r>
        <w:instrText xml:space="preserve"> HYPERLINK \l "_Toc25501" </w:instrText>
      </w:r>
      <w:r>
        <w:fldChar w:fldCharType="separate"/>
      </w:r>
      <w:r>
        <w:rPr>
          <w:rFonts w:hint="eastAsia" w:ascii="宋体" w:hAnsi="宋体" w:cs="宋体"/>
        </w:rPr>
        <w:t>10．其他事项</w:t>
      </w:r>
      <w:r>
        <w:tab/>
      </w:r>
      <w:r>
        <w:fldChar w:fldCharType="begin"/>
      </w:r>
      <w:r>
        <w:instrText xml:space="preserve"> PAGEREF _Toc25501 \h </w:instrText>
      </w:r>
      <w:r>
        <w:fldChar w:fldCharType="separate"/>
      </w:r>
      <w:r>
        <w:t>25</w:t>
      </w:r>
      <w:r>
        <w:fldChar w:fldCharType="end"/>
      </w:r>
      <w:r>
        <w:fldChar w:fldCharType="end"/>
      </w:r>
    </w:p>
    <w:p>
      <w:pPr>
        <w:pStyle w:val="28"/>
        <w:tabs>
          <w:tab w:val="right" w:leader="dot" w:pos="9072"/>
          <w:tab w:val="clear" w:pos="9060"/>
        </w:tabs>
        <w:spacing w:line="360" w:lineRule="auto"/>
      </w:pPr>
      <w:r>
        <w:fldChar w:fldCharType="begin"/>
      </w:r>
      <w:r>
        <w:instrText xml:space="preserve"> HYPERLINK \l "_Toc18596" </w:instrText>
      </w:r>
      <w:r>
        <w:fldChar w:fldCharType="separate"/>
      </w:r>
      <w:r>
        <w:rPr>
          <w:rFonts w:hint="eastAsia" w:ascii="宋体" w:hAnsi="宋体" w:cs="宋体"/>
          <w:szCs w:val="22"/>
        </w:rPr>
        <w:t xml:space="preserve">第四章 </w:t>
      </w:r>
      <w:r>
        <w:rPr>
          <w:rFonts w:hint="eastAsia" w:ascii="宋体" w:hAnsi="宋体" w:cs="宋体"/>
          <w:bCs/>
          <w:spacing w:val="11"/>
          <w:szCs w:val="36"/>
        </w:rPr>
        <w:t>合同主要条款</w:t>
      </w:r>
      <w:r>
        <w:tab/>
      </w:r>
      <w:r>
        <w:fldChar w:fldCharType="begin"/>
      </w:r>
      <w:r>
        <w:instrText xml:space="preserve"> PAGEREF _Toc18596 \h </w:instrText>
      </w:r>
      <w:r>
        <w:fldChar w:fldCharType="separate"/>
      </w:r>
      <w:r>
        <w:t>26</w:t>
      </w:r>
      <w:r>
        <w:fldChar w:fldCharType="end"/>
      </w:r>
      <w:r>
        <w:fldChar w:fldCharType="end"/>
      </w:r>
    </w:p>
    <w:p>
      <w:pPr>
        <w:pStyle w:val="28"/>
        <w:tabs>
          <w:tab w:val="right" w:leader="dot" w:pos="9072"/>
          <w:tab w:val="clear" w:pos="9060"/>
        </w:tabs>
        <w:spacing w:line="360" w:lineRule="auto"/>
      </w:pPr>
      <w:r>
        <w:fldChar w:fldCharType="begin"/>
      </w:r>
      <w:r>
        <w:instrText xml:space="preserve"> HYPERLINK \l "_Toc23071" </w:instrText>
      </w:r>
      <w:r>
        <w:fldChar w:fldCharType="separate"/>
      </w:r>
      <w:r>
        <w:rPr>
          <w:rFonts w:hint="eastAsia" w:ascii="宋体" w:hAnsi="宋体" w:cs="宋体"/>
          <w:szCs w:val="22"/>
        </w:rPr>
        <w:t>第五章 响应文件格式</w:t>
      </w:r>
      <w:r>
        <w:tab/>
      </w:r>
      <w:r>
        <w:fldChar w:fldCharType="begin"/>
      </w:r>
      <w:r>
        <w:instrText xml:space="preserve"> PAGEREF _Toc23071 \h </w:instrText>
      </w:r>
      <w:r>
        <w:fldChar w:fldCharType="separate"/>
      </w:r>
      <w:r>
        <w:t>30</w:t>
      </w:r>
      <w:r>
        <w:fldChar w:fldCharType="end"/>
      </w:r>
      <w:r>
        <w:fldChar w:fldCharType="end"/>
      </w:r>
    </w:p>
    <w:p>
      <w:pPr>
        <w:pStyle w:val="35"/>
        <w:tabs>
          <w:tab w:val="right" w:leader="dot" w:pos="9072"/>
          <w:tab w:val="clear" w:pos="1470"/>
          <w:tab w:val="clear" w:pos="9060"/>
        </w:tabs>
        <w:spacing w:line="360" w:lineRule="auto"/>
      </w:pPr>
      <w:r>
        <w:fldChar w:fldCharType="begin"/>
      </w:r>
      <w:r>
        <w:instrText xml:space="preserve"> HYPERLINK \l "_Toc20587" </w:instrText>
      </w:r>
      <w:r>
        <w:fldChar w:fldCharType="separate"/>
      </w:r>
      <w:r>
        <w:rPr>
          <w:rFonts w:hint="eastAsia" w:ascii="宋体" w:hAnsi="宋体" w:cs="宋体"/>
        </w:rPr>
        <w:t>一、响应文件格式说明</w:t>
      </w:r>
      <w:r>
        <w:tab/>
      </w:r>
      <w:r>
        <w:fldChar w:fldCharType="begin"/>
      </w:r>
      <w:r>
        <w:instrText xml:space="preserve"> PAGEREF _Toc20587 \h </w:instrText>
      </w:r>
      <w:r>
        <w:fldChar w:fldCharType="separate"/>
      </w:r>
      <w:r>
        <w:t>30</w:t>
      </w:r>
      <w:r>
        <w:fldChar w:fldCharType="end"/>
      </w:r>
      <w:r>
        <w:fldChar w:fldCharType="end"/>
      </w:r>
    </w:p>
    <w:p>
      <w:pPr>
        <w:pStyle w:val="35"/>
        <w:tabs>
          <w:tab w:val="right" w:leader="dot" w:pos="9072"/>
          <w:tab w:val="clear" w:pos="1470"/>
          <w:tab w:val="clear" w:pos="9060"/>
        </w:tabs>
        <w:spacing w:line="360" w:lineRule="auto"/>
      </w:pPr>
      <w:r>
        <w:fldChar w:fldCharType="begin"/>
      </w:r>
      <w:r>
        <w:instrText xml:space="preserve"> HYPERLINK \l "_Toc26620" </w:instrText>
      </w:r>
      <w:r>
        <w:fldChar w:fldCharType="separate"/>
      </w:r>
      <w:r>
        <w:rPr>
          <w:rFonts w:hint="eastAsia" w:ascii="宋体" w:hAnsi="宋体" w:cs="宋体"/>
          <w:szCs w:val="30"/>
        </w:rPr>
        <w:t>二、资格审查文件格式</w:t>
      </w:r>
      <w:r>
        <w:tab/>
      </w:r>
      <w:r>
        <w:fldChar w:fldCharType="begin"/>
      </w:r>
      <w:r>
        <w:instrText xml:space="preserve"> PAGEREF _Toc26620 \h </w:instrText>
      </w:r>
      <w:r>
        <w:fldChar w:fldCharType="separate"/>
      </w:r>
      <w:r>
        <w:t>31</w:t>
      </w:r>
      <w:r>
        <w:fldChar w:fldCharType="end"/>
      </w:r>
      <w:r>
        <w:fldChar w:fldCharType="end"/>
      </w:r>
    </w:p>
    <w:p>
      <w:pPr>
        <w:pStyle w:val="35"/>
        <w:tabs>
          <w:tab w:val="right" w:leader="dot" w:pos="9072"/>
          <w:tab w:val="clear" w:pos="1470"/>
          <w:tab w:val="clear" w:pos="9060"/>
        </w:tabs>
        <w:spacing w:line="360" w:lineRule="auto"/>
      </w:pPr>
      <w:r>
        <w:fldChar w:fldCharType="begin"/>
      </w:r>
      <w:r>
        <w:instrText xml:space="preserve"> HYPERLINK \l "_Toc477" </w:instrText>
      </w:r>
      <w:r>
        <w:fldChar w:fldCharType="separate"/>
      </w:r>
      <w:r>
        <w:rPr>
          <w:rFonts w:hint="eastAsia" w:ascii="宋体" w:hAnsi="宋体" w:cs="宋体"/>
          <w:szCs w:val="30"/>
        </w:rPr>
        <w:t>三、</w:t>
      </w:r>
      <w:r>
        <w:rPr>
          <w:rFonts w:hint="eastAsia" w:ascii="宋体" w:hAnsi="宋体" w:cs="宋体"/>
          <w:szCs w:val="28"/>
        </w:rPr>
        <w:t>商务技术文件</w:t>
      </w:r>
      <w:r>
        <w:rPr>
          <w:rFonts w:hint="eastAsia" w:ascii="宋体" w:hAnsi="宋体" w:cs="宋体"/>
          <w:szCs w:val="30"/>
        </w:rPr>
        <w:t>格式</w:t>
      </w:r>
      <w:r>
        <w:tab/>
      </w:r>
      <w:r>
        <w:fldChar w:fldCharType="begin"/>
      </w:r>
      <w:r>
        <w:instrText xml:space="preserve"> PAGEREF _Toc477 \h </w:instrText>
      </w:r>
      <w:r>
        <w:fldChar w:fldCharType="separate"/>
      </w:r>
      <w:r>
        <w:t>41</w:t>
      </w:r>
      <w:r>
        <w:fldChar w:fldCharType="end"/>
      </w:r>
      <w:r>
        <w:fldChar w:fldCharType="end"/>
      </w:r>
    </w:p>
    <w:p>
      <w:pPr>
        <w:pStyle w:val="35"/>
        <w:tabs>
          <w:tab w:val="right" w:leader="dot" w:pos="9072"/>
          <w:tab w:val="clear" w:pos="1470"/>
          <w:tab w:val="clear" w:pos="9060"/>
        </w:tabs>
        <w:spacing w:line="360" w:lineRule="auto"/>
      </w:pPr>
      <w:r>
        <w:fldChar w:fldCharType="begin"/>
      </w:r>
      <w:r>
        <w:instrText xml:space="preserve"> HYPERLINK \l "_Toc25255" </w:instrText>
      </w:r>
      <w:r>
        <w:fldChar w:fldCharType="separate"/>
      </w:r>
      <w:r>
        <w:rPr>
          <w:rFonts w:hint="eastAsia" w:ascii="宋体" w:hAnsi="宋体" w:cs="宋体"/>
          <w:szCs w:val="30"/>
        </w:rPr>
        <w:t>四、报价文件格式</w:t>
      </w:r>
      <w:r>
        <w:tab/>
      </w:r>
      <w:r>
        <w:fldChar w:fldCharType="begin"/>
      </w:r>
      <w:r>
        <w:instrText xml:space="preserve"> PAGEREF _Toc25255 \h </w:instrText>
      </w:r>
      <w:r>
        <w:fldChar w:fldCharType="separate"/>
      </w:r>
      <w:r>
        <w:t>48</w:t>
      </w:r>
      <w:r>
        <w:fldChar w:fldCharType="end"/>
      </w:r>
      <w:r>
        <w:fldChar w:fldCharType="end"/>
      </w:r>
    </w:p>
    <w:p>
      <w:pPr>
        <w:pStyle w:val="28"/>
        <w:tabs>
          <w:tab w:val="right" w:leader="dot" w:pos="9072"/>
          <w:tab w:val="clear" w:pos="9060"/>
        </w:tabs>
        <w:spacing w:line="360" w:lineRule="auto"/>
      </w:pPr>
      <w:r>
        <w:fldChar w:fldCharType="begin"/>
      </w:r>
      <w:r>
        <w:instrText xml:space="preserve"> HYPERLINK \l "_Toc1139" </w:instrText>
      </w:r>
      <w:r>
        <w:fldChar w:fldCharType="separate"/>
      </w:r>
      <w:r>
        <w:rPr>
          <w:rFonts w:hint="eastAsia" w:ascii="宋体" w:hAnsi="宋体" w:cs="宋体"/>
          <w:szCs w:val="22"/>
        </w:rPr>
        <w:t xml:space="preserve">第六章 </w:t>
      </w:r>
      <w:r>
        <w:rPr>
          <w:rFonts w:hint="eastAsia" w:ascii="宋体" w:hAnsi="宋体" w:cs="宋体"/>
          <w:bCs/>
          <w:szCs w:val="22"/>
        </w:rPr>
        <w:t>磋商评审办法及评分标准</w:t>
      </w:r>
      <w:r>
        <w:tab/>
      </w:r>
      <w:r>
        <w:fldChar w:fldCharType="begin"/>
      </w:r>
      <w:r>
        <w:instrText xml:space="preserve"> PAGEREF _Toc1139 \h </w:instrText>
      </w:r>
      <w:r>
        <w:fldChar w:fldCharType="separate"/>
      </w:r>
      <w:r>
        <w:t>55</w:t>
      </w:r>
      <w:r>
        <w:fldChar w:fldCharType="end"/>
      </w:r>
      <w:r>
        <w:fldChar w:fldCharType="end"/>
      </w:r>
    </w:p>
    <w:p>
      <w:pPr>
        <w:pStyle w:val="3"/>
        <w:keepNext w:val="0"/>
        <w:keepLines w:val="0"/>
        <w:snapToGrid w:val="0"/>
        <w:spacing w:before="0"/>
        <w:rPr>
          <w:rFonts w:ascii="宋体" w:hAnsi="宋体" w:cs="宋体"/>
          <w:bCs w:val="0"/>
          <w:kern w:val="2"/>
          <w:szCs w:val="21"/>
        </w:rPr>
      </w:pPr>
      <w:r>
        <w:rPr>
          <w:rFonts w:hint="eastAsia" w:ascii="宋体" w:hAnsi="宋体" w:cs="宋体"/>
          <w:bCs w:val="0"/>
          <w:kern w:val="2"/>
          <w:szCs w:val="21"/>
        </w:rPr>
        <w:fldChar w:fldCharType="end"/>
      </w:r>
    </w:p>
    <w:p>
      <w:pPr>
        <w:rPr>
          <w:rFonts w:ascii="宋体" w:hAnsi="宋体" w:cs="宋体"/>
          <w:szCs w:val="21"/>
        </w:rPr>
      </w:pPr>
      <w:r>
        <w:rPr>
          <w:rFonts w:hint="eastAsia" w:ascii="宋体" w:hAnsi="宋体" w:cs="宋体"/>
          <w:szCs w:val="21"/>
        </w:rPr>
        <w:br w:type="page"/>
      </w:r>
    </w:p>
    <w:p>
      <w:pPr>
        <w:rPr>
          <w:rFonts w:ascii="宋体" w:hAnsi="宋体" w:cs="宋体"/>
        </w:rPr>
      </w:pPr>
    </w:p>
    <w:p>
      <w:pPr>
        <w:pStyle w:val="3"/>
        <w:keepNext w:val="0"/>
        <w:keepLines w:val="0"/>
        <w:snapToGrid w:val="0"/>
        <w:spacing w:before="0" w:line="348" w:lineRule="auto"/>
        <w:rPr>
          <w:rStyle w:val="59"/>
          <w:rFonts w:ascii="宋体" w:hAnsi="宋体" w:cs="宋体"/>
          <w:b/>
          <w:bCs/>
        </w:rPr>
      </w:pPr>
      <w:bookmarkStart w:id="9" w:name="_Toc18252"/>
      <w:bookmarkStart w:id="10" w:name="_Toc8245"/>
      <w:r>
        <w:rPr>
          <w:rStyle w:val="59"/>
          <w:rFonts w:hint="eastAsia" w:ascii="宋体" w:hAnsi="宋体" w:cs="宋体"/>
          <w:b/>
          <w:bCs/>
        </w:rPr>
        <w:t xml:space="preserve">第一章 </w:t>
      </w:r>
      <w:bookmarkEnd w:id="7"/>
      <w:bookmarkEnd w:id="8"/>
      <w:r>
        <w:rPr>
          <w:rFonts w:hint="eastAsia" w:ascii="宋体" w:hAnsi="宋体" w:cs="宋体"/>
        </w:rPr>
        <w:t>竞争性磋商</w:t>
      </w:r>
      <w:r>
        <w:rPr>
          <w:rStyle w:val="59"/>
          <w:rFonts w:hint="eastAsia" w:ascii="宋体" w:hAnsi="宋体" w:cs="宋体"/>
          <w:b/>
          <w:bCs/>
        </w:rPr>
        <w:t>公告</w:t>
      </w:r>
      <w:bookmarkEnd w:id="9"/>
      <w:bookmarkEnd w:id="10"/>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tcPr>
          <w:p>
            <w:pPr>
              <w:pStyle w:val="38"/>
              <w:spacing w:before="75" w:beforeAutospacing="0" w:after="150" w:afterAutospacing="0"/>
              <w:rPr>
                <w:sz w:val="21"/>
                <w:szCs w:val="21"/>
              </w:rPr>
            </w:pPr>
            <w:r>
              <w:rPr>
                <w:rFonts w:hint="eastAsia"/>
                <w:sz w:val="21"/>
                <w:szCs w:val="21"/>
              </w:rPr>
              <w:t>项目概况:</w:t>
            </w:r>
          </w:p>
          <w:p>
            <w:pPr>
              <w:pStyle w:val="38"/>
              <w:spacing w:before="75" w:beforeAutospacing="0" w:after="75" w:afterAutospacing="0" w:line="288" w:lineRule="auto"/>
              <w:rPr>
                <w:sz w:val="21"/>
                <w:szCs w:val="21"/>
              </w:rPr>
            </w:pPr>
            <w:r>
              <w:rPr>
                <w:rFonts w:hint="eastAsia"/>
                <w:sz w:val="21"/>
                <w:szCs w:val="21"/>
              </w:rPr>
              <w:t>   </w:t>
            </w:r>
            <w:r>
              <w:rPr>
                <w:rFonts w:hint="eastAsia"/>
                <w:sz w:val="21"/>
                <w:szCs w:val="21"/>
                <w:lang w:eastAsia="zh-CN"/>
              </w:rPr>
              <w:t>缙云县公安局雪亮工程六、八期升级改造项目</w:t>
            </w:r>
            <w:r>
              <w:rPr>
                <w:rFonts w:hint="eastAsia"/>
                <w:sz w:val="21"/>
                <w:szCs w:val="21"/>
              </w:rPr>
              <w:t>采购的潜在供应商应在浙江省政府采购网（www.zjzfcg.gov.cn），丽水市公共资源交易网（http://lssggzy.lishui.gov.cn/jyweb/）获取（下载）采购文件，并于2022年9月</w:t>
            </w:r>
            <w:r>
              <w:rPr>
                <w:rFonts w:hint="eastAsia"/>
                <w:sz w:val="21"/>
                <w:szCs w:val="21"/>
                <w:lang w:val="en-US" w:eastAsia="zh-CN"/>
              </w:rPr>
              <w:t>30</w:t>
            </w:r>
            <w:r>
              <w:rPr>
                <w:rFonts w:hint="eastAsia"/>
                <w:sz w:val="21"/>
                <w:szCs w:val="21"/>
              </w:rPr>
              <w:t>日</w:t>
            </w:r>
            <w:r>
              <w:rPr>
                <w:rFonts w:hint="eastAsia"/>
                <w:sz w:val="21"/>
                <w:szCs w:val="21"/>
                <w:lang w:val="en-US" w:eastAsia="zh-CN"/>
              </w:rPr>
              <w:t>9</w:t>
            </w:r>
            <w:r>
              <w:rPr>
                <w:rFonts w:hint="eastAsia"/>
                <w:sz w:val="21"/>
                <w:szCs w:val="21"/>
              </w:rPr>
              <w:t>:00（北京时间）前提交（上传）响应文件。 </w:t>
            </w:r>
          </w:p>
        </w:tc>
      </w:tr>
    </w:tbl>
    <w:p>
      <w:pPr>
        <w:snapToGrid w:val="0"/>
        <w:spacing w:line="360" w:lineRule="exact"/>
        <w:jc w:val="left"/>
        <w:rPr>
          <w:rStyle w:val="46"/>
          <w:rFonts w:ascii="宋体" w:hAnsi="宋体" w:cs="宋体"/>
          <w:szCs w:val="21"/>
        </w:rPr>
      </w:pPr>
      <w:r>
        <w:rPr>
          <w:rStyle w:val="46"/>
          <w:rFonts w:hint="eastAsia" w:ascii="宋体" w:hAnsi="宋体" w:cs="宋体"/>
          <w:szCs w:val="21"/>
        </w:rPr>
        <w:t>一、项目基本情况</w:t>
      </w:r>
    </w:p>
    <w:p>
      <w:pPr>
        <w:wordWrap w:val="0"/>
        <w:spacing w:line="360" w:lineRule="exact"/>
        <w:ind w:firstLine="420" w:firstLineChars="200"/>
        <w:rPr>
          <w:rFonts w:ascii="宋体" w:hAnsi="宋体" w:cs="宋体"/>
          <w:kern w:val="0"/>
          <w:szCs w:val="21"/>
        </w:rPr>
      </w:pPr>
      <w:r>
        <w:rPr>
          <w:rFonts w:hint="eastAsia" w:ascii="宋体" w:hAnsi="宋体" w:cs="宋体"/>
          <w:kern w:val="0"/>
          <w:szCs w:val="21"/>
        </w:rPr>
        <w:t>项目编号：</w:t>
      </w:r>
      <w:r>
        <w:rPr>
          <w:rFonts w:hint="eastAsia" w:ascii="宋体" w:hAnsi="宋体" w:cs="宋体"/>
          <w:kern w:val="0"/>
          <w:szCs w:val="21"/>
          <w:lang w:eastAsia="zh-CN"/>
        </w:rPr>
        <w:t>JYZFCG（分散）磋商2022-74</w:t>
      </w:r>
      <w:r>
        <w:rPr>
          <w:rFonts w:hint="eastAsia" w:ascii="宋体" w:hAnsi="宋体" w:cs="宋体"/>
          <w:kern w:val="0"/>
          <w:szCs w:val="21"/>
        </w:rPr>
        <w:t xml:space="preserve">               </w:t>
      </w:r>
    </w:p>
    <w:p>
      <w:pPr>
        <w:wordWrap w:val="0"/>
        <w:spacing w:line="360" w:lineRule="exact"/>
        <w:ind w:firstLine="420" w:firstLineChars="200"/>
        <w:rPr>
          <w:rFonts w:ascii="宋体" w:hAnsi="宋体" w:cs="宋体"/>
          <w:kern w:val="0"/>
          <w:szCs w:val="21"/>
        </w:rPr>
      </w:pPr>
      <w:r>
        <w:rPr>
          <w:rFonts w:hint="eastAsia" w:ascii="宋体" w:hAnsi="宋体" w:cs="宋体"/>
          <w:kern w:val="0"/>
          <w:szCs w:val="21"/>
        </w:rPr>
        <w:t>项目名称：</w:t>
      </w:r>
      <w:r>
        <w:rPr>
          <w:rFonts w:hint="eastAsia" w:ascii="宋体" w:hAnsi="宋体" w:cs="宋体"/>
          <w:kern w:val="0"/>
          <w:szCs w:val="21"/>
          <w:lang w:eastAsia="zh-CN"/>
        </w:rPr>
        <w:t>缙云县公安局雪亮工程六、八期升级改造项目</w:t>
      </w:r>
      <w:r>
        <w:rPr>
          <w:rFonts w:hint="eastAsia" w:ascii="宋体" w:hAnsi="宋体" w:cs="宋体"/>
          <w:kern w:val="0"/>
          <w:szCs w:val="21"/>
        </w:rPr>
        <w:t> </w:t>
      </w:r>
    </w:p>
    <w:p>
      <w:pPr>
        <w:wordWrap w:val="0"/>
        <w:spacing w:line="360" w:lineRule="exact"/>
        <w:ind w:firstLine="420" w:firstLineChars="200"/>
        <w:rPr>
          <w:rFonts w:ascii="宋体" w:hAnsi="宋体" w:cs="宋体"/>
          <w:kern w:val="0"/>
          <w:szCs w:val="21"/>
        </w:rPr>
      </w:pPr>
      <w:r>
        <w:rPr>
          <w:rFonts w:hint="eastAsia" w:ascii="宋体" w:hAnsi="宋体" w:cs="宋体"/>
          <w:kern w:val="0"/>
          <w:szCs w:val="21"/>
        </w:rPr>
        <w:t>采购方式：竞争性磋商 </w:t>
      </w:r>
    </w:p>
    <w:p>
      <w:pPr>
        <w:wordWrap w:val="0"/>
        <w:spacing w:line="360" w:lineRule="exact"/>
        <w:ind w:firstLine="420" w:firstLineChars="200"/>
        <w:rPr>
          <w:rFonts w:ascii="宋体" w:hAnsi="宋体" w:cs="宋体"/>
          <w:kern w:val="0"/>
          <w:szCs w:val="21"/>
        </w:rPr>
      </w:pPr>
      <w:r>
        <w:rPr>
          <w:rFonts w:hint="eastAsia" w:ascii="宋体" w:hAnsi="宋体" w:cs="宋体"/>
          <w:kern w:val="0"/>
          <w:szCs w:val="21"/>
        </w:rPr>
        <w:t>预算金额（元）：</w:t>
      </w:r>
      <w:r>
        <w:rPr>
          <w:rFonts w:hint="eastAsia" w:ascii="宋体" w:hAnsi="宋体" w:cs="宋体"/>
          <w:kern w:val="0"/>
          <w:szCs w:val="21"/>
          <w:lang w:val="en-US" w:eastAsia="zh-CN"/>
        </w:rPr>
        <w:t>7902799</w:t>
      </w:r>
      <w:r>
        <w:rPr>
          <w:rFonts w:hint="eastAsia" w:ascii="宋体" w:hAnsi="宋体" w:cs="宋体"/>
          <w:kern w:val="0"/>
          <w:szCs w:val="21"/>
        </w:rPr>
        <w:t> </w:t>
      </w:r>
    </w:p>
    <w:p>
      <w:pPr>
        <w:wordWrap w:val="0"/>
        <w:spacing w:line="360" w:lineRule="exact"/>
        <w:ind w:firstLine="420" w:firstLineChars="200"/>
        <w:rPr>
          <w:rFonts w:ascii="宋体" w:hAnsi="宋体" w:cs="宋体"/>
          <w:kern w:val="0"/>
          <w:szCs w:val="21"/>
        </w:rPr>
      </w:pPr>
      <w:r>
        <w:rPr>
          <w:rFonts w:hint="eastAsia" w:ascii="宋体" w:hAnsi="宋体" w:cs="宋体"/>
          <w:kern w:val="0"/>
          <w:szCs w:val="21"/>
        </w:rPr>
        <w:t>最高限价（元）：</w:t>
      </w:r>
      <w:r>
        <w:rPr>
          <w:rFonts w:hint="eastAsia" w:ascii="宋体" w:hAnsi="宋体" w:cs="宋体"/>
          <w:kern w:val="0"/>
          <w:szCs w:val="21"/>
          <w:lang w:val="en-US" w:eastAsia="zh-CN"/>
        </w:rPr>
        <w:t>7902799</w:t>
      </w:r>
    </w:p>
    <w:p>
      <w:pPr>
        <w:wordWrap w:val="0"/>
        <w:spacing w:line="360" w:lineRule="exact"/>
        <w:ind w:firstLine="420" w:firstLineChars="200"/>
        <w:rPr>
          <w:rFonts w:ascii="宋体" w:hAnsi="宋体" w:cs="宋体"/>
          <w:kern w:val="0"/>
          <w:szCs w:val="21"/>
        </w:rPr>
      </w:pPr>
      <w:r>
        <w:rPr>
          <w:rFonts w:hint="eastAsia" w:ascii="宋体" w:hAnsi="宋体" w:cs="宋体"/>
          <w:kern w:val="0"/>
          <w:szCs w:val="21"/>
        </w:rPr>
        <w:t>采购需求</w:t>
      </w:r>
    </w:p>
    <w:p>
      <w:pPr>
        <w:wordWrap w:val="0"/>
        <w:spacing w:line="360" w:lineRule="exact"/>
        <w:ind w:firstLine="420" w:firstLineChars="200"/>
        <w:rPr>
          <w:rFonts w:ascii="宋体" w:hAnsi="宋体" w:cs="宋体"/>
          <w:kern w:val="0"/>
          <w:szCs w:val="21"/>
        </w:rPr>
      </w:pPr>
      <w:r>
        <w:rPr>
          <w:rFonts w:hint="eastAsia" w:ascii="宋体" w:hAnsi="宋体" w:cs="宋体"/>
          <w:kern w:val="0"/>
          <w:szCs w:val="21"/>
        </w:rPr>
        <w:t>标项一</w:t>
      </w:r>
    </w:p>
    <w:p>
      <w:pPr>
        <w:wordWrap w:val="0"/>
        <w:spacing w:line="360" w:lineRule="exact"/>
        <w:ind w:firstLine="420" w:firstLineChars="200"/>
        <w:rPr>
          <w:rFonts w:ascii="宋体" w:hAnsi="宋体" w:cs="宋体"/>
          <w:kern w:val="0"/>
          <w:szCs w:val="21"/>
        </w:rPr>
      </w:pPr>
      <w:r>
        <w:rPr>
          <w:rFonts w:hint="eastAsia" w:ascii="宋体" w:hAnsi="宋体" w:cs="宋体"/>
          <w:kern w:val="0"/>
          <w:szCs w:val="21"/>
        </w:rPr>
        <w:t>标项名称：</w:t>
      </w:r>
      <w:r>
        <w:rPr>
          <w:rFonts w:hint="eastAsia" w:ascii="宋体" w:hAnsi="宋体" w:cs="宋体"/>
          <w:kern w:val="0"/>
          <w:szCs w:val="21"/>
          <w:lang w:eastAsia="zh-CN"/>
        </w:rPr>
        <w:t>缙云县公安局雪亮工程六、八期升级改造项目</w:t>
      </w:r>
      <w:r>
        <w:rPr>
          <w:rFonts w:hint="eastAsia" w:ascii="宋体" w:hAnsi="宋体" w:cs="宋体"/>
          <w:kern w:val="0"/>
          <w:szCs w:val="21"/>
        </w:rPr>
        <w:t>  </w:t>
      </w:r>
    </w:p>
    <w:p>
      <w:pPr>
        <w:wordWrap w:val="0"/>
        <w:spacing w:line="360" w:lineRule="exact"/>
        <w:ind w:firstLine="420" w:firstLineChars="200"/>
        <w:rPr>
          <w:rFonts w:ascii="宋体" w:hAnsi="宋体" w:cs="宋体"/>
          <w:kern w:val="0"/>
          <w:szCs w:val="21"/>
        </w:rPr>
      </w:pPr>
      <w:r>
        <w:rPr>
          <w:rFonts w:hint="eastAsia" w:ascii="宋体" w:hAnsi="宋体" w:cs="宋体"/>
          <w:kern w:val="0"/>
          <w:szCs w:val="21"/>
        </w:rPr>
        <w:t>数量：不限 </w:t>
      </w:r>
    </w:p>
    <w:p>
      <w:pPr>
        <w:wordWrap w:val="0"/>
        <w:spacing w:line="360" w:lineRule="exact"/>
        <w:ind w:firstLine="420" w:firstLineChars="200"/>
        <w:rPr>
          <w:rFonts w:ascii="宋体" w:hAnsi="宋体" w:cs="宋体"/>
          <w:kern w:val="0"/>
          <w:szCs w:val="21"/>
        </w:rPr>
      </w:pPr>
      <w:r>
        <w:rPr>
          <w:rFonts w:hint="eastAsia" w:ascii="宋体" w:hAnsi="宋体" w:cs="宋体"/>
          <w:kern w:val="0"/>
          <w:szCs w:val="21"/>
        </w:rPr>
        <w:t>单位：项 </w:t>
      </w:r>
    </w:p>
    <w:p>
      <w:pPr>
        <w:wordWrap w:val="0"/>
        <w:spacing w:line="360" w:lineRule="exact"/>
        <w:ind w:firstLine="420" w:firstLineChars="200"/>
        <w:rPr>
          <w:rFonts w:ascii="宋体" w:hAnsi="宋体" w:cs="宋体"/>
          <w:kern w:val="0"/>
          <w:szCs w:val="21"/>
        </w:rPr>
      </w:pPr>
      <w:r>
        <w:rPr>
          <w:rFonts w:hint="eastAsia" w:ascii="宋体" w:hAnsi="宋体" w:cs="宋体"/>
          <w:kern w:val="0"/>
          <w:szCs w:val="21"/>
        </w:rPr>
        <w:t>预算金额（元）:</w:t>
      </w:r>
      <w:r>
        <w:rPr>
          <w:rFonts w:hint="eastAsia" w:ascii="宋体" w:hAnsi="宋体" w:cs="宋体"/>
          <w:kern w:val="0"/>
          <w:szCs w:val="21"/>
          <w:lang w:val="en-US" w:eastAsia="zh-CN"/>
        </w:rPr>
        <w:t>7902799</w:t>
      </w:r>
    </w:p>
    <w:p>
      <w:pPr>
        <w:wordWrap w:val="0"/>
        <w:spacing w:line="360" w:lineRule="exact"/>
        <w:ind w:firstLine="420" w:firstLineChars="200"/>
        <w:rPr>
          <w:rFonts w:ascii="宋体" w:hAnsi="宋体" w:cs="宋体"/>
          <w:kern w:val="0"/>
          <w:szCs w:val="21"/>
        </w:rPr>
      </w:pPr>
      <w:r>
        <w:rPr>
          <w:rFonts w:hint="eastAsia" w:ascii="宋体" w:hAnsi="宋体" w:cs="宋体"/>
          <w:kern w:val="0"/>
          <w:szCs w:val="21"/>
        </w:rPr>
        <w:t>简要规格描述：详见竞争性磋商文件。 </w:t>
      </w:r>
    </w:p>
    <w:p>
      <w:pPr>
        <w:wordWrap w:val="0"/>
        <w:spacing w:line="360" w:lineRule="exact"/>
        <w:ind w:firstLine="420" w:firstLineChars="200"/>
        <w:rPr>
          <w:rFonts w:ascii="宋体" w:hAnsi="宋体" w:cs="宋体"/>
          <w:kern w:val="0"/>
          <w:szCs w:val="21"/>
        </w:rPr>
      </w:pPr>
      <w:r>
        <w:rPr>
          <w:rFonts w:hint="eastAsia" w:ascii="宋体" w:hAnsi="宋体" w:cs="宋体"/>
          <w:kern w:val="0"/>
          <w:szCs w:val="21"/>
        </w:rPr>
        <w:t>合同履约期限：</w:t>
      </w:r>
      <w:r>
        <w:rPr>
          <w:rFonts w:hint="eastAsia" w:ascii="宋体" w:hAnsi="宋体" w:cs="宋体"/>
          <w:kern w:val="0"/>
          <w:szCs w:val="21"/>
          <w:lang w:val="en-US" w:eastAsia="zh-CN"/>
        </w:rPr>
        <w:t>/</w:t>
      </w:r>
      <w:r>
        <w:rPr>
          <w:rFonts w:hint="eastAsia" w:ascii="宋体" w:hAnsi="宋体" w:cs="宋体"/>
          <w:kern w:val="0"/>
          <w:szCs w:val="21"/>
        </w:rPr>
        <w:t>。</w:t>
      </w:r>
    </w:p>
    <w:p>
      <w:pPr>
        <w:snapToGrid w:val="0"/>
        <w:spacing w:line="360" w:lineRule="exact"/>
        <w:jc w:val="left"/>
        <w:rPr>
          <w:rStyle w:val="46"/>
          <w:rFonts w:ascii="宋体" w:hAnsi="宋体" w:cs="宋体"/>
          <w:szCs w:val="21"/>
        </w:rPr>
      </w:pPr>
      <w:r>
        <w:rPr>
          <w:rStyle w:val="46"/>
          <w:rFonts w:hint="eastAsia" w:ascii="宋体" w:hAnsi="宋体" w:cs="宋体"/>
          <w:szCs w:val="21"/>
        </w:rPr>
        <w:t>二、申请人的资格要求</w:t>
      </w:r>
    </w:p>
    <w:p>
      <w:pPr>
        <w:wordWrap w:val="0"/>
        <w:spacing w:line="360" w:lineRule="exact"/>
        <w:ind w:firstLine="420" w:firstLineChars="200"/>
        <w:rPr>
          <w:rFonts w:ascii="宋体" w:hAnsi="宋体" w:cs="宋体"/>
          <w:kern w:val="0"/>
          <w:szCs w:val="21"/>
        </w:rPr>
      </w:pPr>
      <w:r>
        <w:rPr>
          <w:rFonts w:hint="eastAsia" w:ascii="宋体" w:hAnsi="宋体" w:cs="宋体"/>
          <w:kern w:val="0"/>
          <w:szCs w:val="21"/>
        </w:rPr>
        <w:t>1.满足《中华人民共和国政府采购法》第二十二条规定；</w:t>
      </w:r>
    </w:p>
    <w:p>
      <w:pPr>
        <w:wordWrap w:val="0"/>
        <w:spacing w:line="360" w:lineRule="exact"/>
        <w:ind w:firstLine="420" w:firstLineChars="200"/>
        <w:rPr>
          <w:rFonts w:ascii="宋体" w:hAnsi="宋体" w:cs="宋体"/>
          <w:kern w:val="0"/>
          <w:szCs w:val="21"/>
        </w:rPr>
      </w:pPr>
      <w:r>
        <w:rPr>
          <w:rFonts w:hint="eastAsia" w:ascii="宋体" w:hAnsi="宋体" w:cs="宋体"/>
          <w:kern w:val="0"/>
          <w:szCs w:val="21"/>
        </w:rPr>
        <w:t>2.落实政府采购政策需满足的资格要求：供应商为中小企业/小微企业。 </w:t>
      </w:r>
    </w:p>
    <w:p>
      <w:pPr>
        <w:wordWrap w:val="0"/>
        <w:spacing w:line="360" w:lineRule="exact"/>
        <w:ind w:firstLine="420" w:firstLineChars="200"/>
        <w:rPr>
          <w:rFonts w:ascii="宋体" w:hAnsi="宋体" w:cs="宋体"/>
          <w:kern w:val="0"/>
          <w:szCs w:val="21"/>
        </w:rPr>
      </w:pPr>
      <w:r>
        <w:rPr>
          <w:rFonts w:hint="eastAsia" w:ascii="宋体" w:hAnsi="宋体" w:cs="宋体"/>
          <w:kern w:val="0"/>
          <w:szCs w:val="21"/>
        </w:rPr>
        <w:t>3.本项目的特定资格要求：</w:t>
      </w:r>
      <w:r>
        <w:rPr>
          <w:rFonts w:hint="eastAsia" w:ascii="宋体" w:hAnsi="宋体" w:cs="宋体"/>
          <w:kern w:val="0"/>
          <w:szCs w:val="21"/>
          <w:lang w:val="en-US" w:eastAsia="zh-CN"/>
        </w:rPr>
        <w:t>/</w:t>
      </w:r>
      <w:r>
        <w:rPr>
          <w:rFonts w:hint="eastAsia" w:ascii="宋体" w:hAnsi="宋体" w:cs="宋体"/>
          <w:kern w:val="0"/>
          <w:szCs w:val="21"/>
          <w:lang w:eastAsia="zh-CN"/>
        </w:rPr>
        <w:t>。</w:t>
      </w:r>
      <w:r>
        <w:rPr>
          <w:rFonts w:hint="eastAsia" w:ascii="宋体" w:hAnsi="宋体" w:cs="宋体"/>
          <w:kern w:val="0"/>
          <w:szCs w:val="21"/>
        </w:rPr>
        <w:t> </w:t>
      </w:r>
    </w:p>
    <w:p>
      <w:pPr>
        <w:snapToGrid w:val="0"/>
        <w:spacing w:line="360" w:lineRule="exact"/>
        <w:jc w:val="left"/>
        <w:rPr>
          <w:rStyle w:val="46"/>
          <w:rFonts w:ascii="宋体" w:hAnsi="宋体" w:cs="宋体"/>
          <w:szCs w:val="21"/>
        </w:rPr>
      </w:pPr>
      <w:r>
        <w:rPr>
          <w:rStyle w:val="46"/>
          <w:rFonts w:hint="eastAsia" w:ascii="宋体" w:hAnsi="宋体" w:cs="宋体"/>
          <w:szCs w:val="21"/>
        </w:rPr>
        <w:t>三、获取（下载）采购文件</w:t>
      </w:r>
    </w:p>
    <w:p>
      <w:pPr>
        <w:wordWrap w:val="0"/>
        <w:spacing w:line="360" w:lineRule="exact"/>
        <w:ind w:firstLine="420" w:firstLineChars="200"/>
        <w:rPr>
          <w:rFonts w:ascii="宋体" w:hAnsi="宋体" w:cs="宋体"/>
          <w:kern w:val="0"/>
          <w:szCs w:val="21"/>
        </w:rPr>
      </w:pPr>
      <w:r>
        <w:rPr>
          <w:rFonts w:hint="eastAsia" w:ascii="宋体" w:hAnsi="宋体" w:cs="宋体"/>
          <w:kern w:val="0"/>
          <w:szCs w:val="21"/>
        </w:rPr>
        <w:t>1.时间：/至2022年9月</w:t>
      </w:r>
      <w:r>
        <w:rPr>
          <w:rFonts w:hint="eastAsia" w:ascii="宋体" w:hAnsi="宋体" w:cs="宋体"/>
          <w:kern w:val="0"/>
          <w:szCs w:val="21"/>
          <w:lang w:val="en-US" w:eastAsia="zh-CN"/>
        </w:rPr>
        <w:t>30</w:t>
      </w:r>
      <w:r>
        <w:rPr>
          <w:rFonts w:hint="eastAsia" w:ascii="宋体" w:hAnsi="宋体" w:cs="宋体"/>
          <w:kern w:val="0"/>
          <w:szCs w:val="21"/>
        </w:rPr>
        <w:t>日，每天上午00:00至12:00，下午12:00至23:59（北京时间，线上获取法定节假日均可，线下获取文件法定节假日除外）。</w:t>
      </w:r>
    </w:p>
    <w:p>
      <w:pPr>
        <w:wordWrap w:val="0"/>
        <w:spacing w:line="360" w:lineRule="exact"/>
        <w:ind w:firstLine="420" w:firstLineChars="200"/>
        <w:rPr>
          <w:rFonts w:ascii="宋体" w:hAnsi="宋体" w:cs="宋体"/>
          <w:kern w:val="0"/>
          <w:szCs w:val="21"/>
        </w:rPr>
      </w:pPr>
      <w:r>
        <w:rPr>
          <w:rFonts w:hint="eastAsia" w:ascii="宋体" w:hAnsi="宋体" w:cs="宋体"/>
          <w:kern w:val="0"/>
          <w:szCs w:val="21"/>
        </w:rPr>
        <w:t>2.地点（网址）：浙江政府采购网（zfcg.czt.zj.gov.cn），丽水市公共资源交易网（http://lssggzy.lishui.gov.cn/jyweb/）公告附件。</w:t>
      </w:r>
    </w:p>
    <w:p>
      <w:pPr>
        <w:wordWrap w:val="0"/>
        <w:spacing w:line="360" w:lineRule="exact"/>
        <w:ind w:firstLine="420" w:firstLineChars="200"/>
        <w:rPr>
          <w:rFonts w:ascii="宋体" w:hAnsi="宋体" w:cs="宋体"/>
          <w:kern w:val="0"/>
          <w:szCs w:val="21"/>
        </w:rPr>
      </w:pPr>
      <w:r>
        <w:rPr>
          <w:rFonts w:hint="eastAsia" w:ascii="宋体" w:hAnsi="宋体" w:cs="宋体"/>
          <w:kern w:val="0"/>
          <w:szCs w:val="21"/>
        </w:rPr>
        <w:t>3.方式：供应商在浙江政府采购网（zfcg.czt.zj.gov.cn）登录政采云平台进入“项目采购”模块“获取采购文件”菜单，进行网上获取竞争性磋商文件。</w:t>
      </w:r>
    </w:p>
    <w:p>
      <w:pPr>
        <w:wordWrap w:val="0"/>
        <w:spacing w:line="360" w:lineRule="exact"/>
        <w:ind w:firstLine="420" w:firstLineChars="200"/>
        <w:rPr>
          <w:rFonts w:ascii="宋体" w:hAnsi="宋体" w:cs="宋体"/>
          <w:kern w:val="0"/>
          <w:szCs w:val="21"/>
        </w:rPr>
      </w:pPr>
      <w:r>
        <w:rPr>
          <w:rFonts w:hint="eastAsia" w:ascii="宋体" w:hAnsi="宋体" w:cs="宋体"/>
          <w:kern w:val="0"/>
          <w:szCs w:val="21"/>
        </w:rPr>
        <w:t>4.售价（元）：0 </w:t>
      </w:r>
    </w:p>
    <w:p>
      <w:pPr>
        <w:snapToGrid w:val="0"/>
        <w:spacing w:line="360" w:lineRule="exact"/>
        <w:jc w:val="left"/>
        <w:rPr>
          <w:rStyle w:val="46"/>
          <w:rFonts w:ascii="宋体" w:hAnsi="宋体" w:cs="宋体"/>
          <w:szCs w:val="21"/>
        </w:rPr>
      </w:pPr>
      <w:r>
        <w:rPr>
          <w:rStyle w:val="46"/>
          <w:rFonts w:hint="eastAsia" w:ascii="宋体" w:hAnsi="宋体" w:cs="宋体"/>
          <w:szCs w:val="21"/>
        </w:rPr>
        <w:t>四、响应文件提交（上传） </w:t>
      </w:r>
    </w:p>
    <w:p>
      <w:pPr>
        <w:wordWrap w:val="0"/>
        <w:spacing w:line="360" w:lineRule="exact"/>
        <w:ind w:firstLine="420" w:firstLineChars="200"/>
        <w:rPr>
          <w:rFonts w:ascii="宋体" w:hAnsi="宋体" w:cs="宋体"/>
          <w:kern w:val="0"/>
          <w:szCs w:val="21"/>
        </w:rPr>
      </w:pPr>
      <w:r>
        <w:rPr>
          <w:rFonts w:hint="eastAsia" w:ascii="宋体" w:hAnsi="宋体" w:cs="宋体"/>
          <w:kern w:val="0"/>
          <w:szCs w:val="21"/>
        </w:rPr>
        <w:t>1.截止时间：2022年9月</w:t>
      </w:r>
      <w:r>
        <w:rPr>
          <w:rFonts w:hint="eastAsia" w:ascii="宋体" w:hAnsi="宋体" w:cs="宋体"/>
          <w:kern w:val="0"/>
          <w:szCs w:val="21"/>
          <w:lang w:val="en-US" w:eastAsia="zh-CN"/>
        </w:rPr>
        <w:t>30</w:t>
      </w:r>
      <w:r>
        <w:rPr>
          <w:rFonts w:hint="eastAsia" w:ascii="宋体" w:hAnsi="宋体" w:cs="宋体"/>
          <w:kern w:val="0"/>
          <w:szCs w:val="21"/>
        </w:rPr>
        <w:t>日</w:t>
      </w:r>
      <w:r>
        <w:rPr>
          <w:rFonts w:hint="eastAsia" w:ascii="宋体" w:hAnsi="宋体" w:cs="宋体"/>
          <w:kern w:val="0"/>
          <w:szCs w:val="21"/>
          <w:lang w:val="en-US" w:eastAsia="zh-CN"/>
        </w:rPr>
        <w:t>9</w:t>
      </w:r>
      <w:r>
        <w:rPr>
          <w:rFonts w:hint="eastAsia" w:ascii="宋体" w:hAnsi="宋体" w:cs="宋体"/>
          <w:kern w:val="0"/>
          <w:szCs w:val="21"/>
        </w:rPr>
        <w:t>:00（北京时间）</w:t>
      </w:r>
    </w:p>
    <w:p>
      <w:pPr>
        <w:wordWrap w:val="0"/>
        <w:spacing w:line="360" w:lineRule="exact"/>
        <w:ind w:firstLine="420" w:firstLineChars="200"/>
        <w:rPr>
          <w:rFonts w:ascii="宋体" w:hAnsi="宋体" w:cs="宋体"/>
          <w:kern w:val="0"/>
          <w:szCs w:val="21"/>
        </w:rPr>
      </w:pPr>
      <w:r>
        <w:rPr>
          <w:rFonts w:hint="eastAsia" w:ascii="宋体" w:hAnsi="宋体" w:cs="宋体"/>
          <w:kern w:val="0"/>
          <w:szCs w:val="21"/>
        </w:rPr>
        <w:t>2.地点（网址）：政采云平台https://www.zcygov.cn/。</w:t>
      </w:r>
      <w:r>
        <w:rPr>
          <w:rFonts w:hint="eastAsia" w:ascii="宋体" w:hAnsi="宋体" w:cs="宋体"/>
          <w:color w:val="000000"/>
          <w:kern w:val="0"/>
          <w:szCs w:val="21"/>
        </w:rPr>
        <w:t>本项目实行电子招投标，供应商须在响应文件截止时间前，前往政采云平台上传电子投标文件，无需到达现场提交响应文件。</w:t>
      </w:r>
    </w:p>
    <w:p>
      <w:pPr>
        <w:snapToGrid w:val="0"/>
        <w:spacing w:line="360" w:lineRule="exact"/>
        <w:jc w:val="left"/>
        <w:rPr>
          <w:rStyle w:val="46"/>
          <w:rFonts w:ascii="宋体" w:hAnsi="宋体" w:cs="宋体"/>
          <w:szCs w:val="21"/>
        </w:rPr>
      </w:pPr>
      <w:r>
        <w:rPr>
          <w:rStyle w:val="46"/>
          <w:rFonts w:hint="eastAsia" w:ascii="宋体" w:hAnsi="宋体" w:cs="宋体"/>
          <w:szCs w:val="21"/>
        </w:rPr>
        <w:t>五、响应文件开启 </w:t>
      </w:r>
    </w:p>
    <w:p>
      <w:pPr>
        <w:wordWrap w:val="0"/>
        <w:spacing w:line="360" w:lineRule="exact"/>
        <w:ind w:firstLine="420" w:firstLineChars="200"/>
        <w:rPr>
          <w:rFonts w:ascii="宋体" w:hAnsi="宋体" w:cs="宋体"/>
          <w:kern w:val="0"/>
          <w:szCs w:val="21"/>
        </w:rPr>
      </w:pPr>
      <w:r>
        <w:rPr>
          <w:rFonts w:hint="eastAsia" w:ascii="宋体" w:hAnsi="宋体" w:cs="宋体"/>
          <w:kern w:val="0"/>
          <w:szCs w:val="21"/>
        </w:rPr>
        <w:t>开启时间：2022年9月</w:t>
      </w:r>
      <w:r>
        <w:rPr>
          <w:rFonts w:hint="eastAsia" w:ascii="宋体" w:hAnsi="宋体" w:cs="宋体"/>
          <w:kern w:val="0"/>
          <w:szCs w:val="21"/>
          <w:lang w:val="en-US" w:eastAsia="zh-CN"/>
        </w:rPr>
        <w:t>30</w:t>
      </w:r>
      <w:r>
        <w:rPr>
          <w:rFonts w:hint="eastAsia" w:ascii="宋体" w:hAnsi="宋体" w:cs="宋体"/>
          <w:kern w:val="0"/>
          <w:szCs w:val="21"/>
        </w:rPr>
        <w:t>日</w:t>
      </w:r>
      <w:r>
        <w:rPr>
          <w:rFonts w:hint="eastAsia" w:ascii="宋体" w:hAnsi="宋体" w:cs="宋体"/>
          <w:kern w:val="0"/>
          <w:szCs w:val="21"/>
          <w:lang w:val="en-US" w:eastAsia="zh-CN"/>
        </w:rPr>
        <w:t>9</w:t>
      </w:r>
      <w:r>
        <w:rPr>
          <w:rFonts w:hint="eastAsia" w:ascii="宋体" w:hAnsi="宋体" w:cs="宋体"/>
          <w:kern w:val="0"/>
          <w:szCs w:val="21"/>
        </w:rPr>
        <w:t>:00（北京时间）</w:t>
      </w:r>
    </w:p>
    <w:p>
      <w:pPr>
        <w:wordWrap w:val="0"/>
        <w:spacing w:line="360" w:lineRule="exact"/>
        <w:ind w:firstLine="420" w:firstLineChars="200"/>
        <w:rPr>
          <w:rFonts w:ascii="宋体" w:hAnsi="宋体" w:cs="宋体"/>
          <w:szCs w:val="21"/>
        </w:rPr>
      </w:pPr>
      <w:r>
        <w:rPr>
          <w:rFonts w:hint="eastAsia" w:ascii="宋体" w:hAnsi="宋体" w:cs="宋体"/>
          <w:kern w:val="0"/>
          <w:szCs w:val="21"/>
        </w:rPr>
        <w:t>地点（网址）：缙云县新区黄龙路48号广电大楼六楼开标大厅。 </w:t>
      </w:r>
    </w:p>
    <w:p>
      <w:pPr>
        <w:snapToGrid w:val="0"/>
        <w:spacing w:line="360" w:lineRule="exact"/>
        <w:jc w:val="left"/>
        <w:rPr>
          <w:rStyle w:val="46"/>
          <w:rFonts w:ascii="宋体" w:hAnsi="宋体" w:cs="宋体"/>
          <w:szCs w:val="21"/>
        </w:rPr>
      </w:pPr>
      <w:r>
        <w:rPr>
          <w:rStyle w:val="46"/>
          <w:rFonts w:hint="eastAsia" w:ascii="宋体" w:hAnsi="宋体" w:cs="宋体"/>
          <w:szCs w:val="21"/>
        </w:rPr>
        <w:t>六、公告期限</w:t>
      </w:r>
    </w:p>
    <w:p>
      <w:pPr>
        <w:pStyle w:val="38"/>
        <w:spacing w:before="75" w:beforeAutospacing="0" w:after="75" w:afterAutospacing="0" w:line="360" w:lineRule="exact"/>
        <w:rPr>
          <w:sz w:val="21"/>
          <w:szCs w:val="21"/>
        </w:rPr>
      </w:pPr>
      <w:r>
        <w:rPr>
          <w:rFonts w:hint="eastAsia"/>
          <w:sz w:val="21"/>
          <w:szCs w:val="21"/>
        </w:rPr>
        <w:t>   自本公告发布之日起5个工作日。</w:t>
      </w:r>
    </w:p>
    <w:p>
      <w:pPr>
        <w:snapToGrid w:val="0"/>
        <w:spacing w:line="360" w:lineRule="exact"/>
        <w:jc w:val="left"/>
        <w:rPr>
          <w:rStyle w:val="46"/>
          <w:rFonts w:ascii="宋体" w:hAnsi="宋体" w:cs="宋体"/>
          <w:szCs w:val="21"/>
        </w:rPr>
      </w:pPr>
      <w:r>
        <w:rPr>
          <w:rStyle w:val="46"/>
          <w:rFonts w:hint="eastAsia" w:ascii="宋体" w:hAnsi="宋体" w:cs="宋体"/>
          <w:szCs w:val="21"/>
        </w:rPr>
        <w:t>七、其他补充事宜 </w:t>
      </w:r>
    </w:p>
    <w:p>
      <w:pPr>
        <w:pStyle w:val="38"/>
        <w:spacing w:before="75" w:beforeAutospacing="0" w:after="75" w:afterAutospacing="0" w:line="360" w:lineRule="exact"/>
        <w:rPr>
          <w:sz w:val="21"/>
          <w:szCs w:val="21"/>
        </w:rPr>
      </w:pPr>
      <w:r>
        <w:rPr>
          <w:rFonts w:hint="eastAsia"/>
          <w:sz w:val="21"/>
          <w:szCs w:val="21"/>
        </w:rPr>
        <w:t>   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38"/>
        <w:spacing w:before="75" w:beforeAutospacing="0" w:after="75" w:afterAutospacing="0" w:line="360" w:lineRule="exact"/>
        <w:rPr>
          <w:sz w:val="21"/>
          <w:szCs w:val="21"/>
        </w:rPr>
      </w:pPr>
      <w:r>
        <w:rPr>
          <w:rFonts w:hint="eastAsia"/>
          <w:sz w:val="21"/>
          <w:szCs w:val="21"/>
        </w:rPr>
        <w:t>   2.其他事项：无  </w:t>
      </w:r>
    </w:p>
    <w:p>
      <w:pPr>
        <w:snapToGrid w:val="0"/>
        <w:spacing w:line="360" w:lineRule="exact"/>
        <w:jc w:val="left"/>
        <w:rPr>
          <w:rFonts w:ascii="宋体" w:hAnsi="宋体" w:cs="宋体"/>
          <w:b/>
          <w:bCs/>
          <w:szCs w:val="21"/>
        </w:rPr>
      </w:pPr>
      <w:r>
        <w:rPr>
          <w:rStyle w:val="46"/>
          <w:rFonts w:hint="eastAsia" w:ascii="宋体" w:hAnsi="宋体" w:cs="宋体"/>
          <w:szCs w:val="21"/>
        </w:rPr>
        <w:t>八、凡对本次招标提出询问，请按以下方式联系</w:t>
      </w:r>
    </w:p>
    <w:p>
      <w:pPr>
        <w:snapToGrid w:val="0"/>
        <w:spacing w:line="360" w:lineRule="exact"/>
        <w:ind w:firstLine="420" w:firstLineChars="200"/>
        <w:rPr>
          <w:rFonts w:ascii="宋体" w:hAnsi="宋体" w:cs="宋体"/>
          <w:szCs w:val="21"/>
        </w:rPr>
      </w:pPr>
      <w:r>
        <w:rPr>
          <w:rFonts w:hint="eastAsia" w:ascii="宋体" w:hAnsi="宋体" w:cs="宋体"/>
          <w:szCs w:val="21"/>
        </w:rPr>
        <w:t>1、采购人信息</w:t>
      </w:r>
    </w:p>
    <w:p>
      <w:pPr>
        <w:snapToGrid w:val="0"/>
        <w:spacing w:line="360" w:lineRule="exact"/>
        <w:ind w:left="420" w:firstLine="420" w:firstLineChars="200"/>
        <w:rPr>
          <w:rFonts w:ascii="宋体" w:hAnsi="宋体" w:cs="宋体"/>
          <w:szCs w:val="21"/>
        </w:rPr>
      </w:pPr>
      <w:r>
        <w:rPr>
          <w:rFonts w:hint="eastAsia" w:ascii="宋体" w:hAnsi="宋体" w:cs="宋体"/>
          <w:szCs w:val="21"/>
        </w:rPr>
        <w:t>名  称：缙云县公安局</w:t>
      </w:r>
    </w:p>
    <w:p>
      <w:pPr>
        <w:snapToGrid w:val="0"/>
        <w:spacing w:line="360" w:lineRule="exact"/>
        <w:ind w:left="420" w:firstLine="420" w:firstLineChars="200"/>
        <w:rPr>
          <w:rFonts w:ascii="宋体" w:hAnsi="宋体" w:cs="宋体"/>
          <w:szCs w:val="21"/>
        </w:rPr>
      </w:pPr>
      <w:r>
        <w:rPr>
          <w:rFonts w:hint="eastAsia" w:ascii="宋体" w:hAnsi="宋体" w:cs="宋体"/>
          <w:szCs w:val="21"/>
        </w:rPr>
        <w:t xml:space="preserve">地  址：缙云县蓬莱路1号  </w:t>
      </w:r>
    </w:p>
    <w:p>
      <w:pPr>
        <w:snapToGrid w:val="0"/>
        <w:spacing w:line="360" w:lineRule="exact"/>
        <w:ind w:left="420" w:firstLine="420" w:firstLineChars="200"/>
        <w:rPr>
          <w:rFonts w:hint="eastAsia" w:ascii="宋体" w:hAnsi="宋体" w:eastAsia="宋体" w:cs="宋体"/>
          <w:szCs w:val="21"/>
          <w:lang w:eastAsia="zh-CN"/>
        </w:rPr>
      </w:pPr>
      <w:r>
        <w:rPr>
          <w:rFonts w:hint="eastAsia" w:ascii="宋体" w:hAnsi="宋体" w:cs="宋体"/>
          <w:szCs w:val="21"/>
        </w:rPr>
        <w:t>联系人：</w:t>
      </w:r>
      <w:r>
        <w:rPr>
          <w:rFonts w:hint="eastAsia" w:ascii="宋体" w:hAnsi="宋体" w:cs="宋体"/>
          <w:szCs w:val="21"/>
          <w:lang w:eastAsia="zh-CN"/>
        </w:rPr>
        <w:t>陈耀文</w:t>
      </w:r>
    </w:p>
    <w:p>
      <w:pPr>
        <w:snapToGrid w:val="0"/>
        <w:spacing w:line="360" w:lineRule="exact"/>
        <w:ind w:left="420" w:firstLine="420" w:firstLineChars="200"/>
        <w:rPr>
          <w:rFonts w:hint="eastAsia" w:ascii="宋体" w:hAnsi="宋体" w:eastAsia="宋体" w:cs="宋体"/>
          <w:szCs w:val="21"/>
          <w:lang w:eastAsia="zh-CN"/>
        </w:rPr>
      </w:pPr>
      <w:r>
        <w:rPr>
          <w:rFonts w:hint="eastAsia" w:ascii="宋体" w:hAnsi="宋体" w:cs="宋体"/>
          <w:szCs w:val="21"/>
        </w:rPr>
        <w:t>联系电话：</w:t>
      </w:r>
      <w:r>
        <w:rPr>
          <w:rFonts w:hint="eastAsia" w:ascii="宋体" w:hAnsi="宋体" w:cs="宋体"/>
          <w:szCs w:val="21"/>
          <w:lang w:eastAsia="zh-CN"/>
        </w:rPr>
        <w:t>0578-3233218</w:t>
      </w:r>
    </w:p>
    <w:p>
      <w:pPr>
        <w:numPr>
          <w:ilvl w:val="0"/>
          <w:numId w:val="3"/>
        </w:numPr>
        <w:snapToGrid w:val="0"/>
        <w:spacing w:line="360" w:lineRule="exact"/>
        <w:ind w:firstLine="420" w:firstLineChars="200"/>
        <w:rPr>
          <w:rFonts w:ascii="宋体" w:hAnsi="宋体" w:cs="宋体"/>
          <w:szCs w:val="21"/>
        </w:rPr>
      </w:pPr>
      <w:r>
        <w:rPr>
          <w:rFonts w:hint="eastAsia" w:ascii="宋体" w:hAnsi="宋体" w:cs="宋体"/>
          <w:szCs w:val="21"/>
        </w:rPr>
        <w:t>采购代理机构信息</w:t>
      </w:r>
    </w:p>
    <w:p>
      <w:pPr>
        <w:snapToGrid w:val="0"/>
        <w:spacing w:line="360" w:lineRule="exact"/>
        <w:ind w:left="420" w:firstLine="420" w:firstLineChars="200"/>
        <w:rPr>
          <w:rFonts w:ascii="宋体" w:hAnsi="宋体" w:cs="宋体"/>
          <w:szCs w:val="21"/>
        </w:rPr>
      </w:pPr>
      <w:r>
        <w:rPr>
          <w:rFonts w:hint="eastAsia" w:ascii="宋体" w:hAnsi="宋体" w:cs="宋体"/>
          <w:szCs w:val="21"/>
        </w:rPr>
        <w:t xml:space="preserve">名  称：浙江鼎峰工程咨询有限公司 </w:t>
      </w:r>
    </w:p>
    <w:p>
      <w:pPr>
        <w:snapToGrid w:val="0"/>
        <w:spacing w:line="360" w:lineRule="exact"/>
        <w:ind w:left="420" w:firstLine="420" w:firstLineChars="200"/>
        <w:rPr>
          <w:rFonts w:ascii="宋体" w:hAnsi="宋体" w:cs="宋体"/>
          <w:szCs w:val="21"/>
        </w:rPr>
      </w:pPr>
      <w:r>
        <w:rPr>
          <w:rFonts w:hint="eastAsia" w:ascii="宋体" w:hAnsi="宋体" w:cs="宋体"/>
          <w:szCs w:val="21"/>
        </w:rPr>
        <w:t>地  址：缙云县城新区江滨巷17号301室</w:t>
      </w:r>
    </w:p>
    <w:p>
      <w:pPr>
        <w:snapToGrid w:val="0"/>
        <w:spacing w:line="360" w:lineRule="exact"/>
        <w:ind w:left="420" w:firstLine="420" w:firstLineChars="200"/>
        <w:rPr>
          <w:rFonts w:ascii="宋体" w:hAnsi="宋体" w:cs="宋体"/>
          <w:szCs w:val="21"/>
        </w:rPr>
      </w:pPr>
      <w:r>
        <w:rPr>
          <w:rFonts w:hint="eastAsia" w:ascii="宋体" w:hAnsi="宋体" w:cs="宋体"/>
          <w:szCs w:val="21"/>
        </w:rPr>
        <w:t>联系人：李彬</w:t>
      </w:r>
    </w:p>
    <w:p>
      <w:pPr>
        <w:snapToGrid w:val="0"/>
        <w:spacing w:line="360" w:lineRule="exact"/>
        <w:ind w:left="420" w:firstLine="420" w:firstLineChars="200"/>
        <w:rPr>
          <w:rFonts w:ascii="宋体" w:hAnsi="宋体" w:cs="宋体"/>
          <w:szCs w:val="21"/>
        </w:rPr>
      </w:pPr>
      <w:r>
        <w:rPr>
          <w:rFonts w:hint="eastAsia" w:ascii="宋体" w:hAnsi="宋体" w:cs="宋体"/>
          <w:szCs w:val="21"/>
        </w:rPr>
        <w:t>联系电话：0578-3311234</w:t>
      </w:r>
    </w:p>
    <w:p>
      <w:pPr>
        <w:snapToGrid w:val="0"/>
        <w:spacing w:line="360" w:lineRule="exact"/>
        <w:ind w:left="420" w:firstLine="420" w:firstLineChars="200"/>
        <w:rPr>
          <w:rFonts w:ascii="宋体" w:hAnsi="宋体" w:cs="宋体"/>
          <w:szCs w:val="21"/>
        </w:rPr>
      </w:pPr>
      <w:r>
        <w:rPr>
          <w:rFonts w:hint="eastAsia" w:ascii="宋体" w:hAnsi="宋体" w:cs="宋体"/>
          <w:szCs w:val="21"/>
        </w:rPr>
        <w:t>质疑联系人：徐如锐</w:t>
      </w:r>
    </w:p>
    <w:p>
      <w:pPr>
        <w:snapToGrid w:val="0"/>
        <w:spacing w:line="360" w:lineRule="exact"/>
        <w:ind w:left="420" w:firstLine="420" w:firstLineChars="200"/>
        <w:rPr>
          <w:rFonts w:ascii="宋体" w:hAnsi="宋体" w:cs="宋体"/>
          <w:szCs w:val="21"/>
        </w:rPr>
      </w:pPr>
      <w:r>
        <w:rPr>
          <w:rFonts w:hint="eastAsia" w:ascii="宋体" w:hAnsi="宋体" w:cs="宋体"/>
          <w:szCs w:val="21"/>
        </w:rPr>
        <w:t>质疑联系方式：0578-3311234</w:t>
      </w:r>
    </w:p>
    <w:p>
      <w:pPr>
        <w:numPr>
          <w:ilvl w:val="0"/>
          <w:numId w:val="3"/>
        </w:numPr>
        <w:snapToGrid w:val="0"/>
        <w:spacing w:line="360" w:lineRule="exact"/>
        <w:ind w:firstLine="420" w:firstLineChars="200"/>
        <w:rPr>
          <w:rFonts w:ascii="宋体" w:hAnsi="宋体" w:cs="宋体"/>
          <w:szCs w:val="21"/>
        </w:rPr>
      </w:pPr>
      <w:r>
        <w:rPr>
          <w:rFonts w:hint="eastAsia" w:ascii="宋体" w:hAnsi="宋体" w:cs="宋体"/>
          <w:szCs w:val="21"/>
        </w:rPr>
        <w:t>同级政府采购监督管理部门</w:t>
      </w:r>
    </w:p>
    <w:p>
      <w:pPr>
        <w:snapToGrid w:val="0"/>
        <w:spacing w:line="360" w:lineRule="exact"/>
        <w:ind w:left="420" w:firstLine="420" w:firstLineChars="200"/>
        <w:rPr>
          <w:rFonts w:ascii="宋体" w:hAnsi="宋体" w:cs="宋体"/>
          <w:szCs w:val="21"/>
        </w:rPr>
      </w:pPr>
      <w:r>
        <w:rPr>
          <w:rFonts w:hint="eastAsia" w:ascii="宋体" w:hAnsi="宋体" w:cs="宋体"/>
          <w:szCs w:val="21"/>
        </w:rPr>
        <w:t>名  称：缙云县财政局政府采购监管科</w:t>
      </w:r>
    </w:p>
    <w:p>
      <w:pPr>
        <w:snapToGrid w:val="0"/>
        <w:spacing w:line="360" w:lineRule="exact"/>
        <w:ind w:left="420" w:firstLine="420" w:firstLineChars="200"/>
        <w:rPr>
          <w:rFonts w:ascii="宋体" w:hAnsi="宋体" w:cs="宋体"/>
          <w:szCs w:val="21"/>
        </w:rPr>
      </w:pPr>
      <w:r>
        <w:rPr>
          <w:rFonts w:hint="eastAsia" w:ascii="宋体" w:hAnsi="宋体" w:cs="宋体"/>
          <w:szCs w:val="21"/>
        </w:rPr>
        <w:t>地  址：缙云县财政大楼7楼</w:t>
      </w:r>
    </w:p>
    <w:p>
      <w:pPr>
        <w:snapToGrid w:val="0"/>
        <w:spacing w:line="360" w:lineRule="exact"/>
        <w:ind w:left="420" w:firstLine="420" w:firstLineChars="200"/>
        <w:rPr>
          <w:rFonts w:ascii="宋体" w:hAnsi="宋体" w:cs="宋体"/>
          <w:szCs w:val="21"/>
        </w:rPr>
      </w:pPr>
      <w:r>
        <w:rPr>
          <w:rFonts w:hint="eastAsia" w:ascii="宋体" w:hAnsi="宋体" w:cs="宋体"/>
          <w:szCs w:val="21"/>
        </w:rPr>
        <w:t>联系人：</w:t>
      </w:r>
      <w:r>
        <w:rPr>
          <w:rFonts w:hint="eastAsia" w:ascii="宋体" w:hAnsi="宋体" w:cs="宋体"/>
          <w:bCs/>
          <w:kern w:val="0"/>
          <w:szCs w:val="21"/>
        </w:rPr>
        <w:t>姚新伟</w:t>
      </w:r>
    </w:p>
    <w:p>
      <w:pPr>
        <w:snapToGrid w:val="0"/>
        <w:spacing w:line="360" w:lineRule="exact"/>
        <w:ind w:left="420" w:firstLine="420" w:firstLineChars="200"/>
        <w:rPr>
          <w:rFonts w:ascii="宋体" w:hAnsi="宋体" w:cs="宋体"/>
          <w:szCs w:val="21"/>
        </w:rPr>
      </w:pPr>
      <w:r>
        <w:rPr>
          <w:rFonts w:hint="eastAsia" w:ascii="宋体" w:hAnsi="宋体" w:cs="宋体"/>
          <w:szCs w:val="21"/>
        </w:rPr>
        <w:t>监督投诉电话：</w:t>
      </w:r>
      <w:r>
        <w:rPr>
          <w:rFonts w:hint="eastAsia" w:ascii="宋体" w:hAnsi="宋体" w:cs="宋体"/>
          <w:bCs/>
          <w:kern w:val="0"/>
          <w:szCs w:val="21"/>
        </w:rPr>
        <w:t>0578-3318985</w:t>
      </w:r>
    </w:p>
    <w:p>
      <w:pPr>
        <w:snapToGrid w:val="0"/>
        <w:spacing w:line="360" w:lineRule="exact"/>
        <w:ind w:left="420" w:firstLine="420" w:firstLineChars="200"/>
        <w:rPr>
          <w:rFonts w:ascii="宋体" w:hAnsi="宋体" w:cs="宋体"/>
          <w:sz w:val="22"/>
          <w:szCs w:val="22"/>
        </w:rPr>
      </w:pPr>
      <w:r>
        <w:rPr>
          <w:rFonts w:hint="eastAsia" w:ascii="宋体" w:hAnsi="宋体" w:cs="宋体"/>
          <w:szCs w:val="21"/>
        </w:rPr>
        <w:t>传真：</w:t>
      </w:r>
      <w:r>
        <w:rPr>
          <w:rFonts w:hint="eastAsia" w:ascii="宋体" w:hAnsi="宋体" w:cs="宋体"/>
          <w:bCs/>
          <w:kern w:val="0"/>
          <w:szCs w:val="21"/>
        </w:rPr>
        <w:t>0578-3318985</w:t>
      </w:r>
    </w:p>
    <w:p>
      <w:pPr>
        <w:spacing w:line="360" w:lineRule="exact"/>
        <w:rPr>
          <w:rStyle w:val="59"/>
          <w:rFonts w:ascii="宋体" w:hAnsi="宋体" w:cs="宋体"/>
          <w:szCs w:val="32"/>
        </w:rPr>
      </w:pPr>
      <w:r>
        <w:rPr>
          <w:rStyle w:val="59"/>
          <w:rFonts w:hint="eastAsia" w:ascii="宋体" w:hAnsi="宋体" w:cs="宋体"/>
          <w:szCs w:val="32"/>
        </w:rPr>
        <w:br w:type="page"/>
      </w:r>
    </w:p>
    <w:p>
      <w:pPr>
        <w:pStyle w:val="193"/>
        <w:widowControl w:val="0"/>
        <w:spacing w:afterLines="0" w:line="340" w:lineRule="exact"/>
        <w:ind w:firstLine="0" w:firstLineChars="0"/>
        <w:jc w:val="center"/>
        <w:outlineLvl w:val="0"/>
        <w:rPr>
          <w:rFonts w:ascii="宋体" w:hAnsi="宋体" w:cs="宋体"/>
          <w:b/>
          <w:sz w:val="32"/>
          <w:szCs w:val="32"/>
        </w:rPr>
      </w:pPr>
      <w:bookmarkStart w:id="11" w:name="_Toc1281"/>
      <w:bookmarkStart w:id="12" w:name="_Toc30775"/>
      <w:r>
        <w:rPr>
          <w:rStyle w:val="59"/>
          <w:rFonts w:hint="eastAsia" w:ascii="宋体" w:hAnsi="宋体" w:cs="宋体"/>
          <w:szCs w:val="32"/>
        </w:rPr>
        <w:t xml:space="preserve">第二章 </w:t>
      </w:r>
      <w:bookmarkEnd w:id="3"/>
      <w:bookmarkEnd w:id="4"/>
      <w:bookmarkEnd w:id="5"/>
      <w:bookmarkEnd w:id="6"/>
      <w:r>
        <w:rPr>
          <w:rStyle w:val="59"/>
          <w:rFonts w:hint="eastAsia" w:ascii="宋体" w:hAnsi="宋体" w:cs="宋体"/>
          <w:szCs w:val="32"/>
        </w:rPr>
        <w:t>采购需求</w:t>
      </w:r>
      <w:bookmarkEnd w:id="11"/>
      <w:bookmarkEnd w:id="12"/>
    </w:p>
    <w:p>
      <w:pPr>
        <w:pStyle w:val="2"/>
        <w:spacing w:line="360" w:lineRule="auto"/>
        <w:ind w:firstLine="420" w:firstLineChars="200"/>
        <w:rPr>
          <w:rFonts w:hint="eastAsia" w:ascii="宋体" w:hAnsi="宋体" w:eastAsia="宋体" w:cs="宋体"/>
          <w:sz w:val="21"/>
          <w:szCs w:val="21"/>
        </w:rPr>
      </w:pPr>
      <w:bookmarkStart w:id="13" w:name="_Toc359934557"/>
      <w:bookmarkStart w:id="14" w:name="_Toc303756362"/>
      <w:bookmarkStart w:id="15" w:name="_Toc5833"/>
      <w:bookmarkStart w:id="16" w:name="_Toc301187521"/>
      <w:bookmarkStart w:id="17" w:name="_Toc5219"/>
    </w:p>
    <w:p>
      <w:pPr>
        <w:pStyle w:val="2"/>
        <w:spacing w:line="360" w:lineRule="auto"/>
        <w:ind w:firstLine="420" w:firstLineChars="200"/>
        <w:rPr>
          <w:rFonts w:hint="eastAsia" w:ascii="宋体" w:hAnsi="宋体" w:eastAsia="宋体" w:cs="宋体"/>
          <w:b/>
          <w:color w:val="0000FF"/>
          <w:sz w:val="21"/>
          <w:szCs w:val="21"/>
        </w:rPr>
      </w:pPr>
      <w:r>
        <w:rPr>
          <w:rFonts w:hint="eastAsia" w:ascii="宋体" w:hAnsi="宋体" w:eastAsia="宋体" w:cs="宋体"/>
          <w:sz w:val="21"/>
          <w:szCs w:val="21"/>
        </w:rPr>
        <w:t>根据浙财采监字[2007]2号文件规定：除采购文件明确的品牌外，欢迎其他能满足本项目技术需求且性能与所明确品牌相当的产品参加。本次采购的货物必须是中国大陆制造，不接受进口产品。</w:t>
      </w:r>
    </w:p>
    <w:p>
      <w:pPr>
        <w:pStyle w:val="5"/>
        <w:spacing w:before="120" w:beforeLines="50" w:after="120" w:afterLines="50" w:line="360" w:lineRule="auto"/>
        <w:ind w:firstLine="0" w:firstLineChars="0"/>
        <w:rPr>
          <w:rFonts w:hint="eastAsia" w:ascii="宋体" w:hAnsi="宋体" w:eastAsia="宋体" w:cs="宋体"/>
          <w:sz w:val="21"/>
          <w:szCs w:val="21"/>
        </w:rPr>
      </w:pPr>
      <w:bookmarkStart w:id="18" w:name="_Toc497376077"/>
      <w:bookmarkStart w:id="19" w:name="_Toc493957132"/>
      <w:r>
        <w:rPr>
          <w:rFonts w:hint="eastAsia" w:ascii="宋体" w:hAnsi="宋体" w:eastAsia="宋体" w:cs="宋体"/>
          <w:sz w:val="21"/>
          <w:szCs w:val="21"/>
        </w:rPr>
        <w:t>一   产地要求</w:t>
      </w:r>
      <w:bookmarkEnd w:id="18"/>
      <w:bookmarkEnd w:id="19"/>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sz w:val="21"/>
          <w:szCs w:val="21"/>
        </w:rPr>
        <w:t>根据法律法规，本项目采购产品须为中华人民共和国境内（不含港、澳、台）生产或组装。</w:t>
      </w:r>
    </w:p>
    <w:p>
      <w:pPr>
        <w:spacing w:line="360" w:lineRule="auto"/>
        <w:rPr>
          <w:rFonts w:hint="eastAsia" w:ascii="宋体" w:hAnsi="宋体" w:eastAsia="宋体" w:cs="宋体"/>
          <w:b/>
          <w:bCs/>
          <w:sz w:val="21"/>
          <w:szCs w:val="21"/>
        </w:rPr>
      </w:pPr>
      <w:bookmarkStart w:id="20" w:name="_Toc497376078"/>
      <w:bookmarkStart w:id="21" w:name="_Toc13742226"/>
      <w:r>
        <w:rPr>
          <w:rFonts w:hint="eastAsia" w:ascii="宋体" w:hAnsi="宋体" w:eastAsia="宋体" w:cs="宋体"/>
          <w:b/>
          <w:bCs/>
          <w:sz w:val="21"/>
          <w:szCs w:val="21"/>
        </w:rPr>
        <w:t>二   采购内容及清单</w:t>
      </w:r>
      <w:bookmarkEnd w:id="20"/>
      <w:bookmarkEnd w:id="21"/>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本次项目规划建设</w:t>
      </w:r>
      <w:r>
        <w:rPr>
          <w:rFonts w:hint="eastAsia" w:ascii="宋体" w:hAnsi="宋体" w:eastAsia="宋体" w:cs="宋体"/>
          <w:sz w:val="21"/>
          <w:szCs w:val="21"/>
          <w:lang w:eastAsia="zh-CN"/>
        </w:rPr>
        <w:t>、改造</w:t>
      </w:r>
      <w:r>
        <w:rPr>
          <w:rFonts w:hint="eastAsia" w:ascii="宋体" w:hAnsi="宋体" w:eastAsia="宋体" w:cs="宋体"/>
          <w:sz w:val="21"/>
          <w:szCs w:val="21"/>
        </w:rPr>
        <w:t>监控点位</w:t>
      </w:r>
      <w:r>
        <w:rPr>
          <w:rFonts w:hint="eastAsia" w:ascii="宋体" w:hAnsi="宋体" w:eastAsia="宋体" w:cs="宋体"/>
          <w:sz w:val="21"/>
          <w:szCs w:val="21"/>
          <w:lang w:val="en-US" w:eastAsia="zh-CN"/>
        </w:rPr>
        <w:t>291</w:t>
      </w:r>
      <w:r>
        <w:rPr>
          <w:rFonts w:hint="eastAsia" w:ascii="宋体" w:hAnsi="宋体" w:eastAsia="宋体" w:cs="宋体"/>
          <w:sz w:val="21"/>
          <w:szCs w:val="21"/>
        </w:rPr>
        <w:t>个</w:t>
      </w:r>
      <w:r>
        <w:rPr>
          <w:rFonts w:hint="eastAsia" w:ascii="宋体" w:hAnsi="宋体" w:eastAsia="宋体" w:cs="宋体"/>
          <w:sz w:val="21"/>
          <w:szCs w:val="21"/>
          <w:lang w:val="en-US" w:eastAsia="zh-CN"/>
        </w:rPr>
        <w:t>500</w:t>
      </w:r>
      <w:r>
        <w:rPr>
          <w:rFonts w:hint="eastAsia" w:ascii="宋体" w:hAnsi="宋体" w:eastAsia="宋体" w:cs="宋体"/>
          <w:sz w:val="21"/>
          <w:szCs w:val="21"/>
        </w:rPr>
        <w:t>路高清摄像机</w:t>
      </w:r>
      <w:r>
        <w:rPr>
          <w:rFonts w:hint="eastAsia" w:ascii="宋体" w:hAnsi="宋体" w:eastAsia="宋体" w:cs="宋体"/>
          <w:sz w:val="21"/>
          <w:szCs w:val="21"/>
          <w:lang w:eastAsia="zh-CN"/>
        </w:rPr>
        <w:t>。</w:t>
      </w:r>
      <w:r>
        <w:rPr>
          <w:rFonts w:hint="eastAsia" w:ascii="宋体" w:hAnsi="宋体" w:eastAsia="宋体" w:cs="宋体"/>
          <w:sz w:val="21"/>
          <w:szCs w:val="21"/>
        </w:rPr>
        <w:t>共安装高清全景枪机</w:t>
      </w:r>
      <w:r>
        <w:rPr>
          <w:rFonts w:hint="eastAsia" w:ascii="宋体" w:hAnsi="宋体" w:eastAsia="宋体" w:cs="宋体"/>
          <w:sz w:val="21"/>
          <w:szCs w:val="21"/>
          <w:lang w:val="en-US" w:eastAsia="zh-CN"/>
        </w:rPr>
        <w:t>41</w:t>
      </w:r>
      <w:r>
        <w:rPr>
          <w:rFonts w:hint="eastAsia" w:ascii="宋体" w:hAnsi="宋体" w:eastAsia="宋体" w:cs="宋体"/>
          <w:sz w:val="21"/>
          <w:szCs w:val="21"/>
        </w:rPr>
        <w:t>路，人像抓拍相机</w:t>
      </w:r>
      <w:r>
        <w:rPr>
          <w:rFonts w:hint="eastAsia" w:ascii="宋体" w:hAnsi="宋体" w:eastAsia="宋体" w:cs="宋体"/>
          <w:sz w:val="21"/>
          <w:szCs w:val="21"/>
          <w:lang w:val="en-US" w:eastAsia="zh-CN"/>
        </w:rPr>
        <w:t>281</w:t>
      </w:r>
      <w:r>
        <w:rPr>
          <w:rFonts w:hint="eastAsia" w:ascii="宋体" w:hAnsi="宋体" w:eastAsia="宋体" w:cs="宋体"/>
          <w:sz w:val="21"/>
          <w:szCs w:val="21"/>
        </w:rPr>
        <w:t>路，人车卡口摄像机</w:t>
      </w:r>
      <w:r>
        <w:rPr>
          <w:rFonts w:hint="eastAsia" w:ascii="宋体" w:hAnsi="宋体" w:eastAsia="宋体" w:cs="宋体"/>
          <w:sz w:val="21"/>
          <w:szCs w:val="21"/>
          <w:lang w:val="en-US" w:eastAsia="zh-CN"/>
        </w:rPr>
        <w:t>125</w:t>
      </w:r>
      <w:r>
        <w:rPr>
          <w:rFonts w:hint="eastAsia" w:ascii="宋体" w:hAnsi="宋体" w:eastAsia="宋体" w:cs="宋体"/>
          <w:sz w:val="21"/>
          <w:szCs w:val="21"/>
        </w:rPr>
        <w:t>路，双目摄像机</w:t>
      </w:r>
      <w:r>
        <w:rPr>
          <w:rFonts w:hint="eastAsia" w:ascii="宋体" w:hAnsi="宋体" w:eastAsia="宋体" w:cs="宋体"/>
          <w:sz w:val="21"/>
          <w:szCs w:val="21"/>
          <w:lang w:val="en-US" w:eastAsia="zh-CN"/>
        </w:rPr>
        <w:t>6</w:t>
      </w:r>
      <w:r>
        <w:rPr>
          <w:rFonts w:hint="eastAsia" w:ascii="宋体" w:hAnsi="宋体" w:eastAsia="宋体" w:cs="宋体"/>
          <w:sz w:val="21"/>
          <w:szCs w:val="21"/>
        </w:rPr>
        <w:t>路，高清球机</w:t>
      </w:r>
      <w:r>
        <w:rPr>
          <w:rFonts w:hint="eastAsia" w:ascii="宋体" w:hAnsi="宋体" w:eastAsia="宋体" w:cs="宋体"/>
          <w:sz w:val="21"/>
          <w:szCs w:val="21"/>
          <w:lang w:val="en-US" w:eastAsia="zh-CN"/>
        </w:rPr>
        <w:t>47</w:t>
      </w:r>
      <w:r>
        <w:rPr>
          <w:rFonts w:hint="eastAsia" w:ascii="宋体" w:hAnsi="宋体" w:eastAsia="宋体" w:cs="宋体"/>
          <w:sz w:val="21"/>
          <w:szCs w:val="21"/>
        </w:rPr>
        <w:t>路。</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本次建设主要</w:t>
      </w:r>
      <w:r>
        <w:rPr>
          <w:rFonts w:hint="eastAsia" w:ascii="宋体" w:hAnsi="宋体" w:eastAsia="宋体" w:cs="宋体"/>
          <w:sz w:val="21"/>
          <w:szCs w:val="21"/>
          <w:lang w:eastAsia="zh-CN"/>
        </w:rPr>
        <w:t>对原建视频监控进行升级改造，并根据视频监控布点需求对</w:t>
      </w:r>
      <w:r>
        <w:rPr>
          <w:rFonts w:hint="eastAsia" w:ascii="宋体" w:hAnsi="宋体" w:eastAsia="宋体" w:cs="宋体"/>
          <w:sz w:val="21"/>
          <w:szCs w:val="21"/>
        </w:rPr>
        <w:t>全县主要道路出入口、各乡镇（街道）出入口、人员密集区域、重点部位场所、治安复杂场所、风景名胜区查漏补缺，增点扩面，减少盲区。前端设备必须兼容丽水公安局现有视频监控系统，与丽水市公安局视频监控平台（视频云平台和车辆云平台）无缝对接。视频图像实时推送到丽水市公安局视频云系统和省公安厅，视频图像数据由丽水市公安局统一进行存储，实现视频监控图像的全网应用。</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本项目由中标方投资建设，总体建成验收合格后采购人按月向中标方付租费。租赁期满双方解除服务合同后，本项目所有权归采购方所有。</w:t>
      </w:r>
    </w:p>
    <w:p>
      <w:pPr>
        <w:spacing w:line="360" w:lineRule="auto"/>
        <w:jc w:val="center"/>
        <w:rPr>
          <w:rFonts w:hint="eastAsia" w:ascii="宋体" w:hAnsi="宋体" w:eastAsia="宋体" w:cs="宋体"/>
          <w:snapToGrid w:val="0"/>
          <w:kern w:val="24"/>
          <w:sz w:val="21"/>
          <w:szCs w:val="21"/>
        </w:rPr>
      </w:pPr>
      <w:r>
        <w:rPr>
          <w:rFonts w:hint="eastAsia" w:ascii="宋体" w:hAnsi="宋体" w:eastAsia="宋体" w:cs="宋体"/>
          <w:snapToGrid w:val="0"/>
          <w:kern w:val="24"/>
          <w:sz w:val="21"/>
          <w:szCs w:val="21"/>
        </w:rPr>
        <w:t>点位与摄像机分布清单</w:t>
      </w:r>
    </w:p>
    <w:tbl>
      <w:tblPr>
        <w:tblStyle w:val="43"/>
        <w:tblW w:w="89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18"/>
        <w:gridCol w:w="885"/>
        <w:gridCol w:w="613"/>
        <w:gridCol w:w="618"/>
        <w:gridCol w:w="618"/>
        <w:gridCol w:w="619"/>
        <w:gridCol w:w="678"/>
        <w:gridCol w:w="618"/>
        <w:gridCol w:w="618"/>
        <w:gridCol w:w="618"/>
        <w:gridCol w:w="618"/>
        <w:gridCol w:w="618"/>
        <w:gridCol w:w="618"/>
        <w:gridCol w:w="6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618"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b/>
                <w:bCs/>
                <w:i w:val="0"/>
                <w:iCs w:val="0"/>
                <w:caps w:val="0"/>
                <w:color w:val="000000"/>
                <w:spacing w:val="0"/>
                <w:sz w:val="21"/>
                <w:szCs w:val="21"/>
                <w:u w:val="none"/>
              </w:rPr>
            </w:pPr>
            <w:r>
              <w:rPr>
                <w:rFonts w:hint="eastAsia" w:ascii="宋体" w:hAnsi="宋体" w:eastAsia="宋体" w:cs="宋体"/>
                <w:b/>
                <w:bCs/>
                <w:i w:val="0"/>
                <w:iCs w:val="0"/>
                <w:caps w:val="0"/>
                <w:color w:val="000000"/>
                <w:spacing w:val="0"/>
                <w:kern w:val="0"/>
                <w:sz w:val="21"/>
                <w:szCs w:val="21"/>
                <w:u w:val="none"/>
                <w:lang w:val="en-US" w:eastAsia="zh-CN" w:bidi="ar"/>
              </w:rPr>
              <w:t>序号</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b/>
                <w:bCs/>
                <w:i w:val="0"/>
                <w:iCs w:val="0"/>
                <w:caps w:val="0"/>
                <w:color w:val="000000"/>
                <w:spacing w:val="0"/>
                <w:sz w:val="21"/>
                <w:szCs w:val="21"/>
                <w:u w:val="none"/>
              </w:rPr>
            </w:pPr>
            <w:r>
              <w:rPr>
                <w:rFonts w:hint="eastAsia" w:ascii="宋体" w:hAnsi="宋体" w:eastAsia="宋体" w:cs="宋体"/>
                <w:b/>
                <w:bCs/>
                <w:i w:val="0"/>
                <w:iCs w:val="0"/>
                <w:caps w:val="0"/>
                <w:color w:val="000000"/>
                <w:spacing w:val="0"/>
                <w:kern w:val="0"/>
                <w:sz w:val="21"/>
                <w:szCs w:val="21"/>
                <w:u w:val="none"/>
                <w:lang w:val="en-US" w:eastAsia="zh-CN" w:bidi="ar"/>
              </w:rPr>
              <w:t>所属辖区</w:t>
            </w: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b/>
                <w:bCs/>
                <w:i w:val="0"/>
                <w:iCs w:val="0"/>
                <w:caps w:val="0"/>
                <w:color w:val="000000"/>
                <w:spacing w:val="0"/>
                <w:sz w:val="21"/>
                <w:szCs w:val="21"/>
                <w:u w:val="none"/>
              </w:rPr>
            </w:pPr>
            <w:r>
              <w:rPr>
                <w:rFonts w:hint="eastAsia" w:ascii="宋体" w:hAnsi="宋体" w:eastAsia="宋体" w:cs="宋体"/>
                <w:b/>
                <w:bCs/>
                <w:i w:val="0"/>
                <w:iCs w:val="0"/>
                <w:caps w:val="0"/>
                <w:color w:val="000000"/>
                <w:spacing w:val="0"/>
                <w:kern w:val="0"/>
                <w:sz w:val="21"/>
                <w:szCs w:val="21"/>
                <w:u w:val="none"/>
                <w:lang w:val="en-US" w:eastAsia="zh-CN" w:bidi="ar"/>
              </w:rPr>
              <w:t>建设点位</w:t>
            </w:r>
          </w:p>
        </w:tc>
        <w:tc>
          <w:tcPr>
            <w:tcW w:w="1855" w:type="dxa"/>
            <w:gridSpan w:val="3"/>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b/>
                <w:bCs/>
                <w:i w:val="0"/>
                <w:iCs w:val="0"/>
                <w:caps w:val="0"/>
                <w:color w:val="000000"/>
                <w:spacing w:val="0"/>
                <w:sz w:val="21"/>
                <w:szCs w:val="21"/>
                <w:u w:val="none"/>
              </w:rPr>
            </w:pPr>
            <w:r>
              <w:rPr>
                <w:rFonts w:hint="eastAsia" w:ascii="宋体" w:hAnsi="宋体" w:eastAsia="宋体" w:cs="宋体"/>
                <w:b/>
                <w:bCs/>
                <w:i w:val="0"/>
                <w:iCs w:val="0"/>
                <w:caps w:val="0"/>
                <w:color w:val="000000"/>
                <w:spacing w:val="0"/>
                <w:kern w:val="0"/>
                <w:sz w:val="21"/>
                <w:szCs w:val="21"/>
                <w:u w:val="none"/>
                <w:lang w:val="en-US" w:eastAsia="zh-CN" w:bidi="ar"/>
              </w:rPr>
              <w:t>点位类型</w:t>
            </w:r>
          </w:p>
        </w:tc>
        <w:tc>
          <w:tcPr>
            <w:tcW w:w="678" w:type="dxa"/>
            <w:vMerge w:val="restart"/>
            <w:tcBorders>
              <w:top w:val="single" w:color="000000" w:sz="4" w:space="0"/>
              <w:left w:val="single" w:color="000000" w:sz="4" w:space="0"/>
              <w:right w:val="single" w:color="000000" w:sz="4" w:space="0"/>
            </w:tcBorders>
            <w:shd w:val="clear" w:color="auto" w:fill="F1F1F1"/>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b/>
                <w:bCs/>
                <w:i w:val="0"/>
                <w:iCs w:val="0"/>
                <w:caps w:val="0"/>
                <w:color w:val="000000"/>
                <w:spacing w:val="0"/>
                <w:sz w:val="21"/>
                <w:szCs w:val="21"/>
                <w:u w:val="none"/>
              </w:rPr>
            </w:pPr>
            <w:r>
              <w:rPr>
                <w:rFonts w:hint="eastAsia" w:ascii="宋体" w:hAnsi="宋体" w:eastAsia="宋体" w:cs="宋体"/>
                <w:b/>
                <w:bCs/>
                <w:i w:val="0"/>
                <w:iCs w:val="0"/>
                <w:caps w:val="0"/>
                <w:color w:val="000000"/>
                <w:spacing w:val="0"/>
                <w:kern w:val="0"/>
                <w:sz w:val="21"/>
                <w:szCs w:val="21"/>
                <w:u w:val="none"/>
                <w:lang w:val="en-US" w:eastAsia="zh-CN" w:bidi="ar"/>
              </w:rPr>
              <w:t>摄像机数量</w:t>
            </w:r>
          </w:p>
        </w:tc>
        <w:tc>
          <w:tcPr>
            <w:tcW w:w="4329" w:type="dxa"/>
            <w:gridSpan w:val="7"/>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b/>
                <w:bCs/>
                <w:i w:val="0"/>
                <w:iCs w:val="0"/>
                <w:caps w:val="0"/>
                <w:color w:val="000000"/>
                <w:spacing w:val="0"/>
                <w:sz w:val="21"/>
                <w:szCs w:val="21"/>
                <w:u w:val="none"/>
              </w:rPr>
            </w:pPr>
            <w:r>
              <w:rPr>
                <w:rFonts w:hint="eastAsia" w:ascii="宋体" w:hAnsi="宋体" w:eastAsia="宋体" w:cs="宋体"/>
                <w:b/>
                <w:bCs/>
                <w:i w:val="0"/>
                <w:iCs w:val="0"/>
                <w:caps w:val="0"/>
                <w:color w:val="000000"/>
                <w:spacing w:val="0"/>
                <w:kern w:val="0"/>
                <w:sz w:val="21"/>
                <w:szCs w:val="21"/>
                <w:u w:val="none"/>
                <w:lang w:val="en-US" w:eastAsia="zh-CN" w:bidi="ar"/>
              </w:rPr>
              <w:t>设备类型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line="360" w:lineRule="auto"/>
              <w:ind w:firstLine="0" w:firstLineChars="0"/>
              <w:jc w:val="center"/>
              <w:rPr>
                <w:rFonts w:hint="eastAsia" w:ascii="宋体" w:hAnsi="宋体" w:eastAsia="宋体" w:cs="宋体"/>
                <w:b/>
                <w:bCs/>
                <w:i w:val="0"/>
                <w:iCs w:val="0"/>
                <w:caps w:val="0"/>
                <w:color w:val="000000"/>
                <w:spacing w:val="0"/>
                <w:sz w:val="21"/>
                <w:szCs w:val="21"/>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line="360" w:lineRule="auto"/>
              <w:ind w:firstLine="0" w:firstLineChars="0"/>
              <w:jc w:val="center"/>
              <w:rPr>
                <w:rFonts w:hint="eastAsia" w:ascii="宋体" w:hAnsi="宋体" w:eastAsia="宋体" w:cs="宋体"/>
                <w:b/>
                <w:bCs/>
                <w:i w:val="0"/>
                <w:iCs w:val="0"/>
                <w:caps w:val="0"/>
                <w:color w:val="000000"/>
                <w:spacing w:val="0"/>
                <w:sz w:val="21"/>
                <w:szCs w:val="21"/>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line="360" w:lineRule="auto"/>
              <w:ind w:firstLine="0" w:firstLineChars="0"/>
              <w:jc w:val="center"/>
              <w:rPr>
                <w:rFonts w:hint="eastAsia" w:ascii="宋体" w:hAnsi="宋体" w:eastAsia="宋体" w:cs="宋体"/>
                <w:b/>
                <w:bCs/>
                <w:i w:val="0"/>
                <w:iCs w:val="0"/>
                <w:caps w:val="0"/>
                <w:color w:val="000000"/>
                <w:spacing w:val="0"/>
                <w:sz w:val="21"/>
                <w:szCs w:val="21"/>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b/>
                <w:bCs/>
                <w:i w:val="0"/>
                <w:iCs w:val="0"/>
                <w:caps w:val="0"/>
                <w:color w:val="000000"/>
                <w:spacing w:val="0"/>
                <w:sz w:val="21"/>
                <w:szCs w:val="21"/>
                <w:u w:val="none"/>
              </w:rPr>
            </w:pPr>
            <w:r>
              <w:rPr>
                <w:rFonts w:hint="eastAsia" w:ascii="宋体" w:hAnsi="宋体" w:eastAsia="宋体" w:cs="宋体"/>
                <w:b/>
                <w:bCs/>
                <w:i w:val="0"/>
                <w:iCs w:val="0"/>
                <w:caps w:val="0"/>
                <w:color w:val="000000"/>
                <w:spacing w:val="0"/>
                <w:kern w:val="0"/>
                <w:sz w:val="21"/>
                <w:szCs w:val="21"/>
                <w:u w:val="none"/>
                <w:lang w:val="en-US" w:eastAsia="zh-CN" w:bidi="ar"/>
              </w:rPr>
              <w:t>视频监控</w:t>
            </w:r>
          </w:p>
        </w:tc>
        <w:tc>
          <w:tcPr>
            <w:tcW w:w="618"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b/>
                <w:bCs/>
                <w:i w:val="0"/>
                <w:iCs w:val="0"/>
                <w:caps w:val="0"/>
                <w:color w:val="000000"/>
                <w:spacing w:val="0"/>
                <w:sz w:val="21"/>
                <w:szCs w:val="21"/>
                <w:u w:val="none"/>
              </w:rPr>
            </w:pPr>
            <w:r>
              <w:rPr>
                <w:rFonts w:hint="eastAsia" w:ascii="宋体" w:hAnsi="宋体" w:eastAsia="宋体" w:cs="宋体"/>
                <w:b/>
                <w:bCs/>
                <w:i w:val="0"/>
                <w:iCs w:val="0"/>
                <w:caps w:val="0"/>
                <w:color w:val="000000"/>
                <w:spacing w:val="0"/>
                <w:kern w:val="0"/>
                <w:sz w:val="21"/>
                <w:szCs w:val="21"/>
                <w:u w:val="none"/>
                <w:lang w:val="en-US" w:eastAsia="zh-CN" w:bidi="ar"/>
              </w:rPr>
              <w:t>人脸抓拍</w:t>
            </w:r>
          </w:p>
        </w:tc>
        <w:tc>
          <w:tcPr>
            <w:tcW w:w="619"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b/>
                <w:bCs/>
                <w:i w:val="0"/>
                <w:iCs w:val="0"/>
                <w:caps w:val="0"/>
                <w:color w:val="000000"/>
                <w:spacing w:val="0"/>
                <w:sz w:val="21"/>
                <w:szCs w:val="21"/>
                <w:u w:val="none"/>
              </w:rPr>
            </w:pPr>
            <w:r>
              <w:rPr>
                <w:rFonts w:hint="eastAsia" w:ascii="宋体" w:hAnsi="宋体" w:eastAsia="宋体" w:cs="宋体"/>
                <w:b/>
                <w:bCs/>
                <w:i w:val="0"/>
                <w:iCs w:val="0"/>
                <w:caps w:val="0"/>
                <w:color w:val="000000"/>
                <w:spacing w:val="0"/>
                <w:kern w:val="0"/>
                <w:sz w:val="21"/>
                <w:szCs w:val="21"/>
                <w:u w:val="none"/>
                <w:lang w:val="en-US" w:eastAsia="zh-CN" w:bidi="ar"/>
              </w:rPr>
              <w:t>治安卡口</w:t>
            </w:r>
          </w:p>
        </w:tc>
        <w:tc>
          <w:tcPr>
            <w:tcW w:w="678" w:type="dxa"/>
            <w:vMerge w:val="continue"/>
            <w:tcBorders>
              <w:left w:val="single" w:color="000000" w:sz="4" w:space="0"/>
              <w:right w:val="single" w:color="000000" w:sz="4" w:space="0"/>
            </w:tcBorders>
            <w:shd w:val="clear" w:color="auto" w:fill="F1F1F1"/>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line="360" w:lineRule="auto"/>
              <w:ind w:firstLine="0" w:firstLineChars="0"/>
              <w:jc w:val="center"/>
              <w:rPr>
                <w:rFonts w:hint="eastAsia" w:ascii="宋体" w:hAnsi="宋体" w:eastAsia="宋体" w:cs="宋体"/>
                <w:b/>
                <w:bCs/>
                <w:i w:val="0"/>
                <w:iCs w:val="0"/>
                <w:caps w:val="0"/>
                <w:color w:val="000000"/>
                <w:spacing w:val="0"/>
                <w:sz w:val="21"/>
                <w:szCs w:val="21"/>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b/>
                <w:bCs/>
                <w:i w:val="0"/>
                <w:iCs w:val="0"/>
                <w:caps w:val="0"/>
                <w:color w:val="000000"/>
                <w:spacing w:val="0"/>
                <w:sz w:val="21"/>
                <w:szCs w:val="21"/>
                <w:u w:val="none"/>
              </w:rPr>
            </w:pPr>
            <w:r>
              <w:rPr>
                <w:rFonts w:hint="eastAsia" w:ascii="宋体" w:hAnsi="宋体" w:eastAsia="宋体" w:cs="宋体"/>
                <w:b/>
                <w:bCs/>
                <w:i w:val="0"/>
                <w:iCs w:val="0"/>
                <w:caps w:val="0"/>
                <w:color w:val="000000"/>
                <w:spacing w:val="0"/>
                <w:kern w:val="0"/>
                <w:sz w:val="21"/>
                <w:szCs w:val="21"/>
                <w:u w:val="none"/>
                <w:lang w:val="en-US" w:eastAsia="zh-CN" w:bidi="ar"/>
              </w:rPr>
              <w:t>高清枪机</w:t>
            </w:r>
          </w:p>
        </w:tc>
        <w:tc>
          <w:tcPr>
            <w:tcW w:w="618"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b/>
                <w:bCs/>
                <w:i w:val="0"/>
                <w:iCs w:val="0"/>
                <w:caps w:val="0"/>
                <w:color w:val="000000"/>
                <w:spacing w:val="0"/>
                <w:sz w:val="21"/>
                <w:szCs w:val="21"/>
                <w:u w:val="none"/>
              </w:rPr>
            </w:pPr>
            <w:r>
              <w:rPr>
                <w:rFonts w:hint="eastAsia" w:ascii="宋体" w:hAnsi="宋体" w:eastAsia="宋体" w:cs="宋体"/>
                <w:b/>
                <w:bCs/>
                <w:i w:val="0"/>
                <w:iCs w:val="0"/>
                <w:caps w:val="0"/>
                <w:color w:val="000000"/>
                <w:spacing w:val="0"/>
                <w:kern w:val="0"/>
                <w:sz w:val="21"/>
                <w:szCs w:val="21"/>
                <w:u w:val="none"/>
                <w:lang w:val="en-US" w:eastAsia="zh-CN" w:bidi="ar"/>
              </w:rPr>
              <w:t>人脸枪机</w:t>
            </w:r>
          </w:p>
        </w:tc>
        <w:tc>
          <w:tcPr>
            <w:tcW w:w="618"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b/>
                <w:bCs/>
                <w:i w:val="0"/>
                <w:iCs w:val="0"/>
                <w:caps w:val="0"/>
                <w:color w:val="000000"/>
                <w:spacing w:val="0"/>
                <w:sz w:val="21"/>
                <w:szCs w:val="21"/>
                <w:u w:val="none"/>
              </w:rPr>
            </w:pPr>
            <w:r>
              <w:rPr>
                <w:rFonts w:hint="eastAsia" w:ascii="宋体" w:hAnsi="宋体" w:eastAsia="宋体" w:cs="宋体"/>
                <w:b/>
                <w:bCs/>
                <w:i w:val="0"/>
                <w:iCs w:val="0"/>
                <w:caps w:val="0"/>
                <w:color w:val="000000"/>
                <w:spacing w:val="0"/>
                <w:kern w:val="0"/>
                <w:sz w:val="21"/>
                <w:szCs w:val="21"/>
                <w:u w:val="none"/>
                <w:lang w:val="en-US" w:eastAsia="zh-CN" w:bidi="ar"/>
              </w:rPr>
              <w:t>黑光快球</w:t>
            </w:r>
          </w:p>
        </w:tc>
        <w:tc>
          <w:tcPr>
            <w:tcW w:w="618"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b/>
                <w:bCs/>
                <w:i w:val="0"/>
                <w:iCs w:val="0"/>
                <w:caps w:val="0"/>
                <w:color w:val="000000"/>
                <w:spacing w:val="0"/>
                <w:sz w:val="21"/>
                <w:szCs w:val="21"/>
                <w:u w:val="none"/>
              </w:rPr>
            </w:pPr>
            <w:r>
              <w:rPr>
                <w:rFonts w:hint="eastAsia" w:ascii="宋体" w:hAnsi="宋体" w:eastAsia="宋体" w:cs="宋体"/>
                <w:b/>
                <w:bCs/>
                <w:i w:val="0"/>
                <w:iCs w:val="0"/>
                <w:caps w:val="0"/>
                <w:color w:val="000000"/>
                <w:spacing w:val="0"/>
                <w:kern w:val="0"/>
                <w:sz w:val="21"/>
                <w:szCs w:val="21"/>
                <w:u w:val="none"/>
                <w:lang w:val="en-US" w:eastAsia="zh-CN" w:bidi="ar"/>
              </w:rPr>
              <w:t>全局分析</w:t>
            </w:r>
          </w:p>
        </w:tc>
        <w:tc>
          <w:tcPr>
            <w:tcW w:w="618"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b/>
                <w:bCs/>
                <w:i w:val="0"/>
                <w:iCs w:val="0"/>
                <w:caps w:val="0"/>
                <w:color w:val="000000"/>
                <w:spacing w:val="0"/>
                <w:sz w:val="21"/>
                <w:szCs w:val="21"/>
                <w:u w:val="none"/>
              </w:rPr>
            </w:pPr>
            <w:r>
              <w:rPr>
                <w:rFonts w:hint="eastAsia" w:ascii="宋体" w:hAnsi="宋体" w:eastAsia="宋体" w:cs="宋体"/>
                <w:b/>
                <w:bCs/>
                <w:i w:val="0"/>
                <w:iCs w:val="0"/>
                <w:caps w:val="0"/>
                <w:color w:val="000000"/>
                <w:spacing w:val="0"/>
                <w:kern w:val="0"/>
                <w:sz w:val="21"/>
                <w:szCs w:val="21"/>
                <w:u w:val="none"/>
                <w:lang w:val="en-US" w:eastAsia="zh-CN" w:bidi="ar"/>
              </w:rPr>
              <w:t>双目枪机</w:t>
            </w:r>
          </w:p>
        </w:tc>
        <w:tc>
          <w:tcPr>
            <w:tcW w:w="618"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b/>
                <w:bCs/>
                <w:i w:val="0"/>
                <w:iCs w:val="0"/>
                <w:caps w:val="0"/>
                <w:color w:val="000000"/>
                <w:spacing w:val="0"/>
                <w:sz w:val="21"/>
                <w:szCs w:val="21"/>
                <w:u w:val="none"/>
              </w:rPr>
            </w:pPr>
            <w:r>
              <w:rPr>
                <w:rFonts w:hint="eastAsia" w:ascii="宋体" w:hAnsi="宋体" w:eastAsia="宋体" w:cs="宋体"/>
                <w:b/>
                <w:bCs/>
                <w:i w:val="0"/>
                <w:iCs w:val="0"/>
                <w:caps w:val="0"/>
                <w:color w:val="000000"/>
                <w:spacing w:val="0"/>
                <w:kern w:val="0"/>
                <w:sz w:val="21"/>
                <w:szCs w:val="21"/>
                <w:u w:val="none"/>
                <w:lang w:val="en-US" w:eastAsia="zh-CN" w:bidi="ar"/>
              </w:rPr>
              <w:t>高空球</w:t>
            </w:r>
          </w:p>
        </w:tc>
        <w:tc>
          <w:tcPr>
            <w:tcW w:w="621"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b/>
                <w:bCs/>
                <w:i w:val="0"/>
                <w:iCs w:val="0"/>
                <w:caps w:val="0"/>
                <w:color w:val="000000"/>
                <w:spacing w:val="0"/>
                <w:sz w:val="21"/>
                <w:szCs w:val="21"/>
                <w:u w:val="none"/>
              </w:rPr>
            </w:pPr>
            <w:r>
              <w:rPr>
                <w:rFonts w:hint="eastAsia" w:ascii="宋体" w:hAnsi="宋体" w:eastAsia="宋体" w:cs="宋体"/>
                <w:b/>
                <w:bCs/>
                <w:i w:val="0"/>
                <w:iCs w:val="0"/>
                <w:caps w:val="0"/>
                <w:color w:val="000000"/>
                <w:spacing w:val="0"/>
                <w:kern w:val="0"/>
                <w:sz w:val="21"/>
                <w:szCs w:val="21"/>
                <w:u w:val="none"/>
                <w:lang w:val="en-US" w:eastAsia="zh-CN" w:bidi="ar"/>
              </w:rPr>
              <w:t>环保卡口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五云镇</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127</w:t>
            </w:r>
          </w:p>
        </w:tc>
        <w:tc>
          <w:tcPr>
            <w:tcW w:w="6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26</w:t>
            </w:r>
          </w:p>
        </w:tc>
        <w:tc>
          <w:tcPr>
            <w:tcW w:w="6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71</w:t>
            </w:r>
          </w:p>
        </w:tc>
        <w:tc>
          <w:tcPr>
            <w:tcW w:w="6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30</w:t>
            </w:r>
          </w:p>
        </w:tc>
        <w:tc>
          <w:tcPr>
            <w:tcW w:w="6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221</w:t>
            </w:r>
          </w:p>
        </w:tc>
        <w:tc>
          <w:tcPr>
            <w:tcW w:w="6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18</w:t>
            </w:r>
          </w:p>
        </w:tc>
        <w:tc>
          <w:tcPr>
            <w:tcW w:w="6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134</w:t>
            </w:r>
          </w:p>
        </w:tc>
        <w:tc>
          <w:tcPr>
            <w:tcW w:w="6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14</w:t>
            </w:r>
          </w:p>
        </w:tc>
        <w:tc>
          <w:tcPr>
            <w:tcW w:w="6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2</w:t>
            </w:r>
          </w:p>
        </w:tc>
        <w:tc>
          <w:tcPr>
            <w:tcW w:w="6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2</w:t>
            </w:r>
          </w:p>
        </w:tc>
        <w:tc>
          <w:tcPr>
            <w:tcW w:w="6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3</w:t>
            </w:r>
          </w:p>
        </w:tc>
        <w:tc>
          <w:tcPr>
            <w:tcW w:w="6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2</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壶镇镇</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30</w:t>
            </w:r>
          </w:p>
        </w:tc>
        <w:tc>
          <w:tcPr>
            <w:tcW w:w="6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3</w:t>
            </w:r>
          </w:p>
        </w:tc>
        <w:tc>
          <w:tcPr>
            <w:tcW w:w="6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17</w:t>
            </w:r>
          </w:p>
        </w:tc>
        <w:tc>
          <w:tcPr>
            <w:tcW w:w="6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10</w:t>
            </w:r>
          </w:p>
        </w:tc>
        <w:tc>
          <w:tcPr>
            <w:tcW w:w="6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54</w:t>
            </w:r>
          </w:p>
        </w:tc>
        <w:tc>
          <w:tcPr>
            <w:tcW w:w="6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4</w:t>
            </w:r>
          </w:p>
        </w:tc>
        <w:tc>
          <w:tcPr>
            <w:tcW w:w="6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27</w:t>
            </w:r>
          </w:p>
        </w:tc>
        <w:tc>
          <w:tcPr>
            <w:tcW w:w="6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3</w:t>
            </w:r>
          </w:p>
        </w:tc>
        <w:tc>
          <w:tcPr>
            <w:tcW w:w="6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0</w:t>
            </w:r>
          </w:p>
        </w:tc>
        <w:tc>
          <w:tcPr>
            <w:tcW w:w="6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2</w:t>
            </w:r>
          </w:p>
        </w:tc>
        <w:tc>
          <w:tcPr>
            <w:tcW w:w="6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0</w:t>
            </w:r>
          </w:p>
        </w:tc>
        <w:tc>
          <w:tcPr>
            <w:tcW w:w="6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3</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仙都</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20</w:t>
            </w:r>
          </w:p>
        </w:tc>
        <w:tc>
          <w:tcPr>
            <w:tcW w:w="6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12</w:t>
            </w:r>
          </w:p>
        </w:tc>
        <w:tc>
          <w:tcPr>
            <w:tcW w:w="6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5</w:t>
            </w:r>
          </w:p>
        </w:tc>
        <w:tc>
          <w:tcPr>
            <w:tcW w:w="6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3</w:t>
            </w:r>
          </w:p>
        </w:tc>
        <w:tc>
          <w:tcPr>
            <w:tcW w:w="6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27</w:t>
            </w:r>
          </w:p>
        </w:tc>
        <w:tc>
          <w:tcPr>
            <w:tcW w:w="6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2</w:t>
            </w:r>
          </w:p>
        </w:tc>
        <w:tc>
          <w:tcPr>
            <w:tcW w:w="6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7</w:t>
            </w:r>
          </w:p>
        </w:tc>
        <w:tc>
          <w:tcPr>
            <w:tcW w:w="6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14</w:t>
            </w:r>
          </w:p>
        </w:tc>
        <w:tc>
          <w:tcPr>
            <w:tcW w:w="6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0</w:t>
            </w:r>
          </w:p>
        </w:tc>
        <w:tc>
          <w:tcPr>
            <w:tcW w:w="6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0</w:t>
            </w:r>
          </w:p>
        </w:tc>
        <w:tc>
          <w:tcPr>
            <w:tcW w:w="6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4</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新建</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22</w:t>
            </w:r>
          </w:p>
        </w:tc>
        <w:tc>
          <w:tcPr>
            <w:tcW w:w="6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3</w:t>
            </w:r>
          </w:p>
        </w:tc>
        <w:tc>
          <w:tcPr>
            <w:tcW w:w="6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11</w:t>
            </w:r>
          </w:p>
        </w:tc>
        <w:tc>
          <w:tcPr>
            <w:tcW w:w="6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8</w:t>
            </w:r>
          </w:p>
        </w:tc>
        <w:tc>
          <w:tcPr>
            <w:tcW w:w="6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33</w:t>
            </w:r>
          </w:p>
        </w:tc>
        <w:tc>
          <w:tcPr>
            <w:tcW w:w="6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4</w:t>
            </w:r>
          </w:p>
        </w:tc>
        <w:tc>
          <w:tcPr>
            <w:tcW w:w="6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15</w:t>
            </w:r>
          </w:p>
        </w:tc>
        <w:tc>
          <w:tcPr>
            <w:tcW w:w="6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1</w:t>
            </w:r>
          </w:p>
        </w:tc>
        <w:tc>
          <w:tcPr>
            <w:tcW w:w="6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0</w:t>
            </w:r>
          </w:p>
        </w:tc>
        <w:tc>
          <w:tcPr>
            <w:tcW w:w="6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1</w:t>
            </w:r>
          </w:p>
        </w:tc>
        <w:tc>
          <w:tcPr>
            <w:tcW w:w="6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0</w:t>
            </w:r>
          </w:p>
        </w:tc>
        <w:tc>
          <w:tcPr>
            <w:tcW w:w="6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5</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东方</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14</w:t>
            </w:r>
          </w:p>
        </w:tc>
        <w:tc>
          <w:tcPr>
            <w:tcW w:w="6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2</w:t>
            </w:r>
          </w:p>
        </w:tc>
        <w:tc>
          <w:tcPr>
            <w:tcW w:w="6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7</w:t>
            </w:r>
          </w:p>
        </w:tc>
        <w:tc>
          <w:tcPr>
            <w:tcW w:w="6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5</w:t>
            </w:r>
          </w:p>
        </w:tc>
        <w:tc>
          <w:tcPr>
            <w:tcW w:w="6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23</w:t>
            </w:r>
          </w:p>
        </w:tc>
        <w:tc>
          <w:tcPr>
            <w:tcW w:w="6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4</w:t>
            </w:r>
          </w:p>
        </w:tc>
        <w:tc>
          <w:tcPr>
            <w:tcW w:w="6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9</w:t>
            </w:r>
          </w:p>
        </w:tc>
        <w:tc>
          <w:tcPr>
            <w:tcW w:w="6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0</w:t>
            </w:r>
          </w:p>
        </w:tc>
        <w:tc>
          <w:tcPr>
            <w:tcW w:w="6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0</w:t>
            </w:r>
          </w:p>
        </w:tc>
        <w:tc>
          <w:tcPr>
            <w:tcW w:w="6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1</w:t>
            </w:r>
          </w:p>
        </w:tc>
        <w:tc>
          <w:tcPr>
            <w:tcW w:w="6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0</w:t>
            </w:r>
          </w:p>
        </w:tc>
        <w:tc>
          <w:tcPr>
            <w:tcW w:w="6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6</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舒洪</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17</w:t>
            </w:r>
          </w:p>
        </w:tc>
        <w:tc>
          <w:tcPr>
            <w:tcW w:w="6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1</w:t>
            </w:r>
          </w:p>
        </w:tc>
        <w:tc>
          <w:tcPr>
            <w:tcW w:w="6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10</w:t>
            </w:r>
          </w:p>
        </w:tc>
        <w:tc>
          <w:tcPr>
            <w:tcW w:w="6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6</w:t>
            </w:r>
          </w:p>
        </w:tc>
        <w:tc>
          <w:tcPr>
            <w:tcW w:w="6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37</w:t>
            </w:r>
          </w:p>
        </w:tc>
        <w:tc>
          <w:tcPr>
            <w:tcW w:w="6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1</w:t>
            </w:r>
          </w:p>
        </w:tc>
        <w:tc>
          <w:tcPr>
            <w:tcW w:w="6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23</w:t>
            </w:r>
          </w:p>
        </w:tc>
        <w:tc>
          <w:tcPr>
            <w:tcW w:w="6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1</w:t>
            </w:r>
          </w:p>
        </w:tc>
        <w:tc>
          <w:tcPr>
            <w:tcW w:w="6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0</w:t>
            </w:r>
          </w:p>
        </w:tc>
        <w:tc>
          <w:tcPr>
            <w:tcW w:w="6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0</w:t>
            </w:r>
          </w:p>
        </w:tc>
        <w:tc>
          <w:tcPr>
            <w:tcW w:w="6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0</w:t>
            </w:r>
          </w:p>
        </w:tc>
        <w:tc>
          <w:tcPr>
            <w:tcW w:w="6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7</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东渡</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25</w:t>
            </w:r>
          </w:p>
        </w:tc>
        <w:tc>
          <w:tcPr>
            <w:tcW w:w="6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5</w:t>
            </w:r>
          </w:p>
        </w:tc>
        <w:tc>
          <w:tcPr>
            <w:tcW w:w="6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17</w:t>
            </w:r>
          </w:p>
        </w:tc>
        <w:tc>
          <w:tcPr>
            <w:tcW w:w="6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3</w:t>
            </w:r>
          </w:p>
        </w:tc>
        <w:tc>
          <w:tcPr>
            <w:tcW w:w="6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46</w:t>
            </w:r>
          </w:p>
        </w:tc>
        <w:tc>
          <w:tcPr>
            <w:tcW w:w="6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7</w:t>
            </w:r>
          </w:p>
        </w:tc>
        <w:tc>
          <w:tcPr>
            <w:tcW w:w="6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29</w:t>
            </w:r>
          </w:p>
        </w:tc>
        <w:tc>
          <w:tcPr>
            <w:tcW w:w="6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2</w:t>
            </w:r>
          </w:p>
        </w:tc>
        <w:tc>
          <w:tcPr>
            <w:tcW w:w="6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0</w:t>
            </w:r>
          </w:p>
        </w:tc>
        <w:tc>
          <w:tcPr>
            <w:tcW w:w="6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0</w:t>
            </w:r>
          </w:p>
        </w:tc>
        <w:tc>
          <w:tcPr>
            <w:tcW w:w="6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0</w:t>
            </w:r>
          </w:p>
        </w:tc>
        <w:tc>
          <w:tcPr>
            <w:tcW w:w="6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8</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大源</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5</w:t>
            </w:r>
          </w:p>
        </w:tc>
        <w:tc>
          <w:tcPr>
            <w:tcW w:w="6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0</w:t>
            </w:r>
          </w:p>
        </w:tc>
        <w:tc>
          <w:tcPr>
            <w:tcW w:w="6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5</w:t>
            </w:r>
          </w:p>
        </w:tc>
        <w:tc>
          <w:tcPr>
            <w:tcW w:w="6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0</w:t>
            </w:r>
          </w:p>
        </w:tc>
        <w:tc>
          <w:tcPr>
            <w:tcW w:w="6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10</w:t>
            </w:r>
          </w:p>
        </w:tc>
        <w:tc>
          <w:tcPr>
            <w:tcW w:w="6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0</w:t>
            </w:r>
          </w:p>
        </w:tc>
        <w:tc>
          <w:tcPr>
            <w:tcW w:w="6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8</w:t>
            </w:r>
          </w:p>
        </w:tc>
        <w:tc>
          <w:tcPr>
            <w:tcW w:w="6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1</w:t>
            </w:r>
          </w:p>
        </w:tc>
        <w:tc>
          <w:tcPr>
            <w:tcW w:w="6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1</w:t>
            </w:r>
          </w:p>
        </w:tc>
        <w:tc>
          <w:tcPr>
            <w:tcW w:w="6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0</w:t>
            </w:r>
          </w:p>
        </w:tc>
        <w:tc>
          <w:tcPr>
            <w:tcW w:w="6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0</w:t>
            </w:r>
          </w:p>
        </w:tc>
        <w:tc>
          <w:tcPr>
            <w:tcW w:w="6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9</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大洋</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12</w:t>
            </w:r>
          </w:p>
        </w:tc>
        <w:tc>
          <w:tcPr>
            <w:tcW w:w="6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2</w:t>
            </w:r>
          </w:p>
        </w:tc>
        <w:tc>
          <w:tcPr>
            <w:tcW w:w="6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5</w:t>
            </w:r>
          </w:p>
        </w:tc>
        <w:tc>
          <w:tcPr>
            <w:tcW w:w="6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5</w:t>
            </w:r>
          </w:p>
        </w:tc>
        <w:tc>
          <w:tcPr>
            <w:tcW w:w="6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14</w:t>
            </w:r>
          </w:p>
        </w:tc>
        <w:tc>
          <w:tcPr>
            <w:tcW w:w="6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1</w:t>
            </w:r>
          </w:p>
        </w:tc>
        <w:tc>
          <w:tcPr>
            <w:tcW w:w="6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4</w:t>
            </w:r>
          </w:p>
        </w:tc>
        <w:tc>
          <w:tcPr>
            <w:tcW w:w="6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2</w:t>
            </w:r>
          </w:p>
        </w:tc>
        <w:tc>
          <w:tcPr>
            <w:tcW w:w="6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2</w:t>
            </w:r>
          </w:p>
        </w:tc>
        <w:tc>
          <w:tcPr>
            <w:tcW w:w="6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0</w:t>
            </w:r>
          </w:p>
        </w:tc>
        <w:tc>
          <w:tcPr>
            <w:tcW w:w="6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0</w:t>
            </w:r>
          </w:p>
        </w:tc>
        <w:tc>
          <w:tcPr>
            <w:tcW w:w="6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6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10</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新碧</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19</w:t>
            </w:r>
          </w:p>
        </w:tc>
        <w:tc>
          <w:tcPr>
            <w:tcW w:w="6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0</w:t>
            </w:r>
          </w:p>
        </w:tc>
        <w:tc>
          <w:tcPr>
            <w:tcW w:w="6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14</w:t>
            </w:r>
          </w:p>
        </w:tc>
        <w:tc>
          <w:tcPr>
            <w:tcW w:w="6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5</w:t>
            </w:r>
          </w:p>
        </w:tc>
        <w:tc>
          <w:tcPr>
            <w:tcW w:w="6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35</w:t>
            </w:r>
          </w:p>
        </w:tc>
        <w:tc>
          <w:tcPr>
            <w:tcW w:w="6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0</w:t>
            </w:r>
          </w:p>
        </w:tc>
        <w:tc>
          <w:tcPr>
            <w:tcW w:w="6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25</w:t>
            </w:r>
          </w:p>
        </w:tc>
        <w:tc>
          <w:tcPr>
            <w:tcW w:w="6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0</w:t>
            </w:r>
          </w:p>
        </w:tc>
        <w:tc>
          <w:tcPr>
            <w:tcW w:w="6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0</w:t>
            </w:r>
          </w:p>
        </w:tc>
        <w:tc>
          <w:tcPr>
            <w:tcW w:w="6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0</w:t>
            </w:r>
          </w:p>
        </w:tc>
        <w:tc>
          <w:tcPr>
            <w:tcW w:w="6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0</w:t>
            </w:r>
          </w:p>
        </w:tc>
        <w:tc>
          <w:tcPr>
            <w:tcW w:w="6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50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before="0" w:beforeLines="0" w:line="360" w:lineRule="auto"/>
              <w:ind w:firstLine="0" w:firstLineChars="0"/>
              <w:jc w:val="center"/>
              <w:rPr>
                <w:rFonts w:hint="eastAsia" w:ascii="宋体" w:hAnsi="宋体" w:eastAsia="宋体" w:cs="宋体"/>
                <w:i w:val="0"/>
                <w:iCs w:val="0"/>
                <w:caps w:val="0"/>
                <w:color w:val="000000"/>
                <w:spacing w:val="0"/>
                <w:sz w:val="21"/>
                <w:szCs w:val="21"/>
                <w:u w:val="none"/>
                <w:lang w:val="en-US" w:eastAsia="zh-CN"/>
              </w:rPr>
            </w:pPr>
            <w:r>
              <w:rPr>
                <w:rFonts w:hint="eastAsia" w:ascii="宋体" w:hAnsi="宋体" w:eastAsia="宋体" w:cs="宋体"/>
                <w:i w:val="0"/>
                <w:iCs w:val="0"/>
                <w:caps w:val="0"/>
                <w:color w:val="000000"/>
                <w:spacing w:val="0"/>
                <w:sz w:val="21"/>
                <w:szCs w:val="21"/>
                <w:u w:val="none"/>
                <w:lang w:val="en-US" w:eastAsia="zh-CN"/>
              </w:rPr>
              <w:t>合计</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b/>
                <w:bCs/>
                <w:i w:val="0"/>
                <w:iCs w:val="0"/>
                <w:caps w:val="0"/>
                <w:color w:val="000000"/>
                <w:spacing w:val="0"/>
                <w:sz w:val="21"/>
                <w:szCs w:val="21"/>
                <w:u w:val="none"/>
              </w:rPr>
            </w:pPr>
            <w:r>
              <w:rPr>
                <w:rFonts w:hint="eastAsia" w:ascii="宋体" w:hAnsi="宋体" w:eastAsia="宋体" w:cs="宋体"/>
                <w:b/>
                <w:bCs/>
                <w:i w:val="0"/>
                <w:iCs w:val="0"/>
                <w:caps w:val="0"/>
                <w:color w:val="000000"/>
                <w:spacing w:val="0"/>
                <w:kern w:val="0"/>
                <w:sz w:val="21"/>
                <w:szCs w:val="21"/>
                <w:u w:val="none"/>
                <w:lang w:val="en-US" w:eastAsia="zh-CN" w:bidi="ar"/>
              </w:rPr>
              <w:t>291</w:t>
            </w:r>
          </w:p>
        </w:tc>
        <w:tc>
          <w:tcPr>
            <w:tcW w:w="6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b/>
                <w:bCs/>
                <w:i w:val="0"/>
                <w:iCs w:val="0"/>
                <w:caps w:val="0"/>
                <w:color w:val="000000"/>
                <w:spacing w:val="0"/>
                <w:sz w:val="21"/>
                <w:szCs w:val="21"/>
                <w:u w:val="none"/>
              </w:rPr>
            </w:pPr>
            <w:r>
              <w:rPr>
                <w:rFonts w:hint="eastAsia" w:ascii="宋体" w:hAnsi="宋体" w:eastAsia="宋体" w:cs="宋体"/>
                <w:b/>
                <w:bCs/>
                <w:i w:val="0"/>
                <w:iCs w:val="0"/>
                <w:caps w:val="0"/>
                <w:color w:val="000000"/>
                <w:spacing w:val="0"/>
                <w:kern w:val="0"/>
                <w:sz w:val="21"/>
                <w:szCs w:val="21"/>
                <w:u w:val="none"/>
                <w:lang w:val="en-US" w:eastAsia="zh-CN" w:bidi="ar"/>
              </w:rPr>
              <w:t>54</w:t>
            </w:r>
          </w:p>
        </w:tc>
        <w:tc>
          <w:tcPr>
            <w:tcW w:w="6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b/>
                <w:bCs/>
                <w:i w:val="0"/>
                <w:iCs w:val="0"/>
                <w:caps w:val="0"/>
                <w:color w:val="000000"/>
                <w:spacing w:val="0"/>
                <w:sz w:val="21"/>
                <w:szCs w:val="21"/>
                <w:u w:val="none"/>
              </w:rPr>
            </w:pPr>
            <w:r>
              <w:rPr>
                <w:rFonts w:hint="eastAsia" w:ascii="宋体" w:hAnsi="宋体" w:eastAsia="宋体" w:cs="宋体"/>
                <w:b/>
                <w:bCs/>
                <w:i w:val="0"/>
                <w:iCs w:val="0"/>
                <w:caps w:val="0"/>
                <w:color w:val="000000"/>
                <w:spacing w:val="0"/>
                <w:kern w:val="0"/>
                <w:sz w:val="21"/>
                <w:szCs w:val="21"/>
                <w:u w:val="none"/>
                <w:lang w:val="en-US" w:eastAsia="zh-CN" w:bidi="ar"/>
              </w:rPr>
              <w:t>162</w:t>
            </w:r>
          </w:p>
        </w:tc>
        <w:tc>
          <w:tcPr>
            <w:tcW w:w="6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b/>
                <w:bCs/>
                <w:i w:val="0"/>
                <w:iCs w:val="0"/>
                <w:caps w:val="0"/>
                <w:color w:val="000000"/>
                <w:spacing w:val="0"/>
                <w:sz w:val="21"/>
                <w:szCs w:val="21"/>
                <w:u w:val="none"/>
              </w:rPr>
            </w:pPr>
            <w:r>
              <w:rPr>
                <w:rFonts w:hint="eastAsia" w:ascii="宋体" w:hAnsi="宋体" w:eastAsia="宋体" w:cs="宋体"/>
                <w:b/>
                <w:bCs/>
                <w:i w:val="0"/>
                <w:iCs w:val="0"/>
                <w:caps w:val="0"/>
                <w:color w:val="000000"/>
                <w:spacing w:val="0"/>
                <w:kern w:val="0"/>
                <w:sz w:val="21"/>
                <w:szCs w:val="21"/>
                <w:u w:val="none"/>
                <w:lang w:val="en-US" w:eastAsia="zh-CN" w:bidi="ar"/>
              </w:rPr>
              <w:t>75</w:t>
            </w:r>
          </w:p>
        </w:tc>
        <w:tc>
          <w:tcPr>
            <w:tcW w:w="6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b/>
                <w:bCs/>
                <w:i w:val="0"/>
                <w:iCs w:val="0"/>
                <w:caps w:val="0"/>
                <w:color w:val="000000"/>
                <w:spacing w:val="0"/>
                <w:sz w:val="21"/>
                <w:szCs w:val="21"/>
                <w:u w:val="none"/>
              </w:rPr>
            </w:pPr>
            <w:r>
              <w:rPr>
                <w:rFonts w:hint="eastAsia" w:ascii="宋体" w:hAnsi="宋体" w:eastAsia="宋体" w:cs="宋体"/>
                <w:b/>
                <w:bCs/>
                <w:i w:val="0"/>
                <w:iCs w:val="0"/>
                <w:caps w:val="0"/>
                <w:color w:val="000000"/>
                <w:spacing w:val="0"/>
                <w:kern w:val="0"/>
                <w:sz w:val="21"/>
                <w:szCs w:val="21"/>
                <w:u w:val="none"/>
                <w:lang w:val="en-US" w:eastAsia="zh-CN" w:bidi="ar"/>
              </w:rPr>
              <w:t>500</w:t>
            </w:r>
          </w:p>
        </w:tc>
        <w:tc>
          <w:tcPr>
            <w:tcW w:w="6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b/>
                <w:bCs/>
                <w:i w:val="0"/>
                <w:iCs w:val="0"/>
                <w:caps w:val="0"/>
                <w:color w:val="000000"/>
                <w:spacing w:val="0"/>
                <w:sz w:val="21"/>
                <w:szCs w:val="21"/>
                <w:u w:val="none"/>
              </w:rPr>
            </w:pPr>
            <w:r>
              <w:rPr>
                <w:rFonts w:hint="eastAsia" w:ascii="宋体" w:hAnsi="宋体" w:eastAsia="宋体" w:cs="宋体"/>
                <w:b/>
                <w:bCs/>
                <w:i w:val="0"/>
                <w:iCs w:val="0"/>
                <w:caps w:val="0"/>
                <w:color w:val="000000"/>
                <w:spacing w:val="0"/>
                <w:kern w:val="0"/>
                <w:sz w:val="21"/>
                <w:szCs w:val="21"/>
                <w:u w:val="none"/>
                <w:lang w:val="en-US" w:eastAsia="zh-CN" w:bidi="ar"/>
              </w:rPr>
              <w:t>41</w:t>
            </w:r>
          </w:p>
        </w:tc>
        <w:tc>
          <w:tcPr>
            <w:tcW w:w="6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b/>
                <w:bCs/>
                <w:i w:val="0"/>
                <w:iCs w:val="0"/>
                <w:caps w:val="0"/>
                <w:color w:val="000000"/>
                <w:spacing w:val="0"/>
                <w:sz w:val="21"/>
                <w:szCs w:val="21"/>
                <w:u w:val="none"/>
              </w:rPr>
            </w:pPr>
            <w:r>
              <w:rPr>
                <w:rFonts w:hint="eastAsia" w:ascii="宋体" w:hAnsi="宋体" w:eastAsia="宋体" w:cs="宋体"/>
                <w:b/>
                <w:bCs/>
                <w:i w:val="0"/>
                <w:iCs w:val="0"/>
                <w:caps w:val="0"/>
                <w:color w:val="000000"/>
                <w:spacing w:val="0"/>
                <w:kern w:val="0"/>
                <w:sz w:val="21"/>
                <w:szCs w:val="21"/>
                <w:u w:val="none"/>
                <w:lang w:val="en-US" w:eastAsia="zh-CN" w:bidi="ar"/>
              </w:rPr>
              <w:t>281</w:t>
            </w:r>
          </w:p>
        </w:tc>
        <w:tc>
          <w:tcPr>
            <w:tcW w:w="6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b/>
                <w:bCs/>
                <w:i w:val="0"/>
                <w:iCs w:val="0"/>
                <w:caps w:val="0"/>
                <w:color w:val="000000"/>
                <w:spacing w:val="0"/>
                <w:sz w:val="21"/>
                <w:szCs w:val="21"/>
                <w:u w:val="none"/>
              </w:rPr>
            </w:pPr>
            <w:r>
              <w:rPr>
                <w:rFonts w:hint="eastAsia" w:ascii="宋体" w:hAnsi="宋体" w:eastAsia="宋体" w:cs="宋体"/>
                <w:b/>
                <w:bCs/>
                <w:i w:val="0"/>
                <w:iCs w:val="0"/>
                <w:caps w:val="0"/>
                <w:color w:val="000000"/>
                <w:spacing w:val="0"/>
                <w:kern w:val="0"/>
                <w:sz w:val="21"/>
                <w:szCs w:val="21"/>
                <w:u w:val="none"/>
                <w:lang w:val="en-US" w:eastAsia="zh-CN" w:bidi="ar"/>
              </w:rPr>
              <w:t>38</w:t>
            </w:r>
          </w:p>
        </w:tc>
        <w:tc>
          <w:tcPr>
            <w:tcW w:w="6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b/>
                <w:bCs/>
                <w:i w:val="0"/>
                <w:iCs w:val="0"/>
                <w:caps w:val="0"/>
                <w:color w:val="000000"/>
                <w:spacing w:val="0"/>
                <w:sz w:val="21"/>
                <w:szCs w:val="21"/>
                <w:u w:val="none"/>
              </w:rPr>
            </w:pPr>
            <w:r>
              <w:rPr>
                <w:rFonts w:hint="eastAsia" w:ascii="宋体" w:hAnsi="宋体" w:eastAsia="宋体" w:cs="宋体"/>
                <w:b/>
                <w:bCs/>
                <w:i w:val="0"/>
                <w:iCs w:val="0"/>
                <w:caps w:val="0"/>
                <w:color w:val="000000"/>
                <w:spacing w:val="0"/>
                <w:kern w:val="0"/>
                <w:sz w:val="21"/>
                <w:szCs w:val="21"/>
                <w:u w:val="none"/>
                <w:lang w:val="en-US" w:eastAsia="zh-CN" w:bidi="ar"/>
              </w:rPr>
              <w:t>5</w:t>
            </w:r>
          </w:p>
        </w:tc>
        <w:tc>
          <w:tcPr>
            <w:tcW w:w="6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b/>
                <w:bCs/>
                <w:i w:val="0"/>
                <w:iCs w:val="0"/>
                <w:caps w:val="0"/>
                <w:color w:val="000000"/>
                <w:spacing w:val="0"/>
                <w:sz w:val="21"/>
                <w:szCs w:val="21"/>
                <w:u w:val="none"/>
              </w:rPr>
            </w:pPr>
            <w:r>
              <w:rPr>
                <w:rFonts w:hint="eastAsia" w:ascii="宋体" w:hAnsi="宋体" w:eastAsia="宋体" w:cs="宋体"/>
                <w:b/>
                <w:bCs/>
                <w:i w:val="0"/>
                <w:iCs w:val="0"/>
                <w:caps w:val="0"/>
                <w:color w:val="000000"/>
                <w:spacing w:val="0"/>
                <w:kern w:val="0"/>
                <w:sz w:val="21"/>
                <w:szCs w:val="21"/>
                <w:u w:val="none"/>
                <w:lang w:val="en-US" w:eastAsia="zh-CN" w:bidi="ar"/>
              </w:rPr>
              <w:t>6</w:t>
            </w:r>
          </w:p>
        </w:tc>
        <w:tc>
          <w:tcPr>
            <w:tcW w:w="6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b/>
                <w:bCs/>
                <w:i w:val="0"/>
                <w:iCs w:val="0"/>
                <w:caps w:val="0"/>
                <w:color w:val="000000"/>
                <w:spacing w:val="0"/>
                <w:sz w:val="21"/>
                <w:szCs w:val="21"/>
                <w:u w:val="none"/>
              </w:rPr>
            </w:pPr>
            <w:r>
              <w:rPr>
                <w:rFonts w:hint="eastAsia" w:ascii="宋体" w:hAnsi="宋体" w:eastAsia="宋体" w:cs="宋体"/>
                <w:b/>
                <w:bCs/>
                <w:i w:val="0"/>
                <w:iCs w:val="0"/>
                <w:caps w:val="0"/>
                <w:color w:val="000000"/>
                <w:spacing w:val="0"/>
                <w:kern w:val="0"/>
                <w:sz w:val="21"/>
                <w:szCs w:val="21"/>
                <w:u w:val="none"/>
                <w:lang w:val="en-US" w:eastAsia="zh-CN" w:bidi="ar"/>
              </w:rPr>
              <w:t>4</w:t>
            </w:r>
          </w:p>
        </w:tc>
        <w:tc>
          <w:tcPr>
            <w:tcW w:w="6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line="360" w:lineRule="auto"/>
              <w:ind w:firstLine="0" w:firstLineChars="0"/>
              <w:jc w:val="center"/>
              <w:textAlignment w:val="center"/>
              <w:rPr>
                <w:rFonts w:hint="eastAsia" w:ascii="宋体" w:hAnsi="宋体" w:eastAsia="宋体" w:cs="宋体"/>
                <w:b/>
                <w:bCs/>
                <w:i w:val="0"/>
                <w:iCs w:val="0"/>
                <w:caps w:val="0"/>
                <w:color w:val="000000"/>
                <w:spacing w:val="0"/>
                <w:sz w:val="21"/>
                <w:szCs w:val="21"/>
                <w:u w:val="none"/>
              </w:rPr>
            </w:pPr>
            <w:r>
              <w:rPr>
                <w:rFonts w:hint="eastAsia" w:ascii="宋体" w:hAnsi="宋体" w:eastAsia="宋体" w:cs="宋体"/>
                <w:b/>
                <w:bCs/>
                <w:i w:val="0"/>
                <w:iCs w:val="0"/>
                <w:caps w:val="0"/>
                <w:color w:val="000000"/>
                <w:spacing w:val="0"/>
                <w:kern w:val="0"/>
                <w:sz w:val="21"/>
                <w:szCs w:val="21"/>
                <w:u w:val="none"/>
                <w:lang w:val="en-US" w:eastAsia="zh-CN" w:bidi="ar"/>
              </w:rPr>
              <w:t>125</w:t>
            </w:r>
          </w:p>
        </w:tc>
      </w:tr>
    </w:tbl>
    <w:p>
      <w:pPr>
        <w:spacing w:line="360" w:lineRule="auto"/>
        <w:ind w:firstLine="422" w:firstLineChars="200"/>
        <w:rPr>
          <w:rFonts w:hint="eastAsia" w:ascii="宋体" w:hAnsi="宋体" w:eastAsia="宋体" w:cs="宋体"/>
          <w:sz w:val="21"/>
          <w:szCs w:val="21"/>
        </w:rPr>
      </w:pPr>
      <w:r>
        <w:rPr>
          <w:rFonts w:hint="eastAsia" w:ascii="宋体" w:hAnsi="宋体" w:eastAsia="宋体" w:cs="宋体"/>
          <w:b/>
          <w:snapToGrid w:val="0"/>
          <w:color w:val="000000"/>
          <w:kern w:val="24"/>
          <w:sz w:val="21"/>
          <w:szCs w:val="21"/>
        </w:rPr>
        <w:t>注：以上点位与摄像机清单作为参考，数量不再变化；立杆位置与摄像机分布按公安实际需要建设，变动情况由公安确定；其他相关设备情况详见技术需求。</w:t>
      </w:r>
    </w:p>
    <w:p>
      <w:pPr>
        <w:keepNext/>
        <w:keepLines/>
        <w:spacing w:line="360" w:lineRule="auto"/>
        <w:outlineLvl w:val="2"/>
        <w:rPr>
          <w:rFonts w:hint="eastAsia" w:ascii="宋体" w:hAnsi="宋体" w:eastAsia="宋体" w:cs="宋体"/>
          <w:b/>
          <w:bCs/>
          <w:sz w:val="21"/>
          <w:szCs w:val="21"/>
        </w:rPr>
      </w:pPr>
      <w:bookmarkStart w:id="22" w:name="_Toc13742227"/>
      <w:bookmarkStart w:id="23" w:name="_Toc497376079"/>
      <w:r>
        <w:rPr>
          <w:rFonts w:hint="eastAsia" w:ascii="宋体" w:hAnsi="宋体" w:eastAsia="宋体" w:cs="宋体"/>
          <w:b/>
          <w:bCs/>
          <w:sz w:val="21"/>
          <w:szCs w:val="21"/>
        </w:rPr>
        <w:t>三   执行标准要求</w:t>
      </w:r>
      <w:bookmarkEnd w:id="22"/>
      <w:bookmarkEnd w:id="23"/>
    </w:p>
    <w:p>
      <w:pPr>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3.1采购项目需执行的国家相关标准、行业标准、地方标准或者其他标准、规范；</w:t>
      </w:r>
    </w:p>
    <w:p>
      <w:pPr>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3.2投标人所投产品应符合国家有关法律、法规、规章的规定以及国家现行相关政策的要求（如：中国强制性产品认证制度）</w:t>
      </w:r>
    </w:p>
    <w:p>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四   技术需求</w:t>
      </w:r>
    </w:p>
    <w:tbl>
      <w:tblPr>
        <w:tblStyle w:val="43"/>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40"/>
        <w:gridCol w:w="2034"/>
        <w:gridCol w:w="4948"/>
        <w:gridCol w:w="999"/>
        <w:gridCol w:w="9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741" w:type="dxa"/>
            <w:tcBorders>
              <w:top w:val="single" w:color="000000" w:sz="4" w:space="0"/>
              <w:left w:val="single" w:color="000000" w:sz="4" w:space="0"/>
              <w:bottom w:val="single" w:color="000000" w:sz="4" w:space="0"/>
              <w:right w:val="single" w:color="000000" w:sz="4" w:space="0"/>
            </w:tcBorders>
            <w:shd w:val="clear" w:color="auto" w:fill="D9D9D9"/>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2035" w:type="dxa"/>
            <w:tcBorders>
              <w:top w:val="single" w:color="000000" w:sz="4" w:space="0"/>
              <w:left w:val="single" w:color="000000" w:sz="4" w:space="0"/>
              <w:bottom w:val="single" w:color="000000" w:sz="4" w:space="0"/>
              <w:right w:val="single" w:color="000000" w:sz="4" w:space="0"/>
            </w:tcBorders>
            <w:shd w:val="clear" w:color="auto" w:fill="D9D9D9"/>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分项名称</w:t>
            </w:r>
          </w:p>
        </w:tc>
        <w:tc>
          <w:tcPr>
            <w:tcW w:w="4952" w:type="dxa"/>
            <w:tcBorders>
              <w:top w:val="single" w:color="000000" w:sz="4" w:space="0"/>
              <w:left w:val="single" w:color="000000" w:sz="4" w:space="0"/>
              <w:bottom w:val="single" w:color="000000" w:sz="4" w:space="0"/>
              <w:right w:val="single" w:color="000000" w:sz="4" w:space="0"/>
            </w:tcBorders>
            <w:shd w:val="clear" w:color="auto" w:fill="D9D9D9"/>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技术参数要求</w:t>
            </w:r>
          </w:p>
        </w:tc>
        <w:tc>
          <w:tcPr>
            <w:tcW w:w="1000" w:type="dxa"/>
            <w:tcBorders>
              <w:top w:val="single" w:color="000000" w:sz="4" w:space="0"/>
              <w:left w:val="single" w:color="000000" w:sz="4" w:space="0"/>
              <w:bottom w:val="single" w:color="000000" w:sz="4" w:space="0"/>
              <w:right w:val="single" w:color="000000" w:sz="4" w:space="0"/>
            </w:tcBorders>
            <w:shd w:val="clear" w:color="auto" w:fill="D9D9D9"/>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单位</w:t>
            </w:r>
          </w:p>
        </w:tc>
        <w:tc>
          <w:tcPr>
            <w:tcW w:w="1000" w:type="dxa"/>
            <w:tcBorders>
              <w:top w:val="single" w:color="000000" w:sz="4" w:space="0"/>
              <w:left w:val="single" w:color="000000" w:sz="4" w:space="0"/>
              <w:bottom w:val="single" w:color="000000" w:sz="4" w:space="0"/>
              <w:right w:val="single" w:color="000000" w:sz="4" w:space="0"/>
            </w:tcBorders>
            <w:shd w:val="clear" w:color="auto" w:fill="D9D9D9"/>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7728" w:type="dxa"/>
            <w:gridSpan w:val="3"/>
            <w:tcBorders>
              <w:top w:val="single" w:color="000000" w:sz="4" w:space="0"/>
              <w:left w:val="single" w:color="000000" w:sz="4" w:space="0"/>
              <w:bottom w:val="single" w:color="000000" w:sz="4" w:space="0"/>
              <w:right w:val="nil"/>
            </w:tcBorders>
            <w:noWrap w:val="0"/>
            <w:tcMar>
              <w:top w:w="10" w:type="dxa"/>
              <w:left w:w="10" w:type="dxa"/>
              <w:right w:w="10" w:type="dxa"/>
            </w:tcMar>
            <w:vAlign w:val="center"/>
          </w:tcPr>
          <w:p>
            <w:pPr>
              <w:keepNext w:val="0"/>
              <w:keepLines w:val="0"/>
              <w:widowControl/>
              <w:suppressLineNumbers w:val="0"/>
              <w:spacing w:line="360" w:lineRule="auto"/>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一、前端设备、线缆及杆件</w:t>
            </w:r>
          </w:p>
        </w:tc>
        <w:tc>
          <w:tcPr>
            <w:tcW w:w="10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pacing w:line="360" w:lineRule="auto"/>
              <w:rPr>
                <w:rFonts w:hint="eastAsia" w:ascii="宋体" w:hAnsi="宋体" w:eastAsia="宋体" w:cs="宋体"/>
                <w:b/>
                <w:i w:val="0"/>
                <w:color w:val="000000"/>
                <w:sz w:val="21"/>
                <w:szCs w:val="21"/>
                <w:u w:val="none"/>
              </w:rPr>
            </w:pPr>
          </w:p>
        </w:tc>
        <w:tc>
          <w:tcPr>
            <w:tcW w:w="10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pacing w:line="360" w:lineRule="auto"/>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20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400万高清人脸摄像机</w:t>
            </w:r>
          </w:p>
        </w:tc>
        <w:tc>
          <w:tcPr>
            <w:tcW w:w="495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传感器类型: 1/1.8英寸CMOS、像素: 400万、分辨率: 2688×1520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支持电动变焦、镜头焦距: 10mm~40mm、支持后焦调节</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光圈值：F1.2士5%</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最低照度彩色:0.0005Lx(AGCON，RJ45输出，应能分辨反射式视频矩阵测试卡中彩色色块)最低照度黑白:0.0001Lx(AGCON，RJ45输出，能分辨反射式视频分辨率测试卡中圆形轮疏)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视频压缩标准: H.265；H.264；H.264H；H.264B；MJPEG</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机动车；支持非机动车；支持人脸；支持人体检测；支持跟踪；支持优选；支持抓拍；支持上报最优的抓图机动车属性（车牌，车辆类型，车身颜色，车牌颜色，车标，车系，其他属性：遮阳板，安全带，抽烟，打电话，车内饰品，年检标志）非机动车属性（车辆类型，车身颜色，车上人数，上装，上装颜色，帽子）人体属性（性别，上装，上装颜色，下装，下装颜色，包，帽子，雨伞）人脸属性（性别，年龄，表情，眼镜，口罩，胡子）</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可显示通过监视画面中的机动车子品牌及对应年款，显示车头子品牌及对应年款不少于7500种，可识别通过监视画面中的机动车品牌标志，不少于320种</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具有重瞳设置选项，开启后可自动调节优化画面中人脸和车牌区域的曝光</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具有清影设置选项，开启后可根据场景自动适配画面亮度、锐度</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支持物品遗留，物品搬移、支持热度图、支持深度智能、支持日夜转换、支持背光补偿、支持强光抑制、支持白平衡；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支持智能方案无缝切换功能，可通过莱单进行各智能方案切换配置，切换过程无需重启设备</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支持电子防抖、支持透雾功能、支持图像翻转、支持镜像；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Web界面上具有景深扩展模式选项，在相同图像参数、光图设置的情况下，开启景深扩展功能，可使设备景深变大，使前后边缘处看到的景象更清晰</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同一静止场景相同图像质量下，设备在H.264或H.265编码方式时，开启智能编码功能和不开启智能编码相比，码流节约90%，五码流均支持智能编码</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网络协议: IPv4；IPv6；HTTP；HTTPS；TCP； UDP；ARP；RTP ；RTSP；RTMP；SMTP；FTP；SFTP；DHCP；DNS；DDNS； QoS；UPnP；NTP；Multicast；NFS；PPPoE；802.1x；SAMBA；SNMP</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支持报警2进2出，音频2进1出，BNC，最大支持256G Micro SD卡，内置MIC</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相对湿度95%、温度70±2℃、持续时间48h，样机处于非工作状态，试验中手动控制功能应常，试验后样机应能正常工作</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应符合GB/T20138-2006《电器设备外壳对外 界机械碰撞的防护等级(IK代码)》中IK10 的规定，试验后外观无明显损坏，能正常工作</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支持AC24V供电方式，支持12V电源返送，最大电流165mA,方便工程安装</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0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400万高清枪式摄像机</w:t>
            </w:r>
          </w:p>
        </w:tc>
        <w:tc>
          <w:tcPr>
            <w:tcW w:w="495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包含高清智能摄像机、变焦镜头、LED灯、电源适配器、防雷模块、防护罩、万向节等部件；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采用1/1.8英寸图像传感器400万像素高清枪式摄像机，支持H.264、H.265、MJPEG视频编码格式，且具有High Profile编码能力；</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最低照度彩色不大于0.0002lx，黑白不大于0.0001lx；</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分辨率设置为2560×1440@25fps，分辨力不小于1400TVL；</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照度适应范围：≥120dB，宽动态能力：≥120dB；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内置GPU芯片，支持3种智能资源模式切换：人脸抓拍模式，道路监控模式，Smart事件模式；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支持宽动态，3D降噪，强光抑制，背光补偿，数字水印，适用不同监控环境</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防护等级：IP67，TVS8000V防雷，防浪涌和防突波保护；</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符合ONVIF、 GB/T28181-2016、GA/T1400-2017、GA/T 497-2016、DB3311/T 32—2019等标准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20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400万高清黑光快球摄像机</w:t>
            </w:r>
          </w:p>
        </w:tc>
        <w:tc>
          <w:tcPr>
            <w:tcW w:w="495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采用400万像素黑光快球摄像机，1/1.8英寸CMOS图像传感器；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摄像机内置两个图像传感器，可分别输出黑白视频图像和彩色视频图像，并可对这两路视频图像进行融合输出；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视频图像分辨率与帧率不小于2560×1440、60帧/秒；</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支持25倍光学变倍，焦距：6mm~150mm；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支持H.264/H.265视频编码标准；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支持超低照度，0.0004 Lx/F1.6（彩色），0.0001Lx/F1.6（黑白）；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照度适应范围：≥120dB，宽动态能力：≥120dB；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内置GPU芯片，设备可对监控画面中不小于60个人脸进行检测、跟踪和抓拍；</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支持车辆检测（支持车牌识别，车型/车身颜色/车牌颜色识别）和混行检测，车牌捕获及检索、多场景巡航检测、云存储服务功能；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红外照射距离：200 m；设备支持水平旋转范围为360°连续旋转，垂直旋转范围为－20°~90°；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支持对镜头前玻璃进行加热，去除玻璃上的冰状和水附着物；</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防护等级：IP67，TVS8000V防雷，防浪涌和防突波保护；</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符合ONVIF、 GB/T28181-2016、GA/T1400-2017、GA/T 497-2016、DB3311/T 32—2019等标准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20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400万高清双目摄像机</w:t>
            </w:r>
          </w:p>
        </w:tc>
        <w:tc>
          <w:tcPr>
            <w:tcW w:w="495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包含双通道高清智能摄像机、镜头、LED灯、电源适配器、防雷模块、防护罩、万向节等部件；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采用双路高性能400万像素1/1.8英寸CMOS图像传感器，低照度效果好，图像清晰度高；</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支持ROI，SMART H.264/H.265，最大可输出2688×1520@25fps；</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通道1、通道2最低照度： 彩色0.0002lx，黑白0.0001lx；</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照度适应范围：≥120dB，宽动态能力：≥120dB；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镜头焦距通道1：8~56mm，通道2：3.6mm；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内置高效双光灯，最大红外监控距离120米，最大暖光监控距离80米，人脸检测距离40米；</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支持走廊模式，3D降噪，强光抑制，背光补偿，数字水印，适用不同监控环境；</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支持双通道视频，每路通道支持三码流功能，两路高清视频显示；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支持DC12V/AC24V/POE供电方式，支持12V电源返送，最大电流165mA，方便工程安装；</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防护等级：IP67，TVS8000V防雷，防浪涌和防突波保护；</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符合ONVIF、 GB/T28181-2016、GA/T1400-2017、GA/T 497-2016、DB3311/T 32—2019等标准。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20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400万全局网络摄像机</w:t>
            </w:r>
          </w:p>
        </w:tc>
        <w:tc>
          <w:tcPr>
            <w:tcW w:w="495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采用400万像素全局网络摄像机，摄像机定焦镜头、变焦镜头1/1.8英寸图像传感器；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支持最低照度全景：彩色：0.001lux@F1.0，黑白：0.0001lux@F1.0；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细节：彩色：0.001lux@F1.6，黑白：0.0001lux@F1.6；</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支持最高分辨率为：全景3840×1080，细节2560×1440；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支持H.264/H.265视频编码标准；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照度适应范围：≥120dB，宽动态能力：≥120dB；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设备内置：全景4颗（白光灯），细节4颗白光灯，6颗红外灯；</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镜头焦距：全景2.8mm，细节：5.5mm~220mm；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设备支持机动车、非机动车、人脸、人体检测；支持机动车属性、非机动车属性、人体属性提取；</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防护等级：IP67，TVS8000V防雷，防浪涌和防突波保护；</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符合ONVIF、 GB/T28181-2016、GA/T1400-2017、GA/T 497-2016、DB3311/T 32—2019等标准。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20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双光融合卡口抓拍单元</w:t>
            </w:r>
          </w:p>
        </w:tc>
        <w:tc>
          <w:tcPr>
            <w:tcW w:w="495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产品包含高清智能抓拍摄像机、镜头、滤光镜、补光模组、防雷模块、防护罩、风扇、万向节等部件；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采用星光级1英寸GS-CMOS图像传感器，最大输出 4096×2820@50fps高清图像；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支持双码流，且满足H.265&amp;H.264编码；</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支持自动白平衡、自动电子快门、自动光圈，适应各种监控环境；</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支持1~4车道车辆抓拍、车牌识别和车辆结构化信息提取；</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支持单快门、双快门、三快门；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支持视频、雷达、激光、线圈等触发模式；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内置抓拍控制软件，支持机动车辆、二轮车、三轮车及行人等目标类型自动区分捕获，捕获率≥95%；</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内置号牌识别软件，可识别民用车牌、警用车牌、2012式新军用车牌、2012式武警车牌、新能源车牌等种类，识别准确率白天≥95%、夜间≥90%；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内置车辆特征识别软件，支持对11种车身颜色、19种车辆类型、250种车标进行识别，识别准确率≥90%；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具备车窗区域增强功能，支持车窗区域增强功能的开启和关闭，识别到车牌后，可以提升车窗区域图像通透性。</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支持机动车前排、非机动车驾驶员、行人人脸检测并抠人脸小图，人脸抠图像素点不小于120像素点×120像素点，人脸特征图像抠出概率应达到98%以上，副驾驶人脸特征图像抠出概率达95%以上；</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具有独立三角分光棱镜分光结构装置，分别接收可见光和红外光；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内置35/50mm工业级高清镜头，支持车窗内区域增强、高清人脸采集功能；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通讯接口：2个千兆网口、3个RS-485接口、1个RS-232接口；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18寸铝合金材质室外防护罩，IP66防护等级，具备防浪涌等功能。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支持多种字符配置叠加、图片合成模式，并支持图片叠加防伪水印，支持断点续传功能；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支持通过浏览器或客户端软件进行手动录像。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支持G.711a、G.711u、AAC、ADPCM音频编码标准，可根据需要扩展G723、G726、G729。</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支持对网络参数、图像参数、串口控制参数、报警参数进行配置，图像参数包括饱和度、亮度、对比度、锐度等。</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支持用户管理功能，可添加、修改、删除用户参数，设置用户权限。</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支持设备日志查询，设备操作日志均可查询记录。</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支持设备时间、日期参数设置。</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具备时钟同步功能。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支持GPS 校时功能。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支持GPS 和北斗定位功能，并能在监控画面中叠加设备所在的经纬度信息。</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支持用户远程重启设备，用户可远程软重启设备。</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支持设置自动维护重启时间。</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支持通过WEB界面进行恢复设备出厂设置。</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支持通过DAY格式文件或ZIP压缩包进行升级。</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设备在网络升级过程中，网络异常导致升级失败时，重启设备仍可运行升级前版本。</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需通过身份认证后才能访问选定的网络摄像机。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车辆检测器（如线圈、雷达等）出现故障时，可显示该设备的障信息，故障检测延时小于45s。</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支持隐私区域遮盖功能，设置区域的个数不小于12个，区域的大小及位置可设置。</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支持抓拍、录像时添加水印。</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支持4000条用户黑名单，包括IP或MAC。</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支持图像OSD信息显示，信息包括通道号、日期和时间（精确到毫秒）；支持不小于16行字符叠加，字体可设置，支持字体颜色选择。</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支持通过OSD实时显示补光灯状态，可显示开启/关闭、时控/光控、正常/异常等补光灯的状态信息。</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图片OSD叠加内容：叠加在每幅图片上的信息应至少包括违法时间、违法地点、违法代码、违法行为、图像取证设备编号、防伪信息等内容；</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支持场景白天/夜晚、区域测光、逆光/顺光亮度补偿设置选项。</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支持通过对监视画面对车道进行检测并自动划分检测区域。</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支持按时间段或全天设置车辆限行方式，可按单、双号或任意尾号设置限行车牌，可按时间和车牌号自定义组合设置限行方式。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符合ONVIF、 GB/T28181-2016、GA/T1400-2017、GA/T 497-2016、DB3311/T 32—2019等标准。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20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高空球</w:t>
            </w:r>
          </w:p>
        </w:tc>
        <w:tc>
          <w:tcPr>
            <w:tcW w:w="495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采用400万像素1/1.8英寸CMOS图像传感器；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摄像机内置镜头，支持不小于56倍光学变倍，镜头焦距： 5.5-308mm；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最低照度：彩色0.005lx，F1.4、黑白0.0005lx，F1.4；</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视频图像分辨率与帧率不小于2560×1440、25帧/秒；</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视频压缩标准：H.265，H.264，MJPEG；</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照度适应范围：≥120dB，宽动态能力：≥120dB；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水平旋转范围为360°连续旋转，垂直旋转范围为－20°~90；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防护等级：IP67,TVS 8000V防雷、防浪涌和防突波保护；</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符合ONVIF、 GB/T28181-2016、GA/T1400-2017、GA/T 497-2016、DB3311/T 32—2019等标准。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20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暖色LED补光灯</w:t>
            </w:r>
          </w:p>
        </w:tc>
        <w:tc>
          <w:tcPr>
            <w:tcW w:w="495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16颗暖光LED补光灯，</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最大功率30W，</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补光响应时间≤20微秒，</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支持通过同步输出端口级联，</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支持通过RS485远程控制补光灯的亮度、开启/关闭，</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工作环境－40℃~85℃，</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防护等级IP66。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20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无极灯</w:t>
            </w:r>
          </w:p>
        </w:tc>
        <w:tc>
          <w:tcPr>
            <w:tcW w:w="495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带无光生物危害检测报告，显色指数≥90，无眩目检测报告（需提供证书）、有在线检测功能；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有效补光区域：11m×6m，补光区域内任意点最低照度＞3Lux，平均功耗率≤80W；</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灯具防护等级不小于IP66，提供AC220v电源输入口，支持长时间±10%宽范围电压输入；</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能在－25℃～+50℃环境温度下长时间稳定工作；电源跟灯体之间以及电源输入端要求采用防水对接头。</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支持远程参数监测、故障报警、远程开关、中心校时万年历时控（根据不同月份实现精准控制开关灯时间）接口。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双光融合补光灯</w:t>
            </w:r>
          </w:p>
        </w:tc>
        <w:tc>
          <w:tcPr>
            <w:tcW w:w="4952"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高度集成：集暖光LED频闪、爆闪和氙气白光、红外爆闪于一体，有效降低光污染、避免麻雀杆现象；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配置24颗暖色LED、支持LED暖色频闪，白光气体补光，红外气体爆闪等补光；</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自动调节：内置光敏，根据环境光自动切换白天/夜晚模式，自动调节氙气灯亮度和切换LED灯亮灭，灵活方便；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红外白光：支持红外/白光闪光，可自动切换红外和白光模式；采用步进电机功能，实现红外滤片的切换；</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视频同步：支持LED频闪同步相机视频补光，车牌补光效果更好；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抓拍同步：支持LED爆闪或氙气爆闪同步相机抓拍补光，车窗内人脸和细节效果更优；气体光源回电时间小于67ms，支持超速连拍；</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亮度可调：支持相机WEB设置LED频闪灯和氙气爆闪灯亮度；</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脉宽可调：支持相机WEB设置LED频闪脉宽时间0~3ms；</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频率可调：支持相机WEB设置LED频闪频率；</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回电时间：爆闪回电时间＜60ms，满足交通摄像机连抓两张的需求；</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触发方式：支持通过开关量触发方式检测闪光是否正常；</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频闪统计：支持统计频闪持续时间，方便计算设备寿命；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爆闪计数：支持统计爆闪次数和触发次数，可快速定位现场信号干扰问题；（爆闪次数即闪光灯闪烁次数，触发次数即外部信号输入次数）</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防干扰：支持脉宽检测触发，保证设备正常工作，提高设备可靠性;</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支持相机误触发保护功能，触发信号输入异常时自动保护且自动恢复；</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屏蔽误触发：支持屏蔽误触发干扰信号，保证设备正常使用，提高设备使用寿命；（当外部触发次数大于误检阀值，则闪光灯进入保护状态，直到10s后才会响应下一次触发信号；默认值为3，即在500ms内允许闪光3次，1s内允许闪光4次，3s内允许闪光8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故障显示：支持在摄像机WEB上远程显示补光灯故障、正常状态，提高运维效率；具有电压值、电流值、故障等状态监测功能；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结构创新：流线型设计，外观明朗，饱和度高，有效提升防水、防尘、防护等级，且内部良好的散热设计可有效防止闪光灯因高频闪光过热而损坏。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防眩光设计：采用独特的防眩光学设计，有效地将非功能区的光照度降低至中心光照度的10%以下</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结构采用IP65设计，增加透气孔，保持内外压强均衡，可靠防水、防尘；</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符合GA/T 1202-2014 《交通技术监控成像补光装置通用技术条件》标准。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20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室外监控设备箱</w:t>
            </w:r>
          </w:p>
        </w:tc>
        <w:tc>
          <w:tcPr>
            <w:tcW w:w="495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机箱结构设计分为无风扇的内外二个箱体，外箱为双风道结构设计的PVC材料，内箱为全密封冷轧钢板喷塑箱。</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高温试验：环境温度40℃时，内箱设备在正常运行下温度不会超过55℃</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防护等级：IP55</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外箱材料：优质PVC材料</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外箱结构：双层风道结构，隔热风道11mm，散热风道10mm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内箱材料：冷轧板喷塑</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内箱结构：全密封，自由调节隔板、导轨和扎线孔</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散热方式：自然散热</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箱内标配：防盗锁、隔板、光纤盒</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进线方式：底部进线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安装方式：箱体背面导轨＋抱箍</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外形尺寸：600MM×420MM×296MM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内箱尺寸：560MM×330MM×210MM</w:t>
            </w: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20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智能控制电涌保护器</w:t>
            </w:r>
          </w:p>
        </w:tc>
        <w:tc>
          <w:tcPr>
            <w:tcW w:w="495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额定电流：32A，额定电压：220V50Hz；</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防雷额定通流容量：20KA（8/20）；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功能指示灯：运行，电压（含过压欠压），漏电，短路（含过流过载），输出7种状态指示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具有漏电保护，低电压保护，过电压保护，过电流保护，短路保护，防雷保护，合闸前短路检测，自动重合闸，延时启动，稳压和监控干接点输出等功能。</w:t>
            </w: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室外阻水双绞线</w:t>
            </w:r>
          </w:p>
        </w:tc>
        <w:tc>
          <w:tcPr>
            <w:tcW w:w="4952"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Style w:val="238"/>
                <w:rFonts w:hint="eastAsia" w:ascii="宋体" w:hAnsi="宋体" w:eastAsia="宋体" w:cs="宋体"/>
                <w:sz w:val="21"/>
                <w:szCs w:val="21"/>
                <w:lang w:val="en-US" w:eastAsia="zh-CN" w:bidi="ar"/>
              </w:rPr>
              <w:t>阻水型，超五类四对非屏蔽双绞线，单股裸铜线，耐气候黑色聚乙烯绝缘护套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米</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摄像机电源线</w:t>
            </w:r>
          </w:p>
        </w:tc>
        <w:tc>
          <w:tcPr>
            <w:tcW w:w="4952"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Style w:val="238"/>
                <w:rFonts w:hint="eastAsia" w:ascii="宋体" w:hAnsi="宋体" w:eastAsia="宋体" w:cs="宋体"/>
                <w:sz w:val="21"/>
                <w:szCs w:val="21"/>
                <w:lang w:val="en-US" w:eastAsia="zh-CN" w:bidi="ar"/>
              </w:rPr>
              <w:t>RVV3*1.0，无氧铜芯，聚氯乙烯绝缘护套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米</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信号控制线</w:t>
            </w:r>
          </w:p>
        </w:tc>
        <w:tc>
          <w:tcPr>
            <w:tcW w:w="4952"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Style w:val="238"/>
                <w:rFonts w:hint="eastAsia" w:ascii="宋体" w:hAnsi="宋体" w:eastAsia="宋体" w:cs="宋体"/>
                <w:sz w:val="21"/>
                <w:szCs w:val="21"/>
                <w:lang w:val="en-US" w:eastAsia="zh-CN" w:bidi="ar"/>
              </w:rPr>
              <w:t>RVVSP2*0.75，</w:t>
            </w:r>
            <w:r>
              <w:rPr>
                <w:rStyle w:val="239"/>
                <w:rFonts w:hint="eastAsia" w:ascii="宋体" w:hAnsi="宋体" w:eastAsia="宋体" w:cs="宋体"/>
                <w:sz w:val="21"/>
                <w:szCs w:val="21"/>
                <w:lang w:val="en-US" w:eastAsia="zh-CN" w:bidi="ar"/>
              </w:rPr>
              <w:t>128</w:t>
            </w:r>
            <w:r>
              <w:rPr>
                <w:rStyle w:val="238"/>
                <w:rFonts w:hint="eastAsia" w:ascii="宋体" w:hAnsi="宋体" w:eastAsia="宋体" w:cs="宋体"/>
                <w:sz w:val="21"/>
                <w:szCs w:val="21"/>
                <w:lang w:val="en-US" w:eastAsia="zh-CN" w:bidi="ar"/>
              </w:rPr>
              <w:t>编铜质屏蔽网，聚氯乙烯绝缘护套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米</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w:t>
            </w:r>
          </w:p>
        </w:tc>
        <w:tc>
          <w:tcPr>
            <w:tcW w:w="20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单悬臂监控杆件H3×0.5m</w:t>
            </w:r>
          </w:p>
        </w:tc>
        <w:tc>
          <w:tcPr>
            <w:tcW w:w="495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主杆：Φ89mm×4mm(壁厚)×3000mm(高度)</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挑臂：Φ76mm×3mm(壁厚)×500mm(长度）</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底板法兰：Φ300mm×14mm(厚度)</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Q235材质八角锥形钢管，表面酸洗热浸镀锌涂处理；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主杆、悬臂、法兰盘、紧固件等金属构件的防腐性能应符合GB/T 18226的规定，杆件镀锌层厚度≧84um；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基础笼：Φ18×4×600，直径240mm，高强度地脚螺栓定做，含配套螺栓、螺帽、垫片等</w:t>
            </w: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w:t>
            </w:r>
          </w:p>
        </w:tc>
        <w:tc>
          <w:tcPr>
            <w:tcW w:w="20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单悬臂监控杆件H3×1m</w:t>
            </w:r>
          </w:p>
        </w:tc>
        <w:tc>
          <w:tcPr>
            <w:tcW w:w="495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主杆：Φ89mm×4mm(壁厚)×3000mm(高度)</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挑臂：Φ76mm×3mm(壁厚)×1000mm(长度）</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底板法兰：Φ300mm×14mm(厚度)</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Q235材质八角锥形钢管，表面酸洗热浸镀锌涂处理；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主杆、悬臂、法兰盘、紧固件等金属构件的防腐性能应符合GB/T 18226的规定，杆件镀锌层厚度≧84um；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基础笼：Φ18×4×600，直径240mm，高强度地脚螺栓定做，含配套螺栓、螺帽、垫片等</w:t>
            </w: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c>
          <w:tcPr>
            <w:tcW w:w="20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单悬臂监控杆件H6×2m</w:t>
            </w:r>
          </w:p>
        </w:tc>
        <w:tc>
          <w:tcPr>
            <w:tcW w:w="495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主杆：Φ159mm×5mm(壁厚)×6000mm(高度)</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挑臂：Φ89mm×4mm(壁厚)×2000mm(长度）</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底板法兰：Φ400mm×18mm(厚度)</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Q235材质八角锥形钢管，表面酸洗热浸镀锌涂处理；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主杆、悬臂、法兰盘、紧固件等金属构件的防腐性能应符合GB/T 18226的规定，杆件镀锌层厚度≧84um；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基础笼：Φ18×6×1100，直径320mm，高强度地脚螺栓定做，含配套螺栓、螺帽、垫片等</w:t>
            </w: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w:t>
            </w:r>
          </w:p>
        </w:tc>
        <w:tc>
          <w:tcPr>
            <w:tcW w:w="20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单悬臂监控杆件H6×4m</w:t>
            </w:r>
          </w:p>
        </w:tc>
        <w:tc>
          <w:tcPr>
            <w:tcW w:w="495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主杆：Φ219mm×6mm(壁厚)×6000mm(高度)</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挑臂：Φ114mm×5mm(壁厚)×4000mm(长度）</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底板法兰：Φ450mm×20mm(厚度)</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Q235材质八角锥形钢管，表面酸洗热浸镀锌涂处理；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主杆、悬臂、法兰盘、紧固件等金属构件的防腐性能应符合GB/T 18226的规定，杆件镀锌层厚度≧84um；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基础笼：Φ20×8×1100，直径320mm，高强度地脚螺栓定做，含配套螺栓、螺帽、垫片等</w:t>
            </w: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20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单悬臂监控杆件H6×5m</w:t>
            </w:r>
          </w:p>
        </w:tc>
        <w:tc>
          <w:tcPr>
            <w:tcW w:w="495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主杆：Φ219mm×6mm(壁厚)×6000mm(高度)</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挑臂：Φ114mm×5mm(壁厚)×5000mm(长度）</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底板法兰：Φ450mm×20mm(厚度)</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Q235材质八角锥形钢管，表面酸洗热浸镀锌涂处理；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主杆、悬臂、法兰盘、紧固件等金属构件的防腐性能应符合GB/T 18226的规定，杆件镀锌层厚度≧84um；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基础笼：Φ20×8×1100，直径320mm，高强度地脚螺栓定做，含配套螺栓、螺帽、垫片等</w:t>
            </w: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w:t>
            </w:r>
          </w:p>
        </w:tc>
        <w:tc>
          <w:tcPr>
            <w:tcW w:w="20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单悬臂监控杆件H6×6m</w:t>
            </w:r>
          </w:p>
        </w:tc>
        <w:tc>
          <w:tcPr>
            <w:tcW w:w="495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主杆：Φ280mm~Φ220mm×6mm(壁厚)×6000mm(高度)</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挑臂：Φ190mm~Φ100mm×5mm(壁厚)×6000mm(长度）</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底板法兰：Φ550mm×20mm(厚度)</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Q235材质八角锥形钢管，表面酸洗热浸镀锌涂处理；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主杆、悬臂、法兰盘、紧固件等金属构件的防腐性能应符合GB/T 18226的规定，杆件镀锌层厚度≧84um；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基础笼：Φ24×8×1300，直径450mm，高强度地脚螺栓定做，含配套螺栓、螺帽、垫片等</w:t>
            </w: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w:t>
            </w:r>
          </w:p>
        </w:tc>
        <w:tc>
          <w:tcPr>
            <w:tcW w:w="20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单悬臂监控杆件H6×7m</w:t>
            </w:r>
          </w:p>
        </w:tc>
        <w:tc>
          <w:tcPr>
            <w:tcW w:w="495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主杆：Φ280mm~Φ220mm×6mm(壁厚)×6000mm(高度)</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挑臂：Φ190mm~Φ100mm×5mm(壁厚)×7000mm(长度）</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底板法兰：Φ550mm×20mm(厚度)</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Q235材质八角锥形钢管，表面酸洗热浸镀锌涂处理；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主杆、悬臂、法兰盘、紧固件等金属构件的防腐性能应符合GB/T 18226的规定，杆件镀锌层厚度≧84um；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基础笼：Φ24×8×1300，直径450mm，高强度地脚螺栓定做，含配套螺栓、螺帽、垫片等</w:t>
            </w: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w:t>
            </w:r>
          </w:p>
        </w:tc>
        <w:tc>
          <w:tcPr>
            <w:tcW w:w="20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单悬臂监控杆件H6×8m</w:t>
            </w:r>
          </w:p>
        </w:tc>
        <w:tc>
          <w:tcPr>
            <w:tcW w:w="495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主杆：Φ320mm~Φ260mm×8mm(壁厚)×6000mm(高度)</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挑臂：Φ240mm~Φ100mm×6mm(壁厚)×8000mm(长度）</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底板法兰：Φ550mm×20mm(厚度)</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Q235材质八角锥形钢管，表面酸洗热浸镀锌涂处理；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主杆、悬臂、法兰盘、紧固件等金属构件的防腐性能应符合GB/T 18226的规定，杆件镀锌层厚度≧84um；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基础笼：Φ27×8×1500，直径450mm，高强度地脚螺栓定做，含配套螺栓、螺帽、垫片等</w:t>
            </w: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w:t>
            </w:r>
          </w:p>
        </w:tc>
        <w:tc>
          <w:tcPr>
            <w:tcW w:w="20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单悬臂监控杆件H6×10m</w:t>
            </w:r>
          </w:p>
        </w:tc>
        <w:tc>
          <w:tcPr>
            <w:tcW w:w="495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主杆：Φ320mm~Φ260mm×8mm(壁厚)×6000mm(高度)</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挑臂：Φ240mm~Φ100mm×6mm(壁厚)×10000mm(长度）</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底板法兰：Φ550mm×20mm(厚度)</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Q235材质八角锥形钢管，表面酸洗热浸镀锌涂处理；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主杆、悬臂、法兰盘、紧固件等金属构件的防腐性能应符合GB/T 18226的规定，杆件镀锌层厚度≧84um；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基础笼：Φ27×8×1500，直径450mm，高强度地脚螺栓定做，含配套螺栓、螺帽、垫片等</w:t>
            </w: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w:t>
            </w:r>
          </w:p>
        </w:tc>
        <w:tc>
          <w:tcPr>
            <w:tcW w:w="20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单悬臂监控杆件H6×12m</w:t>
            </w:r>
          </w:p>
        </w:tc>
        <w:tc>
          <w:tcPr>
            <w:tcW w:w="495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主杆：Φ360mm~Φ300mm×8mm(壁厚)×6000mm(高度)</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挑臂：Φ280mm~Φ110mm×6mm(壁厚)×12000mm(长度）</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底板法兰：Φ600mm×20mm(厚度)</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Q235材质八角锥形钢管，表面酸洗热浸镀锌涂处理；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主杆、悬臂、法兰盘、紧固件等金属构件的防腐性能应符合GB/T 18226的规定，杆件镀锌层厚度≧84um；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基础笼：Φ30×8×1600，直径500mm，高强度地脚螺栓定做，含配套螺栓、螺帽、垫片等</w:t>
            </w: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w:t>
            </w:r>
          </w:p>
        </w:tc>
        <w:tc>
          <w:tcPr>
            <w:tcW w:w="20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双悬臂监控杆件T6×13×13m</w:t>
            </w:r>
          </w:p>
        </w:tc>
        <w:tc>
          <w:tcPr>
            <w:tcW w:w="495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主杆：Φ360mm~Φ300mm×8mm(壁厚)×6000mm(高度)</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挑臂1：Φ280mm~Φ110mm×6mm(壁厚)×13000mm(长度）</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挑臂2：Φ280mm~Φ110mm×6mm(壁厚)×13000mm(长度）</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底板法兰：Φ600mm×20mm(厚度)</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Q235材质八角锥形钢管，表面酸洗热浸镀锌涂处理；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主杆、悬臂、法兰盘、紧固件等金属构件的防腐性能应符合GB/T 18226的规定，杆件镀锌层厚度≧84um；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基础笼：Φ30×8×1600，直径500mm，高强度地脚螺栓定做，含配套螺栓、螺帽、垫片等</w:t>
            </w: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w:t>
            </w:r>
          </w:p>
        </w:tc>
        <w:tc>
          <w:tcPr>
            <w:tcW w:w="20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横臂杆0.6米</w:t>
            </w:r>
          </w:p>
        </w:tc>
        <w:tc>
          <w:tcPr>
            <w:tcW w:w="4952"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Φ65mm(直径)×3mm(壁厚)×600mm(长度)</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Q235材质圆形钢管，表面酸洗热浸镀锌喷塑处理;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主杆、悬臂、法兰盘、紧固件等金属构件的防腐性能应符合GB/T 18226的规定，杆件镀锌层厚度≧84um，塑层厚度≧84um；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杆件壁厚允许上下偏差应符合GB/T 709的规定。</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含抱箍、安装配套螺栓、螺帽、垫片等。</w:t>
            </w: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w:t>
            </w:r>
          </w:p>
        </w:tc>
        <w:tc>
          <w:tcPr>
            <w:tcW w:w="20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横臂杆1米</w:t>
            </w:r>
          </w:p>
        </w:tc>
        <w:tc>
          <w:tcPr>
            <w:tcW w:w="4952"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Φ76mm(直径)×3mm(壁厚)×1000mm(长度)</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Q235材质圆形钢管，表面酸洗热浸镀锌喷塑处理;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主杆、悬臂、法兰盘、紧固件等金属构件的防腐性能应符合GB/T 18226的规定，杆件镀锌层厚度≧84um，塑层厚度≧84um；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杆件壁厚允许上下偏差应符合GB/T 709的规定。</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含抱箍、安装配套螺栓、螺帽、垫片等。</w:t>
            </w: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w:t>
            </w:r>
          </w:p>
        </w:tc>
        <w:tc>
          <w:tcPr>
            <w:tcW w:w="20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横臂杆1.5米</w:t>
            </w:r>
          </w:p>
        </w:tc>
        <w:tc>
          <w:tcPr>
            <w:tcW w:w="4952"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Φ76mm(直径)×3mm(壁厚)×1500mm(长度)</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Q235材质圆形钢管，表面酸洗热浸镀锌喷塑处理;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主杆、悬臂、法兰盘、紧固件等金属构件的防腐性能应符合GB/T 18226的规定，杆件镀锌层厚度≧84um，塑层厚度≧84um；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杆件壁厚允许上下偏差应符合GB/T 709的规定。</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含抱箍、安装配套螺栓、螺帽、垫片等。</w:t>
            </w: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w:t>
            </w:r>
          </w:p>
        </w:tc>
        <w:tc>
          <w:tcPr>
            <w:tcW w:w="20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横臂杆2米</w:t>
            </w:r>
          </w:p>
        </w:tc>
        <w:tc>
          <w:tcPr>
            <w:tcW w:w="495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Φ76mm(直径)×3mm(壁厚)×2000mm(长度)</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Q235材质圆形钢管，表面酸洗热浸镀锌喷塑处理;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主杆、悬臂、法兰盘、紧固件等金属构件的防腐性能应符合GB/T 18226的规定，杆件镀锌层厚度≧84um，塑层厚度≧84um；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杆件壁厚允许上下偏差应符合GB/T 709的规定。</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含抱箍、安装配套螺栓、螺帽、垫片等。</w:t>
            </w: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w:t>
            </w:r>
          </w:p>
        </w:tc>
        <w:tc>
          <w:tcPr>
            <w:tcW w:w="20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加长横臂杆2米</w:t>
            </w:r>
          </w:p>
        </w:tc>
        <w:tc>
          <w:tcPr>
            <w:tcW w:w="495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Φ76mm(直径)×3mm(壁厚)×2000mm(长度)</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Q235材质圆形钢管，表面酸洗热浸镀锌喷塑处理;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主杆、悬臂、法兰盘、紧固件等金属构件的防腐性能应符合GB/T 18226的规定，杆件镀锌层厚度≧84um，塑层厚度≧84um；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杆件壁厚允许上下偏差应符合GB/T 709的规定。</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含抱箍、安装配套螺栓、螺帽、垫片等。</w:t>
            </w: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w:t>
            </w:r>
          </w:p>
        </w:tc>
        <w:tc>
          <w:tcPr>
            <w:tcW w:w="20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安装支架</w:t>
            </w:r>
          </w:p>
        </w:tc>
        <w:tc>
          <w:tcPr>
            <w:tcW w:w="495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铝合金材质，不锈钢抱箍，抱箍箍范围：Φ67-127mm，含墙装，抱杆安装，详见点位清单</w:t>
            </w: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w:t>
            </w:r>
          </w:p>
        </w:tc>
        <w:tc>
          <w:tcPr>
            <w:tcW w:w="20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定制杆件</w:t>
            </w:r>
          </w:p>
        </w:tc>
        <w:tc>
          <w:tcPr>
            <w:tcW w:w="495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需现场确定安装尺寸及规格；</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Q235材质圆形钢管，表面酸洗热浸镀锌喷塑处理;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主杆、悬臂、法兰盘、紧固件等金属构件的防腐性能应符合GB/T 18226的规定，杆件镀锌层厚度≧84um，塑层厚度≧84um；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杆件壁厚允许上下偏差应符合GB/T 709的规定。</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含抱箍、安装配套螺栓、螺帽、垫片等。</w:t>
            </w: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34</w:t>
            </w:r>
          </w:p>
        </w:tc>
        <w:tc>
          <w:tcPr>
            <w:tcW w:w="20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系统集成费</w:t>
            </w:r>
          </w:p>
        </w:tc>
        <w:tc>
          <w:tcPr>
            <w:tcW w:w="495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含施工机械台班费、人工费、安全措施费、二次搬运费等费用</w:t>
            </w: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7728" w:type="dxa"/>
            <w:gridSpan w:val="3"/>
            <w:tcBorders>
              <w:top w:val="single" w:color="000000" w:sz="4" w:space="0"/>
              <w:left w:val="single" w:color="000000" w:sz="4" w:space="0"/>
              <w:bottom w:val="single" w:color="000000" w:sz="4" w:space="0"/>
              <w:right w:val="nil"/>
            </w:tcBorders>
            <w:noWrap w:val="0"/>
            <w:tcMar>
              <w:top w:w="10" w:type="dxa"/>
              <w:left w:w="10" w:type="dxa"/>
              <w:right w:w="10" w:type="dxa"/>
            </w:tcMar>
            <w:vAlign w:val="center"/>
          </w:tcPr>
          <w:p>
            <w:pPr>
              <w:keepNext w:val="0"/>
              <w:keepLines w:val="0"/>
              <w:widowControl/>
              <w:suppressLineNumbers w:val="0"/>
              <w:spacing w:line="360" w:lineRule="auto"/>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二、前端配套施工</w:t>
            </w:r>
          </w:p>
        </w:tc>
        <w:tc>
          <w:tcPr>
            <w:tcW w:w="10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pacing w:line="360" w:lineRule="auto"/>
              <w:jc w:val="center"/>
              <w:rPr>
                <w:rFonts w:hint="eastAsia" w:ascii="宋体" w:hAnsi="宋体" w:eastAsia="宋体" w:cs="宋体"/>
                <w:i w:val="0"/>
                <w:color w:val="000000"/>
                <w:sz w:val="21"/>
                <w:szCs w:val="21"/>
                <w:u w:val="none"/>
              </w:rPr>
            </w:pPr>
          </w:p>
        </w:tc>
        <w:tc>
          <w:tcPr>
            <w:tcW w:w="10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pacing w:line="360" w:lineRule="auto"/>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w:t>
            </w:r>
          </w:p>
        </w:tc>
        <w:tc>
          <w:tcPr>
            <w:tcW w:w="20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全景摄像机拆除费用</w:t>
            </w:r>
          </w:p>
        </w:tc>
        <w:tc>
          <w:tcPr>
            <w:tcW w:w="495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包含摄像机及线缆等拆除人工费、机械费、运输费等相关费用</w:t>
            </w:r>
          </w:p>
        </w:tc>
        <w:tc>
          <w:tcPr>
            <w:tcW w:w="10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w:t>
            </w:r>
          </w:p>
        </w:tc>
        <w:tc>
          <w:tcPr>
            <w:tcW w:w="20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监控球机拆除费用</w:t>
            </w:r>
          </w:p>
        </w:tc>
        <w:tc>
          <w:tcPr>
            <w:tcW w:w="495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包含摄像机及线缆等拆除人工费、机械费、运输费等相关费用</w:t>
            </w:r>
          </w:p>
        </w:tc>
        <w:tc>
          <w:tcPr>
            <w:tcW w:w="10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37</w:t>
            </w:r>
          </w:p>
        </w:tc>
        <w:tc>
          <w:tcPr>
            <w:tcW w:w="20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补光灯拆除费用</w:t>
            </w:r>
          </w:p>
        </w:tc>
        <w:tc>
          <w:tcPr>
            <w:tcW w:w="495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包含补光灯及线缆等拆除人工费、机械费、运输费等相关费用</w:t>
            </w:r>
          </w:p>
        </w:tc>
        <w:tc>
          <w:tcPr>
            <w:tcW w:w="10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38</w:t>
            </w:r>
          </w:p>
        </w:tc>
        <w:tc>
          <w:tcPr>
            <w:tcW w:w="20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杆上机箱拆除费用</w:t>
            </w:r>
          </w:p>
        </w:tc>
        <w:tc>
          <w:tcPr>
            <w:tcW w:w="495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包含杆上机箱拆除人工费、机械费、运输费等相关费用</w:t>
            </w:r>
          </w:p>
        </w:tc>
        <w:tc>
          <w:tcPr>
            <w:tcW w:w="10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39</w:t>
            </w:r>
          </w:p>
        </w:tc>
        <w:tc>
          <w:tcPr>
            <w:tcW w:w="20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横臂杆拆除费用</w:t>
            </w:r>
          </w:p>
        </w:tc>
        <w:tc>
          <w:tcPr>
            <w:tcW w:w="495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包含2米长横臂杆拆除人工费、机械费、运输费等相关费用</w:t>
            </w:r>
          </w:p>
        </w:tc>
        <w:tc>
          <w:tcPr>
            <w:tcW w:w="10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w:t>
            </w:r>
          </w:p>
        </w:tc>
        <w:tc>
          <w:tcPr>
            <w:tcW w:w="20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监控杆件拆除费用</w:t>
            </w:r>
          </w:p>
        </w:tc>
        <w:tc>
          <w:tcPr>
            <w:tcW w:w="495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包含3.5米监控杆件拆除人工费、机械费、运输费等相关费用</w:t>
            </w:r>
          </w:p>
        </w:tc>
        <w:tc>
          <w:tcPr>
            <w:tcW w:w="10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41</w:t>
            </w:r>
          </w:p>
        </w:tc>
        <w:tc>
          <w:tcPr>
            <w:tcW w:w="2035" w:type="dxa"/>
            <w:tcBorders>
              <w:top w:val="nil"/>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集束架空绝缘电缆</w:t>
            </w:r>
          </w:p>
        </w:tc>
        <w:tc>
          <w:tcPr>
            <w:tcW w:w="495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JKLYJ-2*16，铝芯聚氯乙烯绝缘，含电缆挂钩，吊线抱箍等架空材料</w:t>
            </w:r>
          </w:p>
        </w:tc>
        <w:tc>
          <w:tcPr>
            <w:tcW w:w="10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42</w:t>
            </w:r>
          </w:p>
        </w:tc>
        <w:tc>
          <w:tcPr>
            <w:tcW w:w="2035" w:type="dxa"/>
            <w:tcBorders>
              <w:top w:val="nil"/>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低压电力电缆1</w:t>
            </w:r>
          </w:p>
        </w:tc>
        <w:tc>
          <w:tcPr>
            <w:tcW w:w="495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YJV*3*4</w:t>
            </w:r>
          </w:p>
        </w:tc>
        <w:tc>
          <w:tcPr>
            <w:tcW w:w="10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43</w:t>
            </w:r>
          </w:p>
        </w:tc>
        <w:tc>
          <w:tcPr>
            <w:tcW w:w="2035" w:type="dxa"/>
            <w:tcBorders>
              <w:top w:val="nil"/>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低压电力电缆2</w:t>
            </w:r>
          </w:p>
        </w:tc>
        <w:tc>
          <w:tcPr>
            <w:tcW w:w="495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YJV*3*6</w:t>
            </w:r>
          </w:p>
        </w:tc>
        <w:tc>
          <w:tcPr>
            <w:tcW w:w="10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44</w:t>
            </w:r>
          </w:p>
        </w:tc>
        <w:tc>
          <w:tcPr>
            <w:tcW w:w="2035" w:type="dxa"/>
            <w:tcBorders>
              <w:top w:val="nil"/>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杆件基坑开挖</w:t>
            </w:r>
          </w:p>
        </w:tc>
        <w:tc>
          <w:tcPr>
            <w:tcW w:w="495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按单点杆件基础设计图纸开挖，含成品保护等费用</w:t>
            </w:r>
          </w:p>
        </w:tc>
        <w:tc>
          <w:tcPr>
            <w:tcW w:w="10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m3</w:t>
            </w:r>
          </w:p>
        </w:tc>
        <w:tc>
          <w:tcPr>
            <w:tcW w:w="10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w:t>
            </w:r>
          </w:p>
        </w:tc>
        <w:tc>
          <w:tcPr>
            <w:tcW w:w="2035" w:type="dxa"/>
            <w:tcBorders>
              <w:top w:val="nil"/>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杆件基础砼浇捣</w:t>
            </w:r>
          </w:p>
        </w:tc>
        <w:tc>
          <w:tcPr>
            <w:tcW w:w="495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按设计图纸施工，C25(含)以上混凝土，包含管路敷设、材料费、人工费、安全防护、渣土运输及其他杂费。</w:t>
            </w:r>
          </w:p>
        </w:tc>
        <w:tc>
          <w:tcPr>
            <w:tcW w:w="10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m3</w:t>
            </w:r>
          </w:p>
        </w:tc>
        <w:tc>
          <w:tcPr>
            <w:tcW w:w="10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46</w:t>
            </w:r>
          </w:p>
        </w:tc>
        <w:tc>
          <w:tcPr>
            <w:tcW w:w="2035" w:type="dxa"/>
            <w:tcBorders>
              <w:top w:val="nil"/>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机械拆除无筋混凝土类路面层</w:t>
            </w:r>
          </w:p>
        </w:tc>
        <w:tc>
          <w:tcPr>
            <w:tcW w:w="495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宽度按市政或路政要求(根据现场实际情况确定），深度250mm-300mm</w:t>
            </w:r>
          </w:p>
        </w:tc>
        <w:tc>
          <w:tcPr>
            <w:tcW w:w="10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m2</w:t>
            </w:r>
          </w:p>
        </w:tc>
        <w:tc>
          <w:tcPr>
            <w:tcW w:w="10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47</w:t>
            </w:r>
          </w:p>
        </w:tc>
        <w:tc>
          <w:tcPr>
            <w:tcW w:w="2035" w:type="dxa"/>
            <w:tcBorders>
              <w:top w:val="nil"/>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混凝土类路面层修复</w:t>
            </w:r>
          </w:p>
        </w:tc>
        <w:tc>
          <w:tcPr>
            <w:tcW w:w="495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按市政或路政要求施工，C30商品混凝土恢复浇筑，含垫层木模、锯缝防滑槽、养护、安全防护、清场等费用</w:t>
            </w:r>
          </w:p>
        </w:tc>
        <w:tc>
          <w:tcPr>
            <w:tcW w:w="10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m2</w:t>
            </w:r>
          </w:p>
        </w:tc>
        <w:tc>
          <w:tcPr>
            <w:tcW w:w="10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48</w:t>
            </w:r>
          </w:p>
        </w:tc>
        <w:tc>
          <w:tcPr>
            <w:tcW w:w="2035" w:type="dxa"/>
            <w:tcBorders>
              <w:top w:val="nil"/>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大理石、花岗岩路面拆除</w:t>
            </w:r>
          </w:p>
        </w:tc>
        <w:tc>
          <w:tcPr>
            <w:tcW w:w="495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按市政要求施工，含水泥砂浆垫层挖槽≥400mm、清运等费用</w:t>
            </w:r>
          </w:p>
        </w:tc>
        <w:tc>
          <w:tcPr>
            <w:tcW w:w="10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m2</w:t>
            </w:r>
          </w:p>
        </w:tc>
        <w:tc>
          <w:tcPr>
            <w:tcW w:w="10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49</w:t>
            </w:r>
          </w:p>
        </w:tc>
        <w:tc>
          <w:tcPr>
            <w:tcW w:w="2035" w:type="dxa"/>
            <w:tcBorders>
              <w:top w:val="nil"/>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大理石、花岗岩路面恢复</w:t>
            </w:r>
          </w:p>
        </w:tc>
        <w:tc>
          <w:tcPr>
            <w:tcW w:w="495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按市政要求施工，含坑填土夯实、铺装碎石底层、水泥砂浆垫层、运输、破损花岗石购置费、安全防护等费用</w:t>
            </w:r>
          </w:p>
        </w:tc>
        <w:tc>
          <w:tcPr>
            <w:tcW w:w="10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m2</w:t>
            </w:r>
          </w:p>
        </w:tc>
        <w:tc>
          <w:tcPr>
            <w:tcW w:w="10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w:t>
            </w:r>
          </w:p>
        </w:tc>
        <w:tc>
          <w:tcPr>
            <w:tcW w:w="2035" w:type="dxa"/>
            <w:tcBorders>
              <w:top w:val="nil"/>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拆除彩色混凝土预制板人行道彩砖</w:t>
            </w:r>
          </w:p>
        </w:tc>
        <w:tc>
          <w:tcPr>
            <w:tcW w:w="495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按市政要求施工，水泥砂浆垫层挖槽≥400mm</w:t>
            </w:r>
          </w:p>
        </w:tc>
        <w:tc>
          <w:tcPr>
            <w:tcW w:w="10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m2</w:t>
            </w:r>
          </w:p>
        </w:tc>
        <w:tc>
          <w:tcPr>
            <w:tcW w:w="10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51</w:t>
            </w:r>
          </w:p>
        </w:tc>
        <w:tc>
          <w:tcPr>
            <w:tcW w:w="2035" w:type="dxa"/>
            <w:tcBorders>
              <w:top w:val="nil"/>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彩色混凝土预制板人行道彩砖恢复</w:t>
            </w:r>
          </w:p>
        </w:tc>
        <w:tc>
          <w:tcPr>
            <w:tcW w:w="495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按市政要求施工，含坑填土夯实、铺装碎石底层、水泥砂浆垫层、运输、破损彩砖购置费、安全防护等费用</w:t>
            </w:r>
          </w:p>
        </w:tc>
        <w:tc>
          <w:tcPr>
            <w:tcW w:w="10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m2</w:t>
            </w:r>
          </w:p>
        </w:tc>
        <w:tc>
          <w:tcPr>
            <w:tcW w:w="10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52</w:t>
            </w:r>
          </w:p>
        </w:tc>
        <w:tc>
          <w:tcPr>
            <w:tcW w:w="2035" w:type="dxa"/>
            <w:tcBorders>
              <w:top w:val="nil"/>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起挖灌木、藤本(带土球)</w:t>
            </w:r>
          </w:p>
        </w:tc>
        <w:tc>
          <w:tcPr>
            <w:tcW w:w="495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按园林要求施工，含苗木移植、坑填土夯实、绿地补偿等费用</w:t>
            </w:r>
          </w:p>
        </w:tc>
        <w:tc>
          <w:tcPr>
            <w:tcW w:w="10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m2</w:t>
            </w:r>
          </w:p>
        </w:tc>
        <w:tc>
          <w:tcPr>
            <w:tcW w:w="10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53</w:t>
            </w:r>
          </w:p>
        </w:tc>
        <w:tc>
          <w:tcPr>
            <w:tcW w:w="2035" w:type="dxa"/>
            <w:tcBorders>
              <w:top w:val="nil"/>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三类土人工挖沟、槽土方</w:t>
            </w:r>
          </w:p>
        </w:tc>
        <w:tc>
          <w:tcPr>
            <w:tcW w:w="4952"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按市政或路政要求施工，含废土清运、安全防护等费用</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m3</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54</w:t>
            </w:r>
          </w:p>
        </w:tc>
        <w:tc>
          <w:tcPr>
            <w:tcW w:w="2035" w:type="dxa"/>
            <w:tcBorders>
              <w:top w:val="nil"/>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人工槽、坑填土夯实</w:t>
            </w:r>
          </w:p>
        </w:tc>
        <w:tc>
          <w:tcPr>
            <w:tcW w:w="4952"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按市政或路政要求施工，含清场、安全防护等费用</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m3</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55</w:t>
            </w:r>
          </w:p>
        </w:tc>
        <w:tc>
          <w:tcPr>
            <w:tcW w:w="2035" w:type="dxa"/>
            <w:tcBorders>
              <w:top w:val="nil"/>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DN110镀锌钢管地埋敷设</w:t>
            </w:r>
          </w:p>
        </w:tc>
        <w:tc>
          <w:tcPr>
            <w:tcW w:w="4952"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包含DN100（厚度≥2mm）管材费、管道包封材料费、人工费、其他杂费，管材需提供检测报告</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米</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56</w:t>
            </w:r>
          </w:p>
        </w:tc>
        <w:tc>
          <w:tcPr>
            <w:tcW w:w="2035" w:type="dxa"/>
            <w:tcBorders>
              <w:top w:val="nil"/>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DN50镀锌钢管上墙敷设</w:t>
            </w:r>
          </w:p>
        </w:tc>
        <w:tc>
          <w:tcPr>
            <w:tcW w:w="4952"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包含DN50管材费，国标规格，含人工费，管材需提供检测报告。</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米</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57</w:t>
            </w:r>
          </w:p>
        </w:tc>
        <w:tc>
          <w:tcPr>
            <w:tcW w:w="2035" w:type="dxa"/>
            <w:tcBorders>
              <w:top w:val="nil"/>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PE50管地埋敷设</w:t>
            </w:r>
          </w:p>
        </w:tc>
        <w:tc>
          <w:tcPr>
            <w:tcW w:w="4952"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包含PE50（厚度≥5mm）管材费、管道包封材料费、人工费、安全防护及其他杂费，管材需提供检测报告。</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米</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58</w:t>
            </w:r>
          </w:p>
        </w:tc>
        <w:tc>
          <w:tcPr>
            <w:tcW w:w="2035" w:type="dxa"/>
            <w:tcBorders>
              <w:top w:val="nil"/>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pvc穿线管</w:t>
            </w:r>
          </w:p>
        </w:tc>
        <w:tc>
          <w:tcPr>
            <w:tcW w:w="495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管径≥20mm，国标规格，含配套材料，管材需提供检测报告。</w:t>
            </w:r>
          </w:p>
        </w:tc>
        <w:tc>
          <w:tcPr>
            <w:tcW w:w="10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米</w:t>
            </w:r>
          </w:p>
        </w:tc>
        <w:tc>
          <w:tcPr>
            <w:tcW w:w="10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59</w:t>
            </w:r>
          </w:p>
        </w:tc>
        <w:tc>
          <w:tcPr>
            <w:tcW w:w="2035" w:type="dxa"/>
            <w:tcBorders>
              <w:top w:val="nil"/>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砖砌矩形电缆井</w:t>
            </w:r>
          </w:p>
        </w:tc>
        <w:tc>
          <w:tcPr>
            <w:tcW w:w="495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400mm×400mm×600mm(深度)，包括基坑开挖、铺装碎石底层、砖砌、井内侧抹灰、井道管路切割封堵、废土清运、清场、安全防护等费用。</w:t>
            </w: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w:t>
            </w:r>
          </w:p>
        </w:tc>
        <w:tc>
          <w:tcPr>
            <w:tcW w:w="2035" w:type="dxa"/>
            <w:tcBorders>
              <w:top w:val="nil"/>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复合材料井盖安装</w:t>
            </w:r>
          </w:p>
        </w:tc>
        <w:tc>
          <w:tcPr>
            <w:tcW w:w="495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400×400，国标厚度，公安或交警标志，含主材费、人工费及其他杂费，复合井盖需提供检测报告</w:t>
            </w: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61</w:t>
            </w:r>
          </w:p>
        </w:tc>
        <w:tc>
          <w:tcPr>
            <w:tcW w:w="2035" w:type="dxa"/>
            <w:tcBorders>
              <w:top w:val="nil"/>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接地系统制作</w:t>
            </w:r>
          </w:p>
        </w:tc>
        <w:tc>
          <w:tcPr>
            <w:tcW w:w="495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按设计图纸及要求施工</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包含40mm*4mm*4000mm热镀锌扁钢；</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50mm*5mm*2000mm热镀锌角钢；</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联接焊处应涂沥青防腐处理；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BVR16mm²黄绿双色多股软铜芯线，接头采用铜接头制作；</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包含材料费、人工费、安全防护、渣土运输及其他杂费</w:t>
            </w: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9728" w:type="dxa"/>
            <w:gridSpan w:val="5"/>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line="360" w:lineRule="auto"/>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三、平台模型开发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62</w:t>
            </w:r>
          </w:p>
        </w:tc>
        <w:tc>
          <w:tcPr>
            <w:tcW w:w="20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门户首页</w:t>
            </w:r>
          </w:p>
        </w:tc>
        <w:tc>
          <w:tcPr>
            <w:tcW w:w="495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Style w:val="238"/>
                <w:rFonts w:hint="eastAsia" w:ascii="宋体" w:hAnsi="宋体" w:eastAsia="宋体" w:cs="宋体"/>
                <w:sz w:val="21"/>
                <w:szCs w:val="21"/>
                <w:lang w:val="en-US" w:eastAsia="zh-CN" w:bidi="ar"/>
              </w:rPr>
              <w:t>改版原先系统自带的界面，满足符合本地特色的需求，其中包含原先系统结构与界面优化（展示方式按照实际需求为准）。在一期建设平台基础上，从数字化整体体系建设要求、系统安全性以及用户的便捷性上进行适度调整。</w:t>
            </w:r>
            <w:r>
              <w:rPr>
                <w:rStyle w:val="238"/>
                <w:rFonts w:hint="eastAsia" w:ascii="宋体" w:hAnsi="宋体" w:eastAsia="宋体" w:cs="宋体"/>
                <w:sz w:val="21"/>
                <w:szCs w:val="21"/>
                <w:lang w:val="en-US" w:eastAsia="zh-CN" w:bidi="ar"/>
              </w:rPr>
              <w:br w:type="textWrapping"/>
            </w:r>
            <w:r>
              <w:rPr>
                <w:rStyle w:val="238"/>
                <w:rFonts w:hint="eastAsia" w:ascii="宋体" w:hAnsi="宋体" w:eastAsia="宋体" w:cs="宋体"/>
                <w:sz w:val="21"/>
                <w:szCs w:val="21"/>
                <w:lang w:val="en-US" w:eastAsia="zh-CN" w:bidi="ar"/>
              </w:rPr>
              <w:t>用户登录系统后，默认显示系统门户页面，页面中展现用户权限范围内的应用系统链接图标，通过点击图标即可直接进入应用系统进行相关的业务操作。</w:t>
            </w:r>
            <w:r>
              <w:rPr>
                <w:rStyle w:val="238"/>
                <w:rFonts w:hint="eastAsia" w:ascii="宋体" w:hAnsi="宋体" w:eastAsia="宋体" w:cs="宋体"/>
                <w:sz w:val="21"/>
                <w:szCs w:val="21"/>
                <w:lang w:val="en-US" w:eastAsia="zh-CN" w:bidi="ar"/>
              </w:rPr>
              <w:br w:type="textWrapping"/>
            </w:r>
            <w:r>
              <w:rPr>
                <w:rStyle w:val="238"/>
                <w:rFonts w:hint="eastAsia" w:ascii="宋体" w:hAnsi="宋体" w:eastAsia="宋体" w:cs="宋体"/>
                <w:sz w:val="21"/>
                <w:szCs w:val="21"/>
                <w:lang w:val="en-US" w:eastAsia="zh-CN" w:bidi="ar"/>
              </w:rPr>
              <w:t>门户需具备一定的美观性（部分模块重新对接升级）</w:t>
            </w:r>
            <w:r>
              <w:rPr>
                <w:rStyle w:val="238"/>
                <w:rFonts w:hint="eastAsia" w:ascii="宋体" w:hAnsi="宋体" w:eastAsia="宋体" w:cs="宋体"/>
                <w:sz w:val="21"/>
                <w:szCs w:val="21"/>
                <w:lang w:val="en-US" w:eastAsia="zh-CN" w:bidi="ar"/>
              </w:rPr>
              <w:br w:type="textWrapping"/>
            </w:r>
            <w:r>
              <w:rPr>
                <w:rStyle w:val="238"/>
                <w:rFonts w:hint="eastAsia" w:ascii="宋体" w:hAnsi="宋体" w:eastAsia="宋体" w:cs="宋体"/>
                <w:sz w:val="21"/>
                <w:szCs w:val="21"/>
                <w:lang w:val="en-US" w:eastAsia="zh-CN" w:bidi="ar"/>
              </w:rPr>
              <w:t>界面支持快速打开系统菜单页面，并以图标展示功能菜单；</w:t>
            </w:r>
            <w:r>
              <w:rPr>
                <w:rStyle w:val="238"/>
                <w:rFonts w:hint="eastAsia" w:ascii="宋体" w:hAnsi="宋体" w:eastAsia="宋体" w:cs="宋体"/>
                <w:sz w:val="21"/>
                <w:szCs w:val="21"/>
                <w:lang w:val="en-US" w:eastAsia="zh-CN" w:bidi="ar"/>
              </w:rPr>
              <w:br w:type="textWrapping"/>
            </w:r>
            <w:r>
              <w:rPr>
                <w:rStyle w:val="238"/>
                <w:rFonts w:hint="eastAsia" w:ascii="宋体" w:hAnsi="宋体" w:eastAsia="宋体" w:cs="宋体"/>
                <w:sz w:val="21"/>
                <w:szCs w:val="21"/>
                <w:lang w:val="en-US" w:eastAsia="zh-CN" w:bidi="ar"/>
              </w:rPr>
              <w:t>界面支持索引导航，快速定位到菜单大类；</w:t>
            </w:r>
            <w:r>
              <w:rPr>
                <w:rStyle w:val="238"/>
                <w:rFonts w:hint="eastAsia" w:ascii="宋体" w:hAnsi="宋体" w:eastAsia="宋体" w:cs="宋体"/>
                <w:sz w:val="21"/>
                <w:szCs w:val="21"/>
                <w:lang w:val="en-US" w:eastAsia="zh-CN" w:bidi="ar"/>
              </w:rPr>
              <w:br w:type="textWrapping"/>
            </w:r>
            <w:r>
              <w:rPr>
                <w:rStyle w:val="238"/>
                <w:rFonts w:hint="eastAsia" w:ascii="宋体" w:hAnsi="宋体" w:eastAsia="宋体" w:cs="宋体"/>
                <w:sz w:val="21"/>
                <w:szCs w:val="21"/>
                <w:lang w:val="en-US" w:eastAsia="zh-CN" w:bidi="ar"/>
              </w:rPr>
              <w:t>界面支持收藏/取消收藏菜单到我的收藏大类中；</w:t>
            </w:r>
            <w:r>
              <w:rPr>
                <w:rStyle w:val="238"/>
                <w:rFonts w:hint="eastAsia" w:ascii="宋体" w:hAnsi="宋体" w:eastAsia="宋体" w:cs="宋体"/>
                <w:sz w:val="21"/>
                <w:szCs w:val="21"/>
                <w:lang w:val="en-US" w:eastAsia="zh-CN" w:bidi="ar"/>
              </w:rPr>
              <w:br w:type="textWrapping"/>
            </w:r>
            <w:r>
              <w:rPr>
                <w:rStyle w:val="238"/>
                <w:rFonts w:hint="eastAsia" w:ascii="宋体" w:hAnsi="宋体" w:eastAsia="宋体" w:cs="宋体"/>
                <w:sz w:val="21"/>
                <w:szCs w:val="21"/>
                <w:lang w:val="en-US" w:eastAsia="zh-CN" w:bidi="ar"/>
              </w:rPr>
              <w:t>界面支持对关键字模糊搜索；</w:t>
            </w:r>
            <w:r>
              <w:rPr>
                <w:rStyle w:val="238"/>
                <w:rFonts w:hint="eastAsia" w:ascii="宋体" w:hAnsi="宋体" w:eastAsia="宋体" w:cs="宋体"/>
                <w:sz w:val="21"/>
                <w:szCs w:val="21"/>
                <w:lang w:val="en-US" w:eastAsia="zh-CN" w:bidi="ar"/>
              </w:rPr>
              <w:br w:type="textWrapping"/>
            </w:r>
            <w:r>
              <w:rPr>
                <w:rStyle w:val="238"/>
                <w:rFonts w:hint="eastAsia" w:ascii="宋体" w:hAnsi="宋体" w:eastAsia="宋体" w:cs="宋体"/>
                <w:sz w:val="21"/>
                <w:szCs w:val="21"/>
                <w:lang w:val="en-US" w:eastAsia="zh-CN" w:bidi="ar"/>
              </w:rPr>
              <w:t>界面支持快速打开帮助中心文档，</w:t>
            </w:r>
            <w:r>
              <w:rPr>
                <w:rStyle w:val="238"/>
                <w:rFonts w:hint="eastAsia" w:ascii="宋体" w:hAnsi="宋体" w:eastAsia="宋体" w:cs="宋体"/>
                <w:sz w:val="21"/>
                <w:szCs w:val="21"/>
                <w:lang w:val="en-US" w:eastAsia="zh-CN" w:bidi="ar"/>
              </w:rPr>
              <w:br w:type="textWrapping"/>
            </w:r>
            <w:r>
              <w:rPr>
                <w:rStyle w:val="238"/>
                <w:rFonts w:hint="eastAsia" w:ascii="宋体" w:hAnsi="宋体" w:eastAsia="宋体" w:cs="宋体"/>
                <w:sz w:val="21"/>
                <w:szCs w:val="21"/>
                <w:lang w:val="en-US" w:eastAsia="zh-CN" w:bidi="ar"/>
              </w:rPr>
              <w:t>门户更新数字证书对接方式，实现全数字证书对接。</w:t>
            </w: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63</w:t>
            </w:r>
          </w:p>
        </w:tc>
        <w:tc>
          <w:tcPr>
            <w:tcW w:w="20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一车一档</w:t>
            </w:r>
          </w:p>
        </w:tc>
        <w:tc>
          <w:tcPr>
            <w:tcW w:w="495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实现集车辆的基本信息、视图抓拍图像信息、驾乘关系信息、感知轨迹、落脚点、行为规律研判于一体的实时全息车辆档案</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360" w:lineRule="auto"/>
              <w:jc w:val="center"/>
              <w:rPr>
                <w:rFonts w:hint="eastAsia" w:ascii="宋体" w:hAnsi="宋体" w:eastAsia="宋体" w:cs="宋体"/>
                <w:i w:val="0"/>
                <w:color w:val="000000"/>
                <w:sz w:val="21"/>
                <w:szCs w:val="21"/>
                <w:u w:val="none"/>
              </w:rPr>
            </w:pPr>
          </w:p>
        </w:tc>
        <w:tc>
          <w:tcPr>
            <w:tcW w:w="20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spacing w:line="360" w:lineRule="auto"/>
              <w:jc w:val="center"/>
              <w:rPr>
                <w:rFonts w:hint="eastAsia" w:ascii="宋体" w:hAnsi="宋体" w:eastAsia="宋体" w:cs="宋体"/>
                <w:i w:val="0"/>
                <w:color w:val="000000"/>
                <w:sz w:val="21"/>
                <w:szCs w:val="21"/>
                <w:u w:val="none"/>
              </w:rPr>
            </w:pPr>
          </w:p>
        </w:tc>
        <w:tc>
          <w:tcPr>
            <w:tcW w:w="495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车辆档案预览：支持车辆基本信息查看，包括车牌号码、号牌种类、车辆品牌、车辆颜色等信息</w:t>
            </w:r>
          </w:p>
        </w:tc>
        <w:tc>
          <w:tcPr>
            <w:tcW w:w="0" w:type="auto"/>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360" w:lineRule="auto"/>
              <w:jc w:val="center"/>
              <w:rPr>
                <w:rFonts w:hint="eastAsia" w:ascii="宋体" w:hAnsi="宋体" w:eastAsia="宋体" w:cs="宋体"/>
                <w:i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360" w:lineRule="auto"/>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360" w:lineRule="auto"/>
              <w:jc w:val="center"/>
              <w:rPr>
                <w:rFonts w:hint="eastAsia" w:ascii="宋体" w:hAnsi="宋体" w:eastAsia="宋体" w:cs="宋体"/>
                <w:i w:val="0"/>
                <w:color w:val="000000"/>
                <w:sz w:val="21"/>
                <w:szCs w:val="21"/>
                <w:u w:val="none"/>
              </w:rPr>
            </w:pPr>
          </w:p>
        </w:tc>
        <w:tc>
          <w:tcPr>
            <w:tcW w:w="20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spacing w:line="360" w:lineRule="auto"/>
              <w:jc w:val="center"/>
              <w:rPr>
                <w:rFonts w:hint="eastAsia" w:ascii="宋体" w:hAnsi="宋体" w:eastAsia="宋体" w:cs="宋体"/>
                <w:i w:val="0"/>
                <w:color w:val="000000"/>
                <w:sz w:val="21"/>
                <w:szCs w:val="21"/>
                <w:u w:val="none"/>
              </w:rPr>
            </w:pPr>
          </w:p>
        </w:tc>
        <w:tc>
          <w:tcPr>
            <w:tcW w:w="495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车辆过车信息预览：支持查看过车信息</w:t>
            </w:r>
          </w:p>
        </w:tc>
        <w:tc>
          <w:tcPr>
            <w:tcW w:w="0" w:type="auto"/>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360" w:lineRule="auto"/>
              <w:jc w:val="center"/>
              <w:rPr>
                <w:rFonts w:hint="eastAsia" w:ascii="宋体" w:hAnsi="宋体" w:eastAsia="宋体" w:cs="宋体"/>
                <w:i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360" w:lineRule="auto"/>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360" w:lineRule="auto"/>
              <w:jc w:val="center"/>
              <w:rPr>
                <w:rFonts w:hint="eastAsia" w:ascii="宋体" w:hAnsi="宋体" w:eastAsia="宋体" w:cs="宋体"/>
                <w:i w:val="0"/>
                <w:color w:val="000000"/>
                <w:sz w:val="21"/>
                <w:szCs w:val="21"/>
                <w:u w:val="none"/>
              </w:rPr>
            </w:pPr>
          </w:p>
        </w:tc>
        <w:tc>
          <w:tcPr>
            <w:tcW w:w="20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spacing w:line="360" w:lineRule="auto"/>
              <w:jc w:val="center"/>
              <w:rPr>
                <w:rFonts w:hint="eastAsia" w:ascii="宋体" w:hAnsi="宋体" w:eastAsia="宋体" w:cs="宋体"/>
                <w:i w:val="0"/>
                <w:color w:val="000000"/>
                <w:sz w:val="21"/>
                <w:szCs w:val="21"/>
                <w:u w:val="none"/>
              </w:rPr>
            </w:pPr>
          </w:p>
        </w:tc>
        <w:tc>
          <w:tcPr>
            <w:tcW w:w="495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车辆感知轨迹预览：支持查看近期车辆活跃轨迹</w:t>
            </w:r>
          </w:p>
        </w:tc>
        <w:tc>
          <w:tcPr>
            <w:tcW w:w="0" w:type="auto"/>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360" w:lineRule="auto"/>
              <w:jc w:val="center"/>
              <w:rPr>
                <w:rFonts w:hint="eastAsia" w:ascii="宋体" w:hAnsi="宋体" w:eastAsia="宋体" w:cs="宋体"/>
                <w:i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360" w:lineRule="auto"/>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360" w:lineRule="auto"/>
              <w:jc w:val="center"/>
              <w:rPr>
                <w:rFonts w:hint="eastAsia" w:ascii="宋体" w:hAnsi="宋体" w:eastAsia="宋体" w:cs="宋体"/>
                <w:i w:val="0"/>
                <w:color w:val="000000"/>
                <w:sz w:val="21"/>
                <w:szCs w:val="21"/>
                <w:u w:val="none"/>
              </w:rPr>
            </w:pPr>
          </w:p>
        </w:tc>
        <w:tc>
          <w:tcPr>
            <w:tcW w:w="20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spacing w:line="360" w:lineRule="auto"/>
              <w:jc w:val="center"/>
              <w:rPr>
                <w:rFonts w:hint="eastAsia" w:ascii="宋体" w:hAnsi="宋体" w:eastAsia="宋体" w:cs="宋体"/>
                <w:i w:val="0"/>
                <w:color w:val="000000"/>
                <w:sz w:val="21"/>
                <w:szCs w:val="21"/>
                <w:u w:val="none"/>
              </w:rPr>
            </w:pPr>
          </w:p>
        </w:tc>
        <w:tc>
          <w:tcPr>
            <w:tcW w:w="495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车辆出行规律分析：支持车辆出行规律分析：包括落脚点、活跃时间分布、活跃频次分析、高频活跃地点、近期首次出现、最后一次出现位置等</w:t>
            </w:r>
          </w:p>
        </w:tc>
        <w:tc>
          <w:tcPr>
            <w:tcW w:w="0" w:type="auto"/>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360" w:lineRule="auto"/>
              <w:jc w:val="center"/>
              <w:rPr>
                <w:rFonts w:hint="eastAsia" w:ascii="宋体" w:hAnsi="宋体" w:eastAsia="宋体" w:cs="宋体"/>
                <w:i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360" w:lineRule="auto"/>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360" w:lineRule="auto"/>
              <w:jc w:val="center"/>
              <w:rPr>
                <w:rFonts w:hint="eastAsia" w:ascii="宋体" w:hAnsi="宋体" w:eastAsia="宋体" w:cs="宋体"/>
                <w:i w:val="0"/>
                <w:color w:val="000000"/>
                <w:sz w:val="21"/>
                <w:szCs w:val="21"/>
                <w:u w:val="none"/>
              </w:rPr>
            </w:pPr>
          </w:p>
        </w:tc>
        <w:tc>
          <w:tcPr>
            <w:tcW w:w="20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spacing w:line="360" w:lineRule="auto"/>
              <w:jc w:val="center"/>
              <w:rPr>
                <w:rFonts w:hint="eastAsia" w:ascii="宋体" w:hAnsi="宋体" w:eastAsia="宋体" w:cs="宋体"/>
                <w:i w:val="0"/>
                <w:color w:val="000000"/>
                <w:sz w:val="21"/>
                <w:szCs w:val="21"/>
                <w:u w:val="none"/>
              </w:rPr>
            </w:pPr>
          </w:p>
        </w:tc>
        <w:tc>
          <w:tcPr>
            <w:tcW w:w="495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在实战平台中开发新的界面进行展示</w:t>
            </w:r>
          </w:p>
        </w:tc>
        <w:tc>
          <w:tcPr>
            <w:tcW w:w="0" w:type="auto"/>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360" w:lineRule="auto"/>
              <w:jc w:val="center"/>
              <w:rPr>
                <w:rFonts w:hint="eastAsia" w:ascii="宋体" w:hAnsi="宋体" w:eastAsia="宋体" w:cs="宋体"/>
                <w:i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360" w:lineRule="auto"/>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64</w:t>
            </w:r>
          </w:p>
        </w:tc>
        <w:tc>
          <w:tcPr>
            <w:tcW w:w="20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人车关联算法</w:t>
            </w:r>
          </w:p>
        </w:tc>
        <w:tc>
          <w:tcPr>
            <w:tcW w:w="495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Style w:val="238"/>
                <w:rFonts w:hint="eastAsia" w:ascii="宋体" w:hAnsi="宋体" w:eastAsia="宋体" w:cs="宋体"/>
                <w:sz w:val="21"/>
                <w:szCs w:val="21"/>
                <w:lang w:val="en-US" w:eastAsia="zh-CN" w:bidi="ar"/>
              </w:rPr>
              <w:t>人车关联计算：</w:t>
            </w:r>
            <w:r>
              <w:rPr>
                <w:rStyle w:val="238"/>
                <w:rFonts w:hint="eastAsia" w:ascii="宋体" w:hAnsi="宋体" w:eastAsia="宋体" w:cs="宋体"/>
                <w:sz w:val="21"/>
                <w:szCs w:val="21"/>
                <w:lang w:val="en-US" w:eastAsia="zh-CN" w:bidi="ar"/>
              </w:rPr>
              <w:br w:type="textWrapping"/>
            </w:r>
            <w:r>
              <w:rPr>
                <w:rStyle w:val="238"/>
                <w:rFonts w:hint="eastAsia" w:ascii="宋体" w:hAnsi="宋体" w:eastAsia="宋体" w:cs="宋体"/>
                <w:sz w:val="21"/>
                <w:szCs w:val="21"/>
                <w:lang w:val="en-US" w:eastAsia="zh-CN" w:bidi="ar"/>
              </w:rPr>
              <w:t>以人像解析中心为基础，将人像聚档数据与车辆数据进行大数据计算，在</w:t>
            </w:r>
            <w:r>
              <w:rPr>
                <w:rStyle w:val="239"/>
                <w:rFonts w:hint="eastAsia" w:ascii="宋体" w:hAnsi="宋体" w:eastAsia="宋体" w:cs="宋体"/>
                <w:sz w:val="21"/>
                <w:szCs w:val="21"/>
                <w:lang w:val="en-US" w:eastAsia="zh-CN" w:bidi="ar"/>
              </w:rPr>
              <w:t>ABA</w:t>
            </w:r>
            <w:r>
              <w:rPr>
                <w:rStyle w:val="238"/>
                <w:rFonts w:hint="eastAsia" w:ascii="宋体" w:hAnsi="宋体" w:eastAsia="宋体" w:cs="宋体"/>
                <w:sz w:val="21"/>
                <w:szCs w:val="21"/>
                <w:lang w:val="en-US" w:eastAsia="zh-CN" w:bidi="ar"/>
              </w:rPr>
              <w:t>模型下数据碰撞分析、计算后实现人与车的关联分析计算。从而实现人与车的绑定。</w:t>
            </w:r>
            <w:r>
              <w:rPr>
                <w:rStyle w:val="238"/>
                <w:rFonts w:hint="eastAsia" w:ascii="宋体" w:hAnsi="宋体" w:eastAsia="宋体" w:cs="宋体"/>
                <w:sz w:val="21"/>
                <w:szCs w:val="21"/>
                <w:lang w:val="en-US" w:eastAsia="zh-CN" w:bidi="ar"/>
              </w:rPr>
              <w:br w:type="textWrapping"/>
            </w:r>
            <w:r>
              <w:rPr>
                <w:rStyle w:val="238"/>
                <w:rFonts w:hint="eastAsia" w:ascii="宋体" w:hAnsi="宋体" w:eastAsia="宋体" w:cs="宋体"/>
                <w:sz w:val="21"/>
                <w:szCs w:val="21"/>
                <w:lang w:val="en-US" w:eastAsia="zh-CN" w:bidi="ar"/>
              </w:rPr>
              <w:t>需要部署ABA算法，进行分析比对。</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360" w:lineRule="auto"/>
              <w:jc w:val="center"/>
              <w:rPr>
                <w:rFonts w:hint="eastAsia" w:ascii="宋体" w:hAnsi="宋体" w:eastAsia="宋体" w:cs="宋体"/>
                <w:i w:val="0"/>
                <w:color w:val="000000"/>
                <w:sz w:val="21"/>
                <w:szCs w:val="21"/>
                <w:u w:val="none"/>
              </w:rPr>
            </w:pPr>
          </w:p>
        </w:tc>
        <w:tc>
          <w:tcPr>
            <w:tcW w:w="20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spacing w:line="360" w:lineRule="auto"/>
              <w:jc w:val="center"/>
              <w:rPr>
                <w:rFonts w:hint="eastAsia" w:ascii="宋体" w:hAnsi="宋体" w:eastAsia="宋体" w:cs="宋体"/>
                <w:i w:val="0"/>
                <w:color w:val="000000"/>
                <w:sz w:val="21"/>
                <w:szCs w:val="21"/>
                <w:u w:val="none"/>
              </w:rPr>
            </w:pPr>
          </w:p>
        </w:tc>
        <w:tc>
          <w:tcPr>
            <w:tcW w:w="495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驾乘人员计算：</w:t>
            </w:r>
            <w:r>
              <w:rPr>
                <w:rStyle w:val="238"/>
                <w:rFonts w:hint="eastAsia" w:ascii="宋体" w:hAnsi="宋体" w:eastAsia="宋体" w:cs="宋体"/>
                <w:sz w:val="21"/>
                <w:szCs w:val="21"/>
                <w:lang w:val="en-US" w:eastAsia="zh-CN" w:bidi="ar"/>
              </w:rPr>
              <w:t>通过车辆和人像算法实现驾乘人员的区分</w:t>
            </w:r>
          </w:p>
        </w:tc>
        <w:tc>
          <w:tcPr>
            <w:tcW w:w="0" w:type="auto"/>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360" w:lineRule="auto"/>
              <w:jc w:val="center"/>
              <w:rPr>
                <w:rFonts w:hint="eastAsia" w:ascii="宋体" w:hAnsi="宋体" w:eastAsia="宋体" w:cs="宋体"/>
                <w:i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360" w:lineRule="auto"/>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360" w:lineRule="auto"/>
              <w:jc w:val="center"/>
              <w:rPr>
                <w:rFonts w:hint="eastAsia" w:ascii="宋体" w:hAnsi="宋体" w:eastAsia="宋体" w:cs="宋体"/>
                <w:i w:val="0"/>
                <w:color w:val="000000"/>
                <w:sz w:val="21"/>
                <w:szCs w:val="21"/>
                <w:u w:val="none"/>
              </w:rPr>
            </w:pPr>
          </w:p>
        </w:tc>
        <w:tc>
          <w:tcPr>
            <w:tcW w:w="20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spacing w:line="360" w:lineRule="auto"/>
              <w:jc w:val="center"/>
              <w:rPr>
                <w:rFonts w:hint="eastAsia" w:ascii="宋体" w:hAnsi="宋体" w:eastAsia="宋体" w:cs="宋体"/>
                <w:i w:val="0"/>
                <w:color w:val="000000"/>
                <w:sz w:val="21"/>
                <w:szCs w:val="21"/>
                <w:u w:val="none"/>
              </w:rPr>
            </w:pPr>
          </w:p>
        </w:tc>
        <w:tc>
          <w:tcPr>
            <w:tcW w:w="495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人车关联展示：结合人车关联算法，在实战平台中开发界面，实现系统性查看关联信息（展示方式按照实际需求为准）。</w:t>
            </w:r>
          </w:p>
        </w:tc>
        <w:tc>
          <w:tcPr>
            <w:tcW w:w="0" w:type="auto"/>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360" w:lineRule="auto"/>
              <w:jc w:val="center"/>
              <w:rPr>
                <w:rFonts w:hint="eastAsia" w:ascii="宋体" w:hAnsi="宋体" w:eastAsia="宋体" w:cs="宋体"/>
                <w:i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360" w:lineRule="auto"/>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65</w:t>
            </w:r>
          </w:p>
        </w:tc>
        <w:tc>
          <w:tcPr>
            <w:tcW w:w="20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人员活动档案</w:t>
            </w:r>
          </w:p>
        </w:tc>
        <w:tc>
          <w:tcPr>
            <w:tcW w:w="495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人员档案：</w:t>
            </w:r>
            <w:r>
              <w:rPr>
                <w:rStyle w:val="238"/>
                <w:rFonts w:hint="eastAsia" w:ascii="宋体" w:hAnsi="宋体" w:eastAsia="宋体" w:cs="宋体"/>
                <w:sz w:val="21"/>
                <w:szCs w:val="21"/>
                <w:lang w:val="en-US" w:eastAsia="zh-CN" w:bidi="ar"/>
              </w:rPr>
              <w:t>将从丽水市局、各政府单位及云上公安获取的数据碰撞分析、计算后在人员档案中展示（展示方式按照实际需求为准）</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360" w:lineRule="auto"/>
              <w:jc w:val="center"/>
              <w:rPr>
                <w:rFonts w:hint="eastAsia" w:ascii="宋体" w:hAnsi="宋体" w:eastAsia="宋体" w:cs="宋体"/>
                <w:i w:val="0"/>
                <w:color w:val="000000"/>
                <w:sz w:val="21"/>
                <w:szCs w:val="21"/>
                <w:u w:val="none"/>
              </w:rPr>
            </w:pPr>
          </w:p>
        </w:tc>
        <w:tc>
          <w:tcPr>
            <w:tcW w:w="20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spacing w:line="360" w:lineRule="auto"/>
              <w:jc w:val="center"/>
              <w:rPr>
                <w:rFonts w:hint="eastAsia" w:ascii="宋体" w:hAnsi="宋体" w:eastAsia="宋体" w:cs="宋体"/>
                <w:i w:val="0"/>
                <w:color w:val="000000"/>
                <w:sz w:val="21"/>
                <w:szCs w:val="21"/>
                <w:u w:val="none"/>
              </w:rPr>
            </w:pPr>
          </w:p>
        </w:tc>
        <w:tc>
          <w:tcPr>
            <w:tcW w:w="495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单表展示：</w:t>
            </w:r>
            <w:r>
              <w:rPr>
                <w:rStyle w:val="238"/>
                <w:rFonts w:hint="eastAsia" w:ascii="宋体" w:hAnsi="宋体" w:eastAsia="宋体" w:cs="宋体"/>
                <w:sz w:val="21"/>
                <w:szCs w:val="21"/>
                <w:lang w:val="en-US" w:eastAsia="zh-CN" w:bidi="ar"/>
              </w:rPr>
              <w:t>打通系统一人一档应用，展示人员的多维度生活轨迹。将从丽水市局、各政府单位及云上公安获取的数据在人员档案中以单表方式展示，实现物联+**感知融合，多维度掌控人员活动轨迹</w:t>
            </w:r>
          </w:p>
        </w:tc>
        <w:tc>
          <w:tcPr>
            <w:tcW w:w="0" w:type="auto"/>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360" w:lineRule="auto"/>
              <w:jc w:val="center"/>
              <w:rPr>
                <w:rFonts w:hint="eastAsia" w:ascii="宋体" w:hAnsi="宋体" w:eastAsia="宋体" w:cs="宋体"/>
                <w:i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360" w:lineRule="auto"/>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66</w:t>
            </w:r>
          </w:p>
        </w:tc>
        <w:tc>
          <w:tcPr>
            <w:tcW w:w="20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圈层防控</w:t>
            </w:r>
          </w:p>
        </w:tc>
        <w:tc>
          <w:tcPr>
            <w:tcW w:w="495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防控圈建设：</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支持通过前端设备打标签的方式，结合人员标签属性，经过系统分析研判、逻辑计算后，构建重点人员常驻圈、县域防护圈及重点区域防护圈。</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360" w:lineRule="auto"/>
              <w:jc w:val="center"/>
              <w:rPr>
                <w:rFonts w:hint="eastAsia" w:ascii="宋体" w:hAnsi="宋体" w:eastAsia="宋体" w:cs="宋体"/>
                <w:i w:val="0"/>
                <w:color w:val="000000"/>
                <w:sz w:val="21"/>
                <w:szCs w:val="21"/>
                <w:u w:val="none"/>
              </w:rPr>
            </w:pPr>
          </w:p>
        </w:tc>
        <w:tc>
          <w:tcPr>
            <w:tcW w:w="20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spacing w:line="360" w:lineRule="auto"/>
              <w:jc w:val="center"/>
              <w:rPr>
                <w:rFonts w:hint="eastAsia" w:ascii="宋体" w:hAnsi="宋体" w:eastAsia="宋体" w:cs="宋体"/>
                <w:i w:val="0"/>
                <w:color w:val="000000"/>
                <w:sz w:val="21"/>
                <w:szCs w:val="21"/>
                <w:u w:val="none"/>
              </w:rPr>
            </w:pPr>
          </w:p>
        </w:tc>
        <w:tc>
          <w:tcPr>
            <w:tcW w:w="495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积分规则：</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支持重点人员构建其常驻圈</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支持检测重点人员出现/消失在跨区域道路、车站等地，或试图离开常驻地点，赋予一定的预警积分值。</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预警积分值可以通过不同的标识或者颜色进行区分（展示方式按照实际需求为准），便于直观展示。</w:t>
            </w:r>
          </w:p>
        </w:tc>
        <w:tc>
          <w:tcPr>
            <w:tcW w:w="0" w:type="auto"/>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360" w:lineRule="auto"/>
              <w:jc w:val="center"/>
              <w:rPr>
                <w:rFonts w:hint="eastAsia" w:ascii="宋体" w:hAnsi="宋体" w:eastAsia="宋体" w:cs="宋体"/>
                <w:i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360" w:lineRule="auto"/>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360" w:lineRule="auto"/>
              <w:jc w:val="center"/>
              <w:rPr>
                <w:rFonts w:hint="eastAsia" w:ascii="宋体" w:hAnsi="宋体" w:eastAsia="宋体" w:cs="宋体"/>
                <w:i w:val="0"/>
                <w:color w:val="000000"/>
                <w:sz w:val="21"/>
                <w:szCs w:val="21"/>
                <w:u w:val="none"/>
              </w:rPr>
            </w:pPr>
          </w:p>
        </w:tc>
        <w:tc>
          <w:tcPr>
            <w:tcW w:w="20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spacing w:line="360" w:lineRule="auto"/>
              <w:jc w:val="center"/>
              <w:rPr>
                <w:rFonts w:hint="eastAsia" w:ascii="宋体" w:hAnsi="宋体" w:eastAsia="宋体" w:cs="宋体"/>
                <w:i w:val="0"/>
                <w:color w:val="000000"/>
                <w:sz w:val="21"/>
                <w:szCs w:val="21"/>
                <w:u w:val="none"/>
              </w:rPr>
            </w:pPr>
          </w:p>
        </w:tc>
        <w:tc>
          <w:tcPr>
            <w:tcW w:w="495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积分预警：</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在系统模型运行监测分析下，若监测到重点人员进入防空圈（县区、政府办公区等地），将触发预警信息</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建立预警信息流转机制，对不同的预警信息进行分配给对应辖区***进行处置，</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建立积分预警叠加机制（重点人员加减分）</w:t>
            </w:r>
          </w:p>
        </w:tc>
        <w:tc>
          <w:tcPr>
            <w:tcW w:w="0" w:type="auto"/>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360" w:lineRule="auto"/>
              <w:jc w:val="center"/>
              <w:rPr>
                <w:rFonts w:hint="eastAsia" w:ascii="宋体" w:hAnsi="宋体" w:eastAsia="宋体" w:cs="宋体"/>
                <w:i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360" w:lineRule="auto"/>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67</w:t>
            </w:r>
          </w:p>
        </w:tc>
        <w:tc>
          <w:tcPr>
            <w:tcW w:w="20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重点人员档案</w:t>
            </w:r>
          </w:p>
        </w:tc>
        <w:tc>
          <w:tcPr>
            <w:tcW w:w="495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重点人员建档：</w:t>
            </w:r>
            <w:r>
              <w:rPr>
                <w:rStyle w:val="238"/>
                <w:rFonts w:hint="eastAsia" w:ascii="宋体" w:hAnsi="宋体" w:eastAsia="宋体" w:cs="宋体"/>
                <w:sz w:val="21"/>
                <w:szCs w:val="21"/>
                <w:lang w:val="en-US" w:eastAsia="zh-CN" w:bidi="ar"/>
              </w:rPr>
              <w:t>将从丽水市局、各政府单位及云上公安获取相关人员数据，并分类建档（展示方式按照实际需求为准）</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360" w:lineRule="auto"/>
              <w:jc w:val="center"/>
              <w:rPr>
                <w:rFonts w:hint="eastAsia" w:ascii="宋体" w:hAnsi="宋体" w:eastAsia="宋体" w:cs="宋体"/>
                <w:i w:val="0"/>
                <w:color w:val="000000"/>
                <w:sz w:val="21"/>
                <w:szCs w:val="21"/>
                <w:u w:val="none"/>
              </w:rPr>
            </w:pPr>
          </w:p>
        </w:tc>
        <w:tc>
          <w:tcPr>
            <w:tcW w:w="20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spacing w:line="360" w:lineRule="auto"/>
              <w:jc w:val="center"/>
              <w:rPr>
                <w:rFonts w:hint="eastAsia" w:ascii="宋体" w:hAnsi="宋体" w:eastAsia="宋体" w:cs="宋体"/>
                <w:i w:val="0"/>
                <w:color w:val="000000"/>
                <w:sz w:val="21"/>
                <w:szCs w:val="21"/>
                <w:u w:val="none"/>
              </w:rPr>
            </w:pPr>
          </w:p>
        </w:tc>
        <w:tc>
          <w:tcPr>
            <w:tcW w:w="495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重点人员预计展现：</w:t>
            </w:r>
            <w:r>
              <w:rPr>
                <w:rStyle w:val="238"/>
                <w:rFonts w:hint="eastAsia" w:ascii="宋体" w:hAnsi="宋体" w:eastAsia="宋体" w:cs="宋体"/>
                <w:sz w:val="21"/>
                <w:szCs w:val="21"/>
                <w:lang w:val="en-US" w:eastAsia="zh-CN" w:bidi="ar"/>
              </w:rPr>
              <w:t>针对建档人员按照库进行布控，并在实战平台预警中心展现相关信息</w:t>
            </w:r>
          </w:p>
        </w:tc>
        <w:tc>
          <w:tcPr>
            <w:tcW w:w="0" w:type="auto"/>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360" w:lineRule="auto"/>
              <w:jc w:val="center"/>
              <w:rPr>
                <w:rFonts w:hint="eastAsia" w:ascii="宋体" w:hAnsi="宋体" w:eastAsia="宋体" w:cs="宋体"/>
                <w:i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360" w:lineRule="auto"/>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68</w:t>
            </w:r>
          </w:p>
        </w:tc>
        <w:tc>
          <w:tcPr>
            <w:tcW w:w="20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预警信息发布</w:t>
            </w:r>
          </w:p>
        </w:tc>
        <w:tc>
          <w:tcPr>
            <w:tcW w:w="495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系统产生的预警信息经过处理、封装、转化，开发相关的接口和市局预警平台/短信平台互通，实现预警信息通过第三方平台转发到民警/责任人手机中。实现第一时间接受信息，快速展开工作。</w:t>
            </w: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9728" w:type="dxa"/>
            <w:gridSpan w:val="5"/>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line="360" w:lineRule="auto"/>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四、数据接入处理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vMerge w:val="restart"/>
            <w:tcBorders>
              <w:top w:val="single" w:color="000000" w:sz="4" w:space="0"/>
              <w:left w:val="single" w:color="000000" w:sz="4" w:space="0"/>
              <w:bottom w:val="nil"/>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69</w:t>
            </w:r>
          </w:p>
        </w:tc>
        <w:tc>
          <w:tcPr>
            <w:tcW w:w="2035" w:type="dxa"/>
            <w:vMerge w:val="restart"/>
            <w:tcBorders>
              <w:top w:val="single" w:color="000000" w:sz="4" w:space="0"/>
              <w:left w:val="single" w:color="000000" w:sz="4" w:space="0"/>
              <w:bottom w:val="nil"/>
              <w:right w:val="single" w:color="000000" w:sz="4" w:space="0"/>
            </w:tcBorders>
            <w:shd w:val="clear" w:color="auto" w:fill="FFFFFF"/>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数据接入</w:t>
            </w:r>
          </w:p>
        </w:tc>
        <w:tc>
          <w:tcPr>
            <w:tcW w:w="495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定制开发数据接入基础服务：用于将外部数据采集到本地，支持全量和增量接入方式；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适配现场存储和数据存储。</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0" w:type="dxa"/>
              <w:left w:w="10" w:type="dxa"/>
              <w:right w:w="10" w:type="dxa"/>
            </w:tcMar>
            <w:vAlign w:val="center"/>
          </w:tcPr>
          <w:p>
            <w:pPr>
              <w:spacing w:line="360" w:lineRule="auto"/>
              <w:jc w:val="center"/>
              <w:rPr>
                <w:rFonts w:hint="eastAsia" w:ascii="宋体" w:hAnsi="宋体" w:eastAsia="宋体" w:cs="宋体"/>
                <w:i w:val="0"/>
                <w:color w:val="000000"/>
                <w:sz w:val="21"/>
                <w:szCs w:val="21"/>
                <w:u w:val="none"/>
              </w:rPr>
            </w:pPr>
          </w:p>
        </w:tc>
        <w:tc>
          <w:tcPr>
            <w:tcW w:w="2035" w:type="dxa"/>
            <w:vMerge w:val="continue"/>
            <w:tcBorders>
              <w:top w:val="single" w:color="000000" w:sz="4" w:space="0"/>
              <w:left w:val="single" w:color="000000" w:sz="4" w:space="0"/>
              <w:bottom w:val="nil"/>
              <w:right w:val="single" w:color="000000" w:sz="4" w:space="0"/>
            </w:tcBorders>
            <w:shd w:val="clear" w:color="auto" w:fill="FFFFFF"/>
            <w:noWrap w:val="0"/>
            <w:tcMar>
              <w:top w:w="10" w:type="dxa"/>
              <w:left w:w="10" w:type="dxa"/>
              <w:right w:w="10" w:type="dxa"/>
            </w:tcMar>
            <w:vAlign w:val="center"/>
          </w:tcPr>
          <w:p>
            <w:pPr>
              <w:spacing w:line="360" w:lineRule="auto"/>
              <w:jc w:val="center"/>
              <w:rPr>
                <w:rFonts w:hint="eastAsia" w:ascii="宋体" w:hAnsi="宋体" w:eastAsia="宋体" w:cs="宋体"/>
                <w:i w:val="0"/>
                <w:color w:val="000000"/>
                <w:sz w:val="21"/>
                <w:szCs w:val="21"/>
                <w:u w:val="none"/>
              </w:rPr>
            </w:pPr>
          </w:p>
        </w:tc>
        <w:tc>
          <w:tcPr>
            <w:tcW w:w="495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从丽水市局、各政府单位、云上公安、大数据对外共享数据接口等获取的相关数据，包含：人民医院就诊数据、汽车站旅客购票数据、路侧停车数据、停车场数据、公积金缴存数据、重点人员数据（按6种数据类型计算）</w:t>
            </w:r>
          </w:p>
        </w:tc>
        <w:tc>
          <w:tcPr>
            <w:tcW w:w="0" w:type="auto"/>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360" w:lineRule="auto"/>
              <w:jc w:val="center"/>
              <w:rPr>
                <w:rFonts w:hint="eastAsia" w:ascii="宋体" w:hAnsi="宋体" w:eastAsia="宋体" w:cs="宋体"/>
                <w:i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360" w:lineRule="auto"/>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70</w:t>
            </w:r>
          </w:p>
        </w:tc>
        <w:tc>
          <w:tcPr>
            <w:tcW w:w="2035"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数据、视图网关</w:t>
            </w:r>
          </w:p>
        </w:tc>
        <w:tc>
          <w:tcPr>
            <w:tcW w:w="4952" w:type="dxa"/>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视图库联网：</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联网注册：具备注册、保活和注销服务功能，支持多级联网；视图库启动时主动向上级视图库注册，注册失败时，应延迟300s 内的随机时间后重新注册。注册成功后，在90s 内未交互信息则进行心跳保活</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视频卡口管理：支持卡口点位（符合GAT 1400.3 附录A A.3视频卡口对象）的添加、修改、删除等管理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采集设备管理：支持采集设备（符合GAT 1400.3 附录A A.1采集设备对象特征属性）的添加、修改、删除等管理，并支持同步采集设备状态信息</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采集系统管理：支持采集系统（符合GAT 1400.3 附录A A.2采集系统对象）的添加、修改、删除等管理，并支持同步采集系统状态信息</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车道管理：支持车道（符合GAT 1400.3 附录A A.4车道对象）的添加、修改、删除等管理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视图库管理：支持视图库服务器（符合GAT 1400.3 附录A A.21联网服务器对象）的添加、修改、删除等管理；扩展可配置联网本机视图库的分配的账号信息</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应用平台管理：支持应用平台（符合GAT 1400.3 附录A A.30视频图像应用平台对象）的添加、修改、删除等管理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分析系统管理：支持分析系统（符合GAT 1400.3 附录A A.31视频图像分析系统对象）的添加、修改、删除等管理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编码转换：支持增加编码转换配置项开启关闭，开启后，支持将国标编码第11、12、13位类型编码为131（编码器）的通道转换成119（可配置成其他），并将此设备产生的时空数据中的编码也做同步转换</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设备变更：支持设备在离线状态同步；作为下级时支持将采集设备在离线状态同步给上级；作为上级时支持接受下级采集设备在离线状态；作为上级时，支持下级通知上报新增、修改（必填字段修改）、删除设备；作为下级时，支持通道新增、修改（必填字段修改）、删除同步至上级（需考虑上级的用户权限，无权限的设备不上报任何信息）</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设备组织挂靠：作为上级时，支持按placecode，orgcode和设备国标编码前N位两种方式配置支持设备挂靠组织的逻辑；作为下级时，支持按组织编码前N位（可配置N的值）和设备国标编码前N位（可配置N的值）两种方式配置填充placecode\orgcode的值</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采集设备：采集设备支持导出和导入，支持按名称、IP、编码进行模糊检索</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视频卡口和车道：视频卡口和车道支持导出和导入，支持按名称、IP、编码、类型等进行模糊检索；添加卡口时可直接添加几个车道（默认一个通道），编辑车道信息（必填项需要有必填字段填充），可快速建立卡口和车道的关系；</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车道卡口自动生成：根据采集设备ID替换11-13位自动批量生成卡口，每个卡口自动生成一个车道，必填属性使用默认值填充，每个车道关联的采集设备ID通过卡口的ID替换关联，同时将过车数据中关联卡口字段做填充1、根据deviceID自动生成tollgateID字段，使其web界面上可以自动生成“卡口”和“车道”两个界面栏的卡口点位和车道点位；2、生成车道点位之后会自动在过车记录推送的时候增加tollgateID字段；3、最终实现上级订阅卡口组织和车道目录以及订阅过车记录的时候会有tollgateID字段</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车道卡口信息同步：支持将车道卡口删除、新增、修改信息（必填字段修改）同步给上级</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数据级联：</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数据接入汇聚：支持按公安部GA/T1400标准协议接口接入人脸、人体、车辆、MAC、RFID等物联感知数据，实现物联感知数据统一汇聚整合</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数据级联分发：支持按公安部GA/T1400标准协议接口分发级联人脸、人体、车辆、MAC、RFID等物联感知数据共享给上级视图库，实现物联感知数据统一汇聚整合</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订阅通知：支持上级视图库与本级视图库之间进行视频图像信息对象、采集设备或采集系统目录等订阅与通知。通知发出后，若在一定延迟时间（例如 5s）内未接收到响应，则视为通知失败，重传</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下发订阅：支持新增、修改、取消订阅（符合GAT 1400.3 附录A A.19订阅对象），点击保存并下发布订阅到下级视图库；支持按申请单位、订阅标题、类别、申请人筛选条件查询订阅记录；</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订阅类别：支持的订阅类别有案（事）件目录、采集设备目录、采集设备状态、采集系统目录、采集系统状态、视频卡口目录、车道目录、自动采集的人员信息、自动采集的人脸信息、自动采集的车辆信息、自动采集的非机动车辆信息、自动采集的物品信息、自动采集的文件信息</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查询通知：支持接受下级视图库按订阅上报的通知，支持按申请单位、订阅类别，订阅人，订阅申请单位，订阅开始时间，订阅接收时间筛选条件查询订阅通知记录</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接受订阅：支持接受上级视图库对本级视图库的新增、修改、取消订阅，并按订阅指令上报通知</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采集上报推送：支持以采集接口上报方式向上级视图库上报推送人脸、人员、车辆数据，可配置选择是否上报图片base64</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数据服务：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特征属性】查询：支持上级视图库、应用平台、其他信息系统等向视图库进行基于视频图像信息对象等特征属性及其组合的查询，支持分析系统向视图库进行基于视频图像信息对象等特征属性及其组合的查询人脸属性：性别、姓名、身份证号码、开始时间、结束时间、车牌号车辆属性：车牌号、车身颜色、车辆品牌、车辆类型、号牌类型、车牌颜色、开始时间、结束时间</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特征属性】对象：支持单个/批量查询视频片段、视频片段对象信息、视频片段数据、图像、图像对象信息、图像数据、文件、文件对象信息、文件数据、人员、人脸、机动车、非机动车、物品、场景、视频案事件、视频案事件信息；支持查询布控任务、告警记录、订阅任务、通知任务、视频图像分析规则、视频图像标签</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特征属性】创建更新删除：支持上级视图库、应用平台、其他信息系统等向视图库进行人工采集视频案事件及视频图像信息对象的创建、更新、删除，对象包括：案事件、案事件对象信息、视频片段、视频片段对象信息、视频片段数据、图像、图像对象信息、图像数据、文件、文件对象信息、文件数据、人员、人脸、机动车、非机动车、物品、场景、视频图像标签、视频图像分析规则</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【采集设备/系统】查询更新：支持上级视图库、应用平台、其他信息系统等向视图库进行采集设备或采集系统等的查询、更新</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【布控告警】：支持上级视图库、应用平台、其他信息系统等与视图库下发视频图像信息对象（人脸图像和车牌）的布控与告警，支持对视图库批量布控、更新、删除布控任务、撤控和告警上报</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【订阅通知】：支持上级视图库、应用平台、其他信息系统等与视图库之间进行视频图像信息对象、采集设备或 采集系统目录等的订阅与通知；通知发出后， 若在一定延迟时间（例如 5s）内未接收到响应，则视为通知失败，应重传</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跨级查询：作为下级，支持上级视图库向本级视图库进行基于视频图像信息对象（人脸和机动车）的特征属性及其组合的查询，跨级查询时，支持将查询转发给下级视图库，并汇总各下级查询结果返回给上级视图库支持上级视图库向视图库进行对于采集设备或采集系统列表的查询，跨级查询时，支持将查询转发给下级视图库，并汇总各下级查询结果返回给上级视图库</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跨级以图搜图：作为下级，支持上级视图库以人脸图片、车辆图片作为查询条件进行以图搜图，跨级查询时，支持将请求跨级分发给所有下级视图库，并将本地及所有下级视图库的检索结果汇总合并后，转发给上级视图库</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跨级布控告警：作为下级，支持上级视图库下发的人脸图像和车牌布控指令，当本级发现目标时向上级视图库发送告警消息，根据布控范围将布控指令转发或分发给下级视图库，当收到下级视图库的告警时，应将告警转发给上级视图库</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跨级订阅与通知：支持上级视图库向视图库进行基于视频图像信息、采集设备或采集系统等对象特征属性对指定目标的订阅与通知，跨级订阅时，本级视图库应将上级视图库的订阅指令转发或分发给下级视图库；当收到下级视图库的通知时，应将通知转发给上级视图库</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数据治理：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视图库联网监测：支持上下级视图库联网状态、对接节点状态、联网传输速率通过可视化动态方式实时展示，联网状态和异常监控实时掌握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数据接收趋势：支持展示本级视图库接入下级数据量的数据报表，可按时间段筛选、可按不同对接下级筛选、可按人脸、车辆、案事件、MAC、RFID、门禁等数据类型筛选、可按接收节点IP等维度查询数据接入报表（兼容1400协议和智慧小区部标协议），方便系统运维人员掌握系统整体接入的数据量趋势，判断系统联网数据接入是否骤增或骤降等异常情况</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数据接分发趋势：支持展示本级视图库转出给不同上级数据量的数据报表，可按时间段筛选、可按数据接收方、推送节点IP、数据类型（人脸、车辆、机动车、非机动车等）、MQ消费数据量、上级拒收数据量、网络异常丢失量、内部服务异常丢失量、内部不规范校验丢失量、推送成功数据量等维度查询数据推送报表（兼容1400协议和智慧小区部标协议），方便系统运维人员掌握系统整体推送的数据量趋势，判断系统联网数据推送是否骤增或骤降等异常情况</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实时数据统计：今日接入数据总量、累计接入数据总量按数据类型人脸、车辆、人员、非机动车、门禁、MAC、RFID分类统计实时刷新展示；今日转出数据总量、累计转出数据总量按数据类型人脸、车辆、人员、非机动车、门禁、MAC、RFID分类统计实时刷新展示；系统运维人员可直观掌握系统数据进出情况，掌握系统关键进出链路上的数据对账和统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数据规范性监测：支持按照公安部《GA/T1400.3-2017公安视频图像信息应用系统 第3部分：数据库技术要求》对接入的物联感知数据的必填字段是否为空、标识符、数据类型、数据值域范围、数据标识编码规则等数据规范性进行监测和统计，针对不合规数据进行拒收和记录，严格监控接入流程源头数据的规范性，并支持导入不合规数据用于下级整改</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数据转换：支持将标准数据接入后按照业务系统使用情况进行数据转换，包括字段映射、字段拆分、字典转换、关键字段填充等</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数据对账：支持按数据类型、按自定义时间段、按不同接入的下级统计等三个维度统计不同下级推送的推送数据量、数据异常（不合规数据量、程序异常、未关联设备数据量）、实际入库数量、图片异常数量，并支持点击查看异常数据列表和导出统计报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时钟同步：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NTP校时：支持基于NTP/SNTP协议（见IETF RFC5905）与NTP时钟源同步</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提供时钟获取接口：支持向所管理的采集设备提供时钟同步功能，并符合GA/T 1400.4中的相关规定</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权限管理：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用户管理：支持新建、修改、删除、更新等用户管理，支持配置用户角色，从而实现各警种权限的配置</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角色管理：支持新建、修改、删除、更新等角色管理，支持配置角色菜单权限和接口权限</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合法性认证：具备独立的认证鉴权功能，对接入视图库的用户身份进行合法性认证</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身份认证模式：符合GA/T 669.2中的相关规定</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用户访问控制：支持限制用户多点登录，通过角色权限控制用户只可单点或多点登录</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运维配置：</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推送间隔配置：作为下级时，推送批次间隔等性能参数配置支持提供几个场景配置组合选择，可以根据不同场景配置不同参数，减少因参数配置带来的维护成本；作为下级时，支持在页面中展示上级订阅的推送间隔（部分上级并不会指定推送间隔，需支持页面配置，提高可维护性）；订阅通知中“上报间隔（s）”修改后无需重启服务就能生效</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图片配置：作为下级时，图片配置可区分大小图</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安全性：</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接口权限控制：访问有权限控制，禁止非授权访问，可对接口进行权限控制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数据权限控制：数据对象可根据用户配置增删改查权限，不同上下级配置不用用户可控制数据的访问权限，保证数据安全。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设备权限控制：作为下级时，支持通过用户绑定设备权限，控制只推送给上级具备设备权限的设备和抓拍数据。通过用户绑定设备可筛选推送数据给上级</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系统安全：可配套网络安全设备在互联网、政务外网等弱安全网络部署</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可用性：</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故障重启：系统支持软件故障后自动重启</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分布式统一管理：支持多台分布式节点统一安装部署，Web端统一入口管理各节点订阅通知和系统配置</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一点接入：支持作为上级时，当下级并发压力大需要多台服务器作为上级，支持用一台服务器对接所有的数据流量，内部集群再负载均衡；兼容订阅通知和主动上报两类接口，兼容1400、智慧小区、内保等多种协议支持双机热备，数据数据接入后可负载均衡给其他节点分别处理性能规格：配置2个万兆网卡，绑定，带图性能达到6Gps带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一点接出：支持作为下级时，数据并发压力大需要多个服务器作为下级对接，支持集群节点负载均衡，通过一台服务器推送所有数据流量；兼容订阅通知和主动上报两类接口，兼容1400、智慧小区、内保等多种协议支持双机热备，数据通过其他节点分别负载均衡处理再统一通过网关跟上级对接性能规格：配置2个万兆网卡，绑定，带图性能达到6Gps带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升级要求：支持从老版本升级到最新版本，配置保留不丢失</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升级兼容性：支持仅升级视图库服务，不影响其他模块</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性能指标：</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通过采集接口接入或转发结构化数据（无图模式）：或支持总数据9000万条/天，并发2100条/S</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通过采集接口接入或转发结构化数据（小图模式）：或支持总数据2400万条/天,并发600条/S（50KB小图）</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通过采集接口接入或转发结构化数据（大小图模式）：或支持总数据600万条/天,并发140条/S（500KB+50KB）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通过级联接口接入或转发结构化数据（无图模式）：或支持总数据9000万条/天并发2100条/S</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通过级联接口接入或转发结构化数据（小图模式）：或支持总数据2400万条/天,并发600条/S（50KB小图）</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通过级联接口接入或转发结构化数据（大小图模式）：或支持总数据600万条/天,并发140条/S（500KB+50KB）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精确查询检索：&lt;3s</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模糊查询检索：&lt;5s</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加密狗服务。每套产品配备加密狗服务</w:t>
            </w: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71</w:t>
            </w:r>
          </w:p>
        </w:tc>
        <w:tc>
          <w:tcPr>
            <w:tcW w:w="20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智能平板</w:t>
            </w:r>
          </w:p>
        </w:tc>
        <w:tc>
          <w:tcPr>
            <w:tcW w:w="495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尺寸：65英寸</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配置：四核，内存：4G，存储：32G</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背光类型：DLED</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分辨率：3840*2160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触摸屏材料：防眩钢化玻璃，表面硬度达莫氏七级</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触摸技术：红外</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触摸点数：20点</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响应时间：&lt;15ms</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触摸精度：1mm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输入输出端口：HDMI输入*3，VGA*1，HDMI输出*1，音频输入*1，音频输出*1，1路RJ451000M网口</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支持手写和笔写，快速的书写响应速度</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支持缩放、移动拖拽、漫游等手势操作，及多种擦除方式（点擦、圈擦、手势板擦、一键清屏）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支持书写记录及批注内容生成二维码，通过扫描二维码即可分享或保存</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支持在任意通道任何界面下进行批注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支持电脑、手机、手持平板将画面内容无线传屏至智能会议平板上</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支持同时多个无线传屏器，多画面同时展示，最多支持 4 画面投屏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支持编辑任意欢迎词内容，快速生成欢迎词界面，并可进行签名、书写</w:t>
            </w: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gridSpan w:val="5"/>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五、5G可视化视频服务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72</w:t>
            </w:r>
          </w:p>
        </w:tc>
        <w:tc>
          <w:tcPr>
            <w:tcW w:w="20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5G可视化应急视频服务（含5G数据流量服务）</w:t>
            </w:r>
          </w:p>
        </w:tc>
        <w:tc>
          <w:tcPr>
            <w:tcW w:w="495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5G可视化应急视频服务技术要求：提供6套可视化视频移动智能布控球服务（包含6套5G数据流量服务1年1T，共3年）。</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实现随时迅速布控，支持视频结构化、周界防范、人脸检测光学变倍：31倍，200W像素，传感器类型：1/1.8英寸CMOS；</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最大分辨率：1920×1080；最大补光距离：100m（红外）；补光类型：红外；</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镜头焦距：6mm~186mm；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定位功能：支持北斗；支持GPS；可视域功能：支持；</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视频结构化：支持机动车、非机动车、人脸、人体检测；支持跟踪；支持优选；支持抓拍；支持上报最优的抓图机动车属性（车牌，车牌颜色 ，车辆类型，车身颜色，车标，车系/年款，遮阳板，安全带，抽烟，打电话，车内饰品，年检标志）；</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周界防范：支持绊线入侵；支持区域入侵；支持穿越围栏；支持徘徊检测；支持物品遗留；支持物品搬移；支持快速移动；支持停车检测；支持人员聚集；支持人车分类报警；支持联动跟踪；</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人脸检测：支持人脸检测；支持跟踪；支持优选；支持抓拍；支持上报最优的人脸抓图；支持人脸增强；支持人脸属性提取，支持6种属性8种表情：性别，年龄，眼镜，表情（愤怒，悲伤，厌恶，害怕，惊讶，平静，高兴，困惑），口罩，胡子；支持人脸抠图区域可设：人脸，单寸照；支持实时抓拍，优先抓拍，支持质量优先三种抓拍策略；</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智能说明：人脸检测、视频结构化、周界防范、作业监测所有智能均互斥；</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Wi-Fi：支持；4G：支持；5G：支持；</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RS-485接口：1个（波特率范围：1200bps~9600bps）；</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报警接口：1进1出；语音对讲：支持；</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报警输入：1路，开关量输入（0~5V DC）；报警输出：1路；</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报警联动：抓图；预置点；巡航；巡迹；录像；报警开关量输出；音频；发送邮件；短信联动；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报警事件：视频动态/遮挡检测/场景变更；音频检测；网络断开检测；IP冲突检测；存储卡状态检测；存储空间检测；电源异常检测；电池异常检测；</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供电方式：DC12V/5A±15%（标配）；</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防护等级：IP66TVS 6000V防雷、防浪涌和防突波保护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73</w:t>
            </w:r>
          </w:p>
        </w:tc>
        <w:tc>
          <w:tcPr>
            <w:tcW w:w="20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无人机视频回传系统服务（含5G数据流量服务、视频编码器服务、无线CPE数据终端服务、移动应急电源服务）</w:t>
            </w:r>
          </w:p>
        </w:tc>
        <w:tc>
          <w:tcPr>
            <w:tcW w:w="495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视频编码器：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提供视频编码器服务（包含5套5G数据流量服务1年1T，共3年）技术要求：</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支持DP/HDMI接口视音频采集，自动切换信号源，同时插入默认采集HDMI IN</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支持1路HDMI环通输出和1路本地HDMI输出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最大支持4K@30分辨率采集编码</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支持H.264/H.265编码，默认H.264</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支持音频格式编码G.711a</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支持POE或DC 12V双路供电</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无风扇设计，静音，高可靠性，低故障率</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提供5G无线CPE数据终端服务技术要求：</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主芯片：展锐：IVY510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内存：RAM：4Gb Flash：2Gb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无线频段： NR: N78\N79\N41；LTE:B1\3\5\8\34\39\40\41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天线接口：内置;WiFi：2.4GHz&amp;5GHz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Lan口数量：4*1000Mbps/100Mbps/10Mbps自适应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SIM卡卡槽：1个;天线类别数量：6*NR/LTE天线 + 4x WiFi天线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内置其他接口：1个;DC电源：DC12V/2A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防护等级：IP54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应急电源</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提供移动应急电源服务技术要求：</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AC交流输出200V~240V，50HZ，180W，DC直流输出 9V-12V/15A</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锂电池能量：251Wh，45Ah/3.7V;充电输入：15V/1A-3A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输出波形：纯正弦波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74</w:t>
            </w:r>
          </w:p>
        </w:tc>
        <w:tc>
          <w:tcPr>
            <w:tcW w:w="20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5G专网传输保障服务</w:t>
            </w:r>
          </w:p>
        </w:tc>
        <w:tc>
          <w:tcPr>
            <w:tcW w:w="495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提供5G专网传输保障服务：实现与公安视频网无缝对接。2次以上的服务经验。5G无线网络重点乡镇覆盖达到100%。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75</w:t>
            </w:r>
          </w:p>
        </w:tc>
        <w:tc>
          <w:tcPr>
            <w:tcW w:w="20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5G专网集成服务</w:t>
            </w:r>
          </w:p>
        </w:tc>
        <w:tc>
          <w:tcPr>
            <w:tcW w:w="495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5G专网集成服务（5G专网专用DNN隔离）：基于DNN隔离方式，面向行业客户所提供的业务隔离，采用5GDNN，用于区分不同数据网络的接入，根据DNN将回话分流到汇聚到不同的SMF/UPF，实现客户定向访问。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76</w:t>
            </w:r>
          </w:p>
        </w:tc>
        <w:tc>
          <w:tcPr>
            <w:tcW w:w="2035"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现场保障服务</w:t>
            </w:r>
          </w:p>
        </w:tc>
        <w:tc>
          <w:tcPr>
            <w:tcW w:w="4952" w:type="dxa"/>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1、确保5G移动可视化指挥视频保障方案制度合理、实施高效、保障精准；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2、保障安保沿线道路5G移动可视化指挥视频传送无卡顿。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3、确保保障相关区域的5G网络信号畅通。现场音视频回传服务与公安视频专网系统对接。</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4、根据安保进程，做好保障期间相关设备调度，盯防，应急处置，确保高效率。</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5、做好保障后相关数据整理，经验总结评估工作。                                                                        6、服务期3年，每年2次，提供保障小组，配合每期保障服务。                                                              7、现场网络保障：线路保障针对高速、高铁两条路线进行保障，沿线小区共438个小区，确保覆盖连续，4\5G网络直接切换顺畅。                                                                                                               8、全天活动现场保障，分公司现场负责，保障组、厂家协助。                                                              9、应急保障通信服务车1辆，需设备、传输、布放到位。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9728" w:type="dxa"/>
            <w:gridSpan w:val="5"/>
            <w:tcBorders>
              <w:top w:val="single" w:color="000000" w:sz="4" w:space="0"/>
              <w:left w:val="single" w:color="000000" w:sz="4" w:space="0"/>
              <w:bottom w:val="single" w:color="000000" w:sz="4" w:space="0"/>
              <w:right w:val="single" w:color="000000" w:sz="4" w:space="0"/>
            </w:tcBorders>
            <w:shd w:val="clear" w:color="auto" w:fill="FFFFFF"/>
            <w:noWrap w:val="0"/>
            <w:tcMar>
              <w:top w:w="10" w:type="dxa"/>
              <w:left w:w="10" w:type="dxa"/>
              <w:right w:w="10" w:type="dxa"/>
            </w:tcMar>
            <w:vAlign w:val="center"/>
          </w:tcPr>
          <w:p>
            <w:pPr>
              <w:keepNext w:val="0"/>
              <w:keepLines w:val="0"/>
              <w:widowControl/>
              <w:suppressLineNumbers w:val="0"/>
              <w:spacing w:line="360" w:lineRule="auto"/>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六、其他费用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系统检测费</w:t>
            </w:r>
          </w:p>
        </w:tc>
        <w:tc>
          <w:tcPr>
            <w:tcW w:w="495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检测比例100%；在项目正式验收前提供系统检测报告</w:t>
            </w: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预算审计费</w:t>
            </w:r>
          </w:p>
        </w:tc>
        <w:tc>
          <w:tcPr>
            <w:tcW w:w="495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在项目正式验收前提供报告</w:t>
            </w: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79</w:t>
            </w:r>
          </w:p>
        </w:tc>
        <w:tc>
          <w:tcPr>
            <w:tcW w:w="20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光纤链路租用费（三年）</w:t>
            </w:r>
          </w:p>
        </w:tc>
        <w:tc>
          <w:tcPr>
            <w:tcW w:w="495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建设监控点位的光纤电路。包含光纤收发器、交换机等链路设备，以及建设、开通、调试费用。</w:t>
            </w: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80</w:t>
            </w:r>
          </w:p>
        </w:tc>
        <w:tc>
          <w:tcPr>
            <w:tcW w:w="20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前端设备电费（三年）</w:t>
            </w:r>
          </w:p>
        </w:tc>
        <w:tc>
          <w:tcPr>
            <w:tcW w:w="495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含服务期内所有设备所需电费3年</w:t>
            </w: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81</w:t>
            </w:r>
          </w:p>
        </w:tc>
        <w:tc>
          <w:tcPr>
            <w:tcW w:w="20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项目维护费（三年）</w:t>
            </w:r>
          </w:p>
        </w:tc>
        <w:tc>
          <w:tcPr>
            <w:tcW w:w="495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含服务期内监控系统软硬件运行维护费用</w:t>
            </w: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bl>
    <w:p>
      <w:pPr>
        <w:pStyle w:val="5"/>
        <w:spacing w:before="120" w:beforeLines="50" w:after="120" w:afterLines="50"/>
        <w:ind w:firstLine="0" w:firstLineChars="0"/>
        <w:rPr>
          <w:rFonts w:hint="eastAsia" w:ascii="宋体" w:hAnsi="宋体" w:eastAsia="宋体" w:cs="宋体"/>
          <w:sz w:val="21"/>
          <w:szCs w:val="21"/>
        </w:rPr>
      </w:pPr>
      <w:bookmarkStart w:id="24" w:name="_Toc500333469"/>
      <w:r>
        <w:rPr>
          <w:rFonts w:hint="eastAsia" w:ascii="宋体" w:hAnsi="宋体" w:eastAsia="宋体" w:cs="宋体"/>
          <w:sz w:val="21"/>
          <w:szCs w:val="21"/>
        </w:rPr>
        <w:t>五   项目服务标准：</w:t>
      </w:r>
      <w:bookmarkEnd w:id="24"/>
    </w:p>
    <w:p>
      <w:pPr>
        <w:pStyle w:val="2"/>
        <w:spacing w:line="360" w:lineRule="auto"/>
        <w:ind w:firstLine="420" w:firstLineChars="200"/>
        <w:rPr>
          <w:rFonts w:hint="eastAsia" w:ascii="宋体" w:hAnsi="宋体" w:eastAsia="宋体" w:cs="宋体"/>
          <w:sz w:val="21"/>
          <w:szCs w:val="21"/>
          <w:shd w:val="clear" w:color="auto" w:fill="FFFFFF"/>
        </w:rPr>
      </w:pPr>
      <w:r>
        <w:rPr>
          <w:rFonts w:hint="eastAsia" w:ascii="宋体" w:hAnsi="宋体" w:eastAsia="宋体" w:cs="宋体"/>
          <w:sz w:val="21"/>
          <w:szCs w:val="21"/>
        </w:rPr>
        <w:t>5.1</w:t>
      </w:r>
      <w:r>
        <w:rPr>
          <w:rFonts w:hint="eastAsia" w:ascii="宋体" w:hAnsi="宋体" w:eastAsia="宋体" w:cs="宋体"/>
          <w:sz w:val="21"/>
          <w:szCs w:val="21"/>
          <w:shd w:val="clear" w:color="auto" w:fill="FFFFFF"/>
        </w:rPr>
        <w:t>服务期限：项目服务期为3年。</w:t>
      </w:r>
    </w:p>
    <w:p>
      <w:pPr>
        <w:spacing w:line="360" w:lineRule="auto"/>
        <w:ind w:firstLine="420" w:firstLineChars="200"/>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5.2 服务效率：中标方承诺提供7*24小时响应，对非硬件故障的系统问题，在2小时内修复；对硬件故障的，在4小时内修复；多路故障在8小时内修复。如设备故障在8小时后仍无法排除故障，将提供不低于故障设备型号档次的备用设备供采购方使用，直至故障设备修复，达到技术指标和性能要求，保证系统正常运行，做到不影响日常工作。每天的维护工作不得影响省公安厅、市公安局对缙云县的考评。否则采购人将自行采取必要的措施，由此产生风险和费用应由中标人承担。</w:t>
      </w:r>
    </w:p>
    <w:p>
      <w:pPr>
        <w:spacing w:line="420" w:lineRule="exact"/>
        <w:ind w:firstLine="420" w:firstLineChars="200"/>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5.3其他要求：</w:t>
      </w:r>
    </w:p>
    <w:p>
      <w:pPr>
        <w:spacing w:line="420" w:lineRule="exact"/>
        <w:ind w:firstLine="420" w:firstLineChars="200"/>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5.3.1本项目属交钥匙服务项目，中标方</w:t>
      </w:r>
      <w:r>
        <w:rPr>
          <w:rFonts w:hint="eastAsia" w:ascii="宋体" w:hAnsi="宋体" w:eastAsia="宋体" w:cs="宋体"/>
          <w:sz w:val="21"/>
          <w:szCs w:val="21"/>
        </w:rPr>
        <w:t>须对系统集成的完整性负责，</w:t>
      </w:r>
      <w:r>
        <w:rPr>
          <w:rFonts w:hint="eastAsia" w:ascii="宋体" w:hAnsi="宋体" w:eastAsia="宋体" w:cs="宋体"/>
          <w:sz w:val="21"/>
          <w:szCs w:val="21"/>
          <w:shd w:val="clear" w:color="auto" w:fill="FFFFFF"/>
        </w:rPr>
        <w:t>要考虑实现标书需求的所有费用，对标书中未体现，但又是提供服务</w:t>
      </w:r>
      <w:r>
        <w:rPr>
          <w:rFonts w:hint="eastAsia" w:ascii="宋体" w:hAnsi="宋体" w:eastAsia="宋体" w:cs="宋体"/>
          <w:sz w:val="21"/>
          <w:szCs w:val="21"/>
          <w:shd w:val="clear" w:color="auto" w:fill="FFFFFF"/>
          <w:lang w:eastAsia="zh-CN"/>
        </w:rPr>
        <w:t>（包括但不仅限于</w:t>
      </w:r>
      <w:r>
        <w:rPr>
          <w:rFonts w:hint="eastAsia" w:ascii="宋体" w:hAnsi="宋体" w:eastAsia="宋体" w:cs="宋体"/>
          <w:sz w:val="21"/>
          <w:szCs w:val="21"/>
        </w:rPr>
        <w:t>系统安装、上架、调试、原有线路拆除等系统集成服务</w:t>
      </w:r>
      <w:r>
        <w:rPr>
          <w:rFonts w:hint="eastAsia" w:ascii="宋体" w:hAnsi="宋体" w:eastAsia="宋体" w:cs="宋体"/>
          <w:sz w:val="21"/>
          <w:szCs w:val="21"/>
          <w:shd w:val="clear" w:color="auto" w:fill="FFFFFF"/>
          <w:lang w:eastAsia="zh-CN"/>
        </w:rPr>
        <w:t>）</w:t>
      </w:r>
      <w:r>
        <w:rPr>
          <w:rFonts w:hint="eastAsia" w:ascii="宋体" w:hAnsi="宋体" w:eastAsia="宋体" w:cs="宋体"/>
          <w:sz w:val="21"/>
          <w:szCs w:val="21"/>
          <w:shd w:val="clear" w:color="auto" w:fill="FFFFFF"/>
        </w:rPr>
        <w:t>所必须的设备，中标方必须自行补足设备（补足的设备技术参数不得低于投标承诺的同类设备），投标的报价包含实现标书的所有功能及安全保障工作，采购方不再另外支付额外费用，中标方须自行考虑报价风险。同时，中标方需对服务项目建设及运营期间的安全责任问题全权负责。</w:t>
      </w:r>
    </w:p>
    <w:p>
      <w:pPr>
        <w:spacing w:line="420" w:lineRule="exact"/>
        <w:ind w:firstLine="420" w:firstLineChars="200"/>
        <w:rPr>
          <w:rFonts w:hint="eastAsia" w:ascii="宋体" w:hAnsi="宋体" w:eastAsia="宋体" w:cs="宋体"/>
          <w:sz w:val="21"/>
          <w:szCs w:val="21"/>
          <w:shd w:val="clear" w:color="auto" w:fill="FFFFFF"/>
        </w:rPr>
      </w:pPr>
      <w:r>
        <w:rPr>
          <w:rFonts w:hint="eastAsia" w:ascii="宋体" w:hAnsi="宋体" w:eastAsia="宋体" w:cs="宋体"/>
          <w:sz w:val="21"/>
          <w:szCs w:val="21"/>
        </w:rPr>
        <w:t>安装要求：本项目为交钥匙工程，中标方提供中标方如相关设备、配件在招标清单中未列出但安装所采购设备、或搭建系统时必需，由中标人提供，产生的一切费用，均由中标方负责。</w:t>
      </w:r>
    </w:p>
    <w:p>
      <w:pPr>
        <w:spacing w:line="420" w:lineRule="exact"/>
        <w:ind w:firstLine="420" w:firstLineChars="200"/>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5.3.2本项目前端视频点位所需的网络传输链路及相关的网络设备(含光纤、收发器、交换机等)由供应商自行解决，运营商根据实际情况采用光纤传输或PON传输方式（前端单个网络接口带宽不得低于40M，如今后公安有新的业务需求时，必须免费提升带宽至满足公安实际业务的需求），每个前端点位在满足本次招标需求后，还需预留两个或两个以上网络接口，满足业主方其他业务需求。供应商提供的传输网络性能指标（网络时延、时延抖动、丢包率、包误差率）应达到YD/T 1171中规定的0级服务质量等级。</w:t>
      </w:r>
    </w:p>
    <w:p>
      <w:pPr>
        <w:spacing w:line="420" w:lineRule="exact"/>
        <w:ind w:firstLine="420" w:firstLineChars="200"/>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5.3.3本次项目的前端所有视频图像必须按国标GB/T 28181-2016的要求和丽水市公安局的传输接入要求推送到丽水市公安局视频云平台进行统一管理和视频存储；人像采集系统的视频流按照丽水市公安局人像识别比对系统进行统一的人像分析、提取、识别和比对；前端系统的所有抓拍图片、抓拍数据必须按照DB3311/T 32-2019的要求推送到丽水市公安局车辆云平台进行统一管理和业务应用，数据推送接入及平台对接过程中产生的一起费用均由中标供应商承担。供应商需提供详实可靠的系统对接方案，避免在数据接入和平台对接过程中造成现有业务应用平台崩溃、数据丢失等问题，如因供应商数据接入、平台对接等原因造成业务平台故障的，业务平台的修复费用由供应商承担。</w:t>
      </w:r>
    </w:p>
    <w:p>
      <w:pPr>
        <w:spacing w:line="420" w:lineRule="exact"/>
        <w:ind w:firstLine="420" w:firstLineChars="200"/>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5.3.4本次项目的前端网络高清摄像机的视频编码和视频存储设备必须符合浙江省《跨区域视频监控联网共享要求》（DB33/T 629-2011）标准、《安全防范视频监控联网系统信息传输、交换、控制技术要求》（GB/T 28181-2016）要求。设备地址编码必须遵循浙江省《跨区域视频监控联网共享要求》（DB33/T 629-2011）标准的要求。前端设备必须实现时钟同步功能,前端设备24h内计时误差不超过1.0s。图像文字信息标注需遵循GA/T 751-2008《视频图像文字标注要求》的要求。</w:t>
      </w:r>
    </w:p>
    <w:p>
      <w:pPr>
        <w:spacing w:line="420" w:lineRule="exact"/>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5.3.5在合同服务期内，项目相关产权属于中标方，未经采购方同意，中标方不得转让给第三方。服务期结束，双方解除服务合同后，项目产权归采购方所有。</w:t>
      </w:r>
    </w:p>
    <w:p>
      <w:pPr>
        <w:pStyle w:val="5"/>
        <w:spacing w:before="120" w:beforeLines="50" w:after="120" w:afterLines="50"/>
        <w:ind w:firstLine="0" w:firstLineChars="0"/>
        <w:rPr>
          <w:rFonts w:hint="eastAsia" w:ascii="宋体" w:hAnsi="宋体" w:eastAsia="宋体" w:cs="宋体"/>
          <w:color w:val="auto"/>
          <w:sz w:val="21"/>
          <w:szCs w:val="21"/>
        </w:rPr>
      </w:pPr>
      <w:bookmarkStart w:id="25" w:name="_Toc493956023"/>
      <w:bookmarkStart w:id="26" w:name="_Toc486423873"/>
      <w:bookmarkStart w:id="27" w:name="_Toc493957135"/>
      <w:bookmarkStart w:id="28" w:name="_Toc500333470"/>
      <w:r>
        <w:rPr>
          <w:rFonts w:hint="eastAsia" w:ascii="宋体" w:hAnsi="宋体" w:eastAsia="宋体" w:cs="宋体"/>
          <w:color w:val="auto"/>
          <w:sz w:val="21"/>
          <w:szCs w:val="21"/>
        </w:rPr>
        <w:t>六   商务要求</w:t>
      </w:r>
      <w:bookmarkEnd w:id="25"/>
      <w:bookmarkEnd w:id="26"/>
      <w:bookmarkEnd w:id="27"/>
      <w:bookmarkEnd w:id="28"/>
    </w:p>
    <w:p>
      <w:pPr>
        <w:snapToGrid w:val="0"/>
        <w:spacing w:line="360" w:lineRule="auto"/>
        <w:ind w:firstLine="510"/>
        <w:rPr>
          <w:rFonts w:hint="eastAsia" w:ascii="宋体" w:hAnsi="宋体" w:eastAsia="宋体" w:cs="宋体"/>
          <w:color w:val="auto"/>
          <w:sz w:val="21"/>
          <w:szCs w:val="21"/>
        </w:rPr>
      </w:pPr>
      <w:r>
        <w:rPr>
          <w:rFonts w:hint="eastAsia" w:ascii="宋体" w:hAnsi="宋体" w:eastAsia="宋体" w:cs="宋体"/>
          <w:color w:val="auto"/>
          <w:sz w:val="21"/>
          <w:szCs w:val="21"/>
        </w:rPr>
        <w:t>6.1 项目质保期要求：整个项目</w:t>
      </w:r>
      <w:r>
        <w:rPr>
          <w:rFonts w:hint="eastAsia" w:ascii="宋体" w:hAnsi="宋体" w:eastAsia="宋体" w:cs="宋体"/>
          <w:color w:val="auto"/>
          <w:sz w:val="21"/>
          <w:szCs w:val="21"/>
          <w:lang w:val="en-US" w:eastAsia="zh-CN"/>
        </w:rPr>
        <w:t>硬件设备</w:t>
      </w:r>
      <w:r>
        <w:rPr>
          <w:rFonts w:hint="eastAsia" w:ascii="宋体" w:hAnsi="宋体" w:eastAsia="宋体" w:cs="宋体"/>
          <w:color w:val="auto"/>
          <w:sz w:val="21"/>
          <w:szCs w:val="21"/>
        </w:rPr>
        <w:t>质保期为</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年。在质保期内，中标人应对本项目出现的质量及安全问题负责。</w:t>
      </w:r>
    </w:p>
    <w:p>
      <w:pPr>
        <w:snapToGrid w:val="0"/>
        <w:spacing w:line="360" w:lineRule="auto"/>
        <w:ind w:firstLine="510"/>
        <w:rPr>
          <w:rFonts w:hint="eastAsia" w:ascii="宋体" w:hAnsi="宋体" w:eastAsia="宋体" w:cs="宋体"/>
          <w:sz w:val="21"/>
          <w:szCs w:val="21"/>
          <w:highlight w:val="none"/>
        </w:rPr>
      </w:pPr>
      <w:r>
        <w:rPr>
          <w:rFonts w:hint="eastAsia" w:ascii="宋体" w:hAnsi="宋体" w:eastAsia="宋体" w:cs="宋体"/>
          <w:sz w:val="21"/>
          <w:szCs w:val="21"/>
          <w:highlight w:val="none"/>
        </w:rPr>
        <w:t>6.2 售后技术服务要求：中标人应对采购人的货物实行终身维护。售后服务由生产厂家提供，并出具承诺书并上门维修。</w:t>
      </w:r>
    </w:p>
    <w:p>
      <w:pPr>
        <w:spacing w:line="42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6.3 付款方式：</w:t>
      </w:r>
      <w:r>
        <w:rPr>
          <w:rFonts w:hint="eastAsia" w:ascii="宋体" w:hAnsi="宋体" w:eastAsia="宋体" w:cs="宋体"/>
          <w:sz w:val="21"/>
          <w:szCs w:val="21"/>
          <w:highlight w:val="none"/>
          <w:lang w:val="zh-CN"/>
        </w:rPr>
        <w:t>合同签订后</w:t>
      </w:r>
      <w:r>
        <w:rPr>
          <w:rFonts w:hint="eastAsia" w:ascii="宋体" w:hAnsi="宋体" w:cs="宋体"/>
          <w:sz w:val="21"/>
          <w:szCs w:val="21"/>
          <w:highlight w:val="none"/>
          <w:lang w:val="en-US" w:eastAsia="zh-CN"/>
        </w:rPr>
        <w:t>7个工作日内</w:t>
      </w:r>
      <w:r>
        <w:rPr>
          <w:rFonts w:hint="eastAsia" w:ascii="宋体" w:hAnsi="宋体" w:eastAsia="宋体" w:cs="宋体"/>
          <w:sz w:val="21"/>
          <w:szCs w:val="21"/>
          <w:highlight w:val="none"/>
          <w:lang w:val="en-US" w:eastAsia="zh-CN"/>
        </w:rPr>
        <w:t>支付当年应付金额的40%预付款,</w:t>
      </w:r>
      <w:r>
        <w:rPr>
          <w:rFonts w:hint="eastAsia" w:ascii="宋体" w:hAnsi="宋体" w:eastAsia="宋体" w:cs="宋体"/>
          <w:sz w:val="21"/>
          <w:szCs w:val="21"/>
          <w:highlight w:val="none"/>
          <w:lang w:val="zh-CN" w:eastAsia="zh-CN"/>
        </w:rPr>
        <w:t>供应商应提交银行、保险公司等金融机构出具同等金额的预付款保函</w:t>
      </w:r>
      <w:r>
        <w:rPr>
          <w:rFonts w:hint="eastAsia" w:ascii="宋体" w:hAnsi="宋体" w:eastAsia="宋体" w:cs="宋体"/>
          <w:sz w:val="21"/>
          <w:szCs w:val="21"/>
          <w:highlight w:val="none"/>
          <w:lang w:val="zh-CN"/>
        </w:rPr>
        <w:t>；</w:t>
      </w:r>
      <w:r>
        <w:rPr>
          <w:rFonts w:hint="eastAsia" w:ascii="宋体" w:hAnsi="宋体" w:eastAsia="宋体" w:cs="宋体"/>
          <w:sz w:val="21"/>
          <w:szCs w:val="21"/>
          <w:highlight w:val="none"/>
        </w:rPr>
        <w:t>中标方按要求完成建设后进入试运行阶段，经试运行系统正常并经采购方验收合格后开始支付租赁费用，租赁费用按月支付，支付时间为次月月底前。每月租赁费用＝中标价/36个月；实际支付月租费计算公式＝每月租赁费/建设摄像机总数*每月有效图像的总路数。</w:t>
      </w:r>
    </w:p>
    <w:p>
      <w:pPr>
        <w:keepNext/>
        <w:keepLines/>
        <w:spacing w:before="120" w:beforeLines="50" w:after="120" w:afterLines="50" w:line="360" w:lineRule="auto"/>
        <w:outlineLvl w:val="2"/>
        <w:rPr>
          <w:rFonts w:hint="eastAsia" w:ascii="宋体" w:hAnsi="宋体" w:eastAsia="宋体" w:cs="宋体"/>
          <w:b/>
          <w:bCs/>
          <w:sz w:val="21"/>
          <w:szCs w:val="21"/>
        </w:rPr>
      </w:pPr>
      <w:r>
        <w:rPr>
          <w:rFonts w:hint="eastAsia" w:ascii="宋体" w:hAnsi="宋体" w:eastAsia="宋体" w:cs="宋体"/>
          <w:b/>
          <w:bCs/>
          <w:sz w:val="21"/>
          <w:szCs w:val="21"/>
        </w:rPr>
        <w:t>七   项目证明及授权要求</w:t>
      </w:r>
    </w:p>
    <w:p>
      <w:pPr>
        <w:spacing w:line="42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7.1</w:t>
      </w:r>
      <w:r>
        <w:rPr>
          <w:rFonts w:hint="eastAsia" w:ascii="宋体" w:hAnsi="宋体" w:eastAsia="宋体" w:cs="宋体"/>
          <w:b/>
          <w:sz w:val="21"/>
          <w:szCs w:val="21"/>
        </w:rPr>
        <w:t xml:space="preserve"> </w:t>
      </w:r>
      <w:r>
        <w:rPr>
          <w:rFonts w:hint="eastAsia" w:ascii="宋体" w:hAnsi="宋体" w:eastAsia="宋体" w:cs="宋体"/>
          <w:sz w:val="21"/>
          <w:szCs w:val="21"/>
        </w:rPr>
        <w:t>排名第一的中标（成交）候选人须在签订合同前向采购人提供产品厂家针对本项目的三年原厂商售后服务承诺函（须加盖原厂商公章）。如排名第一的中标（成交）候选人不能提供三年原厂商售后服务承诺函原件，但其保证产品质量和售后服务的承诺后，可以不需要承诺函将合同授予该投标人，但采购人可根据项目要求增加履约保证金。</w:t>
      </w:r>
    </w:p>
    <w:p>
      <w:pPr>
        <w:pStyle w:val="5"/>
        <w:spacing w:before="120" w:beforeLines="50" w:after="120" w:afterLines="50"/>
        <w:ind w:firstLine="0" w:firstLineChars="0"/>
        <w:rPr>
          <w:rFonts w:hint="eastAsia" w:ascii="宋体" w:hAnsi="宋体" w:eastAsia="宋体" w:cs="宋体"/>
          <w:sz w:val="21"/>
          <w:szCs w:val="21"/>
        </w:rPr>
      </w:pPr>
      <w:bookmarkStart w:id="29" w:name="_Toc500333472"/>
      <w:r>
        <w:rPr>
          <w:rFonts w:hint="eastAsia" w:ascii="宋体" w:hAnsi="宋体" w:eastAsia="宋体" w:cs="宋体"/>
          <w:sz w:val="21"/>
          <w:szCs w:val="21"/>
        </w:rPr>
        <w:t>八   工期及供货地点要求</w:t>
      </w:r>
      <w:bookmarkEnd w:id="29"/>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8.1 工期要求：</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8.1.1  202</w:t>
      </w:r>
      <w:r>
        <w:rPr>
          <w:rFonts w:hint="eastAsia" w:ascii="宋体" w:hAnsi="宋体" w:eastAsia="宋体" w:cs="宋体"/>
          <w:sz w:val="21"/>
          <w:szCs w:val="21"/>
          <w:lang w:val="en-US" w:eastAsia="zh-CN"/>
        </w:rPr>
        <w:t>2</w:t>
      </w:r>
      <w:r>
        <w:rPr>
          <w:rFonts w:hint="eastAsia" w:ascii="宋体" w:hAnsi="宋体" w:eastAsia="宋体" w:cs="宋体"/>
          <w:sz w:val="21"/>
          <w:szCs w:val="21"/>
        </w:rPr>
        <w:t>年</w:t>
      </w:r>
      <w:r>
        <w:rPr>
          <w:rFonts w:hint="eastAsia" w:ascii="宋体" w:hAnsi="宋体" w:cs="宋体"/>
          <w:sz w:val="21"/>
          <w:szCs w:val="21"/>
          <w:lang w:val="en-US" w:eastAsia="zh-CN"/>
        </w:rPr>
        <w:t>12</w:t>
      </w:r>
      <w:r>
        <w:rPr>
          <w:rFonts w:hint="eastAsia" w:ascii="宋体" w:hAnsi="宋体" w:eastAsia="宋体" w:cs="宋体"/>
          <w:sz w:val="21"/>
          <w:szCs w:val="21"/>
        </w:rPr>
        <w:t>月</w:t>
      </w:r>
      <w:r>
        <w:rPr>
          <w:rFonts w:hint="eastAsia" w:ascii="宋体" w:hAnsi="宋体" w:eastAsia="宋体" w:cs="宋体"/>
          <w:sz w:val="21"/>
          <w:szCs w:val="21"/>
          <w:lang w:eastAsia="zh-CN"/>
        </w:rPr>
        <w:t>底</w:t>
      </w:r>
      <w:r>
        <w:rPr>
          <w:rFonts w:hint="eastAsia" w:ascii="宋体" w:hAnsi="宋体" w:eastAsia="宋体" w:cs="宋体"/>
          <w:sz w:val="21"/>
          <w:szCs w:val="21"/>
        </w:rPr>
        <w:t>前完成本项目全部摄像机建设和相关设备到位，系统进入试运行。</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8.1.2  202</w:t>
      </w:r>
      <w:r>
        <w:rPr>
          <w:rFonts w:hint="eastAsia" w:ascii="宋体" w:hAnsi="宋体" w:cs="宋体"/>
          <w:sz w:val="21"/>
          <w:szCs w:val="21"/>
          <w:lang w:val="en-US" w:eastAsia="zh-CN"/>
        </w:rPr>
        <w:t>3</w:t>
      </w:r>
      <w:r>
        <w:rPr>
          <w:rFonts w:hint="eastAsia" w:ascii="宋体" w:hAnsi="宋体" w:eastAsia="宋体" w:cs="宋体"/>
          <w:sz w:val="21"/>
          <w:szCs w:val="21"/>
        </w:rPr>
        <w:t>年</w:t>
      </w:r>
      <w:r>
        <w:rPr>
          <w:rFonts w:hint="eastAsia" w:ascii="宋体" w:hAnsi="宋体" w:cs="宋体"/>
          <w:sz w:val="21"/>
          <w:szCs w:val="21"/>
          <w:lang w:val="en-US" w:eastAsia="zh-CN"/>
        </w:rPr>
        <w:t>3</w:t>
      </w:r>
      <w:r>
        <w:rPr>
          <w:rFonts w:hint="eastAsia" w:ascii="宋体" w:hAnsi="宋体" w:eastAsia="宋体" w:cs="宋体"/>
          <w:sz w:val="21"/>
          <w:szCs w:val="21"/>
        </w:rPr>
        <w:t>月前完成试运行测试并通过验收工作。</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8.2 供货（安装）地点要求：缙云县公安局指定地点</w:t>
      </w:r>
      <w:r>
        <w:rPr>
          <w:rFonts w:hint="eastAsia" w:ascii="宋体" w:hAnsi="宋体" w:eastAsia="宋体" w:cs="宋体"/>
          <w:sz w:val="21"/>
          <w:szCs w:val="21"/>
          <w:lang w:eastAsia="zh-CN"/>
        </w:rPr>
        <w:t>。</w:t>
      </w:r>
    </w:p>
    <w:p>
      <w:pPr>
        <w:pStyle w:val="5"/>
        <w:spacing w:before="120" w:beforeLines="50" w:after="120" w:afterLines="50"/>
        <w:ind w:firstLine="0" w:firstLineChars="0"/>
        <w:rPr>
          <w:rFonts w:hint="eastAsia" w:ascii="宋体" w:hAnsi="宋体" w:eastAsia="宋体" w:cs="宋体"/>
          <w:sz w:val="21"/>
          <w:szCs w:val="21"/>
        </w:rPr>
      </w:pPr>
      <w:bookmarkStart w:id="30" w:name="_Toc493956026"/>
      <w:bookmarkStart w:id="31" w:name="_Toc486423876"/>
      <w:bookmarkStart w:id="32" w:name="_Toc500333473"/>
      <w:bookmarkStart w:id="33" w:name="_Toc493957138"/>
      <w:r>
        <w:rPr>
          <w:rFonts w:hint="eastAsia" w:ascii="宋体" w:hAnsi="宋体" w:eastAsia="宋体" w:cs="宋体"/>
          <w:sz w:val="21"/>
          <w:szCs w:val="21"/>
        </w:rPr>
        <w:t>九   安装、调试、验收要求</w:t>
      </w:r>
      <w:bookmarkEnd w:id="30"/>
      <w:bookmarkEnd w:id="31"/>
      <w:bookmarkEnd w:id="32"/>
      <w:bookmarkEnd w:id="33"/>
    </w:p>
    <w:p>
      <w:pPr>
        <w:snapToGrid w:val="0"/>
        <w:spacing w:line="360" w:lineRule="auto"/>
        <w:ind w:firstLine="510"/>
        <w:rPr>
          <w:rFonts w:hint="eastAsia" w:ascii="宋体" w:hAnsi="宋体" w:eastAsia="宋体" w:cs="宋体"/>
          <w:sz w:val="21"/>
          <w:szCs w:val="21"/>
        </w:rPr>
      </w:pPr>
      <w:r>
        <w:rPr>
          <w:rFonts w:hint="eastAsia" w:ascii="宋体" w:hAnsi="宋体" w:eastAsia="宋体" w:cs="宋体"/>
          <w:sz w:val="21"/>
          <w:szCs w:val="21"/>
        </w:rPr>
        <w:t>9.1 安装要求：本项目为交钥匙工程，中标方提供系统安装、配电、设备上架、接电、接网络、调试、原有线路拆除等系统集成服务，中标方须对系统集成的完整性负责，如相关设备、配件在招标清单中未列出但安装所采购设备、或搭建系统时必需，由中标人提供，产生的一切费用，均由中标方负责。</w:t>
      </w:r>
    </w:p>
    <w:p>
      <w:pPr>
        <w:snapToGrid w:val="0"/>
        <w:spacing w:line="360" w:lineRule="auto"/>
        <w:ind w:firstLine="510"/>
        <w:rPr>
          <w:rFonts w:hint="eastAsia" w:ascii="宋体" w:hAnsi="宋体" w:eastAsia="宋体" w:cs="宋体"/>
          <w:sz w:val="21"/>
          <w:szCs w:val="21"/>
        </w:rPr>
      </w:pPr>
      <w:r>
        <w:rPr>
          <w:rFonts w:hint="eastAsia" w:ascii="宋体" w:hAnsi="宋体" w:eastAsia="宋体" w:cs="宋体"/>
          <w:sz w:val="21"/>
          <w:szCs w:val="21"/>
        </w:rPr>
        <w:t>9.2 调试要求：甲方对乙方提供的货物在使用前进行调试时，乙方需负责安装并培训甲方的使用操作人员，并协助甲方一起调试，直到符合技术要求，甲方才做最终验收。</w:t>
      </w:r>
    </w:p>
    <w:p>
      <w:pPr>
        <w:snapToGrid w:val="0"/>
        <w:spacing w:line="360" w:lineRule="auto"/>
        <w:ind w:firstLine="510"/>
        <w:rPr>
          <w:rFonts w:hint="eastAsia" w:ascii="宋体" w:hAnsi="宋体" w:eastAsia="宋体" w:cs="宋体"/>
          <w:sz w:val="21"/>
          <w:szCs w:val="21"/>
        </w:rPr>
      </w:pPr>
      <w:r>
        <w:rPr>
          <w:rFonts w:hint="eastAsia" w:ascii="宋体" w:hAnsi="宋体" w:eastAsia="宋体" w:cs="宋体"/>
          <w:sz w:val="21"/>
          <w:szCs w:val="21"/>
        </w:rPr>
        <w:t xml:space="preserve">9.3 验收要求： </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9.3.1本项目安装、调试完成后，</w:t>
      </w:r>
      <w:r>
        <w:rPr>
          <w:rFonts w:hint="eastAsia" w:ascii="宋体" w:hAnsi="宋体" w:eastAsia="宋体" w:cs="宋体"/>
          <w:sz w:val="21"/>
          <w:szCs w:val="21"/>
          <w:lang w:eastAsia="zh-CN"/>
        </w:rPr>
        <w:t>进行</w:t>
      </w:r>
      <w:r>
        <w:rPr>
          <w:rFonts w:hint="eastAsia" w:ascii="宋体" w:hAnsi="宋体" w:eastAsia="宋体" w:cs="宋体"/>
          <w:sz w:val="21"/>
          <w:szCs w:val="21"/>
        </w:rPr>
        <w:t>试运行测试</w:t>
      </w:r>
      <w:r>
        <w:rPr>
          <w:rFonts w:hint="eastAsia" w:ascii="宋体" w:hAnsi="宋体" w:eastAsia="宋体" w:cs="宋体"/>
          <w:sz w:val="21"/>
          <w:szCs w:val="21"/>
          <w:lang w:eastAsia="zh-CN"/>
        </w:rPr>
        <w:t>，</w:t>
      </w:r>
      <w:r>
        <w:rPr>
          <w:rFonts w:hint="eastAsia" w:ascii="宋体" w:hAnsi="宋体" w:eastAsia="宋体" w:cs="宋体"/>
          <w:color w:val="000000"/>
          <w:sz w:val="21"/>
          <w:szCs w:val="21"/>
          <w:lang w:eastAsia="zh-CN"/>
        </w:rPr>
        <w:t>试运行结束</w:t>
      </w:r>
      <w:r>
        <w:rPr>
          <w:rFonts w:hint="eastAsia" w:ascii="宋体" w:hAnsi="宋体" w:eastAsia="宋体" w:cs="宋体"/>
          <w:color w:val="000000"/>
          <w:sz w:val="21"/>
          <w:szCs w:val="21"/>
          <w:lang w:val="en-US" w:eastAsia="zh-CN"/>
        </w:rPr>
        <w:t>15</w:t>
      </w:r>
      <w:r>
        <w:rPr>
          <w:rFonts w:hint="eastAsia" w:ascii="宋体" w:hAnsi="宋体" w:eastAsia="宋体" w:cs="宋体"/>
          <w:color w:val="000000"/>
          <w:sz w:val="21"/>
          <w:szCs w:val="21"/>
        </w:rPr>
        <w:t>天内组织验收</w:t>
      </w:r>
      <w:r>
        <w:rPr>
          <w:rFonts w:hint="eastAsia" w:ascii="宋体" w:hAnsi="宋体" w:eastAsia="宋体" w:cs="宋体"/>
          <w:sz w:val="21"/>
          <w:szCs w:val="21"/>
        </w:rPr>
        <w:t>。</w:t>
      </w:r>
    </w:p>
    <w:p>
      <w:pPr>
        <w:spacing w:before="19" w:line="360" w:lineRule="auto"/>
        <w:ind w:firstLine="420" w:firstLineChars="200"/>
        <w:rPr>
          <w:rFonts w:hint="eastAsia" w:ascii="宋体" w:hAnsi="宋体" w:eastAsia="宋体" w:cs="宋体"/>
          <w:color w:val="000000"/>
          <w:sz w:val="21"/>
          <w:szCs w:val="21"/>
          <w:lang w:val="zh-CN"/>
        </w:rPr>
      </w:pPr>
      <w:r>
        <w:rPr>
          <w:rFonts w:hint="eastAsia" w:ascii="宋体" w:hAnsi="宋体" w:eastAsia="宋体" w:cs="宋体"/>
          <w:sz w:val="21"/>
          <w:szCs w:val="21"/>
        </w:rPr>
        <w:t>9.3.2</w:t>
      </w:r>
      <w:r>
        <w:rPr>
          <w:rFonts w:hint="eastAsia" w:ascii="宋体" w:hAnsi="宋体" w:eastAsia="宋体" w:cs="宋体"/>
          <w:color w:val="000000"/>
          <w:sz w:val="21"/>
          <w:szCs w:val="21"/>
          <w:lang w:val="zh-CN"/>
        </w:rPr>
        <w:t>本次采购采用二次验收方式。</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lang w:val="zh-CN"/>
        </w:rPr>
        <w:t>1、第一次验收在合同签</w:t>
      </w:r>
      <w:r>
        <w:rPr>
          <w:rFonts w:hint="eastAsia" w:ascii="宋体" w:hAnsi="宋体" w:eastAsia="宋体" w:cs="宋体"/>
          <w:sz w:val="21"/>
          <w:szCs w:val="21"/>
          <w:lang w:val="zh-CN"/>
        </w:rPr>
        <w:t>订后,</w:t>
      </w:r>
      <w:r>
        <w:rPr>
          <w:rFonts w:hint="eastAsia" w:ascii="宋体" w:hAnsi="宋体" w:eastAsia="宋体" w:cs="宋体"/>
          <w:sz w:val="21"/>
          <w:szCs w:val="21"/>
        </w:rPr>
        <w:t xml:space="preserve"> 乙方</w:t>
      </w:r>
      <w:r>
        <w:rPr>
          <w:rFonts w:hint="eastAsia" w:ascii="宋体" w:hAnsi="宋体" w:eastAsia="宋体" w:cs="宋体"/>
          <w:color w:val="000000"/>
          <w:sz w:val="21"/>
          <w:szCs w:val="21"/>
          <w:lang w:val="zh-CN"/>
        </w:rPr>
        <w:t>货到缙云通知采购方组织验收。采购人根据采购货物的技术规范要求及技术响应情况对</w:t>
      </w:r>
      <w:r>
        <w:rPr>
          <w:rFonts w:hint="eastAsia" w:ascii="宋体" w:hAnsi="宋体" w:eastAsia="宋体" w:cs="宋体"/>
          <w:sz w:val="21"/>
          <w:szCs w:val="21"/>
        </w:rPr>
        <w:t>乙方</w:t>
      </w:r>
      <w:r>
        <w:rPr>
          <w:rFonts w:hint="eastAsia" w:ascii="宋体" w:hAnsi="宋体" w:eastAsia="宋体" w:cs="宋体"/>
          <w:color w:val="000000"/>
          <w:sz w:val="21"/>
          <w:szCs w:val="21"/>
          <w:lang w:val="zh-CN"/>
        </w:rPr>
        <w:t>产品、材料进行验收，确认符合要求后安装。安装期间，</w:t>
      </w:r>
      <w:r>
        <w:rPr>
          <w:rFonts w:hint="eastAsia" w:ascii="宋体" w:hAnsi="宋体" w:eastAsia="宋体" w:cs="宋体"/>
          <w:color w:val="000000"/>
          <w:sz w:val="21"/>
          <w:szCs w:val="21"/>
        </w:rPr>
        <w:t>采购人有权在安装过程中进行监督，</w:t>
      </w:r>
      <w:r>
        <w:rPr>
          <w:rFonts w:hint="eastAsia" w:ascii="宋体" w:hAnsi="宋体" w:eastAsia="宋体" w:cs="宋体"/>
          <w:sz w:val="21"/>
          <w:szCs w:val="21"/>
        </w:rPr>
        <w:t>乙方</w:t>
      </w:r>
      <w:r>
        <w:rPr>
          <w:rFonts w:hint="eastAsia" w:ascii="宋体" w:hAnsi="宋体" w:eastAsia="宋体" w:cs="宋体"/>
          <w:color w:val="000000"/>
          <w:sz w:val="21"/>
          <w:szCs w:val="21"/>
        </w:rPr>
        <w:t>有义务为采购人监督人员提供方便。</w:t>
      </w:r>
    </w:p>
    <w:p>
      <w:pPr>
        <w:spacing w:before="19" w:line="500" w:lineRule="exact"/>
        <w:ind w:left="100" w:firstLine="472"/>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2、第二次验收由甲方（</w:t>
      </w:r>
      <w:r>
        <w:rPr>
          <w:rFonts w:hint="eastAsia" w:ascii="宋体" w:hAnsi="宋体" w:eastAsia="宋体" w:cs="宋体"/>
          <w:sz w:val="21"/>
          <w:szCs w:val="21"/>
        </w:rPr>
        <w:t>缙云县公安局</w:t>
      </w:r>
      <w:r>
        <w:rPr>
          <w:rFonts w:hint="eastAsia" w:ascii="宋体" w:hAnsi="宋体" w:eastAsia="宋体" w:cs="宋体"/>
          <w:color w:val="000000"/>
          <w:sz w:val="21"/>
          <w:szCs w:val="21"/>
          <w:lang w:val="zh-CN"/>
        </w:rPr>
        <w:t>）验收，</w:t>
      </w:r>
      <w:r>
        <w:rPr>
          <w:rFonts w:hint="eastAsia" w:ascii="宋体" w:hAnsi="宋体" w:eastAsia="宋体" w:cs="宋体"/>
          <w:sz w:val="21"/>
          <w:szCs w:val="21"/>
          <w:lang w:val="zh-CN"/>
        </w:rPr>
        <w:t>采购人组织验收组按招标文</w:t>
      </w:r>
      <w:r>
        <w:rPr>
          <w:rFonts w:hint="eastAsia" w:ascii="宋体" w:hAnsi="宋体" w:eastAsia="宋体" w:cs="宋体"/>
          <w:color w:val="000000"/>
          <w:sz w:val="21"/>
          <w:szCs w:val="21"/>
          <w:lang w:val="zh-CN"/>
        </w:rPr>
        <w:t>件相关要求对项目进行验收。</w:t>
      </w:r>
    </w:p>
    <w:p>
      <w:pPr>
        <w:spacing w:line="360" w:lineRule="auto"/>
        <w:ind w:left="100" w:firstLine="472"/>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3、验收时采购人和中标方双方如果就质量问题有争议，可以委托有关法定检测机构进行检测并出具检测报告。</w:t>
      </w:r>
    </w:p>
    <w:p>
      <w:pPr>
        <w:spacing w:line="360" w:lineRule="auto"/>
        <w:ind w:left="100" w:firstLine="472"/>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如果检测结果证明确有质量问题或规格质量低于招标文件，中标方应无条件退货，检测费用由中标方承担，并承担因逾期交货的违约责任。如果检测结果证明没有质量问题或规格质量不低于招标文件，采购人应无条件接受货物，检测费用由采购人承担，中标方不再承担因此逾期交货的违约责任。</w:t>
      </w:r>
    </w:p>
    <w:p>
      <w:pPr>
        <w:spacing w:line="420" w:lineRule="exact"/>
        <w:ind w:firstLine="420" w:firstLineChars="200"/>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4、验收不合格的，采购人有权拒收。中标方应在5个工作日内按要求整改到位，并保证验收合格，否则按违约处理。因验收不合格造成时间延误按逾期违约处理。</w:t>
      </w:r>
    </w:p>
    <w:p>
      <w:pPr>
        <w:pStyle w:val="5"/>
        <w:spacing w:before="120" w:beforeLines="50" w:after="120" w:afterLines="50"/>
        <w:ind w:firstLine="0" w:firstLineChars="0"/>
        <w:rPr>
          <w:rFonts w:hint="eastAsia" w:ascii="宋体" w:hAnsi="宋体" w:eastAsia="宋体" w:cs="宋体"/>
          <w:sz w:val="21"/>
          <w:szCs w:val="21"/>
        </w:rPr>
      </w:pPr>
      <w:bookmarkStart w:id="34" w:name="_Toc486423880"/>
      <w:bookmarkStart w:id="35" w:name="_Toc493957142"/>
      <w:bookmarkStart w:id="36" w:name="_Toc493956030"/>
      <w:bookmarkStart w:id="37" w:name="_Toc497376089"/>
      <w:r>
        <w:rPr>
          <w:rFonts w:hint="eastAsia" w:ascii="宋体" w:hAnsi="宋体" w:eastAsia="宋体" w:cs="宋体"/>
          <w:sz w:val="21"/>
          <w:szCs w:val="21"/>
        </w:rPr>
        <w:t>十   其他</w:t>
      </w:r>
      <w:bookmarkEnd w:id="34"/>
      <w:bookmarkEnd w:id="35"/>
      <w:bookmarkEnd w:id="36"/>
      <w:bookmarkEnd w:id="37"/>
    </w:p>
    <w:p>
      <w:pPr>
        <w:pStyle w:val="38"/>
        <w:snapToGrid w:val="0"/>
        <w:spacing w:before="0" w:beforeAutospacing="0" w:after="0" w:afterAutospacing="0" w:line="360" w:lineRule="auto"/>
        <w:ind w:firstLine="420" w:firstLineChars="200"/>
        <w:rPr>
          <w:rFonts w:hint="eastAsia" w:ascii="宋体" w:hAnsi="宋体" w:eastAsia="宋体" w:cs="宋体"/>
          <w:sz w:val="24"/>
          <w:szCs w:val="24"/>
        </w:rPr>
      </w:pPr>
      <w:r>
        <w:rPr>
          <w:rFonts w:hint="eastAsia" w:ascii="宋体" w:hAnsi="宋体" w:eastAsia="宋体" w:cs="宋体"/>
          <w:sz w:val="21"/>
          <w:szCs w:val="21"/>
        </w:rPr>
        <w:t>1</w:t>
      </w:r>
      <w:r>
        <w:rPr>
          <w:rFonts w:hint="eastAsia" w:ascii="宋体" w:hAnsi="宋体" w:eastAsia="宋体" w:cs="宋体"/>
          <w:sz w:val="21"/>
          <w:szCs w:val="21"/>
          <w:lang w:eastAsia="zh-CN"/>
        </w:rPr>
        <w:t>0</w:t>
      </w:r>
      <w:r>
        <w:rPr>
          <w:rFonts w:hint="eastAsia" w:ascii="宋体" w:hAnsi="宋体" w:eastAsia="宋体" w:cs="宋体"/>
          <w:sz w:val="21"/>
          <w:szCs w:val="21"/>
        </w:rPr>
        <w:t>.1本项目所涉及的安装数量，招标时确认数量不一定准确时，按其中标单价和实际工程量结算。税收、人工费、安装费等一切与之相关的所有费用都需包含在报价中。</w:t>
      </w:r>
    </w:p>
    <w:p>
      <w:pPr>
        <w:pStyle w:val="34"/>
        <w:ind w:left="0" w:leftChars="0"/>
        <w:jc w:val="left"/>
      </w:pPr>
    </w:p>
    <w:p>
      <w:pPr>
        <w:pStyle w:val="34"/>
        <w:ind w:left="2520"/>
      </w:pPr>
    </w:p>
    <w:p>
      <w:pPr>
        <w:spacing w:line="400" w:lineRule="exact"/>
        <w:ind w:firstLine="464" w:firstLineChars="200"/>
        <w:rPr>
          <w:rFonts w:ascii="宋体" w:hAnsi="宋体" w:cs="宋体"/>
          <w:spacing w:val="11"/>
          <w:szCs w:val="21"/>
        </w:rPr>
      </w:pPr>
      <w:r>
        <w:rPr>
          <w:rFonts w:hint="eastAsia" w:ascii="宋体" w:hAnsi="宋体" w:cs="宋体"/>
          <w:spacing w:val="11"/>
          <w:szCs w:val="21"/>
        </w:rPr>
        <w:br w:type="page"/>
      </w:r>
    </w:p>
    <w:p>
      <w:pPr>
        <w:spacing w:line="360" w:lineRule="auto"/>
        <w:ind w:firstLine="3534" w:firstLineChars="1100"/>
        <w:outlineLvl w:val="0"/>
        <w:rPr>
          <w:rStyle w:val="59"/>
          <w:rFonts w:ascii="宋体" w:hAnsi="宋体" w:cs="宋体"/>
          <w:szCs w:val="22"/>
        </w:rPr>
      </w:pPr>
      <w:bookmarkStart w:id="38" w:name="_Toc7570"/>
      <w:r>
        <w:rPr>
          <w:rStyle w:val="59"/>
          <w:rFonts w:hint="eastAsia" w:ascii="宋体" w:hAnsi="宋体" w:cs="宋体"/>
          <w:szCs w:val="22"/>
        </w:rPr>
        <w:t>第三章 供应商须知</w:t>
      </w:r>
      <w:bookmarkEnd w:id="13"/>
      <w:bookmarkEnd w:id="14"/>
      <w:bookmarkEnd w:id="15"/>
      <w:bookmarkEnd w:id="16"/>
      <w:bookmarkEnd w:id="17"/>
      <w:bookmarkEnd w:id="38"/>
    </w:p>
    <w:p>
      <w:pPr>
        <w:jc w:val="left"/>
        <w:rPr>
          <w:rFonts w:ascii="宋体" w:hAnsi="宋体" w:cs="宋体"/>
          <w:b/>
          <w:bCs/>
          <w:sz w:val="24"/>
        </w:rPr>
      </w:pPr>
      <w:r>
        <w:rPr>
          <w:rFonts w:hint="eastAsia" w:ascii="宋体" w:hAnsi="宋体" w:cs="宋体"/>
          <w:b/>
          <w:bCs/>
          <w:sz w:val="24"/>
        </w:rPr>
        <w:t>供应商须知（附表）</w:t>
      </w:r>
    </w:p>
    <w:tbl>
      <w:tblPr>
        <w:tblStyle w:val="43"/>
        <w:tblW w:w="95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194"/>
        <w:gridCol w:w="921"/>
        <w:gridCol w:w="6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39" w:type="dxa"/>
            <w:vAlign w:val="center"/>
          </w:tcPr>
          <w:p>
            <w:pPr>
              <w:snapToGrid w:val="0"/>
              <w:spacing w:line="312" w:lineRule="auto"/>
              <w:jc w:val="center"/>
              <w:rPr>
                <w:rFonts w:ascii="宋体" w:hAnsi="宋体" w:cs="宋体"/>
                <w:b/>
                <w:szCs w:val="21"/>
              </w:rPr>
            </w:pPr>
            <w:r>
              <w:rPr>
                <w:rFonts w:hint="eastAsia" w:ascii="宋体" w:hAnsi="宋体" w:cs="宋体"/>
                <w:b/>
                <w:szCs w:val="21"/>
              </w:rPr>
              <w:t>条款号</w:t>
            </w:r>
          </w:p>
        </w:tc>
        <w:tc>
          <w:tcPr>
            <w:tcW w:w="2115" w:type="dxa"/>
            <w:gridSpan w:val="2"/>
            <w:vAlign w:val="center"/>
          </w:tcPr>
          <w:p>
            <w:pPr>
              <w:snapToGrid w:val="0"/>
              <w:spacing w:line="312" w:lineRule="auto"/>
              <w:jc w:val="center"/>
              <w:rPr>
                <w:rFonts w:ascii="宋体" w:hAnsi="宋体" w:cs="宋体"/>
                <w:b/>
                <w:szCs w:val="21"/>
              </w:rPr>
            </w:pPr>
            <w:r>
              <w:rPr>
                <w:rFonts w:hint="eastAsia" w:ascii="宋体" w:hAnsi="宋体" w:cs="宋体"/>
                <w:b/>
                <w:szCs w:val="21"/>
              </w:rPr>
              <w:t>条款名称</w:t>
            </w:r>
          </w:p>
        </w:tc>
        <w:tc>
          <w:tcPr>
            <w:tcW w:w="6495" w:type="dxa"/>
            <w:vAlign w:val="center"/>
          </w:tcPr>
          <w:p>
            <w:pPr>
              <w:snapToGrid w:val="0"/>
              <w:spacing w:line="312" w:lineRule="auto"/>
              <w:ind w:left="-108"/>
              <w:jc w:val="center"/>
              <w:rPr>
                <w:rFonts w:ascii="宋体" w:hAnsi="宋体" w:cs="宋体"/>
                <w:b/>
                <w:szCs w:val="21"/>
              </w:rPr>
            </w:pPr>
            <w:r>
              <w:rPr>
                <w:rFonts w:hint="eastAsia" w:ascii="宋体" w:hAnsi="宋体" w:cs="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39" w:type="dxa"/>
            <w:vAlign w:val="center"/>
          </w:tcPr>
          <w:p>
            <w:pPr>
              <w:snapToGrid w:val="0"/>
              <w:spacing w:line="312" w:lineRule="auto"/>
              <w:jc w:val="center"/>
              <w:rPr>
                <w:rFonts w:ascii="宋体" w:hAnsi="宋体" w:cs="宋体"/>
                <w:bCs/>
                <w:szCs w:val="21"/>
              </w:rPr>
            </w:pPr>
            <w:r>
              <w:rPr>
                <w:rFonts w:hint="eastAsia" w:ascii="宋体" w:hAnsi="宋体" w:cs="宋体"/>
                <w:bCs/>
                <w:szCs w:val="21"/>
              </w:rPr>
              <w:t>1.2.1</w:t>
            </w:r>
          </w:p>
        </w:tc>
        <w:tc>
          <w:tcPr>
            <w:tcW w:w="2115" w:type="dxa"/>
            <w:gridSpan w:val="2"/>
            <w:vAlign w:val="center"/>
          </w:tcPr>
          <w:p>
            <w:pPr>
              <w:snapToGrid w:val="0"/>
              <w:spacing w:line="312" w:lineRule="auto"/>
              <w:jc w:val="center"/>
              <w:rPr>
                <w:rFonts w:ascii="宋体" w:hAnsi="宋体" w:cs="宋体"/>
                <w:bCs/>
                <w:szCs w:val="21"/>
              </w:rPr>
            </w:pPr>
            <w:r>
              <w:rPr>
                <w:rFonts w:hint="eastAsia" w:ascii="宋体" w:hAnsi="宋体" w:cs="宋体"/>
                <w:bCs/>
                <w:szCs w:val="21"/>
              </w:rPr>
              <w:t>采购人</w:t>
            </w:r>
          </w:p>
        </w:tc>
        <w:tc>
          <w:tcPr>
            <w:tcW w:w="6495" w:type="dxa"/>
            <w:vAlign w:val="center"/>
          </w:tcPr>
          <w:p>
            <w:pPr>
              <w:spacing w:line="312" w:lineRule="auto"/>
              <w:rPr>
                <w:rFonts w:ascii="宋体" w:hAnsi="宋体" w:cs="宋体"/>
                <w:bCs/>
                <w:szCs w:val="21"/>
              </w:rPr>
            </w:pPr>
            <w:r>
              <w:rPr>
                <w:rFonts w:hint="eastAsia" w:ascii="宋体" w:hAnsi="宋体" w:cs="宋体"/>
                <w:bCs/>
                <w:szCs w:val="21"/>
              </w:rPr>
              <w:t>缙云县公安局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39" w:type="dxa"/>
            <w:vAlign w:val="center"/>
          </w:tcPr>
          <w:p>
            <w:pPr>
              <w:snapToGrid w:val="0"/>
              <w:spacing w:line="312" w:lineRule="auto"/>
              <w:jc w:val="center"/>
              <w:rPr>
                <w:rFonts w:ascii="宋体" w:hAnsi="宋体" w:cs="宋体"/>
                <w:bCs/>
                <w:szCs w:val="21"/>
              </w:rPr>
            </w:pPr>
            <w:r>
              <w:rPr>
                <w:rFonts w:hint="eastAsia" w:ascii="宋体" w:hAnsi="宋体" w:cs="宋体"/>
                <w:bCs/>
                <w:szCs w:val="21"/>
              </w:rPr>
              <w:t>1.2.2</w:t>
            </w:r>
          </w:p>
        </w:tc>
        <w:tc>
          <w:tcPr>
            <w:tcW w:w="2115" w:type="dxa"/>
            <w:gridSpan w:val="2"/>
            <w:vAlign w:val="center"/>
          </w:tcPr>
          <w:p>
            <w:pPr>
              <w:snapToGrid w:val="0"/>
              <w:spacing w:line="312" w:lineRule="auto"/>
              <w:jc w:val="center"/>
              <w:rPr>
                <w:rFonts w:ascii="宋体" w:hAnsi="宋体" w:cs="宋体"/>
                <w:bCs/>
                <w:szCs w:val="21"/>
              </w:rPr>
            </w:pPr>
            <w:r>
              <w:rPr>
                <w:rFonts w:hint="eastAsia" w:ascii="宋体" w:hAnsi="宋体" w:cs="宋体"/>
                <w:bCs/>
                <w:szCs w:val="21"/>
              </w:rPr>
              <w:t>采购代理机构</w:t>
            </w:r>
          </w:p>
        </w:tc>
        <w:tc>
          <w:tcPr>
            <w:tcW w:w="6495" w:type="dxa"/>
            <w:vAlign w:val="center"/>
          </w:tcPr>
          <w:p>
            <w:pPr>
              <w:snapToGrid w:val="0"/>
              <w:spacing w:line="312" w:lineRule="auto"/>
              <w:rPr>
                <w:rFonts w:ascii="宋体" w:hAnsi="宋体" w:cs="宋体"/>
                <w:bCs/>
                <w:szCs w:val="21"/>
              </w:rPr>
            </w:pPr>
            <w:r>
              <w:rPr>
                <w:rFonts w:hint="eastAsia" w:ascii="宋体" w:hAnsi="宋体" w:cs="宋体"/>
                <w:bCs/>
                <w:szCs w:val="21"/>
              </w:rPr>
              <w:t>浙江鼎峰工程咨询有限公司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39" w:type="dxa"/>
            <w:vAlign w:val="center"/>
          </w:tcPr>
          <w:p>
            <w:pPr>
              <w:snapToGrid w:val="0"/>
              <w:spacing w:line="312" w:lineRule="auto"/>
              <w:jc w:val="center"/>
              <w:rPr>
                <w:rFonts w:ascii="宋体" w:hAnsi="宋体" w:cs="宋体"/>
                <w:bCs/>
                <w:szCs w:val="21"/>
              </w:rPr>
            </w:pPr>
            <w:r>
              <w:rPr>
                <w:rFonts w:hint="eastAsia" w:ascii="宋体" w:hAnsi="宋体" w:cs="宋体"/>
                <w:bCs/>
                <w:szCs w:val="21"/>
              </w:rPr>
              <w:t>1.3</w:t>
            </w:r>
          </w:p>
        </w:tc>
        <w:tc>
          <w:tcPr>
            <w:tcW w:w="2115" w:type="dxa"/>
            <w:gridSpan w:val="2"/>
            <w:vAlign w:val="center"/>
          </w:tcPr>
          <w:p>
            <w:pPr>
              <w:snapToGrid w:val="0"/>
              <w:spacing w:line="312" w:lineRule="auto"/>
              <w:jc w:val="center"/>
              <w:rPr>
                <w:rFonts w:ascii="宋体" w:hAnsi="宋体" w:cs="宋体"/>
                <w:bCs/>
                <w:szCs w:val="21"/>
              </w:rPr>
            </w:pPr>
            <w:r>
              <w:rPr>
                <w:rFonts w:hint="eastAsia" w:ascii="宋体" w:hAnsi="宋体" w:cs="宋体"/>
                <w:bCs/>
                <w:szCs w:val="21"/>
              </w:rPr>
              <w:t>资金来源</w:t>
            </w:r>
          </w:p>
        </w:tc>
        <w:tc>
          <w:tcPr>
            <w:tcW w:w="6495" w:type="dxa"/>
            <w:vAlign w:val="center"/>
          </w:tcPr>
          <w:p>
            <w:pPr>
              <w:snapToGrid w:val="0"/>
              <w:spacing w:line="312" w:lineRule="auto"/>
              <w:rPr>
                <w:rFonts w:ascii="宋体" w:hAnsi="宋体" w:cs="宋体"/>
                <w:bCs/>
                <w:szCs w:val="21"/>
              </w:rPr>
            </w:pPr>
            <w:r>
              <w:rPr>
                <w:rFonts w:hint="eastAsia" w:ascii="宋体" w:hAnsi="宋体" w:cs="宋体"/>
                <w:bCs/>
                <w:szCs w:val="21"/>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39" w:type="dxa"/>
            <w:vAlign w:val="center"/>
          </w:tcPr>
          <w:p>
            <w:pPr>
              <w:snapToGrid w:val="0"/>
              <w:spacing w:line="312" w:lineRule="auto"/>
              <w:jc w:val="center"/>
              <w:rPr>
                <w:rFonts w:ascii="宋体" w:hAnsi="宋体" w:cs="宋体"/>
                <w:bCs/>
                <w:szCs w:val="21"/>
              </w:rPr>
            </w:pPr>
            <w:r>
              <w:rPr>
                <w:rFonts w:hint="eastAsia" w:ascii="宋体" w:hAnsi="宋体" w:cs="宋体"/>
                <w:bCs/>
                <w:szCs w:val="21"/>
              </w:rPr>
              <w:t>1.4</w:t>
            </w:r>
          </w:p>
        </w:tc>
        <w:tc>
          <w:tcPr>
            <w:tcW w:w="2115" w:type="dxa"/>
            <w:gridSpan w:val="2"/>
            <w:vAlign w:val="center"/>
          </w:tcPr>
          <w:p>
            <w:pPr>
              <w:snapToGrid w:val="0"/>
              <w:spacing w:line="312" w:lineRule="auto"/>
              <w:jc w:val="center"/>
              <w:rPr>
                <w:rFonts w:ascii="宋体" w:hAnsi="宋体" w:cs="宋体"/>
                <w:bCs/>
                <w:szCs w:val="21"/>
              </w:rPr>
            </w:pPr>
            <w:r>
              <w:rPr>
                <w:rFonts w:hint="eastAsia" w:ascii="宋体" w:hAnsi="宋体" w:cs="宋体"/>
                <w:bCs/>
                <w:szCs w:val="21"/>
              </w:rPr>
              <w:t>合格的供应商</w:t>
            </w:r>
          </w:p>
        </w:tc>
        <w:tc>
          <w:tcPr>
            <w:tcW w:w="6495" w:type="dxa"/>
            <w:vAlign w:val="center"/>
          </w:tcPr>
          <w:p>
            <w:pPr>
              <w:snapToGrid w:val="0"/>
              <w:spacing w:line="312" w:lineRule="auto"/>
              <w:rPr>
                <w:rFonts w:ascii="宋体" w:hAnsi="宋体" w:cs="宋体"/>
                <w:bCs/>
                <w:szCs w:val="21"/>
              </w:rPr>
            </w:pPr>
            <w:r>
              <w:rPr>
                <w:rFonts w:hint="eastAsia" w:ascii="宋体" w:hAnsi="宋体" w:cs="宋体"/>
                <w:bCs/>
                <w:szCs w:val="21"/>
              </w:rPr>
              <w:t>见磋商公告中供应商资格要求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39" w:type="dxa"/>
            <w:vAlign w:val="center"/>
          </w:tcPr>
          <w:p>
            <w:pPr>
              <w:snapToGrid w:val="0"/>
              <w:spacing w:line="312" w:lineRule="auto"/>
              <w:jc w:val="center"/>
              <w:rPr>
                <w:rFonts w:ascii="宋体" w:hAnsi="宋体" w:cs="宋体"/>
                <w:bCs/>
                <w:szCs w:val="21"/>
              </w:rPr>
            </w:pPr>
            <w:r>
              <w:rPr>
                <w:rFonts w:hint="eastAsia" w:ascii="宋体" w:hAnsi="宋体" w:cs="宋体"/>
                <w:bCs/>
                <w:szCs w:val="21"/>
              </w:rPr>
              <w:t>1.5</w:t>
            </w:r>
          </w:p>
        </w:tc>
        <w:tc>
          <w:tcPr>
            <w:tcW w:w="2115" w:type="dxa"/>
            <w:gridSpan w:val="2"/>
            <w:vAlign w:val="center"/>
          </w:tcPr>
          <w:p>
            <w:pPr>
              <w:snapToGrid w:val="0"/>
              <w:spacing w:line="312" w:lineRule="auto"/>
              <w:jc w:val="center"/>
              <w:rPr>
                <w:rFonts w:ascii="宋体" w:hAnsi="宋体" w:cs="宋体"/>
                <w:bCs/>
                <w:szCs w:val="21"/>
              </w:rPr>
            </w:pPr>
            <w:r>
              <w:rPr>
                <w:rFonts w:hint="eastAsia" w:ascii="宋体" w:hAnsi="宋体" w:cs="宋体"/>
                <w:bCs/>
                <w:szCs w:val="21"/>
              </w:rPr>
              <w:t>联合体磋商</w:t>
            </w:r>
          </w:p>
        </w:tc>
        <w:tc>
          <w:tcPr>
            <w:tcW w:w="6495" w:type="dxa"/>
            <w:vAlign w:val="center"/>
          </w:tcPr>
          <w:p>
            <w:pPr>
              <w:snapToGrid w:val="0"/>
              <w:spacing w:line="312" w:lineRule="auto"/>
              <w:rPr>
                <w:rFonts w:ascii="宋体" w:hAnsi="宋体" w:cs="宋体"/>
                <w:bCs/>
                <w:szCs w:val="21"/>
              </w:rPr>
            </w:pPr>
            <w:r>
              <w:rPr>
                <w:rFonts w:hint="eastAsia" w:ascii="宋体" w:hAnsi="宋体" w:cs="宋体"/>
                <w:bCs/>
                <w:szCs w:val="21"/>
              </w:rPr>
              <w:fldChar w:fldCharType="begin"/>
            </w:r>
            <w:r>
              <w:rPr>
                <w:rFonts w:hint="eastAsia" w:ascii="宋体" w:hAnsi="宋体" w:cs="宋体"/>
                <w:bCs/>
                <w:szCs w:val="21"/>
              </w:rPr>
              <w:instrText xml:space="preserve"> eq \o\ac(□,</w:instrText>
            </w:r>
            <w:r>
              <w:rPr>
                <w:rFonts w:hint="eastAsia" w:ascii="宋体" w:hAnsi="宋体" w:cs="宋体"/>
                <w:bCs/>
                <w:position w:val="2"/>
                <w:sz w:val="13"/>
                <w:szCs w:val="21"/>
              </w:rPr>
              <w:instrText xml:space="preserve">√</w:instrText>
            </w:r>
            <w:r>
              <w:rPr>
                <w:rFonts w:hint="eastAsia" w:ascii="宋体" w:hAnsi="宋体" w:cs="宋体"/>
                <w:bCs/>
                <w:szCs w:val="21"/>
              </w:rPr>
              <w:instrText xml:space="preserve">)</w:instrText>
            </w:r>
            <w:r>
              <w:rPr>
                <w:rFonts w:hint="eastAsia" w:ascii="宋体" w:hAnsi="宋体" w:cs="宋体"/>
                <w:bCs/>
                <w:szCs w:val="21"/>
              </w:rPr>
              <w:fldChar w:fldCharType="end"/>
            </w:r>
            <w:r>
              <w:rPr>
                <w:rFonts w:hint="eastAsia" w:ascii="宋体" w:hAnsi="宋体" w:cs="宋体"/>
                <w:bCs/>
                <w:szCs w:val="21"/>
              </w:rPr>
              <w:t>不接受</w:t>
            </w:r>
          </w:p>
          <w:p>
            <w:pPr>
              <w:snapToGrid w:val="0"/>
              <w:spacing w:line="312" w:lineRule="auto"/>
              <w:rPr>
                <w:rFonts w:ascii="宋体" w:hAnsi="宋体" w:cs="宋体"/>
                <w:bCs/>
                <w:szCs w:val="21"/>
              </w:rPr>
            </w:pPr>
            <w:r>
              <w:rPr>
                <w:rFonts w:hint="eastAsia" w:ascii="宋体" w:hAnsi="宋体" w:cs="宋体"/>
                <w:bCs/>
                <w:szCs w:val="21"/>
              </w:rPr>
              <w:sym w:font="Wingdings 2" w:char="00A3"/>
            </w:r>
            <w:r>
              <w:rPr>
                <w:rFonts w:hint="eastAsia" w:ascii="宋体" w:hAnsi="宋体" w:cs="宋体"/>
                <w:bCs/>
                <w:szCs w:val="21"/>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5" w:hRule="atLeast"/>
        </w:trPr>
        <w:tc>
          <w:tcPr>
            <w:tcW w:w="939" w:type="dxa"/>
            <w:vAlign w:val="center"/>
          </w:tcPr>
          <w:p>
            <w:pPr>
              <w:snapToGrid w:val="0"/>
              <w:spacing w:line="312" w:lineRule="auto"/>
              <w:jc w:val="center"/>
              <w:rPr>
                <w:rFonts w:ascii="宋体" w:hAnsi="宋体" w:cs="宋体"/>
                <w:bCs/>
                <w:szCs w:val="21"/>
              </w:rPr>
            </w:pPr>
            <w:r>
              <w:rPr>
                <w:rFonts w:hint="eastAsia" w:ascii="宋体" w:hAnsi="宋体" w:cs="宋体"/>
                <w:bCs/>
                <w:szCs w:val="21"/>
              </w:rPr>
              <w:t>1.6</w:t>
            </w:r>
          </w:p>
        </w:tc>
        <w:tc>
          <w:tcPr>
            <w:tcW w:w="2115" w:type="dxa"/>
            <w:gridSpan w:val="2"/>
            <w:vAlign w:val="center"/>
          </w:tcPr>
          <w:p>
            <w:pPr>
              <w:snapToGrid w:val="0"/>
              <w:spacing w:line="312" w:lineRule="auto"/>
              <w:jc w:val="center"/>
              <w:rPr>
                <w:rFonts w:ascii="宋体" w:hAnsi="宋体" w:cs="宋体"/>
                <w:bCs/>
                <w:szCs w:val="21"/>
              </w:rPr>
            </w:pPr>
            <w:r>
              <w:rPr>
                <w:rFonts w:hint="eastAsia" w:ascii="宋体" w:hAnsi="宋体" w:cs="宋体"/>
                <w:bCs/>
                <w:szCs w:val="21"/>
              </w:rPr>
              <w:t>转包与分包</w:t>
            </w:r>
          </w:p>
        </w:tc>
        <w:tc>
          <w:tcPr>
            <w:tcW w:w="6495" w:type="dxa"/>
            <w:vAlign w:val="center"/>
          </w:tcPr>
          <w:p>
            <w:pPr>
              <w:snapToGrid w:val="0"/>
              <w:spacing w:line="312" w:lineRule="auto"/>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position w:val="2"/>
                <w:sz w:val="13"/>
                <w:szCs w:val="21"/>
              </w:rPr>
              <w:instrText xml:space="preserve">√</w:instrText>
            </w:r>
            <w:r>
              <w:rPr>
                <w:rFonts w:hint="eastAsia" w:ascii="宋体" w:hAnsi="宋体" w:cs="宋体"/>
                <w:szCs w:val="21"/>
              </w:rPr>
              <w:instrText xml:space="preserve">)</w:instrText>
            </w:r>
            <w:r>
              <w:rPr>
                <w:rFonts w:hint="eastAsia" w:ascii="宋体" w:hAnsi="宋体" w:cs="宋体"/>
                <w:szCs w:val="21"/>
              </w:rPr>
              <w:fldChar w:fldCharType="end"/>
            </w:r>
            <w:r>
              <w:rPr>
                <w:rFonts w:hint="eastAsia" w:ascii="宋体" w:hAnsi="宋体" w:cs="宋体"/>
                <w:szCs w:val="21"/>
              </w:rPr>
              <w:t>1.本项目不允许转包。</w:t>
            </w:r>
          </w:p>
          <w:p>
            <w:pPr>
              <w:snapToGrid w:val="0"/>
              <w:spacing w:line="312" w:lineRule="auto"/>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position w:val="2"/>
                <w:sz w:val="13"/>
                <w:szCs w:val="21"/>
              </w:rPr>
              <w:instrText xml:space="preserve">√</w:instrText>
            </w:r>
            <w:r>
              <w:rPr>
                <w:rFonts w:hint="eastAsia" w:ascii="宋体" w:hAnsi="宋体" w:cs="宋体"/>
                <w:szCs w:val="21"/>
              </w:rPr>
              <w:instrText xml:space="preserve">)</w:instrText>
            </w:r>
            <w:r>
              <w:rPr>
                <w:rFonts w:hint="eastAsia" w:ascii="宋体" w:hAnsi="宋体" w:cs="宋体"/>
                <w:szCs w:val="21"/>
              </w:rPr>
              <w:fldChar w:fldCharType="end"/>
            </w:r>
            <w:r>
              <w:rPr>
                <w:rFonts w:hint="eastAsia" w:ascii="宋体" w:hAnsi="宋体" w:cs="宋体"/>
                <w:szCs w:val="21"/>
              </w:rPr>
              <w:t>2.1本项目不可以分包。</w:t>
            </w:r>
          </w:p>
          <w:p>
            <w:pPr>
              <w:snapToGrid w:val="0"/>
              <w:spacing w:line="312" w:lineRule="auto"/>
              <w:rPr>
                <w:rFonts w:ascii="宋体" w:hAnsi="宋体" w:cs="宋体"/>
                <w:szCs w:val="21"/>
              </w:rPr>
            </w:pPr>
            <w:r>
              <w:rPr>
                <w:rFonts w:hint="eastAsia" w:ascii="宋体" w:hAnsi="宋体" w:cs="宋体"/>
                <w:szCs w:val="21"/>
              </w:rPr>
              <w:t>□2.2本项目可以分包，但主体部分不得分包。本项目“主体部分”是指：/（根据项目具体情况确定）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939" w:type="dxa"/>
            <w:vAlign w:val="center"/>
          </w:tcPr>
          <w:p>
            <w:pPr>
              <w:snapToGrid w:val="0"/>
              <w:spacing w:line="312" w:lineRule="auto"/>
              <w:jc w:val="center"/>
              <w:rPr>
                <w:rFonts w:ascii="宋体" w:hAnsi="宋体" w:cs="宋体"/>
                <w:bCs/>
                <w:szCs w:val="21"/>
              </w:rPr>
            </w:pPr>
            <w:r>
              <w:rPr>
                <w:rFonts w:hint="eastAsia" w:ascii="宋体" w:hAnsi="宋体" w:cs="宋体"/>
                <w:bCs/>
                <w:szCs w:val="21"/>
              </w:rPr>
              <w:t>1.11.2</w:t>
            </w:r>
          </w:p>
        </w:tc>
        <w:tc>
          <w:tcPr>
            <w:tcW w:w="2115" w:type="dxa"/>
            <w:gridSpan w:val="2"/>
            <w:vAlign w:val="center"/>
          </w:tcPr>
          <w:p>
            <w:pPr>
              <w:snapToGrid w:val="0"/>
              <w:spacing w:line="312" w:lineRule="auto"/>
              <w:jc w:val="center"/>
              <w:rPr>
                <w:rFonts w:ascii="宋体" w:hAnsi="宋体" w:cs="宋体"/>
                <w:bCs/>
                <w:szCs w:val="21"/>
              </w:rPr>
            </w:pPr>
            <w:r>
              <w:rPr>
                <w:rFonts w:hint="eastAsia" w:ascii="宋体" w:hAnsi="宋体" w:cs="宋体"/>
                <w:bCs/>
                <w:szCs w:val="21"/>
              </w:rPr>
              <w:t>信用信息记录查询</w:t>
            </w:r>
          </w:p>
          <w:p>
            <w:pPr>
              <w:snapToGrid w:val="0"/>
              <w:spacing w:line="312" w:lineRule="auto"/>
              <w:jc w:val="center"/>
              <w:rPr>
                <w:rFonts w:ascii="宋体" w:hAnsi="宋体" w:cs="宋体"/>
                <w:bCs/>
                <w:szCs w:val="21"/>
              </w:rPr>
            </w:pPr>
            <w:r>
              <w:rPr>
                <w:rFonts w:hint="eastAsia" w:ascii="宋体" w:hAnsi="宋体" w:cs="宋体"/>
                <w:bCs/>
                <w:szCs w:val="21"/>
              </w:rPr>
              <w:t>截止时间</w:t>
            </w:r>
          </w:p>
        </w:tc>
        <w:tc>
          <w:tcPr>
            <w:tcW w:w="6495" w:type="dxa"/>
            <w:vAlign w:val="center"/>
          </w:tcPr>
          <w:p>
            <w:pPr>
              <w:snapToGrid w:val="0"/>
              <w:spacing w:line="312" w:lineRule="auto"/>
              <w:rPr>
                <w:rFonts w:ascii="宋体" w:hAnsi="宋体" w:cs="宋体"/>
                <w:bCs/>
                <w:szCs w:val="21"/>
              </w:rPr>
            </w:pPr>
            <w:r>
              <w:rPr>
                <w:rFonts w:hint="eastAsia" w:ascii="宋体" w:hAnsi="宋体" w:cs="宋体"/>
                <w:bCs/>
                <w:szCs w:val="21"/>
              </w:rPr>
              <w:t>同</w:t>
            </w:r>
            <w:r>
              <w:rPr>
                <w:rFonts w:hint="eastAsia" w:ascii="宋体" w:hAnsi="宋体" w:cs="宋体"/>
                <w:szCs w:val="21"/>
              </w:rPr>
              <w:t>响应文件递交截止时间。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39" w:type="dxa"/>
            <w:vAlign w:val="center"/>
          </w:tcPr>
          <w:p>
            <w:pPr>
              <w:snapToGrid w:val="0"/>
              <w:spacing w:line="312" w:lineRule="auto"/>
              <w:jc w:val="center"/>
              <w:rPr>
                <w:rFonts w:ascii="宋体" w:hAnsi="宋体" w:cs="宋体"/>
                <w:bCs/>
                <w:szCs w:val="21"/>
              </w:rPr>
            </w:pPr>
            <w:r>
              <w:rPr>
                <w:rFonts w:hint="eastAsia" w:ascii="宋体" w:hAnsi="宋体" w:cs="宋体"/>
                <w:bCs/>
                <w:szCs w:val="21"/>
              </w:rPr>
              <w:t>1.12.2</w:t>
            </w:r>
          </w:p>
        </w:tc>
        <w:tc>
          <w:tcPr>
            <w:tcW w:w="2115" w:type="dxa"/>
            <w:gridSpan w:val="2"/>
            <w:vAlign w:val="center"/>
          </w:tcPr>
          <w:p>
            <w:pPr>
              <w:snapToGrid w:val="0"/>
              <w:spacing w:line="312" w:lineRule="auto"/>
              <w:jc w:val="center"/>
              <w:rPr>
                <w:rFonts w:ascii="宋体" w:hAnsi="宋体" w:cs="宋体"/>
                <w:bCs/>
                <w:szCs w:val="21"/>
              </w:rPr>
            </w:pPr>
            <w:r>
              <w:rPr>
                <w:rFonts w:hint="eastAsia" w:ascii="宋体" w:hAnsi="宋体" w:cs="宋体"/>
                <w:bCs/>
                <w:szCs w:val="21"/>
              </w:rPr>
              <w:t>节能环保产品品目 清单</w:t>
            </w:r>
          </w:p>
        </w:tc>
        <w:tc>
          <w:tcPr>
            <w:tcW w:w="6495" w:type="dxa"/>
            <w:vAlign w:val="center"/>
          </w:tcPr>
          <w:p>
            <w:pPr>
              <w:snapToGrid w:val="0"/>
              <w:spacing w:line="312" w:lineRule="auto"/>
              <w:rPr>
                <w:rFonts w:ascii="宋体" w:hAnsi="宋体" w:cs="宋体"/>
                <w:bCs/>
                <w:szCs w:val="21"/>
              </w:rPr>
            </w:pPr>
            <w:r>
              <w:rPr>
                <w:rFonts w:hint="eastAsia" w:ascii="宋体" w:hAnsi="宋体" w:cs="宋体"/>
                <w:bCs/>
                <w:szCs w:val="21"/>
              </w:rPr>
              <w:t>财库〔2019〕19号《节能产品政府采购品目清单》</w:t>
            </w:r>
          </w:p>
          <w:p>
            <w:pPr>
              <w:snapToGrid w:val="0"/>
              <w:spacing w:line="312" w:lineRule="auto"/>
              <w:rPr>
                <w:rFonts w:ascii="宋体" w:hAnsi="宋体" w:cs="宋体"/>
                <w:szCs w:val="21"/>
              </w:rPr>
            </w:pPr>
            <w:r>
              <w:rPr>
                <w:rFonts w:hint="eastAsia" w:ascii="宋体" w:hAnsi="宋体" w:cs="宋体"/>
                <w:bCs/>
                <w:szCs w:val="21"/>
              </w:rPr>
              <w:t>财库〔2019〕18号《环境标志产品政府采购品目清单》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939" w:type="dxa"/>
            <w:vAlign w:val="center"/>
          </w:tcPr>
          <w:p>
            <w:pPr>
              <w:snapToGrid w:val="0"/>
              <w:spacing w:line="312" w:lineRule="auto"/>
              <w:jc w:val="center"/>
              <w:rPr>
                <w:rFonts w:ascii="宋体" w:hAnsi="宋体" w:cs="宋体"/>
                <w:bCs/>
                <w:szCs w:val="21"/>
              </w:rPr>
            </w:pPr>
            <w:r>
              <w:rPr>
                <w:rFonts w:hint="eastAsia" w:ascii="宋体" w:hAnsi="宋体" w:cs="宋体"/>
                <w:bCs/>
                <w:szCs w:val="21"/>
              </w:rPr>
              <w:t>1.12.3</w:t>
            </w:r>
          </w:p>
        </w:tc>
        <w:tc>
          <w:tcPr>
            <w:tcW w:w="2115" w:type="dxa"/>
            <w:gridSpan w:val="2"/>
            <w:vAlign w:val="center"/>
          </w:tcPr>
          <w:p>
            <w:pPr>
              <w:snapToGrid w:val="0"/>
              <w:spacing w:line="312" w:lineRule="auto"/>
              <w:jc w:val="center"/>
              <w:rPr>
                <w:rFonts w:ascii="宋体" w:hAnsi="宋体" w:cs="宋体"/>
                <w:bCs/>
                <w:szCs w:val="21"/>
              </w:rPr>
            </w:pPr>
            <w:r>
              <w:rPr>
                <w:rFonts w:hint="eastAsia" w:ascii="宋体" w:hAnsi="宋体" w:cs="宋体"/>
                <w:bCs/>
                <w:szCs w:val="21"/>
              </w:rPr>
              <w:t>节能环保产品认证</w:t>
            </w:r>
          </w:p>
        </w:tc>
        <w:tc>
          <w:tcPr>
            <w:tcW w:w="6495" w:type="dxa"/>
            <w:vAlign w:val="center"/>
          </w:tcPr>
          <w:p>
            <w:pPr>
              <w:snapToGrid w:val="0"/>
              <w:spacing w:line="312" w:lineRule="auto"/>
              <w:rPr>
                <w:rFonts w:ascii="宋体" w:hAnsi="宋体" w:cs="宋体"/>
                <w:bCs/>
                <w:szCs w:val="21"/>
              </w:rPr>
            </w:pPr>
            <w:r>
              <w:rPr>
                <w:rFonts w:hint="eastAsia" w:ascii="宋体" w:hAnsi="宋体" w:cs="宋体"/>
                <w:bCs/>
                <w:szCs w:val="21"/>
              </w:rPr>
              <w:t>有效的节能产品、环境标志产品认证证书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39" w:type="dxa"/>
            <w:vAlign w:val="center"/>
          </w:tcPr>
          <w:p>
            <w:pPr>
              <w:snapToGrid w:val="0"/>
              <w:spacing w:line="312" w:lineRule="auto"/>
              <w:jc w:val="center"/>
              <w:rPr>
                <w:rFonts w:ascii="宋体" w:hAnsi="宋体" w:cs="宋体"/>
                <w:bCs/>
                <w:szCs w:val="21"/>
              </w:rPr>
            </w:pPr>
            <w:r>
              <w:rPr>
                <w:rFonts w:hint="eastAsia" w:ascii="宋体" w:hAnsi="宋体" w:cs="宋体"/>
                <w:bCs/>
                <w:szCs w:val="21"/>
              </w:rPr>
              <w:t>1.12.4</w:t>
            </w:r>
          </w:p>
        </w:tc>
        <w:tc>
          <w:tcPr>
            <w:tcW w:w="2115" w:type="dxa"/>
            <w:gridSpan w:val="2"/>
            <w:vAlign w:val="center"/>
          </w:tcPr>
          <w:p>
            <w:pPr>
              <w:snapToGrid w:val="0"/>
              <w:spacing w:line="312" w:lineRule="auto"/>
              <w:jc w:val="center"/>
              <w:rPr>
                <w:rFonts w:ascii="宋体" w:hAnsi="宋体" w:cs="宋体"/>
                <w:bCs/>
                <w:szCs w:val="21"/>
              </w:rPr>
            </w:pPr>
            <w:r>
              <w:rPr>
                <w:rFonts w:hint="eastAsia" w:ascii="宋体" w:hAnsi="宋体" w:cs="宋体"/>
                <w:bCs/>
                <w:szCs w:val="21"/>
              </w:rPr>
              <w:t>政府强制采购的节能产品清单品目</w:t>
            </w:r>
          </w:p>
        </w:tc>
        <w:tc>
          <w:tcPr>
            <w:tcW w:w="6495" w:type="dxa"/>
            <w:vAlign w:val="center"/>
          </w:tcPr>
          <w:p>
            <w:pPr>
              <w:rPr>
                <w:rFonts w:ascii="宋体" w:hAnsi="宋体" w:cs="宋体"/>
                <w:bCs/>
                <w:szCs w:val="21"/>
              </w:rPr>
            </w:pPr>
            <w:r>
              <w:rPr>
                <w:rFonts w:hint="eastAsia" w:ascii="宋体" w:hAnsi="宋体" w:cs="宋体"/>
                <w:bCs/>
                <w:szCs w:val="21"/>
              </w:rPr>
              <w:t>□台式计算机  □便携式计算机  □平板式微型计算机</w:t>
            </w:r>
          </w:p>
          <w:p>
            <w:pPr>
              <w:rPr>
                <w:rFonts w:ascii="宋体" w:hAnsi="宋体" w:cs="宋体"/>
                <w:bCs/>
                <w:szCs w:val="21"/>
              </w:rPr>
            </w:pPr>
            <w:r>
              <w:rPr>
                <w:rFonts w:hint="eastAsia" w:ascii="宋体" w:hAnsi="宋体" w:cs="宋体"/>
                <w:bCs/>
                <w:szCs w:val="21"/>
              </w:rPr>
              <w:t>□激光打印机  □针式打印机    □液晶显示设备  □水嘴</w:t>
            </w:r>
          </w:p>
          <w:p>
            <w:pPr>
              <w:rPr>
                <w:rFonts w:ascii="宋体" w:hAnsi="宋体" w:cs="宋体"/>
                <w:bCs/>
                <w:szCs w:val="21"/>
              </w:rPr>
            </w:pPr>
            <w:r>
              <w:rPr>
                <w:rFonts w:hint="eastAsia" w:ascii="宋体" w:hAnsi="宋体" w:cs="宋体"/>
                <w:bCs/>
                <w:szCs w:val="21"/>
              </w:rPr>
              <w:t xml:space="preserve">□制冷压缩机  </w:t>
            </w:r>
            <w:r>
              <w:rPr>
                <w:rFonts w:hint="eastAsia" w:ascii="宋体" w:hAnsi="宋体" w:cs="宋体"/>
                <w:bCs/>
                <w:szCs w:val="21"/>
              </w:rPr>
              <w:sym w:font="Wingdings 2" w:char="00A3"/>
            </w:r>
            <w:r>
              <w:rPr>
                <w:rFonts w:hint="eastAsia" w:ascii="宋体" w:hAnsi="宋体" w:cs="宋体"/>
                <w:bCs/>
                <w:szCs w:val="21"/>
              </w:rPr>
              <w:t>空调机组      □专用制冷、空调设备</w:t>
            </w:r>
          </w:p>
          <w:p>
            <w:pPr>
              <w:rPr>
                <w:rFonts w:ascii="宋体" w:hAnsi="宋体" w:cs="宋体"/>
                <w:bCs/>
                <w:szCs w:val="21"/>
              </w:rPr>
            </w:pPr>
            <w:r>
              <w:rPr>
                <w:rFonts w:hint="eastAsia" w:ascii="宋体" w:hAnsi="宋体" w:cs="宋体"/>
                <w:bCs/>
                <w:szCs w:val="21"/>
              </w:rPr>
              <w:t>□镇流器      □视频设备      □电热水器      □便器</w:t>
            </w:r>
          </w:p>
          <w:p>
            <w:pPr>
              <w:snapToGrid w:val="0"/>
              <w:spacing w:line="312" w:lineRule="auto"/>
              <w:rPr>
                <w:rFonts w:ascii="宋体" w:hAnsi="宋体" w:cs="宋体"/>
                <w:bCs/>
                <w:szCs w:val="21"/>
              </w:rPr>
            </w:pPr>
            <w:r>
              <w:rPr>
                <w:rFonts w:hint="eastAsia" w:ascii="宋体" w:hAnsi="宋体" w:cs="宋体"/>
                <w:bCs/>
                <w:szCs w:val="21"/>
              </w:rPr>
              <w:t>□普通照明用双端荧光灯        □电视设备      □空调机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39" w:type="dxa"/>
            <w:vAlign w:val="center"/>
          </w:tcPr>
          <w:p>
            <w:pPr>
              <w:snapToGrid w:val="0"/>
              <w:spacing w:line="312" w:lineRule="auto"/>
              <w:jc w:val="center"/>
              <w:rPr>
                <w:rFonts w:ascii="宋体" w:hAnsi="宋体" w:cs="宋体"/>
                <w:bCs/>
                <w:szCs w:val="21"/>
              </w:rPr>
            </w:pPr>
            <w:r>
              <w:rPr>
                <w:rFonts w:hint="eastAsia" w:ascii="宋体" w:hAnsi="宋体" w:cs="宋体"/>
                <w:bCs/>
                <w:szCs w:val="21"/>
              </w:rPr>
              <w:t>1.12.5</w:t>
            </w:r>
          </w:p>
        </w:tc>
        <w:tc>
          <w:tcPr>
            <w:tcW w:w="2115" w:type="dxa"/>
            <w:gridSpan w:val="2"/>
            <w:vAlign w:val="center"/>
          </w:tcPr>
          <w:p>
            <w:pPr>
              <w:snapToGrid w:val="0"/>
              <w:spacing w:line="312" w:lineRule="auto"/>
              <w:jc w:val="center"/>
              <w:rPr>
                <w:rFonts w:ascii="宋体" w:hAnsi="宋体" w:cs="宋体"/>
                <w:bCs/>
                <w:szCs w:val="21"/>
              </w:rPr>
            </w:pPr>
            <w:r>
              <w:rPr>
                <w:rFonts w:hint="eastAsia" w:ascii="宋体" w:hAnsi="宋体" w:cs="宋体"/>
                <w:bCs/>
                <w:szCs w:val="21"/>
              </w:rPr>
              <w:t>落实政府采购支持中小企业、监狱企业及残疾人福利性单位发展政策</w:t>
            </w:r>
          </w:p>
        </w:tc>
        <w:tc>
          <w:tcPr>
            <w:tcW w:w="6495" w:type="dxa"/>
            <w:vAlign w:val="center"/>
          </w:tcPr>
          <w:p>
            <w:pPr>
              <w:snapToGrid w:val="0"/>
              <w:spacing w:line="312" w:lineRule="auto"/>
              <w:rPr>
                <w:rFonts w:ascii="宋体" w:hAnsi="宋体" w:cs="宋体"/>
                <w:bCs/>
                <w:szCs w:val="21"/>
              </w:rPr>
            </w:pPr>
            <w:r>
              <w:rPr>
                <w:rFonts w:hint="eastAsia" w:ascii="宋体" w:hAnsi="宋体" w:cs="宋体"/>
                <w:bCs/>
                <w:szCs w:val="21"/>
                <w:lang w:eastAsia="zh-CN"/>
              </w:rPr>
              <w:t>货物和服务项目中未预留份额专门面向中小企业采购的，</w:t>
            </w:r>
            <w:r>
              <w:rPr>
                <w:rFonts w:hint="eastAsia" w:ascii="宋体" w:hAnsi="宋体" w:cs="宋体"/>
                <w:bCs/>
                <w:szCs w:val="21"/>
              </w:rPr>
              <w:t>对小微企业报价给予20%的扣除，用扣除后的价格参加评审。对于联合协议或者分包意向协议约定小微企业的合同份额占到合同总金额30%以上的，对联合体或者大中型企业的报价给予6%的扣除，用扣除后的价格参加评审。</w:t>
            </w:r>
          </w:p>
          <w:p>
            <w:pPr>
              <w:snapToGrid w:val="0"/>
              <w:spacing w:line="312" w:lineRule="auto"/>
              <w:rPr>
                <w:rFonts w:ascii="宋体" w:hAnsi="宋体" w:cs="宋体"/>
                <w:bCs/>
                <w:szCs w:val="21"/>
              </w:rPr>
            </w:pPr>
            <w:r>
              <w:rPr>
                <w:rFonts w:hint="eastAsia" w:ascii="宋体" w:hAnsi="宋体" w:cs="宋体"/>
                <w:bCs/>
                <w:szCs w:val="21"/>
              </w:rPr>
              <w:t>本项目所属行业：其他未列明行业。(中小微型企业划分标准参照国家统计局印发的《统计上大中小微型企业划分办法（2017）》，上述填写的所属行业详见《统计上大中小微型企业划分办法（2017）》附件)。</w:t>
            </w:r>
          </w:p>
          <w:p>
            <w:pPr>
              <w:snapToGrid w:val="0"/>
              <w:spacing w:line="312" w:lineRule="auto"/>
              <w:rPr>
                <w:rFonts w:ascii="宋体" w:hAnsi="宋体" w:cs="宋体"/>
                <w:bCs/>
                <w:szCs w:val="21"/>
              </w:rPr>
            </w:pPr>
            <w:r>
              <w:rPr>
                <w:rFonts w:hint="eastAsia" w:ascii="宋体" w:hAnsi="宋体" w:cs="宋体"/>
                <w:bCs/>
                <w:szCs w:val="21"/>
              </w:rPr>
              <w:t>监狱企业、残疾人福利性单位视同小型、微型企业，享受价格扣除。</w:t>
            </w:r>
          </w:p>
          <w:p>
            <w:pPr>
              <w:snapToGrid w:val="0"/>
              <w:spacing w:line="312" w:lineRule="auto"/>
              <w:rPr>
                <w:rFonts w:ascii="宋体" w:hAnsi="宋体" w:cs="宋体"/>
                <w:bCs/>
                <w:szCs w:val="21"/>
              </w:rPr>
            </w:pPr>
            <w:r>
              <w:rPr>
                <w:rFonts w:hint="eastAsia" w:ascii="宋体" w:hAnsi="宋体" w:cs="宋体"/>
                <w:bCs/>
                <w:szCs w:val="21"/>
              </w:rPr>
              <w:t>残疾人福利性单位属于小型、微型企业的，不重复享受政策。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39" w:type="dxa"/>
            <w:vAlign w:val="center"/>
          </w:tcPr>
          <w:p>
            <w:pPr>
              <w:snapToGrid w:val="0"/>
              <w:spacing w:line="312" w:lineRule="auto"/>
              <w:jc w:val="center"/>
              <w:rPr>
                <w:rFonts w:ascii="宋体" w:hAnsi="宋体" w:cs="宋体"/>
                <w:bCs/>
                <w:szCs w:val="21"/>
              </w:rPr>
            </w:pPr>
            <w:r>
              <w:rPr>
                <w:rFonts w:hint="eastAsia" w:ascii="宋体" w:hAnsi="宋体" w:cs="宋体"/>
                <w:bCs/>
                <w:szCs w:val="21"/>
              </w:rPr>
              <w:t>1.12.8</w:t>
            </w:r>
          </w:p>
        </w:tc>
        <w:tc>
          <w:tcPr>
            <w:tcW w:w="2115" w:type="dxa"/>
            <w:gridSpan w:val="2"/>
            <w:vAlign w:val="center"/>
          </w:tcPr>
          <w:p>
            <w:pPr>
              <w:snapToGrid w:val="0"/>
              <w:spacing w:line="312" w:lineRule="auto"/>
              <w:jc w:val="center"/>
              <w:rPr>
                <w:rFonts w:ascii="宋体" w:hAnsi="宋体" w:cs="宋体"/>
                <w:bCs/>
                <w:szCs w:val="21"/>
              </w:rPr>
            </w:pPr>
            <w:r>
              <w:rPr>
                <w:rFonts w:hint="eastAsia" w:ascii="宋体" w:hAnsi="宋体" w:cs="宋体"/>
                <w:bCs/>
                <w:szCs w:val="21"/>
              </w:rPr>
              <w:t>采购进口产品</w:t>
            </w:r>
          </w:p>
        </w:tc>
        <w:tc>
          <w:tcPr>
            <w:tcW w:w="6495" w:type="dxa"/>
            <w:vAlign w:val="center"/>
          </w:tcPr>
          <w:p>
            <w:pPr>
              <w:snapToGrid w:val="0"/>
              <w:spacing w:line="312" w:lineRule="auto"/>
              <w:rPr>
                <w:rFonts w:ascii="宋体" w:hAnsi="宋体" w:cs="宋体"/>
                <w:bCs/>
                <w:szCs w:val="21"/>
              </w:rPr>
            </w:pPr>
            <w:r>
              <w:rPr>
                <w:rFonts w:hint="eastAsia" w:ascii="宋体" w:hAnsi="宋体" w:cs="宋体"/>
                <w:bCs/>
                <w:szCs w:val="21"/>
              </w:rPr>
              <w:fldChar w:fldCharType="begin"/>
            </w:r>
            <w:r>
              <w:rPr>
                <w:rFonts w:hint="eastAsia" w:ascii="宋体" w:hAnsi="宋体" w:cs="宋体"/>
                <w:bCs/>
                <w:szCs w:val="21"/>
              </w:rPr>
              <w:instrText xml:space="preserve"> eq \o\ac(□,√)</w:instrText>
            </w:r>
            <w:r>
              <w:rPr>
                <w:rFonts w:hint="eastAsia" w:ascii="宋体" w:hAnsi="宋体" w:cs="宋体"/>
                <w:bCs/>
                <w:szCs w:val="21"/>
              </w:rPr>
              <w:fldChar w:fldCharType="end"/>
            </w:r>
            <w:r>
              <w:rPr>
                <w:rFonts w:hint="eastAsia" w:ascii="宋体" w:hAnsi="宋体" w:cs="宋体"/>
                <w:bCs/>
                <w:szCs w:val="21"/>
              </w:rPr>
              <w:t>不允许采购进口产品</w:t>
            </w:r>
          </w:p>
          <w:p>
            <w:pPr>
              <w:snapToGrid w:val="0"/>
              <w:spacing w:line="312" w:lineRule="auto"/>
              <w:rPr>
                <w:rFonts w:ascii="宋体" w:hAnsi="宋体" w:cs="宋体"/>
                <w:szCs w:val="21"/>
              </w:rPr>
            </w:pPr>
            <w:r>
              <w:rPr>
                <w:rFonts w:hint="eastAsia" w:ascii="宋体" w:hAnsi="宋体" w:cs="宋体"/>
                <w:bCs/>
                <w:szCs w:val="21"/>
              </w:rPr>
              <w:t>□允许采购进口产品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39" w:type="dxa"/>
            <w:vAlign w:val="center"/>
          </w:tcPr>
          <w:p>
            <w:pPr>
              <w:snapToGrid w:val="0"/>
              <w:spacing w:line="312" w:lineRule="auto"/>
              <w:jc w:val="center"/>
              <w:rPr>
                <w:rFonts w:ascii="宋体" w:hAnsi="宋体" w:cs="宋体"/>
                <w:bCs/>
                <w:szCs w:val="21"/>
              </w:rPr>
            </w:pPr>
            <w:r>
              <w:rPr>
                <w:rFonts w:hint="eastAsia" w:ascii="宋体" w:hAnsi="宋体" w:cs="宋体"/>
                <w:bCs/>
                <w:szCs w:val="21"/>
              </w:rPr>
              <w:t>1.13.3</w:t>
            </w:r>
          </w:p>
        </w:tc>
        <w:tc>
          <w:tcPr>
            <w:tcW w:w="2115" w:type="dxa"/>
            <w:gridSpan w:val="2"/>
            <w:vAlign w:val="center"/>
          </w:tcPr>
          <w:p>
            <w:pPr>
              <w:snapToGrid w:val="0"/>
              <w:spacing w:line="312" w:lineRule="auto"/>
              <w:jc w:val="center"/>
              <w:rPr>
                <w:rFonts w:ascii="宋体" w:hAnsi="宋体" w:cs="宋体"/>
                <w:b/>
                <w:szCs w:val="21"/>
              </w:rPr>
            </w:pPr>
            <w:r>
              <w:rPr>
                <w:rFonts w:hint="eastAsia" w:ascii="宋体" w:hAnsi="宋体" w:cs="宋体"/>
                <w:bCs/>
                <w:szCs w:val="21"/>
              </w:rPr>
              <w:t>核心产品</w:t>
            </w:r>
          </w:p>
        </w:tc>
        <w:tc>
          <w:tcPr>
            <w:tcW w:w="6495" w:type="dxa"/>
            <w:vAlign w:val="center"/>
          </w:tcPr>
          <w:p>
            <w:pPr>
              <w:widowControl/>
              <w:spacing w:line="312" w:lineRule="auto"/>
              <w:jc w:val="left"/>
              <w:rPr>
                <w:rFonts w:ascii="宋体" w:hAnsi="宋体" w:cs="宋体"/>
                <w:b/>
                <w:kern w:val="0"/>
              </w:rPr>
            </w:pPr>
            <w:r>
              <w:rPr>
                <w:rFonts w:hint="eastAsia" w:ascii="宋体" w:hAnsi="宋体" w:cs="宋体"/>
                <w:b/>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39" w:type="dxa"/>
            <w:vAlign w:val="center"/>
          </w:tcPr>
          <w:p>
            <w:pPr>
              <w:snapToGrid w:val="0"/>
              <w:spacing w:line="312" w:lineRule="auto"/>
              <w:jc w:val="center"/>
              <w:rPr>
                <w:rFonts w:ascii="宋体" w:hAnsi="宋体" w:cs="宋体"/>
                <w:bCs/>
                <w:szCs w:val="21"/>
              </w:rPr>
            </w:pPr>
            <w:r>
              <w:rPr>
                <w:rFonts w:hint="eastAsia" w:ascii="宋体" w:hAnsi="宋体" w:cs="宋体"/>
                <w:bCs/>
                <w:szCs w:val="21"/>
              </w:rPr>
              <w:t>1.14.1</w:t>
            </w:r>
          </w:p>
        </w:tc>
        <w:tc>
          <w:tcPr>
            <w:tcW w:w="2115" w:type="dxa"/>
            <w:gridSpan w:val="2"/>
            <w:vAlign w:val="center"/>
          </w:tcPr>
          <w:p>
            <w:pPr>
              <w:snapToGrid w:val="0"/>
              <w:spacing w:line="312" w:lineRule="auto"/>
              <w:jc w:val="center"/>
              <w:rPr>
                <w:rFonts w:ascii="宋体" w:hAnsi="宋体" w:cs="宋体"/>
                <w:bCs/>
                <w:szCs w:val="21"/>
              </w:rPr>
            </w:pPr>
            <w:r>
              <w:rPr>
                <w:rFonts w:hint="eastAsia" w:ascii="宋体" w:hAnsi="宋体" w:cs="宋体"/>
                <w:bCs/>
                <w:szCs w:val="21"/>
              </w:rPr>
              <w:t>现场考察</w:t>
            </w:r>
          </w:p>
        </w:tc>
        <w:tc>
          <w:tcPr>
            <w:tcW w:w="6495" w:type="dxa"/>
            <w:vAlign w:val="center"/>
          </w:tcPr>
          <w:p>
            <w:pPr>
              <w:snapToGrid w:val="0"/>
              <w:spacing w:line="312" w:lineRule="auto"/>
              <w:rPr>
                <w:rFonts w:ascii="宋体" w:hAnsi="宋体" w:cs="宋体"/>
                <w:bCs/>
                <w:szCs w:val="21"/>
              </w:rPr>
            </w:pPr>
            <w:r>
              <w:rPr>
                <w:rFonts w:hint="eastAsia" w:ascii="宋体" w:hAnsi="宋体" w:cs="宋体"/>
                <w:bCs/>
                <w:szCs w:val="21"/>
              </w:rPr>
              <w:t>采购人及代理机构不组织现场考察。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39" w:type="dxa"/>
            <w:vAlign w:val="center"/>
          </w:tcPr>
          <w:p>
            <w:pPr>
              <w:snapToGrid w:val="0"/>
              <w:spacing w:line="312" w:lineRule="auto"/>
              <w:jc w:val="center"/>
              <w:rPr>
                <w:rFonts w:ascii="宋体" w:hAnsi="宋体" w:cs="宋体"/>
                <w:bCs/>
                <w:szCs w:val="21"/>
              </w:rPr>
            </w:pPr>
            <w:r>
              <w:rPr>
                <w:rFonts w:hint="eastAsia" w:ascii="宋体" w:hAnsi="宋体" w:cs="宋体"/>
                <w:bCs/>
                <w:szCs w:val="21"/>
              </w:rPr>
              <w:t>2.2.1</w:t>
            </w:r>
          </w:p>
        </w:tc>
        <w:tc>
          <w:tcPr>
            <w:tcW w:w="2115" w:type="dxa"/>
            <w:gridSpan w:val="2"/>
            <w:vAlign w:val="center"/>
          </w:tcPr>
          <w:p>
            <w:pPr>
              <w:snapToGrid w:val="0"/>
              <w:jc w:val="center"/>
              <w:rPr>
                <w:rFonts w:ascii="宋体" w:hAnsi="宋体" w:cs="宋体"/>
                <w:bCs/>
                <w:szCs w:val="21"/>
              </w:rPr>
            </w:pPr>
            <w:r>
              <w:rPr>
                <w:rFonts w:hint="eastAsia" w:ascii="宋体" w:hAnsi="宋体" w:cs="宋体"/>
                <w:bCs/>
                <w:szCs w:val="21"/>
              </w:rPr>
              <w:t>竞争性磋商文件的澄清、答疑、修改、补充截止时间</w:t>
            </w:r>
          </w:p>
        </w:tc>
        <w:tc>
          <w:tcPr>
            <w:tcW w:w="6495" w:type="dxa"/>
            <w:vAlign w:val="center"/>
          </w:tcPr>
          <w:p>
            <w:pPr>
              <w:snapToGrid w:val="0"/>
              <w:spacing w:line="312" w:lineRule="auto"/>
              <w:rPr>
                <w:rFonts w:ascii="宋体" w:hAnsi="宋体" w:cs="宋体"/>
                <w:bCs/>
                <w:szCs w:val="21"/>
              </w:rPr>
            </w:pPr>
            <w:r>
              <w:rPr>
                <w:rFonts w:hint="eastAsia" w:ascii="宋体" w:hAnsi="宋体" w:cs="宋体"/>
                <w:bCs/>
                <w:szCs w:val="21"/>
              </w:rPr>
              <w:t>响应文件递交截止时间3天前。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atLeast"/>
        </w:trPr>
        <w:tc>
          <w:tcPr>
            <w:tcW w:w="939" w:type="dxa"/>
            <w:vAlign w:val="center"/>
          </w:tcPr>
          <w:p>
            <w:pPr>
              <w:snapToGrid w:val="0"/>
              <w:spacing w:line="312" w:lineRule="auto"/>
              <w:jc w:val="center"/>
              <w:rPr>
                <w:rFonts w:ascii="宋体" w:hAnsi="宋体" w:cs="宋体"/>
                <w:bCs/>
                <w:szCs w:val="21"/>
              </w:rPr>
            </w:pPr>
            <w:r>
              <w:rPr>
                <w:rFonts w:hint="eastAsia" w:ascii="宋体" w:hAnsi="宋体" w:cs="宋体"/>
                <w:bCs/>
                <w:szCs w:val="21"/>
              </w:rPr>
              <w:t>2.2.2</w:t>
            </w:r>
          </w:p>
        </w:tc>
        <w:tc>
          <w:tcPr>
            <w:tcW w:w="2115" w:type="dxa"/>
            <w:gridSpan w:val="2"/>
            <w:vAlign w:val="center"/>
          </w:tcPr>
          <w:p>
            <w:pPr>
              <w:snapToGrid w:val="0"/>
              <w:jc w:val="center"/>
              <w:rPr>
                <w:rFonts w:ascii="宋体" w:hAnsi="宋体" w:cs="宋体"/>
                <w:bCs/>
                <w:szCs w:val="21"/>
              </w:rPr>
            </w:pPr>
            <w:r>
              <w:rPr>
                <w:rFonts w:hint="eastAsia" w:ascii="宋体" w:hAnsi="宋体" w:cs="宋体"/>
                <w:bCs/>
                <w:szCs w:val="21"/>
              </w:rPr>
              <w:t>竞争性磋商文件的澄清、答疑、修改、补充发布地点</w:t>
            </w:r>
          </w:p>
        </w:tc>
        <w:tc>
          <w:tcPr>
            <w:tcW w:w="6495" w:type="dxa"/>
            <w:vAlign w:val="center"/>
          </w:tcPr>
          <w:p>
            <w:pPr>
              <w:snapToGrid w:val="0"/>
              <w:spacing w:line="312" w:lineRule="auto"/>
              <w:rPr>
                <w:rFonts w:ascii="宋体" w:hAnsi="宋体" w:cs="宋体"/>
                <w:bCs/>
                <w:szCs w:val="21"/>
              </w:rPr>
            </w:pPr>
            <w:r>
              <w:rPr>
                <w:rFonts w:hint="eastAsia" w:ascii="宋体" w:hAnsi="宋体" w:cs="宋体"/>
                <w:bCs/>
                <w:szCs w:val="21"/>
              </w:rPr>
              <w:t>浙江政府采购网（http：//www.zjzfcg.gov.cn）。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39" w:type="dxa"/>
            <w:vAlign w:val="center"/>
          </w:tcPr>
          <w:p>
            <w:pPr>
              <w:snapToGrid w:val="0"/>
              <w:spacing w:line="312" w:lineRule="auto"/>
              <w:jc w:val="center"/>
              <w:rPr>
                <w:rFonts w:ascii="宋体" w:hAnsi="宋体" w:cs="宋体"/>
                <w:bCs/>
                <w:szCs w:val="21"/>
              </w:rPr>
            </w:pPr>
            <w:r>
              <w:rPr>
                <w:rFonts w:hint="eastAsia" w:ascii="宋体" w:hAnsi="宋体" w:cs="宋体"/>
                <w:bCs/>
                <w:szCs w:val="21"/>
              </w:rPr>
              <w:t>3.2.1</w:t>
            </w:r>
          </w:p>
        </w:tc>
        <w:tc>
          <w:tcPr>
            <w:tcW w:w="2115" w:type="dxa"/>
            <w:gridSpan w:val="2"/>
            <w:vAlign w:val="center"/>
          </w:tcPr>
          <w:p>
            <w:pPr>
              <w:snapToGrid w:val="0"/>
              <w:spacing w:line="312" w:lineRule="auto"/>
              <w:jc w:val="center"/>
              <w:rPr>
                <w:rFonts w:ascii="宋体" w:hAnsi="宋体" w:cs="宋体"/>
                <w:bCs/>
                <w:szCs w:val="21"/>
              </w:rPr>
            </w:pPr>
            <w:r>
              <w:rPr>
                <w:rFonts w:hint="eastAsia" w:ascii="宋体" w:hAnsi="宋体" w:cs="宋体"/>
                <w:bCs/>
                <w:szCs w:val="21"/>
              </w:rPr>
              <w:t>资格审查文件的组成</w:t>
            </w:r>
          </w:p>
        </w:tc>
        <w:tc>
          <w:tcPr>
            <w:tcW w:w="6495" w:type="dxa"/>
            <w:vAlign w:val="center"/>
          </w:tcPr>
          <w:p>
            <w:pPr>
              <w:pStyle w:val="15"/>
              <w:rPr>
                <w:rFonts w:hint="eastAsia"/>
              </w:rPr>
            </w:pPr>
            <w:r>
              <w:rPr>
                <w:rFonts w:hint="eastAsia"/>
              </w:rPr>
              <w:t>（1）企业营业执照（复印件加盖供应商公章）；</w:t>
            </w:r>
          </w:p>
          <w:p>
            <w:pPr>
              <w:pStyle w:val="15"/>
              <w:rPr>
                <w:rFonts w:hint="eastAsia"/>
              </w:rPr>
            </w:pPr>
            <w:r>
              <w:rPr>
                <w:rFonts w:hint="eastAsia"/>
              </w:rPr>
              <w:t>（2）法定代表人身份证明书或法定代表人授权委托书（见格式）；</w:t>
            </w:r>
          </w:p>
          <w:p>
            <w:pPr>
              <w:pStyle w:val="15"/>
              <w:rPr>
                <w:rFonts w:hint="eastAsia"/>
              </w:rPr>
            </w:pPr>
            <w:r>
              <w:rPr>
                <w:rFonts w:hint="eastAsia"/>
              </w:rPr>
              <w:t>（3）具有良好的财务会计制度、依法缴纳税收和社会保障资金的承诺函;</w:t>
            </w:r>
          </w:p>
          <w:p>
            <w:pPr>
              <w:pStyle w:val="15"/>
              <w:rPr>
                <w:rFonts w:hint="eastAsia"/>
              </w:rPr>
            </w:pPr>
            <w:r>
              <w:rPr>
                <w:rFonts w:hint="eastAsia"/>
              </w:rPr>
              <w:t>（4）具有履行合同所必需设备和专业技术能力的承诺函;</w:t>
            </w:r>
          </w:p>
          <w:p>
            <w:pPr>
              <w:pStyle w:val="15"/>
              <w:rPr>
                <w:rFonts w:hint="eastAsia"/>
              </w:rPr>
            </w:pPr>
            <w:r>
              <w:rPr>
                <w:rFonts w:hint="eastAsia"/>
              </w:rPr>
              <w:t>（5）中小企业承诺函；</w:t>
            </w:r>
          </w:p>
          <w:p>
            <w:pPr>
              <w:pStyle w:val="15"/>
              <w:rPr>
                <w:rFonts w:hint="eastAsia"/>
              </w:rPr>
            </w:pPr>
            <w:r>
              <w:rPr>
                <w:rFonts w:hint="eastAsia"/>
              </w:rPr>
              <w:t>（6）关于资格的声明</w:t>
            </w:r>
          </w:p>
          <w:p>
            <w:pPr>
              <w:pStyle w:val="15"/>
              <w:rPr>
                <w:rFonts w:hint="eastAsia" w:eastAsia="宋体"/>
                <w:lang w:eastAsia="zh-CN"/>
              </w:rPr>
            </w:pPr>
            <w:r>
              <w:rPr>
                <w:rFonts w:hint="eastAsia"/>
              </w:rPr>
              <w:t>（7）无重大违法记录声明书；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6" w:hRule="atLeast"/>
        </w:trPr>
        <w:tc>
          <w:tcPr>
            <w:tcW w:w="939" w:type="dxa"/>
            <w:vAlign w:val="center"/>
          </w:tcPr>
          <w:p>
            <w:pPr>
              <w:snapToGrid w:val="0"/>
              <w:spacing w:line="312" w:lineRule="auto"/>
              <w:jc w:val="center"/>
              <w:rPr>
                <w:rFonts w:ascii="宋体" w:hAnsi="宋体" w:cs="宋体"/>
                <w:bCs/>
                <w:szCs w:val="21"/>
              </w:rPr>
            </w:pPr>
            <w:r>
              <w:rPr>
                <w:rFonts w:hint="eastAsia" w:ascii="宋体" w:hAnsi="宋体" w:cs="宋体"/>
                <w:bCs/>
                <w:szCs w:val="21"/>
              </w:rPr>
              <w:t>3.3</w:t>
            </w:r>
          </w:p>
        </w:tc>
        <w:tc>
          <w:tcPr>
            <w:tcW w:w="2115" w:type="dxa"/>
            <w:gridSpan w:val="2"/>
            <w:vAlign w:val="center"/>
          </w:tcPr>
          <w:p>
            <w:pPr>
              <w:snapToGrid w:val="0"/>
              <w:spacing w:line="312" w:lineRule="auto"/>
              <w:jc w:val="center"/>
              <w:rPr>
                <w:rFonts w:ascii="宋体" w:hAnsi="宋体" w:cs="宋体"/>
                <w:bCs/>
                <w:szCs w:val="21"/>
              </w:rPr>
            </w:pPr>
            <w:r>
              <w:rPr>
                <w:rFonts w:hint="eastAsia" w:ascii="宋体" w:hAnsi="宋体" w:cs="宋体"/>
                <w:bCs/>
                <w:szCs w:val="21"/>
              </w:rPr>
              <w:t>商务技术文件的组成</w:t>
            </w:r>
          </w:p>
        </w:tc>
        <w:tc>
          <w:tcPr>
            <w:tcW w:w="6495" w:type="dxa"/>
            <w:vAlign w:val="center"/>
          </w:tcPr>
          <w:p>
            <w:pPr>
              <w:snapToGrid w:val="0"/>
              <w:spacing w:line="360" w:lineRule="auto"/>
              <w:rPr>
                <w:rFonts w:ascii="宋体" w:hAnsi="宋体" w:cs="宋体"/>
                <w:b/>
                <w:szCs w:val="21"/>
              </w:rPr>
            </w:pPr>
            <w:r>
              <w:rPr>
                <w:rFonts w:hint="eastAsia" w:ascii="宋体" w:hAnsi="宋体" w:cs="宋体"/>
                <w:b/>
                <w:szCs w:val="21"/>
              </w:rPr>
              <w:t>一、商务技术文件</w:t>
            </w:r>
          </w:p>
          <w:p>
            <w:pPr>
              <w:snapToGrid w:val="0"/>
              <w:spacing w:line="360" w:lineRule="auto"/>
              <w:rPr>
                <w:rFonts w:ascii="宋体" w:hAnsi="宋体" w:cs="宋体"/>
              </w:rPr>
            </w:pPr>
            <w:r>
              <w:rPr>
                <w:rFonts w:hint="eastAsia" w:ascii="宋体" w:hAnsi="宋体" w:cs="宋体"/>
              </w:rPr>
              <w:t>（1）磋商函</w:t>
            </w:r>
          </w:p>
          <w:p>
            <w:pPr>
              <w:snapToGrid w:val="0"/>
              <w:spacing w:line="360" w:lineRule="auto"/>
              <w:rPr>
                <w:rFonts w:ascii="宋体" w:hAnsi="宋体" w:cs="宋体"/>
              </w:rPr>
            </w:pPr>
            <w:r>
              <w:rPr>
                <w:rFonts w:hint="eastAsia" w:ascii="宋体" w:hAnsi="宋体" w:cs="宋体"/>
              </w:rPr>
              <w:t>（2）承诺函</w:t>
            </w:r>
          </w:p>
          <w:p>
            <w:pPr>
              <w:snapToGrid w:val="0"/>
              <w:spacing w:line="360" w:lineRule="auto"/>
              <w:rPr>
                <w:rFonts w:ascii="宋体" w:hAnsi="宋体" w:cs="宋体"/>
              </w:rPr>
            </w:pPr>
            <w:r>
              <w:rPr>
                <w:rFonts w:hint="eastAsia" w:ascii="宋体" w:hAnsi="宋体" w:cs="宋体"/>
              </w:rPr>
              <w:t>（3）商务响应表</w:t>
            </w:r>
          </w:p>
          <w:p>
            <w:pPr>
              <w:snapToGrid w:val="0"/>
              <w:spacing w:line="360" w:lineRule="auto"/>
              <w:rPr>
                <w:rFonts w:ascii="宋体" w:hAnsi="宋体" w:cs="宋体"/>
              </w:rPr>
            </w:pPr>
            <w:r>
              <w:rPr>
                <w:rFonts w:hint="eastAsia" w:ascii="宋体" w:hAnsi="宋体" w:cs="宋体"/>
              </w:rPr>
              <w:t>（4）</w:t>
            </w:r>
            <w:r>
              <w:rPr>
                <w:rFonts w:hint="eastAsia" w:ascii="宋体" w:hAnsi="宋体" w:cs="宋体"/>
                <w:color w:val="000000"/>
                <w:kern w:val="0"/>
                <w:sz w:val="21"/>
                <w:szCs w:val="21"/>
              </w:rPr>
              <w:t>投标人实力</w:t>
            </w:r>
          </w:p>
          <w:p>
            <w:pPr>
              <w:snapToGrid w:val="0"/>
              <w:spacing w:line="360" w:lineRule="auto"/>
              <w:rPr>
                <w:rFonts w:ascii="宋体" w:hAnsi="宋体" w:cs="宋体"/>
              </w:rPr>
            </w:pPr>
            <w:r>
              <w:rPr>
                <w:rFonts w:hint="eastAsia" w:ascii="宋体" w:hAnsi="宋体" w:cs="宋体"/>
              </w:rPr>
              <w:t>（5）业绩</w:t>
            </w:r>
          </w:p>
          <w:p>
            <w:pPr>
              <w:snapToGrid w:val="0"/>
              <w:spacing w:line="360" w:lineRule="auto"/>
              <w:rPr>
                <w:rFonts w:ascii="宋体" w:hAnsi="宋体" w:cs="宋体"/>
              </w:rPr>
            </w:pPr>
            <w:r>
              <w:rPr>
                <w:rFonts w:hint="eastAsia" w:ascii="宋体" w:hAnsi="宋体" w:cs="宋体"/>
              </w:rPr>
              <w:t>（6）设备认知度、成熟度</w:t>
            </w:r>
          </w:p>
          <w:p>
            <w:pPr>
              <w:snapToGrid w:val="0"/>
              <w:spacing w:line="360" w:lineRule="auto"/>
              <w:rPr>
                <w:rFonts w:ascii="宋体" w:hAnsi="宋体" w:cs="宋体"/>
              </w:rPr>
            </w:pPr>
            <w:r>
              <w:rPr>
                <w:rFonts w:hint="eastAsia" w:ascii="宋体" w:hAnsi="宋体" w:cs="宋体"/>
              </w:rPr>
              <w:t>（7）技术参数</w:t>
            </w:r>
          </w:p>
          <w:p>
            <w:pPr>
              <w:snapToGrid w:val="0"/>
              <w:spacing w:line="360" w:lineRule="auto"/>
              <w:rPr>
                <w:rFonts w:ascii="宋体" w:hAnsi="宋体" w:cs="宋体"/>
              </w:rPr>
            </w:pPr>
            <w:r>
              <w:rPr>
                <w:rFonts w:hint="eastAsia" w:ascii="宋体" w:hAnsi="宋体" w:cs="宋体"/>
              </w:rPr>
              <w:t>（8）项目方案</w:t>
            </w:r>
          </w:p>
          <w:p>
            <w:pPr>
              <w:snapToGrid w:val="0"/>
              <w:spacing w:line="360" w:lineRule="auto"/>
              <w:rPr>
                <w:rFonts w:hint="eastAsia" w:ascii="宋体" w:hAnsi="宋体" w:cs="宋体"/>
              </w:rPr>
            </w:pPr>
            <w:r>
              <w:rPr>
                <w:rFonts w:hint="eastAsia" w:ascii="宋体" w:hAnsi="宋体" w:cs="宋体"/>
              </w:rPr>
              <w:t>（9）设备的先进性、合理性、安全性</w:t>
            </w:r>
          </w:p>
          <w:p>
            <w:pPr>
              <w:snapToGrid w:val="0"/>
              <w:spacing w:line="360" w:lineRule="auto"/>
              <w:rPr>
                <w:rFonts w:hint="eastAsia" w:ascii="宋体" w:hAnsi="宋体" w:cs="宋体"/>
              </w:rPr>
            </w:pPr>
            <w:r>
              <w:rPr>
                <w:rFonts w:hint="eastAsia" w:ascii="宋体" w:hAnsi="宋体" w:cs="宋体"/>
              </w:rPr>
              <w:t>（</w:t>
            </w:r>
            <w:r>
              <w:rPr>
                <w:rFonts w:hint="eastAsia" w:ascii="宋体" w:hAnsi="宋体" w:cs="宋体"/>
                <w:lang w:val="en-US" w:eastAsia="zh-CN"/>
              </w:rPr>
              <w:t>10</w:t>
            </w:r>
            <w:r>
              <w:rPr>
                <w:rFonts w:hint="eastAsia" w:ascii="宋体" w:hAnsi="宋体" w:cs="宋体"/>
              </w:rPr>
              <w:t>）对项目实施的评价</w:t>
            </w:r>
          </w:p>
          <w:p>
            <w:pPr>
              <w:snapToGrid w:val="0"/>
              <w:spacing w:line="360" w:lineRule="auto"/>
              <w:rPr>
                <w:rFonts w:hint="eastAsia" w:ascii="宋体" w:hAnsi="宋体" w:cs="宋体"/>
              </w:rPr>
            </w:pPr>
            <w:r>
              <w:rPr>
                <w:rFonts w:hint="eastAsia" w:ascii="宋体" w:hAnsi="宋体" w:cs="宋体"/>
              </w:rPr>
              <w:t>（</w:t>
            </w:r>
            <w:r>
              <w:rPr>
                <w:rFonts w:hint="eastAsia" w:ascii="宋体" w:hAnsi="宋体" w:cs="宋体"/>
                <w:lang w:val="en-US" w:eastAsia="zh-CN"/>
              </w:rPr>
              <w:t>11</w:t>
            </w:r>
            <w:r>
              <w:rPr>
                <w:rFonts w:hint="eastAsia" w:ascii="宋体" w:hAnsi="宋体" w:cs="宋体"/>
              </w:rPr>
              <w:t>）售后服务</w:t>
            </w:r>
          </w:p>
          <w:p>
            <w:pPr>
              <w:snapToGrid w:val="0"/>
              <w:spacing w:line="360" w:lineRule="auto"/>
              <w:rPr>
                <w:rFonts w:ascii="宋体" w:hAnsi="宋体" w:cs="宋体"/>
              </w:rPr>
            </w:pPr>
            <w:r>
              <w:rPr>
                <w:rFonts w:hint="eastAsia" w:ascii="宋体" w:hAnsi="宋体" w:cs="宋体"/>
              </w:rPr>
              <w:t>（</w:t>
            </w:r>
            <w:r>
              <w:rPr>
                <w:rFonts w:hint="eastAsia" w:ascii="宋体" w:hAnsi="宋体" w:cs="宋体"/>
                <w:lang w:val="en-US" w:eastAsia="zh-CN"/>
              </w:rPr>
              <w:t>12</w:t>
            </w:r>
            <w:r>
              <w:rPr>
                <w:rFonts w:hint="eastAsia" w:ascii="宋体" w:hAnsi="宋体" w:cs="宋体"/>
              </w:rPr>
              <w:t>）供应商认为有利于本次磋商的其它</w:t>
            </w:r>
            <w:r>
              <w:rPr>
                <w:rFonts w:hint="eastAsia" w:ascii="宋体" w:hAnsi="宋体" w:cs="宋体"/>
                <w:bCs/>
                <w:szCs w:val="21"/>
              </w:rPr>
              <w:t>商务技术文件</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39" w:type="dxa"/>
            <w:vAlign w:val="center"/>
          </w:tcPr>
          <w:p>
            <w:pPr>
              <w:snapToGrid w:val="0"/>
              <w:spacing w:line="312" w:lineRule="auto"/>
              <w:jc w:val="center"/>
              <w:rPr>
                <w:rFonts w:ascii="宋体" w:hAnsi="宋体" w:cs="宋体"/>
                <w:bCs/>
                <w:szCs w:val="21"/>
              </w:rPr>
            </w:pPr>
            <w:r>
              <w:rPr>
                <w:rFonts w:hint="eastAsia" w:ascii="宋体" w:hAnsi="宋体" w:cs="宋体"/>
                <w:bCs/>
                <w:szCs w:val="21"/>
              </w:rPr>
              <w:t>3.4</w:t>
            </w:r>
          </w:p>
        </w:tc>
        <w:tc>
          <w:tcPr>
            <w:tcW w:w="2115" w:type="dxa"/>
            <w:gridSpan w:val="2"/>
            <w:vAlign w:val="center"/>
          </w:tcPr>
          <w:p>
            <w:pPr>
              <w:snapToGrid w:val="0"/>
              <w:spacing w:line="312" w:lineRule="auto"/>
              <w:jc w:val="center"/>
              <w:rPr>
                <w:rFonts w:ascii="宋体" w:hAnsi="宋体" w:cs="宋体"/>
                <w:bCs/>
                <w:szCs w:val="21"/>
              </w:rPr>
            </w:pPr>
            <w:r>
              <w:rPr>
                <w:rFonts w:hint="eastAsia" w:ascii="宋体" w:hAnsi="宋体" w:cs="宋体"/>
                <w:bCs/>
                <w:szCs w:val="21"/>
              </w:rPr>
              <w:t>报价文件的组成</w:t>
            </w:r>
          </w:p>
        </w:tc>
        <w:tc>
          <w:tcPr>
            <w:tcW w:w="6495" w:type="dxa"/>
            <w:vAlign w:val="center"/>
          </w:tcPr>
          <w:p>
            <w:pPr>
              <w:snapToGrid w:val="0"/>
              <w:spacing w:line="312" w:lineRule="auto"/>
              <w:rPr>
                <w:rFonts w:ascii="宋体" w:hAnsi="宋体" w:cs="宋体"/>
                <w:bCs/>
                <w:szCs w:val="21"/>
              </w:rPr>
            </w:pPr>
            <w:r>
              <w:rPr>
                <w:rFonts w:hint="eastAsia" w:ascii="宋体" w:hAnsi="宋体" w:cs="宋体"/>
                <w:bCs/>
                <w:szCs w:val="21"/>
              </w:rPr>
              <w:t>（1）磋商一览表；</w:t>
            </w:r>
          </w:p>
          <w:p>
            <w:pPr>
              <w:snapToGrid w:val="0"/>
              <w:spacing w:line="312" w:lineRule="auto"/>
              <w:rPr>
                <w:rFonts w:ascii="宋体" w:hAnsi="宋体" w:cs="宋体"/>
                <w:bCs/>
                <w:szCs w:val="21"/>
              </w:rPr>
            </w:pPr>
            <w:r>
              <w:rPr>
                <w:rFonts w:hint="eastAsia" w:ascii="宋体" w:hAnsi="宋体" w:cs="宋体"/>
                <w:bCs/>
                <w:szCs w:val="21"/>
              </w:rPr>
              <w:t>（2）分项报价表；</w:t>
            </w:r>
          </w:p>
          <w:p>
            <w:pPr>
              <w:snapToGrid w:val="0"/>
              <w:spacing w:line="312" w:lineRule="auto"/>
              <w:rPr>
                <w:rFonts w:ascii="宋体" w:hAnsi="宋体" w:cs="宋体"/>
                <w:bCs/>
                <w:szCs w:val="21"/>
              </w:rPr>
            </w:pPr>
            <w:r>
              <w:rPr>
                <w:rFonts w:hint="eastAsia" w:ascii="宋体" w:hAnsi="宋体" w:cs="宋体"/>
                <w:bCs/>
                <w:szCs w:val="21"/>
              </w:rPr>
              <w:t>（3）供应商针对报价需要说明的其他文件和说明。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39" w:type="dxa"/>
            <w:vAlign w:val="center"/>
          </w:tcPr>
          <w:p>
            <w:pPr>
              <w:snapToGrid w:val="0"/>
              <w:spacing w:line="312" w:lineRule="auto"/>
              <w:jc w:val="center"/>
              <w:rPr>
                <w:rFonts w:ascii="宋体" w:hAnsi="宋体" w:cs="宋体"/>
                <w:bCs/>
                <w:szCs w:val="21"/>
              </w:rPr>
            </w:pPr>
            <w:r>
              <w:rPr>
                <w:rFonts w:hint="eastAsia" w:ascii="宋体" w:hAnsi="宋体" w:cs="宋体"/>
                <w:bCs/>
                <w:szCs w:val="21"/>
              </w:rPr>
              <w:t>3.5.1</w:t>
            </w:r>
          </w:p>
        </w:tc>
        <w:tc>
          <w:tcPr>
            <w:tcW w:w="2115" w:type="dxa"/>
            <w:gridSpan w:val="2"/>
            <w:vAlign w:val="center"/>
          </w:tcPr>
          <w:p>
            <w:pPr>
              <w:snapToGrid w:val="0"/>
              <w:spacing w:line="312" w:lineRule="auto"/>
              <w:jc w:val="center"/>
              <w:rPr>
                <w:rFonts w:ascii="宋体" w:hAnsi="宋体" w:cs="宋体"/>
                <w:bCs/>
                <w:szCs w:val="21"/>
              </w:rPr>
            </w:pPr>
            <w:r>
              <w:rPr>
                <w:rFonts w:hint="eastAsia" w:ascii="宋体" w:hAnsi="宋体" w:cs="宋体"/>
                <w:bCs/>
                <w:szCs w:val="21"/>
              </w:rPr>
              <w:t>其他文件的组成</w:t>
            </w:r>
          </w:p>
        </w:tc>
        <w:tc>
          <w:tcPr>
            <w:tcW w:w="6495" w:type="dxa"/>
            <w:vAlign w:val="center"/>
          </w:tcPr>
          <w:p>
            <w:pPr>
              <w:snapToGrid w:val="0"/>
              <w:spacing w:line="312" w:lineRule="auto"/>
              <w:rPr>
                <w:rFonts w:ascii="宋体" w:hAnsi="宋体" w:cs="宋体"/>
                <w:bCs/>
                <w:szCs w:val="21"/>
              </w:rPr>
            </w:pPr>
            <w:r>
              <w:rPr>
                <w:rFonts w:hint="eastAsia" w:ascii="宋体" w:hAnsi="宋体" w:cs="宋体"/>
                <w:bCs/>
                <w:szCs w:val="21"/>
              </w:rPr>
              <w:t>样品或平台操作讲解：有，详见采购需求。</w:t>
            </w:r>
          </w:p>
          <w:p>
            <w:pPr>
              <w:snapToGrid w:val="0"/>
              <w:spacing w:line="312" w:lineRule="auto"/>
              <w:rPr>
                <w:rFonts w:ascii="宋体" w:hAnsi="宋体" w:cs="宋体"/>
                <w:b/>
                <w:szCs w:val="21"/>
              </w:rPr>
            </w:pPr>
            <w:r>
              <w:rPr>
                <w:rFonts w:hint="eastAsia" w:ascii="宋体" w:hAnsi="宋体" w:cs="宋体"/>
                <w:b/>
                <w:bCs/>
                <w:szCs w:val="21"/>
              </w:rPr>
              <w:t>注：其他文件只作为响应文件组成的部分，具体内容不体现在响应文件当中。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39" w:type="dxa"/>
            <w:vAlign w:val="center"/>
          </w:tcPr>
          <w:p>
            <w:pPr>
              <w:snapToGrid w:val="0"/>
              <w:spacing w:line="312" w:lineRule="auto"/>
              <w:jc w:val="center"/>
              <w:rPr>
                <w:rFonts w:ascii="宋体" w:hAnsi="宋体" w:cs="宋体"/>
                <w:bCs/>
                <w:szCs w:val="21"/>
              </w:rPr>
            </w:pPr>
            <w:r>
              <w:rPr>
                <w:rFonts w:hint="eastAsia" w:ascii="宋体" w:hAnsi="宋体" w:cs="宋体"/>
                <w:bCs/>
                <w:szCs w:val="21"/>
              </w:rPr>
              <w:t>4.3</w:t>
            </w:r>
          </w:p>
        </w:tc>
        <w:tc>
          <w:tcPr>
            <w:tcW w:w="2115" w:type="dxa"/>
            <w:gridSpan w:val="2"/>
            <w:vAlign w:val="center"/>
          </w:tcPr>
          <w:p>
            <w:pPr>
              <w:snapToGrid w:val="0"/>
              <w:spacing w:line="312" w:lineRule="auto"/>
              <w:jc w:val="center"/>
              <w:rPr>
                <w:rFonts w:ascii="宋体" w:hAnsi="宋体" w:cs="宋体"/>
                <w:bCs/>
                <w:szCs w:val="21"/>
              </w:rPr>
            </w:pPr>
            <w:r>
              <w:rPr>
                <w:rFonts w:hint="eastAsia" w:ascii="宋体" w:hAnsi="宋体" w:cs="宋体"/>
                <w:bCs/>
                <w:szCs w:val="21"/>
              </w:rPr>
              <w:t>磋商有效期</w:t>
            </w:r>
          </w:p>
        </w:tc>
        <w:tc>
          <w:tcPr>
            <w:tcW w:w="6495" w:type="dxa"/>
            <w:vAlign w:val="center"/>
          </w:tcPr>
          <w:p>
            <w:pPr>
              <w:snapToGrid w:val="0"/>
              <w:spacing w:line="312" w:lineRule="auto"/>
              <w:rPr>
                <w:rFonts w:ascii="宋体" w:hAnsi="宋体" w:cs="宋体"/>
                <w:bCs/>
                <w:szCs w:val="21"/>
              </w:rPr>
            </w:pPr>
            <w:r>
              <w:rPr>
                <w:rFonts w:hint="eastAsia" w:ascii="宋体" w:hAnsi="宋体" w:cs="宋体"/>
                <w:bCs/>
                <w:szCs w:val="21"/>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39" w:type="dxa"/>
            <w:vAlign w:val="center"/>
          </w:tcPr>
          <w:p>
            <w:pPr>
              <w:snapToGrid w:val="0"/>
              <w:spacing w:line="312" w:lineRule="auto"/>
              <w:jc w:val="center"/>
              <w:rPr>
                <w:rFonts w:ascii="宋体" w:hAnsi="宋体" w:cs="宋体"/>
                <w:bCs/>
                <w:szCs w:val="21"/>
              </w:rPr>
            </w:pPr>
            <w:r>
              <w:rPr>
                <w:rFonts w:hint="eastAsia" w:ascii="宋体" w:hAnsi="宋体" w:cs="宋体"/>
                <w:bCs/>
                <w:szCs w:val="21"/>
              </w:rPr>
              <w:t>4.6.1</w:t>
            </w:r>
          </w:p>
        </w:tc>
        <w:tc>
          <w:tcPr>
            <w:tcW w:w="2115" w:type="dxa"/>
            <w:gridSpan w:val="2"/>
            <w:vAlign w:val="center"/>
          </w:tcPr>
          <w:p>
            <w:pPr>
              <w:snapToGrid w:val="0"/>
              <w:spacing w:line="312" w:lineRule="auto"/>
              <w:jc w:val="center"/>
              <w:rPr>
                <w:rFonts w:ascii="宋体" w:hAnsi="宋体" w:cs="宋体"/>
                <w:bCs/>
                <w:szCs w:val="21"/>
              </w:rPr>
            </w:pPr>
            <w:r>
              <w:rPr>
                <w:rFonts w:hint="eastAsia" w:ascii="宋体" w:hAnsi="宋体" w:cs="宋体"/>
                <w:bCs/>
                <w:szCs w:val="21"/>
              </w:rPr>
              <w:t>响应文件的份数</w:t>
            </w:r>
          </w:p>
        </w:tc>
        <w:tc>
          <w:tcPr>
            <w:tcW w:w="6495" w:type="dxa"/>
            <w:vAlign w:val="center"/>
          </w:tcPr>
          <w:p>
            <w:pPr>
              <w:snapToGrid w:val="0"/>
              <w:spacing w:line="312" w:lineRule="auto"/>
              <w:rPr>
                <w:rFonts w:ascii="宋体" w:hAnsi="宋体" w:cs="宋体"/>
                <w:b/>
                <w:bCs/>
                <w:szCs w:val="21"/>
              </w:rPr>
            </w:pPr>
            <w:r>
              <w:rPr>
                <w:rFonts w:hint="eastAsia" w:ascii="宋体" w:hAnsi="宋体" w:cs="宋体"/>
                <w:b/>
                <w:bCs/>
                <w:szCs w:val="21"/>
              </w:rPr>
              <w:t>1、电子加密响应文件1份，自行在政府采购云平台在线提交；</w:t>
            </w:r>
          </w:p>
          <w:p>
            <w:pPr>
              <w:snapToGrid w:val="0"/>
              <w:spacing w:line="312" w:lineRule="auto"/>
              <w:rPr>
                <w:rFonts w:ascii="宋体" w:hAnsi="宋体" w:cs="宋体"/>
                <w:b/>
                <w:bCs/>
                <w:szCs w:val="21"/>
              </w:rPr>
            </w:pPr>
            <w:r>
              <w:rPr>
                <w:rFonts w:hint="eastAsia" w:ascii="宋体" w:hAnsi="宋体" w:cs="宋体"/>
                <w:b/>
                <w:bCs/>
                <w:szCs w:val="21"/>
              </w:rPr>
              <w:t>2、备份响应文件1份，由供应商自行确定是否提交；若提交请将备份投标文件打包压缩加密后以电子邮件的形式发送至</w:t>
            </w:r>
            <w:r>
              <w:rPr>
                <w:rFonts w:hint="eastAsia" w:ascii="宋体" w:hAnsi="宋体" w:cs="宋体"/>
                <w:b/>
                <w:bCs/>
                <w:szCs w:val="21"/>
                <w:lang w:eastAsia="zh-CN"/>
              </w:rPr>
              <w:t>739438886</w:t>
            </w:r>
            <w:r>
              <w:rPr>
                <w:rFonts w:hint="eastAsia" w:ascii="宋体" w:hAnsi="宋体" w:cs="宋体"/>
                <w:b/>
                <w:bCs/>
                <w:szCs w:val="21"/>
              </w:rPr>
              <w:t>@qq.com。</w:t>
            </w:r>
          </w:p>
          <w:p>
            <w:pPr>
              <w:snapToGrid w:val="0"/>
              <w:spacing w:line="312" w:lineRule="auto"/>
              <w:rPr>
                <w:rFonts w:ascii="宋体" w:hAnsi="宋体" w:cs="宋体"/>
                <w:bCs/>
                <w:szCs w:val="21"/>
              </w:rPr>
            </w:pPr>
            <w:r>
              <w:rPr>
                <w:rFonts w:hint="eastAsia" w:ascii="宋体" w:hAnsi="宋体" w:cs="宋体"/>
                <w:b/>
                <w:bCs/>
                <w:szCs w:val="21"/>
              </w:rPr>
              <w:t>注：供应商在线解密失败后，启用备份投标文件，否则不启用备份响应文件。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trPr>
        <w:tc>
          <w:tcPr>
            <w:tcW w:w="939" w:type="dxa"/>
            <w:vAlign w:val="center"/>
          </w:tcPr>
          <w:p>
            <w:pPr>
              <w:snapToGrid w:val="0"/>
              <w:spacing w:line="312" w:lineRule="auto"/>
              <w:jc w:val="center"/>
              <w:rPr>
                <w:rFonts w:ascii="宋体" w:hAnsi="宋体" w:cs="宋体"/>
                <w:bCs/>
                <w:szCs w:val="21"/>
              </w:rPr>
            </w:pPr>
            <w:r>
              <w:rPr>
                <w:rFonts w:hint="eastAsia" w:ascii="宋体" w:hAnsi="宋体" w:cs="宋体"/>
                <w:bCs/>
                <w:szCs w:val="21"/>
              </w:rPr>
              <w:t>5.3.1</w:t>
            </w:r>
          </w:p>
        </w:tc>
        <w:tc>
          <w:tcPr>
            <w:tcW w:w="2115" w:type="dxa"/>
            <w:gridSpan w:val="2"/>
            <w:vAlign w:val="center"/>
          </w:tcPr>
          <w:p>
            <w:pPr>
              <w:snapToGrid w:val="0"/>
              <w:spacing w:line="312" w:lineRule="auto"/>
              <w:jc w:val="center"/>
              <w:rPr>
                <w:rFonts w:ascii="宋体" w:hAnsi="宋体" w:cs="宋体"/>
                <w:bCs/>
                <w:szCs w:val="21"/>
              </w:rPr>
            </w:pPr>
            <w:r>
              <w:rPr>
                <w:rFonts w:hint="eastAsia" w:ascii="宋体" w:hAnsi="宋体" w:cs="宋体"/>
                <w:bCs/>
                <w:szCs w:val="21"/>
              </w:rPr>
              <w:t>响应文件提交地点</w:t>
            </w:r>
          </w:p>
        </w:tc>
        <w:tc>
          <w:tcPr>
            <w:tcW w:w="6495" w:type="dxa"/>
            <w:vAlign w:val="center"/>
          </w:tcPr>
          <w:p>
            <w:pPr>
              <w:snapToGrid w:val="0"/>
              <w:spacing w:line="312" w:lineRule="auto"/>
              <w:rPr>
                <w:rFonts w:ascii="宋体" w:hAnsi="宋体" w:cs="宋体"/>
                <w:bCs/>
                <w:szCs w:val="21"/>
              </w:rPr>
            </w:pPr>
            <w:r>
              <w:rPr>
                <w:rFonts w:hint="eastAsia" w:ascii="宋体" w:hAnsi="宋体" w:cs="宋体"/>
                <w:b/>
                <w:szCs w:val="21"/>
              </w:rPr>
              <w:t>本项目实行电子招投标，供应商须在磋商截止时间前，前往政采云平台上传电子响应文件，无需到达现场提交响应文件。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trPr>
        <w:tc>
          <w:tcPr>
            <w:tcW w:w="939" w:type="dxa"/>
            <w:vAlign w:val="center"/>
          </w:tcPr>
          <w:p>
            <w:pPr>
              <w:snapToGrid w:val="0"/>
              <w:spacing w:line="312" w:lineRule="auto"/>
              <w:jc w:val="center"/>
              <w:rPr>
                <w:rFonts w:ascii="宋体" w:hAnsi="宋体" w:cs="宋体"/>
                <w:bCs/>
                <w:szCs w:val="21"/>
              </w:rPr>
            </w:pPr>
            <w:r>
              <w:rPr>
                <w:rFonts w:hint="eastAsia" w:ascii="宋体" w:hAnsi="宋体" w:cs="宋体"/>
                <w:bCs/>
                <w:szCs w:val="21"/>
              </w:rPr>
              <w:t>5.3.2</w:t>
            </w:r>
          </w:p>
        </w:tc>
        <w:tc>
          <w:tcPr>
            <w:tcW w:w="2115" w:type="dxa"/>
            <w:gridSpan w:val="2"/>
            <w:vAlign w:val="center"/>
          </w:tcPr>
          <w:p>
            <w:pPr>
              <w:snapToGrid w:val="0"/>
              <w:spacing w:line="312" w:lineRule="auto"/>
              <w:jc w:val="center"/>
              <w:rPr>
                <w:rFonts w:ascii="宋体" w:hAnsi="宋体" w:cs="宋体"/>
                <w:bCs/>
                <w:szCs w:val="21"/>
              </w:rPr>
            </w:pPr>
            <w:r>
              <w:rPr>
                <w:rFonts w:hint="eastAsia" w:ascii="宋体" w:hAnsi="宋体" w:cs="宋体"/>
                <w:bCs/>
                <w:szCs w:val="21"/>
              </w:rPr>
              <w:t>响应文件</w:t>
            </w:r>
          </w:p>
          <w:p>
            <w:pPr>
              <w:snapToGrid w:val="0"/>
              <w:spacing w:line="312" w:lineRule="auto"/>
              <w:jc w:val="center"/>
              <w:rPr>
                <w:rFonts w:ascii="宋体" w:hAnsi="宋体" w:cs="宋体"/>
                <w:bCs/>
                <w:szCs w:val="21"/>
              </w:rPr>
            </w:pPr>
            <w:r>
              <w:rPr>
                <w:rFonts w:hint="eastAsia" w:ascii="宋体" w:hAnsi="宋体" w:cs="宋体"/>
                <w:bCs/>
                <w:szCs w:val="21"/>
              </w:rPr>
              <w:t>提交截止时间</w:t>
            </w:r>
          </w:p>
        </w:tc>
        <w:tc>
          <w:tcPr>
            <w:tcW w:w="6495" w:type="dxa"/>
            <w:vAlign w:val="center"/>
          </w:tcPr>
          <w:p>
            <w:pPr>
              <w:snapToGrid w:val="0"/>
              <w:spacing w:line="312" w:lineRule="auto"/>
              <w:rPr>
                <w:rFonts w:ascii="宋体" w:hAnsi="宋体" w:cs="宋体"/>
                <w:b/>
                <w:bCs/>
                <w:szCs w:val="21"/>
              </w:rPr>
            </w:pPr>
            <w:r>
              <w:rPr>
                <w:rFonts w:hint="eastAsia" w:ascii="宋体" w:hAnsi="宋体" w:cs="宋体"/>
                <w:b/>
                <w:bCs/>
                <w:szCs w:val="21"/>
              </w:rPr>
              <w:t>同</w:t>
            </w:r>
            <w:r>
              <w:rPr>
                <w:rFonts w:hint="eastAsia" w:ascii="宋体" w:hAnsi="宋体" w:cs="宋体"/>
                <w:b/>
                <w:szCs w:val="21"/>
              </w:rPr>
              <w:t>磋商</w:t>
            </w:r>
            <w:r>
              <w:rPr>
                <w:rFonts w:hint="eastAsia" w:ascii="宋体" w:hAnsi="宋体" w:cs="宋体"/>
                <w:b/>
                <w:bCs/>
                <w:szCs w:val="21"/>
              </w:rPr>
              <w:t>截止时间，见</w:t>
            </w:r>
            <w:r>
              <w:rPr>
                <w:rFonts w:hint="eastAsia" w:ascii="宋体" w:hAnsi="宋体" w:cs="宋体"/>
                <w:b/>
                <w:szCs w:val="21"/>
              </w:rPr>
              <w:t>第一章竞争性磋商公告。在磋商截止时间前，供应商可对已提交的电子响应文件进行补充、修改或撤回。补充、修改电子响应文件的，应当先行撤回原文件，补充、修改后重新生成加密的电子响应文件并重新传输递交。磋商截止时间前未完成传输的，视为撤回响应文件。磋商截止时间后递交的电子响应文件，将被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39" w:type="dxa"/>
            <w:vAlign w:val="center"/>
          </w:tcPr>
          <w:p>
            <w:pPr>
              <w:snapToGrid w:val="0"/>
              <w:spacing w:line="312" w:lineRule="auto"/>
              <w:jc w:val="center"/>
              <w:rPr>
                <w:rFonts w:ascii="宋体" w:hAnsi="宋体" w:cs="宋体"/>
                <w:bCs/>
                <w:szCs w:val="21"/>
              </w:rPr>
            </w:pPr>
            <w:r>
              <w:rPr>
                <w:rFonts w:hint="eastAsia" w:ascii="宋体" w:hAnsi="宋体" w:cs="宋体"/>
                <w:bCs/>
                <w:szCs w:val="21"/>
              </w:rPr>
              <w:t>5.3.3</w:t>
            </w:r>
          </w:p>
        </w:tc>
        <w:tc>
          <w:tcPr>
            <w:tcW w:w="2115" w:type="dxa"/>
            <w:gridSpan w:val="2"/>
            <w:vAlign w:val="center"/>
          </w:tcPr>
          <w:p>
            <w:pPr>
              <w:snapToGrid w:val="0"/>
              <w:spacing w:line="312" w:lineRule="auto"/>
              <w:jc w:val="center"/>
              <w:rPr>
                <w:rFonts w:ascii="宋体" w:hAnsi="宋体" w:cs="宋体"/>
                <w:bCs/>
                <w:szCs w:val="21"/>
              </w:rPr>
            </w:pPr>
            <w:r>
              <w:rPr>
                <w:rFonts w:hint="eastAsia" w:ascii="宋体" w:hAnsi="宋体" w:cs="宋体"/>
                <w:bCs/>
                <w:szCs w:val="21"/>
              </w:rPr>
              <w:t>是否退还响应文件</w:t>
            </w:r>
          </w:p>
        </w:tc>
        <w:tc>
          <w:tcPr>
            <w:tcW w:w="6495" w:type="dxa"/>
            <w:vAlign w:val="center"/>
          </w:tcPr>
          <w:p>
            <w:pPr>
              <w:snapToGrid w:val="0"/>
              <w:spacing w:line="312" w:lineRule="auto"/>
              <w:rPr>
                <w:rFonts w:ascii="宋体" w:hAnsi="宋体" w:cs="宋体"/>
                <w:bCs/>
                <w:szCs w:val="21"/>
              </w:rPr>
            </w:pPr>
            <w:r>
              <w:rPr>
                <w:rFonts w:hint="eastAsia" w:ascii="宋体" w:hAnsi="宋体" w:cs="宋体"/>
                <w:bCs/>
                <w:szCs w:val="21"/>
              </w:rPr>
              <w:fldChar w:fldCharType="begin"/>
            </w:r>
            <w:r>
              <w:rPr>
                <w:rFonts w:hint="eastAsia" w:ascii="宋体" w:hAnsi="宋体" w:cs="宋体"/>
                <w:bCs/>
                <w:szCs w:val="21"/>
              </w:rPr>
              <w:instrText xml:space="preserve"> eq \o\ac(□,√)</w:instrText>
            </w:r>
            <w:r>
              <w:rPr>
                <w:rFonts w:hint="eastAsia" w:ascii="宋体" w:hAnsi="宋体" w:cs="宋体"/>
                <w:bCs/>
                <w:szCs w:val="21"/>
              </w:rPr>
              <w:fldChar w:fldCharType="end"/>
            </w:r>
            <w:r>
              <w:rPr>
                <w:rFonts w:hint="eastAsia" w:ascii="宋体" w:hAnsi="宋体" w:cs="宋体"/>
                <w:bCs/>
                <w:szCs w:val="21"/>
              </w:rPr>
              <w:t>否□是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39" w:type="dxa"/>
            <w:vAlign w:val="center"/>
          </w:tcPr>
          <w:p>
            <w:pPr>
              <w:snapToGrid w:val="0"/>
              <w:spacing w:line="312" w:lineRule="auto"/>
              <w:jc w:val="center"/>
              <w:rPr>
                <w:rFonts w:ascii="宋体" w:hAnsi="宋体" w:cs="宋体"/>
                <w:bCs/>
                <w:szCs w:val="21"/>
              </w:rPr>
            </w:pPr>
            <w:r>
              <w:rPr>
                <w:rFonts w:hint="eastAsia" w:ascii="宋体" w:hAnsi="宋体" w:cs="宋体"/>
                <w:bCs/>
                <w:szCs w:val="21"/>
              </w:rPr>
              <w:t>7.1.1</w:t>
            </w:r>
          </w:p>
        </w:tc>
        <w:tc>
          <w:tcPr>
            <w:tcW w:w="2115" w:type="dxa"/>
            <w:gridSpan w:val="2"/>
            <w:vAlign w:val="center"/>
          </w:tcPr>
          <w:p>
            <w:pPr>
              <w:snapToGrid w:val="0"/>
              <w:spacing w:line="312" w:lineRule="auto"/>
              <w:jc w:val="center"/>
              <w:rPr>
                <w:rFonts w:ascii="宋体" w:hAnsi="宋体" w:cs="宋体"/>
                <w:bCs/>
                <w:szCs w:val="21"/>
              </w:rPr>
            </w:pPr>
            <w:r>
              <w:rPr>
                <w:rFonts w:hint="eastAsia" w:ascii="宋体" w:hAnsi="宋体" w:cs="宋体"/>
                <w:bCs/>
                <w:szCs w:val="21"/>
              </w:rPr>
              <w:t>磋商时间和地点</w:t>
            </w:r>
          </w:p>
        </w:tc>
        <w:tc>
          <w:tcPr>
            <w:tcW w:w="6495" w:type="dxa"/>
            <w:vAlign w:val="center"/>
          </w:tcPr>
          <w:p>
            <w:pPr>
              <w:snapToGrid w:val="0"/>
              <w:spacing w:line="312" w:lineRule="auto"/>
              <w:rPr>
                <w:rFonts w:ascii="宋体" w:hAnsi="宋体" w:cs="宋体"/>
                <w:b/>
                <w:bCs/>
                <w:szCs w:val="21"/>
              </w:rPr>
            </w:pPr>
            <w:r>
              <w:rPr>
                <w:rFonts w:hint="eastAsia" w:ascii="宋体" w:hAnsi="宋体" w:cs="宋体"/>
                <w:bCs/>
                <w:szCs w:val="21"/>
              </w:rPr>
              <w:t>磋商时间：2022年9月</w:t>
            </w:r>
            <w:r>
              <w:rPr>
                <w:rFonts w:hint="eastAsia" w:ascii="宋体" w:hAnsi="宋体" w:cs="宋体"/>
                <w:bCs/>
                <w:szCs w:val="21"/>
                <w:lang w:val="en-US" w:eastAsia="zh-CN"/>
              </w:rPr>
              <w:t>30</w:t>
            </w:r>
            <w:r>
              <w:rPr>
                <w:rFonts w:hint="eastAsia" w:ascii="宋体" w:hAnsi="宋体" w:cs="宋体"/>
                <w:bCs/>
                <w:szCs w:val="21"/>
              </w:rPr>
              <w:t>日</w:t>
            </w:r>
            <w:r>
              <w:rPr>
                <w:rFonts w:hint="eastAsia" w:ascii="宋体" w:hAnsi="宋体" w:cs="宋体"/>
                <w:bCs/>
                <w:szCs w:val="21"/>
                <w:lang w:val="en-US" w:eastAsia="zh-CN"/>
              </w:rPr>
              <w:t>9</w:t>
            </w:r>
            <w:r>
              <w:rPr>
                <w:rFonts w:hint="eastAsia" w:ascii="宋体" w:hAnsi="宋体" w:cs="宋体"/>
                <w:bCs/>
                <w:szCs w:val="21"/>
              </w:rPr>
              <w:t>:00时</w:t>
            </w:r>
          </w:p>
          <w:p>
            <w:pPr>
              <w:snapToGrid w:val="0"/>
              <w:spacing w:line="312" w:lineRule="auto"/>
              <w:rPr>
                <w:rFonts w:ascii="宋体" w:hAnsi="宋体" w:cs="宋体"/>
                <w:bCs/>
                <w:szCs w:val="21"/>
              </w:rPr>
            </w:pPr>
            <w:r>
              <w:rPr>
                <w:rFonts w:hint="eastAsia" w:ascii="宋体" w:hAnsi="宋体" w:cs="宋体"/>
                <w:bCs/>
                <w:szCs w:val="21"/>
              </w:rPr>
              <w:t>磋商地点：</w:t>
            </w:r>
            <w:r>
              <w:rPr>
                <w:rFonts w:hint="eastAsia" w:ascii="宋体" w:hAnsi="宋体" w:cs="宋体"/>
                <w:b/>
                <w:szCs w:val="21"/>
              </w:rPr>
              <w:t>供应商均应当准时在线参加（政采云平台）。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39" w:type="dxa"/>
            <w:vAlign w:val="center"/>
          </w:tcPr>
          <w:p>
            <w:pPr>
              <w:snapToGrid w:val="0"/>
              <w:spacing w:line="312" w:lineRule="auto"/>
              <w:jc w:val="center"/>
              <w:rPr>
                <w:rFonts w:ascii="宋体" w:hAnsi="宋体" w:cs="宋体"/>
                <w:bCs/>
                <w:szCs w:val="21"/>
              </w:rPr>
            </w:pPr>
            <w:r>
              <w:rPr>
                <w:rFonts w:hint="eastAsia" w:ascii="宋体" w:hAnsi="宋体" w:cs="宋体"/>
                <w:bCs/>
                <w:szCs w:val="21"/>
              </w:rPr>
              <w:t>7.1.4</w:t>
            </w:r>
          </w:p>
        </w:tc>
        <w:tc>
          <w:tcPr>
            <w:tcW w:w="2115" w:type="dxa"/>
            <w:gridSpan w:val="2"/>
            <w:vAlign w:val="center"/>
          </w:tcPr>
          <w:p>
            <w:pPr>
              <w:snapToGrid w:val="0"/>
              <w:spacing w:line="312" w:lineRule="auto"/>
              <w:jc w:val="center"/>
              <w:rPr>
                <w:rFonts w:ascii="宋体" w:hAnsi="宋体" w:cs="宋体"/>
                <w:bCs/>
                <w:szCs w:val="21"/>
              </w:rPr>
            </w:pPr>
            <w:r>
              <w:rPr>
                <w:rFonts w:hint="eastAsia" w:ascii="宋体" w:hAnsi="宋体" w:cs="宋体"/>
                <w:bCs/>
                <w:szCs w:val="21"/>
              </w:rPr>
              <w:t>磋商时供应商</w:t>
            </w:r>
          </w:p>
          <w:p>
            <w:pPr>
              <w:snapToGrid w:val="0"/>
              <w:spacing w:line="312" w:lineRule="auto"/>
              <w:jc w:val="center"/>
              <w:rPr>
                <w:rFonts w:ascii="宋体" w:hAnsi="宋体" w:cs="宋体"/>
                <w:bCs/>
                <w:szCs w:val="21"/>
              </w:rPr>
            </w:pPr>
            <w:r>
              <w:rPr>
                <w:rFonts w:hint="eastAsia" w:ascii="宋体" w:hAnsi="宋体" w:cs="宋体"/>
                <w:bCs/>
                <w:szCs w:val="21"/>
              </w:rPr>
              <w:t>须携带的资料</w:t>
            </w:r>
          </w:p>
        </w:tc>
        <w:tc>
          <w:tcPr>
            <w:tcW w:w="6495" w:type="dxa"/>
            <w:vAlign w:val="center"/>
          </w:tcPr>
          <w:p>
            <w:pPr>
              <w:snapToGrid w:val="0"/>
              <w:spacing w:line="312" w:lineRule="auto"/>
              <w:rPr>
                <w:rFonts w:ascii="宋体" w:hAnsi="宋体" w:cs="宋体"/>
                <w:bCs/>
                <w:szCs w:val="21"/>
              </w:rPr>
            </w:pPr>
            <w:r>
              <w:rPr>
                <w:rFonts w:hint="eastAsia" w:ascii="宋体" w:hAnsi="宋体" w:cs="宋体"/>
                <w:b/>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39" w:type="dxa"/>
            <w:vAlign w:val="center"/>
          </w:tcPr>
          <w:p>
            <w:pPr>
              <w:snapToGrid w:val="0"/>
              <w:spacing w:line="312" w:lineRule="auto"/>
              <w:jc w:val="center"/>
              <w:rPr>
                <w:rFonts w:ascii="宋体" w:hAnsi="宋体" w:cs="宋体"/>
                <w:bCs/>
                <w:szCs w:val="21"/>
              </w:rPr>
            </w:pPr>
            <w:r>
              <w:rPr>
                <w:rFonts w:hint="eastAsia" w:ascii="宋体" w:hAnsi="宋体" w:cs="宋体"/>
                <w:bCs/>
                <w:szCs w:val="21"/>
              </w:rPr>
              <w:t>7.3.6</w:t>
            </w:r>
          </w:p>
        </w:tc>
        <w:tc>
          <w:tcPr>
            <w:tcW w:w="2115" w:type="dxa"/>
            <w:gridSpan w:val="2"/>
            <w:vAlign w:val="center"/>
          </w:tcPr>
          <w:p>
            <w:pPr>
              <w:snapToGrid w:val="0"/>
              <w:spacing w:line="312" w:lineRule="auto"/>
              <w:jc w:val="center"/>
              <w:rPr>
                <w:rFonts w:ascii="宋体" w:hAnsi="宋体" w:cs="宋体"/>
                <w:bCs/>
                <w:szCs w:val="21"/>
              </w:rPr>
            </w:pPr>
            <w:r>
              <w:rPr>
                <w:rFonts w:hint="eastAsia" w:ascii="宋体" w:hAnsi="宋体" w:cs="宋体"/>
                <w:bCs/>
                <w:szCs w:val="21"/>
              </w:rPr>
              <w:t>磋商评审办法</w:t>
            </w:r>
          </w:p>
        </w:tc>
        <w:tc>
          <w:tcPr>
            <w:tcW w:w="6495" w:type="dxa"/>
            <w:vAlign w:val="center"/>
          </w:tcPr>
          <w:p>
            <w:pPr>
              <w:snapToGrid w:val="0"/>
              <w:spacing w:line="312" w:lineRule="auto"/>
              <w:rPr>
                <w:rFonts w:ascii="宋体" w:hAnsi="宋体" w:cs="宋体"/>
                <w:bCs/>
                <w:szCs w:val="21"/>
              </w:rPr>
            </w:pPr>
            <w:r>
              <w:rPr>
                <w:rFonts w:hint="eastAsia" w:ascii="宋体" w:hAnsi="宋体" w:cs="宋体"/>
                <w:bCs/>
                <w:szCs w:val="21"/>
              </w:rPr>
              <w:t>本项目的磋商评审办法是：</w:t>
            </w:r>
          </w:p>
          <w:p>
            <w:pPr>
              <w:snapToGrid w:val="0"/>
              <w:spacing w:line="312" w:lineRule="auto"/>
              <w:rPr>
                <w:rFonts w:ascii="宋体" w:hAnsi="宋体" w:cs="宋体"/>
                <w:bCs/>
                <w:sz w:val="24"/>
                <w:szCs w:val="21"/>
                <w:u w:val="single"/>
              </w:rPr>
            </w:pPr>
            <w:r>
              <w:rPr>
                <w:rFonts w:hint="eastAsia" w:ascii="宋体" w:hAnsi="宋体" w:cs="宋体"/>
                <w:bCs/>
                <w:szCs w:val="21"/>
              </w:rPr>
              <w:fldChar w:fldCharType="begin"/>
            </w:r>
            <w:r>
              <w:rPr>
                <w:rFonts w:hint="eastAsia" w:ascii="宋体" w:hAnsi="宋体" w:cs="宋体"/>
                <w:bCs/>
                <w:szCs w:val="21"/>
              </w:rPr>
              <w:instrText xml:space="preserve"> eq \o\ac(□,√)</w:instrText>
            </w:r>
            <w:r>
              <w:rPr>
                <w:rFonts w:hint="eastAsia" w:ascii="宋体" w:hAnsi="宋体" w:cs="宋体"/>
                <w:bCs/>
                <w:szCs w:val="21"/>
              </w:rPr>
              <w:fldChar w:fldCharType="end"/>
            </w:r>
            <w:r>
              <w:rPr>
                <w:rFonts w:hint="eastAsia" w:ascii="宋体" w:hAnsi="宋体" w:cs="宋体"/>
                <w:bCs/>
                <w:szCs w:val="21"/>
              </w:rPr>
              <w:t>综合评分法□最低价评审价法，具体磋商评审内容及评分标准等详见《第六章：磋商评审办法及评分标准》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939" w:type="dxa"/>
            <w:vAlign w:val="center"/>
          </w:tcPr>
          <w:p>
            <w:pPr>
              <w:snapToGrid w:val="0"/>
              <w:spacing w:line="312" w:lineRule="auto"/>
              <w:jc w:val="center"/>
              <w:rPr>
                <w:rFonts w:ascii="宋体" w:hAnsi="宋体" w:cs="宋体"/>
                <w:bCs/>
                <w:szCs w:val="21"/>
              </w:rPr>
            </w:pPr>
            <w:r>
              <w:rPr>
                <w:rFonts w:hint="eastAsia" w:ascii="宋体" w:hAnsi="宋体" w:cs="宋体"/>
                <w:bCs/>
                <w:szCs w:val="21"/>
              </w:rPr>
              <w:t>7.5.1</w:t>
            </w:r>
          </w:p>
        </w:tc>
        <w:tc>
          <w:tcPr>
            <w:tcW w:w="2115" w:type="dxa"/>
            <w:gridSpan w:val="2"/>
            <w:vAlign w:val="center"/>
          </w:tcPr>
          <w:p>
            <w:pPr>
              <w:snapToGrid w:val="0"/>
              <w:spacing w:line="312" w:lineRule="auto"/>
              <w:jc w:val="center"/>
              <w:rPr>
                <w:rFonts w:ascii="宋体" w:hAnsi="宋体" w:cs="宋体"/>
                <w:bCs/>
                <w:szCs w:val="21"/>
              </w:rPr>
            </w:pPr>
            <w:r>
              <w:rPr>
                <w:rFonts w:hint="eastAsia" w:ascii="宋体" w:hAnsi="宋体" w:cs="宋体"/>
                <w:bCs/>
                <w:szCs w:val="21"/>
              </w:rPr>
              <w:t>推荐成交候选人家数</w:t>
            </w:r>
          </w:p>
        </w:tc>
        <w:tc>
          <w:tcPr>
            <w:tcW w:w="6495" w:type="dxa"/>
            <w:vAlign w:val="center"/>
          </w:tcPr>
          <w:p>
            <w:pPr>
              <w:snapToGrid w:val="0"/>
              <w:spacing w:line="312" w:lineRule="auto"/>
              <w:rPr>
                <w:rFonts w:ascii="宋体" w:hAnsi="宋体" w:cs="宋体"/>
                <w:bCs/>
                <w:szCs w:val="21"/>
                <w:u w:val="single"/>
              </w:rPr>
            </w:pPr>
            <w:r>
              <w:rPr>
                <w:rFonts w:hint="eastAsia" w:ascii="宋体" w:hAnsi="宋体" w:cs="宋体"/>
                <w:bCs/>
                <w:szCs w:val="21"/>
              </w:rPr>
              <w:t>推荐1家，确定1家。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939" w:type="dxa"/>
            <w:vAlign w:val="center"/>
          </w:tcPr>
          <w:p>
            <w:pPr>
              <w:snapToGrid w:val="0"/>
              <w:spacing w:line="312" w:lineRule="auto"/>
              <w:jc w:val="center"/>
              <w:rPr>
                <w:rFonts w:ascii="宋体" w:hAnsi="宋体" w:cs="宋体"/>
                <w:bCs/>
                <w:szCs w:val="21"/>
              </w:rPr>
            </w:pPr>
            <w:r>
              <w:rPr>
                <w:rFonts w:hint="eastAsia" w:ascii="宋体" w:hAnsi="宋体" w:cs="宋体"/>
                <w:bCs/>
                <w:szCs w:val="21"/>
              </w:rPr>
              <w:t>8.4.3</w:t>
            </w:r>
          </w:p>
        </w:tc>
        <w:tc>
          <w:tcPr>
            <w:tcW w:w="2115" w:type="dxa"/>
            <w:gridSpan w:val="2"/>
            <w:vAlign w:val="center"/>
          </w:tcPr>
          <w:p>
            <w:pPr>
              <w:snapToGrid w:val="0"/>
              <w:spacing w:line="312" w:lineRule="auto"/>
              <w:jc w:val="center"/>
              <w:rPr>
                <w:rFonts w:ascii="宋体" w:hAnsi="宋体" w:cs="宋体"/>
                <w:bCs/>
                <w:szCs w:val="21"/>
              </w:rPr>
            </w:pPr>
            <w:r>
              <w:rPr>
                <w:rFonts w:hint="eastAsia" w:ascii="宋体" w:hAnsi="宋体" w:cs="宋体"/>
                <w:bCs/>
                <w:szCs w:val="21"/>
              </w:rPr>
              <w:t>付款条件</w:t>
            </w:r>
          </w:p>
        </w:tc>
        <w:tc>
          <w:tcPr>
            <w:tcW w:w="6495" w:type="dxa"/>
            <w:vAlign w:val="center"/>
          </w:tcPr>
          <w:p>
            <w:pPr>
              <w:snapToGrid w:val="0"/>
              <w:spacing w:line="312" w:lineRule="auto"/>
              <w:jc w:val="left"/>
              <w:rPr>
                <w:rFonts w:ascii="宋体" w:hAnsi="宋体" w:cs="宋体"/>
                <w:bCs/>
                <w:szCs w:val="21"/>
              </w:rPr>
            </w:pPr>
            <w:r>
              <w:rPr>
                <w:rFonts w:hint="eastAsia" w:ascii="宋体" w:hAnsi="宋体" w:cs="宋体"/>
                <w:bCs/>
                <w:szCs w:val="21"/>
              </w:rPr>
              <w:t>按合同条款执行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939" w:type="dxa"/>
            <w:vAlign w:val="center"/>
          </w:tcPr>
          <w:p>
            <w:pPr>
              <w:snapToGrid w:val="0"/>
              <w:spacing w:line="312" w:lineRule="auto"/>
              <w:jc w:val="center"/>
              <w:rPr>
                <w:rFonts w:ascii="宋体" w:hAnsi="宋体" w:cs="宋体"/>
                <w:bCs/>
                <w:szCs w:val="21"/>
              </w:rPr>
            </w:pPr>
            <w:r>
              <w:rPr>
                <w:rFonts w:hint="eastAsia" w:ascii="宋体" w:hAnsi="宋体" w:cs="宋体"/>
                <w:bCs/>
                <w:szCs w:val="21"/>
              </w:rPr>
              <w:t>8.4.4</w:t>
            </w:r>
          </w:p>
        </w:tc>
        <w:tc>
          <w:tcPr>
            <w:tcW w:w="2115" w:type="dxa"/>
            <w:gridSpan w:val="2"/>
            <w:vAlign w:val="center"/>
          </w:tcPr>
          <w:p>
            <w:pPr>
              <w:snapToGrid w:val="0"/>
              <w:spacing w:line="312" w:lineRule="auto"/>
              <w:jc w:val="center"/>
              <w:rPr>
                <w:rFonts w:ascii="宋体" w:hAnsi="宋体" w:cs="宋体"/>
                <w:bCs/>
                <w:szCs w:val="21"/>
              </w:rPr>
            </w:pPr>
            <w:r>
              <w:rPr>
                <w:rFonts w:hint="eastAsia" w:ascii="宋体" w:hAnsi="宋体" w:cs="宋体"/>
                <w:bCs/>
                <w:szCs w:val="21"/>
              </w:rPr>
              <w:t>付款方式</w:t>
            </w:r>
          </w:p>
        </w:tc>
        <w:tc>
          <w:tcPr>
            <w:tcW w:w="6495" w:type="dxa"/>
            <w:vAlign w:val="center"/>
          </w:tcPr>
          <w:p>
            <w:pPr>
              <w:snapToGrid w:val="0"/>
              <w:spacing w:line="312" w:lineRule="auto"/>
              <w:rPr>
                <w:rFonts w:ascii="宋体" w:hAnsi="宋体" w:cs="宋体"/>
                <w:bCs/>
                <w:szCs w:val="21"/>
              </w:rPr>
            </w:pPr>
            <w:r>
              <w:rPr>
                <w:rFonts w:hint="eastAsia" w:ascii="宋体" w:hAnsi="宋体" w:cs="宋体"/>
                <w:bCs/>
                <w:szCs w:val="21"/>
              </w:rPr>
              <w:t>由采购人直接按付款要求支付。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trPr>
        <w:tc>
          <w:tcPr>
            <w:tcW w:w="939" w:type="dxa"/>
            <w:vAlign w:val="center"/>
          </w:tcPr>
          <w:p>
            <w:pPr>
              <w:snapToGrid w:val="0"/>
              <w:spacing w:line="312" w:lineRule="auto"/>
              <w:jc w:val="center"/>
              <w:rPr>
                <w:rFonts w:ascii="宋体" w:hAnsi="宋体" w:cs="宋体"/>
                <w:bCs/>
                <w:szCs w:val="21"/>
              </w:rPr>
            </w:pPr>
            <w:r>
              <w:rPr>
                <w:rFonts w:hint="eastAsia" w:ascii="宋体" w:hAnsi="宋体" w:cs="宋体"/>
                <w:bCs/>
                <w:szCs w:val="21"/>
              </w:rPr>
              <w:t>9.1.1</w:t>
            </w:r>
          </w:p>
        </w:tc>
        <w:tc>
          <w:tcPr>
            <w:tcW w:w="2115" w:type="dxa"/>
            <w:gridSpan w:val="2"/>
            <w:vAlign w:val="center"/>
          </w:tcPr>
          <w:p>
            <w:pPr>
              <w:snapToGrid w:val="0"/>
              <w:spacing w:line="312" w:lineRule="auto"/>
              <w:jc w:val="center"/>
              <w:rPr>
                <w:rFonts w:ascii="宋体" w:hAnsi="宋体" w:cs="宋体"/>
                <w:bCs/>
                <w:szCs w:val="21"/>
              </w:rPr>
            </w:pPr>
            <w:r>
              <w:rPr>
                <w:rFonts w:hint="eastAsia" w:ascii="宋体" w:hAnsi="宋体" w:cs="宋体"/>
                <w:bCs/>
                <w:szCs w:val="21"/>
              </w:rPr>
              <w:t>履约保证金</w:t>
            </w:r>
          </w:p>
        </w:tc>
        <w:tc>
          <w:tcPr>
            <w:tcW w:w="6495" w:type="dxa"/>
            <w:vAlign w:val="center"/>
          </w:tcPr>
          <w:p>
            <w:pPr>
              <w:snapToGrid w:val="0"/>
              <w:spacing w:line="312" w:lineRule="auto"/>
              <w:rPr>
                <w:rFonts w:ascii="宋体" w:hAnsi="宋体" w:cs="宋体"/>
                <w:bCs/>
                <w:szCs w:val="21"/>
              </w:rPr>
            </w:pPr>
            <w:r>
              <w:rPr>
                <w:rFonts w:hint="eastAsia" w:ascii="宋体" w:hAnsi="宋体" w:cs="宋体"/>
                <w:bCs/>
                <w:szCs w:val="21"/>
              </w:rPr>
              <w:t>合同金额的1%（采用银行保函），签订合同前向采购人提交，服务期满后采购人扣除相应违约金后退还履约保证金（无息）。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2" w:hRule="atLeast"/>
        </w:trPr>
        <w:tc>
          <w:tcPr>
            <w:tcW w:w="939" w:type="dxa"/>
            <w:vAlign w:val="center"/>
          </w:tcPr>
          <w:p>
            <w:pPr>
              <w:snapToGrid w:val="0"/>
              <w:spacing w:line="360" w:lineRule="auto"/>
              <w:jc w:val="center"/>
              <w:rPr>
                <w:rFonts w:ascii="宋体" w:hAnsi="宋体" w:cs="宋体"/>
                <w:bCs/>
                <w:szCs w:val="21"/>
              </w:rPr>
            </w:pPr>
            <w:r>
              <w:rPr>
                <w:rFonts w:hint="eastAsia" w:ascii="宋体" w:hAnsi="宋体" w:cs="宋体"/>
                <w:bCs/>
                <w:szCs w:val="21"/>
              </w:rPr>
              <w:t>10.3</w:t>
            </w:r>
          </w:p>
        </w:tc>
        <w:tc>
          <w:tcPr>
            <w:tcW w:w="2115" w:type="dxa"/>
            <w:gridSpan w:val="2"/>
            <w:vAlign w:val="center"/>
          </w:tcPr>
          <w:p>
            <w:pPr>
              <w:snapToGrid w:val="0"/>
              <w:spacing w:line="360" w:lineRule="auto"/>
              <w:jc w:val="center"/>
              <w:rPr>
                <w:rFonts w:ascii="宋体" w:hAnsi="宋体" w:cs="宋体"/>
                <w:bCs/>
                <w:szCs w:val="21"/>
              </w:rPr>
            </w:pPr>
            <w:r>
              <w:rPr>
                <w:rFonts w:hint="eastAsia" w:ascii="宋体" w:hAnsi="宋体" w:cs="宋体"/>
                <w:bCs/>
                <w:szCs w:val="21"/>
              </w:rPr>
              <w:t>注意事项</w:t>
            </w:r>
          </w:p>
        </w:tc>
        <w:tc>
          <w:tcPr>
            <w:tcW w:w="6495" w:type="dxa"/>
            <w:vAlign w:val="center"/>
          </w:tcPr>
          <w:p>
            <w:pPr>
              <w:snapToGrid w:val="0"/>
              <w:spacing w:line="360" w:lineRule="auto"/>
              <w:rPr>
                <w:rFonts w:ascii="宋体" w:hAnsi="宋体" w:cs="宋体"/>
                <w:bCs/>
                <w:szCs w:val="21"/>
              </w:rPr>
            </w:pPr>
            <w:r>
              <w:rPr>
                <w:rFonts w:hint="eastAsia" w:ascii="宋体" w:hAnsi="宋体" w:cs="宋体"/>
                <w:b/>
                <w:bCs/>
                <w:szCs w:val="21"/>
              </w:rPr>
              <w:t>磋商截止时间后，供应商登录政采云平台，用“项目采购-开标评标”功能对电子响应文件进行在线解密。在线解密电子响应文件时间为磋商截止时间起30分钟内，</w:t>
            </w:r>
            <w:r>
              <w:rPr>
                <w:rFonts w:hint="eastAsia" w:ascii="宋体" w:hAnsi="宋体" w:cs="宋体"/>
                <w:b/>
                <w:szCs w:val="21"/>
              </w:rPr>
              <w:t>未按时解密或解密未成功的，供应商应当在解密时间内向采购代理机构通过电子邮箱（</w:t>
            </w:r>
            <w:r>
              <w:rPr>
                <w:rFonts w:hint="eastAsia" w:ascii="宋体" w:hAnsi="宋体" w:cs="宋体"/>
                <w:b/>
                <w:szCs w:val="21"/>
                <w:lang w:eastAsia="zh-CN"/>
              </w:rPr>
              <w:t>739438886</w:t>
            </w:r>
            <w:r>
              <w:rPr>
                <w:rFonts w:hint="eastAsia" w:ascii="宋体" w:hAnsi="宋体" w:cs="宋体"/>
                <w:b/>
                <w:szCs w:val="21"/>
              </w:rPr>
              <w:t>@qq.com）提供备份响应文件，否则</w:t>
            </w:r>
            <w:r>
              <w:rPr>
                <w:rFonts w:hint="eastAsia" w:ascii="宋体" w:hAnsi="宋体" w:cs="宋体"/>
                <w:b/>
                <w:bCs/>
                <w:szCs w:val="21"/>
              </w:rPr>
              <w:t>视为放弃磋商。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2" w:hRule="atLeast"/>
        </w:trPr>
        <w:tc>
          <w:tcPr>
            <w:tcW w:w="939" w:type="dxa"/>
            <w:vAlign w:val="center"/>
          </w:tcPr>
          <w:p>
            <w:pPr>
              <w:snapToGrid w:val="0"/>
              <w:spacing w:line="312" w:lineRule="auto"/>
              <w:jc w:val="center"/>
              <w:rPr>
                <w:rFonts w:ascii="宋体" w:hAnsi="宋体" w:cs="宋体"/>
                <w:bCs/>
                <w:szCs w:val="21"/>
              </w:rPr>
            </w:pPr>
            <w:r>
              <w:rPr>
                <w:rFonts w:hint="eastAsia" w:ascii="宋体" w:hAnsi="宋体" w:cs="宋体"/>
                <w:bCs/>
                <w:szCs w:val="21"/>
              </w:rPr>
              <w:t>10.4.1</w:t>
            </w:r>
          </w:p>
        </w:tc>
        <w:tc>
          <w:tcPr>
            <w:tcW w:w="2115" w:type="dxa"/>
            <w:gridSpan w:val="2"/>
            <w:vAlign w:val="center"/>
          </w:tcPr>
          <w:p>
            <w:pPr>
              <w:snapToGrid w:val="0"/>
              <w:spacing w:line="312" w:lineRule="auto"/>
              <w:jc w:val="center"/>
              <w:rPr>
                <w:rFonts w:ascii="宋体" w:hAnsi="宋体" w:cs="宋体"/>
                <w:bCs/>
                <w:szCs w:val="21"/>
              </w:rPr>
            </w:pPr>
            <w:r>
              <w:rPr>
                <w:rFonts w:hint="eastAsia" w:ascii="宋体" w:hAnsi="宋体" w:cs="宋体"/>
                <w:bCs/>
                <w:szCs w:val="21"/>
              </w:rPr>
              <w:t>采购代理机构</w:t>
            </w:r>
          </w:p>
        </w:tc>
        <w:tc>
          <w:tcPr>
            <w:tcW w:w="6495" w:type="dxa"/>
            <w:vAlign w:val="center"/>
          </w:tcPr>
          <w:p>
            <w:pPr>
              <w:snapToGrid w:val="0"/>
              <w:spacing w:line="312" w:lineRule="auto"/>
              <w:rPr>
                <w:rFonts w:ascii="宋体" w:hAnsi="宋体" w:cs="宋体"/>
                <w:bCs/>
                <w:szCs w:val="21"/>
              </w:rPr>
            </w:pPr>
            <w:r>
              <w:rPr>
                <w:rFonts w:hint="eastAsia" w:ascii="宋体" w:hAnsi="宋体" w:cs="宋体"/>
                <w:bCs/>
                <w:szCs w:val="21"/>
              </w:rPr>
              <w:t>代理机构：浙江鼎峰工程咨询有限公司</w:t>
            </w:r>
          </w:p>
          <w:p>
            <w:pPr>
              <w:snapToGrid w:val="0"/>
              <w:spacing w:line="312" w:lineRule="auto"/>
              <w:rPr>
                <w:rFonts w:ascii="宋体" w:hAnsi="宋体" w:cs="宋体"/>
                <w:bCs/>
                <w:szCs w:val="21"/>
              </w:rPr>
            </w:pPr>
            <w:r>
              <w:rPr>
                <w:rFonts w:hint="eastAsia" w:ascii="宋体" w:hAnsi="宋体" w:cs="宋体"/>
                <w:bCs/>
                <w:szCs w:val="21"/>
              </w:rPr>
              <w:t>联系人：李彬</w:t>
            </w:r>
          </w:p>
          <w:p>
            <w:pPr>
              <w:snapToGrid w:val="0"/>
              <w:spacing w:line="312" w:lineRule="auto"/>
              <w:rPr>
                <w:rFonts w:ascii="宋体" w:hAnsi="宋体" w:cs="宋体"/>
                <w:bCs/>
                <w:szCs w:val="21"/>
              </w:rPr>
            </w:pPr>
            <w:r>
              <w:rPr>
                <w:rFonts w:hint="eastAsia" w:ascii="宋体" w:hAnsi="宋体" w:cs="宋体"/>
                <w:bCs/>
                <w:szCs w:val="21"/>
              </w:rPr>
              <w:t>联系电话：0578-3311234</w:t>
            </w:r>
          </w:p>
          <w:p>
            <w:pPr>
              <w:snapToGrid w:val="0"/>
              <w:spacing w:line="312" w:lineRule="auto"/>
              <w:rPr>
                <w:rFonts w:ascii="宋体" w:hAnsi="宋体" w:cs="宋体"/>
                <w:bCs/>
                <w:szCs w:val="21"/>
              </w:rPr>
            </w:pPr>
            <w:r>
              <w:rPr>
                <w:rFonts w:hint="eastAsia" w:ascii="宋体" w:hAnsi="宋体" w:cs="宋体"/>
                <w:bCs/>
                <w:szCs w:val="21"/>
              </w:rPr>
              <w:t>地址：缙云县城新区江滨巷17号301室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9" w:hRule="atLeast"/>
        </w:trPr>
        <w:tc>
          <w:tcPr>
            <w:tcW w:w="939" w:type="dxa"/>
            <w:vAlign w:val="center"/>
          </w:tcPr>
          <w:p>
            <w:pPr>
              <w:snapToGrid w:val="0"/>
              <w:spacing w:line="312" w:lineRule="auto"/>
              <w:jc w:val="center"/>
              <w:rPr>
                <w:rFonts w:ascii="宋体" w:hAnsi="宋体" w:cs="宋体"/>
                <w:bCs/>
                <w:szCs w:val="21"/>
              </w:rPr>
            </w:pPr>
            <w:r>
              <w:rPr>
                <w:rFonts w:hint="eastAsia" w:ascii="宋体" w:hAnsi="宋体" w:cs="宋体"/>
                <w:bCs/>
                <w:szCs w:val="21"/>
              </w:rPr>
              <w:t>10.4.2</w:t>
            </w:r>
          </w:p>
        </w:tc>
        <w:tc>
          <w:tcPr>
            <w:tcW w:w="1194" w:type="dxa"/>
            <w:vAlign w:val="center"/>
          </w:tcPr>
          <w:p>
            <w:pPr>
              <w:snapToGrid w:val="0"/>
              <w:spacing w:line="312" w:lineRule="auto"/>
              <w:jc w:val="center"/>
              <w:rPr>
                <w:rFonts w:ascii="宋体" w:hAnsi="宋体" w:cs="宋体"/>
                <w:bCs/>
                <w:szCs w:val="21"/>
              </w:rPr>
            </w:pPr>
            <w:r>
              <w:rPr>
                <w:rFonts w:hint="eastAsia" w:ascii="宋体" w:hAnsi="宋体" w:cs="宋体"/>
                <w:bCs/>
                <w:szCs w:val="21"/>
              </w:rPr>
              <w:t>采购人</w:t>
            </w:r>
          </w:p>
        </w:tc>
        <w:tc>
          <w:tcPr>
            <w:tcW w:w="7416" w:type="dxa"/>
            <w:gridSpan w:val="2"/>
            <w:vAlign w:val="center"/>
          </w:tcPr>
          <w:p>
            <w:pPr>
              <w:snapToGrid w:val="0"/>
              <w:spacing w:line="312" w:lineRule="auto"/>
              <w:rPr>
                <w:rFonts w:ascii="宋体" w:hAnsi="宋体" w:cs="宋体"/>
                <w:bCs/>
                <w:szCs w:val="21"/>
              </w:rPr>
            </w:pPr>
            <w:r>
              <w:rPr>
                <w:rFonts w:hint="eastAsia" w:ascii="宋体" w:hAnsi="宋体" w:cs="宋体"/>
                <w:bCs/>
                <w:szCs w:val="21"/>
              </w:rPr>
              <w:t xml:space="preserve">采购人名称：缙云县公安局 </w:t>
            </w:r>
          </w:p>
          <w:p>
            <w:pPr>
              <w:snapToGrid w:val="0"/>
              <w:spacing w:line="312" w:lineRule="auto"/>
              <w:rPr>
                <w:rFonts w:hint="eastAsia" w:ascii="宋体" w:hAnsi="宋体" w:eastAsia="宋体" w:cs="宋体"/>
                <w:bCs/>
                <w:szCs w:val="21"/>
                <w:lang w:eastAsia="zh-CN"/>
              </w:rPr>
            </w:pPr>
            <w:r>
              <w:rPr>
                <w:rFonts w:hint="eastAsia" w:ascii="宋体" w:hAnsi="宋体" w:cs="宋体"/>
                <w:bCs/>
                <w:szCs w:val="21"/>
              </w:rPr>
              <w:t>联系人：</w:t>
            </w:r>
            <w:r>
              <w:rPr>
                <w:rFonts w:hint="eastAsia" w:ascii="宋体" w:hAnsi="宋体" w:cs="宋体"/>
                <w:bCs/>
                <w:szCs w:val="21"/>
                <w:lang w:eastAsia="zh-CN"/>
              </w:rPr>
              <w:t>陈耀文</w:t>
            </w:r>
          </w:p>
          <w:p>
            <w:pPr>
              <w:snapToGrid w:val="0"/>
              <w:spacing w:line="312" w:lineRule="auto"/>
              <w:rPr>
                <w:rFonts w:hint="eastAsia" w:ascii="宋体" w:hAnsi="宋体" w:eastAsia="宋体" w:cs="宋体"/>
                <w:szCs w:val="21"/>
                <w:lang w:eastAsia="zh-CN"/>
              </w:rPr>
            </w:pPr>
            <w:r>
              <w:rPr>
                <w:rFonts w:hint="eastAsia" w:ascii="宋体" w:hAnsi="宋体" w:cs="宋体"/>
                <w:bCs/>
                <w:szCs w:val="21"/>
              </w:rPr>
              <w:t>联系电话：</w:t>
            </w:r>
            <w:r>
              <w:rPr>
                <w:rFonts w:hint="eastAsia" w:ascii="宋体" w:hAnsi="宋体" w:cs="宋体"/>
                <w:bCs/>
                <w:szCs w:val="21"/>
                <w:lang w:eastAsia="zh-CN"/>
              </w:rPr>
              <w:t>0578-3233218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39" w:type="dxa"/>
            <w:vAlign w:val="center"/>
          </w:tcPr>
          <w:p>
            <w:pPr>
              <w:snapToGrid w:val="0"/>
              <w:spacing w:line="312" w:lineRule="auto"/>
              <w:jc w:val="center"/>
              <w:rPr>
                <w:rFonts w:ascii="宋体" w:hAnsi="宋体" w:cs="宋体"/>
                <w:bCs/>
                <w:szCs w:val="21"/>
              </w:rPr>
            </w:pPr>
            <w:bookmarkStart w:id="39" w:name="_Toc498327005"/>
            <w:bookmarkStart w:id="40" w:name="_Toc499128550"/>
            <w:bookmarkStart w:id="41" w:name="_Toc24183"/>
            <w:bookmarkStart w:id="42" w:name="_Toc301187598"/>
            <w:r>
              <w:rPr>
                <w:rFonts w:hint="eastAsia" w:ascii="宋体" w:hAnsi="宋体" w:cs="宋体"/>
                <w:bCs/>
                <w:szCs w:val="21"/>
              </w:rPr>
              <w:t>10.5</w:t>
            </w:r>
          </w:p>
        </w:tc>
        <w:tc>
          <w:tcPr>
            <w:tcW w:w="1194" w:type="dxa"/>
            <w:vAlign w:val="center"/>
          </w:tcPr>
          <w:p>
            <w:pPr>
              <w:spacing w:line="360" w:lineRule="auto"/>
              <w:ind w:firstLine="210" w:firstLineChars="100"/>
              <w:rPr>
                <w:rFonts w:ascii="宋体" w:hAnsi="宋体" w:cs="宋体"/>
                <w:szCs w:val="21"/>
              </w:rPr>
            </w:pPr>
            <w:r>
              <w:rPr>
                <w:rFonts w:hint="eastAsia" w:ascii="宋体" w:hAnsi="宋体" w:cs="宋体"/>
                <w:szCs w:val="21"/>
              </w:rPr>
              <w:t>其它</w:t>
            </w:r>
          </w:p>
        </w:tc>
        <w:tc>
          <w:tcPr>
            <w:tcW w:w="7416" w:type="dxa"/>
            <w:gridSpan w:val="2"/>
            <w:vAlign w:val="center"/>
          </w:tcPr>
          <w:p>
            <w:pPr>
              <w:spacing w:line="360" w:lineRule="auto"/>
              <w:ind w:firstLine="420" w:firstLineChars="200"/>
              <w:rPr>
                <w:rFonts w:ascii="宋体" w:hAnsi="宋体" w:cs="宋体"/>
                <w:szCs w:val="21"/>
              </w:rPr>
            </w:pPr>
            <w:r>
              <w:rPr>
                <w:rFonts w:hint="eastAsia" w:ascii="宋体" w:hAnsi="宋体" w:cs="宋体"/>
                <w:szCs w:val="21"/>
              </w:rPr>
              <w:t>中标供应商有资金需求，可申请政采贷、履约保函、预付款保函等政府采购金融服务。</w:t>
            </w:r>
          </w:p>
          <w:p>
            <w:pPr>
              <w:spacing w:line="360" w:lineRule="auto"/>
              <w:ind w:firstLine="420" w:firstLineChars="200"/>
              <w:rPr>
                <w:rFonts w:ascii="宋体" w:hAnsi="宋体" w:cs="宋体"/>
                <w:szCs w:val="21"/>
              </w:rPr>
            </w:pPr>
            <w:r>
              <w:rPr>
                <w:rFonts w:hint="eastAsia" w:ascii="宋体" w:hAnsi="宋体" w:cs="宋体"/>
                <w:szCs w:val="21"/>
              </w:rPr>
              <w:t>1、政采贷</w:t>
            </w:r>
          </w:p>
          <w:p>
            <w:pPr>
              <w:spacing w:line="360" w:lineRule="auto"/>
              <w:ind w:firstLine="420" w:firstLineChars="200"/>
              <w:rPr>
                <w:rFonts w:ascii="宋体" w:hAnsi="宋体" w:cs="宋体"/>
                <w:szCs w:val="21"/>
              </w:rPr>
            </w:pPr>
            <w:r>
              <w:rPr>
                <w:rFonts w:hint="eastAsia" w:ascii="宋体" w:hAnsi="宋体" w:cs="宋体"/>
                <w:szCs w:val="21"/>
              </w:rPr>
              <w:t>通过发挥政府采购政策功能，依托政采云在互联网、云计算、大数据等方面的优势，由各银行向平台用户提供中短期贷款（主要包括流水贷和合同贷），以解决中小微企业“融资难”、“担保难”问题的信用融资产品。</w:t>
            </w:r>
          </w:p>
          <w:p>
            <w:pPr>
              <w:spacing w:line="360" w:lineRule="auto"/>
              <w:ind w:firstLine="420" w:firstLineChars="200"/>
              <w:rPr>
                <w:rFonts w:ascii="宋体" w:hAnsi="宋体" w:cs="宋体"/>
                <w:szCs w:val="21"/>
              </w:rPr>
            </w:pPr>
            <w:r>
              <w:rPr>
                <w:rFonts w:hint="eastAsia" w:ascii="宋体" w:hAnsi="宋体" w:cs="宋体"/>
                <w:szCs w:val="21"/>
              </w:rPr>
              <w:t>2、履约保函、预付款保函</w:t>
            </w:r>
          </w:p>
          <w:p>
            <w:pPr>
              <w:spacing w:line="360" w:lineRule="auto"/>
              <w:ind w:firstLine="420" w:firstLineChars="200"/>
              <w:rPr>
                <w:rFonts w:ascii="宋体" w:hAnsi="宋体" w:cs="宋体"/>
                <w:szCs w:val="21"/>
              </w:rPr>
            </w:pPr>
            <w:r>
              <w:rPr>
                <w:rFonts w:hint="eastAsia" w:ascii="宋体" w:hAnsi="宋体" w:cs="宋体"/>
                <w:szCs w:val="21"/>
              </w:rPr>
              <w:t>中标供应商可通过以保函的形式提交履约保证金，减少对中小微企业的资金占用，降低财务成本。</w:t>
            </w:r>
          </w:p>
          <w:p>
            <w:pPr>
              <w:spacing w:line="360" w:lineRule="auto"/>
              <w:ind w:firstLine="420" w:firstLineChars="200"/>
              <w:rPr>
                <w:rFonts w:ascii="宋体" w:hAnsi="宋体" w:cs="宋体"/>
                <w:szCs w:val="21"/>
              </w:rPr>
            </w:pPr>
            <w:r>
              <w:rPr>
                <w:rFonts w:hint="eastAsia" w:ascii="宋体" w:hAnsi="宋体" w:cs="宋体"/>
                <w:szCs w:val="21"/>
              </w:rPr>
              <w:t>履约保函，政采贷，预付款保函等金融服务办理方式。</w:t>
            </w:r>
          </w:p>
          <w:p>
            <w:pPr>
              <w:spacing w:line="360" w:lineRule="auto"/>
              <w:ind w:firstLine="420" w:firstLineChars="200"/>
              <w:rPr>
                <w:rFonts w:ascii="宋体" w:hAnsi="宋体" w:cs="宋体"/>
                <w:szCs w:val="21"/>
              </w:rPr>
            </w:pPr>
            <w:r>
              <w:rPr>
                <w:rFonts w:hint="eastAsia" w:ascii="宋体" w:hAnsi="宋体" w:cs="宋体"/>
                <w:szCs w:val="21"/>
              </w:rPr>
              <w:t>中标供应商登陆政采云——我的工作台——金融服务——融资专区或保函专区申请。金融专线400-903-9583。</w:t>
            </w:r>
          </w:p>
          <w:p>
            <w:pPr>
              <w:spacing w:line="360" w:lineRule="auto"/>
              <w:ind w:firstLine="420" w:firstLineChars="200"/>
              <w:rPr>
                <w:rFonts w:ascii="宋体" w:hAnsi="宋体" w:cs="宋体"/>
                <w:szCs w:val="21"/>
              </w:rPr>
            </w:pPr>
            <w:r>
              <w:rPr>
                <w:rFonts w:hint="eastAsia" w:ascii="宋体" w:hAnsi="宋体" w:cs="宋体"/>
                <w:szCs w:val="21"/>
              </w:rPr>
              <w:t>3.风险提示</w:t>
            </w:r>
          </w:p>
          <w:p>
            <w:pPr>
              <w:spacing w:line="360" w:lineRule="auto"/>
              <w:ind w:firstLine="420" w:firstLineChars="200"/>
              <w:rPr>
                <w:rFonts w:ascii="宋体" w:hAnsi="宋体" w:cs="宋体"/>
                <w:szCs w:val="21"/>
              </w:rPr>
            </w:pPr>
            <w:r>
              <w:rPr>
                <w:rFonts w:hint="eastAsia" w:ascii="宋体" w:hAnsi="宋体" w:cs="宋体"/>
                <w:szCs w:val="21"/>
              </w:rPr>
              <w:t>（1）本宣传简介内容仅为提供给各中标供应商对办理政府采购金融服务的宣传和了解之方便，对金融服务的具体内容和操作流程均以各金融机构的要求为准，也不作强制要求。</w:t>
            </w:r>
          </w:p>
          <w:p>
            <w:pPr>
              <w:spacing w:line="360" w:lineRule="auto"/>
              <w:ind w:firstLine="420" w:firstLineChars="200"/>
              <w:rPr>
                <w:rFonts w:ascii="宋体" w:hAnsi="宋体" w:cs="宋体"/>
                <w:szCs w:val="21"/>
              </w:rPr>
            </w:pPr>
            <w:r>
              <w:rPr>
                <w:rFonts w:hint="eastAsia" w:ascii="宋体" w:hAnsi="宋体" w:cs="宋体"/>
                <w:szCs w:val="21"/>
              </w:rPr>
              <w:t>（2）政府采购金融服务有风险，请详细了解并综合评估后再决定。</w:t>
            </w:r>
          </w:p>
          <w:p>
            <w:pPr>
              <w:spacing w:line="360" w:lineRule="auto"/>
              <w:ind w:firstLine="420" w:firstLineChars="200"/>
              <w:rPr>
                <w:rFonts w:ascii="宋体" w:hAnsi="宋体" w:cs="宋体"/>
                <w:szCs w:val="21"/>
              </w:rPr>
            </w:pPr>
            <w:r>
              <w:rPr>
                <w:rFonts w:hint="eastAsia" w:ascii="宋体" w:hAnsi="宋体" w:cs="宋体"/>
                <w:szCs w:val="21"/>
              </w:rPr>
              <w:t>（3）政府采购金融服务遵循平等自愿、风险自担的原则。采购人、代理机构、财政部门不为任何政府采购金融服务项目承担任何形式的担保、解释或其他连带责任。</w:t>
            </w:r>
          </w:p>
        </w:tc>
      </w:tr>
    </w:tbl>
    <w:p>
      <w:pPr>
        <w:pStyle w:val="4"/>
        <w:keepNext w:val="0"/>
        <w:keepLines w:val="0"/>
        <w:spacing w:line="360" w:lineRule="auto"/>
        <w:rPr>
          <w:rFonts w:ascii="宋体" w:hAnsi="宋体" w:cs="宋体"/>
          <w:szCs w:val="21"/>
        </w:rPr>
      </w:pPr>
      <w:r>
        <w:rPr>
          <w:rFonts w:hint="eastAsia" w:ascii="宋体" w:hAnsi="宋体" w:cs="宋体"/>
          <w:szCs w:val="21"/>
        </w:rPr>
        <w:br w:type="page"/>
      </w:r>
      <w:bookmarkStart w:id="43" w:name="_Toc19752"/>
      <w:bookmarkStart w:id="44" w:name="_Toc2251"/>
      <w:r>
        <w:rPr>
          <w:rFonts w:hint="eastAsia" w:ascii="宋体" w:hAnsi="宋体" w:cs="宋体"/>
          <w:szCs w:val="21"/>
        </w:rPr>
        <w:t>1</w:t>
      </w:r>
      <w:r>
        <w:rPr>
          <w:rFonts w:hint="eastAsia" w:ascii="宋体" w:hAnsi="宋体" w:cs="宋体"/>
          <w:sz w:val="24"/>
          <w:szCs w:val="24"/>
        </w:rPr>
        <w:t>．</w:t>
      </w:r>
      <w:r>
        <w:rPr>
          <w:rFonts w:hint="eastAsia" w:ascii="宋体" w:hAnsi="宋体" w:cs="宋体"/>
          <w:szCs w:val="21"/>
        </w:rPr>
        <w:t>总则</w:t>
      </w:r>
      <w:bookmarkEnd w:id="39"/>
      <w:bookmarkEnd w:id="40"/>
      <w:bookmarkEnd w:id="41"/>
      <w:bookmarkEnd w:id="43"/>
      <w:bookmarkEnd w:id="44"/>
    </w:p>
    <w:p>
      <w:pPr>
        <w:spacing w:line="360" w:lineRule="auto"/>
        <w:jc w:val="left"/>
        <w:rPr>
          <w:rFonts w:ascii="宋体" w:hAnsi="宋体" w:cs="宋体"/>
          <w:b/>
          <w:bCs/>
          <w:szCs w:val="21"/>
        </w:rPr>
      </w:pPr>
      <w:bookmarkStart w:id="45" w:name="_Toc499128551"/>
      <w:bookmarkStart w:id="46" w:name="_Toc26749"/>
      <w:bookmarkStart w:id="47" w:name="_Toc303756365"/>
      <w:bookmarkStart w:id="48" w:name="_Toc301187578"/>
      <w:bookmarkStart w:id="49" w:name="_Toc359934560"/>
      <w:bookmarkStart w:id="50" w:name="_Toc498327006"/>
      <w:r>
        <w:rPr>
          <w:rFonts w:hint="eastAsia" w:ascii="宋体" w:hAnsi="宋体" w:cs="宋体"/>
          <w:b/>
          <w:bCs/>
          <w:szCs w:val="21"/>
        </w:rPr>
        <w:t>1.1适用范围</w:t>
      </w:r>
      <w:bookmarkEnd w:id="45"/>
      <w:bookmarkEnd w:id="46"/>
      <w:bookmarkEnd w:id="47"/>
      <w:bookmarkEnd w:id="48"/>
      <w:bookmarkEnd w:id="49"/>
      <w:bookmarkEnd w:id="50"/>
    </w:p>
    <w:p>
      <w:pPr>
        <w:spacing w:line="360" w:lineRule="auto"/>
        <w:ind w:firstLine="420" w:firstLineChars="200"/>
        <w:rPr>
          <w:rFonts w:ascii="宋体" w:hAnsi="宋体" w:cs="宋体"/>
          <w:szCs w:val="21"/>
        </w:rPr>
      </w:pPr>
      <w:bookmarkStart w:id="51" w:name="_Toc301187579"/>
      <w:r>
        <w:rPr>
          <w:rFonts w:hint="eastAsia" w:ascii="宋体" w:hAnsi="宋体" w:cs="宋体"/>
          <w:szCs w:val="21"/>
        </w:rPr>
        <w:t>本</w:t>
      </w:r>
      <w:r>
        <w:rPr>
          <w:rFonts w:hint="eastAsia" w:ascii="宋体" w:hAnsi="宋体" w:cs="宋体"/>
        </w:rPr>
        <w:t>竞争性</w:t>
      </w:r>
      <w:r>
        <w:rPr>
          <w:rFonts w:hint="eastAsia" w:ascii="宋体" w:hAnsi="宋体" w:cs="宋体"/>
          <w:szCs w:val="21"/>
        </w:rPr>
        <w:t>磋商文件适用于本竞争性磋商文件所叙述项目的采购。</w:t>
      </w:r>
      <w:bookmarkEnd w:id="51"/>
    </w:p>
    <w:p>
      <w:pPr>
        <w:spacing w:line="360" w:lineRule="auto"/>
        <w:jc w:val="left"/>
        <w:rPr>
          <w:rFonts w:ascii="宋体" w:hAnsi="宋体" w:cs="宋体"/>
          <w:b/>
          <w:bCs/>
          <w:szCs w:val="21"/>
        </w:rPr>
      </w:pPr>
      <w:bookmarkStart w:id="52" w:name="_Toc359934561"/>
      <w:bookmarkStart w:id="53" w:name="_Toc303756366"/>
      <w:bookmarkStart w:id="54" w:name="_Toc498327007"/>
      <w:bookmarkStart w:id="55" w:name="_Toc32303"/>
      <w:bookmarkStart w:id="56" w:name="_Toc301187580"/>
      <w:bookmarkStart w:id="57" w:name="_Toc499128552"/>
      <w:r>
        <w:rPr>
          <w:rFonts w:hint="eastAsia" w:ascii="宋体" w:hAnsi="宋体" w:cs="宋体"/>
          <w:b/>
          <w:bCs/>
          <w:szCs w:val="21"/>
        </w:rPr>
        <w:t>1.2定义</w:t>
      </w:r>
      <w:bookmarkEnd w:id="52"/>
      <w:bookmarkEnd w:id="53"/>
      <w:bookmarkEnd w:id="54"/>
      <w:bookmarkEnd w:id="55"/>
      <w:bookmarkEnd w:id="56"/>
      <w:bookmarkEnd w:id="57"/>
    </w:p>
    <w:p>
      <w:pPr>
        <w:spacing w:line="360" w:lineRule="auto"/>
        <w:ind w:firstLine="420" w:firstLineChars="200"/>
        <w:rPr>
          <w:rFonts w:ascii="宋体" w:hAnsi="宋体" w:cs="宋体"/>
        </w:rPr>
      </w:pPr>
      <w:bookmarkStart w:id="58" w:name="_Toc301187581"/>
      <w:r>
        <w:rPr>
          <w:rFonts w:hint="eastAsia" w:ascii="宋体" w:hAnsi="宋体" w:cs="宋体"/>
        </w:rPr>
        <w:t>1.2.1采购人：见供应商须知前附表。</w:t>
      </w:r>
      <w:bookmarkEnd w:id="58"/>
    </w:p>
    <w:p>
      <w:pPr>
        <w:spacing w:line="360" w:lineRule="auto"/>
        <w:ind w:firstLine="420" w:firstLineChars="200"/>
        <w:rPr>
          <w:rFonts w:ascii="宋体" w:hAnsi="宋体" w:cs="宋体"/>
        </w:rPr>
      </w:pPr>
      <w:bookmarkStart w:id="59" w:name="_Toc301187582"/>
      <w:r>
        <w:rPr>
          <w:rFonts w:hint="eastAsia" w:ascii="宋体" w:hAnsi="宋体" w:cs="宋体"/>
        </w:rPr>
        <w:t>1.2.2采购代理机构：见供应商须知前附表。</w:t>
      </w:r>
      <w:bookmarkEnd w:id="59"/>
    </w:p>
    <w:p>
      <w:pPr>
        <w:spacing w:line="360" w:lineRule="auto"/>
        <w:ind w:firstLine="420" w:firstLineChars="200"/>
        <w:rPr>
          <w:rFonts w:ascii="宋体" w:hAnsi="宋体" w:cs="宋体"/>
        </w:rPr>
      </w:pPr>
      <w:bookmarkStart w:id="60" w:name="_Toc301187583"/>
      <w:r>
        <w:rPr>
          <w:rFonts w:hint="eastAsia" w:ascii="宋体" w:hAnsi="宋体" w:cs="宋体"/>
        </w:rPr>
        <w:t>1.2.3“供应商”系指按照竞争性磋商文件的规定参加磋商的法人。</w:t>
      </w:r>
      <w:bookmarkEnd w:id="60"/>
    </w:p>
    <w:p>
      <w:pPr>
        <w:spacing w:line="360" w:lineRule="auto"/>
        <w:ind w:firstLine="420" w:firstLineChars="200"/>
        <w:rPr>
          <w:rFonts w:ascii="宋体" w:hAnsi="宋体" w:cs="宋体"/>
        </w:rPr>
      </w:pPr>
      <w:bookmarkStart w:id="61" w:name="_Toc301187584"/>
      <w:r>
        <w:rPr>
          <w:rFonts w:hint="eastAsia" w:ascii="宋体" w:hAnsi="宋体" w:cs="宋体"/>
        </w:rPr>
        <w:t>1.2.4“监督机构”系指缙云县纪委、监委、采购监管科等。</w:t>
      </w:r>
      <w:bookmarkEnd w:id="61"/>
    </w:p>
    <w:p>
      <w:pPr>
        <w:spacing w:line="360" w:lineRule="auto"/>
        <w:ind w:firstLine="420" w:firstLineChars="200"/>
        <w:rPr>
          <w:rFonts w:ascii="宋体" w:hAnsi="宋体" w:cs="宋体"/>
        </w:rPr>
      </w:pPr>
      <w:bookmarkStart w:id="62" w:name="_Toc301187585"/>
      <w:r>
        <w:rPr>
          <w:rFonts w:hint="eastAsia" w:ascii="宋体" w:hAnsi="宋体" w:cs="宋体"/>
        </w:rPr>
        <w:t>1.2.5“买方”系指采购人，“卖方”系指成交供应商。</w:t>
      </w:r>
      <w:bookmarkEnd w:id="62"/>
    </w:p>
    <w:p>
      <w:pPr>
        <w:spacing w:line="360" w:lineRule="auto"/>
        <w:ind w:firstLine="420" w:firstLineChars="200"/>
        <w:rPr>
          <w:rFonts w:ascii="宋体" w:hAnsi="宋体" w:cs="宋体"/>
        </w:rPr>
      </w:pPr>
      <w:bookmarkStart w:id="63" w:name="_Toc301187586"/>
      <w:r>
        <w:rPr>
          <w:rFonts w:hint="eastAsia" w:ascii="宋体" w:hAnsi="宋体" w:cs="宋体"/>
        </w:rPr>
        <w:t>1.2.6“货物”系指成交供应商按竞争性磋商文件规定必须向采购人提供的一切产品（包括：虚拟产品），以及产品相关的备品备件、工具、手册及其它有关技术资料和材料。</w:t>
      </w:r>
      <w:bookmarkEnd w:id="63"/>
    </w:p>
    <w:p>
      <w:pPr>
        <w:spacing w:line="360" w:lineRule="auto"/>
        <w:ind w:firstLine="420" w:firstLineChars="200"/>
        <w:rPr>
          <w:rFonts w:ascii="宋体" w:hAnsi="宋体" w:cs="宋体"/>
        </w:rPr>
      </w:pPr>
      <w:bookmarkStart w:id="64" w:name="_Toc301187587"/>
      <w:r>
        <w:rPr>
          <w:rFonts w:hint="eastAsia" w:ascii="宋体" w:hAnsi="宋体" w:cs="宋体"/>
        </w:rPr>
        <w:t>1.2.7“服务”系指成交供应商按竞争性磋商文件规定须承担的安装、调试、技术协助以及其他类似的附随义务。</w:t>
      </w:r>
      <w:bookmarkEnd w:id="64"/>
    </w:p>
    <w:p>
      <w:pPr>
        <w:spacing w:line="360" w:lineRule="auto"/>
        <w:ind w:firstLine="420" w:firstLineChars="200"/>
        <w:rPr>
          <w:rFonts w:ascii="宋体" w:hAnsi="宋体" w:cs="宋体"/>
        </w:rPr>
      </w:pPr>
      <w:bookmarkStart w:id="65" w:name="_Toc301187588"/>
      <w:r>
        <w:rPr>
          <w:rFonts w:hint="eastAsia" w:ascii="宋体" w:hAnsi="宋体" w:cs="宋体"/>
        </w:rPr>
        <w:t>1.2.8“附随服务”系指根据合同规定成交供应商必须承担与货物有关的辅助服务，如送货上门、免费维护以及合同中规定卖方应承担的义务，以及合同中未规定,但依有利于合同履行原则，应当由卖方承担的其它义务。</w:t>
      </w:r>
      <w:bookmarkEnd w:id="65"/>
    </w:p>
    <w:p>
      <w:pPr>
        <w:spacing w:line="360" w:lineRule="auto"/>
        <w:ind w:firstLine="420" w:firstLineChars="200"/>
        <w:rPr>
          <w:rFonts w:ascii="宋体" w:hAnsi="宋体" w:cs="宋体"/>
        </w:rPr>
      </w:pPr>
      <w:bookmarkStart w:id="66" w:name="_Toc301187589"/>
      <w:r>
        <w:rPr>
          <w:rFonts w:hint="eastAsia" w:ascii="宋体" w:hAnsi="宋体" w:cs="宋体"/>
        </w:rPr>
        <w:t>1.2.9</w:t>
      </w:r>
      <w:bookmarkEnd w:id="66"/>
      <w:bookmarkStart w:id="67" w:name="_Toc301187590"/>
      <w:r>
        <w:rPr>
          <w:rFonts w:hint="eastAsia" w:ascii="宋体" w:hAnsi="宋体" w:cs="宋体"/>
        </w:rPr>
        <w:t>“工作日或天数”：“工作日”系指节假日除外的日历天数，“天数”系指日历天数。</w:t>
      </w:r>
    </w:p>
    <w:p>
      <w:pPr>
        <w:spacing w:line="360" w:lineRule="auto"/>
        <w:ind w:firstLine="420" w:firstLineChars="200"/>
        <w:rPr>
          <w:rFonts w:ascii="宋体" w:hAnsi="宋体" w:cs="宋体"/>
        </w:rPr>
      </w:pPr>
      <w:r>
        <w:rPr>
          <w:rFonts w:hint="eastAsia" w:ascii="宋体" w:hAnsi="宋体" w:cs="宋体"/>
        </w:rPr>
        <w:t>1.2.10 “实质性条款”系指采购需求中标明“▲”的条款、以及竞争性磋商文件中含有“必须”、“应当”等强制性规定的条款。“关键性条款”系指采购需求中标明“★”的条款。</w:t>
      </w:r>
    </w:p>
    <w:p>
      <w:pPr>
        <w:spacing w:line="360" w:lineRule="auto"/>
        <w:ind w:firstLine="420" w:firstLineChars="200"/>
        <w:rPr>
          <w:rFonts w:ascii="宋体" w:hAnsi="宋体" w:cs="宋体"/>
          <w:b/>
          <w:szCs w:val="21"/>
        </w:rPr>
      </w:pPr>
      <w:r>
        <w:rPr>
          <w:rFonts w:hint="eastAsia" w:ascii="宋体" w:hAnsi="宋体" w:cs="宋体"/>
          <w:szCs w:val="21"/>
        </w:rPr>
        <w:t>1.2.11</w:t>
      </w:r>
      <w:r>
        <w:rPr>
          <w:rFonts w:hint="eastAsia" w:ascii="宋体" w:hAnsi="宋体" w:cs="宋体"/>
          <w:b/>
          <w:szCs w:val="21"/>
        </w:rPr>
        <w:t>“电子响应文件”系指供应商通过政采云电子投标工具编制的数据电文形式的加密标书。</w:t>
      </w:r>
    </w:p>
    <w:p>
      <w:pPr>
        <w:spacing w:line="360" w:lineRule="auto"/>
        <w:ind w:firstLine="420" w:firstLineChars="200"/>
        <w:rPr>
          <w:rFonts w:ascii="宋体" w:hAnsi="宋体" w:cs="宋体"/>
        </w:rPr>
      </w:pPr>
      <w:r>
        <w:rPr>
          <w:rFonts w:hint="eastAsia" w:ascii="宋体" w:hAnsi="宋体" w:cs="宋体"/>
        </w:rPr>
        <w:t>1.2.12“备份响应文件”系指与“电子响应文件”同时生成的数据电文形式的电子文件。</w:t>
      </w:r>
    </w:p>
    <w:bookmarkEnd w:id="67"/>
    <w:p>
      <w:pPr>
        <w:spacing w:line="360" w:lineRule="auto"/>
        <w:jc w:val="left"/>
        <w:rPr>
          <w:rFonts w:ascii="宋体" w:hAnsi="宋体" w:cs="宋体"/>
          <w:b/>
          <w:bCs/>
          <w:szCs w:val="21"/>
        </w:rPr>
      </w:pPr>
      <w:bookmarkStart w:id="68" w:name="_Toc301187591"/>
      <w:bookmarkStart w:id="69" w:name="_Toc498327008"/>
      <w:bookmarkStart w:id="70" w:name="_Toc31483"/>
      <w:bookmarkStart w:id="71" w:name="_Toc303756367"/>
      <w:bookmarkStart w:id="72" w:name="_Toc359934562"/>
      <w:bookmarkStart w:id="73" w:name="_Toc499128553"/>
      <w:r>
        <w:rPr>
          <w:rFonts w:hint="eastAsia" w:ascii="宋体" w:hAnsi="宋体" w:cs="宋体"/>
          <w:b/>
          <w:bCs/>
          <w:szCs w:val="21"/>
        </w:rPr>
        <w:t>1.3资金来源</w:t>
      </w:r>
      <w:bookmarkEnd w:id="68"/>
      <w:bookmarkEnd w:id="69"/>
      <w:bookmarkEnd w:id="70"/>
      <w:bookmarkEnd w:id="71"/>
      <w:bookmarkEnd w:id="72"/>
      <w:bookmarkEnd w:id="73"/>
    </w:p>
    <w:p>
      <w:pPr>
        <w:spacing w:line="360" w:lineRule="auto"/>
        <w:ind w:firstLine="420" w:firstLineChars="200"/>
        <w:rPr>
          <w:rFonts w:ascii="宋体" w:hAnsi="宋体" w:cs="宋体"/>
          <w:szCs w:val="21"/>
        </w:rPr>
      </w:pPr>
      <w:bookmarkStart w:id="74" w:name="_Toc301187592"/>
      <w:r>
        <w:rPr>
          <w:rFonts w:hint="eastAsia" w:ascii="宋体" w:hAnsi="宋体" w:cs="宋体"/>
          <w:szCs w:val="21"/>
        </w:rPr>
        <w:t>见供应商</w:t>
      </w:r>
      <w:r>
        <w:rPr>
          <w:rFonts w:hint="eastAsia" w:ascii="宋体" w:hAnsi="宋体" w:cs="宋体"/>
        </w:rPr>
        <w:t>须知</w:t>
      </w:r>
      <w:r>
        <w:rPr>
          <w:rFonts w:hint="eastAsia" w:ascii="宋体" w:hAnsi="宋体" w:cs="宋体"/>
          <w:szCs w:val="21"/>
        </w:rPr>
        <w:t>前附表。</w:t>
      </w:r>
      <w:bookmarkEnd w:id="74"/>
    </w:p>
    <w:p>
      <w:pPr>
        <w:spacing w:line="360" w:lineRule="auto"/>
        <w:jc w:val="left"/>
        <w:rPr>
          <w:rFonts w:ascii="宋体" w:hAnsi="宋体" w:cs="宋体"/>
          <w:b/>
          <w:bCs/>
          <w:szCs w:val="21"/>
        </w:rPr>
      </w:pPr>
      <w:bookmarkStart w:id="75" w:name="_Toc499128554"/>
      <w:bookmarkStart w:id="76" w:name="_Toc359934563"/>
      <w:bookmarkStart w:id="77" w:name="_Toc498327009"/>
      <w:bookmarkStart w:id="78" w:name="_Toc301187593"/>
      <w:bookmarkStart w:id="79" w:name="_Toc32607"/>
      <w:bookmarkStart w:id="80" w:name="_Toc303756368"/>
      <w:r>
        <w:rPr>
          <w:rFonts w:hint="eastAsia" w:ascii="宋体" w:hAnsi="宋体" w:cs="宋体"/>
          <w:b/>
          <w:bCs/>
          <w:szCs w:val="21"/>
        </w:rPr>
        <w:t>1.4合格的</w:t>
      </w:r>
      <w:bookmarkEnd w:id="75"/>
      <w:bookmarkEnd w:id="76"/>
      <w:bookmarkEnd w:id="77"/>
      <w:bookmarkEnd w:id="78"/>
      <w:bookmarkEnd w:id="79"/>
      <w:bookmarkEnd w:id="80"/>
      <w:r>
        <w:rPr>
          <w:rFonts w:hint="eastAsia" w:ascii="宋体" w:hAnsi="宋体" w:cs="宋体"/>
          <w:b/>
          <w:bCs/>
          <w:szCs w:val="21"/>
        </w:rPr>
        <w:t>供应商</w:t>
      </w:r>
    </w:p>
    <w:p>
      <w:pPr>
        <w:spacing w:line="360" w:lineRule="auto"/>
        <w:ind w:firstLine="420" w:firstLineChars="200"/>
        <w:rPr>
          <w:rFonts w:ascii="宋体" w:hAnsi="宋体" w:cs="宋体"/>
          <w:szCs w:val="21"/>
        </w:rPr>
      </w:pPr>
      <w:bookmarkStart w:id="81" w:name="_Toc301187594"/>
      <w:r>
        <w:rPr>
          <w:rFonts w:hint="eastAsia" w:ascii="宋体" w:hAnsi="宋体" w:cs="宋体"/>
          <w:szCs w:val="21"/>
        </w:rPr>
        <w:t>见</w:t>
      </w:r>
      <w:r>
        <w:rPr>
          <w:rFonts w:hint="eastAsia" w:ascii="宋体" w:hAnsi="宋体" w:cs="宋体"/>
        </w:rPr>
        <w:t>供应商</w:t>
      </w:r>
      <w:r>
        <w:rPr>
          <w:rFonts w:hint="eastAsia" w:ascii="宋体" w:hAnsi="宋体" w:cs="宋体"/>
          <w:szCs w:val="21"/>
        </w:rPr>
        <w:t>须知前附表。</w:t>
      </w:r>
      <w:bookmarkEnd w:id="81"/>
    </w:p>
    <w:p>
      <w:pPr>
        <w:spacing w:line="360" w:lineRule="auto"/>
        <w:jc w:val="left"/>
        <w:rPr>
          <w:rFonts w:ascii="宋体" w:hAnsi="宋体" w:cs="宋体"/>
          <w:b/>
          <w:bCs/>
          <w:szCs w:val="21"/>
        </w:rPr>
      </w:pPr>
      <w:bookmarkStart w:id="82" w:name="_Toc9353"/>
      <w:bookmarkStart w:id="83" w:name="_Toc498327010"/>
      <w:bookmarkStart w:id="84" w:name="_Toc359934564"/>
      <w:bookmarkStart w:id="85" w:name="_Toc303756369"/>
      <w:bookmarkStart w:id="86" w:name="_Toc301187595"/>
      <w:bookmarkStart w:id="87" w:name="_Toc499128555"/>
      <w:r>
        <w:rPr>
          <w:rFonts w:hint="eastAsia" w:ascii="宋体" w:hAnsi="宋体" w:cs="宋体"/>
          <w:b/>
          <w:bCs/>
          <w:szCs w:val="21"/>
        </w:rPr>
        <w:t>1.5</w:t>
      </w:r>
      <w:bookmarkEnd w:id="82"/>
      <w:bookmarkEnd w:id="83"/>
      <w:bookmarkEnd w:id="84"/>
      <w:bookmarkEnd w:id="85"/>
      <w:bookmarkEnd w:id="86"/>
      <w:bookmarkEnd w:id="87"/>
      <w:r>
        <w:rPr>
          <w:rFonts w:hint="eastAsia" w:ascii="宋体" w:hAnsi="宋体" w:cs="宋体"/>
          <w:b/>
          <w:bCs/>
          <w:szCs w:val="21"/>
        </w:rPr>
        <w:t>联合体磋商</w:t>
      </w:r>
    </w:p>
    <w:p>
      <w:pPr>
        <w:spacing w:line="360" w:lineRule="auto"/>
        <w:ind w:firstLine="420" w:firstLineChars="200"/>
        <w:rPr>
          <w:rFonts w:ascii="宋体" w:hAnsi="宋体" w:cs="宋体"/>
        </w:rPr>
      </w:pPr>
      <w:bookmarkStart w:id="88" w:name="_Toc301187596"/>
      <w:r>
        <w:rPr>
          <w:rFonts w:hint="eastAsia" w:ascii="宋体" w:hAnsi="宋体" w:cs="宋体"/>
        </w:rPr>
        <w:t>1.5.1联合体磋商：见供应商须知前附表。</w:t>
      </w:r>
      <w:bookmarkEnd w:id="88"/>
    </w:p>
    <w:p>
      <w:pPr>
        <w:spacing w:line="360" w:lineRule="auto"/>
        <w:ind w:firstLine="420" w:firstLineChars="200"/>
        <w:rPr>
          <w:rFonts w:ascii="宋体" w:hAnsi="宋体" w:cs="宋体"/>
        </w:rPr>
      </w:pPr>
      <w:r>
        <w:rPr>
          <w:rFonts w:hint="eastAsia" w:ascii="宋体" w:hAnsi="宋体" w:cs="宋体"/>
        </w:rPr>
        <w:t>1.5.2联合体磋商的各方应当符合第1.4条中的特定资质条件。</w:t>
      </w:r>
    </w:p>
    <w:p>
      <w:pPr>
        <w:spacing w:line="360" w:lineRule="auto"/>
        <w:ind w:firstLine="420" w:firstLineChars="200"/>
        <w:rPr>
          <w:rFonts w:ascii="宋体" w:hAnsi="宋体" w:cs="宋体"/>
        </w:rPr>
      </w:pPr>
      <w:r>
        <w:rPr>
          <w:rFonts w:hint="eastAsia" w:ascii="宋体" w:hAnsi="宋体" w:cs="宋体"/>
        </w:rPr>
        <w:t>1.5.3联合体磋商的各方同一资质应当以资质最低一方作为合格供应商资格条件。</w:t>
      </w:r>
    </w:p>
    <w:p>
      <w:pPr>
        <w:spacing w:line="360" w:lineRule="auto"/>
        <w:ind w:firstLine="420" w:firstLineChars="200"/>
        <w:rPr>
          <w:rFonts w:ascii="宋体" w:hAnsi="宋体" w:cs="宋体"/>
          <w:szCs w:val="21"/>
        </w:rPr>
      </w:pPr>
      <w:r>
        <w:rPr>
          <w:rFonts w:hint="eastAsia" w:ascii="宋体" w:hAnsi="宋体" w:cs="宋体"/>
        </w:rPr>
        <w:t>1.5.4联合体磋商的，必须提供《联合磋商协议书》</w:t>
      </w:r>
      <w:r>
        <w:rPr>
          <w:rFonts w:hint="eastAsia" w:ascii="宋体" w:hAnsi="宋体" w:cs="宋体"/>
          <w:szCs w:val="21"/>
        </w:rPr>
        <w:t>。</w:t>
      </w:r>
    </w:p>
    <w:p>
      <w:pPr>
        <w:spacing w:line="360" w:lineRule="auto"/>
        <w:jc w:val="left"/>
        <w:rPr>
          <w:rFonts w:ascii="宋体" w:hAnsi="宋体" w:cs="宋体"/>
          <w:b/>
          <w:bCs/>
          <w:szCs w:val="21"/>
        </w:rPr>
      </w:pPr>
      <w:bookmarkStart w:id="89" w:name="_Toc303756370"/>
      <w:bookmarkStart w:id="90" w:name="_Toc301187597"/>
      <w:bookmarkStart w:id="91" w:name="_Toc30203"/>
      <w:bookmarkStart w:id="92" w:name="_Toc359934565"/>
      <w:bookmarkStart w:id="93" w:name="_Toc499128556"/>
      <w:bookmarkStart w:id="94" w:name="_Toc498327011"/>
      <w:r>
        <w:rPr>
          <w:rFonts w:hint="eastAsia" w:ascii="宋体" w:hAnsi="宋体" w:cs="宋体"/>
          <w:b/>
          <w:bCs/>
          <w:szCs w:val="21"/>
        </w:rPr>
        <w:t>1.6转包与分包</w:t>
      </w:r>
      <w:bookmarkEnd w:id="89"/>
      <w:bookmarkEnd w:id="90"/>
      <w:bookmarkEnd w:id="91"/>
      <w:bookmarkEnd w:id="92"/>
      <w:bookmarkEnd w:id="93"/>
      <w:bookmarkEnd w:id="94"/>
    </w:p>
    <w:p>
      <w:pPr>
        <w:spacing w:line="360" w:lineRule="auto"/>
        <w:ind w:firstLine="420" w:firstLineChars="200"/>
        <w:rPr>
          <w:rFonts w:ascii="宋体" w:hAnsi="宋体" w:cs="宋体"/>
        </w:rPr>
      </w:pPr>
      <w:r>
        <w:rPr>
          <w:rFonts w:hint="eastAsia" w:ascii="宋体" w:hAnsi="宋体" w:cs="宋体"/>
        </w:rPr>
        <w:t>1.6.1转包与分包：见供应商须知前附表。</w:t>
      </w:r>
    </w:p>
    <w:p>
      <w:pPr>
        <w:spacing w:line="360" w:lineRule="auto"/>
        <w:ind w:firstLine="420" w:firstLineChars="200"/>
        <w:rPr>
          <w:rFonts w:ascii="宋体" w:hAnsi="宋体" w:cs="宋体"/>
        </w:rPr>
      </w:pPr>
      <w:r>
        <w:rPr>
          <w:rFonts w:hint="eastAsia" w:ascii="宋体" w:hAnsi="宋体" w:cs="宋体"/>
        </w:rPr>
        <w:t>1.6.2供应商根据竞争性磋商文件的规定和采购项目的实际情况，拟在成交后将成交项目的非主体、非关键性工作分包的，应当在响应文件中载明分包承担主体，分包承担主体应当具备相应资质条件且不得再次分包。</w:t>
      </w:r>
    </w:p>
    <w:bookmarkEnd w:id="42"/>
    <w:p>
      <w:pPr>
        <w:spacing w:line="360" w:lineRule="auto"/>
        <w:jc w:val="left"/>
        <w:rPr>
          <w:rFonts w:ascii="宋体" w:hAnsi="宋体" w:cs="宋体"/>
          <w:b/>
          <w:bCs/>
          <w:szCs w:val="21"/>
        </w:rPr>
      </w:pPr>
      <w:bookmarkStart w:id="95" w:name="_Toc303756371"/>
      <w:bookmarkStart w:id="96" w:name="_Toc30468"/>
      <w:bookmarkStart w:id="97" w:name="_Toc301187599"/>
      <w:bookmarkStart w:id="98" w:name="_Toc359934566"/>
      <w:r>
        <w:rPr>
          <w:rFonts w:hint="eastAsia" w:ascii="宋体" w:hAnsi="宋体" w:cs="宋体"/>
          <w:b/>
          <w:bCs/>
          <w:szCs w:val="21"/>
        </w:rPr>
        <w:t>1.7</w:t>
      </w:r>
      <w:bookmarkEnd w:id="95"/>
      <w:bookmarkEnd w:id="96"/>
      <w:bookmarkEnd w:id="97"/>
      <w:bookmarkEnd w:id="98"/>
      <w:r>
        <w:rPr>
          <w:rFonts w:hint="eastAsia" w:ascii="宋体" w:hAnsi="宋体" w:cs="宋体"/>
          <w:b/>
          <w:bCs/>
          <w:szCs w:val="21"/>
        </w:rPr>
        <w:t>磋商费用</w:t>
      </w:r>
    </w:p>
    <w:p>
      <w:pPr>
        <w:spacing w:line="360" w:lineRule="auto"/>
        <w:ind w:firstLine="420" w:firstLineChars="200"/>
        <w:rPr>
          <w:rFonts w:ascii="宋体" w:hAnsi="宋体" w:cs="宋体"/>
          <w:szCs w:val="21"/>
        </w:rPr>
      </w:pPr>
      <w:bookmarkStart w:id="99" w:name="_Toc301187600"/>
      <w:r>
        <w:rPr>
          <w:rFonts w:hint="eastAsia" w:ascii="宋体" w:hAnsi="宋体" w:cs="宋体"/>
          <w:szCs w:val="21"/>
        </w:rPr>
        <w:t>1.7.1</w:t>
      </w:r>
      <w:r>
        <w:rPr>
          <w:rFonts w:hint="eastAsia" w:ascii="宋体" w:hAnsi="宋体" w:cs="宋体"/>
        </w:rPr>
        <w:t>不论</w:t>
      </w:r>
      <w:r>
        <w:rPr>
          <w:rFonts w:hint="eastAsia" w:ascii="宋体" w:hAnsi="宋体" w:cs="宋体"/>
          <w:szCs w:val="21"/>
        </w:rPr>
        <w:t>磋商的结果如何（包括取消采购任务等情况），供应商均应自行承担所有与磋商有关的全部费用。</w:t>
      </w:r>
      <w:bookmarkEnd w:id="99"/>
    </w:p>
    <w:p>
      <w:pPr>
        <w:spacing w:line="360" w:lineRule="auto"/>
        <w:ind w:firstLine="420" w:firstLineChars="200"/>
        <w:rPr>
          <w:rFonts w:ascii="宋体" w:hAnsi="宋体" w:cs="宋体"/>
        </w:rPr>
      </w:pPr>
      <w:r>
        <w:rPr>
          <w:rFonts w:hint="eastAsia" w:ascii="宋体" w:hAnsi="宋体" w:cs="宋体"/>
        </w:rPr>
        <w:t>1.7.2采购咨询费：由成交供应商向采购代理机构支付，代理机构出具普通税务发票</w:t>
      </w:r>
      <w:r>
        <w:rPr>
          <w:rFonts w:hint="eastAsia" w:ascii="宋体" w:hAnsi="宋体" w:cs="宋体"/>
          <w:b/>
          <w:bCs/>
        </w:rPr>
        <w:t>，采购代理服务费为国家收费标准的75%计取</w:t>
      </w:r>
      <w:r>
        <w:rPr>
          <w:rFonts w:hint="eastAsia" w:ascii="宋体" w:hAnsi="宋体" w:cs="宋体"/>
        </w:rPr>
        <w:t>，</w:t>
      </w:r>
      <w:r>
        <w:rPr>
          <w:rFonts w:hint="eastAsia" w:ascii="宋体" w:hAnsi="宋体" w:cs="宋体"/>
          <w:b/>
          <w:bCs/>
        </w:rPr>
        <w:t>成交供应商在成交公告发布之日起5个工作日内以现金或转账形式支付给采购代理机构。</w:t>
      </w:r>
    </w:p>
    <w:p>
      <w:pPr>
        <w:spacing w:line="360" w:lineRule="auto"/>
        <w:ind w:firstLine="420" w:firstLineChars="200"/>
        <w:rPr>
          <w:rFonts w:ascii="宋体" w:hAnsi="宋体" w:cs="宋体"/>
          <w:szCs w:val="21"/>
        </w:rPr>
      </w:pPr>
      <w:r>
        <w:rPr>
          <w:rFonts w:hint="eastAsia" w:ascii="宋体" w:hAnsi="宋体" w:cs="宋体"/>
          <w:szCs w:val="21"/>
        </w:rPr>
        <w:t>1.7.3供应商未按以上规定办理缴费，视为其自动放弃成交资格，采购人有权将标授予第二成交候选人或重新组织采购。</w:t>
      </w:r>
    </w:p>
    <w:p>
      <w:pPr>
        <w:spacing w:line="360" w:lineRule="auto"/>
        <w:jc w:val="left"/>
        <w:rPr>
          <w:rFonts w:ascii="宋体" w:hAnsi="宋体" w:cs="宋体"/>
          <w:b/>
          <w:bCs/>
          <w:szCs w:val="21"/>
        </w:rPr>
      </w:pPr>
      <w:bookmarkStart w:id="100" w:name="_Toc359934567"/>
      <w:bookmarkStart w:id="101" w:name="_Toc498327013"/>
      <w:bookmarkStart w:id="102" w:name="_Toc301187601"/>
      <w:bookmarkStart w:id="103" w:name="_Toc499128558"/>
      <w:bookmarkStart w:id="104" w:name="_Toc11069"/>
      <w:bookmarkStart w:id="105" w:name="_Toc303756372"/>
      <w:r>
        <w:rPr>
          <w:rFonts w:hint="eastAsia" w:ascii="宋体" w:hAnsi="宋体" w:cs="宋体"/>
          <w:b/>
          <w:bCs/>
          <w:szCs w:val="21"/>
        </w:rPr>
        <w:t>1.8响应文件的语言及计量</w:t>
      </w:r>
      <w:bookmarkEnd w:id="100"/>
      <w:bookmarkEnd w:id="101"/>
      <w:bookmarkEnd w:id="102"/>
      <w:bookmarkEnd w:id="103"/>
      <w:bookmarkEnd w:id="104"/>
      <w:bookmarkEnd w:id="105"/>
    </w:p>
    <w:p>
      <w:pPr>
        <w:spacing w:line="360" w:lineRule="auto"/>
        <w:ind w:firstLine="420" w:firstLineChars="200"/>
        <w:rPr>
          <w:rFonts w:ascii="宋体" w:hAnsi="宋体" w:cs="宋体"/>
          <w:szCs w:val="21"/>
        </w:rPr>
      </w:pPr>
      <w:bookmarkStart w:id="106" w:name="_Toc301187602"/>
      <w:r>
        <w:rPr>
          <w:rFonts w:hint="eastAsia" w:ascii="宋体" w:hAnsi="宋体" w:cs="宋体"/>
          <w:szCs w:val="21"/>
        </w:rPr>
        <w:t>1.8.1响应文件以及供应商与采购人就有关磋商事宜的所有来往函电，应当以中文简体书写，除签名、盖章、专用名称等特殊情形外。</w:t>
      </w:r>
      <w:bookmarkEnd w:id="106"/>
    </w:p>
    <w:p>
      <w:pPr>
        <w:spacing w:line="360" w:lineRule="auto"/>
        <w:ind w:firstLine="420" w:firstLineChars="200"/>
        <w:rPr>
          <w:rFonts w:ascii="宋体" w:hAnsi="宋体" w:cs="宋体"/>
          <w:szCs w:val="21"/>
        </w:rPr>
      </w:pPr>
      <w:bookmarkStart w:id="107" w:name="_Toc301187603"/>
      <w:r>
        <w:rPr>
          <w:rFonts w:hint="eastAsia" w:ascii="宋体" w:hAnsi="宋体" w:cs="宋体"/>
          <w:szCs w:val="21"/>
        </w:rPr>
        <w:t>1.8.2计量单位，竞争性磋商文件已有明确规定的，使用竞争性磋商文件规定的计量单位；竞争性磋商文件没有规定的，应当采用中华人民共和国法定计量单位（货币单位：人民币）。</w:t>
      </w:r>
      <w:bookmarkEnd w:id="107"/>
    </w:p>
    <w:p>
      <w:pPr>
        <w:spacing w:line="360" w:lineRule="auto"/>
        <w:jc w:val="left"/>
        <w:rPr>
          <w:rFonts w:ascii="宋体" w:hAnsi="宋体" w:cs="宋体"/>
          <w:b/>
          <w:bCs/>
          <w:szCs w:val="21"/>
        </w:rPr>
      </w:pPr>
      <w:bookmarkStart w:id="108" w:name="_Toc498327014"/>
      <w:bookmarkStart w:id="109" w:name="_Toc359934568"/>
      <w:bookmarkStart w:id="110" w:name="_Toc499128559"/>
      <w:bookmarkStart w:id="111" w:name="_Toc301187604"/>
      <w:bookmarkStart w:id="112" w:name="_Toc25161"/>
      <w:bookmarkStart w:id="113" w:name="_Toc303756373"/>
      <w:r>
        <w:rPr>
          <w:rFonts w:hint="eastAsia" w:ascii="宋体" w:hAnsi="宋体" w:cs="宋体"/>
          <w:b/>
          <w:bCs/>
          <w:szCs w:val="21"/>
        </w:rPr>
        <w:t>1.9质疑和投诉</w:t>
      </w:r>
      <w:bookmarkEnd w:id="108"/>
      <w:bookmarkEnd w:id="109"/>
      <w:bookmarkEnd w:id="110"/>
      <w:bookmarkEnd w:id="111"/>
      <w:bookmarkEnd w:id="112"/>
      <w:bookmarkEnd w:id="113"/>
    </w:p>
    <w:p>
      <w:pPr>
        <w:spacing w:line="360" w:lineRule="auto"/>
        <w:ind w:firstLine="420" w:firstLineChars="200"/>
        <w:rPr>
          <w:rFonts w:ascii="宋体" w:hAnsi="宋体" w:cs="宋体"/>
          <w:szCs w:val="21"/>
        </w:rPr>
      </w:pPr>
      <w:bookmarkStart w:id="114" w:name="_Toc301187605"/>
      <w:bookmarkStart w:id="115" w:name="_Toc498327015"/>
      <w:bookmarkStart w:id="116" w:name="_Toc359934569"/>
      <w:bookmarkStart w:id="117" w:name="_Toc303756374"/>
      <w:bookmarkStart w:id="118" w:name="_Toc499128560"/>
      <w:bookmarkStart w:id="119" w:name="_Toc5356"/>
      <w:bookmarkStart w:id="120" w:name="_Toc301187608"/>
      <w:r>
        <w:rPr>
          <w:rFonts w:hint="eastAsia" w:ascii="宋体" w:hAnsi="宋体" w:cs="宋体"/>
          <w:szCs w:val="21"/>
        </w:rPr>
        <w:t xml:space="preserve">1.9.1供应商认为竞争性磋商文件、磋商过程或成交结果使自己的合法权益受到损害的，可以在知道或者应知其权益受到损害之日起七个工作日内， </w:t>
      </w:r>
      <w:r>
        <w:rPr>
          <w:rFonts w:hint="eastAsia" w:ascii="宋体" w:hAnsi="宋体" w:cs="宋体"/>
          <w:b/>
          <w:bCs/>
          <w:szCs w:val="21"/>
        </w:rPr>
        <w:t>以书面形式向采购人、采购代理机构一次性提出针对同一采购程序环节的质疑</w:t>
      </w:r>
      <w:r>
        <w:rPr>
          <w:rFonts w:hint="eastAsia" w:ascii="宋体" w:hAnsi="宋体" w:cs="宋体"/>
          <w:szCs w:val="21"/>
        </w:rPr>
        <w:t>。供应商对采购人的质疑答复不满意或者采购人未在规定时间内作出答复的，可以在答复期满后十五个工作日内向同级采购监管部门投诉。</w:t>
      </w:r>
      <w:bookmarkEnd w:id="114"/>
    </w:p>
    <w:p>
      <w:pPr>
        <w:spacing w:line="360" w:lineRule="auto"/>
        <w:ind w:firstLine="420" w:firstLineChars="200"/>
        <w:rPr>
          <w:rFonts w:ascii="宋体" w:hAnsi="宋体" w:cs="宋体"/>
          <w:szCs w:val="21"/>
        </w:rPr>
      </w:pPr>
      <w:r>
        <w:rPr>
          <w:rFonts w:hint="eastAsia" w:ascii="宋体" w:hAnsi="宋体" w:cs="宋体"/>
          <w:szCs w:val="21"/>
        </w:rPr>
        <w:t>（1）供应商对磋商公告（含供应商资格条件）提出质疑的，请在磋商公告发布之日起5个工作日内，且应当在响应文件递交截止时间之前向采购代理机构和采购人提出。</w:t>
      </w:r>
    </w:p>
    <w:p>
      <w:pPr>
        <w:spacing w:line="360" w:lineRule="auto"/>
        <w:ind w:firstLine="420" w:firstLineChars="200"/>
        <w:rPr>
          <w:rFonts w:ascii="宋体" w:hAnsi="宋体" w:cs="宋体"/>
          <w:szCs w:val="21"/>
        </w:rPr>
      </w:pPr>
      <w:r>
        <w:rPr>
          <w:rFonts w:hint="eastAsia" w:ascii="宋体" w:hAnsi="宋体" w:cs="宋体"/>
          <w:szCs w:val="21"/>
        </w:rPr>
        <w:t>（2）对竞争性磋商文件提出质疑的，请在磋商公告期限届满之日起7个工作日内，且应当在响应文件递交截止时间之前向采购代理机构和采购人提出。</w:t>
      </w:r>
    </w:p>
    <w:p>
      <w:pPr>
        <w:spacing w:line="360" w:lineRule="auto"/>
        <w:ind w:firstLine="420" w:firstLineChars="200"/>
        <w:rPr>
          <w:rFonts w:ascii="宋体" w:hAnsi="宋体" w:cs="宋体"/>
          <w:szCs w:val="21"/>
        </w:rPr>
      </w:pPr>
      <w:r>
        <w:rPr>
          <w:rFonts w:hint="eastAsia" w:ascii="宋体" w:hAnsi="宋体" w:cs="宋体"/>
          <w:szCs w:val="21"/>
        </w:rPr>
        <w:t>（3）对采购结果提出质疑的，请在成交结果公告（包括公示、预公告、结果变更公告等）之日起7个工作日内向采购代理机构和采购人提出。</w:t>
      </w:r>
    </w:p>
    <w:p>
      <w:pPr>
        <w:spacing w:line="360" w:lineRule="auto"/>
        <w:ind w:firstLine="420" w:firstLineChars="200"/>
        <w:rPr>
          <w:rFonts w:ascii="宋体" w:hAnsi="宋体" w:cs="宋体"/>
          <w:szCs w:val="21"/>
        </w:rPr>
      </w:pPr>
      <w:r>
        <w:rPr>
          <w:rFonts w:hint="eastAsia" w:ascii="宋体" w:hAnsi="宋体" w:cs="宋体"/>
          <w:szCs w:val="21"/>
        </w:rPr>
        <w:t>（4）供应商认为采购过程不当、影响或可能影响采购结果的，可以在成交结果公告前提出质疑。</w:t>
      </w:r>
    </w:p>
    <w:p>
      <w:pPr>
        <w:spacing w:line="360" w:lineRule="auto"/>
        <w:ind w:firstLine="420" w:firstLineChars="200"/>
        <w:rPr>
          <w:rFonts w:ascii="宋体" w:hAnsi="宋体" w:cs="宋体"/>
          <w:szCs w:val="21"/>
        </w:rPr>
      </w:pPr>
      <w:bookmarkStart w:id="121" w:name="_Toc301187606"/>
      <w:r>
        <w:rPr>
          <w:rFonts w:hint="eastAsia" w:ascii="宋体" w:hAnsi="宋体" w:cs="宋体"/>
          <w:szCs w:val="21"/>
        </w:rPr>
        <w:t>1.9.2质疑、投诉应当采用书面形式，质疑书、投诉书应当有明确的请求和必要的证明材料，投诉的事项不得超出已质疑事项的范围。</w:t>
      </w:r>
      <w:bookmarkEnd w:id="121"/>
    </w:p>
    <w:p>
      <w:pPr>
        <w:spacing w:line="360" w:lineRule="auto"/>
        <w:ind w:firstLine="420" w:firstLineChars="200"/>
        <w:rPr>
          <w:rFonts w:ascii="宋体" w:hAnsi="宋体" w:cs="宋体"/>
          <w:szCs w:val="21"/>
        </w:rPr>
      </w:pPr>
      <w:r>
        <w:rPr>
          <w:rFonts w:hint="eastAsia" w:ascii="宋体" w:hAnsi="宋体" w:cs="宋体"/>
          <w:szCs w:val="21"/>
        </w:rPr>
        <w:t>1.9.3</w:t>
      </w:r>
      <w:r>
        <w:rPr>
          <w:rFonts w:hint="eastAsia" w:ascii="宋体" w:hAnsi="宋体" w:cs="宋体"/>
          <w:b/>
          <w:bCs/>
          <w:szCs w:val="21"/>
        </w:rPr>
        <w:t>供应商未对开标记录进行在线签字确认的，将视同认可开标结果，事后不得对采购相关人员，开标程序，采购结果提出质疑。</w:t>
      </w:r>
    </w:p>
    <w:p>
      <w:pPr>
        <w:spacing w:line="360" w:lineRule="auto"/>
        <w:ind w:firstLine="420" w:firstLineChars="200"/>
        <w:rPr>
          <w:rFonts w:ascii="宋体" w:hAnsi="宋体" w:cs="宋体"/>
          <w:szCs w:val="21"/>
        </w:rPr>
      </w:pPr>
      <w:r>
        <w:rPr>
          <w:rFonts w:hint="eastAsia" w:ascii="宋体" w:hAnsi="宋体" w:cs="宋体"/>
          <w:szCs w:val="21"/>
        </w:rPr>
        <w:t>1.9.4采购人处理质疑事项原则上采取书面审查的办法。采购人认为有必要时，可以进行调查取证，也可以组织质疑人和被质疑人当面进行质证，对采购人进行调查的质疑事项， 质疑人、被质疑人等应当如实反映情况，并提供采购人所需要的相关材料。</w:t>
      </w:r>
    </w:p>
    <w:p>
      <w:pPr>
        <w:spacing w:line="360" w:lineRule="auto"/>
        <w:ind w:firstLine="420" w:firstLineChars="200"/>
        <w:rPr>
          <w:rFonts w:ascii="宋体" w:hAnsi="宋体" w:cs="宋体"/>
          <w:szCs w:val="21"/>
        </w:rPr>
      </w:pPr>
      <w:r>
        <w:rPr>
          <w:rFonts w:hint="eastAsia" w:ascii="宋体" w:hAnsi="宋体" w:cs="宋体"/>
          <w:szCs w:val="21"/>
        </w:rPr>
        <w:t>1.9.5质疑人拒绝配合采购人依法进行调查的，按自动撤回质疑处理；被质疑人在规定时限内， 无正当理由未提交相关证据和其他有关材料的，视同放弃说明权利，认可质疑事项和处理决定。</w:t>
      </w:r>
    </w:p>
    <w:p>
      <w:pPr>
        <w:spacing w:line="360" w:lineRule="auto"/>
        <w:ind w:firstLine="420" w:firstLineChars="200"/>
        <w:rPr>
          <w:rFonts w:ascii="宋体" w:hAnsi="宋体" w:cs="宋体"/>
          <w:szCs w:val="21"/>
        </w:rPr>
      </w:pPr>
      <w:r>
        <w:rPr>
          <w:rFonts w:hint="eastAsia" w:ascii="宋体" w:hAnsi="宋体" w:cs="宋体"/>
          <w:szCs w:val="21"/>
        </w:rPr>
        <w:t>1.9.6采购人在收到供应商的有效书面质疑后七个工作日内作出答复，但答复的内容不涉及商业秘密。</w:t>
      </w:r>
    </w:p>
    <w:p>
      <w:pPr>
        <w:spacing w:line="360" w:lineRule="auto"/>
        <w:ind w:firstLine="420" w:firstLineChars="200"/>
        <w:rPr>
          <w:rFonts w:ascii="宋体" w:hAnsi="宋体" w:cs="宋体"/>
          <w:szCs w:val="21"/>
        </w:rPr>
      </w:pPr>
      <w:bookmarkStart w:id="122" w:name="_Toc301187607"/>
      <w:r>
        <w:rPr>
          <w:rFonts w:hint="eastAsia" w:ascii="宋体" w:hAnsi="宋体" w:cs="宋体"/>
          <w:szCs w:val="21"/>
        </w:rPr>
        <w:t>1.9.7</w:t>
      </w:r>
      <w:bookmarkEnd w:id="122"/>
      <w:r>
        <w:rPr>
          <w:rFonts w:hint="eastAsia" w:ascii="宋体" w:hAnsi="宋体" w:cs="宋体"/>
          <w:szCs w:val="21"/>
        </w:rPr>
        <w:t>质疑处理办法和相关格式等参照《政府采购质疑和投诉办法》（财政部第94号令）、《关于印发&lt;浙江省政府采购供应商质疑处理办法&gt;的通知》（浙财采监〔2012〕18号）等文件要求。</w:t>
      </w:r>
    </w:p>
    <w:p>
      <w:pPr>
        <w:spacing w:line="360" w:lineRule="auto"/>
        <w:jc w:val="left"/>
        <w:rPr>
          <w:rFonts w:ascii="宋体" w:hAnsi="宋体" w:cs="宋体"/>
          <w:b/>
          <w:bCs/>
          <w:szCs w:val="21"/>
        </w:rPr>
      </w:pPr>
      <w:r>
        <w:rPr>
          <w:rFonts w:hint="eastAsia" w:ascii="宋体" w:hAnsi="宋体" w:cs="宋体"/>
          <w:b/>
          <w:bCs/>
          <w:szCs w:val="21"/>
        </w:rPr>
        <w:t>1.10保密</w:t>
      </w:r>
      <w:bookmarkEnd w:id="115"/>
      <w:bookmarkEnd w:id="116"/>
      <w:bookmarkEnd w:id="117"/>
      <w:bookmarkEnd w:id="118"/>
      <w:bookmarkEnd w:id="119"/>
      <w:bookmarkEnd w:id="120"/>
    </w:p>
    <w:p>
      <w:pPr>
        <w:spacing w:line="360" w:lineRule="auto"/>
        <w:ind w:firstLine="525" w:firstLineChars="250"/>
        <w:rPr>
          <w:rFonts w:ascii="宋体" w:hAnsi="宋体" w:cs="宋体"/>
          <w:szCs w:val="21"/>
        </w:rPr>
      </w:pPr>
      <w:bookmarkStart w:id="123" w:name="_Toc301187609"/>
      <w:r>
        <w:rPr>
          <w:rFonts w:hint="eastAsia" w:ascii="宋体" w:hAnsi="宋体" w:cs="宋体"/>
          <w:szCs w:val="21"/>
        </w:rPr>
        <w:t>参与采购磋商活动的各方当事人应当对磋商评审情况以及在磋商评审过程中的获悉的国家秘密、商业密负有保密责任，违者应对由此造成的后果承担法律责任。</w:t>
      </w:r>
      <w:bookmarkEnd w:id="123"/>
    </w:p>
    <w:p>
      <w:pPr>
        <w:spacing w:line="360" w:lineRule="auto"/>
        <w:jc w:val="left"/>
        <w:rPr>
          <w:rFonts w:ascii="宋体" w:hAnsi="宋体" w:cs="宋体"/>
          <w:b/>
          <w:bCs/>
          <w:szCs w:val="21"/>
        </w:rPr>
      </w:pPr>
      <w:bookmarkStart w:id="124" w:name="_Toc498327016"/>
      <w:bookmarkStart w:id="125" w:name="_Toc499128561"/>
      <w:bookmarkStart w:id="126" w:name="_Toc15579"/>
      <w:r>
        <w:rPr>
          <w:rFonts w:hint="eastAsia" w:ascii="宋体" w:hAnsi="宋体" w:cs="宋体"/>
          <w:b/>
          <w:bCs/>
          <w:szCs w:val="21"/>
        </w:rPr>
        <w:t>1.11信用信息记录查询</w:t>
      </w:r>
      <w:bookmarkEnd w:id="124"/>
      <w:bookmarkEnd w:id="125"/>
      <w:bookmarkEnd w:id="126"/>
    </w:p>
    <w:p>
      <w:pPr>
        <w:spacing w:line="360" w:lineRule="auto"/>
        <w:ind w:firstLine="420" w:firstLineChars="200"/>
        <w:rPr>
          <w:rFonts w:ascii="宋体" w:hAnsi="宋体" w:cs="宋体"/>
          <w:szCs w:val="21"/>
        </w:rPr>
      </w:pPr>
      <w:r>
        <w:rPr>
          <w:rFonts w:hint="eastAsia" w:ascii="宋体" w:hAnsi="宋体" w:cs="宋体"/>
          <w:szCs w:val="21"/>
        </w:rPr>
        <w:t>1.11.1各供应商的信用信息记录应当从“信用中国”网站（</w:t>
      </w:r>
      <w:r>
        <w:fldChar w:fldCharType="begin"/>
      </w:r>
      <w:r>
        <w:instrText xml:space="preserve"> HYPERLINK "http://www.creditchina.gov.cn" </w:instrText>
      </w:r>
      <w:r>
        <w:fldChar w:fldCharType="separate"/>
      </w:r>
      <w:r>
        <w:rPr>
          <w:rFonts w:hint="eastAsia" w:ascii="宋体" w:hAnsi="宋体" w:cs="宋体"/>
          <w:szCs w:val="21"/>
        </w:rPr>
        <w:t>www.creditchi</w:t>
      </w:r>
      <w:bookmarkStart w:id="127" w:name="_Hlt492633521"/>
      <w:bookmarkStart w:id="128" w:name="_Hlt492633520"/>
      <w:r>
        <w:rPr>
          <w:rFonts w:hint="eastAsia" w:ascii="宋体" w:hAnsi="宋体" w:cs="宋体"/>
          <w:szCs w:val="21"/>
        </w:rPr>
        <w:t>n</w:t>
      </w:r>
      <w:bookmarkEnd w:id="127"/>
      <w:bookmarkEnd w:id="128"/>
      <w:r>
        <w:rPr>
          <w:rFonts w:hint="eastAsia" w:ascii="宋体" w:hAnsi="宋体" w:cs="宋体"/>
          <w:szCs w:val="21"/>
        </w:rPr>
        <w:t>a.gov.cn</w:t>
      </w:r>
      <w:r>
        <w:rPr>
          <w:rFonts w:hint="eastAsia" w:ascii="宋体" w:hAnsi="宋体" w:cs="宋体"/>
          <w:szCs w:val="21"/>
        </w:rPr>
        <w:fldChar w:fldCharType="end"/>
      </w:r>
      <w:r>
        <w:rPr>
          <w:rFonts w:hint="eastAsia" w:ascii="宋体" w:hAnsi="宋体" w:cs="宋体"/>
          <w:szCs w:val="21"/>
        </w:rPr>
        <w:t>）、中国政府采购网（www.ccgp</w:t>
      </w:r>
      <w:bookmarkStart w:id="129" w:name="_Hlt495587266"/>
      <w:r>
        <w:rPr>
          <w:rFonts w:hint="eastAsia" w:ascii="宋体" w:hAnsi="宋体" w:cs="宋体"/>
          <w:szCs w:val="21"/>
        </w:rPr>
        <w:t>.</w:t>
      </w:r>
      <w:bookmarkEnd w:id="129"/>
      <w:r>
        <w:rPr>
          <w:rFonts w:hint="eastAsia" w:ascii="宋体" w:hAnsi="宋体" w:cs="宋体"/>
          <w:szCs w:val="21"/>
        </w:rPr>
        <w:t>go</w:t>
      </w:r>
      <w:bookmarkStart w:id="130" w:name="_Hlt495587259"/>
      <w:bookmarkStart w:id="131" w:name="_Hlt495587258"/>
      <w:bookmarkStart w:id="132" w:name="_Hlt495587290"/>
      <w:r>
        <w:rPr>
          <w:rFonts w:hint="eastAsia" w:ascii="宋体" w:hAnsi="宋体" w:cs="宋体"/>
          <w:szCs w:val="21"/>
        </w:rPr>
        <w:t>v</w:t>
      </w:r>
      <w:bookmarkEnd w:id="130"/>
      <w:bookmarkEnd w:id="131"/>
      <w:bookmarkEnd w:id="132"/>
      <w:r>
        <w:rPr>
          <w:rFonts w:hint="eastAsia" w:ascii="宋体" w:hAnsi="宋体" w:cs="宋体"/>
          <w:szCs w:val="21"/>
        </w:rPr>
        <w:t>.cn）的“政府采购严重违法失信行为记录名单”、浙江省政府采购（www.zjzfcg.gov.cn）等渠道进行查询。查询后的供应商在处罚有效期内的，不得推荐为成交候选人。</w:t>
      </w:r>
    </w:p>
    <w:p>
      <w:pPr>
        <w:spacing w:line="360" w:lineRule="auto"/>
        <w:ind w:firstLine="420" w:firstLineChars="200"/>
        <w:rPr>
          <w:rFonts w:ascii="宋体" w:hAnsi="宋体" w:cs="宋体"/>
          <w:szCs w:val="21"/>
        </w:rPr>
      </w:pPr>
      <w:r>
        <w:rPr>
          <w:rFonts w:hint="eastAsia" w:ascii="宋体" w:hAnsi="宋体" w:cs="宋体"/>
          <w:szCs w:val="21"/>
        </w:rPr>
        <w:t>1.11.2信用信息记录查询截止时间：见供应商须知前附表。</w:t>
      </w:r>
    </w:p>
    <w:p>
      <w:pPr>
        <w:spacing w:line="360" w:lineRule="auto"/>
        <w:ind w:firstLine="420" w:firstLineChars="200"/>
        <w:rPr>
          <w:rFonts w:ascii="宋体" w:hAnsi="宋体" w:cs="宋体"/>
          <w:szCs w:val="21"/>
        </w:rPr>
      </w:pPr>
      <w:r>
        <w:rPr>
          <w:rFonts w:hint="eastAsia" w:ascii="宋体" w:hAnsi="宋体" w:cs="宋体"/>
          <w:szCs w:val="21"/>
        </w:rPr>
        <w:t>1.11.3信用信息查询记录和证据则以页面截图、打印等方式进行留存，作为政府采购档案的归档资料。</w:t>
      </w:r>
    </w:p>
    <w:p>
      <w:pPr>
        <w:spacing w:line="360" w:lineRule="auto"/>
        <w:ind w:firstLine="420" w:firstLineChars="200"/>
        <w:rPr>
          <w:rFonts w:ascii="宋体" w:hAnsi="宋体" w:cs="宋体"/>
          <w:szCs w:val="21"/>
        </w:rPr>
      </w:pPr>
      <w:r>
        <w:rPr>
          <w:rFonts w:hint="eastAsia" w:ascii="宋体" w:hAnsi="宋体" w:cs="宋体"/>
          <w:szCs w:val="21"/>
        </w:rPr>
        <w:t>1.11.4列入失信被执行人、重大税收违法案件当事人名单、政府采购严重违法失信行为记录名单及其他不符合《中华人民共和国政府采购法》第二十二条规定条件的供应商，应当拒绝其参与政府采购活动。</w:t>
      </w:r>
    </w:p>
    <w:p>
      <w:pPr>
        <w:spacing w:line="360" w:lineRule="auto"/>
        <w:ind w:firstLine="420" w:firstLineChars="200"/>
        <w:rPr>
          <w:rFonts w:ascii="宋体" w:hAnsi="宋体" w:cs="宋体"/>
          <w:szCs w:val="21"/>
        </w:rPr>
      </w:pPr>
      <w:r>
        <w:rPr>
          <w:rFonts w:hint="eastAsia" w:ascii="宋体" w:hAnsi="宋体" w:cs="宋体"/>
          <w:szCs w:val="21"/>
        </w:rPr>
        <w:t>1.11.5两个以上的自然人、法人或者其他组织组成一个联合体，以一个供应商的身份共同参加政府采购活动的，应当对所有联合体成员进行信用信息记录查询，联合体成员存在不良信用记录的，视同联合体存在不良信用记录。</w:t>
      </w:r>
    </w:p>
    <w:p>
      <w:pPr>
        <w:spacing w:line="360" w:lineRule="auto"/>
        <w:ind w:firstLine="420" w:firstLineChars="200"/>
        <w:rPr>
          <w:rFonts w:ascii="宋体" w:hAnsi="宋体" w:cs="宋体"/>
          <w:szCs w:val="21"/>
        </w:rPr>
      </w:pPr>
      <w:r>
        <w:rPr>
          <w:rFonts w:hint="eastAsia" w:ascii="宋体" w:hAnsi="宋体" w:cs="宋体"/>
          <w:szCs w:val="21"/>
        </w:rPr>
        <w:t>1.11.6若在磋商当天因不可抗力事件导致代理机构或采购人无法查询信用信息记录且一时无法恢复的，可在成交公示期间对成交候选人进行事后查询，如成交候选人为失信被执行人的，则取消成交候选人资格，采购人可以确定第二成交候选人为成交供应商或重新组织采购。</w:t>
      </w:r>
    </w:p>
    <w:p>
      <w:pPr>
        <w:spacing w:line="360" w:lineRule="auto"/>
        <w:jc w:val="left"/>
        <w:rPr>
          <w:rFonts w:ascii="宋体" w:hAnsi="宋体" w:cs="宋体"/>
          <w:b/>
          <w:bCs/>
          <w:szCs w:val="21"/>
        </w:rPr>
      </w:pPr>
      <w:bookmarkStart w:id="133" w:name="_Toc28663"/>
      <w:bookmarkStart w:id="134" w:name="_Toc499128562"/>
      <w:bookmarkStart w:id="135" w:name="_Toc498327017"/>
      <w:r>
        <w:rPr>
          <w:rFonts w:hint="eastAsia" w:ascii="宋体" w:hAnsi="宋体" w:cs="宋体"/>
          <w:b/>
          <w:bCs/>
          <w:szCs w:val="21"/>
        </w:rPr>
        <w:t>1.12政府采购政策</w:t>
      </w:r>
      <w:bookmarkEnd w:id="133"/>
      <w:bookmarkEnd w:id="134"/>
      <w:bookmarkEnd w:id="135"/>
    </w:p>
    <w:p>
      <w:pPr>
        <w:spacing w:line="360" w:lineRule="auto"/>
        <w:ind w:firstLine="420" w:firstLineChars="200"/>
        <w:rPr>
          <w:rFonts w:ascii="宋体" w:hAnsi="宋体" w:cs="宋体"/>
          <w:szCs w:val="21"/>
        </w:rPr>
      </w:pPr>
      <w:r>
        <w:rPr>
          <w:rFonts w:hint="eastAsia" w:ascii="宋体" w:hAnsi="宋体" w:cs="宋体"/>
          <w:szCs w:val="21"/>
        </w:rPr>
        <w:t>1.12.1落实节约能源、保护环境、扶持不发达地区和少数民族地区、促进中小企业发展等政府采购政策。</w:t>
      </w:r>
    </w:p>
    <w:p>
      <w:pPr>
        <w:spacing w:line="360" w:lineRule="auto"/>
        <w:ind w:firstLine="420" w:firstLineChars="200"/>
        <w:rPr>
          <w:rFonts w:ascii="宋体" w:hAnsi="宋体" w:cs="宋体"/>
          <w:szCs w:val="21"/>
        </w:rPr>
      </w:pPr>
      <w:bookmarkStart w:id="136" w:name="_Toc359934570"/>
      <w:bookmarkStart w:id="137" w:name="_Toc301187610"/>
      <w:bookmarkStart w:id="138" w:name="_Toc303756375"/>
      <w:bookmarkStart w:id="139" w:name="_Toc22170"/>
      <w:bookmarkStart w:id="140" w:name="_Toc498327018"/>
      <w:bookmarkStart w:id="141" w:name="_Toc499128563"/>
      <w:r>
        <w:rPr>
          <w:rFonts w:hint="eastAsia" w:ascii="宋体" w:hAnsi="宋体" w:cs="宋体"/>
          <w:szCs w:val="21"/>
        </w:rPr>
        <w:t>1.12.2节能、环境标志产品政府采购品目清单：见供应商须知前附表。采购人拟采购的产品属于品目清单范围的，实施优先采购或强制采购。</w:t>
      </w:r>
    </w:p>
    <w:p>
      <w:pPr>
        <w:spacing w:line="360" w:lineRule="auto"/>
        <w:ind w:firstLine="420" w:firstLineChars="200"/>
        <w:rPr>
          <w:rFonts w:ascii="宋体" w:hAnsi="宋体" w:cs="宋体"/>
          <w:szCs w:val="21"/>
        </w:rPr>
      </w:pPr>
      <w:r>
        <w:rPr>
          <w:rFonts w:hint="eastAsia" w:ascii="宋体" w:hAnsi="宋体" w:cs="宋体"/>
          <w:szCs w:val="21"/>
        </w:rPr>
        <w:t>1.12.3节能、环境标志产品认证：见供应商须知前附表。有效的节能、环境标志产品认证系指国家确定的认证机构出具的、处于有效期之内的节能产品、环境标志产品认证证书，并且认证证书的认证标准必须符合第1.12.2条规定的。</w:t>
      </w:r>
    </w:p>
    <w:p>
      <w:pPr>
        <w:spacing w:line="360" w:lineRule="auto"/>
        <w:ind w:firstLine="420" w:firstLineChars="200"/>
        <w:rPr>
          <w:rFonts w:ascii="宋体" w:hAnsi="宋体" w:cs="宋体"/>
          <w:szCs w:val="21"/>
        </w:rPr>
      </w:pPr>
      <w:r>
        <w:rPr>
          <w:rFonts w:hint="eastAsia" w:ascii="宋体" w:hAnsi="宋体" w:cs="宋体"/>
          <w:szCs w:val="21"/>
        </w:rPr>
        <w:t>1.12.4政府强制采购的节能产品品目：见供应商须知前附表。各供应商拟投产品属于政府强制采购的，必须提供符合第1.12.3条规定的认证证书，并且可在认证结果信息发布平台可查询。</w:t>
      </w:r>
    </w:p>
    <w:p>
      <w:pPr>
        <w:spacing w:line="360" w:lineRule="auto"/>
        <w:ind w:firstLine="420" w:firstLineChars="200"/>
        <w:rPr>
          <w:rFonts w:ascii="宋体" w:hAnsi="宋体" w:cs="宋体"/>
          <w:szCs w:val="21"/>
        </w:rPr>
      </w:pPr>
      <w:r>
        <w:rPr>
          <w:rFonts w:hint="eastAsia" w:ascii="宋体" w:hAnsi="宋体" w:cs="宋体"/>
          <w:szCs w:val="21"/>
        </w:rPr>
        <w:t xml:space="preserve">1.12.5供应商符合《关于印发〈政府采购促进中小企业发展暂行办法〉的通知》（财库〔2020〕46号）文件要求，在政府采购活动按下列情形之一给予价格扣除： </w:t>
      </w:r>
    </w:p>
    <w:p>
      <w:pPr>
        <w:spacing w:line="360" w:lineRule="auto"/>
        <w:ind w:firstLine="420" w:firstLineChars="200"/>
        <w:rPr>
          <w:rFonts w:ascii="宋体" w:hAnsi="宋体" w:cs="宋体"/>
          <w:szCs w:val="21"/>
        </w:rPr>
      </w:pPr>
      <w:r>
        <w:rPr>
          <w:rFonts w:hint="eastAsia" w:ascii="宋体" w:hAnsi="宋体" w:cs="宋体"/>
          <w:szCs w:val="21"/>
        </w:rPr>
        <w:t>（1）对于非专门面向中小企业的项目，对小型和微型企业产品的价格给予20%的扣除，用扣除后的价格参与评审。</w:t>
      </w:r>
    </w:p>
    <w:p>
      <w:pPr>
        <w:spacing w:line="360" w:lineRule="auto"/>
        <w:ind w:firstLine="420" w:firstLineChars="200"/>
        <w:rPr>
          <w:rFonts w:ascii="宋体" w:hAnsi="宋体" w:cs="宋体"/>
          <w:szCs w:val="21"/>
        </w:rPr>
      </w:pPr>
      <w:r>
        <w:rPr>
          <w:rFonts w:hint="eastAsia" w:ascii="宋体" w:hAnsi="宋体" w:cs="宋体"/>
          <w:szCs w:val="21"/>
        </w:rPr>
        <w:t>（2）联合体协议约定，小型、微型企业的协议合同金额占到联合协议合同总金额</w:t>
      </w:r>
      <w:bookmarkStart w:id="579" w:name="_GoBack"/>
      <w:r>
        <w:rPr>
          <w:rFonts w:hint="eastAsia" w:ascii="宋体" w:hAnsi="宋体" w:cs="宋体"/>
          <w:szCs w:val="21"/>
        </w:rPr>
        <w:t>30%</w:t>
      </w:r>
      <w:bookmarkEnd w:id="579"/>
      <w:r>
        <w:rPr>
          <w:rFonts w:hint="eastAsia" w:ascii="宋体" w:hAnsi="宋体" w:cs="宋体"/>
          <w:szCs w:val="21"/>
        </w:rPr>
        <w:t>以上的，可给予联合体6%的价格扣除。联合体各方均为小型、微型企业的，联合体视同为小型、微型企业。</w:t>
      </w:r>
    </w:p>
    <w:p>
      <w:pPr>
        <w:spacing w:line="360" w:lineRule="auto"/>
        <w:ind w:firstLine="420" w:firstLineChars="200"/>
        <w:rPr>
          <w:rFonts w:ascii="宋体" w:hAnsi="宋体" w:cs="宋体"/>
          <w:szCs w:val="21"/>
        </w:rPr>
      </w:pPr>
      <w:r>
        <w:rPr>
          <w:rFonts w:hint="eastAsia" w:ascii="宋体" w:hAnsi="宋体" w:cs="宋体"/>
          <w:szCs w:val="21"/>
        </w:rPr>
        <w:t>（3）参加政府采购活动的中小企业应当提供《中小企业声明函》。</w:t>
      </w:r>
    </w:p>
    <w:p>
      <w:pPr>
        <w:spacing w:line="360" w:lineRule="auto"/>
        <w:ind w:firstLine="420" w:firstLineChars="200"/>
        <w:rPr>
          <w:rFonts w:ascii="宋体" w:hAnsi="宋体" w:cs="宋体"/>
          <w:szCs w:val="21"/>
        </w:rPr>
      </w:pPr>
      <w:r>
        <w:rPr>
          <w:rFonts w:hint="eastAsia" w:ascii="宋体" w:hAnsi="宋体" w:cs="宋体"/>
          <w:szCs w:val="21"/>
        </w:rPr>
        <w:t>1.12.6小型和微型企业产品的价格扣除：见供应商须知前附表。</w:t>
      </w:r>
    </w:p>
    <w:p>
      <w:pPr>
        <w:spacing w:line="360" w:lineRule="auto"/>
        <w:ind w:firstLine="420" w:firstLineChars="200"/>
        <w:rPr>
          <w:rFonts w:ascii="宋体" w:hAnsi="宋体" w:cs="宋体"/>
          <w:szCs w:val="21"/>
        </w:rPr>
      </w:pPr>
      <w:r>
        <w:rPr>
          <w:rFonts w:hint="eastAsia" w:ascii="宋体" w:hAnsi="宋体" w:cs="宋体"/>
          <w:szCs w:val="21"/>
        </w:rPr>
        <w:t>1.12.7供应商符合《财政部、司法部关于政府采购支持监狱企业发展有关问题的通知》（财库〔2014〕68号）文件要求，并提供省级以上监狱管理局、戒毒管理局（含新疆生产建设兵团）出具的属于监狱企业的证明文件，则视同小型、微型企业，享受第1.12.5条的扶持政策。</w:t>
      </w:r>
    </w:p>
    <w:p>
      <w:pPr>
        <w:spacing w:line="360" w:lineRule="auto"/>
        <w:ind w:firstLine="420" w:firstLineChars="200"/>
        <w:rPr>
          <w:rFonts w:ascii="宋体" w:hAnsi="宋体" w:cs="宋体"/>
          <w:szCs w:val="21"/>
        </w:rPr>
      </w:pPr>
      <w:r>
        <w:rPr>
          <w:rFonts w:hint="eastAsia" w:ascii="宋体" w:hAnsi="宋体" w:cs="宋体"/>
          <w:szCs w:val="21"/>
        </w:rPr>
        <w:t>1.12.8供应商符合《三部门联合发布关于促进残疾人就业政府采购政策的通知》（财库〔2017〕141号）文件要求，并提供《残疾人福利性单位声明函》的，则视同小型、微型企业，享受第1.12.5条的扶持政策。残疾人福利性单位属于小型、微型企业的，不重复享受政策。</w:t>
      </w:r>
    </w:p>
    <w:p>
      <w:pPr>
        <w:spacing w:line="360" w:lineRule="auto"/>
        <w:ind w:firstLine="420" w:firstLineChars="200"/>
        <w:rPr>
          <w:rFonts w:ascii="宋体" w:hAnsi="宋体" w:cs="宋体"/>
          <w:szCs w:val="21"/>
        </w:rPr>
      </w:pPr>
      <w:r>
        <w:rPr>
          <w:rFonts w:hint="eastAsia" w:ascii="宋体" w:hAnsi="宋体" w:cs="宋体"/>
          <w:szCs w:val="21"/>
        </w:rPr>
        <w:t>1.12.9采购进口产品：见供应商须知前附表。政府采购进口产品原则不得限制潜在国产的同类产品参与磋商。</w:t>
      </w:r>
    </w:p>
    <w:p>
      <w:pPr>
        <w:spacing w:line="360" w:lineRule="auto"/>
        <w:jc w:val="left"/>
        <w:rPr>
          <w:rFonts w:ascii="宋体" w:hAnsi="宋体" w:cs="宋体"/>
          <w:b/>
          <w:bCs/>
          <w:szCs w:val="21"/>
        </w:rPr>
      </w:pPr>
      <w:r>
        <w:rPr>
          <w:rFonts w:hint="eastAsia" w:ascii="宋体" w:hAnsi="宋体" w:cs="宋体"/>
          <w:b/>
          <w:bCs/>
          <w:szCs w:val="21"/>
        </w:rPr>
        <w:t>1.13特别声明</w:t>
      </w:r>
      <w:bookmarkEnd w:id="136"/>
      <w:bookmarkEnd w:id="137"/>
      <w:bookmarkEnd w:id="138"/>
      <w:bookmarkEnd w:id="139"/>
      <w:bookmarkEnd w:id="140"/>
      <w:bookmarkEnd w:id="141"/>
    </w:p>
    <w:p>
      <w:pPr>
        <w:spacing w:line="360" w:lineRule="auto"/>
        <w:ind w:firstLine="420" w:firstLineChars="200"/>
        <w:rPr>
          <w:rFonts w:ascii="宋体" w:hAnsi="宋体" w:cs="宋体"/>
          <w:szCs w:val="21"/>
        </w:rPr>
      </w:pPr>
      <w:bookmarkStart w:id="142" w:name="_Toc301187611"/>
      <w:bookmarkStart w:id="143" w:name="_Toc303756376"/>
      <w:bookmarkStart w:id="144" w:name="_Toc301187615"/>
      <w:bookmarkStart w:id="145" w:name="_Toc359934571"/>
      <w:r>
        <w:rPr>
          <w:rFonts w:hint="eastAsia" w:ascii="宋体" w:hAnsi="宋体" w:cs="宋体"/>
          <w:szCs w:val="21"/>
        </w:rPr>
        <w:t>1.13.1单位负责人为同一人或者存在直接控股、管理关系的不同供应商，不得参加同一合同项下的政府采购活动。</w:t>
      </w:r>
    </w:p>
    <w:p>
      <w:pPr>
        <w:spacing w:line="360" w:lineRule="auto"/>
        <w:ind w:firstLine="420" w:firstLineChars="200"/>
        <w:rPr>
          <w:rFonts w:ascii="宋体" w:hAnsi="宋体" w:cs="宋体"/>
          <w:szCs w:val="21"/>
        </w:rPr>
      </w:pPr>
      <w:r>
        <w:rPr>
          <w:rFonts w:hint="eastAsia" w:ascii="宋体" w:hAnsi="宋体" w:cs="宋体"/>
          <w:szCs w:val="21"/>
        </w:rPr>
        <w:t>为采购项目提供整体设计、规范编制或者项目管理、监理、检测等服务的供应商，不得再参加该采购项目的其他采购活动。</w:t>
      </w:r>
    </w:p>
    <w:p>
      <w:pPr>
        <w:spacing w:line="360" w:lineRule="auto"/>
        <w:ind w:firstLine="420" w:firstLineChars="200"/>
        <w:rPr>
          <w:rFonts w:ascii="宋体" w:hAnsi="宋体" w:cs="宋体"/>
          <w:szCs w:val="21"/>
        </w:rPr>
      </w:pPr>
      <w:r>
        <w:rPr>
          <w:rFonts w:hint="eastAsia" w:ascii="宋体" w:hAnsi="宋体" w:cs="宋体"/>
          <w:szCs w:val="21"/>
        </w:rPr>
        <w:t>1.13.2采用最低磋商评审价法的采购项目，提供相同品牌产品的不同供应商参加同一合同项下磋商的，以其中通过资格审查、符合性审查且报价最低的供应商参加磋商评审；报价相同的，则按照技术优的供应商参加磋商评审。</w:t>
      </w:r>
    </w:p>
    <w:p>
      <w:pPr>
        <w:spacing w:line="360" w:lineRule="auto"/>
        <w:ind w:firstLine="420" w:firstLineChars="200"/>
        <w:rPr>
          <w:rFonts w:ascii="宋体" w:hAnsi="宋体" w:cs="宋体"/>
          <w:szCs w:val="21"/>
        </w:rPr>
      </w:pPr>
      <w:r>
        <w:rPr>
          <w:rFonts w:hint="eastAsia" w:ascii="宋体" w:hAnsi="宋体" w:cs="宋体"/>
          <w:szCs w:val="21"/>
        </w:rPr>
        <w:t>使用综合评分法的采购项目，提供相同品牌产品且通过资格审查、符合性审查的不同供应商参加同一合同项下磋商的，按一家供应商计算，评审后的得分最高的同品牌供应商获得成交供应商推荐资格；评审得分相同的，则按照报价最低的供应商获得成交供应商推荐资格。</w:t>
      </w:r>
    </w:p>
    <w:p>
      <w:pPr>
        <w:spacing w:line="360" w:lineRule="auto"/>
        <w:ind w:firstLine="420" w:firstLineChars="200"/>
        <w:rPr>
          <w:rFonts w:ascii="宋体" w:hAnsi="宋体" w:cs="宋体"/>
          <w:szCs w:val="21"/>
        </w:rPr>
      </w:pPr>
      <w:r>
        <w:rPr>
          <w:rFonts w:hint="eastAsia" w:ascii="宋体" w:hAnsi="宋体" w:cs="宋体"/>
          <w:szCs w:val="21"/>
        </w:rPr>
        <w:t>非单一产品采购项目，多家供应商提供的核心产品品牌相同的、或部分核心产品品牌相同金额占项目报价50%以上的，按前两款规定处理。</w:t>
      </w:r>
    </w:p>
    <w:p>
      <w:pPr>
        <w:spacing w:line="360" w:lineRule="auto"/>
        <w:ind w:firstLine="420" w:firstLineChars="200"/>
        <w:rPr>
          <w:rFonts w:ascii="宋体" w:hAnsi="宋体" w:cs="宋体"/>
          <w:szCs w:val="21"/>
        </w:rPr>
      </w:pPr>
      <w:r>
        <w:rPr>
          <w:rFonts w:hint="eastAsia" w:ascii="宋体" w:hAnsi="宋体" w:cs="宋体"/>
          <w:szCs w:val="21"/>
        </w:rPr>
        <w:t>1.13.3核心产品：见供应商须知前附表。非单一产品采购项目，采购人应当根据采购项目技术构成、产品价格比重等合同确定核心产品，并在竞争性磋商文件中标明</w:t>
      </w:r>
      <w:r>
        <w:rPr>
          <w:rFonts w:hint="eastAsia" w:ascii="宋体" w:hAnsi="宋体" w:cs="宋体"/>
          <w:bCs/>
          <w:szCs w:val="21"/>
        </w:rPr>
        <w:t>“★”标志的产品</w:t>
      </w:r>
      <w:r>
        <w:rPr>
          <w:rFonts w:hint="eastAsia" w:ascii="宋体" w:hAnsi="宋体" w:cs="宋体"/>
          <w:szCs w:val="21"/>
        </w:rPr>
        <w:t>。</w:t>
      </w:r>
    </w:p>
    <w:p>
      <w:pPr>
        <w:spacing w:line="360" w:lineRule="auto"/>
        <w:jc w:val="left"/>
        <w:rPr>
          <w:rFonts w:ascii="宋体" w:hAnsi="宋体" w:cs="宋体"/>
          <w:b/>
          <w:bCs/>
          <w:szCs w:val="21"/>
        </w:rPr>
      </w:pPr>
      <w:bookmarkStart w:id="146" w:name="_Toc499128564"/>
      <w:bookmarkStart w:id="147" w:name="_Toc24763"/>
      <w:bookmarkStart w:id="148" w:name="_Toc498327019"/>
      <w:r>
        <w:rPr>
          <w:rFonts w:hint="eastAsia" w:ascii="宋体" w:hAnsi="宋体" w:cs="宋体"/>
          <w:b/>
          <w:bCs/>
          <w:szCs w:val="21"/>
        </w:rPr>
        <w:t>1.14现场考察</w:t>
      </w:r>
      <w:bookmarkEnd w:id="146"/>
      <w:bookmarkEnd w:id="147"/>
      <w:bookmarkEnd w:id="148"/>
    </w:p>
    <w:p>
      <w:pPr>
        <w:spacing w:line="360" w:lineRule="auto"/>
        <w:ind w:firstLine="420" w:firstLineChars="200"/>
        <w:rPr>
          <w:rFonts w:ascii="宋体" w:hAnsi="宋体" w:cs="宋体"/>
          <w:szCs w:val="21"/>
        </w:rPr>
      </w:pPr>
      <w:r>
        <w:rPr>
          <w:rFonts w:hint="eastAsia" w:ascii="宋体" w:hAnsi="宋体" w:cs="宋体"/>
          <w:szCs w:val="21"/>
        </w:rPr>
        <w:t>1.14.1现场考察：见供应商须知。</w:t>
      </w:r>
    </w:p>
    <w:p>
      <w:pPr>
        <w:spacing w:line="360" w:lineRule="auto"/>
        <w:ind w:firstLine="420" w:firstLineChars="200"/>
        <w:rPr>
          <w:rFonts w:ascii="宋体" w:hAnsi="宋体" w:cs="宋体"/>
          <w:szCs w:val="21"/>
        </w:rPr>
      </w:pPr>
      <w:r>
        <w:rPr>
          <w:rFonts w:hint="eastAsia" w:ascii="宋体" w:hAnsi="宋体" w:cs="宋体"/>
          <w:szCs w:val="21"/>
        </w:rPr>
        <w:t>1.14.2为使供应商对本项目情况有所了解，供应商自行组织对项目所在场地及周围环境进行现场考察，以便获取由供应商自行负责编制响应文件和签订合同所需的一切资料。现场考察所发生的费用由供应商自行承担。</w:t>
      </w:r>
    </w:p>
    <w:p>
      <w:pPr>
        <w:spacing w:line="360" w:lineRule="auto"/>
        <w:ind w:firstLine="420" w:firstLineChars="200"/>
        <w:rPr>
          <w:rFonts w:ascii="宋体" w:hAnsi="宋体" w:cs="宋体"/>
          <w:szCs w:val="21"/>
        </w:rPr>
      </w:pPr>
      <w:r>
        <w:rPr>
          <w:rFonts w:hint="eastAsia" w:ascii="宋体" w:hAnsi="宋体" w:cs="宋体"/>
          <w:szCs w:val="21"/>
        </w:rPr>
        <w:t>1.14.3现场考察完毕，将认为供应商已了解现场情况，并充分理解了为之所承担的风险、义务和责任。</w:t>
      </w:r>
    </w:p>
    <w:p>
      <w:pPr>
        <w:spacing w:line="360" w:lineRule="auto"/>
        <w:ind w:firstLine="420" w:firstLineChars="200"/>
        <w:rPr>
          <w:rFonts w:ascii="宋体" w:hAnsi="宋体" w:cs="宋体"/>
          <w:szCs w:val="21"/>
        </w:rPr>
      </w:pPr>
      <w:r>
        <w:rPr>
          <w:rFonts w:hint="eastAsia" w:ascii="宋体" w:hAnsi="宋体" w:cs="宋体"/>
          <w:szCs w:val="21"/>
        </w:rPr>
        <w:t>1.14.4在现场考察过程中，供应商应承担在此期间所造成的人身伤害、财产损失或损坏的责任，无论何种原因所造成，采购人均不负责，如由此导致采购人承担责任的，采购人有权向供应商行使追偿权。</w:t>
      </w:r>
    </w:p>
    <w:p>
      <w:pPr>
        <w:spacing w:line="360" w:lineRule="auto"/>
        <w:ind w:firstLine="420" w:firstLineChars="200"/>
        <w:rPr>
          <w:rFonts w:ascii="宋体" w:hAnsi="宋体" w:cs="宋体"/>
          <w:szCs w:val="21"/>
        </w:rPr>
      </w:pPr>
      <w:r>
        <w:rPr>
          <w:rFonts w:hint="eastAsia" w:ascii="宋体" w:hAnsi="宋体" w:cs="宋体"/>
          <w:szCs w:val="21"/>
        </w:rPr>
        <w:t>1.14.5采购人联系方式见采购须知前附表。</w:t>
      </w:r>
    </w:p>
    <w:bookmarkEnd w:id="142"/>
    <w:p>
      <w:pPr>
        <w:pStyle w:val="4"/>
        <w:spacing w:line="360" w:lineRule="auto"/>
        <w:rPr>
          <w:rFonts w:ascii="宋体" w:hAnsi="宋体" w:cs="宋体"/>
          <w:sz w:val="24"/>
          <w:szCs w:val="24"/>
        </w:rPr>
      </w:pPr>
      <w:bookmarkStart w:id="149" w:name="_Toc499128565"/>
      <w:bookmarkStart w:id="150" w:name="_Toc498327020"/>
      <w:bookmarkStart w:id="151" w:name="_Toc3685"/>
      <w:bookmarkStart w:id="152" w:name="_Toc16789"/>
      <w:bookmarkStart w:id="153" w:name="_Toc19188"/>
      <w:r>
        <w:rPr>
          <w:rFonts w:hint="eastAsia" w:ascii="宋体" w:hAnsi="宋体" w:cs="宋体"/>
          <w:sz w:val="24"/>
          <w:szCs w:val="24"/>
        </w:rPr>
        <w:t>2．</w:t>
      </w:r>
      <w:bookmarkEnd w:id="143"/>
      <w:bookmarkEnd w:id="144"/>
      <w:bookmarkEnd w:id="145"/>
      <w:bookmarkEnd w:id="149"/>
      <w:bookmarkEnd w:id="150"/>
      <w:bookmarkEnd w:id="151"/>
      <w:r>
        <w:rPr>
          <w:rFonts w:hint="eastAsia" w:ascii="宋体" w:hAnsi="宋体" w:cs="宋体"/>
          <w:sz w:val="24"/>
          <w:szCs w:val="24"/>
        </w:rPr>
        <w:t>竞争性磋商文件</w:t>
      </w:r>
      <w:bookmarkEnd w:id="152"/>
      <w:bookmarkEnd w:id="153"/>
    </w:p>
    <w:p>
      <w:pPr>
        <w:spacing w:line="360" w:lineRule="auto"/>
        <w:jc w:val="left"/>
        <w:rPr>
          <w:rFonts w:ascii="宋体" w:hAnsi="宋体" w:cs="宋体"/>
          <w:b/>
          <w:bCs/>
          <w:szCs w:val="21"/>
        </w:rPr>
      </w:pPr>
      <w:bookmarkStart w:id="154" w:name="_Toc301187616"/>
      <w:bookmarkStart w:id="155" w:name="_Toc303756377"/>
      <w:bookmarkStart w:id="156" w:name="_Toc359934572"/>
      <w:bookmarkStart w:id="157" w:name="_Toc20146"/>
      <w:bookmarkStart w:id="158" w:name="_Toc499128566"/>
      <w:bookmarkStart w:id="159" w:name="_Toc498327021"/>
      <w:r>
        <w:rPr>
          <w:rFonts w:hint="eastAsia" w:ascii="宋体" w:hAnsi="宋体" w:cs="宋体"/>
          <w:b/>
          <w:bCs/>
          <w:szCs w:val="21"/>
        </w:rPr>
        <w:t>2.1竞争性磋商文件的构成</w:t>
      </w:r>
      <w:bookmarkEnd w:id="154"/>
      <w:bookmarkEnd w:id="155"/>
      <w:bookmarkEnd w:id="156"/>
      <w:bookmarkEnd w:id="157"/>
      <w:bookmarkEnd w:id="158"/>
      <w:bookmarkEnd w:id="159"/>
    </w:p>
    <w:p>
      <w:pPr>
        <w:spacing w:line="360" w:lineRule="auto"/>
        <w:ind w:firstLine="420" w:firstLineChars="200"/>
        <w:rPr>
          <w:rFonts w:ascii="宋体" w:hAnsi="宋体" w:cs="宋体"/>
          <w:szCs w:val="21"/>
        </w:rPr>
      </w:pPr>
      <w:bookmarkStart w:id="160" w:name="_Toc301187618"/>
      <w:r>
        <w:rPr>
          <w:rFonts w:hint="eastAsia" w:ascii="宋体" w:hAnsi="宋体" w:cs="宋体"/>
          <w:szCs w:val="21"/>
        </w:rPr>
        <w:t>2.1.1本竞争性磋商文件的内容由以下部分组成：</w:t>
      </w:r>
    </w:p>
    <w:p>
      <w:pPr>
        <w:spacing w:line="360" w:lineRule="auto"/>
        <w:ind w:left="178" w:leftChars="85" w:firstLine="210" w:firstLineChars="100"/>
        <w:rPr>
          <w:rFonts w:ascii="宋体" w:hAnsi="宋体" w:cs="宋体"/>
          <w:szCs w:val="21"/>
        </w:rPr>
      </w:pPr>
      <w:r>
        <w:rPr>
          <w:rFonts w:hint="eastAsia" w:ascii="宋体" w:hAnsi="宋体" w:cs="宋体"/>
          <w:szCs w:val="21"/>
        </w:rPr>
        <w:t>（1）</w:t>
      </w:r>
      <w:bookmarkEnd w:id="160"/>
      <w:r>
        <w:rPr>
          <w:rFonts w:hint="eastAsia" w:ascii="宋体" w:hAnsi="宋体" w:cs="宋体"/>
          <w:szCs w:val="21"/>
        </w:rPr>
        <w:t>磋商公告；</w:t>
      </w:r>
    </w:p>
    <w:p>
      <w:pPr>
        <w:spacing w:line="360" w:lineRule="auto"/>
        <w:ind w:left="178" w:leftChars="85" w:firstLine="210" w:firstLineChars="100"/>
        <w:rPr>
          <w:rFonts w:ascii="宋体" w:hAnsi="宋体" w:cs="宋体"/>
          <w:szCs w:val="21"/>
        </w:rPr>
      </w:pPr>
      <w:bookmarkStart w:id="161" w:name="_Toc301187619"/>
      <w:r>
        <w:rPr>
          <w:rFonts w:hint="eastAsia" w:ascii="宋体" w:hAnsi="宋体" w:cs="宋体"/>
          <w:szCs w:val="21"/>
        </w:rPr>
        <w:t>（2）</w:t>
      </w:r>
      <w:bookmarkEnd w:id="161"/>
      <w:r>
        <w:rPr>
          <w:rFonts w:hint="eastAsia" w:ascii="宋体" w:hAnsi="宋体" w:cs="宋体"/>
          <w:szCs w:val="21"/>
        </w:rPr>
        <w:t>采购需求；</w:t>
      </w:r>
    </w:p>
    <w:p>
      <w:pPr>
        <w:spacing w:line="360" w:lineRule="auto"/>
        <w:ind w:left="178" w:leftChars="85" w:firstLine="210" w:firstLineChars="100"/>
        <w:rPr>
          <w:rFonts w:ascii="宋体" w:hAnsi="宋体" w:cs="宋体"/>
          <w:szCs w:val="21"/>
        </w:rPr>
      </w:pPr>
      <w:bookmarkStart w:id="162" w:name="_Toc301187620"/>
      <w:r>
        <w:rPr>
          <w:rFonts w:hint="eastAsia" w:ascii="宋体" w:hAnsi="宋体" w:cs="宋体"/>
          <w:szCs w:val="21"/>
        </w:rPr>
        <w:t>（3）供应商须知</w:t>
      </w:r>
      <w:bookmarkEnd w:id="162"/>
      <w:r>
        <w:rPr>
          <w:rFonts w:hint="eastAsia" w:ascii="宋体" w:hAnsi="宋体" w:cs="宋体"/>
          <w:szCs w:val="21"/>
        </w:rPr>
        <w:t>；</w:t>
      </w:r>
    </w:p>
    <w:p>
      <w:pPr>
        <w:spacing w:line="360" w:lineRule="auto"/>
        <w:ind w:left="178" w:leftChars="85" w:firstLine="210" w:firstLineChars="100"/>
        <w:rPr>
          <w:rFonts w:ascii="宋体" w:hAnsi="宋体" w:cs="宋体"/>
          <w:szCs w:val="21"/>
        </w:rPr>
      </w:pPr>
      <w:bookmarkStart w:id="163" w:name="_Toc301187622"/>
      <w:bookmarkStart w:id="164" w:name="_Toc301187621"/>
      <w:r>
        <w:rPr>
          <w:rFonts w:hint="eastAsia" w:ascii="宋体" w:hAnsi="宋体" w:cs="宋体"/>
          <w:szCs w:val="21"/>
        </w:rPr>
        <w:t>（4）合同主要条款</w:t>
      </w:r>
      <w:bookmarkEnd w:id="163"/>
      <w:r>
        <w:rPr>
          <w:rFonts w:hint="eastAsia" w:ascii="宋体" w:hAnsi="宋体" w:cs="宋体"/>
          <w:szCs w:val="21"/>
        </w:rPr>
        <w:t>；</w:t>
      </w:r>
    </w:p>
    <w:p>
      <w:pPr>
        <w:spacing w:line="360" w:lineRule="auto"/>
        <w:ind w:left="178" w:leftChars="85" w:firstLine="210" w:firstLineChars="100"/>
        <w:rPr>
          <w:rFonts w:ascii="宋体" w:hAnsi="宋体" w:cs="宋体"/>
          <w:szCs w:val="21"/>
        </w:rPr>
      </w:pPr>
      <w:r>
        <w:rPr>
          <w:rFonts w:hint="eastAsia" w:ascii="宋体" w:hAnsi="宋体" w:cs="宋体"/>
          <w:szCs w:val="21"/>
        </w:rPr>
        <w:t>（5）</w:t>
      </w:r>
      <w:bookmarkEnd w:id="164"/>
      <w:r>
        <w:rPr>
          <w:rFonts w:hint="eastAsia" w:ascii="宋体" w:hAnsi="宋体" w:cs="宋体"/>
          <w:szCs w:val="21"/>
        </w:rPr>
        <w:t>响应文件格式；</w:t>
      </w:r>
    </w:p>
    <w:p>
      <w:pPr>
        <w:spacing w:line="360" w:lineRule="auto"/>
        <w:ind w:left="178" w:leftChars="85" w:firstLine="210" w:firstLineChars="100"/>
        <w:rPr>
          <w:rFonts w:ascii="宋体" w:hAnsi="宋体" w:cs="宋体"/>
          <w:szCs w:val="21"/>
        </w:rPr>
      </w:pPr>
      <w:bookmarkStart w:id="165" w:name="_Toc301187623"/>
      <w:r>
        <w:rPr>
          <w:rFonts w:hint="eastAsia" w:ascii="宋体" w:hAnsi="宋体" w:cs="宋体"/>
          <w:szCs w:val="21"/>
        </w:rPr>
        <w:t>（6）磋商评审办法及标准</w:t>
      </w:r>
      <w:bookmarkEnd w:id="165"/>
      <w:r>
        <w:rPr>
          <w:rFonts w:hint="eastAsia" w:ascii="宋体" w:hAnsi="宋体" w:cs="宋体"/>
          <w:szCs w:val="21"/>
        </w:rPr>
        <w:t>；</w:t>
      </w:r>
    </w:p>
    <w:p>
      <w:pPr>
        <w:spacing w:line="360" w:lineRule="auto"/>
        <w:ind w:left="178" w:leftChars="85" w:firstLine="210" w:firstLineChars="100"/>
        <w:rPr>
          <w:rFonts w:ascii="宋体" w:hAnsi="宋体" w:cs="宋体"/>
          <w:szCs w:val="21"/>
        </w:rPr>
      </w:pPr>
      <w:bookmarkStart w:id="166" w:name="_Toc301187624"/>
      <w:r>
        <w:rPr>
          <w:rFonts w:hint="eastAsia" w:ascii="宋体" w:hAnsi="宋体" w:cs="宋体"/>
          <w:szCs w:val="21"/>
        </w:rPr>
        <w:t>（7）本项目竞争性磋商文件的澄清、答复、修改、补充的内容</w:t>
      </w:r>
      <w:bookmarkEnd w:id="166"/>
      <w:r>
        <w:rPr>
          <w:rFonts w:hint="eastAsia" w:ascii="宋体" w:hAnsi="宋体" w:cs="宋体"/>
          <w:szCs w:val="21"/>
        </w:rPr>
        <w:t>。</w:t>
      </w:r>
    </w:p>
    <w:p>
      <w:pPr>
        <w:spacing w:line="360" w:lineRule="auto"/>
        <w:jc w:val="left"/>
        <w:rPr>
          <w:rFonts w:ascii="宋体" w:hAnsi="宋体" w:cs="宋体"/>
          <w:b/>
          <w:bCs/>
          <w:szCs w:val="21"/>
        </w:rPr>
      </w:pPr>
      <w:bookmarkStart w:id="167" w:name="_Toc303756378"/>
      <w:bookmarkStart w:id="168" w:name="_Toc359934573"/>
      <w:bookmarkStart w:id="169" w:name="_Toc301187625"/>
      <w:bookmarkStart w:id="170" w:name="_Toc498327022"/>
      <w:bookmarkStart w:id="171" w:name="_Toc27036"/>
      <w:bookmarkStart w:id="172" w:name="_Toc499128567"/>
      <w:r>
        <w:rPr>
          <w:rFonts w:hint="eastAsia" w:ascii="宋体" w:hAnsi="宋体" w:cs="宋体"/>
          <w:b/>
          <w:bCs/>
          <w:szCs w:val="21"/>
        </w:rPr>
        <w:t>2.2竞争性磋商文件的澄清</w:t>
      </w:r>
      <w:bookmarkEnd w:id="167"/>
      <w:bookmarkEnd w:id="168"/>
      <w:bookmarkEnd w:id="169"/>
      <w:r>
        <w:rPr>
          <w:rFonts w:hint="eastAsia" w:ascii="宋体" w:hAnsi="宋体" w:cs="宋体"/>
          <w:b/>
          <w:bCs/>
          <w:szCs w:val="21"/>
        </w:rPr>
        <w:t>、答疑、修改、补充</w:t>
      </w:r>
      <w:bookmarkEnd w:id="170"/>
      <w:bookmarkEnd w:id="171"/>
      <w:bookmarkEnd w:id="172"/>
    </w:p>
    <w:p>
      <w:pPr>
        <w:spacing w:line="360" w:lineRule="auto"/>
        <w:ind w:firstLine="420" w:firstLineChars="200"/>
        <w:rPr>
          <w:rFonts w:ascii="宋体" w:hAnsi="宋体" w:cs="宋体"/>
          <w:szCs w:val="21"/>
        </w:rPr>
      </w:pPr>
      <w:bookmarkStart w:id="173" w:name="_Toc301187626"/>
      <w:r>
        <w:rPr>
          <w:rFonts w:hint="eastAsia" w:ascii="宋体" w:hAnsi="宋体" w:cs="宋体"/>
          <w:szCs w:val="21"/>
        </w:rPr>
        <w:t>2.2.1竞争性磋商文件的澄清、答疑、修改、补充截止时间：见供应商须知前附表。供应商应仔细阅读和检查竞争性磋商文件的全部内容。如发现缺页或附件不全，应及时向采购人或采购代理机构提出，以便补齐。如有疑问，应当在竞争性磋商文件的澄清、答疑截止时间内以书面形式（包括信函、电报、传真等可以有形地表现所载内容的形式，下同）或电子文档形式，要求采购人或采购代理机构对竞争性磋商文件予以澄清、答疑、修改、补充。</w:t>
      </w:r>
      <w:bookmarkEnd w:id="173"/>
    </w:p>
    <w:p>
      <w:pPr>
        <w:spacing w:line="360" w:lineRule="auto"/>
        <w:ind w:firstLine="420" w:firstLineChars="200"/>
        <w:rPr>
          <w:rFonts w:ascii="宋体" w:hAnsi="宋体" w:cs="宋体"/>
          <w:szCs w:val="21"/>
        </w:rPr>
      </w:pPr>
      <w:bookmarkStart w:id="174" w:name="_Toc301187627"/>
      <w:r>
        <w:rPr>
          <w:rFonts w:hint="eastAsia" w:ascii="宋体" w:hAnsi="宋体" w:cs="宋体"/>
          <w:szCs w:val="21"/>
        </w:rPr>
        <w:t>2.2.2</w:t>
      </w:r>
      <w:bookmarkEnd w:id="174"/>
      <w:r>
        <w:rPr>
          <w:rFonts w:hint="eastAsia" w:ascii="宋体" w:hAnsi="宋体" w:cs="宋体"/>
          <w:szCs w:val="21"/>
        </w:rPr>
        <w:t>竞争性磋商文件的澄清、答疑、修改、补充发布地点：见供应商须知前附表。澄清、答疑、修改、补充的内容可能影响响应文件编制的，</w:t>
      </w:r>
      <w:r>
        <w:rPr>
          <w:rFonts w:hint="eastAsia" w:ascii="宋体" w:hAnsi="宋体" w:cs="宋体"/>
          <w:b/>
          <w:bCs/>
          <w:szCs w:val="21"/>
        </w:rPr>
        <w:t>采购人或者采购代理应当响应文件递交截止时间3天前，以电子文档形式在竞争性磋商文件的澄清、答疑、修改、补充发布地点发布</w:t>
      </w:r>
      <w:r>
        <w:rPr>
          <w:rFonts w:hint="eastAsia" w:ascii="宋体" w:hAnsi="宋体" w:cs="宋体"/>
          <w:szCs w:val="21"/>
        </w:rPr>
        <w:t>，供各供应商查询，无论因任何原因造成供应商无法查询或浏览，采购人和采购代理机构均不予以负责。澄清、答疑、修改、补充发出的时间距响应文件递交截止时间不足5天，采购人或采购代理机构应当顺延提交响应文件的截止时间。</w:t>
      </w:r>
    </w:p>
    <w:p>
      <w:pPr>
        <w:spacing w:line="360" w:lineRule="auto"/>
        <w:ind w:firstLine="420" w:firstLineChars="200"/>
        <w:rPr>
          <w:rFonts w:ascii="宋体" w:hAnsi="宋体" w:cs="宋体"/>
          <w:szCs w:val="21"/>
        </w:rPr>
      </w:pPr>
      <w:r>
        <w:rPr>
          <w:rFonts w:hint="eastAsia" w:ascii="宋体" w:hAnsi="宋体" w:cs="宋体"/>
          <w:szCs w:val="21"/>
        </w:rPr>
        <w:t>2.2.3澄清、答疑、修改、补充的内容作为竞争性磋商文件的组成部分，对各供应商起同等约束作用。</w:t>
      </w:r>
    </w:p>
    <w:p>
      <w:pPr>
        <w:pStyle w:val="4"/>
        <w:spacing w:line="360" w:lineRule="auto"/>
        <w:rPr>
          <w:rFonts w:ascii="宋体" w:hAnsi="宋体" w:cs="宋体"/>
          <w:sz w:val="24"/>
          <w:szCs w:val="24"/>
        </w:rPr>
      </w:pPr>
      <w:bookmarkStart w:id="175" w:name="_Toc7772"/>
      <w:bookmarkStart w:id="176" w:name="_Toc19870"/>
      <w:bookmarkStart w:id="177" w:name="_Toc499128568"/>
      <w:bookmarkStart w:id="178" w:name="_Toc30703"/>
      <w:bookmarkStart w:id="179" w:name="_Toc498327023"/>
      <w:r>
        <w:rPr>
          <w:rFonts w:hint="eastAsia" w:ascii="宋体" w:hAnsi="宋体" w:cs="宋体"/>
          <w:sz w:val="24"/>
          <w:szCs w:val="24"/>
        </w:rPr>
        <w:t>3．响应文件的组成</w:t>
      </w:r>
      <w:bookmarkEnd w:id="175"/>
      <w:bookmarkEnd w:id="176"/>
      <w:bookmarkEnd w:id="177"/>
      <w:bookmarkEnd w:id="178"/>
      <w:bookmarkEnd w:id="179"/>
    </w:p>
    <w:p>
      <w:pPr>
        <w:spacing w:line="360" w:lineRule="auto"/>
        <w:jc w:val="left"/>
        <w:rPr>
          <w:rFonts w:ascii="宋体" w:hAnsi="宋体" w:cs="宋体"/>
          <w:b/>
          <w:bCs/>
          <w:szCs w:val="21"/>
        </w:rPr>
      </w:pPr>
      <w:bookmarkStart w:id="180" w:name="_Toc25817"/>
      <w:bookmarkStart w:id="181" w:name="_Toc499128569"/>
      <w:bookmarkStart w:id="182" w:name="_Toc498327024"/>
      <w:r>
        <w:rPr>
          <w:rFonts w:hint="eastAsia" w:ascii="宋体" w:hAnsi="宋体" w:cs="宋体"/>
          <w:b/>
          <w:bCs/>
          <w:szCs w:val="21"/>
        </w:rPr>
        <w:t>3.1</w:t>
      </w:r>
      <w:bookmarkEnd w:id="180"/>
      <w:bookmarkEnd w:id="181"/>
      <w:bookmarkEnd w:id="182"/>
      <w:r>
        <w:rPr>
          <w:rFonts w:hint="eastAsia" w:ascii="宋体" w:hAnsi="宋体" w:cs="宋体"/>
          <w:b/>
          <w:bCs/>
          <w:szCs w:val="21"/>
        </w:rPr>
        <w:t>响应文件内容的组成</w:t>
      </w:r>
    </w:p>
    <w:p>
      <w:pPr>
        <w:spacing w:line="360" w:lineRule="auto"/>
        <w:ind w:firstLine="420" w:firstLineChars="200"/>
        <w:rPr>
          <w:rFonts w:ascii="宋体" w:hAnsi="宋体" w:cs="宋体"/>
          <w:szCs w:val="21"/>
        </w:rPr>
      </w:pPr>
      <w:r>
        <w:rPr>
          <w:rFonts w:hint="eastAsia" w:ascii="宋体" w:hAnsi="宋体" w:cs="宋体"/>
          <w:szCs w:val="21"/>
        </w:rPr>
        <w:t>响应文件由资格审查文件、商务技术文件、报价文件三部分组成。</w:t>
      </w:r>
    </w:p>
    <w:p>
      <w:pPr>
        <w:spacing w:line="360" w:lineRule="auto"/>
        <w:jc w:val="left"/>
        <w:rPr>
          <w:rFonts w:ascii="宋体" w:hAnsi="宋体" w:cs="宋体"/>
          <w:b/>
          <w:bCs/>
          <w:szCs w:val="21"/>
        </w:rPr>
      </w:pPr>
      <w:bookmarkStart w:id="183" w:name="_Toc303756381"/>
      <w:bookmarkStart w:id="184" w:name="_Toc301187633"/>
      <w:bookmarkStart w:id="185" w:name="_Toc17305"/>
      <w:bookmarkStart w:id="186" w:name="_Toc498327025"/>
      <w:bookmarkStart w:id="187" w:name="_Toc499128570"/>
      <w:bookmarkStart w:id="188" w:name="_Toc359934576"/>
      <w:r>
        <w:rPr>
          <w:rFonts w:hint="eastAsia" w:ascii="宋体" w:hAnsi="宋体" w:cs="宋体"/>
          <w:b/>
          <w:bCs/>
          <w:szCs w:val="21"/>
        </w:rPr>
        <w:t>3.2资格审查文件的组成</w:t>
      </w:r>
      <w:bookmarkEnd w:id="183"/>
      <w:bookmarkEnd w:id="184"/>
      <w:bookmarkEnd w:id="185"/>
      <w:bookmarkEnd w:id="186"/>
      <w:bookmarkEnd w:id="187"/>
      <w:bookmarkEnd w:id="188"/>
    </w:p>
    <w:p>
      <w:pPr>
        <w:spacing w:line="360" w:lineRule="auto"/>
        <w:ind w:firstLine="420" w:firstLineChars="200"/>
        <w:rPr>
          <w:rFonts w:ascii="宋体" w:hAnsi="宋体" w:cs="宋体"/>
          <w:szCs w:val="21"/>
        </w:rPr>
      </w:pPr>
      <w:bookmarkStart w:id="189" w:name="_Toc301187634"/>
      <w:r>
        <w:rPr>
          <w:rFonts w:hint="eastAsia" w:ascii="宋体" w:hAnsi="宋体" w:cs="宋体"/>
          <w:szCs w:val="21"/>
        </w:rPr>
        <w:t>3.2.1资格审查文件的组成：见供应商须知前附表</w:t>
      </w:r>
      <w:bookmarkEnd w:id="189"/>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3.2.2联合体磋商的各方供应商必须按照本条要求提供各自的资格审查证明文件。</w:t>
      </w:r>
    </w:p>
    <w:p>
      <w:pPr>
        <w:spacing w:line="360" w:lineRule="auto"/>
        <w:jc w:val="left"/>
        <w:rPr>
          <w:rFonts w:ascii="宋体" w:hAnsi="宋体" w:cs="宋体"/>
          <w:b/>
          <w:bCs/>
          <w:szCs w:val="21"/>
        </w:rPr>
      </w:pPr>
      <w:bookmarkStart w:id="190" w:name="_Toc499128571"/>
      <w:bookmarkStart w:id="191" w:name="_Toc301187635"/>
      <w:bookmarkStart w:id="192" w:name="_Toc498327026"/>
      <w:bookmarkStart w:id="193" w:name="_Toc303756382"/>
      <w:bookmarkStart w:id="194" w:name="_Toc359934577"/>
      <w:bookmarkStart w:id="195" w:name="_Toc12130"/>
      <w:r>
        <w:rPr>
          <w:rFonts w:hint="eastAsia" w:ascii="宋体" w:hAnsi="宋体" w:cs="宋体"/>
          <w:b/>
          <w:bCs/>
          <w:szCs w:val="21"/>
        </w:rPr>
        <w:t>3.3商务技术文件的组成</w:t>
      </w:r>
      <w:bookmarkEnd w:id="190"/>
      <w:bookmarkEnd w:id="191"/>
      <w:bookmarkEnd w:id="192"/>
      <w:bookmarkEnd w:id="193"/>
      <w:bookmarkEnd w:id="194"/>
      <w:bookmarkEnd w:id="195"/>
    </w:p>
    <w:p>
      <w:pPr>
        <w:spacing w:line="360" w:lineRule="auto"/>
        <w:ind w:firstLine="420" w:firstLineChars="200"/>
        <w:rPr>
          <w:rFonts w:ascii="宋体" w:hAnsi="宋体" w:cs="宋体"/>
          <w:szCs w:val="21"/>
        </w:rPr>
      </w:pPr>
      <w:bookmarkStart w:id="196" w:name="_Toc301187636"/>
      <w:r>
        <w:rPr>
          <w:rFonts w:hint="eastAsia" w:ascii="宋体" w:hAnsi="宋体" w:cs="宋体"/>
          <w:szCs w:val="21"/>
        </w:rPr>
        <w:t>3.3.1见供应商须知前附表</w:t>
      </w:r>
      <w:bookmarkEnd w:id="196"/>
      <w:r>
        <w:rPr>
          <w:rFonts w:hint="eastAsia" w:ascii="宋体" w:hAnsi="宋体" w:cs="宋体"/>
          <w:szCs w:val="21"/>
        </w:rPr>
        <w:t>。</w:t>
      </w:r>
    </w:p>
    <w:p>
      <w:pPr>
        <w:spacing w:line="360" w:lineRule="auto"/>
        <w:ind w:firstLine="422" w:firstLineChars="200"/>
        <w:rPr>
          <w:rFonts w:ascii="宋体" w:hAnsi="宋体" w:cs="宋体"/>
        </w:rPr>
      </w:pPr>
      <w:r>
        <w:rPr>
          <w:rFonts w:hint="eastAsia" w:ascii="宋体" w:hAnsi="宋体" w:cs="宋体"/>
          <w:b/>
          <w:bCs/>
          <w:szCs w:val="21"/>
        </w:rPr>
        <w:t>3.3.2必须提供采购商务响应表，并且符合相关要求。</w:t>
      </w:r>
    </w:p>
    <w:p>
      <w:pPr>
        <w:spacing w:line="360" w:lineRule="auto"/>
        <w:jc w:val="left"/>
        <w:rPr>
          <w:rFonts w:ascii="宋体" w:hAnsi="宋体" w:cs="宋体"/>
          <w:b/>
          <w:bCs/>
          <w:szCs w:val="21"/>
        </w:rPr>
      </w:pPr>
      <w:bookmarkStart w:id="197" w:name="_Toc301187637"/>
      <w:bookmarkStart w:id="198" w:name="_Toc14301"/>
      <w:bookmarkStart w:id="199" w:name="_Toc499128572"/>
      <w:bookmarkStart w:id="200" w:name="_Toc303756383"/>
      <w:bookmarkStart w:id="201" w:name="_Toc498327027"/>
      <w:bookmarkStart w:id="202" w:name="_Toc359934578"/>
      <w:r>
        <w:rPr>
          <w:rFonts w:hint="eastAsia" w:ascii="宋体" w:hAnsi="宋体" w:cs="宋体"/>
          <w:b/>
          <w:bCs/>
          <w:szCs w:val="21"/>
        </w:rPr>
        <w:t>3.4报价文件的组成</w:t>
      </w:r>
      <w:bookmarkEnd w:id="197"/>
      <w:bookmarkEnd w:id="198"/>
      <w:bookmarkEnd w:id="199"/>
      <w:bookmarkEnd w:id="200"/>
      <w:bookmarkEnd w:id="201"/>
      <w:bookmarkEnd w:id="202"/>
    </w:p>
    <w:p>
      <w:pPr>
        <w:spacing w:line="360" w:lineRule="auto"/>
        <w:ind w:firstLine="420" w:firstLineChars="200"/>
        <w:rPr>
          <w:rFonts w:ascii="宋体" w:hAnsi="宋体" w:cs="宋体"/>
          <w:szCs w:val="21"/>
        </w:rPr>
      </w:pPr>
      <w:bookmarkStart w:id="203" w:name="_Toc301187638"/>
      <w:r>
        <w:rPr>
          <w:rFonts w:hint="eastAsia" w:ascii="宋体" w:hAnsi="宋体" w:cs="宋体"/>
          <w:szCs w:val="21"/>
        </w:rPr>
        <w:t>见供应商须知前附表</w:t>
      </w:r>
      <w:bookmarkEnd w:id="203"/>
      <w:r>
        <w:rPr>
          <w:rFonts w:hint="eastAsia" w:ascii="宋体" w:hAnsi="宋体" w:cs="宋体"/>
          <w:szCs w:val="21"/>
        </w:rPr>
        <w:t>。</w:t>
      </w:r>
    </w:p>
    <w:p>
      <w:pPr>
        <w:pStyle w:val="4"/>
        <w:spacing w:line="360" w:lineRule="auto"/>
        <w:rPr>
          <w:rFonts w:ascii="宋体" w:hAnsi="宋体" w:cs="宋体"/>
          <w:szCs w:val="21"/>
        </w:rPr>
      </w:pPr>
      <w:bookmarkStart w:id="204" w:name="_Toc498327031"/>
      <w:bookmarkStart w:id="205" w:name="_Toc7625"/>
      <w:bookmarkStart w:id="206" w:name="_Toc359934575"/>
      <w:bookmarkStart w:id="207" w:name="_Toc499128576"/>
      <w:bookmarkStart w:id="208" w:name="_Toc303756380"/>
      <w:bookmarkStart w:id="209" w:name="_Toc22986"/>
      <w:bookmarkStart w:id="210" w:name="_Toc14736"/>
      <w:bookmarkStart w:id="211" w:name="_Toc301187631"/>
      <w:r>
        <w:rPr>
          <w:rFonts w:hint="eastAsia" w:ascii="宋体" w:hAnsi="宋体" w:cs="宋体"/>
          <w:sz w:val="24"/>
          <w:szCs w:val="24"/>
        </w:rPr>
        <w:t>4．响应文件的编制</w:t>
      </w:r>
      <w:bookmarkEnd w:id="204"/>
      <w:bookmarkEnd w:id="205"/>
      <w:bookmarkEnd w:id="206"/>
      <w:bookmarkEnd w:id="207"/>
      <w:bookmarkEnd w:id="208"/>
      <w:bookmarkEnd w:id="209"/>
      <w:bookmarkEnd w:id="210"/>
      <w:bookmarkEnd w:id="211"/>
    </w:p>
    <w:p>
      <w:pPr>
        <w:spacing w:line="360" w:lineRule="auto"/>
        <w:jc w:val="left"/>
        <w:rPr>
          <w:rFonts w:ascii="宋体" w:hAnsi="宋体" w:cs="宋体"/>
          <w:b/>
          <w:bCs/>
          <w:szCs w:val="21"/>
        </w:rPr>
      </w:pPr>
      <w:bookmarkStart w:id="212" w:name="_Toc2620"/>
      <w:bookmarkStart w:id="213" w:name="_Toc498327032"/>
      <w:bookmarkStart w:id="214" w:name="_Toc499128577"/>
      <w:r>
        <w:rPr>
          <w:rFonts w:hint="eastAsia" w:ascii="宋体" w:hAnsi="宋体" w:cs="宋体"/>
          <w:b/>
          <w:bCs/>
          <w:szCs w:val="21"/>
        </w:rPr>
        <w:t>4.1响应文件的编制要求</w:t>
      </w:r>
      <w:bookmarkEnd w:id="212"/>
      <w:bookmarkEnd w:id="213"/>
      <w:bookmarkEnd w:id="214"/>
    </w:p>
    <w:p>
      <w:pPr>
        <w:spacing w:line="360" w:lineRule="auto"/>
        <w:ind w:firstLine="420" w:firstLineChars="200"/>
        <w:rPr>
          <w:rFonts w:ascii="宋体" w:hAnsi="宋体" w:cs="宋体"/>
          <w:szCs w:val="21"/>
        </w:rPr>
      </w:pPr>
      <w:r>
        <w:rPr>
          <w:rFonts w:hint="eastAsia" w:ascii="宋体" w:hAnsi="宋体" w:cs="宋体"/>
          <w:szCs w:val="21"/>
        </w:rPr>
        <w:t>4.1.1供应商应当仔细阅读竞争性磋商文件的所有内容，按照竞争性磋商文件的要求制作响应文件，并对所提供的全部资料的真实性承担法律责任。</w:t>
      </w:r>
    </w:p>
    <w:p>
      <w:pPr>
        <w:spacing w:line="360" w:lineRule="auto"/>
        <w:ind w:firstLine="420" w:firstLineChars="200"/>
        <w:rPr>
          <w:rFonts w:ascii="宋体" w:hAnsi="宋体" w:cs="宋体"/>
          <w:szCs w:val="21"/>
        </w:rPr>
      </w:pPr>
      <w:r>
        <w:rPr>
          <w:rFonts w:hint="eastAsia" w:ascii="宋体" w:hAnsi="宋体" w:cs="宋体"/>
          <w:szCs w:val="21"/>
        </w:rPr>
        <w:t>4.1.2供应商按本竞争性磋商文件规定的格式和顺序编制响应文件，响应文件内容不完整、编排混乱导致响应文件被误读、漏读或者查找不到相关内容的，供应商自行承担相关责任。</w:t>
      </w:r>
    </w:p>
    <w:p>
      <w:pPr>
        <w:spacing w:line="360" w:lineRule="auto"/>
        <w:ind w:firstLine="420" w:firstLineChars="200"/>
        <w:rPr>
          <w:rFonts w:ascii="宋体" w:hAnsi="宋体" w:cs="宋体"/>
          <w:szCs w:val="21"/>
        </w:rPr>
      </w:pPr>
      <w:r>
        <w:rPr>
          <w:rFonts w:hint="eastAsia" w:ascii="宋体" w:hAnsi="宋体" w:cs="宋体"/>
          <w:szCs w:val="21"/>
        </w:rPr>
        <w:t>4.1.3供应商磋商所使用的资格、信誉、荣誉、业绩与企业认证必须为本法人所拥有。</w:t>
      </w:r>
    </w:p>
    <w:p>
      <w:pPr>
        <w:spacing w:line="360" w:lineRule="auto"/>
        <w:ind w:firstLine="420" w:firstLineChars="200"/>
        <w:rPr>
          <w:rFonts w:ascii="宋体" w:hAnsi="宋体" w:cs="宋体"/>
          <w:szCs w:val="21"/>
        </w:rPr>
      </w:pPr>
      <w:r>
        <w:rPr>
          <w:rFonts w:hint="eastAsia" w:ascii="宋体" w:hAnsi="宋体" w:cs="宋体"/>
          <w:szCs w:val="21"/>
        </w:rPr>
        <w:t>4.1.4 因磋商失败后重新磋商而造成响应文件的采购编号后缀不一致时，不影响响应文件的有效性。</w:t>
      </w:r>
    </w:p>
    <w:p>
      <w:pPr>
        <w:spacing w:line="360" w:lineRule="auto"/>
        <w:jc w:val="left"/>
        <w:rPr>
          <w:rFonts w:ascii="宋体" w:hAnsi="宋体" w:cs="宋体"/>
          <w:b/>
          <w:bCs/>
          <w:szCs w:val="21"/>
        </w:rPr>
      </w:pPr>
      <w:bookmarkStart w:id="215" w:name="_Toc498327033"/>
      <w:bookmarkStart w:id="216" w:name="_Toc499128578"/>
      <w:bookmarkStart w:id="217" w:name="_Toc359934580"/>
      <w:bookmarkStart w:id="218" w:name="_Toc22256"/>
      <w:r>
        <w:rPr>
          <w:rFonts w:hint="eastAsia" w:ascii="宋体" w:hAnsi="宋体" w:cs="宋体"/>
          <w:b/>
          <w:bCs/>
          <w:szCs w:val="21"/>
        </w:rPr>
        <w:t>4.2响应文件的格式</w:t>
      </w:r>
      <w:bookmarkEnd w:id="215"/>
      <w:bookmarkEnd w:id="216"/>
      <w:bookmarkEnd w:id="217"/>
      <w:bookmarkEnd w:id="218"/>
    </w:p>
    <w:p>
      <w:pPr>
        <w:spacing w:line="360" w:lineRule="auto"/>
        <w:ind w:firstLine="420" w:firstLineChars="200"/>
        <w:rPr>
          <w:rFonts w:ascii="宋体" w:hAnsi="宋体" w:cs="宋体"/>
          <w:szCs w:val="21"/>
        </w:rPr>
      </w:pPr>
      <w:r>
        <w:rPr>
          <w:rFonts w:hint="eastAsia" w:ascii="宋体" w:hAnsi="宋体" w:cs="宋体"/>
        </w:rPr>
        <w:t>响应文件</w:t>
      </w:r>
      <w:r>
        <w:rPr>
          <w:rFonts w:hint="eastAsia" w:ascii="宋体" w:hAnsi="宋体" w:cs="宋体"/>
          <w:szCs w:val="21"/>
        </w:rPr>
        <w:t>按照</w:t>
      </w:r>
      <w:r>
        <w:rPr>
          <w:rFonts w:hint="eastAsia" w:ascii="宋体" w:hAnsi="宋体" w:cs="宋体"/>
        </w:rPr>
        <w:t>竞争性磋商文件已提供的格式填写，无格式的自行设计</w:t>
      </w:r>
      <w:r>
        <w:rPr>
          <w:rFonts w:hint="eastAsia" w:ascii="宋体" w:hAnsi="宋体" w:cs="宋体"/>
          <w:szCs w:val="21"/>
        </w:rPr>
        <w:t>。</w:t>
      </w:r>
    </w:p>
    <w:p>
      <w:pPr>
        <w:spacing w:line="360" w:lineRule="auto"/>
        <w:jc w:val="left"/>
        <w:rPr>
          <w:rFonts w:ascii="宋体" w:hAnsi="宋体" w:cs="宋体"/>
          <w:b/>
          <w:bCs/>
          <w:szCs w:val="21"/>
        </w:rPr>
      </w:pPr>
      <w:bookmarkStart w:id="219" w:name="_Toc359934581"/>
      <w:bookmarkStart w:id="220" w:name="_Toc499128579"/>
      <w:bookmarkStart w:id="221" w:name="_Toc498327034"/>
      <w:bookmarkStart w:id="222" w:name="_Toc12636"/>
      <w:bookmarkStart w:id="223" w:name="_Toc301187639"/>
      <w:bookmarkStart w:id="224" w:name="_Toc303756384"/>
      <w:r>
        <w:rPr>
          <w:rFonts w:hint="eastAsia" w:ascii="宋体" w:hAnsi="宋体" w:cs="宋体"/>
          <w:b/>
          <w:bCs/>
          <w:szCs w:val="21"/>
        </w:rPr>
        <w:t>4.3响应文件的有效期</w:t>
      </w:r>
      <w:bookmarkEnd w:id="219"/>
      <w:bookmarkEnd w:id="220"/>
      <w:bookmarkEnd w:id="221"/>
      <w:bookmarkEnd w:id="222"/>
      <w:bookmarkEnd w:id="223"/>
      <w:bookmarkEnd w:id="224"/>
    </w:p>
    <w:p>
      <w:pPr>
        <w:spacing w:line="360" w:lineRule="auto"/>
        <w:ind w:firstLine="420" w:firstLineChars="200"/>
        <w:rPr>
          <w:rFonts w:ascii="宋体" w:hAnsi="宋体" w:cs="宋体"/>
          <w:szCs w:val="21"/>
        </w:rPr>
      </w:pPr>
      <w:bookmarkStart w:id="225" w:name="_Toc301187640"/>
      <w:r>
        <w:rPr>
          <w:rFonts w:hint="eastAsia" w:ascii="宋体" w:hAnsi="宋体" w:cs="宋体"/>
          <w:szCs w:val="21"/>
        </w:rPr>
        <w:t>4.3.1磋商有效期：见供应商须知前附表。磋商有效期从提交响应文件的截止之日起算。响应文件中承诺的磋商有效期应当不少于竞争性磋商文件中载明的磋商有效期。</w:t>
      </w:r>
      <w:bookmarkEnd w:id="225"/>
    </w:p>
    <w:p>
      <w:pPr>
        <w:spacing w:line="360" w:lineRule="auto"/>
        <w:ind w:firstLine="420" w:firstLineChars="200"/>
        <w:rPr>
          <w:rFonts w:ascii="宋体" w:hAnsi="宋体" w:cs="宋体"/>
          <w:szCs w:val="21"/>
        </w:rPr>
      </w:pPr>
      <w:bookmarkStart w:id="226" w:name="_Toc301187641"/>
      <w:r>
        <w:rPr>
          <w:rFonts w:hint="eastAsia" w:ascii="宋体" w:hAnsi="宋体" w:cs="宋体"/>
          <w:szCs w:val="21"/>
        </w:rPr>
        <w:t>4.3.2在特殊情况下，采购人可与供应商协商延长响应文件的有效期，这种要求和答复均以书面形式进行。</w:t>
      </w:r>
      <w:bookmarkEnd w:id="226"/>
    </w:p>
    <w:p>
      <w:pPr>
        <w:spacing w:line="360" w:lineRule="auto"/>
        <w:ind w:firstLine="420" w:firstLineChars="200"/>
        <w:rPr>
          <w:rFonts w:ascii="宋体" w:hAnsi="宋体" w:cs="宋体"/>
          <w:szCs w:val="21"/>
        </w:rPr>
      </w:pPr>
      <w:bookmarkStart w:id="227" w:name="_Toc301187642"/>
      <w:r>
        <w:rPr>
          <w:rFonts w:hint="eastAsia" w:ascii="宋体" w:hAnsi="宋体" w:cs="宋体"/>
          <w:szCs w:val="21"/>
        </w:rPr>
        <w:t>4.3.3</w:t>
      </w:r>
      <w:bookmarkEnd w:id="227"/>
      <w:r>
        <w:rPr>
          <w:rFonts w:hint="eastAsia" w:ascii="宋体" w:hAnsi="宋体" w:cs="宋体"/>
          <w:szCs w:val="21"/>
        </w:rPr>
        <w:t>供应商可拒绝接受延期要求，同意延长有效期的供应商不能修改响应文件。</w:t>
      </w:r>
    </w:p>
    <w:p>
      <w:pPr>
        <w:spacing w:line="360" w:lineRule="auto"/>
        <w:jc w:val="left"/>
        <w:rPr>
          <w:rFonts w:ascii="宋体" w:hAnsi="宋体" w:cs="宋体"/>
          <w:b/>
          <w:bCs/>
          <w:szCs w:val="21"/>
        </w:rPr>
      </w:pPr>
      <w:bookmarkStart w:id="228" w:name="_Toc498327035"/>
      <w:bookmarkStart w:id="229" w:name="_Toc301187659"/>
      <w:bookmarkStart w:id="230" w:name="_Toc359934583"/>
      <w:bookmarkStart w:id="231" w:name="_Toc499128580"/>
      <w:bookmarkStart w:id="232" w:name="_Toc10860"/>
      <w:bookmarkStart w:id="233" w:name="_Toc303756386"/>
      <w:r>
        <w:rPr>
          <w:rFonts w:hint="eastAsia" w:ascii="宋体" w:hAnsi="宋体" w:cs="宋体"/>
          <w:b/>
          <w:bCs/>
          <w:szCs w:val="21"/>
        </w:rPr>
        <w:t>4.4</w:t>
      </w:r>
      <w:bookmarkEnd w:id="228"/>
      <w:bookmarkEnd w:id="229"/>
      <w:bookmarkEnd w:id="230"/>
      <w:bookmarkEnd w:id="231"/>
      <w:bookmarkEnd w:id="232"/>
      <w:bookmarkEnd w:id="233"/>
      <w:r>
        <w:rPr>
          <w:rFonts w:hint="eastAsia" w:ascii="宋体" w:hAnsi="宋体" w:cs="宋体"/>
          <w:b/>
          <w:bCs/>
          <w:szCs w:val="21"/>
        </w:rPr>
        <w:t>磋商报价</w:t>
      </w:r>
    </w:p>
    <w:p>
      <w:pPr>
        <w:spacing w:line="360" w:lineRule="auto"/>
        <w:ind w:firstLine="420" w:firstLineChars="200"/>
        <w:rPr>
          <w:rFonts w:ascii="宋体" w:hAnsi="宋体" w:cs="宋体"/>
          <w:szCs w:val="21"/>
        </w:rPr>
      </w:pPr>
      <w:bookmarkStart w:id="234" w:name="_Toc301187660"/>
      <w:r>
        <w:rPr>
          <w:rFonts w:hint="eastAsia" w:ascii="宋体" w:hAnsi="宋体" w:cs="宋体"/>
          <w:szCs w:val="21"/>
        </w:rPr>
        <w:t>4.4.1磋商报价应当按照竞争性磋商文件中相关格式填写。</w:t>
      </w:r>
      <w:bookmarkEnd w:id="234"/>
    </w:p>
    <w:p>
      <w:pPr>
        <w:spacing w:line="360" w:lineRule="auto"/>
        <w:ind w:firstLine="420" w:firstLineChars="200"/>
        <w:rPr>
          <w:rFonts w:ascii="宋体" w:hAnsi="宋体" w:cs="宋体"/>
          <w:szCs w:val="21"/>
        </w:rPr>
      </w:pPr>
      <w:bookmarkStart w:id="235" w:name="_Toc301187661"/>
      <w:r>
        <w:rPr>
          <w:rFonts w:hint="eastAsia" w:ascii="宋体" w:hAnsi="宋体" w:cs="宋体"/>
          <w:szCs w:val="21"/>
        </w:rPr>
        <w:t>▲4.4.2</w:t>
      </w:r>
      <w:bookmarkEnd w:id="235"/>
      <w:bookmarkStart w:id="236" w:name="_Toc301187662"/>
      <w:r>
        <w:rPr>
          <w:rFonts w:hint="eastAsia" w:ascii="宋体" w:hAnsi="宋体" w:cs="宋体"/>
          <w:szCs w:val="21"/>
        </w:rPr>
        <w:t>磋商报价是履行合同的最终价格，人工费（包括工人工资、劳保福利、五险一金等费用）、材料费、机械使用费（含交通费）、管理、利润、规费、税金、专家评审费、招标代理费等一切费用。供应商在编写响应文件时应充分考虑各种风险因素，凡供应商漏项、漏报均认为已包含在综合单价报价中，结算时综合单价不予以调整，人员数量按实结算。</w:t>
      </w:r>
    </w:p>
    <w:p>
      <w:pPr>
        <w:spacing w:line="360" w:lineRule="auto"/>
        <w:ind w:firstLine="420" w:firstLineChars="200"/>
        <w:rPr>
          <w:rFonts w:ascii="宋体" w:hAnsi="宋体" w:cs="宋体"/>
          <w:szCs w:val="21"/>
        </w:rPr>
      </w:pPr>
      <w:r>
        <w:rPr>
          <w:rFonts w:hint="eastAsia" w:ascii="宋体" w:hAnsi="宋体" w:cs="宋体"/>
          <w:szCs w:val="21"/>
        </w:rPr>
        <w:t>4.4.3响应文件只允许有一个报价，有选择的或有条件的报价将不予接受。</w:t>
      </w:r>
      <w:bookmarkEnd w:id="236"/>
    </w:p>
    <w:p>
      <w:pPr>
        <w:spacing w:line="360" w:lineRule="auto"/>
        <w:jc w:val="left"/>
        <w:rPr>
          <w:rFonts w:ascii="宋体" w:hAnsi="宋体" w:cs="宋体"/>
          <w:b/>
          <w:bCs/>
          <w:szCs w:val="21"/>
        </w:rPr>
      </w:pPr>
      <w:bookmarkStart w:id="237" w:name="_Toc2163"/>
      <w:bookmarkStart w:id="238" w:name="_Toc301187644"/>
      <w:bookmarkStart w:id="239" w:name="_Toc303756385"/>
      <w:bookmarkStart w:id="240" w:name="_Toc499128581"/>
      <w:bookmarkStart w:id="241" w:name="_Toc359934582"/>
      <w:bookmarkStart w:id="242" w:name="_Toc498327036"/>
      <w:r>
        <w:rPr>
          <w:rFonts w:hint="eastAsia" w:ascii="宋体" w:hAnsi="宋体" w:cs="宋体"/>
          <w:b/>
          <w:bCs/>
          <w:szCs w:val="21"/>
        </w:rPr>
        <w:t>4.5</w:t>
      </w:r>
      <w:bookmarkEnd w:id="237"/>
      <w:bookmarkEnd w:id="238"/>
      <w:bookmarkEnd w:id="239"/>
      <w:bookmarkEnd w:id="240"/>
      <w:bookmarkEnd w:id="241"/>
      <w:bookmarkEnd w:id="242"/>
      <w:bookmarkStart w:id="243" w:name="_Toc303756387"/>
      <w:bookmarkStart w:id="244" w:name="_Toc359934584"/>
      <w:bookmarkStart w:id="245" w:name="_Toc301187663"/>
      <w:bookmarkStart w:id="246" w:name="_Toc11304"/>
      <w:bookmarkStart w:id="247" w:name="_Toc498327037"/>
      <w:bookmarkStart w:id="248" w:name="_Toc499128582"/>
      <w:r>
        <w:rPr>
          <w:rFonts w:hint="eastAsia" w:ascii="宋体" w:hAnsi="宋体" w:cs="宋体"/>
          <w:b/>
          <w:bCs/>
          <w:szCs w:val="21"/>
        </w:rPr>
        <w:t>响应文件的份数</w:t>
      </w:r>
      <w:bookmarkEnd w:id="243"/>
      <w:bookmarkEnd w:id="244"/>
      <w:bookmarkEnd w:id="245"/>
      <w:r>
        <w:rPr>
          <w:rFonts w:hint="eastAsia" w:ascii="宋体" w:hAnsi="宋体" w:cs="宋体"/>
          <w:b/>
          <w:bCs/>
          <w:szCs w:val="21"/>
        </w:rPr>
        <w:t>和签署</w:t>
      </w:r>
      <w:bookmarkEnd w:id="246"/>
      <w:bookmarkEnd w:id="247"/>
      <w:bookmarkEnd w:id="248"/>
    </w:p>
    <w:p>
      <w:pPr>
        <w:spacing w:line="360" w:lineRule="auto"/>
        <w:ind w:firstLine="420" w:firstLineChars="200"/>
        <w:rPr>
          <w:rFonts w:ascii="宋体" w:hAnsi="宋体" w:cs="宋体"/>
          <w:szCs w:val="21"/>
        </w:rPr>
      </w:pPr>
      <w:bookmarkStart w:id="249" w:name="_Toc301187668"/>
      <w:r>
        <w:rPr>
          <w:rFonts w:hint="eastAsia" w:ascii="宋体" w:hAnsi="宋体" w:cs="宋体"/>
          <w:szCs w:val="21"/>
        </w:rPr>
        <w:t>4.5.1响应文件的份数：见供应商须知前附表。未按要求提供的做无效标处理。</w:t>
      </w:r>
    </w:p>
    <w:p>
      <w:pPr>
        <w:spacing w:line="360" w:lineRule="auto"/>
        <w:ind w:firstLine="420" w:firstLineChars="200"/>
        <w:rPr>
          <w:rFonts w:ascii="宋体" w:hAnsi="宋体" w:cs="宋体"/>
          <w:b/>
          <w:bCs/>
          <w:szCs w:val="21"/>
        </w:rPr>
      </w:pPr>
      <w:r>
        <w:rPr>
          <w:rFonts w:hint="eastAsia" w:ascii="宋体" w:hAnsi="宋体" w:cs="宋体"/>
          <w:szCs w:val="21"/>
        </w:rPr>
        <w:t>4.5.2</w:t>
      </w:r>
      <w:r>
        <w:rPr>
          <w:rFonts w:hint="eastAsia" w:ascii="宋体" w:hAnsi="宋体" w:cs="宋体"/>
          <w:b/>
          <w:bCs/>
          <w:szCs w:val="21"/>
        </w:rPr>
        <w:t>电子响应文件所有加盖公章处则采用CA签章。CA签章流程详见（电子招投标操作指南网址：</w:t>
      </w:r>
      <w:r>
        <w:fldChar w:fldCharType="begin"/>
      </w:r>
      <w:r>
        <w:instrText xml:space="preserve"> HYPERLINK "http://www.qingtian.gov.cn/cgtb/zxdt/202002/t20200228_4372050.html）。" </w:instrText>
      </w:r>
      <w:r>
        <w:fldChar w:fldCharType="separate"/>
      </w:r>
      <w:r>
        <w:rPr>
          <w:rStyle w:val="50"/>
          <w:rFonts w:hint="eastAsia" w:ascii="宋体" w:hAnsi="宋体" w:cs="宋体"/>
          <w:b/>
          <w:bCs/>
          <w:color w:val="auto"/>
          <w:szCs w:val="21"/>
        </w:rPr>
        <w:t>http://www.qingtian.gov.cn/cgtb/zxdt/202002/t20200228_4372050.html）</w:t>
      </w:r>
      <w:r>
        <w:rPr>
          <w:rStyle w:val="50"/>
          <w:rFonts w:hint="eastAsia" w:ascii="宋体" w:hAnsi="宋体" w:cs="宋体"/>
          <w:color w:val="auto"/>
          <w:szCs w:val="21"/>
        </w:rPr>
        <w:t>。</w:t>
      </w:r>
      <w:r>
        <w:rPr>
          <w:rStyle w:val="50"/>
          <w:rFonts w:hint="eastAsia" w:ascii="宋体" w:hAnsi="宋体" w:cs="宋体"/>
          <w:color w:val="auto"/>
          <w:szCs w:val="21"/>
        </w:rPr>
        <w:fldChar w:fldCharType="end"/>
      </w:r>
    </w:p>
    <w:bookmarkEnd w:id="249"/>
    <w:p>
      <w:pPr>
        <w:spacing w:line="360" w:lineRule="auto"/>
        <w:jc w:val="left"/>
        <w:rPr>
          <w:rFonts w:ascii="宋体" w:hAnsi="宋体" w:cs="宋体"/>
          <w:b/>
          <w:bCs/>
          <w:szCs w:val="21"/>
        </w:rPr>
      </w:pPr>
      <w:bookmarkStart w:id="250" w:name="_Toc1230"/>
      <w:r>
        <w:rPr>
          <w:rFonts w:hint="eastAsia" w:ascii="宋体" w:hAnsi="宋体" w:cs="宋体"/>
          <w:b/>
          <w:bCs/>
          <w:szCs w:val="21"/>
        </w:rPr>
        <w:t>4.6</w:t>
      </w:r>
      <w:r>
        <w:rPr>
          <w:rFonts w:hint="eastAsia" w:ascii="宋体" w:hAnsi="宋体" w:cs="宋体"/>
          <w:b/>
          <w:bCs/>
          <w:szCs w:val="21"/>
        </w:rPr>
        <w:tab/>
      </w:r>
      <w:r>
        <w:rPr>
          <w:rFonts w:hint="eastAsia" w:ascii="宋体" w:hAnsi="宋体" w:cs="宋体"/>
          <w:b/>
          <w:bCs/>
          <w:szCs w:val="21"/>
        </w:rPr>
        <w:t>响应文件的形式和效力</w:t>
      </w:r>
      <w:bookmarkEnd w:id="250"/>
    </w:p>
    <w:p>
      <w:pPr>
        <w:spacing w:line="360" w:lineRule="auto"/>
        <w:ind w:firstLine="422" w:firstLineChars="200"/>
        <w:rPr>
          <w:rFonts w:ascii="宋体" w:hAnsi="宋体" w:cs="宋体"/>
          <w:b/>
          <w:bCs/>
          <w:szCs w:val="21"/>
        </w:rPr>
      </w:pPr>
      <w:r>
        <w:rPr>
          <w:rFonts w:hint="eastAsia" w:ascii="宋体" w:hAnsi="宋体" w:cs="宋体"/>
          <w:b/>
          <w:bCs/>
          <w:szCs w:val="21"/>
        </w:rPr>
        <w:t>4.6.1响应文件形式为电子响应文件。</w:t>
      </w:r>
    </w:p>
    <w:p>
      <w:pPr>
        <w:spacing w:line="360" w:lineRule="auto"/>
        <w:ind w:firstLine="422" w:firstLineChars="200"/>
        <w:rPr>
          <w:rFonts w:ascii="宋体" w:hAnsi="宋体" w:cs="宋体"/>
          <w:szCs w:val="21"/>
        </w:rPr>
      </w:pPr>
      <w:r>
        <w:rPr>
          <w:rFonts w:hint="eastAsia" w:ascii="宋体" w:hAnsi="宋体" w:cs="宋体"/>
          <w:b/>
          <w:bCs/>
          <w:szCs w:val="21"/>
        </w:rPr>
        <w:t>4.6.2本项目开评标均启用电子交易，在电子交易使用的电子响应文件具有相关法律效力。</w:t>
      </w:r>
    </w:p>
    <w:p>
      <w:pPr>
        <w:pStyle w:val="4"/>
        <w:spacing w:line="360" w:lineRule="auto"/>
        <w:rPr>
          <w:rFonts w:ascii="宋体" w:hAnsi="宋体" w:cs="宋体"/>
          <w:sz w:val="24"/>
          <w:szCs w:val="24"/>
        </w:rPr>
      </w:pPr>
      <w:bookmarkStart w:id="251" w:name="_Toc301187669"/>
      <w:bookmarkStart w:id="252" w:name="_Toc359934585"/>
      <w:bookmarkStart w:id="253" w:name="_Toc499128583"/>
      <w:bookmarkStart w:id="254" w:name="_Toc498327038"/>
      <w:bookmarkStart w:id="255" w:name="_Toc32744"/>
      <w:bookmarkStart w:id="256" w:name="_Toc303756388"/>
      <w:bookmarkStart w:id="257" w:name="_Toc28744"/>
      <w:bookmarkStart w:id="258" w:name="_Toc31581"/>
      <w:r>
        <w:rPr>
          <w:rFonts w:hint="eastAsia" w:ascii="宋体" w:hAnsi="宋体" w:cs="宋体"/>
          <w:sz w:val="24"/>
          <w:szCs w:val="24"/>
        </w:rPr>
        <w:t>5．响应文件的递交</w:t>
      </w:r>
      <w:bookmarkEnd w:id="251"/>
      <w:bookmarkEnd w:id="252"/>
      <w:bookmarkEnd w:id="253"/>
      <w:bookmarkEnd w:id="254"/>
      <w:bookmarkEnd w:id="255"/>
      <w:bookmarkEnd w:id="256"/>
      <w:bookmarkEnd w:id="257"/>
      <w:bookmarkEnd w:id="258"/>
    </w:p>
    <w:p>
      <w:pPr>
        <w:spacing w:line="360" w:lineRule="auto"/>
        <w:jc w:val="left"/>
        <w:rPr>
          <w:rFonts w:ascii="宋体" w:hAnsi="宋体" w:cs="宋体"/>
          <w:b/>
          <w:bCs/>
          <w:szCs w:val="21"/>
        </w:rPr>
      </w:pPr>
      <w:bookmarkStart w:id="259" w:name="_Toc499128584"/>
      <w:bookmarkStart w:id="260" w:name="_Toc359934586"/>
      <w:bookmarkStart w:id="261" w:name="_Toc498327039"/>
      <w:bookmarkStart w:id="262" w:name="_Toc17329"/>
      <w:bookmarkStart w:id="263" w:name="_Toc303756389"/>
      <w:bookmarkStart w:id="264" w:name="_Toc301187670"/>
      <w:r>
        <w:rPr>
          <w:rFonts w:hint="eastAsia" w:ascii="宋体" w:hAnsi="宋体" w:cs="宋体"/>
          <w:b/>
          <w:bCs/>
          <w:szCs w:val="21"/>
        </w:rPr>
        <w:t>5.1响应文件包装</w:t>
      </w:r>
      <w:bookmarkEnd w:id="259"/>
      <w:bookmarkEnd w:id="260"/>
      <w:bookmarkEnd w:id="261"/>
      <w:bookmarkEnd w:id="262"/>
      <w:bookmarkEnd w:id="263"/>
      <w:bookmarkEnd w:id="264"/>
    </w:p>
    <w:p>
      <w:pPr>
        <w:spacing w:line="360" w:lineRule="auto"/>
        <w:ind w:firstLine="420" w:firstLineChars="200"/>
        <w:rPr>
          <w:rFonts w:ascii="宋体" w:hAnsi="宋体" w:cs="宋体"/>
          <w:szCs w:val="21"/>
        </w:rPr>
      </w:pPr>
      <w:bookmarkStart w:id="265" w:name="_Toc301187673"/>
      <w:r>
        <w:rPr>
          <w:rFonts w:hint="eastAsia" w:ascii="宋体" w:hAnsi="宋体" w:cs="宋体"/>
          <w:szCs w:val="21"/>
        </w:rPr>
        <w:t>5.1.1</w:t>
      </w:r>
      <w:r>
        <w:rPr>
          <w:rFonts w:hint="eastAsia" w:ascii="宋体" w:hAnsi="宋体" w:cs="宋体"/>
          <w:b/>
          <w:bCs/>
          <w:szCs w:val="21"/>
        </w:rPr>
        <w:t>供应商应当按照资格审查文件、商务技术文件、报价文件三部分分别导入相应位置，各文件之间不得导错位置</w:t>
      </w:r>
      <w:r>
        <w:rPr>
          <w:rFonts w:hint="eastAsia" w:ascii="宋体" w:hAnsi="宋体" w:cs="宋体"/>
          <w:szCs w:val="21"/>
        </w:rPr>
        <w:t>。</w:t>
      </w:r>
    </w:p>
    <w:bookmarkEnd w:id="265"/>
    <w:p>
      <w:pPr>
        <w:spacing w:line="360" w:lineRule="auto"/>
        <w:ind w:firstLine="420" w:firstLineChars="200"/>
        <w:rPr>
          <w:rFonts w:ascii="宋体" w:hAnsi="宋体" w:cs="宋体"/>
          <w:szCs w:val="21"/>
        </w:rPr>
      </w:pPr>
      <w:bookmarkStart w:id="266" w:name="_Toc301187682"/>
      <w:bookmarkStart w:id="267" w:name="_Toc359934587"/>
      <w:bookmarkStart w:id="268" w:name="_Toc498327040"/>
      <w:bookmarkStart w:id="269" w:name="_Toc303756390"/>
      <w:bookmarkStart w:id="270" w:name="_Toc499128585"/>
      <w:bookmarkStart w:id="271" w:name="_Toc23054"/>
      <w:r>
        <w:rPr>
          <w:rFonts w:hint="eastAsia" w:ascii="宋体" w:hAnsi="宋体" w:cs="宋体"/>
          <w:szCs w:val="21"/>
        </w:rPr>
        <w:t>5.1.2</w:t>
      </w:r>
      <w:r>
        <w:rPr>
          <w:rFonts w:hint="eastAsia" w:ascii="宋体" w:hAnsi="宋体" w:cs="宋体"/>
          <w:b/>
          <w:bCs/>
          <w:szCs w:val="21"/>
        </w:rPr>
        <w:t>响应文件应当生成电子加密响应文件，生成电子加密响应文件具体操作详见（电子招投标操作指南网址：https://help.zcygov.cn/web/site_2/2018/12-28/2573.html）</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5.1.3</w:t>
      </w:r>
      <w:r>
        <w:rPr>
          <w:rFonts w:hint="eastAsia" w:ascii="宋体" w:hAnsi="宋体" w:cs="宋体"/>
          <w:b/>
          <w:bCs/>
          <w:szCs w:val="21"/>
        </w:rPr>
        <w:t>不予接收的响应文件情形</w:t>
      </w:r>
    </w:p>
    <w:p>
      <w:pPr>
        <w:spacing w:line="360" w:lineRule="auto"/>
        <w:ind w:firstLine="420" w:firstLineChars="20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1 \* GB2 </w:instrText>
      </w:r>
      <w:r>
        <w:rPr>
          <w:rFonts w:hint="eastAsia" w:ascii="宋体" w:hAnsi="宋体" w:cs="宋体"/>
          <w:szCs w:val="21"/>
        </w:rPr>
        <w:fldChar w:fldCharType="separate"/>
      </w:r>
      <w:r>
        <w:rPr>
          <w:rFonts w:hint="eastAsia" w:ascii="宋体" w:hAnsi="宋体" w:cs="宋体"/>
          <w:szCs w:val="21"/>
        </w:rPr>
        <w:t>⑴</w:t>
      </w:r>
      <w:r>
        <w:rPr>
          <w:rFonts w:hint="eastAsia" w:ascii="宋体" w:hAnsi="宋体" w:cs="宋体"/>
          <w:szCs w:val="21"/>
        </w:rPr>
        <w:fldChar w:fldCharType="end"/>
      </w:r>
      <w:r>
        <w:rPr>
          <w:rFonts w:hint="eastAsia" w:ascii="宋体" w:hAnsi="宋体" w:cs="宋体"/>
          <w:szCs w:val="21"/>
        </w:rPr>
        <w:t>磋商截止时间前未完成传输的电子响应文件；</w:t>
      </w:r>
    </w:p>
    <w:p>
      <w:pPr>
        <w:spacing w:line="360" w:lineRule="auto"/>
        <w:ind w:firstLine="420" w:firstLineChars="20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2 \* GB2 </w:instrText>
      </w:r>
      <w:r>
        <w:rPr>
          <w:rFonts w:hint="eastAsia" w:ascii="宋体" w:hAnsi="宋体" w:cs="宋体"/>
          <w:szCs w:val="21"/>
        </w:rPr>
        <w:fldChar w:fldCharType="separate"/>
      </w:r>
      <w:r>
        <w:rPr>
          <w:rFonts w:hint="eastAsia" w:ascii="宋体" w:hAnsi="宋体" w:cs="宋体"/>
          <w:szCs w:val="21"/>
        </w:rPr>
        <w:t>⑵</w:t>
      </w:r>
      <w:r>
        <w:rPr>
          <w:rFonts w:hint="eastAsia" w:ascii="宋体" w:hAnsi="宋体" w:cs="宋体"/>
          <w:szCs w:val="21"/>
        </w:rPr>
        <w:fldChar w:fldCharType="end"/>
      </w:r>
      <w:r>
        <w:rPr>
          <w:rFonts w:hint="eastAsia" w:ascii="宋体" w:hAnsi="宋体" w:cs="宋体"/>
          <w:szCs w:val="21"/>
        </w:rPr>
        <w:t>未生成加密的电子响应文件；</w:t>
      </w:r>
    </w:p>
    <w:p>
      <w:pPr>
        <w:spacing w:line="360" w:lineRule="auto"/>
        <w:ind w:firstLine="420" w:firstLineChars="200"/>
        <w:rPr>
          <w:rFonts w:ascii="宋体" w:hAnsi="宋体" w:cs="宋体"/>
          <w:szCs w:val="21"/>
        </w:rPr>
      </w:pPr>
      <w:r>
        <w:rPr>
          <w:rFonts w:hint="eastAsia" w:ascii="宋体" w:hAnsi="宋体" w:cs="宋体"/>
          <w:szCs w:val="21"/>
        </w:rPr>
        <w:t>⑶在规定时间内未解密的电子响应文件，或者解密不成功未提供备份响应文件的。</w:t>
      </w:r>
    </w:p>
    <w:p>
      <w:pPr>
        <w:spacing w:line="360" w:lineRule="auto"/>
        <w:ind w:firstLine="420" w:firstLineChars="200"/>
        <w:rPr>
          <w:rFonts w:ascii="宋体" w:hAnsi="宋体" w:cs="宋体"/>
          <w:szCs w:val="21"/>
        </w:rPr>
      </w:pPr>
      <w:r>
        <w:rPr>
          <w:rFonts w:hint="eastAsia" w:ascii="宋体" w:hAnsi="宋体" w:cs="宋体"/>
          <w:szCs w:val="21"/>
        </w:rPr>
        <w:t>5.1.4供应商所提交的响应文件不予退还。</w:t>
      </w:r>
    </w:p>
    <w:p>
      <w:pPr>
        <w:spacing w:line="360" w:lineRule="auto"/>
        <w:jc w:val="left"/>
        <w:rPr>
          <w:rFonts w:ascii="宋体" w:hAnsi="宋体" w:cs="宋体"/>
          <w:b/>
          <w:bCs/>
          <w:szCs w:val="21"/>
        </w:rPr>
      </w:pPr>
      <w:r>
        <w:rPr>
          <w:rFonts w:hint="eastAsia" w:ascii="宋体" w:hAnsi="宋体" w:cs="宋体"/>
          <w:b/>
          <w:bCs/>
          <w:szCs w:val="21"/>
        </w:rPr>
        <w:t>5.2响应文件修改和撤回</w:t>
      </w:r>
      <w:bookmarkEnd w:id="266"/>
      <w:bookmarkEnd w:id="267"/>
      <w:bookmarkEnd w:id="268"/>
      <w:bookmarkEnd w:id="269"/>
      <w:bookmarkEnd w:id="270"/>
      <w:bookmarkEnd w:id="271"/>
    </w:p>
    <w:p>
      <w:pPr>
        <w:spacing w:line="360" w:lineRule="auto"/>
        <w:ind w:firstLine="422" w:firstLineChars="200"/>
        <w:rPr>
          <w:rFonts w:ascii="宋体" w:hAnsi="宋体" w:cs="宋体"/>
          <w:b/>
          <w:bCs/>
          <w:szCs w:val="21"/>
        </w:rPr>
      </w:pPr>
      <w:bookmarkStart w:id="272" w:name="_Toc301187684"/>
      <w:bookmarkStart w:id="273" w:name="_Toc21854"/>
      <w:bookmarkStart w:id="274" w:name="_Toc303756391"/>
      <w:bookmarkStart w:id="275" w:name="_Toc498327041"/>
      <w:bookmarkStart w:id="276" w:name="_Toc359934588"/>
      <w:bookmarkStart w:id="277" w:name="_Toc499128586"/>
      <w:r>
        <w:rPr>
          <w:rFonts w:hint="eastAsia" w:ascii="宋体" w:hAnsi="宋体" w:cs="宋体"/>
          <w:b/>
          <w:bCs/>
          <w:szCs w:val="21"/>
        </w:rPr>
        <w:t>5.2.1供应商在磋商截止时间之前，</w:t>
      </w:r>
      <w:bookmarkEnd w:id="272"/>
      <w:bookmarkEnd w:id="273"/>
      <w:bookmarkEnd w:id="274"/>
      <w:bookmarkEnd w:id="275"/>
      <w:bookmarkEnd w:id="276"/>
      <w:bookmarkEnd w:id="277"/>
      <w:r>
        <w:rPr>
          <w:rFonts w:hint="eastAsia" w:ascii="宋体" w:hAnsi="宋体" w:cs="宋体"/>
          <w:b/>
          <w:bCs/>
          <w:szCs w:val="21"/>
        </w:rPr>
        <w:t>可以对已提交的电子响应文件进行补充、修改或撤回。补充、修改后的电子响应文件应当重新生成加密的电子响应文件并重新上传提交。</w:t>
      </w:r>
    </w:p>
    <w:p>
      <w:pPr>
        <w:spacing w:line="360" w:lineRule="auto"/>
        <w:ind w:firstLine="422" w:firstLineChars="200"/>
        <w:rPr>
          <w:rFonts w:ascii="宋体" w:hAnsi="宋体" w:cs="宋体"/>
          <w:b/>
          <w:bCs/>
          <w:szCs w:val="21"/>
        </w:rPr>
      </w:pPr>
      <w:r>
        <w:rPr>
          <w:rFonts w:hint="eastAsia" w:ascii="宋体" w:hAnsi="宋体" w:cs="宋体"/>
          <w:b/>
          <w:bCs/>
          <w:szCs w:val="21"/>
        </w:rPr>
        <w:t>5.2.2补充、修改后重新提交的电子响应文件应按竞争性磋商文件的规定编制、导入、加密和提交。</w:t>
      </w:r>
    </w:p>
    <w:p>
      <w:pPr>
        <w:spacing w:line="360" w:lineRule="auto"/>
        <w:ind w:firstLine="422" w:firstLineChars="200"/>
        <w:rPr>
          <w:rFonts w:ascii="宋体" w:hAnsi="宋体" w:cs="宋体"/>
          <w:b/>
          <w:bCs/>
          <w:szCs w:val="21"/>
        </w:rPr>
      </w:pPr>
      <w:r>
        <w:rPr>
          <w:rFonts w:hint="eastAsia" w:ascii="宋体" w:hAnsi="宋体" w:cs="宋体"/>
          <w:b/>
          <w:bCs/>
          <w:szCs w:val="21"/>
        </w:rPr>
        <w:t>5.2.2磋商截止时间后，供应商不得修改、撤回已提交的电子响应文件。</w:t>
      </w:r>
    </w:p>
    <w:p>
      <w:pPr>
        <w:spacing w:line="360" w:lineRule="auto"/>
        <w:jc w:val="left"/>
        <w:rPr>
          <w:rFonts w:ascii="宋体" w:hAnsi="宋体" w:cs="宋体"/>
          <w:b/>
          <w:bCs/>
          <w:szCs w:val="21"/>
        </w:rPr>
      </w:pPr>
      <w:r>
        <w:rPr>
          <w:rFonts w:hint="eastAsia" w:ascii="宋体" w:hAnsi="宋体" w:cs="宋体"/>
          <w:b/>
          <w:bCs/>
          <w:szCs w:val="21"/>
        </w:rPr>
        <w:t>5.3响应文件提交地点和截止时间</w:t>
      </w:r>
    </w:p>
    <w:p>
      <w:pPr>
        <w:spacing w:line="360" w:lineRule="auto"/>
        <w:ind w:firstLine="420" w:firstLineChars="200"/>
        <w:rPr>
          <w:rFonts w:ascii="宋体" w:hAnsi="宋体" w:cs="宋体"/>
          <w:szCs w:val="21"/>
        </w:rPr>
      </w:pPr>
      <w:bookmarkStart w:id="278" w:name="_Toc301187685"/>
      <w:r>
        <w:rPr>
          <w:rFonts w:hint="eastAsia" w:ascii="宋体" w:hAnsi="宋体" w:cs="宋体"/>
          <w:szCs w:val="21"/>
        </w:rPr>
        <w:t>5.3.1</w:t>
      </w:r>
      <w:bookmarkEnd w:id="278"/>
      <w:r>
        <w:rPr>
          <w:rFonts w:hint="eastAsia" w:ascii="宋体" w:hAnsi="宋体" w:cs="宋体"/>
          <w:szCs w:val="21"/>
        </w:rPr>
        <w:t>响应文件提交地点：见供应商须知前附表。</w:t>
      </w:r>
      <w:bookmarkStart w:id="279" w:name="_Toc301187686"/>
    </w:p>
    <w:p>
      <w:pPr>
        <w:spacing w:line="360" w:lineRule="auto"/>
        <w:ind w:firstLine="420" w:firstLineChars="200"/>
        <w:rPr>
          <w:rFonts w:ascii="宋体" w:hAnsi="宋体" w:cs="宋体"/>
          <w:szCs w:val="21"/>
        </w:rPr>
      </w:pPr>
      <w:r>
        <w:rPr>
          <w:rFonts w:hint="eastAsia" w:ascii="宋体" w:hAnsi="宋体" w:cs="宋体"/>
          <w:szCs w:val="21"/>
        </w:rPr>
        <w:t>5.3.2响应文件提交截止时间：见供应商须知前附表。</w:t>
      </w:r>
      <w:bookmarkEnd w:id="279"/>
    </w:p>
    <w:p>
      <w:pPr>
        <w:spacing w:line="360" w:lineRule="auto"/>
        <w:jc w:val="left"/>
        <w:rPr>
          <w:rFonts w:ascii="宋体" w:hAnsi="宋体" w:cs="宋体"/>
          <w:b/>
          <w:bCs/>
          <w:szCs w:val="21"/>
        </w:rPr>
      </w:pPr>
      <w:bookmarkStart w:id="280" w:name="_Toc498327042"/>
      <w:bookmarkStart w:id="281" w:name="_Toc499128587"/>
      <w:bookmarkStart w:id="282" w:name="_Toc17127"/>
      <w:r>
        <w:rPr>
          <w:rFonts w:hint="eastAsia" w:ascii="宋体" w:hAnsi="宋体" w:cs="宋体"/>
          <w:b/>
          <w:bCs/>
          <w:szCs w:val="21"/>
        </w:rPr>
        <w:t>5.4响应文件澄清、说明、补正</w:t>
      </w:r>
      <w:bookmarkEnd w:id="280"/>
      <w:bookmarkEnd w:id="281"/>
      <w:bookmarkEnd w:id="282"/>
    </w:p>
    <w:p>
      <w:pPr>
        <w:spacing w:line="360" w:lineRule="auto"/>
        <w:ind w:firstLine="420" w:firstLineChars="200"/>
        <w:rPr>
          <w:rFonts w:ascii="宋体" w:hAnsi="宋体" w:cs="宋体"/>
          <w:szCs w:val="21"/>
        </w:rPr>
      </w:pPr>
      <w:bookmarkStart w:id="283" w:name="_Toc19403"/>
      <w:bookmarkStart w:id="284" w:name="_Toc301187688"/>
      <w:bookmarkStart w:id="285" w:name="_Toc359934589"/>
      <w:bookmarkStart w:id="286" w:name="_Toc499128588"/>
      <w:bookmarkStart w:id="287" w:name="_Toc303756392"/>
      <w:bookmarkStart w:id="288" w:name="_Toc498327043"/>
      <w:r>
        <w:rPr>
          <w:rFonts w:hint="eastAsia" w:ascii="宋体" w:hAnsi="宋体" w:cs="宋体"/>
          <w:szCs w:val="21"/>
        </w:rPr>
        <w:t>5.4.1对于响应文件中含义不明确、同类问题表述不一致或者有明显文字和计算错误的内容，磋商小组通过政采云平台要求供应商作出必要的澄清、说明或者补正。</w:t>
      </w:r>
    </w:p>
    <w:p>
      <w:pPr>
        <w:spacing w:line="360" w:lineRule="auto"/>
        <w:ind w:firstLine="420" w:firstLineChars="200"/>
        <w:rPr>
          <w:rFonts w:ascii="宋体" w:hAnsi="宋体" w:cs="宋体"/>
          <w:szCs w:val="21"/>
        </w:rPr>
      </w:pPr>
      <w:r>
        <w:rPr>
          <w:rFonts w:hint="eastAsia" w:ascii="宋体" w:hAnsi="宋体" w:cs="宋体"/>
          <w:szCs w:val="21"/>
        </w:rPr>
        <w:t>5.4.2供应商的澄清、说明或者补正均采用政采云平台交换数据电文，</w:t>
      </w:r>
      <w:r>
        <w:rPr>
          <w:rFonts w:hint="eastAsia" w:ascii="宋体" w:hAnsi="宋体" w:cs="宋体"/>
          <w:b/>
          <w:bCs/>
          <w:szCs w:val="21"/>
        </w:rPr>
        <w:t>供应商提交的澄清、说明或补正的时间为30分钟（供应商务必在线等待，及时在线澄清、说明或补正）</w:t>
      </w:r>
      <w:r>
        <w:rPr>
          <w:rFonts w:hint="eastAsia" w:ascii="宋体" w:hAnsi="宋体" w:cs="宋体"/>
          <w:szCs w:val="21"/>
        </w:rPr>
        <w:t>。供应商的澄清、说明或者补正不得超出竞争性磋商文件的范围或者改变响应文件的实质性内容。</w:t>
      </w:r>
    </w:p>
    <w:p>
      <w:pPr>
        <w:spacing w:line="360" w:lineRule="auto"/>
        <w:ind w:firstLine="420" w:firstLineChars="200"/>
        <w:rPr>
          <w:rFonts w:ascii="宋体" w:hAnsi="宋体" w:cs="宋体"/>
          <w:szCs w:val="21"/>
        </w:rPr>
      </w:pPr>
      <w:r>
        <w:rPr>
          <w:rFonts w:hint="eastAsia" w:ascii="宋体" w:hAnsi="宋体" w:cs="宋体"/>
          <w:szCs w:val="21"/>
        </w:rPr>
        <w:t>5.4.3不接受供应商主动对响应文件的澄清、说明或者补正。</w:t>
      </w:r>
    </w:p>
    <w:p>
      <w:pPr>
        <w:pStyle w:val="4"/>
        <w:spacing w:line="360" w:lineRule="auto"/>
        <w:rPr>
          <w:rFonts w:ascii="宋体" w:hAnsi="宋体" w:cs="宋体"/>
          <w:sz w:val="24"/>
          <w:szCs w:val="24"/>
        </w:rPr>
      </w:pPr>
      <w:bookmarkStart w:id="289" w:name="_Toc4951"/>
      <w:bookmarkStart w:id="290" w:name="_Toc21839"/>
      <w:r>
        <w:rPr>
          <w:rFonts w:hint="eastAsia" w:ascii="宋体" w:hAnsi="宋体" w:cs="宋体"/>
          <w:sz w:val="24"/>
          <w:szCs w:val="24"/>
        </w:rPr>
        <w:t>6．磋商无效情形</w:t>
      </w:r>
      <w:bookmarkEnd w:id="283"/>
      <w:bookmarkEnd w:id="284"/>
      <w:bookmarkEnd w:id="285"/>
      <w:bookmarkEnd w:id="286"/>
      <w:bookmarkEnd w:id="287"/>
      <w:bookmarkEnd w:id="288"/>
      <w:bookmarkEnd w:id="289"/>
      <w:bookmarkEnd w:id="290"/>
    </w:p>
    <w:p>
      <w:pPr>
        <w:spacing w:line="360" w:lineRule="auto"/>
        <w:ind w:firstLine="420" w:firstLineChars="200"/>
        <w:rPr>
          <w:rFonts w:ascii="宋体" w:hAnsi="宋体" w:cs="宋体"/>
          <w:szCs w:val="21"/>
        </w:rPr>
      </w:pPr>
      <w:bookmarkStart w:id="291" w:name="_Toc301187689"/>
      <w:r>
        <w:rPr>
          <w:rFonts w:hint="eastAsia" w:ascii="宋体" w:hAnsi="宋体" w:cs="宋体"/>
          <w:szCs w:val="21"/>
        </w:rPr>
        <w:t>实质上没有响应竞争性磋商文件要求的磋商将被视为无效标。</w:t>
      </w:r>
      <w:bookmarkEnd w:id="291"/>
    </w:p>
    <w:p>
      <w:pPr>
        <w:spacing w:line="360" w:lineRule="auto"/>
        <w:jc w:val="left"/>
        <w:rPr>
          <w:rFonts w:ascii="宋体" w:hAnsi="宋体" w:cs="宋体"/>
          <w:b/>
          <w:bCs/>
          <w:szCs w:val="21"/>
        </w:rPr>
      </w:pPr>
      <w:bookmarkStart w:id="292" w:name="_Toc498327044"/>
      <w:bookmarkStart w:id="293" w:name="_Toc499128589"/>
      <w:bookmarkStart w:id="294" w:name="_Toc11477"/>
      <w:bookmarkStart w:id="295" w:name="_Toc301187690"/>
      <w:r>
        <w:rPr>
          <w:rFonts w:hint="eastAsia" w:ascii="宋体" w:hAnsi="宋体" w:cs="宋体"/>
          <w:b/>
          <w:bCs/>
          <w:szCs w:val="21"/>
        </w:rPr>
        <w:t>6.1在符合性审查时，如发现下列情形之一的，响应文件将被视为无效</w:t>
      </w:r>
      <w:bookmarkEnd w:id="292"/>
      <w:bookmarkEnd w:id="293"/>
      <w:bookmarkEnd w:id="294"/>
      <w:bookmarkEnd w:id="295"/>
    </w:p>
    <w:p>
      <w:pPr>
        <w:spacing w:line="360" w:lineRule="auto"/>
        <w:ind w:firstLine="420" w:firstLineChars="200"/>
        <w:rPr>
          <w:rFonts w:ascii="宋体" w:hAnsi="宋体" w:cs="宋体"/>
          <w:szCs w:val="21"/>
        </w:rPr>
      </w:pPr>
      <w:bookmarkStart w:id="296" w:name="_Toc301187693"/>
      <w:r>
        <w:rPr>
          <w:rFonts w:hint="eastAsia" w:ascii="宋体" w:hAnsi="宋体" w:cs="宋体"/>
          <w:szCs w:val="21"/>
        </w:rPr>
        <w:t>（1）供应商未按竞争性磋商文件规定进行签章的；</w:t>
      </w:r>
      <w:bookmarkEnd w:id="296"/>
    </w:p>
    <w:p>
      <w:pPr>
        <w:spacing w:line="360" w:lineRule="auto"/>
        <w:ind w:firstLine="420" w:firstLineChars="200"/>
        <w:rPr>
          <w:rFonts w:ascii="宋体" w:hAnsi="宋体" w:cs="宋体"/>
          <w:szCs w:val="21"/>
        </w:rPr>
      </w:pPr>
      <w:bookmarkStart w:id="297" w:name="_Toc301187695"/>
      <w:r>
        <w:rPr>
          <w:rFonts w:hint="eastAsia" w:ascii="宋体" w:hAnsi="宋体" w:cs="宋体"/>
          <w:szCs w:val="21"/>
        </w:rPr>
        <w:t>（2）响应文件未按竞争性磋商文件要求提供相关内容的，或者内容虚假的；</w:t>
      </w:r>
      <w:bookmarkEnd w:id="297"/>
    </w:p>
    <w:p>
      <w:pPr>
        <w:spacing w:line="360" w:lineRule="auto"/>
        <w:ind w:firstLine="420" w:firstLineChars="200"/>
        <w:rPr>
          <w:rFonts w:ascii="宋体" w:hAnsi="宋体" w:cs="宋体"/>
          <w:szCs w:val="21"/>
        </w:rPr>
      </w:pPr>
      <w:bookmarkStart w:id="298" w:name="_Toc301187696"/>
      <w:r>
        <w:rPr>
          <w:rFonts w:hint="eastAsia" w:ascii="宋体" w:hAnsi="宋体" w:cs="宋体"/>
          <w:szCs w:val="21"/>
        </w:rPr>
        <w:t>（3）响应文件的实质性内容未使用中文表述、意思表述不明确、前后矛盾或者使用计量单位不符合竞争性磋商文件要求的（经磋商小组认定并允许其当场更正的笔误除外）</w:t>
      </w:r>
      <w:bookmarkEnd w:id="298"/>
      <w:r>
        <w:rPr>
          <w:rFonts w:hint="eastAsia" w:ascii="宋体" w:hAnsi="宋体" w:cs="宋体"/>
          <w:szCs w:val="21"/>
        </w:rPr>
        <w:t>；</w:t>
      </w:r>
    </w:p>
    <w:p>
      <w:pPr>
        <w:spacing w:line="360" w:lineRule="auto"/>
        <w:ind w:firstLine="422" w:firstLineChars="200"/>
        <w:rPr>
          <w:rFonts w:ascii="宋体" w:hAnsi="宋体" w:cs="宋体"/>
          <w:b/>
          <w:bCs/>
          <w:szCs w:val="21"/>
        </w:rPr>
      </w:pPr>
      <w:bookmarkStart w:id="299" w:name="_Toc301187697"/>
      <w:r>
        <w:rPr>
          <w:rFonts w:hint="eastAsia" w:ascii="宋体" w:hAnsi="宋体" w:cs="宋体"/>
          <w:b/>
          <w:bCs/>
          <w:szCs w:val="21"/>
        </w:rPr>
        <w:t>（4）磋商有效期、工期、质保期等商务条款不能满足竞争性磋商文件要求的；</w:t>
      </w:r>
      <w:bookmarkEnd w:id="299"/>
    </w:p>
    <w:p>
      <w:pPr>
        <w:spacing w:line="360" w:lineRule="auto"/>
        <w:ind w:firstLine="420" w:firstLineChars="200"/>
        <w:rPr>
          <w:rFonts w:ascii="宋体" w:hAnsi="宋体" w:cs="宋体"/>
          <w:szCs w:val="21"/>
        </w:rPr>
      </w:pPr>
      <w:bookmarkStart w:id="300" w:name="_Toc301187698"/>
      <w:r>
        <w:rPr>
          <w:rFonts w:hint="eastAsia" w:ascii="宋体" w:hAnsi="宋体" w:cs="宋体"/>
          <w:szCs w:val="21"/>
        </w:rPr>
        <w:t>（5）未实质性响应竞争性磋商文件要求或者响应文件有采购人不能接受的附加条件的；</w:t>
      </w:r>
      <w:bookmarkEnd w:id="300"/>
    </w:p>
    <w:p>
      <w:pPr>
        <w:spacing w:line="360" w:lineRule="auto"/>
        <w:ind w:firstLine="420" w:firstLineChars="200"/>
        <w:rPr>
          <w:rFonts w:ascii="宋体" w:hAnsi="宋体" w:cs="宋体"/>
          <w:szCs w:val="21"/>
        </w:rPr>
      </w:pPr>
      <w:r>
        <w:rPr>
          <w:rFonts w:hint="eastAsia" w:ascii="宋体" w:hAnsi="宋体" w:cs="宋体"/>
          <w:szCs w:val="21"/>
        </w:rPr>
        <w:t>（6）除报价文件外出现磋商报价的；</w:t>
      </w:r>
    </w:p>
    <w:p>
      <w:pPr>
        <w:spacing w:line="360" w:lineRule="auto"/>
        <w:ind w:firstLine="420" w:firstLineChars="200"/>
        <w:rPr>
          <w:rFonts w:ascii="宋体" w:hAnsi="宋体" w:cs="宋体"/>
          <w:szCs w:val="21"/>
        </w:rPr>
      </w:pPr>
      <w:r>
        <w:rPr>
          <w:rFonts w:hint="eastAsia" w:ascii="宋体" w:hAnsi="宋体" w:cs="宋体"/>
          <w:szCs w:val="21"/>
        </w:rPr>
        <w:t>（7）法律、法规及竞争性磋商文件规定的其他无效情形。</w:t>
      </w:r>
    </w:p>
    <w:p>
      <w:pPr>
        <w:spacing w:line="360" w:lineRule="auto"/>
        <w:jc w:val="left"/>
        <w:rPr>
          <w:rFonts w:ascii="宋体" w:hAnsi="宋体" w:cs="宋体"/>
          <w:b/>
          <w:bCs/>
          <w:szCs w:val="21"/>
        </w:rPr>
      </w:pPr>
      <w:bookmarkStart w:id="301" w:name="_Toc301187699"/>
      <w:bookmarkStart w:id="302" w:name="_Toc1544"/>
      <w:bookmarkStart w:id="303" w:name="_Toc498327045"/>
      <w:bookmarkStart w:id="304" w:name="_Toc499128590"/>
      <w:r>
        <w:rPr>
          <w:rFonts w:hint="eastAsia" w:ascii="宋体" w:hAnsi="宋体" w:cs="宋体"/>
          <w:b/>
          <w:bCs/>
          <w:szCs w:val="21"/>
        </w:rPr>
        <w:t>6.2在技术评审时，如发现下列情形之一的，响应文件将被视为无效</w:t>
      </w:r>
      <w:bookmarkEnd w:id="301"/>
      <w:bookmarkEnd w:id="302"/>
      <w:bookmarkEnd w:id="303"/>
      <w:bookmarkEnd w:id="304"/>
    </w:p>
    <w:p>
      <w:pPr>
        <w:spacing w:line="360" w:lineRule="auto"/>
        <w:ind w:firstLine="420" w:firstLineChars="200"/>
        <w:rPr>
          <w:rFonts w:ascii="宋体" w:hAnsi="宋体" w:cs="宋体"/>
          <w:szCs w:val="21"/>
        </w:rPr>
      </w:pPr>
      <w:bookmarkStart w:id="305" w:name="_Toc301187700"/>
      <w:r>
        <w:rPr>
          <w:rFonts w:hint="eastAsia" w:ascii="宋体" w:hAnsi="宋体" w:cs="宋体"/>
          <w:szCs w:val="21"/>
        </w:rPr>
        <w:t>（1）未提供或未如实提供磋商货物的技术参数，或者响应文件标明的响应或偏离与事实不符或虚假响应的；</w:t>
      </w:r>
      <w:bookmarkEnd w:id="305"/>
    </w:p>
    <w:p>
      <w:pPr>
        <w:spacing w:line="360" w:lineRule="auto"/>
        <w:ind w:firstLine="420" w:firstLineChars="200"/>
        <w:rPr>
          <w:rFonts w:ascii="宋体" w:hAnsi="宋体" w:cs="宋体"/>
          <w:szCs w:val="21"/>
        </w:rPr>
      </w:pPr>
      <w:bookmarkStart w:id="306" w:name="_Toc301187701"/>
      <w:r>
        <w:rPr>
          <w:rFonts w:hint="eastAsia" w:ascii="宋体" w:hAnsi="宋体" w:cs="宋体"/>
          <w:szCs w:val="21"/>
        </w:rPr>
        <w:t>（2）明显不符合竞争性磋商文件要求的规格型号、质量标准，或者与竞争性磋商文件中标“▲”的技术指标、主要功能项目发生实质性负偏离的；</w:t>
      </w:r>
      <w:bookmarkEnd w:id="306"/>
    </w:p>
    <w:p>
      <w:pPr>
        <w:spacing w:line="360" w:lineRule="auto"/>
        <w:ind w:firstLine="420" w:firstLineChars="200"/>
        <w:rPr>
          <w:rFonts w:ascii="宋体" w:hAnsi="宋体" w:cs="宋体"/>
          <w:szCs w:val="21"/>
        </w:rPr>
      </w:pPr>
      <w:bookmarkStart w:id="307" w:name="_Toc301187702"/>
      <w:r>
        <w:rPr>
          <w:rFonts w:hint="eastAsia" w:ascii="宋体" w:hAnsi="宋体" w:cs="宋体"/>
          <w:szCs w:val="21"/>
        </w:rPr>
        <w:t>（3）</w:t>
      </w:r>
      <w:bookmarkEnd w:id="307"/>
      <w:r>
        <w:rPr>
          <w:rFonts w:hint="eastAsia" w:ascii="宋体" w:hAnsi="宋体" w:cs="宋体"/>
          <w:szCs w:val="21"/>
        </w:rPr>
        <w:t>技术方案不明确，存在一个或一个以上备选（替代）技术方案的；</w:t>
      </w:r>
    </w:p>
    <w:p>
      <w:pPr>
        <w:spacing w:line="360" w:lineRule="auto"/>
        <w:ind w:firstLine="420" w:firstLineChars="200"/>
        <w:rPr>
          <w:rFonts w:ascii="宋体" w:hAnsi="宋体" w:cs="宋体"/>
          <w:szCs w:val="21"/>
        </w:rPr>
      </w:pPr>
      <w:bookmarkStart w:id="308" w:name="_Toc301187703"/>
      <w:r>
        <w:rPr>
          <w:rFonts w:hint="eastAsia" w:ascii="宋体" w:hAnsi="宋体" w:cs="宋体"/>
          <w:szCs w:val="21"/>
        </w:rPr>
        <w:t>（4）</w:t>
      </w:r>
      <w:bookmarkEnd w:id="308"/>
      <w:r>
        <w:rPr>
          <w:rFonts w:hint="eastAsia" w:ascii="宋体" w:hAnsi="宋体" w:cs="宋体"/>
          <w:szCs w:val="21"/>
        </w:rPr>
        <w:t>与其他参加本项目供应商的响应文件（技术文件）的文字表述内容相同连续20行以上或者差错相同2处以上的。</w:t>
      </w:r>
    </w:p>
    <w:p>
      <w:pPr>
        <w:spacing w:line="360" w:lineRule="auto"/>
        <w:jc w:val="left"/>
        <w:rPr>
          <w:rFonts w:ascii="宋体" w:hAnsi="宋体" w:cs="宋体"/>
          <w:b/>
          <w:bCs/>
          <w:szCs w:val="21"/>
        </w:rPr>
      </w:pPr>
      <w:bookmarkStart w:id="309" w:name="_Toc30507"/>
      <w:bookmarkStart w:id="310" w:name="_Toc499128591"/>
      <w:bookmarkStart w:id="311" w:name="_Toc301187705"/>
      <w:bookmarkStart w:id="312" w:name="_Toc498327046"/>
      <w:r>
        <w:rPr>
          <w:rFonts w:hint="eastAsia" w:ascii="宋体" w:hAnsi="宋体" w:cs="宋体"/>
          <w:b/>
          <w:bCs/>
          <w:szCs w:val="21"/>
        </w:rPr>
        <w:t>6.3在报价评审时，如发现下列情形之一的，响应文件将被视为无效</w:t>
      </w:r>
      <w:bookmarkEnd w:id="309"/>
      <w:bookmarkEnd w:id="310"/>
      <w:bookmarkEnd w:id="311"/>
      <w:bookmarkEnd w:id="312"/>
    </w:p>
    <w:p>
      <w:pPr>
        <w:spacing w:line="360" w:lineRule="auto"/>
        <w:ind w:firstLine="420" w:firstLineChars="200"/>
        <w:rPr>
          <w:rFonts w:ascii="宋体" w:hAnsi="宋体" w:cs="宋体"/>
          <w:szCs w:val="21"/>
        </w:rPr>
      </w:pPr>
      <w:bookmarkStart w:id="313" w:name="_Toc301187706"/>
      <w:r>
        <w:rPr>
          <w:rFonts w:hint="eastAsia" w:ascii="宋体" w:hAnsi="宋体" w:cs="宋体"/>
          <w:szCs w:val="21"/>
        </w:rPr>
        <w:t>（1）未采用人民币报价或者未按照竞争性磋商文件标明的币种报价的；</w:t>
      </w:r>
      <w:bookmarkEnd w:id="313"/>
    </w:p>
    <w:p>
      <w:pPr>
        <w:spacing w:line="360" w:lineRule="auto"/>
        <w:ind w:firstLine="420" w:firstLineChars="200"/>
        <w:rPr>
          <w:rFonts w:ascii="宋体" w:hAnsi="宋体" w:cs="宋体"/>
          <w:szCs w:val="21"/>
        </w:rPr>
      </w:pPr>
      <w:bookmarkStart w:id="314" w:name="_Toc301187707"/>
      <w:r>
        <w:rPr>
          <w:rFonts w:hint="eastAsia" w:ascii="宋体" w:hAnsi="宋体" w:cs="宋体"/>
          <w:szCs w:val="21"/>
        </w:rPr>
        <w:t>（2）报价超出最高限价，或者超出采购预算金额，采购人不能支付的；</w:t>
      </w:r>
      <w:bookmarkEnd w:id="314"/>
    </w:p>
    <w:p>
      <w:pPr>
        <w:spacing w:line="360" w:lineRule="auto"/>
        <w:ind w:firstLine="420" w:firstLineChars="200"/>
        <w:rPr>
          <w:rFonts w:ascii="宋体" w:hAnsi="宋体" w:cs="宋体"/>
          <w:szCs w:val="21"/>
        </w:rPr>
      </w:pPr>
      <w:bookmarkStart w:id="315" w:name="_Toc301187708"/>
      <w:r>
        <w:rPr>
          <w:rFonts w:hint="eastAsia" w:ascii="宋体" w:hAnsi="宋体" w:cs="宋体"/>
          <w:szCs w:val="21"/>
        </w:rPr>
        <w:t>（3）磋商报价具有选择性，或者磋商价格与响应文件承诺的优惠价格不一致的；</w:t>
      </w:r>
      <w:bookmarkEnd w:id="315"/>
    </w:p>
    <w:p>
      <w:pPr>
        <w:spacing w:line="360" w:lineRule="auto"/>
        <w:ind w:firstLine="420" w:firstLineChars="200"/>
        <w:rPr>
          <w:rFonts w:ascii="宋体" w:hAnsi="宋体" w:cs="宋体"/>
          <w:szCs w:val="21"/>
        </w:rPr>
      </w:pPr>
      <w:r>
        <w:rPr>
          <w:rFonts w:hint="eastAsia" w:ascii="宋体" w:hAnsi="宋体" w:cs="宋体"/>
          <w:szCs w:val="21"/>
        </w:rPr>
        <w:t>（4）报价文件内容与对应技术文件内容不一致的，或者出现重大偏离的；</w:t>
      </w:r>
    </w:p>
    <w:p>
      <w:pPr>
        <w:spacing w:line="360" w:lineRule="auto"/>
        <w:ind w:firstLine="420" w:firstLineChars="200"/>
        <w:rPr>
          <w:rFonts w:ascii="宋体" w:hAnsi="宋体" w:cs="宋体"/>
          <w:b/>
          <w:bCs/>
          <w:szCs w:val="21"/>
        </w:rPr>
      </w:pPr>
      <w:r>
        <w:rPr>
          <w:rFonts w:hint="eastAsia" w:ascii="宋体" w:hAnsi="宋体" w:cs="宋体"/>
          <w:szCs w:val="21"/>
        </w:rPr>
        <w:t>（5）</w:t>
      </w:r>
      <w:r>
        <w:rPr>
          <w:rFonts w:hint="eastAsia" w:ascii="宋体" w:hAnsi="宋体" w:cs="宋体"/>
          <w:b/>
          <w:bCs/>
          <w:szCs w:val="21"/>
        </w:rPr>
        <w:t>报价明显低于其他通过符合性审查供应商的报价，有可能影响产品质量或者不能诚信履约的，未在磋商现场合理的时间</w:t>
      </w:r>
      <w:r>
        <w:rPr>
          <w:rFonts w:hint="eastAsia" w:ascii="宋体" w:hAnsi="宋体" w:cs="宋体"/>
          <w:b/>
          <w:szCs w:val="21"/>
        </w:rPr>
        <w:t>内通过政采云平台交换数据电文</w:t>
      </w:r>
      <w:r>
        <w:rPr>
          <w:rFonts w:hint="eastAsia" w:ascii="宋体" w:hAnsi="宋体" w:cs="宋体"/>
          <w:b/>
          <w:bCs/>
          <w:szCs w:val="21"/>
        </w:rPr>
        <w:t>提供说明及证明材料来证明其报价合理性的。</w:t>
      </w:r>
    </w:p>
    <w:p>
      <w:pPr>
        <w:spacing w:line="360" w:lineRule="auto"/>
        <w:jc w:val="left"/>
        <w:rPr>
          <w:rFonts w:ascii="宋体" w:hAnsi="宋体" w:cs="宋体"/>
          <w:b/>
          <w:bCs/>
          <w:szCs w:val="21"/>
        </w:rPr>
      </w:pPr>
      <w:bookmarkStart w:id="316" w:name="_Toc6265"/>
      <w:bookmarkStart w:id="317" w:name="_Toc498327047"/>
      <w:bookmarkStart w:id="318" w:name="_Toc499128592"/>
      <w:r>
        <w:rPr>
          <w:rFonts w:hint="eastAsia" w:ascii="宋体" w:hAnsi="宋体" w:cs="宋体"/>
          <w:b/>
          <w:bCs/>
          <w:szCs w:val="21"/>
        </w:rPr>
        <w:t>6.4有下列情形之一的，视为供应商串通磋商，其磋商无效</w:t>
      </w:r>
      <w:bookmarkEnd w:id="316"/>
      <w:bookmarkEnd w:id="317"/>
      <w:bookmarkEnd w:id="318"/>
    </w:p>
    <w:p>
      <w:pPr>
        <w:spacing w:line="360" w:lineRule="auto"/>
        <w:ind w:firstLine="420" w:firstLineChars="200"/>
        <w:rPr>
          <w:rFonts w:ascii="宋体" w:hAnsi="宋体" w:cs="宋体"/>
          <w:szCs w:val="21"/>
        </w:rPr>
      </w:pPr>
      <w:r>
        <w:rPr>
          <w:rFonts w:hint="eastAsia" w:ascii="宋体" w:hAnsi="宋体" w:cs="宋体"/>
          <w:szCs w:val="21"/>
        </w:rPr>
        <w:t>（1）不同供应商的响应文件由同一单位或者个人编制；</w:t>
      </w:r>
    </w:p>
    <w:p>
      <w:pPr>
        <w:spacing w:line="360" w:lineRule="auto"/>
        <w:ind w:firstLine="420" w:firstLineChars="200"/>
        <w:rPr>
          <w:rFonts w:ascii="宋体" w:hAnsi="宋体" w:cs="宋体"/>
          <w:szCs w:val="21"/>
        </w:rPr>
      </w:pPr>
      <w:r>
        <w:rPr>
          <w:rFonts w:hint="eastAsia" w:ascii="宋体" w:hAnsi="宋体" w:cs="宋体"/>
          <w:szCs w:val="21"/>
        </w:rPr>
        <w:t>（2）不同供应商委托同一单位或者个人办理磋商事宜；</w:t>
      </w:r>
    </w:p>
    <w:p>
      <w:pPr>
        <w:spacing w:line="360" w:lineRule="auto"/>
        <w:ind w:firstLine="420" w:firstLineChars="200"/>
        <w:rPr>
          <w:rFonts w:ascii="宋体" w:hAnsi="宋体" w:cs="宋体"/>
          <w:szCs w:val="21"/>
        </w:rPr>
      </w:pPr>
      <w:r>
        <w:rPr>
          <w:rFonts w:hint="eastAsia" w:ascii="宋体" w:hAnsi="宋体" w:cs="宋体"/>
          <w:szCs w:val="21"/>
        </w:rPr>
        <w:t>（3）不同供应商的响应文件载明的项目管理成员或者联系人员为同一人；</w:t>
      </w:r>
    </w:p>
    <w:p>
      <w:pPr>
        <w:spacing w:line="360" w:lineRule="auto"/>
        <w:ind w:firstLine="420" w:firstLineChars="200"/>
        <w:rPr>
          <w:rFonts w:ascii="宋体" w:hAnsi="宋体" w:cs="宋体"/>
          <w:szCs w:val="21"/>
        </w:rPr>
      </w:pPr>
      <w:r>
        <w:rPr>
          <w:rFonts w:hint="eastAsia" w:ascii="宋体" w:hAnsi="宋体" w:cs="宋体"/>
          <w:szCs w:val="21"/>
        </w:rPr>
        <w:t>（4）不同供应商的响应文件异常一致或者磋商报价呈规律性差异。</w:t>
      </w:r>
    </w:p>
    <w:p>
      <w:pPr>
        <w:spacing w:line="360" w:lineRule="auto"/>
        <w:jc w:val="left"/>
        <w:rPr>
          <w:rFonts w:ascii="宋体" w:hAnsi="宋体" w:cs="宋体"/>
          <w:b/>
          <w:bCs/>
          <w:szCs w:val="21"/>
        </w:rPr>
      </w:pPr>
      <w:bookmarkStart w:id="319" w:name="_Toc499128593"/>
      <w:bookmarkStart w:id="320" w:name="_Toc498327048"/>
      <w:bookmarkStart w:id="321" w:name="_Toc21917"/>
      <w:r>
        <w:rPr>
          <w:rFonts w:hint="eastAsia" w:ascii="宋体" w:hAnsi="宋体" w:cs="宋体"/>
          <w:b/>
          <w:bCs/>
          <w:szCs w:val="21"/>
        </w:rPr>
        <w:t>6.5有下列情况之一的，其磋商无效</w:t>
      </w:r>
      <w:bookmarkEnd w:id="319"/>
      <w:bookmarkEnd w:id="320"/>
      <w:bookmarkEnd w:id="321"/>
    </w:p>
    <w:p>
      <w:pPr>
        <w:spacing w:line="360" w:lineRule="auto"/>
        <w:ind w:firstLine="420" w:firstLineChars="200"/>
        <w:rPr>
          <w:rFonts w:ascii="宋体" w:hAnsi="宋体" w:cs="宋体"/>
          <w:szCs w:val="21"/>
        </w:rPr>
      </w:pPr>
      <w:r>
        <w:rPr>
          <w:rFonts w:hint="eastAsia" w:ascii="宋体" w:hAnsi="宋体" w:cs="宋体"/>
          <w:szCs w:val="21"/>
        </w:rPr>
        <w:t>（1）妨碍其他供应商的竞争行为；</w:t>
      </w:r>
    </w:p>
    <w:p>
      <w:pPr>
        <w:spacing w:line="360" w:lineRule="auto"/>
        <w:ind w:firstLine="420" w:firstLineChars="200"/>
        <w:rPr>
          <w:rFonts w:ascii="宋体" w:hAnsi="宋体" w:cs="宋体"/>
          <w:szCs w:val="21"/>
        </w:rPr>
      </w:pPr>
      <w:r>
        <w:rPr>
          <w:rFonts w:hint="eastAsia" w:ascii="宋体" w:hAnsi="宋体" w:cs="宋体"/>
          <w:szCs w:val="21"/>
        </w:rPr>
        <w:t>（2）损害采购人或者其他供应商的合法权益。</w:t>
      </w:r>
    </w:p>
    <w:p>
      <w:pPr>
        <w:pStyle w:val="4"/>
        <w:spacing w:line="360" w:lineRule="auto"/>
        <w:rPr>
          <w:rFonts w:ascii="宋体" w:hAnsi="宋体" w:cs="宋体"/>
          <w:sz w:val="24"/>
          <w:szCs w:val="24"/>
        </w:rPr>
      </w:pPr>
      <w:bookmarkStart w:id="322" w:name="_Toc498327049"/>
      <w:bookmarkStart w:id="323" w:name="_Toc359934590"/>
      <w:bookmarkStart w:id="324" w:name="_Toc32119"/>
      <w:bookmarkStart w:id="325" w:name="_Toc22182"/>
      <w:bookmarkStart w:id="326" w:name="_Toc301187711"/>
      <w:bookmarkStart w:id="327" w:name="_Toc303756393"/>
      <w:bookmarkStart w:id="328" w:name="_Toc499128594"/>
      <w:bookmarkStart w:id="329" w:name="_Toc22161"/>
      <w:r>
        <w:rPr>
          <w:rFonts w:hint="eastAsia" w:ascii="宋体" w:hAnsi="宋体" w:cs="宋体"/>
          <w:sz w:val="24"/>
          <w:szCs w:val="24"/>
        </w:rPr>
        <w:t>7．磋商、磋商评审及定标</w:t>
      </w:r>
      <w:bookmarkEnd w:id="322"/>
      <w:bookmarkEnd w:id="323"/>
      <w:bookmarkEnd w:id="324"/>
      <w:bookmarkEnd w:id="325"/>
      <w:bookmarkEnd w:id="326"/>
      <w:bookmarkEnd w:id="327"/>
      <w:bookmarkEnd w:id="328"/>
      <w:bookmarkEnd w:id="329"/>
    </w:p>
    <w:p>
      <w:pPr>
        <w:spacing w:line="360" w:lineRule="auto"/>
        <w:jc w:val="left"/>
        <w:rPr>
          <w:rFonts w:ascii="宋体" w:hAnsi="宋体" w:cs="宋体"/>
          <w:b/>
          <w:bCs/>
          <w:szCs w:val="21"/>
        </w:rPr>
      </w:pPr>
      <w:bookmarkStart w:id="330" w:name="_Toc498327053"/>
      <w:bookmarkStart w:id="331" w:name="_Toc301187730"/>
      <w:bookmarkStart w:id="332" w:name="_Toc303756397"/>
      <w:bookmarkStart w:id="333" w:name="_Toc24776"/>
      <w:bookmarkStart w:id="334" w:name="_Toc359934594"/>
      <w:bookmarkStart w:id="335" w:name="_Toc499128598"/>
      <w:r>
        <w:rPr>
          <w:rFonts w:hint="eastAsia" w:ascii="宋体" w:hAnsi="宋体" w:cs="宋体"/>
          <w:b/>
          <w:bCs/>
          <w:szCs w:val="21"/>
        </w:rPr>
        <w:t>7.1</w:t>
      </w:r>
      <w:bookmarkEnd w:id="330"/>
      <w:bookmarkEnd w:id="331"/>
      <w:bookmarkEnd w:id="332"/>
      <w:bookmarkEnd w:id="333"/>
      <w:bookmarkEnd w:id="334"/>
      <w:bookmarkEnd w:id="335"/>
      <w:r>
        <w:rPr>
          <w:rFonts w:hint="eastAsia" w:ascii="宋体" w:hAnsi="宋体" w:cs="宋体"/>
          <w:b/>
          <w:bCs/>
          <w:szCs w:val="21"/>
        </w:rPr>
        <w:t>磋商</w:t>
      </w:r>
    </w:p>
    <w:p>
      <w:pPr>
        <w:spacing w:line="360" w:lineRule="auto"/>
        <w:ind w:firstLine="420" w:firstLineChars="200"/>
        <w:rPr>
          <w:rFonts w:ascii="宋体" w:hAnsi="宋体" w:cs="宋体"/>
          <w:szCs w:val="21"/>
        </w:rPr>
      </w:pPr>
      <w:bookmarkStart w:id="336" w:name="_Toc301187731"/>
      <w:r>
        <w:rPr>
          <w:rFonts w:hint="eastAsia" w:ascii="宋体" w:hAnsi="宋体" w:cs="宋体"/>
          <w:szCs w:val="21"/>
        </w:rPr>
        <w:t>7.1.1磋商时间和地点</w:t>
      </w:r>
      <w:bookmarkEnd w:id="336"/>
    </w:p>
    <w:p>
      <w:pPr>
        <w:spacing w:line="360" w:lineRule="auto"/>
        <w:ind w:firstLine="420" w:firstLineChars="200"/>
        <w:rPr>
          <w:rFonts w:ascii="宋体" w:hAnsi="宋体" w:cs="宋体"/>
          <w:szCs w:val="21"/>
        </w:rPr>
      </w:pPr>
      <w:bookmarkStart w:id="337" w:name="_Toc301187732"/>
      <w:r>
        <w:rPr>
          <w:rFonts w:hint="eastAsia" w:ascii="宋体" w:hAnsi="宋体" w:cs="宋体"/>
          <w:szCs w:val="21"/>
        </w:rPr>
        <w:t>采购人</w:t>
      </w:r>
      <w:bookmarkEnd w:id="337"/>
      <w:bookmarkStart w:id="338" w:name="_Toc301187733"/>
      <w:r>
        <w:rPr>
          <w:rFonts w:hint="eastAsia" w:ascii="宋体" w:hAnsi="宋体" w:cs="宋体"/>
          <w:szCs w:val="21"/>
        </w:rPr>
        <w:t>在本章第5.3.2项规定的响应文件提交截止时间（磋商时间）和第5.3.1项规定的地点磋商。</w:t>
      </w:r>
    </w:p>
    <w:p>
      <w:pPr>
        <w:spacing w:line="360" w:lineRule="auto"/>
        <w:ind w:firstLine="420" w:firstLineChars="200"/>
        <w:rPr>
          <w:rFonts w:ascii="宋体" w:hAnsi="宋体" w:cs="宋体"/>
          <w:szCs w:val="21"/>
        </w:rPr>
      </w:pPr>
      <w:r>
        <w:rPr>
          <w:rFonts w:hint="eastAsia" w:ascii="宋体" w:hAnsi="宋体" w:cs="宋体"/>
          <w:szCs w:val="21"/>
        </w:rPr>
        <w:t>7.1.2磋商准备</w:t>
      </w:r>
      <w:bookmarkEnd w:id="338"/>
    </w:p>
    <w:p>
      <w:pPr>
        <w:spacing w:line="360" w:lineRule="auto"/>
        <w:ind w:firstLine="422" w:firstLineChars="200"/>
        <w:rPr>
          <w:rFonts w:ascii="宋体" w:hAnsi="宋体" w:cs="宋体"/>
          <w:kern w:val="0"/>
          <w:szCs w:val="21"/>
        </w:rPr>
      </w:pPr>
      <w:bookmarkStart w:id="339" w:name="_Toc301187735"/>
      <w:bookmarkStart w:id="340" w:name="_Toc303756398"/>
      <w:bookmarkStart w:id="341" w:name="_Toc301187747"/>
      <w:r>
        <w:rPr>
          <w:rFonts w:hint="eastAsia" w:ascii="宋体" w:hAnsi="宋体" w:cs="宋体"/>
          <w:b/>
          <w:szCs w:val="21"/>
        </w:rPr>
        <w:t>本项目采用电子交易进行磋商、评审、询标，供应商均应准时在线参加，否则产生的风险由供应商自身承担（供应商务必不要离开电脑太久，并留意手机短信，建议供应商提前做好检查“政府采购云平台”内，关于“项目采购”的岗位权限是否勾选。如有问题，请致电400-881-7190）</w:t>
      </w:r>
      <w:r>
        <w:rPr>
          <w:rFonts w:hint="eastAsia" w:ascii="宋体" w:hAnsi="宋体" w:cs="宋体"/>
          <w:b/>
          <w:kern w:val="0"/>
          <w:szCs w:val="21"/>
        </w:rPr>
        <w:t>。</w:t>
      </w:r>
    </w:p>
    <w:p>
      <w:pPr>
        <w:spacing w:line="360" w:lineRule="auto"/>
        <w:ind w:firstLine="420" w:firstLineChars="200"/>
        <w:rPr>
          <w:rFonts w:ascii="宋体" w:hAnsi="宋体" w:cs="宋体"/>
          <w:bCs/>
          <w:szCs w:val="21"/>
        </w:rPr>
      </w:pPr>
      <w:r>
        <w:rPr>
          <w:rFonts w:hint="eastAsia" w:ascii="宋体" w:hAnsi="宋体" w:cs="宋体"/>
          <w:bCs/>
          <w:szCs w:val="21"/>
        </w:rPr>
        <w:t>7.1.3开磋商评审程序</w:t>
      </w:r>
      <w:bookmarkEnd w:id="339"/>
    </w:p>
    <w:p>
      <w:pPr>
        <w:spacing w:line="360" w:lineRule="auto"/>
        <w:ind w:firstLine="420" w:firstLineChars="200"/>
        <w:rPr>
          <w:rFonts w:ascii="宋体" w:hAnsi="宋体" w:cs="宋体"/>
          <w:kern w:val="0"/>
          <w:szCs w:val="21"/>
        </w:rPr>
      </w:pPr>
      <w:bookmarkStart w:id="342" w:name="_Toc301187746"/>
      <w:r>
        <w:rPr>
          <w:rFonts w:hint="eastAsia" w:ascii="宋体" w:hAnsi="宋体" w:cs="宋体"/>
          <w:kern w:val="0"/>
          <w:szCs w:val="21"/>
        </w:rPr>
        <w:t>（1）宣布磋商纪律；</w:t>
      </w:r>
    </w:p>
    <w:p>
      <w:pPr>
        <w:spacing w:line="360" w:lineRule="auto"/>
        <w:ind w:firstLine="420" w:firstLineChars="200"/>
        <w:rPr>
          <w:rFonts w:ascii="宋体" w:hAnsi="宋体" w:cs="宋体"/>
          <w:kern w:val="0"/>
          <w:szCs w:val="21"/>
        </w:rPr>
      </w:pPr>
      <w:r>
        <w:rPr>
          <w:rFonts w:hint="eastAsia" w:ascii="宋体" w:hAnsi="宋体" w:cs="宋体"/>
          <w:kern w:val="0"/>
          <w:szCs w:val="21"/>
        </w:rPr>
        <w:t>（2）公布在响应文件提交截止时间前提交响应文件的供应商名称；</w:t>
      </w:r>
    </w:p>
    <w:p>
      <w:pPr>
        <w:spacing w:line="360" w:lineRule="auto"/>
        <w:ind w:firstLine="420" w:firstLineChars="200"/>
        <w:rPr>
          <w:rFonts w:ascii="宋体" w:hAnsi="宋体" w:cs="宋体"/>
          <w:kern w:val="0"/>
          <w:szCs w:val="21"/>
        </w:rPr>
      </w:pPr>
      <w:r>
        <w:rPr>
          <w:rFonts w:hint="eastAsia" w:ascii="宋体" w:hAnsi="宋体" w:cs="宋体"/>
          <w:kern w:val="0"/>
          <w:szCs w:val="21"/>
        </w:rPr>
        <w:t>（3）主持人宣布磋商会的人员姓名；</w:t>
      </w:r>
    </w:p>
    <w:p>
      <w:pPr>
        <w:spacing w:line="360" w:lineRule="auto"/>
        <w:ind w:firstLine="420" w:firstLineChars="200"/>
        <w:rPr>
          <w:rFonts w:ascii="宋体" w:hAnsi="宋体" w:cs="宋体"/>
          <w:kern w:val="0"/>
          <w:szCs w:val="21"/>
        </w:rPr>
      </w:pPr>
      <w:r>
        <w:rPr>
          <w:rFonts w:hint="eastAsia" w:ascii="宋体" w:hAnsi="宋体" w:cs="宋体"/>
          <w:kern w:val="0"/>
          <w:szCs w:val="21"/>
        </w:rPr>
        <w:t>（4）</w:t>
      </w:r>
      <w:r>
        <w:rPr>
          <w:rFonts w:hint="eastAsia" w:ascii="宋体" w:hAnsi="宋体" w:cs="宋体"/>
          <w:b/>
          <w:bCs/>
          <w:kern w:val="0"/>
          <w:szCs w:val="21"/>
        </w:rPr>
        <w:t>供应商进行在线解密（解密时间为30分钟），未按时解密或解密未成功的，供应商应当在解密时间内向采购代理机构通过电子邮箱（</w:t>
      </w:r>
      <w:r>
        <w:rPr>
          <w:rFonts w:hint="eastAsia" w:ascii="宋体" w:hAnsi="宋体" w:cs="宋体"/>
          <w:b/>
          <w:bCs/>
          <w:kern w:val="0"/>
          <w:szCs w:val="21"/>
          <w:lang w:eastAsia="zh-CN"/>
        </w:rPr>
        <w:t>739438886</w:t>
      </w:r>
      <w:r>
        <w:rPr>
          <w:rFonts w:hint="eastAsia" w:ascii="宋体" w:hAnsi="宋体" w:cs="宋体"/>
          <w:b/>
          <w:bCs/>
          <w:kern w:val="0"/>
          <w:szCs w:val="21"/>
        </w:rPr>
        <w:t>qq.com）提供备份响应文件</w:t>
      </w:r>
      <w:r>
        <w:rPr>
          <w:rFonts w:hint="eastAsia" w:ascii="宋体" w:hAnsi="宋体" w:cs="宋体"/>
          <w:kern w:val="0"/>
          <w:szCs w:val="21"/>
        </w:rPr>
        <w:t>；</w:t>
      </w:r>
    </w:p>
    <w:p>
      <w:pPr>
        <w:spacing w:line="360" w:lineRule="auto"/>
        <w:ind w:firstLine="420" w:firstLineChars="200"/>
        <w:rPr>
          <w:rFonts w:ascii="宋体" w:hAnsi="宋体" w:cs="宋体"/>
          <w:kern w:val="0"/>
          <w:szCs w:val="21"/>
        </w:rPr>
      </w:pPr>
      <w:r>
        <w:rPr>
          <w:rFonts w:hint="eastAsia" w:ascii="宋体" w:hAnsi="宋体" w:cs="宋体"/>
          <w:kern w:val="0"/>
          <w:szCs w:val="21"/>
        </w:rPr>
        <w:t>（5）采购人对供应商进行资格审查；</w:t>
      </w:r>
    </w:p>
    <w:p>
      <w:pPr>
        <w:spacing w:line="360" w:lineRule="auto"/>
        <w:ind w:firstLine="420" w:firstLineChars="200"/>
        <w:rPr>
          <w:rFonts w:ascii="宋体" w:hAnsi="宋体" w:cs="宋体"/>
          <w:kern w:val="0"/>
          <w:szCs w:val="21"/>
        </w:rPr>
      </w:pPr>
      <w:r>
        <w:rPr>
          <w:rFonts w:hint="eastAsia" w:ascii="宋体" w:hAnsi="宋体" w:cs="宋体"/>
          <w:kern w:val="0"/>
          <w:szCs w:val="21"/>
        </w:rPr>
        <w:t>（6）主持人宣布通过资格审查的供应商名单；</w:t>
      </w:r>
    </w:p>
    <w:p>
      <w:pPr>
        <w:spacing w:line="360" w:lineRule="auto"/>
        <w:ind w:firstLine="420" w:firstLineChars="200"/>
        <w:rPr>
          <w:rFonts w:ascii="宋体" w:hAnsi="宋体" w:cs="宋体"/>
          <w:kern w:val="0"/>
          <w:szCs w:val="21"/>
        </w:rPr>
      </w:pPr>
      <w:r>
        <w:rPr>
          <w:rFonts w:hint="eastAsia" w:ascii="宋体" w:hAnsi="宋体" w:cs="宋体"/>
          <w:kern w:val="0"/>
          <w:szCs w:val="21"/>
        </w:rPr>
        <w:t>（7）磋商小组对响应文件进行符合性审查；</w:t>
      </w:r>
    </w:p>
    <w:p>
      <w:pPr>
        <w:spacing w:line="360" w:lineRule="auto"/>
        <w:ind w:firstLine="420" w:firstLineChars="200"/>
        <w:rPr>
          <w:rFonts w:ascii="宋体" w:hAnsi="宋体" w:cs="宋体"/>
          <w:kern w:val="0"/>
          <w:szCs w:val="21"/>
        </w:rPr>
      </w:pPr>
      <w:r>
        <w:rPr>
          <w:rFonts w:hint="eastAsia" w:ascii="宋体" w:hAnsi="宋体" w:cs="宋体"/>
          <w:kern w:val="0"/>
          <w:szCs w:val="21"/>
        </w:rPr>
        <w:t>（8）在有效供应商之间进行磋商，供应商提交磋商时的承诺及补充内容；</w:t>
      </w:r>
    </w:p>
    <w:p>
      <w:pPr>
        <w:spacing w:line="360" w:lineRule="auto"/>
        <w:ind w:firstLine="422" w:firstLineChars="200"/>
        <w:rPr>
          <w:rFonts w:ascii="宋体" w:hAnsi="宋体" w:cs="宋体"/>
          <w:b/>
          <w:bCs/>
          <w:kern w:val="0"/>
          <w:szCs w:val="21"/>
        </w:rPr>
      </w:pPr>
      <w:r>
        <w:rPr>
          <w:rFonts w:hint="eastAsia" w:ascii="宋体" w:hAnsi="宋体" w:cs="宋体"/>
          <w:b/>
          <w:bCs/>
          <w:kern w:val="0"/>
          <w:szCs w:val="21"/>
        </w:rPr>
        <w:t>（9）磋商最多不超过三轮，后一轮报价不得高于前一轮报价；</w:t>
      </w:r>
    </w:p>
    <w:p>
      <w:pPr>
        <w:spacing w:line="360" w:lineRule="auto"/>
        <w:ind w:firstLine="422" w:firstLineChars="200"/>
        <w:rPr>
          <w:rFonts w:ascii="宋体" w:hAnsi="宋体" w:cs="宋体"/>
          <w:kern w:val="0"/>
          <w:szCs w:val="21"/>
        </w:rPr>
      </w:pPr>
      <w:r>
        <w:rPr>
          <w:rFonts w:hint="eastAsia" w:ascii="宋体" w:hAnsi="宋体" w:cs="宋体"/>
          <w:b/>
          <w:bCs/>
          <w:kern w:val="0"/>
          <w:szCs w:val="21"/>
        </w:rPr>
        <w:t>（10）磋商小组对资信及商务标和技术标进行评审（包括打分）；</w:t>
      </w:r>
    </w:p>
    <w:p>
      <w:pPr>
        <w:spacing w:line="360" w:lineRule="auto"/>
        <w:ind w:firstLine="420" w:firstLineChars="200"/>
        <w:rPr>
          <w:rFonts w:ascii="宋体" w:hAnsi="宋体" w:cs="宋体"/>
          <w:kern w:val="0"/>
          <w:szCs w:val="21"/>
        </w:rPr>
      </w:pPr>
      <w:r>
        <w:rPr>
          <w:rFonts w:hint="eastAsia" w:ascii="宋体" w:hAnsi="宋体" w:cs="宋体"/>
          <w:kern w:val="0"/>
          <w:szCs w:val="21"/>
        </w:rPr>
        <w:t>（11）采购代理机构开启标书信息，在线公布供应商名称、磋商报价及相关内容，同时开启签字时段（签字时段为开启签字后30分钟内），供应商应当及时确认无疑义后进行在线签字确认，否则自行承担风险。签字时段结束后，采购代理机构按照流程进入下步工作；</w:t>
      </w:r>
    </w:p>
    <w:p>
      <w:pPr>
        <w:spacing w:line="360" w:lineRule="auto"/>
        <w:ind w:firstLine="420" w:firstLineChars="200"/>
        <w:rPr>
          <w:rFonts w:ascii="宋体" w:hAnsi="宋体" w:cs="宋体"/>
          <w:kern w:val="0"/>
          <w:szCs w:val="21"/>
        </w:rPr>
      </w:pPr>
      <w:r>
        <w:rPr>
          <w:rFonts w:hint="eastAsia" w:ascii="宋体" w:hAnsi="宋体" w:cs="宋体"/>
          <w:kern w:val="0"/>
          <w:szCs w:val="21"/>
        </w:rPr>
        <w:t>（12）</w:t>
      </w:r>
      <w:r>
        <w:rPr>
          <w:rFonts w:hint="eastAsia" w:ascii="宋体" w:hAnsi="宋体" w:cs="宋体"/>
          <w:b/>
          <w:bCs/>
          <w:kern w:val="0"/>
          <w:szCs w:val="21"/>
        </w:rPr>
        <w:t>开启各供应商提交的最后一轮报价，公布报价及其他内容，并记录在案</w:t>
      </w:r>
      <w:r>
        <w:rPr>
          <w:rFonts w:hint="eastAsia" w:ascii="宋体" w:hAnsi="宋体" w:cs="宋体"/>
          <w:kern w:val="0"/>
          <w:szCs w:val="21"/>
        </w:rPr>
        <w:t>；</w:t>
      </w:r>
    </w:p>
    <w:p>
      <w:pPr>
        <w:spacing w:line="360" w:lineRule="auto"/>
        <w:ind w:firstLine="420" w:firstLineChars="200"/>
        <w:rPr>
          <w:rFonts w:ascii="宋体" w:hAnsi="宋体" w:cs="宋体"/>
          <w:kern w:val="0"/>
          <w:szCs w:val="21"/>
        </w:rPr>
      </w:pPr>
      <w:r>
        <w:rPr>
          <w:rFonts w:hint="eastAsia" w:ascii="宋体" w:hAnsi="宋体" w:cs="宋体"/>
          <w:kern w:val="0"/>
          <w:szCs w:val="21"/>
        </w:rPr>
        <w:t>（13）磋商小组对各供应商的报价文件进行审核（包括打分）；</w:t>
      </w:r>
    </w:p>
    <w:p>
      <w:pPr>
        <w:spacing w:line="360" w:lineRule="auto"/>
        <w:ind w:firstLine="420" w:firstLineChars="200"/>
        <w:rPr>
          <w:rFonts w:ascii="宋体" w:hAnsi="宋体" w:cs="宋体"/>
          <w:kern w:val="0"/>
          <w:szCs w:val="21"/>
        </w:rPr>
      </w:pPr>
      <w:r>
        <w:rPr>
          <w:rFonts w:hint="eastAsia" w:ascii="宋体" w:hAnsi="宋体" w:cs="宋体"/>
          <w:kern w:val="0"/>
          <w:szCs w:val="21"/>
        </w:rPr>
        <w:t>（14）主持人宣布报价标评审（得分）情况；</w:t>
      </w:r>
    </w:p>
    <w:p>
      <w:pPr>
        <w:spacing w:line="360" w:lineRule="auto"/>
        <w:ind w:firstLine="420" w:firstLineChars="200"/>
        <w:rPr>
          <w:rFonts w:ascii="宋体" w:hAnsi="宋体" w:cs="宋体"/>
          <w:kern w:val="0"/>
          <w:szCs w:val="21"/>
        </w:rPr>
      </w:pPr>
      <w:r>
        <w:rPr>
          <w:rFonts w:hint="eastAsia" w:ascii="宋体" w:hAnsi="宋体" w:cs="宋体"/>
          <w:kern w:val="0"/>
          <w:szCs w:val="21"/>
        </w:rPr>
        <w:t>（15）顺序排序：采用综合评分法的，则汇总各供应商得分并按得分由高到低顺序进行排序。采用最低磋商评审价法的，则按报价由低到高顺序进行排序；</w:t>
      </w:r>
    </w:p>
    <w:p>
      <w:pPr>
        <w:spacing w:line="360" w:lineRule="auto"/>
        <w:ind w:firstLine="420" w:firstLineChars="200"/>
        <w:rPr>
          <w:rFonts w:ascii="宋体" w:hAnsi="宋体" w:cs="宋体"/>
          <w:kern w:val="0"/>
          <w:szCs w:val="21"/>
        </w:rPr>
      </w:pPr>
      <w:r>
        <w:rPr>
          <w:rFonts w:hint="eastAsia" w:ascii="宋体" w:hAnsi="宋体" w:cs="宋体"/>
          <w:kern w:val="0"/>
          <w:szCs w:val="21"/>
        </w:rPr>
        <w:t>（16）磋商小组起草磋商评审报告，并推荐成交候选人或确定成交供应商；</w:t>
      </w:r>
    </w:p>
    <w:p>
      <w:pPr>
        <w:spacing w:line="360" w:lineRule="auto"/>
        <w:ind w:firstLine="420" w:firstLineChars="200"/>
        <w:rPr>
          <w:rFonts w:ascii="宋体" w:hAnsi="宋体" w:cs="宋体"/>
          <w:kern w:val="0"/>
          <w:szCs w:val="21"/>
        </w:rPr>
      </w:pPr>
      <w:r>
        <w:rPr>
          <w:rFonts w:hint="eastAsia" w:ascii="宋体" w:hAnsi="宋体" w:cs="宋体"/>
          <w:kern w:val="0"/>
          <w:szCs w:val="21"/>
        </w:rPr>
        <w:t>（17）主持人宣布有效供应商的评审结果以及推荐的成交候选人或确定成交供应商；</w:t>
      </w:r>
    </w:p>
    <w:p>
      <w:pPr>
        <w:spacing w:line="360" w:lineRule="auto"/>
        <w:ind w:firstLine="420" w:firstLineChars="200"/>
        <w:rPr>
          <w:rFonts w:ascii="宋体" w:hAnsi="宋体" w:cs="宋体"/>
          <w:kern w:val="0"/>
          <w:szCs w:val="21"/>
        </w:rPr>
      </w:pPr>
      <w:r>
        <w:rPr>
          <w:rFonts w:hint="eastAsia" w:ascii="宋体" w:hAnsi="宋体" w:cs="宋体"/>
          <w:kern w:val="0"/>
          <w:szCs w:val="21"/>
        </w:rPr>
        <w:t>（18）</w:t>
      </w:r>
      <w:r>
        <w:rPr>
          <w:rFonts w:hint="eastAsia" w:ascii="宋体" w:hAnsi="宋体" w:cs="宋体"/>
          <w:b/>
          <w:bCs/>
          <w:kern w:val="0"/>
          <w:szCs w:val="21"/>
        </w:rPr>
        <w:t>供应商代表对磋商过程和磋商记录有疑义，以及认为采购人、采购代理机构相关工作人员有需要回避的情形，应通过电话、电子邮箱等形式向采购代理机构提出询问或回避申请</w:t>
      </w:r>
      <w:r>
        <w:rPr>
          <w:rFonts w:hint="eastAsia" w:ascii="宋体" w:hAnsi="宋体" w:cs="宋体"/>
          <w:kern w:val="0"/>
          <w:szCs w:val="21"/>
        </w:rPr>
        <w:t>；</w:t>
      </w:r>
    </w:p>
    <w:p>
      <w:pPr>
        <w:spacing w:line="360" w:lineRule="auto"/>
        <w:ind w:firstLine="420" w:firstLineChars="200"/>
        <w:rPr>
          <w:rFonts w:ascii="宋体" w:hAnsi="宋体" w:cs="宋体"/>
          <w:kern w:val="0"/>
          <w:szCs w:val="21"/>
        </w:rPr>
      </w:pPr>
      <w:r>
        <w:rPr>
          <w:rFonts w:hint="eastAsia" w:ascii="宋体" w:hAnsi="宋体" w:cs="宋体"/>
          <w:kern w:val="0"/>
          <w:szCs w:val="21"/>
        </w:rPr>
        <w:t>（19）磋商结束。</w:t>
      </w:r>
    </w:p>
    <w:p>
      <w:pPr>
        <w:spacing w:line="360" w:lineRule="auto"/>
        <w:ind w:firstLine="420" w:firstLineChars="200"/>
        <w:rPr>
          <w:rFonts w:ascii="宋体" w:hAnsi="宋体" w:cs="宋体"/>
          <w:kern w:val="0"/>
          <w:szCs w:val="21"/>
        </w:rPr>
      </w:pPr>
      <w:r>
        <w:rPr>
          <w:rFonts w:hint="eastAsia" w:ascii="宋体" w:hAnsi="宋体" w:cs="宋体"/>
          <w:kern w:val="0"/>
          <w:szCs w:val="21"/>
        </w:rPr>
        <w:t>7.1.4磋商时供应商须携带的资料：见供应商须知前附表。</w:t>
      </w:r>
      <w:bookmarkEnd w:id="342"/>
    </w:p>
    <w:p>
      <w:pPr>
        <w:spacing w:line="360" w:lineRule="auto"/>
        <w:jc w:val="left"/>
        <w:rPr>
          <w:rFonts w:ascii="宋体" w:hAnsi="宋体" w:cs="宋体"/>
          <w:b/>
          <w:bCs/>
          <w:szCs w:val="21"/>
        </w:rPr>
      </w:pPr>
      <w:bookmarkStart w:id="343" w:name="_Toc31790"/>
      <w:bookmarkStart w:id="344" w:name="_Toc498327054"/>
      <w:bookmarkStart w:id="345" w:name="_Toc499128599"/>
      <w:r>
        <w:rPr>
          <w:rFonts w:hint="eastAsia" w:ascii="宋体" w:hAnsi="宋体" w:cs="宋体"/>
          <w:b/>
          <w:bCs/>
          <w:szCs w:val="21"/>
        </w:rPr>
        <w:t>7.2资格审查</w:t>
      </w:r>
      <w:bookmarkEnd w:id="343"/>
      <w:bookmarkEnd w:id="344"/>
      <w:bookmarkEnd w:id="345"/>
    </w:p>
    <w:p>
      <w:pPr>
        <w:spacing w:line="360" w:lineRule="auto"/>
        <w:ind w:firstLine="420" w:firstLineChars="200"/>
        <w:rPr>
          <w:rFonts w:ascii="宋体" w:hAnsi="宋体" w:cs="宋体"/>
          <w:kern w:val="0"/>
          <w:szCs w:val="21"/>
        </w:rPr>
      </w:pPr>
      <w:r>
        <w:rPr>
          <w:rFonts w:hint="eastAsia" w:ascii="宋体" w:hAnsi="宋体" w:cs="宋体"/>
          <w:kern w:val="0"/>
          <w:szCs w:val="21"/>
        </w:rPr>
        <w:t>7.2.1资格审查的内容按照第3.2.1条规定执行。</w:t>
      </w:r>
    </w:p>
    <w:p>
      <w:pPr>
        <w:spacing w:line="360" w:lineRule="auto"/>
        <w:ind w:firstLine="420" w:firstLineChars="200"/>
        <w:rPr>
          <w:rFonts w:ascii="宋体" w:hAnsi="宋体" w:cs="宋体"/>
          <w:kern w:val="0"/>
          <w:szCs w:val="21"/>
        </w:rPr>
      </w:pPr>
      <w:r>
        <w:rPr>
          <w:rFonts w:hint="eastAsia" w:ascii="宋体" w:hAnsi="宋体" w:cs="宋体"/>
          <w:kern w:val="0"/>
          <w:szCs w:val="21"/>
        </w:rPr>
        <w:t>7.2.2资格审查小组按照第7.2.1条要求对供应商进行资格审查。</w:t>
      </w:r>
    </w:p>
    <w:p>
      <w:pPr>
        <w:spacing w:line="360" w:lineRule="auto"/>
        <w:ind w:firstLine="420" w:firstLineChars="200"/>
        <w:rPr>
          <w:rFonts w:ascii="宋体" w:hAnsi="宋体" w:cs="宋体"/>
          <w:kern w:val="0"/>
          <w:szCs w:val="21"/>
        </w:rPr>
      </w:pPr>
      <w:r>
        <w:rPr>
          <w:rFonts w:hint="eastAsia" w:ascii="宋体" w:hAnsi="宋体" w:cs="宋体"/>
          <w:kern w:val="0"/>
          <w:szCs w:val="21"/>
        </w:rPr>
        <w:t>7.2.3资格审查时，供应商未按要求提供、提供不完整或未按要求签署盖章的，视为资格审查不通过。</w:t>
      </w:r>
    </w:p>
    <w:p>
      <w:pPr>
        <w:spacing w:line="360" w:lineRule="auto"/>
        <w:jc w:val="left"/>
        <w:rPr>
          <w:rFonts w:ascii="宋体" w:hAnsi="宋体" w:cs="宋体"/>
          <w:b/>
          <w:bCs/>
          <w:szCs w:val="21"/>
        </w:rPr>
      </w:pPr>
      <w:bookmarkStart w:id="346" w:name="_Toc6173"/>
      <w:bookmarkStart w:id="347" w:name="_Toc359934595"/>
      <w:bookmarkStart w:id="348" w:name="_Toc499128600"/>
      <w:bookmarkStart w:id="349" w:name="_Toc498327055"/>
      <w:r>
        <w:rPr>
          <w:rFonts w:hint="eastAsia" w:ascii="宋体" w:hAnsi="宋体" w:cs="宋体"/>
          <w:b/>
          <w:bCs/>
          <w:szCs w:val="21"/>
        </w:rPr>
        <w:t>7.3</w:t>
      </w:r>
      <w:bookmarkEnd w:id="340"/>
      <w:bookmarkEnd w:id="341"/>
      <w:bookmarkEnd w:id="346"/>
      <w:bookmarkEnd w:id="347"/>
      <w:bookmarkEnd w:id="348"/>
      <w:bookmarkEnd w:id="349"/>
      <w:r>
        <w:rPr>
          <w:rFonts w:hint="eastAsia" w:ascii="宋体" w:hAnsi="宋体" w:cs="宋体"/>
          <w:b/>
          <w:bCs/>
          <w:szCs w:val="21"/>
        </w:rPr>
        <w:t>磋商评审</w:t>
      </w:r>
    </w:p>
    <w:p>
      <w:pPr>
        <w:spacing w:line="360" w:lineRule="auto"/>
        <w:ind w:firstLine="420" w:firstLineChars="200"/>
        <w:rPr>
          <w:rFonts w:ascii="宋体" w:hAnsi="宋体" w:cs="宋体"/>
          <w:kern w:val="0"/>
          <w:szCs w:val="21"/>
        </w:rPr>
      </w:pPr>
      <w:bookmarkStart w:id="350" w:name="_Toc301187748"/>
      <w:r>
        <w:rPr>
          <w:rFonts w:hint="eastAsia" w:ascii="宋体" w:hAnsi="宋体" w:cs="宋体"/>
          <w:kern w:val="0"/>
          <w:szCs w:val="21"/>
        </w:rPr>
        <w:t>7.3.1磋商小组组成：磋商小组由采购人代表和评审专家组成，成员人数应当为3人以上单数，其中评审专家不得少于成员总数的三分之二。</w:t>
      </w:r>
      <w:bookmarkEnd w:id="350"/>
      <w:bookmarkStart w:id="351" w:name="_Toc301187749"/>
    </w:p>
    <w:p>
      <w:pPr>
        <w:spacing w:line="360" w:lineRule="auto"/>
        <w:ind w:firstLine="420" w:firstLineChars="200"/>
        <w:rPr>
          <w:rFonts w:ascii="宋体" w:hAnsi="宋体" w:cs="宋体"/>
          <w:kern w:val="0"/>
          <w:szCs w:val="21"/>
        </w:rPr>
      </w:pPr>
      <w:r>
        <w:rPr>
          <w:rFonts w:hint="eastAsia" w:ascii="宋体" w:hAnsi="宋体" w:cs="宋体"/>
          <w:kern w:val="0"/>
          <w:szCs w:val="21"/>
        </w:rPr>
        <w:t>7.3.2</w:t>
      </w:r>
      <w:bookmarkEnd w:id="351"/>
      <w:r>
        <w:rPr>
          <w:rFonts w:hint="eastAsia" w:ascii="宋体" w:hAnsi="宋体" w:cs="宋体"/>
          <w:kern w:val="0"/>
          <w:szCs w:val="21"/>
        </w:rPr>
        <w:t>磋商评审规定</w:t>
      </w:r>
    </w:p>
    <w:p>
      <w:pPr>
        <w:spacing w:line="360" w:lineRule="auto"/>
        <w:ind w:firstLine="420" w:firstLineChars="200"/>
        <w:rPr>
          <w:rFonts w:ascii="宋体" w:hAnsi="宋体" w:cs="宋体"/>
          <w:kern w:val="0"/>
          <w:szCs w:val="21"/>
        </w:rPr>
      </w:pPr>
      <w:bookmarkStart w:id="352" w:name="_Toc301187750"/>
      <w:r>
        <w:rPr>
          <w:rFonts w:hint="eastAsia" w:ascii="宋体" w:hAnsi="宋体" w:cs="宋体"/>
          <w:kern w:val="0"/>
          <w:szCs w:val="21"/>
        </w:rPr>
        <w:t>（1）磋商小组审查资信及商务标和技术标响应文件的完整性、符合性，是否满足竞争性磋商文件的实质性条款。</w:t>
      </w:r>
      <w:bookmarkEnd w:id="352"/>
    </w:p>
    <w:p>
      <w:pPr>
        <w:spacing w:line="360" w:lineRule="auto"/>
        <w:ind w:firstLine="420" w:firstLineChars="200"/>
        <w:rPr>
          <w:rFonts w:ascii="宋体" w:hAnsi="宋体" w:cs="宋体"/>
          <w:kern w:val="0"/>
          <w:szCs w:val="21"/>
        </w:rPr>
      </w:pPr>
      <w:bookmarkStart w:id="353" w:name="_Toc301187751"/>
      <w:r>
        <w:rPr>
          <w:rFonts w:hint="eastAsia" w:ascii="宋体" w:hAnsi="宋体" w:cs="宋体"/>
          <w:kern w:val="0"/>
          <w:szCs w:val="21"/>
        </w:rPr>
        <w:t>（2）磋商小组审查技术标响应文件的实质性内容是否符合竞争性磋商文件的实质性要求。</w:t>
      </w:r>
      <w:bookmarkEnd w:id="353"/>
    </w:p>
    <w:p>
      <w:pPr>
        <w:spacing w:line="360" w:lineRule="auto"/>
        <w:ind w:firstLine="420" w:firstLineChars="200"/>
        <w:rPr>
          <w:rFonts w:ascii="宋体" w:hAnsi="宋体" w:cs="宋体"/>
          <w:szCs w:val="21"/>
        </w:rPr>
      </w:pPr>
      <w:bookmarkStart w:id="354" w:name="_Toc301187752"/>
      <w:r>
        <w:rPr>
          <w:rFonts w:hint="eastAsia" w:ascii="宋体" w:hAnsi="宋体" w:cs="宋体"/>
          <w:kern w:val="0"/>
          <w:szCs w:val="21"/>
        </w:rPr>
        <w:t>（3）磋商小组将根据供应商的技术标响应文件进行审查、核对，如有疑问，将对供应商进行询标，供应商要向磋商</w:t>
      </w:r>
      <w:r>
        <w:rPr>
          <w:rFonts w:hint="eastAsia" w:ascii="宋体" w:hAnsi="宋体" w:cs="宋体"/>
          <w:szCs w:val="21"/>
        </w:rPr>
        <w:t>小组澄清有关问题，</w:t>
      </w:r>
      <w:bookmarkEnd w:id="354"/>
      <w:r>
        <w:rPr>
          <w:rFonts w:hint="eastAsia" w:ascii="宋体" w:hAnsi="宋体" w:cs="宋体"/>
          <w:b/>
          <w:bCs/>
          <w:szCs w:val="21"/>
        </w:rPr>
        <w:t>并最终以政采云平台交换数据电文进行答复</w:t>
      </w:r>
      <w:r>
        <w:rPr>
          <w:rFonts w:hint="eastAsia" w:ascii="宋体" w:hAnsi="宋体" w:cs="宋体"/>
          <w:szCs w:val="21"/>
        </w:rPr>
        <w:t>。</w:t>
      </w:r>
    </w:p>
    <w:p>
      <w:pPr>
        <w:spacing w:line="360" w:lineRule="auto"/>
        <w:ind w:firstLine="420" w:firstLineChars="200"/>
        <w:rPr>
          <w:rFonts w:ascii="宋体" w:hAnsi="宋体" w:cs="宋体"/>
          <w:szCs w:val="21"/>
        </w:rPr>
      </w:pPr>
      <w:bookmarkStart w:id="355" w:name="_Toc301187753"/>
      <w:r>
        <w:rPr>
          <w:rFonts w:hint="eastAsia" w:ascii="宋体" w:hAnsi="宋体" w:cs="宋体"/>
          <w:szCs w:val="21"/>
        </w:rPr>
        <w:t>供应商全权代表未到场或者拒绝澄清或者澄清的内容改变了响应文件的实质性内容的，磋商小组有权对该响应文件作出不利于供应商的评判。</w:t>
      </w:r>
      <w:bookmarkEnd w:id="355"/>
    </w:p>
    <w:p>
      <w:pPr>
        <w:spacing w:line="360" w:lineRule="auto"/>
        <w:ind w:firstLine="420" w:firstLineChars="200"/>
        <w:rPr>
          <w:rFonts w:ascii="宋体" w:hAnsi="宋体" w:cs="宋体"/>
          <w:szCs w:val="21"/>
        </w:rPr>
      </w:pPr>
      <w:bookmarkStart w:id="356" w:name="_Toc301187754"/>
      <w:r>
        <w:rPr>
          <w:rFonts w:hint="eastAsia" w:ascii="宋体" w:hAnsi="宋体" w:cs="宋体"/>
          <w:szCs w:val="21"/>
        </w:rPr>
        <w:t>（4）</w:t>
      </w:r>
      <w:bookmarkEnd w:id="356"/>
      <w:r>
        <w:rPr>
          <w:rFonts w:hint="eastAsia" w:ascii="宋体" w:hAnsi="宋体" w:cs="宋体"/>
          <w:szCs w:val="21"/>
        </w:rPr>
        <w:t>采用综合评分法的，磋商小组按照磋商评审办法中的技术、资信及商务分的计算公式计算出各供应商的技术、资信及商务分，并指定专人进行计算复核。</w:t>
      </w:r>
    </w:p>
    <w:p>
      <w:pPr>
        <w:spacing w:line="360" w:lineRule="auto"/>
        <w:ind w:firstLine="420" w:firstLineChars="200"/>
        <w:rPr>
          <w:rFonts w:ascii="宋体" w:hAnsi="宋体" w:cs="宋体"/>
          <w:szCs w:val="21"/>
        </w:rPr>
      </w:pPr>
      <w:r>
        <w:rPr>
          <w:rFonts w:hint="eastAsia" w:ascii="宋体" w:hAnsi="宋体" w:cs="宋体"/>
          <w:szCs w:val="21"/>
        </w:rPr>
        <w:t>（5）磋商小组认为供应商的报价明显低于其他通过符合性审查供应商的报价，有可能影响产品质量或者不能诚信履约的，</w:t>
      </w:r>
      <w:r>
        <w:rPr>
          <w:rFonts w:hint="eastAsia" w:ascii="宋体" w:hAnsi="宋体" w:cs="宋体"/>
          <w:b/>
          <w:bCs/>
          <w:szCs w:val="21"/>
        </w:rPr>
        <w:t>应当要求其在磋商现场合理的时间内通过政采云平台交换数据电文提供说明</w:t>
      </w:r>
      <w:r>
        <w:rPr>
          <w:rFonts w:hint="eastAsia" w:ascii="宋体" w:hAnsi="宋体" w:cs="宋体"/>
          <w:szCs w:val="21"/>
        </w:rPr>
        <w:t>，必要时提交相关证明材料；供应商不能证明其报价合理性的，磋商小组应当将其作为无效标处理。</w:t>
      </w:r>
    </w:p>
    <w:p>
      <w:pPr>
        <w:spacing w:line="348" w:lineRule="auto"/>
        <w:ind w:firstLine="420" w:firstLineChars="200"/>
        <w:rPr>
          <w:rFonts w:ascii="宋体" w:hAnsi="宋体" w:cs="宋体"/>
          <w:szCs w:val="21"/>
        </w:rPr>
      </w:pPr>
      <w:r>
        <w:rPr>
          <w:rFonts w:hint="eastAsia" w:ascii="宋体" w:hAnsi="宋体" w:cs="宋体"/>
          <w:szCs w:val="21"/>
        </w:rPr>
        <w:t>（6）磋商小组根据政府采购政策的规定，对供应商进行价格扣除，按照磋商评审办法中的价格扣除公式计算出供应商的调整后的磋商报价。</w:t>
      </w:r>
    </w:p>
    <w:p>
      <w:pPr>
        <w:spacing w:line="348" w:lineRule="auto"/>
        <w:ind w:firstLine="420" w:firstLineChars="200"/>
        <w:rPr>
          <w:rFonts w:ascii="宋体" w:hAnsi="宋体" w:cs="宋体"/>
          <w:szCs w:val="21"/>
        </w:rPr>
      </w:pPr>
      <w:bookmarkStart w:id="357" w:name="_Toc301187755"/>
      <w:r>
        <w:rPr>
          <w:rFonts w:hint="eastAsia" w:ascii="宋体" w:hAnsi="宋体" w:cs="宋体"/>
          <w:szCs w:val="21"/>
        </w:rPr>
        <w:t>（7）采用综合评分法的，磋商小组按照磋商评审办法中的价格分计算公式计算出各供应商的价格分，并指定专人进行计算复核。</w:t>
      </w:r>
    </w:p>
    <w:p>
      <w:pPr>
        <w:spacing w:line="348" w:lineRule="auto"/>
        <w:ind w:firstLine="420" w:firstLineChars="200"/>
        <w:rPr>
          <w:rFonts w:ascii="宋体" w:hAnsi="宋体" w:cs="宋体"/>
          <w:szCs w:val="21"/>
        </w:rPr>
      </w:pPr>
      <w:r>
        <w:rPr>
          <w:rFonts w:hint="eastAsia" w:ascii="宋体" w:hAnsi="宋体" w:cs="宋体"/>
          <w:szCs w:val="21"/>
        </w:rPr>
        <w:t>（8）采用综合评分法的，磋商小组应当独立对每个供应商的响应文件进行评价，并汇总每个供应商的得分。</w:t>
      </w:r>
    </w:p>
    <w:p>
      <w:pPr>
        <w:spacing w:line="348" w:lineRule="auto"/>
        <w:ind w:firstLine="420" w:firstLineChars="200"/>
        <w:rPr>
          <w:rFonts w:ascii="宋体" w:hAnsi="宋体" w:cs="宋体"/>
          <w:szCs w:val="21"/>
        </w:rPr>
      </w:pPr>
      <w:r>
        <w:rPr>
          <w:rFonts w:hint="eastAsia" w:ascii="宋体" w:hAnsi="宋体" w:cs="宋体"/>
          <w:szCs w:val="21"/>
        </w:rPr>
        <w:t>（9）磋商小组按磋商评审办法推荐成交候选人或确定成交供应商，同时起草磋商评审报告。</w:t>
      </w:r>
    </w:p>
    <w:p>
      <w:pPr>
        <w:spacing w:line="348" w:lineRule="auto"/>
        <w:ind w:firstLine="420" w:firstLineChars="200"/>
        <w:rPr>
          <w:rFonts w:ascii="宋体" w:hAnsi="宋体" w:cs="宋体"/>
          <w:szCs w:val="21"/>
        </w:rPr>
      </w:pPr>
      <w:r>
        <w:rPr>
          <w:rFonts w:hint="eastAsia" w:ascii="宋体" w:hAnsi="宋体" w:cs="宋体"/>
          <w:szCs w:val="21"/>
        </w:rPr>
        <w:t>（10）磋商小组成员对需要共同认定的事项存在争议的，应当按照少数服从多数的原则作出结论，持不同意见的磋商小组成员应当在磋商评审报告上签署不同意见及理由，否则视为同意磋商评审报告。</w:t>
      </w:r>
    </w:p>
    <w:p>
      <w:pPr>
        <w:spacing w:line="348" w:lineRule="auto"/>
        <w:ind w:firstLine="420" w:firstLineChars="200"/>
        <w:rPr>
          <w:rFonts w:ascii="宋体" w:hAnsi="宋体" w:cs="宋体"/>
          <w:szCs w:val="21"/>
        </w:rPr>
      </w:pPr>
      <w:r>
        <w:rPr>
          <w:rFonts w:hint="eastAsia" w:ascii="宋体" w:hAnsi="宋体" w:cs="宋体"/>
          <w:szCs w:val="21"/>
        </w:rPr>
        <w:t>（11）磋商小组协助采购代理机构处理现场供应商对磋商评审结果报告提出的疑问。</w:t>
      </w:r>
    </w:p>
    <w:p>
      <w:pPr>
        <w:spacing w:line="348" w:lineRule="auto"/>
        <w:ind w:firstLine="525" w:firstLineChars="250"/>
        <w:rPr>
          <w:rFonts w:ascii="宋体" w:hAnsi="宋体" w:cs="宋体"/>
        </w:rPr>
      </w:pPr>
      <w:r>
        <w:rPr>
          <w:rFonts w:hint="eastAsia" w:ascii="宋体" w:hAnsi="宋体" w:cs="宋体"/>
          <w:szCs w:val="21"/>
        </w:rPr>
        <w:t>7.3.3</w:t>
      </w:r>
      <w:r>
        <w:rPr>
          <w:rFonts w:hint="eastAsia" w:ascii="宋体" w:hAnsi="宋体" w:cs="宋体"/>
        </w:rPr>
        <w:t>磋商内容</w:t>
      </w:r>
    </w:p>
    <w:p>
      <w:pPr>
        <w:spacing w:line="348" w:lineRule="auto"/>
        <w:ind w:firstLine="420" w:firstLineChars="200"/>
        <w:rPr>
          <w:rFonts w:ascii="宋体" w:hAnsi="宋体" w:cs="宋体"/>
          <w:szCs w:val="21"/>
        </w:rPr>
      </w:pPr>
      <w:r>
        <w:rPr>
          <w:rFonts w:hint="eastAsia" w:ascii="宋体" w:hAnsi="宋体" w:cs="宋体"/>
          <w:szCs w:val="21"/>
        </w:rPr>
        <w:t>（1）磋商小组可以根据磋商文件和磋商情况实质性变动采购需求中的技术、服务要求以及合同草案条款。</w:t>
      </w:r>
    </w:p>
    <w:p>
      <w:pPr>
        <w:spacing w:line="348" w:lineRule="auto"/>
        <w:ind w:firstLine="420" w:firstLineChars="200"/>
        <w:rPr>
          <w:rFonts w:ascii="宋体" w:hAnsi="宋体" w:cs="宋体"/>
          <w:szCs w:val="21"/>
        </w:rPr>
      </w:pPr>
      <w:r>
        <w:rPr>
          <w:rFonts w:hint="eastAsia" w:ascii="宋体" w:hAnsi="宋体" w:cs="宋体"/>
          <w:szCs w:val="21"/>
        </w:rPr>
        <w:t>（2）</w:t>
      </w:r>
      <w:r>
        <w:rPr>
          <w:rFonts w:hint="eastAsia" w:ascii="宋体" w:hAnsi="宋体" w:cs="宋体"/>
          <w:b/>
          <w:szCs w:val="21"/>
        </w:rPr>
        <w:t>磋商轮次最多不超过3轮</w:t>
      </w:r>
      <w:r>
        <w:rPr>
          <w:rFonts w:hint="eastAsia" w:ascii="宋体" w:hAnsi="宋体" w:cs="宋体"/>
          <w:szCs w:val="21"/>
        </w:rPr>
        <w:t>，供应商在磋商过程中所作出的各种承诺都必须用书面形式，并由供应商代表签字。</w:t>
      </w:r>
    </w:p>
    <w:p>
      <w:pPr>
        <w:snapToGrid w:val="0"/>
        <w:spacing w:line="360" w:lineRule="auto"/>
        <w:ind w:firstLine="420" w:firstLineChars="200"/>
        <w:rPr>
          <w:rFonts w:ascii="宋体" w:hAnsi="宋体" w:cs="宋体"/>
          <w:szCs w:val="21"/>
        </w:rPr>
      </w:pPr>
      <w:r>
        <w:rPr>
          <w:rFonts w:hint="eastAsia" w:ascii="宋体" w:hAnsi="宋体" w:cs="宋体"/>
          <w:szCs w:val="21"/>
        </w:rPr>
        <w:t>（3）本项目采用不公开方式评审，评审的依据为磋商文件、响应文件以及磋商期间供应商的书面承诺。</w:t>
      </w:r>
    </w:p>
    <w:p>
      <w:pPr>
        <w:spacing w:line="360" w:lineRule="auto"/>
        <w:ind w:firstLine="420" w:firstLineChars="200"/>
        <w:rPr>
          <w:rFonts w:ascii="宋体" w:hAnsi="宋体" w:cs="宋体"/>
          <w:szCs w:val="21"/>
        </w:rPr>
      </w:pPr>
      <w:r>
        <w:rPr>
          <w:rFonts w:hint="eastAsia" w:ascii="宋体" w:hAnsi="宋体" w:cs="宋体"/>
          <w:szCs w:val="21"/>
        </w:rPr>
        <w:t>7.3.4错误修正</w:t>
      </w:r>
      <w:bookmarkEnd w:id="357"/>
    </w:p>
    <w:p>
      <w:pPr>
        <w:spacing w:line="360" w:lineRule="auto"/>
        <w:ind w:firstLine="420" w:firstLineChars="200"/>
        <w:rPr>
          <w:rFonts w:ascii="宋体" w:hAnsi="宋体" w:cs="宋体"/>
          <w:szCs w:val="21"/>
        </w:rPr>
      </w:pPr>
      <w:bookmarkStart w:id="358" w:name="_Toc301187756"/>
      <w:r>
        <w:rPr>
          <w:rFonts w:hint="eastAsia" w:ascii="宋体" w:hAnsi="宋体" w:cs="宋体"/>
          <w:szCs w:val="21"/>
        </w:rPr>
        <w:t>响应文件如果出现计算或表达上的错误，修正错误的原则如下：</w:t>
      </w:r>
      <w:bookmarkEnd w:id="358"/>
    </w:p>
    <w:p>
      <w:pPr>
        <w:spacing w:line="360" w:lineRule="auto"/>
        <w:ind w:firstLine="420" w:firstLineChars="200"/>
        <w:rPr>
          <w:rFonts w:ascii="宋体" w:hAnsi="宋体" w:cs="宋体"/>
          <w:szCs w:val="21"/>
        </w:rPr>
      </w:pPr>
      <w:bookmarkStart w:id="359" w:name="_Toc301187757"/>
      <w:r>
        <w:rPr>
          <w:rFonts w:hint="eastAsia" w:ascii="宋体" w:hAnsi="宋体" w:cs="宋体"/>
          <w:szCs w:val="21"/>
        </w:rPr>
        <w:t>（1）响应文件中磋商一览表内容与响应文件中相应内容不一致的，以磋商一览表为准；</w:t>
      </w:r>
      <w:bookmarkEnd w:id="359"/>
    </w:p>
    <w:p>
      <w:pPr>
        <w:spacing w:line="360" w:lineRule="auto"/>
        <w:ind w:firstLine="420" w:firstLineChars="200"/>
        <w:rPr>
          <w:rFonts w:ascii="宋体" w:hAnsi="宋体" w:cs="宋体"/>
          <w:szCs w:val="21"/>
        </w:rPr>
      </w:pPr>
      <w:bookmarkStart w:id="360" w:name="_Toc301187758"/>
      <w:r>
        <w:rPr>
          <w:rFonts w:hint="eastAsia" w:ascii="宋体" w:hAnsi="宋体" w:cs="宋体"/>
          <w:szCs w:val="21"/>
        </w:rPr>
        <w:t>（2）大写金额和小写金额不一致的，以大写金额为准；</w:t>
      </w:r>
      <w:bookmarkEnd w:id="360"/>
    </w:p>
    <w:p>
      <w:pPr>
        <w:spacing w:line="360" w:lineRule="auto"/>
        <w:ind w:firstLine="420" w:firstLineChars="200"/>
        <w:rPr>
          <w:rFonts w:ascii="宋体" w:hAnsi="宋体" w:cs="宋体"/>
          <w:szCs w:val="21"/>
        </w:rPr>
      </w:pPr>
      <w:bookmarkStart w:id="361" w:name="_Toc301187759"/>
      <w:r>
        <w:rPr>
          <w:rFonts w:hint="eastAsia" w:ascii="宋体" w:hAnsi="宋体" w:cs="宋体"/>
          <w:szCs w:val="21"/>
        </w:rPr>
        <w:t>（3）单价金额小数点或者百分比有明显错位的，以磋商一览表的总价为准，并修改单价；</w:t>
      </w:r>
      <w:bookmarkEnd w:id="361"/>
    </w:p>
    <w:p>
      <w:pPr>
        <w:spacing w:line="360" w:lineRule="auto"/>
        <w:ind w:firstLine="420" w:firstLineChars="200"/>
        <w:rPr>
          <w:rFonts w:ascii="宋体" w:hAnsi="宋体" w:cs="宋体"/>
          <w:szCs w:val="21"/>
        </w:rPr>
      </w:pPr>
      <w:r>
        <w:rPr>
          <w:rFonts w:hint="eastAsia" w:ascii="宋体" w:hAnsi="宋体" w:cs="宋体"/>
          <w:szCs w:val="21"/>
        </w:rPr>
        <w:t>（4）总价金额与按单价汇总金额不一致的，以单价金额计算结果为准；</w:t>
      </w:r>
    </w:p>
    <w:p>
      <w:pPr>
        <w:spacing w:line="360" w:lineRule="auto"/>
        <w:ind w:firstLine="420" w:firstLineChars="200"/>
        <w:rPr>
          <w:rFonts w:ascii="宋体" w:hAnsi="宋体" w:cs="宋体"/>
          <w:szCs w:val="21"/>
        </w:rPr>
      </w:pPr>
      <w:bookmarkStart w:id="362" w:name="_Toc301187760"/>
      <w:r>
        <w:rPr>
          <w:rFonts w:hint="eastAsia" w:ascii="宋体" w:hAnsi="宋体" w:cs="宋体"/>
          <w:szCs w:val="21"/>
        </w:rPr>
        <w:t>（5）对不同文字文本响应文件的解释发生异议的，以中文文本为准</w:t>
      </w:r>
      <w:bookmarkEnd w:id="362"/>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同时出现两种以上不一致的，按照前款规定的顺序修正。修正后的报价按照第6条第一款规定经供应商确认后产生约束力，供应商不确认的，其磋商无效。</w:t>
      </w:r>
    </w:p>
    <w:p>
      <w:pPr>
        <w:spacing w:line="360" w:lineRule="auto"/>
        <w:ind w:firstLine="420" w:firstLineChars="200"/>
        <w:rPr>
          <w:rFonts w:ascii="宋体" w:hAnsi="宋体" w:cs="宋体"/>
          <w:szCs w:val="21"/>
        </w:rPr>
      </w:pPr>
      <w:bookmarkStart w:id="363" w:name="_Toc301187762"/>
      <w:r>
        <w:rPr>
          <w:rFonts w:hint="eastAsia" w:ascii="宋体" w:hAnsi="宋体" w:cs="宋体"/>
          <w:szCs w:val="21"/>
        </w:rPr>
        <w:t>7.3.5</w:t>
      </w:r>
      <w:bookmarkEnd w:id="363"/>
      <w:r>
        <w:rPr>
          <w:rFonts w:hint="eastAsia" w:ascii="宋体" w:hAnsi="宋体" w:cs="宋体"/>
          <w:szCs w:val="21"/>
        </w:rPr>
        <w:t>磋商评审纪律</w:t>
      </w:r>
    </w:p>
    <w:p>
      <w:pPr>
        <w:spacing w:line="360" w:lineRule="auto"/>
        <w:ind w:firstLine="420" w:firstLineChars="200"/>
        <w:rPr>
          <w:rFonts w:ascii="宋体" w:hAnsi="宋体" w:cs="宋体"/>
          <w:szCs w:val="21"/>
        </w:rPr>
      </w:pPr>
      <w:bookmarkStart w:id="364" w:name="_Toc301187763"/>
      <w:r>
        <w:rPr>
          <w:rFonts w:hint="eastAsia" w:ascii="宋体" w:hAnsi="宋体" w:cs="宋体"/>
          <w:szCs w:val="21"/>
        </w:rPr>
        <w:t>（1）磋商小组必须公平、公正、客观，不带任何倾向性和启发性；</w:t>
      </w:r>
      <w:bookmarkEnd w:id="364"/>
    </w:p>
    <w:p>
      <w:pPr>
        <w:spacing w:line="360" w:lineRule="auto"/>
        <w:ind w:firstLine="420" w:firstLineChars="200"/>
        <w:rPr>
          <w:rFonts w:ascii="宋体" w:hAnsi="宋体" w:cs="宋体"/>
          <w:szCs w:val="21"/>
        </w:rPr>
      </w:pPr>
      <w:bookmarkStart w:id="365" w:name="_Toc301187764"/>
      <w:r>
        <w:rPr>
          <w:rFonts w:hint="eastAsia" w:ascii="宋体" w:hAnsi="宋体" w:cs="宋体"/>
          <w:szCs w:val="21"/>
        </w:rPr>
        <w:t>（2）磋商小组及有关工作人员不得向外界透露任何与磋商评审有关的内容；</w:t>
      </w:r>
      <w:bookmarkEnd w:id="365"/>
    </w:p>
    <w:p>
      <w:pPr>
        <w:spacing w:line="360" w:lineRule="auto"/>
        <w:ind w:firstLine="420" w:firstLineChars="200"/>
        <w:rPr>
          <w:rFonts w:ascii="宋体" w:hAnsi="宋体" w:cs="宋体"/>
          <w:szCs w:val="21"/>
        </w:rPr>
      </w:pPr>
      <w:bookmarkStart w:id="366" w:name="_Toc301187765"/>
      <w:r>
        <w:rPr>
          <w:rFonts w:hint="eastAsia" w:ascii="宋体" w:hAnsi="宋体" w:cs="宋体"/>
          <w:szCs w:val="21"/>
        </w:rPr>
        <w:t>（3）任何单位和个人不得干扰、影响磋商评审的正常进行；</w:t>
      </w:r>
      <w:bookmarkEnd w:id="366"/>
    </w:p>
    <w:p>
      <w:pPr>
        <w:spacing w:line="360" w:lineRule="auto"/>
        <w:ind w:firstLine="420" w:firstLineChars="200"/>
        <w:rPr>
          <w:rFonts w:ascii="宋体" w:hAnsi="宋体" w:cs="宋体"/>
          <w:szCs w:val="21"/>
        </w:rPr>
      </w:pPr>
      <w:bookmarkStart w:id="367" w:name="_Toc301187766"/>
      <w:r>
        <w:rPr>
          <w:rFonts w:hint="eastAsia" w:ascii="宋体" w:hAnsi="宋体" w:cs="宋体"/>
          <w:szCs w:val="21"/>
        </w:rPr>
        <w:t>（4）磋商小组及有关工作人员不得私下与供应商接触</w:t>
      </w:r>
      <w:bookmarkEnd w:id="367"/>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（5）在磋商评审过程中撤离职守，影响磋商评审程序正常进行的；</w:t>
      </w:r>
    </w:p>
    <w:p>
      <w:pPr>
        <w:spacing w:line="360" w:lineRule="auto"/>
        <w:ind w:firstLine="420" w:firstLineChars="200"/>
        <w:rPr>
          <w:rFonts w:ascii="宋体" w:hAnsi="宋体" w:cs="宋体"/>
          <w:szCs w:val="21"/>
        </w:rPr>
      </w:pPr>
      <w:r>
        <w:rPr>
          <w:rFonts w:hint="eastAsia" w:ascii="宋体" w:hAnsi="宋体" w:cs="宋体"/>
          <w:szCs w:val="21"/>
        </w:rPr>
        <w:t>（6）记录、复制或者带走任何磋商评审资料；</w:t>
      </w:r>
    </w:p>
    <w:p>
      <w:pPr>
        <w:spacing w:line="360" w:lineRule="auto"/>
        <w:ind w:firstLine="420" w:firstLineChars="200"/>
        <w:rPr>
          <w:rFonts w:ascii="宋体" w:hAnsi="宋体" w:cs="宋体"/>
          <w:szCs w:val="21"/>
        </w:rPr>
      </w:pPr>
      <w:r>
        <w:rPr>
          <w:rFonts w:hint="eastAsia" w:ascii="宋体" w:hAnsi="宋体" w:cs="宋体"/>
          <w:szCs w:val="21"/>
        </w:rPr>
        <w:t>（7）其他不遵守磋商评审纪律的行为。</w:t>
      </w:r>
    </w:p>
    <w:p>
      <w:pPr>
        <w:spacing w:line="360" w:lineRule="auto"/>
        <w:ind w:firstLine="420" w:firstLineChars="200"/>
        <w:rPr>
          <w:rFonts w:ascii="宋体" w:hAnsi="宋体" w:cs="宋体"/>
          <w:szCs w:val="21"/>
        </w:rPr>
      </w:pPr>
      <w:bookmarkStart w:id="368" w:name="_Toc301187767"/>
      <w:r>
        <w:rPr>
          <w:rFonts w:hint="eastAsia" w:ascii="宋体" w:hAnsi="宋体" w:cs="宋体"/>
          <w:szCs w:val="21"/>
        </w:rPr>
        <w:t>7.3.6磋商评审办法</w:t>
      </w:r>
      <w:bookmarkEnd w:id="368"/>
      <w:bookmarkStart w:id="369" w:name="_Toc301187768"/>
      <w:r>
        <w:rPr>
          <w:rFonts w:hint="eastAsia" w:ascii="宋体" w:hAnsi="宋体" w:cs="宋体"/>
          <w:szCs w:val="21"/>
        </w:rPr>
        <w:t>：见供应商须知前附表。</w:t>
      </w:r>
      <w:bookmarkEnd w:id="369"/>
    </w:p>
    <w:p>
      <w:pPr>
        <w:spacing w:line="360" w:lineRule="auto"/>
        <w:ind w:firstLine="420" w:firstLineChars="200"/>
        <w:rPr>
          <w:rFonts w:ascii="宋体" w:hAnsi="宋体" w:cs="宋体"/>
          <w:szCs w:val="21"/>
        </w:rPr>
      </w:pPr>
      <w:r>
        <w:rPr>
          <w:rFonts w:hint="eastAsia" w:ascii="宋体" w:hAnsi="宋体" w:cs="宋体"/>
          <w:szCs w:val="21"/>
        </w:rPr>
        <w:t>7.3.7磋商评审过程的监控</w:t>
      </w:r>
    </w:p>
    <w:p>
      <w:pPr>
        <w:spacing w:line="360" w:lineRule="auto"/>
        <w:ind w:firstLine="420" w:firstLineChars="200"/>
        <w:rPr>
          <w:rFonts w:ascii="宋体" w:hAnsi="宋体" w:cs="宋体"/>
          <w:szCs w:val="21"/>
        </w:rPr>
      </w:pPr>
      <w:r>
        <w:rPr>
          <w:rFonts w:hint="eastAsia" w:ascii="宋体" w:hAnsi="宋体" w:cs="宋体"/>
          <w:szCs w:val="21"/>
        </w:rPr>
        <w:t>本项目磋商评审过程实行全程录音、录像监控，供应商在磋商评审过程中所有进行的试图影响磋商评审结果的不公正活动，可能导致其磋商被拒绝。</w:t>
      </w:r>
    </w:p>
    <w:p>
      <w:pPr>
        <w:spacing w:line="360" w:lineRule="auto"/>
        <w:jc w:val="left"/>
        <w:rPr>
          <w:rFonts w:ascii="宋体" w:hAnsi="宋体" w:cs="宋体"/>
          <w:b/>
          <w:bCs/>
          <w:szCs w:val="21"/>
        </w:rPr>
      </w:pPr>
      <w:bookmarkStart w:id="370" w:name="_Toc359934596"/>
      <w:bookmarkStart w:id="371" w:name="_Toc303756399"/>
      <w:bookmarkStart w:id="372" w:name="_Toc499128603"/>
      <w:bookmarkStart w:id="373" w:name="_Toc8888"/>
      <w:bookmarkStart w:id="374" w:name="_Toc498327058"/>
      <w:bookmarkStart w:id="375" w:name="_Toc301187769"/>
      <w:r>
        <w:rPr>
          <w:rFonts w:hint="eastAsia" w:ascii="宋体" w:hAnsi="宋体" w:cs="宋体"/>
          <w:b/>
          <w:bCs/>
          <w:szCs w:val="21"/>
        </w:rPr>
        <w:t>7.4定标</w:t>
      </w:r>
      <w:bookmarkEnd w:id="370"/>
      <w:bookmarkEnd w:id="371"/>
      <w:bookmarkEnd w:id="372"/>
      <w:bookmarkEnd w:id="373"/>
      <w:bookmarkEnd w:id="374"/>
      <w:bookmarkEnd w:id="375"/>
    </w:p>
    <w:p>
      <w:pPr>
        <w:spacing w:line="360" w:lineRule="auto"/>
        <w:ind w:firstLine="420" w:firstLineChars="200"/>
        <w:rPr>
          <w:rFonts w:ascii="宋体" w:hAnsi="宋体" w:cs="宋体"/>
          <w:szCs w:val="21"/>
        </w:rPr>
      </w:pPr>
      <w:r>
        <w:rPr>
          <w:rFonts w:hint="eastAsia" w:ascii="宋体" w:hAnsi="宋体" w:cs="宋体"/>
          <w:szCs w:val="21"/>
        </w:rPr>
        <w:t>7.4.1本项目由磋商小组推荐成交候选人或经采购人授权直接确定成交供应商。推荐成交候选人家数：见供应商须知前附表。</w:t>
      </w:r>
    </w:p>
    <w:p>
      <w:pPr>
        <w:spacing w:line="360" w:lineRule="auto"/>
        <w:ind w:firstLine="420" w:firstLineChars="200"/>
        <w:rPr>
          <w:rFonts w:ascii="宋体" w:hAnsi="宋体" w:cs="宋体"/>
          <w:szCs w:val="21"/>
        </w:rPr>
      </w:pPr>
      <w:r>
        <w:rPr>
          <w:rFonts w:hint="eastAsia" w:ascii="宋体" w:hAnsi="宋体" w:cs="宋体"/>
          <w:szCs w:val="21"/>
        </w:rPr>
        <w:t>7.4.2定标排序：见第六章 «磋商评审办法及评分标准»。</w:t>
      </w:r>
    </w:p>
    <w:p>
      <w:pPr>
        <w:spacing w:line="360" w:lineRule="auto"/>
        <w:ind w:firstLine="420" w:firstLineChars="200"/>
        <w:rPr>
          <w:rFonts w:ascii="宋体" w:hAnsi="宋体" w:cs="宋体"/>
          <w:szCs w:val="21"/>
        </w:rPr>
      </w:pPr>
      <w:r>
        <w:rPr>
          <w:rFonts w:hint="eastAsia" w:ascii="宋体" w:hAnsi="宋体" w:cs="宋体"/>
          <w:szCs w:val="21"/>
        </w:rPr>
        <w:t>7.4.3合格的供应商不足三家时，采购人根据《中华人民共和国政府采购法》、《政府采购竞争性磋商采购方式管理暂行办法》、《关于政府采购竞争性磋商采购方式管理暂行办法有关问题的补充通知》 (财库〔2015〕124号)以及浙江省相关规定执行。</w:t>
      </w:r>
    </w:p>
    <w:p>
      <w:pPr>
        <w:spacing w:line="360" w:lineRule="auto"/>
        <w:jc w:val="left"/>
        <w:rPr>
          <w:rFonts w:ascii="宋体" w:hAnsi="宋体" w:cs="宋体"/>
          <w:b/>
          <w:bCs/>
          <w:szCs w:val="21"/>
        </w:rPr>
      </w:pPr>
      <w:bookmarkStart w:id="376" w:name="_Toc31748"/>
      <w:r>
        <w:rPr>
          <w:rFonts w:hint="eastAsia" w:ascii="宋体" w:hAnsi="宋体" w:cs="宋体"/>
          <w:b/>
          <w:bCs/>
          <w:szCs w:val="21"/>
        </w:rPr>
        <w:t>7.5 突发情况处理</w:t>
      </w:r>
      <w:bookmarkEnd w:id="376"/>
    </w:p>
    <w:p>
      <w:pPr>
        <w:spacing w:line="360" w:lineRule="auto"/>
        <w:ind w:firstLine="422" w:firstLineChars="200"/>
        <w:rPr>
          <w:rFonts w:ascii="宋体" w:hAnsi="宋体" w:cs="宋体"/>
          <w:b/>
          <w:bCs/>
          <w:szCs w:val="21"/>
        </w:rPr>
      </w:pPr>
      <w:r>
        <w:rPr>
          <w:rFonts w:hint="eastAsia" w:ascii="宋体" w:hAnsi="宋体" w:cs="宋体"/>
          <w:b/>
          <w:bCs/>
          <w:szCs w:val="21"/>
        </w:rPr>
        <w:t>7.5.1采购过程中出现以下情形，导致政采云平台无法正常运行，或者无法保证电子交易的公平、公正和安全时，采购代理机构将中止电子交易活动：</w:t>
      </w:r>
    </w:p>
    <w:p>
      <w:pPr>
        <w:spacing w:line="360" w:lineRule="auto"/>
        <w:ind w:firstLine="420" w:firstLineChars="200"/>
        <w:rPr>
          <w:rFonts w:ascii="宋体" w:hAnsi="宋体" w:cs="宋体"/>
          <w:szCs w:val="21"/>
        </w:rPr>
      </w:pPr>
      <w:r>
        <w:rPr>
          <w:rFonts w:hint="eastAsia" w:ascii="宋体" w:hAnsi="宋体" w:cs="宋体"/>
          <w:szCs w:val="21"/>
        </w:rPr>
        <w:t>⑴电子交易平台发生故障而无法登录访问的； </w:t>
      </w:r>
    </w:p>
    <w:p>
      <w:pPr>
        <w:spacing w:line="360" w:lineRule="auto"/>
        <w:ind w:firstLine="420" w:firstLineChars="200"/>
        <w:rPr>
          <w:rFonts w:ascii="宋体" w:hAnsi="宋体" w:cs="宋体"/>
          <w:szCs w:val="21"/>
        </w:rPr>
      </w:pPr>
      <w:r>
        <w:rPr>
          <w:rFonts w:hint="eastAsia" w:ascii="宋体" w:hAnsi="宋体" w:cs="宋体"/>
          <w:szCs w:val="21"/>
        </w:rPr>
        <w:t>⑵电子交易平台应用或数据库出现错误，不能进行正常操作的；</w:t>
      </w:r>
    </w:p>
    <w:p>
      <w:pPr>
        <w:spacing w:line="360" w:lineRule="auto"/>
        <w:ind w:firstLine="420" w:firstLineChars="200"/>
        <w:rPr>
          <w:rFonts w:ascii="宋体" w:hAnsi="宋体" w:cs="宋体"/>
          <w:szCs w:val="21"/>
        </w:rPr>
      </w:pPr>
      <w:r>
        <w:rPr>
          <w:rFonts w:hint="eastAsia" w:ascii="宋体" w:hAnsi="宋体" w:cs="宋体"/>
          <w:szCs w:val="21"/>
        </w:rPr>
        <w:t>⑶电子交易平台发现严重安全漏洞，有潜在泄密危险的；</w:t>
      </w:r>
    </w:p>
    <w:p>
      <w:pPr>
        <w:spacing w:line="360" w:lineRule="auto"/>
        <w:ind w:firstLine="420" w:firstLineChars="200"/>
        <w:rPr>
          <w:rFonts w:ascii="宋体" w:hAnsi="宋体" w:cs="宋体"/>
          <w:szCs w:val="21"/>
        </w:rPr>
      </w:pPr>
      <w:r>
        <w:rPr>
          <w:rFonts w:hint="eastAsia" w:ascii="宋体" w:hAnsi="宋体" w:cs="宋体"/>
          <w:szCs w:val="21"/>
        </w:rPr>
        <w:t>⑷病毒发作导致不能进行正常操作的； </w:t>
      </w:r>
    </w:p>
    <w:p>
      <w:pPr>
        <w:spacing w:line="360" w:lineRule="auto"/>
        <w:ind w:firstLine="420" w:firstLineChars="200"/>
        <w:rPr>
          <w:rFonts w:ascii="宋体" w:hAnsi="宋体" w:cs="宋体"/>
          <w:szCs w:val="21"/>
        </w:rPr>
      </w:pPr>
      <w:r>
        <w:rPr>
          <w:rFonts w:hint="eastAsia" w:ascii="宋体" w:hAnsi="宋体" w:cs="宋体"/>
          <w:szCs w:val="21"/>
        </w:rPr>
        <w:t>⑸其他无法保证电子交易的公平、公正和安全的情况。</w:t>
      </w:r>
    </w:p>
    <w:p>
      <w:pPr>
        <w:spacing w:line="360" w:lineRule="auto"/>
        <w:ind w:firstLine="420" w:firstLineChars="200"/>
        <w:rPr>
          <w:rFonts w:ascii="宋体" w:hAnsi="宋体" w:cs="宋体"/>
          <w:szCs w:val="21"/>
        </w:rPr>
      </w:pPr>
      <w:r>
        <w:rPr>
          <w:rFonts w:hint="eastAsia" w:ascii="宋体" w:hAnsi="宋体" w:cs="宋体"/>
          <w:szCs w:val="21"/>
        </w:rPr>
        <w:t>出现前款规定情形，不影响采购公平、公正性的，采购代理机构可以待上述情形消除后继续组织电子交易活动，也可以决定某些环节以纸质形式进行；影响或可能影响采购公平、公正性的，应当重新采购。</w:t>
      </w:r>
    </w:p>
    <w:p>
      <w:pPr>
        <w:spacing w:line="360" w:lineRule="auto"/>
        <w:ind w:firstLine="420" w:firstLineChars="200"/>
        <w:rPr>
          <w:rFonts w:ascii="宋体" w:hAnsi="宋体" w:cs="宋体"/>
          <w:szCs w:val="21"/>
        </w:rPr>
      </w:pPr>
      <w:r>
        <w:rPr>
          <w:rFonts w:hint="eastAsia" w:ascii="宋体" w:hAnsi="宋体" w:cs="宋体"/>
          <w:szCs w:val="21"/>
        </w:rPr>
        <w:t>7.5.2供应商未按时在线解密的，应当在解密时间内向采购代理机构提供备份响应文件。</w:t>
      </w:r>
    </w:p>
    <w:p>
      <w:pPr>
        <w:spacing w:line="360" w:lineRule="auto"/>
        <w:ind w:firstLine="420" w:firstLineChars="200"/>
        <w:rPr>
          <w:rFonts w:ascii="宋体" w:hAnsi="宋体" w:cs="宋体"/>
          <w:szCs w:val="21"/>
        </w:rPr>
      </w:pPr>
      <w:r>
        <w:rPr>
          <w:rFonts w:hint="eastAsia" w:ascii="宋体" w:hAnsi="宋体" w:cs="宋体"/>
          <w:szCs w:val="21"/>
        </w:rPr>
        <w:t>7.5.3采购代理机构或评审小组因不可抗力（不可抗力包括但不限于自然灾害、断电、传播疫病等）原因造成电子交易活动无法正常运行的，将采取以下措施：</w:t>
      </w:r>
    </w:p>
    <w:p>
      <w:pPr>
        <w:spacing w:line="360" w:lineRule="auto"/>
        <w:ind w:firstLine="420" w:firstLineChars="200"/>
        <w:rPr>
          <w:rFonts w:ascii="宋体" w:hAnsi="宋体" w:cs="宋体"/>
          <w:szCs w:val="21"/>
        </w:rPr>
      </w:pPr>
      <w:r>
        <w:rPr>
          <w:rFonts w:hint="eastAsia" w:ascii="宋体" w:hAnsi="宋体" w:cs="宋体"/>
          <w:szCs w:val="21"/>
        </w:rPr>
        <w:t>⑴短时间内能消除不可抗力因素的，采购代理机构或评审小组在消除不可抗力因素后继续组织电子交易活动。</w:t>
      </w:r>
    </w:p>
    <w:p>
      <w:pPr>
        <w:spacing w:line="360" w:lineRule="auto"/>
        <w:ind w:firstLine="420" w:firstLineChars="200"/>
        <w:rPr>
          <w:rFonts w:ascii="宋体" w:hAnsi="宋体" w:cs="宋体"/>
          <w:szCs w:val="21"/>
        </w:rPr>
      </w:pPr>
      <w:r>
        <w:rPr>
          <w:rFonts w:hint="eastAsia" w:ascii="宋体" w:hAnsi="宋体" w:cs="宋体"/>
          <w:szCs w:val="21"/>
        </w:rPr>
        <w:t>⑵长时间内无法消除不可抗力因素的，采购代理机构或评审小组将中止电子交易活动。</w:t>
      </w:r>
    </w:p>
    <w:p>
      <w:pPr>
        <w:spacing w:line="360" w:lineRule="auto"/>
        <w:ind w:firstLine="420" w:firstLineChars="200"/>
        <w:rPr>
          <w:rFonts w:ascii="宋体" w:hAnsi="宋体" w:cs="宋体"/>
          <w:szCs w:val="21"/>
        </w:rPr>
      </w:pPr>
      <w:r>
        <w:rPr>
          <w:rFonts w:hint="eastAsia" w:ascii="宋体" w:hAnsi="宋体" w:cs="宋体"/>
          <w:szCs w:val="21"/>
        </w:rPr>
        <w:t>7.5.4中止电子交易活动的，采购人应当重新组织政府采购活动。</w:t>
      </w:r>
    </w:p>
    <w:p>
      <w:pPr>
        <w:pStyle w:val="4"/>
        <w:spacing w:line="348" w:lineRule="auto"/>
        <w:rPr>
          <w:rFonts w:ascii="宋体" w:hAnsi="宋体" w:cs="宋体"/>
          <w:sz w:val="24"/>
          <w:szCs w:val="24"/>
        </w:rPr>
      </w:pPr>
      <w:bookmarkStart w:id="377" w:name="_Toc913"/>
      <w:bookmarkStart w:id="378" w:name="_Toc21377"/>
      <w:bookmarkStart w:id="379" w:name="_Toc498327059"/>
      <w:bookmarkStart w:id="380" w:name="_Toc8446"/>
      <w:bookmarkStart w:id="381" w:name="_Toc303756400"/>
      <w:bookmarkStart w:id="382" w:name="_Toc301187772"/>
      <w:bookmarkStart w:id="383" w:name="_Toc499128604"/>
      <w:bookmarkStart w:id="384" w:name="_Toc359934597"/>
      <w:r>
        <w:rPr>
          <w:rFonts w:hint="eastAsia" w:ascii="宋体" w:hAnsi="宋体" w:cs="宋体"/>
          <w:sz w:val="24"/>
          <w:szCs w:val="24"/>
        </w:rPr>
        <w:t>8．成交和合同</w:t>
      </w:r>
      <w:bookmarkEnd w:id="377"/>
      <w:bookmarkEnd w:id="378"/>
      <w:bookmarkEnd w:id="379"/>
      <w:bookmarkEnd w:id="380"/>
      <w:bookmarkEnd w:id="381"/>
      <w:bookmarkEnd w:id="382"/>
      <w:bookmarkEnd w:id="383"/>
      <w:bookmarkEnd w:id="384"/>
    </w:p>
    <w:p>
      <w:pPr>
        <w:spacing w:line="360" w:lineRule="auto"/>
        <w:jc w:val="left"/>
        <w:rPr>
          <w:rFonts w:ascii="宋体" w:hAnsi="宋体" w:cs="宋体"/>
          <w:b/>
          <w:bCs/>
          <w:szCs w:val="21"/>
        </w:rPr>
      </w:pPr>
      <w:bookmarkStart w:id="385" w:name="_Toc301187776"/>
      <w:bookmarkStart w:id="386" w:name="_Toc498327060"/>
      <w:bookmarkStart w:id="387" w:name="_Toc303756402"/>
      <w:bookmarkStart w:id="388" w:name="_Toc359934599"/>
      <w:bookmarkStart w:id="389" w:name="_Toc13697"/>
      <w:bookmarkStart w:id="390" w:name="_Toc499128605"/>
      <w:r>
        <w:rPr>
          <w:rFonts w:hint="eastAsia" w:ascii="宋体" w:hAnsi="宋体" w:cs="宋体"/>
          <w:b/>
          <w:bCs/>
          <w:szCs w:val="21"/>
        </w:rPr>
        <w:t>8.1</w:t>
      </w:r>
      <w:bookmarkEnd w:id="385"/>
      <w:bookmarkEnd w:id="386"/>
      <w:bookmarkEnd w:id="387"/>
      <w:bookmarkEnd w:id="388"/>
      <w:bookmarkEnd w:id="389"/>
      <w:bookmarkEnd w:id="390"/>
      <w:r>
        <w:rPr>
          <w:rFonts w:hint="eastAsia" w:ascii="宋体" w:hAnsi="宋体" w:cs="宋体"/>
          <w:b/>
          <w:bCs/>
          <w:szCs w:val="21"/>
        </w:rPr>
        <w:t>成交</w:t>
      </w:r>
    </w:p>
    <w:p>
      <w:pPr>
        <w:spacing w:line="360" w:lineRule="auto"/>
        <w:ind w:firstLine="420" w:firstLineChars="200"/>
        <w:rPr>
          <w:rFonts w:ascii="宋体" w:hAnsi="宋体" w:cs="宋体"/>
          <w:szCs w:val="21"/>
        </w:rPr>
      </w:pPr>
      <w:bookmarkStart w:id="391" w:name="_Toc301187777"/>
      <w:bookmarkStart w:id="392" w:name="_Toc498327061"/>
      <w:bookmarkStart w:id="393" w:name="_Toc301187783"/>
      <w:bookmarkStart w:id="394" w:name="_Toc359934600"/>
      <w:bookmarkStart w:id="395" w:name="_Toc303756403"/>
      <w:bookmarkStart w:id="396" w:name="_Toc499128606"/>
      <w:bookmarkStart w:id="397" w:name="_Toc24741"/>
      <w:r>
        <w:rPr>
          <w:rFonts w:hint="eastAsia" w:ascii="宋体" w:hAnsi="宋体" w:cs="宋体"/>
          <w:szCs w:val="21"/>
        </w:rPr>
        <w:t>8.1.1采购代理机构在磋商评审结束后2个工作日内将磋商评审报告提交采购人确认。</w:t>
      </w:r>
    </w:p>
    <w:p>
      <w:pPr>
        <w:spacing w:line="360" w:lineRule="auto"/>
        <w:ind w:firstLine="420" w:firstLineChars="200"/>
        <w:rPr>
          <w:rFonts w:ascii="宋体" w:hAnsi="宋体" w:cs="宋体"/>
          <w:szCs w:val="21"/>
        </w:rPr>
      </w:pPr>
      <w:r>
        <w:rPr>
          <w:rFonts w:hint="eastAsia" w:ascii="宋体" w:hAnsi="宋体" w:cs="宋体"/>
          <w:szCs w:val="21"/>
        </w:rPr>
        <w:t>8.1.2采购人应当自收到磋商评审报告之日起10个工作日内，在磋商评审报告确定的成交候选人名单中按顺序确定成交供应商。</w:t>
      </w:r>
    </w:p>
    <w:p>
      <w:pPr>
        <w:spacing w:line="360" w:lineRule="auto"/>
        <w:ind w:firstLine="420" w:firstLineChars="200"/>
        <w:rPr>
          <w:rFonts w:ascii="宋体" w:hAnsi="宋体" w:cs="宋体"/>
          <w:szCs w:val="21"/>
        </w:rPr>
      </w:pPr>
      <w:r>
        <w:rPr>
          <w:rFonts w:hint="eastAsia" w:ascii="宋体" w:hAnsi="宋体" w:cs="宋体"/>
          <w:szCs w:val="21"/>
        </w:rPr>
        <w:t>8.1.3采购人在收到磋商评审报告10个工作日内未按磋商评审报告推荐的成交候选人名单确定成交供应商，又不能说明合法理由的，视同按磋商评审报告推荐的成交候选人名单确定成交供应商。</w:t>
      </w:r>
    </w:p>
    <w:bookmarkEnd w:id="391"/>
    <w:p>
      <w:pPr>
        <w:spacing w:line="360" w:lineRule="auto"/>
        <w:ind w:firstLine="420" w:firstLineChars="200"/>
        <w:rPr>
          <w:rFonts w:ascii="宋体" w:hAnsi="宋体" w:cs="宋体"/>
          <w:szCs w:val="21"/>
        </w:rPr>
      </w:pPr>
      <w:bookmarkStart w:id="398" w:name="_Toc301187778"/>
      <w:r>
        <w:rPr>
          <w:rFonts w:hint="eastAsia" w:ascii="宋体" w:hAnsi="宋体" w:cs="宋体"/>
          <w:szCs w:val="21"/>
        </w:rPr>
        <w:t>8.1.4采购人原则上应当按照排名顺序确定排名第一的成交候选人为成交供应商，排名第一的成交候选人出现下列情形之一的，除采购任务取消外，应重新组织招标：</w:t>
      </w:r>
      <w:bookmarkEnd w:id="398"/>
    </w:p>
    <w:p>
      <w:pPr>
        <w:spacing w:line="360" w:lineRule="auto"/>
        <w:ind w:firstLine="420" w:firstLineChars="200"/>
        <w:rPr>
          <w:rFonts w:ascii="宋体" w:hAnsi="宋体" w:cs="宋体"/>
          <w:szCs w:val="21"/>
        </w:rPr>
      </w:pPr>
      <w:bookmarkStart w:id="399" w:name="_Toc301187779"/>
      <w:r>
        <w:rPr>
          <w:rFonts w:hint="eastAsia" w:ascii="宋体" w:hAnsi="宋体" w:cs="宋体"/>
          <w:szCs w:val="21"/>
        </w:rPr>
        <w:t>（1）</w:t>
      </w:r>
      <w:bookmarkEnd w:id="399"/>
      <w:r>
        <w:rPr>
          <w:rFonts w:hint="eastAsia" w:ascii="宋体" w:hAnsi="宋体" w:cs="宋体"/>
          <w:szCs w:val="21"/>
        </w:rPr>
        <w:t>成交候选人因采购人标后复核不通过或自身原因放弃中标中标或因不可抗力不能履行合同的；</w:t>
      </w:r>
    </w:p>
    <w:p>
      <w:pPr>
        <w:spacing w:line="360" w:lineRule="auto"/>
        <w:ind w:firstLine="420" w:firstLineChars="200"/>
        <w:rPr>
          <w:rFonts w:ascii="宋体" w:hAnsi="宋体" w:cs="宋体"/>
          <w:szCs w:val="21"/>
        </w:rPr>
      </w:pPr>
      <w:bookmarkStart w:id="400" w:name="_Toc301187781"/>
      <w:r>
        <w:rPr>
          <w:rFonts w:hint="eastAsia" w:ascii="宋体" w:hAnsi="宋体" w:cs="宋体"/>
          <w:szCs w:val="21"/>
        </w:rPr>
        <w:t>（2）经质疑，采购人审查确认因成交候选人在本次采购活动中存在违法违规行为或其他原因使质疑成立的。</w:t>
      </w:r>
      <w:bookmarkEnd w:id="400"/>
    </w:p>
    <w:p>
      <w:pPr>
        <w:spacing w:line="360" w:lineRule="auto"/>
        <w:jc w:val="left"/>
        <w:rPr>
          <w:rFonts w:ascii="宋体" w:hAnsi="宋体" w:cs="宋体"/>
          <w:b/>
          <w:bCs/>
          <w:szCs w:val="21"/>
        </w:rPr>
      </w:pPr>
      <w:r>
        <w:rPr>
          <w:rFonts w:hint="eastAsia" w:ascii="宋体" w:hAnsi="宋体" w:cs="宋体"/>
          <w:b/>
          <w:bCs/>
          <w:szCs w:val="21"/>
        </w:rPr>
        <w:t>8.2追加采购</w:t>
      </w:r>
      <w:bookmarkEnd w:id="392"/>
      <w:bookmarkEnd w:id="393"/>
      <w:bookmarkEnd w:id="394"/>
      <w:bookmarkEnd w:id="395"/>
      <w:r>
        <w:rPr>
          <w:rFonts w:hint="eastAsia" w:ascii="宋体" w:hAnsi="宋体" w:cs="宋体"/>
          <w:b/>
          <w:bCs/>
          <w:szCs w:val="21"/>
        </w:rPr>
        <w:t>合同标的</w:t>
      </w:r>
      <w:bookmarkEnd w:id="396"/>
      <w:bookmarkEnd w:id="397"/>
    </w:p>
    <w:p>
      <w:pPr>
        <w:spacing w:line="360" w:lineRule="auto"/>
        <w:ind w:firstLine="420" w:firstLineChars="200"/>
        <w:rPr>
          <w:rFonts w:ascii="宋体" w:hAnsi="宋体" w:cs="宋体"/>
          <w:szCs w:val="21"/>
        </w:rPr>
      </w:pPr>
      <w:bookmarkStart w:id="401" w:name="_Toc301187784"/>
      <w:r>
        <w:rPr>
          <w:rFonts w:hint="eastAsia" w:ascii="宋体" w:hAnsi="宋体" w:cs="宋体"/>
          <w:szCs w:val="21"/>
        </w:rPr>
        <w:t>政府采购合同履行中，采购人需追加与合同标的相同的货物、工程或服务的，在不改变合同其他条款的前提下，可以与供应商签订补充合同，但所有补充合同的采购金额不得超过原合同采购金额的百分之十。</w:t>
      </w:r>
      <w:bookmarkEnd w:id="401"/>
    </w:p>
    <w:p>
      <w:pPr>
        <w:spacing w:line="360" w:lineRule="auto"/>
        <w:jc w:val="left"/>
        <w:rPr>
          <w:rFonts w:ascii="宋体" w:hAnsi="宋体" w:cs="宋体"/>
          <w:b/>
          <w:bCs/>
          <w:szCs w:val="21"/>
        </w:rPr>
      </w:pPr>
      <w:bookmarkStart w:id="402" w:name="_Toc301187785"/>
      <w:bookmarkStart w:id="403" w:name="_Toc498327062"/>
      <w:bookmarkStart w:id="404" w:name="_Toc8479"/>
      <w:bookmarkStart w:id="405" w:name="_Toc499128607"/>
      <w:bookmarkStart w:id="406" w:name="_Toc303756404"/>
      <w:bookmarkStart w:id="407" w:name="_Toc359934601"/>
      <w:r>
        <w:rPr>
          <w:rFonts w:hint="eastAsia" w:ascii="宋体" w:hAnsi="宋体" w:cs="宋体"/>
          <w:b/>
          <w:bCs/>
          <w:szCs w:val="21"/>
        </w:rPr>
        <w:t>8.3</w:t>
      </w:r>
      <w:bookmarkEnd w:id="402"/>
      <w:bookmarkEnd w:id="403"/>
      <w:bookmarkEnd w:id="404"/>
      <w:bookmarkEnd w:id="405"/>
      <w:bookmarkEnd w:id="406"/>
      <w:bookmarkEnd w:id="407"/>
      <w:r>
        <w:rPr>
          <w:rFonts w:hint="eastAsia" w:ascii="宋体" w:hAnsi="宋体" w:cs="宋体"/>
          <w:b/>
          <w:bCs/>
          <w:szCs w:val="21"/>
        </w:rPr>
        <w:t xml:space="preserve">成交结果 </w:t>
      </w:r>
    </w:p>
    <w:p>
      <w:pPr>
        <w:spacing w:line="360" w:lineRule="auto"/>
        <w:ind w:firstLine="420" w:firstLineChars="200"/>
        <w:rPr>
          <w:rFonts w:ascii="宋体" w:hAnsi="宋体" w:cs="宋体"/>
          <w:szCs w:val="21"/>
        </w:rPr>
      </w:pPr>
      <w:bookmarkStart w:id="408" w:name="_Toc301187790"/>
      <w:bookmarkStart w:id="409" w:name="_Toc301187791"/>
      <w:bookmarkStart w:id="410" w:name="_Toc303756405"/>
      <w:bookmarkStart w:id="411" w:name="_Toc26161"/>
      <w:bookmarkStart w:id="412" w:name="_Toc359934602"/>
      <w:bookmarkStart w:id="413" w:name="_Toc498327063"/>
      <w:bookmarkStart w:id="414" w:name="_Toc499128608"/>
      <w:r>
        <w:rPr>
          <w:rFonts w:hint="eastAsia" w:ascii="宋体" w:hAnsi="宋体" w:cs="宋体"/>
          <w:szCs w:val="21"/>
        </w:rPr>
        <w:t>8.3.1成交供应商经采购人按8.3.1条款进行复核且通过的，采购人将按8.1.4条款确定成交供应商，采购人应当自成交供应商确定之日起2个工作日内，发出成交通知书，并在省级以上人民政府财政部门指定的媒体上公告成交结果。</w:t>
      </w:r>
    </w:p>
    <w:p>
      <w:pPr>
        <w:spacing w:line="360" w:lineRule="auto"/>
        <w:ind w:firstLine="420" w:firstLineChars="200"/>
        <w:rPr>
          <w:rFonts w:ascii="宋体" w:hAnsi="宋体" w:cs="宋体"/>
          <w:szCs w:val="21"/>
        </w:rPr>
      </w:pPr>
      <w:r>
        <w:rPr>
          <w:rFonts w:hint="eastAsia" w:ascii="宋体" w:hAnsi="宋体" w:cs="宋体"/>
          <w:szCs w:val="21"/>
        </w:rPr>
        <w:t>8.3.2在公告成交结果的同时，采购人或者采购代理机构应当向成交供应商发出成交通知书。</w:t>
      </w:r>
    </w:p>
    <w:p>
      <w:pPr>
        <w:spacing w:line="360" w:lineRule="auto"/>
        <w:ind w:firstLine="420" w:firstLineChars="200"/>
        <w:rPr>
          <w:rFonts w:ascii="宋体" w:hAnsi="宋体" w:cs="宋体"/>
          <w:szCs w:val="21"/>
        </w:rPr>
      </w:pPr>
      <w:r>
        <w:rPr>
          <w:rFonts w:hint="eastAsia" w:ascii="宋体" w:hAnsi="宋体" w:cs="宋体"/>
          <w:szCs w:val="21"/>
        </w:rPr>
        <w:t>8.3.3</w:t>
      </w:r>
      <w:bookmarkEnd w:id="408"/>
      <w:r>
        <w:rPr>
          <w:rFonts w:hint="eastAsia" w:ascii="宋体" w:hAnsi="宋体" w:cs="宋体"/>
          <w:szCs w:val="21"/>
        </w:rPr>
        <w:t>成交通知书发出后，采购人不得违法改变成交结果，成交供应商无正当理由不得放弃成交项目。</w:t>
      </w:r>
    </w:p>
    <w:p>
      <w:pPr>
        <w:spacing w:line="360" w:lineRule="auto"/>
        <w:jc w:val="left"/>
        <w:rPr>
          <w:rFonts w:ascii="宋体" w:hAnsi="宋体" w:cs="宋体"/>
          <w:b/>
          <w:bCs/>
          <w:szCs w:val="21"/>
        </w:rPr>
      </w:pPr>
      <w:r>
        <w:rPr>
          <w:rFonts w:hint="eastAsia" w:ascii="宋体" w:hAnsi="宋体" w:cs="宋体"/>
          <w:b/>
          <w:bCs/>
          <w:szCs w:val="21"/>
        </w:rPr>
        <w:t>8.4合同</w:t>
      </w:r>
      <w:bookmarkEnd w:id="409"/>
      <w:bookmarkEnd w:id="410"/>
      <w:r>
        <w:rPr>
          <w:rFonts w:hint="eastAsia" w:ascii="宋体" w:hAnsi="宋体" w:cs="宋体"/>
          <w:b/>
          <w:bCs/>
          <w:szCs w:val="21"/>
        </w:rPr>
        <w:t>签订</w:t>
      </w:r>
      <w:bookmarkEnd w:id="411"/>
      <w:bookmarkEnd w:id="412"/>
      <w:bookmarkEnd w:id="413"/>
      <w:bookmarkEnd w:id="414"/>
    </w:p>
    <w:p>
      <w:pPr>
        <w:spacing w:line="360" w:lineRule="auto"/>
        <w:ind w:firstLine="422" w:firstLineChars="200"/>
        <w:rPr>
          <w:rFonts w:ascii="宋体" w:hAnsi="宋体" w:cs="宋体"/>
          <w:b/>
          <w:bCs/>
          <w:szCs w:val="21"/>
        </w:rPr>
      </w:pPr>
      <w:bookmarkStart w:id="415" w:name="_Toc301187792"/>
      <w:r>
        <w:rPr>
          <w:rFonts w:hint="eastAsia" w:ascii="宋体" w:hAnsi="宋体" w:cs="宋体"/>
          <w:b/>
          <w:bCs/>
          <w:szCs w:val="21"/>
        </w:rPr>
        <w:t>8.4.1</w:t>
      </w:r>
      <w:bookmarkEnd w:id="415"/>
      <w:r>
        <w:rPr>
          <w:rFonts w:hint="eastAsia" w:ascii="宋体" w:hAnsi="宋体" w:cs="宋体"/>
          <w:b/>
          <w:bCs/>
          <w:szCs w:val="21"/>
        </w:rPr>
        <w:t>采购人与成交供应商应当在成交公告发布之日起30日内，按照竞争性磋商文件确定的事项签订政府采购合同。政府采购合同不得对竞争性磋商文件作出实质性修改。</w:t>
      </w:r>
    </w:p>
    <w:p>
      <w:pPr>
        <w:spacing w:line="360" w:lineRule="auto"/>
        <w:ind w:firstLine="420" w:firstLineChars="200"/>
        <w:rPr>
          <w:rFonts w:ascii="宋体" w:hAnsi="宋体" w:cs="宋体"/>
          <w:szCs w:val="21"/>
        </w:rPr>
      </w:pPr>
      <w:bookmarkStart w:id="416" w:name="_Toc301187793"/>
      <w:r>
        <w:rPr>
          <w:rFonts w:hint="eastAsia" w:ascii="宋体" w:hAnsi="宋体" w:cs="宋体"/>
          <w:szCs w:val="21"/>
        </w:rPr>
        <w:t>8.4.2如成交供应商不按成交通知书中规定时间、地点以及磋商时的承诺与采购人签订合同，则按成交供应商违约处理。</w:t>
      </w:r>
      <w:bookmarkEnd w:id="416"/>
    </w:p>
    <w:p>
      <w:pPr>
        <w:spacing w:line="360" w:lineRule="auto"/>
        <w:ind w:firstLine="420" w:firstLineChars="200"/>
        <w:rPr>
          <w:rFonts w:ascii="宋体" w:hAnsi="宋体" w:cs="宋体"/>
          <w:szCs w:val="21"/>
        </w:rPr>
      </w:pPr>
      <w:r>
        <w:rPr>
          <w:rFonts w:hint="eastAsia" w:ascii="宋体" w:hAnsi="宋体" w:cs="宋体"/>
          <w:szCs w:val="21"/>
        </w:rPr>
        <w:t>8.4.3付款条件：见供应商须知前附表。</w:t>
      </w:r>
    </w:p>
    <w:p>
      <w:pPr>
        <w:spacing w:line="360" w:lineRule="auto"/>
        <w:ind w:firstLine="420" w:firstLineChars="200"/>
        <w:rPr>
          <w:rFonts w:ascii="宋体" w:hAnsi="宋体" w:cs="宋体"/>
          <w:szCs w:val="21"/>
        </w:rPr>
      </w:pPr>
      <w:r>
        <w:rPr>
          <w:rFonts w:hint="eastAsia" w:ascii="宋体" w:hAnsi="宋体" w:cs="宋体"/>
          <w:szCs w:val="21"/>
        </w:rPr>
        <w:t>8.4.4付款方式：见供应商须知前附表。</w:t>
      </w:r>
    </w:p>
    <w:p>
      <w:pPr>
        <w:pStyle w:val="4"/>
        <w:spacing w:line="360" w:lineRule="auto"/>
        <w:rPr>
          <w:rFonts w:ascii="宋体" w:hAnsi="宋体" w:cs="宋体"/>
          <w:sz w:val="24"/>
          <w:szCs w:val="24"/>
        </w:rPr>
      </w:pPr>
      <w:bookmarkStart w:id="417" w:name="_Toc24299"/>
      <w:bookmarkStart w:id="418" w:name="_Toc499128609"/>
      <w:bookmarkStart w:id="419" w:name="_Toc303756406"/>
      <w:bookmarkStart w:id="420" w:name="_Toc2888"/>
      <w:bookmarkStart w:id="421" w:name="_Toc359934603"/>
      <w:bookmarkStart w:id="422" w:name="_Toc498327064"/>
      <w:bookmarkStart w:id="423" w:name="_Toc301187794"/>
      <w:bookmarkStart w:id="424" w:name="_Toc25457"/>
      <w:bookmarkStart w:id="425" w:name="_Toc15813254"/>
      <w:bookmarkStart w:id="426" w:name="_Toc44759086"/>
      <w:bookmarkStart w:id="427" w:name="_Toc15805937"/>
      <w:bookmarkStart w:id="428" w:name="_Toc44759274"/>
      <w:r>
        <w:rPr>
          <w:rFonts w:hint="eastAsia" w:ascii="宋体" w:hAnsi="宋体" w:cs="宋体"/>
          <w:sz w:val="24"/>
          <w:szCs w:val="24"/>
        </w:rPr>
        <w:t>9．履约保证金</w:t>
      </w:r>
      <w:bookmarkEnd w:id="417"/>
      <w:bookmarkEnd w:id="418"/>
      <w:bookmarkEnd w:id="419"/>
      <w:bookmarkEnd w:id="420"/>
      <w:bookmarkEnd w:id="421"/>
      <w:bookmarkEnd w:id="422"/>
      <w:bookmarkEnd w:id="423"/>
      <w:bookmarkEnd w:id="424"/>
    </w:p>
    <w:p>
      <w:pPr>
        <w:spacing w:line="360" w:lineRule="auto"/>
        <w:jc w:val="left"/>
        <w:rPr>
          <w:rFonts w:ascii="宋体" w:hAnsi="宋体" w:cs="宋体"/>
          <w:b/>
          <w:bCs/>
          <w:szCs w:val="21"/>
        </w:rPr>
      </w:pPr>
      <w:bookmarkStart w:id="429" w:name="_Toc515526199"/>
      <w:bookmarkStart w:id="430" w:name="_Toc208886771"/>
      <w:bookmarkStart w:id="431" w:name="_Toc283042122"/>
      <w:bookmarkStart w:id="432" w:name="_Toc359934604"/>
      <w:bookmarkStart w:id="433" w:name="_Toc499128613"/>
      <w:bookmarkStart w:id="434" w:name="_Toc301187800"/>
      <w:bookmarkStart w:id="435" w:name="_Toc498327068"/>
      <w:bookmarkStart w:id="436" w:name="_Toc303756407"/>
      <w:r>
        <w:rPr>
          <w:rFonts w:hint="eastAsia" w:ascii="宋体" w:hAnsi="宋体" w:cs="宋体"/>
          <w:b/>
          <w:bCs/>
          <w:szCs w:val="21"/>
        </w:rPr>
        <w:t>9.1履约保证金</w:t>
      </w:r>
      <w:bookmarkEnd w:id="429"/>
    </w:p>
    <w:p>
      <w:pPr>
        <w:spacing w:line="360" w:lineRule="auto"/>
        <w:ind w:firstLine="420" w:firstLineChars="200"/>
        <w:rPr>
          <w:rFonts w:ascii="宋体" w:hAnsi="宋体" w:cs="宋体"/>
          <w:szCs w:val="21"/>
        </w:rPr>
      </w:pPr>
      <w:bookmarkStart w:id="437" w:name="_Toc515526200"/>
      <w:r>
        <w:rPr>
          <w:rFonts w:hint="eastAsia" w:ascii="宋体" w:hAnsi="宋体" w:cs="宋体"/>
          <w:szCs w:val="21"/>
        </w:rPr>
        <w:t xml:space="preserve">9.1.1履约保证金：见供应商须知前附表。签订合同前，成交供应商必须按本条规定的要求向采购人交纳履约保证金。 </w:t>
      </w:r>
    </w:p>
    <w:p>
      <w:pPr>
        <w:spacing w:line="360" w:lineRule="auto"/>
        <w:ind w:firstLine="420" w:firstLineChars="200"/>
        <w:rPr>
          <w:rFonts w:ascii="宋体" w:hAnsi="宋体" w:cs="宋体"/>
          <w:szCs w:val="21"/>
        </w:rPr>
      </w:pPr>
      <w:r>
        <w:rPr>
          <w:rFonts w:hint="eastAsia" w:ascii="宋体" w:hAnsi="宋体" w:cs="宋体"/>
          <w:szCs w:val="21"/>
        </w:rPr>
        <w:t>9.1.2如果成交供应商没能按第9.1.1条规定执行，采购人将有权取消其成交资格，并有权将标授予第二成交候选人或重新组织采购，履约保证金不足以赔偿损失的，按实际损失赔偿。</w:t>
      </w:r>
    </w:p>
    <w:p>
      <w:pPr>
        <w:spacing w:line="360" w:lineRule="auto"/>
        <w:ind w:firstLine="420" w:firstLineChars="200"/>
        <w:rPr>
          <w:rFonts w:ascii="宋体" w:hAnsi="宋体" w:cs="宋体"/>
          <w:szCs w:val="21"/>
        </w:rPr>
      </w:pPr>
      <w:r>
        <w:rPr>
          <w:rFonts w:hint="eastAsia" w:ascii="宋体" w:hAnsi="宋体" w:cs="宋体"/>
          <w:szCs w:val="21"/>
        </w:rPr>
        <w:t>9.1.3在履约期间，成交供应商不履行竞争性磋商文件和响应文件规定及相关承诺的，采购人有权不予返还履约保证金。</w:t>
      </w:r>
    </w:p>
    <w:p>
      <w:pPr>
        <w:spacing w:line="360" w:lineRule="auto"/>
        <w:jc w:val="left"/>
        <w:rPr>
          <w:rFonts w:ascii="宋体" w:hAnsi="宋体" w:cs="宋体"/>
          <w:b/>
          <w:bCs/>
          <w:szCs w:val="21"/>
        </w:rPr>
      </w:pPr>
      <w:r>
        <w:rPr>
          <w:rFonts w:hint="eastAsia" w:ascii="宋体" w:hAnsi="宋体" w:cs="宋体"/>
          <w:b/>
          <w:bCs/>
          <w:szCs w:val="21"/>
        </w:rPr>
        <w:t>9.2质保期</w:t>
      </w:r>
      <w:bookmarkEnd w:id="437"/>
    </w:p>
    <w:p>
      <w:pPr>
        <w:spacing w:line="360" w:lineRule="auto"/>
        <w:ind w:firstLine="420" w:firstLineChars="200"/>
        <w:rPr>
          <w:rFonts w:ascii="宋体" w:hAnsi="宋体" w:cs="宋体"/>
          <w:szCs w:val="21"/>
        </w:rPr>
      </w:pPr>
      <w:r>
        <w:rPr>
          <w:rFonts w:hint="eastAsia" w:ascii="宋体" w:hAnsi="宋体" w:cs="宋体"/>
          <w:szCs w:val="21"/>
        </w:rPr>
        <w:t>9.2.1质保期：见供应商须知前附表。</w:t>
      </w:r>
    </w:p>
    <w:p>
      <w:pPr>
        <w:spacing w:line="360" w:lineRule="auto"/>
        <w:ind w:firstLine="420" w:firstLineChars="200"/>
        <w:rPr>
          <w:rFonts w:ascii="宋体" w:hAnsi="宋体" w:cs="宋体"/>
          <w:szCs w:val="21"/>
        </w:rPr>
      </w:pPr>
      <w:r>
        <w:rPr>
          <w:rFonts w:hint="eastAsia" w:ascii="宋体" w:hAnsi="宋体" w:cs="宋体"/>
          <w:szCs w:val="21"/>
        </w:rPr>
        <w:t>9.2.2供应商承诺的质保期超过第9.2.1条规定的，则应当按照供应商承诺执行。</w:t>
      </w:r>
    </w:p>
    <w:p>
      <w:pPr>
        <w:spacing w:line="360" w:lineRule="auto"/>
        <w:ind w:firstLine="420" w:firstLineChars="200"/>
        <w:rPr>
          <w:rFonts w:ascii="宋体" w:hAnsi="宋体" w:cs="宋体"/>
          <w:szCs w:val="21"/>
        </w:rPr>
      </w:pPr>
      <w:r>
        <w:rPr>
          <w:rFonts w:hint="eastAsia" w:ascii="宋体" w:hAnsi="宋体" w:cs="宋体"/>
          <w:szCs w:val="21"/>
        </w:rPr>
        <w:t>9.2.3质保期为合同验收合格之日算起，质保期则应当按照第9.2.1条和第9.2.2条执行。</w:t>
      </w:r>
    </w:p>
    <w:p>
      <w:pPr>
        <w:pStyle w:val="4"/>
        <w:spacing w:line="360" w:lineRule="auto"/>
        <w:rPr>
          <w:rFonts w:ascii="宋体" w:hAnsi="宋体" w:cs="宋体"/>
          <w:sz w:val="24"/>
          <w:szCs w:val="24"/>
        </w:rPr>
      </w:pPr>
      <w:bookmarkStart w:id="438" w:name="_Toc25501"/>
      <w:bookmarkStart w:id="439" w:name="_Toc4321"/>
      <w:bookmarkStart w:id="440" w:name="_Toc15568"/>
      <w:r>
        <w:rPr>
          <w:rFonts w:hint="eastAsia" w:ascii="宋体" w:hAnsi="宋体" w:cs="宋体"/>
          <w:sz w:val="24"/>
          <w:szCs w:val="24"/>
        </w:rPr>
        <w:t>10．其他事项</w:t>
      </w:r>
      <w:bookmarkEnd w:id="425"/>
      <w:bookmarkEnd w:id="426"/>
      <w:bookmarkEnd w:id="427"/>
      <w:bookmarkEnd w:id="428"/>
      <w:bookmarkEnd w:id="430"/>
      <w:bookmarkEnd w:id="431"/>
      <w:bookmarkEnd w:id="432"/>
      <w:bookmarkEnd w:id="433"/>
      <w:bookmarkEnd w:id="434"/>
      <w:bookmarkEnd w:id="435"/>
      <w:bookmarkEnd w:id="436"/>
      <w:bookmarkEnd w:id="438"/>
      <w:bookmarkEnd w:id="439"/>
      <w:bookmarkEnd w:id="440"/>
    </w:p>
    <w:p>
      <w:pPr>
        <w:spacing w:line="360" w:lineRule="auto"/>
        <w:ind w:firstLine="420" w:firstLineChars="200"/>
        <w:rPr>
          <w:rFonts w:ascii="宋体" w:hAnsi="宋体" w:cs="宋体"/>
          <w:szCs w:val="21"/>
        </w:rPr>
      </w:pPr>
      <w:bookmarkStart w:id="441" w:name="_Toc301187801"/>
      <w:r>
        <w:rPr>
          <w:rFonts w:hint="eastAsia" w:ascii="宋体" w:hAnsi="宋体" w:cs="宋体"/>
          <w:szCs w:val="21"/>
        </w:rPr>
        <w:t>10.1本竞争性磋商文件所称的“以上”、“以下”、“内”、“以内”，包括本数；所称的“不足”，不包括本数。</w:t>
      </w:r>
    </w:p>
    <w:p>
      <w:pPr>
        <w:spacing w:line="360" w:lineRule="auto"/>
        <w:ind w:firstLine="420" w:firstLineChars="200"/>
        <w:rPr>
          <w:rFonts w:ascii="宋体" w:hAnsi="宋体" w:cs="宋体"/>
          <w:szCs w:val="21"/>
        </w:rPr>
      </w:pPr>
      <w:r>
        <w:rPr>
          <w:rFonts w:hint="eastAsia" w:ascii="宋体" w:hAnsi="宋体" w:cs="宋体"/>
          <w:szCs w:val="21"/>
        </w:rPr>
        <w:t>10.2竞争性磋商文件编制依据和解释权</w:t>
      </w:r>
      <w:bookmarkEnd w:id="441"/>
      <w:r>
        <w:rPr>
          <w:rFonts w:hint="eastAsia" w:ascii="宋体" w:hAnsi="宋体" w:cs="宋体"/>
          <w:szCs w:val="21"/>
        </w:rPr>
        <w:t>。</w:t>
      </w:r>
    </w:p>
    <w:p>
      <w:pPr>
        <w:spacing w:line="360" w:lineRule="auto"/>
        <w:ind w:firstLine="420" w:firstLineChars="200"/>
        <w:rPr>
          <w:rFonts w:ascii="宋体" w:hAnsi="宋体" w:cs="宋体"/>
          <w:szCs w:val="21"/>
        </w:rPr>
      </w:pPr>
      <w:bookmarkStart w:id="442" w:name="_Toc301187802"/>
      <w:r>
        <w:rPr>
          <w:rFonts w:hint="eastAsia" w:ascii="宋体" w:hAnsi="宋体" w:cs="宋体"/>
          <w:szCs w:val="21"/>
        </w:rPr>
        <w:t>本竞争性磋商文件是根据国家、省、地方现行有关规定和参照国际惯例编制，凡属竞争性磋商文件未规定内容将根据国家、省、地方现行有关规定执行。本竞争性磋商文件解释权属采购人和采购代理机构。</w:t>
      </w:r>
      <w:bookmarkEnd w:id="442"/>
    </w:p>
    <w:p>
      <w:pPr>
        <w:spacing w:line="360" w:lineRule="auto"/>
        <w:ind w:firstLine="420" w:firstLineChars="200"/>
        <w:rPr>
          <w:rFonts w:ascii="宋体" w:hAnsi="宋体" w:cs="宋体"/>
          <w:szCs w:val="21"/>
        </w:rPr>
      </w:pPr>
      <w:bookmarkStart w:id="443" w:name="_Toc301187803"/>
      <w:r>
        <w:rPr>
          <w:rFonts w:hint="eastAsia" w:ascii="宋体" w:hAnsi="宋体" w:cs="宋体"/>
          <w:szCs w:val="21"/>
        </w:rPr>
        <w:t>10.3注意事项：磋商截止时间后，供应商登录政采云平台，用“项目采购-开标评标”功能对电子响应文件进行在线解密。在线解密电子响应文件时间为磋商截止时间起30分钟内，未按时解密或解密未成功的，供应商应当在解密时间内向采购代理机构通过电子邮箱（</w:t>
      </w:r>
      <w:r>
        <w:rPr>
          <w:rFonts w:hint="eastAsia" w:ascii="宋体" w:hAnsi="宋体" w:cs="宋体"/>
          <w:szCs w:val="21"/>
          <w:lang w:eastAsia="zh-CN"/>
        </w:rPr>
        <w:t>739438886</w:t>
      </w:r>
      <w:r>
        <w:rPr>
          <w:rFonts w:hint="eastAsia" w:ascii="宋体" w:hAnsi="宋体" w:cs="宋体"/>
          <w:szCs w:val="21"/>
        </w:rPr>
        <w:t>@qq.com）提供备份响应文件，否则视为放弃磋商。</w:t>
      </w:r>
    </w:p>
    <w:p>
      <w:pPr>
        <w:spacing w:line="360" w:lineRule="auto"/>
        <w:ind w:firstLine="420" w:firstLineChars="200"/>
        <w:rPr>
          <w:rFonts w:ascii="宋体" w:hAnsi="宋体" w:cs="宋体"/>
        </w:rPr>
      </w:pPr>
      <w:r>
        <w:rPr>
          <w:rFonts w:hint="eastAsia" w:ascii="宋体" w:hAnsi="宋体" w:cs="宋体"/>
          <w:szCs w:val="21"/>
        </w:rPr>
        <w:t>10.4采购代理机构对定标结果不负责解释。</w:t>
      </w:r>
      <w:bookmarkEnd w:id="443"/>
    </w:p>
    <w:p>
      <w:pPr>
        <w:rPr>
          <w:rStyle w:val="59"/>
          <w:rFonts w:ascii="宋体" w:hAnsi="宋体" w:cs="宋体"/>
          <w:szCs w:val="22"/>
        </w:rPr>
      </w:pPr>
      <w:bookmarkStart w:id="444" w:name="_Toc502154396"/>
      <w:bookmarkStart w:id="445" w:name="_Toc3903"/>
      <w:r>
        <w:rPr>
          <w:rStyle w:val="59"/>
          <w:rFonts w:hint="eastAsia" w:ascii="宋体" w:hAnsi="宋体" w:cs="宋体"/>
          <w:szCs w:val="22"/>
        </w:rPr>
        <w:br w:type="page"/>
      </w:r>
    </w:p>
    <w:p>
      <w:pPr>
        <w:adjustRightInd w:val="0"/>
        <w:snapToGrid w:val="0"/>
        <w:spacing w:line="420" w:lineRule="exact"/>
        <w:jc w:val="center"/>
        <w:outlineLvl w:val="0"/>
        <w:rPr>
          <w:rFonts w:ascii="宋体" w:hAnsi="宋体" w:cs="宋体"/>
          <w:b/>
          <w:bCs/>
          <w:spacing w:val="11"/>
          <w:sz w:val="30"/>
          <w:szCs w:val="30"/>
        </w:rPr>
      </w:pPr>
      <w:bookmarkStart w:id="446" w:name="_Toc18596"/>
      <w:r>
        <w:rPr>
          <w:rStyle w:val="59"/>
          <w:rFonts w:hint="eastAsia" w:ascii="宋体" w:hAnsi="宋体" w:cs="宋体"/>
          <w:szCs w:val="22"/>
        </w:rPr>
        <w:t xml:space="preserve">第四章 </w:t>
      </w:r>
      <w:bookmarkEnd w:id="444"/>
      <w:bookmarkEnd w:id="445"/>
      <w:bookmarkStart w:id="447" w:name="_Toc303756412"/>
      <w:bookmarkStart w:id="448" w:name="_Toc24965"/>
      <w:r>
        <w:rPr>
          <w:rFonts w:hint="eastAsia" w:ascii="宋体" w:hAnsi="宋体" w:cs="宋体"/>
          <w:b/>
          <w:bCs/>
          <w:spacing w:val="11"/>
          <w:sz w:val="36"/>
          <w:szCs w:val="36"/>
        </w:rPr>
        <w:t>合同主要条款</w:t>
      </w:r>
      <w:bookmarkEnd w:id="446"/>
    </w:p>
    <w:p>
      <w:pPr>
        <w:pStyle w:val="120"/>
        <w:spacing w:line="360" w:lineRule="auto"/>
        <w:ind w:firstLine="0"/>
        <w:jc w:val="center"/>
        <w:rPr>
          <w:rFonts w:ascii="宋体" w:hAnsi="宋体" w:cs="宋体"/>
          <w:b/>
          <w:szCs w:val="24"/>
        </w:rPr>
      </w:pPr>
    </w:p>
    <w:p>
      <w:pPr>
        <w:snapToGrid w:val="0"/>
        <w:spacing w:before="119" w:line="360" w:lineRule="auto"/>
        <w:ind w:firstLine="958"/>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合　　　同</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u w:val="single"/>
          <w:lang w:val="zh-CN"/>
        </w:rPr>
        <w:t xml:space="preserve">        </w:t>
      </w:r>
      <w:r>
        <w:rPr>
          <w:rFonts w:hint="eastAsia" w:ascii="宋体" w:hAnsi="宋体" w:eastAsia="宋体" w:cs="宋体"/>
          <w:sz w:val="21"/>
          <w:szCs w:val="21"/>
          <w:lang w:val="zh-CN"/>
        </w:rPr>
        <w:t>年</w:t>
      </w:r>
      <w:r>
        <w:rPr>
          <w:rFonts w:hint="eastAsia" w:ascii="宋体" w:hAnsi="宋体" w:eastAsia="宋体" w:cs="宋体"/>
          <w:sz w:val="21"/>
          <w:szCs w:val="21"/>
          <w:u w:val="single"/>
          <w:lang w:val="zh-CN"/>
        </w:rPr>
        <w:t xml:space="preserve">    </w:t>
      </w:r>
      <w:r>
        <w:rPr>
          <w:rFonts w:hint="eastAsia" w:ascii="宋体" w:hAnsi="宋体" w:eastAsia="宋体" w:cs="宋体"/>
          <w:sz w:val="21"/>
          <w:szCs w:val="21"/>
          <w:lang w:val="zh-CN"/>
        </w:rPr>
        <w:t>月</w:t>
      </w:r>
      <w:r>
        <w:rPr>
          <w:rFonts w:hint="eastAsia" w:ascii="宋体" w:hAnsi="宋体" w:eastAsia="宋体" w:cs="宋体"/>
          <w:sz w:val="21"/>
          <w:szCs w:val="21"/>
          <w:u w:val="single"/>
          <w:lang w:val="zh-CN"/>
        </w:rPr>
        <w:t xml:space="preserve">    </w:t>
      </w:r>
      <w:r>
        <w:rPr>
          <w:rFonts w:hint="eastAsia" w:ascii="宋体" w:hAnsi="宋体" w:eastAsia="宋体" w:cs="宋体"/>
          <w:sz w:val="21"/>
          <w:szCs w:val="21"/>
          <w:lang w:val="zh-CN"/>
        </w:rPr>
        <w:t>日</w:t>
      </w:r>
      <w:r>
        <w:rPr>
          <w:rFonts w:hint="eastAsia" w:ascii="宋体" w:hAnsi="宋体" w:eastAsia="宋体" w:cs="宋体"/>
          <w:sz w:val="21"/>
          <w:szCs w:val="21"/>
        </w:rPr>
        <w:t>，</w:t>
      </w:r>
      <w:r>
        <w:rPr>
          <w:rFonts w:hint="eastAsia" w:ascii="宋体" w:hAnsi="宋体" w:eastAsia="宋体" w:cs="宋体"/>
          <w:sz w:val="21"/>
          <w:szCs w:val="21"/>
          <w:u w:val="single"/>
        </w:rPr>
        <w:t xml:space="preserve">   （采购人名称）   </w:t>
      </w:r>
      <w:r>
        <w:rPr>
          <w:rFonts w:hint="eastAsia" w:ascii="宋体" w:hAnsi="宋体" w:eastAsia="宋体" w:cs="宋体"/>
          <w:sz w:val="21"/>
          <w:szCs w:val="21"/>
        </w:rPr>
        <w:t>以</w:t>
      </w:r>
      <w:r>
        <w:rPr>
          <w:rFonts w:hint="eastAsia" w:ascii="宋体" w:hAnsi="宋体" w:eastAsia="宋体" w:cs="宋体"/>
          <w:sz w:val="21"/>
          <w:szCs w:val="21"/>
          <w:u w:val="single"/>
        </w:rPr>
        <w:t xml:space="preserve">   （政府采购方式）  </w:t>
      </w:r>
      <w:r>
        <w:rPr>
          <w:rFonts w:hint="eastAsia" w:ascii="宋体" w:hAnsi="宋体" w:eastAsia="宋体" w:cs="宋体"/>
          <w:sz w:val="21"/>
          <w:szCs w:val="21"/>
        </w:rPr>
        <w:t>对</w:t>
      </w:r>
      <w:r>
        <w:rPr>
          <w:rFonts w:hint="eastAsia" w:ascii="宋体" w:hAnsi="宋体" w:eastAsia="宋体" w:cs="宋体"/>
          <w:sz w:val="21"/>
          <w:szCs w:val="21"/>
          <w:u w:val="single"/>
        </w:rPr>
        <w:t xml:space="preserve">   （同前页项目名称）   </w:t>
      </w:r>
      <w:r>
        <w:rPr>
          <w:rFonts w:hint="eastAsia" w:ascii="宋体" w:hAnsi="宋体" w:eastAsia="宋体" w:cs="宋体"/>
          <w:sz w:val="21"/>
          <w:szCs w:val="21"/>
        </w:rPr>
        <w:t>项目进行了采购。经</w:t>
      </w:r>
      <w:r>
        <w:rPr>
          <w:rFonts w:hint="eastAsia" w:ascii="宋体" w:hAnsi="宋体" w:eastAsia="宋体" w:cs="宋体"/>
          <w:sz w:val="21"/>
          <w:szCs w:val="21"/>
          <w:u w:val="single"/>
        </w:rPr>
        <w:t xml:space="preserve">   （相关评定主体名称）   </w:t>
      </w:r>
      <w:r>
        <w:rPr>
          <w:rFonts w:hint="eastAsia" w:ascii="宋体" w:hAnsi="宋体" w:eastAsia="宋体" w:cs="宋体"/>
          <w:sz w:val="21"/>
          <w:szCs w:val="21"/>
        </w:rPr>
        <w:t>评定，</w:t>
      </w:r>
      <w:r>
        <w:rPr>
          <w:rFonts w:hint="eastAsia" w:ascii="宋体" w:hAnsi="宋体" w:eastAsia="宋体" w:cs="宋体"/>
          <w:sz w:val="21"/>
          <w:szCs w:val="21"/>
          <w:u w:val="single"/>
        </w:rPr>
        <w:t xml:space="preserve">   （中标人名称） </w:t>
      </w:r>
      <w:r>
        <w:rPr>
          <w:rFonts w:hint="eastAsia" w:ascii="宋体" w:hAnsi="宋体" w:eastAsia="宋体" w:cs="宋体"/>
          <w:sz w:val="21"/>
          <w:szCs w:val="21"/>
        </w:rPr>
        <w:t>为该项目中标人。现于中标通知书发出之日起三十日内，按照采购文件确定的事项签订本合同。</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zh-CN"/>
        </w:rPr>
        <w:t>根据《中华人民共和国合同法》、《中华人民共和国政府采购法》等相关法律法规之规定，按照平等、自愿、公平和诚实信用的原则，经</w:t>
      </w:r>
      <w:r>
        <w:rPr>
          <w:rFonts w:hint="eastAsia" w:ascii="宋体" w:hAnsi="宋体" w:eastAsia="宋体" w:cs="宋体"/>
          <w:sz w:val="21"/>
          <w:szCs w:val="21"/>
          <w:u w:val="single"/>
        </w:rPr>
        <w:t xml:space="preserve">   （采购人名称）   </w:t>
      </w:r>
      <w:r>
        <w:rPr>
          <w:rFonts w:hint="eastAsia" w:ascii="宋体" w:hAnsi="宋体" w:eastAsia="宋体" w:cs="宋体"/>
          <w:sz w:val="21"/>
          <w:szCs w:val="21"/>
          <w:lang w:val="zh-CN"/>
        </w:rPr>
        <w:t>（以下简称：甲方）和</w:t>
      </w:r>
      <w:r>
        <w:rPr>
          <w:rFonts w:hint="eastAsia" w:ascii="宋体" w:hAnsi="宋体" w:eastAsia="宋体" w:cs="宋体"/>
          <w:sz w:val="21"/>
          <w:szCs w:val="21"/>
          <w:u w:val="single"/>
        </w:rPr>
        <w:t xml:space="preserve">   （中标人名称）   </w:t>
      </w:r>
      <w:r>
        <w:rPr>
          <w:rFonts w:hint="eastAsia" w:ascii="宋体" w:hAnsi="宋体" w:eastAsia="宋体" w:cs="宋体"/>
          <w:sz w:val="21"/>
          <w:szCs w:val="21"/>
          <w:lang w:val="zh-CN"/>
        </w:rPr>
        <w:t>（以下简称：乙方）协商一致，约定以下合同</w:t>
      </w:r>
      <w:r>
        <w:rPr>
          <w:rFonts w:hint="eastAsia" w:ascii="宋体" w:hAnsi="宋体" w:eastAsia="宋体" w:cs="宋体"/>
          <w:sz w:val="21"/>
          <w:szCs w:val="21"/>
        </w:rPr>
        <w:t>条款，以兹共同遵守、全面履行。</w:t>
      </w:r>
    </w:p>
    <w:p>
      <w:pPr>
        <w:spacing w:line="360" w:lineRule="auto"/>
        <w:ind w:firstLine="422" w:firstLineChars="200"/>
        <w:rPr>
          <w:rFonts w:hint="eastAsia" w:ascii="宋体" w:hAnsi="宋体" w:eastAsia="宋体" w:cs="宋体"/>
          <w:b/>
          <w:sz w:val="21"/>
          <w:szCs w:val="21"/>
        </w:rPr>
      </w:pPr>
      <w:bookmarkStart w:id="449" w:name="_Toc19273"/>
      <w:bookmarkStart w:id="450" w:name="_Toc15367"/>
      <w:bookmarkStart w:id="451" w:name="_Toc20421"/>
      <w:bookmarkStart w:id="452" w:name="_Toc28855"/>
      <w:bookmarkStart w:id="453" w:name="_Toc22967"/>
      <w:r>
        <w:rPr>
          <w:rFonts w:hint="eastAsia" w:ascii="宋体" w:hAnsi="宋体" w:eastAsia="宋体" w:cs="宋体"/>
          <w:b/>
          <w:sz w:val="21"/>
          <w:szCs w:val="21"/>
        </w:rPr>
        <w:t>1.1 合同组成部分</w:t>
      </w:r>
      <w:bookmarkEnd w:id="449"/>
      <w:bookmarkEnd w:id="450"/>
      <w:bookmarkEnd w:id="451"/>
      <w:bookmarkEnd w:id="452"/>
      <w:bookmarkEnd w:id="453"/>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1.1.1 本合同及其补充合同、变更协议；</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1.1.2 中标通知书；</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1.1.3 投标文件（含澄清或者说明文件）；</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1.1.4 招标文件（含澄清或者修改文件）；</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1.1.5 其他相关采购文件。</w:t>
      </w:r>
    </w:p>
    <w:p>
      <w:pPr>
        <w:spacing w:line="360" w:lineRule="auto"/>
        <w:ind w:firstLine="422" w:firstLineChars="200"/>
        <w:rPr>
          <w:rFonts w:hint="eastAsia" w:ascii="宋体" w:hAnsi="宋体" w:eastAsia="宋体" w:cs="宋体"/>
          <w:b/>
          <w:sz w:val="21"/>
          <w:szCs w:val="21"/>
        </w:rPr>
      </w:pPr>
      <w:bookmarkStart w:id="454" w:name="_Toc18585"/>
      <w:bookmarkStart w:id="455" w:name="_Toc6311"/>
      <w:bookmarkStart w:id="456" w:name="_Toc22185"/>
      <w:bookmarkStart w:id="457" w:name="_Toc6773"/>
      <w:bookmarkStart w:id="458" w:name="_Toc2918"/>
      <w:r>
        <w:rPr>
          <w:rFonts w:hint="eastAsia" w:ascii="宋体" w:hAnsi="宋体" w:eastAsia="宋体" w:cs="宋体"/>
          <w:b/>
          <w:sz w:val="21"/>
          <w:szCs w:val="21"/>
        </w:rPr>
        <w:t>1.2 标的</w:t>
      </w:r>
      <w:bookmarkEnd w:id="454"/>
      <w:bookmarkEnd w:id="455"/>
      <w:bookmarkEnd w:id="456"/>
      <w:bookmarkEnd w:id="457"/>
      <w:bookmarkEnd w:id="458"/>
    </w:p>
    <w:p>
      <w:pPr>
        <w:spacing w:line="36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rPr>
        <w:t>1.2.1 标的名称：</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spacing w:line="36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rPr>
        <w:t>1.2.2 标的数量：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1.2.3 标的质量：</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spacing w:line="360" w:lineRule="auto"/>
        <w:ind w:firstLine="422" w:firstLineChars="200"/>
        <w:rPr>
          <w:rFonts w:hint="eastAsia" w:ascii="宋体" w:hAnsi="宋体" w:eastAsia="宋体" w:cs="宋体"/>
          <w:b/>
          <w:sz w:val="21"/>
          <w:szCs w:val="21"/>
        </w:rPr>
      </w:pPr>
      <w:bookmarkStart w:id="459" w:name="_Toc5635"/>
      <w:bookmarkStart w:id="460" w:name="_Toc13918"/>
      <w:bookmarkStart w:id="461" w:name="_Toc1386"/>
      <w:bookmarkStart w:id="462" w:name="_Toc4929"/>
      <w:bookmarkStart w:id="463" w:name="_Toc21124"/>
      <w:r>
        <w:rPr>
          <w:rFonts w:hint="eastAsia" w:ascii="宋体" w:hAnsi="宋体" w:eastAsia="宋体" w:cs="宋体"/>
          <w:b/>
          <w:sz w:val="21"/>
          <w:szCs w:val="21"/>
        </w:rPr>
        <w:t>1.3 价款</w:t>
      </w:r>
      <w:bookmarkEnd w:id="459"/>
      <w:bookmarkEnd w:id="460"/>
      <w:bookmarkEnd w:id="461"/>
      <w:bookmarkEnd w:id="462"/>
      <w:bookmarkEnd w:id="463"/>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本合同总价为：￥</w:t>
      </w:r>
      <w:r>
        <w:rPr>
          <w:rFonts w:hint="eastAsia" w:ascii="宋体" w:hAnsi="宋体" w:eastAsia="宋体" w:cs="宋体"/>
          <w:sz w:val="21"/>
          <w:szCs w:val="21"/>
          <w:u w:val="single"/>
        </w:rPr>
        <w:t xml:space="preserve">           </w:t>
      </w:r>
      <w:r>
        <w:rPr>
          <w:rFonts w:hint="eastAsia" w:ascii="宋体" w:hAnsi="宋体" w:eastAsia="宋体" w:cs="宋体"/>
          <w:sz w:val="21"/>
          <w:szCs w:val="21"/>
        </w:rPr>
        <w:t>元（大写：</w:t>
      </w:r>
      <w:r>
        <w:rPr>
          <w:rFonts w:hint="eastAsia" w:ascii="宋体" w:hAnsi="宋体" w:eastAsia="宋体" w:cs="宋体"/>
          <w:sz w:val="21"/>
          <w:szCs w:val="21"/>
          <w:u w:val="single"/>
        </w:rPr>
        <w:t xml:space="preserve">                 </w:t>
      </w:r>
      <w:r>
        <w:rPr>
          <w:rFonts w:hint="eastAsia" w:ascii="宋体" w:hAnsi="宋体" w:eastAsia="宋体" w:cs="宋体"/>
          <w:sz w:val="21"/>
          <w:szCs w:val="21"/>
        </w:rPr>
        <w:t>元人民币）。</w:t>
      </w:r>
    </w:p>
    <w:p>
      <w:pPr>
        <w:spacing w:line="36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rPr>
        <w:t>分项价格：</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4678"/>
        <w:gridCol w:w="3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dxa"/>
            <w:noWrap w:val="0"/>
            <w:vAlign w:val="center"/>
          </w:tcPr>
          <w:p>
            <w:pPr>
              <w:pStyle w:val="166"/>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4678" w:type="dxa"/>
            <w:noWrap w:val="0"/>
            <w:vAlign w:val="center"/>
          </w:tcPr>
          <w:p>
            <w:pPr>
              <w:pStyle w:val="166"/>
              <w:ind w:firstLine="20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分项名称</w:t>
            </w:r>
          </w:p>
        </w:tc>
        <w:tc>
          <w:tcPr>
            <w:tcW w:w="3478" w:type="dxa"/>
            <w:noWrap w:val="0"/>
            <w:vAlign w:val="center"/>
          </w:tcPr>
          <w:p>
            <w:pPr>
              <w:pStyle w:val="166"/>
              <w:jc w:val="center"/>
              <w:rPr>
                <w:rFonts w:hint="eastAsia" w:ascii="宋体" w:hAnsi="宋体" w:eastAsia="宋体" w:cs="宋体"/>
                <w:color w:val="000000"/>
                <w:sz w:val="21"/>
                <w:szCs w:val="21"/>
              </w:rPr>
            </w:pPr>
            <w:r>
              <w:rPr>
                <w:rFonts w:hint="eastAsia" w:ascii="宋体" w:hAnsi="宋体" w:eastAsia="宋体" w:cs="宋体"/>
                <w:color w:val="000000"/>
                <w:sz w:val="21"/>
                <w:szCs w:val="21"/>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dxa"/>
            <w:noWrap w:val="0"/>
            <w:vAlign w:val="center"/>
          </w:tcPr>
          <w:p>
            <w:pPr>
              <w:pStyle w:val="166"/>
              <w:ind w:firstLine="200"/>
              <w:jc w:val="center"/>
              <w:rPr>
                <w:rFonts w:hint="eastAsia" w:ascii="宋体" w:hAnsi="宋体" w:eastAsia="宋体" w:cs="宋体"/>
                <w:color w:val="000000"/>
                <w:sz w:val="21"/>
                <w:szCs w:val="21"/>
              </w:rPr>
            </w:pPr>
          </w:p>
        </w:tc>
        <w:tc>
          <w:tcPr>
            <w:tcW w:w="4678" w:type="dxa"/>
            <w:noWrap w:val="0"/>
            <w:vAlign w:val="center"/>
          </w:tcPr>
          <w:p>
            <w:pPr>
              <w:pStyle w:val="166"/>
              <w:ind w:firstLine="200"/>
              <w:jc w:val="center"/>
              <w:rPr>
                <w:rFonts w:hint="eastAsia" w:ascii="宋体" w:hAnsi="宋体" w:eastAsia="宋体" w:cs="宋体"/>
                <w:color w:val="000000"/>
                <w:sz w:val="21"/>
                <w:szCs w:val="21"/>
              </w:rPr>
            </w:pPr>
          </w:p>
        </w:tc>
        <w:tc>
          <w:tcPr>
            <w:tcW w:w="3478" w:type="dxa"/>
            <w:noWrap w:val="0"/>
            <w:vAlign w:val="center"/>
          </w:tcPr>
          <w:p>
            <w:pPr>
              <w:pStyle w:val="166"/>
              <w:ind w:firstLine="200"/>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dxa"/>
            <w:noWrap w:val="0"/>
            <w:vAlign w:val="center"/>
          </w:tcPr>
          <w:p>
            <w:pPr>
              <w:pStyle w:val="166"/>
              <w:ind w:firstLine="200"/>
              <w:jc w:val="center"/>
              <w:rPr>
                <w:rFonts w:hint="eastAsia" w:ascii="宋体" w:hAnsi="宋体" w:eastAsia="宋体" w:cs="宋体"/>
                <w:color w:val="000000"/>
                <w:sz w:val="21"/>
                <w:szCs w:val="21"/>
              </w:rPr>
            </w:pPr>
          </w:p>
        </w:tc>
        <w:tc>
          <w:tcPr>
            <w:tcW w:w="4678" w:type="dxa"/>
            <w:noWrap w:val="0"/>
            <w:vAlign w:val="center"/>
          </w:tcPr>
          <w:p>
            <w:pPr>
              <w:pStyle w:val="166"/>
              <w:ind w:firstLine="200"/>
              <w:jc w:val="center"/>
              <w:rPr>
                <w:rFonts w:hint="eastAsia" w:ascii="宋体" w:hAnsi="宋体" w:eastAsia="宋体" w:cs="宋体"/>
                <w:color w:val="000000"/>
                <w:sz w:val="21"/>
                <w:szCs w:val="21"/>
              </w:rPr>
            </w:pPr>
          </w:p>
        </w:tc>
        <w:tc>
          <w:tcPr>
            <w:tcW w:w="3478" w:type="dxa"/>
            <w:noWrap w:val="0"/>
            <w:vAlign w:val="center"/>
          </w:tcPr>
          <w:p>
            <w:pPr>
              <w:pStyle w:val="166"/>
              <w:ind w:firstLine="200"/>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dxa"/>
            <w:noWrap w:val="0"/>
            <w:vAlign w:val="center"/>
          </w:tcPr>
          <w:p>
            <w:pPr>
              <w:pStyle w:val="166"/>
              <w:ind w:firstLine="200"/>
              <w:jc w:val="center"/>
              <w:rPr>
                <w:rFonts w:hint="eastAsia" w:ascii="宋体" w:hAnsi="宋体" w:eastAsia="宋体" w:cs="宋体"/>
                <w:color w:val="000000"/>
                <w:sz w:val="21"/>
                <w:szCs w:val="21"/>
              </w:rPr>
            </w:pPr>
          </w:p>
        </w:tc>
        <w:tc>
          <w:tcPr>
            <w:tcW w:w="4678" w:type="dxa"/>
            <w:noWrap w:val="0"/>
            <w:vAlign w:val="center"/>
          </w:tcPr>
          <w:p>
            <w:pPr>
              <w:pStyle w:val="166"/>
              <w:ind w:firstLine="200"/>
              <w:jc w:val="center"/>
              <w:rPr>
                <w:rFonts w:hint="eastAsia" w:ascii="宋体" w:hAnsi="宋体" w:eastAsia="宋体" w:cs="宋体"/>
                <w:color w:val="000000"/>
                <w:sz w:val="21"/>
                <w:szCs w:val="21"/>
              </w:rPr>
            </w:pPr>
          </w:p>
        </w:tc>
        <w:tc>
          <w:tcPr>
            <w:tcW w:w="3478" w:type="dxa"/>
            <w:noWrap w:val="0"/>
            <w:vAlign w:val="center"/>
          </w:tcPr>
          <w:p>
            <w:pPr>
              <w:pStyle w:val="166"/>
              <w:ind w:firstLine="200"/>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2" w:type="dxa"/>
            <w:noWrap w:val="0"/>
            <w:vAlign w:val="center"/>
          </w:tcPr>
          <w:p>
            <w:pPr>
              <w:pStyle w:val="166"/>
              <w:ind w:firstLine="200"/>
              <w:jc w:val="center"/>
              <w:rPr>
                <w:rFonts w:hint="eastAsia" w:ascii="宋体" w:hAnsi="宋体" w:eastAsia="宋体" w:cs="宋体"/>
                <w:color w:val="000000"/>
                <w:sz w:val="21"/>
                <w:szCs w:val="21"/>
              </w:rPr>
            </w:pPr>
          </w:p>
        </w:tc>
        <w:tc>
          <w:tcPr>
            <w:tcW w:w="4678" w:type="dxa"/>
            <w:noWrap w:val="0"/>
            <w:vAlign w:val="center"/>
          </w:tcPr>
          <w:p>
            <w:pPr>
              <w:pStyle w:val="166"/>
              <w:ind w:firstLine="200"/>
              <w:jc w:val="center"/>
              <w:rPr>
                <w:rFonts w:hint="eastAsia" w:ascii="宋体" w:hAnsi="宋体" w:eastAsia="宋体" w:cs="宋体"/>
                <w:color w:val="000000"/>
                <w:sz w:val="21"/>
                <w:szCs w:val="21"/>
              </w:rPr>
            </w:pPr>
          </w:p>
        </w:tc>
        <w:tc>
          <w:tcPr>
            <w:tcW w:w="3478" w:type="dxa"/>
            <w:noWrap w:val="0"/>
            <w:vAlign w:val="center"/>
          </w:tcPr>
          <w:p>
            <w:pPr>
              <w:pStyle w:val="166"/>
              <w:ind w:firstLine="200"/>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10" w:type="dxa"/>
            <w:gridSpan w:val="2"/>
            <w:noWrap w:val="0"/>
            <w:vAlign w:val="center"/>
          </w:tcPr>
          <w:p>
            <w:pPr>
              <w:pStyle w:val="166"/>
              <w:ind w:firstLine="20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总价</w:t>
            </w:r>
          </w:p>
        </w:tc>
        <w:tc>
          <w:tcPr>
            <w:tcW w:w="3478" w:type="dxa"/>
            <w:noWrap w:val="0"/>
            <w:vAlign w:val="center"/>
          </w:tcPr>
          <w:p>
            <w:pPr>
              <w:pStyle w:val="166"/>
              <w:ind w:firstLine="200"/>
              <w:jc w:val="center"/>
              <w:rPr>
                <w:rFonts w:hint="eastAsia" w:ascii="宋体" w:hAnsi="宋体" w:eastAsia="宋体" w:cs="宋体"/>
                <w:color w:val="000000"/>
                <w:sz w:val="21"/>
                <w:szCs w:val="21"/>
              </w:rPr>
            </w:pPr>
          </w:p>
        </w:tc>
      </w:tr>
    </w:tbl>
    <w:p>
      <w:pPr>
        <w:spacing w:line="360" w:lineRule="auto"/>
        <w:ind w:firstLine="422" w:firstLineChars="200"/>
        <w:rPr>
          <w:rFonts w:hint="eastAsia" w:ascii="宋体" w:hAnsi="宋体" w:eastAsia="宋体" w:cs="宋体"/>
          <w:b/>
          <w:sz w:val="21"/>
          <w:szCs w:val="21"/>
          <w:highlight w:val="none"/>
        </w:rPr>
      </w:pPr>
      <w:bookmarkStart w:id="464" w:name="_Toc3654"/>
      <w:bookmarkStart w:id="465" w:name="_Toc14993"/>
      <w:bookmarkStart w:id="466" w:name="_Toc30158"/>
      <w:bookmarkStart w:id="467" w:name="_Toc26916"/>
      <w:bookmarkStart w:id="468" w:name="_Toc30506"/>
      <w:r>
        <w:rPr>
          <w:rFonts w:hint="eastAsia" w:ascii="宋体" w:hAnsi="宋体" w:eastAsia="宋体" w:cs="宋体"/>
          <w:b/>
          <w:sz w:val="21"/>
          <w:szCs w:val="21"/>
          <w:highlight w:val="none"/>
        </w:rPr>
        <w:t>1.4 付款方式和发票开具方式</w:t>
      </w:r>
      <w:bookmarkEnd w:id="464"/>
      <w:bookmarkEnd w:id="465"/>
      <w:bookmarkEnd w:id="466"/>
      <w:bookmarkEnd w:id="467"/>
      <w:bookmarkEnd w:id="468"/>
    </w:p>
    <w:p>
      <w:pPr>
        <w:spacing w:line="42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1.4.1付款方式：</w:t>
      </w:r>
      <w:r>
        <w:rPr>
          <w:rFonts w:hint="eastAsia" w:ascii="宋体" w:hAnsi="宋体" w:eastAsia="宋体" w:cs="宋体"/>
          <w:sz w:val="21"/>
          <w:szCs w:val="21"/>
          <w:highlight w:val="none"/>
          <w:lang w:val="zh-CN"/>
        </w:rPr>
        <w:t>合同签订后</w:t>
      </w:r>
      <w:r>
        <w:rPr>
          <w:rFonts w:hint="eastAsia" w:ascii="宋体" w:hAnsi="宋体" w:cs="宋体"/>
          <w:sz w:val="21"/>
          <w:szCs w:val="21"/>
          <w:highlight w:val="none"/>
          <w:lang w:val="en-US" w:eastAsia="zh-CN"/>
        </w:rPr>
        <w:t>7个工作日内</w:t>
      </w:r>
      <w:r>
        <w:rPr>
          <w:rFonts w:hint="eastAsia" w:ascii="宋体" w:hAnsi="宋体" w:eastAsia="宋体" w:cs="宋体"/>
          <w:sz w:val="21"/>
          <w:szCs w:val="21"/>
          <w:highlight w:val="none"/>
          <w:lang w:val="en-US" w:eastAsia="zh-CN"/>
        </w:rPr>
        <w:t>支付当年应付金额的40%预付款,</w:t>
      </w:r>
      <w:r>
        <w:rPr>
          <w:rFonts w:hint="eastAsia" w:ascii="宋体" w:hAnsi="宋体" w:eastAsia="宋体" w:cs="宋体"/>
          <w:sz w:val="21"/>
          <w:szCs w:val="21"/>
          <w:highlight w:val="none"/>
          <w:lang w:val="zh-CN" w:eastAsia="zh-CN"/>
        </w:rPr>
        <w:t>供应商应提交银行、保险公司等金融机构出具同等金额的预付款保函</w:t>
      </w:r>
      <w:r>
        <w:rPr>
          <w:rFonts w:hint="eastAsia" w:ascii="宋体" w:hAnsi="宋体" w:eastAsia="宋体" w:cs="宋体"/>
          <w:sz w:val="21"/>
          <w:szCs w:val="21"/>
          <w:highlight w:val="none"/>
          <w:lang w:val="zh-CN"/>
        </w:rPr>
        <w:t>；</w:t>
      </w:r>
      <w:r>
        <w:rPr>
          <w:rFonts w:hint="eastAsia" w:ascii="宋体" w:hAnsi="宋体" w:eastAsia="宋体" w:cs="宋体"/>
          <w:sz w:val="21"/>
          <w:szCs w:val="21"/>
          <w:highlight w:val="none"/>
        </w:rPr>
        <w:t>中标方按要求完成建设后进入试运行阶段，经试运行系统正常并经采购方验收合格后开始支付租赁费用，租赁费用按月支付，支付时间为次月月底前。每月租赁费用＝中标价/36个月；实际支付月租费计算公式＝每月租赁费/建设摄像机总数*每月有效图像的总路数。</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1.4.2 发票开具方式：</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pPr>
        <w:spacing w:line="360" w:lineRule="auto"/>
        <w:ind w:firstLine="422" w:firstLineChars="200"/>
        <w:rPr>
          <w:rFonts w:hint="eastAsia" w:ascii="宋体" w:hAnsi="宋体" w:eastAsia="宋体" w:cs="宋体"/>
          <w:b/>
          <w:sz w:val="21"/>
          <w:szCs w:val="21"/>
          <w:highlight w:val="none"/>
        </w:rPr>
      </w:pPr>
      <w:bookmarkStart w:id="469" w:name="_Toc31421"/>
      <w:bookmarkStart w:id="470" w:name="_Toc8772"/>
      <w:bookmarkStart w:id="471" w:name="_Toc3625"/>
      <w:bookmarkStart w:id="472" w:name="_Toc4760"/>
      <w:bookmarkStart w:id="473" w:name="_Toc11108"/>
      <w:r>
        <w:rPr>
          <w:rFonts w:hint="eastAsia" w:ascii="宋体" w:hAnsi="宋体" w:eastAsia="宋体" w:cs="宋体"/>
          <w:b/>
          <w:sz w:val="21"/>
          <w:szCs w:val="21"/>
          <w:highlight w:val="none"/>
        </w:rPr>
        <w:t>1.5 履行期限、地点和方式</w:t>
      </w:r>
      <w:bookmarkEnd w:id="469"/>
      <w:bookmarkEnd w:id="470"/>
      <w:bookmarkEnd w:id="471"/>
      <w:bookmarkEnd w:id="472"/>
      <w:bookmarkEnd w:id="473"/>
    </w:p>
    <w:p>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1.5.1 履行期限：</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1.5.1.1 建设工期要求：202</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年</w:t>
      </w:r>
      <w:r>
        <w:rPr>
          <w:rFonts w:hint="eastAsia" w:ascii="宋体" w:hAnsi="宋体" w:cs="宋体"/>
          <w:color w:val="auto"/>
          <w:sz w:val="21"/>
          <w:szCs w:val="21"/>
          <w:lang w:val="en-US" w:eastAsia="zh-CN"/>
        </w:rPr>
        <w:t>12</w:t>
      </w:r>
      <w:r>
        <w:rPr>
          <w:rFonts w:hint="eastAsia" w:ascii="宋体" w:hAnsi="宋体" w:eastAsia="宋体" w:cs="宋体"/>
          <w:color w:val="auto"/>
          <w:sz w:val="21"/>
          <w:szCs w:val="21"/>
        </w:rPr>
        <w:t>月</w:t>
      </w:r>
      <w:r>
        <w:rPr>
          <w:rFonts w:hint="eastAsia" w:ascii="宋体" w:hAnsi="宋体" w:eastAsia="宋体" w:cs="宋体"/>
          <w:color w:val="auto"/>
          <w:sz w:val="21"/>
          <w:szCs w:val="21"/>
          <w:lang w:eastAsia="zh-CN"/>
        </w:rPr>
        <w:t>底</w:t>
      </w:r>
      <w:r>
        <w:rPr>
          <w:rFonts w:hint="eastAsia" w:ascii="宋体" w:hAnsi="宋体" w:eastAsia="宋体" w:cs="宋体"/>
          <w:color w:val="auto"/>
          <w:sz w:val="21"/>
          <w:szCs w:val="21"/>
        </w:rPr>
        <w:t>前完成本项目全部摄像机建设和相关设备到位，系统进入试运行。 202</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年</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月前完成试运行测试并通过验收工作。</w:t>
      </w:r>
    </w:p>
    <w:p>
      <w:pPr>
        <w:widowControl/>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1.5.1.2租用服务期限：本项目首次服务期为三年。</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1.5.2 履行地点：缙云县公安局指定地点</w:t>
      </w:r>
      <w:r>
        <w:rPr>
          <w:rFonts w:hint="eastAsia" w:ascii="宋体" w:hAnsi="宋体" w:eastAsia="宋体" w:cs="宋体"/>
          <w:sz w:val="21"/>
          <w:szCs w:val="21"/>
          <w:lang w:eastAsia="zh-CN"/>
        </w:rPr>
        <w:t>。</w:t>
      </w:r>
    </w:p>
    <w:p>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1.5.3 履行方式：</w:t>
      </w:r>
    </w:p>
    <w:p>
      <w:pPr>
        <w:widowControl/>
        <w:adjustRightInd w:val="0"/>
        <w:snapToGrid w:val="0"/>
        <w:spacing w:line="360" w:lineRule="auto"/>
        <w:ind w:firstLine="420" w:firstLineChars="200"/>
        <w:rPr>
          <w:rFonts w:hint="eastAsia" w:ascii="宋体" w:hAnsi="宋体" w:eastAsia="宋体" w:cs="宋体"/>
          <w:b/>
          <w:bCs/>
          <w:sz w:val="21"/>
          <w:szCs w:val="21"/>
        </w:rPr>
      </w:pPr>
      <w:r>
        <w:rPr>
          <w:rFonts w:hint="eastAsia" w:ascii="宋体" w:hAnsi="宋体" w:eastAsia="宋体" w:cs="宋体"/>
          <w:sz w:val="21"/>
          <w:szCs w:val="21"/>
        </w:rPr>
        <w:t>1.5.3.1</w:t>
      </w:r>
      <w:r>
        <w:rPr>
          <w:rFonts w:hint="eastAsia" w:ascii="宋体" w:hAnsi="宋体" w:eastAsia="宋体" w:cs="宋体"/>
          <w:b/>
          <w:bCs/>
          <w:sz w:val="21"/>
          <w:szCs w:val="21"/>
        </w:rPr>
        <w:t>建设要求</w:t>
      </w:r>
    </w:p>
    <w:p>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1.5.3.1.1本次建设项目采取乙方建设视频监控系统，向甲方提供视频监控图像，无缝对接丽水市公安局视频监控平台，验收合格后甲方按月支付月租费用的形式进行。乙方负责招标文件对中标人要求的一切事宜及责任。包括项目施工实施方案、项目管理方案、设备供货、运输、保管、安装、调试、验收、培训及相关运维服务等。</w:t>
      </w:r>
    </w:p>
    <w:p>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1.5.3.1.2乙方进行本项目建设时必须严格按照招标文件和设计图纸施工，保证施工质量达到或超过国家、地方标准；监控点位和摄像机在实际施工中如果发生条件变化而需要变更设计时，经设计、监理、业主确认无误后方可变更，变更产生的费用由乙方负责。</w:t>
      </w:r>
    </w:p>
    <w:p>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1.5.3.1.3乙方需指定专门的联络人，负责本次雪亮工程项目的技术咨询、业务开通、平台维护、前端及监控中心软硬件维护的接洽工作。</w:t>
      </w:r>
    </w:p>
    <w:p>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1.5.3.1.4本项目中涉及的设备到货后，必须同时提供产品合格证明、产品型号、技术参数等相关资料，由工程监理方或者由甲方委托政府采购中心组织的验收小组认可后，方可投入安装使用，有关费用由乙方负责。乙方应保证所提供设备达到整套系统运行质量要求，符合相关的技术标准和规范要求，保证满足甲方正常工作需求。</w:t>
      </w:r>
    </w:p>
    <w:p>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1.5.3.1.5乙方所提供的通讯线路和设备质量应符合国家电信主管部门的质量标准和技术要求，满足甲方视频应用需求。乙方保证提供本次项目的视频采集压缩、图像质量、图像传输速率等均能满足招标文件中的技术要求。</w:t>
      </w:r>
    </w:p>
    <w:p>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1.5.3.1.6乙方应建立健全本次项目的技术档案和维护档案，并提供给甲方。在建设期和维护期，所有的系统方案文档、设计文档、开发文档、测试文档、设备使用说明书、施工设计方案、施工图纸、软件说明书、系统维护手册、运维文档、项目管理文档等与本项目有关文档的知识产权属于甲方所有。</w:t>
      </w:r>
    </w:p>
    <w:p>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1.5.3.1.7乙方需与电力、市政、路政、园林等相关部门联系办理相关施工手续，接受相关部门的监督和问题处理，甲方积极协助乙方与相关部门做好配合协调工作。乙方承诺免费承担与本项目实施任务以外有关协调解决工作。</w:t>
      </w:r>
    </w:p>
    <w:p>
      <w:pPr>
        <w:widowControl/>
        <w:adjustRightInd w:val="0"/>
        <w:snapToGrid w:val="0"/>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1.5.3.2运维服务</w:t>
      </w:r>
    </w:p>
    <w:p>
      <w:pPr>
        <w:widowControl/>
        <w:adjustRightInd w:val="0"/>
        <w:snapToGrid w:val="0"/>
        <w:spacing w:line="360" w:lineRule="auto"/>
        <w:ind w:firstLine="420" w:firstLineChars="200"/>
        <w:rPr>
          <w:rFonts w:hint="eastAsia" w:ascii="宋体" w:hAnsi="宋体" w:eastAsia="宋体" w:cs="宋体"/>
          <w:b/>
          <w:sz w:val="21"/>
          <w:szCs w:val="21"/>
        </w:rPr>
      </w:pPr>
      <w:r>
        <w:rPr>
          <w:rFonts w:hint="eastAsia" w:ascii="宋体" w:hAnsi="宋体" w:eastAsia="宋体" w:cs="宋体"/>
          <w:sz w:val="21"/>
          <w:szCs w:val="21"/>
        </w:rPr>
        <w:t>1.5.3.2.1</w:t>
      </w:r>
      <w:r>
        <w:rPr>
          <w:rFonts w:hint="eastAsia" w:ascii="宋体" w:hAnsi="宋体" w:eastAsia="宋体" w:cs="宋体"/>
          <w:b/>
          <w:sz w:val="21"/>
          <w:szCs w:val="21"/>
        </w:rPr>
        <w:t>运维服务期限：项目验收合格之日起开始计算租用服务期，乙方提供相应的免费质保期和维护维修服务。</w:t>
      </w:r>
    </w:p>
    <w:p>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1.5.3.2.2服务响应时间：乙方承诺服务响应时间符合省厅、市局的考核要求。乙方提供7*24小时响应，对非硬件故障的系统问题2小时内修复；对硬件故障4小时内修复；多路故障8小时内修复。如设备故障在8小时后仍无法排除故障，将提供不低于故障设备型号档次的备用设备供甲方使用，直至故障设备修复，达到技术指标和性能要求，保证系统正常运行，做到不影响日常工作。每天的维护工作不得影响省公安厅、市公安局对缙云县的考评。</w:t>
      </w:r>
    </w:p>
    <w:p>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1.5.3.2.3考核指标：视频运行完好率、在线率应达到98%（含）以上，视频录像质量合格率应达到98%以上。卡口系统完好率应达到98%以上，图片质量应达到95%以上。如上级公安机关考核指标有变化，需按“就高不就低”的标准执行。</w:t>
      </w:r>
    </w:p>
    <w:p>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1.5.3.2.4扣款要求：故障在限定的时限内不能修复与排除的，或者在省公安厅、市公安局每天考评中达不到考评标准的，将按点、按车道扣除当月租金。由此产生风险和费用应由乙方承担，并承担相应的法律责任。</w:t>
      </w:r>
    </w:p>
    <w:p>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1.5.3.2.5乙方根据考核要求，组建运维团队负责项目整体运维服务工作，指派1名以上维护人员进驻甲方视频巡查室，开展日常巡检等相关工作。派驻人员更换时需报甲方同意。在租用服务期间，未经甲方书面同意，乙方不得委托第三方对本项目进行维护。</w:t>
      </w:r>
    </w:p>
    <w:p>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1.5.3.2.6若乙方提供的日常运维服务未能达到要求或不能满足甲方的运维实战需求,甲方有权按照有关规定予以调整。</w:t>
      </w:r>
    </w:p>
    <w:p>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1.5.3.2.7不尽事宜，以双方签订的运维服务协议作为补充。</w:t>
      </w:r>
    </w:p>
    <w:p>
      <w:pPr>
        <w:widowControl/>
        <w:adjustRightInd w:val="0"/>
        <w:snapToGrid w:val="0"/>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1.5.3.3点位杆件管理</w:t>
      </w:r>
    </w:p>
    <w:p>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1.5.3.3.1在服务期内，由于城市建设、道路改造等原因造成监控点位拆除，乙方应及时书面向甲方报告，由甲方负责向市局、省厅做好系统考核报备工作。乙方及时处理点位拆除、摄像机移机、重建等事项，并在双方约定时间内恢复点位建设，甲方不再支付额外费用。</w:t>
      </w:r>
    </w:p>
    <w:p>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1.5.3.3.2甲方根据工作需要，可以在乙方现有基础杆件上安装新设备，并免费使用乙方的基础电信网络传输数据。未经甲方同意，乙方不得在杆件上安装任何与本项目无关设备。如涉及到电费、施工、维护等费用，经双方协商解决。</w:t>
      </w:r>
    </w:p>
    <w:p>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1.5.3.3.3乙方承诺根据甲方实际应用需求，每年对部分监控点位进行免费迁移（本项目总监控数3%以下）。并承诺响应应急突发事件需求，每年免费为甲方提供1-3次视频监控网络和安装支持。</w:t>
      </w:r>
    </w:p>
    <w:p>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1.5.3.3.4本次项目乙方借用其他单位杆件（如通信、电力杆件）建设的点位，如原有杆件发生变更时，应当在原点位基础上提供相应视频图像，恢复图像所需费用自行负责，甲方不再支付额外费用。</w:t>
      </w:r>
    </w:p>
    <w:p>
      <w:pPr>
        <w:widowControl/>
        <w:adjustRightInd w:val="0"/>
        <w:snapToGrid w:val="0"/>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1.5.3.4 系统平台管理</w:t>
      </w:r>
    </w:p>
    <w:p>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1.5.3.4.1甲方因公安实战应用需要，与相关平台有对接需求，乙方需无条件配合做好衔接工作。乙方承诺开放本项目产品和平台必要的数据规范和接口协议。</w:t>
      </w:r>
    </w:p>
    <w:p>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1.5.3.4.2乙方负责本次项目的监控系统的建设和维护，不具有监控图像浏览、录像调用权限。乙方应做好运行维护人员的保密安全教育和管理，未经甲方允许不得对监控系统中的图像数据进行下载和传播。</w:t>
      </w:r>
    </w:p>
    <w:p>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1.5.3.4.3本项目相关系统中的声音、图像和数据信息的所有权归属甲方，未经甲方同意，乙方无权使用、转让或处理系统中的声音、图像和数据信息；相关系统的账号管理权、图像应用及管理权归属甲方。</w:t>
      </w:r>
    </w:p>
    <w:p>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1.5.3.4.4甲方对乙方的平台不能正常运行或因平台技术维护原因造成图像数据丢失有权要求乙方及时改进。如遇乙方平台技术升级、承载网链路割接等，在征得甲方同意的基础上，乙方应提前48小时通知甲方，说明可能造成的影响和范围，并确保每次平台技术升级和承载网链路割接在6小时内完成。 </w:t>
      </w:r>
    </w:p>
    <w:p>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1.5.3.4.5甲方在租用期满后，可以继续拥有本期相关视频监控系统、软件平台所有硬软件的使用权，无需支付任何费用。</w:t>
      </w:r>
    </w:p>
    <w:p>
      <w:pPr>
        <w:widowControl/>
        <w:adjustRightInd w:val="0"/>
        <w:snapToGrid w:val="0"/>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1.5.3.5产权归属和移交</w:t>
      </w:r>
    </w:p>
    <w:p>
      <w:pPr>
        <w:widowControl/>
        <w:adjustRightInd w:val="0"/>
        <w:snapToGrid w:val="0"/>
        <w:spacing w:line="360" w:lineRule="auto"/>
        <w:ind w:firstLine="420" w:firstLineChars="200"/>
        <w:rPr>
          <w:rFonts w:hint="eastAsia" w:ascii="宋体" w:hAnsi="宋体" w:eastAsia="宋体" w:cs="宋体"/>
          <w:b/>
          <w:sz w:val="21"/>
          <w:szCs w:val="21"/>
          <w:lang w:val="en-US" w:eastAsia="zh-CN"/>
        </w:rPr>
      </w:pPr>
      <w:r>
        <w:rPr>
          <w:rFonts w:hint="eastAsia" w:ascii="宋体" w:hAnsi="宋体" w:eastAsia="宋体" w:cs="宋体"/>
          <w:sz w:val="21"/>
          <w:szCs w:val="21"/>
        </w:rPr>
        <w:t>1.5.3.5.1</w:t>
      </w:r>
      <w:r>
        <w:rPr>
          <w:rFonts w:hint="eastAsia" w:ascii="宋体" w:hAnsi="宋体" w:eastAsia="宋体" w:cs="宋体"/>
          <w:b/>
          <w:sz w:val="21"/>
          <w:szCs w:val="21"/>
        </w:rPr>
        <w:t>产权归属</w:t>
      </w:r>
      <w:r>
        <w:rPr>
          <w:rFonts w:hint="eastAsia" w:ascii="宋体" w:hAnsi="宋体" w:eastAsia="宋体" w:cs="宋体"/>
          <w:b/>
          <w:sz w:val="21"/>
          <w:szCs w:val="21"/>
          <w:lang w:val="en-US" w:eastAsia="zh-CN"/>
        </w:rPr>
        <w:t xml:space="preserve"> </w:t>
      </w:r>
    </w:p>
    <w:p>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在首签合同服务期及续签服务期内，项目相关产权属于乙方，未经甲方同意，乙方不得转让给第三方。服务期结束，双方解除服务合同后，项目产权归甲方所有。关于设备报废和拆除，甲方提出报废和拆除要求的，乙方应在限定时间内完成，相关硬件设备报废时需有甲方派人参加，防止数据泄漏。</w:t>
      </w:r>
    </w:p>
    <w:p>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1.5.3.5.2移交前检修</w:t>
      </w:r>
    </w:p>
    <w:p>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由甲乙双方共同确定项目移交日。乙方应在服务期满前6个月进行检修，检修前乙方应向甲方提交项目设施移交的详尽程序和检修的具体时间与内容，经得甲方同意后立即实施。</w:t>
      </w:r>
    </w:p>
    <w:p>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1.5.3.5.3移交前的验收</w:t>
      </w:r>
    </w:p>
    <w:p>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不迟于移交日前三个月，乙方应将项目所有资料准备齐全，并向甲方书面提出验收申请，甲方根据申请内容对项目进行移交前验收，如发现项目设施、材料有瑕疵，甲方立即通知乙方，乙方应在收到通知后的一个月内完成补救措施。如乙方未能按时进行补救措施，甲方有权扣除当月服务费，并有权自行或委托第三方修复上述瑕疵，费用从服务费中扣除。</w:t>
      </w:r>
    </w:p>
    <w:p>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1.5.3.5.4移交日应完成以下资料移交：</w:t>
      </w:r>
    </w:p>
    <w:p>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A、全部固定资产和无形资产的清单；</w:t>
      </w:r>
    </w:p>
    <w:p>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B、各类设施、设备的技术资料；</w:t>
      </w:r>
    </w:p>
    <w:p>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C、各类档案资料、报表、工作台帐等；</w:t>
      </w:r>
    </w:p>
    <w:p>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D、完成移交所需的其他资料。  </w:t>
      </w:r>
    </w:p>
    <w:p>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1.5.3.5.5技术的移交</w:t>
      </w:r>
    </w:p>
    <w:p>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在移交日，乙方应将其有权移交的与项目设施服务有关的所有技术(无论以许可还是分许可或其他方式取得的)，全部无偿移交给甲方，并确保甲方不会因使用这些技术而承担任何侵权责任。</w:t>
      </w:r>
    </w:p>
    <w:p>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1.5.3.5.6移走乙方所有的物品</w:t>
      </w:r>
    </w:p>
    <w:p>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除非双方另有协议，乙方将于移交日之后十五日内，自费从项目工程服务场地移走乙方雇员的个人用品以及与项目设施的服务和管理无关的物品。若乙方在上述时间内未能移走这些物品，甲方在通知乙方后，有权将该物品予以提存，乙方承担搬移、运输和保管的合理费用和风险。</w:t>
      </w:r>
    </w:p>
    <w:p>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1.5.3.5.7移交费用</w:t>
      </w:r>
    </w:p>
    <w:p>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甲乙双方负责各自的因为移交发生的费用和支出。</w:t>
      </w:r>
    </w:p>
    <w:p>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1.5.3.5.8移交效力</w:t>
      </w:r>
    </w:p>
    <w:p>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自移交日起，乙方在本协议项下的权利和义务即应终止，除本协议另有规定及双方之间截止移交日发生且尚未支付的债务除外。</w:t>
      </w:r>
    </w:p>
    <w:p>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自移交日起，甲方应接管项目设施的服务及本协议明示或默示的、因本协议产生的但于本协议终止后仍然有效的任何其他权利和义务。</w:t>
      </w:r>
    </w:p>
    <w:p>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1.5.3.5.9项目整体移交未经甲方确认前，乙方应保证项目正常服务，费用由乙方自行承担。</w:t>
      </w:r>
    </w:p>
    <w:p>
      <w:pPr>
        <w:spacing w:line="360" w:lineRule="auto"/>
        <w:ind w:firstLine="422" w:firstLineChars="200"/>
        <w:rPr>
          <w:rFonts w:hint="eastAsia" w:ascii="宋体" w:hAnsi="宋体" w:eastAsia="宋体" w:cs="宋体"/>
          <w:b/>
          <w:sz w:val="21"/>
          <w:szCs w:val="21"/>
          <w:lang w:eastAsia="zh-CN"/>
        </w:rPr>
      </w:pPr>
      <w:bookmarkStart w:id="474" w:name="_Toc5698"/>
      <w:bookmarkStart w:id="475" w:name="_Toc8586"/>
      <w:bookmarkStart w:id="476" w:name="_Toc3079"/>
      <w:bookmarkStart w:id="477" w:name="_Toc2375"/>
      <w:bookmarkStart w:id="478" w:name="_Toc24662"/>
      <w:r>
        <w:rPr>
          <w:rFonts w:hint="eastAsia" w:ascii="宋体" w:hAnsi="宋体" w:eastAsia="宋体" w:cs="宋体"/>
          <w:b/>
          <w:sz w:val="21"/>
          <w:szCs w:val="21"/>
        </w:rPr>
        <w:t xml:space="preserve">1.6 </w:t>
      </w:r>
      <w:r>
        <w:rPr>
          <w:rFonts w:hint="eastAsia" w:ascii="宋体" w:hAnsi="宋体" w:eastAsia="宋体" w:cs="宋体"/>
          <w:b/>
          <w:sz w:val="21"/>
          <w:szCs w:val="21"/>
          <w:lang w:eastAsia="zh-CN"/>
        </w:rPr>
        <w:t>履约保证金</w:t>
      </w:r>
    </w:p>
    <w:p>
      <w:pPr>
        <w:spacing w:line="360" w:lineRule="auto"/>
        <w:ind w:firstLine="420" w:firstLineChars="200"/>
        <w:rPr>
          <w:rFonts w:hint="eastAsia" w:ascii="宋体" w:hAnsi="宋体" w:cs="宋体"/>
          <w:bCs/>
          <w:szCs w:val="21"/>
        </w:rPr>
      </w:pPr>
      <w:r>
        <w:rPr>
          <w:rFonts w:hint="eastAsia" w:ascii="宋体" w:hAnsi="宋体" w:cs="宋体"/>
          <w:bCs/>
          <w:szCs w:val="21"/>
        </w:rPr>
        <w:t>合同金额的1%（采用银行保函），签订合同前向采购人提交，服务期满后采购人扣除相应违约金后退还履约保证金（无息）。</w:t>
      </w:r>
    </w:p>
    <w:p>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lang w:val="en-US" w:eastAsia="zh-CN"/>
        </w:rPr>
        <w:t>1.7</w:t>
      </w:r>
      <w:r>
        <w:rPr>
          <w:rFonts w:hint="eastAsia" w:ascii="宋体" w:hAnsi="宋体" w:eastAsia="宋体" w:cs="宋体"/>
          <w:b/>
          <w:sz w:val="21"/>
          <w:szCs w:val="21"/>
        </w:rPr>
        <w:t>违约责任</w:t>
      </w:r>
      <w:bookmarkEnd w:id="474"/>
      <w:bookmarkEnd w:id="475"/>
      <w:bookmarkEnd w:id="476"/>
      <w:bookmarkEnd w:id="477"/>
      <w:bookmarkEnd w:id="478"/>
    </w:p>
    <w:p>
      <w:pPr>
        <w:spacing w:line="500" w:lineRule="exact"/>
        <w:ind w:firstLine="420" w:firstLineChars="200"/>
        <w:rPr>
          <w:rFonts w:ascii="宋体" w:hAnsi="宋体" w:cs="宋体"/>
          <w:color w:val="000000"/>
          <w:szCs w:val="21"/>
        </w:rPr>
      </w:pPr>
      <w:bookmarkStart w:id="479" w:name="_Toc18683"/>
      <w:bookmarkStart w:id="480" w:name="_Toc26807"/>
      <w:bookmarkStart w:id="481" w:name="_Toc9497"/>
      <w:bookmarkStart w:id="482" w:name="_Toc32454"/>
      <w:bookmarkStart w:id="483" w:name="_Toc30329"/>
      <w:r>
        <w:rPr>
          <w:rFonts w:hint="eastAsia" w:ascii="宋体" w:hAnsi="宋体" w:cs="宋体"/>
          <w:color w:val="000000"/>
          <w:szCs w:val="21"/>
          <w:lang w:val="en-US" w:eastAsia="zh-CN"/>
        </w:rPr>
        <w:t>1.7.</w:t>
      </w:r>
      <w:r>
        <w:rPr>
          <w:rFonts w:hint="eastAsia" w:ascii="宋体" w:hAnsi="宋体" w:cs="宋体"/>
          <w:color w:val="000000"/>
          <w:szCs w:val="21"/>
        </w:rPr>
        <w:t>1、甲方无故逾期办理款项支付手续的，甲方应按逾期付款总额每日万分之五向乙方支付违约金。</w:t>
      </w:r>
    </w:p>
    <w:p>
      <w:pPr>
        <w:spacing w:line="500" w:lineRule="exact"/>
        <w:ind w:firstLine="420" w:firstLineChars="200"/>
        <w:rPr>
          <w:rFonts w:ascii="宋体" w:hAnsi="宋体" w:cs="宋体"/>
          <w:color w:val="000000"/>
          <w:szCs w:val="21"/>
        </w:rPr>
      </w:pPr>
      <w:r>
        <w:rPr>
          <w:rFonts w:hint="eastAsia" w:ascii="宋体" w:hAnsi="宋体" w:cs="宋体"/>
          <w:color w:val="000000"/>
          <w:szCs w:val="21"/>
          <w:lang w:val="en-US" w:eastAsia="zh-CN"/>
        </w:rPr>
        <w:t>1.7.</w:t>
      </w:r>
      <w:r>
        <w:rPr>
          <w:rFonts w:hint="eastAsia" w:ascii="宋体" w:hAnsi="宋体" w:cs="宋体"/>
          <w:color w:val="000000"/>
          <w:szCs w:val="21"/>
        </w:rPr>
        <w:t>2、因甲方原因造成乙方停工、返工、造成项目延期及合同终止所发生的费用，由甲方负担。因甲方原因造成项目延期完成，责任由甲方负责，甲方单方无故解除合同的，甲方应向乙方支付合同总值20%的违约金，如造成乙方损失超过违约金的，由甲方继续承担赔偿责任。</w:t>
      </w:r>
    </w:p>
    <w:p>
      <w:pPr>
        <w:spacing w:line="500" w:lineRule="exact"/>
        <w:ind w:firstLine="420" w:firstLineChars="200"/>
        <w:rPr>
          <w:szCs w:val="21"/>
        </w:rPr>
      </w:pPr>
      <w:r>
        <w:rPr>
          <w:rFonts w:hint="eastAsia" w:ascii="宋体" w:hAnsi="宋体" w:cs="宋体"/>
          <w:color w:val="000000"/>
          <w:szCs w:val="21"/>
          <w:lang w:val="en-US" w:eastAsia="zh-CN"/>
        </w:rPr>
        <w:t>1.7.</w:t>
      </w:r>
      <w:r>
        <w:rPr>
          <w:rFonts w:hint="eastAsia" w:ascii="宋体" w:hAnsi="宋体" w:cs="宋体"/>
          <w:color w:val="000000"/>
          <w:szCs w:val="21"/>
        </w:rPr>
        <w:t>3、乙方未能如期提供货物的，每日向甲方支付合同款项的万分之五作为违约金。乙方超过约定日期10个工作日仍不能提供货物的，甲方可单方解除本合同。乙方因未能如期提供货物或因其他违约行为导致甲方解除合同的，乙方应向甲方支付合同总值2</w:t>
      </w:r>
      <w:r>
        <w:rPr>
          <w:rFonts w:ascii="宋体" w:hAnsi="宋体" w:cs="宋体"/>
          <w:color w:val="000000"/>
          <w:szCs w:val="21"/>
        </w:rPr>
        <w:t>0</w:t>
      </w:r>
      <w:r>
        <w:rPr>
          <w:rFonts w:hint="eastAsia" w:ascii="宋体" w:hAnsi="宋体" w:cs="宋体"/>
          <w:color w:val="000000"/>
          <w:szCs w:val="21"/>
        </w:rPr>
        <w:t>%的违约金，如造成甲方损失超过违约金的，由乙方继续承担赔偿责任；如因其他非乙方原因导致乙方未能如期提供服务的乙方不承担责任。</w:t>
      </w:r>
    </w:p>
    <w:p>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1.</w:t>
      </w:r>
      <w:r>
        <w:rPr>
          <w:rFonts w:hint="eastAsia" w:ascii="宋体" w:hAnsi="宋体" w:eastAsia="宋体" w:cs="宋体"/>
          <w:b/>
          <w:sz w:val="21"/>
          <w:szCs w:val="21"/>
          <w:lang w:val="en-US" w:eastAsia="zh-CN"/>
        </w:rPr>
        <w:t>8</w:t>
      </w:r>
      <w:r>
        <w:rPr>
          <w:rFonts w:hint="eastAsia" w:ascii="宋体" w:hAnsi="宋体" w:eastAsia="宋体" w:cs="宋体"/>
          <w:b/>
          <w:sz w:val="21"/>
          <w:szCs w:val="21"/>
        </w:rPr>
        <w:t xml:space="preserve"> 合同争议的解决</w:t>
      </w:r>
      <w:bookmarkEnd w:id="479"/>
      <w:bookmarkEnd w:id="480"/>
      <w:bookmarkEnd w:id="481"/>
      <w:bookmarkEnd w:id="482"/>
      <w:bookmarkEnd w:id="483"/>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本合同履行过程中发生的任何争议，双方当事人均可通过和解或者调解解决；不愿和解、调解或者和解、调解不成的，可以选择下列第</w:t>
      </w:r>
      <w:r>
        <w:rPr>
          <w:rFonts w:hint="eastAsia" w:ascii="宋体" w:hAnsi="宋体" w:eastAsia="宋体" w:cs="宋体"/>
          <w:sz w:val="21"/>
          <w:szCs w:val="21"/>
          <w:u w:val="single"/>
        </w:rPr>
        <w:t xml:space="preserve">    </w:t>
      </w:r>
      <w:r>
        <w:rPr>
          <w:rFonts w:hint="eastAsia" w:ascii="宋体" w:hAnsi="宋体" w:eastAsia="宋体" w:cs="宋体"/>
          <w:sz w:val="21"/>
          <w:szCs w:val="21"/>
        </w:rPr>
        <w:t>种方式解决：</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8</w:t>
      </w:r>
      <w:r>
        <w:rPr>
          <w:rFonts w:hint="eastAsia" w:ascii="宋体" w:hAnsi="宋体" w:eastAsia="宋体" w:cs="宋体"/>
          <w:sz w:val="21"/>
          <w:szCs w:val="21"/>
        </w:rPr>
        <w:t>.1 将争议提交</w:t>
      </w:r>
      <w:r>
        <w:rPr>
          <w:rFonts w:hint="eastAsia" w:ascii="宋体" w:hAnsi="宋体" w:eastAsia="宋体" w:cs="宋体"/>
          <w:sz w:val="21"/>
          <w:szCs w:val="21"/>
          <w:u w:val="single"/>
        </w:rPr>
        <w:t xml:space="preserve">           </w:t>
      </w:r>
      <w:r>
        <w:rPr>
          <w:rFonts w:hint="eastAsia" w:ascii="宋体" w:hAnsi="宋体" w:eastAsia="宋体" w:cs="宋体"/>
          <w:sz w:val="21"/>
          <w:szCs w:val="21"/>
        </w:rPr>
        <w:t>仲裁委员会依申请仲裁时其现行有效的仲裁规则裁决；</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8</w:t>
      </w:r>
      <w:r>
        <w:rPr>
          <w:rFonts w:hint="eastAsia" w:ascii="宋体" w:hAnsi="宋体" w:eastAsia="宋体" w:cs="宋体"/>
          <w:sz w:val="21"/>
          <w:szCs w:val="21"/>
        </w:rPr>
        <w:t>.2 向</w:t>
      </w:r>
      <w:r>
        <w:rPr>
          <w:rFonts w:hint="eastAsia" w:ascii="宋体" w:hAnsi="宋体" w:eastAsia="宋体" w:cs="宋体"/>
          <w:sz w:val="21"/>
          <w:szCs w:val="21"/>
          <w:u w:val="single"/>
        </w:rPr>
        <w:t xml:space="preserve">   （被告住所地、合同履行地、合同签订地、原告住所地、标的物所在地等与争议有实际联系的地点中选出的人民法院名称）    </w:t>
      </w:r>
      <w:r>
        <w:rPr>
          <w:rFonts w:hint="eastAsia" w:ascii="宋体" w:hAnsi="宋体" w:eastAsia="宋体" w:cs="宋体"/>
          <w:sz w:val="21"/>
          <w:szCs w:val="21"/>
        </w:rPr>
        <w:t>人民法院起诉。</w:t>
      </w:r>
    </w:p>
    <w:p>
      <w:pPr>
        <w:spacing w:line="360" w:lineRule="auto"/>
        <w:ind w:firstLine="422" w:firstLineChars="200"/>
        <w:rPr>
          <w:rFonts w:hint="eastAsia" w:ascii="宋体" w:hAnsi="宋体" w:eastAsia="宋体" w:cs="宋体"/>
          <w:b/>
          <w:sz w:val="21"/>
          <w:szCs w:val="21"/>
        </w:rPr>
      </w:pPr>
      <w:bookmarkStart w:id="484" w:name="_Toc12273"/>
      <w:bookmarkStart w:id="485" w:name="_Toc26227"/>
      <w:bookmarkStart w:id="486" w:name="_Toc23784"/>
      <w:bookmarkStart w:id="487" w:name="_Toc16417"/>
      <w:bookmarkStart w:id="488" w:name="_Toc15827"/>
      <w:r>
        <w:rPr>
          <w:rFonts w:hint="eastAsia" w:ascii="宋体" w:hAnsi="宋体" w:eastAsia="宋体" w:cs="宋体"/>
          <w:b/>
          <w:sz w:val="21"/>
          <w:szCs w:val="21"/>
        </w:rPr>
        <w:t>1.</w:t>
      </w:r>
      <w:r>
        <w:rPr>
          <w:rFonts w:hint="eastAsia" w:ascii="宋体" w:hAnsi="宋体" w:eastAsia="宋体" w:cs="宋体"/>
          <w:b/>
          <w:sz w:val="21"/>
          <w:szCs w:val="21"/>
          <w:lang w:val="en-US" w:eastAsia="zh-CN"/>
        </w:rPr>
        <w:t>9</w:t>
      </w:r>
      <w:r>
        <w:rPr>
          <w:rFonts w:hint="eastAsia" w:ascii="宋体" w:hAnsi="宋体" w:eastAsia="宋体" w:cs="宋体"/>
          <w:b/>
          <w:sz w:val="21"/>
          <w:szCs w:val="21"/>
        </w:rPr>
        <w:t xml:space="preserve"> 合同生效</w:t>
      </w:r>
      <w:bookmarkEnd w:id="484"/>
      <w:bookmarkEnd w:id="485"/>
      <w:bookmarkEnd w:id="486"/>
      <w:bookmarkEnd w:id="487"/>
      <w:bookmarkEnd w:id="488"/>
    </w:p>
    <w:p>
      <w:pPr>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rPr>
        <w:t>本合同自双方当事人盖章或者签字时生效。</w:t>
      </w:r>
    </w:p>
    <w:p>
      <w:pPr>
        <w:autoSpaceDE w:val="0"/>
        <w:autoSpaceDN w:val="0"/>
        <w:adjustRightInd w:val="0"/>
        <w:spacing w:line="360" w:lineRule="auto"/>
        <w:rPr>
          <w:rFonts w:hint="eastAsia" w:ascii="宋体" w:hAnsi="宋体" w:eastAsia="宋体" w:cs="宋体"/>
          <w:sz w:val="21"/>
          <w:szCs w:val="21"/>
          <w:lang w:val="zh-CN"/>
        </w:rPr>
      </w:pPr>
      <w:r>
        <w:rPr>
          <w:rFonts w:hint="eastAsia" w:ascii="宋体" w:hAnsi="宋体" w:eastAsia="宋体" w:cs="宋体"/>
          <w:b/>
          <w:sz w:val="21"/>
          <w:szCs w:val="21"/>
          <w:lang w:val="zh-CN"/>
        </w:rPr>
        <w:t>甲方</w:t>
      </w:r>
      <w:r>
        <w:rPr>
          <w:rFonts w:hint="eastAsia" w:ascii="宋体" w:hAnsi="宋体" w:eastAsia="宋体" w:cs="宋体"/>
          <w:sz w:val="21"/>
          <w:szCs w:val="21"/>
          <w:lang w:val="zh-CN"/>
        </w:rPr>
        <w:t xml:space="preserve">：                             </w:t>
      </w:r>
      <w:r>
        <w:rPr>
          <w:rFonts w:hint="eastAsia" w:ascii="宋体" w:hAnsi="宋体" w:eastAsia="宋体" w:cs="宋体"/>
          <w:b/>
          <w:sz w:val="21"/>
          <w:szCs w:val="21"/>
          <w:lang w:val="zh-CN"/>
        </w:rPr>
        <w:t xml:space="preserve">      乙方</w:t>
      </w:r>
      <w:r>
        <w:rPr>
          <w:rFonts w:hint="eastAsia" w:ascii="宋体" w:hAnsi="宋体" w:eastAsia="宋体" w:cs="宋体"/>
          <w:sz w:val="21"/>
          <w:szCs w:val="21"/>
          <w:lang w:val="zh-CN"/>
        </w:rPr>
        <w:t>：</w:t>
      </w:r>
    </w:p>
    <w:p>
      <w:pPr>
        <w:autoSpaceDE w:val="0"/>
        <w:autoSpaceDN w:val="0"/>
        <w:adjustRightInd w:val="0"/>
        <w:spacing w:line="360" w:lineRule="auto"/>
        <w:rPr>
          <w:rFonts w:hint="eastAsia" w:ascii="宋体" w:hAnsi="宋体" w:eastAsia="宋体" w:cs="宋体"/>
          <w:sz w:val="21"/>
          <w:szCs w:val="21"/>
          <w:lang w:val="zh-CN"/>
        </w:rPr>
      </w:pPr>
      <w:r>
        <w:rPr>
          <w:rFonts w:hint="eastAsia" w:ascii="宋体" w:hAnsi="宋体" w:eastAsia="宋体" w:cs="宋体"/>
          <w:sz w:val="21"/>
          <w:szCs w:val="21"/>
          <w:lang w:val="zh-CN"/>
        </w:rPr>
        <w:t>统一社会信用代码：                        统一社会信用代码或身份证号码：</w:t>
      </w:r>
    </w:p>
    <w:p>
      <w:pPr>
        <w:autoSpaceDE w:val="0"/>
        <w:autoSpaceDN w:val="0"/>
        <w:adjustRightInd w:val="0"/>
        <w:spacing w:line="360" w:lineRule="auto"/>
        <w:rPr>
          <w:rFonts w:hint="eastAsia" w:ascii="宋体" w:hAnsi="宋体" w:eastAsia="宋体" w:cs="宋体"/>
          <w:sz w:val="21"/>
          <w:szCs w:val="21"/>
          <w:lang w:val="zh-CN"/>
        </w:rPr>
      </w:pPr>
      <w:r>
        <w:rPr>
          <w:rFonts w:hint="eastAsia" w:ascii="宋体" w:hAnsi="宋体" w:eastAsia="宋体" w:cs="宋体"/>
          <w:sz w:val="21"/>
          <w:szCs w:val="21"/>
          <w:lang w:val="zh-CN"/>
        </w:rPr>
        <w:t>住所：                                   住所：</w:t>
      </w:r>
    </w:p>
    <w:p>
      <w:pPr>
        <w:autoSpaceDE w:val="0"/>
        <w:autoSpaceDN w:val="0"/>
        <w:adjustRightInd w:val="0"/>
        <w:spacing w:line="360" w:lineRule="auto"/>
        <w:rPr>
          <w:rFonts w:hint="eastAsia" w:ascii="宋体" w:hAnsi="宋体" w:eastAsia="宋体" w:cs="宋体"/>
          <w:sz w:val="21"/>
          <w:szCs w:val="21"/>
          <w:lang w:val="zh-CN"/>
        </w:rPr>
      </w:pPr>
      <w:r>
        <w:rPr>
          <w:rFonts w:hint="eastAsia" w:ascii="宋体" w:hAnsi="宋体" w:eastAsia="宋体" w:cs="宋体"/>
          <w:sz w:val="21"/>
          <w:szCs w:val="21"/>
          <w:lang w:val="zh-CN"/>
        </w:rPr>
        <w:t>法定代表人或                             法定代表人</w:t>
      </w:r>
    </w:p>
    <w:p>
      <w:pPr>
        <w:autoSpaceDE w:val="0"/>
        <w:autoSpaceDN w:val="0"/>
        <w:adjustRightInd w:val="0"/>
        <w:spacing w:line="360" w:lineRule="auto"/>
        <w:rPr>
          <w:rFonts w:hint="eastAsia" w:ascii="宋体" w:hAnsi="宋体" w:eastAsia="宋体" w:cs="宋体"/>
          <w:sz w:val="21"/>
          <w:szCs w:val="21"/>
          <w:lang w:val="zh-CN"/>
        </w:rPr>
      </w:pPr>
      <w:r>
        <w:rPr>
          <w:rFonts w:hint="eastAsia" w:ascii="宋体" w:hAnsi="宋体" w:eastAsia="宋体" w:cs="宋体"/>
          <w:sz w:val="21"/>
          <w:szCs w:val="21"/>
          <w:lang w:val="zh-CN"/>
        </w:rPr>
        <w:t xml:space="preserve">授权代表（签字）：                        或授权代表（签字）： </w:t>
      </w:r>
    </w:p>
    <w:p>
      <w:pPr>
        <w:autoSpaceDE w:val="0"/>
        <w:autoSpaceDN w:val="0"/>
        <w:adjustRightInd w:val="0"/>
        <w:spacing w:line="360" w:lineRule="auto"/>
        <w:rPr>
          <w:rFonts w:hint="eastAsia" w:ascii="宋体" w:hAnsi="宋体" w:eastAsia="宋体" w:cs="宋体"/>
          <w:sz w:val="21"/>
          <w:szCs w:val="21"/>
          <w:lang w:val="zh-CN"/>
        </w:rPr>
      </w:pPr>
      <w:r>
        <w:rPr>
          <w:rFonts w:hint="eastAsia" w:ascii="宋体" w:hAnsi="宋体" w:eastAsia="宋体" w:cs="宋体"/>
          <w:sz w:val="21"/>
          <w:szCs w:val="21"/>
          <w:lang w:val="zh-CN"/>
        </w:rPr>
        <w:t xml:space="preserve">联系人：                                 联系人：              </w:t>
      </w:r>
    </w:p>
    <w:p>
      <w:pPr>
        <w:autoSpaceDE w:val="0"/>
        <w:autoSpaceDN w:val="0"/>
        <w:adjustRightInd w:val="0"/>
        <w:spacing w:line="360" w:lineRule="auto"/>
        <w:rPr>
          <w:rFonts w:hint="eastAsia" w:ascii="宋体" w:hAnsi="宋体" w:eastAsia="宋体" w:cs="宋体"/>
          <w:sz w:val="21"/>
          <w:szCs w:val="21"/>
          <w:lang w:val="zh-CN"/>
        </w:rPr>
      </w:pPr>
      <w:r>
        <w:rPr>
          <w:rFonts w:hint="eastAsia" w:ascii="宋体" w:hAnsi="宋体" w:eastAsia="宋体" w:cs="宋体"/>
          <w:sz w:val="21"/>
          <w:szCs w:val="21"/>
          <w:lang w:val="zh-CN"/>
        </w:rPr>
        <w:t>邮政编码：                               邮政编码：</w:t>
      </w:r>
    </w:p>
    <w:p>
      <w:pPr>
        <w:autoSpaceDE w:val="0"/>
        <w:autoSpaceDN w:val="0"/>
        <w:adjustRightInd w:val="0"/>
        <w:spacing w:line="360" w:lineRule="auto"/>
        <w:rPr>
          <w:rFonts w:hint="eastAsia" w:ascii="宋体" w:hAnsi="宋体" w:eastAsia="宋体" w:cs="宋体"/>
          <w:sz w:val="21"/>
          <w:szCs w:val="21"/>
          <w:lang w:val="zh-CN"/>
        </w:rPr>
      </w:pPr>
      <w:r>
        <w:rPr>
          <w:rFonts w:hint="eastAsia" w:ascii="宋体" w:hAnsi="宋体" w:eastAsia="宋体" w:cs="宋体"/>
          <w:sz w:val="21"/>
          <w:szCs w:val="21"/>
          <w:lang w:val="zh-CN"/>
        </w:rPr>
        <w:t xml:space="preserve">电话：                                   电话： </w:t>
      </w:r>
    </w:p>
    <w:p>
      <w:pPr>
        <w:autoSpaceDE w:val="0"/>
        <w:autoSpaceDN w:val="0"/>
        <w:adjustRightInd w:val="0"/>
        <w:spacing w:line="360" w:lineRule="auto"/>
        <w:rPr>
          <w:rFonts w:hint="eastAsia" w:ascii="宋体" w:hAnsi="宋体" w:eastAsia="宋体" w:cs="宋体"/>
          <w:sz w:val="21"/>
          <w:szCs w:val="21"/>
        </w:rPr>
      </w:pPr>
      <w:r>
        <w:rPr>
          <w:rFonts w:hint="eastAsia" w:ascii="宋体" w:hAnsi="宋体" w:eastAsia="宋体" w:cs="宋体"/>
          <w:sz w:val="21"/>
          <w:szCs w:val="21"/>
          <w:lang w:val="zh-CN"/>
        </w:rPr>
        <w:t>传真：                                   传真：</w:t>
      </w:r>
    </w:p>
    <w:p>
      <w:pPr>
        <w:autoSpaceDE w:val="0"/>
        <w:autoSpaceDN w:val="0"/>
        <w:adjustRightInd w:val="0"/>
        <w:spacing w:line="360" w:lineRule="auto"/>
        <w:rPr>
          <w:rFonts w:hint="eastAsia" w:ascii="宋体" w:hAnsi="宋体" w:eastAsia="宋体" w:cs="宋体"/>
          <w:sz w:val="21"/>
          <w:szCs w:val="21"/>
        </w:rPr>
      </w:pPr>
      <w:r>
        <w:rPr>
          <w:rFonts w:hint="eastAsia" w:ascii="宋体" w:hAnsi="宋体" w:eastAsia="宋体" w:cs="宋体"/>
          <w:sz w:val="21"/>
          <w:szCs w:val="21"/>
        </w:rPr>
        <w:t xml:space="preserve">开户银行：                               开户银行： </w:t>
      </w:r>
    </w:p>
    <w:p>
      <w:pPr>
        <w:autoSpaceDE w:val="0"/>
        <w:autoSpaceDN w:val="0"/>
        <w:adjustRightInd w:val="0"/>
        <w:spacing w:line="360" w:lineRule="auto"/>
        <w:rPr>
          <w:rFonts w:hint="eastAsia" w:ascii="宋体" w:hAnsi="宋体" w:eastAsia="宋体" w:cs="宋体"/>
          <w:sz w:val="21"/>
          <w:szCs w:val="21"/>
        </w:rPr>
      </w:pPr>
      <w:r>
        <w:rPr>
          <w:rFonts w:hint="eastAsia" w:ascii="宋体" w:hAnsi="宋体" w:eastAsia="宋体" w:cs="宋体"/>
          <w:sz w:val="21"/>
          <w:szCs w:val="21"/>
        </w:rPr>
        <w:t xml:space="preserve">开户名称：                               开户名称： </w:t>
      </w:r>
    </w:p>
    <w:p>
      <w:pPr>
        <w:spacing w:after="240" w:line="360" w:lineRule="auto"/>
        <w:jc w:val="left"/>
        <w:rPr>
          <w:rFonts w:hint="eastAsia" w:ascii="宋体" w:hAnsi="宋体" w:eastAsia="宋体" w:cs="宋体"/>
          <w:b/>
          <w:color w:val="auto"/>
          <w:sz w:val="21"/>
          <w:szCs w:val="21"/>
          <w:highlight w:val="none"/>
        </w:rPr>
      </w:pPr>
      <w:r>
        <w:rPr>
          <w:rFonts w:hint="eastAsia" w:ascii="宋体" w:hAnsi="宋体" w:eastAsia="宋体" w:cs="宋体"/>
          <w:sz w:val="21"/>
          <w:szCs w:val="21"/>
        </w:rPr>
        <w:t>开户账号：</w:t>
      </w:r>
      <w:r>
        <w:rPr>
          <w:rFonts w:hint="eastAsia" w:ascii="宋体" w:hAnsi="宋体" w:eastAsia="宋体" w:cs="宋体"/>
          <w:sz w:val="21"/>
          <w:szCs w:val="21"/>
          <w:lang w:val="zh-CN"/>
        </w:rPr>
        <w:t xml:space="preserve">                               </w:t>
      </w:r>
      <w:r>
        <w:rPr>
          <w:rFonts w:hint="eastAsia" w:ascii="宋体" w:hAnsi="宋体" w:eastAsia="宋体" w:cs="宋体"/>
          <w:sz w:val="21"/>
          <w:szCs w:val="21"/>
        </w:rPr>
        <w:t>开户账号：</w:t>
      </w:r>
    </w:p>
    <w:p>
      <w:pPr>
        <w:spacing w:line="312" w:lineRule="auto"/>
        <w:jc w:val="left"/>
        <w:rPr>
          <w:rFonts w:ascii="宋体" w:hAnsi="宋体" w:cs="宋体"/>
          <w:b/>
          <w:sz w:val="24"/>
          <w:u w:val="wave"/>
        </w:rPr>
      </w:pPr>
    </w:p>
    <w:p>
      <w:pPr>
        <w:spacing w:line="520" w:lineRule="exact"/>
        <w:ind w:firstLine="420" w:firstLineChars="200"/>
        <w:rPr>
          <w:rFonts w:ascii="宋体" w:hAnsi="宋体" w:cs="宋体"/>
          <w:szCs w:val="21"/>
        </w:rPr>
      </w:pPr>
    </w:p>
    <w:p>
      <w:pPr>
        <w:rPr>
          <w:rStyle w:val="59"/>
          <w:rFonts w:ascii="宋体" w:hAnsi="宋体" w:cs="宋体"/>
          <w:szCs w:val="22"/>
        </w:rPr>
      </w:pPr>
      <w:bookmarkStart w:id="489" w:name="_Toc25816"/>
      <w:r>
        <w:rPr>
          <w:rStyle w:val="59"/>
          <w:rFonts w:hint="eastAsia" w:ascii="宋体" w:hAnsi="宋体" w:cs="宋体"/>
          <w:szCs w:val="22"/>
        </w:rPr>
        <w:br w:type="page"/>
      </w:r>
    </w:p>
    <w:p>
      <w:pPr>
        <w:spacing w:line="336" w:lineRule="auto"/>
        <w:jc w:val="center"/>
        <w:outlineLvl w:val="0"/>
        <w:rPr>
          <w:rStyle w:val="59"/>
          <w:rFonts w:ascii="宋体" w:hAnsi="宋体" w:cs="宋体"/>
          <w:szCs w:val="22"/>
        </w:rPr>
      </w:pPr>
      <w:bookmarkStart w:id="490" w:name="_Toc23071"/>
      <w:r>
        <w:rPr>
          <w:rStyle w:val="59"/>
          <w:rFonts w:hint="eastAsia" w:ascii="宋体" w:hAnsi="宋体" w:cs="宋体"/>
          <w:szCs w:val="22"/>
        </w:rPr>
        <w:t>第五章 响应文件格式</w:t>
      </w:r>
      <w:bookmarkEnd w:id="447"/>
      <w:bookmarkEnd w:id="448"/>
      <w:bookmarkEnd w:id="489"/>
      <w:bookmarkEnd w:id="490"/>
      <w:bookmarkStart w:id="491" w:name="_Toc208886781"/>
      <w:bookmarkStart w:id="492" w:name="_Toc283042131"/>
    </w:p>
    <w:bookmarkEnd w:id="491"/>
    <w:bookmarkEnd w:id="492"/>
    <w:p>
      <w:pPr>
        <w:jc w:val="center"/>
        <w:rPr>
          <w:rFonts w:ascii="宋体" w:hAnsi="宋体" w:cs="宋体"/>
        </w:rPr>
      </w:pPr>
    </w:p>
    <w:p>
      <w:pPr>
        <w:jc w:val="center"/>
        <w:rPr>
          <w:rFonts w:ascii="宋体" w:hAnsi="宋体" w:cs="宋体"/>
        </w:rPr>
      </w:pPr>
    </w:p>
    <w:p>
      <w:pPr>
        <w:pStyle w:val="4"/>
        <w:spacing w:line="360" w:lineRule="auto"/>
        <w:jc w:val="center"/>
        <w:rPr>
          <w:rFonts w:ascii="宋体" w:hAnsi="宋体" w:cs="宋体"/>
          <w:sz w:val="24"/>
          <w:szCs w:val="24"/>
        </w:rPr>
      </w:pPr>
      <w:bookmarkStart w:id="493" w:name="_Toc20587"/>
      <w:bookmarkStart w:id="494" w:name="_Toc14181"/>
      <w:bookmarkStart w:id="495" w:name="_Toc303756413"/>
      <w:bookmarkStart w:id="496" w:name="_Toc28666"/>
      <w:r>
        <w:rPr>
          <w:rFonts w:hint="eastAsia" w:ascii="宋体" w:hAnsi="宋体" w:cs="宋体"/>
          <w:sz w:val="24"/>
          <w:szCs w:val="24"/>
        </w:rPr>
        <w:t>一、响应文件格式说明</w:t>
      </w:r>
      <w:bookmarkEnd w:id="493"/>
      <w:bookmarkEnd w:id="494"/>
      <w:bookmarkEnd w:id="495"/>
      <w:bookmarkEnd w:id="496"/>
    </w:p>
    <w:p>
      <w:pPr>
        <w:rPr>
          <w:rFonts w:ascii="宋体" w:hAnsi="宋体" w:cs="宋体"/>
        </w:rPr>
      </w:pPr>
    </w:p>
    <w:p>
      <w:pPr>
        <w:pStyle w:val="159"/>
        <w:tabs>
          <w:tab w:val="left" w:pos="851"/>
          <w:tab w:val="clear" w:pos="960"/>
        </w:tabs>
        <w:spacing w:line="360" w:lineRule="auto"/>
        <w:ind w:left="0" w:firstLine="425"/>
        <w:rPr>
          <w:rFonts w:cs="宋体"/>
          <w:szCs w:val="21"/>
        </w:rPr>
      </w:pPr>
      <w:r>
        <w:rPr>
          <w:rFonts w:hint="eastAsia" w:cs="宋体"/>
          <w:szCs w:val="21"/>
        </w:rPr>
        <w:t>1．供应商按照以下顺序填写和提交下述规定的全部格式文件以及其他有关资料，混乱的编排以致响应文件被误读或采购代理机构查找不到有效文件，后果由供应商承担。</w:t>
      </w:r>
    </w:p>
    <w:p>
      <w:pPr>
        <w:pStyle w:val="159"/>
        <w:tabs>
          <w:tab w:val="left" w:pos="851"/>
          <w:tab w:val="clear" w:pos="960"/>
        </w:tabs>
        <w:spacing w:line="360" w:lineRule="auto"/>
        <w:ind w:left="0" w:firstLine="425"/>
        <w:rPr>
          <w:rFonts w:cs="宋体"/>
          <w:szCs w:val="21"/>
        </w:rPr>
      </w:pPr>
      <w:r>
        <w:rPr>
          <w:rFonts w:hint="eastAsia" w:cs="宋体"/>
          <w:szCs w:val="21"/>
        </w:rPr>
        <w:t>2．所附表格中要求回答的全部问题和信息都必须正面回答。</w:t>
      </w:r>
    </w:p>
    <w:p>
      <w:pPr>
        <w:pStyle w:val="159"/>
        <w:tabs>
          <w:tab w:val="left" w:pos="851"/>
          <w:tab w:val="clear" w:pos="960"/>
        </w:tabs>
        <w:spacing w:line="360" w:lineRule="auto"/>
        <w:ind w:left="0" w:firstLine="425"/>
        <w:rPr>
          <w:rFonts w:cs="宋体"/>
          <w:szCs w:val="21"/>
        </w:rPr>
      </w:pPr>
      <w:r>
        <w:rPr>
          <w:rFonts w:hint="eastAsia" w:cs="宋体"/>
          <w:szCs w:val="21"/>
        </w:rPr>
        <w:t>3．供应商资格声明的签字人应保证全部声明和问题的回答是真实的和准确的。</w:t>
      </w:r>
    </w:p>
    <w:p>
      <w:pPr>
        <w:pStyle w:val="159"/>
        <w:tabs>
          <w:tab w:val="left" w:pos="851"/>
          <w:tab w:val="clear" w:pos="960"/>
        </w:tabs>
        <w:spacing w:line="360" w:lineRule="auto"/>
        <w:ind w:left="0" w:firstLine="425"/>
        <w:rPr>
          <w:rFonts w:cs="宋体"/>
          <w:szCs w:val="21"/>
        </w:rPr>
      </w:pPr>
      <w:r>
        <w:rPr>
          <w:rFonts w:hint="eastAsia" w:cs="宋体"/>
          <w:szCs w:val="21"/>
        </w:rPr>
        <w:t>4．采购代理机构和采购人将应用供应商提交的资料并根据自己的判断，决定供应商履行合同的合格性及能力。</w:t>
      </w:r>
    </w:p>
    <w:p>
      <w:pPr>
        <w:pStyle w:val="159"/>
        <w:tabs>
          <w:tab w:val="left" w:pos="851"/>
          <w:tab w:val="clear" w:pos="960"/>
        </w:tabs>
        <w:spacing w:line="360" w:lineRule="auto"/>
        <w:ind w:left="0" w:firstLine="425"/>
        <w:rPr>
          <w:rFonts w:cs="宋体"/>
          <w:szCs w:val="21"/>
        </w:rPr>
      </w:pPr>
      <w:r>
        <w:rPr>
          <w:rFonts w:hint="eastAsia" w:cs="宋体"/>
          <w:szCs w:val="21"/>
        </w:rPr>
        <w:t>5．供应商提交的材料将被保密保存，但不退还。</w:t>
      </w:r>
    </w:p>
    <w:p>
      <w:pPr>
        <w:spacing w:line="360" w:lineRule="auto"/>
        <w:ind w:firstLine="420" w:firstLineChars="200"/>
        <w:rPr>
          <w:rFonts w:ascii="宋体" w:hAnsi="宋体" w:cs="宋体"/>
          <w:b/>
          <w:szCs w:val="21"/>
        </w:rPr>
        <w:sectPr>
          <w:footerReference r:id="rId5" w:type="first"/>
          <w:headerReference r:id="rId3" w:type="default"/>
          <w:footerReference r:id="rId4" w:type="default"/>
          <w:pgSz w:w="11906" w:h="16838"/>
          <w:pgMar w:top="1417" w:right="1417" w:bottom="1134" w:left="1417" w:header="851" w:footer="850" w:gutter="0"/>
          <w:cols w:space="720" w:num="1"/>
          <w:titlePg/>
          <w:docGrid w:linePitch="312" w:charSpace="0"/>
        </w:sectPr>
      </w:pPr>
      <w:r>
        <w:rPr>
          <w:rFonts w:hint="eastAsia" w:ascii="宋体" w:hAnsi="宋体" w:cs="宋体"/>
          <w:szCs w:val="21"/>
        </w:rPr>
        <w:t>6．全部文件应按供应商须知中规定的语言提交</w:t>
      </w:r>
      <w:r>
        <w:rPr>
          <w:rFonts w:hint="eastAsia" w:ascii="宋体" w:hAnsi="宋体" w:cs="宋体"/>
          <w:b/>
          <w:szCs w:val="21"/>
        </w:rPr>
        <w:t>。</w:t>
      </w:r>
    </w:p>
    <w:p>
      <w:pPr>
        <w:pStyle w:val="4"/>
        <w:spacing w:line="360" w:lineRule="auto"/>
        <w:jc w:val="center"/>
        <w:rPr>
          <w:rFonts w:ascii="宋体" w:hAnsi="宋体" w:cs="宋体"/>
          <w:sz w:val="30"/>
          <w:szCs w:val="30"/>
        </w:rPr>
      </w:pPr>
      <w:bookmarkStart w:id="497" w:name="_Toc13667"/>
      <w:bookmarkStart w:id="498" w:name="_Toc26620"/>
      <w:bookmarkStart w:id="499" w:name="_Toc303756414"/>
      <w:bookmarkStart w:id="500" w:name="_Toc17291"/>
      <w:r>
        <w:rPr>
          <w:rFonts w:hint="eastAsia" w:ascii="宋体" w:hAnsi="宋体" w:cs="宋体"/>
          <w:sz w:val="30"/>
          <w:szCs w:val="30"/>
        </w:rPr>
        <w:t>二、资格审查文件格式</w:t>
      </w:r>
      <w:bookmarkEnd w:id="497"/>
      <w:bookmarkEnd w:id="498"/>
      <w:bookmarkEnd w:id="499"/>
      <w:bookmarkEnd w:id="500"/>
      <w:bookmarkStart w:id="501" w:name="_Toc303756434"/>
      <w:bookmarkStart w:id="502" w:name="_Toc11770"/>
    </w:p>
    <w:p>
      <w:pPr>
        <w:pStyle w:val="2"/>
        <w:snapToGrid w:val="0"/>
        <w:spacing w:before="50" w:after="120"/>
        <w:ind w:firstLine="0"/>
        <w:rPr>
          <w:rFonts w:ascii="宋体" w:hAnsi="宋体" w:cs="宋体"/>
          <w:szCs w:val="21"/>
        </w:rPr>
      </w:pPr>
    </w:p>
    <w:p>
      <w:pPr>
        <w:jc w:val="center"/>
        <w:rPr>
          <w:rFonts w:ascii="宋体" w:hAnsi="宋体" w:cs="宋体"/>
          <w:b/>
          <w:sz w:val="24"/>
        </w:rPr>
      </w:pPr>
      <w:bookmarkStart w:id="503" w:name="_Toc303756416"/>
      <w:r>
        <w:rPr>
          <w:rFonts w:hint="eastAsia" w:ascii="宋体" w:hAnsi="宋体" w:cs="宋体"/>
          <w:b/>
          <w:sz w:val="24"/>
        </w:rPr>
        <w:t>资格审查文件封面</w:t>
      </w:r>
      <w:bookmarkEnd w:id="503"/>
    </w:p>
    <w:p>
      <w:pPr>
        <w:jc w:val="center"/>
        <w:rPr>
          <w:rFonts w:ascii="宋体" w:hAnsi="宋体" w:cs="宋体"/>
        </w:rPr>
      </w:pPr>
      <w:r>
        <w:rPr>
          <w:rFonts w:hint="eastAsia" w:ascii="宋体" w:hAnsi="宋体" w:cs="宋体"/>
        </w:rPr>
        <w:t>（格式）</w:t>
      </w:r>
    </w:p>
    <w:p>
      <w:pPr>
        <w:pStyle w:val="2"/>
        <w:snapToGrid w:val="0"/>
        <w:spacing w:before="50" w:after="120"/>
        <w:ind w:firstLine="0"/>
        <w:rPr>
          <w:rFonts w:ascii="宋体" w:hAnsi="宋体" w:cs="宋体"/>
          <w:szCs w:val="21"/>
        </w:rPr>
      </w:pPr>
    </w:p>
    <w:p>
      <w:pPr>
        <w:snapToGrid w:val="0"/>
        <w:spacing w:beforeLines="50" w:after="50"/>
        <w:jc w:val="center"/>
        <w:rPr>
          <w:rFonts w:ascii="宋体" w:hAnsi="宋体" w:cs="宋体"/>
          <w:sz w:val="24"/>
        </w:rPr>
      </w:pPr>
      <w:r>
        <w:rPr>
          <w:rFonts w:hint="eastAsia" w:ascii="宋体" w:hAnsi="宋体" w:cs="宋体"/>
          <w:sz w:val="24"/>
        </w:rPr>
        <w:t>资格审查文件</w:t>
      </w:r>
    </w:p>
    <w:p>
      <w:pPr>
        <w:spacing w:line="360" w:lineRule="auto"/>
        <w:rPr>
          <w:rFonts w:ascii="宋体" w:hAnsi="宋体" w:cs="宋体"/>
          <w:szCs w:val="21"/>
        </w:rPr>
      </w:pPr>
    </w:p>
    <w:p>
      <w:pPr>
        <w:pStyle w:val="42"/>
        <w:rPr>
          <w:rFonts w:ascii="宋体" w:hAnsi="宋体"/>
        </w:rPr>
      </w:pPr>
    </w:p>
    <w:p>
      <w:pPr>
        <w:spacing w:line="360" w:lineRule="auto"/>
        <w:ind w:firstLine="1799" w:firstLineChars="857"/>
        <w:rPr>
          <w:rFonts w:ascii="宋体" w:hAnsi="宋体" w:cs="宋体"/>
          <w:szCs w:val="21"/>
          <w:u w:val="single"/>
        </w:rPr>
      </w:pPr>
      <w:r>
        <w:rPr>
          <w:rFonts w:hint="eastAsia" w:ascii="宋体" w:hAnsi="宋体" w:cs="宋体"/>
          <w:szCs w:val="21"/>
        </w:rPr>
        <w:t>项目名称：</w:t>
      </w:r>
    </w:p>
    <w:p>
      <w:pPr>
        <w:spacing w:line="360" w:lineRule="auto"/>
        <w:ind w:firstLine="1799" w:firstLineChars="857"/>
        <w:rPr>
          <w:rFonts w:ascii="宋体" w:hAnsi="宋体" w:cs="宋体"/>
          <w:szCs w:val="21"/>
        </w:rPr>
      </w:pPr>
      <w:r>
        <w:rPr>
          <w:rFonts w:hint="eastAsia" w:ascii="宋体" w:hAnsi="宋体" w:cs="宋体"/>
          <w:szCs w:val="21"/>
        </w:rPr>
        <w:t>采购编号：</w:t>
      </w:r>
    </w:p>
    <w:p>
      <w:pPr>
        <w:spacing w:line="360" w:lineRule="auto"/>
        <w:ind w:firstLine="1799" w:firstLineChars="857"/>
        <w:rPr>
          <w:rFonts w:ascii="宋体" w:hAnsi="宋体" w:cs="宋体"/>
          <w:szCs w:val="21"/>
          <w:u w:val="single"/>
        </w:rPr>
      </w:pPr>
      <w:r>
        <w:rPr>
          <w:rFonts w:hint="eastAsia" w:ascii="宋体" w:hAnsi="宋体" w:cs="宋体"/>
          <w:szCs w:val="21"/>
        </w:rPr>
        <w:t>标段：</w:t>
      </w:r>
      <w:r>
        <w:rPr>
          <w:rFonts w:hint="eastAsia" w:ascii="宋体" w:hAnsi="宋体" w:cs="宋体"/>
          <w:szCs w:val="21"/>
          <w:u w:val="single"/>
        </w:rPr>
        <w:t>（若有）</w:t>
      </w:r>
    </w:p>
    <w:p>
      <w:pPr>
        <w:spacing w:line="360" w:lineRule="auto"/>
        <w:ind w:firstLine="1799" w:firstLineChars="857"/>
        <w:rPr>
          <w:rFonts w:ascii="宋体" w:hAnsi="宋体" w:cs="宋体"/>
          <w:szCs w:val="21"/>
          <w:u w:val="single"/>
        </w:rPr>
      </w:pPr>
      <w:r>
        <w:rPr>
          <w:rFonts w:hint="eastAsia" w:ascii="宋体" w:hAnsi="宋体" w:cs="宋体"/>
          <w:bCs/>
          <w:szCs w:val="21"/>
        </w:rPr>
        <w:t>供应商</w:t>
      </w:r>
      <w:r>
        <w:rPr>
          <w:rFonts w:hint="eastAsia" w:ascii="宋体" w:hAnsi="宋体" w:cs="宋体"/>
          <w:szCs w:val="21"/>
        </w:rPr>
        <w:t>名称：</w:t>
      </w:r>
    </w:p>
    <w:p>
      <w:pPr>
        <w:spacing w:line="360" w:lineRule="auto"/>
        <w:ind w:firstLine="1799" w:firstLineChars="857"/>
        <w:rPr>
          <w:rFonts w:ascii="宋体" w:hAnsi="宋体" w:cs="宋体"/>
          <w:u w:val="single"/>
        </w:rPr>
      </w:pPr>
      <w:r>
        <w:rPr>
          <w:rFonts w:hint="eastAsia" w:ascii="宋体" w:hAnsi="宋体" w:cs="宋体"/>
          <w:bCs/>
          <w:szCs w:val="21"/>
        </w:rPr>
        <w:t>供应商</w:t>
      </w:r>
      <w:r>
        <w:rPr>
          <w:rFonts w:hint="eastAsia" w:ascii="宋体" w:hAnsi="宋体" w:cs="宋体"/>
        </w:rPr>
        <w:t>地址：</w:t>
      </w:r>
    </w:p>
    <w:p>
      <w:pPr>
        <w:spacing w:line="360" w:lineRule="auto"/>
        <w:ind w:firstLine="1799" w:firstLineChars="857"/>
        <w:rPr>
          <w:rFonts w:ascii="宋体" w:hAnsi="宋体" w:cs="宋体"/>
          <w:u w:val="single"/>
        </w:rPr>
      </w:pPr>
      <w:r>
        <w:rPr>
          <w:rFonts w:hint="eastAsia" w:ascii="宋体" w:hAnsi="宋体" w:cs="宋体"/>
          <w:szCs w:val="21"/>
        </w:rPr>
        <w:t>邮编：</w:t>
      </w:r>
    </w:p>
    <w:p>
      <w:pPr>
        <w:spacing w:line="360" w:lineRule="auto"/>
        <w:ind w:firstLine="1799" w:firstLineChars="857"/>
        <w:rPr>
          <w:rFonts w:ascii="宋体" w:hAnsi="宋体" w:cs="宋体"/>
          <w:u w:val="single"/>
        </w:rPr>
      </w:pPr>
    </w:p>
    <w:p>
      <w:pPr>
        <w:spacing w:line="360" w:lineRule="auto"/>
        <w:jc w:val="center"/>
        <w:rPr>
          <w:rFonts w:ascii="宋体" w:hAnsi="宋体" w:cs="宋体"/>
        </w:rPr>
      </w:pPr>
      <w:r>
        <w:rPr>
          <w:rFonts w:hint="eastAsia" w:ascii="宋体" w:hAnsi="宋体" w:cs="宋体"/>
        </w:rPr>
        <w:t>年  月  日</w:t>
      </w:r>
    </w:p>
    <w:p>
      <w:pPr>
        <w:spacing w:line="360" w:lineRule="auto"/>
        <w:jc w:val="center"/>
        <w:rPr>
          <w:rFonts w:ascii="宋体" w:hAnsi="宋体" w:cs="宋体"/>
          <w:b/>
          <w:szCs w:val="21"/>
        </w:rPr>
        <w:sectPr>
          <w:pgSz w:w="11906" w:h="16838"/>
          <w:pgMar w:top="1417" w:right="1417" w:bottom="1134" w:left="1417" w:header="851" w:footer="850" w:gutter="0"/>
          <w:cols w:space="720" w:num="1"/>
          <w:titlePg/>
          <w:docGrid w:linePitch="312" w:charSpace="0"/>
        </w:sectPr>
      </w:pPr>
    </w:p>
    <w:p>
      <w:pPr>
        <w:jc w:val="center"/>
        <w:rPr>
          <w:rFonts w:ascii="宋体" w:hAnsi="宋体" w:cs="宋体"/>
          <w:b/>
          <w:sz w:val="24"/>
        </w:rPr>
      </w:pPr>
      <w:bookmarkStart w:id="504" w:name="_Toc303756417"/>
      <w:bookmarkStart w:id="505" w:name="_Toc19760"/>
      <w:r>
        <w:rPr>
          <w:rFonts w:hint="eastAsia" w:ascii="宋体" w:hAnsi="宋体" w:cs="宋体"/>
          <w:b/>
          <w:sz w:val="24"/>
        </w:rPr>
        <w:t>资格审查文件目录</w:t>
      </w:r>
      <w:bookmarkEnd w:id="504"/>
    </w:p>
    <w:p>
      <w:pPr>
        <w:snapToGrid w:val="0"/>
        <w:spacing w:line="312" w:lineRule="auto"/>
        <w:rPr>
          <w:rFonts w:ascii="宋体" w:hAnsi="宋体" w:cs="宋体"/>
          <w:szCs w:val="21"/>
        </w:rPr>
      </w:pPr>
    </w:p>
    <w:p>
      <w:pPr>
        <w:snapToGrid w:val="0"/>
        <w:spacing w:line="312" w:lineRule="auto"/>
        <w:rPr>
          <w:rFonts w:ascii="宋体" w:hAnsi="宋体" w:cs="宋体"/>
          <w:szCs w:val="21"/>
        </w:rPr>
      </w:pPr>
      <w:r>
        <w:rPr>
          <w:rFonts w:hint="eastAsia" w:ascii="宋体" w:hAnsi="宋体" w:cs="宋体"/>
          <w:szCs w:val="21"/>
        </w:rPr>
        <w:t>1)企业营业执照（复印件加盖供应商公章）；</w:t>
      </w:r>
    </w:p>
    <w:p>
      <w:pPr>
        <w:snapToGrid w:val="0"/>
        <w:spacing w:line="312" w:lineRule="auto"/>
        <w:rPr>
          <w:rFonts w:ascii="宋体" w:hAnsi="宋体" w:cs="宋体"/>
          <w:szCs w:val="21"/>
        </w:rPr>
      </w:pPr>
      <w:r>
        <w:rPr>
          <w:rFonts w:hint="eastAsia" w:ascii="宋体" w:hAnsi="宋体" w:cs="宋体"/>
          <w:szCs w:val="21"/>
        </w:rPr>
        <w:t>2)法定代表人身份证明书或法定代表人授权委托书（见格式）；</w:t>
      </w:r>
    </w:p>
    <w:p>
      <w:pPr>
        <w:snapToGrid w:val="0"/>
        <w:spacing w:line="312" w:lineRule="auto"/>
        <w:rPr>
          <w:rFonts w:ascii="宋体" w:hAnsi="宋体" w:cs="宋体"/>
          <w:szCs w:val="21"/>
        </w:rPr>
      </w:pPr>
      <w:r>
        <w:rPr>
          <w:rFonts w:hint="eastAsia" w:ascii="宋体" w:hAnsi="宋体" w:cs="宋体"/>
          <w:szCs w:val="21"/>
        </w:rPr>
        <w:t>3）具有良好的财务会计制度、依法缴纳税收和社会保障资金的承诺函;</w:t>
      </w:r>
    </w:p>
    <w:p>
      <w:pPr>
        <w:snapToGrid w:val="0"/>
        <w:spacing w:line="312" w:lineRule="auto"/>
        <w:rPr>
          <w:rFonts w:ascii="宋体" w:hAnsi="宋体" w:cs="宋体"/>
          <w:szCs w:val="21"/>
        </w:rPr>
      </w:pPr>
      <w:r>
        <w:rPr>
          <w:rFonts w:hint="eastAsia" w:ascii="宋体" w:hAnsi="宋体" w:cs="宋体"/>
          <w:szCs w:val="21"/>
        </w:rPr>
        <w:t>4）具有履行合同所必需设备和专业技术能力的承诺函;</w:t>
      </w:r>
    </w:p>
    <w:p>
      <w:pPr>
        <w:snapToGrid w:val="0"/>
        <w:spacing w:line="312" w:lineRule="auto"/>
        <w:rPr>
          <w:rFonts w:ascii="宋体" w:hAnsi="宋体" w:cs="宋体"/>
          <w:szCs w:val="21"/>
        </w:rPr>
      </w:pPr>
      <w:r>
        <w:rPr>
          <w:rFonts w:hint="eastAsia" w:ascii="宋体" w:hAnsi="宋体" w:cs="宋体"/>
          <w:szCs w:val="21"/>
        </w:rPr>
        <w:t>5）中小企业承诺函；</w:t>
      </w:r>
    </w:p>
    <w:p>
      <w:pPr>
        <w:snapToGrid w:val="0"/>
        <w:spacing w:line="312" w:lineRule="auto"/>
        <w:rPr>
          <w:rFonts w:ascii="宋体" w:hAnsi="宋体" w:cs="宋体"/>
          <w:szCs w:val="21"/>
        </w:rPr>
      </w:pPr>
      <w:r>
        <w:rPr>
          <w:rFonts w:hint="eastAsia" w:ascii="宋体" w:hAnsi="宋体" w:cs="宋体"/>
          <w:szCs w:val="21"/>
        </w:rPr>
        <w:t>6)关于资格的声明；</w:t>
      </w:r>
    </w:p>
    <w:p>
      <w:pPr>
        <w:snapToGrid w:val="0"/>
        <w:spacing w:line="312" w:lineRule="auto"/>
        <w:rPr>
          <w:rFonts w:hint="eastAsia" w:ascii="宋体" w:hAnsi="宋体" w:cs="宋体"/>
          <w:szCs w:val="21"/>
        </w:rPr>
      </w:pPr>
      <w:r>
        <w:rPr>
          <w:rFonts w:hint="eastAsia" w:ascii="宋体" w:hAnsi="宋体" w:cs="宋体"/>
          <w:szCs w:val="21"/>
        </w:rPr>
        <w:t>7)无重大违法记录声明书；</w:t>
      </w:r>
    </w:p>
    <w:p>
      <w:pPr>
        <w:snapToGrid w:val="0"/>
        <w:spacing w:line="400" w:lineRule="exact"/>
        <w:rPr>
          <w:rFonts w:ascii="宋体" w:hAnsi="宋体" w:cs="宋体"/>
          <w:bCs/>
          <w:szCs w:val="21"/>
          <w:highlight w:val="yellow"/>
        </w:rPr>
      </w:pPr>
    </w:p>
    <w:p>
      <w:pPr>
        <w:spacing w:line="360" w:lineRule="auto"/>
        <w:rPr>
          <w:rFonts w:ascii="宋体" w:hAnsi="宋体" w:cs="宋体"/>
          <w:szCs w:val="21"/>
        </w:rPr>
      </w:pPr>
    </w:p>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p>
    <w:p>
      <w:pPr>
        <w:pStyle w:val="42"/>
        <w:rPr>
          <w:rFonts w:ascii="宋体" w:hAnsi="宋体"/>
        </w:rPr>
      </w:pPr>
    </w:p>
    <w:p>
      <w:pPr>
        <w:pStyle w:val="42"/>
        <w:rPr>
          <w:rFonts w:ascii="宋体" w:hAnsi="宋体"/>
        </w:rPr>
      </w:pPr>
    </w:p>
    <w:p>
      <w:pPr>
        <w:pStyle w:val="42"/>
        <w:rPr>
          <w:rFonts w:ascii="宋体" w:hAnsi="宋体"/>
        </w:rPr>
      </w:pPr>
    </w:p>
    <w:p>
      <w:pPr>
        <w:rPr>
          <w:rFonts w:ascii="宋体" w:hAnsi="宋体" w:cs="宋体"/>
        </w:rPr>
      </w:pPr>
      <w:r>
        <w:rPr>
          <w:rFonts w:hint="eastAsia" w:ascii="宋体" w:hAnsi="宋体" w:cs="宋体"/>
        </w:rPr>
        <w:br w:type="page"/>
      </w:r>
    </w:p>
    <w:p>
      <w:pPr>
        <w:keepNext/>
        <w:keepLines/>
        <w:snapToGrid w:val="0"/>
        <w:jc w:val="left"/>
        <w:rPr>
          <w:rFonts w:ascii="宋体" w:hAnsi="宋体" w:cs="宋体"/>
          <w:b/>
          <w:bCs/>
          <w:sz w:val="22"/>
          <w:szCs w:val="22"/>
          <w:highlight w:val="yellow"/>
        </w:rPr>
      </w:pPr>
      <w:bookmarkStart w:id="506" w:name="_Toc17773"/>
      <w:bookmarkStart w:id="507" w:name="_Toc531359042"/>
      <w:r>
        <w:rPr>
          <w:rFonts w:hint="eastAsia" w:ascii="宋体" w:hAnsi="宋体" w:cs="宋体"/>
          <w:b/>
          <w:bCs/>
          <w:sz w:val="22"/>
          <w:szCs w:val="22"/>
        </w:rPr>
        <w:t xml:space="preserve">1.1    </w:t>
      </w:r>
      <w:bookmarkEnd w:id="506"/>
      <w:bookmarkEnd w:id="507"/>
      <w:r>
        <w:rPr>
          <w:rFonts w:hint="eastAsia" w:ascii="宋体" w:hAnsi="宋体" w:cs="宋体"/>
          <w:b/>
          <w:bCs/>
          <w:sz w:val="22"/>
          <w:szCs w:val="22"/>
        </w:rPr>
        <w:t>企业营业执照</w:t>
      </w:r>
    </w:p>
    <w:p>
      <w:pPr>
        <w:pStyle w:val="2"/>
        <w:ind w:firstLine="0"/>
        <w:rPr>
          <w:rFonts w:ascii="宋体" w:hAnsi="宋体" w:cs="宋体"/>
          <w:sz w:val="22"/>
          <w:szCs w:val="22"/>
        </w:rPr>
      </w:pPr>
    </w:p>
    <w:p>
      <w:pPr>
        <w:spacing w:line="360" w:lineRule="auto"/>
        <w:rPr>
          <w:rFonts w:ascii="宋体" w:hAnsi="宋体" w:cs="宋体"/>
          <w:sz w:val="22"/>
          <w:szCs w:val="22"/>
        </w:rPr>
      </w:pPr>
      <w:r>
        <w:rPr>
          <w:rFonts w:hint="eastAsia" w:ascii="宋体" w:hAnsi="宋体" w:cs="宋体"/>
          <w:sz w:val="22"/>
          <w:szCs w:val="22"/>
        </w:rPr>
        <w:t>内容要求：</w:t>
      </w:r>
    </w:p>
    <w:p>
      <w:pPr>
        <w:numPr>
          <w:ilvl w:val="0"/>
          <w:numId w:val="4"/>
        </w:numPr>
        <w:spacing w:line="360" w:lineRule="auto"/>
        <w:ind w:firstLine="440" w:firstLineChars="200"/>
        <w:rPr>
          <w:rFonts w:ascii="宋体" w:hAnsi="宋体" w:cs="宋体"/>
        </w:rPr>
      </w:pPr>
      <w:r>
        <w:rPr>
          <w:rFonts w:hint="eastAsia" w:ascii="宋体" w:hAnsi="宋体" w:cs="宋体"/>
          <w:sz w:val="22"/>
          <w:szCs w:val="22"/>
        </w:rPr>
        <w:t>须有效的营业执照复印件加盖单位公章或浙江政府采购网的“注册供应商”栏目查询供应商注册页面信息打印件加盖单位公章；</w:t>
      </w:r>
    </w:p>
    <w:p>
      <w:pPr>
        <w:keepNext/>
        <w:keepLines/>
        <w:snapToGrid w:val="0"/>
        <w:jc w:val="center"/>
        <w:rPr>
          <w:rFonts w:ascii="宋体" w:hAnsi="宋体" w:cs="宋体"/>
          <w:spacing w:val="11"/>
          <w:sz w:val="22"/>
          <w:szCs w:val="22"/>
        </w:rPr>
      </w:pPr>
    </w:p>
    <w:p>
      <w:pPr>
        <w:keepNext/>
        <w:keepLines/>
        <w:snapToGrid w:val="0"/>
        <w:rPr>
          <w:rFonts w:ascii="宋体" w:hAnsi="宋体" w:cs="宋体"/>
          <w:spacing w:val="11"/>
          <w:sz w:val="22"/>
          <w:szCs w:val="22"/>
        </w:rPr>
      </w:pPr>
    </w:p>
    <w:p>
      <w:pPr>
        <w:keepNext/>
        <w:keepLines/>
        <w:snapToGrid w:val="0"/>
        <w:rPr>
          <w:rFonts w:ascii="宋体" w:hAnsi="宋体" w:cs="宋体"/>
          <w:spacing w:val="11"/>
          <w:sz w:val="22"/>
          <w:szCs w:val="22"/>
        </w:rPr>
      </w:pPr>
    </w:p>
    <w:p>
      <w:pPr>
        <w:keepNext/>
        <w:keepLines/>
        <w:snapToGrid w:val="0"/>
        <w:rPr>
          <w:rFonts w:ascii="宋体" w:hAnsi="宋体" w:cs="宋体"/>
          <w:spacing w:val="11"/>
          <w:sz w:val="22"/>
          <w:szCs w:val="22"/>
        </w:rPr>
      </w:pPr>
      <w:r>
        <w:rPr>
          <w:rFonts w:hint="eastAsia" w:ascii="宋体" w:hAnsi="宋体" w:cs="宋体"/>
          <w:spacing w:val="11"/>
          <w:sz w:val="22"/>
          <w:szCs w:val="22"/>
        </w:rPr>
        <w:br w:type="page"/>
      </w:r>
    </w:p>
    <w:p>
      <w:pPr>
        <w:keepNext/>
        <w:keepLines/>
        <w:snapToGrid w:val="0"/>
        <w:jc w:val="center"/>
        <w:rPr>
          <w:rFonts w:ascii="宋体" w:hAnsi="宋体" w:cs="宋体"/>
          <w:b/>
          <w:bCs/>
          <w:sz w:val="22"/>
          <w:szCs w:val="22"/>
        </w:rPr>
      </w:pPr>
      <w:r>
        <w:rPr>
          <w:rFonts w:hint="eastAsia" w:ascii="宋体" w:hAnsi="宋体" w:cs="宋体"/>
          <w:b/>
          <w:bCs/>
          <w:sz w:val="22"/>
          <w:szCs w:val="22"/>
        </w:rPr>
        <w:t>1.2.法定代表人身份证明</w:t>
      </w:r>
    </w:p>
    <w:p>
      <w:pPr>
        <w:keepNext/>
        <w:keepLines/>
        <w:adjustRightInd w:val="0"/>
        <w:textAlignment w:val="baseline"/>
        <w:rPr>
          <w:rFonts w:ascii="宋体" w:hAnsi="宋体" w:cs="宋体"/>
        </w:rPr>
      </w:pPr>
    </w:p>
    <w:p>
      <w:pPr>
        <w:spacing w:line="360" w:lineRule="auto"/>
        <w:rPr>
          <w:rFonts w:ascii="宋体" w:hAnsi="宋体" w:cs="宋体"/>
          <w:sz w:val="22"/>
          <w:szCs w:val="22"/>
        </w:rPr>
      </w:pPr>
      <w:r>
        <w:rPr>
          <w:rFonts w:hint="eastAsia" w:ascii="宋体" w:hAnsi="宋体" w:cs="宋体"/>
          <w:sz w:val="22"/>
          <w:szCs w:val="22"/>
        </w:rPr>
        <w:t>供 应 商：</w:t>
      </w:r>
      <w:r>
        <w:rPr>
          <w:rFonts w:hint="eastAsia" w:ascii="宋体" w:hAnsi="宋体" w:cs="宋体"/>
          <w:sz w:val="22"/>
          <w:szCs w:val="22"/>
          <w:u w:val="single"/>
        </w:rPr>
        <w:t xml:space="preserve">                                                        </w:t>
      </w:r>
    </w:p>
    <w:p>
      <w:pPr>
        <w:spacing w:line="360" w:lineRule="auto"/>
        <w:rPr>
          <w:rFonts w:ascii="宋体" w:hAnsi="宋体" w:cs="宋体"/>
          <w:sz w:val="22"/>
          <w:szCs w:val="22"/>
        </w:rPr>
      </w:pPr>
      <w:r>
        <w:rPr>
          <w:rFonts w:hint="eastAsia" w:ascii="宋体" w:hAnsi="宋体" w:cs="宋体"/>
          <w:sz w:val="22"/>
          <w:szCs w:val="22"/>
        </w:rPr>
        <w:t>单位性质：</w:t>
      </w:r>
      <w:r>
        <w:rPr>
          <w:rFonts w:hint="eastAsia" w:ascii="宋体" w:hAnsi="宋体" w:cs="宋体"/>
          <w:sz w:val="22"/>
          <w:szCs w:val="22"/>
          <w:u w:val="single"/>
        </w:rPr>
        <w:t xml:space="preserve">                                                        </w:t>
      </w:r>
    </w:p>
    <w:p>
      <w:pPr>
        <w:spacing w:line="360" w:lineRule="auto"/>
        <w:rPr>
          <w:rFonts w:ascii="宋体" w:hAnsi="宋体" w:cs="宋体"/>
          <w:sz w:val="22"/>
          <w:szCs w:val="22"/>
        </w:rPr>
      </w:pPr>
      <w:r>
        <w:rPr>
          <w:rFonts w:hint="eastAsia" w:ascii="宋体" w:hAnsi="宋体" w:cs="宋体"/>
          <w:sz w:val="22"/>
          <w:szCs w:val="22"/>
        </w:rPr>
        <w:t>地    址：</w:t>
      </w:r>
      <w:r>
        <w:rPr>
          <w:rFonts w:hint="eastAsia" w:ascii="宋体" w:hAnsi="宋体" w:cs="宋体"/>
          <w:sz w:val="22"/>
          <w:szCs w:val="22"/>
          <w:u w:val="single"/>
        </w:rPr>
        <w:t xml:space="preserve">                                                        </w:t>
      </w:r>
    </w:p>
    <w:p>
      <w:pPr>
        <w:spacing w:line="360" w:lineRule="auto"/>
        <w:rPr>
          <w:rFonts w:ascii="宋体" w:hAnsi="宋体" w:cs="宋体"/>
          <w:sz w:val="22"/>
          <w:szCs w:val="22"/>
        </w:rPr>
      </w:pPr>
      <w:r>
        <w:rPr>
          <w:rFonts w:hint="eastAsia" w:ascii="宋体" w:hAnsi="宋体" w:cs="宋体"/>
          <w:sz w:val="22"/>
          <w:szCs w:val="22"/>
        </w:rPr>
        <w:t>成立时间：</w:t>
      </w:r>
      <w:r>
        <w:rPr>
          <w:rFonts w:hint="eastAsia" w:ascii="宋体" w:hAnsi="宋体" w:cs="宋体"/>
          <w:sz w:val="22"/>
          <w:szCs w:val="22"/>
          <w:u w:val="single"/>
        </w:rPr>
        <w:t xml:space="preserve">                 </w:t>
      </w:r>
      <w:r>
        <w:rPr>
          <w:rFonts w:hint="eastAsia" w:ascii="宋体" w:hAnsi="宋体" w:cs="宋体"/>
          <w:sz w:val="22"/>
          <w:szCs w:val="22"/>
        </w:rPr>
        <w:t>年</w:t>
      </w:r>
      <w:r>
        <w:rPr>
          <w:rFonts w:hint="eastAsia" w:ascii="宋体" w:hAnsi="宋体" w:cs="宋体"/>
          <w:sz w:val="22"/>
          <w:szCs w:val="22"/>
          <w:u w:val="single"/>
        </w:rPr>
        <w:t xml:space="preserve">              </w:t>
      </w:r>
      <w:r>
        <w:rPr>
          <w:rFonts w:hint="eastAsia" w:ascii="宋体" w:hAnsi="宋体" w:cs="宋体"/>
          <w:sz w:val="22"/>
          <w:szCs w:val="22"/>
        </w:rPr>
        <w:t>月</w:t>
      </w:r>
      <w:r>
        <w:rPr>
          <w:rFonts w:hint="eastAsia" w:ascii="宋体" w:hAnsi="宋体" w:cs="宋体"/>
          <w:sz w:val="22"/>
          <w:szCs w:val="22"/>
          <w:u w:val="single"/>
        </w:rPr>
        <w:t xml:space="preserve">              </w:t>
      </w:r>
      <w:r>
        <w:rPr>
          <w:rFonts w:hint="eastAsia" w:ascii="宋体" w:hAnsi="宋体" w:cs="宋体"/>
          <w:sz w:val="22"/>
          <w:szCs w:val="22"/>
        </w:rPr>
        <w:t>日</w:t>
      </w:r>
    </w:p>
    <w:p>
      <w:pPr>
        <w:spacing w:line="360" w:lineRule="auto"/>
        <w:rPr>
          <w:rFonts w:ascii="宋体" w:hAnsi="宋体" w:cs="宋体"/>
          <w:sz w:val="22"/>
          <w:szCs w:val="22"/>
        </w:rPr>
      </w:pPr>
      <w:r>
        <w:rPr>
          <w:rFonts w:hint="eastAsia" w:ascii="宋体" w:hAnsi="宋体" w:cs="宋体"/>
          <w:sz w:val="22"/>
          <w:szCs w:val="22"/>
        </w:rPr>
        <w:t>经营期限：</w:t>
      </w:r>
      <w:r>
        <w:rPr>
          <w:rFonts w:hint="eastAsia" w:ascii="宋体" w:hAnsi="宋体" w:cs="宋体"/>
          <w:sz w:val="22"/>
          <w:szCs w:val="22"/>
          <w:u w:val="single"/>
        </w:rPr>
        <w:t xml:space="preserve">                                                        </w:t>
      </w:r>
    </w:p>
    <w:p>
      <w:pPr>
        <w:spacing w:line="360" w:lineRule="auto"/>
        <w:rPr>
          <w:rFonts w:ascii="宋体" w:hAnsi="宋体" w:cs="宋体"/>
          <w:sz w:val="22"/>
          <w:szCs w:val="22"/>
        </w:rPr>
      </w:pPr>
      <w:r>
        <w:rPr>
          <w:rFonts w:hint="eastAsia" w:ascii="宋体" w:hAnsi="宋体" w:cs="宋体"/>
          <w:sz w:val="22"/>
          <w:szCs w:val="22"/>
        </w:rPr>
        <w:t>姓    名：</w:t>
      </w:r>
      <w:r>
        <w:rPr>
          <w:rFonts w:hint="eastAsia" w:ascii="宋体" w:hAnsi="宋体" w:cs="宋体"/>
          <w:sz w:val="22"/>
          <w:szCs w:val="22"/>
          <w:u w:val="single"/>
        </w:rPr>
        <w:t xml:space="preserve">                          </w:t>
      </w:r>
      <w:r>
        <w:rPr>
          <w:rFonts w:hint="eastAsia" w:ascii="宋体" w:hAnsi="宋体" w:cs="宋体"/>
          <w:sz w:val="22"/>
          <w:szCs w:val="22"/>
        </w:rPr>
        <w:t>性        别：</w:t>
      </w:r>
      <w:r>
        <w:rPr>
          <w:rFonts w:hint="eastAsia" w:ascii="宋体" w:hAnsi="宋体" w:cs="宋体"/>
          <w:sz w:val="22"/>
          <w:szCs w:val="22"/>
          <w:u w:val="single"/>
        </w:rPr>
        <w:t xml:space="preserve">                </w:t>
      </w:r>
    </w:p>
    <w:p>
      <w:pPr>
        <w:spacing w:line="360" w:lineRule="auto"/>
        <w:rPr>
          <w:rFonts w:ascii="宋体" w:hAnsi="宋体" w:cs="宋体"/>
          <w:sz w:val="22"/>
          <w:szCs w:val="22"/>
        </w:rPr>
      </w:pPr>
      <w:r>
        <w:rPr>
          <w:rFonts w:hint="eastAsia" w:ascii="宋体" w:hAnsi="宋体" w:cs="宋体"/>
          <w:sz w:val="22"/>
          <w:szCs w:val="22"/>
        </w:rPr>
        <w:t>年    龄：</w:t>
      </w:r>
      <w:r>
        <w:rPr>
          <w:rFonts w:hint="eastAsia" w:ascii="宋体" w:hAnsi="宋体" w:cs="宋体"/>
          <w:sz w:val="22"/>
          <w:szCs w:val="22"/>
          <w:u w:val="single"/>
        </w:rPr>
        <w:t xml:space="preserve">                          </w:t>
      </w:r>
      <w:r>
        <w:rPr>
          <w:rFonts w:hint="eastAsia" w:ascii="宋体" w:hAnsi="宋体" w:cs="宋体"/>
          <w:sz w:val="22"/>
          <w:szCs w:val="22"/>
        </w:rPr>
        <w:t>职        务：</w:t>
      </w:r>
      <w:r>
        <w:rPr>
          <w:rFonts w:hint="eastAsia" w:ascii="宋体" w:hAnsi="宋体" w:cs="宋体"/>
          <w:sz w:val="22"/>
          <w:szCs w:val="22"/>
          <w:u w:val="single"/>
        </w:rPr>
        <w:t xml:space="preserve">                </w:t>
      </w:r>
    </w:p>
    <w:p>
      <w:pPr>
        <w:spacing w:line="360" w:lineRule="auto"/>
        <w:rPr>
          <w:rFonts w:ascii="宋体" w:hAnsi="宋体" w:cs="宋体"/>
          <w:sz w:val="22"/>
          <w:szCs w:val="22"/>
        </w:rPr>
      </w:pPr>
      <w:r>
        <w:rPr>
          <w:rFonts w:hint="eastAsia" w:ascii="宋体" w:hAnsi="宋体" w:cs="宋体"/>
          <w:sz w:val="22"/>
          <w:szCs w:val="22"/>
        </w:rPr>
        <w:t>系</w:t>
      </w:r>
      <w:r>
        <w:rPr>
          <w:rFonts w:hint="eastAsia" w:ascii="宋体" w:hAnsi="宋体" w:cs="宋体"/>
          <w:sz w:val="22"/>
          <w:szCs w:val="22"/>
          <w:u w:val="single"/>
        </w:rPr>
        <w:t xml:space="preserve">                                                 </w:t>
      </w:r>
      <w:r>
        <w:rPr>
          <w:rFonts w:hint="eastAsia" w:ascii="宋体" w:hAnsi="宋体" w:cs="宋体"/>
          <w:sz w:val="22"/>
          <w:szCs w:val="22"/>
        </w:rPr>
        <w:t>（供应商名称）的法定代表人。</w:t>
      </w:r>
    </w:p>
    <w:p>
      <w:pPr>
        <w:spacing w:line="360" w:lineRule="auto"/>
        <w:rPr>
          <w:rFonts w:ascii="宋体" w:hAnsi="宋体" w:cs="宋体"/>
          <w:sz w:val="22"/>
          <w:szCs w:val="22"/>
        </w:rPr>
      </w:pPr>
      <w:r>
        <w:rPr>
          <w:rFonts w:hint="eastAsia" w:ascii="宋体" w:hAnsi="宋体" w:cs="宋体"/>
          <w:sz w:val="22"/>
          <w:szCs w:val="22"/>
        </w:rPr>
        <w:t>特此证明。</w:t>
      </w:r>
    </w:p>
    <w:p>
      <w:pPr>
        <w:spacing w:line="360" w:lineRule="auto"/>
        <w:jc w:val="right"/>
        <w:rPr>
          <w:rFonts w:ascii="宋体" w:hAnsi="宋体" w:cs="宋体"/>
          <w:sz w:val="22"/>
          <w:szCs w:val="22"/>
        </w:rPr>
      </w:pPr>
    </w:p>
    <w:p>
      <w:pPr>
        <w:spacing w:line="360" w:lineRule="auto"/>
        <w:ind w:firstLine="3850" w:firstLineChars="1750"/>
        <w:rPr>
          <w:rFonts w:ascii="宋体" w:hAnsi="宋体" w:cs="宋体"/>
          <w:spacing w:val="20"/>
          <w:sz w:val="22"/>
          <w:szCs w:val="22"/>
          <w:u w:val="single"/>
        </w:rPr>
      </w:pPr>
      <w:r>
        <w:rPr>
          <w:rFonts w:hint="eastAsia" w:ascii="宋体" w:hAnsi="宋体" w:cs="宋体"/>
          <w:sz w:val="22"/>
          <w:szCs w:val="22"/>
        </w:rPr>
        <w:t>法定代表人</w:t>
      </w:r>
      <w:r>
        <w:rPr>
          <w:rFonts w:hint="eastAsia" w:ascii="宋体" w:hAnsi="宋体" w:cs="宋体"/>
          <w:spacing w:val="20"/>
          <w:sz w:val="22"/>
          <w:szCs w:val="22"/>
        </w:rPr>
        <w:t>签字或盖章:</w:t>
      </w:r>
      <w:r>
        <w:rPr>
          <w:rFonts w:hint="eastAsia" w:ascii="宋体" w:hAnsi="宋体" w:cs="宋体"/>
          <w:spacing w:val="20"/>
          <w:sz w:val="22"/>
          <w:szCs w:val="22"/>
          <w:u w:val="single"/>
        </w:rPr>
        <w:t xml:space="preserve">            </w:t>
      </w:r>
    </w:p>
    <w:p>
      <w:pPr>
        <w:spacing w:line="360" w:lineRule="auto"/>
        <w:ind w:firstLine="520" w:firstLineChars="200"/>
        <w:rPr>
          <w:rFonts w:ascii="宋体" w:hAnsi="宋体" w:cs="宋体"/>
          <w:spacing w:val="20"/>
          <w:sz w:val="22"/>
          <w:szCs w:val="22"/>
          <w:u w:val="single"/>
        </w:rPr>
      </w:pPr>
      <w:r>
        <w:rPr>
          <w:rFonts w:hint="eastAsia" w:ascii="宋体" w:hAnsi="宋体" w:cs="宋体"/>
          <w:spacing w:val="20"/>
          <w:sz w:val="22"/>
          <w:szCs w:val="22"/>
        </w:rPr>
        <w:t xml:space="preserve">                             供应商盖章:</w:t>
      </w:r>
      <w:r>
        <w:rPr>
          <w:rFonts w:hint="eastAsia" w:ascii="宋体" w:hAnsi="宋体" w:cs="宋体"/>
          <w:spacing w:val="20"/>
          <w:sz w:val="22"/>
          <w:szCs w:val="22"/>
          <w:u w:val="single"/>
        </w:rPr>
        <w:t xml:space="preserve">            </w:t>
      </w:r>
    </w:p>
    <w:p>
      <w:pPr>
        <w:spacing w:line="360" w:lineRule="auto"/>
        <w:jc w:val="center"/>
        <w:rPr>
          <w:rFonts w:ascii="宋体" w:hAnsi="宋体" w:cs="宋体"/>
          <w:spacing w:val="11"/>
          <w:sz w:val="22"/>
          <w:szCs w:val="22"/>
        </w:rPr>
      </w:pPr>
      <w:r>
        <w:rPr>
          <w:rFonts w:hint="eastAsia" w:ascii="宋体" w:hAnsi="宋体" w:cs="宋体"/>
          <w:spacing w:val="20"/>
          <w:sz w:val="22"/>
          <w:szCs w:val="22"/>
        </w:rPr>
        <w:t xml:space="preserve">              日     期:</w:t>
      </w:r>
      <w:r>
        <w:rPr>
          <w:rFonts w:hint="eastAsia" w:ascii="宋体" w:hAnsi="宋体" w:cs="宋体"/>
          <w:spacing w:val="20"/>
          <w:sz w:val="22"/>
          <w:szCs w:val="22"/>
          <w:u w:val="single"/>
        </w:rPr>
        <w:t xml:space="preserve">            </w:t>
      </w:r>
      <w:r>
        <w:rPr>
          <w:rFonts w:hint="eastAsia" w:ascii="宋体" w:hAnsi="宋体" w:cs="宋体"/>
          <w:spacing w:val="11"/>
          <w:sz w:val="22"/>
          <w:szCs w:val="22"/>
        </w:rPr>
        <w:t xml:space="preserve">  </w:t>
      </w:r>
    </w:p>
    <w:p>
      <w:pPr>
        <w:ind w:left="2" w:leftChars="1" w:firstLine="420"/>
        <w:jc w:val="center"/>
        <w:rPr>
          <w:rFonts w:ascii="宋体" w:hAnsi="宋体" w:cs="宋体"/>
          <w:bCs/>
          <w:spacing w:val="11"/>
          <w:sz w:val="22"/>
          <w:szCs w:val="22"/>
        </w:rPr>
      </w:pPr>
    </w:p>
    <w:p>
      <w:pPr>
        <w:ind w:left="2" w:leftChars="1" w:firstLine="420"/>
        <w:jc w:val="center"/>
        <w:rPr>
          <w:rFonts w:ascii="宋体" w:hAnsi="宋体" w:cs="宋体"/>
          <w:spacing w:val="11"/>
          <w:sz w:val="22"/>
          <w:szCs w:val="22"/>
        </w:rPr>
      </w:pPr>
      <w:bookmarkStart w:id="508" w:name="_Toc25840_WPSOffice_Level1"/>
      <w:bookmarkStart w:id="509" w:name="_Toc342_WPSOffice_Level1"/>
      <w:bookmarkStart w:id="510" w:name="_Toc682_WPSOffice_Level1"/>
      <w:bookmarkStart w:id="511" w:name="_Toc29091_WPSOffice_Level1"/>
      <w:r>
        <w:rPr>
          <w:rFonts w:hint="eastAsia" w:ascii="宋体" w:hAnsi="宋体" w:cs="宋体"/>
          <w:spacing w:val="11"/>
          <w:sz w:val="22"/>
          <w:szCs w:val="22"/>
        </w:rPr>
        <w:t>法定代表人身份证复印件粘贴处</w:t>
      </w:r>
      <w:bookmarkEnd w:id="508"/>
      <w:bookmarkEnd w:id="509"/>
      <w:bookmarkEnd w:id="510"/>
      <w:bookmarkEnd w:id="511"/>
    </w:p>
    <w:p>
      <w:pPr>
        <w:ind w:firstLine="420"/>
        <w:rPr>
          <w:rFonts w:ascii="宋体" w:hAnsi="宋体" w:cs="宋体"/>
          <w:spacing w:val="11"/>
          <w:sz w:val="22"/>
          <w:szCs w:val="22"/>
        </w:rPr>
      </w:pPr>
      <w:r>
        <w:rPr>
          <w:rFonts w:ascii="宋体" w:hAnsi="宋体" w:cs="宋体"/>
          <w:spacing w:val="11"/>
          <w:sz w:val="22"/>
          <w:szCs w:val="22"/>
        </w:rPr>
        <w:pict>
          <v:rect id="Rectangle 5" o:spid="_x0000_s1026" o:spt="1" style="position:absolute;left:0pt;margin-left:48.6pt;margin-top:6pt;height:124.8pt;width:369pt;z-index:251659264;mso-width-relative:page;mso-height-relative:page;" coordsize="21600,21600" o:gfxdata="UEsDBAoAAAAAAIdO4kAAAAAAAAAAAAAAAAAEAAAAZHJzL1BLAwQUAAAACACHTuJAQx/dpdcAAAAJ AQAADwAAAGRycy9kb3ducmV2LnhtbE2PwU7DMBBE70j8g7VI3KgTV4Q2xOkBVCSObXrh5sRLEojX Uey0ga9nOcFxZ0azb4rd4gZxxin0njSkqwQEUuNtT62GU7W/24AI0ZA1gyfU8IUBduX1VWFy6y90 wPMxtoJLKORGQxfjmEsZmg6dCSs/IrH37idnIp9TK+1kLlzuBqmSJJPO9MQfOjPiU4fN53F2Gupe ncz3oXpJ3Ha/jq9L9TG/PWt9e5MmjyAiLvEvDL/4jA4lM9V+JhvEoGH7oDjJuuJJ7G/W9yzUGlSW ZiDLQv5fUP4AUEsDBBQAAAAIAIdO4kBeX8vj9AEAACIEAAAOAAAAZHJzL2Uyb0RvYy54bWytU02P 2jAQvVfqf7B8Lwl0QWxE2EMpvVTtqtv+gMF2Ekv+kscQ+PcdG8p+tAcOzSEZx+M3770Zrx6O1rCD iqi9a/l0UnOmnPBSu77lv35uPyw5wwROgvFOtfykkD+s379bjaFRMz94I1VkBOKwGUPLh5RCU1Uo BmUBJz4oR5udjxYSLWNfyQgjoVtTzep6UY0+yhC9UIj0d3Pe5BfEeAug7zot1MaLvVUunVGjMpBI Eg46IF8Xtl2nRPredagSMy0npam8qQjFu/yu1ito+ghh0OJCAW6h8EaTBe2o6BVqAwnYPuq/oKwW 0aPv0kR4W52FFEdIxbR+483TAEEVLWQ1hqvp+P9gxbfDY2Ra0iRw5sBSw3+QaeB6o9g82zMGbCjr KTzGywopzFqPXbT5SyrYsVh6ulqqjokJ+nm3WC4+1uS2oL3pfHl3vyimV8/HQ8T0RXnLctDySOWL lXD4iolKUuqflFwNvdFyq40pi9jvPpnIDkD93ZYnc6Yjr9KMY2PL7+ezOREBGtqOhoVCG0g4ur7U e3UCXwLX5fkXcCa2ARzOBApCToPG6qSyX9AMCuRnJ1k6BTLX0Z3imYxVkjOj6ArmqGQm0OaWTFJn HInMnTn3Ikc7L0/Uyn2Iuh/Ix2nhm3dodIollzHPs/lyXZCer/b6N1BLAwQKAAAAAACHTuJAAAAA AAAAAAAAAAAABgAAAF9yZWxzL1BLAwQUAAAACACHTuJAihRmPNEAAACUAQAACwAAAF9yZWxzLy5y ZWxzpZDBasMwDIbvg72D0X1xmsMYo04vo9Br6R7A2IpjGltGMtn69vMOg2X0tqN+oe8T//7wmRa1 IkukbGDX9aAwO/IxBwPvl+PTCyipNnu7UEYDNxQ4jI8P+zMutrYjmWMR1ShZDMy1lletxc2YrHRU MLfNRJxsbSMHXay72oB66Ptnzb8ZMG6Y6uQN8MkPoC630sx/2Ck6JqGpdo6SpmmK7h5VB7Zlju7I NuEbuUazHLAa8CwaB2pZ134EfV+/+6fe00c+47rVfoeM649Xb7ocvwBQSwMEFAAAAAgAh07iQH7m 5SD3AAAA4QEAABMAAABbQ29udGVudF9UeXBlc10ueG1slZFBTsMwEEX3SNzB8hYlTrtACCXpgrRL QKgcYGRPEotkbHlMaG+Pk7YbRJFY2jP/vye73BzGQUwY2Dqq5CovpEDSzljqKvm+32UPUnAEMjA4 wkoekeWmvr0p90ePLFKauJJ9jP5RKdY9jsC580hp0rowQkzH0CkP+gM6VOuiuFfaUUSKWZw7ZF02 2MLnEMX2kK5PJgEHluLptDizKgneD1ZDTKZqIvODkp0JeUouO9xbz3dJQ6pfCfPkOuCce0lPE6xB 8QohPsOYNJQJrIz7ooBT/nfJbDly5trWasybwE2KveF0sbrWjmvXOP3f8u2SunSr5YPqb1BLAQIU ABQAAAAIAIdO4kB+5uUg9wAAAOEBAAATAAAAAAAAAAEAIAAAAGQEAABbQ29udGVudF9UeXBlc10u eG1sUEsBAhQACgAAAAAAh07iQAAAAAAAAAAAAAAAAAYAAAAAAAAAAAAQAAAARgMAAF9yZWxzL1BL AQIUABQAAAAIAIdO4kCKFGY80QAAAJQBAAALAAAAAAAAAAEAIAAAAGoDAABfcmVscy8ucmVsc1BL AQIUAAoAAAAAAIdO4kAAAAAAAAAAAAAAAAAEAAAAAAAAAAAAEAAAAAAAAABkcnMvUEsBAhQAFAAA AAgAh07iQEMf3aXXAAAACQEAAA8AAAAAAAAAAQAgAAAAIgAAAGRycy9kb3ducmV2LnhtbFBLAQIU ABQAAAAIAIdO4kBeX8vj9AEAACIEAAAOAAAAAAAAAAEAIAAAACYBAABkcnMvZTJvRG9jLnhtbFBL BQYAAAAABgAGAFkBAACMBQAAAAA= ">
            <v:path/>
            <v:fill focussize="0,0"/>
            <v:stroke/>
            <v:imagedata o:title=""/>
            <o:lock v:ext="edit"/>
          </v:rect>
        </w:pict>
      </w:r>
    </w:p>
    <w:p>
      <w:pPr>
        <w:ind w:firstLine="420"/>
        <w:rPr>
          <w:rFonts w:ascii="宋体" w:hAnsi="宋体" w:cs="宋体"/>
          <w:spacing w:val="11"/>
          <w:sz w:val="22"/>
          <w:szCs w:val="22"/>
        </w:rPr>
      </w:pPr>
    </w:p>
    <w:p>
      <w:pPr>
        <w:ind w:firstLine="420"/>
        <w:rPr>
          <w:rFonts w:ascii="宋体" w:hAnsi="宋体" w:cs="宋体"/>
          <w:spacing w:val="11"/>
          <w:sz w:val="22"/>
          <w:szCs w:val="22"/>
        </w:rPr>
      </w:pPr>
    </w:p>
    <w:p>
      <w:pPr>
        <w:ind w:firstLine="420"/>
        <w:rPr>
          <w:rFonts w:ascii="宋体" w:hAnsi="宋体" w:cs="宋体"/>
          <w:spacing w:val="11"/>
          <w:sz w:val="22"/>
          <w:szCs w:val="22"/>
        </w:rPr>
      </w:pPr>
    </w:p>
    <w:p>
      <w:pPr>
        <w:ind w:firstLine="420"/>
        <w:rPr>
          <w:rFonts w:ascii="宋体" w:hAnsi="宋体" w:cs="宋体"/>
          <w:spacing w:val="11"/>
          <w:sz w:val="22"/>
          <w:szCs w:val="22"/>
        </w:rPr>
      </w:pPr>
    </w:p>
    <w:p>
      <w:pPr>
        <w:ind w:firstLine="420"/>
        <w:rPr>
          <w:rFonts w:ascii="宋体" w:hAnsi="宋体" w:cs="宋体"/>
          <w:spacing w:val="11"/>
          <w:sz w:val="22"/>
          <w:szCs w:val="22"/>
        </w:rPr>
      </w:pPr>
    </w:p>
    <w:p>
      <w:pPr>
        <w:ind w:firstLine="420"/>
        <w:rPr>
          <w:rFonts w:ascii="宋体" w:hAnsi="宋体" w:cs="宋体"/>
          <w:spacing w:val="11"/>
          <w:sz w:val="22"/>
          <w:szCs w:val="22"/>
        </w:rPr>
      </w:pPr>
    </w:p>
    <w:p>
      <w:pPr>
        <w:ind w:firstLine="420"/>
        <w:rPr>
          <w:rFonts w:ascii="宋体" w:hAnsi="宋体" w:cs="宋体"/>
          <w:spacing w:val="11"/>
          <w:sz w:val="22"/>
          <w:szCs w:val="22"/>
        </w:rPr>
      </w:pPr>
    </w:p>
    <w:p>
      <w:pPr>
        <w:spacing w:line="360" w:lineRule="auto"/>
        <w:rPr>
          <w:rFonts w:ascii="宋体" w:hAnsi="宋体" w:cs="宋体"/>
          <w:spacing w:val="11"/>
          <w:sz w:val="22"/>
          <w:szCs w:val="22"/>
        </w:rPr>
      </w:pPr>
    </w:p>
    <w:p>
      <w:pPr>
        <w:spacing w:line="360" w:lineRule="auto"/>
        <w:rPr>
          <w:rFonts w:ascii="宋体" w:hAnsi="宋体" w:cs="宋体"/>
          <w:spacing w:val="11"/>
          <w:sz w:val="22"/>
          <w:szCs w:val="22"/>
        </w:rPr>
      </w:pPr>
    </w:p>
    <w:p>
      <w:pPr>
        <w:spacing w:line="360" w:lineRule="auto"/>
        <w:rPr>
          <w:rFonts w:ascii="宋体" w:hAnsi="宋体" w:cs="宋体"/>
          <w:spacing w:val="11"/>
          <w:sz w:val="22"/>
          <w:szCs w:val="22"/>
        </w:rPr>
      </w:pPr>
    </w:p>
    <w:p>
      <w:pPr>
        <w:spacing w:line="360" w:lineRule="auto"/>
        <w:rPr>
          <w:rFonts w:ascii="宋体" w:hAnsi="宋体" w:cs="宋体"/>
          <w:spacing w:val="11"/>
          <w:sz w:val="22"/>
          <w:szCs w:val="22"/>
        </w:rPr>
      </w:pPr>
    </w:p>
    <w:p>
      <w:pPr>
        <w:spacing w:line="360" w:lineRule="auto"/>
        <w:rPr>
          <w:rFonts w:ascii="宋体" w:hAnsi="宋体" w:cs="宋体"/>
          <w:spacing w:val="11"/>
          <w:sz w:val="22"/>
          <w:szCs w:val="22"/>
        </w:rPr>
      </w:pPr>
    </w:p>
    <w:p>
      <w:pPr>
        <w:spacing w:line="360" w:lineRule="auto"/>
        <w:rPr>
          <w:rFonts w:ascii="宋体" w:hAnsi="宋体" w:cs="宋体"/>
          <w:spacing w:val="11"/>
          <w:sz w:val="22"/>
          <w:szCs w:val="22"/>
        </w:rPr>
      </w:pPr>
    </w:p>
    <w:p>
      <w:pPr>
        <w:spacing w:line="360" w:lineRule="auto"/>
        <w:rPr>
          <w:rFonts w:ascii="宋体" w:hAnsi="宋体" w:cs="宋体"/>
          <w:spacing w:val="11"/>
          <w:sz w:val="22"/>
          <w:szCs w:val="22"/>
        </w:rPr>
      </w:pPr>
    </w:p>
    <w:p>
      <w:pPr>
        <w:keepNext/>
        <w:keepLines/>
        <w:snapToGrid w:val="0"/>
        <w:jc w:val="center"/>
        <w:rPr>
          <w:rFonts w:ascii="宋体" w:hAnsi="宋体" w:cs="宋体"/>
          <w:b/>
          <w:bCs/>
          <w:sz w:val="22"/>
          <w:szCs w:val="22"/>
        </w:rPr>
      </w:pPr>
      <w:r>
        <w:rPr>
          <w:rFonts w:hint="eastAsia" w:ascii="宋体" w:hAnsi="宋体" w:cs="宋体"/>
          <w:spacing w:val="11"/>
          <w:sz w:val="22"/>
          <w:szCs w:val="22"/>
        </w:rPr>
        <w:br w:type="page"/>
      </w:r>
      <w:r>
        <w:rPr>
          <w:rFonts w:hint="eastAsia" w:ascii="宋体" w:hAnsi="宋体" w:cs="宋体"/>
          <w:b/>
          <w:bCs/>
          <w:sz w:val="22"/>
          <w:szCs w:val="22"/>
        </w:rPr>
        <w:t>1.3.授权委托书</w:t>
      </w:r>
    </w:p>
    <w:p>
      <w:pPr>
        <w:spacing w:line="400" w:lineRule="exact"/>
        <w:ind w:firstLine="484" w:firstLineChars="200"/>
        <w:rPr>
          <w:rFonts w:ascii="宋体" w:hAnsi="宋体" w:cs="宋体"/>
          <w:spacing w:val="11"/>
          <w:sz w:val="22"/>
          <w:szCs w:val="22"/>
        </w:rPr>
      </w:pPr>
      <w:r>
        <w:rPr>
          <w:rFonts w:hint="eastAsia" w:ascii="宋体" w:hAnsi="宋体" w:cs="宋体"/>
          <w:spacing w:val="11"/>
          <w:sz w:val="22"/>
          <w:szCs w:val="22"/>
        </w:rPr>
        <w:t>本人</w:t>
      </w:r>
      <w:r>
        <w:rPr>
          <w:rFonts w:hint="eastAsia" w:ascii="宋体" w:hAnsi="宋体" w:cs="宋体"/>
          <w:spacing w:val="11"/>
          <w:sz w:val="22"/>
          <w:szCs w:val="22"/>
          <w:u w:val="single"/>
        </w:rPr>
        <w:t xml:space="preserve">      </w:t>
      </w:r>
      <w:r>
        <w:rPr>
          <w:rFonts w:hint="eastAsia" w:ascii="宋体" w:hAnsi="宋体" w:cs="宋体"/>
          <w:spacing w:val="11"/>
          <w:sz w:val="22"/>
          <w:szCs w:val="22"/>
        </w:rPr>
        <w:t>（姓名）系</w:t>
      </w:r>
      <w:r>
        <w:rPr>
          <w:rFonts w:hint="eastAsia" w:ascii="宋体" w:hAnsi="宋体" w:cs="宋体"/>
          <w:spacing w:val="11"/>
          <w:sz w:val="22"/>
          <w:szCs w:val="22"/>
          <w:u w:val="single"/>
        </w:rPr>
        <w:t xml:space="preserve">      </w:t>
      </w:r>
      <w:r>
        <w:rPr>
          <w:rFonts w:hint="eastAsia" w:ascii="宋体" w:hAnsi="宋体" w:cs="宋体"/>
          <w:spacing w:val="11"/>
          <w:sz w:val="22"/>
          <w:szCs w:val="22"/>
        </w:rPr>
        <w:t>（供应商名称）的法定代表人，现委托</w:t>
      </w:r>
      <w:r>
        <w:rPr>
          <w:rFonts w:hint="eastAsia" w:ascii="宋体" w:hAnsi="宋体" w:cs="宋体"/>
          <w:spacing w:val="11"/>
          <w:sz w:val="22"/>
          <w:szCs w:val="22"/>
          <w:u w:val="single"/>
        </w:rPr>
        <w:t xml:space="preserve">      （姓名）</w:t>
      </w:r>
      <w:r>
        <w:rPr>
          <w:rFonts w:hint="eastAsia" w:ascii="宋体" w:hAnsi="宋体" w:cs="宋体"/>
          <w:spacing w:val="11"/>
          <w:sz w:val="22"/>
          <w:szCs w:val="22"/>
        </w:rPr>
        <w:t>为我方代理人。代理人根据授权，以我方名义签署、澄清、说明、补正、递交、撤回、修改</w:t>
      </w:r>
      <w:r>
        <w:rPr>
          <w:rFonts w:hint="eastAsia" w:ascii="宋体" w:hAnsi="宋体" w:cs="宋体"/>
          <w:spacing w:val="11"/>
          <w:sz w:val="22"/>
          <w:szCs w:val="22"/>
          <w:u w:val="single"/>
        </w:rPr>
        <w:t xml:space="preserve">       </w:t>
      </w:r>
      <w:r>
        <w:rPr>
          <w:rFonts w:hint="eastAsia" w:ascii="宋体" w:hAnsi="宋体" w:cs="宋体"/>
          <w:spacing w:val="11"/>
          <w:sz w:val="22"/>
          <w:szCs w:val="22"/>
        </w:rPr>
        <w:t>（项目名称）磋商响应文件、签订合同和处理有关事宜，其法律后果由我方承担。</w:t>
      </w:r>
    </w:p>
    <w:p>
      <w:pPr>
        <w:spacing w:beforeLines="50" w:line="400" w:lineRule="exact"/>
        <w:ind w:firstLine="484" w:firstLineChars="200"/>
        <w:rPr>
          <w:rFonts w:ascii="宋体" w:hAnsi="宋体" w:cs="宋体"/>
          <w:spacing w:val="11"/>
          <w:sz w:val="22"/>
          <w:szCs w:val="22"/>
        </w:rPr>
      </w:pPr>
      <w:r>
        <w:rPr>
          <w:rFonts w:hint="eastAsia" w:ascii="宋体" w:hAnsi="宋体" w:cs="宋体"/>
          <w:spacing w:val="11"/>
          <w:sz w:val="22"/>
          <w:szCs w:val="22"/>
        </w:rPr>
        <w:t>委托期限：</w:t>
      </w:r>
      <w:r>
        <w:rPr>
          <w:rFonts w:hint="eastAsia" w:ascii="宋体" w:hAnsi="宋体" w:cs="宋体"/>
          <w:spacing w:val="11"/>
          <w:sz w:val="22"/>
          <w:szCs w:val="22"/>
          <w:u w:val="single"/>
        </w:rPr>
        <w:t xml:space="preserve">                    </w:t>
      </w:r>
      <w:r>
        <w:rPr>
          <w:rFonts w:hint="eastAsia" w:ascii="宋体" w:hAnsi="宋体" w:cs="宋体"/>
          <w:spacing w:val="11"/>
          <w:sz w:val="22"/>
          <w:szCs w:val="22"/>
        </w:rPr>
        <w:t>。</w:t>
      </w:r>
    </w:p>
    <w:p>
      <w:pPr>
        <w:spacing w:beforeLines="100" w:afterLines="100" w:line="400" w:lineRule="exact"/>
        <w:ind w:firstLine="484" w:firstLineChars="200"/>
        <w:rPr>
          <w:rFonts w:ascii="宋体" w:hAnsi="宋体" w:cs="宋体"/>
          <w:spacing w:val="11"/>
          <w:sz w:val="22"/>
          <w:szCs w:val="22"/>
        </w:rPr>
      </w:pPr>
      <w:r>
        <w:rPr>
          <w:rFonts w:hint="eastAsia" w:ascii="宋体" w:hAnsi="宋体" w:cs="宋体"/>
          <w:spacing w:val="11"/>
          <w:sz w:val="22"/>
          <w:szCs w:val="22"/>
        </w:rPr>
        <w:t>代理人无转委托权。</w:t>
      </w:r>
    </w:p>
    <w:p>
      <w:pPr>
        <w:ind w:left="2" w:leftChars="1" w:firstLine="420"/>
        <w:jc w:val="center"/>
        <w:rPr>
          <w:rFonts w:ascii="宋体" w:hAnsi="宋体" w:cs="宋体"/>
          <w:spacing w:val="11"/>
          <w:sz w:val="22"/>
          <w:szCs w:val="22"/>
        </w:rPr>
      </w:pPr>
      <w:bookmarkStart w:id="512" w:name="_Toc10368_WPSOffice_Level1"/>
      <w:bookmarkStart w:id="513" w:name="_Toc3409_WPSOffice_Level1"/>
      <w:bookmarkStart w:id="514" w:name="_Toc2526_WPSOffice_Level1"/>
      <w:bookmarkStart w:id="515" w:name="_Toc31353_WPSOffice_Level1"/>
      <w:r>
        <w:rPr>
          <w:rFonts w:hint="eastAsia" w:ascii="宋体" w:hAnsi="宋体" w:cs="宋体"/>
          <w:spacing w:val="11"/>
          <w:sz w:val="22"/>
          <w:szCs w:val="22"/>
        </w:rPr>
        <w:t>法定代表人身份证复印件粘贴处</w:t>
      </w:r>
      <w:bookmarkEnd w:id="512"/>
      <w:bookmarkEnd w:id="513"/>
      <w:bookmarkEnd w:id="514"/>
      <w:bookmarkEnd w:id="515"/>
    </w:p>
    <w:p>
      <w:pPr>
        <w:ind w:firstLine="420"/>
        <w:rPr>
          <w:rFonts w:ascii="宋体" w:hAnsi="宋体" w:cs="宋体"/>
          <w:spacing w:val="11"/>
          <w:sz w:val="22"/>
          <w:szCs w:val="22"/>
        </w:rPr>
      </w:pPr>
      <w:r>
        <w:rPr>
          <w:rFonts w:ascii="宋体" w:hAnsi="宋体" w:cs="宋体"/>
          <w:spacing w:val="11"/>
          <w:sz w:val="22"/>
          <w:szCs w:val="22"/>
        </w:rPr>
        <w:pict>
          <v:rect id="Rectangle 6" o:spid="_x0000_s1028" o:spt="1" style="position:absolute;left:0pt;margin-left:54.75pt;margin-top:12.45pt;height:98.6pt;width:378pt;z-index:251660288;mso-width-relative:page;mso-height-relative:page;" coordsize="21600,21600" o:gfxdata="UEsDBAoAAAAAAIdO4kAAAAAAAAAAAAAAAAAEAAAAZHJzL1BLAwQUAAAACACHTuJA2AJCStcAAAAK AQAADwAAAGRycy9kb3ducmV2LnhtbE2PwU7DMBBE70j8g7VI3KgdQ6smxOkBVCSObXrhtklMEojX Uey0ga9nOcFxZp9mZ/Ld4gZxtlPoPRlIVgqEpdo3PbUGTuX+bgsiRKQGB0/WwJcNsCuur3LMGn+h gz0fYys4hEKGBroYx0zKUHfWYVj50RLf3v3kMLKcWtlMeOFwN0it1EY67Ik/dDjap87Wn8fZGah6 fcLvQ/miXLq/j69L+TG/PRtze5OoRxDRLvEPht/6XB0K7lT5mZogBtYqXTNqQD+kIBjYbtZsVGxo nYAscvl/QvEDUEsDBBQAAAAIAIdO4kBfeqzb8wEAACIEAAAOAAAAZHJzL2Uyb0RvYy54bWytU8tu 2zAQvBfoPxC815KFOkgFyznEcS9FGzTpB6zJlUSAL5C0Zf99l7TrPNqDD9VBWorL2ZnZ5fLuYDTb Y4jK2Y7PZzVnaIWTyg4d//W8+XTLWUxgJWhnseNHjPxu9fHDcvItNm50WmJgBGJjO/mOjyn5tqqi GNFAnDmPljZ7FwwkWoahkgEmQje6aur6pppckD44gTHS3/Vpk58RwzWAru+VwLUTO4M2nVADakgk KY7KR74qbPseRfrR9xET0x0npam8qQjF2/yuVktohwB+VOJMAa6h8E6TAWWp6AVqDQnYLqi/oIwS wUXXp5lwpjoJKY6Qinn9zpunETwWLWR19BfT4/+DFd/3j4Ep2fGGMwuGGv6TTAM7aGQ32Z7Jx5ay nvxjOK8ihVnroQ8mf0kFOxRLjxdL8ZCYoJ+fb6nlNbktaG/eLJqmKaZXL8d9iOkrOsNy0PFA5YuV sP8WE5Wk1D8puVp0WsmN0roswrC914Htgfq7KU/mTEfepGnLpo5/WTQLIgI0tD0NC4XGk/Boh1Lv zYn4Grguz7+AM7E1xPFEoCDkNGiNSpj9gnZEkA9WsnT0ZK6lO8UzGYOSM410BXNUMhMofU0mqdOW RObOnHqRo62TR2rlzgc1jOTjvPDNOzQ6xZLzmOfZfL0uSC9Xe/UbUEsDBAoAAAAAAIdO4kAAAAAA AAAAAAAAAAAGAAAAX3JlbHMvUEsDBBQAAAAIAIdO4kCKFGY80QAAAJQBAAALAAAAX3JlbHMvLnJl bHOlkMFqwzAMhu+DvYPRfXGawxijTi+j0GvpHsDYimMaW0Yy2fr28w6DZfS2o36h7xP//vCZFrUi S6RsYNf1oDA78jEHA++X49MLKKk2e7tQRgM3FDiMjw/7My62tiOZYxHVKFkMzLWWV63FzZisdFQw t81EnGxtIwddrLvagHro+2fNvxkwbpjq5A3wyQ+gLrfSzH/YKTomoal2jpKmaYruHlUHtmWO7sg2 4Ru5RrMcsBrwLBoHalnXfgR9X7/7p97TRz7jutV+h4zrj1dvuhy/AFBLAwQUAAAACACHTuJAfubl IPcAAADhAQAAEwAAAFtDb250ZW50X1R5cGVzXS54bWyVkUFOwzAQRfdI3MHyFiVOu0AIJemCtEtA qBxgZE8Si2RseUxob4+TthtEkVjaM/+/J7vcHMZBTBjYOqrkKi+kQNLOWOoq+b7fZQ9ScAQyMDjC Sh6R5aa+vSn3R48sUpq4kn2M/lEp1j2OwLnzSGnSujBCTMfQKQ/6AzpU66K4V9pRRIpZnDtkXTbY wucQxfaQrk8mAQeW4um0OLMqCd4PVkNMpmoi84OSnQl5Si473FvPd0lDql8J8+Q64Jx7SU8TrEHx CiE+w5g0lAmsjPuigFP+d8lsOXLm2tZqzJvATYq94XSxutaOa9c4/d/y7ZK6dKvlg+pvUEsBAhQA FAAAAAgAh07iQH7m5SD3AAAA4QEAABMAAAAAAAAAAQAgAAAAYwQAAFtDb250ZW50X1R5cGVzXS54 bWxQSwECFAAKAAAAAACHTuJAAAAAAAAAAAAAAAAABgAAAAAAAAAAABAAAABFAwAAX3JlbHMvUEsB AhQAFAAAAAgAh07iQIoUZjzRAAAAlAEAAAsAAAAAAAAAAQAgAAAAaQMAAF9yZWxzLy5yZWxzUEsB AhQACgAAAAAAh07iQAAAAAAAAAAAAAAAAAQAAAAAAAAAAAAQAAAAAAAAAGRycy9QSwECFAAUAAAA CACHTuJA2AJCStcAAAAKAQAADwAAAAAAAAABACAAAAAiAAAAZHJzL2Rvd25yZXYueG1sUEsBAhQA FAAAAAgAh07iQF96rNvzAQAAIgQAAA4AAAAAAAAAAQAgAAAAJgEAAGRycy9lMm9Eb2MueG1sUEsF BgAAAAAGAAYAWQEAAIsFAAAAAA== ">
            <v:path/>
            <v:fill focussize="0,0"/>
            <v:stroke/>
            <v:imagedata o:title=""/>
            <o:lock v:ext="edit"/>
          </v:rect>
        </w:pict>
      </w:r>
    </w:p>
    <w:p>
      <w:pPr>
        <w:ind w:firstLine="420"/>
        <w:rPr>
          <w:rFonts w:ascii="宋体" w:hAnsi="宋体" w:cs="宋体"/>
          <w:spacing w:val="11"/>
          <w:sz w:val="22"/>
          <w:szCs w:val="22"/>
        </w:rPr>
      </w:pPr>
    </w:p>
    <w:p>
      <w:pPr>
        <w:ind w:firstLine="420"/>
        <w:rPr>
          <w:rFonts w:ascii="宋体" w:hAnsi="宋体" w:cs="宋体"/>
          <w:spacing w:val="11"/>
          <w:sz w:val="22"/>
          <w:szCs w:val="22"/>
        </w:rPr>
      </w:pPr>
    </w:p>
    <w:p>
      <w:pPr>
        <w:ind w:firstLine="420"/>
        <w:rPr>
          <w:rFonts w:ascii="宋体" w:hAnsi="宋体" w:cs="宋体"/>
          <w:spacing w:val="11"/>
          <w:sz w:val="22"/>
          <w:szCs w:val="22"/>
        </w:rPr>
      </w:pPr>
    </w:p>
    <w:p>
      <w:pPr>
        <w:ind w:firstLine="420"/>
        <w:jc w:val="center"/>
        <w:rPr>
          <w:rFonts w:ascii="宋体" w:hAnsi="宋体" w:cs="宋体"/>
          <w:spacing w:val="11"/>
          <w:sz w:val="22"/>
          <w:szCs w:val="22"/>
        </w:rPr>
      </w:pPr>
    </w:p>
    <w:p>
      <w:pPr>
        <w:ind w:firstLine="420"/>
        <w:jc w:val="center"/>
        <w:rPr>
          <w:rFonts w:ascii="宋体" w:hAnsi="宋体" w:cs="宋体"/>
          <w:spacing w:val="11"/>
          <w:sz w:val="22"/>
          <w:szCs w:val="22"/>
        </w:rPr>
      </w:pPr>
      <w:bookmarkStart w:id="516" w:name="_Toc25041_WPSOffice_Level1"/>
      <w:bookmarkStart w:id="517" w:name="_Toc8305_WPSOffice_Level1"/>
      <w:bookmarkStart w:id="518" w:name="_Toc26573_WPSOffice_Level1"/>
      <w:bookmarkStart w:id="519" w:name="_Toc12505_WPSOffice_Level1"/>
      <w:r>
        <w:rPr>
          <w:rFonts w:hint="eastAsia" w:ascii="宋体" w:hAnsi="宋体" w:cs="宋体"/>
          <w:spacing w:val="11"/>
          <w:sz w:val="22"/>
          <w:szCs w:val="22"/>
        </w:rPr>
        <w:t>授权委托人身份证复印件粘贴处</w:t>
      </w:r>
      <w:bookmarkEnd w:id="516"/>
      <w:bookmarkEnd w:id="517"/>
      <w:bookmarkEnd w:id="518"/>
      <w:bookmarkEnd w:id="519"/>
    </w:p>
    <w:p>
      <w:pPr>
        <w:ind w:firstLine="420"/>
        <w:rPr>
          <w:rFonts w:ascii="宋体" w:hAnsi="宋体" w:cs="宋体"/>
          <w:spacing w:val="11"/>
          <w:sz w:val="22"/>
          <w:szCs w:val="22"/>
        </w:rPr>
      </w:pPr>
    </w:p>
    <w:p>
      <w:pPr>
        <w:ind w:firstLine="420"/>
        <w:rPr>
          <w:rFonts w:ascii="宋体" w:hAnsi="宋体" w:cs="宋体"/>
          <w:spacing w:val="11"/>
          <w:sz w:val="22"/>
          <w:szCs w:val="22"/>
        </w:rPr>
      </w:pPr>
    </w:p>
    <w:p>
      <w:pPr>
        <w:ind w:left="2" w:leftChars="1" w:firstLine="420"/>
        <w:jc w:val="center"/>
        <w:rPr>
          <w:rFonts w:ascii="宋体" w:hAnsi="宋体" w:cs="宋体"/>
          <w:spacing w:val="11"/>
          <w:sz w:val="22"/>
          <w:szCs w:val="22"/>
        </w:rPr>
      </w:pPr>
      <w:bookmarkStart w:id="520" w:name="_Toc24530_WPSOffice_Level1"/>
      <w:bookmarkStart w:id="521" w:name="_Toc13396_WPSOffice_Level1"/>
      <w:bookmarkStart w:id="522" w:name="_Toc11725_WPSOffice_Level1"/>
      <w:bookmarkStart w:id="523" w:name="_Toc13689_WPSOffice_Level1"/>
      <w:r>
        <w:rPr>
          <w:rFonts w:hint="eastAsia" w:ascii="宋体" w:hAnsi="宋体" w:cs="宋体"/>
          <w:spacing w:val="11"/>
          <w:sz w:val="22"/>
          <w:szCs w:val="22"/>
        </w:rPr>
        <w:t>授权委托人身份证复印件粘贴处</w:t>
      </w:r>
      <w:bookmarkEnd w:id="520"/>
      <w:bookmarkEnd w:id="521"/>
      <w:bookmarkEnd w:id="522"/>
      <w:bookmarkEnd w:id="523"/>
    </w:p>
    <w:p>
      <w:pPr>
        <w:spacing w:line="360" w:lineRule="auto"/>
        <w:rPr>
          <w:rFonts w:ascii="宋体" w:hAnsi="宋体" w:cs="宋体"/>
          <w:spacing w:val="11"/>
          <w:sz w:val="22"/>
          <w:szCs w:val="22"/>
        </w:rPr>
      </w:pPr>
      <w:r>
        <w:rPr>
          <w:rFonts w:ascii="宋体" w:hAnsi="宋体" w:cs="宋体"/>
          <w:spacing w:val="11"/>
          <w:sz w:val="22"/>
          <w:szCs w:val="22"/>
        </w:rPr>
        <w:pict>
          <v:rect id="Rectangle 7" o:spid="_x0000_s1027" o:spt="1" style="position:absolute;left:0pt;margin-left:60.75pt;margin-top:8.4pt;height:124.8pt;width:369pt;z-index:251661312;mso-width-relative:page;mso-height-relative:page;" coordsize="21600,21600" o:gfxdata="UEsDBAoAAAAAAIdO4kAAAAAAAAAAAAAAAAAEAAAAZHJzL1BLAwQUAAAACACHTuJAWtKYnNcAAAAK AQAADwAAAGRycy9kb3ducmV2LnhtbE2PMU/DMBCFdyT+g3VIbNROoFEb4nQAFYmxTRe2S3wkgdiO YqcN/HqOCbZ7d0/vvlfsFjuIM02h905DslIgyDXe9K7VcKr2dxsQIaIzOHhHGr4owK68viowN/7i DnQ+xlZwiAs5auhiHHMpQ9ORxbDyIzm+vfvJYmQ5tdJMeOFwO8hUqUxa7B1/6HCkp46az+NsNdR9 esLvQ/Wi7HZ/H1+X6mN+e9b69iZRjyAiLfHPDL/4jA4lM9V+diaIgXWarNnKQ8YV2LBZb3lRa0iz 7AFkWcj/FcofUEsDBBQAAAAIAIdO4kAuctqs9QEAACIEAAAOAAAAZHJzL2Uyb0RvYy54bWytU8uS 0zAQvFPFP6h0Z+1kNyHrirMHQrhQsMXCB0yksa0qvUpS4uTvGSkh+4BDDvhgj6xRT3fPaPlwMJrt MUTlbMsnNzVnaIWTyvYt//Vz82HBWUxgJWhnseVHjPxh9f7dcvQNTt3gtMTACMTGZvQtH1LyTVVF MaCBeOM8WtrsXDCQaBn6SgYYCd3oalrX82p0QfrgBMZIf9enTX5GDNcAuq5TAtdO7AzadEINqCGR pDgoH/mqsO06FOl710VMTLeclKbypiIUb/O7Wi2h6QP4QYkzBbiGwhtNBpSloheoNSRgu6D+gjJK BBddl26EM9VJSHGEVEzqN948DeCxaCGro7+YHv8frPi2fwxMyZbfcmbBUMN/kGlge43sY7Zn9LGh rCf/GM6rSGHWeuiCyV9SwQ7F0uPFUjwkJujn3Xwxv63JbUF7k9ni7n5eTK+ej/sQ0xd0huWg5YHK Fyth/zUmKkmpf1Jytei0khuldVmEfvtJB7YH6u+mPJkzHXmVpi0bW34/m86ICNDQdjQsFBpPwqPt S71XJ+JL4Lo8/wLOxNYQhxOBgpDToDEqYfYLmgFBfraSpaMncy3dKZ7JGJScaaQrmKOSmUDpazJJ nbYkMnfm1IscbZ08Uit3Pqh+IB8nhW/eodEplpzHPM/my3VBer7aq99QSwMECgAAAAAAh07iQAAA AAAAAAAAAAAAAAYAAABfcmVscy9QSwMEFAAAAAgAh07iQIoUZjzRAAAAlAEAAAsAAABfcmVscy8u cmVsc6WQwWrDMAyG74O9g9F9cZrDGKNOL6PQa+kewNiKYxpbRjLZ+vbzDoNl9LajfqHvE//+8JkW tSJLpGxg1/WgMDvyMQcD75fj0wsoqTZ7u1BGAzcUOIyPD/szLra2I5ljEdUoWQzMtZZXrcXNmKx0 VDC3zUScbG0jB12su9qAeuj7Z82/GTBumOrkDfDJD6Aut9LMf9gpOiahqXaOkqZpiu4eVQe2ZY7u yDbhG7lGsxywGvAsGgdqWdd+BH1fv/un3tNHPuO61X6HjOuPV2+6HL8AUEsDBBQAAAAIAIdO4kB+ 5uUg9wAAAOEBAAATAAAAW0NvbnRlbnRfVHlwZXNdLnhtbJWRQU7DMBBF90jcwfIWJU67QAgl6YK0 S0CoHGBkTxKLZGx5TGhvj5O2G0SRWNoz/78nu9wcxkFMGNg6quQqL6RA0s5Y6ir5vt9lD1JwBDIw OMJKHpHlpr69KfdHjyxSmriSfYz+USnWPY7AufNIadK6MEJMx9ApD/oDOlTrorhX2lFEilmcO2Rd NtjC5xDF9pCuTyYBB5bi6bQ4syoJ3g9WQ0ymaiLzg5KdCXlKLjvcW893SUOqXwnz5DrgnHtJTxOs QfEKIT7DmDSUCayM+6KAU/53yWw5cuba1mrMm8BNir3hdLG61o5r1zj93/Ltkrp0q+WD6m9QSwEC FAAUAAAACACHTuJAfublIPcAAADhAQAAEwAAAAAAAAABACAAAABlBAAAW0NvbnRlbnRfVHlwZXNd LnhtbFBLAQIUAAoAAAAAAIdO4kAAAAAAAAAAAAAAAAAGAAAAAAAAAAAAEAAAAEcDAABfcmVscy9Q SwECFAAUAAAACACHTuJAihRmPNEAAACUAQAACwAAAAAAAAABACAAAABrAwAAX3JlbHMvLnJlbHNQ SwECFAAKAAAAAACHTuJAAAAAAAAAAAAAAAAABAAAAAAAAAAAABAAAAAAAAAAZHJzL1BLAQIUABQA AAAIAIdO4kBa0pic1wAAAAoBAAAPAAAAAAAAAAEAIAAAACIAAABkcnMvZG93bnJldi54bWxQSwEC FAAUAAAACACHTuJALnLarPUBAAAiBAAADgAAAAAAAAABACAAAAAmAQAAZHJzL2Uyb0RvYy54bWxQ SwUGAAAAAAYABgBZAQAAjQUAAAAA ">
            <v:path/>
            <v:fill focussize="0,0"/>
            <v:stroke/>
            <v:imagedata o:title=""/>
            <o:lock v:ext="edit"/>
          </v:rect>
        </w:pict>
      </w:r>
    </w:p>
    <w:p>
      <w:pPr>
        <w:spacing w:line="360" w:lineRule="auto"/>
        <w:ind w:firstLine="4114" w:firstLineChars="1700"/>
        <w:rPr>
          <w:rFonts w:ascii="宋体" w:hAnsi="宋体" w:cs="宋体"/>
          <w:spacing w:val="11"/>
          <w:sz w:val="22"/>
          <w:szCs w:val="22"/>
        </w:rPr>
      </w:pPr>
    </w:p>
    <w:p>
      <w:pPr>
        <w:spacing w:line="360" w:lineRule="auto"/>
        <w:ind w:firstLine="4114" w:firstLineChars="1700"/>
        <w:rPr>
          <w:rFonts w:ascii="宋体" w:hAnsi="宋体" w:cs="宋体"/>
          <w:spacing w:val="11"/>
          <w:sz w:val="22"/>
          <w:szCs w:val="22"/>
        </w:rPr>
      </w:pPr>
    </w:p>
    <w:p>
      <w:pPr>
        <w:spacing w:line="380" w:lineRule="exact"/>
        <w:ind w:firstLine="4114" w:firstLineChars="1700"/>
        <w:rPr>
          <w:rFonts w:ascii="宋体" w:hAnsi="宋体" w:cs="宋体"/>
          <w:spacing w:val="11"/>
          <w:sz w:val="22"/>
          <w:szCs w:val="22"/>
        </w:rPr>
      </w:pPr>
    </w:p>
    <w:p>
      <w:pPr>
        <w:spacing w:line="380" w:lineRule="exact"/>
        <w:ind w:firstLine="4114" w:firstLineChars="1700"/>
        <w:rPr>
          <w:rFonts w:ascii="宋体" w:hAnsi="宋体" w:cs="宋体"/>
          <w:spacing w:val="11"/>
          <w:sz w:val="22"/>
          <w:szCs w:val="22"/>
        </w:rPr>
      </w:pPr>
    </w:p>
    <w:p>
      <w:pPr>
        <w:spacing w:line="380" w:lineRule="exact"/>
        <w:ind w:firstLine="4114" w:firstLineChars="1700"/>
        <w:rPr>
          <w:rFonts w:ascii="宋体" w:hAnsi="宋体" w:cs="宋体"/>
          <w:spacing w:val="11"/>
          <w:sz w:val="22"/>
          <w:szCs w:val="22"/>
        </w:rPr>
      </w:pPr>
    </w:p>
    <w:p>
      <w:pPr>
        <w:spacing w:line="380" w:lineRule="exact"/>
        <w:ind w:firstLine="4114" w:firstLineChars="1700"/>
        <w:rPr>
          <w:rFonts w:ascii="宋体" w:hAnsi="宋体" w:cs="宋体"/>
          <w:spacing w:val="11"/>
          <w:sz w:val="22"/>
          <w:szCs w:val="22"/>
        </w:rPr>
      </w:pPr>
    </w:p>
    <w:p>
      <w:pPr>
        <w:spacing w:line="360" w:lineRule="auto"/>
        <w:ind w:firstLine="1650" w:firstLineChars="750"/>
        <w:rPr>
          <w:rFonts w:ascii="宋体" w:hAnsi="宋体" w:cs="宋体"/>
          <w:spacing w:val="20"/>
          <w:sz w:val="22"/>
          <w:szCs w:val="22"/>
          <w:u w:val="single"/>
        </w:rPr>
      </w:pPr>
      <w:r>
        <w:rPr>
          <w:rFonts w:hint="eastAsia" w:ascii="宋体" w:hAnsi="宋体" w:cs="宋体"/>
          <w:sz w:val="22"/>
          <w:szCs w:val="22"/>
        </w:rPr>
        <w:t>法定代表人</w:t>
      </w:r>
      <w:r>
        <w:rPr>
          <w:rFonts w:hint="eastAsia" w:ascii="宋体" w:hAnsi="宋体" w:cs="宋体"/>
          <w:spacing w:val="20"/>
          <w:sz w:val="22"/>
          <w:szCs w:val="22"/>
        </w:rPr>
        <w:t>（或授权委托人）签字或盖章:</w:t>
      </w:r>
      <w:r>
        <w:rPr>
          <w:rFonts w:hint="eastAsia" w:ascii="宋体" w:hAnsi="宋体" w:cs="宋体"/>
          <w:spacing w:val="20"/>
          <w:sz w:val="22"/>
          <w:szCs w:val="22"/>
          <w:u w:val="single"/>
        </w:rPr>
        <w:t xml:space="preserve">            </w:t>
      </w:r>
    </w:p>
    <w:p>
      <w:pPr>
        <w:spacing w:line="360" w:lineRule="auto"/>
        <w:ind w:firstLine="520" w:firstLineChars="200"/>
        <w:rPr>
          <w:rFonts w:ascii="宋体" w:hAnsi="宋体" w:cs="宋体"/>
          <w:spacing w:val="20"/>
          <w:sz w:val="22"/>
          <w:szCs w:val="22"/>
          <w:u w:val="single"/>
        </w:rPr>
      </w:pPr>
      <w:r>
        <w:rPr>
          <w:rFonts w:hint="eastAsia" w:ascii="宋体" w:hAnsi="宋体" w:cs="宋体"/>
          <w:spacing w:val="20"/>
          <w:sz w:val="22"/>
          <w:szCs w:val="22"/>
        </w:rPr>
        <w:t xml:space="preserve">                             供应商盖章:</w:t>
      </w:r>
      <w:r>
        <w:rPr>
          <w:rFonts w:hint="eastAsia" w:ascii="宋体" w:hAnsi="宋体" w:cs="宋体"/>
          <w:spacing w:val="20"/>
          <w:sz w:val="22"/>
          <w:szCs w:val="22"/>
          <w:u w:val="single"/>
        </w:rPr>
        <w:t xml:space="preserve">            </w:t>
      </w:r>
    </w:p>
    <w:p>
      <w:pPr>
        <w:spacing w:line="380" w:lineRule="exact"/>
        <w:ind w:firstLine="4940" w:firstLineChars="1900"/>
        <w:rPr>
          <w:rFonts w:ascii="宋体" w:hAnsi="宋体" w:cs="宋体"/>
          <w:sz w:val="22"/>
          <w:szCs w:val="22"/>
        </w:rPr>
      </w:pPr>
      <w:r>
        <w:rPr>
          <w:rFonts w:hint="eastAsia" w:ascii="宋体" w:hAnsi="宋体" w:cs="宋体"/>
          <w:spacing w:val="20"/>
          <w:sz w:val="22"/>
          <w:szCs w:val="22"/>
        </w:rPr>
        <w:t>日     期:</w:t>
      </w:r>
      <w:r>
        <w:rPr>
          <w:rFonts w:hint="eastAsia" w:ascii="宋体" w:hAnsi="宋体" w:cs="宋体"/>
          <w:spacing w:val="20"/>
          <w:sz w:val="22"/>
          <w:szCs w:val="22"/>
          <w:u w:val="single"/>
        </w:rPr>
        <w:t xml:space="preserve">            </w:t>
      </w:r>
    </w:p>
    <w:p>
      <w:pPr>
        <w:keepNext/>
        <w:keepLines/>
        <w:snapToGrid w:val="0"/>
        <w:jc w:val="left"/>
        <w:rPr>
          <w:rFonts w:ascii="宋体" w:hAnsi="宋体" w:cs="宋体"/>
          <w:sz w:val="24"/>
        </w:rPr>
      </w:pPr>
      <w:r>
        <w:rPr>
          <w:rFonts w:hint="eastAsia" w:ascii="宋体" w:hAnsi="宋体" w:cs="宋体"/>
          <w:sz w:val="22"/>
          <w:szCs w:val="22"/>
        </w:rPr>
        <w:br w:type="page"/>
      </w:r>
      <w:bookmarkStart w:id="524" w:name="_Toc493956054"/>
      <w:bookmarkStart w:id="525" w:name="_Toc29626"/>
      <w:bookmarkStart w:id="526" w:name="_Toc531359045"/>
      <w:bookmarkStart w:id="527" w:name="_Toc530551879"/>
      <w:r>
        <w:rPr>
          <w:rFonts w:hint="eastAsia" w:ascii="宋体" w:hAnsi="宋体" w:cs="宋体"/>
          <w:b/>
          <w:bCs/>
          <w:sz w:val="22"/>
          <w:szCs w:val="22"/>
        </w:rPr>
        <w:t xml:space="preserve">1.4  </w:t>
      </w:r>
      <w:bookmarkEnd w:id="524"/>
      <w:bookmarkEnd w:id="525"/>
      <w:bookmarkEnd w:id="526"/>
      <w:bookmarkEnd w:id="527"/>
      <w:bookmarkStart w:id="528" w:name="_Toc530551880"/>
      <w:bookmarkStart w:id="529" w:name="_Toc493956055"/>
      <w:r>
        <w:rPr>
          <w:rFonts w:hint="eastAsia" w:ascii="宋体" w:hAnsi="宋体" w:cs="宋体"/>
          <w:b/>
          <w:bCs/>
          <w:sz w:val="22"/>
          <w:szCs w:val="22"/>
        </w:rPr>
        <w:t>具有良好的财务会计制度、依法缴纳税收和社会保障资金的承诺函格式</w:t>
      </w:r>
    </w:p>
    <w:p>
      <w:pPr>
        <w:pStyle w:val="2"/>
        <w:spacing w:line="360" w:lineRule="auto"/>
        <w:ind w:firstLine="0"/>
        <w:rPr>
          <w:rFonts w:ascii="宋体" w:hAnsi="宋体" w:cs="宋体"/>
        </w:rPr>
      </w:pPr>
    </w:p>
    <w:p>
      <w:pPr>
        <w:pStyle w:val="2"/>
        <w:ind w:left="630" w:leftChars="300" w:right="630" w:rightChars="300" w:firstLine="0"/>
        <w:jc w:val="center"/>
        <w:rPr>
          <w:rFonts w:ascii="宋体" w:hAnsi="宋体" w:cs="宋体"/>
          <w:b/>
          <w:sz w:val="28"/>
          <w:szCs w:val="28"/>
        </w:rPr>
      </w:pPr>
      <w:r>
        <w:rPr>
          <w:rFonts w:hint="eastAsia" w:ascii="宋体" w:hAnsi="宋体" w:cs="宋体"/>
          <w:b/>
          <w:sz w:val="28"/>
          <w:szCs w:val="28"/>
        </w:rPr>
        <w:t>具有良好的财务会计制度、依法缴纳税收和社会保障资金的承诺函</w:t>
      </w:r>
    </w:p>
    <w:p>
      <w:pPr>
        <w:pStyle w:val="154"/>
        <w:spacing w:line="360" w:lineRule="auto"/>
        <w:rPr>
          <w:rFonts w:ascii="宋体" w:hAnsi="宋体" w:cs="宋体"/>
          <w:sz w:val="22"/>
          <w:szCs w:val="22"/>
          <w:u w:val="single"/>
        </w:rPr>
      </w:pPr>
    </w:p>
    <w:p>
      <w:pPr>
        <w:pStyle w:val="154"/>
        <w:spacing w:line="360" w:lineRule="auto"/>
        <w:rPr>
          <w:rFonts w:ascii="宋体" w:hAnsi="宋体" w:cs="宋体"/>
          <w:spacing w:val="6"/>
          <w:sz w:val="22"/>
          <w:szCs w:val="22"/>
        </w:rPr>
      </w:pPr>
      <w:r>
        <w:rPr>
          <w:rFonts w:hint="eastAsia" w:ascii="宋体" w:hAnsi="宋体" w:cs="宋体"/>
          <w:sz w:val="22"/>
          <w:szCs w:val="22"/>
          <w:u w:val="single"/>
        </w:rPr>
        <w:t xml:space="preserve">              </w:t>
      </w:r>
      <w:r>
        <w:rPr>
          <w:rFonts w:hint="eastAsia" w:ascii="宋体" w:hAnsi="宋体" w:cs="宋体"/>
          <w:spacing w:val="6"/>
          <w:sz w:val="22"/>
          <w:szCs w:val="22"/>
        </w:rPr>
        <w:t>：</w:t>
      </w:r>
    </w:p>
    <w:p>
      <w:pPr>
        <w:pStyle w:val="2"/>
        <w:spacing w:line="360" w:lineRule="auto"/>
        <w:ind w:firstLine="464" w:firstLineChars="200"/>
        <w:jc w:val="left"/>
        <w:rPr>
          <w:rFonts w:ascii="宋体" w:hAnsi="宋体" w:cs="宋体"/>
          <w:sz w:val="20"/>
          <w:szCs w:val="18"/>
        </w:rPr>
      </w:pPr>
      <w:r>
        <w:rPr>
          <w:rFonts w:hint="eastAsia" w:ascii="宋体" w:hAnsi="宋体" w:cs="宋体"/>
          <w:spacing w:val="6"/>
          <w:sz w:val="22"/>
          <w:szCs w:val="18"/>
        </w:rPr>
        <w:t>我方参与的</w:t>
      </w:r>
      <w:r>
        <w:rPr>
          <w:rFonts w:hint="eastAsia" w:ascii="宋体" w:hAnsi="宋体" w:cs="宋体"/>
          <w:spacing w:val="6"/>
          <w:sz w:val="22"/>
          <w:szCs w:val="18"/>
          <w:u w:val="single"/>
        </w:rPr>
        <w:t xml:space="preserve">     </w:t>
      </w:r>
      <w:r>
        <w:rPr>
          <w:rFonts w:hint="eastAsia" w:ascii="宋体" w:hAnsi="宋体" w:cs="宋体"/>
          <w:iCs/>
          <w:spacing w:val="6"/>
          <w:sz w:val="22"/>
          <w:szCs w:val="18"/>
          <w:u w:val="single"/>
        </w:rPr>
        <w:t>（项目名称）（项目编号）</w:t>
      </w:r>
      <w:r>
        <w:rPr>
          <w:rFonts w:hint="eastAsia" w:ascii="宋体" w:hAnsi="宋体" w:cs="宋体"/>
          <w:spacing w:val="6"/>
          <w:sz w:val="22"/>
          <w:szCs w:val="18"/>
          <w:u w:val="single"/>
        </w:rPr>
        <w:t xml:space="preserve">    </w:t>
      </w:r>
      <w:r>
        <w:rPr>
          <w:rFonts w:hint="eastAsia" w:ascii="宋体" w:hAnsi="宋体" w:cs="宋体"/>
          <w:spacing w:val="6"/>
          <w:sz w:val="22"/>
          <w:szCs w:val="18"/>
        </w:rPr>
        <w:t>的磋商活动，我方郑重承诺，我方具有良好的财务会计制度、依法缴纳税收和社会保障资金，不偷逃税款和逃避缴纳社会保障资金。如有虚假，采购人可取消我方任何资格（投标/成交/签订合同），我方对此无任何异议。</w:t>
      </w:r>
    </w:p>
    <w:p>
      <w:pPr>
        <w:pStyle w:val="154"/>
        <w:spacing w:line="360" w:lineRule="auto"/>
        <w:ind w:firstLine="464" w:firstLineChars="200"/>
        <w:rPr>
          <w:rFonts w:ascii="宋体" w:hAnsi="宋体" w:cs="宋体"/>
          <w:spacing w:val="6"/>
          <w:sz w:val="22"/>
          <w:szCs w:val="22"/>
        </w:rPr>
      </w:pPr>
    </w:p>
    <w:p>
      <w:pPr>
        <w:pStyle w:val="154"/>
        <w:spacing w:line="360" w:lineRule="auto"/>
        <w:ind w:firstLine="464" w:firstLineChars="200"/>
        <w:rPr>
          <w:rFonts w:ascii="宋体" w:hAnsi="宋体" w:cs="宋体"/>
          <w:spacing w:val="6"/>
          <w:sz w:val="22"/>
          <w:szCs w:val="22"/>
        </w:rPr>
      </w:pPr>
      <w:r>
        <w:rPr>
          <w:rFonts w:hint="eastAsia" w:ascii="宋体" w:hAnsi="宋体" w:cs="宋体"/>
          <w:spacing w:val="6"/>
          <w:sz w:val="22"/>
          <w:szCs w:val="22"/>
        </w:rPr>
        <w:t>特此承诺！</w:t>
      </w:r>
    </w:p>
    <w:p>
      <w:pPr>
        <w:pStyle w:val="154"/>
        <w:spacing w:line="360" w:lineRule="auto"/>
        <w:ind w:firstLine="464" w:firstLineChars="200"/>
        <w:rPr>
          <w:rFonts w:ascii="宋体" w:hAnsi="宋体" w:cs="宋体"/>
          <w:spacing w:val="6"/>
          <w:sz w:val="22"/>
          <w:szCs w:val="22"/>
        </w:rPr>
      </w:pPr>
    </w:p>
    <w:p>
      <w:pPr>
        <w:pStyle w:val="144"/>
        <w:wordWrap w:val="0"/>
        <w:spacing w:line="360" w:lineRule="auto"/>
        <w:ind w:firstLine="480"/>
        <w:jc w:val="right"/>
        <w:rPr>
          <w:rFonts w:ascii="宋体" w:hAnsi="宋体" w:cs="宋体"/>
          <w:sz w:val="22"/>
          <w:szCs w:val="20"/>
          <w:u w:val="single"/>
        </w:rPr>
      </w:pPr>
      <w:r>
        <w:rPr>
          <w:rFonts w:hint="eastAsia" w:ascii="宋体" w:hAnsi="宋体" w:cs="宋体"/>
          <w:sz w:val="22"/>
          <w:szCs w:val="20"/>
        </w:rPr>
        <w:t>供应商盖章：</w:t>
      </w:r>
      <w:r>
        <w:rPr>
          <w:rFonts w:hint="eastAsia" w:ascii="宋体" w:hAnsi="宋体" w:cs="宋体"/>
          <w:sz w:val="22"/>
          <w:szCs w:val="20"/>
          <w:u w:val="single"/>
        </w:rPr>
        <w:t xml:space="preserve">                </w:t>
      </w:r>
    </w:p>
    <w:p>
      <w:pPr>
        <w:pStyle w:val="144"/>
        <w:wordWrap w:val="0"/>
        <w:spacing w:line="360" w:lineRule="auto"/>
        <w:ind w:firstLine="480"/>
        <w:jc w:val="right"/>
        <w:rPr>
          <w:rFonts w:ascii="宋体" w:hAnsi="宋体" w:cs="宋体"/>
          <w:sz w:val="22"/>
          <w:szCs w:val="20"/>
          <w:u w:val="single"/>
        </w:rPr>
      </w:pPr>
      <w:r>
        <w:rPr>
          <w:rFonts w:hint="eastAsia" w:ascii="宋体" w:hAnsi="宋体" w:cs="宋体"/>
          <w:sz w:val="22"/>
          <w:szCs w:val="20"/>
        </w:rPr>
        <w:t>日      期：</w:t>
      </w:r>
      <w:r>
        <w:rPr>
          <w:rFonts w:hint="eastAsia" w:ascii="宋体" w:hAnsi="宋体" w:cs="宋体"/>
          <w:sz w:val="22"/>
          <w:szCs w:val="20"/>
          <w:u w:val="single"/>
        </w:rPr>
        <w:t xml:space="preserve">                </w:t>
      </w:r>
    </w:p>
    <w:p>
      <w:pPr>
        <w:pStyle w:val="171"/>
        <w:spacing w:line="360" w:lineRule="auto"/>
        <w:ind w:firstLine="440" w:firstLineChars="200"/>
        <w:rPr>
          <w:rFonts w:ascii="宋体" w:hAnsi="宋体" w:cs="宋体"/>
          <w:sz w:val="22"/>
        </w:rPr>
      </w:pPr>
      <w:r>
        <w:rPr>
          <w:rFonts w:hint="eastAsia" w:ascii="宋体" w:hAnsi="宋体" w:cs="宋体"/>
          <w:sz w:val="22"/>
        </w:rPr>
        <w:br w:type="page"/>
      </w:r>
    </w:p>
    <w:p>
      <w:pPr>
        <w:pStyle w:val="171"/>
        <w:spacing w:line="360" w:lineRule="auto"/>
        <w:ind w:firstLine="440" w:firstLineChars="200"/>
        <w:rPr>
          <w:rFonts w:ascii="宋体" w:hAnsi="宋体" w:cs="宋体"/>
          <w:sz w:val="22"/>
        </w:rPr>
      </w:pPr>
    </w:p>
    <w:p>
      <w:pPr>
        <w:keepNext/>
        <w:keepLines/>
        <w:snapToGrid w:val="0"/>
        <w:jc w:val="left"/>
        <w:rPr>
          <w:rFonts w:ascii="宋体" w:hAnsi="宋体" w:cs="宋体"/>
          <w:b/>
          <w:bCs/>
          <w:sz w:val="22"/>
          <w:szCs w:val="22"/>
        </w:rPr>
      </w:pPr>
      <w:bookmarkStart w:id="530" w:name="_Toc531359046"/>
      <w:bookmarkStart w:id="531" w:name="_Toc31473"/>
      <w:r>
        <w:rPr>
          <w:rFonts w:hint="eastAsia" w:ascii="宋体" w:hAnsi="宋体" w:cs="宋体"/>
          <w:b/>
          <w:bCs/>
          <w:sz w:val="22"/>
          <w:szCs w:val="22"/>
        </w:rPr>
        <w:t xml:space="preserve">1.5  </w:t>
      </w:r>
      <w:bookmarkEnd w:id="528"/>
      <w:bookmarkEnd w:id="529"/>
      <w:bookmarkEnd w:id="530"/>
      <w:bookmarkEnd w:id="531"/>
      <w:r>
        <w:rPr>
          <w:rFonts w:hint="eastAsia" w:ascii="宋体" w:hAnsi="宋体" w:cs="宋体"/>
          <w:b/>
          <w:bCs/>
          <w:sz w:val="22"/>
          <w:szCs w:val="22"/>
        </w:rPr>
        <w:t>具有履行合同所必需的设备和专业技术能力承诺函格式</w:t>
      </w:r>
    </w:p>
    <w:p>
      <w:pPr>
        <w:pStyle w:val="2"/>
        <w:ind w:firstLine="0"/>
        <w:rPr>
          <w:rFonts w:ascii="宋体" w:hAnsi="宋体" w:cs="宋体"/>
          <w:sz w:val="22"/>
          <w:szCs w:val="22"/>
        </w:rPr>
      </w:pPr>
    </w:p>
    <w:p>
      <w:pPr>
        <w:pStyle w:val="2"/>
        <w:spacing w:line="360" w:lineRule="auto"/>
        <w:ind w:firstLine="0"/>
        <w:jc w:val="center"/>
        <w:rPr>
          <w:rFonts w:ascii="宋体" w:hAnsi="宋体" w:cs="宋体"/>
          <w:b/>
          <w:sz w:val="28"/>
          <w:szCs w:val="28"/>
        </w:rPr>
      </w:pPr>
      <w:r>
        <w:rPr>
          <w:rFonts w:hint="eastAsia" w:ascii="宋体" w:hAnsi="宋体" w:cs="宋体"/>
          <w:b/>
          <w:sz w:val="28"/>
          <w:szCs w:val="28"/>
        </w:rPr>
        <w:t>具有履行合同所必需设备和专业技术能力的承诺函</w:t>
      </w:r>
    </w:p>
    <w:p>
      <w:pPr>
        <w:snapToGrid w:val="0"/>
        <w:spacing w:line="360" w:lineRule="auto"/>
        <w:rPr>
          <w:rFonts w:ascii="宋体" w:hAnsi="宋体" w:cs="宋体"/>
          <w:sz w:val="20"/>
          <w:szCs w:val="22"/>
        </w:rPr>
      </w:pPr>
    </w:p>
    <w:p>
      <w:pPr>
        <w:pStyle w:val="154"/>
        <w:spacing w:line="360" w:lineRule="auto"/>
        <w:rPr>
          <w:rFonts w:ascii="宋体" w:hAnsi="宋体" w:cs="宋体"/>
          <w:spacing w:val="6"/>
          <w:sz w:val="22"/>
          <w:szCs w:val="22"/>
        </w:rPr>
      </w:pPr>
      <w:r>
        <w:rPr>
          <w:rFonts w:hint="eastAsia" w:ascii="宋体" w:hAnsi="宋体" w:cs="宋体"/>
          <w:sz w:val="22"/>
          <w:szCs w:val="22"/>
          <w:u w:val="single"/>
        </w:rPr>
        <w:t xml:space="preserve">                </w:t>
      </w:r>
      <w:r>
        <w:rPr>
          <w:rFonts w:hint="eastAsia" w:ascii="宋体" w:hAnsi="宋体" w:cs="宋体"/>
          <w:spacing w:val="6"/>
          <w:sz w:val="22"/>
          <w:szCs w:val="22"/>
        </w:rPr>
        <w:t>：</w:t>
      </w:r>
    </w:p>
    <w:p>
      <w:pPr>
        <w:pStyle w:val="154"/>
        <w:spacing w:line="360" w:lineRule="auto"/>
        <w:ind w:firstLine="464" w:firstLineChars="200"/>
        <w:rPr>
          <w:rFonts w:ascii="宋体" w:hAnsi="宋体" w:cs="宋体"/>
          <w:spacing w:val="6"/>
          <w:sz w:val="22"/>
          <w:szCs w:val="22"/>
        </w:rPr>
      </w:pPr>
      <w:r>
        <w:rPr>
          <w:rFonts w:hint="eastAsia" w:ascii="宋体" w:hAnsi="宋体" w:cs="宋体"/>
          <w:spacing w:val="6"/>
          <w:sz w:val="22"/>
          <w:szCs w:val="22"/>
        </w:rPr>
        <w:t>我方参与的</w:t>
      </w:r>
      <w:r>
        <w:rPr>
          <w:rFonts w:hint="eastAsia" w:ascii="宋体" w:hAnsi="宋体" w:cs="宋体"/>
          <w:spacing w:val="6"/>
          <w:sz w:val="22"/>
          <w:szCs w:val="22"/>
          <w:u w:val="single"/>
        </w:rPr>
        <w:t xml:space="preserve">    </w:t>
      </w:r>
      <w:r>
        <w:rPr>
          <w:rFonts w:hint="eastAsia" w:ascii="宋体" w:hAnsi="宋体" w:cs="宋体"/>
          <w:i/>
          <w:spacing w:val="6"/>
          <w:sz w:val="22"/>
          <w:szCs w:val="22"/>
          <w:u w:val="single"/>
        </w:rPr>
        <w:t xml:space="preserve"> </w:t>
      </w:r>
      <w:r>
        <w:rPr>
          <w:rFonts w:hint="eastAsia" w:ascii="宋体" w:hAnsi="宋体" w:cs="宋体"/>
          <w:iCs/>
          <w:spacing w:val="6"/>
          <w:sz w:val="22"/>
          <w:szCs w:val="22"/>
          <w:u w:val="single"/>
        </w:rPr>
        <w:t>（项目名称）（项目编号）</w:t>
      </w:r>
      <w:r>
        <w:rPr>
          <w:rFonts w:hint="eastAsia" w:ascii="宋体" w:hAnsi="宋体" w:cs="宋体"/>
          <w:i/>
          <w:spacing w:val="6"/>
          <w:sz w:val="22"/>
          <w:szCs w:val="22"/>
          <w:u w:val="single"/>
        </w:rPr>
        <w:t xml:space="preserve"> </w:t>
      </w:r>
      <w:r>
        <w:rPr>
          <w:rFonts w:hint="eastAsia" w:ascii="宋体" w:hAnsi="宋体" w:cs="宋体"/>
          <w:spacing w:val="6"/>
          <w:sz w:val="22"/>
          <w:szCs w:val="22"/>
          <w:u w:val="single"/>
        </w:rPr>
        <w:t xml:space="preserve">   </w:t>
      </w:r>
      <w:r>
        <w:rPr>
          <w:rFonts w:hint="eastAsia" w:ascii="宋体" w:hAnsi="宋体" w:cs="宋体"/>
          <w:spacing w:val="6"/>
          <w:sz w:val="22"/>
          <w:szCs w:val="22"/>
        </w:rPr>
        <w:t>的磋商活动，我方郑重承诺，我方承诺具有履行合同所必需设备和专业技术能力。如有虚假，采购人可取消我方任何资格（投标/中标/签订合同），我方对此无任何异议。</w:t>
      </w:r>
    </w:p>
    <w:p>
      <w:pPr>
        <w:pStyle w:val="154"/>
        <w:spacing w:line="360" w:lineRule="auto"/>
        <w:ind w:firstLine="464" w:firstLineChars="200"/>
        <w:rPr>
          <w:rFonts w:ascii="宋体" w:hAnsi="宋体" w:cs="宋体"/>
          <w:spacing w:val="6"/>
          <w:sz w:val="22"/>
          <w:szCs w:val="22"/>
        </w:rPr>
      </w:pPr>
    </w:p>
    <w:p>
      <w:pPr>
        <w:pStyle w:val="154"/>
        <w:spacing w:line="360" w:lineRule="auto"/>
        <w:ind w:firstLine="464" w:firstLineChars="200"/>
        <w:rPr>
          <w:rFonts w:ascii="宋体" w:hAnsi="宋体" w:cs="宋体"/>
          <w:spacing w:val="6"/>
          <w:sz w:val="22"/>
          <w:szCs w:val="22"/>
        </w:rPr>
      </w:pPr>
      <w:r>
        <w:rPr>
          <w:rFonts w:hint="eastAsia" w:ascii="宋体" w:hAnsi="宋体" w:cs="宋体"/>
          <w:spacing w:val="6"/>
          <w:sz w:val="22"/>
          <w:szCs w:val="22"/>
        </w:rPr>
        <w:t>特此承诺！</w:t>
      </w:r>
    </w:p>
    <w:p>
      <w:pPr>
        <w:pStyle w:val="154"/>
        <w:spacing w:line="360" w:lineRule="auto"/>
        <w:ind w:firstLine="464" w:firstLineChars="200"/>
        <w:rPr>
          <w:rFonts w:ascii="宋体" w:hAnsi="宋体" w:cs="宋体"/>
          <w:spacing w:val="6"/>
          <w:sz w:val="22"/>
          <w:szCs w:val="22"/>
        </w:rPr>
      </w:pPr>
    </w:p>
    <w:p>
      <w:pPr>
        <w:pStyle w:val="144"/>
        <w:wordWrap w:val="0"/>
        <w:spacing w:line="360" w:lineRule="auto"/>
        <w:ind w:firstLine="480"/>
        <w:jc w:val="right"/>
        <w:rPr>
          <w:rFonts w:ascii="宋体" w:hAnsi="宋体" w:cs="宋体"/>
          <w:sz w:val="22"/>
          <w:szCs w:val="20"/>
          <w:u w:val="single"/>
        </w:rPr>
      </w:pPr>
      <w:r>
        <w:rPr>
          <w:rFonts w:hint="eastAsia" w:ascii="宋体" w:hAnsi="宋体" w:cs="宋体"/>
          <w:sz w:val="22"/>
          <w:szCs w:val="20"/>
        </w:rPr>
        <w:t>供应商盖章：</w:t>
      </w:r>
      <w:r>
        <w:rPr>
          <w:rFonts w:hint="eastAsia" w:ascii="宋体" w:hAnsi="宋体" w:cs="宋体"/>
          <w:sz w:val="22"/>
          <w:szCs w:val="20"/>
          <w:u w:val="single"/>
        </w:rPr>
        <w:t xml:space="preserve">                </w:t>
      </w:r>
    </w:p>
    <w:p>
      <w:pPr>
        <w:pStyle w:val="171"/>
        <w:spacing w:line="360" w:lineRule="auto"/>
        <w:ind w:firstLine="6160" w:firstLineChars="2800"/>
        <w:rPr>
          <w:rFonts w:ascii="宋体" w:hAnsi="宋体" w:cs="宋体"/>
          <w:sz w:val="22"/>
        </w:rPr>
      </w:pPr>
      <w:r>
        <w:rPr>
          <w:rFonts w:hint="eastAsia" w:ascii="宋体" w:hAnsi="宋体" w:cs="宋体"/>
          <w:sz w:val="22"/>
          <w:szCs w:val="20"/>
        </w:rPr>
        <w:t>日      期：</w:t>
      </w:r>
      <w:r>
        <w:rPr>
          <w:rFonts w:hint="eastAsia" w:ascii="宋体" w:hAnsi="宋体" w:cs="宋体"/>
          <w:sz w:val="22"/>
          <w:szCs w:val="20"/>
          <w:u w:val="single"/>
        </w:rPr>
        <w:t xml:space="preserve">                </w:t>
      </w:r>
    </w:p>
    <w:p>
      <w:pPr>
        <w:rPr>
          <w:rFonts w:ascii="宋体" w:hAnsi="宋体" w:cs="宋体"/>
          <w:b/>
          <w:bCs/>
          <w:sz w:val="22"/>
        </w:rPr>
      </w:pPr>
      <w:r>
        <w:rPr>
          <w:rFonts w:hint="eastAsia" w:ascii="宋体" w:hAnsi="宋体" w:cs="宋体"/>
          <w:spacing w:val="11"/>
          <w:sz w:val="22"/>
        </w:rPr>
        <w:br w:type="page"/>
      </w:r>
    </w:p>
    <w:p>
      <w:pPr>
        <w:pStyle w:val="20"/>
        <w:spacing w:before="120" w:after="120" w:line="360" w:lineRule="auto"/>
        <w:jc w:val="center"/>
        <w:rPr>
          <w:rFonts w:hAnsi="宋体" w:cs="宋体"/>
          <w:b/>
          <w:sz w:val="22"/>
          <w:szCs w:val="22"/>
        </w:rPr>
      </w:pPr>
      <w:r>
        <w:rPr>
          <w:rFonts w:hint="eastAsia" w:hAnsi="宋体" w:cs="宋体"/>
          <w:b/>
          <w:bCs/>
          <w:spacing w:val="11"/>
          <w:sz w:val="22"/>
        </w:rPr>
        <w:t>1.6</w:t>
      </w:r>
      <w:r>
        <w:rPr>
          <w:rFonts w:hint="eastAsia" w:hAnsi="宋体" w:cs="宋体"/>
          <w:b/>
          <w:sz w:val="22"/>
          <w:szCs w:val="22"/>
        </w:rPr>
        <w:t>中小企业承诺函</w:t>
      </w:r>
    </w:p>
    <w:p>
      <w:pPr>
        <w:pStyle w:val="20"/>
        <w:spacing w:before="120" w:after="120" w:line="360" w:lineRule="auto"/>
        <w:ind w:firstLine="440" w:firstLineChars="200"/>
        <w:jc w:val="left"/>
        <w:rPr>
          <w:rFonts w:hAnsi="宋体" w:cs="宋体"/>
          <w:sz w:val="22"/>
          <w:szCs w:val="22"/>
        </w:rPr>
      </w:pPr>
      <w:r>
        <w:rPr>
          <w:rFonts w:hint="eastAsia" w:hAnsi="宋体" w:cs="宋体"/>
          <w:sz w:val="22"/>
          <w:szCs w:val="22"/>
        </w:rPr>
        <w:t>本公司郑重声明，根据《政府采购促进中小企业发展管理办法》（财库﹝2020﹞46 号）的规定，本公司参加</w:t>
      </w:r>
      <w:r>
        <w:rPr>
          <w:rFonts w:hint="eastAsia" w:hAnsi="宋体" w:cs="宋体"/>
          <w:sz w:val="22"/>
          <w:szCs w:val="22"/>
          <w:u w:val="single"/>
        </w:rPr>
        <w:t>（单位名称）</w:t>
      </w:r>
      <w:r>
        <w:rPr>
          <w:rFonts w:hint="eastAsia" w:hAnsi="宋体" w:cs="宋体"/>
          <w:sz w:val="22"/>
          <w:szCs w:val="22"/>
        </w:rPr>
        <w:t>的</w:t>
      </w:r>
      <w:r>
        <w:rPr>
          <w:rFonts w:hint="eastAsia" w:hAnsi="宋体" w:cs="宋体"/>
          <w:sz w:val="22"/>
          <w:szCs w:val="22"/>
          <w:u w:val="single"/>
        </w:rPr>
        <w:t>（项目名称及标项）</w:t>
      </w:r>
      <w:r>
        <w:rPr>
          <w:rFonts w:hint="eastAsia" w:hAnsi="宋体" w:cs="宋体"/>
          <w:sz w:val="22"/>
          <w:szCs w:val="22"/>
        </w:rPr>
        <w:t>采购活动，本公司为</w:t>
      </w:r>
      <w:r>
        <w:rPr>
          <w:rFonts w:hint="eastAsia" w:hAnsi="宋体" w:cs="宋体"/>
          <w:sz w:val="22"/>
          <w:szCs w:val="22"/>
          <w:u w:val="single"/>
        </w:rPr>
        <w:t xml:space="preserve">     </w:t>
      </w:r>
      <w:r>
        <w:rPr>
          <w:rFonts w:hint="eastAsia" w:hAnsi="宋体" w:cs="宋体"/>
          <w:sz w:val="22"/>
          <w:szCs w:val="22"/>
        </w:rPr>
        <w:t>型企业。</w:t>
      </w:r>
    </w:p>
    <w:p>
      <w:pPr>
        <w:rPr>
          <w:rFonts w:ascii="宋体" w:hAnsi="宋体" w:cs="宋体"/>
          <w:sz w:val="22"/>
          <w:szCs w:val="22"/>
        </w:rPr>
      </w:pPr>
    </w:p>
    <w:p>
      <w:pPr>
        <w:pStyle w:val="16"/>
        <w:rPr>
          <w:rFonts w:ascii="宋体" w:hAnsi="宋体" w:cs="宋体"/>
          <w:sz w:val="22"/>
          <w:szCs w:val="22"/>
        </w:rPr>
      </w:pPr>
    </w:p>
    <w:p>
      <w:pPr>
        <w:rPr>
          <w:rFonts w:ascii="宋体" w:hAnsi="宋体" w:cs="宋体"/>
          <w:sz w:val="22"/>
          <w:szCs w:val="22"/>
        </w:rPr>
      </w:pPr>
    </w:p>
    <w:p>
      <w:pPr>
        <w:pStyle w:val="16"/>
        <w:rPr>
          <w:rFonts w:ascii="宋体" w:hAnsi="宋体" w:cs="宋体"/>
          <w:sz w:val="22"/>
          <w:szCs w:val="22"/>
        </w:rPr>
      </w:pPr>
    </w:p>
    <w:p>
      <w:pPr>
        <w:rPr>
          <w:rFonts w:ascii="宋体" w:hAnsi="宋体" w:cs="宋体"/>
          <w:sz w:val="22"/>
          <w:szCs w:val="22"/>
        </w:rPr>
      </w:pPr>
    </w:p>
    <w:p>
      <w:pPr>
        <w:pStyle w:val="16"/>
        <w:rPr>
          <w:rFonts w:ascii="宋体" w:hAnsi="宋体" w:cs="宋体"/>
          <w:sz w:val="22"/>
          <w:szCs w:val="22"/>
        </w:rPr>
      </w:pPr>
    </w:p>
    <w:p>
      <w:pPr>
        <w:rPr>
          <w:rFonts w:ascii="宋体" w:hAnsi="宋体" w:cs="宋体"/>
          <w:sz w:val="22"/>
          <w:szCs w:val="22"/>
        </w:rPr>
      </w:pPr>
    </w:p>
    <w:p>
      <w:pPr>
        <w:pStyle w:val="144"/>
        <w:spacing w:line="360" w:lineRule="auto"/>
        <w:ind w:firstLine="480"/>
        <w:jc w:val="center"/>
        <w:rPr>
          <w:rFonts w:ascii="宋体" w:hAnsi="宋体" w:cs="宋体"/>
          <w:sz w:val="22"/>
          <w:szCs w:val="22"/>
          <w:u w:val="single"/>
        </w:rPr>
      </w:pPr>
      <w:r>
        <w:rPr>
          <w:rFonts w:hint="eastAsia" w:ascii="宋体" w:hAnsi="宋体" w:cs="宋体"/>
          <w:sz w:val="22"/>
          <w:szCs w:val="22"/>
        </w:rPr>
        <w:t xml:space="preserve">                       供应商盖章：</w:t>
      </w:r>
      <w:r>
        <w:rPr>
          <w:rFonts w:hint="eastAsia" w:ascii="宋体" w:hAnsi="宋体" w:cs="宋体"/>
          <w:sz w:val="22"/>
          <w:szCs w:val="22"/>
          <w:u w:val="single"/>
        </w:rPr>
        <w:t xml:space="preserve">               </w:t>
      </w:r>
    </w:p>
    <w:p>
      <w:pPr>
        <w:pStyle w:val="144"/>
        <w:spacing w:line="360" w:lineRule="auto"/>
        <w:ind w:firstLine="480"/>
        <w:jc w:val="center"/>
        <w:rPr>
          <w:rFonts w:ascii="宋体" w:hAnsi="宋体" w:cs="宋体"/>
          <w:sz w:val="24"/>
          <w:u w:val="single"/>
        </w:rPr>
      </w:pPr>
      <w:r>
        <w:rPr>
          <w:rFonts w:hint="eastAsia" w:ascii="宋体" w:hAnsi="宋体" w:cs="宋体"/>
          <w:sz w:val="22"/>
          <w:szCs w:val="22"/>
        </w:rPr>
        <w:t xml:space="preserve">                       日      期：</w:t>
      </w:r>
      <w:r>
        <w:rPr>
          <w:rFonts w:hint="eastAsia" w:ascii="宋体" w:hAnsi="宋体" w:cs="宋体"/>
          <w:sz w:val="22"/>
          <w:szCs w:val="22"/>
          <w:u w:val="single"/>
        </w:rPr>
        <w:t xml:space="preserve">               </w:t>
      </w:r>
    </w:p>
    <w:p>
      <w:pPr>
        <w:rPr>
          <w:rFonts w:ascii="宋体" w:hAnsi="宋体" w:cs="宋体"/>
          <w:b/>
          <w:bCs/>
          <w:sz w:val="22"/>
        </w:rPr>
      </w:pPr>
    </w:p>
    <w:p>
      <w:pPr>
        <w:rPr>
          <w:rFonts w:ascii="宋体" w:hAnsi="宋体" w:cs="宋体"/>
          <w:b/>
          <w:bCs/>
          <w:sz w:val="22"/>
        </w:rPr>
      </w:pPr>
      <w:r>
        <w:rPr>
          <w:rFonts w:hint="eastAsia" w:ascii="宋体" w:hAnsi="宋体" w:cs="宋体"/>
          <w:b/>
          <w:bCs/>
          <w:sz w:val="22"/>
        </w:rPr>
        <w:br w:type="page"/>
      </w:r>
    </w:p>
    <w:p>
      <w:pPr>
        <w:pStyle w:val="191"/>
        <w:spacing w:line="360" w:lineRule="auto"/>
        <w:ind w:firstLine="420"/>
        <w:rPr>
          <w:rFonts w:ascii="宋体" w:hAnsi="宋体" w:cs="宋体"/>
          <w:b/>
          <w:bCs/>
          <w:sz w:val="22"/>
        </w:rPr>
      </w:pPr>
      <w:r>
        <w:rPr>
          <w:rFonts w:hint="eastAsia" w:ascii="宋体" w:hAnsi="宋体" w:cs="宋体"/>
          <w:b/>
          <w:bCs/>
          <w:sz w:val="22"/>
        </w:rPr>
        <w:t>1.7 供应商资格声明</w:t>
      </w:r>
    </w:p>
    <w:p>
      <w:pPr>
        <w:pStyle w:val="210"/>
        <w:spacing w:line="360" w:lineRule="auto"/>
        <w:ind w:firstLine="420"/>
        <w:rPr>
          <w:rFonts w:hAnsi="宋体" w:cs="宋体"/>
          <w:sz w:val="22"/>
          <w:szCs w:val="22"/>
        </w:rPr>
      </w:pPr>
      <w:r>
        <w:rPr>
          <w:rFonts w:hint="eastAsia" w:hAnsi="宋体" w:cs="宋体"/>
          <w:sz w:val="22"/>
          <w:szCs w:val="22"/>
        </w:rPr>
        <w:t>（一）名称及概况：</w:t>
      </w:r>
    </w:p>
    <w:p>
      <w:pPr>
        <w:pStyle w:val="210"/>
        <w:spacing w:line="360" w:lineRule="auto"/>
        <w:ind w:firstLine="420"/>
        <w:rPr>
          <w:rFonts w:hAnsi="宋体" w:cs="宋体"/>
          <w:sz w:val="22"/>
          <w:szCs w:val="22"/>
        </w:rPr>
      </w:pPr>
      <w:r>
        <w:rPr>
          <w:rFonts w:hint="eastAsia" w:hAnsi="宋体" w:cs="宋体"/>
          <w:sz w:val="22"/>
          <w:szCs w:val="22"/>
        </w:rPr>
        <w:t>1．企业名称：__________________________________________</w:t>
      </w:r>
    </w:p>
    <w:p>
      <w:pPr>
        <w:pStyle w:val="210"/>
        <w:spacing w:line="360" w:lineRule="auto"/>
        <w:ind w:firstLine="420"/>
        <w:rPr>
          <w:rFonts w:hAnsi="宋体" w:cs="宋体"/>
          <w:sz w:val="22"/>
          <w:szCs w:val="22"/>
        </w:rPr>
      </w:pPr>
      <w:r>
        <w:rPr>
          <w:rFonts w:hint="eastAsia" w:hAnsi="宋体" w:cs="宋体"/>
          <w:sz w:val="22"/>
          <w:szCs w:val="22"/>
        </w:rPr>
        <w:t>银行开户名称：__________________________________________</w:t>
      </w:r>
    </w:p>
    <w:p>
      <w:pPr>
        <w:pStyle w:val="210"/>
        <w:spacing w:line="360" w:lineRule="auto"/>
        <w:ind w:firstLine="420"/>
        <w:rPr>
          <w:rFonts w:hAnsi="宋体" w:cs="宋体"/>
          <w:sz w:val="22"/>
          <w:szCs w:val="22"/>
        </w:rPr>
      </w:pPr>
      <w:r>
        <w:rPr>
          <w:rFonts w:hint="eastAsia" w:hAnsi="宋体" w:cs="宋体"/>
          <w:sz w:val="22"/>
          <w:szCs w:val="22"/>
        </w:rPr>
        <w:t xml:space="preserve">    开户银行：__________________________________________</w:t>
      </w:r>
    </w:p>
    <w:p>
      <w:pPr>
        <w:pStyle w:val="210"/>
        <w:spacing w:line="360" w:lineRule="auto"/>
        <w:ind w:firstLine="420"/>
        <w:rPr>
          <w:rFonts w:hAnsi="宋体" w:cs="宋体"/>
          <w:sz w:val="22"/>
          <w:szCs w:val="22"/>
        </w:rPr>
      </w:pPr>
      <w:r>
        <w:rPr>
          <w:rFonts w:hint="eastAsia" w:hAnsi="宋体" w:cs="宋体"/>
          <w:sz w:val="22"/>
          <w:szCs w:val="22"/>
        </w:rPr>
        <w:t xml:space="preserve">    帐    号：__________________________________________</w:t>
      </w:r>
    </w:p>
    <w:p>
      <w:pPr>
        <w:pStyle w:val="210"/>
        <w:spacing w:line="360" w:lineRule="auto"/>
        <w:ind w:firstLine="420"/>
        <w:rPr>
          <w:rFonts w:hAnsi="宋体" w:cs="宋体"/>
          <w:sz w:val="22"/>
          <w:szCs w:val="22"/>
        </w:rPr>
      </w:pPr>
      <w:r>
        <w:rPr>
          <w:rFonts w:hint="eastAsia" w:hAnsi="宋体" w:cs="宋体"/>
          <w:sz w:val="22"/>
          <w:szCs w:val="22"/>
        </w:rPr>
        <w:t>企业详细地址：__________________________________________</w:t>
      </w:r>
    </w:p>
    <w:p>
      <w:pPr>
        <w:pStyle w:val="210"/>
        <w:spacing w:line="360" w:lineRule="auto"/>
        <w:ind w:firstLine="420"/>
        <w:rPr>
          <w:rFonts w:hAnsi="宋体" w:cs="宋体"/>
          <w:sz w:val="22"/>
          <w:szCs w:val="22"/>
        </w:rPr>
      </w:pPr>
      <w:r>
        <w:rPr>
          <w:rFonts w:hint="eastAsia" w:hAnsi="宋体" w:cs="宋体"/>
          <w:sz w:val="22"/>
          <w:szCs w:val="22"/>
        </w:rPr>
        <w:t xml:space="preserve">    传    真：__________________________________________</w:t>
      </w:r>
    </w:p>
    <w:p>
      <w:pPr>
        <w:pStyle w:val="210"/>
        <w:spacing w:line="360" w:lineRule="auto"/>
        <w:ind w:firstLine="420"/>
        <w:rPr>
          <w:rFonts w:hAnsi="宋体" w:cs="宋体"/>
          <w:sz w:val="22"/>
          <w:szCs w:val="22"/>
        </w:rPr>
      </w:pPr>
      <w:r>
        <w:rPr>
          <w:rFonts w:hint="eastAsia" w:hAnsi="宋体" w:cs="宋体"/>
          <w:sz w:val="22"/>
          <w:szCs w:val="22"/>
        </w:rPr>
        <w:t xml:space="preserve">    电    话：__________________________________________</w:t>
      </w:r>
    </w:p>
    <w:p>
      <w:pPr>
        <w:pStyle w:val="210"/>
        <w:spacing w:line="360" w:lineRule="auto"/>
        <w:ind w:firstLine="420"/>
        <w:rPr>
          <w:rFonts w:hAnsi="宋体" w:cs="宋体"/>
          <w:sz w:val="22"/>
          <w:szCs w:val="22"/>
        </w:rPr>
      </w:pPr>
      <w:r>
        <w:rPr>
          <w:rFonts w:hint="eastAsia" w:hAnsi="宋体" w:cs="宋体"/>
          <w:sz w:val="22"/>
          <w:szCs w:val="22"/>
        </w:rPr>
        <w:t>2．法定代表人姓名：__________________________________________</w:t>
      </w:r>
    </w:p>
    <w:p>
      <w:pPr>
        <w:pStyle w:val="210"/>
        <w:spacing w:line="360" w:lineRule="auto"/>
        <w:ind w:left="420" w:leftChars="200"/>
        <w:rPr>
          <w:rFonts w:hAnsi="宋体" w:cs="宋体"/>
          <w:sz w:val="22"/>
          <w:szCs w:val="22"/>
        </w:rPr>
      </w:pPr>
      <w:r>
        <w:rPr>
          <w:rFonts w:hint="eastAsia" w:hAnsi="宋体" w:cs="宋体"/>
          <w:sz w:val="22"/>
          <w:szCs w:val="22"/>
        </w:rPr>
        <w:t>3．项目联系人：姓名___________职务___________电话_______________</w:t>
      </w:r>
    </w:p>
    <w:p>
      <w:pPr>
        <w:pStyle w:val="210"/>
        <w:spacing w:line="360" w:lineRule="auto"/>
        <w:ind w:left="420" w:leftChars="200"/>
        <w:rPr>
          <w:rFonts w:hAnsi="宋体" w:cs="宋体"/>
          <w:sz w:val="22"/>
          <w:szCs w:val="22"/>
        </w:rPr>
      </w:pPr>
      <w:r>
        <w:rPr>
          <w:rFonts w:hint="eastAsia" w:hAnsi="宋体" w:cs="宋体"/>
          <w:sz w:val="22"/>
          <w:szCs w:val="22"/>
        </w:rPr>
        <w:t>手机_______________________电子信箱_____________________________</w:t>
      </w:r>
    </w:p>
    <w:p>
      <w:pPr>
        <w:pStyle w:val="210"/>
        <w:spacing w:line="360" w:lineRule="auto"/>
        <w:ind w:firstLine="420"/>
        <w:rPr>
          <w:rFonts w:hAnsi="宋体" w:cs="宋体"/>
          <w:sz w:val="22"/>
          <w:szCs w:val="22"/>
        </w:rPr>
      </w:pPr>
      <w:r>
        <w:rPr>
          <w:rFonts w:hint="eastAsia" w:hAnsi="宋体" w:cs="宋体"/>
          <w:sz w:val="22"/>
          <w:szCs w:val="22"/>
        </w:rPr>
        <w:t>4．注册地址：__________________________________________</w:t>
      </w:r>
    </w:p>
    <w:p>
      <w:pPr>
        <w:pStyle w:val="210"/>
        <w:spacing w:line="360" w:lineRule="auto"/>
        <w:ind w:firstLine="420"/>
        <w:rPr>
          <w:rFonts w:hAnsi="宋体" w:cs="宋体"/>
          <w:sz w:val="22"/>
          <w:szCs w:val="22"/>
        </w:rPr>
      </w:pPr>
      <w:r>
        <w:rPr>
          <w:rFonts w:hint="eastAsia" w:hAnsi="宋体" w:cs="宋体"/>
          <w:sz w:val="22"/>
          <w:szCs w:val="22"/>
        </w:rPr>
        <w:t>5．注册资金：_____________________________万元</w:t>
      </w:r>
    </w:p>
    <w:p>
      <w:pPr>
        <w:pStyle w:val="210"/>
        <w:spacing w:line="360" w:lineRule="auto"/>
        <w:ind w:firstLine="735"/>
        <w:rPr>
          <w:rFonts w:hAnsi="宋体" w:cs="宋体"/>
          <w:sz w:val="22"/>
          <w:szCs w:val="22"/>
        </w:rPr>
      </w:pPr>
      <w:r>
        <w:rPr>
          <w:rFonts w:hint="eastAsia" w:hAnsi="宋体" w:cs="宋体"/>
          <w:sz w:val="22"/>
          <w:szCs w:val="22"/>
        </w:rPr>
        <w:t>自有资金：_____________________________万元</w:t>
      </w:r>
    </w:p>
    <w:p>
      <w:pPr>
        <w:pStyle w:val="210"/>
        <w:spacing w:line="360" w:lineRule="auto"/>
        <w:ind w:firstLine="735"/>
        <w:rPr>
          <w:rFonts w:hAnsi="宋体" w:cs="宋体"/>
          <w:sz w:val="22"/>
          <w:szCs w:val="22"/>
        </w:rPr>
      </w:pPr>
      <w:r>
        <w:rPr>
          <w:rFonts w:hint="eastAsia" w:hAnsi="宋体" w:cs="宋体"/>
          <w:sz w:val="22"/>
          <w:szCs w:val="22"/>
        </w:rPr>
        <w:t>企业人数:_____________人</w:t>
      </w:r>
    </w:p>
    <w:p>
      <w:pPr>
        <w:pStyle w:val="210"/>
        <w:spacing w:line="360" w:lineRule="auto"/>
        <w:ind w:firstLine="420"/>
        <w:rPr>
          <w:rFonts w:hAnsi="宋体" w:cs="宋体"/>
          <w:sz w:val="22"/>
          <w:szCs w:val="22"/>
        </w:rPr>
      </w:pPr>
      <w:r>
        <w:rPr>
          <w:rFonts w:hint="eastAsia" w:hAnsi="宋体" w:cs="宋体"/>
          <w:sz w:val="22"/>
          <w:szCs w:val="22"/>
        </w:rPr>
        <w:t>6．企业性质：__________________________________________</w:t>
      </w:r>
    </w:p>
    <w:p>
      <w:pPr>
        <w:pStyle w:val="210"/>
        <w:spacing w:line="360" w:lineRule="auto"/>
        <w:ind w:firstLine="420"/>
        <w:rPr>
          <w:rFonts w:hAnsi="宋体" w:cs="宋体"/>
          <w:sz w:val="22"/>
          <w:szCs w:val="22"/>
        </w:rPr>
      </w:pPr>
      <w:r>
        <w:rPr>
          <w:rFonts w:hint="eastAsia" w:hAnsi="宋体" w:cs="宋体"/>
          <w:sz w:val="22"/>
          <w:szCs w:val="22"/>
        </w:rPr>
        <w:t>7．主要经营地点__________________________________________</w:t>
      </w:r>
    </w:p>
    <w:p>
      <w:pPr>
        <w:pStyle w:val="210"/>
        <w:pBdr>
          <w:bottom w:val="single" w:color="auto" w:sz="12" w:space="1"/>
        </w:pBdr>
        <w:spacing w:line="360" w:lineRule="auto"/>
        <w:ind w:firstLine="420"/>
        <w:rPr>
          <w:rFonts w:hAnsi="宋体" w:cs="宋体"/>
          <w:sz w:val="22"/>
          <w:szCs w:val="22"/>
        </w:rPr>
      </w:pPr>
      <w:r>
        <w:rPr>
          <w:rFonts w:hint="eastAsia" w:hAnsi="宋体" w:cs="宋体"/>
          <w:sz w:val="22"/>
          <w:szCs w:val="22"/>
        </w:rPr>
        <w:t>如有派出机构，请列出名称及详细通讯地址如下：</w:t>
      </w:r>
    </w:p>
    <w:p>
      <w:pPr>
        <w:pStyle w:val="210"/>
        <w:spacing w:line="360" w:lineRule="auto"/>
        <w:ind w:firstLine="480"/>
        <w:rPr>
          <w:rFonts w:hAnsi="宋体" w:cs="宋体"/>
          <w:sz w:val="22"/>
          <w:szCs w:val="22"/>
        </w:rPr>
      </w:pPr>
      <w:r>
        <w:rPr>
          <w:rFonts w:hint="eastAsia" w:hAnsi="宋体" w:cs="宋体"/>
          <w:sz w:val="22"/>
          <w:szCs w:val="22"/>
        </w:rPr>
        <w:t>兹证明上述声明是真实、正确的，并提供了全部能提供的资料和数据，我们同意遵照贵方要求出示有关证明文件。</w:t>
      </w:r>
    </w:p>
    <w:p>
      <w:pPr>
        <w:pStyle w:val="210"/>
        <w:spacing w:line="360" w:lineRule="auto"/>
        <w:ind w:firstLine="480"/>
        <w:rPr>
          <w:rFonts w:hAnsi="宋体" w:cs="宋体"/>
          <w:sz w:val="22"/>
          <w:szCs w:val="22"/>
        </w:rPr>
      </w:pPr>
      <w:r>
        <w:rPr>
          <w:rFonts w:hint="eastAsia" w:hAnsi="宋体" w:cs="宋体"/>
          <w:sz w:val="22"/>
          <w:szCs w:val="22"/>
        </w:rPr>
        <w:t>供应商名称________________________________</w:t>
      </w:r>
    </w:p>
    <w:p>
      <w:pPr>
        <w:pStyle w:val="210"/>
        <w:spacing w:line="360" w:lineRule="auto"/>
        <w:ind w:firstLine="480"/>
        <w:rPr>
          <w:rFonts w:hAnsi="宋体" w:cs="宋体"/>
          <w:sz w:val="22"/>
          <w:szCs w:val="22"/>
        </w:rPr>
      </w:pPr>
      <w:r>
        <w:rPr>
          <w:rFonts w:hint="eastAsia" w:hAnsi="宋体" w:cs="宋体"/>
          <w:sz w:val="22"/>
          <w:szCs w:val="22"/>
        </w:rPr>
        <w:t>签字人职务和部门__________________________</w:t>
      </w:r>
    </w:p>
    <w:p>
      <w:pPr>
        <w:pStyle w:val="210"/>
        <w:spacing w:line="360" w:lineRule="auto"/>
        <w:ind w:firstLine="480"/>
        <w:rPr>
          <w:rFonts w:hAnsi="宋体" w:cs="宋体"/>
          <w:sz w:val="22"/>
          <w:szCs w:val="22"/>
        </w:rPr>
      </w:pPr>
      <w:r>
        <w:rPr>
          <w:rFonts w:hint="eastAsia" w:hAnsi="宋体" w:cs="宋体"/>
          <w:sz w:val="22"/>
          <w:szCs w:val="22"/>
        </w:rPr>
        <w:t>签字人姓名（签字或盖章）________________________</w:t>
      </w:r>
    </w:p>
    <w:p>
      <w:pPr>
        <w:pStyle w:val="210"/>
        <w:spacing w:line="360" w:lineRule="auto"/>
        <w:ind w:firstLine="480"/>
        <w:rPr>
          <w:rFonts w:hAnsi="宋体" w:cs="宋体"/>
          <w:sz w:val="22"/>
          <w:szCs w:val="22"/>
        </w:rPr>
      </w:pPr>
      <w:r>
        <w:rPr>
          <w:rFonts w:hint="eastAsia" w:hAnsi="宋体" w:cs="宋体"/>
          <w:sz w:val="22"/>
          <w:szCs w:val="22"/>
        </w:rPr>
        <w:t>签字日期__________________________________</w:t>
      </w:r>
    </w:p>
    <w:p>
      <w:pPr>
        <w:keepNext/>
        <w:keepLines/>
        <w:snapToGrid w:val="0"/>
        <w:jc w:val="left"/>
        <w:rPr>
          <w:rFonts w:ascii="宋体" w:hAnsi="宋体" w:cs="宋体"/>
          <w:b/>
          <w:bCs/>
          <w:sz w:val="22"/>
          <w:szCs w:val="22"/>
        </w:rPr>
      </w:pPr>
      <w:r>
        <w:rPr>
          <w:rFonts w:hint="eastAsia" w:ascii="宋体" w:hAnsi="宋体" w:cs="宋体"/>
          <w:sz w:val="22"/>
          <w:szCs w:val="22"/>
        </w:rPr>
        <w:br w:type="page"/>
      </w:r>
      <w:bookmarkStart w:id="532" w:name="_Toc531359049"/>
      <w:bookmarkStart w:id="533" w:name="_Toc530551882"/>
      <w:bookmarkStart w:id="534" w:name="_Toc10413"/>
      <w:r>
        <w:rPr>
          <w:rFonts w:hint="eastAsia" w:ascii="宋体" w:hAnsi="宋体" w:cs="宋体"/>
          <w:b/>
          <w:bCs/>
          <w:sz w:val="22"/>
          <w:szCs w:val="22"/>
        </w:rPr>
        <w:t>1.8   无重大违法记录声明书</w:t>
      </w:r>
      <w:bookmarkEnd w:id="532"/>
      <w:bookmarkEnd w:id="533"/>
      <w:r>
        <w:rPr>
          <w:rFonts w:hint="eastAsia" w:ascii="宋体" w:hAnsi="宋体" w:cs="宋体"/>
          <w:b/>
          <w:bCs/>
          <w:sz w:val="22"/>
          <w:szCs w:val="22"/>
        </w:rPr>
        <w:t>格式</w:t>
      </w:r>
      <w:bookmarkEnd w:id="534"/>
    </w:p>
    <w:p>
      <w:pPr>
        <w:pStyle w:val="2"/>
        <w:ind w:firstLine="0"/>
        <w:rPr>
          <w:rFonts w:ascii="宋体" w:hAnsi="宋体" w:cs="宋体"/>
          <w:sz w:val="22"/>
          <w:szCs w:val="22"/>
        </w:rPr>
      </w:pPr>
    </w:p>
    <w:p>
      <w:pPr>
        <w:pStyle w:val="2"/>
        <w:spacing w:line="360" w:lineRule="auto"/>
        <w:ind w:firstLine="0"/>
        <w:jc w:val="center"/>
        <w:rPr>
          <w:rFonts w:ascii="宋体" w:hAnsi="宋体" w:cs="宋体"/>
          <w:b/>
          <w:sz w:val="22"/>
          <w:szCs w:val="22"/>
        </w:rPr>
      </w:pPr>
      <w:r>
        <w:rPr>
          <w:rFonts w:hint="eastAsia" w:ascii="宋体" w:hAnsi="宋体" w:cs="宋体"/>
          <w:b/>
          <w:sz w:val="22"/>
          <w:szCs w:val="22"/>
        </w:rPr>
        <w:t>无重大违法记录声明书</w:t>
      </w:r>
    </w:p>
    <w:p>
      <w:pPr>
        <w:pStyle w:val="154"/>
        <w:spacing w:line="360" w:lineRule="auto"/>
        <w:rPr>
          <w:rFonts w:ascii="宋体" w:hAnsi="宋体" w:cs="宋体"/>
          <w:spacing w:val="6"/>
          <w:sz w:val="22"/>
          <w:szCs w:val="22"/>
        </w:rPr>
      </w:pPr>
      <w:r>
        <w:rPr>
          <w:rFonts w:hint="eastAsia" w:ascii="宋体" w:hAnsi="宋体" w:cs="宋体"/>
          <w:sz w:val="22"/>
          <w:szCs w:val="22"/>
          <w:u w:val="single"/>
        </w:rPr>
        <w:t>（采购代理机构名称）</w:t>
      </w:r>
      <w:r>
        <w:rPr>
          <w:rFonts w:hint="eastAsia" w:ascii="宋体" w:hAnsi="宋体" w:cs="宋体"/>
          <w:spacing w:val="6"/>
          <w:sz w:val="22"/>
          <w:szCs w:val="22"/>
        </w:rPr>
        <w:t>：</w:t>
      </w:r>
    </w:p>
    <w:p>
      <w:pPr>
        <w:pStyle w:val="154"/>
        <w:spacing w:line="360" w:lineRule="auto"/>
        <w:ind w:firstLine="464" w:firstLineChars="200"/>
        <w:rPr>
          <w:rFonts w:ascii="宋体" w:hAnsi="宋体" w:cs="宋体"/>
          <w:spacing w:val="6"/>
          <w:sz w:val="22"/>
          <w:szCs w:val="22"/>
        </w:rPr>
      </w:pPr>
      <w:r>
        <w:rPr>
          <w:rFonts w:hint="eastAsia" w:ascii="宋体" w:hAnsi="宋体" w:cs="宋体"/>
          <w:spacing w:val="6"/>
          <w:sz w:val="22"/>
          <w:szCs w:val="22"/>
        </w:rPr>
        <w:t xml:space="preserve"> 我方参与的</w:t>
      </w:r>
      <w:r>
        <w:rPr>
          <w:rFonts w:hint="eastAsia" w:ascii="宋体" w:hAnsi="宋体" w:cs="宋体"/>
          <w:spacing w:val="6"/>
          <w:sz w:val="22"/>
          <w:szCs w:val="22"/>
          <w:u w:val="single"/>
        </w:rPr>
        <w:t xml:space="preserve">     （项目名称）（项目编号）（标项）    </w:t>
      </w:r>
      <w:r>
        <w:rPr>
          <w:rFonts w:hint="eastAsia" w:ascii="宋体" w:hAnsi="宋体" w:cs="宋体"/>
          <w:spacing w:val="6"/>
          <w:sz w:val="22"/>
          <w:szCs w:val="22"/>
        </w:rPr>
        <w:t>的投标活动，我方郑重声明，我方参加本项目投标活动前三年内无重大违法记录（重大违法记录是指投标人因违法经营受到刑事处罚或者责令停产停业、吊销许可证或者执照、较大数额罚款等行政处罚），符合《中华人民共和国政府采购法》、《中华人民共和国政府采购法实施条例》的规定。我方对此声明负全部法律责任。</w:t>
      </w:r>
    </w:p>
    <w:p>
      <w:pPr>
        <w:pStyle w:val="154"/>
        <w:spacing w:line="360" w:lineRule="auto"/>
        <w:ind w:firstLine="464" w:firstLineChars="200"/>
        <w:rPr>
          <w:rFonts w:ascii="宋体" w:hAnsi="宋体" w:cs="宋体"/>
          <w:spacing w:val="6"/>
          <w:sz w:val="22"/>
          <w:szCs w:val="22"/>
        </w:rPr>
      </w:pPr>
      <w:r>
        <w:rPr>
          <w:rFonts w:hint="eastAsia" w:ascii="宋体" w:hAnsi="宋体" w:cs="宋体"/>
          <w:spacing w:val="6"/>
          <w:sz w:val="22"/>
          <w:szCs w:val="22"/>
        </w:rPr>
        <w:tab/>
      </w:r>
      <w:r>
        <w:rPr>
          <w:rFonts w:hint="eastAsia" w:ascii="宋体" w:hAnsi="宋体" w:cs="宋体"/>
          <w:spacing w:val="6"/>
          <w:sz w:val="22"/>
          <w:szCs w:val="22"/>
        </w:rPr>
        <w:t>特此声明。</w:t>
      </w:r>
      <w:bookmarkStart w:id="535" w:name="_Toc500333505"/>
      <w:bookmarkStart w:id="536" w:name="_Toc531359051"/>
      <w:bookmarkStart w:id="537" w:name="_Toc523398458"/>
    </w:p>
    <w:p>
      <w:pPr>
        <w:pStyle w:val="154"/>
        <w:spacing w:line="360" w:lineRule="auto"/>
        <w:rPr>
          <w:rFonts w:ascii="宋体" w:hAnsi="宋体" w:cs="宋体"/>
          <w:spacing w:val="6"/>
          <w:sz w:val="22"/>
          <w:szCs w:val="22"/>
        </w:rPr>
      </w:pPr>
    </w:p>
    <w:p>
      <w:pPr>
        <w:pStyle w:val="154"/>
        <w:spacing w:line="360" w:lineRule="auto"/>
        <w:ind w:right="140"/>
        <w:jc w:val="left"/>
        <w:rPr>
          <w:rFonts w:ascii="宋体" w:hAnsi="宋体" w:cs="宋体"/>
          <w:spacing w:val="20"/>
          <w:sz w:val="22"/>
          <w:szCs w:val="22"/>
        </w:rPr>
      </w:pPr>
    </w:p>
    <w:bookmarkEnd w:id="535"/>
    <w:bookmarkEnd w:id="536"/>
    <w:bookmarkEnd w:id="537"/>
    <w:p>
      <w:pPr>
        <w:spacing w:line="360" w:lineRule="auto"/>
        <w:ind w:firstLine="1650" w:firstLineChars="750"/>
        <w:rPr>
          <w:rFonts w:ascii="宋体" w:hAnsi="宋体" w:cs="宋体"/>
          <w:spacing w:val="20"/>
          <w:sz w:val="22"/>
          <w:szCs w:val="22"/>
          <w:u w:val="single"/>
        </w:rPr>
      </w:pPr>
      <w:r>
        <w:rPr>
          <w:rFonts w:hint="eastAsia" w:ascii="宋体" w:hAnsi="宋体" w:cs="宋体"/>
          <w:sz w:val="22"/>
          <w:szCs w:val="22"/>
        </w:rPr>
        <w:t>法定代表人</w:t>
      </w:r>
      <w:r>
        <w:rPr>
          <w:rFonts w:hint="eastAsia" w:ascii="宋体" w:hAnsi="宋体" w:cs="宋体"/>
          <w:spacing w:val="20"/>
          <w:sz w:val="22"/>
          <w:szCs w:val="22"/>
        </w:rPr>
        <w:t>（或授权委托人）签字或盖章:</w:t>
      </w:r>
      <w:r>
        <w:rPr>
          <w:rFonts w:hint="eastAsia" w:ascii="宋体" w:hAnsi="宋体" w:cs="宋体"/>
          <w:spacing w:val="20"/>
          <w:sz w:val="22"/>
          <w:szCs w:val="22"/>
          <w:u w:val="single"/>
        </w:rPr>
        <w:t xml:space="preserve">            </w:t>
      </w:r>
    </w:p>
    <w:p>
      <w:pPr>
        <w:spacing w:line="360" w:lineRule="auto"/>
        <w:ind w:firstLine="520" w:firstLineChars="200"/>
        <w:rPr>
          <w:rFonts w:ascii="宋体" w:hAnsi="宋体" w:cs="宋体"/>
          <w:spacing w:val="20"/>
          <w:sz w:val="22"/>
          <w:szCs w:val="22"/>
          <w:u w:val="single"/>
        </w:rPr>
      </w:pPr>
      <w:r>
        <w:rPr>
          <w:rFonts w:hint="eastAsia" w:ascii="宋体" w:hAnsi="宋体" w:cs="宋体"/>
          <w:spacing w:val="20"/>
          <w:sz w:val="22"/>
          <w:szCs w:val="22"/>
        </w:rPr>
        <w:t xml:space="preserve">                             供应商盖章:</w:t>
      </w:r>
      <w:r>
        <w:rPr>
          <w:rFonts w:hint="eastAsia" w:ascii="宋体" w:hAnsi="宋体" w:cs="宋体"/>
          <w:spacing w:val="20"/>
          <w:sz w:val="22"/>
          <w:szCs w:val="22"/>
          <w:u w:val="single"/>
        </w:rPr>
        <w:t xml:space="preserve">            </w:t>
      </w:r>
    </w:p>
    <w:p>
      <w:pPr>
        <w:pStyle w:val="144"/>
        <w:wordWrap w:val="0"/>
        <w:spacing w:line="360" w:lineRule="auto"/>
        <w:ind w:firstLine="480"/>
        <w:jc w:val="center"/>
        <w:rPr>
          <w:rFonts w:ascii="宋体" w:hAnsi="宋体" w:cs="宋体"/>
          <w:b/>
          <w:sz w:val="22"/>
          <w:szCs w:val="22"/>
        </w:rPr>
      </w:pPr>
      <w:r>
        <w:rPr>
          <w:rFonts w:hint="eastAsia" w:ascii="宋体" w:hAnsi="宋体" w:cs="宋体"/>
          <w:spacing w:val="20"/>
          <w:sz w:val="22"/>
          <w:szCs w:val="22"/>
        </w:rPr>
        <w:t xml:space="preserve">                    日     期:</w:t>
      </w:r>
      <w:r>
        <w:rPr>
          <w:rFonts w:hint="eastAsia" w:ascii="宋体" w:hAnsi="宋体" w:cs="宋体"/>
          <w:spacing w:val="20"/>
          <w:sz w:val="22"/>
          <w:szCs w:val="22"/>
          <w:u w:val="single"/>
        </w:rPr>
        <w:t xml:space="preserve">            </w:t>
      </w:r>
    </w:p>
    <w:p>
      <w:pPr>
        <w:spacing w:line="360" w:lineRule="auto"/>
        <w:ind w:firstLine="4196" w:firstLineChars="1900"/>
        <w:rPr>
          <w:rFonts w:ascii="宋体" w:hAnsi="宋体" w:cs="宋体"/>
          <w:b/>
          <w:bCs/>
          <w:sz w:val="22"/>
          <w:szCs w:val="22"/>
        </w:rPr>
      </w:pPr>
    </w:p>
    <w:p>
      <w:pPr>
        <w:rPr>
          <w:rFonts w:hint="eastAsia" w:ascii="宋体" w:hAnsi="宋体" w:cs="宋体"/>
          <w:sz w:val="30"/>
          <w:szCs w:val="30"/>
        </w:rPr>
      </w:pPr>
      <w:bookmarkStart w:id="538" w:name="_Toc477"/>
      <w:bookmarkStart w:id="539" w:name="_Toc19300"/>
      <w:r>
        <w:rPr>
          <w:rFonts w:hint="eastAsia" w:ascii="宋体" w:hAnsi="宋体" w:cs="宋体"/>
          <w:sz w:val="30"/>
          <w:szCs w:val="30"/>
        </w:rPr>
        <w:br w:type="page"/>
      </w:r>
    </w:p>
    <w:p>
      <w:pPr>
        <w:keepNext/>
        <w:keepLines/>
        <w:spacing w:line="360" w:lineRule="auto"/>
        <w:jc w:val="center"/>
        <w:outlineLvl w:val="1"/>
        <w:rPr>
          <w:rFonts w:ascii="宋体" w:hAnsi="宋体" w:cs="宋体"/>
          <w:sz w:val="30"/>
          <w:szCs w:val="30"/>
        </w:rPr>
      </w:pPr>
      <w:r>
        <w:rPr>
          <w:rFonts w:hint="eastAsia" w:ascii="宋体" w:hAnsi="宋体" w:cs="宋体"/>
          <w:sz w:val="30"/>
          <w:szCs w:val="30"/>
        </w:rPr>
        <w:t>三、</w:t>
      </w:r>
      <w:r>
        <w:rPr>
          <w:rFonts w:hint="eastAsia" w:ascii="宋体" w:hAnsi="宋体" w:cs="宋体"/>
          <w:sz w:val="28"/>
          <w:szCs w:val="28"/>
        </w:rPr>
        <w:t>商务技术文件</w:t>
      </w:r>
      <w:r>
        <w:rPr>
          <w:rFonts w:hint="eastAsia" w:ascii="宋体" w:hAnsi="宋体" w:cs="宋体"/>
          <w:sz w:val="30"/>
          <w:szCs w:val="30"/>
        </w:rPr>
        <w:t>格式</w:t>
      </w:r>
      <w:bookmarkEnd w:id="505"/>
      <w:bookmarkEnd w:id="538"/>
      <w:bookmarkEnd w:id="539"/>
    </w:p>
    <w:p>
      <w:pPr>
        <w:rPr>
          <w:rFonts w:ascii="宋体" w:hAnsi="宋体" w:cs="宋体"/>
        </w:rPr>
      </w:pPr>
    </w:p>
    <w:p>
      <w:pPr>
        <w:pStyle w:val="2"/>
        <w:snapToGrid w:val="0"/>
        <w:spacing w:before="50" w:after="120"/>
        <w:ind w:firstLine="0"/>
        <w:rPr>
          <w:rFonts w:ascii="宋体" w:hAnsi="宋体" w:cs="宋体"/>
          <w:szCs w:val="21"/>
        </w:rPr>
      </w:pPr>
    </w:p>
    <w:p>
      <w:pPr>
        <w:jc w:val="center"/>
        <w:rPr>
          <w:rFonts w:ascii="宋体" w:hAnsi="宋体" w:cs="宋体"/>
          <w:b/>
          <w:sz w:val="24"/>
        </w:rPr>
      </w:pPr>
      <w:r>
        <w:rPr>
          <w:rFonts w:hint="eastAsia" w:ascii="宋体" w:hAnsi="宋体" w:cs="宋体"/>
          <w:b/>
          <w:sz w:val="24"/>
        </w:rPr>
        <w:t>商务技术文件封面</w:t>
      </w:r>
    </w:p>
    <w:p>
      <w:pPr>
        <w:jc w:val="center"/>
        <w:rPr>
          <w:rFonts w:ascii="宋体" w:hAnsi="宋体" w:cs="宋体"/>
        </w:rPr>
      </w:pPr>
      <w:r>
        <w:rPr>
          <w:rFonts w:hint="eastAsia" w:ascii="宋体" w:hAnsi="宋体" w:cs="宋体"/>
        </w:rPr>
        <w:t>（格式）</w:t>
      </w:r>
    </w:p>
    <w:p>
      <w:pPr>
        <w:pStyle w:val="2"/>
        <w:snapToGrid w:val="0"/>
        <w:spacing w:before="50" w:after="120"/>
        <w:ind w:firstLine="0"/>
        <w:rPr>
          <w:rFonts w:ascii="宋体" w:hAnsi="宋体" w:cs="宋体"/>
          <w:szCs w:val="21"/>
        </w:rPr>
      </w:pPr>
    </w:p>
    <w:p>
      <w:pPr>
        <w:snapToGrid w:val="0"/>
        <w:spacing w:beforeLines="50" w:after="50"/>
        <w:jc w:val="center"/>
        <w:rPr>
          <w:rFonts w:ascii="宋体" w:hAnsi="宋体" w:cs="宋体"/>
          <w:sz w:val="24"/>
        </w:rPr>
      </w:pPr>
      <w:r>
        <w:rPr>
          <w:rFonts w:hint="eastAsia" w:ascii="宋体" w:hAnsi="宋体" w:cs="宋体"/>
          <w:sz w:val="24"/>
        </w:rPr>
        <w:t>商务技术文件</w:t>
      </w:r>
    </w:p>
    <w:p>
      <w:pPr>
        <w:spacing w:line="360" w:lineRule="auto"/>
        <w:rPr>
          <w:rFonts w:ascii="宋体" w:hAnsi="宋体" w:cs="宋体"/>
          <w:szCs w:val="21"/>
        </w:rPr>
      </w:pPr>
    </w:p>
    <w:p>
      <w:pPr>
        <w:spacing w:line="360" w:lineRule="auto"/>
        <w:ind w:firstLine="1799" w:firstLineChars="857"/>
        <w:rPr>
          <w:rFonts w:ascii="宋体" w:hAnsi="宋体" w:cs="宋体"/>
          <w:szCs w:val="21"/>
          <w:u w:val="single"/>
        </w:rPr>
      </w:pPr>
      <w:r>
        <w:rPr>
          <w:rFonts w:hint="eastAsia" w:ascii="宋体" w:hAnsi="宋体" w:cs="宋体"/>
          <w:szCs w:val="21"/>
        </w:rPr>
        <w:t>项目名称：</w:t>
      </w:r>
    </w:p>
    <w:p>
      <w:pPr>
        <w:spacing w:line="360" w:lineRule="auto"/>
        <w:ind w:firstLine="1799" w:firstLineChars="857"/>
        <w:rPr>
          <w:rFonts w:ascii="宋体" w:hAnsi="宋体" w:cs="宋体"/>
          <w:szCs w:val="21"/>
        </w:rPr>
      </w:pPr>
      <w:r>
        <w:rPr>
          <w:rFonts w:hint="eastAsia" w:ascii="宋体" w:hAnsi="宋体" w:cs="宋体"/>
          <w:szCs w:val="21"/>
        </w:rPr>
        <w:t>采购编号：</w:t>
      </w:r>
    </w:p>
    <w:p>
      <w:pPr>
        <w:spacing w:line="360" w:lineRule="auto"/>
        <w:ind w:firstLine="1799" w:firstLineChars="857"/>
        <w:rPr>
          <w:rFonts w:ascii="宋体" w:hAnsi="宋体" w:cs="宋体"/>
          <w:szCs w:val="21"/>
          <w:u w:val="single"/>
        </w:rPr>
      </w:pPr>
      <w:r>
        <w:rPr>
          <w:rFonts w:hint="eastAsia" w:ascii="宋体" w:hAnsi="宋体" w:cs="宋体"/>
          <w:szCs w:val="21"/>
        </w:rPr>
        <w:t>标段：</w:t>
      </w:r>
      <w:r>
        <w:rPr>
          <w:rFonts w:hint="eastAsia" w:ascii="宋体" w:hAnsi="宋体" w:cs="宋体"/>
          <w:szCs w:val="21"/>
          <w:u w:val="single"/>
        </w:rPr>
        <w:t>（若有）</w:t>
      </w:r>
    </w:p>
    <w:p>
      <w:pPr>
        <w:spacing w:line="360" w:lineRule="auto"/>
        <w:ind w:firstLine="1799" w:firstLineChars="857"/>
        <w:rPr>
          <w:rFonts w:ascii="宋体" w:hAnsi="宋体" w:cs="宋体"/>
          <w:szCs w:val="21"/>
          <w:u w:val="single"/>
        </w:rPr>
      </w:pPr>
      <w:r>
        <w:rPr>
          <w:rFonts w:hint="eastAsia" w:ascii="宋体" w:hAnsi="宋体" w:cs="宋体"/>
          <w:szCs w:val="21"/>
        </w:rPr>
        <w:t>供应商名称：</w:t>
      </w:r>
    </w:p>
    <w:p>
      <w:pPr>
        <w:spacing w:line="360" w:lineRule="auto"/>
        <w:ind w:firstLine="1799" w:firstLineChars="857"/>
        <w:rPr>
          <w:rFonts w:ascii="宋体" w:hAnsi="宋体" w:cs="宋体"/>
          <w:szCs w:val="21"/>
          <w:u w:val="single"/>
        </w:rPr>
      </w:pPr>
      <w:r>
        <w:rPr>
          <w:rFonts w:hint="eastAsia" w:ascii="宋体" w:hAnsi="宋体" w:cs="宋体"/>
          <w:szCs w:val="21"/>
        </w:rPr>
        <w:t>供应商地址：</w:t>
      </w:r>
    </w:p>
    <w:p>
      <w:pPr>
        <w:spacing w:line="360" w:lineRule="auto"/>
        <w:ind w:firstLine="1799" w:firstLineChars="857"/>
        <w:rPr>
          <w:rFonts w:ascii="宋体" w:hAnsi="宋体" w:cs="宋体"/>
          <w:szCs w:val="21"/>
          <w:u w:val="single"/>
        </w:rPr>
      </w:pPr>
      <w:r>
        <w:rPr>
          <w:rFonts w:hint="eastAsia" w:ascii="宋体" w:hAnsi="宋体" w:cs="宋体"/>
          <w:szCs w:val="21"/>
        </w:rPr>
        <w:t>邮编：</w:t>
      </w:r>
    </w:p>
    <w:p>
      <w:pPr>
        <w:spacing w:line="360" w:lineRule="auto"/>
        <w:ind w:firstLine="1799" w:firstLineChars="857"/>
        <w:rPr>
          <w:rFonts w:ascii="宋体" w:hAnsi="宋体" w:cs="宋体"/>
          <w:szCs w:val="21"/>
          <w:u w:val="single"/>
        </w:rPr>
      </w:pPr>
    </w:p>
    <w:p>
      <w:pPr>
        <w:spacing w:line="360" w:lineRule="auto"/>
        <w:jc w:val="center"/>
        <w:rPr>
          <w:rFonts w:ascii="宋体" w:hAnsi="宋体" w:cs="宋体"/>
          <w:szCs w:val="21"/>
        </w:rPr>
      </w:pPr>
      <w:r>
        <w:rPr>
          <w:rFonts w:hint="eastAsia" w:ascii="宋体" w:hAnsi="宋体" w:cs="宋体"/>
          <w:szCs w:val="21"/>
        </w:rPr>
        <w:t>年 月  日</w:t>
      </w:r>
    </w:p>
    <w:p>
      <w:pPr>
        <w:spacing w:line="360" w:lineRule="auto"/>
        <w:jc w:val="center"/>
        <w:rPr>
          <w:rFonts w:ascii="宋体" w:hAnsi="宋体" w:cs="宋体"/>
          <w:b/>
          <w:szCs w:val="21"/>
        </w:rPr>
        <w:sectPr>
          <w:pgSz w:w="11906" w:h="16838"/>
          <w:pgMar w:top="1417" w:right="1417" w:bottom="1134" w:left="1417" w:header="851" w:footer="850" w:gutter="0"/>
          <w:cols w:space="720" w:num="1"/>
          <w:titlePg/>
          <w:docGrid w:linePitch="312" w:charSpace="0"/>
        </w:sectPr>
      </w:pPr>
    </w:p>
    <w:p>
      <w:pPr>
        <w:jc w:val="center"/>
        <w:rPr>
          <w:rFonts w:ascii="宋体" w:hAnsi="宋体" w:cs="宋体"/>
          <w:b/>
          <w:sz w:val="28"/>
          <w:szCs w:val="28"/>
        </w:rPr>
      </w:pPr>
      <w:r>
        <w:rPr>
          <w:rFonts w:hint="eastAsia" w:ascii="宋体" w:hAnsi="宋体" w:cs="宋体"/>
          <w:b/>
          <w:sz w:val="28"/>
          <w:szCs w:val="28"/>
        </w:rPr>
        <w:t>商务技术文件目录</w:t>
      </w:r>
    </w:p>
    <w:p>
      <w:pPr>
        <w:jc w:val="center"/>
        <w:rPr>
          <w:rFonts w:ascii="宋体" w:hAnsi="宋体" w:cs="宋体"/>
          <w:b/>
          <w:sz w:val="28"/>
          <w:szCs w:val="28"/>
        </w:rPr>
      </w:pPr>
    </w:p>
    <w:p>
      <w:pPr>
        <w:jc w:val="center"/>
        <w:rPr>
          <w:rFonts w:ascii="宋体" w:hAnsi="宋体" w:cs="宋体"/>
          <w:b/>
          <w:sz w:val="24"/>
          <w:highlight w:val="yellow"/>
        </w:rPr>
      </w:pPr>
    </w:p>
    <w:p>
      <w:pPr>
        <w:snapToGrid w:val="0"/>
        <w:spacing w:line="360" w:lineRule="auto"/>
        <w:rPr>
          <w:rFonts w:ascii="宋体" w:hAnsi="宋体" w:cs="宋体"/>
          <w:b/>
          <w:szCs w:val="21"/>
        </w:rPr>
      </w:pPr>
      <w:r>
        <w:rPr>
          <w:rFonts w:hint="eastAsia" w:ascii="宋体" w:hAnsi="宋体" w:cs="宋体"/>
          <w:b/>
          <w:szCs w:val="21"/>
        </w:rPr>
        <w:t>(一)、商务技术文件</w:t>
      </w:r>
    </w:p>
    <w:p>
      <w:pPr>
        <w:snapToGrid w:val="0"/>
        <w:spacing w:line="360" w:lineRule="auto"/>
        <w:rPr>
          <w:rFonts w:ascii="宋体" w:hAnsi="宋体" w:cs="宋体"/>
        </w:rPr>
      </w:pPr>
      <w:r>
        <w:rPr>
          <w:rFonts w:hint="eastAsia" w:ascii="宋体" w:hAnsi="宋体" w:cs="宋体"/>
        </w:rPr>
        <w:t>（1）磋商函</w:t>
      </w:r>
    </w:p>
    <w:p>
      <w:pPr>
        <w:snapToGrid w:val="0"/>
        <w:spacing w:line="360" w:lineRule="auto"/>
        <w:rPr>
          <w:rFonts w:ascii="宋体" w:hAnsi="宋体" w:cs="宋体"/>
        </w:rPr>
      </w:pPr>
      <w:r>
        <w:rPr>
          <w:rFonts w:hint="eastAsia" w:ascii="宋体" w:hAnsi="宋体" w:cs="宋体"/>
        </w:rPr>
        <w:t>（2）承诺函</w:t>
      </w:r>
    </w:p>
    <w:p>
      <w:pPr>
        <w:snapToGrid w:val="0"/>
        <w:spacing w:line="360" w:lineRule="auto"/>
        <w:rPr>
          <w:rFonts w:ascii="宋体" w:hAnsi="宋体" w:cs="宋体"/>
        </w:rPr>
      </w:pPr>
      <w:r>
        <w:rPr>
          <w:rFonts w:hint="eastAsia" w:ascii="宋体" w:hAnsi="宋体" w:cs="宋体"/>
        </w:rPr>
        <w:t>（3）商务响应表</w:t>
      </w:r>
    </w:p>
    <w:p>
      <w:pPr>
        <w:snapToGrid w:val="0"/>
        <w:spacing w:line="360" w:lineRule="auto"/>
        <w:rPr>
          <w:rFonts w:ascii="宋体" w:hAnsi="宋体" w:cs="宋体"/>
        </w:rPr>
      </w:pPr>
      <w:r>
        <w:rPr>
          <w:rFonts w:hint="eastAsia" w:ascii="宋体" w:hAnsi="宋体" w:cs="宋体"/>
        </w:rPr>
        <w:t>（4）</w:t>
      </w:r>
      <w:r>
        <w:rPr>
          <w:rFonts w:hint="eastAsia" w:ascii="宋体" w:hAnsi="宋体" w:cs="宋体"/>
          <w:color w:val="000000"/>
          <w:kern w:val="0"/>
          <w:sz w:val="21"/>
          <w:szCs w:val="21"/>
        </w:rPr>
        <w:t>投标人实力</w:t>
      </w:r>
    </w:p>
    <w:p>
      <w:pPr>
        <w:snapToGrid w:val="0"/>
        <w:spacing w:line="360" w:lineRule="auto"/>
        <w:rPr>
          <w:rFonts w:ascii="宋体" w:hAnsi="宋体" w:cs="宋体"/>
        </w:rPr>
      </w:pPr>
      <w:r>
        <w:rPr>
          <w:rFonts w:hint="eastAsia" w:ascii="宋体" w:hAnsi="宋体" w:cs="宋体"/>
        </w:rPr>
        <w:t>（5）业绩</w:t>
      </w:r>
    </w:p>
    <w:p>
      <w:pPr>
        <w:snapToGrid w:val="0"/>
        <w:spacing w:line="360" w:lineRule="auto"/>
        <w:rPr>
          <w:rFonts w:ascii="宋体" w:hAnsi="宋体" w:cs="宋体"/>
        </w:rPr>
      </w:pPr>
      <w:r>
        <w:rPr>
          <w:rFonts w:hint="eastAsia" w:ascii="宋体" w:hAnsi="宋体" w:cs="宋体"/>
        </w:rPr>
        <w:t>（6）设备认知度、成熟度</w:t>
      </w:r>
    </w:p>
    <w:p>
      <w:pPr>
        <w:snapToGrid w:val="0"/>
        <w:spacing w:line="360" w:lineRule="auto"/>
        <w:rPr>
          <w:rFonts w:ascii="宋体" w:hAnsi="宋体" w:cs="宋体"/>
        </w:rPr>
      </w:pPr>
      <w:r>
        <w:rPr>
          <w:rFonts w:hint="eastAsia" w:ascii="宋体" w:hAnsi="宋体" w:cs="宋体"/>
        </w:rPr>
        <w:t>（7）技术参数</w:t>
      </w:r>
    </w:p>
    <w:p>
      <w:pPr>
        <w:snapToGrid w:val="0"/>
        <w:spacing w:line="360" w:lineRule="auto"/>
        <w:rPr>
          <w:rFonts w:ascii="宋体" w:hAnsi="宋体" w:cs="宋体"/>
        </w:rPr>
      </w:pPr>
      <w:r>
        <w:rPr>
          <w:rFonts w:hint="eastAsia" w:ascii="宋体" w:hAnsi="宋体" w:cs="宋体"/>
        </w:rPr>
        <w:t>（8）项目方案</w:t>
      </w:r>
    </w:p>
    <w:p>
      <w:pPr>
        <w:snapToGrid w:val="0"/>
        <w:spacing w:line="360" w:lineRule="auto"/>
        <w:rPr>
          <w:rFonts w:hint="eastAsia" w:ascii="宋体" w:hAnsi="宋体" w:cs="宋体"/>
        </w:rPr>
      </w:pPr>
      <w:r>
        <w:rPr>
          <w:rFonts w:hint="eastAsia" w:ascii="宋体" w:hAnsi="宋体" w:cs="宋体"/>
        </w:rPr>
        <w:t>（9）设备的先进性、合理性、安全性</w:t>
      </w:r>
    </w:p>
    <w:p>
      <w:pPr>
        <w:snapToGrid w:val="0"/>
        <w:spacing w:line="360" w:lineRule="auto"/>
        <w:rPr>
          <w:rFonts w:hint="eastAsia" w:ascii="宋体" w:hAnsi="宋体" w:cs="宋体"/>
        </w:rPr>
      </w:pPr>
      <w:r>
        <w:rPr>
          <w:rFonts w:hint="eastAsia" w:ascii="宋体" w:hAnsi="宋体" w:cs="宋体"/>
        </w:rPr>
        <w:t>（</w:t>
      </w:r>
      <w:r>
        <w:rPr>
          <w:rFonts w:hint="eastAsia" w:ascii="宋体" w:hAnsi="宋体" w:cs="宋体"/>
          <w:lang w:val="en-US" w:eastAsia="zh-CN"/>
        </w:rPr>
        <w:t>10</w:t>
      </w:r>
      <w:r>
        <w:rPr>
          <w:rFonts w:hint="eastAsia" w:ascii="宋体" w:hAnsi="宋体" w:cs="宋体"/>
        </w:rPr>
        <w:t>）对项目实施的评价</w:t>
      </w:r>
    </w:p>
    <w:p>
      <w:pPr>
        <w:snapToGrid w:val="0"/>
        <w:spacing w:line="360" w:lineRule="auto"/>
        <w:rPr>
          <w:rFonts w:hint="eastAsia" w:ascii="宋体" w:hAnsi="宋体" w:cs="宋体"/>
        </w:rPr>
      </w:pPr>
      <w:r>
        <w:rPr>
          <w:rFonts w:hint="eastAsia" w:ascii="宋体" w:hAnsi="宋体" w:cs="宋体"/>
        </w:rPr>
        <w:t>（</w:t>
      </w:r>
      <w:r>
        <w:rPr>
          <w:rFonts w:hint="eastAsia" w:ascii="宋体" w:hAnsi="宋体" w:cs="宋体"/>
          <w:lang w:val="en-US" w:eastAsia="zh-CN"/>
        </w:rPr>
        <w:t>11</w:t>
      </w:r>
      <w:r>
        <w:rPr>
          <w:rFonts w:hint="eastAsia" w:ascii="宋体" w:hAnsi="宋体" w:cs="宋体"/>
        </w:rPr>
        <w:t>）售后服务</w:t>
      </w:r>
    </w:p>
    <w:p>
      <w:pPr>
        <w:snapToGrid w:val="0"/>
        <w:spacing w:line="360" w:lineRule="auto"/>
        <w:rPr>
          <w:rFonts w:ascii="宋体" w:hAnsi="宋体" w:cs="宋体"/>
          <w:b/>
          <w:sz w:val="28"/>
          <w:szCs w:val="28"/>
        </w:rPr>
      </w:pPr>
      <w:r>
        <w:rPr>
          <w:rFonts w:hint="eastAsia" w:ascii="宋体" w:hAnsi="宋体" w:cs="宋体"/>
        </w:rPr>
        <w:t>（</w:t>
      </w:r>
      <w:r>
        <w:rPr>
          <w:rFonts w:hint="eastAsia" w:ascii="宋体" w:hAnsi="宋体" w:cs="宋体"/>
          <w:lang w:val="en-US" w:eastAsia="zh-CN"/>
        </w:rPr>
        <w:t>12</w:t>
      </w:r>
      <w:r>
        <w:rPr>
          <w:rFonts w:hint="eastAsia" w:ascii="宋体" w:hAnsi="宋体" w:cs="宋体"/>
        </w:rPr>
        <w:t>）供应商认为有利于本次磋商的其它</w:t>
      </w:r>
      <w:r>
        <w:rPr>
          <w:rFonts w:hint="eastAsia" w:ascii="宋体" w:hAnsi="宋体" w:cs="宋体"/>
          <w:bCs/>
          <w:szCs w:val="21"/>
        </w:rPr>
        <w:t>商务技术文件</w:t>
      </w:r>
      <w:r>
        <w:rPr>
          <w:rFonts w:hint="eastAsia" w:ascii="宋体" w:hAnsi="宋体" w:cs="宋体"/>
        </w:rPr>
        <w:t>。</w:t>
      </w:r>
      <w:r>
        <w:rPr>
          <w:rFonts w:hint="eastAsia" w:ascii="宋体" w:hAnsi="宋体" w:cs="宋体"/>
          <w:b/>
          <w:szCs w:val="21"/>
        </w:rPr>
        <w:br w:type="page"/>
      </w:r>
      <w:bookmarkStart w:id="540" w:name="_Toc18086"/>
      <w:r>
        <w:rPr>
          <w:rFonts w:hint="eastAsia" w:ascii="宋体" w:hAnsi="宋体" w:cs="宋体"/>
          <w:b/>
          <w:szCs w:val="21"/>
        </w:rPr>
        <w:t>(一)、资信及商务文件</w:t>
      </w:r>
      <w:bookmarkEnd w:id="540"/>
    </w:p>
    <w:p>
      <w:pPr>
        <w:jc w:val="center"/>
        <w:rPr>
          <w:rFonts w:ascii="宋体" w:hAnsi="宋体" w:cs="宋体"/>
          <w:b/>
          <w:sz w:val="24"/>
        </w:rPr>
      </w:pPr>
      <w:bookmarkStart w:id="541" w:name="_Toc5509"/>
      <w:r>
        <w:rPr>
          <w:rFonts w:hint="eastAsia" w:ascii="宋体" w:hAnsi="宋体" w:cs="宋体"/>
          <w:b/>
          <w:sz w:val="28"/>
          <w:szCs w:val="28"/>
        </w:rPr>
        <w:t>1、磋商函</w:t>
      </w:r>
      <w:bookmarkEnd w:id="541"/>
    </w:p>
    <w:p>
      <w:pPr>
        <w:spacing w:line="360" w:lineRule="auto"/>
        <w:rPr>
          <w:rFonts w:ascii="宋体" w:hAnsi="宋体" w:cs="宋体"/>
          <w:sz w:val="22"/>
          <w:szCs w:val="22"/>
        </w:rPr>
      </w:pPr>
    </w:p>
    <w:p>
      <w:pPr>
        <w:pStyle w:val="20"/>
        <w:spacing w:beforeLines="0" w:afterLines="0" w:line="360" w:lineRule="auto"/>
        <w:rPr>
          <w:rFonts w:hAnsi="宋体" w:cs="宋体"/>
          <w:sz w:val="22"/>
          <w:szCs w:val="22"/>
        </w:rPr>
      </w:pPr>
      <w:r>
        <w:rPr>
          <w:rFonts w:hint="eastAsia" w:hAnsi="宋体" w:cs="宋体"/>
          <w:sz w:val="22"/>
          <w:szCs w:val="22"/>
        </w:rPr>
        <w:t>致：</w:t>
      </w:r>
      <w:r>
        <w:rPr>
          <w:rFonts w:hint="eastAsia" w:hAnsi="宋体" w:cs="宋体"/>
          <w:sz w:val="22"/>
          <w:szCs w:val="22"/>
          <w:u w:val="single"/>
        </w:rPr>
        <w:t xml:space="preserve">          （采购人名称）</w:t>
      </w:r>
    </w:p>
    <w:p>
      <w:pPr>
        <w:pStyle w:val="20"/>
        <w:spacing w:beforeLines="0" w:afterLines="0" w:line="360" w:lineRule="auto"/>
        <w:ind w:firstLine="482"/>
        <w:rPr>
          <w:rFonts w:hAnsi="宋体" w:cs="宋体"/>
          <w:sz w:val="22"/>
          <w:szCs w:val="22"/>
        </w:rPr>
      </w:pPr>
    </w:p>
    <w:p>
      <w:pPr>
        <w:pStyle w:val="20"/>
        <w:spacing w:beforeLines="0" w:afterLines="0" w:line="360" w:lineRule="auto"/>
        <w:ind w:firstLine="440" w:firstLineChars="200"/>
        <w:rPr>
          <w:rFonts w:hAnsi="宋体" w:cs="宋体"/>
          <w:sz w:val="22"/>
          <w:szCs w:val="22"/>
        </w:rPr>
      </w:pPr>
      <w:r>
        <w:rPr>
          <w:rFonts w:hint="eastAsia" w:hAnsi="宋体" w:cs="宋体"/>
          <w:sz w:val="22"/>
          <w:szCs w:val="22"/>
        </w:rPr>
        <w:t>1.根据贵方</w:t>
      </w:r>
      <w:r>
        <w:rPr>
          <w:rFonts w:hint="eastAsia" w:hAnsi="宋体" w:cs="宋体"/>
          <w:sz w:val="22"/>
          <w:szCs w:val="22"/>
          <w:u w:val="single"/>
        </w:rPr>
        <w:t xml:space="preserve">            （项目名称）</w:t>
      </w:r>
      <w:r>
        <w:rPr>
          <w:rFonts w:hint="eastAsia" w:hAnsi="宋体" w:cs="宋体"/>
          <w:sz w:val="22"/>
          <w:szCs w:val="22"/>
        </w:rPr>
        <w:t>项目（采购编号：</w:t>
      </w:r>
      <w:r>
        <w:rPr>
          <w:rFonts w:hint="eastAsia" w:hAnsi="宋体" w:cs="宋体"/>
          <w:sz w:val="22"/>
          <w:szCs w:val="22"/>
          <w:u w:val="single"/>
        </w:rPr>
        <w:t xml:space="preserve">        </w:t>
      </w:r>
      <w:r>
        <w:rPr>
          <w:rFonts w:hint="eastAsia" w:hAnsi="宋体" w:cs="宋体"/>
          <w:sz w:val="22"/>
          <w:szCs w:val="22"/>
        </w:rPr>
        <w:t>）的竞争性磋商文件要求，正式授权下述签字人</w:t>
      </w:r>
      <w:r>
        <w:rPr>
          <w:rFonts w:hint="eastAsia" w:hAnsi="宋体" w:cs="宋体"/>
          <w:sz w:val="22"/>
          <w:szCs w:val="22"/>
          <w:u w:val="single"/>
        </w:rPr>
        <w:t xml:space="preserve">          （姓名和职务）</w:t>
      </w:r>
      <w:r>
        <w:rPr>
          <w:rFonts w:hint="eastAsia" w:hAnsi="宋体" w:cs="宋体"/>
          <w:sz w:val="22"/>
          <w:szCs w:val="22"/>
        </w:rPr>
        <w:t>全权代表供应商</w:t>
      </w:r>
      <w:r>
        <w:rPr>
          <w:rFonts w:hint="eastAsia" w:hAnsi="宋体" w:cs="宋体"/>
          <w:sz w:val="22"/>
          <w:szCs w:val="22"/>
          <w:u w:val="single"/>
        </w:rPr>
        <w:t xml:space="preserve">           （供应商全称）</w:t>
      </w:r>
      <w:r>
        <w:rPr>
          <w:rFonts w:hint="eastAsia" w:hAnsi="宋体" w:cs="宋体"/>
          <w:sz w:val="22"/>
          <w:szCs w:val="22"/>
        </w:rPr>
        <w:t>参加贵方组织的有关磋商活动，并提交电子响应文件：</w:t>
      </w:r>
    </w:p>
    <w:p>
      <w:pPr>
        <w:pStyle w:val="20"/>
        <w:spacing w:beforeLines="0" w:afterLines="0" w:line="360" w:lineRule="auto"/>
        <w:ind w:firstLine="440" w:firstLineChars="200"/>
        <w:rPr>
          <w:rFonts w:hAnsi="宋体" w:cs="宋体"/>
          <w:sz w:val="22"/>
          <w:szCs w:val="22"/>
        </w:rPr>
      </w:pPr>
      <w:r>
        <w:rPr>
          <w:rFonts w:hint="eastAsia" w:hAnsi="宋体" w:cs="宋体"/>
          <w:sz w:val="22"/>
          <w:szCs w:val="22"/>
        </w:rPr>
        <w:t>政府采购云系统提交电子加密响应文件</w:t>
      </w:r>
      <w:r>
        <w:rPr>
          <w:rFonts w:hint="eastAsia" w:hAnsi="宋体" w:cs="宋体"/>
          <w:sz w:val="22"/>
          <w:szCs w:val="22"/>
          <w:u w:val="single"/>
        </w:rPr>
        <w:t xml:space="preserve">    </w:t>
      </w:r>
      <w:r>
        <w:rPr>
          <w:rFonts w:hint="eastAsia" w:hAnsi="宋体" w:cs="宋体"/>
          <w:sz w:val="22"/>
          <w:szCs w:val="22"/>
        </w:rPr>
        <w:t>份；</w:t>
      </w:r>
    </w:p>
    <w:p>
      <w:pPr>
        <w:pStyle w:val="20"/>
        <w:spacing w:beforeLines="0" w:afterLines="0" w:line="360" w:lineRule="auto"/>
        <w:ind w:firstLine="440" w:firstLineChars="200"/>
        <w:rPr>
          <w:rFonts w:hAnsi="宋体" w:cs="宋体"/>
          <w:sz w:val="22"/>
          <w:szCs w:val="22"/>
        </w:rPr>
      </w:pPr>
      <w:r>
        <w:rPr>
          <w:rFonts w:hint="eastAsia" w:hAnsi="宋体" w:cs="宋体"/>
          <w:sz w:val="22"/>
          <w:szCs w:val="22"/>
        </w:rPr>
        <w:t>通过电子邮件提交备份电子响应文件（打包压缩加密）</w:t>
      </w:r>
      <w:r>
        <w:rPr>
          <w:rFonts w:hint="eastAsia" w:hAnsi="宋体" w:cs="宋体"/>
          <w:sz w:val="22"/>
          <w:szCs w:val="22"/>
          <w:u w:val="single"/>
        </w:rPr>
        <w:t xml:space="preserve">    </w:t>
      </w:r>
      <w:r>
        <w:rPr>
          <w:rFonts w:hint="eastAsia" w:hAnsi="宋体" w:cs="宋体"/>
          <w:sz w:val="22"/>
          <w:szCs w:val="22"/>
        </w:rPr>
        <w:t>份；</w:t>
      </w:r>
    </w:p>
    <w:p>
      <w:pPr>
        <w:pStyle w:val="20"/>
        <w:spacing w:beforeLines="0" w:afterLines="0" w:line="360" w:lineRule="auto"/>
        <w:ind w:firstLine="440" w:firstLineChars="200"/>
        <w:rPr>
          <w:rFonts w:hAnsi="宋体" w:cs="宋体"/>
          <w:sz w:val="22"/>
          <w:szCs w:val="22"/>
        </w:rPr>
      </w:pPr>
      <w:r>
        <w:rPr>
          <w:rFonts w:hint="eastAsia" w:hAnsi="宋体" w:cs="宋体"/>
          <w:sz w:val="22"/>
          <w:szCs w:val="22"/>
        </w:rPr>
        <w:t>2.据此函，签字人兹宣布同意如下：</w:t>
      </w:r>
    </w:p>
    <w:p>
      <w:pPr>
        <w:pStyle w:val="20"/>
        <w:spacing w:beforeLines="0" w:afterLines="0" w:line="360" w:lineRule="auto"/>
        <w:ind w:firstLine="330" w:firstLineChars="150"/>
        <w:rPr>
          <w:rFonts w:hAnsi="宋体" w:cs="宋体"/>
          <w:sz w:val="22"/>
          <w:szCs w:val="22"/>
        </w:rPr>
      </w:pPr>
      <w:r>
        <w:rPr>
          <w:rFonts w:hint="eastAsia" w:hAnsi="宋体" w:cs="宋体"/>
          <w:sz w:val="22"/>
          <w:szCs w:val="22"/>
        </w:rPr>
        <w:t>（1）我们承担根据竞争性磋商文件的规定，完成合同的责任和义务。</w:t>
      </w:r>
    </w:p>
    <w:p>
      <w:pPr>
        <w:pStyle w:val="20"/>
        <w:spacing w:beforeLines="0" w:afterLines="0" w:line="360" w:lineRule="auto"/>
        <w:ind w:firstLine="330" w:firstLineChars="150"/>
        <w:rPr>
          <w:rFonts w:hAnsi="宋体" w:cs="宋体"/>
          <w:sz w:val="22"/>
          <w:szCs w:val="22"/>
        </w:rPr>
      </w:pPr>
      <w:r>
        <w:rPr>
          <w:rFonts w:hint="eastAsia" w:hAnsi="宋体" w:cs="宋体"/>
          <w:sz w:val="22"/>
          <w:szCs w:val="22"/>
        </w:rPr>
        <w:t>（2）我们已详细审核全部竞争性磋商文件、参考资料及有关附件，我们知道必须放弃提出含糊不清或误解问题的权利。</w:t>
      </w:r>
    </w:p>
    <w:p>
      <w:pPr>
        <w:pStyle w:val="20"/>
        <w:spacing w:beforeLines="0" w:afterLines="0" w:line="360" w:lineRule="auto"/>
        <w:ind w:firstLine="330" w:firstLineChars="150"/>
        <w:rPr>
          <w:rFonts w:hAnsi="宋体" w:cs="宋体"/>
          <w:sz w:val="22"/>
          <w:szCs w:val="22"/>
        </w:rPr>
      </w:pPr>
      <w:r>
        <w:rPr>
          <w:rFonts w:hint="eastAsia" w:hAnsi="宋体" w:cs="宋体"/>
          <w:sz w:val="22"/>
          <w:szCs w:val="22"/>
        </w:rPr>
        <w:t>（3）我们同意在供应商须知规定的磋商日期起遵循本响应文件，并在供应商须知规定的磋商有效期满之前均具有约束力，并有可能中标（成交）。</w:t>
      </w:r>
    </w:p>
    <w:p>
      <w:pPr>
        <w:pStyle w:val="20"/>
        <w:spacing w:beforeLines="0" w:afterLines="0" w:line="360" w:lineRule="auto"/>
        <w:ind w:firstLine="330" w:firstLineChars="150"/>
        <w:rPr>
          <w:rFonts w:hAnsi="宋体" w:cs="宋体"/>
          <w:sz w:val="22"/>
          <w:szCs w:val="22"/>
        </w:rPr>
      </w:pPr>
      <w:r>
        <w:rPr>
          <w:rFonts w:hint="eastAsia" w:hAnsi="宋体" w:cs="宋体"/>
          <w:sz w:val="22"/>
          <w:szCs w:val="22"/>
        </w:rPr>
        <w:t>（4）如果在磋商规定的磋商有效期内撤回响应文件或者有其他违约行为，贵方有权上报财政部门，建议财政部门将本公司列入不良行为记录名单，在一至三年内禁止本公司参加政府采购活动并予以通报。</w:t>
      </w:r>
    </w:p>
    <w:p>
      <w:pPr>
        <w:pStyle w:val="20"/>
        <w:spacing w:beforeLines="0" w:afterLines="0" w:line="360" w:lineRule="auto"/>
        <w:ind w:firstLine="330" w:firstLineChars="150"/>
        <w:rPr>
          <w:rFonts w:hAnsi="宋体" w:cs="宋体"/>
          <w:sz w:val="22"/>
          <w:szCs w:val="22"/>
        </w:rPr>
      </w:pPr>
      <w:r>
        <w:rPr>
          <w:rFonts w:hint="eastAsia" w:hAnsi="宋体" w:cs="宋体"/>
          <w:sz w:val="22"/>
          <w:szCs w:val="22"/>
        </w:rPr>
        <w:t>（5）同意向贵方提供贵方可能要求的与本磋商有关的任何数据或资料。</w:t>
      </w:r>
    </w:p>
    <w:p>
      <w:pPr>
        <w:pStyle w:val="20"/>
        <w:spacing w:beforeLines="0" w:afterLines="0" w:line="360" w:lineRule="auto"/>
        <w:ind w:firstLine="330" w:firstLineChars="150"/>
        <w:rPr>
          <w:rFonts w:hAnsi="宋体" w:cs="宋体"/>
          <w:sz w:val="22"/>
          <w:szCs w:val="22"/>
        </w:rPr>
      </w:pPr>
      <w:r>
        <w:rPr>
          <w:rFonts w:hint="eastAsia" w:hAnsi="宋体" w:cs="宋体"/>
          <w:sz w:val="22"/>
          <w:szCs w:val="22"/>
        </w:rPr>
        <w:t>（6）我们完全理解贵方不一定要接受最低报价或收到的任何磋商。</w:t>
      </w:r>
    </w:p>
    <w:p>
      <w:pPr>
        <w:pStyle w:val="20"/>
        <w:spacing w:beforeLines="0" w:afterLines="0" w:line="360" w:lineRule="auto"/>
        <w:ind w:firstLine="420"/>
        <w:rPr>
          <w:rFonts w:hAnsi="宋体" w:cs="宋体"/>
          <w:b/>
          <w:sz w:val="22"/>
          <w:szCs w:val="22"/>
        </w:rPr>
      </w:pPr>
    </w:p>
    <w:p>
      <w:pPr>
        <w:pStyle w:val="20"/>
        <w:spacing w:beforeLines="0" w:afterLines="0" w:line="360" w:lineRule="auto"/>
        <w:ind w:firstLine="420"/>
        <w:rPr>
          <w:rFonts w:hAnsi="宋体" w:cs="宋体"/>
          <w:b/>
          <w:sz w:val="22"/>
          <w:szCs w:val="22"/>
        </w:rPr>
      </w:pPr>
      <w:r>
        <w:rPr>
          <w:rFonts w:hint="eastAsia" w:hAnsi="宋体" w:cs="宋体"/>
          <w:b/>
          <w:sz w:val="22"/>
          <w:szCs w:val="22"/>
        </w:rPr>
        <w:t>与本磋商有关的正式通讯地址为：</w:t>
      </w:r>
    </w:p>
    <w:p>
      <w:pPr>
        <w:pStyle w:val="20"/>
        <w:spacing w:beforeLines="0" w:afterLines="0" w:line="360" w:lineRule="auto"/>
        <w:ind w:firstLine="420"/>
        <w:rPr>
          <w:rFonts w:hAnsi="宋体" w:cs="宋体"/>
          <w:sz w:val="22"/>
          <w:szCs w:val="22"/>
        </w:rPr>
      </w:pPr>
      <w:r>
        <w:rPr>
          <w:rFonts w:hint="eastAsia" w:hAnsi="宋体" w:cs="宋体"/>
          <w:sz w:val="22"/>
          <w:szCs w:val="22"/>
        </w:rPr>
        <w:t>地址：</w:t>
      </w:r>
      <w:r>
        <w:rPr>
          <w:rFonts w:hint="eastAsia" w:hAnsi="宋体" w:cs="宋体"/>
          <w:sz w:val="22"/>
          <w:szCs w:val="22"/>
          <w:u w:val="single"/>
        </w:rPr>
        <w:t xml:space="preserve">                      </w:t>
      </w:r>
      <w:r>
        <w:rPr>
          <w:rFonts w:hint="eastAsia" w:hAnsi="宋体" w:cs="宋体"/>
          <w:sz w:val="22"/>
          <w:szCs w:val="22"/>
        </w:rPr>
        <w:t xml:space="preserve">  邮政编码：</w:t>
      </w:r>
      <w:r>
        <w:rPr>
          <w:rFonts w:hint="eastAsia" w:hAnsi="宋体" w:cs="宋体"/>
          <w:sz w:val="22"/>
          <w:szCs w:val="22"/>
          <w:u w:val="single"/>
        </w:rPr>
        <w:t xml:space="preserve">                   </w:t>
      </w:r>
    </w:p>
    <w:p>
      <w:pPr>
        <w:pStyle w:val="20"/>
        <w:spacing w:beforeLines="0" w:afterLines="0" w:line="360" w:lineRule="auto"/>
        <w:ind w:firstLine="420"/>
        <w:rPr>
          <w:rFonts w:hAnsi="宋体" w:cs="宋体"/>
          <w:sz w:val="22"/>
          <w:szCs w:val="22"/>
        </w:rPr>
      </w:pPr>
      <w:r>
        <w:rPr>
          <w:rFonts w:hint="eastAsia" w:hAnsi="宋体" w:cs="宋体"/>
          <w:sz w:val="22"/>
          <w:szCs w:val="22"/>
        </w:rPr>
        <w:t>电话、传真：</w:t>
      </w:r>
      <w:r>
        <w:rPr>
          <w:rFonts w:hint="eastAsia" w:hAnsi="宋体" w:cs="宋体"/>
          <w:sz w:val="22"/>
          <w:szCs w:val="22"/>
          <w:u w:val="single"/>
        </w:rPr>
        <w:t xml:space="preserve">                                               </w:t>
      </w:r>
    </w:p>
    <w:p>
      <w:pPr>
        <w:pStyle w:val="20"/>
        <w:spacing w:beforeLines="0" w:afterLines="0" w:line="360" w:lineRule="auto"/>
        <w:ind w:firstLine="420"/>
        <w:rPr>
          <w:rFonts w:hAnsi="宋体" w:cs="宋体"/>
          <w:sz w:val="22"/>
          <w:szCs w:val="22"/>
        </w:rPr>
      </w:pPr>
      <w:r>
        <w:rPr>
          <w:rFonts w:hint="eastAsia" w:hAnsi="宋体" w:cs="宋体"/>
          <w:sz w:val="22"/>
          <w:szCs w:val="22"/>
        </w:rPr>
        <w:t>电子邮件：</w:t>
      </w:r>
      <w:r>
        <w:rPr>
          <w:rFonts w:hint="eastAsia" w:hAnsi="宋体" w:cs="宋体"/>
          <w:sz w:val="22"/>
          <w:szCs w:val="22"/>
          <w:u w:val="single"/>
        </w:rPr>
        <w:t xml:space="preserve">                                                 </w:t>
      </w:r>
    </w:p>
    <w:p>
      <w:pPr>
        <w:pStyle w:val="20"/>
        <w:spacing w:beforeLines="0" w:afterLines="0" w:line="360" w:lineRule="auto"/>
        <w:ind w:firstLine="420"/>
        <w:rPr>
          <w:rFonts w:hAnsi="宋体" w:cs="宋体"/>
          <w:sz w:val="22"/>
          <w:szCs w:val="22"/>
        </w:rPr>
      </w:pPr>
    </w:p>
    <w:p>
      <w:pPr>
        <w:pStyle w:val="20"/>
        <w:spacing w:beforeLines="0" w:afterLines="0" w:line="360" w:lineRule="auto"/>
        <w:ind w:firstLine="420"/>
        <w:rPr>
          <w:rFonts w:hAnsi="宋体" w:cs="宋体"/>
          <w:sz w:val="22"/>
          <w:szCs w:val="22"/>
        </w:rPr>
      </w:pPr>
    </w:p>
    <w:p>
      <w:pPr>
        <w:pStyle w:val="20"/>
        <w:spacing w:before="120" w:after="120" w:line="360" w:lineRule="auto"/>
        <w:ind w:firstLine="1500" w:firstLineChars="600"/>
        <w:rPr>
          <w:rFonts w:hAnsi="宋体" w:cs="宋体"/>
          <w:spacing w:val="20"/>
          <w:sz w:val="21"/>
          <w:szCs w:val="21"/>
        </w:rPr>
      </w:pPr>
      <w:r>
        <w:rPr>
          <w:rFonts w:hint="eastAsia" w:hAnsi="宋体" w:cs="宋体"/>
          <w:spacing w:val="20"/>
          <w:sz w:val="21"/>
          <w:szCs w:val="21"/>
        </w:rPr>
        <w:t>法定代表人（或授权委托人）签字或盖章：</w:t>
      </w:r>
      <w:r>
        <w:rPr>
          <w:rFonts w:hint="eastAsia" w:hAnsi="宋体" w:cs="宋体"/>
          <w:spacing w:val="20"/>
          <w:sz w:val="21"/>
          <w:szCs w:val="21"/>
          <w:u w:val="single"/>
        </w:rPr>
        <w:t xml:space="preserve">            </w:t>
      </w:r>
      <w:r>
        <w:rPr>
          <w:rFonts w:hint="eastAsia" w:hAnsi="宋体" w:cs="宋体"/>
          <w:spacing w:val="20"/>
          <w:sz w:val="21"/>
          <w:szCs w:val="21"/>
        </w:rPr>
        <w:t xml:space="preserve"> </w:t>
      </w:r>
    </w:p>
    <w:p>
      <w:pPr>
        <w:pStyle w:val="20"/>
        <w:spacing w:before="120" w:after="120" w:line="360" w:lineRule="auto"/>
        <w:ind w:firstLine="4750" w:firstLineChars="1900"/>
        <w:rPr>
          <w:rFonts w:hAnsi="宋体" w:cs="宋体"/>
          <w:spacing w:val="20"/>
          <w:sz w:val="21"/>
          <w:szCs w:val="21"/>
          <w:u w:val="single"/>
        </w:rPr>
      </w:pPr>
      <w:r>
        <w:rPr>
          <w:rFonts w:hint="eastAsia" w:hAnsi="宋体" w:cs="宋体"/>
          <w:spacing w:val="20"/>
          <w:sz w:val="21"/>
          <w:szCs w:val="21"/>
        </w:rPr>
        <w:t>供应商盖章：</w:t>
      </w:r>
      <w:r>
        <w:rPr>
          <w:rFonts w:hint="eastAsia" w:hAnsi="宋体" w:cs="宋体"/>
          <w:spacing w:val="20"/>
          <w:sz w:val="21"/>
          <w:szCs w:val="21"/>
          <w:u w:val="single"/>
        </w:rPr>
        <w:t xml:space="preserve">            </w:t>
      </w:r>
    </w:p>
    <w:p>
      <w:pPr>
        <w:spacing w:line="360" w:lineRule="auto"/>
        <w:ind w:firstLine="4750" w:firstLineChars="1900"/>
        <w:rPr>
          <w:rFonts w:ascii="宋体" w:hAnsi="宋体" w:cs="宋体"/>
          <w:b/>
          <w:bCs/>
          <w:szCs w:val="21"/>
        </w:rPr>
      </w:pPr>
      <w:r>
        <w:rPr>
          <w:rFonts w:hint="eastAsia" w:ascii="宋体" w:hAnsi="宋体" w:cs="宋体"/>
          <w:spacing w:val="20"/>
          <w:szCs w:val="21"/>
        </w:rPr>
        <w:t>日     期：</w:t>
      </w:r>
      <w:r>
        <w:rPr>
          <w:rFonts w:hint="eastAsia" w:ascii="宋体" w:hAnsi="宋体" w:cs="宋体"/>
          <w:spacing w:val="20"/>
          <w:szCs w:val="21"/>
          <w:u w:val="single"/>
        </w:rPr>
        <w:t xml:space="preserve">            </w:t>
      </w:r>
    </w:p>
    <w:p>
      <w:pPr>
        <w:jc w:val="center"/>
        <w:rPr>
          <w:rFonts w:ascii="宋体" w:hAnsi="宋体" w:cs="宋体"/>
          <w:b/>
          <w:sz w:val="28"/>
          <w:szCs w:val="28"/>
        </w:rPr>
      </w:pPr>
    </w:p>
    <w:p>
      <w:pPr>
        <w:pStyle w:val="42"/>
        <w:rPr>
          <w:rFonts w:ascii="宋体" w:hAnsi="宋体"/>
        </w:rPr>
      </w:pPr>
    </w:p>
    <w:p>
      <w:pPr>
        <w:jc w:val="center"/>
        <w:rPr>
          <w:rFonts w:ascii="宋体" w:hAnsi="宋体" w:cs="宋体"/>
          <w:b/>
          <w:sz w:val="24"/>
        </w:rPr>
      </w:pPr>
      <w:bookmarkStart w:id="542" w:name="_Toc15781"/>
      <w:r>
        <w:rPr>
          <w:rFonts w:hint="eastAsia" w:ascii="宋体" w:hAnsi="宋体" w:cs="宋体"/>
          <w:b/>
          <w:sz w:val="28"/>
          <w:szCs w:val="28"/>
        </w:rPr>
        <w:t>2、承诺函</w:t>
      </w:r>
      <w:bookmarkEnd w:id="542"/>
    </w:p>
    <w:p>
      <w:pPr>
        <w:pStyle w:val="139"/>
        <w:spacing w:before="0" w:beforeAutospacing="0" w:after="0" w:afterAutospacing="0" w:line="408" w:lineRule="auto"/>
        <w:rPr>
          <w:sz w:val="22"/>
          <w:szCs w:val="22"/>
        </w:rPr>
      </w:pPr>
    </w:p>
    <w:p>
      <w:pPr>
        <w:pStyle w:val="139"/>
        <w:spacing w:before="0" w:beforeAutospacing="0" w:after="0" w:afterAutospacing="0" w:line="360" w:lineRule="auto"/>
        <w:rPr>
          <w:sz w:val="22"/>
          <w:szCs w:val="22"/>
        </w:rPr>
      </w:pPr>
      <w:r>
        <w:rPr>
          <w:rFonts w:hint="eastAsia"/>
          <w:sz w:val="22"/>
          <w:szCs w:val="22"/>
        </w:rPr>
        <w:t>致：</w:t>
      </w:r>
      <w:r>
        <w:rPr>
          <w:rFonts w:hint="eastAsia"/>
          <w:sz w:val="22"/>
          <w:szCs w:val="22"/>
          <w:u w:val="single"/>
        </w:rPr>
        <w:t xml:space="preserve">       （采购单位名称）</w:t>
      </w:r>
    </w:p>
    <w:p>
      <w:pPr>
        <w:pStyle w:val="30"/>
        <w:snapToGrid w:val="0"/>
        <w:spacing w:line="360" w:lineRule="auto"/>
        <w:ind w:left="0" w:firstLine="420" w:firstLineChars="0"/>
        <w:jc w:val="left"/>
        <w:rPr>
          <w:rFonts w:ascii="宋体" w:hAnsi="宋体" w:cs="宋体"/>
          <w:spacing w:val="6"/>
          <w:sz w:val="22"/>
          <w:szCs w:val="22"/>
        </w:rPr>
      </w:pPr>
      <w:r>
        <w:rPr>
          <w:rFonts w:hint="eastAsia" w:ascii="宋体" w:hAnsi="宋体" w:cs="宋体"/>
          <w:spacing w:val="6"/>
          <w:sz w:val="22"/>
          <w:szCs w:val="22"/>
        </w:rPr>
        <w:t>我方参与</w:t>
      </w:r>
      <w:r>
        <w:rPr>
          <w:rFonts w:hint="eastAsia" w:ascii="宋体" w:hAnsi="宋体" w:cs="宋体"/>
          <w:spacing w:val="6"/>
          <w:sz w:val="22"/>
          <w:szCs w:val="22"/>
          <w:u w:val="single"/>
        </w:rPr>
        <w:t xml:space="preserve">           （采购项目名称）</w:t>
      </w:r>
      <w:r>
        <w:rPr>
          <w:rFonts w:hint="eastAsia" w:ascii="宋体" w:hAnsi="宋体" w:cs="宋体"/>
          <w:spacing w:val="6"/>
          <w:sz w:val="22"/>
          <w:szCs w:val="22"/>
        </w:rPr>
        <w:t>（采购编号：</w:t>
      </w:r>
      <w:r>
        <w:rPr>
          <w:rFonts w:hint="eastAsia" w:ascii="宋体" w:hAnsi="宋体" w:cs="宋体"/>
          <w:spacing w:val="6"/>
          <w:sz w:val="22"/>
          <w:szCs w:val="22"/>
          <w:u w:val="single"/>
        </w:rPr>
        <w:t>　　　　</w:t>
      </w:r>
      <w:r>
        <w:rPr>
          <w:rFonts w:hint="eastAsia" w:ascii="宋体" w:hAnsi="宋体" w:cs="宋体"/>
          <w:spacing w:val="6"/>
          <w:sz w:val="22"/>
          <w:szCs w:val="22"/>
        </w:rPr>
        <w:t>）项目的磋商活动，我方郑重承诺如下：</w:t>
      </w:r>
    </w:p>
    <w:p>
      <w:pPr>
        <w:pStyle w:val="30"/>
        <w:snapToGrid w:val="0"/>
        <w:spacing w:line="360" w:lineRule="auto"/>
        <w:ind w:left="0" w:firstLine="420" w:firstLineChars="0"/>
        <w:jc w:val="left"/>
        <w:rPr>
          <w:rFonts w:ascii="宋体" w:hAnsi="宋体" w:cs="宋体"/>
          <w:spacing w:val="6"/>
          <w:sz w:val="22"/>
          <w:szCs w:val="22"/>
        </w:rPr>
      </w:pPr>
      <w:r>
        <w:rPr>
          <w:rFonts w:hint="eastAsia" w:ascii="宋体" w:hAnsi="宋体" w:cs="宋体"/>
          <w:spacing w:val="6"/>
          <w:sz w:val="22"/>
          <w:szCs w:val="22"/>
        </w:rPr>
        <w:t>1.如我方被推荐为第一成交候选人，我方将严格按照竞争性磋商文件的要求，在磋商结束后领取成交通知书前，向采购人一次性提供我方按磋商评审办法及评分标准要求，且已将复印件装订在响应文件内的类似业绩合同、中标（成交）通知书其它加分项（如有）的所有资料原件，如我方未在该条款规定的期限或未按该条款要求一次性提供齐全的资料原件或经采购人复核复印件与原件不相符的，采购人有权取消我方第一成交候选人资格。</w:t>
      </w:r>
    </w:p>
    <w:p>
      <w:pPr>
        <w:pStyle w:val="30"/>
        <w:snapToGrid w:val="0"/>
        <w:spacing w:line="360" w:lineRule="auto"/>
        <w:ind w:left="0" w:firstLine="420" w:firstLineChars="0"/>
        <w:jc w:val="left"/>
        <w:rPr>
          <w:rFonts w:ascii="宋体" w:hAnsi="宋体" w:cs="宋体"/>
          <w:spacing w:val="6"/>
          <w:sz w:val="22"/>
          <w:szCs w:val="22"/>
        </w:rPr>
      </w:pPr>
      <w:r>
        <w:rPr>
          <w:rFonts w:hint="eastAsia" w:ascii="宋体" w:hAnsi="宋体" w:cs="宋体"/>
          <w:spacing w:val="6"/>
          <w:sz w:val="22"/>
          <w:szCs w:val="22"/>
        </w:rPr>
        <w:t>2.我方按磋商评审办法及评分标准要求且已将复印件装订在响应文件内的类似业绩合同、中标通知书等其它加分项（如有）的所有资料原件和复印件相符，且材料真实，不存在弄虚作假现象。</w:t>
      </w:r>
    </w:p>
    <w:p>
      <w:pPr>
        <w:pStyle w:val="30"/>
        <w:snapToGrid w:val="0"/>
        <w:spacing w:line="360" w:lineRule="auto"/>
        <w:ind w:left="0" w:firstLine="420" w:firstLineChars="0"/>
        <w:jc w:val="left"/>
        <w:rPr>
          <w:rFonts w:ascii="宋体" w:hAnsi="宋体" w:cs="宋体"/>
          <w:spacing w:val="6"/>
          <w:sz w:val="22"/>
          <w:szCs w:val="22"/>
        </w:rPr>
      </w:pPr>
      <w:r>
        <w:rPr>
          <w:rFonts w:hint="eastAsia" w:ascii="宋体" w:hAnsi="宋体" w:cs="宋体"/>
          <w:spacing w:val="6"/>
          <w:sz w:val="22"/>
          <w:szCs w:val="22"/>
        </w:rPr>
        <w:t>3.如我方存在上述现象，采购人有权向财政部门建议将本公司列入不良行为记录名单，在一至三年内禁止本公司参加政府采购活动并予以通报。</w:t>
      </w:r>
    </w:p>
    <w:p>
      <w:pPr>
        <w:pStyle w:val="30"/>
        <w:snapToGrid w:val="0"/>
        <w:spacing w:line="360" w:lineRule="auto"/>
        <w:ind w:left="0" w:firstLine="420" w:firstLineChars="0"/>
        <w:jc w:val="left"/>
        <w:rPr>
          <w:rFonts w:ascii="宋体" w:hAnsi="宋体" w:cs="宋体"/>
          <w:spacing w:val="6"/>
          <w:sz w:val="22"/>
          <w:szCs w:val="22"/>
        </w:rPr>
      </w:pPr>
      <w:r>
        <w:rPr>
          <w:rFonts w:hint="eastAsia" w:ascii="宋体" w:hAnsi="宋体" w:cs="宋体"/>
          <w:spacing w:val="6"/>
          <w:sz w:val="22"/>
          <w:szCs w:val="22"/>
        </w:rPr>
        <w:t>4.我方对上述承诺的真实性负责，如有虚假，将依法承担相应责任。</w:t>
      </w:r>
    </w:p>
    <w:p>
      <w:pPr>
        <w:pStyle w:val="30"/>
        <w:snapToGrid w:val="0"/>
        <w:spacing w:line="360" w:lineRule="auto"/>
        <w:ind w:left="0" w:firstLine="420" w:firstLineChars="0"/>
        <w:jc w:val="left"/>
        <w:rPr>
          <w:rFonts w:ascii="宋体" w:hAnsi="宋体" w:cs="宋体"/>
          <w:spacing w:val="6"/>
          <w:sz w:val="22"/>
          <w:szCs w:val="22"/>
        </w:rPr>
      </w:pPr>
    </w:p>
    <w:p>
      <w:pPr>
        <w:pStyle w:val="30"/>
        <w:snapToGrid w:val="0"/>
        <w:spacing w:line="360" w:lineRule="auto"/>
        <w:ind w:left="420" w:hanging="420"/>
        <w:jc w:val="left"/>
        <w:rPr>
          <w:rFonts w:ascii="宋体" w:hAnsi="宋体" w:cs="宋体"/>
          <w:szCs w:val="18"/>
        </w:rPr>
      </w:pPr>
    </w:p>
    <w:p>
      <w:pPr>
        <w:pStyle w:val="30"/>
        <w:snapToGrid w:val="0"/>
        <w:spacing w:line="360" w:lineRule="auto"/>
        <w:ind w:left="0" w:firstLine="420" w:firstLineChars="0"/>
        <w:jc w:val="left"/>
        <w:rPr>
          <w:rFonts w:ascii="宋体" w:hAnsi="宋体" w:cs="宋体"/>
          <w:sz w:val="22"/>
          <w:szCs w:val="22"/>
        </w:rPr>
      </w:pPr>
    </w:p>
    <w:p>
      <w:pPr>
        <w:pStyle w:val="191"/>
        <w:spacing w:line="360" w:lineRule="auto"/>
        <w:jc w:val="center"/>
        <w:rPr>
          <w:rFonts w:ascii="宋体" w:hAnsi="宋体" w:cs="宋体"/>
        </w:rPr>
      </w:pPr>
      <w:r>
        <w:rPr>
          <w:rFonts w:hint="eastAsia" w:ascii="宋体" w:hAnsi="宋体" w:cs="宋体"/>
          <w:sz w:val="22"/>
        </w:rPr>
        <w:t xml:space="preserve">                                             供应商</w:t>
      </w:r>
      <w:r>
        <w:rPr>
          <w:rFonts w:hint="eastAsia" w:ascii="宋体" w:hAnsi="宋体" w:cs="宋体"/>
        </w:rPr>
        <w:t>名称（公章）：</w:t>
      </w:r>
    </w:p>
    <w:p>
      <w:pPr>
        <w:pStyle w:val="191"/>
        <w:spacing w:line="360" w:lineRule="auto"/>
        <w:jc w:val="center"/>
        <w:rPr>
          <w:rFonts w:ascii="宋体" w:hAnsi="宋体" w:cs="宋体"/>
        </w:rPr>
      </w:pPr>
      <w:r>
        <w:rPr>
          <w:rFonts w:hint="eastAsia" w:ascii="宋体" w:hAnsi="宋体" w:cs="宋体"/>
        </w:rPr>
        <w:t xml:space="preserve">                                                      日期：      年    月     日</w:t>
      </w:r>
    </w:p>
    <w:p>
      <w:pPr>
        <w:spacing w:line="400" w:lineRule="exact"/>
        <w:rPr>
          <w:rFonts w:ascii="宋体" w:hAnsi="宋体" w:cs="宋体"/>
          <w:b/>
          <w:sz w:val="28"/>
          <w:szCs w:val="28"/>
        </w:rPr>
      </w:pPr>
    </w:p>
    <w:p>
      <w:pPr>
        <w:spacing w:line="360" w:lineRule="auto"/>
        <w:ind w:firstLine="422" w:firstLineChars="200"/>
        <w:rPr>
          <w:rFonts w:ascii="宋体" w:hAnsi="宋体" w:cs="宋体"/>
          <w:b/>
          <w:bCs/>
        </w:rPr>
      </w:pPr>
      <w:r>
        <w:rPr>
          <w:rFonts w:hint="eastAsia" w:ascii="宋体" w:hAnsi="宋体" w:cs="宋体"/>
          <w:b/>
          <w:bCs/>
        </w:rPr>
        <w:t>注：供应商未提供本承诺函的，</w:t>
      </w:r>
      <w:bookmarkStart w:id="543" w:name="_Toc29460"/>
      <w:r>
        <w:rPr>
          <w:rFonts w:hint="eastAsia" w:ascii="宋体" w:hAnsi="宋体" w:cs="宋体"/>
          <w:b/>
          <w:bCs/>
        </w:rPr>
        <w:t>磋商评审办法及评分标准</w:t>
      </w:r>
      <w:bookmarkEnd w:id="543"/>
      <w:r>
        <w:rPr>
          <w:rFonts w:hint="eastAsia" w:ascii="宋体" w:hAnsi="宋体" w:cs="宋体"/>
          <w:b/>
          <w:bCs/>
        </w:rPr>
        <w:t>中要求供应商提供相应证件或证书等复印件打分的条款不予以得分。</w:t>
      </w:r>
    </w:p>
    <w:p>
      <w:pPr>
        <w:spacing w:line="400" w:lineRule="exact"/>
        <w:jc w:val="center"/>
        <w:rPr>
          <w:rFonts w:ascii="宋体" w:hAnsi="宋体" w:cs="宋体"/>
          <w:b/>
          <w:sz w:val="28"/>
          <w:szCs w:val="28"/>
        </w:rPr>
      </w:pPr>
    </w:p>
    <w:p>
      <w:pPr>
        <w:spacing w:line="400" w:lineRule="exact"/>
        <w:jc w:val="center"/>
        <w:rPr>
          <w:rFonts w:ascii="宋体" w:hAnsi="宋体" w:cs="宋体"/>
          <w:b/>
          <w:sz w:val="28"/>
          <w:szCs w:val="28"/>
        </w:rPr>
      </w:pPr>
    </w:p>
    <w:p>
      <w:pPr>
        <w:spacing w:line="400" w:lineRule="exact"/>
        <w:jc w:val="center"/>
        <w:rPr>
          <w:rFonts w:ascii="宋体" w:hAnsi="宋体" w:cs="宋体"/>
          <w:b/>
          <w:sz w:val="28"/>
          <w:szCs w:val="28"/>
        </w:rPr>
      </w:pPr>
    </w:p>
    <w:p>
      <w:pPr>
        <w:spacing w:line="400" w:lineRule="exact"/>
        <w:jc w:val="center"/>
        <w:rPr>
          <w:rFonts w:ascii="宋体" w:hAnsi="宋体" w:cs="宋体"/>
          <w:b/>
          <w:sz w:val="28"/>
          <w:szCs w:val="28"/>
        </w:rPr>
      </w:pPr>
    </w:p>
    <w:p>
      <w:pPr>
        <w:spacing w:line="400" w:lineRule="exact"/>
        <w:jc w:val="center"/>
        <w:rPr>
          <w:rFonts w:ascii="宋体" w:hAnsi="宋体" w:cs="宋体"/>
          <w:b/>
          <w:sz w:val="28"/>
          <w:szCs w:val="28"/>
        </w:rPr>
      </w:pPr>
    </w:p>
    <w:p>
      <w:pPr>
        <w:spacing w:line="400" w:lineRule="exact"/>
        <w:jc w:val="center"/>
        <w:rPr>
          <w:rFonts w:ascii="宋体" w:hAnsi="宋体" w:cs="宋体"/>
          <w:b/>
          <w:sz w:val="28"/>
          <w:szCs w:val="28"/>
        </w:rPr>
      </w:pPr>
    </w:p>
    <w:p>
      <w:pPr>
        <w:spacing w:line="400" w:lineRule="exact"/>
        <w:jc w:val="center"/>
        <w:rPr>
          <w:rFonts w:ascii="宋体" w:hAnsi="宋体" w:cs="宋体"/>
          <w:b/>
          <w:sz w:val="28"/>
          <w:szCs w:val="28"/>
        </w:rPr>
      </w:pPr>
    </w:p>
    <w:p>
      <w:pPr>
        <w:spacing w:line="400" w:lineRule="exact"/>
        <w:jc w:val="center"/>
        <w:rPr>
          <w:rFonts w:ascii="宋体" w:hAnsi="宋体" w:cs="宋体"/>
          <w:b/>
          <w:sz w:val="28"/>
          <w:szCs w:val="28"/>
        </w:rPr>
      </w:pPr>
    </w:p>
    <w:p>
      <w:pPr>
        <w:spacing w:line="400" w:lineRule="exact"/>
        <w:jc w:val="center"/>
        <w:rPr>
          <w:rFonts w:ascii="宋体" w:hAnsi="宋体" w:cs="宋体"/>
          <w:b/>
          <w:sz w:val="28"/>
          <w:szCs w:val="28"/>
        </w:rPr>
      </w:pPr>
    </w:p>
    <w:p>
      <w:pPr>
        <w:spacing w:line="400" w:lineRule="exact"/>
        <w:jc w:val="center"/>
        <w:rPr>
          <w:rFonts w:ascii="宋体" w:hAnsi="宋体" w:cs="宋体"/>
          <w:b/>
          <w:sz w:val="28"/>
          <w:szCs w:val="28"/>
        </w:rPr>
      </w:pPr>
    </w:p>
    <w:p>
      <w:pPr>
        <w:jc w:val="center"/>
        <w:rPr>
          <w:rFonts w:ascii="宋体" w:hAnsi="宋体" w:cs="宋体"/>
          <w:b/>
          <w:sz w:val="24"/>
        </w:rPr>
      </w:pPr>
      <w:r>
        <w:rPr>
          <w:rFonts w:hint="eastAsia" w:ascii="宋体" w:hAnsi="宋体" w:cs="宋体"/>
        </w:rPr>
        <w:br w:type="page"/>
      </w:r>
      <w:bookmarkStart w:id="544" w:name="_Toc17145"/>
      <w:r>
        <w:rPr>
          <w:rFonts w:hint="eastAsia" w:ascii="宋体" w:hAnsi="宋体" w:cs="宋体"/>
          <w:b/>
          <w:sz w:val="28"/>
          <w:szCs w:val="28"/>
        </w:rPr>
        <w:t>3、商务响应表</w:t>
      </w:r>
      <w:bookmarkEnd w:id="544"/>
    </w:p>
    <w:p>
      <w:pPr>
        <w:jc w:val="center"/>
        <w:rPr>
          <w:rFonts w:ascii="宋体" w:hAnsi="宋体" w:cs="宋体"/>
          <w:b/>
          <w:sz w:val="24"/>
        </w:rPr>
      </w:pPr>
    </w:p>
    <w:tbl>
      <w:tblPr>
        <w:tblStyle w:val="4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52"/>
        <w:gridCol w:w="2196"/>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2052"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宋体" w:hAnsi="宋体" w:cs="宋体"/>
                <w:b/>
                <w:bCs/>
                <w:szCs w:val="21"/>
              </w:rPr>
            </w:pPr>
            <w:r>
              <w:rPr>
                <w:rFonts w:hint="eastAsia" w:ascii="宋体" w:hAnsi="宋体" w:cs="宋体"/>
                <w:b/>
                <w:bCs/>
                <w:szCs w:val="21"/>
              </w:rPr>
              <w:t>项目</w:t>
            </w:r>
          </w:p>
        </w:tc>
        <w:tc>
          <w:tcPr>
            <w:tcW w:w="2196"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宋体" w:hAnsi="宋体" w:cs="宋体"/>
                <w:b/>
                <w:bCs/>
                <w:szCs w:val="21"/>
              </w:rPr>
            </w:pPr>
            <w:r>
              <w:rPr>
                <w:rFonts w:hint="eastAsia" w:ascii="宋体" w:hAnsi="宋体" w:cs="宋体"/>
                <w:b/>
                <w:bCs/>
                <w:szCs w:val="21"/>
              </w:rPr>
              <w:t>竞争性磋商文件要求</w:t>
            </w: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宋体" w:hAnsi="宋体" w:cs="宋体"/>
                <w:b/>
                <w:bCs/>
                <w:szCs w:val="21"/>
              </w:rPr>
            </w:pPr>
            <w:r>
              <w:rPr>
                <w:rFonts w:hint="eastAsia" w:ascii="宋体" w:hAnsi="宋体" w:cs="宋体"/>
                <w:b/>
                <w:bCs/>
                <w:szCs w:val="21"/>
              </w:rPr>
              <w:t>是否响应</w:t>
            </w: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宋体" w:hAnsi="宋体" w:cs="宋体"/>
                <w:b/>
                <w:bCs/>
                <w:szCs w:val="21"/>
              </w:rPr>
            </w:pPr>
            <w:r>
              <w:rPr>
                <w:rFonts w:hint="eastAsia" w:ascii="宋体" w:hAnsi="宋体" w:cs="宋体"/>
                <w:b/>
                <w:bCs/>
                <w:szCs w:val="21"/>
              </w:rPr>
              <w:t>供应商的承诺或说明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2052"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宋体" w:hAnsi="宋体" w:cs="宋体"/>
                <w:szCs w:val="21"/>
              </w:rPr>
            </w:pPr>
            <w:r>
              <w:rPr>
                <w:rFonts w:hint="eastAsia" w:ascii="宋体" w:hAnsi="宋体" w:cs="宋体"/>
                <w:szCs w:val="21"/>
              </w:rPr>
              <w:t>工作内容</w:t>
            </w:r>
          </w:p>
        </w:tc>
        <w:tc>
          <w:tcPr>
            <w:tcW w:w="2196"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cs="宋体"/>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cs="宋体"/>
                <w:szCs w:val="21"/>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2052"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宋体" w:hAnsi="宋体" w:cs="宋体"/>
                <w:szCs w:val="21"/>
              </w:rPr>
            </w:pPr>
            <w:r>
              <w:rPr>
                <w:rFonts w:hint="eastAsia" w:ascii="宋体" w:hAnsi="宋体" w:cs="宋体"/>
                <w:szCs w:val="21"/>
              </w:rPr>
              <w:t>工作要求</w:t>
            </w:r>
          </w:p>
        </w:tc>
        <w:tc>
          <w:tcPr>
            <w:tcW w:w="2196"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cs="宋体"/>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cs="宋体"/>
                <w:szCs w:val="21"/>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jc w:val="center"/>
        </w:trPr>
        <w:tc>
          <w:tcPr>
            <w:tcW w:w="2052"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宋体" w:hAnsi="宋体" w:cs="宋体"/>
                <w:szCs w:val="21"/>
              </w:rPr>
            </w:pPr>
            <w:r>
              <w:rPr>
                <w:rFonts w:hint="eastAsia" w:ascii="宋体" w:hAnsi="宋体" w:cs="宋体"/>
                <w:szCs w:val="21"/>
              </w:rPr>
              <w:t>付款条件</w:t>
            </w:r>
          </w:p>
        </w:tc>
        <w:tc>
          <w:tcPr>
            <w:tcW w:w="2196"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cs="宋体"/>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cs="宋体"/>
                <w:szCs w:val="21"/>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2052"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cs="宋体"/>
                <w:szCs w:val="21"/>
              </w:rPr>
            </w:pPr>
            <w:r>
              <w:rPr>
                <w:rFonts w:hint="eastAsia" w:ascii="宋体" w:hAnsi="宋体" w:cs="宋体"/>
                <w:szCs w:val="21"/>
              </w:rPr>
              <w:t>……</w:t>
            </w:r>
          </w:p>
        </w:tc>
        <w:tc>
          <w:tcPr>
            <w:tcW w:w="2196"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cs="宋体"/>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cs="宋体"/>
                <w:szCs w:val="21"/>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2052"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cs="宋体"/>
                <w:szCs w:val="21"/>
              </w:rPr>
            </w:pPr>
          </w:p>
        </w:tc>
        <w:tc>
          <w:tcPr>
            <w:tcW w:w="2196"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cs="宋体"/>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cs="宋体"/>
                <w:szCs w:val="21"/>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2052"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cs="宋体"/>
                <w:szCs w:val="21"/>
              </w:rPr>
            </w:pPr>
          </w:p>
        </w:tc>
        <w:tc>
          <w:tcPr>
            <w:tcW w:w="2196"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cs="宋体"/>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cs="宋体"/>
                <w:szCs w:val="21"/>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2052"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cs="宋体"/>
                <w:szCs w:val="21"/>
              </w:rPr>
            </w:pPr>
          </w:p>
        </w:tc>
        <w:tc>
          <w:tcPr>
            <w:tcW w:w="2196"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cs="宋体"/>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cs="宋体"/>
                <w:szCs w:val="21"/>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2052"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cs="宋体"/>
                <w:szCs w:val="21"/>
              </w:rPr>
            </w:pPr>
          </w:p>
        </w:tc>
        <w:tc>
          <w:tcPr>
            <w:tcW w:w="2196"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cs="宋体"/>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cs="宋体"/>
                <w:szCs w:val="21"/>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2052"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cs="宋体"/>
                <w:szCs w:val="21"/>
              </w:rPr>
            </w:pPr>
          </w:p>
        </w:tc>
        <w:tc>
          <w:tcPr>
            <w:tcW w:w="2196"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cs="宋体"/>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cs="宋体"/>
                <w:szCs w:val="21"/>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2052"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cs="宋体"/>
                <w:szCs w:val="21"/>
              </w:rPr>
            </w:pPr>
          </w:p>
        </w:tc>
        <w:tc>
          <w:tcPr>
            <w:tcW w:w="2196"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cs="宋体"/>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cs="宋体"/>
                <w:szCs w:val="21"/>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2052" w:type="dxa"/>
            <w:tcBorders>
              <w:bottom w:val="single" w:color="auto" w:sz="4" w:space="0"/>
              <w:right w:val="single" w:color="auto" w:sz="4" w:space="0"/>
            </w:tcBorders>
            <w:vAlign w:val="center"/>
          </w:tcPr>
          <w:p>
            <w:pPr>
              <w:snapToGrid w:val="0"/>
              <w:spacing w:beforeLines="50"/>
              <w:jc w:val="center"/>
              <w:rPr>
                <w:rFonts w:ascii="宋体" w:hAnsi="宋体" w:cs="宋体"/>
                <w:szCs w:val="21"/>
              </w:rPr>
            </w:pPr>
          </w:p>
        </w:tc>
        <w:tc>
          <w:tcPr>
            <w:tcW w:w="2196" w:type="dxa"/>
            <w:tcBorders>
              <w:left w:val="single" w:color="auto" w:sz="4" w:space="0"/>
              <w:bottom w:val="single" w:color="auto" w:sz="4" w:space="0"/>
              <w:right w:val="single" w:color="auto" w:sz="4" w:space="0"/>
            </w:tcBorders>
          </w:tcPr>
          <w:p>
            <w:pPr>
              <w:snapToGrid w:val="0"/>
              <w:spacing w:beforeLines="50"/>
              <w:rPr>
                <w:rFonts w:ascii="宋体" w:hAnsi="宋体" w:cs="宋体"/>
                <w:szCs w:val="21"/>
              </w:rPr>
            </w:pPr>
          </w:p>
        </w:tc>
        <w:tc>
          <w:tcPr>
            <w:tcW w:w="1260" w:type="dxa"/>
            <w:tcBorders>
              <w:left w:val="single" w:color="auto" w:sz="4" w:space="0"/>
              <w:bottom w:val="single" w:color="auto" w:sz="4" w:space="0"/>
              <w:right w:val="single" w:color="auto" w:sz="4" w:space="0"/>
            </w:tcBorders>
          </w:tcPr>
          <w:p>
            <w:pPr>
              <w:snapToGrid w:val="0"/>
              <w:spacing w:beforeLines="50"/>
              <w:rPr>
                <w:rFonts w:ascii="宋体" w:hAnsi="宋体" w:cs="宋体"/>
                <w:szCs w:val="21"/>
              </w:rPr>
            </w:pPr>
          </w:p>
        </w:tc>
        <w:tc>
          <w:tcPr>
            <w:tcW w:w="3020" w:type="dxa"/>
            <w:tcBorders>
              <w:left w:val="single" w:color="auto" w:sz="4" w:space="0"/>
              <w:bottom w:val="single" w:color="auto" w:sz="4" w:space="0"/>
            </w:tcBorders>
          </w:tcPr>
          <w:p>
            <w:pPr>
              <w:snapToGrid w:val="0"/>
              <w:spacing w:beforeLines="5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2052" w:type="dxa"/>
            <w:tcBorders>
              <w:top w:val="single" w:color="auto" w:sz="4" w:space="0"/>
              <w:right w:val="single" w:color="auto" w:sz="4" w:space="0"/>
            </w:tcBorders>
            <w:vAlign w:val="center"/>
          </w:tcPr>
          <w:p>
            <w:pPr>
              <w:snapToGrid w:val="0"/>
              <w:spacing w:beforeLines="50"/>
              <w:jc w:val="center"/>
              <w:rPr>
                <w:rFonts w:ascii="宋体" w:hAnsi="宋体" w:cs="宋体"/>
                <w:szCs w:val="21"/>
              </w:rPr>
            </w:pPr>
            <w:r>
              <w:rPr>
                <w:rFonts w:hint="eastAsia" w:ascii="宋体" w:hAnsi="宋体" w:cs="宋体"/>
                <w:szCs w:val="21"/>
              </w:rPr>
              <w:t>…</w:t>
            </w:r>
          </w:p>
        </w:tc>
        <w:tc>
          <w:tcPr>
            <w:tcW w:w="2196" w:type="dxa"/>
            <w:tcBorders>
              <w:top w:val="single" w:color="auto" w:sz="4" w:space="0"/>
              <w:left w:val="single" w:color="auto" w:sz="4" w:space="0"/>
              <w:right w:val="single" w:color="auto" w:sz="4" w:space="0"/>
            </w:tcBorders>
          </w:tcPr>
          <w:p>
            <w:pPr>
              <w:snapToGrid w:val="0"/>
              <w:spacing w:beforeLines="50"/>
              <w:rPr>
                <w:rFonts w:ascii="宋体" w:hAnsi="宋体" w:cs="宋体"/>
                <w:szCs w:val="21"/>
              </w:rPr>
            </w:pPr>
          </w:p>
        </w:tc>
        <w:tc>
          <w:tcPr>
            <w:tcW w:w="1260" w:type="dxa"/>
            <w:tcBorders>
              <w:top w:val="single" w:color="auto" w:sz="4" w:space="0"/>
              <w:left w:val="single" w:color="auto" w:sz="4" w:space="0"/>
              <w:right w:val="single" w:color="auto" w:sz="4" w:space="0"/>
            </w:tcBorders>
          </w:tcPr>
          <w:p>
            <w:pPr>
              <w:snapToGrid w:val="0"/>
              <w:spacing w:beforeLines="50"/>
              <w:rPr>
                <w:rFonts w:ascii="宋体" w:hAnsi="宋体" w:cs="宋体"/>
                <w:szCs w:val="21"/>
              </w:rPr>
            </w:pPr>
          </w:p>
        </w:tc>
        <w:tc>
          <w:tcPr>
            <w:tcW w:w="3020" w:type="dxa"/>
            <w:tcBorders>
              <w:top w:val="single" w:color="auto" w:sz="4" w:space="0"/>
              <w:left w:val="single" w:color="auto" w:sz="4" w:space="0"/>
            </w:tcBorders>
          </w:tcPr>
          <w:p>
            <w:pPr>
              <w:snapToGrid w:val="0"/>
              <w:spacing w:beforeLines="50"/>
              <w:rPr>
                <w:rFonts w:ascii="宋体" w:hAnsi="宋体" w:cs="宋体"/>
                <w:szCs w:val="21"/>
              </w:rPr>
            </w:pPr>
          </w:p>
        </w:tc>
      </w:tr>
    </w:tbl>
    <w:p>
      <w:pPr>
        <w:spacing w:line="400" w:lineRule="exact"/>
        <w:jc w:val="left"/>
        <w:rPr>
          <w:rFonts w:ascii="宋体" w:hAnsi="宋体" w:cs="宋体"/>
          <w:sz w:val="22"/>
          <w:shd w:val="clear" w:color="050000" w:fill="auto"/>
        </w:rPr>
      </w:pPr>
      <w:r>
        <w:rPr>
          <w:rFonts w:hint="eastAsia" w:ascii="宋体" w:hAnsi="宋体" w:cs="宋体"/>
          <w:sz w:val="22"/>
          <w:shd w:val="clear" w:color="050000" w:fill="auto"/>
        </w:rPr>
        <w:t>填写说明：</w:t>
      </w:r>
    </w:p>
    <w:p>
      <w:pPr>
        <w:spacing w:line="400" w:lineRule="exact"/>
        <w:ind w:firstLine="440"/>
        <w:rPr>
          <w:rFonts w:ascii="宋体" w:hAnsi="宋体" w:cs="宋体"/>
          <w:sz w:val="22"/>
          <w:shd w:val="clear" w:color="050000" w:fill="auto"/>
        </w:rPr>
      </w:pPr>
      <w:r>
        <w:rPr>
          <w:rFonts w:hint="eastAsia" w:ascii="宋体" w:hAnsi="宋体" w:cs="宋体"/>
          <w:sz w:val="22"/>
          <w:shd w:val="clear" w:color="050000" w:fill="auto"/>
        </w:rPr>
        <w:t>1.</w:t>
      </w:r>
      <w:r>
        <w:rPr>
          <w:rFonts w:hint="eastAsia" w:ascii="宋体" w:hAnsi="宋体" w:cs="宋体"/>
          <w:shd w:val="clear" w:color="050000" w:fill="auto"/>
        </w:rPr>
        <w:t>项数不够时，可自行添加。</w:t>
      </w:r>
    </w:p>
    <w:p>
      <w:pPr>
        <w:spacing w:line="400" w:lineRule="exact"/>
        <w:ind w:firstLine="440"/>
        <w:rPr>
          <w:rFonts w:ascii="宋体" w:hAnsi="宋体" w:cs="宋体"/>
          <w:sz w:val="22"/>
          <w:shd w:val="clear" w:color="050000" w:fill="auto"/>
        </w:rPr>
      </w:pPr>
      <w:r>
        <w:rPr>
          <w:rFonts w:hint="eastAsia" w:ascii="宋体" w:hAnsi="宋体" w:cs="宋体"/>
          <w:sz w:val="22"/>
          <w:shd w:val="clear" w:color="050000" w:fill="auto"/>
        </w:rPr>
        <w:t>2.对照竞争性磋商文件第二章采购需求进行响应，如有偏离的，</w:t>
      </w:r>
      <w:r>
        <w:rPr>
          <w:rFonts w:hint="eastAsia" w:ascii="宋体" w:hAnsi="宋体" w:cs="宋体"/>
          <w:sz w:val="22"/>
          <w:szCs w:val="22"/>
        </w:rPr>
        <w:t>供应商</w:t>
      </w:r>
      <w:r>
        <w:rPr>
          <w:rFonts w:hint="eastAsia" w:ascii="宋体" w:hAnsi="宋体" w:cs="宋体"/>
          <w:sz w:val="22"/>
          <w:shd w:val="clear" w:color="050000" w:fill="auto"/>
        </w:rPr>
        <w:t>必须据实填写，不得虚假响应，否则将作无效标处理。</w:t>
      </w:r>
    </w:p>
    <w:p>
      <w:pPr>
        <w:spacing w:line="400" w:lineRule="exact"/>
        <w:ind w:firstLine="440"/>
        <w:rPr>
          <w:rFonts w:ascii="宋体" w:hAnsi="宋体" w:cs="宋体"/>
          <w:sz w:val="22"/>
          <w:shd w:val="clear" w:color="050000" w:fill="auto"/>
        </w:rPr>
      </w:pPr>
      <w:r>
        <w:rPr>
          <w:rFonts w:hint="eastAsia" w:ascii="宋体" w:hAnsi="宋体" w:cs="宋体"/>
          <w:b/>
          <w:sz w:val="22"/>
          <w:shd w:val="clear" w:color="060000" w:fill="auto"/>
        </w:rPr>
        <w:t>3.未在上表列出或不填写此表的，则视为完全响应竞争性磋商文件要求</w:t>
      </w:r>
      <w:r>
        <w:rPr>
          <w:rFonts w:hint="eastAsia" w:ascii="宋体" w:hAnsi="宋体" w:cs="宋体"/>
          <w:sz w:val="22"/>
          <w:shd w:val="clear" w:color="050000" w:fill="auto"/>
        </w:rPr>
        <w:t>。</w:t>
      </w:r>
    </w:p>
    <w:p>
      <w:pPr>
        <w:jc w:val="center"/>
        <w:rPr>
          <w:rFonts w:ascii="宋体" w:hAnsi="宋体" w:cs="宋体"/>
          <w:b/>
          <w:sz w:val="24"/>
        </w:rPr>
      </w:pPr>
    </w:p>
    <w:p>
      <w:pPr>
        <w:jc w:val="center"/>
        <w:rPr>
          <w:rFonts w:ascii="宋体" w:hAnsi="宋体" w:cs="宋体"/>
          <w:b/>
          <w:sz w:val="24"/>
        </w:rPr>
      </w:pPr>
    </w:p>
    <w:p>
      <w:pPr>
        <w:jc w:val="center"/>
        <w:rPr>
          <w:rFonts w:ascii="宋体" w:hAnsi="宋体" w:cs="宋体"/>
          <w:b/>
          <w:sz w:val="24"/>
        </w:rPr>
      </w:pPr>
    </w:p>
    <w:p>
      <w:pPr>
        <w:jc w:val="center"/>
        <w:rPr>
          <w:rFonts w:ascii="宋体" w:hAnsi="宋体" w:cs="宋体"/>
          <w:b/>
          <w:sz w:val="24"/>
        </w:rPr>
      </w:pPr>
    </w:p>
    <w:p>
      <w:pPr>
        <w:pStyle w:val="20"/>
        <w:spacing w:before="120" w:after="120" w:line="360" w:lineRule="auto"/>
        <w:ind w:firstLine="1500" w:firstLineChars="600"/>
        <w:rPr>
          <w:rFonts w:hAnsi="宋体" w:cs="宋体"/>
          <w:spacing w:val="20"/>
          <w:sz w:val="21"/>
          <w:szCs w:val="21"/>
        </w:rPr>
      </w:pPr>
      <w:r>
        <w:rPr>
          <w:rFonts w:hint="eastAsia" w:hAnsi="宋体" w:cs="宋体"/>
          <w:spacing w:val="20"/>
          <w:sz w:val="21"/>
          <w:szCs w:val="21"/>
        </w:rPr>
        <w:t>法定代表人（或授权委托人）签字或盖章：</w:t>
      </w:r>
      <w:r>
        <w:rPr>
          <w:rFonts w:hint="eastAsia" w:hAnsi="宋体" w:cs="宋体"/>
          <w:spacing w:val="20"/>
          <w:sz w:val="21"/>
          <w:szCs w:val="21"/>
          <w:u w:val="single"/>
        </w:rPr>
        <w:t xml:space="preserve">            </w:t>
      </w:r>
      <w:r>
        <w:rPr>
          <w:rFonts w:hint="eastAsia" w:hAnsi="宋体" w:cs="宋体"/>
          <w:spacing w:val="20"/>
          <w:sz w:val="21"/>
          <w:szCs w:val="21"/>
        </w:rPr>
        <w:t xml:space="preserve"> </w:t>
      </w:r>
    </w:p>
    <w:p>
      <w:pPr>
        <w:pStyle w:val="20"/>
        <w:spacing w:before="120" w:after="120" w:line="360" w:lineRule="auto"/>
        <w:ind w:firstLine="4750" w:firstLineChars="1900"/>
        <w:rPr>
          <w:rFonts w:hAnsi="宋体" w:cs="宋体"/>
          <w:spacing w:val="20"/>
          <w:sz w:val="21"/>
          <w:szCs w:val="21"/>
          <w:u w:val="single"/>
        </w:rPr>
      </w:pPr>
      <w:r>
        <w:rPr>
          <w:rFonts w:hint="eastAsia" w:hAnsi="宋体" w:cs="宋体"/>
          <w:spacing w:val="20"/>
          <w:sz w:val="21"/>
          <w:szCs w:val="21"/>
        </w:rPr>
        <w:t>供应商盖章：</w:t>
      </w:r>
      <w:r>
        <w:rPr>
          <w:rFonts w:hint="eastAsia" w:hAnsi="宋体" w:cs="宋体"/>
          <w:spacing w:val="20"/>
          <w:sz w:val="21"/>
          <w:szCs w:val="21"/>
          <w:u w:val="single"/>
        </w:rPr>
        <w:t xml:space="preserve">            </w:t>
      </w:r>
    </w:p>
    <w:p>
      <w:pPr>
        <w:spacing w:line="360" w:lineRule="auto"/>
        <w:ind w:firstLine="4750" w:firstLineChars="1900"/>
        <w:rPr>
          <w:rFonts w:ascii="宋体" w:hAnsi="宋体" w:cs="宋体"/>
          <w:b/>
          <w:bCs/>
          <w:szCs w:val="21"/>
        </w:rPr>
      </w:pPr>
      <w:r>
        <w:rPr>
          <w:rFonts w:hint="eastAsia" w:ascii="宋体" w:hAnsi="宋体" w:cs="宋体"/>
          <w:spacing w:val="20"/>
          <w:szCs w:val="21"/>
        </w:rPr>
        <w:t>日     期：</w:t>
      </w:r>
      <w:r>
        <w:rPr>
          <w:rFonts w:hint="eastAsia" w:ascii="宋体" w:hAnsi="宋体" w:cs="宋体"/>
          <w:spacing w:val="20"/>
          <w:szCs w:val="21"/>
          <w:u w:val="single"/>
        </w:rPr>
        <w:t xml:space="preserve">            </w:t>
      </w:r>
    </w:p>
    <w:p>
      <w:pPr>
        <w:pStyle w:val="20"/>
        <w:spacing w:beforeLines="0" w:afterLines="0" w:line="360" w:lineRule="auto"/>
        <w:ind w:firstLine="420"/>
        <w:rPr>
          <w:rFonts w:hAnsi="宋体" w:cs="宋体"/>
          <w:sz w:val="22"/>
          <w:szCs w:val="22"/>
        </w:rPr>
      </w:pPr>
      <w:r>
        <w:rPr>
          <w:rFonts w:hint="eastAsia" w:hAnsi="宋体" w:cs="宋体"/>
          <w:sz w:val="22"/>
          <w:szCs w:val="22"/>
        </w:rPr>
        <w:t xml:space="preserve"> </w:t>
      </w:r>
    </w:p>
    <w:p>
      <w:pPr>
        <w:jc w:val="center"/>
        <w:rPr>
          <w:rFonts w:ascii="宋体" w:hAnsi="宋体" w:cs="宋体"/>
          <w:b/>
          <w:sz w:val="28"/>
          <w:szCs w:val="28"/>
        </w:rPr>
      </w:pPr>
      <w:bookmarkStart w:id="545" w:name="_Toc303756428"/>
    </w:p>
    <w:p>
      <w:pPr>
        <w:numPr>
          <w:ilvl w:val="0"/>
          <w:numId w:val="3"/>
        </w:numPr>
        <w:ind w:left="0" w:leftChars="0" w:firstLine="562" w:firstLineChars="200"/>
        <w:jc w:val="center"/>
        <w:rPr>
          <w:rFonts w:hint="eastAsia" w:ascii="宋体" w:hAnsi="宋体" w:cs="宋体"/>
          <w:b/>
          <w:sz w:val="22"/>
          <w:szCs w:val="22"/>
        </w:rPr>
      </w:pPr>
      <w:r>
        <w:rPr>
          <w:rFonts w:hint="eastAsia" w:ascii="宋体" w:hAnsi="宋体" w:cs="宋体"/>
          <w:b/>
          <w:sz w:val="28"/>
          <w:szCs w:val="28"/>
        </w:rPr>
        <w:br w:type="page"/>
      </w:r>
      <w:bookmarkEnd w:id="545"/>
      <w:r>
        <w:rPr>
          <w:rFonts w:hint="eastAsia" w:ascii="宋体" w:hAnsi="宋体" w:cs="宋体"/>
          <w:b/>
          <w:sz w:val="22"/>
          <w:szCs w:val="22"/>
        </w:rPr>
        <w:t>投标人实力</w:t>
      </w:r>
    </w:p>
    <w:p>
      <w:pPr>
        <w:spacing w:line="360" w:lineRule="auto"/>
        <w:jc w:val="center"/>
        <w:rPr>
          <w:rFonts w:ascii="宋体" w:hAnsi="宋体" w:cs="宋体"/>
          <w:sz w:val="22"/>
          <w:szCs w:val="22"/>
        </w:rPr>
      </w:pPr>
      <w:r>
        <w:rPr>
          <w:rFonts w:hint="eastAsia" w:ascii="宋体" w:hAnsi="宋体" w:cs="宋体"/>
          <w:sz w:val="22"/>
          <w:szCs w:val="22"/>
        </w:rPr>
        <w:t>内容要求：投标人根据采购采购文件有关章节内容进行综合阐述。</w:t>
      </w:r>
    </w:p>
    <w:p>
      <w:pPr>
        <w:pStyle w:val="2"/>
        <w:numPr>
          <w:ilvl w:val="0"/>
          <w:numId w:val="3"/>
        </w:numPr>
        <w:ind w:left="0" w:leftChars="0" w:firstLine="442" w:firstLineChars="200"/>
        <w:jc w:val="center"/>
        <w:rPr>
          <w:rFonts w:hint="eastAsia" w:ascii="宋体" w:hAnsi="宋体" w:eastAsia="宋体" w:cs="宋体"/>
          <w:b/>
          <w:kern w:val="2"/>
          <w:sz w:val="22"/>
          <w:szCs w:val="22"/>
          <w:lang w:val="en-US" w:eastAsia="zh-CN" w:bidi="ar-SA"/>
        </w:rPr>
      </w:pPr>
      <w:r>
        <w:rPr>
          <w:rFonts w:hint="eastAsia" w:ascii="宋体" w:hAnsi="宋体" w:eastAsia="宋体" w:cs="宋体"/>
          <w:b/>
          <w:kern w:val="2"/>
          <w:sz w:val="22"/>
          <w:szCs w:val="22"/>
          <w:lang w:val="en-US" w:eastAsia="zh-CN" w:bidi="ar-SA"/>
        </w:rPr>
        <w:t>业绩</w:t>
      </w:r>
    </w:p>
    <w:p>
      <w:pPr>
        <w:spacing w:line="360" w:lineRule="auto"/>
        <w:jc w:val="center"/>
        <w:rPr>
          <w:rFonts w:ascii="宋体" w:hAnsi="宋体" w:cs="宋体"/>
          <w:sz w:val="22"/>
          <w:szCs w:val="22"/>
        </w:rPr>
      </w:pPr>
      <w:r>
        <w:rPr>
          <w:rFonts w:hint="eastAsia" w:ascii="宋体" w:hAnsi="宋体" w:cs="宋体"/>
          <w:sz w:val="22"/>
          <w:szCs w:val="22"/>
        </w:rPr>
        <w:t>内容要求：投标人根据采购采购文件有关章节内容进行综合阐述。</w:t>
      </w:r>
    </w:p>
    <w:p>
      <w:pPr>
        <w:jc w:val="center"/>
        <w:rPr>
          <w:sz w:val="22"/>
          <w:szCs w:val="22"/>
        </w:rPr>
      </w:pPr>
    </w:p>
    <w:bookmarkEnd w:id="501"/>
    <w:bookmarkEnd w:id="502"/>
    <w:p>
      <w:pPr>
        <w:jc w:val="center"/>
        <w:rPr>
          <w:rFonts w:ascii="宋体" w:hAnsi="宋体" w:cs="宋体"/>
          <w:b/>
          <w:bCs/>
          <w:spacing w:val="11"/>
          <w:sz w:val="22"/>
          <w:szCs w:val="22"/>
          <w:lang w:val="zh-CN"/>
        </w:rPr>
      </w:pPr>
      <w:bookmarkStart w:id="546" w:name="_Toc28849"/>
      <w:bookmarkStart w:id="547" w:name="_Toc13972"/>
      <w:bookmarkStart w:id="548" w:name="_Toc468379799"/>
      <w:bookmarkStart w:id="549" w:name="_Toc7952"/>
      <w:bookmarkStart w:id="550" w:name="_Toc22905"/>
      <w:bookmarkStart w:id="551" w:name="_Toc303756459"/>
      <w:r>
        <w:rPr>
          <w:rFonts w:hint="eastAsia" w:ascii="宋体" w:hAnsi="宋体" w:cs="宋体"/>
          <w:b/>
          <w:bCs/>
          <w:spacing w:val="11"/>
          <w:sz w:val="22"/>
          <w:szCs w:val="22"/>
        </w:rPr>
        <w:t>6、</w:t>
      </w:r>
      <w:bookmarkEnd w:id="546"/>
      <w:bookmarkEnd w:id="547"/>
      <w:bookmarkEnd w:id="548"/>
      <w:bookmarkEnd w:id="549"/>
      <w:r>
        <w:rPr>
          <w:rFonts w:hint="eastAsia" w:ascii="宋体" w:hAnsi="宋体" w:cs="宋体"/>
          <w:b/>
          <w:bCs/>
          <w:spacing w:val="11"/>
          <w:sz w:val="22"/>
          <w:szCs w:val="22"/>
        </w:rPr>
        <w:t xml:space="preserve"> </w:t>
      </w:r>
      <w:bookmarkStart w:id="552" w:name="_Toc11679"/>
      <w:bookmarkStart w:id="553" w:name="_Toc468379800"/>
      <w:bookmarkStart w:id="554" w:name="_Toc23289"/>
      <w:bookmarkStart w:id="555" w:name="_Toc9418"/>
      <w:r>
        <w:rPr>
          <w:rFonts w:hint="eastAsia" w:ascii="宋体" w:hAnsi="宋体" w:cs="宋体"/>
          <w:b/>
          <w:bCs/>
          <w:spacing w:val="11"/>
          <w:sz w:val="22"/>
          <w:szCs w:val="22"/>
        </w:rPr>
        <w:t>设备认知度、成熟度</w:t>
      </w:r>
    </w:p>
    <w:p>
      <w:pPr>
        <w:spacing w:line="360" w:lineRule="auto"/>
        <w:jc w:val="center"/>
        <w:rPr>
          <w:rFonts w:ascii="宋体" w:hAnsi="宋体" w:cs="宋体"/>
          <w:sz w:val="22"/>
          <w:szCs w:val="22"/>
        </w:rPr>
      </w:pPr>
      <w:r>
        <w:rPr>
          <w:rFonts w:hint="eastAsia" w:ascii="宋体" w:hAnsi="宋体" w:cs="宋体"/>
          <w:sz w:val="22"/>
          <w:szCs w:val="22"/>
        </w:rPr>
        <w:t>内容要求：投标人根据采购采购文件有关章节内容进行综合阐述。</w:t>
      </w:r>
    </w:p>
    <w:p>
      <w:pPr>
        <w:jc w:val="center"/>
        <w:rPr>
          <w:rFonts w:ascii="宋体" w:hAnsi="宋体" w:cs="宋体"/>
          <w:sz w:val="22"/>
          <w:szCs w:val="22"/>
        </w:rPr>
      </w:pPr>
    </w:p>
    <w:p>
      <w:pPr>
        <w:tabs>
          <w:tab w:val="left" w:pos="1418"/>
        </w:tabs>
        <w:spacing w:line="360" w:lineRule="auto"/>
        <w:jc w:val="center"/>
        <w:rPr>
          <w:rFonts w:ascii="宋体" w:hAnsi="宋体" w:cs="宋体"/>
          <w:bCs/>
          <w:color w:val="FF0000"/>
          <w:sz w:val="22"/>
          <w:szCs w:val="22"/>
        </w:rPr>
      </w:pPr>
      <w:r>
        <w:rPr>
          <w:rFonts w:hint="eastAsia" w:ascii="宋体" w:hAnsi="宋体" w:cs="宋体"/>
          <w:b/>
          <w:bCs/>
          <w:spacing w:val="11"/>
          <w:sz w:val="22"/>
          <w:szCs w:val="22"/>
        </w:rPr>
        <w:t>7、</w:t>
      </w:r>
      <w:bookmarkEnd w:id="552"/>
      <w:bookmarkEnd w:id="553"/>
      <w:bookmarkEnd w:id="554"/>
      <w:bookmarkEnd w:id="555"/>
      <w:r>
        <w:rPr>
          <w:rFonts w:hint="eastAsia" w:ascii="宋体" w:hAnsi="宋体" w:cs="宋体"/>
          <w:b/>
          <w:bCs/>
          <w:spacing w:val="11"/>
          <w:sz w:val="22"/>
          <w:szCs w:val="22"/>
        </w:rPr>
        <w:t>技术参数</w:t>
      </w:r>
    </w:p>
    <w:p>
      <w:pPr>
        <w:spacing w:line="360" w:lineRule="auto"/>
        <w:jc w:val="center"/>
        <w:rPr>
          <w:rFonts w:ascii="宋体" w:hAnsi="宋体" w:cs="宋体"/>
          <w:sz w:val="22"/>
          <w:szCs w:val="22"/>
        </w:rPr>
      </w:pPr>
      <w:r>
        <w:rPr>
          <w:rFonts w:hint="eastAsia" w:ascii="宋体" w:hAnsi="宋体" w:cs="宋体"/>
          <w:sz w:val="22"/>
          <w:szCs w:val="22"/>
        </w:rPr>
        <w:t>内容要求：投标人根据采购采购文件有关章节内容进行综合阐述。</w:t>
      </w:r>
    </w:p>
    <w:p>
      <w:pPr>
        <w:keepNext/>
        <w:keepLines/>
        <w:snapToGrid w:val="0"/>
        <w:jc w:val="center"/>
        <w:rPr>
          <w:rFonts w:ascii="宋体" w:hAnsi="宋体" w:cs="宋体"/>
          <w:spacing w:val="11"/>
          <w:sz w:val="22"/>
          <w:szCs w:val="22"/>
        </w:rPr>
      </w:pPr>
      <w:bookmarkStart w:id="556" w:name="_Toc11637"/>
      <w:bookmarkStart w:id="557" w:name="_Toc468379802"/>
      <w:bookmarkStart w:id="558" w:name="_Toc24244"/>
      <w:bookmarkStart w:id="559" w:name="_Toc18780"/>
    </w:p>
    <w:p>
      <w:pPr>
        <w:tabs>
          <w:tab w:val="left" w:pos="1418"/>
        </w:tabs>
        <w:spacing w:line="360" w:lineRule="auto"/>
        <w:jc w:val="center"/>
        <w:rPr>
          <w:rFonts w:ascii="宋体" w:hAnsi="宋体" w:cs="宋体"/>
          <w:b/>
          <w:bCs/>
          <w:spacing w:val="11"/>
          <w:sz w:val="22"/>
          <w:szCs w:val="22"/>
        </w:rPr>
      </w:pPr>
      <w:r>
        <w:rPr>
          <w:rFonts w:hint="eastAsia" w:ascii="宋体" w:hAnsi="宋体" w:cs="宋体"/>
          <w:b/>
          <w:bCs/>
          <w:spacing w:val="11"/>
          <w:sz w:val="22"/>
          <w:szCs w:val="22"/>
        </w:rPr>
        <w:t>8、</w:t>
      </w:r>
      <w:bookmarkEnd w:id="556"/>
      <w:bookmarkEnd w:id="557"/>
      <w:bookmarkEnd w:id="558"/>
      <w:bookmarkEnd w:id="559"/>
      <w:r>
        <w:rPr>
          <w:rFonts w:hint="eastAsia" w:ascii="宋体" w:hAnsi="宋体" w:cs="宋体"/>
          <w:b/>
          <w:bCs/>
          <w:spacing w:val="11"/>
          <w:sz w:val="22"/>
          <w:szCs w:val="22"/>
        </w:rPr>
        <w:t>项目方案</w:t>
      </w:r>
    </w:p>
    <w:p>
      <w:pPr>
        <w:spacing w:line="360" w:lineRule="auto"/>
        <w:jc w:val="center"/>
        <w:rPr>
          <w:rFonts w:ascii="宋体" w:hAnsi="宋体" w:cs="宋体"/>
          <w:sz w:val="22"/>
          <w:szCs w:val="22"/>
        </w:rPr>
      </w:pPr>
      <w:r>
        <w:rPr>
          <w:rFonts w:hint="eastAsia" w:ascii="宋体" w:hAnsi="宋体" w:cs="宋体"/>
          <w:sz w:val="22"/>
          <w:szCs w:val="22"/>
        </w:rPr>
        <w:t>内容要求：投标人根据采购采购文件有关章节内容进行综合阐述。</w:t>
      </w:r>
    </w:p>
    <w:p>
      <w:pPr>
        <w:keepNext/>
        <w:keepLines/>
        <w:snapToGrid w:val="0"/>
        <w:jc w:val="center"/>
        <w:rPr>
          <w:rFonts w:ascii="宋体" w:hAnsi="宋体" w:cs="宋体"/>
          <w:spacing w:val="11"/>
          <w:sz w:val="22"/>
          <w:szCs w:val="22"/>
        </w:rPr>
      </w:pPr>
      <w:bookmarkStart w:id="560" w:name="_Toc29454"/>
      <w:bookmarkStart w:id="561" w:name="_Toc10814"/>
      <w:bookmarkStart w:id="562" w:name="_Toc24457"/>
      <w:bookmarkStart w:id="563" w:name="_Toc468379803"/>
    </w:p>
    <w:p>
      <w:pPr>
        <w:jc w:val="center"/>
        <w:rPr>
          <w:rFonts w:ascii="宋体" w:hAnsi="宋体" w:cs="宋体"/>
          <w:spacing w:val="11"/>
          <w:sz w:val="22"/>
          <w:szCs w:val="22"/>
        </w:rPr>
      </w:pPr>
      <w:r>
        <w:rPr>
          <w:rFonts w:hint="eastAsia" w:ascii="宋体" w:hAnsi="宋体" w:cs="宋体"/>
          <w:b/>
          <w:bCs/>
          <w:spacing w:val="11"/>
          <w:sz w:val="22"/>
          <w:szCs w:val="22"/>
        </w:rPr>
        <w:t>9、</w:t>
      </w:r>
      <w:bookmarkEnd w:id="560"/>
      <w:bookmarkEnd w:id="561"/>
      <w:bookmarkEnd w:id="562"/>
      <w:bookmarkEnd w:id="563"/>
      <w:r>
        <w:rPr>
          <w:rFonts w:hint="eastAsia" w:ascii="宋体" w:hAnsi="宋体" w:cs="宋体"/>
          <w:b/>
          <w:bCs/>
          <w:spacing w:val="11"/>
          <w:sz w:val="22"/>
          <w:szCs w:val="22"/>
        </w:rPr>
        <w:t>设备的先进性、合理性、安全性</w:t>
      </w:r>
    </w:p>
    <w:p>
      <w:pPr>
        <w:spacing w:line="360" w:lineRule="auto"/>
        <w:jc w:val="center"/>
        <w:rPr>
          <w:rFonts w:ascii="宋体" w:hAnsi="宋体" w:cs="宋体"/>
          <w:sz w:val="22"/>
          <w:szCs w:val="22"/>
        </w:rPr>
      </w:pPr>
      <w:r>
        <w:rPr>
          <w:rFonts w:hint="eastAsia" w:ascii="宋体" w:hAnsi="宋体" w:cs="宋体"/>
          <w:sz w:val="22"/>
          <w:szCs w:val="22"/>
        </w:rPr>
        <w:t>内容要求：投标人根据采购采购文件有关章节内容进行综合阐述。</w:t>
      </w:r>
    </w:p>
    <w:p>
      <w:pPr>
        <w:keepNext/>
        <w:keepLines/>
        <w:snapToGrid w:val="0"/>
        <w:jc w:val="center"/>
        <w:rPr>
          <w:rFonts w:ascii="宋体" w:hAnsi="宋体" w:cs="宋体"/>
          <w:spacing w:val="11"/>
          <w:sz w:val="22"/>
          <w:szCs w:val="22"/>
        </w:rPr>
      </w:pPr>
      <w:bookmarkStart w:id="564" w:name="_Toc32195"/>
      <w:bookmarkStart w:id="565" w:name="_Toc32116"/>
      <w:bookmarkStart w:id="566" w:name="_Toc468379804"/>
      <w:bookmarkStart w:id="567" w:name="_Toc17885"/>
    </w:p>
    <w:p>
      <w:pPr>
        <w:jc w:val="center"/>
        <w:rPr>
          <w:rFonts w:ascii="宋体" w:hAnsi="宋体" w:cs="宋体"/>
          <w:b/>
          <w:bCs/>
          <w:spacing w:val="11"/>
          <w:sz w:val="22"/>
          <w:szCs w:val="22"/>
        </w:rPr>
      </w:pPr>
      <w:r>
        <w:rPr>
          <w:rFonts w:hint="eastAsia" w:ascii="宋体" w:hAnsi="宋体" w:cs="宋体"/>
          <w:b/>
          <w:bCs/>
          <w:spacing w:val="11"/>
          <w:sz w:val="22"/>
          <w:szCs w:val="22"/>
        </w:rPr>
        <w:t>10、</w:t>
      </w:r>
      <w:bookmarkEnd w:id="564"/>
      <w:bookmarkEnd w:id="565"/>
      <w:bookmarkEnd w:id="566"/>
      <w:bookmarkEnd w:id="567"/>
      <w:r>
        <w:rPr>
          <w:rFonts w:hint="eastAsia" w:ascii="宋体" w:hAnsi="宋体" w:cs="宋体"/>
          <w:b/>
          <w:bCs/>
          <w:spacing w:val="11"/>
          <w:sz w:val="22"/>
          <w:szCs w:val="22"/>
        </w:rPr>
        <w:t>对项目实施的评价</w:t>
      </w:r>
    </w:p>
    <w:p>
      <w:pPr>
        <w:spacing w:line="360" w:lineRule="auto"/>
        <w:jc w:val="center"/>
        <w:rPr>
          <w:rFonts w:ascii="宋体" w:hAnsi="宋体" w:cs="宋体"/>
          <w:sz w:val="22"/>
          <w:szCs w:val="22"/>
        </w:rPr>
      </w:pPr>
      <w:r>
        <w:rPr>
          <w:rFonts w:hint="eastAsia" w:ascii="宋体" w:hAnsi="宋体" w:cs="宋体"/>
          <w:sz w:val="22"/>
          <w:szCs w:val="22"/>
        </w:rPr>
        <w:t>内容要求：投标人根据采购采购文件有关章节内容进行综合阐述。</w:t>
      </w:r>
    </w:p>
    <w:p>
      <w:pPr>
        <w:numPr>
          <w:ilvl w:val="0"/>
          <w:numId w:val="5"/>
        </w:numPr>
        <w:jc w:val="center"/>
        <w:rPr>
          <w:rFonts w:hint="eastAsia" w:ascii="宋体" w:hAnsi="宋体" w:cs="宋体"/>
          <w:b/>
          <w:bCs/>
          <w:spacing w:val="11"/>
          <w:sz w:val="22"/>
          <w:szCs w:val="22"/>
        </w:rPr>
      </w:pPr>
      <w:bookmarkStart w:id="568" w:name="_Toc15187"/>
      <w:r>
        <w:rPr>
          <w:rFonts w:hint="eastAsia" w:ascii="宋体" w:hAnsi="宋体" w:cs="宋体"/>
          <w:b/>
          <w:bCs/>
          <w:spacing w:val="11"/>
          <w:sz w:val="22"/>
          <w:szCs w:val="22"/>
        </w:rPr>
        <w:t>售后服务</w:t>
      </w:r>
    </w:p>
    <w:p>
      <w:pPr>
        <w:spacing w:line="360" w:lineRule="auto"/>
        <w:jc w:val="center"/>
        <w:rPr>
          <w:rFonts w:ascii="宋体" w:hAnsi="宋体" w:cs="宋体"/>
          <w:sz w:val="22"/>
          <w:szCs w:val="22"/>
        </w:rPr>
      </w:pPr>
      <w:r>
        <w:rPr>
          <w:rFonts w:hint="eastAsia" w:ascii="宋体" w:hAnsi="宋体" w:cs="宋体"/>
          <w:sz w:val="22"/>
          <w:szCs w:val="22"/>
        </w:rPr>
        <w:t>内容要求：投标人根据采购采购文件有关章节内容进行综合阐述。</w:t>
      </w:r>
    </w:p>
    <w:p>
      <w:pPr>
        <w:pStyle w:val="2"/>
        <w:rPr>
          <w:rFonts w:hint="eastAsia"/>
          <w:sz w:val="22"/>
          <w:szCs w:val="22"/>
        </w:rPr>
      </w:pPr>
    </w:p>
    <w:p>
      <w:pPr>
        <w:jc w:val="center"/>
        <w:rPr>
          <w:rFonts w:hint="eastAsia" w:ascii="宋体" w:hAnsi="宋体" w:eastAsia="宋体" w:cs="宋体"/>
          <w:b/>
          <w:bCs/>
          <w:spacing w:val="11"/>
          <w:sz w:val="22"/>
          <w:szCs w:val="22"/>
        </w:rPr>
      </w:pPr>
      <w:r>
        <w:rPr>
          <w:rFonts w:hint="eastAsia" w:ascii="宋体" w:hAnsi="宋体" w:eastAsia="宋体" w:cs="宋体"/>
          <w:b/>
          <w:bCs/>
          <w:spacing w:val="11"/>
          <w:sz w:val="22"/>
          <w:szCs w:val="22"/>
          <w:lang w:val="en-US" w:eastAsia="zh-CN"/>
        </w:rPr>
        <w:t>12、</w:t>
      </w:r>
      <w:r>
        <w:rPr>
          <w:rFonts w:hint="eastAsia" w:ascii="宋体" w:hAnsi="宋体" w:eastAsia="宋体" w:cs="宋体"/>
          <w:b/>
          <w:bCs/>
          <w:spacing w:val="11"/>
          <w:sz w:val="22"/>
          <w:szCs w:val="22"/>
        </w:rPr>
        <w:t>供应商认为有利于本次磋商的其他技术文件</w:t>
      </w:r>
      <w:bookmarkEnd w:id="568"/>
    </w:p>
    <w:p>
      <w:pPr>
        <w:spacing w:line="360" w:lineRule="auto"/>
        <w:ind w:firstLine="3740" w:firstLineChars="1700"/>
        <w:rPr>
          <w:rFonts w:ascii="宋体" w:hAnsi="宋体" w:cs="宋体"/>
          <w:sz w:val="22"/>
          <w:szCs w:val="22"/>
        </w:rPr>
      </w:pPr>
      <w:bookmarkStart w:id="569" w:name="_Toc26368"/>
      <w:r>
        <w:rPr>
          <w:rFonts w:hint="eastAsia" w:ascii="宋体" w:hAnsi="宋体" w:cs="宋体"/>
          <w:sz w:val="22"/>
          <w:szCs w:val="22"/>
        </w:rPr>
        <w:t>（格式自拟）</w:t>
      </w:r>
      <w:bookmarkEnd w:id="569"/>
    </w:p>
    <w:p>
      <w:pPr>
        <w:rPr>
          <w:rFonts w:ascii="宋体" w:hAnsi="宋体" w:cs="宋体"/>
          <w:sz w:val="30"/>
          <w:szCs w:val="30"/>
        </w:rPr>
      </w:pPr>
    </w:p>
    <w:p>
      <w:pPr>
        <w:rPr>
          <w:rFonts w:ascii="宋体" w:hAnsi="宋体" w:cs="宋体"/>
          <w:sz w:val="30"/>
          <w:szCs w:val="30"/>
        </w:rPr>
      </w:pPr>
      <w:bookmarkStart w:id="570" w:name="_Toc22444"/>
      <w:r>
        <w:rPr>
          <w:rFonts w:hint="eastAsia" w:ascii="宋体" w:hAnsi="宋体" w:cs="宋体"/>
          <w:sz w:val="30"/>
          <w:szCs w:val="30"/>
        </w:rPr>
        <w:br w:type="page"/>
      </w:r>
    </w:p>
    <w:p>
      <w:pPr>
        <w:pStyle w:val="4"/>
        <w:keepNext w:val="0"/>
        <w:keepLines w:val="0"/>
        <w:spacing w:line="360" w:lineRule="auto"/>
        <w:jc w:val="center"/>
        <w:rPr>
          <w:rFonts w:ascii="宋体" w:hAnsi="宋体" w:cs="宋体"/>
          <w:sz w:val="30"/>
          <w:szCs w:val="30"/>
        </w:rPr>
      </w:pPr>
      <w:bookmarkStart w:id="571" w:name="_Toc25255"/>
      <w:r>
        <w:rPr>
          <w:rFonts w:hint="eastAsia" w:ascii="宋体" w:hAnsi="宋体" w:cs="宋体"/>
          <w:sz w:val="30"/>
          <w:szCs w:val="30"/>
        </w:rPr>
        <w:t>四、报价文件格式</w:t>
      </w:r>
      <w:bookmarkEnd w:id="550"/>
      <w:bookmarkEnd w:id="551"/>
      <w:bookmarkEnd w:id="570"/>
      <w:bookmarkEnd w:id="571"/>
    </w:p>
    <w:p>
      <w:pPr>
        <w:pStyle w:val="2"/>
        <w:snapToGrid w:val="0"/>
        <w:spacing w:before="50" w:after="120"/>
        <w:ind w:firstLine="0"/>
        <w:rPr>
          <w:rFonts w:ascii="宋体" w:hAnsi="宋体" w:cs="宋体"/>
          <w:szCs w:val="21"/>
        </w:rPr>
      </w:pPr>
    </w:p>
    <w:p>
      <w:pPr>
        <w:jc w:val="center"/>
        <w:rPr>
          <w:rFonts w:ascii="宋体" w:hAnsi="宋体" w:cs="宋体"/>
          <w:b/>
          <w:sz w:val="24"/>
        </w:rPr>
      </w:pPr>
      <w:bookmarkStart w:id="572" w:name="_Toc303756461"/>
      <w:r>
        <w:rPr>
          <w:rFonts w:hint="eastAsia" w:ascii="宋体" w:hAnsi="宋体" w:cs="宋体"/>
          <w:b/>
          <w:sz w:val="24"/>
        </w:rPr>
        <w:t>报价文件封面</w:t>
      </w:r>
      <w:bookmarkEnd w:id="572"/>
    </w:p>
    <w:p>
      <w:pPr>
        <w:jc w:val="center"/>
        <w:rPr>
          <w:rFonts w:ascii="宋体" w:hAnsi="宋体" w:cs="宋体"/>
        </w:rPr>
      </w:pPr>
      <w:r>
        <w:rPr>
          <w:rFonts w:hint="eastAsia" w:ascii="宋体" w:hAnsi="宋体" w:cs="宋体"/>
        </w:rPr>
        <w:t>（格式）</w:t>
      </w:r>
    </w:p>
    <w:p>
      <w:pPr>
        <w:pStyle w:val="2"/>
        <w:snapToGrid w:val="0"/>
        <w:spacing w:before="50" w:after="120"/>
        <w:ind w:firstLine="0"/>
        <w:rPr>
          <w:rFonts w:ascii="宋体" w:hAnsi="宋体" w:cs="宋体"/>
          <w:szCs w:val="21"/>
        </w:rPr>
      </w:pPr>
    </w:p>
    <w:p>
      <w:pPr>
        <w:snapToGrid w:val="0"/>
        <w:spacing w:beforeLines="50" w:after="50"/>
        <w:jc w:val="center"/>
        <w:rPr>
          <w:rFonts w:ascii="宋体" w:hAnsi="宋体" w:cs="宋体"/>
          <w:sz w:val="24"/>
        </w:rPr>
      </w:pPr>
      <w:r>
        <w:rPr>
          <w:rFonts w:hint="eastAsia" w:ascii="宋体" w:hAnsi="宋体" w:cs="宋体"/>
          <w:sz w:val="24"/>
        </w:rPr>
        <w:t>报价文件</w:t>
      </w:r>
    </w:p>
    <w:p>
      <w:pPr>
        <w:spacing w:line="360" w:lineRule="auto"/>
        <w:rPr>
          <w:rFonts w:ascii="宋体" w:hAnsi="宋体" w:cs="宋体"/>
          <w:szCs w:val="21"/>
        </w:rPr>
      </w:pPr>
    </w:p>
    <w:p>
      <w:pPr>
        <w:pStyle w:val="42"/>
        <w:rPr>
          <w:rFonts w:ascii="宋体" w:hAnsi="宋体"/>
        </w:rPr>
      </w:pPr>
    </w:p>
    <w:p>
      <w:pPr>
        <w:spacing w:line="360" w:lineRule="auto"/>
        <w:ind w:firstLine="1799" w:firstLineChars="857"/>
        <w:rPr>
          <w:rFonts w:ascii="宋体" w:hAnsi="宋体" w:cs="宋体"/>
          <w:szCs w:val="21"/>
          <w:u w:val="single"/>
        </w:rPr>
      </w:pPr>
      <w:r>
        <w:rPr>
          <w:rFonts w:hint="eastAsia" w:ascii="宋体" w:hAnsi="宋体" w:cs="宋体"/>
          <w:szCs w:val="21"/>
        </w:rPr>
        <w:t>项目名称：</w:t>
      </w:r>
    </w:p>
    <w:p>
      <w:pPr>
        <w:spacing w:line="360" w:lineRule="auto"/>
        <w:ind w:firstLine="1799" w:firstLineChars="857"/>
        <w:rPr>
          <w:rFonts w:ascii="宋体" w:hAnsi="宋体" w:cs="宋体"/>
          <w:szCs w:val="21"/>
        </w:rPr>
      </w:pPr>
      <w:r>
        <w:rPr>
          <w:rFonts w:hint="eastAsia" w:ascii="宋体" w:hAnsi="宋体" w:cs="宋体"/>
          <w:szCs w:val="21"/>
        </w:rPr>
        <w:t>采购编号：</w:t>
      </w:r>
    </w:p>
    <w:p>
      <w:pPr>
        <w:spacing w:line="360" w:lineRule="auto"/>
        <w:ind w:firstLine="1799" w:firstLineChars="857"/>
        <w:rPr>
          <w:rFonts w:ascii="宋体" w:hAnsi="宋体" w:cs="宋体"/>
          <w:szCs w:val="21"/>
          <w:u w:val="single"/>
        </w:rPr>
      </w:pPr>
      <w:r>
        <w:rPr>
          <w:rFonts w:hint="eastAsia" w:ascii="宋体" w:hAnsi="宋体" w:cs="宋体"/>
          <w:szCs w:val="21"/>
        </w:rPr>
        <w:t>标段：</w:t>
      </w:r>
      <w:r>
        <w:rPr>
          <w:rFonts w:hint="eastAsia" w:ascii="宋体" w:hAnsi="宋体" w:cs="宋体"/>
          <w:szCs w:val="21"/>
          <w:u w:val="single"/>
        </w:rPr>
        <w:t>（若有）</w:t>
      </w:r>
    </w:p>
    <w:p>
      <w:pPr>
        <w:spacing w:line="360" w:lineRule="auto"/>
        <w:ind w:firstLine="1799" w:firstLineChars="857"/>
        <w:rPr>
          <w:rFonts w:ascii="宋体" w:hAnsi="宋体" w:cs="宋体"/>
          <w:szCs w:val="21"/>
          <w:u w:val="single"/>
        </w:rPr>
      </w:pPr>
      <w:r>
        <w:rPr>
          <w:rFonts w:hint="eastAsia" w:ascii="宋体" w:hAnsi="宋体" w:cs="宋体"/>
          <w:szCs w:val="21"/>
        </w:rPr>
        <w:t>供应商名称：</w:t>
      </w:r>
    </w:p>
    <w:p>
      <w:pPr>
        <w:spacing w:line="360" w:lineRule="auto"/>
        <w:ind w:firstLine="1799" w:firstLineChars="857"/>
        <w:rPr>
          <w:rFonts w:ascii="宋体" w:hAnsi="宋体" w:cs="宋体"/>
          <w:szCs w:val="21"/>
          <w:u w:val="single"/>
        </w:rPr>
      </w:pPr>
      <w:r>
        <w:rPr>
          <w:rFonts w:hint="eastAsia" w:ascii="宋体" w:hAnsi="宋体" w:cs="宋体"/>
          <w:szCs w:val="21"/>
        </w:rPr>
        <w:t>供应商地址：</w:t>
      </w:r>
    </w:p>
    <w:p>
      <w:pPr>
        <w:spacing w:line="360" w:lineRule="auto"/>
        <w:ind w:firstLine="1799" w:firstLineChars="857"/>
        <w:rPr>
          <w:rFonts w:ascii="宋体" w:hAnsi="宋体" w:cs="宋体"/>
          <w:szCs w:val="21"/>
          <w:u w:val="single"/>
        </w:rPr>
      </w:pPr>
      <w:r>
        <w:rPr>
          <w:rFonts w:hint="eastAsia" w:ascii="宋体" w:hAnsi="宋体" w:cs="宋体"/>
          <w:szCs w:val="21"/>
        </w:rPr>
        <w:t>邮编：</w:t>
      </w:r>
    </w:p>
    <w:p>
      <w:pPr>
        <w:spacing w:line="360" w:lineRule="auto"/>
        <w:ind w:firstLine="1799" w:firstLineChars="857"/>
        <w:rPr>
          <w:rFonts w:ascii="宋体" w:hAnsi="宋体" w:cs="宋体"/>
          <w:szCs w:val="21"/>
          <w:u w:val="single"/>
        </w:rPr>
      </w:pPr>
    </w:p>
    <w:p>
      <w:pPr>
        <w:spacing w:line="360" w:lineRule="auto"/>
        <w:jc w:val="center"/>
        <w:rPr>
          <w:rFonts w:ascii="宋体" w:hAnsi="宋体" w:cs="宋体"/>
          <w:szCs w:val="21"/>
        </w:rPr>
      </w:pPr>
      <w:r>
        <w:rPr>
          <w:rFonts w:hint="eastAsia" w:ascii="宋体" w:hAnsi="宋体" w:cs="宋体"/>
          <w:szCs w:val="21"/>
        </w:rPr>
        <w:t>年  月  日</w:t>
      </w:r>
    </w:p>
    <w:p>
      <w:pPr>
        <w:spacing w:line="360" w:lineRule="auto"/>
        <w:jc w:val="center"/>
        <w:rPr>
          <w:rFonts w:ascii="宋体" w:hAnsi="宋体" w:cs="宋体"/>
          <w:b/>
          <w:szCs w:val="21"/>
        </w:rPr>
        <w:sectPr>
          <w:pgSz w:w="11906" w:h="16838"/>
          <w:pgMar w:top="1417" w:right="1417" w:bottom="1134" w:left="1417" w:header="851" w:footer="850" w:gutter="0"/>
          <w:cols w:space="720" w:num="1"/>
          <w:titlePg/>
          <w:docGrid w:linePitch="312" w:charSpace="0"/>
        </w:sectPr>
      </w:pPr>
    </w:p>
    <w:p>
      <w:pPr>
        <w:jc w:val="center"/>
        <w:rPr>
          <w:rFonts w:ascii="宋体" w:hAnsi="宋体" w:cs="宋体"/>
          <w:b/>
          <w:sz w:val="28"/>
          <w:szCs w:val="28"/>
        </w:rPr>
      </w:pPr>
      <w:bookmarkStart w:id="573" w:name="_Toc303756462"/>
      <w:r>
        <w:rPr>
          <w:rFonts w:hint="eastAsia" w:ascii="宋体" w:hAnsi="宋体" w:cs="宋体"/>
          <w:b/>
          <w:sz w:val="28"/>
          <w:szCs w:val="28"/>
        </w:rPr>
        <w:t>报价文件目录</w:t>
      </w:r>
      <w:bookmarkEnd w:id="573"/>
    </w:p>
    <w:p>
      <w:pPr>
        <w:spacing w:line="360" w:lineRule="auto"/>
        <w:rPr>
          <w:rFonts w:ascii="宋体" w:hAnsi="宋体" w:cs="宋体"/>
          <w:szCs w:val="21"/>
        </w:rPr>
      </w:pPr>
    </w:p>
    <w:p>
      <w:pPr>
        <w:spacing w:line="360" w:lineRule="auto"/>
        <w:rPr>
          <w:rFonts w:ascii="宋体" w:hAnsi="宋体" w:cs="宋体"/>
          <w:szCs w:val="21"/>
        </w:rPr>
      </w:pPr>
    </w:p>
    <w:p>
      <w:pPr>
        <w:spacing w:line="360" w:lineRule="auto"/>
        <w:ind w:firstLine="420" w:firstLineChars="200"/>
        <w:rPr>
          <w:rFonts w:ascii="宋体" w:hAnsi="宋体" w:cs="宋体"/>
          <w:bCs/>
          <w:szCs w:val="21"/>
        </w:rPr>
      </w:pPr>
      <w:r>
        <w:rPr>
          <w:rFonts w:hint="eastAsia" w:ascii="宋体" w:hAnsi="宋体" w:cs="宋体"/>
          <w:bCs/>
          <w:szCs w:val="21"/>
        </w:rPr>
        <w:t>（1）磋商一览表</w:t>
      </w:r>
    </w:p>
    <w:p>
      <w:pPr>
        <w:spacing w:line="360" w:lineRule="auto"/>
        <w:ind w:firstLine="420" w:firstLineChars="200"/>
        <w:rPr>
          <w:rFonts w:ascii="宋体" w:hAnsi="宋体" w:cs="宋体"/>
          <w:bCs/>
          <w:szCs w:val="21"/>
        </w:rPr>
      </w:pPr>
      <w:r>
        <w:rPr>
          <w:rFonts w:hint="eastAsia" w:ascii="宋体" w:hAnsi="宋体" w:cs="宋体"/>
          <w:bCs/>
          <w:szCs w:val="21"/>
        </w:rPr>
        <w:t>（2）投标分项报价表</w:t>
      </w:r>
    </w:p>
    <w:p>
      <w:pPr>
        <w:spacing w:line="360" w:lineRule="auto"/>
        <w:ind w:firstLine="420" w:firstLineChars="200"/>
        <w:rPr>
          <w:rFonts w:ascii="宋体" w:hAnsi="宋体" w:cs="宋体"/>
          <w:bCs/>
          <w:szCs w:val="21"/>
        </w:rPr>
      </w:pPr>
      <w:r>
        <w:rPr>
          <w:rFonts w:hint="eastAsia" w:ascii="宋体" w:hAnsi="宋体" w:cs="宋体"/>
          <w:bCs/>
          <w:szCs w:val="21"/>
        </w:rPr>
        <w:t>（3）供应商针对报价需要说明的其他文件和说明</w:t>
      </w:r>
    </w:p>
    <w:p>
      <w:pPr>
        <w:spacing w:line="360" w:lineRule="auto"/>
        <w:ind w:firstLine="420" w:firstLineChars="200"/>
        <w:rPr>
          <w:rFonts w:ascii="宋体" w:hAnsi="宋体" w:cs="宋体"/>
          <w:bCs/>
          <w:szCs w:val="21"/>
        </w:rPr>
        <w:sectPr>
          <w:pgSz w:w="11906" w:h="16838"/>
          <w:pgMar w:top="1417" w:right="1417" w:bottom="1134" w:left="1417" w:header="851" w:footer="850" w:gutter="0"/>
          <w:cols w:space="720" w:num="1"/>
          <w:titlePg/>
          <w:docGrid w:linePitch="312" w:charSpace="0"/>
        </w:sectPr>
      </w:pPr>
    </w:p>
    <w:p>
      <w:pPr>
        <w:jc w:val="center"/>
        <w:rPr>
          <w:rFonts w:ascii="宋体" w:hAnsi="宋体" w:cs="宋体"/>
          <w:b/>
          <w:szCs w:val="21"/>
        </w:rPr>
      </w:pPr>
      <w:r>
        <w:rPr>
          <w:rFonts w:hint="eastAsia" w:ascii="宋体" w:hAnsi="宋体" w:cs="宋体"/>
          <w:b/>
          <w:szCs w:val="21"/>
        </w:rPr>
        <w:t>1、磋商一览表</w:t>
      </w:r>
    </w:p>
    <w:p>
      <w:pPr>
        <w:spacing w:line="360" w:lineRule="auto"/>
        <w:jc w:val="left"/>
        <w:rPr>
          <w:rFonts w:ascii="宋体" w:hAnsi="宋体" w:cs="宋体"/>
          <w:szCs w:val="21"/>
        </w:rPr>
      </w:pPr>
      <w:bookmarkStart w:id="574" w:name="_Toc15166"/>
      <w:r>
        <w:rPr>
          <w:rFonts w:hint="eastAsia" w:ascii="宋体" w:hAnsi="宋体" w:cs="宋体"/>
          <w:szCs w:val="21"/>
        </w:rPr>
        <w:t>项目编号：</w:t>
      </w:r>
      <w:r>
        <w:rPr>
          <w:rFonts w:hint="eastAsia" w:ascii="宋体" w:hAnsi="宋体" w:cs="宋体"/>
          <w:szCs w:val="21"/>
          <w:u w:val="single"/>
        </w:rPr>
        <w:t xml:space="preserve">           </w:t>
      </w:r>
    </w:p>
    <w:p>
      <w:pPr>
        <w:spacing w:line="360" w:lineRule="auto"/>
        <w:jc w:val="left"/>
        <w:rPr>
          <w:rFonts w:ascii="宋体" w:hAnsi="宋体" w:cs="宋体"/>
          <w:szCs w:val="21"/>
        </w:rPr>
      </w:pPr>
      <w:r>
        <w:rPr>
          <w:rFonts w:hint="eastAsia" w:ascii="宋体" w:hAnsi="宋体" w:cs="宋体"/>
          <w:szCs w:val="21"/>
        </w:rPr>
        <w:t>项目名称：</w:t>
      </w:r>
      <w:r>
        <w:rPr>
          <w:rFonts w:hint="eastAsia" w:ascii="宋体" w:hAnsi="宋体" w:cs="宋体"/>
          <w:szCs w:val="21"/>
          <w:u w:val="single"/>
        </w:rPr>
        <w:t xml:space="preserve">           </w:t>
      </w:r>
      <w:r>
        <w:rPr>
          <w:rFonts w:hint="eastAsia" w:ascii="宋体" w:hAnsi="宋体" w:cs="宋体"/>
          <w:szCs w:val="21"/>
        </w:rPr>
        <w:t xml:space="preserve">               </w:t>
      </w:r>
    </w:p>
    <w:tbl>
      <w:tblPr>
        <w:tblStyle w:val="43"/>
        <w:tblW w:w="0" w:type="auto"/>
        <w:jc w:val="center"/>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2716"/>
        <w:gridCol w:w="6289"/>
      </w:tblGrid>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730" w:hRule="atLeast"/>
          <w:jc w:val="center"/>
        </w:trPr>
        <w:tc>
          <w:tcPr>
            <w:tcW w:w="2716" w:type="dxa"/>
            <w:tcBorders>
              <w:top w:val="double" w:color="000000" w:sz="6" w:space="0"/>
              <w:left w:val="double" w:color="000000" w:sz="6" w:space="0"/>
              <w:bottom w:val="single" w:color="000000" w:sz="6" w:space="0"/>
              <w:right w:val="single" w:color="000000" w:sz="6" w:space="0"/>
            </w:tcBorders>
            <w:vAlign w:val="center"/>
          </w:tcPr>
          <w:p>
            <w:pPr>
              <w:pStyle w:val="188"/>
              <w:tabs>
                <w:tab w:val="left" w:pos="420"/>
                <w:tab w:val="center" w:pos="4153"/>
                <w:tab w:val="right" w:pos="8306"/>
              </w:tabs>
              <w:adjustRightInd w:val="0"/>
              <w:jc w:val="center"/>
              <w:rPr>
                <w:rFonts w:ascii="宋体" w:hAnsi="宋体" w:cs="宋体"/>
                <w:szCs w:val="21"/>
              </w:rPr>
            </w:pPr>
            <w:r>
              <w:rPr>
                <w:rFonts w:hint="eastAsia" w:ascii="宋体" w:hAnsi="宋体" w:eastAsia="宋体" w:cs="宋体"/>
                <w:caps/>
                <w:color w:val="auto"/>
                <w:spacing w:val="20"/>
                <w:kern w:val="0"/>
                <w:sz w:val="24"/>
                <w:szCs w:val="24"/>
                <w:highlight w:val="none"/>
              </w:rPr>
              <w:t>名称</w:t>
            </w:r>
          </w:p>
        </w:tc>
        <w:tc>
          <w:tcPr>
            <w:tcW w:w="6289" w:type="dxa"/>
            <w:tcBorders>
              <w:top w:val="double" w:color="000000" w:sz="6" w:space="0"/>
              <w:left w:val="single" w:color="000000" w:sz="6" w:space="0"/>
              <w:bottom w:val="single" w:color="000000" w:sz="6" w:space="0"/>
              <w:right w:val="double" w:color="000000" w:sz="6" w:space="0"/>
            </w:tcBorders>
            <w:vAlign w:val="center"/>
          </w:tcPr>
          <w:p>
            <w:pPr>
              <w:pStyle w:val="188"/>
              <w:jc w:val="center"/>
              <w:rPr>
                <w:rFonts w:ascii="宋体" w:hAnsi="宋体" w:cs="宋体"/>
                <w:szCs w:val="21"/>
              </w:rPr>
            </w:pPr>
            <w:r>
              <w:rPr>
                <w:rFonts w:hint="eastAsia" w:ascii="宋体" w:hAnsi="宋体" w:eastAsia="宋体" w:cs="宋体"/>
                <w:caps/>
                <w:color w:val="auto"/>
                <w:spacing w:val="20"/>
                <w:sz w:val="24"/>
                <w:szCs w:val="24"/>
                <w:highlight w:val="none"/>
              </w:rPr>
              <w:t>总报价</w:t>
            </w: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1091" w:hRule="atLeast"/>
          <w:jc w:val="center"/>
        </w:trPr>
        <w:tc>
          <w:tcPr>
            <w:tcW w:w="2716" w:type="dxa"/>
            <w:tcBorders>
              <w:top w:val="single" w:color="000000" w:sz="6" w:space="0"/>
              <w:left w:val="double" w:color="000000" w:sz="6" w:space="0"/>
              <w:bottom w:val="double" w:color="000000" w:sz="6" w:space="0"/>
              <w:right w:val="single" w:color="000000" w:sz="6" w:space="0"/>
            </w:tcBorders>
            <w:vAlign w:val="center"/>
          </w:tcPr>
          <w:p>
            <w:pPr>
              <w:pStyle w:val="188"/>
              <w:spacing w:line="360" w:lineRule="auto"/>
              <w:jc w:val="center"/>
              <w:rPr>
                <w:rFonts w:ascii="宋体" w:hAnsi="宋体" w:cs="宋体"/>
                <w:szCs w:val="21"/>
              </w:rPr>
            </w:pPr>
            <w:r>
              <w:rPr>
                <w:rFonts w:hint="eastAsia" w:ascii="宋体" w:hAnsi="宋体" w:eastAsia="宋体" w:cs="宋体"/>
                <w:color w:val="auto"/>
                <w:spacing w:val="20"/>
                <w:sz w:val="24"/>
                <w:szCs w:val="24"/>
                <w:highlight w:val="none"/>
              </w:rPr>
              <w:t>项目总报价</w:t>
            </w:r>
          </w:p>
        </w:tc>
        <w:tc>
          <w:tcPr>
            <w:tcW w:w="6289" w:type="dxa"/>
            <w:tcBorders>
              <w:top w:val="single" w:color="000000" w:sz="6" w:space="0"/>
              <w:left w:val="single" w:color="000000" w:sz="6" w:space="0"/>
              <w:bottom w:val="double" w:color="000000" w:sz="6" w:space="0"/>
              <w:right w:val="double" w:color="000000" w:sz="6" w:space="0"/>
            </w:tcBorders>
            <w:vAlign w:val="center"/>
          </w:tcPr>
          <w:p>
            <w:pPr>
              <w:pStyle w:val="188"/>
              <w:spacing w:line="360" w:lineRule="auto"/>
              <w:rPr>
                <w:rFonts w:ascii="宋体" w:hAnsi="宋体" w:cs="宋体"/>
                <w:szCs w:val="21"/>
              </w:rPr>
            </w:pPr>
            <w:r>
              <w:rPr>
                <w:rFonts w:hint="eastAsia" w:ascii="宋体" w:hAnsi="宋体" w:eastAsia="宋体" w:cs="宋体"/>
                <w:color w:val="auto"/>
                <w:spacing w:val="20"/>
                <w:sz w:val="24"/>
                <w:szCs w:val="24"/>
                <w:highlight w:val="none"/>
              </w:rPr>
              <w:t>大写：                （￥           ）</w:t>
            </w:r>
          </w:p>
        </w:tc>
      </w:tr>
    </w:tbl>
    <w:p>
      <w:pPr>
        <w:spacing w:line="360" w:lineRule="auto"/>
        <w:ind w:firstLine="420" w:firstLineChars="200"/>
        <w:jc w:val="left"/>
        <w:rPr>
          <w:rFonts w:hint="eastAsia" w:ascii="宋体" w:hAnsi="宋体" w:cs="宋体"/>
          <w:bCs/>
          <w:szCs w:val="21"/>
        </w:rPr>
      </w:pPr>
      <w:r>
        <w:rPr>
          <w:rFonts w:hint="eastAsia" w:ascii="宋体" w:hAnsi="宋体" w:cs="宋体"/>
          <w:bCs/>
          <w:szCs w:val="21"/>
        </w:rPr>
        <w:t>注：</w:t>
      </w:r>
    </w:p>
    <w:p>
      <w:pPr>
        <w:spacing w:line="360" w:lineRule="auto"/>
        <w:ind w:firstLine="420" w:firstLineChars="200"/>
        <w:jc w:val="left"/>
        <w:rPr>
          <w:rFonts w:hint="eastAsia" w:ascii="宋体" w:hAnsi="宋体" w:cs="宋体"/>
          <w:bCs/>
          <w:szCs w:val="21"/>
        </w:rPr>
      </w:pPr>
      <w:r>
        <w:rPr>
          <w:rFonts w:hint="eastAsia" w:ascii="宋体" w:hAnsi="宋体" w:cs="宋体"/>
          <w:bCs/>
          <w:szCs w:val="21"/>
        </w:rPr>
        <w:t>▲</w:t>
      </w:r>
      <w:r>
        <w:rPr>
          <w:rFonts w:hint="eastAsia" w:ascii="宋体" w:hAnsi="宋体" w:cs="宋体"/>
          <w:bCs/>
          <w:szCs w:val="21"/>
          <w:lang w:val="en-US" w:eastAsia="zh-CN"/>
        </w:rPr>
        <w:t>1</w:t>
      </w:r>
      <w:r>
        <w:rPr>
          <w:rFonts w:hint="eastAsia" w:ascii="宋体" w:hAnsi="宋体" w:cs="宋体"/>
          <w:bCs/>
          <w:szCs w:val="21"/>
        </w:rPr>
        <w:t>.报价一经涂改，应在涂改处加盖单位电子章，否则不得推荐为成交候选人。</w:t>
      </w:r>
    </w:p>
    <w:p>
      <w:pPr>
        <w:spacing w:line="360" w:lineRule="auto"/>
        <w:ind w:firstLine="420" w:firstLineChars="200"/>
        <w:jc w:val="left"/>
        <w:rPr>
          <w:rFonts w:hint="eastAsia" w:ascii="宋体" w:hAnsi="宋体" w:cs="宋体"/>
          <w:bCs/>
          <w:szCs w:val="21"/>
        </w:rPr>
      </w:pPr>
      <w:r>
        <w:rPr>
          <w:rFonts w:hint="eastAsia" w:ascii="宋体" w:hAnsi="宋体" w:cs="宋体"/>
          <w:bCs/>
          <w:szCs w:val="21"/>
        </w:rPr>
        <w:t>▲</w:t>
      </w:r>
      <w:r>
        <w:rPr>
          <w:rFonts w:hint="eastAsia" w:ascii="宋体" w:hAnsi="宋体" w:cs="宋体"/>
          <w:bCs/>
          <w:szCs w:val="21"/>
          <w:lang w:val="en-US" w:eastAsia="zh-CN"/>
        </w:rPr>
        <w:t>2</w:t>
      </w:r>
      <w:r>
        <w:rPr>
          <w:rFonts w:hint="eastAsia" w:ascii="宋体" w:hAnsi="宋体" w:cs="宋体"/>
          <w:bCs/>
          <w:szCs w:val="21"/>
        </w:rPr>
        <w:t>.投标总价是指投标人为正确地履行所有合同义务后的价款，包含完成本项目所需的</w:t>
      </w:r>
      <w:r>
        <w:rPr>
          <w:rFonts w:hint="eastAsia" w:ascii="宋体" w:hAnsi="宋体" w:cs="宋体"/>
          <w:bCs/>
          <w:szCs w:val="21"/>
          <w:lang w:eastAsia="zh-CN"/>
        </w:rPr>
        <w:t>产品购置费、</w:t>
      </w:r>
      <w:r>
        <w:rPr>
          <w:rFonts w:hint="eastAsia" w:ascii="宋体" w:hAnsi="宋体" w:cs="宋体"/>
          <w:bCs/>
          <w:szCs w:val="21"/>
        </w:rPr>
        <w:t>工具投入使用、人员服务费、交通费、税金、招标代理服务费等全部费用。</w:t>
      </w:r>
    </w:p>
    <w:p>
      <w:pPr>
        <w:spacing w:line="360" w:lineRule="auto"/>
        <w:ind w:firstLine="420" w:firstLineChars="200"/>
        <w:jc w:val="left"/>
        <w:rPr>
          <w:rFonts w:ascii="宋体" w:hAnsi="宋体" w:cs="宋体"/>
          <w:bCs/>
          <w:szCs w:val="21"/>
        </w:rPr>
      </w:pPr>
    </w:p>
    <w:p>
      <w:pPr>
        <w:pStyle w:val="188"/>
        <w:spacing w:line="440" w:lineRule="exact"/>
        <w:ind w:firstLine="210" w:firstLineChars="100"/>
        <w:rPr>
          <w:rFonts w:ascii="宋体" w:hAnsi="宋体" w:cs="宋体"/>
          <w:szCs w:val="21"/>
        </w:rPr>
      </w:pPr>
    </w:p>
    <w:p>
      <w:pPr>
        <w:pStyle w:val="188"/>
        <w:spacing w:line="440" w:lineRule="exact"/>
        <w:ind w:firstLine="8347" w:firstLineChars="3975"/>
        <w:rPr>
          <w:rFonts w:ascii="宋体" w:hAnsi="宋体" w:cs="宋体"/>
          <w:szCs w:val="21"/>
        </w:rPr>
      </w:pPr>
      <w:r>
        <w:rPr>
          <w:rFonts w:hint="eastAsia" w:ascii="宋体" w:hAnsi="宋体" w:cs="宋体"/>
          <w:szCs w:val="21"/>
        </w:rPr>
        <w:t xml:space="preserve">                                     </w:t>
      </w:r>
    </w:p>
    <w:p>
      <w:pPr>
        <w:pStyle w:val="20"/>
        <w:spacing w:before="120" w:after="120" w:line="360" w:lineRule="auto"/>
        <w:ind w:firstLine="1500" w:firstLineChars="600"/>
        <w:rPr>
          <w:rFonts w:hAnsi="宋体" w:cs="宋体"/>
          <w:spacing w:val="20"/>
          <w:sz w:val="21"/>
          <w:szCs w:val="21"/>
        </w:rPr>
      </w:pPr>
      <w:r>
        <w:rPr>
          <w:rFonts w:hint="eastAsia" w:hAnsi="宋体" w:cs="宋体"/>
          <w:spacing w:val="20"/>
          <w:sz w:val="21"/>
          <w:szCs w:val="21"/>
        </w:rPr>
        <w:t>法定代表人（或授权委托人）签字或盖章：</w:t>
      </w:r>
      <w:r>
        <w:rPr>
          <w:rFonts w:hint="eastAsia" w:hAnsi="宋体" w:cs="宋体"/>
          <w:spacing w:val="20"/>
          <w:sz w:val="21"/>
          <w:szCs w:val="21"/>
          <w:u w:val="single"/>
        </w:rPr>
        <w:t xml:space="preserve">            </w:t>
      </w:r>
      <w:r>
        <w:rPr>
          <w:rFonts w:hint="eastAsia" w:hAnsi="宋体" w:cs="宋体"/>
          <w:spacing w:val="20"/>
          <w:sz w:val="21"/>
          <w:szCs w:val="21"/>
        </w:rPr>
        <w:t xml:space="preserve"> </w:t>
      </w:r>
    </w:p>
    <w:p>
      <w:pPr>
        <w:pStyle w:val="20"/>
        <w:spacing w:before="120" w:after="120" w:line="360" w:lineRule="auto"/>
        <w:ind w:firstLine="4750" w:firstLineChars="1900"/>
        <w:rPr>
          <w:rFonts w:hAnsi="宋体" w:cs="宋体"/>
          <w:spacing w:val="20"/>
          <w:sz w:val="21"/>
          <w:szCs w:val="21"/>
          <w:u w:val="single"/>
        </w:rPr>
      </w:pPr>
      <w:r>
        <w:rPr>
          <w:rFonts w:hint="eastAsia" w:hAnsi="宋体" w:cs="宋体"/>
          <w:spacing w:val="20"/>
          <w:sz w:val="21"/>
          <w:szCs w:val="21"/>
        </w:rPr>
        <w:t>供应商盖章：</w:t>
      </w:r>
      <w:r>
        <w:rPr>
          <w:rFonts w:hint="eastAsia" w:hAnsi="宋体" w:cs="宋体"/>
          <w:spacing w:val="20"/>
          <w:sz w:val="21"/>
          <w:szCs w:val="21"/>
          <w:u w:val="single"/>
        </w:rPr>
        <w:t xml:space="preserve">            </w:t>
      </w:r>
    </w:p>
    <w:p>
      <w:pPr>
        <w:spacing w:line="360" w:lineRule="auto"/>
        <w:ind w:firstLine="4750" w:firstLineChars="1900"/>
        <w:rPr>
          <w:rFonts w:ascii="宋体" w:hAnsi="宋体" w:cs="宋体"/>
          <w:b/>
          <w:bCs/>
          <w:szCs w:val="21"/>
        </w:rPr>
      </w:pPr>
      <w:r>
        <w:rPr>
          <w:rFonts w:hint="eastAsia" w:ascii="宋体" w:hAnsi="宋体" w:cs="宋体"/>
          <w:spacing w:val="20"/>
          <w:szCs w:val="21"/>
        </w:rPr>
        <w:t>日     期：</w:t>
      </w:r>
      <w:r>
        <w:rPr>
          <w:rFonts w:hint="eastAsia" w:ascii="宋体" w:hAnsi="宋体" w:cs="宋体"/>
          <w:spacing w:val="20"/>
          <w:szCs w:val="21"/>
          <w:u w:val="single"/>
        </w:rPr>
        <w:t xml:space="preserve">            </w:t>
      </w:r>
    </w:p>
    <w:p>
      <w:pPr>
        <w:keepNext/>
        <w:keepLines/>
        <w:snapToGrid w:val="0"/>
        <w:jc w:val="left"/>
        <w:rPr>
          <w:rFonts w:ascii="宋体" w:hAnsi="宋体" w:cs="宋体"/>
          <w:sz w:val="24"/>
        </w:rPr>
      </w:pPr>
      <w:r>
        <w:rPr>
          <w:rFonts w:hint="eastAsia" w:ascii="宋体" w:hAnsi="宋体" w:cs="宋体"/>
          <w:sz w:val="24"/>
        </w:rPr>
        <w:br w:type="page"/>
      </w:r>
      <w:r>
        <w:rPr>
          <w:rFonts w:hint="eastAsia" w:ascii="宋体" w:hAnsi="宋体" w:cs="宋体"/>
          <w:sz w:val="24"/>
        </w:rPr>
        <w:t>2、投标分项报价表</w:t>
      </w:r>
      <w:bookmarkEnd w:id="574"/>
    </w:p>
    <w:p>
      <w:pPr>
        <w:spacing w:line="360" w:lineRule="auto"/>
        <w:jc w:val="center"/>
        <w:rPr>
          <w:rFonts w:ascii="宋体" w:hAnsi="宋体" w:cs="宋体"/>
          <w:iCs/>
          <w:szCs w:val="21"/>
        </w:rPr>
      </w:pPr>
      <w:r>
        <w:rPr>
          <w:rFonts w:hint="eastAsia" w:ascii="宋体" w:hAnsi="宋体" w:cs="宋体"/>
          <w:iCs/>
          <w:szCs w:val="21"/>
        </w:rPr>
        <w:t>（格式自行编制）</w:t>
      </w:r>
    </w:p>
    <w:p>
      <w:pPr>
        <w:pStyle w:val="206"/>
        <w:spacing w:line="360" w:lineRule="auto"/>
        <w:ind w:firstLine="440" w:firstLineChars="200"/>
        <w:rPr>
          <w:rFonts w:ascii="宋体" w:hAnsi="宋体" w:eastAsia="宋体" w:cs="宋体"/>
          <w:b/>
          <w:bCs/>
          <w:kern w:val="2"/>
          <w:sz w:val="22"/>
          <w:szCs w:val="22"/>
        </w:rPr>
      </w:pPr>
      <w:r>
        <w:rPr>
          <w:rFonts w:hint="eastAsia" w:ascii="宋体" w:hAnsi="宋体" w:eastAsia="宋体" w:cs="宋体"/>
          <w:kern w:val="2"/>
          <w:sz w:val="22"/>
          <w:szCs w:val="22"/>
        </w:rPr>
        <w:t>注：1、投标人需按“总报价表”的报价，对“</w:t>
      </w:r>
      <w:r>
        <w:rPr>
          <w:rFonts w:hint="eastAsia" w:ascii="宋体" w:hAnsi="宋体" w:eastAsia="宋体" w:cs="宋体"/>
          <w:sz w:val="22"/>
          <w:szCs w:val="22"/>
          <w:lang w:eastAsia="zh-CN"/>
        </w:rPr>
        <w:t>缙云县公安局雪亮工程六、八期升级改造项目</w:t>
      </w:r>
      <w:r>
        <w:rPr>
          <w:rFonts w:hint="eastAsia" w:ascii="宋体" w:hAnsi="宋体" w:eastAsia="宋体" w:cs="宋体"/>
          <w:kern w:val="2"/>
          <w:sz w:val="22"/>
          <w:szCs w:val="22"/>
        </w:rPr>
        <w:t>”的</w:t>
      </w:r>
      <w:r>
        <w:rPr>
          <w:rFonts w:hint="eastAsia" w:ascii="宋体" w:hAnsi="宋体" w:eastAsia="宋体" w:cs="宋体"/>
          <w:b/>
          <w:bCs/>
          <w:kern w:val="2"/>
          <w:sz w:val="22"/>
          <w:szCs w:val="22"/>
        </w:rPr>
        <w:t>分项报价分别进行详细列表说明。</w:t>
      </w:r>
    </w:p>
    <w:p>
      <w:pPr>
        <w:spacing w:line="360" w:lineRule="auto"/>
        <w:jc w:val="left"/>
        <w:rPr>
          <w:rFonts w:ascii="宋体" w:hAnsi="宋体" w:cs="宋体"/>
          <w:spacing w:val="20"/>
          <w:sz w:val="22"/>
          <w:szCs w:val="22"/>
        </w:rPr>
      </w:pPr>
    </w:p>
    <w:p>
      <w:pPr>
        <w:pStyle w:val="2"/>
        <w:rPr>
          <w:rFonts w:ascii="宋体" w:hAnsi="宋体" w:cs="宋体"/>
          <w:spacing w:val="20"/>
          <w:sz w:val="22"/>
          <w:szCs w:val="22"/>
        </w:rPr>
      </w:pPr>
    </w:p>
    <w:p>
      <w:pPr>
        <w:pStyle w:val="2"/>
        <w:rPr>
          <w:rFonts w:ascii="宋体" w:hAnsi="宋体" w:cs="宋体"/>
          <w:spacing w:val="20"/>
          <w:sz w:val="22"/>
          <w:szCs w:val="22"/>
        </w:rPr>
      </w:pPr>
    </w:p>
    <w:p>
      <w:pPr>
        <w:pStyle w:val="2"/>
        <w:rPr>
          <w:rFonts w:ascii="宋体" w:hAnsi="宋体" w:cs="宋体"/>
          <w:spacing w:val="20"/>
          <w:sz w:val="22"/>
          <w:szCs w:val="22"/>
        </w:rPr>
      </w:pPr>
    </w:p>
    <w:p>
      <w:pPr>
        <w:pStyle w:val="2"/>
        <w:rPr>
          <w:rFonts w:ascii="宋体" w:hAnsi="宋体" w:cs="宋体"/>
          <w:spacing w:val="20"/>
          <w:sz w:val="22"/>
          <w:szCs w:val="22"/>
        </w:rPr>
      </w:pPr>
    </w:p>
    <w:p>
      <w:pPr>
        <w:pStyle w:val="20"/>
        <w:spacing w:before="120" w:after="120" w:line="360" w:lineRule="auto"/>
        <w:ind w:firstLine="1560" w:firstLineChars="600"/>
        <w:rPr>
          <w:rFonts w:hAnsi="宋体" w:cs="宋体"/>
          <w:spacing w:val="20"/>
          <w:sz w:val="22"/>
          <w:szCs w:val="22"/>
        </w:rPr>
      </w:pPr>
      <w:r>
        <w:rPr>
          <w:rFonts w:hint="eastAsia" w:hAnsi="宋体" w:cs="宋体"/>
          <w:spacing w:val="20"/>
          <w:sz w:val="22"/>
          <w:szCs w:val="22"/>
        </w:rPr>
        <w:t>法定代表人（或授权委托人）签字或盖章：</w:t>
      </w:r>
      <w:r>
        <w:rPr>
          <w:rFonts w:hint="eastAsia" w:hAnsi="宋体" w:cs="宋体"/>
          <w:spacing w:val="20"/>
          <w:sz w:val="22"/>
          <w:szCs w:val="22"/>
          <w:u w:val="single"/>
        </w:rPr>
        <w:t xml:space="preserve">            </w:t>
      </w:r>
      <w:r>
        <w:rPr>
          <w:rFonts w:hint="eastAsia" w:hAnsi="宋体" w:cs="宋体"/>
          <w:spacing w:val="20"/>
          <w:sz w:val="22"/>
          <w:szCs w:val="22"/>
        </w:rPr>
        <w:t xml:space="preserve"> </w:t>
      </w:r>
    </w:p>
    <w:p>
      <w:pPr>
        <w:pStyle w:val="20"/>
        <w:spacing w:before="120" w:after="120" w:line="360" w:lineRule="auto"/>
        <w:ind w:firstLine="4940" w:firstLineChars="1900"/>
        <w:rPr>
          <w:rFonts w:hAnsi="宋体" w:cs="宋体"/>
          <w:spacing w:val="20"/>
          <w:sz w:val="22"/>
          <w:szCs w:val="22"/>
          <w:u w:val="single"/>
        </w:rPr>
      </w:pPr>
      <w:r>
        <w:rPr>
          <w:rFonts w:hint="eastAsia" w:hAnsi="宋体" w:cs="宋体"/>
          <w:spacing w:val="20"/>
          <w:sz w:val="22"/>
          <w:szCs w:val="22"/>
        </w:rPr>
        <w:t>供应商盖章：</w:t>
      </w:r>
      <w:r>
        <w:rPr>
          <w:rFonts w:hint="eastAsia" w:hAnsi="宋体" w:cs="宋体"/>
          <w:spacing w:val="20"/>
          <w:sz w:val="22"/>
          <w:szCs w:val="22"/>
          <w:u w:val="single"/>
        </w:rPr>
        <w:t xml:space="preserve">            </w:t>
      </w:r>
    </w:p>
    <w:p>
      <w:pPr>
        <w:spacing w:line="360" w:lineRule="auto"/>
        <w:ind w:firstLine="4940" w:firstLineChars="1900"/>
        <w:rPr>
          <w:rFonts w:ascii="宋体" w:hAnsi="宋体" w:cs="宋体"/>
          <w:b/>
          <w:bCs/>
          <w:sz w:val="22"/>
          <w:szCs w:val="22"/>
        </w:rPr>
      </w:pPr>
      <w:r>
        <w:rPr>
          <w:rFonts w:hint="eastAsia" w:ascii="宋体" w:hAnsi="宋体" w:cs="宋体"/>
          <w:spacing w:val="20"/>
          <w:sz w:val="22"/>
          <w:szCs w:val="22"/>
        </w:rPr>
        <w:t>日     期：</w:t>
      </w:r>
      <w:r>
        <w:rPr>
          <w:rFonts w:hint="eastAsia" w:ascii="宋体" w:hAnsi="宋体" w:cs="宋体"/>
          <w:spacing w:val="20"/>
          <w:sz w:val="22"/>
          <w:szCs w:val="22"/>
          <w:u w:val="single"/>
        </w:rPr>
        <w:t xml:space="preserve">            </w:t>
      </w:r>
    </w:p>
    <w:p>
      <w:pPr>
        <w:pStyle w:val="144"/>
        <w:wordWrap w:val="0"/>
        <w:spacing w:line="360" w:lineRule="auto"/>
        <w:ind w:firstLine="480"/>
        <w:jc w:val="right"/>
        <w:rPr>
          <w:rFonts w:ascii="宋体" w:hAnsi="宋体" w:cs="宋体"/>
          <w:sz w:val="24"/>
          <w:u w:val="single"/>
        </w:rPr>
      </w:pPr>
    </w:p>
    <w:p>
      <w:pPr>
        <w:pStyle w:val="126"/>
        <w:outlineLvl w:val="2"/>
        <w:rPr>
          <w:rFonts w:ascii="宋体" w:hAnsi="宋体" w:eastAsia="宋体" w:cs="宋体"/>
          <w:kern w:val="2"/>
          <w:sz w:val="21"/>
          <w:szCs w:val="21"/>
        </w:rPr>
        <w:sectPr>
          <w:pgSz w:w="11906" w:h="16838"/>
          <w:pgMar w:top="1417" w:right="1417" w:bottom="1134" w:left="1417" w:header="851" w:footer="850" w:gutter="0"/>
          <w:cols w:space="720" w:num="1"/>
          <w:titlePg/>
          <w:docGrid w:linePitch="312" w:charSpace="0"/>
        </w:sectPr>
      </w:pPr>
    </w:p>
    <w:p>
      <w:pPr>
        <w:jc w:val="center"/>
        <w:rPr>
          <w:rFonts w:ascii="宋体" w:hAnsi="宋体" w:cs="宋体"/>
          <w:b/>
          <w:sz w:val="28"/>
          <w:szCs w:val="28"/>
        </w:rPr>
      </w:pPr>
      <w:r>
        <w:rPr>
          <w:rFonts w:hint="eastAsia" w:ascii="宋体" w:hAnsi="宋体" w:cs="宋体"/>
          <w:b/>
          <w:sz w:val="28"/>
          <w:szCs w:val="28"/>
        </w:rPr>
        <w:t>3、供应商针对报价需要说明的其他文件和说明</w:t>
      </w:r>
    </w:p>
    <w:p>
      <w:pPr>
        <w:pStyle w:val="2"/>
        <w:spacing w:line="360" w:lineRule="auto"/>
        <w:ind w:firstLine="0"/>
        <w:jc w:val="center"/>
        <w:rPr>
          <w:rFonts w:ascii="宋体" w:hAnsi="宋体" w:cs="宋体"/>
          <w:b/>
          <w:sz w:val="24"/>
          <w:szCs w:val="24"/>
        </w:rPr>
      </w:pPr>
    </w:p>
    <w:p>
      <w:pPr>
        <w:pStyle w:val="2"/>
        <w:spacing w:line="360" w:lineRule="auto"/>
        <w:ind w:firstLine="0"/>
        <w:jc w:val="center"/>
        <w:rPr>
          <w:rFonts w:ascii="宋体" w:hAnsi="宋体" w:cs="宋体"/>
          <w:b/>
          <w:sz w:val="24"/>
          <w:szCs w:val="24"/>
        </w:rPr>
      </w:pPr>
      <w:r>
        <w:rPr>
          <w:rFonts w:hint="eastAsia" w:ascii="宋体" w:hAnsi="宋体" w:cs="宋体"/>
          <w:b/>
          <w:sz w:val="24"/>
          <w:szCs w:val="24"/>
        </w:rPr>
        <w:t>3.1 中小企业声明函格式（工程、服务）</w:t>
      </w:r>
    </w:p>
    <w:p>
      <w:pPr>
        <w:pStyle w:val="15"/>
        <w:spacing w:line="302" w:lineRule="auto"/>
        <w:ind w:right="415" w:firstLine="640"/>
        <w:rPr>
          <w:rFonts w:ascii="宋体" w:hAnsi="宋体" w:cs="宋体"/>
          <w:spacing w:val="-2"/>
        </w:rPr>
      </w:pPr>
    </w:p>
    <w:p>
      <w:pPr>
        <w:pStyle w:val="15"/>
        <w:spacing w:line="360" w:lineRule="auto"/>
        <w:ind w:right="375" w:firstLine="640"/>
        <w:rPr>
          <w:rFonts w:ascii="宋体" w:hAnsi="宋体" w:cs="宋体"/>
          <w:sz w:val="22"/>
          <w:szCs w:val="22"/>
        </w:rPr>
      </w:pPr>
      <w:r>
        <w:rPr>
          <w:rFonts w:hint="eastAsia" w:ascii="宋体" w:hAnsi="宋体" w:cs="宋体"/>
          <w:sz w:val="22"/>
          <w:szCs w:val="22"/>
        </w:rPr>
        <w:t>本公司（联合体）郑重声明，根据《政府采购促进中小企业发展管理办法》（财库﹝2020﹞46 号）的规定，本公司（联合体）的施工单位全部为符合政策要求的中小企业（或者：服务全部由符合政策要求的中小企业承接）。相关企业（含联合 体中的中小企业、签订分包意向协议的中小企业）的具体情况如下：</w:t>
      </w:r>
    </w:p>
    <w:p>
      <w:pPr>
        <w:pStyle w:val="15"/>
        <w:spacing w:before="108" w:line="360" w:lineRule="auto"/>
        <w:ind w:right="417" w:firstLine="645"/>
        <w:rPr>
          <w:rFonts w:ascii="宋体" w:hAnsi="宋体" w:cs="宋体"/>
          <w:sz w:val="22"/>
          <w:szCs w:val="22"/>
        </w:rPr>
      </w:pPr>
      <w:r>
        <w:rPr>
          <w:rFonts w:hint="eastAsia" w:ascii="宋体" w:hAnsi="宋体" w:cs="宋体"/>
          <w:sz w:val="22"/>
          <w:szCs w:val="22"/>
        </w:rPr>
        <w:t>1.</w:t>
      </w:r>
      <w:r>
        <w:rPr>
          <w:rFonts w:hint="eastAsia" w:ascii="宋体" w:hAnsi="宋体" w:cs="宋体"/>
          <w:sz w:val="22"/>
          <w:szCs w:val="22"/>
          <w:u w:val="single"/>
        </w:rPr>
        <w:t xml:space="preserve">  （标的名称）  </w:t>
      </w:r>
      <w:r>
        <w:rPr>
          <w:rFonts w:hint="eastAsia" w:ascii="宋体" w:hAnsi="宋体" w:cs="宋体"/>
          <w:sz w:val="22"/>
          <w:szCs w:val="22"/>
        </w:rPr>
        <w:t>，属于</w:t>
      </w:r>
      <w:r>
        <w:rPr>
          <w:rFonts w:hint="eastAsia" w:ascii="宋体" w:hAnsi="宋体" w:cs="宋体"/>
          <w:sz w:val="22"/>
          <w:szCs w:val="22"/>
          <w:u w:val="single"/>
        </w:rPr>
        <w:t xml:space="preserve">   （采购文件中明确的所属行业）  </w:t>
      </w:r>
      <w:r>
        <w:rPr>
          <w:rFonts w:hint="eastAsia" w:ascii="宋体" w:hAnsi="宋体" w:cs="宋体"/>
          <w:sz w:val="22"/>
          <w:szCs w:val="22"/>
        </w:rPr>
        <w:t>；承建（承接）企业为</w:t>
      </w:r>
      <w:r>
        <w:rPr>
          <w:rFonts w:hint="eastAsia" w:ascii="宋体" w:hAnsi="宋体" w:cs="宋体"/>
          <w:sz w:val="22"/>
          <w:szCs w:val="22"/>
          <w:u w:val="single"/>
        </w:rPr>
        <w:t xml:space="preserve">  企业名称  </w:t>
      </w:r>
      <w:r>
        <w:rPr>
          <w:rFonts w:hint="eastAsia" w:ascii="宋体" w:hAnsi="宋体" w:cs="宋体"/>
          <w:sz w:val="22"/>
          <w:szCs w:val="22"/>
        </w:rPr>
        <w:t>,从业人员</w:t>
      </w:r>
      <w:r>
        <w:rPr>
          <w:rFonts w:hint="eastAsia" w:ascii="宋体" w:hAnsi="宋体" w:cs="宋体"/>
          <w:sz w:val="22"/>
          <w:szCs w:val="22"/>
          <w:u w:val="single"/>
        </w:rPr>
        <w:t xml:space="preserve">    </w:t>
      </w:r>
      <w:r>
        <w:rPr>
          <w:rFonts w:hint="eastAsia" w:ascii="宋体" w:hAnsi="宋体" w:cs="宋体"/>
          <w:sz w:val="22"/>
          <w:szCs w:val="22"/>
        </w:rPr>
        <w:t>人，营业收入为</w:t>
      </w:r>
      <w:r>
        <w:rPr>
          <w:rFonts w:hint="eastAsia" w:ascii="宋体" w:hAnsi="宋体" w:cs="宋体"/>
          <w:sz w:val="22"/>
          <w:szCs w:val="22"/>
          <w:u w:val="single"/>
        </w:rPr>
        <w:t xml:space="preserve">    </w:t>
      </w:r>
      <w:r>
        <w:rPr>
          <w:rFonts w:hint="eastAsia" w:ascii="宋体" w:hAnsi="宋体" w:cs="宋体"/>
          <w:sz w:val="22"/>
          <w:szCs w:val="22"/>
        </w:rPr>
        <w:t>万元，资产总额为</w:t>
      </w:r>
      <w:r>
        <w:rPr>
          <w:rFonts w:hint="eastAsia" w:ascii="宋体" w:hAnsi="宋体" w:cs="宋体"/>
          <w:sz w:val="22"/>
          <w:szCs w:val="22"/>
          <w:u w:val="single"/>
        </w:rPr>
        <w:t xml:space="preserve">    </w:t>
      </w:r>
      <w:r>
        <w:rPr>
          <w:rFonts w:hint="eastAsia" w:ascii="宋体" w:hAnsi="宋体" w:cs="宋体"/>
          <w:sz w:val="22"/>
          <w:szCs w:val="22"/>
        </w:rPr>
        <w:t>万元,属于</w:t>
      </w:r>
      <w:r>
        <w:rPr>
          <w:rFonts w:hint="eastAsia" w:ascii="宋体" w:hAnsi="宋体" w:cs="宋体"/>
          <w:sz w:val="22"/>
          <w:szCs w:val="22"/>
          <w:u w:val="single"/>
        </w:rPr>
        <w:t xml:space="preserve">  （中型企业、小型企业、微型企业） </w:t>
      </w:r>
      <w:r>
        <w:rPr>
          <w:rFonts w:hint="eastAsia" w:ascii="宋体" w:hAnsi="宋体" w:cs="宋体"/>
          <w:sz w:val="22"/>
          <w:szCs w:val="22"/>
        </w:rPr>
        <w:t>；</w:t>
      </w:r>
    </w:p>
    <w:p>
      <w:pPr>
        <w:pStyle w:val="15"/>
        <w:spacing w:before="108" w:line="360" w:lineRule="auto"/>
        <w:ind w:right="417" w:firstLine="645"/>
        <w:rPr>
          <w:rFonts w:ascii="宋体" w:hAnsi="宋体" w:cs="宋体"/>
          <w:sz w:val="22"/>
          <w:szCs w:val="22"/>
          <w:u w:val="single"/>
        </w:rPr>
      </w:pPr>
      <w:r>
        <w:rPr>
          <w:rFonts w:hint="eastAsia" w:ascii="宋体" w:hAnsi="宋体" w:cs="宋体"/>
          <w:sz w:val="22"/>
          <w:szCs w:val="22"/>
        </w:rPr>
        <w:t>2.</w:t>
      </w:r>
      <w:r>
        <w:rPr>
          <w:rFonts w:hint="eastAsia" w:ascii="宋体" w:hAnsi="宋体" w:cs="宋体"/>
          <w:sz w:val="22"/>
          <w:szCs w:val="22"/>
          <w:u w:val="single"/>
        </w:rPr>
        <w:t xml:space="preserve">  （标的名称）  </w:t>
      </w:r>
      <w:r>
        <w:rPr>
          <w:rFonts w:hint="eastAsia" w:ascii="宋体" w:hAnsi="宋体" w:cs="宋体"/>
          <w:sz w:val="22"/>
          <w:szCs w:val="22"/>
        </w:rPr>
        <w:t>，属于</w:t>
      </w:r>
      <w:r>
        <w:rPr>
          <w:rFonts w:hint="eastAsia" w:ascii="宋体" w:hAnsi="宋体" w:cs="宋体"/>
          <w:sz w:val="22"/>
          <w:szCs w:val="22"/>
          <w:u w:val="single"/>
        </w:rPr>
        <w:t xml:space="preserve">   （采购文件中明确的所属行业）  </w:t>
      </w:r>
      <w:r>
        <w:rPr>
          <w:rFonts w:hint="eastAsia" w:ascii="宋体" w:hAnsi="宋体" w:cs="宋体"/>
          <w:sz w:val="22"/>
          <w:szCs w:val="22"/>
        </w:rPr>
        <w:t>；承建（承接）企业为</w:t>
      </w:r>
      <w:r>
        <w:rPr>
          <w:rFonts w:hint="eastAsia" w:ascii="宋体" w:hAnsi="宋体" w:cs="宋体"/>
          <w:sz w:val="22"/>
          <w:szCs w:val="22"/>
          <w:u w:val="single"/>
        </w:rPr>
        <w:t xml:space="preserve">  企业名称  </w:t>
      </w:r>
      <w:r>
        <w:rPr>
          <w:rFonts w:hint="eastAsia" w:ascii="宋体" w:hAnsi="宋体" w:cs="宋体"/>
          <w:sz w:val="22"/>
          <w:szCs w:val="22"/>
        </w:rPr>
        <w:t>,从业人员</w:t>
      </w:r>
      <w:r>
        <w:rPr>
          <w:rFonts w:hint="eastAsia" w:ascii="宋体" w:hAnsi="宋体" w:cs="宋体"/>
          <w:sz w:val="22"/>
          <w:szCs w:val="22"/>
          <w:u w:val="single"/>
        </w:rPr>
        <w:t xml:space="preserve">    </w:t>
      </w:r>
      <w:r>
        <w:rPr>
          <w:rFonts w:hint="eastAsia" w:ascii="宋体" w:hAnsi="宋体" w:cs="宋体"/>
          <w:sz w:val="22"/>
          <w:szCs w:val="22"/>
        </w:rPr>
        <w:t>人，营业收入为</w:t>
      </w:r>
      <w:r>
        <w:rPr>
          <w:rFonts w:hint="eastAsia" w:ascii="宋体" w:hAnsi="宋体" w:cs="宋体"/>
          <w:sz w:val="22"/>
          <w:szCs w:val="22"/>
          <w:u w:val="single"/>
        </w:rPr>
        <w:t xml:space="preserve">    </w:t>
      </w:r>
      <w:r>
        <w:rPr>
          <w:rFonts w:hint="eastAsia" w:ascii="宋体" w:hAnsi="宋体" w:cs="宋体"/>
          <w:sz w:val="22"/>
          <w:szCs w:val="22"/>
        </w:rPr>
        <w:t>万元，资产总额为</w:t>
      </w:r>
      <w:r>
        <w:rPr>
          <w:rFonts w:hint="eastAsia" w:ascii="宋体" w:hAnsi="宋体" w:cs="宋体"/>
          <w:sz w:val="22"/>
          <w:szCs w:val="22"/>
          <w:u w:val="single"/>
        </w:rPr>
        <w:t xml:space="preserve">    </w:t>
      </w:r>
      <w:r>
        <w:rPr>
          <w:rFonts w:hint="eastAsia" w:ascii="宋体" w:hAnsi="宋体" w:cs="宋体"/>
          <w:sz w:val="22"/>
          <w:szCs w:val="22"/>
        </w:rPr>
        <w:t>万元,属于</w:t>
      </w:r>
      <w:r>
        <w:rPr>
          <w:rFonts w:hint="eastAsia" w:ascii="宋体" w:hAnsi="宋体" w:cs="宋体"/>
          <w:sz w:val="22"/>
          <w:szCs w:val="22"/>
          <w:u w:val="single"/>
        </w:rPr>
        <w:t xml:space="preserve">  （中型企业、小型企业、微型企业） </w:t>
      </w:r>
      <w:r>
        <w:rPr>
          <w:rFonts w:hint="eastAsia" w:ascii="宋体" w:hAnsi="宋体" w:cs="宋体"/>
          <w:sz w:val="22"/>
          <w:szCs w:val="22"/>
        </w:rPr>
        <w:t>；</w:t>
      </w:r>
    </w:p>
    <w:p>
      <w:pPr>
        <w:pStyle w:val="15"/>
        <w:spacing w:before="11" w:line="360" w:lineRule="auto"/>
        <w:ind w:left="860"/>
        <w:rPr>
          <w:rFonts w:ascii="宋体" w:hAnsi="宋体" w:cs="宋体"/>
          <w:sz w:val="22"/>
          <w:szCs w:val="22"/>
        </w:rPr>
      </w:pPr>
      <w:r>
        <w:rPr>
          <w:rFonts w:hint="eastAsia" w:ascii="宋体" w:hAnsi="宋体" w:cs="宋体"/>
          <w:sz w:val="22"/>
          <w:szCs w:val="22"/>
        </w:rPr>
        <w:t>……</w:t>
      </w:r>
    </w:p>
    <w:p>
      <w:pPr>
        <w:pStyle w:val="15"/>
        <w:spacing w:before="108" w:line="360" w:lineRule="auto"/>
        <w:ind w:right="417" w:firstLine="645"/>
        <w:rPr>
          <w:rFonts w:ascii="宋体" w:hAnsi="宋体" w:cs="宋体"/>
          <w:sz w:val="22"/>
          <w:szCs w:val="22"/>
        </w:rPr>
      </w:pPr>
      <w:r>
        <w:rPr>
          <w:rFonts w:hint="eastAsia" w:ascii="宋体" w:hAnsi="宋体" w:cs="宋体"/>
          <w:spacing w:val="-3"/>
          <w:sz w:val="22"/>
          <w:szCs w:val="22"/>
        </w:rPr>
        <w:t>以上企业，不属于大企业的分支机构，不存在控股股东</w:t>
      </w:r>
      <w:r>
        <w:rPr>
          <w:rFonts w:hint="eastAsia" w:ascii="宋体" w:hAnsi="宋体" w:cs="宋体"/>
          <w:spacing w:val="-5"/>
          <w:sz w:val="22"/>
          <w:szCs w:val="22"/>
        </w:rPr>
        <w:t>为大企业的情形，也不存在与大企业的负责人为同一人的情形。</w:t>
      </w:r>
    </w:p>
    <w:p>
      <w:pPr>
        <w:pStyle w:val="15"/>
        <w:spacing w:line="360" w:lineRule="auto"/>
        <w:ind w:right="375" w:firstLine="640"/>
        <w:rPr>
          <w:rFonts w:ascii="宋体" w:hAnsi="宋体" w:cs="宋体"/>
          <w:sz w:val="22"/>
          <w:szCs w:val="22"/>
        </w:rPr>
      </w:pPr>
      <w:r>
        <w:rPr>
          <w:rFonts w:hint="eastAsia" w:ascii="宋体" w:hAnsi="宋体" w:cs="宋体"/>
          <w:sz w:val="22"/>
          <w:szCs w:val="22"/>
        </w:rPr>
        <w:t>本企业对上述声明内容的真实性负责。如有虚假，将依法承担相应责任。</w:t>
      </w:r>
    </w:p>
    <w:p>
      <w:pPr>
        <w:pStyle w:val="30"/>
        <w:snapToGrid w:val="0"/>
        <w:spacing w:line="360" w:lineRule="auto"/>
        <w:ind w:left="420" w:hanging="420"/>
        <w:jc w:val="left"/>
        <w:rPr>
          <w:rFonts w:ascii="宋体" w:hAnsi="宋体" w:cs="宋体"/>
          <w:szCs w:val="21"/>
        </w:rPr>
      </w:pPr>
    </w:p>
    <w:p>
      <w:pPr>
        <w:pStyle w:val="20"/>
        <w:spacing w:before="120" w:after="120" w:line="312" w:lineRule="auto"/>
        <w:ind w:firstLine="2000" w:firstLineChars="800"/>
        <w:rPr>
          <w:rFonts w:hAnsi="宋体" w:cs="宋体"/>
          <w:spacing w:val="20"/>
          <w:sz w:val="21"/>
          <w:szCs w:val="21"/>
        </w:rPr>
      </w:pPr>
      <w:r>
        <w:rPr>
          <w:rFonts w:hint="eastAsia" w:hAnsi="宋体" w:cs="宋体"/>
          <w:spacing w:val="20"/>
          <w:sz w:val="21"/>
          <w:szCs w:val="21"/>
        </w:rPr>
        <w:t>法定代表人（或授权委托人）签字或盖章：</w:t>
      </w:r>
      <w:r>
        <w:rPr>
          <w:rFonts w:hint="eastAsia" w:hAnsi="宋体" w:cs="宋体"/>
          <w:spacing w:val="20"/>
          <w:sz w:val="21"/>
          <w:szCs w:val="21"/>
          <w:u w:val="single"/>
        </w:rPr>
        <w:t xml:space="preserve">            </w:t>
      </w:r>
      <w:r>
        <w:rPr>
          <w:rFonts w:hint="eastAsia" w:hAnsi="宋体" w:cs="宋体"/>
          <w:spacing w:val="20"/>
          <w:sz w:val="21"/>
          <w:szCs w:val="21"/>
        </w:rPr>
        <w:t xml:space="preserve"> </w:t>
      </w:r>
    </w:p>
    <w:p>
      <w:pPr>
        <w:pStyle w:val="20"/>
        <w:spacing w:before="120" w:after="120" w:line="312" w:lineRule="auto"/>
        <w:ind w:firstLine="5250" w:firstLineChars="2100"/>
        <w:rPr>
          <w:rFonts w:hAnsi="宋体" w:cs="宋体"/>
          <w:spacing w:val="20"/>
          <w:sz w:val="21"/>
          <w:szCs w:val="21"/>
          <w:u w:val="single"/>
        </w:rPr>
      </w:pPr>
      <w:r>
        <w:rPr>
          <w:rFonts w:hint="eastAsia" w:hAnsi="宋体" w:cs="宋体"/>
          <w:spacing w:val="20"/>
          <w:sz w:val="21"/>
          <w:szCs w:val="21"/>
        </w:rPr>
        <w:t>供应商盖章：</w:t>
      </w:r>
      <w:r>
        <w:rPr>
          <w:rFonts w:hint="eastAsia" w:hAnsi="宋体" w:cs="宋体"/>
          <w:spacing w:val="20"/>
          <w:sz w:val="21"/>
          <w:szCs w:val="21"/>
          <w:u w:val="single"/>
        </w:rPr>
        <w:t xml:space="preserve">            </w:t>
      </w:r>
    </w:p>
    <w:p>
      <w:pPr>
        <w:spacing w:line="312" w:lineRule="auto"/>
        <w:ind w:firstLine="5250" w:firstLineChars="2100"/>
        <w:rPr>
          <w:rFonts w:ascii="宋体" w:hAnsi="宋体" w:cs="宋体"/>
          <w:sz w:val="22"/>
          <w:szCs w:val="22"/>
        </w:rPr>
      </w:pPr>
      <w:r>
        <w:rPr>
          <w:rFonts w:hint="eastAsia" w:ascii="宋体" w:hAnsi="宋体" w:cs="宋体"/>
          <w:spacing w:val="20"/>
          <w:szCs w:val="21"/>
        </w:rPr>
        <w:t>日     期：</w:t>
      </w:r>
      <w:r>
        <w:rPr>
          <w:rFonts w:hint="eastAsia" w:ascii="宋体" w:hAnsi="宋体" w:cs="宋体"/>
          <w:spacing w:val="20"/>
          <w:szCs w:val="21"/>
          <w:u w:val="single"/>
        </w:rPr>
        <w:t xml:space="preserve">            </w:t>
      </w:r>
    </w:p>
    <w:p>
      <w:pPr>
        <w:pStyle w:val="144"/>
        <w:spacing w:line="360" w:lineRule="auto"/>
        <w:jc w:val="left"/>
        <w:rPr>
          <w:rFonts w:ascii="宋体" w:hAnsi="宋体" w:cs="宋体"/>
          <w:color w:val="FF0000"/>
          <w:spacing w:val="6"/>
          <w:szCs w:val="21"/>
        </w:rPr>
      </w:pPr>
    </w:p>
    <w:p>
      <w:pPr>
        <w:spacing w:line="312" w:lineRule="auto"/>
        <w:ind w:firstLine="482"/>
        <w:jc w:val="left"/>
        <w:rPr>
          <w:rFonts w:ascii="宋体" w:hAnsi="宋体" w:cs="宋体"/>
          <w:kern w:val="0"/>
          <w:szCs w:val="21"/>
        </w:rPr>
      </w:pPr>
    </w:p>
    <w:p>
      <w:pPr>
        <w:pStyle w:val="2"/>
        <w:spacing w:line="360" w:lineRule="auto"/>
        <w:ind w:firstLine="0"/>
        <w:jc w:val="center"/>
        <w:rPr>
          <w:rFonts w:ascii="宋体" w:hAnsi="宋体" w:cs="宋体"/>
          <w:b/>
          <w:sz w:val="24"/>
          <w:szCs w:val="24"/>
        </w:rPr>
      </w:pPr>
    </w:p>
    <w:p>
      <w:pPr>
        <w:pStyle w:val="2"/>
        <w:spacing w:line="360" w:lineRule="auto"/>
        <w:ind w:firstLine="0"/>
        <w:jc w:val="center"/>
        <w:rPr>
          <w:rFonts w:ascii="宋体" w:hAnsi="宋体" w:cs="宋体"/>
          <w:b/>
          <w:sz w:val="24"/>
          <w:szCs w:val="24"/>
        </w:rPr>
      </w:pPr>
    </w:p>
    <w:p>
      <w:pPr>
        <w:pStyle w:val="2"/>
        <w:spacing w:line="360" w:lineRule="auto"/>
        <w:ind w:firstLine="0"/>
        <w:jc w:val="center"/>
        <w:rPr>
          <w:rFonts w:ascii="宋体" w:hAnsi="宋体" w:cs="宋体"/>
          <w:b/>
          <w:sz w:val="24"/>
          <w:szCs w:val="24"/>
        </w:rPr>
      </w:pPr>
    </w:p>
    <w:p>
      <w:pPr>
        <w:pStyle w:val="2"/>
        <w:spacing w:line="360" w:lineRule="auto"/>
        <w:ind w:firstLine="0"/>
        <w:jc w:val="center"/>
        <w:rPr>
          <w:rFonts w:ascii="宋体" w:hAnsi="宋体" w:cs="宋体"/>
          <w:b/>
          <w:sz w:val="24"/>
          <w:szCs w:val="24"/>
        </w:rPr>
      </w:pPr>
    </w:p>
    <w:p>
      <w:pPr>
        <w:pStyle w:val="2"/>
        <w:spacing w:line="360" w:lineRule="auto"/>
        <w:ind w:firstLine="0"/>
        <w:jc w:val="center"/>
        <w:rPr>
          <w:rFonts w:ascii="宋体" w:hAnsi="宋体" w:cs="宋体"/>
          <w:b/>
          <w:sz w:val="24"/>
          <w:szCs w:val="24"/>
        </w:rPr>
      </w:pPr>
    </w:p>
    <w:p>
      <w:pPr>
        <w:pStyle w:val="2"/>
        <w:spacing w:line="360" w:lineRule="auto"/>
        <w:ind w:firstLine="0"/>
        <w:jc w:val="center"/>
        <w:rPr>
          <w:rFonts w:ascii="宋体" w:hAnsi="宋体" w:cs="宋体"/>
          <w:b/>
          <w:sz w:val="24"/>
          <w:szCs w:val="24"/>
        </w:rPr>
      </w:pPr>
    </w:p>
    <w:p>
      <w:pPr>
        <w:pStyle w:val="2"/>
        <w:spacing w:line="360" w:lineRule="auto"/>
        <w:ind w:firstLine="0"/>
        <w:jc w:val="center"/>
        <w:rPr>
          <w:rFonts w:ascii="宋体" w:hAnsi="宋体" w:cs="宋体"/>
          <w:b/>
          <w:sz w:val="24"/>
          <w:szCs w:val="24"/>
        </w:rPr>
      </w:pPr>
      <w:r>
        <w:rPr>
          <w:rFonts w:hint="eastAsia" w:ascii="宋体" w:hAnsi="宋体" w:cs="宋体"/>
          <w:b/>
          <w:sz w:val="24"/>
          <w:szCs w:val="24"/>
        </w:rPr>
        <w:t>3.2监狱企业声明函（监狱企业提供）</w:t>
      </w:r>
    </w:p>
    <w:p>
      <w:pPr>
        <w:pStyle w:val="2"/>
        <w:ind w:firstLine="0"/>
        <w:jc w:val="center"/>
        <w:rPr>
          <w:rFonts w:ascii="宋体" w:hAnsi="宋体" w:cs="宋体"/>
          <w:szCs w:val="21"/>
        </w:rPr>
      </w:pPr>
    </w:p>
    <w:p>
      <w:pPr>
        <w:pStyle w:val="192"/>
        <w:spacing w:line="360" w:lineRule="auto"/>
        <w:ind w:firstLine="444" w:firstLineChars="200"/>
        <w:rPr>
          <w:rFonts w:ascii="宋体" w:hAnsi="宋体" w:cs="宋体"/>
          <w:spacing w:val="6"/>
          <w:szCs w:val="21"/>
        </w:rPr>
      </w:pPr>
      <w:r>
        <w:rPr>
          <w:rFonts w:hint="eastAsia" w:ascii="宋体" w:hAnsi="宋体" w:cs="宋体"/>
          <w:spacing w:val="6"/>
          <w:szCs w:val="21"/>
        </w:rPr>
        <w:t>本公司郑重声明，根据</w:t>
      </w:r>
      <w:r>
        <w:rPr>
          <w:rFonts w:hint="eastAsia" w:ascii="宋体" w:hAnsi="宋体" w:cs="宋体"/>
          <w:bCs/>
          <w:szCs w:val="21"/>
        </w:rPr>
        <w:t>《财政部、司法部关于政府采购支持监狱企业发展有关问题的通知》（财库〔2014〕68号）</w:t>
      </w:r>
      <w:r>
        <w:rPr>
          <w:rFonts w:hint="eastAsia" w:ascii="宋体" w:hAnsi="宋体" w:cs="宋体"/>
          <w:spacing w:val="6"/>
          <w:szCs w:val="21"/>
        </w:rPr>
        <w:t>的规定，本公司为监狱企业。</w:t>
      </w:r>
    </w:p>
    <w:p>
      <w:pPr>
        <w:pStyle w:val="192"/>
        <w:spacing w:line="360" w:lineRule="auto"/>
        <w:ind w:firstLine="444" w:firstLineChars="200"/>
        <w:rPr>
          <w:rFonts w:ascii="宋体" w:hAnsi="宋体" w:cs="宋体"/>
          <w:szCs w:val="21"/>
        </w:rPr>
      </w:pPr>
      <w:r>
        <w:rPr>
          <w:rFonts w:hint="eastAsia" w:ascii="宋体" w:hAnsi="宋体" w:cs="宋体"/>
          <w:spacing w:val="6"/>
          <w:szCs w:val="21"/>
        </w:rPr>
        <w:t>本公司参加</w:t>
      </w:r>
      <w:r>
        <w:rPr>
          <w:rFonts w:hint="eastAsia" w:ascii="宋体" w:hAnsi="宋体" w:cs="宋体"/>
          <w:spacing w:val="6"/>
          <w:szCs w:val="21"/>
          <w:u w:val="single"/>
        </w:rPr>
        <w:t>（采购人名称）</w:t>
      </w:r>
      <w:r>
        <w:rPr>
          <w:rFonts w:hint="eastAsia" w:ascii="宋体" w:hAnsi="宋体" w:cs="宋体"/>
          <w:spacing w:val="6"/>
          <w:szCs w:val="21"/>
        </w:rPr>
        <w:t>的</w:t>
      </w:r>
      <w:r>
        <w:rPr>
          <w:rFonts w:hint="eastAsia" w:ascii="宋体" w:hAnsi="宋体" w:cs="宋体"/>
          <w:spacing w:val="6"/>
          <w:szCs w:val="21"/>
          <w:u w:val="single"/>
        </w:rPr>
        <w:t>（项目名称）（项目编号）（标项）</w:t>
      </w:r>
      <w:r>
        <w:rPr>
          <w:rFonts w:hint="eastAsia" w:ascii="宋体" w:hAnsi="宋体" w:cs="宋体"/>
          <w:spacing w:val="6"/>
          <w:szCs w:val="21"/>
        </w:rPr>
        <w:t>供本企业制造的产品（产品名称见下表一），由本企业承担工程、提供服务，或者提供其他监狱企业制造的产品（产品名称见表二）。本条所称产品不包括使用其他监狱企业制造的产品。</w:t>
      </w:r>
    </w:p>
    <w:tbl>
      <w:tblPr>
        <w:tblStyle w:val="43"/>
        <w:tblW w:w="0" w:type="auto"/>
        <w:jc w:val="center"/>
        <w:tblLayout w:type="fixed"/>
        <w:tblCellMar>
          <w:top w:w="0" w:type="dxa"/>
          <w:left w:w="108" w:type="dxa"/>
          <w:bottom w:w="0" w:type="dxa"/>
          <w:right w:w="108" w:type="dxa"/>
        </w:tblCellMar>
      </w:tblPr>
      <w:tblGrid>
        <w:gridCol w:w="699"/>
        <w:gridCol w:w="1490"/>
        <w:gridCol w:w="1491"/>
        <w:gridCol w:w="1490"/>
        <w:gridCol w:w="1491"/>
        <w:gridCol w:w="2476"/>
      </w:tblGrid>
      <w:tr>
        <w:tblPrEx>
          <w:tblCellMar>
            <w:top w:w="0" w:type="dxa"/>
            <w:left w:w="108" w:type="dxa"/>
            <w:bottom w:w="0" w:type="dxa"/>
            <w:right w:w="108" w:type="dxa"/>
          </w:tblCellMar>
        </w:tblPrEx>
        <w:trPr>
          <w:trHeight w:val="454" w:hRule="atLeast"/>
          <w:jc w:val="center"/>
        </w:trPr>
        <w:tc>
          <w:tcPr>
            <w:tcW w:w="9137" w:type="dxa"/>
            <w:gridSpan w:val="6"/>
            <w:tcBorders>
              <w:bottom w:val="single" w:color="auto" w:sz="4" w:space="0"/>
            </w:tcBorders>
            <w:vAlign w:val="center"/>
          </w:tcPr>
          <w:p>
            <w:pPr>
              <w:pStyle w:val="192"/>
              <w:rPr>
                <w:rFonts w:ascii="宋体" w:hAnsi="宋体" w:cs="宋体"/>
                <w:szCs w:val="21"/>
              </w:rPr>
            </w:pPr>
            <w:r>
              <w:rPr>
                <w:rFonts w:hint="eastAsia" w:ascii="宋体" w:hAnsi="宋体" w:cs="宋体"/>
                <w:szCs w:val="21"/>
              </w:rPr>
              <w:t>表一</w:t>
            </w:r>
          </w:p>
        </w:tc>
      </w:tr>
      <w:tr>
        <w:tblPrEx>
          <w:tblCellMar>
            <w:top w:w="0" w:type="dxa"/>
            <w:left w:w="108" w:type="dxa"/>
            <w:bottom w:w="0" w:type="dxa"/>
            <w:right w:w="108" w:type="dxa"/>
          </w:tblCellMar>
        </w:tblPrEx>
        <w:trPr>
          <w:trHeight w:val="454"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pStyle w:val="192"/>
              <w:ind w:right="-48" w:rightChars="-23"/>
              <w:jc w:val="center"/>
              <w:rPr>
                <w:rFonts w:ascii="宋体" w:hAnsi="宋体" w:cs="宋体"/>
                <w:szCs w:val="21"/>
              </w:rPr>
            </w:pPr>
            <w:r>
              <w:rPr>
                <w:rFonts w:hint="eastAsia" w:ascii="宋体" w:hAnsi="宋体" w:cs="宋体"/>
                <w:szCs w:val="21"/>
              </w:rPr>
              <w:t>序号</w:t>
            </w:r>
          </w:p>
        </w:tc>
        <w:tc>
          <w:tcPr>
            <w:tcW w:w="1490" w:type="dxa"/>
            <w:tcBorders>
              <w:top w:val="single" w:color="auto" w:sz="4" w:space="0"/>
              <w:left w:val="single" w:color="auto" w:sz="4" w:space="0"/>
              <w:bottom w:val="single" w:color="auto" w:sz="4" w:space="0"/>
              <w:right w:val="single" w:color="auto" w:sz="4" w:space="0"/>
            </w:tcBorders>
            <w:vAlign w:val="center"/>
          </w:tcPr>
          <w:p>
            <w:pPr>
              <w:pStyle w:val="192"/>
              <w:ind w:left="-103" w:leftChars="-49" w:right="-48" w:rightChars="-23"/>
              <w:jc w:val="center"/>
              <w:rPr>
                <w:rFonts w:ascii="宋体" w:hAnsi="宋体" w:cs="宋体"/>
                <w:szCs w:val="21"/>
              </w:rPr>
            </w:pPr>
            <w:r>
              <w:rPr>
                <w:rFonts w:hint="eastAsia" w:ascii="宋体" w:hAnsi="宋体" w:cs="宋体"/>
                <w:szCs w:val="21"/>
              </w:rPr>
              <w:t>产品名称</w:t>
            </w:r>
          </w:p>
        </w:tc>
        <w:tc>
          <w:tcPr>
            <w:tcW w:w="1491" w:type="dxa"/>
            <w:tcBorders>
              <w:top w:val="single" w:color="auto" w:sz="4" w:space="0"/>
              <w:left w:val="single" w:color="auto" w:sz="4" w:space="0"/>
              <w:bottom w:val="single" w:color="auto" w:sz="4" w:space="0"/>
              <w:right w:val="single" w:color="auto" w:sz="4" w:space="0"/>
            </w:tcBorders>
            <w:vAlign w:val="center"/>
          </w:tcPr>
          <w:p>
            <w:pPr>
              <w:pStyle w:val="192"/>
              <w:ind w:right="-48" w:rightChars="-23"/>
              <w:jc w:val="center"/>
              <w:rPr>
                <w:rFonts w:ascii="宋体" w:hAnsi="宋体" w:cs="宋体"/>
                <w:szCs w:val="21"/>
              </w:rPr>
            </w:pPr>
            <w:r>
              <w:rPr>
                <w:rFonts w:hint="eastAsia" w:ascii="宋体" w:hAnsi="宋体" w:cs="宋体"/>
                <w:szCs w:val="21"/>
              </w:rPr>
              <w:t>制造企业</w:t>
            </w:r>
          </w:p>
        </w:tc>
        <w:tc>
          <w:tcPr>
            <w:tcW w:w="1490" w:type="dxa"/>
            <w:tcBorders>
              <w:top w:val="single" w:color="auto" w:sz="4" w:space="0"/>
              <w:left w:val="single" w:color="auto" w:sz="4" w:space="0"/>
              <w:bottom w:val="single" w:color="auto" w:sz="4" w:space="0"/>
              <w:right w:val="single" w:color="auto" w:sz="4" w:space="0"/>
            </w:tcBorders>
            <w:vAlign w:val="center"/>
          </w:tcPr>
          <w:p>
            <w:pPr>
              <w:pStyle w:val="192"/>
              <w:ind w:left="-103" w:leftChars="-49" w:right="-48" w:rightChars="-23"/>
              <w:jc w:val="center"/>
              <w:rPr>
                <w:rFonts w:ascii="宋体" w:hAnsi="宋体" w:cs="宋体"/>
                <w:szCs w:val="21"/>
              </w:rPr>
            </w:pPr>
            <w:r>
              <w:rPr>
                <w:rFonts w:hint="eastAsia" w:ascii="宋体" w:hAnsi="宋体" w:cs="宋体"/>
                <w:szCs w:val="21"/>
              </w:rPr>
              <w:t>品牌</w:t>
            </w:r>
          </w:p>
        </w:tc>
        <w:tc>
          <w:tcPr>
            <w:tcW w:w="1491" w:type="dxa"/>
            <w:tcBorders>
              <w:top w:val="single" w:color="auto" w:sz="4" w:space="0"/>
              <w:left w:val="single" w:color="auto" w:sz="4" w:space="0"/>
              <w:bottom w:val="single" w:color="auto" w:sz="4" w:space="0"/>
              <w:right w:val="single" w:color="auto" w:sz="4" w:space="0"/>
            </w:tcBorders>
            <w:vAlign w:val="center"/>
          </w:tcPr>
          <w:p>
            <w:pPr>
              <w:pStyle w:val="192"/>
              <w:ind w:left="-103" w:leftChars="-49" w:right="-48" w:rightChars="-23"/>
              <w:jc w:val="center"/>
              <w:rPr>
                <w:rFonts w:ascii="宋体" w:hAnsi="宋体" w:cs="宋体"/>
                <w:szCs w:val="21"/>
              </w:rPr>
            </w:pPr>
            <w:r>
              <w:rPr>
                <w:rFonts w:hint="eastAsia" w:ascii="宋体" w:hAnsi="宋体" w:cs="宋体"/>
                <w:szCs w:val="21"/>
              </w:rPr>
              <w:t>规格型号</w:t>
            </w:r>
          </w:p>
        </w:tc>
        <w:tc>
          <w:tcPr>
            <w:tcW w:w="2476" w:type="dxa"/>
            <w:tcBorders>
              <w:top w:val="single" w:color="auto" w:sz="4" w:space="0"/>
              <w:left w:val="single" w:color="auto" w:sz="4" w:space="0"/>
              <w:bottom w:val="single" w:color="auto" w:sz="4" w:space="0"/>
              <w:right w:val="single" w:color="auto" w:sz="4" w:space="0"/>
            </w:tcBorders>
            <w:vAlign w:val="center"/>
          </w:tcPr>
          <w:p>
            <w:pPr>
              <w:pStyle w:val="192"/>
              <w:jc w:val="center"/>
              <w:rPr>
                <w:rFonts w:ascii="宋体" w:hAnsi="宋体" w:cs="宋体"/>
                <w:szCs w:val="21"/>
              </w:rPr>
            </w:pPr>
            <w:r>
              <w:rPr>
                <w:rFonts w:hint="eastAsia" w:ascii="宋体" w:hAnsi="宋体" w:cs="宋体"/>
                <w:szCs w:val="21"/>
              </w:rPr>
              <w:t>备注</w:t>
            </w:r>
          </w:p>
        </w:tc>
      </w:tr>
      <w:tr>
        <w:tblPrEx>
          <w:tblCellMar>
            <w:top w:w="0" w:type="dxa"/>
            <w:left w:w="108" w:type="dxa"/>
            <w:bottom w:w="0" w:type="dxa"/>
            <w:right w:w="108" w:type="dxa"/>
          </w:tblCellMar>
        </w:tblPrEx>
        <w:trPr>
          <w:trHeight w:val="454"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pStyle w:val="192"/>
              <w:jc w:val="center"/>
              <w:rPr>
                <w:rFonts w:ascii="宋体" w:hAnsi="宋体" w:cs="宋体"/>
                <w:szCs w:val="21"/>
              </w:rPr>
            </w:pPr>
          </w:p>
        </w:tc>
        <w:tc>
          <w:tcPr>
            <w:tcW w:w="1490" w:type="dxa"/>
            <w:tcBorders>
              <w:top w:val="single" w:color="auto" w:sz="4" w:space="0"/>
              <w:left w:val="single" w:color="auto" w:sz="4" w:space="0"/>
              <w:bottom w:val="single" w:color="auto" w:sz="4" w:space="0"/>
              <w:right w:val="single" w:color="auto" w:sz="4" w:space="0"/>
            </w:tcBorders>
            <w:vAlign w:val="center"/>
          </w:tcPr>
          <w:p>
            <w:pPr>
              <w:pStyle w:val="192"/>
              <w:jc w:val="center"/>
              <w:rPr>
                <w:rFonts w:ascii="宋体" w:hAnsi="宋体" w:cs="宋体"/>
                <w:szCs w:val="21"/>
              </w:rPr>
            </w:pPr>
          </w:p>
        </w:tc>
        <w:tc>
          <w:tcPr>
            <w:tcW w:w="1491" w:type="dxa"/>
            <w:tcBorders>
              <w:top w:val="single" w:color="auto" w:sz="4" w:space="0"/>
              <w:left w:val="single" w:color="auto" w:sz="4" w:space="0"/>
              <w:bottom w:val="single" w:color="auto" w:sz="4" w:space="0"/>
              <w:right w:val="single" w:color="auto" w:sz="4" w:space="0"/>
            </w:tcBorders>
            <w:vAlign w:val="center"/>
          </w:tcPr>
          <w:p>
            <w:pPr>
              <w:pStyle w:val="192"/>
              <w:jc w:val="center"/>
              <w:rPr>
                <w:rFonts w:ascii="宋体" w:hAnsi="宋体" w:cs="宋体"/>
                <w:szCs w:val="21"/>
              </w:rPr>
            </w:pPr>
          </w:p>
        </w:tc>
        <w:tc>
          <w:tcPr>
            <w:tcW w:w="1490" w:type="dxa"/>
            <w:tcBorders>
              <w:top w:val="single" w:color="auto" w:sz="4" w:space="0"/>
              <w:left w:val="single" w:color="auto" w:sz="4" w:space="0"/>
              <w:bottom w:val="single" w:color="auto" w:sz="4" w:space="0"/>
              <w:right w:val="single" w:color="auto" w:sz="4" w:space="0"/>
            </w:tcBorders>
            <w:vAlign w:val="center"/>
          </w:tcPr>
          <w:p>
            <w:pPr>
              <w:pStyle w:val="192"/>
              <w:jc w:val="center"/>
              <w:rPr>
                <w:rFonts w:ascii="宋体" w:hAnsi="宋体" w:cs="宋体"/>
                <w:szCs w:val="21"/>
              </w:rPr>
            </w:pPr>
          </w:p>
        </w:tc>
        <w:tc>
          <w:tcPr>
            <w:tcW w:w="1491" w:type="dxa"/>
            <w:tcBorders>
              <w:top w:val="single" w:color="auto" w:sz="4" w:space="0"/>
              <w:left w:val="single" w:color="auto" w:sz="4" w:space="0"/>
              <w:bottom w:val="single" w:color="auto" w:sz="4" w:space="0"/>
              <w:right w:val="single" w:color="auto" w:sz="4" w:space="0"/>
            </w:tcBorders>
            <w:vAlign w:val="center"/>
          </w:tcPr>
          <w:p>
            <w:pPr>
              <w:pStyle w:val="192"/>
              <w:jc w:val="center"/>
              <w:rPr>
                <w:rFonts w:ascii="宋体" w:hAnsi="宋体" w:cs="宋体"/>
                <w:szCs w:val="21"/>
              </w:rPr>
            </w:pPr>
          </w:p>
        </w:tc>
        <w:tc>
          <w:tcPr>
            <w:tcW w:w="2476" w:type="dxa"/>
            <w:tcBorders>
              <w:top w:val="single" w:color="auto" w:sz="4" w:space="0"/>
              <w:left w:val="single" w:color="auto" w:sz="4" w:space="0"/>
              <w:bottom w:val="single" w:color="auto" w:sz="4" w:space="0"/>
              <w:right w:val="single" w:color="auto" w:sz="4" w:space="0"/>
            </w:tcBorders>
            <w:vAlign w:val="center"/>
          </w:tcPr>
          <w:p>
            <w:pPr>
              <w:pStyle w:val="192"/>
              <w:jc w:val="center"/>
              <w:rPr>
                <w:rFonts w:ascii="宋体" w:hAnsi="宋体" w:cs="宋体"/>
                <w:szCs w:val="21"/>
              </w:rPr>
            </w:pPr>
            <w:r>
              <w:rPr>
                <w:rFonts w:hint="eastAsia" w:ascii="宋体" w:hAnsi="宋体" w:cs="宋体"/>
                <w:szCs w:val="21"/>
              </w:rPr>
              <w:t>与分项报价表一致</w:t>
            </w:r>
          </w:p>
        </w:tc>
      </w:tr>
      <w:tr>
        <w:tblPrEx>
          <w:tblCellMar>
            <w:top w:w="0" w:type="dxa"/>
            <w:left w:w="108" w:type="dxa"/>
            <w:bottom w:w="0" w:type="dxa"/>
            <w:right w:w="108" w:type="dxa"/>
          </w:tblCellMar>
        </w:tblPrEx>
        <w:trPr>
          <w:trHeight w:val="454"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pStyle w:val="192"/>
              <w:jc w:val="center"/>
              <w:rPr>
                <w:rFonts w:ascii="宋体" w:hAnsi="宋体" w:cs="宋体"/>
                <w:szCs w:val="21"/>
              </w:rPr>
            </w:pPr>
          </w:p>
        </w:tc>
        <w:tc>
          <w:tcPr>
            <w:tcW w:w="1490" w:type="dxa"/>
            <w:tcBorders>
              <w:top w:val="single" w:color="auto" w:sz="4" w:space="0"/>
              <w:left w:val="single" w:color="auto" w:sz="4" w:space="0"/>
              <w:bottom w:val="single" w:color="auto" w:sz="4" w:space="0"/>
              <w:right w:val="single" w:color="auto" w:sz="4" w:space="0"/>
            </w:tcBorders>
            <w:vAlign w:val="center"/>
          </w:tcPr>
          <w:p>
            <w:pPr>
              <w:pStyle w:val="192"/>
              <w:jc w:val="center"/>
              <w:rPr>
                <w:rFonts w:ascii="宋体" w:hAnsi="宋体" w:cs="宋体"/>
                <w:szCs w:val="21"/>
              </w:rPr>
            </w:pPr>
          </w:p>
        </w:tc>
        <w:tc>
          <w:tcPr>
            <w:tcW w:w="1491" w:type="dxa"/>
            <w:tcBorders>
              <w:top w:val="single" w:color="auto" w:sz="4" w:space="0"/>
              <w:left w:val="single" w:color="auto" w:sz="4" w:space="0"/>
              <w:bottom w:val="single" w:color="auto" w:sz="4" w:space="0"/>
              <w:right w:val="single" w:color="auto" w:sz="4" w:space="0"/>
            </w:tcBorders>
            <w:vAlign w:val="center"/>
          </w:tcPr>
          <w:p>
            <w:pPr>
              <w:pStyle w:val="192"/>
              <w:jc w:val="center"/>
              <w:rPr>
                <w:rFonts w:ascii="宋体" w:hAnsi="宋体" w:cs="宋体"/>
                <w:szCs w:val="21"/>
              </w:rPr>
            </w:pPr>
          </w:p>
        </w:tc>
        <w:tc>
          <w:tcPr>
            <w:tcW w:w="1490" w:type="dxa"/>
            <w:tcBorders>
              <w:top w:val="single" w:color="auto" w:sz="4" w:space="0"/>
              <w:left w:val="single" w:color="auto" w:sz="4" w:space="0"/>
              <w:bottom w:val="single" w:color="auto" w:sz="4" w:space="0"/>
              <w:right w:val="single" w:color="auto" w:sz="4" w:space="0"/>
            </w:tcBorders>
            <w:vAlign w:val="center"/>
          </w:tcPr>
          <w:p>
            <w:pPr>
              <w:pStyle w:val="192"/>
              <w:jc w:val="center"/>
              <w:rPr>
                <w:rFonts w:ascii="宋体" w:hAnsi="宋体" w:cs="宋体"/>
                <w:szCs w:val="21"/>
              </w:rPr>
            </w:pPr>
          </w:p>
        </w:tc>
        <w:tc>
          <w:tcPr>
            <w:tcW w:w="1491" w:type="dxa"/>
            <w:tcBorders>
              <w:top w:val="single" w:color="auto" w:sz="4" w:space="0"/>
              <w:left w:val="single" w:color="auto" w:sz="4" w:space="0"/>
              <w:bottom w:val="single" w:color="auto" w:sz="4" w:space="0"/>
              <w:right w:val="single" w:color="auto" w:sz="4" w:space="0"/>
            </w:tcBorders>
            <w:vAlign w:val="center"/>
          </w:tcPr>
          <w:p>
            <w:pPr>
              <w:pStyle w:val="192"/>
              <w:jc w:val="center"/>
              <w:rPr>
                <w:rFonts w:ascii="宋体" w:hAnsi="宋体" w:cs="宋体"/>
                <w:szCs w:val="21"/>
              </w:rPr>
            </w:pPr>
          </w:p>
        </w:tc>
        <w:tc>
          <w:tcPr>
            <w:tcW w:w="2476" w:type="dxa"/>
            <w:tcBorders>
              <w:top w:val="single" w:color="auto" w:sz="4" w:space="0"/>
              <w:left w:val="single" w:color="auto" w:sz="4" w:space="0"/>
              <w:bottom w:val="single" w:color="auto" w:sz="4" w:space="0"/>
              <w:right w:val="single" w:color="auto" w:sz="4" w:space="0"/>
            </w:tcBorders>
            <w:vAlign w:val="center"/>
          </w:tcPr>
          <w:p>
            <w:pPr>
              <w:pStyle w:val="192"/>
              <w:jc w:val="center"/>
              <w:rPr>
                <w:rFonts w:ascii="宋体" w:hAnsi="宋体" w:cs="宋体"/>
                <w:szCs w:val="21"/>
              </w:rPr>
            </w:pPr>
            <w:r>
              <w:rPr>
                <w:rFonts w:hint="eastAsia" w:ascii="宋体" w:hAnsi="宋体" w:cs="宋体"/>
                <w:szCs w:val="21"/>
              </w:rPr>
              <w:t>与分项报价表一致</w:t>
            </w:r>
          </w:p>
        </w:tc>
      </w:tr>
    </w:tbl>
    <w:p>
      <w:pPr>
        <w:pStyle w:val="192"/>
        <w:spacing w:line="360" w:lineRule="auto"/>
        <w:ind w:firstLine="420" w:firstLineChars="200"/>
        <w:rPr>
          <w:rFonts w:ascii="宋体" w:hAnsi="宋体" w:cs="宋体"/>
          <w:szCs w:val="21"/>
        </w:rPr>
      </w:pPr>
    </w:p>
    <w:tbl>
      <w:tblPr>
        <w:tblStyle w:val="43"/>
        <w:tblW w:w="0" w:type="auto"/>
        <w:jc w:val="center"/>
        <w:tblLayout w:type="fixed"/>
        <w:tblCellMar>
          <w:top w:w="0" w:type="dxa"/>
          <w:left w:w="108" w:type="dxa"/>
          <w:bottom w:w="0" w:type="dxa"/>
          <w:right w:w="108" w:type="dxa"/>
        </w:tblCellMar>
      </w:tblPr>
      <w:tblGrid>
        <w:gridCol w:w="699"/>
        <w:gridCol w:w="1490"/>
        <w:gridCol w:w="1491"/>
        <w:gridCol w:w="1490"/>
        <w:gridCol w:w="1491"/>
        <w:gridCol w:w="2476"/>
      </w:tblGrid>
      <w:tr>
        <w:tblPrEx>
          <w:tblCellMar>
            <w:top w:w="0" w:type="dxa"/>
            <w:left w:w="108" w:type="dxa"/>
            <w:bottom w:w="0" w:type="dxa"/>
            <w:right w:w="108" w:type="dxa"/>
          </w:tblCellMar>
        </w:tblPrEx>
        <w:trPr>
          <w:trHeight w:val="454" w:hRule="atLeast"/>
          <w:jc w:val="center"/>
        </w:trPr>
        <w:tc>
          <w:tcPr>
            <w:tcW w:w="9137" w:type="dxa"/>
            <w:gridSpan w:val="6"/>
            <w:tcBorders>
              <w:bottom w:val="single" w:color="auto" w:sz="4" w:space="0"/>
            </w:tcBorders>
            <w:vAlign w:val="center"/>
          </w:tcPr>
          <w:p>
            <w:pPr>
              <w:pStyle w:val="192"/>
              <w:rPr>
                <w:rFonts w:ascii="宋体" w:hAnsi="宋体" w:cs="宋体"/>
                <w:szCs w:val="21"/>
              </w:rPr>
            </w:pPr>
            <w:r>
              <w:rPr>
                <w:rFonts w:hint="eastAsia" w:ascii="宋体" w:hAnsi="宋体" w:cs="宋体"/>
                <w:szCs w:val="21"/>
              </w:rPr>
              <w:t>表二</w:t>
            </w:r>
          </w:p>
        </w:tc>
      </w:tr>
      <w:tr>
        <w:tblPrEx>
          <w:tblCellMar>
            <w:top w:w="0" w:type="dxa"/>
            <w:left w:w="108" w:type="dxa"/>
            <w:bottom w:w="0" w:type="dxa"/>
            <w:right w:w="108" w:type="dxa"/>
          </w:tblCellMar>
        </w:tblPrEx>
        <w:trPr>
          <w:trHeight w:val="454"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pStyle w:val="192"/>
              <w:ind w:right="-48" w:rightChars="-23"/>
              <w:jc w:val="center"/>
              <w:rPr>
                <w:rFonts w:ascii="宋体" w:hAnsi="宋体" w:cs="宋体"/>
                <w:szCs w:val="21"/>
              </w:rPr>
            </w:pPr>
            <w:r>
              <w:rPr>
                <w:rFonts w:hint="eastAsia" w:ascii="宋体" w:hAnsi="宋体" w:cs="宋体"/>
                <w:szCs w:val="21"/>
              </w:rPr>
              <w:t>序号</w:t>
            </w:r>
          </w:p>
        </w:tc>
        <w:tc>
          <w:tcPr>
            <w:tcW w:w="1490" w:type="dxa"/>
            <w:tcBorders>
              <w:top w:val="single" w:color="auto" w:sz="4" w:space="0"/>
              <w:left w:val="single" w:color="auto" w:sz="4" w:space="0"/>
              <w:bottom w:val="single" w:color="auto" w:sz="4" w:space="0"/>
              <w:right w:val="single" w:color="auto" w:sz="4" w:space="0"/>
            </w:tcBorders>
            <w:vAlign w:val="center"/>
          </w:tcPr>
          <w:p>
            <w:pPr>
              <w:pStyle w:val="192"/>
              <w:ind w:left="-103" w:leftChars="-49" w:right="-48" w:rightChars="-23"/>
              <w:jc w:val="center"/>
              <w:rPr>
                <w:rFonts w:ascii="宋体" w:hAnsi="宋体" w:cs="宋体"/>
                <w:szCs w:val="21"/>
              </w:rPr>
            </w:pPr>
            <w:r>
              <w:rPr>
                <w:rFonts w:hint="eastAsia" w:ascii="宋体" w:hAnsi="宋体" w:cs="宋体"/>
                <w:szCs w:val="21"/>
              </w:rPr>
              <w:t>产品名称</w:t>
            </w:r>
          </w:p>
        </w:tc>
        <w:tc>
          <w:tcPr>
            <w:tcW w:w="1491" w:type="dxa"/>
            <w:tcBorders>
              <w:top w:val="single" w:color="auto" w:sz="4" w:space="0"/>
              <w:left w:val="single" w:color="auto" w:sz="4" w:space="0"/>
              <w:bottom w:val="single" w:color="auto" w:sz="4" w:space="0"/>
              <w:right w:val="single" w:color="auto" w:sz="4" w:space="0"/>
            </w:tcBorders>
            <w:vAlign w:val="center"/>
          </w:tcPr>
          <w:p>
            <w:pPr>
              <w:pStyle w:val="192"/>
              <w:ind w:right="-48" w:rightChars="-23"/>
              <w:jc w:val="center"/>
              <w:rPr>
                <w:rFonts w:ascii="宋体" w:hAnsi="宋体" w:cs="宋体"/>
                <w:szCs w:val="21"/>
              </w:rPr>
            </w:pPr>
            <w:r>
              <w:rPr>
                <w:rFonts w:hint="eastAsia" w:ascii="宋体" w:hAnsi="宋体" w:cs="宋体"/>
                <w:szCs w:val="21"/>
              </w:rPr>
              <w:t>制造企业</w:t>
            </w:r>
          </w:p>
        </w:tc>
        <w:tc>
          <w:tcPr>
            <w:tcW w:w="1490" w:type="dxa"/>
            <w:tcBorders>
              <w:top w:val="single" w:color="auto" w:sz="4" w:space="0"/>
              <w:left w:val="single" w:color="auto" w:sz="4" w:space="0"/>
              <w:bottom w:val="single" w:color="auto" w:sz="4" w:space="0"/>
              <w:right w:val="single" w:color="auto" w:sz="4" w:space="0"/>
            </w:tcBorders>
            <w:vAlign w:val="center"/>
          </w:tcPr>
          <w:p>
            <w:pPr>
              <w:pStyle w:val="192"/>
              <w:ind w:left="-103" w:leftChars="-49" w:right="-48" w:rightChars="-23"/>
              <w:jc w:val="center"/>
              <w:rPr>
                <w:rFonts w:ascii="宋体" w:hAnsi="宋体" w:cs="宋体"/>
                <w:szCs w:val="21"/>
              </w:rPr>
            </w:pPr>
            <w:r>
              <w:rPr>
                <w:rFonts w:hint="eastAsia" w:ascii="宋体" w:hAnsi="宋体" w:cs="宋体"/>
                <w:szCs w:val="21"/>
              </w:rPr>
              <w:t>品牌</w:t>
            </w:r>
          </w:p>
        </w:tc>
        <w:tc>
          <w:tcPr>
            <w:tcW w:w="1491" w:type="dxa"/>
            <w:tcBorders>
              <w:top w:val="single" w:color="auto" w:sz="4" w:space="0"/>
              <w:left w:val="single" w:color="auto" w:sz="4" w:space="0"/>
              <w:bottom w:val="single" w:color="auto" w:sz="4" w:space="0"/>
              <w:right w:val="single" w:color="auto" w:sz="4" w:space="0"/>
            </w:tcBorders>
            <w:vAlign w:val="center"/>
          </w:tcPr>
          <w:p>
            <w:pPr>
              <w:pStyle w:val="192"/>
              <w:ind w:left="-103" w:leftChars="-49" w:right="-48" w:rightChars="-23"/>
              <w:jc w:val="center"/>
              <w:rPr>
                <w:rFonts w:ascii="宋体" w:hAnsi="宋体" w:cs="宋体"/>
                <w:szCs w:val="21"/>
              </w:rPr>
            </w:pPr>
            <w:r>
              <w:rPr>
                <w:rFonts w:hint="eastAsia" w:ascii="宋体" w:hAnsi="宋体" w:cs="宋体"/>
                <w:szCs w:val="21"/>
              </w:rPr>
              <w:t>规格型号</w:t>
            </w:r>
          </w:p>
        </w:tc>
        <w:tc>
          <w:tcPr>
            <w:tcW w:w="2476" w:type="dxa"/>
            <w:tcBorders>
              <w:top w:val="single" w:color="auto" w:sz="4" w:space="0"/>
              <w:left w:val="single" w:color="auto" w:sz="4" w:space="0"/>
              <w:bottom w:val="single" w:color="auto" w:sz="4" w:space="0"/>
              <w:right w:val="single" w:color="auto" w:sz="4" w:space="0"/>
            </w:tcBorders>
            <w:vAlign w:val="center"/>
          </w:tcPr>
          <w:p>
            <w:pPr>
              <w:pStyle w:val="192"/>
              <w:jc w:val="center"/>
              <w:rPr>
                <w:rFonts w:ascii="宋体" w:hAnsi="宋体" w:cs="宋体"/>
                <w:szCs w:val="21"/>
              </w:rPr>
            </w:pPr>
            <w:r>
              <w:rPr>
                <w:rFonts w:hint="eastAsia" w:ascii="宋体" w:hAnsi="宋体" w:cs="宋体"/>
                <w:szCs w:val="21"/>
              </w:rPr>
              <w:t>备注</w:t>
            </w:r>
          </w:p>
        </w:tc>
      </w:tr>
      <w:tr>
        <w:tblPrEx>
          <w:tblCellMar>
            <w:top w:w="0" w:type="dxa"/>
            <w:left w:w="108" w:type="dxa"/>
            <w:bottom w:w="0" w:type="dxa"/>
            <w:right w:w="108" w:type="dxa"/>
          </w:tblCellMar>
        </w:tblPrEx>
        <w:trPr>
          <w:trHeight w:val="454"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pStyle w:val="192"/>
              <w:jc w:val="center"/>
              <w:rPr>
                <w:rFonts w:ascii="宋体" w:hAnsi="宋体" w:cs="宋体"/>
                <w:szCs w:val="21"/>
              </w:rPr>
            </w:pPr>
          </w:p>
        </w:tc>
        <w:tc>
          <w:tcPr>
            <w:tcW w:w="1490" w:type="dxa"/>
            <w:tcBorders>
              <w:top w:val="single" w:color="auto" w:sz="4" w:space="0"/>
              <w:left w:val="single" w:color="auto" w:sz="4" w:space="0"/>
              <w:bottom w:val="single" w:color="auto" w:sz="4" w:space="0"/>
              <w:right w:val="single" w:color="auto" w:sz="4" w:space="0"/>
            </w:tcBorders>
            <w:vAlign w:val="center"/>
          </w:tcPr>
          <w:p>
            <w:pPr>
              <w:pStyle w:val="192"/>
              <w:jc w:val="center"/>
              <w:rPr>
                <w:rFonts w:ascii="宋体" w:hAnsi="宋体" w:cs="宋体"/>
                <w:szCs w:val="21"/>
              </w:rPr>
            </w:pPr>
          </w:p>
        </w:tc>
        <w:tc>
          <w:tcPr>
            <w:tcW w:w="1491" w:type="dxa"/>
            <w:tcBorders>
              <w:top w:val="single" w:color="auto" w:sz="4" w:space="0"/>
              <w:left w:val="single" w:color="auto" w:sz="4" w:space="0"/>
              <w:bottom w:val="single" w:color="auto" w:sz="4" w:space="0"/>
              <w:right w:val="single" w:color="auto" w:sz="4" w:space="0"/>
            </w:tcBorders>
            <w:vAlign w:val="center"/>
          </w:tcPr>
          <w:p>
            <w:pPr>
              <w:pStyle w:val="192"/>
              <w:jc w:val="center"/>
              <w:rPr>
                <w:rFonts w:ascii="宋体" w:hAnsi="宋体" w:cs="宋体"/>
                <w:szCs w:val="21"/>
              </w:rPr>
            </w:pPr>
          </w:p>
        </w:tc>
        <w:tc>
          <w:tcPr>
            <w:tcW w:w="1490" w:type="dxa"/>
            <w:tcBorders>
              <w:top w:val="single" w:color="auto" w:sz="4" w:space="0"/>
              <w:left w:val="single" w:color="auto" w:sz="4" w:space="0"/>
              <w:bottom w:val="single" w:color="auto" w:sz="4" w:space="0"/>
              <w:right w:val="single" w:color="auto" w:sz="4" w:space="0"/>
            </w:tcBorders>
            <w:vAlign w:val="center"/>
          </w:tcPr>
          <w:p>
            <w:pPr>
              <w:pStyle w:val="192"/>
              <w:jc w:val="center"/>
              <w:rPr>
                <w:rFonts w:ascii="宋体" w:hAnsi="宋体" w:cs="宋体"/>
                <w:szCs w:val="21"/>
              </w:rPr>
            </w:pPr>
          </w:p>
        </w:tc>
        <w:tc>
          <w:tcPr>
            <w:tcW w:w="1491" w:type="dxa"/>
            <w:tcBorders>
              <w:top w:val="single" w:color="auto" w:sz="4" w:space="0"/>
              <w:left w:val="single" w:color="auto" w:sz="4" w:space="0"/>
              <w:bottom w:val="single" w:color="auto" w:sz="4" w:space="0"/>
              <w:right w:val="single" w:color="auto" w:sz="4" w:space="0"/>
            </w:tcBorders>
            <w:vAlign w:val="center"/>
          </w:tcPr>
          <w:p>
            <w:pPr>
              <w:pStyle w:val="192"/>
              <w:jc w:val="center"/>
              <w:rPr>
                <w:rFonts w:ascii="宋体" w:hAnsi="宋体" w:cs="宋体"/>
                <w:szCs w:val="21"/>
              </w:rPr>
            </w:pPr>
          </w:p>
        </w:tc>
        <w:tc>
          <w:tcPr>
            <w:tcW w:w="2476" w:type="dxa"/>
            <w:tcBorders>
              <w:top w:val="single" w:color="auto" w:sz="4" w:space="0"/>
              <w:left w:val="single" w:color="auto" w:sz="4" w:space="0"/>
              <w:bottom w:val="single" w:color="auto" w:sz="4" w:space="0"/>
              <w:right w:val="single" w:color="auto" w:sz="4" w:space="0"/>
            </w:tcBorders>
            <w:vAlign w:val="center"/>
          </w:tcPr>
          <w:p>
            <w:pPr>
              <w:pStyle w:val="192"/>
              <w:jc w:val="center"/>
              <w:rPr>
                <w:rFonts w:ascii="宋体" w:hAnsi="宋体" w:cs="宋体"/>
                <w:szCs w:val="21"/>
              </w:rPr>
            </w:pPr>
            <w:r>
              <w:rPr>
                <w:rFonts w:hint="eastAsia" w:ascii="宋体" w:hAnsi="宋体" w:cs="宋体"/>
                <w:szCs w:val="21"/>
              </w:rPr>
              <w:t>与分项报价表一致</w:t>
            </w:r>
          </w:p>
        </w:tc>
      </w:tr>
      <w:tr>
        <w:tblPrEx>
          <w:tblCellMar>
            <w:top w:w="0" w:type="dxa"/>
            <w:left w:w="108" w:type="dxa"/>
            <w:bottom w:w="0" w:type="dxa"/>
            <w:right w:w="108" w:type="dxa"/>
          </w:tblCellMar>
        </w:tblPrEx>
        <w:trPr>
          <w:trHeight w:val="454"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pStyle w:val="192"/>
              <w:jc w:val="center"/>
              <w:rPr>
                <w:rFonts w:ascii="宋体" w:hAnsi="宋体" w:cs="宋体"/>
                <w:szCs w:val="21"/>
              </w:rPr>
            </w:pPr>
          </w:p>
        </w:tc>
        <w:tc>
          <w:tcPr>
            <w:tcW w:w="1490" w:type="dxa"/>
            <w:tcBorders>
              <w:top w:val="single" w:color="auto" w:sz="4" w:space="0"/>
              <w:left w:val="single" w:color="auto" w:sz="4" w:space="0"/>
              <w:bottom w:val="single" w:color="auto" w:sz="4" w:space="0"/>
              <w:right w:val="single" w:color="auto" w:sz="4" w:space="0"/>
            </w:tcBorders>
            <w:vAlign w:val="center"/>
          </w:tcPr>
          <w:p>
            <w:pPr>
              <w:pStyle w:val="192"/>
              <w:jc w:val="center"/>
              <w:rPr>
                <w:rFonts w:ascii="宋体" w:hAnsi="宋体" w:cs="宋体"/>
                <w:szCs w:val="21"/>
              </w:rPr>
            </w:pPr>
          </w:p>
        </w:tc>
        <w:tc>
          <w:tcPr>
            <w:tcW w:w="1491" w:type="dxa"/>
            <w:tcBorders>
              <w:top w:val="single" w:color="auto" w:sz="4" w:space="0"/>
              <w:left w:val="single" w:color="auto" w:sz="4" w:space="0"/>
              <w:bottom w:val="single" w:color="auto" w:sz="4" w:space="0"/>
              <w:right w:val="single" w:color="auto" w:sz="4" w:space="0"/>
            </w:tcBorders>
            <w:vAlign w:val="center"/>
          </w:tcPr>
          <w:p>
            <w:pPr>
              <w:pStyle w:val="192"/>
              <w:jc w:val="center"/>
              <w:rPr>
                <w:rFonts w:ascii="宋体" w:hAnsi="宋体" w:cs="宋体"/>
                <w:szCs w:val="21"/>
              </w:rPr>
            </w:pPr>
          </w:p>
        </w:tc>
        <w:tc>
          <w:tcPr>
            <w:tcW w:w="1490" w:type="dxa"/>
            <w:tcBorders>
              <w:top w:val="single" w:color="auto" w:sz="4" w:space="0"/>
              <w:left w:val="single" w:color="auto" w:sz="4" w:space="0"/>
              <w:bottom w:val="single" w:color="auto" w:sz="4" w:space="0"/>
              <w:right w:val="single" w:color="auto" w:sz="4" w:space="0"/>
            </w:tcBorders>
            <w:vAlign w:val="center"/>
          </w:tcPr>
          <w:p>
            <w:pPr>
              <w:pStyle w:val="192"/>
              <w:jc w:val="center"/>
              <w:rPr>
                <w:rFonts w:ascii="宋体" w:hAnsi="宋体" w:cs="宋体"/>
                <w:szCs w:val="21"/>
              </w:rPr>
            </w:pPr>
          </w:p>
        </w:tc>
        <w:tc>
          <w:tcPr>
            <w:tcW w:w="1491" w:type="dxa"/>
            <w:tcBorders>
              <w:top w:val="single" w:color="auto" w:sz="4" w:space="0"/>
              <w:left w:val="single" w:color="auto" w:sz="4" w:space="0"/>
              <w:bottom w:val="single" w:color="auto" w:sz="4" w:space="0"/>
              <w:right w:val="single" w:color="auto" w:sz="4" w:space="0"/>
            </w:tcBorders>
            <w:vAlign w:val="center"/>
          </w:tcPr>
          <w:p>
            <w:pPr>
              <w:pStyle w:val="192"/>
              <w:jc w:val="center"/>
              <w:rPr>
                <w:rFonts w:ascii="宋体" w:hAnsi="宋体" w:cs="宋体"/>
                <w:szCs w:val="21"/>
              </w:rPr>
            </w:pPr>
          </w:p>
        </w:tc>
        <w:tc>
          <w:tcPr>
            <w:tcW w:w="2476" w:type="dxa"/>
            <w:tcBorders>
              <w:top w:val="single" w:color="auto" w:sz="4" w:space="0"/>
              <w:left w:val="single" w:color="auto" w:sz="4" w:space="0"/>
              <w:bottom w:val="single" w:color="auto" w:sz="4" w:space="0"/>
              <w:right w:val="single" w:color="auto" w:sz="4" w:space="0"/>
            </w:tcBorders>
            <w:vAlign w:val="center"/>
          </w:tcPr>
          <w:p>
            <w:pPr>
              <w:pStyle w:val="192"/>
              <w:jc w:val="center"/>
              <w:rPr>
                <w:rFonts w:ascii="宋体" w:hAnsi="宋体" w:cs="宋体"/>
                <w:szCs w:val="21"/>
              </w:rPr>
            </w:pPr>
            <w:r>
              <w:rPr>
                <w:rFonts w:hint="eastAsia" w:ascii="宋体" w:hAnsi="宋体" w:cs="宋体"/>
                <w:szCs w:val="21"/>
              </w:rPr>
              <w:t>与分项报价表一致</w:t>
            </w:r>
          </w:p>
        </w:tc>
      </w:tr>
    </w:tbl>
    <w:p>
      <w:pPr>
        <w:pStyle w:val="192"/>
        <w:spacing w:line="360" w:lineRule="auto"/>
        <w:ind w:firstLine="444" w:firstLineChars="200"/>
        <w:rPr>
          <w:rFonts w:ascii="宋体" w:hAnsi="宋体" w:cs="宋体"/>
          <w:spacing w:val="6"/>
          <w:szCs w:val="21"/>
        </w:rPr>
      </w:pPr>
      <w:r>
        <w:rPr>
          <w:rFonts w:hint="eastAsia" w:ascii="宋体" w:hAnsi="宋体" w:cs="宋体"/>
          <w:spacing w:val="6"/>
          <w:szCs w:val="21"/>
        </w:rPr>
        <w:t>本公司对上述声明的真实性负责。如有虚假，将依法承担相应责任。</w:t>
      </w:r>
    </w:p>
    <w:p>
      <w:pPr>
        <w:pStyle w:val="30"/>
        <w:snapToGrid w:val="0"/>
        <w:spacing w:line="360" w:lineRule="auto"/>
        <w:ind w:left="422" w:hanging="422"/>
        <w:jc w:val="left"/>
        <w:rPr>
          <w:rFonts w:ascii="宋体" w:hAnsi="宋体" w:cs="宋体"/>
          <w:b/>
          <w:szCs w:val="21"/>
        </w:rPr>
      </w:pPr>
    </w:p>
    <w:p>
      <w:pPr>
        <w:pStyle w:val="30"/>
        <w:wordWrap w:val="0"/>
        <w:snapToGrid w:val="0"/>
        <w:spacing w:line="360" w:lineRule="auto"/>
        <w:ind w:left="420" w:hanging="420"/>
        <w:jc w:val="right"/>
        <w:rPr>
          <w:rFonts w:ascii="宋体" w:hAnsi="宋体" w:cs="宋体"/>
          <w:szCs w:val="21"/>
        </w:rPr>
      </w:pPr>
      <w:r>
        <w:rPr>
          <w:rFonts w:hint="eastAsia" w:ascii="宋体" w:hAnsi="宋体" w:cs="宋体"/>
          <w:szCs w:val="21"/>
        </w:rPr>
        <w:t>监狱企业盖章：</w:t>
      </w:r>
      <w:r>
        <w:rPr>
          <w:rFonts w:hint="eastAsia" w:ascii="宋体" w:hAnsi="宋体" w:cs="宋体"/>
          <w:szCs w:val="21"/>
          <w:u w:val="single"/>
        </w:rPr>
        <w:t xml:space="preserve">            </w:t>
      </w:r>
    </w:p>
    <w:p>
      <w:pPr>
        <w:pStyle w:val="144"/>
        <w:wordWrap w:val="0"/>
        <w:spacing w:line="360" w:lineRule="auto"/>
        <w:jc w:val="right"/>
        <w:rPr>
          <w:rFonts w:ascii="宋体" w:hAnsi="宋体" w:cs="宋体"/>
          <w:szCs w:val="21"/>
          <w:u w:val="single"/>
        </w:rPr>
      </w:pPr>
      <w:r>
        <w:rPr>
          <w:rFonts w:hint="eastAsia" w:ascii="宋体" w:hAnsi="宋体" w:cs="宋体"/>
          <w:szCs w:val="21"/>
        </w:rPr>
        <w:t>日        期：</w:t>
      </w:r>
      <w:r>
        <w:rPr>
          <w:rFonts w:hint="eastAsia" w:ascii="宋体" w:hAnsi="宋体" w:cs="宋体"/>
          <w:szCs w:val="21"/>
          <w:u w:val="single"/>
        </w:rPr>
        <w:t xml:space="preserve">            </w:t>
      </w:r>
    </w:p>
    <w:p>
      <w:pPr>
        <w:pStyle w:val="30"/>
        <w:snapToGrid w:val="0"/>
        <w:ind w:left="666" w:hanging="666" w:hangingChars="300"/>
        <w:jc w:val="left"/>
        <w:rPr>
          <w:rFonts w:ascii="宋体" w:hAnsi="宋体" w:cs="宋体"/>
          <w:spacing w:val="6"/>
          <w:szCs w:val="21"/>
        </w:rPr>
      </w:pPr>
    </w:p>
    <w:p>
      <w:pPr>
        <w:spacing w:line="312" w:lineRule="auto"/>
        <w:ind w:firstLine="482"/>
        <w:jc w:val="left"/>
        <w:rPr>
          <w:rFonts w:ascii="宋体" w:hAnsi="宋体" w:cs="宋体"/>
          <w:kern w:val="0"/>
          <w:szCs w:val="21"/>
        </w:rPr>
      </w:pPr>
    </w:p>
    <w:p>
      <w:pPr>
        <w:spacing w:line="312" w:lineRule="auto"/>
        <w:ind w:firstLine="482"/>
        <w:jc w:val="left"/>
        <w:rPr>
          <w:rFonts w:ascii="宋体" w:hAnsi="宋体" w:cs="宋体"/>
          <w:kern w:val="0"/>
          <w:szCs w:val="21"/>
        </w:rPr>
      </w:pPr>
      <w:r>
        <w:rPr>
          <w:rFonts w:hint="eastAsia" w:ascii="宋体" w:hAnsi="宋体" w:cs="宋体"/>
          <w:kern w:val="0"/>
          <w:szCs w:val="21"/>
        </w:rPr>
        <w:t>注：1.须附省级以上监狱管理局、戒毒管理局（含新疆生产建设兵团）出具的属于监狱企业的证明文件，否则视为供应商放弃相关政策优惠处理；</w:t>
      </w:r>
    </w:p>
    <w:p>
      <w:pPr>
        <w:spacing w:line="312" w:lineRule="auto"/>
        <w:ind w:firstLine="482"/>
        <w:jc w:val="left"/>
        <w:rPr>
          <w:rFonts w:ascii="宋体" w:hAnsi="宋体" w:cs="宋体"/>
          <w:kern w:val="0"/>
          <w:szCs w:val="21"/>
        </w:rPr>
      </w:pPr>
      <w:r>
        <w:rPr>
          <w:rFonts w:hint="eastAsia" w:ascii="宋体" w:hAnsi="宋体" w:cs="宋体"/>
          <w:kern w:val="0"/>
          <w:szCs w:val="21"/>
        </w:rPr>
        <w:t>2.供应商提供的是其他小微、监狱、残疾人福利性企业制造的产品，还需提供制造企业声明函。</w:t>
      </w:r>
    </w:p>
    <w:p>
      <w:pPr>
        <w:pStyle w:val="192"/>
        <w:tabs>
          <w:tab w:val="left" w:pos="4860"/>
        </w:tabs>
        <w:spacing w:line="360" w:lineRule="auto"/>
        <w:ind w:right="1559" w:firstLine="420" w:firstLineChars="200"/>
        <w:jc w:val="left"/>
        <w:rPr>
          <w:rFonts w:ascii="宋体" w:hAnsi="宋体" w:cs="宋体"/>
          <w:szCs w:val="21"/>
        </w:rPr>
      </w:pPr>
    </w:p>
    <w:p>
      <w:pPr>
        <w:pStyle w:val="192"/>
        <w:tabs>
          <w:tab w:val="left" w:pos="4860"/>
        </w:tabs>
        <w:spacing w:line="360" w:lineRule="auto"/>
        <w:ind w:right="1559" w:firstLine="420" w:firstLineChars="200"/>
        <w:jc w:val="left"/>
        <w:rPr>
          <w:rFonts w:ascii="宋体" w:hAnsi="宋体" w:cs="宋体"/>
          <w:szCs w:val="21"/>
        </w:rPr>
        <w:sectPr>
          <w:pgSz w:w="11906" w:h="16838"/>
          <w:pgMar w:top="1440" w:right="1440" w:bottom="1440" w:left="1440" w:header="851" w:footer="851" w:gutter="0"/>
          <w:cols w:space="720" w:num="1"/>
          <w:docGrid w:linePitch="312" w:charSpace="0"/>
        </w:sectPr>
      </w:pPr>
    </w:p>
    <w:p>
      <w:pPr>
        <w:pStyle w:val="2"/>
        <w:spacing w:line="360" w:lineRule="auto"/>
        <w:ind w:firstLine="0"/>
        <w:jc w:val="center"/>
        <w:rPr>
          <w:rFonts w:ascii="宋体" w:hAnsi="宋体" w:cs="宋体"/>
          <w:szCs w:val="21"/>
        </w:rPr>
      </w:pPr>
      <w:r>
        <w:rPr>
          <w:rFonts w:hint="eastAsia" w:ascii="宋体" w:hAnsi="宋体" w:cs="宋体"/>
          <w:b/>
          <w:sz w:val="24"/>
          <w:szCs w:val="24"/>
        </w:rPr>
        <w:t>3.3残疾人福利性企业声明函（残疾人福利性企业提供）</w:t>
      </w:r>
    </w:p>
    <w:p>
      <w:pPr>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本单位郑重声明，根据《财政部 民政部 中国残疾人联合会关于促进残疾人就业政府采购政策的通知》（财库〔2017〕141号）的规定，本企业为符合条件的残疾人福利性单位，且本单位参加</w:t>
      </w:r>
      <w:r>
        <w:rPr>
          <w:rFonts w:hint="eastAsia" w:ascii="宋体" w:hAnsi="宋体" w:cs="宋体"/>
          <w:spacing w:val="6"/>
          <w:szCs w:val="21"/>
          <w:u w:val="single"/>
        </w:rPr>
        <w:t>（采购人名称）</w:t>
      </w:r>
      <w:r>
        <w:rPr>
          <w:rFonts w:hint="eastAsia" w:ascii="宋体" w:hAnsi="宋体" w:cs="宋体"/>
          <w:spacing w:val="6"/>
          <w:szCs w:val="21"/>
        </w:rPr>
        <w:t>的</w:t>
      </w:r>
      <w:r>
        <w:rPr>
          <w:rFonts w:hint="eastAsia" w:ascii="宋体" w:hAnsi="宋体" w:cs="宋体"/>
          <w:spacing w:val="6"/>
          <w:szCs w:val="21"/>
          <w:u w:val="single"/>
        </w:rPr>
        <w:t>（项目名称）（项目编号）（标项）</w:t>
      </w:r>
      <w:r>
        <w:rPr>
          <w:rFonts w:hint="eastAsia" w:ascii="宋体" w:hAnsi="宋体" w:cs="宋体"/>
          <w:szCs w:val="21"/>
        </w:rPr>
        <w:t>项目采购活动提供本单位制造的产品（产品名称见下表一），由本单位承接工程、提供服务，或者提供其他残疾人福利性单位制造的产品（产品名称见下表二），本条不包括使用非残疾人福利性单位注册商标的货物。</w:t>
      </w:r>
    </w:p>
    <w:tbl>
      <w:tblPr>
        <w:tblStyle w:val="43"/>
        <w:tblW w:w="0" w:type="auto"/>
        <w:jc w:val="center"/>
        <w:tblLayout w:type="fixed"/>
        <w:tblCellMar>
          <w:top w:w="0" w:type="dxa"/>
          <w:left w:w="108" w:type="dxa"/>
          <w:bottom w:w="0" w:type="dxa"/>
          <w:right w:w="108" w:type="dxa"/>
        </w:tblCellMar>
      </w:tblPr>
      <w:tblGrid>
        <w:gridCol w:w="699"/>
        <w:gridCol w:w="1490"/>
        <w:gridCol w:w="1491"/>
        <w:gridCol w:w="1490"/>
        <w:gridCol w:w="1491"/>
        <w:gridCol w:w="2476"/>
      </w:tblGrid>
      <w:tr>
        <w:tblPrEx>
          <w:tblCellMar>
            <w:top w:w="0" w:type="dxa"/>
            <w:left w:w="108" w:type="dxa"/>
            <w:bottom w:w="0" w:type="dxa"/>
            <w:right w:w="108" w:type="dxa"/>
          </w:tblCellMar>
        </w:tblPrEx>
        <w:trPr>
          <w:trHeight w:val="454" w:hRule="atLeast"/>
          <w:jc w:val="center"/>
        </w:trPr>
        <w:tc>
          <w:tcPr>
            <w:tcW w:w="9137" w:type="dxa"/>
            <w:gridSpan w:val="6"/>
            <w:tcBorders>
              <w:bottom w:val="single" w:color="auto" w:sz="4" w:space="0"/>
            </w:tcBorders>
            <w:vAlign w:val="center"/>
          </w:tcPr>
          <w:p>
            <w:pPr>
              <w:pStyle w:val="192"/>
              <w:rPr>
                <w:rFonts w:ascii="宋体" w:hAnsi="宋体" w:cs="宋体"/>
                <w:szCs w:val="21"/>
              </w:rPr>
            </w:pPr>
            <w:r>
              <w:rPr>
                <w:rFonts w:hint="eastAsia" w:ascii="宋体" w:hAnsi="宋体" w:cs="宋体"/>
                <w:szCs w:val="21"/>
              </w:rPr>
              <w:t>表一</w:t>
            </w:r>
          </w:p>
        </w:tc>
      </w:tr>
      <w:tr>
        <w:tblPrEx>
          <w:tblCellMar>
            <w:top w:w="0" w:type="dxa"/>
            <w:left w:w="108" w:type="dxa"/>
            <w:bottom w:w="0" w:type="dxa"/>
            <w:right w:w="108" w:type="dxa"/>
          </w:tblCellMar>
        </w:tblPrEx>
        <w:trPr>
          <w:trHeight w:val="454"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pStyle w:val="192"/>
              <w:ind w:right="-48" w:rightChars="-23"/>
              <w:jc w:val="center"/>
              <w:rPr>
                <w:rFonts w:ascii="宋体" w:hAnsi="宋体" w:cs="宋体"/>
                <w:szCs w:val="21"/>
              </w:rPr>
            </w:pPr>
            <w:r>
              <w:rPr>
                <w:rFonts w:hint="eastAsia" w:ascii="宋体" w:hAnsi="宋体" w:cs="宋体"/>
                <w:szCs w:val="21"/>
              </w:rPr>
              <w:t>序号</w:t>
            </w:r>
          </w:p>
        </w:tc>
        <w:tc>
          <w:tcPr>
            <w:tcW w:w="1490" w:type="dxa"/>
            <w:tcBorders>
              <w:top w:val="single" w:color="auto" w:sz="4" w:space="0"/>
              <w:left w:val="single" w:color="auto" w:sz="4" w:space="0"/>
              <w:bottom w:val="single" w:color="auto" w:sz="4" w:space="0"/>
              <w:right w:val="single" w:color="auto" w:sz="4" w:space="0"/>
            </w:tcBorders>
            <w:vAlign w:val="center"/>
          </w:tcPr>
          <w:p>
            <w:pPr>
              <w:pStyle w:val="192"/>
              <w:ind w:left="-103" w:leftChars="-49" w:right="-48" w:rightChars="-23"/>
              <w:jc w:val="center"/>
              <w:rPr>
                <w:rFonts w:ascii="宋体" w:hAnsi="宋体" w:cs="宋体"/>
                <w:szCs w:val="21"/>
              </w:rPr>
            </w:pPr>
            <w:r>
              <w:rPr>
                <w:rFonts w:hint="eastAsia" w:ascii="宋体" w:hAnsi="宋体" w:cs="宋体"/>
                <w:szCs w:val="21"/>
              </w:rPr>
              <w:t>产品名称</w:t>
            </w:r>
          </w:p>
        </w:tc>
        <w:tc>
          <w:tcPr>
            <w:tcW w:w="1491" w:type="dxa"/>
            <w:tcBorders>
              <w:top w:val="single" w:color="auto" w:sz="4" w:space="0"/>
              <w:left w:val="single" w:color="auto" w:sz="4" w:space="0"/>
              <w:bottom w:val="single" w:color="auto" w:sz="4" w:space="0"/>
              <w:right w:val="single" w:color="auto" w:sz="4" w:space="0"/>
            </w:tcBorders>
            <w:vAlign w:val="center"/>
          </w:tcPr>
          <w:p>
            <w:pPr>
              <w:pStyle w:val="192"/>
              <w:ind w:right="-48" w:rightChars="-23"/>
              <w:jc w:val="center"/>
              <w:rPr>
                <w:rFonts w:ascii="宋体" w:hAnsi="宋体" w:cs="宋体"/>
                <w:szCs w:val="21"/>
              </w:rPr>
            </w:pPr>
            <w:r>
              <w:rPr>
                <w:rFonts w:hint="eastAsia" w:ascii="宋体" w:hAnsi="宋体" w:cs="宋体"/>
                <w:szCs w:val="21"/>
              </w:rPr>
              <w:t>制造企业</w:t>
            </w:r>
          </w:p>
        </w:tc>
        <w:tc>
          <w:tcPr>
            <w:tcW w:w="1490" w:type="dxa"/>
            <w:tcBorders>
              <w:top w:val="single" w:color="auto" w:sz="4" w:space="0"/>
              <w:left w:val="single" w:color="auto" w:sz="4" w:space="0"/>
              <w:bottom w:val="single" w:color="auto" w:sz="4" w:space="0"/>
              <w:right w:val="single" w:color="auto" w:sz="4" w:space="0"/>
            </w:tcBorders>
            <w:vAlign w:val="center"/>
          </w:tcPr>
          <w:p>
            <w:pPr>
              <w:pStyle w:val="192"/>
              <w:ind w:left="-103" w:leftChars="-49" w:right="-48" w:rightChars="-23"/>
              <w:jc w:val="center"/>
              <w:rPr>
                <w:rFonts w:ascii="宋体" w:hAnsi="宋体" w:cs="宋体"/>
                <w:szCs w:val="21"/>
              </w:rPr>
            </w:pPr>
            <w:r>
              <w:rPr>
                <w:rFonts w:hint="eastAsia" w:ascii="宋体" w:hAnsi="宋体" w:cs="宋体"/>
                <w:szCs w:val="21"/>
              </w:rPr>
              <w:t>品牌</w:t>
            </w:r>
          </w:p>
        </w:tc>
        <w:tc>
          <w:tcPr>
            <w:tcW w:w="1491" w:type="dxa"/>
            <w:tcBorders>
              <w:top w:val="single" w:color="auto" w:sz="4" w:space="0"/>
              <w:left w:val="single" w:color="auto" w:sz="4" w:space="0"/>
              <w:bottom w:val="single" w:color="auto" w:sz="4" w:space="0"/>
              <w:right w:val="single" w:color="auto" w:sz="4" w:space="0"/>
            </w:tcBorders>
            <w:vAlign w:val="center"/>
          </w:tcPr>
          <w:p>
            <w:pPr>
              <w:pStyle w:val="192"/>
              <w:ind w:left="-103" w:leftChars="-49" w:right="-48" w:rightChars="-23"/>
              <w:jc w:val="center"/>
              <w:rPr>
                <w:rFonts w:ascii="宋体" w:hAnsi="宋体" w:cs="宋体"/>
                <w:szCs w:val="21"/>
              </w:rPr>
            </w:pPr>
            <w:r>
              <w:rPr>
                <w:rFonts w:hint="eastAsia" w:ascii="宋体" w:hAnsi="宋体" w:cs="宋体"/>
                <w:szCs w:val="21"/>
              </w:rPr>
              <w:t>规格型号</w:t>
            </w:r>
          </w:p>
        </w:tc>
        <w:tc>
          <w:tcPr>
            <w:tcW w:w="2476" w:type="dxa"/>
            <w:tcBorders>
              <w:top w:val="single" w:color="auto" w:sz="4" w:space="0"/>
              <w:left w:val="single" w:color="auto" w:sz="4" w:space="0"/>
              <w:bottom w:val="single" w:color="auto" w:sz="4" w:space="0"/>
              <w:right w:val="single" w:color="auto" w:sz="4" w:space="0"/>
            </w:tcBorders>
            <w:vAlign w:val="center"/>
          </w:tcPr>
          <w:p>
            <w:pPr>
              <w:pStyle w:val="192"/>
              <w:jc w:val="center"/>
              <w:rPr>
                <w:rFonts w:ascii="宋体" w:hAnsi="宋体" w:cs="宋体"/>
                <w:szCs w:val="21"/>
              </w:rPr>
            </w:pPr>
            <w:r>
              <w:rPr>
                <w:rFonts w:hint="eastAsia" w:ascii="宋体" w:hAnsi="宋体" w:cs="宋体"/>
                <w:szCs w:val="21"/>
              </w:rPr>
              <w:t>备注</w:t>
            </w:r>
          </w:p>
        </w:tc>
      </w:tr>
      <w:tr>
        <w:tblPrEx>
          <w:tblCellMar>
            <w:top w:w="0" w:type="dxa"/>
            <w:left w:w="108" w:type="dxa"/>
            <w:bottom w:w="0" w:type="dxa"/>
            <w:right w:w="108" w:type="dxa"/>
          </w:tblCellMar>
        </w:tblPrEx>
        <w:trPr>
          <w:trHeight w:val="454"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pStyle w:val="192"/>
              <w:jc w:val="center"/>
              <w:rPr>
                <w:rFonts w:ascii="宋体" w:hAnsi="宋体" w:cs="宋体"/>
                <w:szCs w:val="21"/>
              </w:rPr>
            </w:pPr>
          </w:p>
        </w:tc>
        <w:tc>
          <w:tcPr>
            <w:tcW w:w="1490" w:type="dxa"/>
            <w:tcBorders>
              <w:top w:val="single" w:color="auto" w:sz="4" w:space="0"/>
              <w:left w:val="single" w:color="auto" w:sz="4" w:space="0"/>
              <w:bottom w:val="single" w:color="auto" w:sz="4" w:space="0"/>
              <w:right w:val="single" w:color="auto" w:sz="4" w:space="0"/>
            </w:tcBorders>
            <w:vAlign w:val="center"/>
          </w:tcPr>
          <w:p>
            <w:pPr>
              <w:pStyle w:val="192"/>
              <w:jc w:val="center"/>
              <w:rPr>
                <w:rFonts w:ascii="宋体" w:hAnsi="宋体" w:cs="宋体"/>
                <w:szCs w:val="21"/>
              </w:rPr>
            </w:pPr>
          </w:p>
        </w:tc>
        <w:tc>
          <w:tcPr>
            <w:tcW w:w="1491" w:type="dxa"/>
            <w:tcBorders>
              <w:top w:val="single" w:color="auto" w:sz="4" w:space="0"/>
              <w:left w:val="single" w:color="auto" w:sz="4" w:space="0"/>
              <w:bottom w:val="single" w:color="auto" w:sz="4" w:space="0"/>
              <w:right w:val="single" w:color="auto" w:sz="4" w:space="0"/>
            </w:tcBorders>
            <w:vAlign w:val="center"/>
          </w:tcPr>
          <w:p>
            <w:pPr>
              <w:pStyle w:val="192"/>
              <w:jc w:val="center"/>
              <w:rPr>
                <w:rFonts w:ascii="宋体" w:hAnsi="宋体" w:cs="宋体"/>
                <w:szCs w:val="21"/>
              </w:rPr>
            </w:pPr>
          </w:p>
        </w:tc>
        <w:tc>
          <w:tcPr>
            <w:tcW w:w="1490" w:type="dxa"/>
            <w:tcBorders>
              <w:top w:val="single" w:color="auto" w:sz="4" w:space="0"/>
              <w:left w:val="single" w:color="auto" w:sz="4" w:space="0"/>
              <w:bottom w:val="single" w:color="auto" w:sz="4" w:space="0"/>
              <w:right w:val="single" w:color="auto" w:sz="4" w:space="0"/>
            </w:tcBorders>
            <w:vAlign w:val="center"/>
          </w:tcPr>
          <w:p>
            <w:pPr>
              <w:pStyle w:val="192"/>
              <w:jc w:val="center"/>
              <w:rPr>
                <w:rFonts w:ascii="宋体" w:hAnsi="宋体" w:cs="宋体"/>
                <w:szCs w:val="21"/>
              </w:rPr>
            </w:pPr>
          </w:p>
        </w:tc>
        <w:tc>
          <w:tcPr>
            <w:tcW w:w="1491" w:type="dxa"/>
            <w:tcBorders>
              <w:top w:val="single" w:color="auto" w:sz="4" w:space="0"/>
              <w:left w:val="single" w:color="auto" w:sz="4" w:space="0"/>
              <w:bottom w:val="single" w:color="auto" w:sz="4" w:space="0"/>
              <w:right w:val="single" w:color="auto" w:sz="4" w:space="0"/>
            </w:tcBorders>
            <w:vAlign w:val="center"/>
          </w:tcPr>
          <w:p>
            <w:pPr>
              <w:pStyle w:val="192"/>
              <w:jc w:val="center"/>
              <w:rPr>
                <w:rFonts w:ascii="宋体" w:hAnsi="宋体" w:cs="宋体"/>
                <w:szCs w:val="21"/>
              </w:rPr>
            </w:pPr>
          </w:p>
        </w:tc>
        <w:tc>
          <w:tcPr>
            <w:tcW w:w="2476" w:type="dxa"/>
            <w:tcBorders>
              <w:top w:val="single" w:color="auto" w:sz="4" w:space="0"/>
              <w:left w:val="single" w:color="auto" w:sz="4" w:space="0"/>
              <w:bottom w:val="single" w:color="auto" w:sz="4" w:space="0"/>
              <w:right w:val="single" w:color="auto" w:sz="4" w:space="0"/>
            </w:tcBorders>
            <w:vAlign w:val="center"/>
          </w:tcPr>
          <w:p>
            <w:pPr>
              <w:pStyle w:val="192"/>
              <w:jc w:val="center"/>
              <w:rPr>
                <w:rFonts w:ascii="宋体" w:hAnsi="宋体" w:cs="宋体"/>
                <w:szCs w:val="21"/>
              </w:rPr>
            </w:pPr>
            <w:r>
              <w:rPr>
                <w:rFonts w:hint="eastAsia" w:ascii="宋体" w:hAnsi="宋体" w:cs="宋体"/>
                <w:szCs w:val="21"/>
              </w:rPr>
              <w:t>与分项报价表一致</w:t>
            </w:r>
          </w:p>
        </w:tc>
      </w:tr>
      <w:tr>
        <w:tblPrEx>
          <w:tblCellMar>
            <w:top w:w="0" w:type="dxa"/>
            <w:left w:w="108" w:type="dxa"/>
            <w:bottom w:w="0" w:type="dxa"/>
            <w:right w:w="108" w:type="dxa"/>
          </w:tblCellMar>
        </w:tblPrEx>
        <w:trPr>
          <w:trHeight w:val="454"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pStyle w:val="192"/>
              <w:jc w:val="center"/>
              <w:rPr>
                <w:rFonts w:ascii="宋体" w:hAnsi="宋体" w:cs="宋体"/>
                <w:szCs w:val="21"/>
              </w:rPr>
            </w:pPr>
          </w:p>
        </w:tc>
        <w:tc>
          <w:tcPr>
            <w:tcW w:w="1490" w:type="dxa"/>
            <w:tcBorders>
              <w:top w:val="single" w:color="auto" w:sz="4" w:space="0"/>
              <w:left w:val="single" w:color="auto" w:sz="4" w:space="0"/>
              <w:bottom w:val="single" w:color="auto" w:sz="4" w:space="0"/>
              <w:right w:val="single" w:color="auto" w:sz="4" w:space="0"/>
            </w:tcBorders>
            <w:vAlign w:val="center"/>
          </w:tcPr>
          <w:p>
            <w:pPr>
              <w:pStyle w:val="192"/>
              <w:jc w:val="center"/>
              <w:rPr>
                <w:rFonts w:ascii="宋体" w:hAnsi="宋体" w:cs="宋体"/>
                <w:szCs w:val="21"/>
              </w:rPr>
            </w:pPr>
          </w:p>
        </w:tc>
        <w:tc>
          <w:tcPr>
            <w:tcW w:w="1491" w:type="dxa"/>
            <w:tcBorders>
              <w:top w:val="single" w:color="auto" w:sz="4" w:space="0"/>
              <w:left w:val="single" w:color="auto" w:sz="4" w:space="0"/>
              <w:bottom w:val="single" w:color="auto" w:sz="4" w:space="0"/>
              <w:right w:val="single" w:color="auto" w:sz="4" w:space="0"/>
            </w:tcBorders>
            <w:vAlign w:val="center"/>
          </w:tcPr>
          <w:p>
            <w:pPr>
              <w:pStyle w:val="192"/>
              <w:jc w:val="center"/>
              <w:rPr>
                <w:rFonts w:ascii="宋体" w:hAnsi="宋体" w:cs="宋体"/>
                <w:szCs w:val="21"/>
              </w:rPr>
            </w:pPr>
          </w:p>
        </w:tc>
        <w:tc>
          <w:tcPr>
            <w:tcW w:w="1490" w:type="dxa"/>
            <w:tcBorders>
              <w:top w:val="single" w:color="auto" w:sz="4" w:space="0"/>
              <w:left w:val="single" w:color="auto" w:sz="4" w:space="0"/>
              <w:bottom w:val="single" w:color="auto" w:sz="4" w:space="0"/>
              <w:right w:val="single" w:color="auto" w:sz="4" w:space="0"/>
            </w:tcBorders>
            <w:vAlign w:val="center"/>
          </w:tcPr>
          <w:p>
            <w:pPr>
              <w:pStyle w:val="192"/>
              <w:jc w:val="center"/>
              <w:rPr>
                <w:rFonts w:ascii="宋体" w:hAnsi="宋体" w:cs="宋体"/>
                <w:szCs w:val="21"/>
              </w:rPr>
            </w:pPr>
          </w:p>
        </w:tc>
        <w:tc>
          <w:tcPr>
            <w:tcW w:w="1491" w:type="dxa"/>
            <w:tcBorders>
              <w:top w:val="single" w:color="auto" w:sz="4" w:space="0"/>
              <w:left w:val="single" w:color="auto" w:sz="4" w:space="0"/>
              <w:bottom w:val="single" w:color="auto" w:sz="4" w:space="0"/>
              <w:right w:val="single" w:color="auto" w:sz="4" w:space="0"/>
            </w:tcBorders>
            <w:vAlign w:val="center"/>
          </w:tcPr>
          <w:p>
            <w:pPr>
              <w:pStyle w:val="192"/>
              <w:jc w:val="center"/>
              <w:rPr>
                <w:rFonts w:ascii="宋体" w:hAnsi="宋体" w:cs="宋体"/>
                <w:szCs w:val="21"/>
              </w:rPr>
            </w:pPr>
          </w:p>
        </w:tc>
        <w:tc>
          <w:tcPr>
            <w:tcW w:w="2476" w:type="dxa"/>
            <w:tcBorders>
              <w:top w:val="single" w:color="auto" w:sz="4" w:space="0"/>
              <w:left w:val="single" w:color="auto" w:sz="4" w:space="0"/>
              <w:bottom w:val="single" w:color="auto" w:sz="4" w:space="0"/>
              <w:right w:val="single" w:color="auto" w:sz="4" w:space="0"/>
            </w:tcBorders>
            <w:vAlign w:val="center"/>
          </w:tcPr>
          <w:p>
            <w:pPr>
              <w:pStyle w:val="192"/>
              <w:jc w:val="center"/>
              <w:rPr>
                <w:rFonts w:ascii="宋体" w:hAnsi="宋体" w:cs="宋体"/>
                <w:szCs w:val="21"/>
              </w:rPr>
            </w:pPr>
            <w:r>
              <w:rPr>
                <w:rFonts w:hint="eastAsia" w:ascii="宋体" w:hAnsi="宋体" w:cs="宋体"/>
                <w:szCs w:val="21"/>
              </w:rPr>
              <w:t>与分项报价表一致</w:t>
            </w:r>
          </w:p>
        </w:tc>
      </w:tr>
    </w:tbl>
    <w:p>
      <w:pPr>
        <w:pStyle w:val="192"/>
        <w:spacing w:line="360" w:lineRule="auto"/>
        <w:ind w:firstLine="420" w:firstLineChars="200"/>
        <w:rPr>
          <w:rFonts w:ascii="宋体" w:hAnsi="宋体" w:cs="宋体"/>
          <w:szCs w:val="21"/>
        </w:rPr>
      </w:pPr>
    </w:p>
    <w:tbl>
      <w:tblPr>
        <w:tblStyle w:val="43"/>
        <w:tblW w:w="0" w:type="auto"/>
        <w:jc w:val="center"/>
        <w:tblLayout w:type="fixed"/>
        <w:tblCellMar>
          <w:top w:w="0" w:type="dxa"/>
          <w:left w:w="108" w:type="dxa"/>
          <w:bottom w:w="0" w:type="dxa"/>
          <w:right w:w="108" w:type="dxa"/>
        </w:tblCellMar>
      </w:tblPr>
      <w:tblGrid>
        <w:gridCol w:w="699"/>
        <w:gridCol w:w="1490"/>
        <w:gridCol w:w="1491"/>
        <w:gridCol w:w="1490"/>
        <w:gridCol w:w="1491"/>
        <w:gridCol w:w="2476"/>
      </w:tblGrid>
      <w:tr>
        <w:tblPrEx>
          <w:tblCellMar>
            <w:top w:w="0" w:type="dxa"/>
            <w:left w:w="108" w:type="dxa"/>
            <w:bottom w:w="0" w:type="dxa"/>
            <w:right w:w="108" w:type="dxa"/>
          </w:tblCellMar>
        </w:tblPrEx>
        <w:trPr>
          <w:trHeight w:val="454" w:hRule="atLeast"/>
          <w:jc w:val="center"/>
        </w:trPr>
        <w:tc>
          <w:tcPr>
            <w:tcW w:w="9137" w:type="dxa"/>
            <w:gridSpan w:val="6"/>
            <w:tcBorders>
              <w:bottom w:val="single" w:color="auto" w:sz="4" w:space="0"/>
            </w:tcBorders>
            <w:vAlign w:val="center"/>
          </w:tcPr>
          <w:p>
            <w:pPr>
              <w:pStyle w:val="192"/>
              <w:rPr>
                <w:rFonts w:ascii="宋体" w:hAnsi="宋体" w:cs="宋体"/>
                <w:szCs w:val="21"/>
              </w:rPr>
            </w:pPr>
            <w:r>
              <w:rPr>
                <w:rFonts w:hint="eastAsia" w:ascii="宋体" w:hAnsi="宋体" w:cs="宋体"/>
                <w:szCs w:val="21"/>
              </w:rPr>
              <w:t>表二</w:t>
            </w:r>
          </w:p>
        </w:tc>
      </w:tr>
      <w:tr>
        <w:tblPrEx>
          <w:tblCellMar>
            <w:top w:w="0" w:type="dxa"/>
            <w:left w:w="108" w:type="dxa"/>
            <w:bottom w:w="0" w:type="dxa"/>
            <w:right w:w="108" w:type="dxa"/>
          </w:tblCellMar>
        </w:tblPrEx>
        <w:trPr>
          <w:trHeight w:val="454"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pStyle w:val="192"/>
              <w:ind w:right="-48" w:rightChars="-23"/>
              <w:jc w:val="center"/>
              <w:rPr>
                <w:rFonts w:ascii="宋体" w:hAnsi="宋体" w:cs="宋体"/>
                <w:szCs w:val="21"/>
              </w:rPr>
            </w:pPr>
            <w:r>
              <w:rPr>
                <w:rFonts w:hint="eastAsia" w:ascii="宋体" w:hAnsi="宋体" w:cs="宋体"/>
                <w:szCs w:val="21"/>
              </w:rPr>
              <w:t>序号</w:t>
            </w:r>
          </w:p>
        </w:tc>
        <w:tc>
          <w:tcPr>
            <w:tcW w:w="1490" w:type="dxa"/>
            <w:tcBorders>
              <w:top w:val="single" w:color="auto" w:sz="4" w:space="0"/>
              <w:left w:val="single" w:color="auto" w:sz="4" w:space="0"/>
              <w:bottom w:val="single" w:color="auto" w:sz="4" w:space="0"/>
              <w:right w:val="single" w:color="auto" w:sz="4" w:space="0"/>
            </w:tcBorders>
            <w:vAlign w:val="center"/>
          </w:tcPr>
          <w:p>
            <w:pPr>
              <w:pStyle w:val="192"/>
              <w:ind w:left="-103" w:leftChars="-49" w:right="-48" w:rightChars="-23"/>
              <w:jc w:val="center"/>
              <w:rPr>
                <w:rFonts w:ascii="宋体" w:hAnsi="宋体" w:cs="宋体"/>
                <w:szCs w:val="21"/>
              </w:rPr>
            </w:pPr>
            <w:r>
              <w:rPr>
                <w:rFonts w:hint="eastAsia" w:ascii="宋体" w:hAnsi="宋体" w:cs="宋体"/>
                <w:szCs w:val="21"/>
              </w:rPr>
              <w:t>产品名称</w:t>
            </w:r>
          </w:p>
        </w:tc>
        <w:tc>
          <w:tcPr>
            <w:tcW w:w="1491" w:type="dxa"/>
            <w:tcBorders>
              <w:top w:val="single" w:color="auto" w:sz="4" w:space="0"/>
              <w:left w:val="single" w:color="auto" w:sz="4" w:space="0"/>
              <w:bottom w:val="single" w:color="auto" w:sz="4" w:space="0"/>
              <w:right w:val="single" w:color="auto" w:sz="4" w:space="0"/>
            </w:tcBorders>
            <w:vAlign w:val="center"/>
          </w:tcPr>
          <w:p>
            <w:pPr>
              <w:pStyle w:val="192"/>
              <w:ind w:right="-48" w:rightChars="-23"/>
              <w:jc w:val="center"/>
              <w:rPr>
                <w:rFonts w:ascii="宋体" w:hAnsi="宋体" w:cs="宋体"/>
                <w:szCs w:val="21"/>
              </w:rPr>
            </w:pPr>
            <w:r>
              <w:rPr>
                <w:rFonts w:hint="eastAsia" w:ascii="宋体" w:hAnsi="宋体" w:cs="宋体"/>
                <w:szCs w:val="21"/>
              </w:rPr>
              <w:t>制造企业</w:t>
            </w:r>
          </w:p>
        </w:tc>
        <w:tc>
          <w:tcPr>
            <w:tcW w:w="1490" w:type="dxa"/>
            <w:tcBorders>
              <w:top w:val="single" w:color="auto" w:sz="4" w:space="0"/>
              <w:left w:val="single" w:color="auto" w:sz="4" w:space="0"/>
              <w:bottom w:val="single" w:color="auto" w:sz="4" w:space="0"/>
              <w:right w:val="single" w:color="auto" w:sz="4" w:space="0"/>
            </w:tcBorders>
            <w:vAlign w:val="center"/>
          </w:tcPr>
          <w:p>
            <w:pPr>
              <w:pStyle w:val="192"/>
              <w:ind w:left="-103" w:leftChars="-49" w:right="-48" w:rightChars="-23"/>
              <w:jc w:val="center"/>
              <w:rPr>
                <w:rFonts w:ascii="宋体" w:hAnsi="宋体" w:cs="宋体"/>
                <w:szCs w:val="21"/>
              </w:rPr>
            </w:pPr>
            <w:r>
              <w:rPr>
                <w:rFonts w:hint="eastAsia" w:ascii="宋体" w:hAnsi="宋体" w:cs="宋体"/>
                <w:szCs w:val="21"/>
              </w:rPr>
              <w:t>品牌</w:t>
            </w:r>
          </w:p>
        </w:tc>
        <w:tc>
          <w:tcPr>
            <w:tcW w:w="1491" w:type="dxa"/>
            <w:tcBorders>
              <w:top w:val="single" w:color="auto" w:sz="4" w:space="0"/>
              <w:left w:val="single" w:color="auto" w:sz="4" w:space="0"/>
              <w:bottom w:val="single" w:color="auto" w:sz="4" w:space="0"/>
              <w:right w:val="single" w:color="auto" w:sz="4" w:space="0"/>
            </w:tcBorders>
            <w:vAlign w:val="center"/>
          </w:tcPr>
          <w:p>
            <w:pPr>
              <w:pStyle w:val="192"/>
              <w:ind w:left="-103" w:leftChars="-49" w:right="-48" w:rightChars="-23"/>
              <w:jc w:val="center"/>
              <w:rPr>
                <w:rFonts w:ascii="宋体" w:hAnsi="宋体" w:cs="宋体"/>
                <w:szCs w:val="21"/>
              </w:rPr>
            </w:pPr>
            <w:r>
              <w:rPr>
                <w:rFonts w:hint="eastAsia" w:ascii="宋体" w:hAnsi="宋体" w:cs="宋体"/>
                <w:szCs w:val="21"/>
              </w:rPr>
              <w:t>规格型号</w:t>
            </w:r>
          </w:p>
        </w:tc>
        <w:tc>
          <w:tcPr>
            <w:tcW w:w="2476" w:type="dxa"/>
            <w:tcBorders>
              <w:top w:val="single" w:color="auto" w:sz="4" w:space="0"/>
              <w:left w:val="single" w:color="auto" w:sz="4" w:space="0"/>
              <w:bottom w:val="single" w:color="auto" w:sz="4" w:space="0"/>
              <w:right w:val="single" w:color="auto" w:sz="4" w:space="0"/>
            </w:tcBorders>
            <w:vAlign w:val="center"/>
          </w:tcPr>
          <w:p>
            <w:pPr>
              <w:pStyle w:val="192"/>
              <w:jc w:val="center"/>
              <w:rPr>
                <w:rFonts w:ascii="宋体" w:hAnsi="宋体" w:cs="宋体"/>
                <w:szCs w:val="21"/>
              </w:rPr>
            </w:pPr>
            <w:r>
              <w:rPr>
                <w:rFonts w:hint="eastAsia" w:ascii="宋体" w:hAnsi="宋体" w:cs="宋体"/>
                <w:szCs w:val="21"/>
              </w:rPr>
              <w:t>备注</w:t>
            </w:r>
          </w:p>
        </w:tc>
      </w:tr>
      <w:tr>
        <w:tblPrEx>
          <w:tblCellMar>
            <w:top w:w="0" w:type="dxa"/>
            <w:left w:w="108" w:type="dxa"/>
            <w:bottom w:w="0" w:type="dxa"/>
            <w:right w:w="108" w:type="dxa"/>
          </w:tblCellMar>
        </w:tblPrEx>
        <w:trPr>
          <w:trHeight w:val="454"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pStyle w:val="192"/>
              <w:jc w:val="center"/>
              <w:rPr>
                <w:rFonts w:ascii="宋体" w:hAnsi="宋体" w:cs="宋体"/>
                <w:szCs w:val="21"/>
              </w:rPr>
            </w:pPr>
          </w:p>
        </w:tc>
        <w:tc>
          <w:tcPr>
            <w:tcW w:w="1490" w:type="dxa"/>
            <w:tcBorders>
              <w:top w:val="single" w:color="auto" w:sz="4" w:space="0"/>
              <w:left w:val="single" w:color="auto" w:sz="4" w:space="0"/>
              <w:bottom w:val="single" w:color="auto" w:sz="4" w:space="0"/>
              <w:right w:val="single" w:color="auto" w:sz="4" w:space="0"/>
            </w:tcBorders>
            <w:vAlign w:val="center"/>
          </w:tcPr>
          <w:p>
            <w:pPr>
              <w:pStyle w:val="192"/>
              <w:jc w:val="center"/>
              <w:rPr>
                <w:rFonts w:ascii="宋体" w:hAnsi="宋体" w:cs="宋体"/>
                <w:szCs w:val="21"/>
              </w:rPr>
            </w:pPr>
          </w:p>
        </w:tc>
        <w:tc>
          <w:tcPr>
            <w:tcW w:w="1491" w:type="dxa"/>
            <w:tcBorders>
              <w:top w:val="single" w:color="auto" w:sz="4" w:space="0"/>
              <w:left w:val="single" w:color="auto" w:sz="4" w:space="0"/>
              <w:bottom w:val="single" w:color="auto" w:sz="4" w:space="0"/>
              <w:right w:val="single" w:color="auto" w:sz="4" w:space="0"/>
            </w:tcBorders>
            <w:vAlign w:val="center"/>
          </w:tcPr>
          <w:p>
            <w:pPr>
              <w:pStyle w:val="192"/>
              <w:jc w:val="center"/>
              <w:rPr>
                <w:rFonts w:ascii="宋体" w:hAnsi="宋体" w:cs="宋体"/>
                <w:szCs w:val="21"/>
              </w:rPr>
            </w:pPr>
          </w:p>
        </w:tc>
        <w:tc>
          <w:tcPr>
            <w:tcW w:w="1490" w:type="dxa"/>
            <w:tcBorders>
              <w:top w:val="single" w:color="auto" w:sz="4" w:space="0"/>
              <w:left w:val="single" w:color="auto" w:sz="4" w:space="0"/>
              <w:bottom w:val="single" w:color="auto" w:sz="4" w:space="0"/>
              <w:right w:val="single" w:color="auto" w:sz="4" w:space="0"/>
            </w:tcBorders>
            <w:vAlign w:val="center"/>
          </w:tcPr>
          <w:p>
            <w:pPr>
              <w:pStyle w:val="192"/>
              <w:jc w:val="center"/>
              <w:rPr>
                <w:rFonts w:ascii="宋体" w:hAnsi="宋体" w:cs="宋体"/>
                <w:szCs w:val="21"/>
              </w:rPr>
            </w:pPr>
          </w:p>
        </w:tc>
        <w:tc>
          <w:tcPr>
            <w:tcW w:w="1491" w:type="dxa"/>
            <w:tcBorders>
              <w:top w:val="single" w:color="auto" w:sz="4" w:space="0"/>
              <w:left w:val="single" w:color="auto" w:sz="4" w:space="0"/>
              <w:bottom w:val="single" w:color="auto" w:sz="4" w:space="0"/>
              <w:right w:val="single" w:color="auto" w:sz="4" w:space="0"/>
            </w:tcBorders>
            <w:vAlign w:val="center"/>
          </w:tcPr>
          <w:p>
            <w:pPr>
              <w:pStyle w:val="192"/>
              <w:jc w:val="center"/>
              <w:rPr>
                <w:rFonts w:ascii="宋体" w:hAnsi="宋体" w:cs="宋体"/>
                <w:szCs w:val="21"/>
              </w:rPr>
            </w:pPr>
          </w:p>
        </w:tc>
        <w:tc>
          <w:tcPr>
            <w:tcW w:w="2476" w:type="dxa"/>
            <w:tcBorders>
              <w:top w:val="single" w:color="auto" w:sz="4" w:space="0"/>
              <w:left w:val="single" w:color="auto" w:sz="4" w:space="0"/>
              <w:bottom w:val="single" w:color="auto" w:sz="4" w:space="0"/>
              <w:right w:val="single" w:color="auto" w:sz="4" w:space="0"/>
            </w:tcBorders>
            <w:vAlign w:val="center"/>
          </w:tcPr>
          <w:p>
            <w:pPr>
              <w:pStyle w:val="192"/>
              <w:jc w:val="center"/>
              <w:rPr>
                <w:rFonts w:ascii="宋体" w:hAnsi="宋体" w:cs="宋体"/>
                <w:szCs w:val="21"/>
              </w:rPr>
            </w:pPr>
            <w:r>
              <w:rPr>
                <w:rFonts w:hint="eastAsia" w:ascii="宋体" w:hAnsi="宋体" w:cs="宋体"/>
                <w:szCs w:val="21"/>
              </w:rPr>
              <w:t>与分项报价表一致</w:t>
            </w:r>
          </w:p>
        </w:tc>
      </w:tr>
      <w:tr>
        <w:tblPrEx>
          <w:tblCellMar>
            <w:top w:w="0" w:type="dxa"/>
            <w:left w:w="108" w:type="dxa"/>
            <w:bottom w:w="0" w:type="dxa"/>
            <w:right w:w="108" w:type="dxa"/>
          </w:tblCellMar>
        </w:tblPrEx>
        <w:trPr>
          <w:trHeight w:val="454"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pStyle w:val="192"/>
              <w:jc w:val="center"/>
              <w:rPr>
                <w:rFonts w:ascii="宋体" w:hAnsi="宋体" w:cs="宋体"/>
                <w:szCs w:val="21"/>
              </w:rPr>
            </w:pPr>
          </w:p>
        </w:tc>
        <w:tc>
          <w:tcPr>
            <w:tcW w:w="1490" w:type="dxa"/>
            <w:tcBorders>
              <w:top w:val="single" w:color="auto" w:sz="4" w:space="0"/>
              <w:left w:val="single" w:color="auto" w:sz="4" w:space="0"/>
              <w:bottom w:val="single" w:color="auto" w:sz="4" w:space="0"/>
              <w:right w:val="single" w:color="auto" w:sz="4" w:space="0"/>
            </w:tcBorders>
            <w:vAlign w:val="center"/>
          </w:tcPr>
          <w:p>
            <w:pPr>
              <w:pStyle w:val="192"/>
              <w:jc w:val="center"/>
              <w:rPr>
                <w:rFonts w:ascii="宋体" w:hAnsi="宋体" w:cs="宋体"/>
                <w:szCs w:val="21"/>
              </w:rPr>
            </w:pPr>
          </w:p>
        </w:tc>
        <w:tc>
          <w:tcPr>
            <w:tcW w:w="1491" w:type="dxa"/>
            <w:tcBorders>
              <w:top w:val="single" w:color="auto" w:sz="4" w:space="0"/>
              <w:left w:val="single" w:color="auto" w:sz="4" w:space="0"/>
              <w:bottom w:val="single" w:color="auto" w:sz="4" w:space="0"/>
              <w:right w:val="single" w:color="auto" w:sz="4" w:space="0"/>
            </w:tcBorders>
            <w:vAlign w:val="center"/>
          </w:tcPr>
          <w:p>
            <w:pPr>
              <w:pStyle w:val="192"/>
              <w:jc w:val="center"/>
              <w:rPr>
                <w:rFonts w:ascii="宋体" w:hAnsi="宋体" w:cs="宋体"/>
                <w:szCs w:val="21"/>
              </w:rPr>
            </w:pPr>
          </w:p>
        </w:tc>
        <w:tc>
          <w:tcPr>
            <w:tcW w:w="1490" w:type="dxa"/>
            <w:tcBorders>
              <w:top w:val="single" w:color="auto" w:sz="4" w:space="0"/>
              <w:left w:val="single" w:color="auto" w:sz="4" w:space="0"/>
              <w:bottom w:val="single" w:color="auto" w:sz="4" w:space="0"/>
              <w:right w:val="single" w:color="auto" w:sz="4" w:space="0"/>
            </w:tcBorders>
            <w:vAlign w:val="center"/>
          </w:tcPr>
          <w:p>
            <w:pPr>
              <w:pStyle w:val="192"/>
              <w:jc w:val="center"/>
              <w:rPr>
                <w:rFonts w:ascii="宋体" w:hAnsi="宋体" w:cs="宋体"/>
                <w:szCs w:val="21"/>
              </w:rPr>
            </w:pPr>
          </w:p>
        </w:tc>
        <w:tc>
          <w:tcPr>
            <w:tcW w:w="1491" w:type="dxa"/>
            <w:tcBorders>
              <w:top w:val="single" w:color="auto" w:sz="4" w:space="0"/>
              <w:left w:val="single" w:color="auto" w:sz="4" w:space="0"/>
              <w:bottom w:val="single" w:color="auto" w:sz="4" w:space="0"/>
              <w:right w:val="single" w:color="auto" w:sz="4" w:space="0"/>
            </w:tcBorders>
            <w:vAlign w:val="center"/>
          </w:tcPr>
          <w:p>
            <w:pPr>
              <w:pStyle w:val="192"/>
              <w:jc w:val="center"/>
              <w:rPr>
                <w:rFonts w:ascii="宋体" w:hAnsi="宋体" w:cs="宋体"/>
                <w:szCs w:val="21"/>
              </w:rPr>
            </w:pPr>
          </w:p>
        </w:tc>
        <w:tc>
          <w:tcPr>
            <w:tcW w:w="2476" w:type="dxa"/>
            <w:tcBorders>
              <w:top w:val="single" w:color="auto" w:sz="4" w:space="0"/>
              <w:left w:val="single" w:color="auto" w:sz="4" w:space="0"/>
              <w:bottom w:val="single" w:color="auto" w:sz="4" w:space="0"/>
              <w:right w:val="single" w:color="auto" w:sz="4" w:space="0"/>
            </w:tcBorders>
            <w:vAlign w:val="center"/>
          </w:tcPr>
          <w:p>
            <w:pPr>
              <w:pStyle w:val="192"/>
              <w:jc w:val="center"/>
              <w:rPr>
                <w:rFonts w:ascii="宋体" w:hAnsi="宋体" w:cs="宋体"/>
                <w:szCs w:val="21"/>
              </w:rPr>
            </w:pPr>
            <w:r>
              <w:rPr>
                <w:rFonts w:hint="eastAsia" w:ascii="宋体" w:hAnsi="宋体" w:cs="宋体"/>
                <w:szCs w:val="21"/>
              </w:rPr>
              <w:t>与分项报价表一致</w:t>
            </w:r>
          </w:p>
        </w:tc>
      </w:tr>
    </w:tbl>
    <w:p>
      <w:pPr>
        <w:spacing w:line="360" w:lineRule="auto"/>
        <w:ind w:firstLine="420" w:firstLineChars="200"/>
        <w:rPr>
          <w:rFonts w:ascii="宋体" w:hAnsi="宋体" w:cs="宋体"/>
          <w:szCs w:val="21"/>
        </w:rPr>
      </w:pPr>
      <w:r>
        <w:rPr>
          <w:rFonts w:hint="eastAsia" w:ascii="宋体" w:hAnsi="宋体" w:cs="宋体"/>
          <w:szCs w:val="21"/>
        </w:rPr>
        <w:t>本公司对上述声明的真实性负责。如有虚假，将依法承担相应责任。</w:t>
      </w:r>
    </w:p>
    <w:p>
      <w:pPr>
        <w:pStyle w:val="30"/>
        <w:snapToGrid w:val="0"/>
        <w:spacing w:line="360" w:lineRule="auto"/>
        <w:ind w:left="175" w:hanging="175" w:hangingChars="83"/>
        <w:jc w:val="left"/>
        <w:rPr>
          <w:rFonts w:ascii="宋体" w:hAnsi="宋体" w:cs="宋体"/>
          <w:b/>
          <w:szCs w:val="21"/>
        </w:rPr>
      </w:pPr>
    </w:p>
    <w:p>
      <w:pPr>
        <w:pStyle w:val="30"/>
        <w:wordWrap w:val="0"/>
        <w:snapToGrid w:val="0"/>
        <w:spacing w:line="360" w:lineRule="auto"/>
        <w:ind w:left="420" w:hanging="420"/>
        <w:jc w:val="right"/>
        <w:rPr>
          <w:rFonts w:ascii="宋体" w:hAnsi="宋体" w:cs="宋体"/>
          <w:szCs w:val="21"/>
        </w:rPr>
      </w:pPr>
      <w:r>
        <w:rPr>
          <w:rFonts w:hint="eastAsia" w:ascii="宋体" w:hAnsi="宋体" w:cs="宋体"/>
          <w:szCs w:val="21"/>
        </w:rPr>
        <w:t>残疾人福利性企业盖章：</w:t>
      </w:r>
      <w:r>
        <w:rPr>
          <w:rFonts w:hint="eastAsia" w:ascii="宋体" w:hAnsi="宋体" w:cs="宋体"/>
          <w:szCs w:val="21"/>
          <w:u w:val="single"/>
        </w:rPr>
        <w:t xml:space="preserve">          </w:t>
      </w:r>
    </w:p>
    <w:p>
      <w:pPr>
        <w:pStyle w:val="144"/>
        <w:wordWrap w:val="0"/>
        <w:spacing w:line="360" w:lineRule="auto"/>
        <w:jc w:val="right"/>
        <w:rPr>
          <w:rFonts w:ascii="宋体" w:hAnsi="宋体" w:cs="宋体"/>
          <w:szCs w:val="21"/>
          <w:u w:val="single"/>
        </w:rPr>
      </w:pPr>
      <w:r>
        <w:rPr>
          <w:rFonts w:hint="eastAsia" w:ascii="宋体" w:hAnsi="宋体" w:cs="宋体"/>
          <w:szCs w:val="21"/>
        </w:rPr>
        <w:t>日       期：</w:t>
      </w:r>
      <w:r>
        <w:rPr>
          <w:rFonts w:hint="eastAsia" w:ascii="宋体" w:hAnsi="宋体" w:cs="宋体"/>
          <w:szCs w:val="21"/>
          <w:u w:val="single"/>
        </w:rPr>
        <w:t xml:space="preserve">          </w:t>
      </w:r>
    </w:p>
    <w:p>
      <w:pPr>
        <w:pStyle w:val="30"/>
        <w:snapToGrid w:val="0"/>
        <w:ind w:left="594" w:hanging="594" w:hangingChars="283"/>
        <w:jc w:val="left"/>
        <w:rPr>
          <w:rFonts w:ascii="宋体" w:hAnsi="宋体" w:cs="宋体"/>
          <w:szCs w:val="21"/>
        </w:rPr>
      </w:pPr>
    </w:p>
    <w:p>
      <w:pPr>
        <w:spacing w:line="312" w:lineRule="auto"/>
        <w:ind w:firstLine="482"/>
        <w:jc w:val="left"/>
        <w:rPr>
          <w:rFonts w:ascii="宋体" w:hAnsi="宋体" w:cs="宋体"/>
          <w:kern w:val="0"/>
          <w:szCs w:val="21"/>
        </w:rPr>
      </w:pPr>
    </w:p>
    <w:p>
      <w:pPr>
        <w:spacing w:line="312" w:lineRule="auto"/>
        <w:ind w:firstLine="482"/>
        <w:jc w:val="left"/>
        <w:rPr>
          <w:rFonts w:ascii="宋体" w:hAnsi="宋体" w:cs="宋体"/>
          <w:kern w:val="0"/>
          <w:szCs w:val="21"/>
        </w:rPr>
      </w:pPr>
      <w:r>
        <w:rPr>
          <w:rFonts w:hint="eastAsia" w:ascii="宋体" w:hAnsi="宋体" w:cs="宋体"/>
          <w:kern w:val="0"/>
          <w:szCs w:val="21"/>
        </w:rPr>
        <w:t>注：1.须附相关主管部门（民政或残疾人联合会）的证明文件，否则视为供应商放弃相关政策优惠处理；</w:t>
      </w:r>
    </w:p>
    <w:p>
      <w:pPr>
        <w:spacing w:line="312" w:lineRule="auto"/>
        <w:ind w:firstLine="482"/>
        <w:jc w:val="left"/>
        <w:rPr>
          <w:rFonts w:ascii="宋体" w:hAnsi="宋体" w:cs="宋体"/>
          <w:kern w:val="0"/>
          <w:szCs w:val="21"/>
        </w:rPr>
      </w:pPr>
      <w:r>
        <w:rPr>
          <w:rFonts w:hint="eastAsia" w:ascii="宋体" w:hAnsi="宋体" w:cs="宋体"/>
          <w:kern w:val="0"/>
          <w:szCs w:val="21"/>
        </w:rPr>
        <w:t>2.供应商提供的是其他小微、监狱、残疾人福利性企业制造的产品，还需提供制造企业声明函。</w:t>
      </w:r>
    </w:p>
    <w:p>
      <w:pPr>
        <w:jc w:val="center"/>
        <w:rPr>
          <w:rFonts w:ascii="宋体" w:hAnsi="宋体" w:cs="宋体"/>
          <w:b/>
          <w:sz w:val="24"/>
        </w:rPr>
      </w:pPr>
    </w:p>
    <w:p>
      <w:pPr>
        <w:pStyle w:val="42"/>
        <w:rPr>
          <w:rFonts w:ascii="宋体" w:hAnsi="宋体"/>
        </w:rPr>
      </w:pPr>
    </w:p>
    <w:p>
      <w:pPr>
        <w:jc w:val="center"/>
        <w:rPr>
          <w:rFonts w:ascii="宋体" w:hAnsi="宋体" w:cs="宋体"/>
          <w:b/>
          <w:sz w:val="24"/>
        </w:rPr>
      </w:pPr>
    </w:p>
    <w:p>
      <w:pPr>
        <w:jc w:val="center"/>
        <w:rPr>
          <w:rFonts w:ascii="宋体" w:hAnsi="宋体" w:cs="宋体"/>
          <w:b/>
          <w:sz w:val="24"/>
        </w:rPr>
      </w:pPr>
      <w:r>
        <w:rPr>
          <w:rFonts w:hint="eastAsia" w:ascii="宋体" w:hAnsi="宋体" w:cs="宋体"/>
          <w:b/>
          <w:sz w:val="24"/>
        </w:rPr>
        <w:t>3.4 其它</w:t>
      </w:r>
    </w:p>
    <w:p>
      <w:pPr>
        <w:jc w:val="center"/>
        <w:rPr>
          <w:rFonts w:ascii="宋体" w:hAnsi="宋体" w:cs="宋体"/>
        </w:rPr>
      </w:pPr>
    </w:p>
    <w:p>
      <w:pPr>
        <w:jc w:val="center"/>
        <w:rPr>
          <w:rFonts w:ascii="宋体" w:hAnsi="宋体" w:cs="宋体"/>
          <w:szCs w:val="21"/>
        </w:rPr>
      </w:pPr>
      <w:r>
        <w:rPr>
          <w:rFonts w:hint="eastAsia" w:ascii="宋体" w:hAnsi="宋体" w:cs="宋体"/>
          <w:szCs w:val="21"/>
        </w:rPr>
        <w:t>评标办法中涉及评分的相应证件、证明等资料的复印件</w:t>
      </w:r>
    </w:p>
    <w:p>
      <w:pPr>
        <w:pStyle w:val="20"/>
        <w:spacing w:before="156" w:after="156" w:line="360" w:lineRule="auto"/>
        <w:jc w:val="center"/>
        <w:rPr>
          <w:rFonts w:hAnsi="宋体" w:cs="宋体"/>
          <w:sz w:val="21"/>
          <w:szCs w:val="21"/>
        </w:rPr>
      </w:pPr>
      <w:r>
        <w:rPr>
          <w:rFonts w:hint="eastAsia" w:hAnsi="宋体" w:cs="宋体"/>
          <w:sz w:val="21"/>
          <w:szCs w:val="21"/>
        </w:rPr>
        <w:t>（格式自拟）</w:t>
      </w:r>
    </w:p>
    <w:p>
      <w:pPr>
        <w:pStyle w:val="3"/>
        <w:numPr>
          <w:ilvl w:val="0"/>
          <w:numId w:val="6"/>
        </w:numPr>
        <w:spacing w:line="336" w:lineRule="auto"/>
        <w:rPr>
          <w:rStyle w:val="59"/>
          <w:rFonts w:ascii="宋体" w:hAnsi="宋体" w:cs="宋体"/>
          <w:b w:val="0"/>
          <w:bCs w:val="0"/>
          <w:szCs w:val="22"/>
        </w:rPr>
      </w:pPr>
      <w:r>
        <w:rPr>
          <w:rFonts w:hint="eastAsia" w:ascii="宋体" w:hAnsi="宋体" w:cs="宋体"/>
          <w:sz w:val="21"/>
          <w:szCs w:val="21"/>
          <w:u w:val="single"/>
        </w:rPr>
        <w:br w:type="page"/>
      </w:r>
      <w:bookmarkStart w:id="575" w:name="_Toc1139"/>
      <w:bookmarkStart w:id="576" w:name="_Toc29316"/>
      <w:bookmarkStart w:id="577" w:name="_Toc303756469"/>
      <w:bookmarkStart w:id="578" w:name="_Toc2053"/>
      <w:r>
        <w:rPr>
          <w:rStyle w:val="59"/>
          <w:rFonts w:hint="eastAsia" w:ascii="宋体" w:hAnsi="宋体" w:cs="宋体"/>
          <w:b/>
          <w:bCs/>
          <w:szCs w:val="22"/>
        </w:rPr>
        <w:t>磋商评审办法及评分标准</w:t>
      </w:r>
      <w:bookmarkEnd w:id="575"/>
      <w:bookmarkEnd w:id="576"/>
      <w:bookmarkEnd w:id="577"/>
      <w:bookmarkEnd w:id="578"/>
    </w:p>
    <w:p>
      <w:pPr>
        <w:widowControl/>
        <w:spacing w:line="360" w:lineRule="auto"/>
        <w:ind w:firstLine="420" w:firstLineChars="200"/>
        <w:rPr>
          <w:rFonts w:ascii="宋体" w:hAnsi="宋体" w:cs="宋体"/>
          <w:kern w:val="0"/>
          <w:szCs w:val="21"/>
        </w:rPr>
      </w:pPr>
      <w:r>
        <w:rPr>
          <w:rFonts w:hint="eastAsia" w:ascii="宋体" w:hAnsi="宋体" w:cs="宋体"/>
          <w:kern w:val="0"/>
          <w:szCs w:val="21"/>
        </w:rPr>
        <w:t>为公正、公平、科学地选择成交人，根据《中华人民共和国政府采购法》等有关法律法规的规定，并结合本项目的实际，制定本办法。</w:t>
      </w:r>
    </w:p>
    <w:p>
      <w:pPr>
        <w:widowControl/>
        <w:spacing w:line="360" w:lineRule="auto"/>
        <w:ind w:firstLine="422" w:firstLineChars="200"/>
        <w:rPr>
          <w:rFonts w:ascii="宋体" w:hAnsi="宋体" w:cs="宋体"/>
          <w:b/>
          <w:bCs/>
          <w:kern w:val="0"/>
          <w:szCs w:val="21"/>
        </w:rPr>
      </w:pPr>
      <w:r>
        <w:rPr>
          <w:rFonts w:hint="eastAsia" w:ascii="宋体" w:hAnsi="宋体" w:cs="宋体"/>
          <w:b/>
          <w:bCs/>
          <w:kern w:val="0"/>
          <w:szCs w:val="21"/>
        </w:rPr>
        <w:t>一、总则</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1.1本次磋商采用综合评分法，总分为100分，其中价格分30分、资信及商务技术70分。合格供应商的综合得分为各项目汇总得分，成交候选人资格按综合总得分由高到低顺序排列，得分相同的，按最后一轮的磋商报价由低到高顺序排列；综合得分相同且磋商报价相同的，采购人抽签选取成交候选人。排名第一的供应商为成交候选人。评分过程中采用四舍五入法，并保留小数2位。</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1.2评审专家对各投标文件的资信商务技术经充分审核、讨论后，在规定的分值内由评审专家单独评定打分。如果某个单项的打分超过所规定的分值范围，则该张打分表无效。投标人最终资信商务技术得分为各评审专家对该投标人的资信商务技术得分结果汇总后的算术平均数。</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1.3资信商务技术分为70分，评审专家按招标文件规定的评审办法进行评审。</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1.4报价分值为30分，由评标委员会按各投标人的报价统一计算。</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1.5评审专家在规定的分值范围内独立打分，评分保留两位小数，如某分项评分要素为2分，则评审专家在0.01〜2分内打分。</w:t>
      </w:r>
    </w:p>
    <w:p>
      <w:pPr>
        <w:widowControl/>
        <w:spacing w:line="360" w:lineRule="auto"/>
        <w:ind w:firstLine="422" w:firstLineChars="200"/>
        <w:rPr>
          <w:rFonts w:ascii="宋体" w:hAnsi="宋体" w:cs="宋体"/>
          <w:b/>
          <w:bCs/>
          <w:kern w:val="0"/>
          <w:szCs w:val="21"/>
        </w:rPr>
      </w:pPr>
      <w:r>
        <w:rPr>
          <w:rFonts w:hint="eastAsia" w:ascii="宋体" w:hAnsi="宋体" w:cs="宋体"/>
          <w:b/>
          <w:bCs/>
          <w:kern w:val="0"/>
          <w:szCs w:val="21"/>
        </w:rPr>
        <w:t>综合得分=资信及商务技术分+价格分</w:t>
      </w:r>
    </w:p>
    <w:tbl>
      <w:tblPr>
        <w:tblStyle w:val="43"/>
        <w:tblW w:w="8924" w:type="dxa"/>
        <w:tblInd w:w="92" w:type="dxa"/>
        <w:tblLayout w:type="fixed"/>
        <w:tblCellMar>
          <w:top w:w="0" w:type="dxa"/>
          <w:left w:w="108" w:type="dxa"/>
          <w:bottom w:w="0" w:type="dxa"/>
          <w:right w:w="108" w:type="dxa"/>
        </w:tblCellMar>
      </w:tblPr>
      <w:tblGrid>
        <w:gridCol w:w="1394"/>
        <w:gridCol w:w="840"/>
        <w:gridCol w:w="6690"/>
      </w:tblGrid>
      <w:tr>
        <w:tblPrEx>
          <w:tblCellMar>
            <w:top w:w="0" w:type="dxa"/>
            <w:left w:w="108" w:type="dxa"/>
            <w:bottom w:w="0" w:type="dxa"/>
            <w:right w:w="108" w:type="dxa"/>
          </w:tblCellMar>
        </w:tblPrEx>
        <w:trPr>
          <w:trHeight w:val="570" w:hRule="atLeast"/>
        </w:trPr>
        <w:tc>
          <w:tcPr>
            <w:tcW w:w="13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评标要素</w:t>
            </w:r>
          </w:p>
        </w:tc>
        <w:tc>
          <w:tcPr>
            <w:tcW w:w="84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分值</w:t>
            </w:r>
          </w:p>
        </w:tc>
        <w:tc>
          <w:tcPr>
            <w:tcW w:w="66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评分标准</w:t>
            </w:r>
          </w:p>
        </w:tc>
      </w:tr>
      <w:tr>
        <w:tblPrEx>
          <w:tblCellMar>
            <w:top w:w="0" w:type="dxa"/>
            <w:left w:w="108" w:type="dxa"/>
            <w:bottom w:w="0" w:type="dxa"/>
            <w:right w:w="108" w:type="dxa"/>
          </w:tblCellMar>
        </w:tblPrEx>
        <w:trPr>
          <w:trHeight w:val="1710" w:hRule="atLeast"/>
        </w:trPr>
        <w:tc>
          <w:tcPr>
            <w:tcW w:w="139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投标人实力</w:t>
            </w:r>
          </w:p>
        </w:tc>
        <w:tc>
          <w:tcPr>
            <w:tcW w:w="84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2</w:t>
            </w:r>
          </w:p>
        </w:tc>
        <w:tc>
          <w:tcPr>
            <w:tcW w:w="669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对投标人实力、技术力量、售后服务保证等，按实力高低打分。（注：政府采购活动不得以注册资本金、资产总额、营业收入、从业人员、利润、纳税额等供应商的规模条件对中小企业实行差别待遇或者歧视待遇）。优2-1.5分；良1.5-1分；差1-0分。</w:t>
            </w:r>
          </w:p>
        </w:tc>
      </w:tr>
      <w:tr>
        <w:tblPrEx>
          <w:tblCellMar>
            <w:top w:w="0" w:type="dxa"/>
            <w:left w:w="108" w:type="dxa"/>
            <w:bottom w:w="0" w:type="dxa"/>
            <w:right w:w="108" w:type="dxa"/>
          </w:tblCellMar>
        </w:tblPrEx>
        <w:trPr>
          <w:trHeight w:val="1620" w:hRule="atLeast"/>
        </w:trPr>
        <w:tc>
          <w:tcPr>
            <w:tcW w:w="1394" w:type="dxa"/>
            <w:vMerge w:val="restart"/>
            <w:tcBorders>
              <w:top w:val="nil"/>
              <w:left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业绩</w:t>
            </w:r>
          </w:p>
        </w:tc>
        <w:tc>
          <w:tcPr>
            <w:tcW w:w="84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1</w:t>
            </w:r>
          </w:p>
        </w:tc>
        <w:tc>
          <w:tcPr>
            <w:tcW w:w="669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1"/>
                <w:szCs w:val="21"/>
              </w:rPr>
            </w:pPr>
            <w:r>
              <w:rPr>
                <w:rFonts w:hint="eastAsia" w:ascii="宋体" w:hAnsi="宋体" w:cs="宋体"/>
                <w:color w:val="auto"/>
                <w:kern w:val="0"/>
                <w:sz w:val="21"/>
                <w:szCs w:val="21"/>
              </w:rPr>
              <w:t>本项目的项目负责人在20</w:t>
            </w:r>
            <w:r>
              <w:rPr>
                <w:rFonts w:hint="eastAsia" w:ascii="宋体" w:hAnsi="宋体" w:cs="宋体"/>
                <w:color w:val="auto"/>
                <w:kern w:val="0"/>
                <w:sz w:val="21"/>
                <w:szCs w:val="21"/>
                <w:lang w:val="en-US" w:eastAsia="zh-CN"/>
              </w:rPr>
              <w:t>20</w:t>
            </w:r>
            <w:r>
              <w:rPr>
                <w:rFonts w:hint="eastAsia" w:ascii="宋体" w:hAnsi="宋体" w:cs="宋体"/>
                <w:color w:val="auto"/>
                <w:kern w:val="0"/>
                <w:sz w:val="21"/>
                <w:szCs w:val="21"/>
              </w:rPr>
              <w:t>年</w:t>
            </w:r>
            <w:r>
              <w:rPr>
                <w:rFonts w:hint="eastAsia" w:ascii="宋体" w:hAnsi="宋体" w:cs="宋体"/>
                <w:color w:val="auto"/>
                <w:kern w:val="0"/>
                <w:sz w:val="21"/>
                <w:szCs w:val="21"/>
                <w:lang w:val="en-US" w:eastAsia="zh-CN"/>
              </w:rPr>
              <w:t>1</w:t>
            </w:r>
            <w:r>
              <w:rPr>
                <w:rFonts w:hint="eastAsia" w:ascii="宋体" w:hAnsi="宋体" w:cs="宋体"/>
                <w:color w:val="auto"/>
                <w:kern w:val="0"/>
                <w:sz w:val="21"/>
                <w:szCs w:val="21"/>
              </w:rPr>
              <w:t>月1日至今（以合同签订时间为准），成功完成公安、交警业务的视频监控类项目案例1个以上得1分。投标时必须提供合同扫描件，合同不能体现项目负责人名称的，必须同时提供用户证明扫描件，否则不得分。最高分为1分。</w:t>
            </w:r>
          </w:p>
        </w:tc>
      </w:tr>
      <w:tr>
        <w:tblPrEx>
          <w:tblCellMar>
            <w:top w:w="0" w:type="dxa"/>
            <w:left w:w="108" w:type="dxa"/>
            <w:bottom w:w="0" w:type="dxa"/>
            <w:right w:w="108" w:type="dxa"/>
          </w:tblCellMar>
        </w:tblPrEx>
        <w:trPr>
          <w:trHeight w:val="1065" w:hRule="atLeast"/>
        </w:trPr>
        <w:tc>
          <w:tcPr>
            <w:tcW w:w="1394"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1"/>
                <w:szCs w:val="21"/>
              </w:rPr>
            </w:pPr>
          </w:p>
        </w:tc>
        <w:tc>
          <w:tcPr>
            <w:tcW w:w="84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val="en-US" w:eastAsia="zh-CN"/>
              </w:rPr>
              <w:t>2</w:t>
            </w:r>
          </w:p>
        </w:tc>
        <w:tc>
          <w:tcPr>
            <w:tcW w:w="669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1"/>
                <w:szCs w:val="21"/>
              </w:rPr>
            </w:pPr>
            <w:r>
              <w:rPr>
                <w:rFonts w:hint="eastAsia" w:ascii="宋体" w:hAnsi="宋体" w:cs="宋体"/>
                <w:color w:val="auto"/>
                <w:kern w:val="0"/>
                <w:sz w:val="21"/>
                <w:szCs w:val="21"/>
              </w:rPr>
              <w:t>20</w:t>
            </w:r>
            <w:r>
              <w:rPr>
                <w:rFonts w:hint="eastAsia" w:ascii="宋体" w:hAnsi="宋体" w:cs="宋体"/>
                <w:color w:val="auto"/>
                <w:kern w:val="0"/>
                <w:sz w:val="21"/>
                <w:szCs w:val="21"/>
                <w:lang w:val="en-US" w:eastAsia="zh-CN"/>
              </w:rPr>
              <w:t>20</w:t>
            </w:r>
            <w:r>
              <w:rPr>
                <w:rFonts w:hint="eastAsia" w:ascii="宋体" w:hAnsi="宋体" w:cs="宋体"/>
                <w:color w:val="auto"/>
                <w:kern w:val="0"/>
                <w:sz w:val="21"/>
                <w:szCs w:val="21"/>
              </w:rPr>
              <w:t>年</w:t>
            </w:r>
            <w:r>
              <w:rPr>
                <w:rFonts w:hint="eastAsia" w:ascii="宋体" w:hAnsi="宋体" w:cs="宋体"/>
                <w:color w:val="auto"/>
                <w:kern w:val="0"/>
                <w:sz w:val="21"/>
                <w:szCs w:val="21"/>
                <w:lang w:val="en-US" w:eastAsia="zh-CN"/>
              </w:rPr>
              <w:t>1</w:t>
            </w:r>
            <w:r>
              <w:rPr>
                <w:rFonts w:hint="eastAsia" w:ascii="宋体" w:hAnsi="宋体" w:cs="宋体"/>
                <w:color w:val="auto"/>
                <w:kern w:val="0"/>
                <w:sz w:val="21"/>
                <w:szCs w:val="21"/>
              </w:rPr>
              <w:t>月1日至今（以合同签订时间为准）投标人成功完成公安、交警业务的视频监控类项目案例每个得</w:t>
            </w:r>
            <w:r>
              <w:rPr>
                <w:rFonts w:hint="eastAsia" w:ascii="宋体" w:hAnsi="宋体" w:cs="宋体"/>
                <w:color w:val="auto"/>
                <w:kern w:val="0"/>
                <w:sz w:val="21"/>
                <w:szCs w:val="21"/>
                <w:lang w:val="en-US" w:eastAsia="zh-CN"/>
              </w:rPr>
              <w:t>1</w:t>
            </w:r>
            <w:r>
              <w:rPr>
                <w:rFonts w:hint="eastAsia" w:ascii="宋体" w:hAnsi="宋体" w:cs="宋体"/>
                <w:color w:val="auto"/>
                <w:kern w:val="0"/>
                <w:sz w:val="21"/>
                <w:szCs w:val="21"/>
              </w:rPr>
              <w:t>分，最高</w:t>
            </w:r>
            <w:r>
              <w:rPr>
                <w:rFonts w:hint="eastAsia" w:ascii="宋体" w:hAnsi="宋体" w:cs="宋体"/>
                <w:color w:val="auto"/>
                <w:kern w:val="0"/>
                <w:sz w:val="21"/>
                <w:szCs w:val="21"/>
                <w:lang w:val="en-US" w:eastAsia="zh-CN"/>
              </w:rPr>
              <w:t>2</w:t>
            </w:r>
            <w:r>
              <w:rPr>
                <w:rFonts w:hint="eastAsia" w:ascii="宋体" w:hAnsi="宋体" w:cs="宋体"/>
                <w:color w:val="auto"/>
                <w:kern w:val="0"/>
                <w:sz w:val="21"/>
                <w:szCs w:val="21"/>
              </w:rPr>
              <w:t>分，同一项目不重复计分。投标时提供合同扫描件，否则不得分</w:t>
            </w:r>
            <w:r>
              <w:rPr>
                <w:rFonts w:hint="eastAsia" w:ascii="宋体" w:hAnsi="宋体" w:cs="宋体"/>
                <w:color w:val="000000"/>
                <w:kern w:val="0"/>
                <w:sz w:val="21"/>
                <w:szCs w:val="21"/>
              </w:rPr>
              <w:t>。</w:t>
            </w:r>
          </w:p>
        </w:tc>
      </w:tr>
      <w:tr>
        <w:tblPrEx>
          <w:tblCellMar>
            <w:top w:w="0" w:type="dxa"/>
            <w:left w:w="108" w:type="dxa"/>
            <w:bottom w:w="0" w:type="dxa"/>
            <w:right w:w="108" w:type="dxa"/>
          </w:tblCellMar>
        </w:tblPrEx>
        <w:trPr>
          <w:trHeight w:val="630" w:hRule="atLeast"/>
        </w:trPr>
        <w:tc>
          <w:tcPr>
            <w:tcW w:w="139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设备</w:t>
            </w:r>
            <w:r>
              <w:rPr>
                <w:rFonts w:hint="eastAsia" w:ascii="宋体" w:hAnsi="宋体" w:cs="宋体"/>
                <w:color w:val="000000"/>
                <w:kern w:val="0"/>
                <w:sz w:val="21"/>
                <w:szCs w:val="21"/>
              </w:rPr>
              <w:t>认知度</w:t>
            </w:r>
            <w:r>
              <w:rPr>
                <w:rFonts w:hint="eastAsia" w:ascii="宋体" w:hAnsi="宋体" w:cs="宋体"/>
                <w:color w:val="000000"/>
                <w:kern w:val="0"/>
                <w:sz w:val="21"/>
                <w:szCs w:val="21"/>
                <w:lang w:eastAsia="zh-CN"/>
              </w:rPr>
              <w:t>、成熟度</w:t>
            </w:r>
          </w:p>
        </w:tc>
        <w:tc>
          <w:tcPr>
            <w:tcW w:w="84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5</w:t>
            </w:r>
          </w:p>
        </w:tc>
        <w:tc>
          <w:tcPr>
            <w:tcW w:w="669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根据所投设备品牌的认知度和设备成熟度打分。优5-4分，良3-2分，差1-0分。</w:t>
            </w:r>
          </w:p>
        </w:tc>
      </w:tr>
      <w:tr>
        <w:tblPrEx>
          <w:tblCellMar>
            <w:top w:w="0" w:type="dxa"/>
            <w:left w:w="108" w:type="dxa"/>
            <w:bottom w:w="0" w:type="dxa"/>
            <w:right w:w="108" w:type="dxa"/>
          </w:tblCellMar>
        </w:tblPrEx>
        <w:trPr>
          <w:trHeight w:val="765" w:hRule="atLeast"/>
        </w:trPr>
        <w:tc>
          <w:tcPr>
            <w:tcW w:w="1394"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技术参数</w:t>
            </w:r>
          </w:p>
        </w:tc>
        <w:tc>
          <w:tcPr>
            <w:tcW w:w="84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val="en-US" w:eastAsia="zh-CN"/>
              </w:rPr>
              <w:t>9</w:t>
            </w:r>
          </w:p>
        </w:tc>
        <w:tc>
          <w:tcPr>
            <w:tcW w:w="669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提供货物的技术参数符合性由评委小组比较打分，优</w:t>
            </w:r>
            <w:r>
              <w:rPr>
                <w:rFonts w:hint="eastAsia" w:ascii="宋体" w:hAnsi="宋体" w:cs="宋体"/>
                <w:color w:val="000000"/>
                <w:kern w:val="0"/>
                <w:sz w:val="21"/>
                <w:szCs w:val="21"/>
                <w:lang w:val="en-US" w:eastAsia="zh-CN"/>
              </w:rPr>
              <w:t>9</w:t>
            </w:r>
            <w:r>
              <w:rPr>
                <w:rFonts w:hint="eastAsia" w:ascii="宋体" w:hAnsi="宋体" w:cs="宋体"/>
                <w:color w:val="000000"/>
                <w:kern w:val="0"/>
                <w:sz w:val="21"/>
                <w:szCs w:val="21"/>
              </w:rPr>
              <w:t>-6分，良5-3分，差2-0分。</w:t>
            </w:r>
          </w:p>
        </w:tc>
      </w:tr>
      <w:tr>
        <w:tblPrEx>
          <w:tblCellMar>
            <w:top w:w="0" w:type="dxa"/>
            <w:left w:w="108" w:type="dxa"/>
            <w:bottom w:w="0" w:type="dxa"/>
            <w:right w:w="108" w:type="dxa"/>
          </w:tblCellMar>
        </w:tblPrEx>
        <w:trPr>
          <w:trHeight w:val="1080" w:hRule="atLeast"/>
        </w:trPr>
        <w:tc>
          <w:tcPr>
            <w:tcW w:w="1394"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项目方案</w:t>
            </w:r>
          </w:p>
        </w:tc>
        <w:tc>
          <w:tcPr>
            <w:tcW w:w="84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10</w:t>
            </w:r>
          </w:p>
        </w:tc>
        <w:tc>
          <w:tcPr>
            <w:tcW w:w="669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提供与丽水市公安局现有视频监控平台和缙云公安实战应用平台对接的兼容方案，以及对接实施方案，需确保新增设备与原有系统无缝对接，优</w:t>
            </w:r>
            <w:r>
              <w:rPr>
                <w:rFonts w:hint="eastAsia" w:ascii="宋体" w:hAnsi="宋体" w:cs="宋体"/>
                <w:color w:val="000000"/>
                <w:kern w:val="0"/>
                <w:sz w:val="21"/>
                <w:szCs w:val="21"/>
                <w:lang w:val="en-US" w:eastAsia="zh-CN"/>
              </w:rPr>
              <w:t>10</w:t>
            </w:r>
            <w:r>
              <w:rPr>
                <w:rFonts w:hint="eastAsia" w:ascii="宋体" w:hAnsi="宋体" w:cs="宋体"/>
                <w:color w:val="000000"/>
                <w:kern w:val="0"/>
                <w:sz w:val="21"/>
                <w:szCs w:val="21"/>
              </w:rPr>
              <w:t>-</w:t>
            </w:r>
            <w:r>
              <w:rPr>
                <w:rFonts w:hint="eastAsia" w:ascii="宋体" w:hAnsi="宋体" w:cs="宋体"/>
                <w:color w:val="000000"/>
                <w:kern w:val="0"/>
                <w:sz w:val="21"/>
                <w:szCs w:val="21"/>
                <w:lang w:val="en-US" w:eastAsia="zh-CN"/>
              </w:rPr>
              <w:t>7</w:t>
            </w:r>
            <w:r>
              <w:rPr>
                <w:rFonts w:hint="eastAsia" w:ascii="宋体" w:hAnsi="宋体" w:cs="宋体"/>
                <w:color w:val="000000"/>
                <w:kern w:val="0"/>
                <w:sz w:val="21"/>
                <w:szCs w:val="21"/>
              </w:rPr>
              <w:t>分，良</w:t>
            </w:r>
            <w:r>
              <w:rPr>
                <w:rFonts w:hint="eastAsia" w:ascii="宋体" w:hAnsi="宋体" w:cs="宋体"/>
                <w:color w:val="000000"/>
                <w:kern w:val="0"/>
                <w:sz w:val="21"/>
                <w:szCs w:val="21"/>
                <w:lang w:val="en-US" w:eastAsia="zh-CN"/>
              </w:rPr>
              <w:t>6</w:t>
            </w:r>
            <w:r>
              <w:rPr>
                <w:rFonts w:hint="eastAsia" w:ascii="宋体" w:hAnsi="宋体" w:cs="宋体"/>
                <w:color w:val="000000"/>
                <w:kern w:val="0"/>
                <w:sz w:val="21"/>
                <w:szCs w:val="21"/>
              </w:rPr>
              <w:t>-</w:t>
            </w:r>
            <w:r>
              <w:rPr>
                <w:rFonts w:hint="eastAsia" w:ascii="宋体" w:hAnsi="宋体" w:cs="宋体"/>
                <w:color w:val="000000"/>
                <w:kern w:val="0"/>
                <w:sz w:val="21"/>
                <w:szCs w:val="21"/>
                <w:lang w:val="en-US" w:eastAsia="zh-CN"/>
              </w:rPr>
              <w:t>3</w:t>
            </w:r>
            <w:r>
              <w:rPr>
                <w:rFonts w:hint="eastAsia" w:ascii="宋体" w:hAnsi="宋体" w:cs="宋体"/>
                <w:color w:val="000000"/>
                <w:kern w:val="0"/>
                <w:sz w:val="21"/>
                <w:szCs w:val="21"/>
              </w:rPr>
              <w:t>分，差</w:t>
            </w:r>
            <w:r>
              <w:rPr>
                <w:rFonts w:hint="eastAsia" w:ascii="宋体" w:hAnsi="宋体" w:cs="宋体"/>
                <w:color w:val="000000"/>
                <w:kern w:val="0"/>
                <w:sz w:val="21"/>
                <w:szCs w:val="21"/>
                <w:lang w:val="en-US" w:eastAsia="zh-CN"/>
              </w:rPr>
              <w:t>2</w:t>
            </w:r>
            <w:r>
              <w:rPr>
                <w:rFonts w:hint="eastAsia" w:ascii="宋体" w:hAnsi="宋体" w:cs="宋体"/>
                <w:color w:val="000000"/>
                <w:kern w:val="0"/>
                <w:sz w:val="21"/>
                <w:szCs w:val="21"/>
              </w:rPr>
              <w:t>-0分。</w:t>
            </w:r>
          </w:p>
        </w:tc>
      </w:tr>
      <w:tr>
        <w:tblPrEx>
          <w:tblCellMar>
            <w:top w:w="0" w:type="dxa"/>
            <w:left w:w="108" w:type="dxa"/>
            <w:bottom w:w="0" w:type="dxa"/>
            <w:right w:w="108" w:type="dxa"/>
          </w:tblCellMar>
        </w:tblPrEx>
        <w:trPr>
          <w:trHeight w:val="885" w:hRule="atLeast"/>
        </w:trPr>
        <w:tc>
          <w:tcPr>
            <w:tcW w:w="139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设备的先进性、合理性、安全性</w:t>
            </w:r>
          </w:p>
        </w:tc>
        <w:tc>
          <w:tcPr>
            <w:tcW w:w="84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8</w:t>
            </w:r>
          </w:p>
        </w:tc>
        <w:tc>
          <w:tcPr>
            <w:tcW w:w="6690"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rPr>
              <w:t>根据设备的先进性、合理性、安全性好到差排序，优8-6分；良5-3分；差2-0分</w:t>
            </w:r>
            <w:r>
              <w:rPr>
                <w:rFonts w:hint="eastAsia" w:ascii="宋体" w:hAnsi="宋体" w:cs="宋体"/>
                <w:color w:val="000000"/>
                <w:kern w:val="0"/>
                <w:sz w:val="21"/>
                <w:szCs w:val="21"/>
                <w:lang w:eastAsia="zh-CN"/>
              </w:rPr>
              <w:t>。</w:t>
            </w:r>
          </w:p>
        </w:tc>
      </w:tr>
      <w:tr>
        <w:tblPrEx>
          <w:tblCellMar>
            <w:top w:w="0" w:type="dxa"/>
            <w:left w:w="108" w:type="dxa"/>
            <w:bottom w:w="0" w:type="dxa"/>
            <w:right w:w="108" w:type="dxa"/>
          </w:tblCellMar>
        </w:tblPrEx>
        <w:trPr>
          <w:trHeight w:val="840" w:hRule="atLeast"/>
        </w:trPr>
        <w:tc>
          <w:tcPr>
            <w:tcW w:w="139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对项目实施的评价</w:t>
            </w:r>
          </w:p>
        </w:tc>
        <w:tc>
          <w:tcPr>
            <w:tcW w:w="84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8</w:t>
            </w:r>
          </w:p>
        </w:tc>
        <w:tc>
          <w:tcPr>
            <w:tcW w:w="669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对项目实施方案考虑、潜在风险的应对措施、技术管理、计划统筹、验收方案优劣等排序，优8-6分；良5-3分；差2-0分。</w:t>
            </w:r>
          </w:p>
        </w:tc>
      </w:tr>
      <w:tr>
        <w:tblPrEx>
          <w:tblCellMar>
            <w:top w:w="0" w:type="dxa"/>
            <w:left w:w="108" w:type="dxa"/>
            <w:bottom w:w="0" w:type="dxa"/>
            <w:right w:w="108" w:type="dxa"/>
          </w:tblCellMar>
        </w:tblPrEx>
        <w:trPr>
          <w:trHeight w:val="810" w:hRule="atLeast"/>
        </w:trPr>
        <w:tc>
          <w:tcPr>
            <w:tcW w:w="139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1"/>
                <w:szCs w:val="21"/>
              </w:rPr>
            </w:pPr>
          </w:p>
        </w:tc>
        <w:tc>
          <w:tcPr>
            <w:tcW w:w="84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7</w:t>
            </w:r>
          </w:p>
        </w:tc>
        <w:tc>
          <w:tcPr>
            <w:tcW w:w="669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对工期安排计划，施工进度、人员安排等进行排序。优7-5分；良4-2分；差1-0分。</w:t>
            </w:r>
          </w:p>
        </w:tc>
      </w:tr>
      <w:tr>
        <w:tblPrEx>
          <w:tblCellMar>
            <w:top w:w="0" w:type="dxa"/>
            <w:left w:w="108" w:type="dxa"/>
            <w:bottom w:w="0" w:type="dxa"/>
            <w:right w:w="108" w:type="dxa"/>
          </w:tblCellMar>
        </w:tblPrEx>
        <w:trPr>
          <w:trHeight w:val="1035" w:hRule="atLeast"/>
        </w:trPr>
        <w:tc>
          <w:tcPr>
            <w:tcW w:w="139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售后服务</w:t>
            </w:r>
          </w:p>
        </w:tc>
        <w:tc>
          <w:tcPr>
            <w:tcW w:w="84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10</w:t>
            </w:r>
          </w:p>
        </w:tc>
        <w:tc>
          <w:tcPr>
            <w:tcW w:w="6690"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对产品的质量保证、售后保障措施承诺，是否有专业的运维队伍、运维车辆、运维备件、运维平台优劣排序，优10-8分；良7-4分；差3-0分。</w:t>
            </w:r>
          </w:p>
        </w:tc>
      </w:tr>
      <w:tr>
        <w:tblPrEx>
          <w:tblCellMar>
            <w:top w:w="0" w:type="dxa"/>
            <w:left w:w="108" w:type="dxa"/>
            <w:bottom w:w="0" w:type="dxa"/>
            <w:right w:w="108" w:type="dxa"/>
          </w:tblCellMar>
        </w:tblPrEx>
        <w:trPr>
          <w:trHeight w:val="1063" w:hRule="atLeast"/>
        </w:trPr>
        <w:tc>
          <w:tcPr>
            <w:tcW w:w="139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1"/>
                <w:szCs w:val="21"/>
              </w:rPr>
            </w:pPr>
          </w:p>
        </w:tc>
        <w:tc>
          <w:tcPr>
            <w:tcW w:w="84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8</w:t>
            </w:r>
          </w:p>
        </w:tc>
        <w:tc>
          <w:tcPr>
            <w:tcW w:w="6690"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对售后服务有无详细的计划方案说明与承诺、可行的培训与实施方案，有无完善的运维制度，进行比较打分。优8-6分，良5-3分，差2-0分。</w:t>
            </w:r>
          </w:p>
        </w:tc>
      </w:tr>
    </w:tbl>
    <w:p>
      <w:pPr>
        <w:widowControl/>
        <w:numPr>
          <w:ilvl w:val="0"/>
          <w:numId w:val="7"/>
        </w:numPr>
        <w:spacing w:line="360" w:lineRule="auto"/>
        <w:ind w:firstLine="422" w:firstLineChars="200"/>
        <w:rPr>
          <w:rFonts w:ascii="宋体" w:hAnsi="宋体" w:cs="宋体"/>
          <w:b/>
          <w:bCs/>
          <w:kern w:val="0"/>
          <w:szCs w:val="21"/>
        </w:rPr>
      </w:pPr>
      <w:r>
        <w:rPr>
          <w:rFonts w:hint="eastAsia" w:ascii="宋体" w:hAnsi="宋体" w:cs="宋体"/>
          <w:b/>
          <w:bCs/>
          <w:kern w:val="0"/>
          <w:szCs w:val="21"/>
        </w:rPr>
        <w:t>评审内容及标准</w:t>
      </w:r>
    </w:p>
    <w:p>
      <w:pPr>
        <w:spacing w:line="360" w:lineRule="auto"/>
        <w:rPr>
          <w:rFonts w:ascii="宋体" w:hAnsi="宋体" w:cs="宋体"/>
          <w:vanish/>
        </w:rPr>
      </w:pPr>
    </w:p>
    <w:p>
      <w:pPr>
        <w:widowControl/>
        <w:spacing w:line="360" w:lineRule="auto"/>
        <w:ind w:firstLine="420" w:firstLineChars="200"/>
        <w:jc w:val="left"/>
        <w:rPr>
          <w:rFonts w:ascii="宋体" w:hAnsi="宋体" w:cs="宋体"/>
          <w:b/>
          <w:kern w:val="0"/>
          <w:sz w:val="22"/>
          <w:szCs w:val="22"/>
        </w:rPr>
      </w:pPr>
      <w:r>
        <w:rPr>
          <w:rFonts w:hint="eastAsia" w:ascii="宋体" w:hAnsi="宋体" w:cs="宋体"/>
          <w:kern w:val="0"/>
          <w:szCs w:val="21"/>
        </w:rPr>
        <w:t>1、报价文件</w:t>
      </w:r>
    </w:p>
    <w:p>
      <w:pPr>
        <w:widowControl/>
        <w:spacing w:line="360" w:lineRule="auto"/>
        <w:ind w:firstLine="420" w:firstLineChars="200"/>
        <w:rPr>
          <w:rFonts w:ascii="宋体" w:hAnsi="宋体" w:cs="宋体"/>
          <w:kern w:val="0"/>
          <w:szCs w:val="21"/>
        </w:rPr>
      </w:pPr>
      <w:r>
        <w:rPr>
          <w:rFonts w:hint="eastAsia" w:ascii="宋体" w:hAnsi="宋体" w:cs="宋体"/>
          <w:kern w:val="0"/>
          <w:szCs w:val="21"/>
          <w:lang w:eastAsia="zh-CN"/>
        </w:rPr>
        <w:t>（</w:t>
      </w:r>
      <w:r>
        <w:rPr>
          <w:rFonts w:hint="eastAsia" w:ascii="宋体" w:hAnsi="宋体" w:cs="宋体"/>
          <w:kern w:val="0"/>
          <w:szCs w:val="21"/>
          <w:lang w:val="en-US" w:eastAsia="zh-CN"/>
        </w:rPr>
        <w:t>1</w:t>
      </w:r>
      <w:r>
        <w:rPr>
          <w:rFonts w:hint="eastAsia" w:ascii="宋体" w:hAnsi="宋体" w:cs="宋体"/>
          <w:kern w:val="0"/>
          <w:szCs w:val="21"/>
          <w:lang w:eastAsia="zh-CN"/>
        </w:rPr>
        <w:t>）</w:t>
      </w:r>
      <w:r>
        <w:rPr>
          <w:rFonts w:hint="eastAsia" w:ascii="宋体" w:hAnsi="宋体" w:cs="宋体"/>
          <w:kern w:val="0"/>
          <w:szCs w:val="21"/>
        </w:rPr>
        <w:t>评标基准价=投标报价中的最低报价；</w:t>
      </w:r>
    </w:p>
    <w:p>
      <w:pPr>
        <w:widowControl/>
        <w:spacing w:line="360" w:lineRule="auto"/>
        <w:ind w:firstLine="420" w:firstLineChars="200"/>
        <w:rPr>
          <w:rFonts w:ascii="宋体" w:hAnsi="宋体" w:cs="宋体"/>
          <w:kern w:val="0"/>
          <w:szCs w:val="21"/>
        </w:rPr>
      </w:pPr>
      <w:r>
        <w:rPr>
          <w:rFonts w:hint="eastAsia" w:ascii="宋体" w:hAnsi="宋体" w:cs="宋体"/>
          <w:kern w:val="0"/>
          <w:szCs w:val="21"/>
          <w:lang w:eastAsia="zh-CN"/>
        </w:rPr>
        <w:t>（</w:t>
      </w:r>
      <w:r>
        <w:rPr>
          <w:rFonts w:hint="eastAsia" w:ascii="宋体" w:hAnsi="宋体" w:cs="宋体"/>
          <w:kern w:val="0"/>
          <w:szCs w:val="21"/>
          <w:lang w:val="en-US" w:eastAsia="zh-CN"/>
        </w:rPr>
        <w:t>2</w:t>
      </w:r>
      <w:r>
        <w:rPr>
          <w:rFonts w:hint="eastAsia" w:ascii="宋体" w:hAnsi="宋体" w:cs="宋体"/>
          <w:kern w:val="0"/>
          <w:szCs w:val="21"/>
          <w:lang w:eastAsia="zh-CN"/>
        </w:rPr>
        <w:t>）</w:t>
      </w:r>
      <w:r>
        <w:rPr>
          <w:rFonts w:hint="eastAsia" w:ascii="宋体" w:hAnsi="宋体" w:cs="宋体"/>
          <w:kern w:val="0"/>
          <w:szCs w:val="21"/>
          <w:lang w:val="en-US" w:eastAsia="zh-CN"/>
        </w:rPr>
        <w:t>投</w:t>
      </w:r>
      <w:r>
        <w:rPr>
          <w:rFonts w:hint="eastAsia" w:ascii="宋体" w:hAnsi="宋体" w:cs="宋体"/>
          <w:kern w:val="0"/>
          <w:szCs w:val="21"/>
        </w:rPr>
        <w:t>标报价等于评标基准价的得30分，其他投标人的报价得分按下列公式计算：</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投标报价得分=（评定基准价/投标报价）×报价权重×100。</w:t>
      </w:r>
    </w:p>
    <w:p>
      <w:pPr>
        <w:pStyle w:val="169"/>
        <w:spacing w:before="0" w:beforeAutospacing="0" w:after="0" w:afterAutospacing="0" w:line="360" w:lineRule="auto"/>
        <w:ind w:firstLine="442" w:firstLineChars="200"/>
        <w:rPr>
          <w:szCs w:val="21"/>
        </w:rPr>
      </w:pPr>
      <w:r>
        <w:rPr>
          <w:rFonts w:hint="eastAsia"/>
          <w:b/>
          <w:sz w:val="22"/>
          <w:szCs w:val="22"/>
        </w:rPr>
        <w:t>该磋商评审办法及评分标准仅适用于本项目采购，解释权属于采购人。</w:t>
      </w:r>
    </w:p>
    <w:sectPr>
      <w:pgSz w:w="11906" w:h="16838"/>
      <w:pgMar w:top="1417" w:right="1417" w:bottom="1134" w:left="1417" w:header="851" w:footer="850"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幼圆">
    <w:panose1 w:val="02010509060101010101"/>
    <w:charset w:val="86"/>
    <w:family w:val="modern"/>
    <w:pitch w:val="default"/>
    <w:sig w:usb0="00000001" w:usb1="080E0000" w:usb2="00000000" w:usb3="00000000" w:csb0="00040000" w:csb1="00000000"/>
  </w:font>
  <w:font w:name="文鼎小标宋简">
    <w:altName w:val="宋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Gulim">
    <w:panose1 w:val="020B0600000101010101"/>
    <w:charset w:val="81"/>
    <w:family w:val="swiss"/>
    <w:pitch w:val="default"/>
    <w:sig w:usb0="B00002AF" w:usb1="69D77CFB" w:usb2="00000030" w:usb3="00000000" w:csb0="4008009F" w:csb1="DFD70000"/>
  </w:font>
  <w:font w:name="长城仿宋">
    <w:altName w:val="黑体"/>
    <w:panose1 w:val="00000000000000000000"/>
    <w:charset w:val="86"/>
    <w:family w:val="modern"/>
    <w:pitch w:val="default"/>
    <w:sig w:usb0="00000000" w:usb1="00000000" w:usb2="00000010" w:usb3="00000000" w:csb0="00040000" w:csb1="0000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Beijing">
    <w:altName w:val="Arial"/>
    <w:panose1 w:val="00000000000000000000"/>
    <w:charset w:val="50"/>
    <w:family w:val="auto"/>
    <w:pitch w:val="default"/>
    <w:sig w:usb0="00000000" w:usb1="00000000" w:usb2="00000000" w:usb3="00000000" w:csb0="00000000" w:csb1="00000000"/>
  </w:font>
  <w:font w:name="Helvetica">
    <w:panose1 w:val="020B0604020202020204"/>
    <w:charset w:val="00"/>
    <w:family w:val="swiss"/>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top w:val="single" w:color="auto" w:sz="4" w:space="1"/>
      </w:pBdr>
      <w:rPr>
        <w:rFonts w:ascii="宋体" w:hAnsi="宋体" w:eastAsia="宋体" w:cs="宋体"/>
      </w:rPr>
    </w:pPr>
    <w:r>
      <w:rPr>
        <w:rFonts w:hint="eastAsia" w:ascii="宋体" w:hAnsi="宋体" w:eastAsia="宋体"/>
        <w:snapToGrid/>
        <w:kern w:val="2"/>
      </w:rPr>
      <w:t>浙江鼎峰工程咨询有限公司</w:t>
    </w:r>
    <w:r>
      <w:rPr>
        <w:rFonts w:hint="eastAsia"/>
        <w:szCs w:val="21"/>
      </w:rPr>
      <w:t xml:space="preserve">                                                         </w:t>
    </w:r>
    <w:r>
      <w:rPr>
        <w:rFonts w:hint="eastAsia" w:ascii="宋体" w:hAnsi="宋体" w:eastAsia="宋体" w:cs="宋体"/>
        <w:szCs w:val="21"/>
      </w:rPr>
      <w:t xml:space="preserve"> 第 </w:t>
    </w:r>
    <w:r>
      <w:rPr>
        <w:rFonts w:hint="eastAsia" w:ascii="宋体" w:hAnsi="宋体" w:eastAsia="宋体" w:cs="宋体"/>
        <w:szCs w:val="21"/>
      </w:rPr>
      <w:fldChar w:fldCharType="begin"/>
    </w:r>
    <w:r>
      <w:rPr>
        <w:rFonts w:hint="eastAsia" w:ascii="宋体" w:hAnsi="宋体" w:eastAsia="宋体" w:cs="宋体"/>
        <w:szCs w:val="21"/>
      </w:rPr>
      <w:instrText xml:space="preserve"> PAGE </w:instrText>
    </w:r>
    <w:r>
      <w:rPr>
        <w:rFonts w:hint="eastAsia" w:ascii="宋体" w:hAnsi="宋体" w:eastAsia="宋体" w:cs="宋体"/>
        <w:szCs w:val="21"/>
      </w:rPr>
      <w:fldChar w:fldCharType="separate"/>
    </w:r>
    <w:r>
      <w:rPr>
        <w:rFonts w:ascii="宋体" w:hAnsi="宋体" w:eastAsia="宋体" w:cs="宋体"/>
        <w:szCs w:val="21"/>
      </w:rPr>
      <w:t>3</w:t>
    </w:r>
    <w:r>
      <w:rPr>
        <w:rFonts w:hint="eastAsia" w:ascii="宋体" w:hAnsi="宋体" w:eastAsia="宋体" w:cs="宋体"/>
        <w:szCs w:val="21"/>
      </w:rPr>
      <w:fldChar w:fldCharType="end"/>
    </w:r>
    <w:r>
      <w:rPr>
        <w:rFonts w:hint="eastAsia" w:ascii="宋体" w:hAnsi="宋体" w:eastAsia="宋体" w:cs="宋体"/>
        <w:szCs w:val="21"/>
      </w:rPr>
      <w:t xml:space="preserve"> 页 共 </w:t>
    </w:r>
    <w:r>
      <w:rPr>
        <w:rFonts w:hint="eastAsia" w:ascii="宋体" w:hAnsi="宋体" w:eastAsia="宋体" w:cs="宋体"/>
        <w:szCs w:val="21"/>
      </w:rPr>
      <w:fldChar w:fldCharType="begin"/>
    </w:r>
    <w:r>
      <w:rPr>
        <w:rFonts w:hint="eastAsia" w:ascii="宋体" w:hAnsi="宋体" w:eastAsia="宋体" w:cs="宋体"/>
        <w:szCs w:val="21"/>
      </w:rPr>
      <w:instrText xml:space="preserve"> NUMPAGES </w:instrText>
    </w:r>
    <w:r>
      <w:rPr>
        <w:rFonts w:hint="eastAsia" w:ascii="宋体" w:hAnsi="宋体" w:eastAsia="宋体" w:cs="宋体"/>
        <w:szCs w:val="21"/>
      </w:rPr>
      <w:fldChar w:fldCharType="separate"/>
    </w:r>
    <w:r>
      <w:rPr>
        <w:rFonts w:ascii="宋体" w:hAnsi="宋体" w:eastAsia="宋体" w:cs="宋体"/>
        <w:szCs w:val="21"/>
      </w:rPr>
      <w:t>56</w:t>
    </w:r>
    <w:r>
      <w:rPr>
        <w:rFonts w:hint="eastAsia" w:ascii="宋体" w:hAnsi="宋体" w:eastAsia="宋体" w:cs="宋体"/>
        <w:szCs w:val="21"/>
      </w:rPr>
      <w:fldChar w:fldCharType="end"/>
    </w:r>
    <w:r>
      <w:rPr>
        <w:rFonts w:hint="eastAsia" w:ascii="宋体" w:hAnsi="宋体" w:eastAsia="宋体" w:cs="宋体"/>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top w:val="single" w:color="auto" w:sz="4" w:space="1"/>
      </w:pBdr>
    </w:pPr>
    <w:r>
      <w:rPr>
        <w:rFonts w:hint="eastAsia" w:ascii="宋体" w:hAnsi="宋体" w:eastAsia="宋体"/>
        <w:snapToGrid/>
        <w:kern w:val="2"/>
      </w:rPr>
      <w:t>浙江鼎峰工程咨询有限公司</w:t>
    </w:r>
    <w:r>
      <w:rPr>
        <w:rFonts w:hint="eastAsia"/>
        <w:szCs w:val="21"/>
      </w:rPr>
      <w:t xml:space="preserve">                                                     </w:t>
    </w:r>
    <w:r>
      <w:rPr>
        <w:rFonts w:hint="eastAsia" w:ascii="宋体" w:hAnsi="宋体" w:eastAsia="宋体" w:cs="宋体"/>
        <w:szCs w:val="21"/>
      </w:rPr>
      <w:t xml:space="preserve"> 第 </w:t>
    </w:r>
    <w:r>
      <w:rPr>
        <w:rFonts w:hint="eastAsia" w:ascii="宋体" w:hAnsi="宋体" w:eastAsia="宋体" w:cs="宋体"/>
        <w:szCs w:val="21"/>
      </w:rPr>
      <w:fldChar w:fldCharType="begin"/>
    </w:r>
    <w:r>
      <w:rPr>
        <w:rFonts w:hint="eastAsia" w:ascii="宋体" w:hAnsi="宋体" w:eastAsia="宋体" w:cs="宋体"/>
        <w:szCs w:val="21"/>
      </w:rPr>
      <w:instrText xml:space="preserve"> PAGE </w:instrText>
    </w:r>
    <w:r>
      <w:rPr>
        <w:rFonts w:hint="eastAsia" w:ascii="宋体" w:hAnsi="宋体" w:eastAsia="宋体" w:cs="宋体"/>
        <w:szCs w:val="21"/>
      </w:rPr>
      <w:fldChar w:fldCharType="separate"/>
    </w:r>
    <w:r>
      <w:rPr>
        <w:rFonts w:ascii="宋体" w:hAnsi="宋体" w:eastAsia="宋体" w:cs="宋体"/>
        <w:szCs w:val="21"/>
      </w:rPr>
      <w:t>1</w:t>
    </w:r>
    <w:r>
      <w:rPr>
        <w:rFonts w:hint="eastAsia" w:ascii="宋体" w:hAnsi="宋体" w:eastAsia="宋体" w:cs="宋体"/>
        <w:szCs w:val="21"/>
      </w:rPr>
      <w:fldChar w:fldCharType="end"/>
    </w:r>
    <w:r>
      <w:rPr>
        <w:rFonts w:hint="eastAsia" w:ascii="宋体" w:hAnsi="宋体" w:eastAsia="宋体" w:cs="宋体"/>
        <w:szCs w:val="21"/>
      </w:rPr>
      <w:t xml:space="preserve"> 页 共 </w:t>
    </w:r>
    <w:r>
      <w:rPr>
        <w:rFonts w:hint="eastAsia" w:ascii="宋体" w:hAnsi="宋体" w:eastAsia="宋体" w:cs="宋体"/>
        <w:szCs w:val="21"/>
      </w:rPr>
      <w:fldChar w:fldCharType="begin"/>
    </w:r>
    <w:r>
      <w:rPr>
        <w:rFonts w:hint="eastAsia" w:ascii="宋体" w:hAnsi="宋体" w:eastAsia="宋体" w:cs="宋体"/>
        <w:szCs w:val="21"/>
      </w:rPr>
      <w:instrText xml:space="preserve"> NUMPAGES </w:instrText>
    </w:r>
    <w:r>
      <w:rPr>
        <w:rFonts w:hint="eastAsia" w:ascii="宋体" w:hAnsi="宋体" w:eastAsia="宋体" w:cs="宋体"/>
        <w:szCs w:val="21"/>
      </w:rPr>
      <w:fldChar w:fldCharType="separate"/>
    </w:r>
    <w:r>
      <w:rPr>
        <w:rFonts w:ascii="宋体" w:hAnsi="宋体" w:eastAsia="宋体" w:cs="宋体"/>
        <w:szCs w:val="21"/>
      </w:rPr>
      <w:t>56</w:t>
    </w:r>
    <w:r>
      <w:rPr>
        <w:rFonts w:hint="eastAsia" w:ascii="宋体" w:hAnsi="宋体" w:eastAsia="宋体" w:cs="宋体"/>
        <w:szCs w:val="21"/>
      </w:rPr>
      <w:fldChar w:fldCharType="end"/>
    </w:r>
    <w:r>
      <w:rPr>
        <w:rFonts w:hint="eastAsia" w:ascii="宋体" w:hAnsi="宋体" w:eastAsia="宋体" w:cs="宋体"/>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eastAsia="宋体"/>
        <w:lang w:eastAsia="zh-CN"/>
      </w:rPr>
    </w:pPr>
    <w:r>
      <w:pict>
        <v:shape id="_x0000_s2049" o:spid="_x0000_s2049"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1F+UJskBAACZAwAADgAAAGRycy9lMm9Eb2MueG1srVPNjtMwEL4j8Q6W 79TZaoWqqOlqUbUICQHSwgO4jt1Y8p88bpO+ALwBJy7cea4+B2Mn6S7LZQ97ccYz42/m+2ayvhms IUcZQXvX0KtFRYl0wrfa7Rv67evdmxUlkLhrufFONvQkgd5sXr9a96GWS99508pIEMRB3YeGdimF mjEQnbQcFj5Ih0Hlo+UJr3HP2sh7RLeGLavqLet9bEP0QgKgdzsG6YQYnwPoldJCbr04WOnSiBql 4QkpQacD0E3pVikp0melQCZiGopMUzmxCNq7fLLNmtf7yEOnxdQCf04LTzhZrh0WvUBteeLkEPV/ UFaL6MGrtBDespFIUQRZXFVPtLnveJCFC0oN4SI6vBys+HT8EoluG3pNieMWB37++eP868/593dy neXpA9SYdR8wLw3v/IBLM/sBnZn1oKLNX+RDMI7ini7iyiERkR+tlqtVhSGBsfmC+OzheYiQ3ktv STYaGnF6RVR+/AhpTJ1TcjXn77QxZYLG/eNAzOxhufexx2ylYTdMhHa+PSGfHgffUId7Ton54FDX vCOzEWdjNxuHEPW+K0uU60G4PSRsovSWK4ywU2GcWGE3bVdeicf3kvXwR23+Al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DUX5QmyQEAAJkDAAAOAAAAAAAAAAEAIAAAAB4BAABkcnMvZTJvRG9j LnhtbFBLBQYAAAAABgAGAFkBAABZBQAAAAA= ">
          <v:path/>
          <v:fill on="f" focussize="0,0"/>
          <v:stroke on="f" joinstyle="miter"/>
          <v:imagedata o:title=""/>
          <o:lock v:ext="edit"/>
          <v:textbox inset="0mm,0mm,0mm,0mm" style="mso-fit-shape-to-text:t;">
            <w:txbxContent>
              <w:p>
                <w:pPr>
                  <w:pStyle w:val="27"/>
                </w:pPr>
                <w:r>
                  <w:fldChar w:fldCharType="begin"/>
                </w:r>
                <w:r>
                  <w:instrText xml:space="preserve"> PAGE  \* MERGEFORMAT </w:instrText>
                </w:r>
                <w:r>
                  <w:fldChar w:fldCharType="separate"/>
                </w:r>
                <w:r>
                  <w:t>3</w:t>
                </w:r>
                <w:r>
                  <w:fldChar w:fldCharType="end"/>
                </w:r>
              </w:p>
            </w:txbxContent>
          </v:textbox>
        </v:shape>
      </w:pict>
    </w:r>
    <w:r>
      <w:rPr>
        <w:rFonts w:hint="eastAsia"/>
        <w:lang w:eastAsia="zh-CN"/>
      </w:rPr>
      <w:t>缙云县公安局雪亮工程六、八期升级改造项目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D4AE7A"/>
    <w:multiLevelType w:val="singleLevel"/>
    <w:tmpl w:val="91D4AE7A"/>
    <w:lvl w:ilvl="0" w:tentative="0">
      <w:start w:val="2"/>
      <w:numFmt w:val="chineseCounting"/>
      <w:suff w:val="nothing"/>
      <w:lvlText w:val="%1、"/>
      <w:lvlJc w:val="left"/>
      <w:rPr>
        <w:rFonts w:hint="eastAsia"/>
      </w:rPr>
    </w:lvl>
  </w:abstractNum>
  <w:abstractNum w:abstractNumId="1">
    <w:nsid w:val="A12CD9D6"/>
    <w:multiLevelType w:val="singleLevel"/>
    <w:tmpl w:val="A12CD9D6"/>
    <w:lvl w:ilvl="0" w:tentative="0">
      <w:start w:val="6"/>
      <w:numFmt w:val="chineseCounting"/>
      <w:suff w:val="space"/>
      <w:lvlText w:val="第%1章"/>
      <w:lvlJc w:val="left"/>
      <w:rPr>
        <w:rFonts w:hint="eastAsia"/>
      </w:rPr>
    </w:lvl>
  </w:abstractNum>
  <w:abstractNum w:abstractNumId="2">
    <w:nsid w:val="EFF3389D"/>
    <w:multiLevelType w:val="singleLevel"/>
    <w:tmpl w:val="EFF3389D"/>
    <w:lvl w:ilvl="0" w:tentative="0">
      <w:start w:val="11"/>
      <w:numFmt w:val="decimal"/>
      <w:suff w:val="nothing"/>
      <w:lvlText w:val="%1、"/>
      <w:lvlJc w:val="left"/>
    </w:lvl>
  </w:abstractNum>
  <w:abstractNum w:abstractNumId="3">
    <w:nsid w:val="36272C7A"/>
    <w:multiLevelType w:val="multilevel"/>
    <w:tmpl w:val="36272C7A"/>
    <w:lvl w:ilvl="0" w:tentative="0">
      <w:start w:val="1"/>
      <w:numFmt w:val="koreanDigital2"/>
      <w:suff w:val="space"/>
      <w:lvlText w:val="%1、"/>
      <w:lvlJc w:val="left"/>
      <w:pPr>
        <w:ind w:left="0" w:firstLine="0"/>
      </w:pPr>
      <w:rPr>
        <w:rFonts w:hint="eastAsia"/>
      </w:rPr>
    </w:lvl>
    <w:lvl w:ilvl="1" w:tentative="0">
      <w:start w:val="1"/>
      <w:numFmt w:val="koreanDigital2"/>
      <w:suff w:val="space"/>
      <w:lvlText w:val="（%2）"/>
      <w:lvlJc w:val="left"/>
      <w:pPr>
        <w:ind w:left="0" w:firstLine="0"/>
      </w:pPr>
      <w:rPr>
        <w:rFonts w:hint="eastAsia"/>
      </w:rPr>
    </w:lvl>
    <w:lvl w:ilvl="2" w:tentative="0">
      <w:start w:val="1"/>
      <w:numFmt w:val="decimal"/>
      <w:suff w:val="space"/>
      <w:lvlText w:val="%3、"/>
      <w:lvlJc w:val="left"/>
      <w:pPr>
        <w:ind w:left="0" w:firstLine="0"/>
      </w:pPr>
      <w:rPr>
        <w:rFonts w:hint="eastAsia"/>
      </w:rPr>
    </w:lvl>
    <w:lvl w:ilvl="3" w:tentative="0">
      <w:start w:val="1"/>
      <w:numFmt w:val="decimalEnclosedCircle"/>
      <w:suff w:val="space"/>
      <w:lvlText w:val="%4."/>
      <w:lvlJc w:val="left"/>
      <w:pPr>
        <w:ind w:left="0" w:firstLine="0"/>
      </w:pPr>
      <w:rPr>
        <w:rFonts w:hint="eastAsia"/>
      </w:rPr>
    </w:lvl>
    <w:lvl w:ilvl="4" w:tentative="0">
      <w:start w:val="1"/>
      <w:numFmt w:val="decimal"/>
      <w:suff w:val="nothing"/>
      <w:lvlText w:val="%5、"/>
      <w:lvlJc w:val="left"/>
      <w:pPr>
        <w:ind w:left="0" w:firstLine="238"/>
      </w:pPr>
      <w:rPr>
        <w:rFonts w:hint="eastAsia"/>
      </w:rPr>
    </w:lvl>
    <w:lvl w:ilvl="5" w:tentative="0">
      <w:start w:val="1"/>
      <w:numFmt w:val="upperLetter"/>
      <w:suff w:val="space"/>
      <w:lvlText w:val="%6."/>
      <w:lvlJc w:val="left"/>
      <w:pPr>
        <w:ind w:left="0" w:firstLine="482"/>
      </w:pPr>
      <w:rPr>
        <w:rFonts w:hint="eastAsia"/>
      </w:rPr>
    </w:lvl>
    <w:lvl w:ilvl="6" w:tentative="0">
      <w:start w:val="1"/>
      <w:numFmt w:val="lowerLetter"/>
      <w:suff w:val="space"/>
      <w:lvlText w:val="%7."/>
      <w:lvlJc w:val="left"/>
      <w:pPr>
        <w:ind w:left="0" w:firstLine="482"/>
      </w:pPr>
      <w:rPr>
        <w:rFonts w:hint="eastAsia"/>
      </w:rPr>
    </w:lvl>
    <w:lvl w:ilvl="7" w:tentative="0">
      <w:start w:val="1"/>
      <w:numFmt w:val="decimal"/>
      <w:pStyle w:val="216"/>
      <w:lvlText w:val="%8."/>
      <w:lvlJc w:val="left"/>
      <w:pPr>
        <w:tabs>
          <w:tab w:val="left" w:pos="482"/>
        </w:tabs>
        <w:ind w:left="0" w:firstLine="482"/>
      </w:pPr>
      <w:rPr>
        <w:rFonts w:hint="eastAsia"/>
      </w:rPr>
    </w:lvl>
    <w:lvl w:ilvl="8" w:tentative="0">
      <w:start w:val="1"/>
      <w:numFmt w:val="decimal"/>
      <w:lvlText w:val="%1.%2.%3.%4.%5.%6.%7.%8.%9"/>
      <w:lvlJc w:val="left"/>
      <w:pPr>
        <w:ind w:left="0" w:firstLine="0"/>
      </w:pPr>
      <w:rPr>
        <w:rFonts w:hint="eastAsia"/>
      </w:rPr>
    </w:lvl>
  </w:abstractNum>
  <w:abstractNum w:abstractNumId="4">
    <w:nsid w:val="4651837B"/>
    <w:multiLevelType w:val="singleLevel"/>
    <w:tmpl w:val="4651837B"/>
    <w:lvl w:ilvl="0" w:tentative="0">
      <w:start w:val="2"/>
      <w:numFmt w:val="decimal"/>
      <w:suff w:val="nothing"/>
      <w:lvlText w:val="%1、"/>
      <w:lvlJc w:val="left"/>
    </w:lvl>
  </w:abstractNum>
  <w:abstractNum w:abstractNumId="5">
    <w:nsid w:val="677A7F3F"/>
    <w:multiLevelType w:val="singleLevel"/>
    <w:tmpl w:val="677A7F3F"/>
    <w:lvl w:ilvl="0" w:tentative="0">
      <w:start w:val="1"/>
      <w:numFmt w:val="decimal"/>
      <w:suff w:val="nothing"/>
      <w:lvlText w:val="%1、"/>
      <w:lvlJc w:val="left"/>
    </w:lvl>
  </w:abstractNum>
  <w:abstractNum w:abstractNumId="6">
    <w:nsid w:val="763060DB"/>
    <w:multiLevelType w:val="multilevel"/>
    <w:tmpl w:val="763060DB"/>
    <w:lvl w:ilvl="0" w:tentative="0">
      <w:start w:val="1"/>
      <w:numFmt w:val="japaneseCounting"/>
      <w:lvlText w:val="第%1章"/>
      <w:lvlJc w:val="left"/>
      <w:pPr>
        <w:tabs>
          <w:tab w:val="left" w:pos="1995"/>
        </w:tabs>
        <w:ind w:left="1995" w:hanging="1275"/>
      </w:pPr>
      <w:rPr>
        <w:rFonts w:hint="eastAsia"/>
      </w:rPr>
    </w:lvl>
    <w:lvl w:ilvl="1" w:tentative="0">
      <w:start w:val="1"/>
      <w:numFmt w:val="japaneseCounting"/>
      <w:lvlText w:val="%2、"/>
      <w:lvlJc w:val="left"/>
      <w:pPr>
        <w:tabs>
          <w:tab w:val="left" w:pos="1860"/>
        </w:tabs>
        <w:ind w:left="1860" w:hanging="720"/>
      </w:pPr>
      <w:rPr>
        <w:rFonts w:hint="eastAsia"/>
      </w:rPr>
    </w:lvl>
    <w:lvl w:ilvl="2" w:tentative="0">
      <w:start w:val="1"/>
      <w:numFmt w:val="lowerRoman"/>
      <w:pStyle w:val="155"/>
      <w:lvlText w:val="%3."/>
      <w:lvlJc w:val="right"/>
      <w:pPr>
        <w:tabs>
          <w:tab w:val="left" w:pos="1980"/>
        </w:tabs>
        <w:ind w:left="1980" w:hanging="420"/>
      </w:pPr>
    </w:lvl>
    <w:lvl w:ilvl="3" w:tentative="0">
      <w:start w:val="1"/>
      <w:numFmt w:val="decimal"/>
      <w:lvlText w:val="%4."/>
      <w:lvlJc w:val="left"/>
      <w:pPr>
        <w:tabs>
          <w:tab w:val="left" w:pos="2400"/>
        </w:tabs>
        <w:ind w:left="2400" w:hanging="420"/>
      </w:pPr>
    </w:lvl>
    <w:lvl w:ilvl="4" w:tentative="0">
      <w:start w:val="1"/>
      <w:numFmt w:val="lowerLetter"/>
      <w:lvlText w:val="%5)"/>
      <w:lvlJc w:val="left"/>
      <w:pPr>
        <w:tabs>
          <w:tab w:val="left" w:pos="2820"/>
        </w:tabs>
        <w:ind w:left="282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num w:numId="1">
    <w:abstractNumId w:val="6"/>
  </w:num>
  <w:num w:numId="2">
    <w:abstractNumId w:val="3"/>
  </w:num>
  <w:num w:numId="3">
    <w:abstractNumId w:val="4"/>
  </w:num>
  <w:num w:numId="4">
    <w:abstractNumId w:val="5"/>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oNotShadeFormData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Q1Yjg4YzdhNzkxYWRiYWZmMmZkZDdiNzg3NDQ5MTMifQ=="/>
  </w:docVars>
  <w:rsids>
    <w:rsidRoot w:val="00172A27"/>
    <w:rsid w:val="0000026E"/>
    <w:rsid w:val="00002901"/>
    <w:rsid w:val="00004BE9"/>
    <w:rsid w:val="00005689"/>
    <w:rsid w:val="00005F2C"/>
    <w:rsid w:val="0000628F"/>
    <w:rsid w:val="000078F3"/>
    <w:rsid w:val="000105B1"/>
    <w:rsid w:val="00012E28"/>
    <w:rsid w:val="000131BB"/>
    <w:rsid w:val="000165E2"/>
    <w:rsid w:val="000169E9"/>
    <w:rsid w:val="00016E9F"/>
    <w:rsid w:val="00017572"/>
    <w:rsid w:val="00017C74"/>
    <w:rsid w:val="000218B1"/>
    <w:rsid w:val="00021E17"/>
    <w:rsid w:val="00022D8A"/>
    <w:rsid w:val="00023144"/>
    <w:rsid w:val="00024A1D"/>
    <w:rsid w:val="000254DF"/>
    <w:rsid w:val="00025EC4"/>
    <w:rsid w:val="00030222"/>
    <w:rsid w:val="0003075A"/>
    <w:rsid w:val="00031EB4"/>
    <w:rsid w:val="00032423"/>
    <w:rsid w:val="00033C2A"/>
    <w:rsid w:val="00035A9E"/>
    <w:rsid w:val="0003693D"/>
    <w:rsid w:val="000375AC"/>
    <w:rsid w:val="00041671"/>
    <w:rsid w:val="0004213C"/>
    <w:rsid w:val="000427F9"/>
    <w:rsid w:val="00046E89"/>
    <w:rsid w:val="00051729"/>
    <w:rsid w:val="0005599A"/>
    <w:rsid w:val="00055BCF"/>
    <w:rsid w:val="00055F1D"/>
    <w:rsid w:val="000572F0"/>
    <w:rsid w:val="0005756F"/>
    <w:rsid w:val="0005793A"/>
    <w:rsid w:val="00061B3B"/>
    <w:rsid w:val="00061F29"/>
    <w:rsid w:val="00062A58"/>
    <w:rsid w:val="000648B8"/>
    <w:rsid w:val="00064B57"/>
    <w:rsid w:val="0006586E"/>
    <w:rsid w:val="0006791B"/>
    <w:rsid w:val="00067FB0"/>
    <w:rsid w:val="000713D6"/>
    <w:rsid w:val="000733F3"/>
    <w:rsid w:val="00075DF4"/>
    <w:rsid w:val="0007771C"/>
    <w:rsid w:val="000809DF"/>
    <w:rsid w:val="00083C30"/>
    <w:rsid w:val="000840B3"/>
    <w:rsid w:val="0008616F"/>
    <w:rsid w:val="000864D0"/>
    <w:rsid w:val="0008712A"/>
    <w:rsid w:val="00087503"/>
    <w:rsid w:val="0009216D"/>
    <w:rsid w:val="00094B9C"/>
    <w:rsid w:val="00094FE7"/>
    <w:rsid w:val="00095AB9"/>
    <w:rsid w:val="00095B3A"/>
    <w:rsid w:val="00096E0A"/>
    <w:rsid w:val="000A002F"/>
    <w:rsid w:val="000A078E"/>
    <w:rsid w:val="000A1717"/>
    <w:rsid w:val="000A39FD"/>
    <w:rsid w:val="000A6268"/>
    <w:rsid w:val="000A656E"/>
    <w:rsid w:val="000A7CA5"/>
    <w:rsid w:val="000B014F"/>
    <w:rsid w:val="000B0E00"/>
    <w:rsid w:val="000B1405"/>
    <w:rsid w:val="000B3F16"/>
    <w:rsid w:val="000B5CE6"/>
    <w:rsid w:val="000B6651"/>
    <w:rsid w:val="000B7B11"/>
    <w:rsid w:val="000C1AFF"/>
    <w:rsid w:val="000C3EDC"/>
    <w:rsid w:val="000C4D12"/>
    <w:rsid w:val="000D08D4"/>
    <w:rsid w:val="000D0E1D"/>
    <w:rsid w:val="000D1341"/>
    <w:rsid w:val="000D14A7"/>
    <w:rsid w:val="000D16D1"/>
    <w:rsid w:val="000D17C0"/>
    <w:rsid w:val="000D2228"/>
    <w:rsid w:val="000D3A80"/>
    <w:rsid w:val="000D7BE0"/>
    <w:rsid w:val="000E0D93"/>
    <w:rsid w:val="000E0EE8"/>
    <w:rsid w:val="000E1BD9"/>
    <w:rsid w:val="000E28F5"/>
    <w:rsid w:val="000E3197"/>
    <w:rsid w:val="000E422F"/>
    <w:rsid w:val="000E4D56"/>
    <w:rsid w:val="000E6DB0"/>
    <w:rsid w:val="000F1CF4"/>
    <w:rsid w:val="000F1D66"/>
    <w:rsid w:val="000F2E9A"/>
    <w:rsid w:val="000F6898"/>
    <w:rsid w:val="00100D6C"/>
    <w:rsid w:val="00100E87"/>
    <w:rsid w:val="00101BB2"/>
    <w:rsid w:val="001034A7"/>
    <w:rsid w:val="001060C2"/>
    <w:rsid w:val="00107071"/>
    <w:rsid w:val="00110130"/>
    <w:rsid w:val="00111104"/>
    <w:rsid w:val="00111D8F"/>
    <w:rsid w:val="00111E1B"/>
    <w:rsid w:val="001122CB"/>
    <w:rsid w:val="00114227"/>
    <w:rsid w:val="00117098"/>
    <w:rsid w:val="001214E7"/>
    <w:rsid w:val="00121A2D"/>
    <w:rsid w:val="00122E67"/>
    <w:rsid w:val="00123B0A"/>
    <w:rsid w:val="0012483C"/>
    <w:rsid w:val="001271F9"/>
    <w:rsid w:val="0013027D"/>
    <w:rsid w:val="00130CBC"/>
    <w:rsid w:val="00131D77"/>
    <w:rsid w:val="001328EF"/>
    <w:rsid w:val="0013569E"/>
    <w:rsid w:val="00136060"/>
    <w:rsid w:val="00137A57"/>
    <w:rsid w:val="0014115A"/>
    <w:rsid w:val="00141C32"/>
    <w:rsid w:val="00143432"/>
    <w:rsid w:val="00145AB3"/>
    <w:rsid w:val="00146E79"/>
    <w:rsid w:val="00151893"/>
    <w:rsid w:val="00151C22"/>
    <w:rsid w:val="001520D0"/>
    <w:rsid w:val="00152BA7"/>
    <w:rsid w:val="00152EC2"/>
    <w:rsid w:val="0015477D"/>
    <w:rsid w:val="00155194"/>
    <w:rsid w:val="001560E6"/>
    <w:rsid w:val="00156A4E"/>
    <w:rsid w:val="0016073F"/>
    <w:rsid w:val="001607F5"/>
    <w:rsid w:val="00161350"/>
    <w:rsid w:val="001617D1"/>
    <w:rsid w:val="00164CF1"/>
    <w:rsid w:val="00165987"/>
    <w:rsid w:val="001662D6"/>
    <w:rsid w:val="00167CB3"/>
    <w:rsid w:val="00171FC9"/>
    <w:rsid w:val="00172A27"/>
    <w:rsid w:val="00172C20"/>
    <w:rsid w:val="001732EF"/>
    <w:rsid w:val="001747FE"/>
    <w:rsid w:val="00175B1A"/>
    <w:rsid w:val="00183F6A"/>
    <w:rsid w:val="001847A5"/>
    <w:rsid w:val="001851CB"/>
    <w:rsid w:val="0018658B"/>
    <w:rsid w:val="00186A6E"/>
    <w:rsid w:val="00187AA8"/>
    <w:rsid w:val="001900DF"/>
    <w:rsid w:val="00193B09"/>
    <w:rsid w:val="001941D4"/>
    <w:rsid w:val="001945E7"/>
    <w:rsid w:val="00194FFE"/>
    <w:rsid w:val="00195613"/>
    <w:rsid w:val="00195A42"/>
    <w:rsid w:val="00195BE3"/>
    <w:rsid w:val="00196442"/>
    <w:rsid w:val="001965BA"/>
    <w:rsid w:val="00197FDC"/>
    <w:rsid w:val="001A0E00"/>
    <w:rsid w:val="001A0F0E"/>
    <w:rsid w:val="001A0FA6"/>
    <w:rsid w:val="001A2B82"/>
    <w:rsid w:val="001A3DC1"/>
    <w:rsid w:val="001A4285"/>
    <w:rsid w:val="001A4A2B"/>
    <w:rsid w:val="001A7BE9"/>
    <w:rsid w:val="001A7E70"/>
    <w:rsid w:val="001B013B"/>
    <w:rsid w:val="001B01C2"/>
    <w:rsid w:val="001B11A9"/>
    <w:rsid w:val="001B1435"/>
    <w:rsid w:val="001B14DE"/>
    <w:rsid w:val="001B18CD"/>
    <w:rsid w:val="001B2705"/>
    <w:rsid w:val="001B5FFF"/>
    <w:rsid w:val="001B606B"/>
    <w:rsid w:val="001B60A9"/>
    <w:rsid w:val="001B7657"/>
    <w:rsid w:val="001C0F06"/>
    <w:rsid w:val="001C1020"/>
    <w:rsid w:val="001C3826"/>
    <w:rsid w:val="001C39CA"/>
    <w:rsid w:val="001C4239"/>
    <w:rsid w:val="001C4C64"/>
    <w:rsid w:val="001D0105"/>
    <w:rsid w:val="001D202B"/>
    <w:rsid w:val="001D3883"/>
    <w:rsid w:val="001D65D0"/>
    <w:rsid w:val="001D7206"/>
    <w:rsid w:val="001D7A8A"/>
    <w:rsid w:val="001D7C9E"/>
    <w:rsid w:val="001E1BB8"/>
    <w:rsid w:val="001E5B80"/>
    <w:rsid w:val="001E6054"/>
    <w:rsid w:val="001E71F4"/>
    <w:rsid w:val="001E7385"/>
    <w:rsid w:val="001E7509"/>
    <w:rsid w:val="001F1BF6"/>
    <w:rsid w:val="001F4349"/>
    <w:rsid w:val="001F4F64"/>
    <w:rsid w:val="001F57D2"/>
    <w:rsid w:val="001F7CB2"/>
    <w:rsid w:val="00201F2E"/>
    <w:rsid w:val="00202D13"/>
    <w:rsid w:val="00203D5C"/>
    <w:rsid w:val="00205393"/>
    <w:rsid w:val="00205E03"/>
    <w:rsid w:val="00212372"/>
    <w:rsid w:val="00212E37"/>
    <w:rsid w:val="00213CCB"/>
    <w:rsid w:val="00215AA4"/>
    <w:rsid w:val="00215F56"/>
    <w:rsid w:val="0021772B"/>
    <w:rsid w:val="00217AA9"/>
    <w:rsid w:val="00222D4D"/>
    <w:rsid w:val="002232EE"/>
    <w:rsid w:val="00226732"/>
    <w:rsid w:val="0022690C"/>
    <w:rsid w:val="00227220"/>
    <w:rsid w:val="00227612"/>
    <w:rsid w:val="00230A21"/>
    <w:rsid w:val="002310EA"/>
    <w:rsid w:val="00233CD6"/>
    <w:rsid w:val="00234829"/>
    <w:rsid w:val="002352DC"/>
    <w:rsid w:val="00236389"/>
    <w:rsid w:val="0023695F"/>
    <w:rsid w:val="00236DCD"/>
    <w:rsid w:val="00241630"/>
    <w:rsid w:val="00241CE0"/>
    <w:rsid w:val="00242782"/>
    <w:rsid w:val="00242B9E"/>
    <w:rsid w:val="00243FF7"/>
    <w:rsid w:val="00244404"/>
    <w:rsid w:val="002448DA"/>
    <w:rsid w:val="00247542"/>
    <w:rsid w:val="0025050A"/>
    <w:rsid w:val="002530E8"/>
    <w:rsid w:val="00254C53"/>
    <w:rsid w:val="0025523B"/>
    <w:rsid w:val="002575F5"/>
    <w:rsid w:val="002627B7"/>
    <w:rsid w:val="00271B61"/>
    <w:rsid w:val="00272AF1"/>
    <w:rsid w:val="00272C5A"/>
    <w:rsid w:val="002750A2"/>
    <w:rsid w:val="00275402"/>
    <w:rsid w:val="0027660A"/>
    <w:rsid w:val="00277834"/>
    <w:rsid w:val="0028209B"/>
    <w:rsid w:val="0028494B"/>
    <w:rsid w:val="00286E74"/>
    <w:rsid w:val="002901BC"/>
    <w:rsid w:val="00291FBC"/>
    <w:rsid w:val="00294FE6"/>
    <w:rsid w:val="0029595F"/>
    <w:rsid w:val="00295D70"/>
    <w:rsid w:val="002A0891"/>
    <w:rsid w:val="002A0DB7"/>
    <w:rsid w:val="002A14D8"/>
    <w:rsid w:val="002A1B21"/>
    <w:rsid w:val="002A22E1"/>
    <w:rsid w:val="002A46D7"/>
    <w:rsid w:val="002A5B44"/>
    <w:rsid w:val="002B1CD7"/>
    <w:rsid w:val="002B2708"/>
    <w:rsid w:val="002B2E2A"/>
    <w:rsid w:val="002B39F7"/>
    <w:rsid w:val="002B3F11"/>
    <w:rsid w:val="002B5361"/>
    <w:rsid w:val="002B5B7B"/>
    <w:rsid w:val="002B7B1D"/>
    <w:rsid w:val="002B7CAD"/>
    <w:rsid w:val="002C02DF"/>
    <w:rsid w:val="002C0A52"/>
    <w:rsid w:val="002C2C97"/>
    <w:rsid w:val="002C3D71"/>
    <w:rsid w:val="002C4473"/>
    <w:rsid w:val="002C6959"/>
    <w:rsid w:val="002D1499"/>
    <w:rsid w:val="002D165C"/>
    <w:rsid w:val="002D1CD7"/>
    <w:rsid w:val="002D1D24"/>
    <w:rsid w:val="002D4126"/>
    <w:rsid w:val="002D4E9C"/>
    <w:rsid w:val="002D5047"/>
    <w:rsid w:val="002D66DB"/>
    <w:rsid w:val="002D6868"/>
    <w:rsid w:val="002D72DE"/>
    <w:rsid w:val="002E130E"/>
    <w:rsid w:val="002E1DF8"/>
    <w:rsid w:val="002E2776"/>
    <w:rsid w:val="002E4586"/>
    <w:rsid w:val="002E501A"/>
    <w:rsid w:val="002E5D10"/>
    <w:rsid w:val="002E7DEB"/>
    <w:rsid w:val="002F0009"/>
    <w:rsid w:val="002F0BC2"/>
    <w:rsid w:val="002F5552"/>
    <w:rsid w:val="002F6D22"/>
    <w:rsid w:val="002F7B5F"/>
    <w:rsid w:val="0030049B"/>
    <w:rsid w:val="00300DDE"/>
    <w:rsid w:val="003012EC"/>
    <w:rsid w:val="00301920"/>
    <w:rsid w:val="00301FC5"/>
    <w:rsid w:val="00305065"/>
    <w:rsid w:val="00305719"/>
    <w:rsid w:val="003068ED"/>
    <w:rsid w:val="00310D7B"/>
    <w:rsid w:val="00311486"/>
    <w:rsid w:val="00311B5E"/>
    <w:rsid w:val="00311E05"/>
    <w:rsid w:val="0031249E"/>
    <w:rsid w:val="0031314E"/>
    <w:rsid w:val="00313425"/>
    <w:rsid w:val="00313B0A"/>
    <w:rsid w:val="0031568E"/>
    <w:rsid w:val="00317329"/>
    <w:rsid w:val="00322CAB"/>
    <w:rsid w:val="00326BC7"/>
    <w:rsid w:val="003322F5"/>
    <w:rsid w:val="00332E25"/>
    <w:rsid w:val="00333602"/>
    <w:rsid w:val="0033429B"/>
    <w:rsid w:val="00334723"/>
    <w:rsid w:val="00334D81"/>
    <w:rsid w:val="00334E9C"/>
    <w:rsid w:val="00340367"/>
    <w:rsid w:val="00340938"/>
    <w:rsid w:val="00340A8E"/>
    <w:rsid w:val="00340DD4"/>
    <w:rsid w:val="00341E89"/>
    <w:rsid w:val="003431E2"/>
    <w:rsid w:val="00344852"/>
    <w:rsid w:val="003452EF"/>
    <w:rsid w:val="00345466"/>
    <w:rsid w:val="00345C9B"/>
    <w:rsid w:val="00346032"/>
    <w:rsid w:val="003463F4"/>
    <w:rsid w:val="00346828"/>
    <w:rsid w:val="003479E0"/>
    <w:rsid w:val="0035043E"/>
    <w:rsid w:val="00352505"/>
    <w:rsid w:val="00353472"/>
    <w:rsid w:val="003546B4"/>
    <w:rsid w:val="00360999"/>
    <w:rsid w:val="003633B7"/>
    <w:rsid w:val="00363740"/>
    <w:rsid w:val="00363D2C"/>
    <w:rsid w:val="00364114"/>
    <w:rsid w:val="00370B87"/>
    <w:rsid w:val="00371179"/>
    <w:rsid w:val="00372200"/>
    <w:rsid w:val="00372466"/>
    <w:rsid w:val="003725EB"/>
    <w:rsid w:val="00373614"/>
    <w:rsid w:val="00373B97"/>
    <w:rsid w:val="00376AE1"/>
    <w:rsid w:val="00381643"/>
    <w:rsid w:val="003847EB"/>
    <w:rsid w:val="003859AC"/>
    <w:rsid w:val="003903A2"/>
    <w:rsid w:val="00391D1A"/>
    <w:rsid w:val="003966F1"/>
    <w:rsid w:val="003A1A02"/>
    <w:rsid w:val="003A20B2"/>
    <w:rsid w:val="003A24FE"/>
    <w:rsid w:val="003A2735"/>
    <w:rsid w:val="003A34B8"/>
    <w:rsid w:val="003A3D1E"/>
    <w:rsid w:val="003A3F57"/>
    <w:rsid w:val="003A5D2E"/>
    <w:rsid w:val="003B08B3"/>
    <w:rsid w:val="003B3483"/>
    <w:rsid w:val="003B44EA"/>
    <w:rsid w:val="003B45F1"/>
    <w:rsid w:val="003B4B7D"/>
    <w:rsid w:val="003B7CB8"/>
    <w:rsid w:val="003C1E2B"/>
    <w:rsid w:val="003C221D"/>
    <w:rsid w:val="003C3B77"/>
    <w:rsid w:val="003C4978"/>
    <w:rsid w:val="003C6010"/>
    <w:rsid w:val="003C671B"/>
    <w:rsid w:val="003C7C71"/>
    <w:rsid w:val="003D0A56"/>
    <w:rsid w:val="003D1817"/>
    <w:rsid w:val="003D1D4D"/>
    <w:rsid w:val="003D21CC"/>
    <w:rsid w:val="003D4B84"/>
    <w:rsid w:val="003D582F"/>
    <w:rsid w:val="003D712B"/>
    <w:rsid w:val="003E1BC5"/>
    <w:rsid w:val="003E30BA"/>
    <w:rsid w:val="003E322D"/>
    <w:rsid w:val="003E430C"/>
    <w:rsid w:val="003E64D9"/>
    <w:rsid w:val="003F0198"/>
    <w:rsid w:val="003F061A"/>
    <w:rsid w:val="003F0DDB"/>
    <w:rsid w:val="003F0DE7"/>
    <w:rsid w:val="003F10DC"/>
    <w:rsid w:val="003F14FF"/>
    <w:rsid w:val="003F269C"/>
    <w:rsid w:val="003F2C9B"/>
    <w:rsid w:val="003F2E18"/>
    <w:rsid w:val="003F4650"/>
    <w:rsid w:val="003F6136"/>
    <w:rsid w:val="003F655B"/>
    <w:rsid w:val="003F68B8"/>
    <w:rsid w:val="0040087F"/>
    <w:rsid w:val="00403FB9"/>
    <w:rsid w:val="00404E12"/>
    <w:rsid w:val="0040777F"/>
    <w:rsid w:val="00410E89"/>
    <w:rsid w:val="00410ED2"/>
    <w:rsid w:val="004119FF"/>
    <w:rsid w:val="0041382F"/>
    <w:rsid w:val="00414CDD"/>
    <w:rsid w:val="00416319"/>
    <w:rsid w:val="0041671A"/>
    <w:rsid w:val="00417562"/>
    <w:rsid w:val="00417EE8"/>
    <w:rsid w:val="00420C16"/>
    <w:rsid w:val="00422B79"/>
    <w:rsid w:val="00423A70"/>
    <w:rsid w:val="00427065"/>
    <w:rsid w:val="00430184"/>
    <w:rsid w:val="00432320"/>
    <w:rsid w:val="00432C97"/>
    <w:rsid w:val="00441850"/>
    <w:rsid w:val="00441F86"/>
    <w:rsid w:val="00442040"/>
    <w:rsid w:val="0044365D"/>
    <w:rsid w:val="00444592"/>
    <w:rsid w:val="00444D30"/>
    <w:rsid w:val="00444FED"/>
    <w:rsid w:val="0044536E"/>
    <w:rsid w:val="0044543D"/>
    <w:rsid w:val="00451F3A"/>
    <w:rsid w:val="0045216A"/>
    <w:rsid w:val="00454F7A"/>
    <w:rsid w:val="0045671D"/>
    <w:rsid w:val="004606D0"/>
    <w:rsid w:val="00461D2C"/>
    <w:rsid w:val="0046445A"/>
    <w:rsid w:val="00464AAB"/>
    <w:rsid w:val="00465F5D"/>
    <w:rsid w:val="00467EC2"/>
    <w:rsid w:val="00471C76"/>
    <w:rsid w:val="004722F7"/>
    <w:rsid w:val="004728BD"/>
    <w:rsid w:val="00474A69"/>
    <w:rsid w:val="00476AA9"/>
    <w:rsid w:val="004774C3"/>
    <w:rsid w:val="00480FF5"/>
    <w:rsid w:val="0048114C"/>
    <w:rsid w:val="00481A5E"/>
    <w:rsid w:val="00482E5A"/>
    <w:rsid w:val="00483DF4"/>
    <w:rsid w:val="00484518"/>
    <w:rsid w:val="0048531D"/>
    <w:rsid w:val="00485DDB"/>
    <w:rsid w:val="00490D4F"/>
    <w:rsid w:val="004912D4"/>
    <w:rsid w:val="004932E0"/>
    <w:rsid w:val="004948C8"/>
    <w:rsid w:val="00495598"/>
    <w:rsid w:val="004957BB"/>
    <w:rsid w:val="00496F1C"/>
    <w:rsid w:val="004A06BF"/>
    <w:rsid w:val="004A0856"/>
    <w:rsid w:val="004A1542"/>
    <w:rsid w:val="004A1C1B"/>
    <w:rsid w:val="004A348F"/>
    <w:rsid w:val="004A3830"/>
    <w:rsid w:val="004A3A22"/>
    <w:rsid w:val="004A7667"/>
    <w:rsid w:val="004A773B"/>
    <w:rsid w:val="004A7A08"/>
    <w:rsid w:val="004B10E4"/>
    <w:rsid w:val="004B1207"/>
    <w:rsid w:val="004B19F4"/>
    <w:rsid w:val="004B52B6"/>
    <w:rsid w:val="004B538D"/>
    <w:rsid w:val="004B6525"/>
    <w:rsid w:val="004C0D18"/>
    <w:rsid w:val="004C1FB6"/>
    <w:rsid w:val="004C3FA6"/>
    <w:rsid w:val="004C50AC"/>
    <w:rsid w:val="004D0BD1"/>
    <w:rsid w:val="004D0F47"/>
    <w:rsid w:val="004D2C1D"/>
    <w:rsid w:val="004D31D7"/>
    <w:rsid w:val="004D5277"/>
    <w:rsid w:val="004D5E0F"/>
    <w:rsid w:val="004D62E5"/>
    <w:rsid w:val="004D69C2"/>
    <w:rsid w:val="004E05BA"/>
    <w:rsid w:val="004E2C09"/>
    <w:rsid w:val="004E40AB"/>
    <w:rsid w:val="004E45DC"/>
    <w:rsid w:val="004E4E07"/>
    <w:rsid w:val="004E51E8"/>
    <w:rsid w:val="004E6E2F"/>
    <w:rsid w:val="004E742E"/>
    <w:rsid w:val="004F1102"/>
    <w:rsid w:val="004F4447"/>
    <w:rsid w:val="004F46BB"/>
    <w:rsid w:val="004F485D"/>
    <w:rsid w:val="004F6589"/>
    <w:rsid w:val="004F6ACD"/>
    <w:rsid w:val="004F78AF"/>
    <w:rsid w:val="004F7EC5"/>
    <w:rsid w:val="005019F5"/>
    <w:rsid w:val="00501E37"/>
    <w:rsid w:val="00501E5A"/>
    <w:rsid w:val="00501FBC"/>
    <w:rsid w:val="005029D8"/>
    <w:rsid w:val="00504650"/>
    <w:rsid w:val="00504665"/>
    <w:rsid w:val="00504B25"/>
    <w:rsid w:val="005068D2"/>
    <w:rsid w:val="005071D1"/>
    <w:rsid w:val="00510ADB"/>
    <w:rsid w:val="00516690"/>
    <w:rsid w:val="0051711B"/>
    <w:rsid w:val="00517FC3"/>
    <w:rsid w:val="00525BE9"/>
    <w:rsid w:val="00527942"/>
    <w:rsid w:val="00530DAA"/>
    <w:rsid w:val="0053236E"/>
    <w:rsid w:val="0053332B"/>
    <w:rsid w:val="005336BA"/>
    <w:rsid w:val="00534AE3"/>
    <w:rsid w:val="005365EB"/>
    <w:rsid w:val="00536D01"/>
    <w:rsid w:val="005376FC"/>
    <w:rsid w:val="00541DC3"/>
    <w:rsid w:val="00544160"/>
    <w:rsid w:val="00544180"/>
    <w:rsid w:val="005466E6"/>
    <w:rsid w:val="00550629"/>
    <w:rsid w:val="0055087B"/>
    <w:rsid w:val="00552DD4"/>
    <w:rsid w:val="00554078"/>
    <w:rsid w:val="0055459F"/>
    <w:rsid w:val="00555139"/>
    <w:rsid w:val="00555B77"/>
    <w:rsid w:val="00556380"/>
    <w:rsid w:val="00556E21"/>
    <w:rsid w:val="005574FC"/>
    <w:rsid w:val="005605BB"/>
    <w:rsid w:val="00563054"/>
    <w:rsid w:val="0056353A"/>
    <w:rsid w:val="0056443D"/>
    <w:rsid w:val="00565CB4"/>
    <w:rsid w:val="00565CE7"/>
    <w:rsid w:val="0056715C"/>
    <w:rsid w:val="0057011A"/>
    <w:rsid w:val="00570328"/>
    <w:rsid w:val="00570759"/>
    <w:rsid w:val="00571891"/>
    <w:rsid w:val="00572BE8"/>
    <w:rsid w:val="00575E79"/>
    <w:rsid w:val="00576ED8"/>
    <w:rsid w:val="005777DF"/>
    <w:rsid w:val="005829AD"/>
    <w:rsid w:val="00582D40"/>
    <w:rsid w:val="00583EF4"/>
    <w:rsid w:val="005846F6"/>
    <w:rsid w:val="00586B1F"/>
    <w:rsid w:val="00590F86"/>
    <w:rsid w:val="00592349"/>
    <w:rsid w:val="0059342D"/>
    <w:rsid w:val="005960BD"/>
    <w:rsid w:val="00597F86"/>
    <w:rsid w:val="005A1541"/>
    <w:rsid w:val="005A1A7D"/>
    <w:rsid w:val="005A35A1"/>
    <w:rsid w:val="005A386D"/>
    <w:rsid w:val="005A3F8C"/>
    <w:rsid w:val="005A4550"/>
    <w:rsid w:val="005A49B1"/>
    <w:rsid w:val="005B1601"/>
    <w:rsid w:val="005B3194"/>
    <w:rsid w:val="005B374D"/>
    <w:rsid w:val="005B4C88"/>
    <w:rsid w:val="005B513C"/>
    <w:rsid w:val="005C1901"/>
    <w:rsid w:val="005C40C3"/>
    <w:rsid w:val="005C4452"/>
    <w:rsid w:val="005C51F8"/>
    <w:rsid w:val="005C5EFF"/>
    <w:rsid w:val="005C634D"/>
    <w:rsid w:val="005C6363"/>
    <w:rsid w:val="005C6FB2"/>
    <w:rsid w:val="005C77C8"/>
    <w:rsid w:val="005D1110"/>
    <w:rsid w:val="005D788C"/>
    <w:rsid w:val="005E0740"/>
    <w:rsid w:val="005E1C32"/>
    <w:rsid w:val="005E36EC"/>
    <w:rsid w:val="005E3B21"/>
    <w:rsid w:val="005E4C81"/>
    <w:rsid w:val="005E5372"/>
    <w:rsid w:val="005E60C0"/>
    <w:rsid w:val="005E6113"/>
    <w:rsid w:val="005E6341"/>
    <w:rsid w:val="005E73D2"/>
    <w:rsid w:val="005F1087"/>
    <w:rsid w:val="005F119C"/>
    <w:rsid w:val="005F1271"/>
    <w:rsid w:val="005F1CE4"/>
    <w:rsid w:val="005F2E90"/>
    <w:rsid w:val="005F3C80"/>
    <w:rsid w:val="005F5458"/>
    <w:rsid w:val="005F601A"/>
    <w:rsid w:val="005F6AC0"/>
    <w:rsid w:val="00601E10"/>
    <w:rsid w:val="00602A1B"/>
    <w:rsid w:val="00604DA8"/>
    <w:rsid w:val="00605D4E"/>
    <w:rsid w:val="0060622A"/>
    <w:rsid w:val="00610F2D"/>
    <w:rsid w:val="00614397"/>
    <w:rsid w:val="00615A7C"/>
    <w:rsid w:val="0061639D"/>
    <w:rsid w:val="00617559"/>
    <w:rsid w:val="00620469"/>
    <w:rsid w:val="00621440"/>
    <w:rsid w:val="006254F8"/>
    <w:rsid w:val="00630D9F"/>
    <w:rsid w:val="006320C8"/>
    <w:rsid w:val="006335FD"/>
    <w:rsid w:val="006337D4"/>
    <w:rsid w:val="00634BED"/>
    <w:rsid w:val="00635F05"/>
    <w:rsid w:val="00641F2A"/>
    <w:rsid w:val="0064381D"/>
    <w:rsid w:val="00643AA1"/>
    <w:rsid w:val="00646B97"/>
    <w:rsid w:val="00655566"/>
    <w:rsid w:val="00656C7D"/>
    <w:rsid w:val="0065706A"/>
    <w:rsid w:val="00657160"/>
    <w:rsid w:val="0066270B"/>
    <w:rsid w:val="0066271B"/>
    <w:rsid w:val="0066695C"/>
    <w:rsid w:val="00667417"/>
    <w:rsid w:val="006745FD"/>
    <w:rsid w:val="006763E4"/>
    <w:rsid w:val="00676452"/>
    <w:rsid w:val="00676AB8"/>
    <w:rsid w:val="006776DC"/>
    <w:rsid w:val="00684EE0"/>
    <w:rsid w:val="006850B2"/>
    <w:rsid w:val="006859FE"/>
    <w:rsid w:val="00686566"/>
    <w:rsid w:val="006916C7"/>
    <w:rsid w:val="00691AC4"/>
    <w:rsid w:val="0069286A"/>
    <w:rsid w:val="006A1B8C"/>
    <w:rsid w:val="006A2B6B"/>
    <w:rsid w:val="006A78AE"/>
    <w:rsid w:val="006A7C3A"/>
    <w:rsid w:val="006B1776"/>
    <w:rsid w:val="006B2406"/>
    <w:rsid w:val="006B3C21"/>
    <w:rsid w:val="006B7225"/>
    <w:rsid w:val="006B7BE9"/>
    <w:rsid w:val="006B7CC1"/>
    <w:rsid w:val="006C0192"/>
    <w:rsid w:val="006C26B4"/>
    <w:rsid w:val="006C359B"/>
    <w:rsid w:val="006D4CA4"/>
    <w:rsid w:val="006D58D6"/>
    <w:rsid w:val="006D5CC2"/>
    <w:rsid w:val="006D62F8"/>
    <w:rsid w:val="006D6631"/>
    <w:rsid w:val="006D6987"/>
    <w:rsid w:val="006D6AE6"/>
    <w:rsid w:val="006D6BA6"/>
    <w:rsid w:val="006D73A6"/>
    <w:rsid w:val="006E1739"/>
    <w:rsid w:val="006E18BB"/>
    <w:rsid w:val="006E27C6"/>
    <w:rsid w:val="006E2F2D"/>
    <w:rsid w:val="006E40E0"/>
    <w:rsid w:val="006E4FE4"/>
    <w:rsid w:val="006E5AE5"/>
    <w:rsid w:val="006E6CBD"/>
    <w:rsid w:val="006E6EE0"/>
    <w:rsid w:val="006E7010"/>
    <w:rsid w:val="006F0263"/>
    <w:rsid w:val="006F4D4E"/>
    <w:rsid w:val="006F5851"/>
    <w:rsid w:val="00700E12"/>
    <w:rsid w:val="00702797"/>
    <w:rsid w:val="0070473B"/>
    <w:rsid w:val="007055F8"/>
    <w:rsid w:val="00706347"/>
    <w:rsid w:val="00707081"/>
    <w:rsid w:val="00707E36"/>
    <w:rsid w:val="007106C6"/>
    <w:rsid w:val="0071165A"/>
    <w:rsid w:val="00712FD3"/>
    <w:rsid w:val="00714647"/>
    <w:rsid w:val="007158B4"/>
    <w:rsid w:val="007168C3"/>
    <w:rsid w:val="0071769B"/>
    <w:rsid w:val="00717741"/>
    <w:rsid w:val="00717763"/>
    <w:rsid w:val="00721098"/>
    <w:rsid w:val="007246AE"/>
    <w:rsid w:val="007246CC"/>
    <w:rsid w:val="00725FEE"/>
    <w:rsid w:val="00726C0B"/>
    <w:rsid w:val="00726CB1"/>
    <w:rsid w:val="007302B2"/>
    <w:rsid w:val="00731D90"/>
    <w:rsid w:val="00731EDF"/>
    <w:rsid w:val="00734133"/>
    <w:rsid w:val="007349D5"/>
    <w:rsid w:val="00734E7F"/>
    <w:rsid w:val="00735717"/>
    <w:rsid w:val="007361E8"/>
    <w:rsid w:val="00736547"/>
    <w:rsid w:val="007367B1"/>
    <w:rsid w:val="007406C3"/>
    <w:rsid w:val="0074394D"/>
    <w:rsid w:val="00745B8C"/>
    <w:rsid w:val="00745C46"/>
    <w:rsid w:val="0075160F"/>
    <w:rsid w:val="00752418"/>
    <w:rsid w:val="00756191"/>
    <w:rsid w:val="00756323"/>
    <w:rsid w:val="0075718A"/>
    <w:rsid w:val="00760738"/>
    <w:rsid w:val="007620BD"/>
    <w:rsid w:val="0076227A"/>
    <w:rsid w:val="00763C12"/>
    <w:rsid w:val="00763C2D"/>
    <w:rsid w:val="0076449A"/>
    <w:rsid w:val="007649CE"/>
    <w:rsid w:val="00765A82"/>
    <w:rsid w:val="007679FC"/>
    <w:rsid w:val="00772CF3"/>
    <w:rsid w:val="00773385"/>
    <w:rsid w:val="007754E8"/>
    <w:rsid w:val="0077583E"/>
    <w:rsid w:val="007775F2"/>
    <w:rsid w:val="00780236"/>
    <w:rsid w:val="00780802"/>
    <w:rsid w:val="00780813"/>
    <w:rsid w:val="00780E57"/>
    <w:rsid w:val="00781018"/>
    <w:rsid w:val="00781EC3"/>
    <w:rsid w:val="007822A9"/>
    <w:rsid w:val="00782BDB"/>
    <w:rsid w:val="00785D5B"/>
    <w:rsid w:val="00787276"/>
    <w:rsid w:val="0079207F"/>
    <w:rsid w:val="007928CB"/>
    <w:rsid w:val="007962C8"/>
    <w:rsid w:val="007A0424"/>
    <w:rsid w:val="007A242D"/>
    <w:rsid w:val="007A3513"/>
    <w:rsid w:val="007A4164"/>
    <w:rsid w:val="007A4A87"/>
    <w:rsid w:val="007A721E"/>
    <w:rsid w:val="007B0389"/>
    <w:rsid w:val="007B0C87"/>
    <w:rsid w:val="007B1073"/>
    <w:rsid w:val="007B1997"/>
    <w:rsid w:val="007B2FA0"/>
    <w:rsid w:val="007B6466"/>
    <w:rsid w:val="007C0A6A"/>
    <w:rsid w:val="007C14A3"/>
    <w:rsid w:val="007C205F"/>
    <w:rsid w:val="007C3780"/>
    <w:rsid w:val="007C384F"/>
    <w:rsid w:val="007D072A"/>
    <w:rsid w:val="007D1410"/>
    <w:rsid w:val="007D35B2"/>
    <w:rsid w:val="007D3CC5"/>
    <w:rsid w:val="007D554F"/>
    <w:rsid w:val="007D628F"/>
    <w:rsid w:val="007D7CF2"/>
    <w:rsid w:val="007E3507"/>
    <w:rsid w:val="007E5B0C"/>
    <w:rsid w:val="007E6635"/>
    <w:rsid w:val="007F0F61"/>
    <w:rsid w:val="007F1F34"/>
    <w:rsid w:val="007F216D"/>
    <w:rsid w:val="007F6EAC"/>
    <w:rsid w:val="008027BB"/>
    <w:rsid w:val="00803075"/>
    <w:rsid w:val="0080396B"/>
    <w:rsid w:val="00804BED"/>
    <w:rsid w:val="008051EC"/>
    <w:rsid w:val="008125A3"/>
    <w:rsid w:val="00812D20"/>
    <w:rsid w:val="008133F5"/>
    <w:rsid w:val="00813B7D"/>
    <w:rsid w:val="0081487C"/>
    <w:rsid w:val="0081508D"/>
    <w:rsid w:val="008159C2"/>
    <w:rsid w:val="00817D23"/>
    <w:rsid w:val="008214DA"/>
    <w:rsid w:val="008219B8"/>
    <w:rsid w:val="0082514A"/>
    <w:rsid w:val="00825415"/>
    <w:rsid w:val="00825AA1"/>
    <w:rsid w:val="0082745F"/>
    <w:rsid w:val="00827C4D"/>
    <w:rsid w:val="00831D11"/>
    <w:rsid w:val="00832814"/>
    <w:rsid w:val="008342A9"/>
    <w:rsid w:val="00835A67"/>
    <w:rsid w:val="008426D8"/>
    <w:rsid w:val="008463F2"/>
    <w:rsid w:val="00850B37"/>
    <w:rsid w:val="00850C0E"/>
    <w:rsid w:val="00850D3B"/>
    <w:rsid w:val="008560CB"/>
    <w:rsid w:val="00856622"/>
    <w:rsid w:val="00856B50"/>
    <w:rsid w:val="00857AC7"/>
    <w:rsid w:val="00861FB0"/>
    <w:rsid w:val="008621F9"/>
    <w:rsid w:val="00863D75"/>
    <w:rsid w:val="00866816"/>
    <w:rsid w:val="00867C6D"/>
    <w:rsid w:val="008727C7"/>
    <w:rsid w:val="00872BC5"/>
    <w:rsid w:val="008733A6"/>
    <w:rsid w:val="00873434"/>
    <w:rsid w:val="00876D82"/>
    <w:rsid w:val="00880017"/>
    <w:rsid w:val="0088044D"/>
    <w:rsid w:val="00880B48"/>
    <w:rsid w:val="00881243"/>
    <w:rsid w:val="00881ECC"/>
    <w:rsid w:val="00882AFB"/>
    <w:rsid w:val="00882DA1"/>
    <w:rsid w:val="00883A36"/>
    <w:rsid w:val="00884003"/>
    <w:rsid w:val="00884634"/>
    <w:rsid w:val="00885FE2"/>
    <w:rsid w:val="0088697E"/>
    <w:rsid w:val="0088709E"/>
    <w:rsid w:val="00887365"/>
    <w:rsid w:val="00890066"/>
    <w:rsid w:val="00890B99"/>
    <w:rsid w:val="00890CE6"/>
    <w:rsid w:val="00890D23"/>
    <w:rsid w:val="00891AAB"/>
    <w:rsid w:val="00891AD0"/>
    <w:rsid w:val="00893693"/>
    <w:rsid w:val="00893F66"/>
    <w:rsid w:val="00894644"/>
    <w:rsid w:val="00895E50"/>
    <w:rsid w:val="00896272"/>
    <w:rsid w:val="008A01D8"/>
    <w:rsid w:val="008A05CA"/>
    <w:rsid w:val="008A1671"/>
    <w:rsid w:val="008A1EA9"/>
    <w:rsid w:val="008A2AB0"/>
    <w:rsid w:val="008A3580"/>
    <w:rsid w:val="008A3EB6"/>
    <w:rsid w:val="008A4852"/>
    <w:rsid w:val="008A58DD"/>
    <w:rsid w:val="008A6D40"/>
    <w:rsid w:val="008B0B23"/>
    <w:rsid w:val="008B3224"/>
    <w:rsid w:val="008B424C"/>
    <w:rsid w:val="008B5109"/>
    <w:rsid w:val="008B6887"/>
    <w:rsid w:val="008C29C9"/>
    <w:rsid w:val="008C4AD7"/>
    <w:rsid w:val="008C5D5B"/>
    <w:rsid w:val="008D13F7"/>
    <w:rsid w:val="008D2070"/>
    <w:rsid w:val="008D48DE"/>
    <w:rsid w:val="008D5F99"/>
    <w:rsid w:val="008D61F1"/>
    <w:rsid w:val="008D6346"/>
    <w:rsid w:val="008D647B"/>
    <w:rsid w:val="008D6891"/>
    <w:rsid w:val="008D747C"/>
    <w:rsid w:val="008E01E5"/>
    <w:rsid w:val="008E2A60"/>
    <w:rsid w:val="008E3367"/>
    <w:rsid w:val="008E46A5"/>
    <w:rsid w:val="008E51DF"/>
    <w:rsid w:val="008E61FD"/>
    <w:rsid w:val="008E776B"/>
    <w:rsid w:val="008E7ADB"/>
    <w:rsid w:val="008F0E7E"/>
    <w:rsid w:val="008F213F"/>
    <w:rsid w:val="008F5F96"/>
    <w:rsid w:val="008F6882"/>
    <w:rsid w:val="008F6DAF"/>
    <w:rsid w:val="008F7EAF"/>
    <w:rsid w:val="0090062F"/>
    <w:rsid w:val="009036BA"/>
    <w:rsid w:val="009056F4"/>
    <w:rsid w:val="00906E64"/>
    <w:rsid w:val="00911CBF"/>
    <w:rsid w:val="00912E23"/>
    <w:rsid w:val="0091341C"/>
    <w:rsid w:val="00914FED"/>
    <w:rsid w:val="009168E9"/>
    <w:rsid w:val="00917997"/>
    <w:rsid w:val="0092046B"/>
    <w:rsid w:val="00920F33"/>
    <w:rsid w:val="0092435D"/>
    <w:rsid w:val="00924BAA"/>
    <w:rsid w:val="0092502C"/>
    <w:rsid w:val="009269DE"/>
    <w:rsid w:val="00930203"/>
    <w:rsid w:val="00931F54"/>
    <w:rsid w:val="00932077"/>
    <w:rsid w:val="00932622"/>
    <w:rsid w:val="009367E1"/>
    <w:rsid w:val="00936D8D"/>
    <w:rsid w:val="00936E5E"/>
    <w:rsid w:val="00941674"/>
    <w:rsid w:val="00942166"/>
    <w:rsid w:val="00943192"/>
    <w:rsid w:val="0094474E"/>
    <w:rsid w:val="00945E91"/>
    <w:rsid w:val="009462B2"/>
    <w:rsid w:val="00950633"/>
    <w:rsid w:val="00952266"/>
    <w:rsid w:val="00952365"/>
    <w:rsid w:val="0095296F"/>
    <w:rsid w:val="00952D76"/>
    <w:rsid w:val="009541A6"/>
    <w:rsid w:val="009544F8"/>
    <w:rsid w:val="00957C39"/>
    <w:rsid w:val="00960F6B"/>
    <w:rsid w:val="0096160B"/>
    <w:rsid w:val="00961FA1"/>
    <w:rsid w:val="00962F86"/>
    <w:rsid w:val="00965494"/>
    <w:rsid w:val="00967A87"/>
    <w:rsid w:val="009700C2"/>
    <w:rsid w:val="0097020E"/>
    <w:rsid w:val="00976E6C"/>
    <w:rsid w:val="00980DB1"/>
    <w:rsid w:val="00980E6E"/>
    <w:rsid w:val="00981DA6"/>
    <w:rsid w:val="009823EB"/>
    <w:rsid w:val="00983498"/>
    <w:rsid w:val="00985908"/>
    <w:rsid w:val="00985C38"/>
    <w:rsid w:val="00985E73"/>
    <w:rsid w:val="00990E3B"/>
    <w:rsid w:val="009911C8"/>
    <w:rsid w:val="00993C2B"/>
    <w:rsid w:val="00994CF3"/>
    <w:rsid w:val="0099718C"/>
    <w:rsid w:val="00997281"/>
    <w:rsid w:val="009A0016"/>
    <w:rsid w:val="009A0AB2"/>
    <w:rsid w:val="009A0BE7"/>
    <w:rsid w:val="009A12FE"/>
    <w:rsid w:val="009A15E7"/>
    <w:rsid w:val="009A4575"/>
    <w:rsid w:val="009A517C"/>
    <w:rsid w:val="009A56E5"/>
    <w:rsid w:val="009A56EA"/>
    <w:rsid w:val="009A5872"/>
    <w:rsid w:val="009A78B8"/>
    <w:rsid w:val="009B13DB"/>
    <w:rsid w:val="009B40F9"/>
    <w:rsid w:val="009B75EA"/>
    <w:rsid w:val="009B7813"/>
    <w:rsid w:val="009C0D9D"/>
    <w:rsid w:val="009C0DD3"/>
    <w:rsid w:val="009C1101"/>
    <w:rsid w:val="009C2154"/>
    <w:rsid w:val="009C228A"/>
    <w:rsid w:val="009C2A53"/>
    <w:rsid w:val="009C3163"/>
    <w:rsid w:val="009C3574"/>
    <w:rsid w:val="009C6B2B"/>
    <w:rsid w:val="009C6E02"/>
    <w:rsid w:val="009D18FE"/>
    <w:rsid w:val="009D1B0E"/>
    <w:rsid w:val="009D270D"/>
    <w:rsid w:val="009D3376"/>
    <w:rsid w:val="009D3F31"/>
    <w:rsid w:val="009D4256"/>
    <w:rsid w:val="009D5535"/>
    <w:rsid w:val="009D5BE4"/>
    <w:rsid w:val="009D6F1A"/>
    <w:rsid w:val="009D787D"/>
    <w:rsid w:val="009D7D8C"/>
    <w:rsid w:val="009E03FE"/>
    <w:rsid w:val="009E30ED"/>
    <w:rsid w:val="009E417A"/>
    <w:rsid w:val="009E55E0"/>
    <w:rsid w:val="009E5ECE"/>
    <w:rsid w:val="009F0920"/>
    <w:rsid w:val="009F1620"/>
    <w:rsid w:val="009F24AF"/>
    <w:rsid w:val="009F31AD"/>
    <w:rsid w:val="009F470C"/>
    <w:rsid w:val="009F4BBB"/>
    <w:rsid w:val="009F4DDC"/>
    <w:rsid w:val="009F50CB"/>
    <w:rsid w:val="009F6177"/>
    <w:rsid w:val="009F780E"/>
    <w:rsid w:val="00A02718"/>
    <w:rsid w:val="00A03045"/>
    <w:rsid w:val="00A04C9F"/>
    <w:rsid w:val="00A06B88"/>
    <w:rsid w:val="00A1201A"/>
    <w:rsid w:val="00A154E6"/>
    <w:rsid w:val="00A15B1C"/>
    <w:rsid w:val="00A15DA4"/>
    <w:rsid w:val="00A1612C"/>
    <w:rsid w:val="00A211C8"/>
    <w:rsid w:val="00A227F4"/>
    <w:rsid w:val="00A2296B"/>
    <w:rsid w:val="00A22EB9"/>
    <w:rsid w:val="00A24239"/>
    <w:rsid w:val="00A2425A"/>
    <w:rsid w:val="00A26B4F"/>
    <w:rsid w:val="00A2755E"/>
    <w:rsid w:val="00A27997"/>
    <w:rsid w:val="00A27E33"/>
    <w:rsid w:val="00A3092F"/>
    <w:rsid w:val="00A31BF9"/>
    <w:rsid w:val="00A334EB"/>
    <w:rsid w:val="00A33732"/>
    <w:rsid w:val="00A3479D"/>
    <w:rsid w:val="00A358F2"/>
    <w:rsid w:val="00A36A8E"/>
    <w:rsid w:val="00A37F7F"/>
    <w:rsid w:val="00A414FF"/>
    <w:rsid w:val="00A41D82"/>
    <w:rsid w:val="00A4259D"/>
    <w:rsid w:val="00A42912"/>
    <w:rsid w:val="00A43866"/>
    <w:rsid w:val="00A450EB"/>
    <w:rsid w:val="00A46051"/>
    <w:rsid w:val="00A466FF"/>
    <w:rsid w:val="00A473BB"/>
    <w:rsid w:val="00A47B36"/>
    <w:rsid w:val="00A504B9"/>
    <w:rsid w:val="00A51866"/>
    <w:rsid w:val="00A52192"/>
    <w:rsid w:val="00A5274B"/>
    <w:rsid w:val="00A52F24"/>
    <w:rsid w:val="00A53E89"/>
    <w:rsid w:val="00A54075"/>
    <w:rsid w:val="00A54411"/>
    <w:rsid w:val="00A576A3"/>
    <w:rsid w:val="00A63004"/>
    <w:rsid w:val="00A637E7"/>
    <w:rsid w:val="00A65160"/>
    <w:rsid w:val="00A66122"/>
    <w:rsid w:val="00A7244F"/>
    <w:rsid w:val="00A724B9"/>
    <w:rsid w:val="00A72BC4"/>
    <w:rsid w:val="00A72DA2"/>
    <w:rsid w:val="00A72F0C"/>
    <w:rsid w:val="00A73CC3"/>
    <w:rsid w:val="00A74359"/>
    <w:rsid w:val="00A747D2"/>
    <w:rsid w:val="00A749CA"/>
    <w:rsid w:val="00A74FCA"/>
    <w:rsid w:val="00A76544"/>
    <w:rsid w:val="00A767E5"/>
    <w:rsid w:val="00A778A0"/>
    <w:rsid w:val="00A80456"/>
    <w:rsid w:val="00A80711"/>
    <w:rsid w:val="00A82C5E"/>
    <w:rsid w:val="00A82D26"/>
    <w:rsid w:val="00A83C77"/>
    <w:rsid w:val="00A843D1"/>
    <w:rsid w:val="00A84F3D"/>
    <w:rsid w:val="00A8589E"/>
    <w:rsid w:val="00A8628A"/>
    <w:rsid w:val="00A876ED"/>
    <w:rsid w:val="00A91434"/>
    <w:rsid w:val="00A92CC0"/>
    <w:rsid w:val="00A92DC5"/>
    <w:rsid w:val="00A93AC2"/>
    <w:rsid w:val="00A951F8"/>
    <w:rsid w:val="00A95768"/>
    <w:rsid w:val="00A961B5"/>
    <w:rsid w:val="00A9748F"/>
    <w:rsid w:val="00A97906"/>
    <w:rsid w:val="00A97D4F"/>
    <w:rsid w:val="00A97E5C"/>
    <w:rsid w:val="00AA0A64"/>
    <w:rsid w:val="00AA290A"/>
    <w:rsid w:val="00AA4F98"/>
    <w:rsid w:val="00AA6C1E"/>
    <w:rsid w:val="00AA6FD0"/>
    <w:rsid w:val="00AA7ACF"/>
    <w:rsid w:val="00AB028C"/>
    <w:rsid w:val="00AB1AFC"/>
    <w:rsid w:val="00AB28FD"/>
    <w:rsid w:val="00AB308C"/>
    <w:rsid w:val="00AB577B"/>
    <w:rsid w:val="00AB7832"/>
    <w:rsid w:val="00AC003E"/>
    <w:rsid w:val="00AC235B"/>
    <w:rsid w:val="00AC288E"/>
    <w:rsid w:val="00AC5015"/>
    <w:rsid w:val="00AC5144"/>
    <w:rsid w:val="00AD13BE"/>
    <w:rsid w:val="00AD311A"/>
    <w:rsid w:val="00AD3488"/>
    <w:rsid w:val="00AD4B9E"/>
    <w:rsid w:val="00AD4BE6"/>
    <w:rsid w:val="00AD642C"/>
    <w:rsid w:val="00AD6DCE"/>
    <w:rsid w:val="00AD7876"/>
    <w:rsid w:val="00AD7ABE"/>
    <w:rsid w:val="00AE0484"/>
    <w:rsid w:val="00AE052B"/>
    <w:rsid w:val="00AE06C7"/>
    <w:rsid w:val="00AE444D"/>
    <w:rsid w:val="00AF124A"/>
    <w:rsid w:val="00AF31BB"/>
    <w:rsid w:val="00AF3D47"/>
    <w:rsid w:val="00AF5A60"/>
    <w:rsid w:val="00B01794"/>
    <w:rsid w:val="00B06912"/>
    <w:rsid w:val="00B07A6E"/>
    <w:rsid w:val="00B107CD"/>
    <w:rsid w:val="00B13709"/>
    <w:rsid w:val="00B1494E"/>
    <w:rsid w:val="00B16519"/>
    <w:rsid w:val="00B16573"/>
    <w:rsid w:val="00B16672"/>
    <w:rsid w:val="00B16C61"/>
    <w:rsid w:val="00B16EE8"/>
    <w:rsid w:val="00B17A39"/>
    <w:rsid w:val="00B20E5E"/>
    <w:rsid w:val="00B2179B"/>
    <w:rsid w:val="00B21D24"/>
    <w:rsid w:val="00B220E0"/>
    <w:rsid w:val="00B227DA"/>
    <w:rsid w:val="00B26412"/>
    <w:rsid w:val="00B26B67"/>
    <w:rsid w:val="00B3231A"/>
    <w:rsid w:val="00B329DE"/>
    <w:rsid w:val="00B340C6"/>
    <w:rsid w:val="00B43F2A"/>
    <w:rsid w:val="00B4562C"/>
    <w:rsid w:val="00B4581A"/>
    <w:rsid w:val="00B47B5D"/>
    <w:rsid w:val="00B47CC4"/>
    <w:rsid w:val="00B521C3"/>
    <w:rsid w:val="00B526BD"/>
    <w:rsid w:val="00B52ED7"/>
    <w:rsid w:val="00B547CF"/>
    <w:rsid w:val="00B560F3"/>
    <w:rsid w:val="00B57AB8"/>
    <w:rsid w:val="00B60559"/>
    <w:rsid w:val="00B60634"/>
    <w:rsid w:val="00B610C7"/>
    <w:rsid w:val="00B61583"/>
    <w:rsid w:val="00B616BA"/>
    <w:rsid w:val="00B616C2"/>
    <w:rsid w:val="00B6487B"/>
    <w:rsid w:val="00B67B6F"/>
    <w:rsid w:val="00B70266"/>
    <w:rsid w:val="00B70ABB"/>
    <w:rsid w:val="00B72901"/>
    <w:rsid w:val="00B74D09"/>
    <w:rsid w:val="00B77408"/>
    <w:rsid w:val="00B778AE"/>
    <w:rsid w:val="00B815BA"/>
    <w:rsid w:val="00B826B2"/>
    <w:rsid w:val="00B83FF1"/>
    <w:rsid w:val="00B8634B"/>
    <w:rsid w:val="00B866D1"/>
    <w:rsid w:val="00B9177E"/>
    <w:rsid w:val="00B91B45"/>
    <w:rsid w:val="00B91E9B"/>
    <w:rsid w:val="00B94992"/>
    <w:rsid w:val="00B95D85"/>
    <w:rsid w:val="00B96928"/>
    <w:rsid w:val="00BA075C"/>
    <w:rsid w:val="00BA087D"/>
    <w:rsid w:val="00BA1154"/>
    <w:rsid w:val="00BA1C23"/>
    <w:rsid w:val="00BA20D4"/>
    <w:rsid w:val="00BA2583"/>
    <w:rsid w:val="00BA27AA"/>
    <w:rsid w:val="00BA2997"/>
    <w:rsid w:val="00BA3E52"/>
    <w:rsid w:val="00BA43AF"/>
    <w:rsid w:val="00BA441C"/>
    <w:rsid w:val="00BA5909"/>
    <w:rsid w:val="00BA5F67"/>
    <w:rsid w:val="00BA7041"/>
    <w:rsid w:val="00BA7960"/>
    <w:rsid w:val="00BB0D3D"/>
    <w:rsid w:val="00BB1DD8"/>
    <w:rsid w:val="00BB210F"/>
    <w:rsid w:val="00BB23FD"/>
    <w:rsid w:val="00BB3209"/>
    <w:rsid w:val="00BC1592"/>
    <w:rsid w:val="00BC388A"/>
    <w:rsid w:val="00BC773A"/>
    <w:rsid w:val="00BC7B1D"/>
    <w:rsid w:val="00BC7C34"/>
    <w:rsid w:val="00BD05A8"/>
    <w:rsid w:val="00BD1F5D"/>
    <w:rsid w:val="00BD2379"/>
    <w:rsid w:val="00BD29C8"/>
    <w:rsid w:val="00BD31FB"/>
    <w:rsid w:val="00BD4E02"/>
    <w:rsid w:val="00BE0963"/>
    <w:rsid w:val="00BE0C01"/>
    <w:rsid w:val="00BE0FA7"/>
    <w:rsid w:val="00BE1F29"/>
    <w:rsid w:val="00BE216E"/>
    <w:rsid w:val="00BE34CB"/>
    <w:rsid w:val="00BE3FAB"/>
    <w:rsid w:val="00BE54BB"/>
    <w:rsid w:val="00BE66F6"/>
    <w:rsid w:val="00BE6C34"/>
    <w:rsid w:val="00BE6C89"/>
    <w:rsid w:val="00BE7751"/>
    <w:rsid w:val="00BF00BB"/>
    <w:rsid w:val="00BF2327"/>
    <w:rsid w:val="00BF2D85"/>
    <w:rsid w:val="00BF5CCE"/>
    <w:rsid w:val="00BF62FE"/>
    <w:rsid w:val="00BF783A"/>
    <w:rsid w:val="00BF7A59"/>
    <w:rsid w:val="00C01F95"/>
    <w:rsid w:val="00C01FE7"/>
    <w:rsid w:val="00C02B75"/>
    <w:rsid w:val="00C02F97"/>
    <w:rsid w:val="00C039AF"/>
    <w:rsid w:val="00C04059"/>
    <w:rsid w:val="00C06973"/>
    <w:rsid w:val="00C07AC2"/>
    <w:rsid w:val="00C12439"/>
    <w:rsid w:val="00C128FF"/>
    <w:rsid w:val="00C13849"/>
    <w:rsid w:val="00C13ADE"/>
    <w:rsid w:val="00C14C57"/>
    <w:rsid w:val="00C15130"/>
    <w:rsid w:val="00C15536"/>
    <w:rsid w:val="00C169E9"/>
    <w:rsid w:val="00C210B5"/>
    <w:rsid w:val="00C2204D"/>
    <w:rsid w:val="00C22F62"/>
    <w:rsid w:val="00C22F95"/>
    <w:rsid w:val="00C23CF7"/>
    <w:rsid w:val="00C251D9"/>
    <w:rsid w:val="00C26176"/>
    <w:rsid w:val="00C2797C"/>
    <w:rsid w:val="00C30867"/>
    <w:rsid w:val="00C31863"/>
    <w:rsid w:val="00C37C2D"/>
    <w:rsid w:val="00C45842"/>
    <w:rsid w:val="00C45C29"/>
    <w:rsid w:val="00C52FF3"/>
    <w:rsid w:val="00C5407C"/>
    <w:rsid w:val="00C540B9"/>
    <w:rsid w:val="00C548A6"/>
    <w:rsid w:val="00C5574E"/>
    <w:rsid w:val="00C563C6"/>
    <w:rsid w:val="00C61746"/>
    <w:rsid w:val="00C62D62"/>
    <w:rsid w:val="00C64363"/>
    <w:rsid w:val="00C6448C"/>
    <w:rsid w:val="00C64D1A"/>
    <w:rsid w:val="00C64ED5"/>
    <w:rsid w:val="00C658F7"/>
    <w:rsid w:val="00C66502"/>
    <w:rsid w:val="00C66AE4"/>
    <w:rsid w:val="00C71092"/>
    <w:rsid w:val="00C71360"/>
    <w:rsid w:val="00C72A93"/>
    <w:rsid w:val="00C73455"/>
    <w:rsid w:val="00C7426F"/>
    <w:rsid w:val="00C7477B"/>
    <w:rsid w:val="00C75B2F"/>
    <w:rsid w:val="00C765CC"/>
    <w:rsid w:val="00C76EBF"/>
    <w:rsid w:val="00C809E7"/>
    <w:rsid w:val="00C80D59"/>
    <w:rsid w:val="00C82285"/>
    <w:rsid w:val="00C845D1"/>
    <w:rsid w:val="00C849F7"/>
    <w:rsid w:val="00C872C0"/>
    <w:rsid w:val="00C96591"/>
    <w:rsid w:val="00CA0962"/>
    <w:rsid w:val="00CA1336"/>
    <w:rsid w:val="00CA22E1"/>
    <w:rsid w:val="00CA2BF5"/>
    <w:rsid w:val="00CA3A82"/>
    <w:rsid w:val="00CA577F"/>
    <w:rsid w:val="00CA60DD"/>
    <w:rsid w:val="00CA72F3"/>
    <w:rsid w:val="00CA73B3"/>
    <w:rsid w:val="00CA79BA"/>
    <w:rsid w:val="00CB2238"/>
    <w:rsid w:val="00CB25AD"/>
    <w:rsid w:val="00CB2845"/>
    <w:rsid w:val="00CB672D"/>
    <w:rsid w:val="00CC0538"/>
    <w:rsid w:val="00CC1852"/>
    <w:rsid w:val="00CC29B4"/>
    <w:rsid w:val="00CC49AD"/>
    <w:rsid w:val="00CC6477"/>
    <w:rsid w:val="00CC6C69"/>
    <w:rsid w:val="00CC7B9B"/>
    <w:rsid w:val="00CD0435"/>
    <w:rsid w:val="00CD1577"/>
    <w:rsid w:val="00CD3513"/>
    <w:rsid w:val="00CD3936"/>
    <w:rsid w:val="00CD5792"/>
    <w:rsid w:val="00CD59DA"/>
    <w:rsid w:val="00CD5C80"/>
    <w:rsid w:val="00CD5CBD"/>
    <w:rsid w:val="00CD6D24"/>
    <w:rsid w:val="00CE0EF2"/>
    <w:rsid w:val="00CE3B28"/>
    <w:rsid w:val="00CE436F"/>
    <w:rsid w:val="00CE4C25"/>
    <w:rsid w:val="00CE60ED"/>
    <w:rsid w:val="00CE7F71"/>
    <w:rsid w:val="00CF011B"/>
    <w:rsid w:val="00CF03C2"/>
    <w:rsid w:val="00CF0E34"/>
    <w:rsid w:val="00CF1110"/>
    <w:rsid w:val="00CF29DE"/>
    <w:rsid w:val="00CF427B"/>
    <w:rsid w:val="00CF6911"/>
    <w:rsid w:val="00D01487"/>
    <w:rsid w:val="00D03152"/>
    <w:rsid w:val="00D03BB4"/>
    <w:rsid w:val="00D05924"/>
    <w:rsid w:val="00D0601B"/>
    <w:rsid w:val="00D07209"/>
    <w:rsid w:val="00D1106D"/>
    <w:rsid w:val="00D11668"/>
    <w:rsid w:val="00D11887"/>
    <w:rsid w:val="00D13DD0"/>
    <w:rsid w:val="00D14123"/>
    <w:rsid w:val="00D1477A"/>
    <w:rsid w:val="00D157B3"/>
    <w:rsid w:val="00D15893"/>
    <w:rsid w:val="00D161F3"/>
    <w:rsid w:val="00D1723A"/>
    <w:rsid w:val="00D17C27"/>
    <w:rsid w:val="00D24E55"/>
    <w:rsid w:val="00D24FC7"/>
    <w:rsid w:val="00D25450"/>
    <w:rsid w:val="00D25C7B"/>
    <w:rsid w:val="00D26365"/>
    <w:rsid w:val="00D309AE"/>
    <w:rsid w:val="00D31356"/>
    <w:rsid w:val="00D35609"/>
    <w:rsid w:val="00D35668"/>
    <w:rsid w:val="00D35E75"/>
    <w:rsid w:val="00D41169"/>
    <w:rsid w:val="00D41DC9"/>
    <w:rsid w:val="00D41E2C"/>
    <w:rsid w:val="00D4249C"/>
    <w:rsid w:val="00D42909"/>
    <w:rsid w:val="00D4390A"/>
    <w:rsid w:val="00D43AED"/>
    <w:rsid w:val="00D44E7D"/>
    <w:rsid w:val="00D44FF3"/>
    <w:rsid w:val="00D45B14"/>
    <w:rsid w:val="00D500AB"/>
    <w:rsid w:val="00D52CEC"/>
    <w:rsid w:val="00D543B7"/>
    <w:rsid w:val="00D54801"/>
    <w:rsid w:val="00D54B84"/>
    <w:rsid w:val="00D54C7C"/>
    <w:rsid w:val="00D55144"/>
    <w:rsid w:val="00D56142"/>
    <w:rsid w:val="00D56D83"/>
    <w:rsid w:val="00D6018F"/>
    <w:rsid w:val="00D617EE"/>
    <w:rsid w:val="00D61D7A"/>
    <w:rsid w:val="00D638F9"/>
    <w:rsid w:val="00D64AD1"/>
    <w:rsid w:val="00D66CF9"/>
    <w:rsid w:val="00D66E0F"/>
    <w:rsid w:val="00D703B8"/>
    <w:rsid w:val="00D704F2"/>
    <w:rsid w:val="00D71E6C"/>
    <w:rsid w:val="00D729D4"/>
    <w:rsid w:val="00D73F44"/>
    <w:rsid w:val="00D817C6"/>
    <w:rsid w:val="00D84FFF"/>
    <w:rsid w:val="00D873D3"/>
    <w:rsid w:val="00D87AF4"/>
    <w:rsid w:val="00D91A87"/>
    <w:rsid w:val="00D91B28"/>
    <w:rsid w:val="00D91D19"/>
    <w:rsid w:val="00D92616"/>
    <w:rsid w:val="00D92CD4"/>
    <w:rsid w:val="00D934E3"/>
    <w:rsid w:val="00D938C0"/>
    <w:rsid w:val="00D93C72"/>
    <w:rsid w:val="00D94BF5"/>
    <w:rsid w:val="00D960E0"/>
    <w:rsid w:val="00D974EE"/>
    <w:rsid w:val="00DA3A36"/>
    <w:rsid w:val="00DA406B"/>
    <w:rsid w:val="00DA4835"/>
    <w:rsid w:val="00DA65B8"/>
    <w:rsid w:val="00DB0AD1"/>
    <w:rsid w:val="00DB21EC"/>
    <w:rsid w:val="00DB247C"/>
    <w:rsid w:val="00DB337C"/>
    <w:rsid w:val="00DB3DEB"/>
    <w:rsid w:val="00DB440A"/>
    <w:rsid w:val="00DB4E6D"/>
    <w:rsid w:val="00DB5C50"/>
    <w:rsid w:val="00DB62A6"/>
    <w:rsid w:val="00DB6881"/>
    <w:rsid w:val="00DC0908"/>
    <w:rsid w:val="00DC0CB2"/>
    <w:rsid w:val="00DC3CBC"/>
    <w:rsid w:val="00DC3CC2"/>
    <w:rsid w:val="00DC55EA"/>
    <w:rsid w:val="00DC6297"/>
    <w:rsid w:val="00DD1C3C"/>
    <w:rsid w:val="00DD4D56"/>
    <w:rsid w:val="00DD5976"/>
    <w:rsid w:val="00DD6033"/>
    <w:rsid w:val="00DD7BCE"/>
    <w:rsid w:val="00DE59B9"/>
    <w:rsid w:val="00DE6192"/>
    <w:rsid w:val="00DE6437"/>
    <w:rsid w:val="00DE6C26"/>
    <w:rsid w:val="00DE71AF"/>
    <w:rsid w:val="00DF0195"/>
    <w:rsid w:val="00DF115A"/>
    <w:rsid w:val="00DF1B27"/>
    <w:rsid w:val="00DF2B09"/>
    <w:rsid w:val="00DF45C8"/>
    <w:rsid w:val="00DF4711"/>
    <w:rsid w:val="00DF4E18"/>
    <w:rsid w:val="00DF7100"/>
    <w:rsid w:val="00E00243"/>
    <w:rsid w:val="00E052B0"/>
    <w:rsid w:val="00E103FB"/>
    <w:rsid w:val="00E12A28"/>
    <w:rsid w:val="00E13141"/>
    <w:rsid w:val="00E1328F"/>
    <w:rsid w:val="00E13537"/>
    <w:rsid w:val="00E14282"/>
    <w:rsid w:val="00E16424"/>
    <w:rsid w:val="00E16A79"/>
    <w:rsid w:val="00E175A6"/>
    <w:rsid w:val="00E2099D"/>
    <w:rsid w:val="00E21FF7"/>
    <w:rsid w:val="00E22C97"/>
    <w:rsid w:val="00E236CD"/>
    <w:rsid w:val="00E23B92"/>
    <w:rsid w:val="00E23F07"/>
    <w:rsid w:val="00E25EE5"/>
    <w:rsid w:val="00E26507"/>
    <w:rsid w:val="00E30A33"/>
    <w:rsid w:val="00E314FF"/>
    <w:rsid w:val="00E32B49"/>
    <w:rsid w:val="00E32F7E"/>
    <w:rsid w:val="00E332A1"/>
    <w:rsid w:val="00E33687"/>
    <w:rsid w:val="00E33D51"/>
    <w:rsid w:val="00E34472"/>
    <w:rsid w:val="00E3483E"/>
    <w:rsid w:val="00E36A31"/>
    <w:rsid w:val="00E4167E"/>
    <w:rsid w:val="00E43023"/>
    <w:rsid w:val="00E43EF6"/>
    <w:rsid w:val="00E444F6"/>
    <w:rsid w:val="00E448CD"/>
    <w:rsid w:val="00E44B79"/>
    <w:rsid w:val="00E458E8"/>
    <w:rsid w:val="00E51AA9"/>
    <w:rsid w:val="00E51C3E"/>
    <w:rsid w:val="00E5260C"/>
    <w:rsid w:val="00E542B3"/>
    <w:rsid w:val="00E54E2A"/>
    <w:rsid w:val="00E55257"/>
    <w:rsid w:val="00E60710"/>
    <w:rsid w:val="00E6074E"/>
    <w:rsid w:val="00E616D9"/>
    <w:rsid w:val="00E631D3"/>
    <w:rsid w:val="00E63D56"/>
    <w:rsid w:val="00E704BF"/>
    <w:rsid w:val="00E71019"/>
    <w:rsid w:val="00E72ACC"/>
    <w:rsid w:val="00E755F7"/>
    <w:rsid w:val="00E767D5"/>
    <w:rsid w:val="00E77CB0"/>
    <w:rsid w:val="00E80419"/>
    <w:rsid w:val="00E81E0F"/>
    <w:rsid w:val="00E8273E"/>
    <w:rsid w:val="00E83325"/>
    <w:rsid w:val="00E8437E"/>
    <w:rsid w:val="00E8455A"/>
    <w:rsid w:val="00E86CDC"/>
    <w:rsid w:val="00E8778E"/>
    <w:rsid w:val="00E908A4"/>
    <w:rsid w:val="00E920F2"/>
    <w:rsid w:val="00E928D3"/>
    <w:rsid w:val="00E92F43"/>
    <w:rsid w:val="00E9466B"/>
    <w:rsid w:val="00E958CC"/>
    <w:rsid w:val="00E96EEB"/>
    <w:rsid w:val="00E96FF2"/>
    <w:rsid w:val="00E9774E"/>
    <w:rsid w:val="00EA05A6"/>
    <w:rsid w:val="00EA0F53"/>
    <w:rsid w:val="00EA2E6D"/>
    <w:rsid w:val="00EA5C9C"/>
    <w:rsid w:val="00EA6903"/>
    <w:rsid w:val="00EA7674"/>
    <w:rsid w:val="00EA7E30"/>
    <w:rsid w:val="00EB2410"/>
    <w:rsid w:val="00EB285B"/>
    <w:rsid w:val="00EB4B13"/>
    <w:rsid w:val="00EB4FAE"/>
    <w:rsid w:val="00EB521F"/>
    <w:rsid w:val="00EB5A86"/>
    <w:rsid w:val="00EB68BE"/>
    <w:rsid w:val="00EB693B"/>
    <w:rsid w:val="00EC02F0"/>
    <w:rsid w:val="00EC200B"/>
    <w:rsid w:val="00EC20D0"/>
    <w:rsid w:val="00EC3D1A"/>
    <w:rsid w:val="00EC4222"/>
    <w:rsid w:val="00EC4D77"/>
    <w:rsid w:val="00EC6E55"/>
    <w:rsid w:val="00EC73D5"/>
    <w:rsid w:val="00ED0006"/>
    <w:rsid w:val="00ED26AE"/>
    <w:rsid w:val="00ED2EAB"/>
    <w:rsid w:val="00ED3441"/>
    <w:rsid w:val="00ED3857"/>
    <w:rsid w:val="00ED7608"/>
    <w:rsid w:val="00EE27BA"/>
    <w:rsid w:val="00EE7129"/>
    <w:rsid w:val="00EF37FA"/>
    <w:rsid w:val="00EF3EAC"/>
    <w:rsid w:val="00EF44E3"/>
    <w:rsid w:val="00EF6D68"/>
    <w:rsid w:val="00F01092"/>
    <w:rsid w:val="00F01B21"/>
    <w:rsid w:val="00F02149"/>
    <w:rsid w:val="00F0260F"/>
    <w:rsid w:val="00F02795"/>
    <w:rsid w:val="00F02BFF"/>
    <w:rsid w:val="00F0476C"/>
    <w:rsid w:val="00F060EA"/>
    <w:rsid w:val="00F063CC"/>
    <w:rsid w:val="00F06476"/>
    <w:rsid w:val="00F1052D"/>
    <w:rsid w:val="00F109B8"/>
    <w:rsid w:val="00F1748D"/>
    <w:rsid w:val="00F205EC"/>
    <w:rsid w:val="00F21445"/>
    <w:rsid w:val="00F2187A"/>
    <w:rsid w:val="00F22F34"/>
    <w:rsid w:val="00F308AF"/>
    <w:rsid w:val="00F30E52"/>
    <w:rsid w:val="00F3135B"/>
    <w:rsid w:val="00F318B6"/>
    <w:rsid w:val="00F31D5F"/>
    <w:rsid w:val="00F33FA9"/>
    <w:rsid w:val="00F34DA5"/>
    <w:rsid w:val="00F366D3"/>
    <w:rsid w:val="00F37034"/>
    <w:rsid w:val="00F400AD"/>
    <w:rsid w:val="00F41646"/>
    <w:rsid w:val="00F4198C"/>
    <w:rsid w:val="00F422E9"/>
    <w:rsid w:val="00F432D1"/>
    <w:rsid w:val="00F4426B"/>
    <w:rsid w:val="00F468FA"/>
    <w:rsid w:val="00F47157"/>
    <w:rsid w:val="00F47A23"/>
    <w:rsid w:val="00F47C43"/>
    <w:rsid w:val="00F50604"/>
    <w:rsid w:val="00F50FE1"/>
    <w:rsid w:val="00F52C2D"/>
    <w:rsid w:val="00F532E9"/>
    <w:rsid w:val="00F5361E"/>
    <w:rsid w:val="00F57495"/>
    <w:rsid w:val="00F57540"/>
    <w:rsid w:val="00F6236C"/>
    <w:rsid w:val="00F6384E"/>
    <w:rsid w:val="00F6446E"/>
    <w:rsid w:val="00F6649D"/>
    <w:rsid w:val="00F677D0"/>
    <w:rsid w:val="00F67B03"/>
    <w:rsid w:val="00F70384"/>
    <w:rsid w:val="00F7062A"/>
    <w:rsid w:val="00F71751"/>
    <w:rsid w:val="00F72159"/>
    <w:rsid w:val="00F722EC"/>
    <w:rsid w:val="00F76C21"/>
    <w:rsid w:val="00F772DA"/>
    <w:rsid w:val="00F80A22"/>
    <w:rsid w:val="00F8124A"/>
    <w:rsid w:val="00F815B4"/>
    <w:rsid w:val="00F82141"/>
    <w:rsid w:val="00F821B4"/>
    <w:rsid w:val="00F83E7D"/>
    <w:rsid w:val="00F8463F"/>
    <w:rsid w:val="00F87F8F"/>
    <w:rsid w:val="00F91666"/>
    <w:rsid w:val="00F9250F"/>
    <w:rsid w:val="00F94346"/>
    <w:rsid w:val="00F94DBF"/>
    <w:rsid w:val="00F97FBB"/>
    <w:rsid w:val="00FA076C"/>
    <w:rsid w:val="00FA0FEA"/>
    <w:rsid w:val="00FA2B29"/>
    <w:rsid w:val="00FA39F8"/>
    <w:rsid w:val="00FA3E35"/>
    <w:rsid w:val="00FA4350"/>
    <w:rsid w:val="00FA4BCD"/>
    <w:rsid w:val="00FA59C2"/>
    <w:rsid w:val="00FA72E4"/>
    <w:rsid w:val="00FA7EA6"/>
    <w:rsid w:val="00FB082C"/>
    <w:rsid w:val="00FB3EBA"/>
    <w:rsid w:val="00FB734E"/>
    <w:rsid w:val="00FC059D"/>
    <w:rsid w:val="00FC10EC"/>
    <w:rsid w:val="00FC16A0"/>
    <w:rsid w:val="00FC17F6"/>
    <w:rsid w:val="00FC327E"/>
    <w:rsid w:val="00FC36C2"/>
    <w:rsid w:val="00FC4C62"/>
    <w:rsid w:val="00FC4C6E"/>
    <w:rsid w:val="00FC633F"/>
    <w:rsid w:val="00FC6EA8"/>
    <w:rsid w:val="00FD1389"/>
    <w:rsid w:val="00FD1DC8"/>
    <w:rsid w:val="00FD4E7F"/>
    <w:rsid w:val="00FD6B43"/>
    <w:rsid w:val="00FD7603"/>
    <w:rsid w:val="00FE121F"/>
    <w:rsid w:val="00FE275A"/>
    <w:rsid w:val="00FE3143"/>
    <w:rsid w:val="00FE3771"/>
    <w:rsid w:val="00FE3CBD"/>
    <w:rsid w:val="00FE5DE6"/>
    <w:rsid w:val="00FF055A"/>
    <w:rsid w:val="00FF2566"/>
    <w:rsid w:val="00FF4C76"/>
    <w:rsid w:val="00FF5ED2"/>
    <w:rsid w:val="00FF6232"/>
    <w:rsid w:val="00FF79A9"/>
    <w:rsid w:val="00FF7C81"/>
    <w:rsid w:val="00FF7E2A"/>
    <w:rsid w:val="01037EC3"/>
    <w:rsid w:val="01042CD0"/>
    <w:rsid w:val="010E4C5D"/>
    <w:rsid w:val="011419D2"/>
    <w:rsid w:val="01151973"/>
    <w:rsid w:val="011C44BE"/>
    <w:rsid w:val="011E457E"/>
    <w:rsid w:val="01260B21"/>
    <w:rsid w:val="012F4A53"/>
    <w:rsid w:val="01382669"/>
    <w:rsid w:val="01395018"/>
    <w:rsid w:val="015C10C4"/>
    <w:rsid w:val="016565E0"/>
    <w:rsid w:val="016E5000"/>
    <w:rsid w:val="01751E00"/>
    <w:rsid w:val="017F323C"/>
    <w:rsid w:val="018C0157"/>
    <w:rsid w:val="019B2A6C"/>
    <w:rsid w:val="019D2150"/>
    <w:rsid w:val="01A47995"/>
    <w:rsid w:val="01B15BC3"/>
    <w:rsid w:val="01B71FC4"/>
    <w:rsid w:val="01B74094"/>
    <w:rsid w:val="01B87FD5"/>
    <w:rsid w:val="01BB5FC7"/>
    <w:rsid w:val="01BE0AD1"/>
    <w:rsid w:val="01D06A8D"/>
    <w:rsid w:val="01E45C77"/>
    <w:rsid w:val="01E96738"/>
    <w:rsid w:val="01FA0832"/>
    <w:rsid w:val="020822B3"/>
    <w:rsid w:val="020A4CC7"/>
    <w:rsid w:val="020D2BFE"/>
    <w:rsid w:val="022B0C6B"/>
    <w:rsid w:val="022E2D68"/>
    <w:rsid w:val="023826D0"/>
    <w:rsid w:val="023952A1"/>
    <w:rsid w:val="023B4E7B"/>
    <w:rsid w:val="02496A91"/>
    <w:rsid w:val="02516FD7"/>
    <w:rsid w:val="02590923"/>
    <w:rsid w:val="025C2995"/>
    <w:rsid w:val="0261662C"/>
    <w:rsid w:val="026223A4"/>
    <w:rsid w:val="028644D3"/>
    <w:rsid w:val="02873A6B"/>
    <w:rsid w:val="028C01C2"/>
    <w:rsid w:val="0295277A"/>
    <w:rsid w:val="029770EC"/>
    <w:rsid w:val="029815D7"/>
    <w:rsid w:val="02992350"/>
    <w:rsid w:val="029D6A57"/>
    <w:rsid w:val="029F53A6"/>
    <w:rsid w:val="02A05E8C"/>
    <w:rsid w:val="02AD119A"/>
    <w:rsid w:val="02AE7397"/>
    <w:rsid w:val="02AF7331"/>
    <w:rsid w:val="02B16289"/>
    <w:rsid w:val="02B83DDE"/>
    <w:rsid w:val="02C056C9"/>
    <w:rsid w:val="02C10E79"/>
    <w:rsid w:val="02C3663D"/>
    <w:rsid w:val="02C5676D"/>
    <w:rsid w:val="02CD1F13"/>
    <w:rsid w:val="02CF7A3A"/>
    <w:rsid w:val="02D0202C"/>
    <w:rsid w:val="02E80366"/>
    <w:rsid w:val="02F45ACA"/>
    <w:rsid w:val="02F57CEF"/>
    <w:rsid w:val="02F80FC0"/>
    <w:rsid w:val="03047670"/>
    <w:rsid w:val="03076553"/>
    <w:rsid w:val="030F30B8"/>
    <w:rsid w:val="0314203E"/>
    <w:rsid w:val="0314369E"/>
    <w:rsid w:val="03161B57"/>
    <w:rsid w:val="03241BE1"/>
    <w:rsid w:val="03453A3C"/>
    <w:rsid w:val="035110AD"/>
    <w:rsid w:val="035156E0"/>
    <w:rsid w:val="03531A1D"/>
    <w:rsid w:val="0356003D"/>
    <w:rsid w:val="03611F69"/>
    <w:rsid w:val="03622654"/>
    <w:rsid w:val="036672C9"/>
    <w:rsid w:val="0373789E"/>
    <w:rsid w:val="03792968"/>
    <w:rsid w:val="037B0BBB"/>
    <w:rsid w:val="037E09DE"/>
    <w:rsid w:val="037F50CD"/>
    <w:rsid w:val="03862A77"/>
    <w:rsid w:val="038E4997"/>
    <w:rsid w:val="039173E9"/>
    <w:rsid w:val="03947DA7"/>
    <w:rsid w:val="03982047"/>
    <w:rsid w:val="03A002AD"/>
    <w:rsid w:val="03AB7869"/>
    <w:rsid w:val="03B07A7E"/>
    <w:rsid w:val="03C573B9"/>
    <w:rsid w:val="03CF502B"/>
    <w:rsid w:val="03D755D9"/>
    <w:rsid w:val="03D903A1"/>
    <w:rsid w:val="03ED3C63"/>
    <w:rsid w:val="03F6494A"/>
    <w:rsid w:val="03F7414F"/>
    <w:rsid w:val="04073BE6"/>
    <w:rsid w:val="040F0873"/>
    <w:rsid w:val="040F13A0"/>
    <w:rsid w:val="041D3186"/>
    <w:rsid w:val="04207E21"/>
    <w:rsid w:val="042B15DB"/>
    <w:rsid w:val="04305A92"/>
    <w:rsid w:val="04391A7E"/>
    <w:rsid w:val="044161D0"/>
    <w:rsid w:val="0446138B"/>
    <w:rsid w:val="0448410B"/>
    <w:rsid w:val="044A30F0"/>
    <w:rsid w:val="04573296"/>
    <w:rsid w:val="045A6FA9"/>
    <w:rsid w:val="045E5922"/>
    <w:rsid w:val="04604A2B"/>
    <w:rsid w:val="04615477"/>
    <w:rsid w:val="046B192D"/>
    <w:rsid w:val="046C750A"/>
    <w:rsid w:val="046E5C18"/>
    <w:rsid w:val="048416E6"/>
    <w:rsid w:val="04877251"/>
    <w:rsid w:val="04885D36"/>
    <w:rsid w:val="048D3353"/>
    <w:rsid w:val="04912063"/>
    <w:rsid w:val="049A5EA4"/>
    <w:rsid w:val="04A2438B"/>
    <w:rsid w:val="04A838C7"/>
    <w:rsid w:val="04A84E8C"/>
    <w:rsid w:val="04AB74EA"/>
    <w:rsid w:val="04C512E6"/>
    <w:rsid w:val="04CE5ACF"/>
    <w:rsid w:val="04D12363"/>
    <w:rsid w:val="04DA7993"/>
    <w:rsid w:val="04DF1670"/>
    <w:rsid w:val="04DF6742"/>
    <w:rsid w:val="04F30D22"/>
    <w:rsid w:val="05031C1C"/>
    <w:rsid w:val="05043200"/>
    <w:rsid w:val="050F04DE"/>
    <w:rsid w:val="05163267"/>
    <w:rsid w:val="051660EF"/>
    <w:rsid w:val="052A3C08"/>
    <w:rsid w:val="052D3A02"/>
    <w:rsid w:val="052F6CFA"/>
    <w:rsid w:val="054543D7"/>
    <w:rsid w:val="055521BA"/>
    <w:rsid w:val="05585942"/>
    <w:rsid w:val="05655A24"/>
    <w:rsid w:val="0566578A"/>
    <w:rsid w:val="056D3997"/>
    <w:rsid w:val="056D6047"/>
    <w:rsid w:val="056D7096"/>
    <w:rsid w:val="0576170F"/>
    <w:rsid w:val="057D7977"/>
    <w:rsid w:val="057E34A0"/>
    <w:rsid w:val="057F7BE5"/>
    <w:rsid w:val="05840E9C"/>
    <w:rsid w:val="05897945"/>
    <w:rsid w:val="058C092D"/>
    <w:rsid w:val="058D14E6"/>
    <w:rsid w:val="0591547A"/>
    <w:rsid w:val="05A65AB5"/>
    <w:rsid w:val="05B9190B"/>
    <w:rsid w:val="05BF6EA2"/>
    <w:rsid w:val="05C13570"/>
    <w:rsid w:val="05D435B9"/>
    <w:rsid w:val="05DD2118"/>
    <w:rsid w:val="05DE53F2"/>
    <w:rsid w:val="05DE66BE"/>
    <w:rsid w:val="05DF5CAA"/>
    <w:rsid w:val="05E5438A"/>
    <w:rsid w:val="05E671F7"/>
    <w:rsid w:val="05EB2603"/>
    <w:rsid w:val="05EE4670"/>
    <w:rsid w:val="05F17846"/>
    <w:rsid w:val="060825C5"/>
    <w:rsid w:val="060A4716"/>
    <w:rsid w:val="061378DD"/>
    <w:rsid w:val="06143FB0"/>
    <w:rsid w:val="06206D4E"/>
    <w:rsid w:val="062525EC"/>
    <w:rsid w:val="06417596"/>
    <w:rsid w:val="06442FDB"/>
    <w:rsid w:val="064779D4"/>
    <w:rsid w:val="06547860"/>
    <w:rsid w:val="06586EC3"/>
    <w:rsid w:val="06686D84"/>
    <w:rsid w:val="06736728"/>
    <w:rsid w:val="067E3D0F"/>
    <w:rsid w:val="068B0680"/>
    <w:rsid w:val="068C7894"/>
    <w:rsid w:val="069D79CB"/>
    <w:rsid w:val="06A1647A"/>
    <w:rsid w:val="06A3711F"/>
    <w:rsid w:val="06A708EE"/>
    <w:rsid w:val="06AB11B7"/>
    <w:rsid w:val="06BE0C16"/>
    <w:rsid w:val="06C13B3D"/>
    <w:rsid w:val="06C626E4"/>
    <w:rsid w:val="06CD0B44"/>
    <w:rsid w:val="06E00552"/>
    <w:rsid w:val="06EA2F20"/>
    <w:rsid w:val="06EE5A2D"/>
    <w:rsid w:val="06F35A5D"/>
    <w:rsid w:val="070F5D71"/>
    <w:rsid w:val="070F7487"/>
    <w:rsid w:val="071B72C1"/>
    <w:rsid w:val="0727299A"/>
    <w:rsid w:val="07281E6C"/>
    <w:rsid w:val="07290CBE"/>
    <w:rsid w:val="072D607D"/>
    <w:rsid w:val="072D6DC5"/>
    <w:rsid w:val="0738154D"/>
    <w:rsid w:val="073E518E"/>
    <w:rsid w:val="07484FAE"/>
    <w:rsid w:val="0749650E"/>
    <w:rsid w:val="07590C16"/>
    <w:rsid w:val="07665311"/>
    <w:rsid w:val="0768729A"/>
    <w:rsid w:val="076A196A"/>
    <w:rsid w:val="07791E4B"/>
    <w:rsid w:val="078D59D2"/>
    <w:rsid w:val="078F6395"/>
    <w:rsid w:val="07947E81"/>
    <w:rsid w:val="079C7E1A"/>
    <w:rsid w:val="07A45B0C"/>
    <w:rsid w:val="07A61645"/>
    <w:rsid w:val="07A87CE1"/>
    <w:rsid w:val="07AF7E3A"/>
    <w:rsid w:val="07C63AEF"/>
    <w:rsid w:val="07E03D3B"/>
    <w:rsid w:val="07E32246"/>
    <w:rsid w:val="07EE0DAA"/>
    <w:rsid w:val="07F13920"/>
    <w:rsid w:val="07F56E32"/>
    <w:rsid w:val="07F57A40"/>
    <w:rsid w:val="07FB4E2D"/>
    <w:rsid w:val="07FC1C4A"/>
    <w:rsid w:val="07FE1B6A"/>
    <w:rsid w:val="08024366"/>
    <w:rsid w:val="08073184"/>
    <w:rsid w:val="0808754A"/>
    <w:rsid w:val="08104BFB"/>
    <w:rsid w:val="08142866"/>
    <w:rsid w:val="08216A16"/>
    <w:rsid w:val="08234384"/>
    <w:rsid w:val="082D0D5E"/>
    <w:rsid w:val="082D6900"/>
    <w:rsid w:val="08422707"/>
    <w:rsid w:val="085E35AA"/>
    <w:rsid w:val="08650FA7"/>
    <w:rsid w:val="08872ABC"/>
    <w:rsid w:val="088A1E83"/>
    <w:rsid w:val="08902126"/>
    <w:rsid w:val="089F6321"/>
    <w:rsid w:val="08A74FB5"/>
    <w:rsid w:val="08B35BF9"/>
    <w:rsid w:val="08B650C6"/>
    <w:rsid w:val="08B74224"/>
    <w:rsid w:val="08C15984"/>
    <w:rsid w:val="08C573BE"/>
    <w:rsid w:val="08D61E95"/>
    <w:rsid w:val="08DD3FF1"/>
    <w:rsid w:val="08F04E07"/>
    <w:rsid w:val="08F44A05"/>
    <w:rsid w:val="090048B1"/>
    <w:rsid w:val="09023ED9"/>
    <w:rsid w:val="09025B9F"/>
    <w:rsid w:val="09033A27"/>
    <w:rsid w:val="09110D6F"/>
    <w:rsid w:val="09173ACE"/>
    <w:rsid w:val="09292436"/>
    <w:rsid w:val="092B365C"/>
    <w:rsid w:val="092D0DFF"/>
    <w:rsid w:val="09375566"/>
    <w:rsid w:val="093C56FD"/>
    <w:rsid w:val="09457ED1"/>
    <w:rsid w:val="09491428"/>
    <w:rsid w:val="09493C77"/>
    <w:rsid w:val="094C1CA7"/>
    <w:rsid w:val="095004ED"/>
    <w:rsid w:val="095253C7"/>
    <w:rsid w:val="09585C27"/>
    <w:rsid w:val="09623040"/>
    <w:rsid w:val="096315C9"/>
    <w:rsid w:val="096878A0"/>
    <w:rsid w:val="09690A9E"/>
    <w:rsid w:val="096F7758"/>
    <w:rsid w:val="097221BB"/>
    <w:rsid w:val="097C284C"/>
    <w:rsid w:val="097E4761"/>
    <w:rsid w:val="09851D04"/>
    <w:rsid w:val="098F26D8"/>
    <w:rsid w:val="09984B82"/>
    <w:rsid w:val="099B04E0"/>
    <w:rsid w:val="09A908B8"/>
    <w:rsid w:val="09AB168B"/>
    <w:rsid w:val="09B14639"/>
    <w:rsid w:val="09C062F3"/>
    <w:rsid w:val="09CD631A"/>
    <w:rsid w:val="09D04097"/>
    <w:rsid w:val="09D4382D"/>
    <w:rsid w:val="09D84F28"/>
    <w:rsid w:val="09D85EAB"/>
    <w:rsid w:val="09E10025"/>
    <w:rsid w:val="09E14EF2"/>
    <w:rsid w:val="09E36979"/>
    <w:rsid w:val="09E50DE3"/>
    <w:rsid w:val="09E54C2D"/>
    <w:rsid w:val="09F342F1"/>
    <w:rsid w:val="09F95D68"/>
    <w:rsid w:val="09FD6095"/>
    <w:rsid w:val="09FF5685"/>
    <w:rsid w:val="0A027367"/>
    <w:rsid w:val="0A034284"/>
    <w:rsid w:val="0A037803"/>
    <w:rsid w:val="0A0524E6"/>
    <w:rsid w:val="0A0D2C60"/>
    <w:rsid w:val="0A0E14C0"/>
    <w:rsid w:val="0A167B6F"/>
    <w:rsid w:val="0A191C02"/>
    <w:rsid w:val="0A1C36D3"/>
    <w:rsid w:val="0A1C6ACA"/>
    <w:rsid w:val="0A477B56"/>
    <w:rsid w:val="0A4964A0"/>
    <w:rsid w:val="0A496ADC"/>
    <w:rsid w:val="0A53248C"/>
    <w:rsid w:val="0A551699"/>
    <w:rsid w:val="0A627F2E"/>
    <w:rsid w:val="0A64307E"/>
    <w:rsid w:val="0A656D79"/>
    <w:rsid w:val="0A6B6859"/>
    <w:rsid w:val="0A6C0264"/>
    <w:rsid w:val="0A772E76"/>
    <w:rsid w:val="0A8009D7"/>
    <w:rsid w:val="0A92134C"/>
    <w:rsid w:val="0A9D1518"/>
    <w:rsid w:val="0AAA0A53"/>
    <w:rsid w:val="0AB43808"/>
    <w:rsid w:val="0AB865F0"/>
    <w:rsid w:val="0ABD679D"/>
    <w:rsid w:val="0AC10D82"/>
    <w:rsid w:val="0ACD62B4"/>
    <w:rsid w:val="0AED5EC7"/>
    <w:rsid w:val="0AF755D1"/>
    <w:rsid w:val="0AFC15E8"/>
    <w:rsid w:val="0AFF18A8"/>
    <w:rsid w:val="0B0A12A5"/>
    <w:rsid w:val="0B0B35D9"/>
    <w:rsid w:val="0B143B8D"/>
    <w:rsid w:val="0B2726DD"/>
    <w:rsid w:val="0B2B4846"/>
    <w:rsid w:val="0B3D6AFD"/>
    <w:rsid w:val="0B431D19"/>
    <w:rsid w:val="0B596729"/>
    <w:rsid w:val="0B5E078C"/>
    <w:rsid w:val="0B622721"/>
    <w:rsid w:val="0B665C63"/>
    <w:rsid w:val="0B682CAB"/>
    <w:rsid w:val="0B6A7787"/>
    <w:rsid w:val="0B756EE5"/>
    <w:rsid w:val="0B7710B9"/>
    <w:rsid w:val="0B7A3B1D"/>
    <w:rsid w:val="0B847BF9"/>
    <w:rsid w:val="0B8E64DB"/>
    <w:rsid w:val="0B911342"/>
    <w:rsid w:val="0B915CDA"/>
    <w:rsid w:val="0B972584"/>
    <w:rsid w:val="0B984D8F"/>
    <w:rsid w:val="0B9E10CF"/>
    <w:rsid w:val="0BA63187"/>
    <w:rsid w:val="0BAB4DBC"/>
    <w:rsid w:val="0BBD03CC"/>
    <w:rsid w:val="0BBE4877"/>
    <w:rsid w:val="0BC155DA"/>
    <w:rsid w:val="0BCE61BD"/>
    <w:rsid w:val="0BCF2526"/>
    <w:rsid w:val="0BD2521C"/>
    <w:rsid w:val="0BD972DE"/>
    <w:rsid w:val="0BE80927"/>
    <w:rsid w:val="0BEA7DE9"/>
    <w:rsid w:val="0BFE314C"/>
    <w:rsid w:val="0C086845"/>
    <w:rsid w:val="0C100CB6"/>
    <w:rsid w:val="0C152355"/>
    <w:rsid w:val="0C1A2A3A"/>
    <w:rsid w:val="0C1F1AAD"/>
    <w:rsid w:val="0C2331AA"/>
    <w:rsid w:val="0C234ECC"/>
    <w:rsid w:val="0C281B36"/>
    <w:rsid w:val="0C2C0DB3"/>
    <w:rsid w:val="0C2C6A84"/>
    <w:rsid w:val="0C2D5BC2"/>
    <w:rsid w:val="0C2F1549"/>
    <w:rsid w:val="0C335E58"/>
    <w:rsid w:val="0C3E35F3"/>
    <w:rsid w:val="0C431604"/>
    <w:rsid w:val="0C501BE0"/>
    <w:rsid w:val="0C577D4B"/>
    <w:rsid w:val="0C5E2E99"/>
    <w:rsid w:val="0C633773"/>
    <w:rsid w:val="0C7559B9"/>
    <w:rsid w:val="0C7B653C"/>
    <w:rsid w:val="0C7C2DA5"/>
    <w:rsid w:val="0C7D7AFC"/>
    <w:rsid w:val="0C832D94"/>
    <w:rsid w:val="0C87217C"/>
    <w:rsid w:val="0C874EE1"/>
    <w:rsid w:val="0C8951D8"/>
    <w:rsid w:val="0C917685"/>
    <w:rsid w:val="0C9763CC"/>
    <w:rsid w:val="0C9C64B3"/>
    <w:rsid w:val="0C9E0179"/>
    <w:rsid w:val="0C9F66CF"/>
    <w:rsid w:val="0CA5761F"/>
    <w:rsid w:val="0CA74961"/>
    <w:rsid w:val="0CAA1AA7"/>
    <w:rsid w:val="0CAC2533"/>
    <w:rsid w:val="0CAF268A"/>
    <w:rsid w:val="0CBE5C9D"/>
    <w:rsid w:val="0CC6379A"/>
    <w:rsid w:val="0CD01F39"/>
    <w:rsid w:val="0CD114D5"/>
    <w:rsid w:val="0CE06513"/>
    <w:rsid w:val="0CFE0DC7"/>
    <w:rsid w:val="0CFE28C0"/>
    <w:rsid w:val="0D003A74"/>
    <w:rsid w:val="0D0A7152"/>
    <w:rsid w:val="0D0C36E9"/>
    <w:rsid w:val="0D0F1397"/>
    <w:rsid w:val="0D1523BB"/>
    <w:rsid w:val="0D1859DF"/>
    <w:rsid w:val="0D231B0D"/>
    <w:rsid w:val="0D3E2322"/>
    <w:rsid w:val="0D4106F3"/>
    <w:rsid w:val="0D4F3563"/>
    <w:rsid w:val="0D570673"/>
    <w:rsid w:val="0D5B6CDF"/>
    <w:rsid w:val="0D6214AA"/>
    <w:rsid w:val="0D646464"/>
    <w:rsid w:val="0D6F1ACD"/>
    <w:rsid w:val="0D7E2891"/>
    <w:rsid w:val="0D8256A8"/>
    <w:rsid w:val="0D895F1D"/>
    <w:rsid w:val="0D9F2503"/>
    <w:rsid w:val="0DA21B8F"/>
    <w:rsid w:val="0DA373F7"/>
    <w:rsid w:val="0DA52F58"/>
    <w:rsid w:val="0DAC3FEE"/>
    <w:rsid w:val="0DB42479"/>
    <w:rsid w:val="0DB77A48"/>
    <w:rsid w:val="0DB9692C"/>
    <w:rsid w:val="0DC418BD"/>
    <w:rsid w:val="0DC42D9E"/>
    <w:rsid w:val="0DC70D2E"/>
    <w:rsid w:val="0DEB3535"/>
    <w:rsid w:val="0DF15F10"/>
    <w:rsid w:val="0DF349B7"/>
    <w:rsid w:val="0DF913EB"/>
    <w:rsid w:val="0DFE5C64"/>
    <w:rsid w:val="0E013110"/>
    <w:rsid w:val="0E024983"/>
    <w:rsid w:val="0E062452"/>
    <w:rsid w:val="0E06374D"/>
    <w:rsid w:val="0E0662D9"/>
    <w:rsid w:val="0E0D6658"/>
    <w:rsid w:val="0E0F6090"/>
    <w:rsid w:val="0E152630"/>
    <w:rsid w:val="0E1B514C"/>
    <w:rsid w:val="0E345571"/>
    <w:rsid w:val="0E3502B9"/>
    <w:rsid w:val="0E357AF6"/>
    <w:rsid w:val="0E4232A3"/>
    <w:rsid w:val="0E590AFF"/>
    <w:rsid w:val="0E5F5BBD"/>
    <w:rsid w:val="0E733C9C"/>
    <w:rsid w:val="0E76426C"/>
    <w:rsid w:val="0E785E28"/>
    <w:rsid w:val="0E7B2F67"/>
    <w:rsid w:val="0E7F2E79"/>
    <w:rsid w:val="0E823566"/>
    <w:rsid w:val="0E826642"/>
    <w:rsid w:val="0E835B7C"/>
    <w:rsid w:val="0E876E15"/>
    <w:rsid w:val="0E8C2C83"/>
    <w:rsid w:val="0E9440C3"/>
    <w:rsid w:val="0E982BF1"/>
    <w:rsid w:val="0E985263"/>
    <w:rsid w:val="0E9A3374"/>
    <w:rsid w:val="0E9B0C68"/>
    <w:rsid w:val="0EA51655"/>
    <w:rsid w:val="0EA5702D"/>
    <w:rsid w:val="0EA81EED"/>
    <w:rsid w:val="0EB651CA"/>
    <w:rsid w:val="0EB7275D"/>
    <w:rsid w:val="0ECC1ACA"/>
    <w:rsid w:val="0ECE1A18"/>
    <w:rsid w:val="0ED024B0"/>
    <w:rsid w:val="0EDB6696"/>
    <w:rsid w:val="0EDF7B07"/>
    <w:rsid w:val="0EE03DDB"/>
    <w:rsid w:val="0EE54141"/>
    <w:rsid w:val="0EE65678"/>
    <w:rsid w:val="0EEE599D"/>
    <w:rsid w:val="0EFF7C9F"/>
    <w:rsid w:val="0F0E4D4D"/>
    <w:rsid w:val="0F0F2D5A"/>
    <w:rsid w:val="0F133CC6"/>
    <w:rsid w:val="0F1367BD"/>
    <w:rsid w:val="0F165EF6"/>
    <w:rsid w:val="0F3A5C19"/>
    <w:rsid w:val="0F5B2AC5"/>
    <w:rsid w:val="0F651880"/>
    <w:rsid w:val="0F653884"/>
    <w:rsid w:val="0F7A3F04"/>
    <w:rsid w:val="0F7E31F1"/>
    <w:rsid w:val="0F801CA6"/>
    <w:rsid w:val="0F863303"/>
    <w:rsid w:val="0F8D7C4A"/>
    <w:rsid w:val="0FB369B1"/>
    <w:rsid w:val="0FBC60E1"/>
    <w:rsid w:val="0FBE3403"/>
    <w:rsid w:val="0FD31CC7"/>
    <w:rsid w:val="0FDB16E8"/>
    <w:rsid w:val="0FDD163C"/>
    <w:rsid w:val="0FEC75B7"/>
    <w:rsid w:val="0FEF3319"/>
    <w:rsid w:val="0FF50E73"/>
    <w:rsid w:val="0FF512EB"/>
    <w:rsid w:val="0FF52367"/>
    <w:rsid w:val="0FF944D9"/>
    <w:rsid w:val="10020045"/>
    <w:rsid w:val="10032E77"/>
    <w:rsid w:val="10075DEA"/>
    <w:rsid w:val="10196798"/>
    <w:rsid w:val="101F18D4"/>
    <w:rsid w:val="10282016"/>
    <w:rsid w:val="103F33B2"/>
    <w:rsid w:val="104338EF"/>
    <w:rsid w:val="10442618"/>
    <w:rsid w:val="10457700"/>
    <w:rsid w:val="104906FF"/>
    <w:rsid w:val="104942F3"/>
    <w:rsid w:val="104C5B6F"/>
    <w:rsid w:val="1051273E"/>
    <w:rsid w:val="10527522"/>
    <w:rsid w:val="105B24CF"/>
    <w:rsid w:val="105C0E07"/>
    <w:rsid w:val="105F10BE"/>
    <w:rsid w:val="10666EA1"/>
    <w:rsid w:val="107523C4"/>
    <w:rsid w:val="10776CE9"/>
    <w:rsid w:val="107942A8"/>
    <w:rsid w:val="107A36FC"/>
    <w:rsid w:val="107B5111"/>
    <w:rsid w:val="107D0495"/>
    <w:rsid w:val="107E2A9F"/>
    <w:rsid w:val="107F1FB1"/>
    <w:rsid w:val="10831E63"/>
    <w:rsid w:val="10850780"/>
    <w:rsid w:val="10A064D0"/>
    <w:rsid w:val="10A90FB8"/>
    <w:rsid w:val="10BE57BC"/>
    <w:rsid w:val="10D71A84"/>
    <w:rsid w:val="10DD7C2F"/>
    <w:rsid w:val="10E156F1"/>
    <w:rsid w:val="10E24929"/>
    <w:rsid w:val="10E75605"/>
    <w:rsid w:val="10E838C0"/>
    <w:rsid w:val="10E85DAD"/>
    <w:rsid w:val="10EC058C"/>
    <w:rsid w:val="10F16889"/>
    <w:rsid w:val="1103418A"/>
    <w:rsid w:val="11081890"/>
    <w:rsid w:val="11124F95"/>
    <w:rsid w:val="111B181B"/>
    <w:rsid w:val="112C3EF0"/>
    <w:rsid w:val="11307CAA"/>
    <w:rsid w:val="1132454C"/>
    <w:rsid w:val="113F356E"/>
    <w:rsid w:val="11401B02"/>
    <w:rsid w:val="1142292F"/>
    <w:rsid w:val="1147652C"/>
    <w:rsid w:val="115A456C"/>
    <w:rsid w:val="115D0DA9"/>
    <w:rsid w:val="115F467E"/>
    <w:rsid w:val="11657A71"/>
    <w:rsid w:val="116C1326"/>
    <w:rsid w:val="116F78AF"/>
    <w:rsid w:val="117201AD"/>
    <w:rsid w:val="117C05FB"/>
    <w:rsid w:val="11801882"/>
    <w:rsid w:val="118934A9"/>
    <w:rsid w:val="11A4797D"/>
    <w:rsid w:val="11A976A8"/>
    <w:rsid w:val="11AC2538"/>
    <w:rsid w:val="11AC58B7"/>
    <w:rsid w:val="11BB3C24"/>
    <w:rsid w:val="11BC6D50"/>
    <w:rsid w:val="11BD4180"/>
    <w:rsid w:val="11C12C43"/>
    <w:rsid w:val="11C91AF8"/>
    <w:rsid w:val="11CB0816"/>
    <w:rsid w:val="11CC7BA8"/>
    <w:rsid w:val="11D96B6A"/>
    <w:rsid w:val="11DA3D05"/>
    <w:rsid w:val="11E513D3"/>
    <w:rsid w:val="11E645C3"/>
    <w:rsid w:val="11E97A80"/>
    <w:rsid w:val="11F34199"/>
    <w:rsid w:val="11F5426F"/>
    <w:rsid w:val="11F549EC"/>
    <w:rsid w:val="11F62942"/>
    <w:rsid w:val="1216222B"/>
    <w:rsid w:val="12174F59"/>
    <w:rsid w:val="121A0562"/>
    <w:rsid w:val="12320E5D"/>
    <w:rsid w:val="123814E5"/>
    <w:rsid w:val="123A29F6"/>
    <w:rsid w:val="12463148"/>
    <w:rsid w:val="12535865"/>
    <w:rsid w:val="125448A5"/>
    <w:rsid w:val="126C76CB"/>
    <w:rsid w:val="127B33C0"/>
    <w:rsid w:val="127E4191"/>
    <w:rsid w:val="127F540D"/>
    <w:rsid w:val="12940283"/>
    <w:rsid w:val="129F1F22"/>
    <w:rsid w:val="12A1787B"/>
    <w:rsid w:val="12A460C1"/>
    <w:rsid w:val="12A60575"/>
    <w:rsid w:val="12A91AC5"/>
    <w:rsid w:val="12B502CE"/>
    <w:rsid w:val="12B51D58"/>
    <w:rsid w:val="12B55EEF"/>
    <w:rsid w:val="12BD3406"/>
    <w:rsid w:val="12C119AD"/>
    <w:rsid w:val="12C15E5A"/>
    <w:rsid w:val="12C76AC7"/>
    <w:rsid w:val="12CA2F05"/>
    <w:rsid w:val="12DA72AD"/>
    <w:rsid w:val="12DC3362"/>
    <w:rsid w:val="12E00931"/>
    <w:rsid w:val="12E03311"/>
    <w:rsid w:val="12E0534B"/>
    <w:rsid w:val="12E459B1"/>
    <w:rsid w:val="12F12A9A"/>
    <w:rsid w:val="12F26E2C"/>
    <w:rsid w:val="12F31E61"/>
    <w:rsid w:val="1306255E"/>
    <w:rsid w:val="130A23C8"/>
    <w:rsid w:val="130D010A"/>
    <w:rsid w:val="130D1F51"/>
    <w:rsid w:val="130E0EC5"/>
    <w:rsid w:val="13194E9A"/>
    <w:rsid w:val="13227D49"/>
    <w:rsid w:val="13245B47"/>
    <w:rsid w:val="13293503"/>
    <w:rsid w:val="132D21F6"/>
    <w:rsid w:val="132E2AA9"/>
    <w:rsid w:val="13330810"/>
    <w:rsid w:val="1338799A"/>
    <w:rsid w:val="133F6B2B"/>
    <w:rsid w:val="13435DB2"/>
    <w:rsid w:val="1346582A"/>
    <w:rsid w:val="134C5FB3"/>
    <w:rsid w:val="13584CEB"/>
    <w:rsid w:val="138661D5"/>
    <w:rsid w:val="138707D8"/>
    <w:rsid w:val="138E5768"/>
    <w:rsid w:val="138F28CD"/>
    <w:rsid w:val="13935DCA"/>
    <w:rsid w:val="139E71E0"/>
    <w:rsid w:val="13A83417"/>
    <w:rsid w:val="13AC12DF"/>
    <w:rsid w:val="13B10B88"/>
    <w:rsid w:val="13B5265C"/>
    <w:rsid w:val="13B862F9"/>
    <w:rsid w:val="13C469A2"/>
    <w:rsid w:val="13D06224"/>
    <w:rsid w:val="13DF1849"/>
    <w:rsid w:val="13E9284B"/>
    <w:rsid w:val="13E93203"/>
    <w:rsid w:val="13ED0597"/>
    <w:rsid w:val="13EF30E1"/>
    <w:rsid w:val="14070298"/>
    <w:rsid w:val="140D22C4"/>
    <w:rsid w:val="1414284B"/>
    <w:rsid w:val="14142E38"/>
    <w:rsid w:val="14143870"/>
    <w:rsid w:val="14221993"/>
    <w:rsid w:val="142319AC"/>
    <w:rsid w:val="142B68D3"/>
    <w:rsid w:val="143B263C"/>
    <w:rsid w:val="14411F7A"/>
    <w:rsid w:val="144347FA"/>
    <w:rsid w:val="1446001D"/>
    <w:rsid w:val="1448083C"/>
    <w:rsid w:val="1448527A"/>
    <w:rsid w:val="144F429F"/>
    <w:rsid w:val="14514B1B"/>
    <w:rsid w:val="146B08F3"/>
    <w:rsid w:val="146F07FA"/>
    <w:rsid w:val="14706A6C"/>
    <w:rsid w:val="148F6512"/>
    <w:rsid w:val="148F6ECD"/>
    <w:rsid w:val="149D0FED"/>
    <w:rsid w:val="14A051EE"/>
    <w:rsid w:val="14A64372"/>
    <w:rsid w:val="14AA6898"/>
    <w:rsid w:val="14B0017F"/>
    <w:rsid w:val="14B12243"/>
    <w:rsid w:val="14B42DD7"/>
    <w:rsid w:val="14B8049E"/>
    <w:rsid w:val="14C403A8"/>
    <w:rsid w:val="14C82DCE"/>
    <w:rsid w:val="14CE2294"/>
    <w:rsid w:val="14D01A4F"/>
    <w:rsid w:val="14D12EFC"/>
    <w:rsid w:val="14D7505F"/>
    <w:rsid w:val="14D9162C"/>
    <w:rsid w:val="14DD5F0D"/>
    <w:rsid w:val="14E10753"/>
    <w:rsid w:val="14E84123"/>
    <w:rsid w:val="14E97648"/>
    <w:rsid w:val="14F427BF"/>
    <w:rsid w:val="14FA4934"/>
    <w:rsid w:val="14FF520C"/>
    <w:rsid w:val="15064E11"/>
    <w:rsid w:val="15076C44"/>
    <w:rsid w:val="150B27F2"/>
    <w:rsid w:val="15121C84"/>
    <w:rsid w:val="15143661"/>
    <w:rsid w:val="151477CA"/>
    <w:rsid w:val="15167076"/>
    <w:rsid w:val="152B4E90"/>
    <w:rsid w:val="153A54BB"/>
    <w:rsid w:val="15404173"/>
    <w:rsid w:val="154A7805"/>
    <w:rsid w:val="1551671F"/>
    <w:rsid w:val="156D4E3B"/>
    <w:rsid w:val="156F266A"/>
    <w:rsid w:val="156F6E5A"/>
    <w:rsid w:val="15735598"/>
    <w:rsid w:val="15852081"/>
    <w:rsid w:val="158C52E3"/>
    <w:rsid w:val="1593314E"/>
    <w:rsid w:val="159361E0"/>
    <w:rsid w:val="15A60CE9"/>
    <w:rsid w:val="15AB6BFC"/>
    <w:rsid w:val="15B21EA5"/>
    <w:rsid w:val="15B44CB1"/>
    <w:rsid w:val="15B57A0B"/>
    <w:rsid w:val="15BF67CE"/>
    <w:rsid w:val="15CE655C"/>
    <w:rsid w:val="15D50CA5"/>
    <w:rsid w:val="15E00424"/>
    <w:rsid w:val="15EC04AB"/>
    <w:rsid w:val="15F01320"/>
    <w:rsid w:val="15F14C9F"/>
    <w:rsid w:val="15F82B87"/>
    <w:rsid w:val="160A5520"/>
    <w:rsid w:val="161517B0"/>
    <w:rsid w:val="161707CC"/>
    <w:rsid w:val="161A7C62"/>
    <w:rsid w:val="161B2B0B"/>
    <w:rsid w:val="161E52DE"/>
    <w:rsid w:val="16220A1A"/>
    <w:rsid w:val="1627354F"/>
    <w:rsid w:val="162D2B22"/>
    <w:rsid w:val="163045DC"/>
    <w:rsid w:val="163271A7"/>
    <w:rsid w:val="163429CE"/>
    <w:rsid w:val="163D44DD"/>
    <w:rsid w:val="164011DD"/>
    <w:rsid w:val="164E3846"/>
    <w:rsid w:val="16536F87"/>
    <w:rsid w:val="165463BA"/>
    <w:rsid w:val="16571298"/>
    <w:rsid w:val="16577D3B"/>
    <w:rsid w:val="16581DDD"/>
    <w:rsid w:val="165A4821"/>
    <w:rsid w:val="165F4CB9"/>
    <w:rsid w:val="16634935"/>
    <w:rsid w:val="16674F17"/>
    <w:rsid w:val="166E40BB"/>
    <w:rsid w:val="167361BF"/>
    <w:rsid w:val="16750620"/>
    <w:rsid w:val="168530E9"/>
    <w:rsid w:val="168801D3"/>
    <w:rsid w:val="169556DA"/>
    <w:rsid w:val="1696078A"/>
    <w:rsid w:val="169C278D"/>
    <w:rsid w:val="16AD3150"/>
    <w:rsid w:val="16B52931"/>
    <w:rsid w:val="16B54837"/>
    <w:rsid w:val="16B81C10"/>
    <w:rsid w:val="16BB09CF"/>
    <w:rsid w:val="16BB290C"/>
    <w:rsid w:val="16BB6F4A"/>
    <w:rsid w:val="16BC7326"/>
    <w:rsid w:val="16BF7A8D"/>
    <w:rsid w:val="16C04307"/>
    <w:rsid w:val="16C66B41"/>
    <w:rsid w:val="16D74469"/>
    <w:rsid w:val="16DA3F2E"/>
    <w:rsid w:val="16DD78E1"/>
    <w:rsid w:val="16E24AD0"/>
    <w:rsid w:val="16E37117"/>
    <w:rsid w:val="16E442DC"/>
    <w:rsid w:val="16E514BF"/>
    <w:rsid w:val="16E64EFA"/>
    <w:rsid w:val="16E6508A"/>
    <w:rsid w:val="16F77AE3"/>
    <w:rsid w:val="16FE6377"/>
    <w:rsid w:val="170355EC"/>
    <w:rsid w:val="170610F8"/>
    <w:rsid w:val="170701E4"/>
    <w:rsid w:val="170D1FE0"/>
    <w:rsid w:val="17257B4B"/>
    <w:rsid w:val="172B3CAE"/>
    <w:rsid w:val="173842E0"/>
    <w:rsid w:val="17430E2C"/>
    <w:rsid w:val="17451576"/>
    <w:rsid w:val="175F1A68"/>
    <w:rsid w:val="176355F1"/>
    <w:rsid w:val="176B3D10"/>
    <w:rsid w:val="176F6E21"/>
    <w:rsid w:val="17775A2A"/>
    <w:rsid w:val="178D299C"/>
    <w:rsid w:val="17914E66"/>
    <w:rsid w:val="17955FEC"/>
    <w:rsid w:val="17987AA6"/>
    <w:rsid w:val="179A2463"/>
    <w:rsid w:val="17B54DD5"/>
    <w:rsid w:val="17BB5615"/>
    <w:rsid w:val="17BE456A"/>
    <w:rsid w:val="17C2714B"/>
    <w:rsid w:val="17DD36F6"/>
    <w:rsid w:val="17F2745E"/>
    <w:rsid w:val="18081E28"/>
    <w:rsid w:val="18107062"/>
    <w:rsid w:val="181D2B9D"/>
    <w:rsid w:val="181E2024"/>
    <w:rsid w:val="182A7D39"/>
    <w:rsid w:val="182F40F7"/>
    <w:rsid w:val="1834363D"/>
    <w:rsid w:val="184438BB"/>
    <w:rsid w:val="18602558"/>
    <w:rsid w:val="18616DB1"/>
    <w:rsid w:val="186259FC"/>
    <w:rsid w:val="18670CA2"/>
    <w:rsid w:val="18700E9F"/>
    <w:rsid w:val="18712819"/>
    <w:rsid w:val="187B4431"/>
    <w:rsid w:val="187C14BE"/>
    <w:rsid w:val="18956BD8"/>
    <w:rsid w:val="189D3F17"/>
    <w:rsid w:val="18AD0324"/>
    <w:rsid w:val="18AD6FD7"/>
    <w:rsid w:val="18D01299"/>
    <w:rsid w:val="18D27130"/>
    <w:rsid w:val="18D43C2A"/>
    <w:rsid w:val="18E40508"/>
    <w:rsid w:val="18EF0B8A"/>
    <w:rsid w:val="18FC6588"/>
    <w:rsid w:val="1902569E"/>
    <w:rsid w:val="190810D9"/>
    <w:rsid w:val="190C157A"/>
    <w:rsid w:val="19176B49"/>
    <w:rsid w:val="1932147A"/>
    <w:rsid w:val="193E3971"/>
    <w:rsid w:val="193F2FF9"/>
    <w:rsid w:val="19404316"/>
    <w:rsid w:val="194303E2"/>
    <w:rsid w:val="194523AC"/>
    <w:rsid w:val="194A1770"/>
    <w:rsid w:val="19545F91"/>
    <w:rsid w:val="1957425B"/>
    <w:rsid w:val="195A1CD0"/>
    <w:rsid w:val="195B160D"/>
    <w:rsid w:val="1962034E"/>
    <w:rsid w:val="19737B93"/>
    <w:rsid w:val="19746BBB"/>
    <w:rsid w:val="197A43A5"/>
    <w:rsid w:val="197B5221"/>
    <w:rsid w:val="19873F88"/>
    <w:rsid w:val="198C1689"/>
    <w:rsid w:val="19936F1F"/>
    <w:rsid w:val="199B21E2"/>
    <w:rsid w:val="199B6335"/>
    <w:rsid w:val="199F5598"/>
    <w:rsid w:val="19AE1CF4"/>
    <w:rsid w:val="19AF01CF"/>
    <w:rsid w:val="19B14317"/>
    <w:rsid w:val="19BA3573"/>
    <w:rsid w:val="19BB441C"/>
    <w:rsid w:val="19BB7D00"/>
    <w:rsid w:val="19C21AD8"/>
    <w:rsid w:val="19C91D81"/>
    <w:rsid w:val="19DD082B"/>
    <w:rsid w:val="19DE2C60"/>
    <w:rsid w:val="19E25DE6"/>
    <w:rsid w:val="19E369CF"/>
    <w:rsid w:val="19E40694"/>
    <w:rsid w:val="19EB2E5A"/>
    <w:rsid w:val="19EB5831"/>
    <w:rsid w:val="19F0301B"/>
    <w:rsid w:val="19F551BB"/>
    <w:rsid w:val="19F607E6"/>
    <w:rsid w:val="19F609AA"/>
    <w:rsid w:val="19FB5FE8"/>
    <w:rsid w:val="19FC2411"/>
    <w:rsid w:val="19FD44DD"/>
    <w:rsid w:val="1A066314"/>
    <w:rsid w:val="1A1562EF"/>
    <w:rsid w:val="1A1816AF"/>
    <w:rsid w:val="1A18361C"/>
    <w:rsid w:val="1A1A40D2"/>
    <w:rsid w:val="1A1D6E85"/>
    <w:rsid w:val="1A2541B7"/>
    <w:rsid w:val="1A2C356C"/>
    <w:rsid w:val="1A3653C8"/>
    <w:rsid w:val="1A4333BF"/>
    <w:rsid w:val="1A4A6DB2"/>
    <w:rsid w:val="1A4A7ABC"/>
    <w:rsid w:val="1A5A2D60"/>
    <w:rsid w:val="1A5C7169"/>
    <w:rsid w:val="1A701F30"/>
    <w:rsid w:val="1A72379D"/>
    <w:rsid w:val="1A760DA7"/>
    <w:rsid w:val="1A803D0D"/>
    <w:rsid w:val="1A864E68"/>
    <w:rsid w:val="1A872DB7"/>
    <w:rsid w:val="1A8769F4"/>
    <w:rsid w:val="1A8B26F2"/>
    <w:rsid w:val="1A8D2190"/>
    <w:rsid w:val="1A903599"/>
    <w:rsid w:val="1A950225"/>
    <w:rsid w:val="1A9A3BD9"/>
    <w:rsid w:val="1A9D1136"/>
    <w:rsid w:val="1AA66E7A"/>
    <w:rsid w:val="1AA80E44"/>
    <w:rsid w:val="1AA952EE"/>
    <w:rsid w:val="1AAD645B"/>
    <w:rsid w:val="1AB61698"/>
    <w:rsid w:val="1ABA7787"/>
    <w:rsid w:val="1AC22EB9"/>
    <w:rsid w:val="1AC64E6B"/>
    <w:rsid w:val="1AD03B83"/>
    <w:rsid w:val="1AD6566A"/>
    <w:rsid w:val="1AD761BD"/>
    <w:rsid w:val="1AD93EC8"/>
    <w:rsid w:val="1AE534E4"/>
    <w:rsid w:val="1AE877F9"/>
    <w:rsid w:val="1AF50990"/>
    <w:rsid w:val="1AF86801"/>
    <w:rsid w:val="1AFE5FC8"/>
    <w:rsid w:val="1AFF05A1"/>
    <w:rsid w:val="1B00626A"/>
    <w:rsid w:val="1B091D1E"/>
    <w:rsid w:val="1B124768"/>
    <w:rsid w:val="1B1F09DB"/>
    <w:rsid w:val="1B204254"/>
    <w:rsid w:val="1B215879"/>
    <w:rsid w:val="1B32415D"/>
    <w:rsid w:val="1B395D5D"/>
    <w:rsid w:val="1B4519E2"/>
    <w:rsid w:val="1B452C2D"/>
    <w:rsid w:val="1B484A1B"/>
    <w:rsid w:val="1B4E1440"/>
    <w:rsid w:val="1B525F3E"/>
    <w:rsid w:val="1B7707D7"/>
    <w:rsid w:val="1B77145E"/>
    <w:rsid w:val="1B7B4251"/>
    <w:rsid w:val="1B7E26D0"/>
    <w:rsid w:val="1B7E2F5B"/>
    <w:rsid w:val="1B813A96"/>
    <w:rsid w:val="1B826BF2"/>
    <w:rsid w:val="1B874865"/>
    <w:rsid w:val="1B906601"/>
    <w:rsid w:val="1B935ED2"/>
    <w:rsid w:val="1BA00B86"/>
    <w:rsid w:val="1BA73C31"/>
    <w:rsid w:val="1BAA299A"/>
    <w:rsid w:val="1BB4047C"/>
    <w:rsid w:val="1BBC52C0"/>
    <w:rsid w:val="1BC31BF1"/>
    <w:rsid w:val="1BC57B40"/>
    <w:rsid w:val="1BCA1B18"/>
    <w:rsid w:val="1BE73290"/>
    <w:rsid w:val="1BE86F35"/>
    <w:rsid w:val="1C0B0D92"/>
    <w:rsid w:val="1C121CF9"/>
    <w:rsid w:val="1C1464B8"/>
    <w:rsid w:val="1C1553FF"/>
    <w:rsid w:val="1C1F3136"/>
    <w:rsid w:val="1C204E6B"/>
    <w:rsid w:val="1C2341A2"/>
    <w:rsid w:val="1C290566"/>
    <w:rsid w:val="1C2E5294"/>
    <w:rsid w:val="1C4257E8"/>
    <w:rsid w:val="1C454471"/>
    <w:rsid w:val="1C47643B"/>
    <w:rsid w:val="1C6244F3"/>
    <w:rsid w:val="1C6C5EA1"/>
    <w:rsid w:val="1C733F26"/>
    <w:rsid w:val="1C793E97"/>
    <w:rsid w:val="1C837916"/>
    <w:rsid w:val="1C86037E"/>
    <w:rsid w:val="1C897769"/>
    <w:rsid w:val="1C915014"/>
    <w:rsid w:val="1C944AC7"/>
    <w:rsid w:val="1C982038"/>
    <w:rsid w:val="1C982755"/>
    <w:rsid w:val="1C9827B8"/>
    <w:rsid w:val="1CA35CBE"/>
    <w:rsid w:val="1CBE3841"/>
    <w:rsid w:val="1CC25AFF"/>
    <w:rsid w:val="1CC7095D"/>
    <w:rsid w:val="1CC86CA8"/>
    <w:rsid w:val="1CDA26F4"/>
    <w:rsid w:val="1CDC2A8D"/>
    <w:rsid w:val="1CEE360F"/>
    <w:rsid w:val="1D045349"/>
    <w:rsid w:val="1D1345B6"/>
    <w:rsid w:val="1D163151"/>
    <w:rsid w:val="1D182676"/>
    <w:rsid w:val="1D1A215A"/>
    <w:rsid w:val="1D1D1EE4"/>
    <w:rsid w:val="1D1E238F"/>
    <w:rsid w:val="1D231173"/>
    <w:rsid w:val="1D2352F9"/>
    <w:rsid w:val="1D2E61D3"/>
    <w:rsid w:val="1D2F109A"/>
    <w:rsid w:val="1D311F18"/>
    <w:rsid w:val="1D3915A8"/>
    <w:rsid w:val="1D3B76D1"/>
    <w:rsid w:val="1D3F7753"/>
    <w:rsid w:val="1D4110DC"/>
    <w:rsid w:val="1D4B0178"/>
    <w:rsid w:val="1D5047C3"/>
    <w:rsid w:val="1D5232E9"/>
    <w:rsid w:val="1D524481"/>
    <w:rsid w:val="1D5742DD"/>
    <w:rsid w:val="1D691AB6"/>
    <w:rsid w:val="1D6A0694"/>
    <w:rsid w:val="1D6E626E"/>
    <w:rsid w:val="1D753574"/>
    <w:rsid w:val="1D7E6BB9"/>
    <w:rsid w:val="1D7F7692"/>
    <w:rsid w:val="1D8074EB"/>
    <w:rsid w:val="1D81109B"/>
    <w:rsid w:val="1D81597C"/>
    <w:rsid w:val="1D8B79E9"/>
    <w:rsid w:val="1D8C5A2B"/>
    <w:rsid w:val="1D8D19BF"/>
    <w:rsid w:val="1D907182"/>
    <w:rsid w:val="1DAC74E1"/>
    <w:rsid w:val="1DB55626"/>
    <w:rsid w:val="1DB97036"/>
    <w:rsid w:val="1DBB7050"/>
    <w:rsid w:val="1DBC76D5"/>
    <w:rsid w:val="1DC05DAC"/>
    <w:rsid w:val="1DCD19A4"/>
    <w:rsid w:val="1DD16635"/>
    <w:rsid w:val="1DDA6205"/>
    <w:rsid w:val="1DE95B5D"/>
    <w:rsid w:val="1DED6744"/>
    <w:rsid w:val="1DF44233"/>
    <w:rsid w:val="1DF71F41"/>
    <w:rsid w:val="1DFB572F"/>
    <w:rsid w:val="1E00158C"/>
    <w:rsid w:val="1E120209"/>
    <w:rsid w:val="1E171809"/>
    <w:rsid w:val="1E224814"/>
    <w:rsid w:val="1E2F53D8"/>
    <w:rsid w:val="1E335AF1"/>
    <w:rsid w:val="1E353AAA"/>
    <w:rsid w:val="1E372571"/>
    <w:rsid w:val="1E3D68FC"/>
    <w:rsid w:val="1E4A791F"/>
    <w:rsid w:val="1E521FDB"/>
    <w:rsid w:val="1E5B4563"/>
    <w:rsid w:val="1E5D6F6E"/>
    <w:rsid w:val="1E6F17AA"/>
    <w:rsid w:val="1E74021D"/>
    <w:rsid w:val="1E8C282B"/>
    <w:rsid w:val="1E93768C"/>
    <w:rsid w:val="1E940F64"/>
    <w:rsid w:val="1E9745A4"/>
    <w:rsid w:val="1E9D2609"/>
    <w:rsid w:val="1E9E548D"/>
    <w:rsid w:val="1EA50AF5"/>
    <w:rsid w:val="1EA82EA9"/>
    <w:rsid w:val="1EA95DBC"/>
    <w:rsid w:val="1EAC36B0"/>
    <w:rsid w:val="1EB701D9"/>
    <w:rsid w:val="1EC5013F"/>
    <w:rsid w:val="1ECC629F"/>
    <w:rsid w:val="1ECC68ED"/>
    <w:rsid w:val="1EDA2FAC"/>
    <w:rsid w:val="1EEA4C27"/>
    <w:rsid w:val="1EEC69B6"/>
    <w:rsid w:val="1EF135C6"/>
    <w:rsid w:val="1EFF3176"/>
    <w:rsid w:val="1F0A635E"/>
    <w:rsid w:val="1F0F4A7C"/>
    <w:rsid w:val="1F117D42"/>
    <w:rsid w:val="1F274302"/>
    <w:rsid w:val="1F3D7848"/>
    <w:rsid w:val="1F483ABB"/>
    <w:rsid w:val="1F5323CC"/>
    <w:rsid w:val="1F5C510C"/>
    <w:rsid w:val="1F600A1D"/>
    <w:rsid w:val="1F617FE2"/>
    <w:rsid w:val="1F623370"/>
    <w:rsid w:val="1F6C4E03"/>
    <w:rsid w:val="1F701682"/>
    <w:rsid w:val="1F726924"/>
    <w:rsid w:val="1F773263"/>
    <w:rsid w:val="1F79113C"/>
    <w:rsid w:val="1F7C0FE1"/>
    <w:rsid w:val="1F7D0601"/>
    <w:rsid w:val="1F827800"/>
    <w:rsid w:val="1F864698"/>
    <w:rsid w:val="1F8A2A8E"/>
    <w:rsid w:val="1F8F2606"/>
    <w:rsid w:val="1F933745"/>
    <w:rsid w:val="1F952763"/>
    <w:rsid w:val="1F9818B6"/>
    <w:rsid w:val="1F9B185B"/>
    <w:rsid w:val="1FA71D51"/>
    <w:rsid w:val="1FBC3245"/>
    <w:rsid w:val="1FC530B3"/>
    <w:rsid w:val="1FC87893"/>
    <w:rsid w:val="1FD25FAB"/>
    <w:rsid w:val="1FD263B1"/>
    <w:rsid w:val="1FD55D81"/>
    <w:rsid w:val="1FE23DC5"/>
    <w:rsid w:val="1FE26757"/>
    <w:rsid w:val="1FE347F2"/>
    <w:rsid w:val="1FEC5510"/>
    <w:rsid w:val="1FED10A7"/>
    <w:rsid w:val="1FEE187B"/>
    <w:rsid w:val="1FFC6F88"/>
    <w:rsid w:val="200E3981"/>
    <w:rsid w:val="200F61C1"/>
    <w:rsid w:val="2010712C"/>
    <w:rsid w:val="20144DD3"/>
    <w:rsid w:val="201C0987"/>
    <w:rsid w:val="20213C78"/>
    <w:rsid w:val="20271DD4"/>
    <w:rsid w:val="202E3FCA"/>
    <w:rsid w:val="20320EE0"/>
    <w:rsid w:val="2035079E"/>
    <w:rsid w:val="203D5EBD"/>
    <w:rsid w:val="204956F4"/>
    <w:rsid w:val="204C04C4"/>
    <w:rsid w:val="204E212C"/>
    <w:rsid w:val="20543ECC"/>
    <w:rsid w:val="205451ED"/>
    <w:rsid w:val="205509FD"/>
    <w:rsid w:val="205C66AC"/>
    <w:rsid w:val="205E2895"/>
    <w:rsid w:val="205E5502"/>
    <w:rsid w:val="20624D2B"/>
    <w:rsid w:val="206A3B16"/>
    <w:rsid w:val="20724C71"/>
    <w:rsid w:val="207E61A3"/>
    <w:rsid w:val="20853D90"/>
    <w:rsid w:val="20891326"/>
    <w:rsid w:val="208B3E45"/>
    <w:rsid w:val="208D6625"/>
    <w:rsid w:val="2093481C"/>
    <w:rsid w:val="20947775"/>
    <w:rsid w:val="20965A88"/>
    <w:rsid w:val="20987265"/>
    <w:rsid w:val="20997115"/>
    <w:rsid w:val="209F0117"/>
    <w:rsid w:val="20A744A0"/>
    <w:rsid w:val="20A932A4"/>
    <w:rsid w:val="20B81AB5"/>
    <w:rsid w:val="20B91C67"/>
    <w:rsid w:val="20BD4741"/>
    <w:rsid w:val="20BF72FD"/>
    <w:rsid w:val="20C41361"/>
    <w:rsid w:val="20C55662"/>
    <w:rsid w:val="20C91B14"/>
    <w:rsid w:val="20C952D1"/>
    <w:rsid w:val="20CC6AF1"/>
    <w:rsid w:val="20E409B0"/>
    <w:rsid w:val="20EA7DBA"/>
    <w:rsid w:val="20F14BC7"/>
    <w:rsid w:val="20F541D9"/>
    <w:rsid w:val="20F61D01"/>
    <w:rsid w:val="20FF6F0D"/>
    <w:rsid w:val="210B02E1"/>
    <w:rsid w:val="21143E7B"/>
    <w:rsid w:val="2116489E"/>
    <w:rsid w:val="211F298D"/>
    <w:rsid w:val="21241A2B"/>
    <w:rsid w:val="212C345A"/>
    <w:rsid w:val="212D4152"/>
    <w:rsid w:val="212F73FE"/>
    <w:rsid w:val="2140389D"/>
    <w:rsid w:val="21444F8B"/>
    <w:rsid w:val="214E4EE9"/>
    <w:rsid w:val="215018EE"/>
    <w:rsid w:val="21520878"/>
    <w:rsid w:val="21522B9A"/>
    <w:rsid w:val="216058D1"/>
    <w:rsid w:val="21680E9A"/>
    <w:rsid w:val="216935BC"/>
    <w:rsid w:val="216D314C"/>
    <w:rsid w:val="216E5043"/>
    <w:rsid w:val="21730876"/>
    <w:rsid w:val="217B3AF9"/>
    <w:rsid w:val="217D55BD"/>
    <w:rsid w:val="218501B7"/>
    <w:rsid w:val="218B501C"/>
    <w:rsid w:val="21937D88"/>
    <w:rsid w:val="219C0BE1"/>
    <w:rsid w:val="219D7107"/>
    <w:rsid w:val="219D7284"/>
    <w:rsid w:val="21A826E1"/>
    <w:rsid w:val="21B37B9E"/>
    <w:rsid w:val="21BE0F94"/>
    <w:rsid w:val="21BF439A"/>
    <w:rsid w:val="21D31AE9"/>
    <w:rsid w:val="21D7200F"/>
    <w:rsid w:val="21EC7BA8"/>
    <w:rsid w:val="21F625AE"/>
    <w:rsid w:val="21F901D7"/>
    <w:rsid w:val="21FF787E"/>
    <w:rsid w:val="220036B9"/>
    <w:rsid w:val="220431DA"/>
    <w:rsid w:val="220646A2"/>
    <w:rsid w:val="220D4FA8"/>
    <w:rsid w:val="22154503"/>
    <w:rsid w:val="22155222"/>
    <w:rsid w:val="22172C3A"/>
    <w:rsid w:val="221A5A4C"/>
    <w:rsid w:val="221C2AAE"/>
    <w:rsid w:val="22232332"/>
    <w:rsid w:val="222421D0"/>
    <w:rsid w:val="222620EF"/>
    <w:rsid w:val="22374F29"/>
    <w:rsid w:val="223B0960"/>
    <w:rsid w:val="22427DEF"/>
    <w:rsid w:val="22433200"/>
    <w:rsid w:val="224F065E"/>
    <w:rsid w:val="225A024E"/>
    <w:rsid w:val="22662B7E"/>
    <w:rsid w:val="226A52F9"/>
    <w:rsid w:val="226E521D"/>
    <w:rsid w:val="22805460"/>
    <w:rsid w:val="228C7D3B"/>
    <w:rsid w:val="228D22E9"/>
    <w:rsid w:val="22AC24D1"/>
    <w:rsid w:val="22B540B5"/>
    <w:rsid w:val="22B5567F"/>
    <w:rsid w:val="22C06500"/>
    <w:rsid w:val="22C449B9"/>
    <w:rsid w:val="22C83FDC"/>
    <w:rsid w:val="22CA35C3"/>
    <w:rsid w:val="22CA5FBD"/>
    <w:rsid w:val="22CC0779"/>
    <w:rsid w:val="22D473D4"/>
    <w:rsid w:val="22E51116"/>
    <w:rsid w:val="22E67894"/>
    <w:rsid w:val="22E92354"/>
    <w:rsid w:val="22EC1C2A"/>
    <w:rsid w:val="22F06D15"/>
    <w:rsid w:val="22F222D0"/>
    <w:rsid w:val="22FF3BDC"/>
    <w:rsid w:val="2307588F"/>
    <w:rsid w:val="231511F1"/>
    <w:rsid w:val="231E6699"/>
    <w:rsid w:val="2320448D"/>
    <w:rsid w:val="232E6124"/>
    <w:rsid w:val="232F61E4"/>
    <w:rsid w:val="23446E64"/>
    <w:rsid w:val="2351501A"/>
    <w:rsid w:val="23556E96"/>
    <w:rsid w:val="23643E2E"/>
    <w:rsid w:val="2366587C"/>
    <w:rsid w:val="237446C2"/>
    <w:rsid w:val="237763BA"/>
    <w:rsid w:val="237B6D69"/>
    <w:rsid w:val="237E2B2C"/>
    <w:rsid w:val="238566B7"/>
    <w:rsid w:val="238761CB"/>
    <w:rsid w:val="238E72F6"/>
    <w:rsid w:val="23994D67"/>
    <w:rsid w:val="23994F01"/>
    <w:rsid w:val="239B0E1A"/>
    <w:rsid w:val="239B4DC7"/>
    <w:rsid w:val="23A76463"/>
    <w:rsid w:val="23B360CE"/>
    <w:rsid w:val="23B5012E"/>
    <w:rsid w:val="23B80137"/>
    <w:rsid w:val="23C16791"/>
    <w:rsid w:val="23C75DC6"/>
    <w:rsid w:val="23C8609F"/>
    <w:rsid w:val="23CB7665"/>
    <w:rsid w:val="23D030B6"/>
    <w:rsid w:val="23D16183"/>
    <w:rsid w:val="23DB67C0"/>
    <w:rsid w:val="23DF685B"/>
    <w:rsid w:val="23E44EB2"/>
    <w:rsid w:val="23E71185"/>
    <w:rsid w:val="23E80E77"/>
    <w:rsid w:val="23E95DFD"/>
    <w:rsid w:val="23EC18F1"/>
    <w:rsid w:val="23ED576F"/>
    <w:rsid w:val="23F01440"/>
    <w:rsid w:val="24031DD9"/>
    <w:rsid w:val="240550C3"/>
    <w:rsid w:val="240B258B"/>
    <w:rsid w:val="24106653"/>
    <w:rsid w:val="24164147"/>
    <w:rsid w:val="24227145"/>
    <w:rsid w:val="243A5559"/>
    <w:rsid w:val="243D71E0"/>
    <w:rsid w:val="24411BB9"/>
    <w:rsid w:val="24415E0A"/>
    <w:rsid w:val="24593ED1"/>
    <w:rsid w:val="245A7C32"/>
    <w:rsid w:val="24621365"/>
    <w:rsid w:val="24696B33"/>
    <w:rsid w:val="246A0D24"/>
    <w:rsid w:val="24727226"/>
    <w:rsid w:val="24750EC8"/>
    <w:rsid w:val="247D6715"/>
    <w:rsid w:val="24963D9F"/>
    <w:rsid w:val="249912B8"/>
    <w:rsid w:val="249C3577"/>
    <w:rsid w:val="24B05ABC"/>
    <w:rsid w:val="24B108F5"/>
    <w:rsid w:val="24B21B8E"/>
    <w:rsid w:val="24B41CFB"/>
    <w:rsid w:val="24B51ECA"/>
    <w:rsid w:val="24B75209"/>
    <w:rsid w:val="24B9532A"/>
    <w:rsid w:val="24BA7F4A"/>
    <w:rsid w:val="24C05AD9"/>
    <w:rsid w:val="24C33188"/>
    <w:rsid w:val="24CA19B7"/>
    <w:rsid w:val="24D1665E"/>
    <w:rsid w:val="24D53666"/>
    <w:rsid w:val="24D764AD"/>
    <w:rsid w:val="24D83448"/>
    <w:rsid w:val="24E73DD4"/>
    <w:rsid w:val="24F23FC5"/>
    <w:rsid w:val="24F24BEA"/>
    <w:rsid w:val="24FD0D5F"/>
    <w:rsid w:val="24FE5B05"/>
    <w:rsid w:val="25022059"/>
    <w:rsid w:val="25033490"/>
    <w:rsid w:val="250824DF"/>
    <w:rsid w:val="250E7655"/>
    <w:rsid w:val="251E0FBB"/>
    <w:rsid w:val="252858EF"/>
    <w:rsid w:val="252D0BCB"/>
    <w:rsid w:val="25305C90"/>
    <w:rsid w:val="253115E2"/>
    <w:rsid w:val="25387269"/>
    <w:rsid w:val="253913C2"/>
    <w:rsid w:val="2540390D"/>
    <w:rsid w:val="25565941"/>
    <w:rsid w:val="2557621D"/>
    <w:rsid w:val="255B35D4"/>
    <w:rsid w:val="25613EAC"/>
    <w:rsid w:val="2576257B"/>
    <w:rsid w:val="257758B0"/>
    <w:rsid w:val="257E064F"/>
    <w:rsid w:val="25807435"/>
    <w:rsid w:val="25840422"/>
    <w:rsid w:val="25851CED"/>
    <w:rsid w:val="2588283E"/>
    <w:rsid w:val="258A47D4"/>
    <w:rsid w:val="258C4C16"/>
    <w:rsid w:val="258E77C0"/>
    <w:rsid w:val="259A239D"/>
    <w:rsid w:val="25A47BA1"/>
    <w:rsid w:val="25B20DC9"/>
    <w:rsid w:val="25C07F21"/>
    <w:rsid w:val="25C77EAF"/>
    <w:rsid w:val="25CA3707"/>
    <w:rsid w:val="25CD5C03"/>
    <w:rsid w:val="25D96B62"/>
    <w:rsid w:val="25DB192E"/>
    <w:rsid w:val="25DC04B4"/>
    <w:rsid w:val="25DC213D"/>
    <w:rsid w:val="25E62821"/>
    <w:rsid w:val="25E710EE"/>
    <w:rsid w:val="26047BA5"/>
    <w:rsid w:val="26056399"/>
    <w:rsid w:val="260678A5"/>
    <w:rsid w:val="26086C3B"/>
    <w:rsid w:val="260A7605"/>
    <w:rsid w:val="261165A1"/>
    <w:rsid w:val="26193DDF"/>
    <w:rsid w:val="26194F58"/>
    <w:rsid w:val="262323E7"/>
    <w:rsid w:val="2624469E"/>
    <w:rsid w:val="262B1F3D"/>
    <w:rsid w:val="263B3587"/>
    <w:rsid w:val="263E6CD9"/>
    <w:rsid w:val="26425096"/>
    <w:rsid w:val="26445799"/>
    <w:rsid w:val="26453B93"/>
    <w:rsid w:val="26567675"/>
    <w:rsid w:val="265A019D"/>
    <w:rsid w:val="265E675E"/>
    <w:rsid w:val="26602189"/>
    <w:rsid w:val="266A5FD2"/>
    <w:rsid w:val="2673476E"/>
    <w:rsid w:val="26764332"/>
    <w:rsid w:val="267A7CC4"/>
    <w:rsid w:val="267E0F4E"/>
    <w:rsid w:val="26895732"/>
    <w:rsid w:val="268A1E14"/>
    <w:rsid w:val="269B72EA"/>
    <w:rsid w:val="26A7453E"/>
    <w:rsid w:val="26A76BB9"/>
    <w:rsid w:val="26BD62EF"/>
    <w:rsid w:val="26C6337C"/>
    <w:rsid w:val="26CD1820"/>
    <w:rsid w:val="26D40BB6"/>
    <w:rsid w:val="26D40CC8"/>
    <w:rsid w:val="26EC3B56"/>
    <w:rsid w:val="26ED31EF"/>
    <w:rsid w:val="26FB054E"/>
    <w:rsid w:val="27075469"/>
    <w:rsid w:val="270F1450"/>
    <w:rsid w:val="271368F1"/>
    <w:rsid w:val="27206FB3"/>
    <w:rsid w:val="27286E69"/>
    <w:rsid w:val="272B1FD5"/>
    <w:rsid w:val="272E6D1E"/>
    <w:rsid w:val="273570C2"/>
    <w:rsid w:val="2741423D"/>
    <w:rsid w:val="27472100"/>
    <w:rsid w:val="27481268"/>
    <w:rsid w:val="274A1FA1"/>
    <w:rsid w:val="27540E69"/>
    <w:rsid w:val="27565BBB"/>
    <w:rsid w:val="27657641"/>
    <w:rsid w:val="27673A2C"/>
    <w:rsid w:val="27735875"/>
    <w:rsid w:val="27755328"/>
    <w:rsid w:val="27787F6E"/>
    <w:rsid w:val="277A1C97"/>
    <w:rsid w:val="277F44AE"/>
    <w:rsid w:val="27834B74"/>
    <w:rsid w:val="27945FB5"/>
    <w:rsid w:val="27A75249"/>
    <w:rsid w:val="27AD7DAF"/>
    <w:rsid w:val="27B11360"/>
    <w:rsid w:val="27C546B8"/>
    <w:rsid w:val="27C96862"/>
    <w:rsid w:val="27CE2FC5"/>
    <w:rsid w:val="27D1537C"/>
    <w:rsid w:val="27D6604B"/>
    <w:rsid w:val="27DB2DBB"/>
    <w:rsid w:val="27DD1EAF"/>
    <w:rsid w:val="27E160A9"/>
    <w:rsid w:val="27E2469C"/>
    <w:rsid w:val="27E55EA8"/>
    <w:rsid w:val="27ED7587"/>
    <w:rsid w:val="27EE6E31"/>
    <w:rsid w:val="27F85A95"/>
    <w:rsid w:val="27FF4B64"/>
    <w:rsid w:val="28036C1D"/>
    <w:rsid w:val="280B5E14"/>
    <w:rsid w:val="280C26D8"/>
    <w:rsid w:val="280D0467"/>
    <w:rsid w:val="281239F6"/>
    <w:rsid w:val="28125BB8"/>
    <w:rsid w:val="281E4C7D"/>
    <w:rsid w:val="28245DBB"/>
    <w:rsid w:val="282A18F2"/>
    <w:rsid w:val="28342E65"/>
    <w:rsid w:val="2838393C"/>
    <w:rsid w:val="283C0799"/>
    <w:rsid w:val="2841100D"/>
    <w:rsid w:val="284B1061"/>
    <w:rsid w:val="285048C9"/>
    <w:rsid w:val="28534F99"/>
    <w:rsid w:val="285A6C44"/>
    <w:rsid w:val="286155E4"/>
    <w:rsid w:val="286D049D"/>
    <w:rsid w:val="286D4E71"/>
    <w:rsid w:val="286E4F80"/>
    <w:rsid w:val="286F2AE3"/>
    <w:rsid w:val="28701FC6"/>
    <w:rsid w:val="28716AA0"/>
    <w:rsid w:val="28765326"/>
    <w:rsid w:val="28795BCE"/>
    <w:rsid w:val="2880484A"/>
    <w:rsid w:val="28847070"/>
    <w:rsid w:val="28870B4E"/>
    <w:rsid w:val="289327F7"/>
    <w:rsid w:val="28996392"/>
    <w:rsid w:val="28AA4330"/>
    <w:rsid w:val="28B35DA4"/>
    <w:rsid w:val="28B55A7F"/>
    <w:rsid w:val="28BC3E3A"/>
    <w:rsid w:val="28BF3FDB"/>
    <w:rsid w:val="28D206D2"/>
    <w:rsid w:val="28DC304D"/>
    <w:rsid w:val="28E478D8"/>
    <w:rsid w:val="28E66AEF"/>
    <w:rsid w:val="28E92198"/>
    <w:rsid w:val="28EB6F79"/>
    <w:rsid w:val="28F13D9D"/>
    <w:rsid w:val="28F51E9C"/>
    <w:rsid w:val="2909710D"/>
    <w:rsid w:val="29127762"/>
    <w:rsid w:val="29160A91"/>
    <w:rsid w:val="29203C7E"/>
    <w:rsid w:val="292518B2"/>
    <w:rsid w:val="29257B04"/>
    <w:rsid w:val="292E0B92"/>
    <w:rsid w:val="292F727B"/>
    <w:rsid w:val="293A2AD9"/>
    <w:rsid w:val="293B3290"/>
    <w:rsid w:val="293C51FA"/>
    <w:rsid w:val="2940049A"/>
    <w:rsid w:val="2940731E"/>
    <w:rsid w:val="294F4E8E"/>
    <w:rsid w:val="29655E39"/>
    <w:rsid w:val="296D217B"/>
    <w:rsid w:val="296E7335"/>
    <w:rsid w:val="297220CC"/>
    <w:rsid w:val="2973643B"/>
    <w:rsid w:val="297628F1"/>
    <w:rsid w:val="29791FD7"/>
    <w:rsid w:val="29893481"/>
    <w:rsid w:val="29941EAE"/>
    <w:rsid w:val="29A03F05"/>
    <w:rsid w:val="29A7676B"/>
    <w:rsid w:val="29A812EF"/>
    <w:rsid w:val="29A86021"/>
    <w:rsid w:val="29BC393D"/>
    <w:rsid w:val="29BD0395"/>
    <w:rsid w:val="29BD5F8E"/>
    <w:rsid w:val="29C262BB"/>
    <w:rsid w:val="29D07A70"/>
    <w:rsid w:val="29D3448A"/>
    <w:rsid w:val="29D6404D"/>
    <w:rsid w:val="29DD3332"/>
    <w:rsid w:val="29DF788D"/>
    <w:rsid w:val="29E20F25"/>
    <w:rsid w:val="29E35CC9"/>
    <w:rsid w:val="29E73039"/>
    <w:rsid w:val="29E74A6B"/>
    <w:rsid w:val="29FA5561"/>
    <w:rsid w:val="2A007E94"/>
    <w:rsid w:val="2A036126"/>
    <w:rsid w:val="2A0925D8"/>
    <w:rsid w:val="2A0C569A"/>
    <w:rsid w:val="2A1509D5"/>
    <w:rsid w:val="2A1657F3"/>
    <w:rsid w:val="2A1B63C2"/>
    <w:rsid w:val="2A200C82"/>
    <w:rsid w:val="2A24097C"/>
    <w:rsid w:val="2A2D22C7"/>
    <w:rsid w:val="2A2F0750"/>
    <w:rsid w:val="2A324EC4"/>
    <w:rsid w:val="2A394809"/>
    <w:rsid w:val="2A446E37"/>
    <w:rsid w:val="2A4B26DB"/>
    <w:rsid w:val="2A4E648A"/>
    <w:rsid w:val="2A53019E"/>
    <w:rsid w:val="2A557BBB"/>
    <w:rsid w:val="2A651779"/>
    <w:rsid w:val="2A6D341F"/>
    <w:rsid w:val="2A6F4EFD"/>
    <w:rsid w:val="2A7303CF"/>
    <w:rsid w:val="2A740DCD"/>
    <w:rsid w:val="2A78364C"/>
    <w:rsid w:val="2A8119E3"/>
    <w:rsid w:val="2A826A75"/>
    <w:rsid w:val="2A8451E2"/>
    <w:rsid w:val="2A857B98"/>
    <w:rsid w:val="2A99656C"/>
    <w:rsid w:val="2A9B2355"/>
    <w:rsid w:val="2A9C1960"/>
    <w:rsid w:val="2AA61351"/>
    <w:rsid w:val="2AAD52ED"/>
    <w:rsid w:val="2AAF757C"/>
    <w:rsid w:val="2AB90E9E"/>
    <w:rsid w:val="2ABD74FE"/>
    <w:rsid w:val="2AC1796D"/>
    <w:rsid w:val="2ACB3B4E"/>
    <w:rsid w:val="2ACC6941"/>
    <w:rsid w:val="2AD951A2"/>
    <w:rsid w:val="2ADA66CC"/>
    <w:rsid w:val="2ADD7936"/>
    <w:rsid w:val="2AE20F52"/>
    <w:rsid w:val="2AE243B2"/>
    <w:rsid w:val="2AE70478"/>
    <w:rsid w:val="2AF73206"/>
    <w:rsid w:val="2AFF0153"/>
    <w:rsid w:val="2B025A9F"/>
    <w:rsid w:val="2B033E75"/>
    <w:rsid w:val="2B146D14"/>
    <w:rsid w:val="2B1A1B1E"/>
    <w:rsid w:val="2B1F5024"/>
    <w:rsid w:val="2B261DD7"/>
    <w:rsid w:val="2B2959AE"/>
    <w:rsid w:val="2B3222F2"/>
    <w:rsid w:val="2B373986"/>
    <w:rsid w:val="2B381B9F"/>
    <w:rsid w:val="2B3F244C"/>
    <w:rsid w:val="2B5432CC"/>
    <w:rsid w:val="2B5903D4"/>
    <w:rsid w:val="2B5C3407"/>
    <w:rsid w:val="2B5C3C44"/>
    <w:rsid w:val="2B5C55AC"/>
    <w:rsid w:val="2B667326"/>
    <w:rsid w:val="2B6D169A"/>
    <w:rsid w:val="2B724C67"/>
    <w:rsid w:val="2B782A1F"/>
    <w:rsid w:val="2B7C07F9"/>
    <w:rsid w:val="2B80151A"/>
    <w:rsid w:val="2B81525B"/>
    <w:rsid w:val="2B8876E9"/>
    <w:rsid w:val="2B8A1EA0"/>
    <w:rsid w:val="2B937CDC"/>
    <w:rsid w:val="2B980F11"/>
    <w:rsid w:val="2B9B64FA"/>
    <w:rsid w:val="2BA11867"/>
    <w:rsid w:val="2BA47406"/>
    <w:rsid w:val="2BB60730"/>
    <w:rsid w:val="2BBE2458"/>
    <w:rsid w:val="2BBE645F"/>
    <w:rsid w:val="2BBF5FEE"/>
    <w:rsid w:val="2BC96E6C"/>
    <w:rsid w:val="2BD32BEB"/>
    <w:rsid w:val="2BD32F8E"/>
    <w:rsid w:val="2BD440B2"/>
    <w:rsid w:val="2BDC76EF"/>
    <w:rsid w:val="2BE44A92"/>
    <w:rsid w:val="2BE76C10"/>
    <w:rsid w:val="2BEA2DDE"/>
    <w:rsid w:val="2BEE7CF9"/>
    <w:rsid w:val="2BF5094B"/>
    <w:rsid w:val="2BF805CA"/>
    <w:rsid w:val="2BFA2B37"/>
    <w:rsid w:val="2C015E10"/>
    <w:rsid w:val="2C022A0F"/>
    <w:rsid w:val="2C03656F"/>
    <w:rsid w:val="2C04259F"/>
    <w:rsid w:val="2C0C0D19"/>
    <w:rsid w:val="2C0C0F54"/>
    <w:rsid w:val="2C116AD1"/>
    <w:rsid w:val="2C122652"/>
    <w:rsid w:val="2C1D3306"/>
    <w:rsid w:val="2C1F4713"/>
    <w:rsid w:val="2C283019"/>
    <w:rsid w:val="2C2B7F3C"/>
    <w:rsid w:val="2C2F4D9C"/>
    <w:rsid w:val="2C3840B1"/>
    <w:rsid w:val="2C3841C9"/>
    <w:rsid w:val="2C3D7DA5"/>
    <w:rsid w:val="2C4226F6"/>
    <w:rsid w:val="2C466CE1"/>
    <w:rsid w:val="2C473DBF"/>
    <w:rsid w:val="2C697531"/>
    <w:rsid w:val="2C6A4A41"/>
    <w:rsid w:val="2C6A5997"/>
    <w:rsid w:val="2C6E62CA"/>
    <w:rsid w:val="2C711F00"/>
    <w:rsid w:val="2C7232F1"/>
    <w:rsid w:val="2C74498D"/>
    <w:rsid w:val="2C7A4305"/>
    <w:rsid w:val="2C851C3E"/>
    <w:rsid w:val="2C855DAC"/>
    <w:rsid w:val="2C9A0BA4"/>
    <w:rsid w:val="2CA46622"/>
    <w:rsid w:val="2CA91024"/>
    <w:rsid w:val="2CB361A5"/>
    <w:rsid w:val="2CC118F2"/>
    <w:rsid w:val="2CC60430"/>
    <w:rsid w:val="2CD80113"/>
    <w:rsid w:val="2CDF7FCA"/>
    <w:rsid w:val="2CE364B1"/>
    <w:rsid w:val="2CEC0004"/>
    <w:rsid w:val="2D004D07"/>
    <w:rsid w:val="2D012636"/>
    <w:rsid w:val="2D0D7222"/>
    <w:rsid w:val="2D0E0FF4"/>
    <w:rsid w:val="2D0F08AF"/>
    <w:rsid w:val="2D26521F"/>
    <w:rsid w:val="2D3519ED"/>
    <w:rsid w:val="2D401748"/>
    <w:rsid w:val="2D412965"/>
    <w:rsid w:val="2D443A60"/>
    <w:rsid w:val="2D445E75"/>
    <w:rsid w:val="2D450775"/>
    <w:rsid w:val="2D592738"/>
    <w:rsid w:val="2D5D2C5F"/>
    <w:rsid w:val="2D66111E"/>
    <w:rsid w:val="2D690E85"/>
    <w:rsid w:val="2D6B2B7E"/>
    <w:rsid w:val="2D6C4296"/>
    <w:rsid w:val="2D756D21"/>
    <w:rsid w:val="2D762EC6"/>
    <w:rsid w:val="2D7E0705"/>
    <w:rsid w:val="2D7E6359"/>
    <w:rsid w:val="2D80549A"/>
    <w:rsid w:val="2D9E0A23"/>
    <w:rsid w:val="2DA06097"/>
    <w:rsid w:val="2DA43AF9"/>
    <w:rsid w:val="2DAD766F"/>
    <w:rsid w:val="2DAE5282"/>
    <w:rsid w:val="2DB67D65"/>
    <w:rsid w:val="2DC51ADF"/>
    <w:rsid w:val="2DC932F1"/>
    <w:rsid w:val="2DCD5D54"/>
    <w:rsid w:val="2DCE7001"/>
    <w:rsid w:val="2DD41AF8"/>
    <w:rsid w:val="2DE060E7"/>
    <w:rsid w:val="2DE64E6E"/>
    <w:rsid w:val="2DE81822"/>
    <w:rsid w:val="2DF31018"/>
    <w:rsid w:val="2DF61A39"/>
    <w:rsid w:val="2DFE6C08"/>
    <w:rsid w:val="2E010746"/>
    <w:rsid w:val="2E0D0910"/>
    <w:rsid w:val="2E0D38E6"/>
    <w:rsid w:val="2E141EF5"/>
    <w:rsid w:val="2E175298"/>
    <w:rsid w:val="2E27089B"/>
    <w:rsid w:val="2E2979C8"/>
    <w:rsid w:val="2E2B5150"/>
    <w:rsid w:val="2E2B5417"/>
    <w:rsid w:val="2E3265B7"/>
    <w:rsid w:val="2E366541"/>
    <w:rsid w:val="2E367DD5"/>
    <w:rsid w:val="2E3F11F2"/>
    <w:rsid w:val="2E4219A3"/>
    <w:rsid w:val="2E441C63"/>
    <w:rsid w:val="2E444903"/>
    <w:rsid w:val="2E496043"/>
    <w:rsid w:val="2E4B5344"/>
    <w:rsid w:val="2E513FEB"/>
    <w:rsid w:val="2E52111B"/>
    <w:rsid w:val="2E556066"/>
    <w:rsid w:val="2E557D41"/>
    <w:rsid w:val="2E575CE5"/>
    <w:rsid w:val="2E6544B1"/>
    <w:rsid w:val="2E7368C6"/>
    <w:rsid w:val="2E7552A7"/>
    <w:rsid w:val="2E864FF0"/>
    <w:rsid w:val="2E9845C1"/>
    <w:rsid w:val="2EAB5E89"/>
    <w:rsid w:val="2EB72FAC"/>
    <w:rsid w:val="2EB86E7E"/>
    <w:rsid w:val="2ED0406E"/>
    <w:rsid w:val="2ED63B48"/>
    <w:rsid w:val="2EE240FD"/>
    <w:rsid w:val="2EFE0CD2"/>
    <w:rsid w:val="2F101406"/>
    <w:rsid w:val="2F1228E1"/>
    <w:rsid w:val="2F1405EB"/>
    <w:rsid w:val="2F144C68"/>
    <w:rsid w:val="2F1A1C1B"/>
    <w:rsid w:val="2F2373E7"/>
    <w:rsid w:val="2F25798D"/>
    <w:rsid w:val="2F2B7701"/>
    <w:rsid w:val="2F3A5581"/>
    <w:rsid w:val="2F3B0F29"/>
    <w:rsid w:val="2F3F0889"/>
    <w:rsid w:val="2F3F2E91"/>
    <w:rsid w:val="2F405E38"/>
    <w:rsid w:val="2F431340"/>
    <w:rsid w:val="2F44472E"/>
    <w:rsid w:val="2F4C1A23"/>
    <w:rsid w:val="2F5164AC"/>
    <w:rsid w:val="2F620958"/>
    <w:rsid w:val="2F65593C"/>
    <w:rsid w:val="2F7073CF"/>
    <w:rsid w:val="2F722771"/>
    <w:rsid w:val="2F7A642D"/>
    <w:rsid w:val="2F7D3914"/>
    <w:rsid w:val="2F87443F"/>
    <w:rsid w:val="2F880D3B"/>
    <w:rsid w:val="2F8D08C3"/>
    <w:rsid w:val="2F902BAA"/>
    <w:rsid w:val="2F9673B8"/>
    <w:rsid w:val="2FA21EAE"/>
    <w:rsid w:val="2FA33530"/>
    <w:rsid w:val="2FA771DF"/>
    <w:rsid w:val="2FA867CD"/>
    <w:rsid w:val="2FAD2601"/>
    <w:rsid w:val="2FAF34DF"/>
    <w:rsid w:val="2FB038F8"/>
    <w:rsid w:val="2FB76FDC"/>
    <w:rsid w:val="2FC8743B"/>
    <w:rsid w:val="2FCA7EE5"/>
    <w:rsid w:val="2FCD0CD8"/>
    <w:rsid w:val="2FD505B1"/>
    <w:rsid w:val="2FD50C59"/>
    <w:rsid w:val="2FD77336"/>
    <w:rsid w:val="2FDA7D84"/>
    <w:rsid w:val="2FDD29B0"/>
    <w:rsid w:val="2FE66D18"/>
    <w:rsid w:val="2FED5B33"/>
    <w:rsid w:val="2FF0550F"/>
    <w:rsid w:val="2FF47073"/>
    <w:rsid w:val="2FF953E8"/>
    <w:rsid w:val="2FF96642"/>
    <w:rsid w:val="30020133"/>
    <w:rsid w:val="30055F99"/>
    <w:rsid w:val="300C346B"/>
    <w:rsid w:val="300D2A21"/>
    <w:rsid w:val="3012162E"/>
    <w:rsid w:val="301B57BD"/>
    <w:rsid w:val="301D02B9"/>
    <w:rsid w:val="302133F3"/>
    <w:rsid w:val="302177F7"/>
    <w:rsid w:val="30366B99"/>
    <w:rsid w:val="3037035F"/>
    <w:rsid w:val="3044101E"/>
    <w:rsid w:val="30475E30"/>
    <w:rsid w:val="305158FB"/>
    <w:rsid w:val="30530011"/>
    <w:rsid w:val="30571DAB"/>
    <w:rsid w:val="30592B8D"/>
    <w:rsid w:val="305B3092"/>
    <w:rsid w:val="30640F12"/>
    <w:rsid w:val="3065539F"/>
    <w:rsid w:val="3067240B"/>
    <w:rsid w:val="30751997"/>
    <w:rsid w:val="30837582"/>
    <w:rsid w:val="308C66BA"/>
    <w:rsid w:val="30931E34"/>
    <w:rsid w:val="30A94B7F"/>
    <w:rsid w:val="30AD075B"/>
    <w:rsid w:val="30B02567"/>
    <w:rsid w:val="30B04E27"/>
    <w:rsid w:val="30B24378"/>
    <w:rsid w:val="30B47711"/>
    <w:rsid w:val="30BC5BB7"/>
    <w:rsid w:val="30C47BC8"/>
    <w:rsid w:val="30C83F49"/>
    <w:rsid w:val="30C93A93"/>
    <w:rsid w:val="30CE1022"/>
    <w:rsid w:val="30CF50E3"/>
    <w:rsid w:val="30D156FE"/>
    <w:rsid w:val="30D276C2"/>
    <w:rsid w:val="30DF6C55"/>
    <w:rsid w:val="30E11543"/>
    <w:rsid w:val="30E65593"/>
    <w:rsid w:val="30F54D6F"/>
    <w:rsid w:val="30FA33DC"/>
    <w:rsid w:val="31030FEC"/>
    <w:rsid w:val="310B7829"/>
    <w:rsid w:val="31166DE3"/>
    <w:rsid w:val="311C7DB5"/>
    <w:rsid w:val="312D1C4B"/>
    <w:rsid w:val="31387F77"/>
    <w:rsid w:val="3144341E"/>
    <w:rsid w:val="314961B6"/>
    <w:rsid w:val="314B32BF"/>
    <w:rsid w:val="314F3376"/>
    <w:rsid w:val="31564C8D"/>
    <w:rsid w:val="315D551A"/>
    <w:rsid w:val="315F36AD"/>
    <w:rsid w:val="3161750C"/>
    <w:rsid w:val="31662C71"/>
    <w:rsid w:val="316905A7"/>
    <w:rsid w:val="316D3427"/>
    <w:rsid w:val="317140E5"/>
    <w:rsid w:val="31762E8B"/>
    <w:rsid w:val="31771119"/>
    <w:rsid w:val="31795DFB"/>
    <w:rsid w:val="318162FD"/>
    <w:rsid w:val="31886E82"/>
    <w:rsid w:val="31894FFC"/>
    <w:rsid w:val="318D42D2"/>
    <w:rsid w:val="31905A3E"/>
    <w:rsid w:val="319834F2"/>
    <w:rsid w:val="31A9067E"/>
    <w:rsid w:val="31B163D9"/>
    <w:rsid w:val="31B31BE6"/>
    <w:rsid w:val="31B5097C"/>
    <w:rsid w:val="31B56F97"/>
    <w:rsid w:val="31BB4273"/>
    <w:rsid w:val="31C63636"/>
    <w:rsid w:val="31C67850"/>
    <w:rsid w:val="31CA4F64"/>
    <w:rsid w:val="31CE0A51"/>
    <w:rsid w:val="31D36F97"/>
    <w:rsid w:val="31D863C1"/>
    <w:rsid w:val="31E11941"/>
    <w:rsid w:val="31EF579A"/>
    <w:rsid w:val="31F12B1F"/>
    <w:rsid w:val="320036EF"/>
    <w:rsid w:val="32043258"/>
    <w:rsid w:val="321A667D"/>
    <w:rsid w:val="321E1D8E"/>
    <w:rsid w:val="322E531D"/>
    <w:rsid w:val="323256F6"/>
    <w:rsid w:val="32362973"/>
    <w:rsid w:val="323B50FC"/>
    <w:rsid w:val="323C2A55"/>
    <w:rsid w:val="324011C2"/>
    <w:rsid w:val="324370B2"/>
    <w:rsid w:val="32445FFC"/>
    <w:rsid w:val="324C3F22"/>
    <w:rsid w:val="32650F71"/>
    <w:rsid w:val="3268332E"/>
    <w:rsid w:val="326A2FB3"/>
    <w:rsid w:val="32755C4A"/>
    <w:rsid w:val="327E4312"/>
    <w:rsid w:val="327E5FB9"/>
    <w:rsid w:val="328C338F"/>
    <w:rsid w:val="32964B09"/>
    <w:rsid w:val="329A0462"/>
    <w:rsid w:val="329B32CA"/>
    <w:rsid w:val="329B4860"/>
    <w:rsid w:val="329C0C4C"/>
    <w:rsid w:val="32A001FB"/>
    <w:rsid w:val="32A0392B"/>
    <w:rsid w:val="32AB3019"/>
    <w:rsid w:val="32AD3782"/>
    <w:rsid w:val="32B53CA7"/>
    <w:rsid w:val="32BE12FB"/>
    <w:rsid w:val="32D85708"/>
    <w:rsid w:val="32DC7485"/>
    <w:rsid w:val="32DE43A0"/>
    <w:rsid w:val="32E35ECC"/>
    <w:rsid w:val="32EA6D7A"/>
    <w:rsid w:val="32EB2E03"/>
    <w:rsid w:val="32EB6FE9"/>
    <w:rsid w:val="32F21F30"/>
    <w:rsid w:val="32FC735B"/>
    <w:rsid w:val="32FC7740"/>
    <w:rsid w:val="330662B0"/>
    <w:rsid w:val="330864CC"/>
    <w:rsid w:val="330C7FBD"/>
    <w:rsid w:val="33101F81"/>
    <w:rsid w:val="331E1494"/>
    <w:rsid w:val="332149AD"/>
    <w:rsid w:val="332252C4"/>
    <w:rsid w:val="332579A8"/>
    <w:rsid w:val="332E2F02"/>
    <w:rsid w:val="33311E1D"/>
    <w:rsid w:val="33356B95"/>
    <w:rsid w:val="333C27E7"/>
    <w:rsid w:val="333D01B9"/>
    <w:rsid w:val="33401C41"/>
    <w:rsid w:val="33404766"/>
    <w:rsid w:val="33431AC2"/>
    <w:rsid w:val="334A5D48"/>
    <w:rsid w:val="33523DDE"/>
    <w:rsid w:val="335970BA"/>
    <w:rsid w:val="3361798A"/>
    <w:rsid w:val="33686F6B"/>
    <w:rsid w:val="33691F40"/>
    <w:rsid w:val="336E595D"/>
    <w:rsid w:val="33713745"/>
    <w:rsid w:val="33763C22"/>
    <w:rsid w:val="33796643"/>
    <w:rsid w:val="337F0F6B"/>
    <w:rsid w:val="33801AA9"/>
    <w:rsid w:val="3381316C"/>
    <w:rsid w:val="33873A59"/>
    <w:rsid w:val="338752E9"/>
    <w:rsid w:val="33894900"/>
    <w:rsid w:val="338F30A7"/>
    <w:rsid w:val="339A2E9C"/>
    <w:rsid w:val="339B5E39"/>
    <w:rsid w:val="339E3A3C"/>
    <w:rsid w:val="33A81A86"/>
    <w:rsid w:val="33B07A44"/>
    <w:rsid w:val="33B4667C"/>
    <w:rsid w:val="33BB353F"/>
    <w:rsid w:val="33C702ED"/>
    <w:rsid w:val="33C87A09"/>
    <w:rsid w:val="33D1062F"/>
    <w:rsid w:val="33DF01AE"/>
    <w:rsid w:val="33DF0711"/>
    <w:rsid w:val="33F12A50"/>
    <w:rsid w:val="33F321BA"/>
    <w:rsid w:val="33F35483"/>
    <w:rsid w:val="33F91709"/>
    <w:rsid w:val="33FA2516"/>
    <w:rsid w:val="33FB1F86"/>
    <w:rsid w:val="3400529A"/>
    <w:rsid w:val="34015D1F"/>
    <w:rsid w:val="34057516"/>
    <w:rsid w:val="340D4DC7"/>
    <w:rsid w:val="340D5C9C"/>
    <w:rsid w:val="3411331F"/>
    <w:rsid w:val="3413678E"/>
    <w:rsid w:val="341449FD"/>
    <w:rsid w:val="342A3CB4"/>
    <w:rsid w:val="342E0EC7"/>
    <w:rsid w:val="343047D3"/>
    <w:rsid w:val="34335C86"/>
    <w:rsid w:val="34381B90"/>
    <w:rsid w:val="343F14EE"/>
    <w:rsid w:val="34413517"/>
    <w:rsid w:val="34473B40"/>
    <w:rsid w:val="34480E32"/>
    <w:rsid w:val="344F012B"/>
    <w:rsid w:val="345474EF"/>
    <w:rsid w:val="345D645F"/>
    <w:rsid w:val="346D5D12"/>
    <w:rsid w:val="346F4F4A"/>
    <w:rsid w:val="349B6ECC"/>
    <w:rsid w:val="34A96378"/>
    <w:rsid w:val="34B5072C"/>
    <w:rsid w:val="34BD2CCA"/>
    <w:rsid w:val="34BF705E"/>
    <w:rsid w:val="34C100BA"/>
    <w:rsid w:val="34D21E6E"/>
    <w:rsid w:val="34D74FDC"/>
    <w:rsid w:val="34E46BB5"/>
    <w:rsid w:val="34E95524"/>
    <w:rsid w:val="34EF2C76"/>
    <w:rsid w:val="34F5115F"/>
    <w:rsid w:val="34FA54B2"/>
    <w:rsid w:val="34FD1935"/>
    <w:rsid w:val="34FF15BB"/>
    <w:rsid w:val="34FF53C5"/>
    <w:rsid w:val="35016038"/>
    <w:rsid w:val="35050F88"/>
    <w:rsid w:val="35067AB5"/>
    <w:rsid w:val="35090B63"/>
    <w:rsid w:val="350A1DCF"/>
    <w:rsid w:val="350E5379"/>
    <w:rsid w:val="35134613"/>
    <w:rsid w:val="35197E42"/>
    <w:rsid w:val="351A4295"/>
    <w:rsid w:val="352152C8"/>
    <w:rsid w:val="352A41A8"/>
    <w:rsid w:val="353642AB"/>
    <w:rsid w:val="353D722E"/>
    <w:rsid w:val="354562EB"/>
    <w:rsid w:val="3545752B"/>
    <w:rsid w:val="35475891"/>
    <w:rsid w:val="35530079"/>
    <w:rsid w:val="3555517F"/>
    <w:rsid w:val="355C72C0"/>
    <w:rsid w:val="356E6CE1"/>
    <w:rsid w:val="357070B5"/>
    <w:rsid w:val="35770921"/>
    <w:rsid w:val="35782854"/>
    <w:rsid w:val="357A177D"/>
    <w:rsid w:val="357B36F0"/>
    <w:rsid w:val="357C4031"/>
    <w:rsid w:val="357F677C"/>
    <w:rsid w:val="35833F14"/>
    <w:rsid w:val="358538AB"/>
    <w:rsid w:val="358C3AA6"/>
    <w:rsid w:val="35930C8E"/>
    <w:rsid w:val="35A052CF"/>
    <w:rsid w:val="35A52F92"/>
    <w:rsid w:val="35AE79BB"/>
    <w:rsid w:val="35AF0064"/>
    <w:rsid w:val="35B278FC"/>
    <w:rsid w:val="35C03996"/>
    <w:rsid w:val="35C50ABB"/>
    <w:rsid w:val="35C961DE"/>
    <w:rsid w:val="35D801BB"/>
    <w:rsid w:val="35D92FA2"/>
    <w:rsid w:val="35EB5811"/>
    <w:rsid w:val="35EE694C"/>
    <w:rsid w:val="35FF44CF"/>
    <w:rsid w:val="36045036"/>
    <w:rsid w:val="36143A97"/>
    <w:rsid w:val="361A45B2"/>
    <w:rsid w:val="36266B61"/>
    <w:rsid w:val="36274348"/>
    <w:rsid w:val="36285F30"/>
    <w:rsid w:val="36355306"/>
    <w:rsid w:val="36356EAC"/>
    <w:rsid w:val="36395E3D"/>
    <w:rsid w:val="363E1AEA"/>
    <w:rsid w:val="363F5453"/>
    <w:rsid w:val="36473D84"/>
    <w:rsid w:val="364A4D99"/>
    <w:rsid w:val="364B6400"/>
    <w:rsid w:val="364F61C0"/>
    <w:rsid w:val="36521CA0"/>
    <w:rsid w:val="367819C0"/>
    <w:rsid w:val="367C093A"/>
    <w:rsid w:val="367C38B4"/>
    <w:rsid w:val="369669D9"/>
    <w:rsid w:val="36973A0B"/>
    <w:rsid w:val="369D5712"/>
    <w:rsid w:val="36A5579C"/>
    <w:rsid w:val="36AC53C0"/>
    <w:rsid w:val="36B778B1"/>
    <w:rsid w:val="36BB1878"/>
    <w:rsid w:val="36C344B8"/>
    <w:rsid w:val="36C37415"/>
    <w:rsid w:val="36D27FF3"/>
    <w:rsid w:val="36D57254"/>
    <w:rsid w:val="36D6086F"/>
    <w:rsid w:val="36DA091C"/>
    <w:rsid w:val="36DE73AC"/>
    <w:rsid w:val="36E051C8"/>
    <w:rsid w:val="36F05BEF"/>
    <w:rsid w:val="36F3745A"/>
    <w:rsid w:val="36F476F6"/>
    <w:rsid w:val="37033D62"/>
    <w:rsid w:val="37047B9A"/>
    <w:rsid w:val="37115737"/>
    <w:rsid w:val="37164F30"/>
    <w:rsid w:val="371E7D05"/>
    <w:rsid w:val="373339AD"/>
    <w:rsid w:val="37350E90"/>
    <w:rsid w:val="37496F18"/>
    <w:rsid w:val="375210A4"/>
    <w:rsid w:val="3757357E"/>
    <w:rsid w:val="375F04D5"/>
    <w:rsid w:val="376614D0"/>
    <w:rsid w:val="37674BA9"/>
    <w:rsid w:val="37695B54"/>
    <w:rsid w:val="376F3D58"/>
    <w:rsid w:val="377157E3"/>
    <w:rsid w:val="37833BE3"/>
    <w:rsid w:val="37861616"/>
    <w:rsid w:val="378958C2"/>
    <w:rsid w:val="379133BF"/>
    <w:rsid w:val="37923A35"/>
    <w:rsid w:val="379903EB"/>
    <w:rsid w:val="379D4B9D"/>
    <w:rsid w:val="37A1136B"/>
    <w:rsid w:val="37C14E9C"/>
    <w:rsid w:val="37C2506F"/>
    <w:rsid w:val="37CB454D"/>
    <w:rsid w:val="37D868A7"/>
    <w:rsid w:val="37DB4E60"/>
    <w:rsid w:val="37E22DB7"/>
    <w:rsid w:val="37E26AA1"/>
    <w:rsid w:val="37E312B6"/>
    <w:rsid w:val="37E869F0"/>
    <w:rsid w:val="37ED3FFC"/>
    <w:rsid w:val="37F1019A"/>
    <w:rsid w:val="37F10D3F"/>
    <w:rsid w:val="37F27E6C"/>
    <w:rsid w:val="37F8082F"/>
    <w:rsid w:val="37F92A1F"/>
    <w:rsid w:val="37F947FE"/>
    <w:rsid w:val="37FC411A"/>
    <w:rsid w:val="38044AB5"/>
    <w:rsid w:val="381E22EE"/>
    <w:rsid w:val="382209C5"/>
    <w:rsid w:val="382C1FE9"/>
    <w:rsid w:val="383C4522"/>
    <w:rsid w:val="38503863"/>
    <w:rsid w:val="385A458B"/>
    <w:rsid w:val="385F2B13"/>
    <w:rsid w:val="38637BAE"/>
    <w:rsid w:val="386862D0"/>
    <w:rsid w:val="38773614"/>
    <w:rsid w:val="38811766"/>
    <w:rsid w:val="3885663A"/>
    <w:rsid w:val="388C36FB"/>
    <w:rsid w:val="3891694A"/>
    <w:rsid w:val="38AD7D3C"/>
    <w:rsid w:val="38AE462F"/>
    <w:rsid w:val="38B54187"/>
    <w:rsid w:val="38BE2B69"/>
    <w:rsid w:val="38C41863"/>
    <w:rsid w:val="38C422D5"/>
    <w:rsid w:val="38CA2742"/>
    <w:rsid w:val="38CA4224"/>
    <w:rsid w:val="38DF05E7"/>
    <w:rsid w:val="38E04B22"/>
    <w:rsid w:val="38E1363B"/>
    <w:rsid w:val="38E3317A"/>
    <w:rsid w:val="38E96AA5"/>
    <w:rsid w:val="38F26EA2"/>
    <w:rsid w:val="38FD4668"/>
    <w:rsid w:val="39024102"/>
    <w:rsid w:val="3906316E"/>
    <w:rsid w:val="39083EAB"/>
    <w:rsid w:val="390973DE"/>
    <w:rsid w:val="39132A9B"/>
    <w:rsid w:val="39142CF2"/>
    <w:rsid w:val="39151F7A"/>
    <w:rsid w:val="39162FC5"/>
    <w:rsid w:val="391745F1"/>
    <w:rsid w:val="392444CA"/>
    <w:rsid w:val="39277222"/>
    <w:rsid w:val="392F4262"/>
    <w:rsid w:val="39413994"/>
    <w:rsid w:val="3947568C"/>
    <w:rsid w:val="394A0BBD"/>
    <w:rsid w:val="39613168"/>
    <w:rsid w:val="396E2E01"/>
    <w:rsid w:val="397F500E"/>
    <w:rsid w:val="39872F22"/>
    <w:rsid w:val="39873CDB"/>
    <w:rsid w:val="398F3254"/>
    <w:rsid w:val="39915A82"/>
    <w:rsid w:val="3994077D"/>
    <w:rsid w:val="3995388E"/>
    <w:rsid w:val="39A06546"/>
    <w:rsid w:val="39A71860"/>
    <w:rsid w:val="39AB0F30"/>
    <w:rsid w:val="39AF09E0"/>
    <w:rsid w:val="39BC6836"/>
    <w:rsid w:val="39C05339"/>
    <w:rsid w:val="39C173D5"/>
    <w:rsid w:val="39C71362"/>
    <w:rsid w:val="39C7774A"/>
    <w:rsid w:val="39CB3B9A"/>
    <w:rsid w:val="39CE7593"/>
    <w:rsid w:val="39D10BB0"/>
    <w:rsid w:val="39D81032"/>
    <w:rsid w:val="39DF2EE9"/>
    <w:rsid w:val="39DF4383"/>
    <w:rsid w:val="39E44E71"/>
    <w:rsid w:val="39E82BB3"/>
    <w:rsid w:val="39ED71CB"/>
    <w:rsid w:val="39F4159F"/>
    <w:rsid w:val="39F51828"/>
    <w:rsid w:val="3A0D57E8"/>
    <w:rsid w:val="3A1759FE"/>
    <w:rsid w:val="3A1E40A8"/>
    <w:rsid w:val="3A1F14E8"/>
    <w:rsid w:val="3A215DA4"/>
    <w:rsid w:val="3A237DED"/>
    <w:rsid w:val="3A290B99"/>
    <w:rsid w:val="3A2A6087"/>
    <w:rsid w:val="3A2E3E1D"/>
    <w:rsid w:val="3A356783"/>
    <w:rsid w:val="3A4B0633"/>
    <w:rsid w:val="3A4E7D5E"/>
    <w:rsid w:val="3A5C7F6C"/>
    <w:rsid w:val="3A5F717C"/>
    <w:rsid w:val="3A6755EE"/>
    <w:rsid w:val="3A685AA2"/>
    <w:rsid w:val="3A762CD3"/>
    <w:rsid w:val="3A7922AF"/>
    <w:rsid w:val="3A883655"/>
    <w:rsid w:val="3AB27C7D"/>
    <w:rsid w:val="3AC0768C"/>
    <w:rsid w:val="3AD62FBD"/>
    <w:rsid w:val="3AD63323"/>
    <w:rsid w:val="3AD80B27"/>
    <w:rsid w:val="3AE42F73"/>
    <w:rsid w:val="3AE53B01"/>
    <w:rsid w:val="3AF028ED"/>
    <w:rsid w:val="3AF07B06"/>
    <w:rsid w:val="3AFB5C9C"/>
    <w:rsid w:val="3B0C3829"/>
    <w:rsid w:val="3B0E755F"/>
    <w:rsid w:val="3B0F3E35"/>
    <w:rsid w:val="3B164849"/>
    <w:rsid w:val="3B226923"/>
    <w:rsid w:val="3B2428F4"/>
    <w:rsid w:val="3B2C0432"/>
    <w:rsid w:val="3B370F6F"/>
    <w:rsid w:val="3B3779E1"/>
    <w:rsid w:val="3B395AAF"/>
    <w:rsid w:val="3B461160"/>
    <w:rsid w:val="3B4B5FBD"/>
    <w:rsid w:val="3B540C9C"/>
    <w:rsid w:val="3B5A6803"/>
    <w:rsid w:val="3B657FF1"/>
    <w:rsid w:val="3B67137E"/>
    <w:rsid w:val="3B6B451D"/>
    <w:rsid w:val="3B6B584A"/>
    <w:rsid w:val="3B6E70E8"/>
    <w:rsid w:val="3B7003D2"/>
    <w:rsid w:val="3B742225"/>
    <w:rsid w:val="3B90157C"/>
    <w:rsid w:val="3B921974"/>
    <w:rsid w:val="3B942FA4"/>
    <w:rsid w:val="3B9D57F6"/>
    <w:rsid w:val="3BA4440B"/>
    <w:rsid w:val="3BA56A4E"/>
    <w:rsid w:val="3BAF6483"/>
    <w:rsid w:val="3BB00237"/>
    <w:rsid w:val="3BBC19F2"/>
    <w:rsid w:val="3BBD1E1E"/>
    <w:rsid w:val="3BBF1028"/>
    <w:rsid w:val="3BC36BC5"/>
    <w:rsid w:val="3BCF73DC"/>
    <w:rsid w:val="3BD5188A"/>
    <w:rsid w:val="3BD86000"/>
    <w:rsid w:val="3BDB4052"/>
    <w:rsid w:val="3BDD33A3"/>
    <w:rsid w:val="3BE8274F"/>
    <w:rsid w:val="3BE949C1"/>
    <w:rsid w:val="3BEF4CB2"/>
    <w:rsid w:val="3BF472C5"/>
    <w:rsid w:val="3BF611BA"/>
    <w:rsid w:val="3BF828E3"/>
    <w:rsid w:val="3C123480"/>
    <w:rsid w:val="3C127211"/>
    <w:rsid w:val="3C15441F"/>
    <w:rsid w:val="3C2317D2"/>
    <w:rsid w:val="3C2854E9"/>
    <w:rsid w:val="3C381BD8"/>
    <w:rsid w:val="3C385A1D"/>
    <w:rsid w:val="3C3E07F0"/>
    <w:rsid w:val="3C403CF2"/>
    <w:rsid w:val="3C414DA5"/>
    <w:rsid w:val="3C43510A"/>
    <w:rsid w:val="3C466358"/>
    <w:rsid w:val="3C5204EF"/>
    <w:rsid w:val="3C602DED"/>
    <w:rsid w:val="3C6333F1"/>
    <w:rsid w:val="3C662FFE"/>
    <w:rsid w:val="3C6D41FE"/>
    <w:rsid w:val="3C6E024A"/>
    <w:rsid w:val="3C7D1B3E"/>
    <w:rsid w:val="3C7D6C7C"/>
    <w:rsid w:val="3C7E24F2"/>
    <w:rsid w:val="3C93083D"/>
    <w:rsid w:val="3C9C6FE7"/>
    <w:rsid w:val="3CA424EB"/>
    <w:rsid w:val="3CAC5CFE"/>
    <w:rsid w:val="3CB04C77"/>
    <w:rsid w:val="3CB23005"/>
    <w:rsid w:val="3CBB50D5"/>
    <w:rsid w:val="3CBB635D"/>
    <w:rsid w:val="3CBD387C"/>
    <w:rsid w:val="3CC65269"/>
    <w:rsid w:val="3CCA1321"/>
    <w:rsid w:val="3CCD2EEF"/>
    <w:rsid w:val="3CD0064E"/>
    <w:rsid w:val="3CDD514D"/>
    <w:rsid w:val="3CE05C88"/>
    <w:rsid w:val="3CE20AAD"/>
    <w:rsid w:val="3CEB4AD7"/>
    <w:rsid w:val="3CEF4259"/>
    <w:rsid w:val="3CF216D3"/>
    <w:rsid w:val="3CF278A5"/>
    <w:rsid w:val="3CF73F9A"/>
    <w:rsid w:val="3CFE5A5C"/>
    <w:rsid w:val="3D025872"/>
    <w:rsid w:val="3D0E6843"/>
    <w:rsid w:val="3D191DAA"/>
    <w:rsid w:val="3D2502C8"/>
    <w:rsid w:val="3D371C50"/>
    <w:rsid w:val="3D3E42D5"/>
    <w:rsid w:val="3D462E65"/>
    <w:rsid w:val="3D490A1B"/>
    <w:rsid w:val="3D4B7546"/>
    <w:rsid w:val="3D4D1D31"/>
    <w:rsid w:val="3D4E71D1"/>
    <w:rsid w:val="3D501A9C"/>
    <w:rsid w:val="3D506C30"/>
    <w:rsid w:val="3D532B00"/>
    <w:rsid w:val="3D583E0B"/>
    <w:rsid w:val="3D705C19"/>
    <w:rsid w:val="3D712D52"/>
    <w:rsid w:val="3D7238DB"/>
    <w:rsid w:val="3D8E5820"/>
    <w:rsid w:val="3D9730E1"/>
    <w:rsid w:val="3DA32A96"/>
    <w:rsid w:val="3DC24854"/>
    <w:rsid w:val="3DD1349B"/>
    <w:rsid w:val="3DD516A1"/>
    <w:rsid w:val="3DDD2303"/>
    <w:rsid w:val="3DE51256"/>
    <w:rsid w:val="3DF45112"/>
    <w:rsid w:val="3DF56140"/>
    <w:rsid w:val="3DFC57FB"/>
    <w:rsid w:val="3E0130BA"/>
    <w:rsid w:val="3E0A6511"/>
    <w:rsid w:val="3E0E2FD5"/>
    <w:rsid w:val="3E111FAD"/>
    <w:rsid w:val="3E134054"/>
    <w:rsid w:val="3E247A20"/>
    <w:rsid w:val="3E2574A0"/>
    <w:rsid w:val="3E2616C1"/>
    <w:rsid w:val="3E310271"/>
    <w:rsid w:val="3E335277"/>
    <w:rsid w:val="3E394E20"/>
    <w:rsid w:val="3E3B4C34"/>
    <w:rsid w:val="3E3F09AD"/>
    <w:rsid w:val="3E5018B8"/>
    <w:rsid w:val="3E5978BF"/>
    <w:rsid w:val="3E5D5542"/>
    <w:rsid w:val="3E5E1B99"/>
    <w:rsid w:val="3E601746"/>
    <w:rsid w:val="3E672DAD"/>
    <w:rsid w:val="3E761F02"/>
    <w:rsid w:val="3E774C34"/>
    <w:rsid w:val="3E883E5D"/>
    <w:rsid w:val="3E8A31E1"/>
    <w:rsid w:val="3E983C64"/>
    <w:rsid w:val="3EA177D6"/>
    <w:rsid w:val="3EA52DC6"/>
    <w:rsid w:val="3EAD1CD6"/>
    <w:rsid w:val="3EB3776D"/>
    <w:rsid w:val="3EC26345"/>
    <w:rsid w:val="3ED15734"/>
    <w:rsid w:val="3ED72927"/>
    <w:rsid w:val="3EE07013"/>
    <w:rsid w:val="3EE65880"/>
    <w:rsid w:val="3EE84AE4"/>
    <w:rsid w:val="3EEA4CDA"/>
    <w:rsid w:val="3EEB2CEE"/>
    <w:rsid w:val="3EEB5763"/>
    <w:rsid w:val="3EF1250A"/>
    <w:rsid w:val="3EF15879"/>
    <w:rsid w:val="3EF404CF"/>
    <w:rsid w:val="3EFA4CF0"/>
    <w:rsid w:val="3F001489"/>
    <w:rsid w:val="3F012400"/>
    <w:rsid w:val="3F030E70"/>
    <w:rsid w:val="3F070F45"/>
    <w:rsid w:val="3F075CF5"/>
    <w:rsid w:val="3F094364"/>
    <w:rsid w:val="3F1C75CF"/>
    <w:rsid w:val="3F1E7077"/>
    <w:rsid w:val="3F2350E9"/>
    <w:rsid w:val="3F34691C"/>
    <w:rsid w:val="3F376DC9"/>
    <w:rsid w:val="3F43318E"/>
    <w:rsid w:val="3F4F57E3"/>
    <w:rsid w:val="3F512FF6"/>
    <w:rsid w:val="3F5354C3"/>
    <w:rsid w:val="3F544847"/>
    <w:rsid w:val="3F5F0544"/>
    <w:rsid w:val="3F620BFB"/>
    <w:rsid w:val="3F7528FE"/>
    <w:rsid w:val="3F770324"/>
    <w:rsid w:val="3F7A0CD8"/>
    <w:rsid w:val="3F832409"/>
    <w:rsid w:val="3F842939"/>
    <w:rsid w:val="3F854A01"/>
    <w:rsid w:val="3F8C5644"/>
    <w:rsid w:val="3F8E7D59"/>
    <w:rsid w:val="3F93596D"/>
    <w:rsid w:val="3F9E1081"/>
    <w:rsid w:val="3F9E16ED"/>
    <w:rsid w:val="3F9F3FA7"/>
    <w:rsid w:val="3FA05CDE"/>
    <w:rsid w:val="3FAA0AB2"/>
    <w:rsid w:val="3FAE078D"/>
    <w:rsid w:val="3FB10395"/>
    <w:rsid w:val="3FB27839"/>
    <w:rsid w:val="3FB86B84"/>
    <w:rsid w:val="3FBC57F2"/>
    <w:rsid w:val="3FC419CD"/>
    <w:rsid w:val="3FC93641"/>
    <w:rsid w:val="3FD65AB3"/>
    <w:rsid w:val="3FD74631"/>
    <w:rsid w:val="3FDB177D"/>
    <w:rsid w:val="3FDB2741"/>
    <w:rsid w:val="3FDC23A1"/>
    <w:rsid w:val="3FFC1590"/>
    <w:rsid w:val="4009584A"/>
    <w:rsid w:val="40180C81"/>
    <w:rsid w:val="401E6A87"/>
    <w:rsid w:val="40241E0B"/>
    <w:rsid w:val="40283D80"/>
    <w:rsid w:val="402F7D87"/>
    <w:rsid w:val="40392E75"/>
    <w:rsid w:val="404C3734"/>
    <w:rsid w:val="404C539D"/>
    <w:rsid w:val="404E3885"/>
    <w:rsid w:val="405215C2"/>
    <w:rsid w:val="406229AA"/>
    <w:rsid w:val="40664832"/>
    <w:rsid w:val="407436A1"/>
    <w:rsid w:val="4078565D"/>
    <w:rsid w:val="40824549"/>
    <w:rsid w:val="408562FD"/>
    <w:rsid w:val="40892FE2"/>
    <w:rsid w:val="409749EB"/>
    <w:rsid w:val="40985426"/>
    <w:rsid w:val="40A30765"/>
    <w:rsid w:val="40A403A8"/>
    <w:rsid w:val="40A51E9D"/>
    <w:rsid w:val="40A529B7"/>
    <w:rsid w:val="40A72F9D"/>
    <w:rsid w:val="40B45E9F"/>
    <w:rsid w:val="40B90DA1"/>
    <w:rsid w:val="40C30F41"/>
    <w:rsid w:val="40C37CEF"/>
    <w:rsid w:val="40C87F12"/>
    <w:rsid w:val="40CA2584"/>
    <w:rsid w:val="40CB1AEF"/>
    <w:rsid w:val="40E00845"/>
    <w:rsid w:val="40E56ECA"/>
    <w:rsid w:val="40E84C83"/>
    <w:rsid w:val="40F437D9"/>
    <w:rsid w:val="40FF56B8"/>
    <w:rsid w:val="410522E3"/>
    <w:rsid w:val="410561AA"/>
    <w:rsid w:val="41066C94"/>
    <w:rsid w:val="411116CB"/>
    <w:rsid w:val="411150DB"/>
    <w:rsid w:val="41201B4B"/>
    <w:rsid w:val="4124693A"/>
    <w:rsid w:val="412775BC"/>
    <w:rsid w:val="412F08A6"/>
    <w:rsid w:val="41354204"/>
    <w:rsid w:val="413B50A6"/>
    <w:rsid w:val="413C758F"/>
    <w:rsid w:val="413F69B3"/>
    <w:rsid w:val="414F153C"/>
    <w:rsid w:val="41517657"/>
    <w:rsid w:val="4158397F"/>
    <w:rsid w:val="4174093A"/>
    <w:rsid w:val="417C1E33"/>
    <w:rsid w:val="41834CBF"/>
    <w:rsid w:val="41882259"/>
    <w:rsid w:val="41910EF6"/>
    <w:rsid w:val="41945DFD"/>
    <w:rsid w:val="419541D6"/>
    <w:rsid w:val="41A25BB6"/>
    <w:rsid w:val="41A61DF4"/>
    <w:rsid w:val="41A63C78"/>
    <w:rsid w:val="41BC1F4E"/>
    <w:rsid w:val="41CC618F"/>
    <w:rsid w:val="41CE08D6"/>
    <w:rsid w:val="41D059A2"/>
    <w:rsid w:val="41D41C6F"/>
    <w:rsid w:val="41D66F27"/>
    <w:rsid w:val="41D962F9"/>
    <w:rsid w:val="41DE236A"/>
    <w:rsid w:val="41E06278"/>
    <w:rsid w:val="41E3117C"/>
    <w:rsid w:val="41EC3471"/>
    <w:rsid w:val="41F11061"/>
    <w:rsid w:val="41F56A74"/>
    <w:rsid w:val="41F67DF1"/>
    <w:rsid w:val="41FA4EFD"/>
    <w:rsid w:val="41FD6096"/>
    <w:rsid w:val="42051E29"/>
    <w:rsid w:val="42062F0F"/>
    <w:rsid w:val="42075A56"/>
    <w:rsid w:val="420C61CC"/>
    <w:rsid w:val="420E5181"/>
    <w:rsid w:val="42164C48"/>
    <w:rsid w:val="421B2F82"/>
    <w:rsid w:val="421E57B0"/>
    <w:rsid w:val="4235176C"/>
    <w:rsid w:val="42427976"/>
    <w:rsid w:val="424550A1"/>
    <w:rsid w:val="425B33BA"/>
    <w:rsid w:val="425D457D"/>
    <w:rsid w:val="425E559F"/>
    <w:rsid w:val="42637DC8"/>
    <w:rsid w:val="426A09AA"/>
    <w:rsid w:val="427A51A5"/>
    <w:rsid w:val="42821A19"/>
    <w:rsid w:val="4283791D"/>
    <w:rsid w:val="428C2C05"/>
    <w:rsid w:val="428C60A6"/>
    <w:rsid w:val="42A0231D"/>
    <w:rsid w:val="42A13630"/>
    <w:rsid w:val="42A7322A"/>
    <w:rsid w:val="42A9499E"/>
    <w:rsid w:val="42AA1D1F"/>
    <w:rsid w:val="42BA7393"/>
    <w:rsid w:val="42BC10CB"/>
    <w:rsid w:val="42CA288C"/>
    <w:rsid w:val="42D04AEA"/>
    <w:rsid w:val="42D10D5B"/>
    <w:rsid w:val="42D25B81"/>
    <w:rsid w:val="42D31E6E"/>
    <w:rsid w:val="42DC53EE"/>
    <w:rsid w:val="42DD08BF"/>
    <w:rsid w:val="42EC4F17"/>
    <w:rsid w:val="42FE6FA4"/>
    <w:rsid w:val="430867A7"/>
    <w:rsid w:val="43106CD7"/>
    <w:rsid w:val="431969CB"/>
    <w:rsid w:val="431A0AF5"/>
    <w:rsid w:val="431C567C"/>
    <w:rsid w:val="43314AEF"/>
    <w:rsid w:val="43332558"/>
    <w:rsid w:val="433652DC"/>
    <w:rsid w:val="433A6249"/>
    <w:rsid w:val="433B28B9"/>
    <w:rsid w:val="43437DA3"/>
    <w:rsid w:val="43445A59"/>
    <w:rsid w:val="43486471"/>
    <w:rsid w:val="436902AD"/>
    <w:rsid w:val="436C15B0"/>
    <w:rsid w:val="436E4ACC"/>
    <w:rsid w:val="43716E0C"/>
    <w:rsid w:val="43756195"/>
    <w:rsid w:val="437A5AFE"/>
    <w:rsid w:val="4380385C"/>
    <w:rsid w:val="438352F9"/>
    <w:rsid w:val="43863346"/>
    <w:rsid w:val="4387343D"/>
    <w:rsid w:val="438C79CF"/>
    <w:rsid w:val="438E300D"/>
    <w:rsid w:val="43922E0F"/>
    <w:rsid w:val="4395664D"/>
    <w:rsid w:val="43971389"/>
    <w:rsid w:val="43A27703"/>
    <w:rsid w:val="43A801E8"/>
    <w:rsid w:val="43AF194F"/>
    <w:rsid w:val="43AF72A0"/>
    <w:rsid w:val="43B20829"/>
    <w:rsid w:val="43B61A64"/>
    <w:rsid w:val="43B80B01"/>
    <w:rsid w:val="43B93A2D"/>
    <w:rsid w:val="43B940E5"/>
    <w:rsid w:val="43BB4E95"/>
    <w:rsid w:val="43BC4323"/>
    <w:rsid w:val="43D2655C"/>
    <w:rsid w:val="43D3205C"/>
    <w:rsid w:val="43DE4677"/>
    <w:rsid w:val="43E03D2B"/>
    <w:rsid w:val="43E248C0"/>
    <w:rsid w:val="43ED7E6A"/>
    <w:rsid w:val="43F63370"/>
    <w:rsid w:val="44027CCE"/>
    <w:rsid w:val="441719EB"/>
    <w:rsid w:val="441F7EFA"/>
    <w:rsid w:val="4421198C"/>
    <w:rsid w:val="44240C76"/>
    <w:rsid w:val="442B231B"/>
    <w:rsid w:val="44305CED"/>
    <w:rsid w:val="4431551A"/>
    <w:rsid w:val="4436276D"/>
    <w:rsid w:val="444C5BD8"/>
    <w:rsid w:val="444D7FB7"/>
    <w:rsid w:val="44511355"/>
    <w:rsid w:val="4457071E"/>
    <w:rsid w:val="445A1192"/>
    <w:rsid w:val="445A389E"/>
    <w:rsid w:val="44605AE4"/>
    <w:rsid w:val="446159B6"/>
    <w:rsid w:val="4465660B"/>
    <w:rsid w:val="446A6A10"/>
    <w:rsid w:val="446F5BD8"/>
    <w:rsid w:val="44707DDE"/>
    <w:rsid w:val="44737F63"/>
    <w:rsid w:val="448164C6"/>
    <w:rsid w:val="448F0F7C"/>
    <w:rsid w:val="44911DF8"/>
    <w:rsid w:val="44967BFE"/>
    <w:rsid w:val="449D6DA3"/>
    <w:rsid w:val="449F3CB9"/>
    <w:rsid w:val="44A92F3F"/>
    <w:rsid w:val="44AE60DA"/>
    <w:rsid w:val="44AF0211"/>
    <w:rsid w:val="44C03F74"/>
    <w:rsid w:val="44C22C86"/>
    <w:rsid w:val="44CC2A51"/>
    <w:rsid w:val="44D16F97"/>
    <w:rsid w:val="44D94969"/>
    <w:rsid w:val="44DA29BC"/>
    <w:rsid w:val="44E90572"/>
    <w:rsid w:val="44F404F2"/>
    <w:rsid w:val="44F468B0"/>
    <w:rsid w:val="44F706A6"/>
    <w:rsid w:val="44FE4E97"/>
    <w:rsid w:val="44FF5C81"/>
    <w:rsid w:val="45064F7E"/>
    <w:rsid w:val="450A03D3"/>
    <w:rsid w:val="450B3BFA"/>
    <w:rsid w:val="45137F7C"/>
    <w:rsid w:val="451A5FCC"/>
    <w:rsid w:val="451F3A0C"/>
    <w:rsid w:val="45213EA8"/>
    <w:rsid w:val="452203B0"/>
    <w:rsid w:val="452A29E2"/>
    <w:rsid w:val="45383F9A"/>
    <w:rsid w:val="45442F56"/>
    <w:rsid w:val="4547033E"/>
    <w:rsid w:val="45484228"/>
    <w:rsid w:val="455107D6"/>
    <w:rsid w:val="455424C3"/>
    <w:rsid w:val="45686CEA"/>
    <w:rsid w:val="456B795E"/>
    <w:rsid w:val="4573502A"/>
    <w:rsid w:val="45816024"/>
    <w:rsid w:val="4588349D"/>
    <w:rsid w:val="45921C25"/>
    <w:rsid w:val="45A40CCC"/>
    <w:rsid w:val="45A95269"/>
    <w:rsid w:val="45AA2785"/>
    <w:rsid w:val="45AC6AE5"/>
    <w:rsid w:val="45B56F4C"/>
    <w:rsid w:val="45B63B66"/>
    <w:rsid w:val="45B91D98"/>
    <w:rsid w:val="45BA3C32"/>
    <w:rsid w:val="45BD345F"/>
    <w:rsid w:val="45C70037"/>
    <w:rsid w:val="45CF4C28"/>
    <w:rsid w:val="45D60A99"/>
    <w:rsid w:val="45E10D1A"/>
    <w:rsid w:val="45E83F3B"/>
    <w:rsid w:val="45EA09CA"/>
    <w:rsid w:val="45ED1A15"/>
    <w:rsid w:val="45ED462D"/>
    <w:rsid w:val="45F64683"/>
    <w:rsid w:val="45F75B92"/>
    <w:rsid w:val="45FD7B25"/>
    <w:rsid w:val="460613D2"/>
    <w:rsid w:val="4611460E"/>
    <w:rsid w:val="46190276"/>
    <w:rsid w:val="462151D2"/>
    <w:rsid w:val="46247BE6"/>
    <w:rsid w:val="46253BFB"/>
    <w:rsid w:val="4631143E"/>
    <w:rsid w:val="463C09D6"/>
    <w:rsid w:val="464907FE"/>
    <w:rsid w:val="464F4C1C"/>
    <w:rsid w:val="465B56DC"/>
    <w:rsid w:val="46601D24"/>
    <w:rsid w:val="466758E6"/>
    <w:rsid w:val="466B0DF4"/>
    <w:rsid w:val="467B4672"/>
    <w:rsid w:val="46935C55"/>
    <w:rsid w:val="4699597B"/>
    <w:rsid w:val="46A2058E"/>
    <w:rsid w:val="46A3401E"/>
    <w:rsid w:val="46A72CFE"/>
    <w:rsid w:val="46A74C7E"/>
    <w:rsid w:val="46A77C72"/>
    <w:rsid w:val="46AB0F36"/>
    <w:rsid w:val="46AC242C"/>
    <w:rsid w:val="46BA3992"/>
    <w:rsid w:val="46BB5D92"/>
    <w:rsid w:val="46C439DA"/>
    <w:rsid w:val="46C573D6"/>
    <w:rsid w:val="46CE7109"/>
    <w:rsid w:val="46D86B32"/>
    <w:rsid w:val="46DA1AD6"/>
    <w:rsid w:val="46E030F0"/>
    <w:rsid w:val="46E20E31"/>
    <w:rsid w:val="46E44C50"/>
    <w:rsid w:val="46F91C38"/>
    <w:rsid w:val="46FD10DB"/>
    <w:rsid w:val="46FD245E"/>
    <w:rsid w:val="470F63B2"/>
    <w:rsid w:val="47101AA3"/>
    <w:rsid w:val="4717275B"/>
    <w:rsid w:val="47176886"/>
    <w:rsid w:val="471C3305"/>
    <w:rsid w:val="47302A21"/>
    <w:rsid w:val="47306EFC"/>
    <w:rsid w:val="473070D9"/>
    <w:rsid w:val="47370611"/>
    <w:rsid w:val="473C0F95"/>
    <w:rsid w:val="47413903"/>
    <w:rsid w:val="474915C6"/>
    <w:rsid w:val="47496C41"/>
    <w:rsid w:val="474B478B"/>
    <w:rsid w:val="474F28FD"/>
    <w:rsid w:val="47554967"/>
    <w:rsid w:val="475A57C4"/>
    <w:rsid w:val="47625972"/>
    <w:rsid w:val="47667F7D"/>
    <w:rsid w:val="476819A7"/>
    <w:rsid w:val="476D2268"/>
    <w:rsid w:val="4779678C"/>
    <w:rsid w:val="477A708F"/>
    <w:rsid w:val="478203C0"/>
    <w:rsid w:val="478B5D9F"/>
    <w:rsid w:val="47953F3F"/>
    <w:rsid w:val="479868D5"/>
    <w:rsid w:val="479F0B4C"/>
    <w:rsid w:val="479F1D17"/>
    <w:rsid w:val="47A04ACD"/>
    <w:rsid w:val="47A0687C"/>
    <w:rsid w:val="47A63131"/>
    <w:rsid w:val="47AC7CE1"/>
    <w:rsid w:val="47B16CDB"/>
    <w:rsid w:val="47C92D1C"/>
    <w:rsid w:val="47CA3CF4"/>
    <w:rsid w:val="47E14962"/>
    <w:rsid w:val="47E265B6"/>
    <w:rsid w:val="47EB4DE7"/>
    <w:rsid w:val="47F975A2"/>
    <w:rsid w:val="47FA3407"/>
    <w:rsid w:val="47FF2206"/>
    <w:rsid w:val="48013227"/>
    <w:rsid w:val="480D6D33"/>
    <w:rsid w:val="481559A3"/>
    <w:rsid w:val="481C2C29"/>
    <w:rsid w:val="481F0AAE"/>
    <w:rsid w:val="48205C0E"/>
    <w:rsid w:val="482368FF"/>
    <w:rsid w:val="48275236"/>
    <w:rsid w:val="48293A81"/>
    <w:rsid w:val="482B1AC5"/>
    <w:rsid w:val="482B6784"/>
    <w:rsid w:val="482F25FC"/>
    <w:rsid w:val="482F7BFF"/>
    <w:rsid w:val="483F0081"/>
    <w:rsid w:val="48427BA9"/>
    <w:rsid w:val="48434575"/>
    <w:rsid w:val="484A2C8B"/>
    <w:rsid w:val="484B6B33"/>
    <w:rsid w:val="485533C5"/>
    <w:rsid w:val="48580E8F"/>
    <w:rsid w:val="485B4474"/>
    <w:rsid w:val="485E2483"/>
    <w:rsid w:val="48641537"/>
    <w:rsid w:val="4864199A"/>
    <w:rsid w:val="4869728F"/>
    <w:rsid w:val="486A4D86"/>
    <w:rsid w:val="486C3DF4"/>
    <w:rsid w:val="48724CD7"/>
    <w:rsid w:val="489575E0"/>
    <w:rsid w:val="48997109"/>
    <w:rsid w:val="489D0455"/>
    <w:rsid w:val="48A66DA7"/>
    <w:rsid w:val="48A760EA"/>
    <w:rsid w:val="48AC661B"/>
    <w:rsid w:val="48B32931"/>
    <w:rsid w:val="48BA0713"/>
    <w:rsid w:val="48C33D54"/>
    <w:rsid w:val="48C87844"/>
    <w:rsid w:val="48CC2963"/>
    <w:rsid w:val="48D14163"/>
    <w:rsid w:val="48D6451F"/>
    <w:rsid w:val="48DB6D5A"/>
    <w:rsid w:val="48E62261"/>
    <w:rsid w:val="48E82175"/>
    <w:rsid w:val="48E834DC"/>
    <w:rsid w:val="48E870E7"/>
    <w:rsid w:val="48F01094"/>
    <w:rsid w:val="48F52FC5"/>
    <w:rsid w:val="48F8587B"/>
    <w:rsid w:val="49025338"/>
    <w:rsid w:val="49064D95"/>
    <w:rsid w:val="4908737E"/>
    <w:rsid w:val="491938EE"/>
    <w:rsid w:val="491D1E84"/>
    <w:rsid w:val="492023FE"/>
    <w:rsid w:val="49227198"/>
    <w:rsid w:val="49253D95"/>
    <w:rsid w:val="492A6E99"/>
    <w:rsid w:val="492E734A"/>
    <w:rsid w:val="493354CD"/>
    <w:rsid w:val="49364091"/>
    <w:rsid w:val="49386F50"/>
    <w:rsid w:val="493E4B43"/>
    <w:rsid w:val="49474EA9"/>
    <w:rsid w:val="494B5FDF"/>
    <w:rsid w:val="494F284F"/>
    <w:rsid w:val="49531363"/>
    <w:rsid w:val="49543BE6"/>
    <w:rsid w:val="495A6647"/>
    <w:rsid w:val="495A6CBC"/>
    <w:rsid w:val="495C4980"/>
    <w:rsid w:val="495F2766"/>
    <w:rsid w:val="49626449"/>
    <w:rsid w:val="49724388"/>
    <w:rsid w:val="49731D6E"/>
    <w:rsid w:val="498126DD"/>
    <w:rsid w:val="49822DDB"/>
    <w:rsid w:val="498463E6"/>
    <w:rsid w:val="49871D8E"/>
    <w:rsid w:val="49884F4C"/>
    <w:rsid w:val="49916E11"/>
    <w:rsid w:val="49A364EA"/>
    <w:rsid w:val="49A548D8"/>
    <w:rsid w:val="49A623D7"/>
    <w:rsid w:val="49A94645"/>
    <w:rsid w:val="49A95BC3"/>
    <w:rsid w:val="49B22896"/>
    <w:rsid w:val="49C837F4"/>
    <w:rsid w:val="49D43B9F"/>
    <w:rsid w:val="49D776CB"/>
    <w:rsid w:val="49D96075"/>
    <w:rsid w:val="49DB6D62"/>
    <w:rsid w:val="49E30E31"/>
    <w:rsid w:val="49E54FED"/>
    <w:rsid w:val="49E968B6"/>
    <w:rsid w:val="49F5275A"/>
    <w:rsid w:val="49F94354"/>
    <w:rsid w:val="49FC5A51"/>
    <w:rsid w:val="4A035C2C"/>
    <w:rsid w:val="4A0466EB"/>
    <w:rsid w:val="4A061444"/>
    <w:rsid w:val="4A0F5F3A"/>
    <w:rsid w:val="4A105C3A"/>
    <w:rsid w:val="4A1F35A9"/>
    <w:rsid w:val="4A2238B2"/>
    <w:rsid w:val="4A23198A"/>
    <w:rsid w:val="4A2B1C94"/>
    <w:rsid w:val="4A2E6920"/>
    <w:rsid w:val="4A3426A9"/>
    <w:rsid w:val="4A345076"/>
    <w:rsid w:val="4A366346"/>
    <w:rsid w:val="4A386146"/>
    <w:rsid w:val="4A3A4C36"/>
    <w:rsid w:val="4A410448"/>
    <w:rsid w:val="4A45552A"/>
    <w:rsid w:val="4A4A4D53"/>
    <w:rsid w:val="4A4C4A99"/>
    <w:rsid w:val="4A512227"/>
    <w:rsid w:val="4A512F9E"/>
    <w:rsid w:val="4A58343D"/>
    <w:rsid w:val="4A594E71"/>
    <w:rsid w:val="4A68505D"/>
    <w:rsid w:val="4A745066"/>
    <w:rsid w:val="4A777B9B"/>
    <w:rsid w:val="4A79448B"/>
    <w:rsid w:val="4A851ECD"/>
    <w:rsid w:val="4A8D238C"/>
    <w:rsid w:val="4A8D5139"/>
    <w:rsid w:val="4A973CB1"/>
    <w:rsid w:val="4A981A8C"/>
    <w:rsid w:val="4A9D52F4"/>
    <w:rsid w:val="4AA476FB"/>
    <w:rsid w:val="4AAB11CD"/>
    <w:rsid w:val="4AAE7155"/>
    <w:rsid w:val="4AB356AE"/>
    <w:rsid w:val="4AC52385"/>
    <w:rsid w:val="4ACE4959"/>
    <w:rsid w:val="4ACF5222"/>
    <w:rsid w:val="4AD14F9E"/>
    <w:rsid w:val="4ADA7CE1"/>
    <w:rsid w:val="4ADB3F84"/>
    <w:rsid w:val="4AE20F42"/>
    <w:rsid w:val="4AE303F0"/>
    <w:rsid w:val="4AF55130"/>
    <w:rsid w:val="4AFA4343"/>
    <w:rsid w:val="4AFC02F6"/>
    <w:rsid w:val="4B156F97"/>
    <w:rsid w:val="4B1F3F5B"/>
    <w:rsid w:val="4B3008FB"/>
    <w:rsid w:val="4B306168"/>
    <w:rsid w:val="4B460AE7"/>
    <w:rsid w:val="4B49722A"/>
    <w:rsid w:val="4B4A1078"/>
    <w:rsid w:val="4B4C2865"/>
    <w:rsid w:val="4B4C799B"/>
    <w:rsid w:val="4B5868B4"/>
    <w:rsid w:val="4B597090"/>
    <w:rsid w:val="4B597F92"/>
    <w:rsid w:val="4B5A03D5"/>
    <w:rsid w:val="4B5C6F5D"/>
    <w:rsid w:val="4B66054D"/>
    <w:rsid w:val="4B913121"/>
    <w:rsid w:val="4BA70BA4"/>
    <w:rsid w:val="4BB0030E"/>
    <w:rsid w:val="4BB36149"/>
    <w:rsid w:val="4BB97A78"/>
    <w:rsid w:val="4BBE40D7"/>
    <w:rsid w:val="4BC1288C"/>
    <w:rsid w:val="4BC23FAE"/>
    <w:rsid w:val="4BC45398"/>
    <w:rsid w:val="4BD36108"/>
    <w:rsid w:val="4BD74AC0"/>
    <w:rsid w:val="4BDD4510"/>
    <w:rsid w:val="4BDE1BD7"/>
    <w:rsid w:val="4BE45A77"/>
    <w:rsid w:val="4BE6529B"/>
    <w:rsid w:val="4BE7434B"/>
    <w:rsid w:val="4BE81894"/>
    <w:rsid w:val="4BEA4A2D"/>
    <w:rsid w:val="4BEC4180"/>
    <w:rsid w:val="4BF25D2E"/>
    <w:rsid w:val="4BF74963"/>
    <w:rsid w:val="4BFE07B2"/>
    <w:rsid w:val="4BFF51AF"/>
    <w:rsid w:val="4C0949C2"/>
    <w:rsid w:val="4C115F9A"/>
    <w:rsid w:val="4C24657D"/>
    <w:rsid w:val="4C2A61ED"/>
    <w:rsid w:val="4C2E5100"/>
    <w:rsid w:val="4C30578A"/>
    <w:rsid w:val="4C355A01"/>
    <w:rsid w:val="4C485612"/>
    <w:rsid w:val="4C591B55"/>
    <w:rsid w:val="4C635A85"/>
    <w:rsid w:val="4C637161"/>
    <w:rsid w:val="4C6A51E6"/>
    <w:rsid w:val="4C6F5919"/>
    <w:rsid w:val="4C7067DD"/>
    <w:rsid w:val="4C716889"/>
    <w:rsid w:val="4C793455"/>
    <w:rsid w:val="4C86529F"/>
    <w:rsid w:val="4C942A4A"/>
    <w:rsid w:val="4C94647F"/>
    <w:rsid w:val="4C9778BC"/>
    <w:rsid w:val="4C995CF6"/>
    <w:rsid w:val="4C9C23DD"/>
    <w:rsid w:val="4CA26813"/>
    <w:rsid w:val="4CA60321"/>
    <w:rsid w:val="4CA740C2"/>
    <w:rsid w:val="4CA76C01"/>
    <w:rsid w:val="4CA813AA"/>
    <w:rsid w:val="4CAA54B7"/>
    <w:rsid w:val="4CAE2E10"/>
    <w:rsid w:val="4CC34DBA"/>
    <w:rsid w:val="4CC51726"/>
    <w:rsid w:val="4CCC0113"/>
    <w:rsid w:val="4CD2722C"/>
    <w:rsid w:val="4CD5009D"/>
    <w:rsid w:val="4CD57FBE"/>
    <w:rsid w:val="4CDC5428"/>
    <w:rsid w:val="4CDE6E75"/>
    <w:rsid w:val="4CEF0CF6"/>
    <w:rsid w:val="4CF35613"/>
    <w:rsid w:val="4CF66575"/>
    <w:rsid w:val="4D0E072B"/>
    <w:rsid w:val="4D155677"/>
    <w:rsid w:val="4D1D44CA"/>
    <w:rsid w:val="4D230977"/>
    <w:rsid w:val="4D232FD6"/>
    <w:rsid w:val="4D2F42E9"/>
    <w:rsid w:val="4D3326EB"/>
    <w:rsid w:val="4D3675BC"/>
    <w:rsid w:val="4D37311E"/>
    <w:rsid w:val="4D587E21"/>
    <w:rsid w:val="4D591707"/>
    <w:rsid w:val="4D6E145A"/>
    <w:rsid w:val="4D776661"/>
    <w:rsid w:val="4D7D0607"/>
    <w:rsid w:val="4D7D7120"/>
    <w:rsid w:val="4D8009C6"/>
    <w:rsid w:val="4D820863"/>
    <w:rsid w:val="4D8D46B1"/>
    <w:rsid w:val="4D954F06"/>
    <w:rsid w:val="4D9A02CA"/>
    <w:rsid w:val="4D9C654A"/>
    <w:rsid w:val="4DAD4D79"/>
    <w:rsid w:val="4DB3504A"/>
    <w:rsid w:val="4DB52CE0"/>
    <w:rsid w:val="4DBC3764"/>
    <w:rsid w:val="4DBE31D7"/>
    <w:rsid w:val="4DC26901"/>
    <w:rsid w:val="4DC404CD"/>
    <w:rsid w:val="4DC77F2C"/>
    <w:rsid w:val="4DCC1578"/>
    <w:rsid w:val="4DCD69BF"/>
    <w:rsid w:val="4DD22D04"/>
    <w:rsid w:val="4DDA4CE5"/>
    <w:rsid w:val="4DE2123E"/>
    <w:rsid w:val="4DEB0029"/>
    <w:rsid w:val="4DEE0304"/>
    <w:rsid w:val="4DF65D9F"/>
    <w:rsid w:val="4E013DEC"/>
    <w:rsid w:val="4E046C99"/>
    <w:rsid w:val="4E0535C0"/>
    <w:rsid w:val="4E08156A"/>
    <w:rsid w:val="4E1B2451"/>
    <w:rsid w:val="4E1D175A"/>
    <w:rsid w:val="4E1E460B"/>
    <w:rsid w:val="4E1E5719"/>
    <w:rsid w:val="4E25741C"/>
    <w:rsid w:val="4E2E21EC"/>
    <w:rsid w:val="4E3A2BBF"/>
    <w:rsid w:val="4E3C2EAA"/>
    <w:rsid w:val="4E451E6C"/>
    <w:rsid w:val="4E4A08F5"/>
    <w:rsid w:val="4E4E70CE"/>
    <w:rsid w:val="4E5169E2"/>
    <w:rsid w:val="4E62289F"/>
    <w:rsid w:val="4E716678"/>
    <w:rsid w:val="4E735A79"/>
    <w:rsid w:val="4E7C4AEF"/>
    <w:rsid w:val="4E7E6E87"/>
    <w:rsid w:val="4E806936"/>
    <w:rsid w:val="4E865E1F"/>
    <w:rsid w:val="4E8D2DBE"/>
    <w:rsid w:val="4E8D61CF"/>
    <w:rsid w:val="4E9D491C"/>
    <w:rsid w:val="4EA222B8"/>
    <w:rsid w:val="4EA63E59"/>
    <w:rsid w:val="4EB66438"/>
    <w:rsid w:val="4EB90223"/>
    <w:rsid w:val="4EBC7BA4"/>
    <w:rsid w:val="4EC66288"/>
    <w:rsid w:val="4ED14027"/>
    <w:rsid w:val="4ED42FB1"/>
    <w:rsid w:val="4ED51F16"/>
    <w:rsid w:val="4EDE412D"/>
    <w:rsid w:val="4EE60AA3"/>
    <w:rsid w:val="4EE95ABC"/>
    <w:rsid w:val="4EF4550F"/>
    <w:rsid w:val="4F0F3DCE"/>
    <w:rsid w:val="4F132029"/>
    <w:rsid w:val="4F164CFA"/>
    <w:rsid w:val="4F232E8B"/>
    <w:rsid w:val="4F2A51C4"/>
    <w:rsid w:val="4F3609A6"/>
    <w:rsid w:val="4F391364"/>
    <w:rsid w:val="4F4C4C75"/>
    <w:rsid w:val="4F5015D8"/>
    <w:rsid w:val="4F533D48"/>
    <w:rsid w:val="4F5A6570"/>
    <w:rsid w:val="4F621137"/>
    <w:rsid w:val="4F6F2EA9"/>
    <w:rsid w:val="4F712050"/>
    <w:rsid w:val="4F755A9B"/>
    <w:rsid w:val="4F755F07"/>
    <w:rsid w:val="4F785119"/>
    <w:rsid w:val="4F7D23C8"/>
    <w:rsid w:val="4F7F6611"/>
    <w:rsid w:val="4F8056E8"/>
    <w:rsid w:val="4F82619A"/>
    <w:rsid w:val="4F907A4E"/>
    <w:rsid w:val="4F927079"/>
    <w:rsid w:val="4F9A06D3"/>
    <w:rsid w:val="4FBA7CD6"/>
    <w:rsid w:val="4FC155E1"/>
    <w:rsid w:val="4FC82315"/>
    <w:rsid w:val="4FCB46B2"/>
    <w:rsid w:val="4FD05638"/>
    <w:rsid w:val="4FD87E22"/>
    <w:rsid w:val="4FDC2D5B"/>
    <w:rsid w:val="4FDD4DBE"/>
    <w:rsid w:val="4FDD6516"/>
    <w:rsid w:val="4FEC179E"/>
    <w:rsid w:val="4FED3FC0"/>
    <w:rsid w:val="4FEE38A6"/>
    <w:rsid w:val="4FF55AFA"/>
    <w:rsid w:val="4FFA544C"/>
    <w:rsid w:val="500115A3"/>
    <w:rsid w:val="5002169D"/>
    <w:rsid w:val="50027B87"/>
    <w:rsid w:val="50057FA1"/>
    <w:rsid w:val="50071467"/>
    <w:rsid w:val="500B2D41"/>
    <w:rsid w:val="500B5A98"/>
    <w:rsid w:val="50111506"/>
    <w:rsid w:val="501C3ECE"/>
    <w:rsid w:val="50301EF2"/>
    <w:rsid w:val="503442AC"/>
    <w:rsid w:val="50553C73"/>
    <w:rsid w:val="505C57C5"/>
    <w:rsid w:val="505F69DA"/>
    <w:rsid w:val="50603411"/>
    <w:rsid w:val="50620B0F"/>
    <w:rsid w:val="50631FBD"/>
    <w:rsid w:val="506B4447"/>
    <w:rsid w:val="507132C3"/>
    <w:rsid w:val="507D586F"/>
    <w:rsid w:val="50885C3C"/>
    <w:rsid w:val="50932C85"/>
    <w:rsid w:val="50A47C77"/>
    <w:rsid w:val="50A56CB1"/>
    <w:rsid w:val="50AA4201"/>
    <w:rsid w:val="50AB5B9F"/>
    <w:rsid w:val="50B92FED"/>
    <w:rsid w:val="50BF6AC2"/>
    <w:rsid w:val="50C03C81"/>
    <w:rsid w:val="50C41590"/>
    <w:rsid w:val="50C61AF8"/>
    <w:rsid w:val="50C633E9"/>
    <w:rsid w:val="50C84AB4"/>
    <w:rsid w:val="50CA2BBB"/>
    <w:rsid w:val="50CC253A"/>
    <w:rsid w:val="50D25760"/>
    <w:rsid w:val="50D72740"/>
    <w:rsid w:val="50E170A2"/>
    <w:rsid w:val="50E77B88"/>
    <w:rsid w:val="50F6301B"/>
    <w:rsid w:val="50FD5FE0"/>
    <w:rsid w:val="50FE4613"/>
    <w:rsid w:val="510065DD"/>
    <w:rsid w:val="512C420C"/>
    <w:rsid w:val="512C6F4C"/>
    <w:rsid w:val="512D4DA1"/>
    <w:rsid w:val="512E5FA5"/>
    <w:rsid w:val="5137612B"/>
    <w:rsid w:val="513854E7"/>
    <w:rsid w:val="514101E2"/>
    <w:rsid w:val="51426326"/>
    <w:rsid w:val="514352F7"/>
    <w:rsid w:val="515172CA"/>
    <w:rsid w:val="515925CF"/>
    <w:rsid w:val="515C2E14"/>
    <w:rsid w:val="515F70AD"/>
    <w:rsid w:val="51651532"/>
    <w:rsid w:val="51691A00"/>
    <w:rsid w:val="51701BAE"/>
    <w:rsid w:val="51751F0F"/>
    <w:rsid w:val="517A5EA1"/>
    <w:rsid w:val="51825244"/>
    <w:rsid w:val="518B1CAD"/>
    <w:rsid w:val="518C7E71"/>
    <w:rsid w:val="519365B9"/>
    <w:rsid w:val="519810AA"/>
    <w:rsid w:val="519828A7"/>
    <w:rsid w:val="5198532A"/>
    <w:rsid w:val="519E6C32"/>
    <w:rsid w:val="51B518BD"/>
    <w:rsid w:val="51B72FA5"/>
    <w:rsid w:val="51BF0246"/>
    <w:rsid w:val="51C36C3F"/>
    <w:rsid w:val="51E2686B"/>
    <w:rsid w:val="51E8766F"/>
    <w:rsid w:val="51F10DCE"/>
    <w:rsid w:val="51F36142"/>
    <w:rsid w:val="51F44856"/>
    <w:rsid w:val="51F4715A"/>
    <w:rsid w:val="51FD35E2"/>
    <w:rsid w:val="5204027F"/>
    <w:rsid w:val="52082B33"/>
    <w:rsid w:val="52137D0E"/>
    <w:rsid w:val="521A36CE"/>
    <w:rsid w:val="5228156D"/>
    <w:rsid w:val="52341332"/>
    <w:rsid w:val="523972F2"/>
    <w:rsid w:val="523F6E50"/>
    <w:rsid w:val="52412A09"/>
    <w:rsid w:val="52503EF8"/>
    <w:rsid w:val="52505313"/>
    <w:rsid w:val="525435D7"/>
    <w:rsid w:val="52742DDF"/>
    <w:rsid w:val="527F703D"/>
    <w:rsid w:val="528F5047"/>
    <w:rsid w:val="52905E25"/>
    <w:rsid w:val="52913DAF"/>
    <w:rsid w:val="52961FB9"/>
    <w:rsid w:val="529A3F2C"/>
    <w:rsid w:val="52A826F7"/>
    <w:rsid w:val="52AA6E83"/>
    <w:rsid w:val="52AD36E4"/>
    <w:rsid w:val="52BB15D0"/>
    <w:rsid w:val="52BB28DC"/>
    <w:rsid w:val="52BF7DD2"/>
    <w:rsid w:val="52C53B9D"/>
    <w:rsid w:val="52C855E8"/>
    <w:rsid w:val="52D927F9"/>
    <w:rsid w:val="52E7541B"/>
    <w:rsid w:val="52F073C5"/>
    <w:rsid w:val="530208E7"/>
    <w:rsid w:val="53052F13"/>
    <w:rsid w:val="53065AAA"/>
    <w:rsid w:val="530D4FE1"/>
    <w:rsid w:val="53122FAE"/>
    <w:rsid w:val="53296276"/>
    <w:rsid w:val="53356E1A"/>
    <w:rsid w:val="533A4AA1"/>
    <w:rsid w:val="5344091B"/>
    <w:rsid w:val="53586BE1"/>
    <w:rsid w:val="53770A35"/>
    <w:rsid w:val="5379073A"/>
    <w:rsid w:val="537961D3"/>
    <w:rsid w:val="537E55A7"/>
    <w:rsid w:val="537F7C63"/>
    <w:rsid w:val="53853869"/>
    <w:rsid w:val="538A6D90"/>
    <w:rsid w:val="538C3904"/>
    <w:rsid w:val="538F54F6"/>
    <w:rsid w:val="53955B4C"/>
    <w:rsid w:val="539B0803"/>
    <w:rsid w:val="53AE355F"/>
    <w:rsid w:val="53BB50AC"/>
    <w:rsid w:val="53C07187"/>
    <w:rsid w:val="53C65909"/>
    <w:rsid w:val="53D511A6"/>
    <w:rsid w:val="53D64BCB"/>
    <w:rsid w:val="53EC0BD9"/>
    <w:rsid w:val="53F86A2E"/>
    <w:rsid w:val="54041B2C"/>
    <w:rsid w:val="540956A3"/>
    <w:rsid w:val="5413091F"/>
    <w:rsid w:val="54143A3A"/>
    <w:rsid w:val="541E54CB"/>
    <w:rsid w:val="54244390"/>
    <w:rsid w:val="542E16B3"/>
    <w:rsid w:val="542E68AD"/>
    <w:rsid w:val="54397FB7"/>
    <w:rsid w:val="5443213D"/>
    <w:rsid w:val="544A6DB4"/>
    <w:rsid w:val="544F55EE"/>
    <w:rsid w:val="545C1D7C"/>
    <w:rsid w:val="546B1B8B"/>
    <w:rsid w:val="54845B20"/>
    <w:rsid w:val="54866DF9"/>
    <w:rsid w:val="548F103B"/>
    <w:rsid w:val="54907CF5"/>
    <w:rsid w:val="54910777"/>
    <w:rsid w:val="54927FDC"/>
    <w:rsid w:val="54933219"/>
    <w:rsid w:val="549E4844"/>
    <w:rsid w:val="54A354B4"/>
    <w:rsid w:val="54A529FA"/>
    <w:rsid w:val="54A77B63"/>
    <w:rsid w:val="54AA0D3A"/>
    <w:rsid w:val="54AA4C87"/>
    <w:rsid w:val="54B4091C"/>
    <w:rsid w:val="54B67B86"/>
    <w:rsid w:val="54B90739"/>
    <w:rsid w:val="54D658E7"/>
    <w:rsid w:val="54DA6330"/>
    <w:rsid w:val="54DD5A7F"/>
    <w:rsid w:val="54E01F6A"/>
    <w:rsid w:val="54E473F5"/>
    <w:rsid w:val="54E51762"/>
    <w:rsid w:val="54F324AC"/>
    <w:rsid w:val="54F845A7"/>
    <w:rsid w:val="54FD5F5A"/>
    <w:rsid w:val="54FE5688"/>
    <w:rsid w:val="55052CC3"/>
    <w:rsid w:val="550728D9"/>
    <w:rsid w:val="550B1FA2"/>
    <w:rsid w:val="550B4597"/>
    <w:rsid w:val="5516017D"/>
    <w:rsid w:val="553B449B"/>
    <w:rsid w:val="553E17BB"/>
    <w:rsid w:val="55441857"/>
    <w:rsid w:val="554C2D96"/>
    <w:rsid w:val="554D5B69"/>
    <w:rsid w:val="555E0A5F"/>
    <w:rsid w:val="55714F53"/>
    <w:rsid w:val="55744BF0"/>
    <w:rsid w:val="55813304"/>
    <w:rsid w:val="55833B3E"/>
    <w:rsid w:val="55845D3B"/>
    <w:rsid w:val="558943D7"/>
    <w:rsid w:val="55910011"/>
    <w:rsid w:val="559C2307"/>
    <w:rsid w:val="559C3590"/>
    <w:rsid w:val="55A67AAC"/>
    <w:rsid w:val="55A860E4"/>
    <w:rsid w:val="55AC79AC"/>
    <w:rsid w:val="55B14967"/>
    <w:rsid w:val="55B2673A"/>
    <w:rsid w:val="55C018F1"/>
    <w:rsid w:val="55C33F14"/>
    <w:rsid w:val="55C51D6D"/>
    <w:rsid w:val="55C74577"/>
    <w:rsid w:val="55CD1F6F"/>
    <w:rsid w:val="55CF7A91"/>
    <w:rsid w:val="55E20FD9"/>
    <w:rsid w:val="55EE10FA"/>
    <w:rsid w:val="561D553B"/>
    <w:rsid w:val="56213224"/>
    <w:rsid w:val="56244555"/>
    <w:rsid w:val="56277430"/>
    <w:rsid w:val="562E599A"/>
    <w:rsid w:val="562F04C3"/>
    <w:rsid w:val="56313ED1"/>
    <w:rsid w:val="5639469D"/>
    <w:rsid w:val="56487FFB"/>
    <w:rsid w:val="564C6CE0"/>
    <w:rsid w:val="564F1DD0"/>
    <w:rsid w:val="565D31A8"/>
    <w:rsid w:val="56650FBB"/>
    <w:rsid w:val="56694C24"/>
    <w:rsid w:val="5671356F"/>
    <w:rsid w:val="56751058"/>
    <w:rsid w:val="567F297D"/>
    <w:rsid w:val="568B06F7"/>
    <w:rsid w:val="568B3C8D"/>
    <w:rsid w:val="56963F1B"/>
    <w:rsid w:val="56964D1D"/>
    <w:rsid w:val="569C2904"/>
    <w:rsid w:val="569F5B9C"/>
    <w:rsid w:val="56A43C0D"/>
    <w:rsid w:val="56AF28F7"/>
    <w:rsid w:val="56B179DD"/>
    <w:rsid w:val="56B52F1D"/>
    <w:rsid w:val="56BA3704"/>
    <w:rsid w:val="56CC174A"/>
    <w:rsid w:val="56D47DAA"/>
    <w:rsid w:val="56D77DE0"/>
    <w:rsid w:val="56E76D43"/>
    <w:rsid w:val="56F04877"/>
    <w:rsid w:val="56F43B79"/>
    <w:rsid w:val="56F4656B"/>
    <w:rsid w:val="56FD22AA"/>
    <w:rsid w:val="57066AA7"/>
    <w:rsid w:val="57094C12"/>
    <w:rsid w:val="570A3D11"/>
    <w:rsid w:val="570E6A90"/>
    <w:rsid w:val="57240988"/>
    <w:rsid w:val="572C1D4D"/>
    <w:rsid w:val="572D17AE"/>
    <w:rsid w:val="5732255E"/>
    <w:rsid w:val="5738520C"/>
    <w:rsid w:val="57392044"/>
    <w:rsid w:val="573B14C2"/>
    <w:rsid w:val="573C5F8B"/>
    <w:rsid w:val="57417A0B"/>
    <w:rsid w:val="574B4B48"/>
    <w:rsid w:val="574B7272"/>
    <w:rsid w:val="57513E84"/>
    <w:rsid w:val="575256B8"/>
    <w:rsid w:val="57587E7C"/>
    <w:rsid w:val="57613FE3"/>
    <w:rsid w:val="57675A05"/>
    <w:rsid w:val="5769323C"/>
    <w:rsid w:val="577A0E21"/>
    <w:rsid w:val="57807FEA"/>
    <w:rsid w:val="57833DCE"/>
    <w:rsid w:val="57884A60"/>
    <w:rsid w:val="578B2EAF"/>
    <w:rsid w:val="57A529AE"/>
    <w:rsid w:val="57B90B24"/>
    <w:rsid w:val="57BD3192"/>
    <w:rsid w:val="57C05E61"/>
    <w:rsid w:val="57C52852"/>
    <w:rsid w:val="57C739B1"/>
    <w:rsid w:val="57CB63E7"/>
    <w:rsid w:val="57CD1561"/>
    <w:rsid w:val="57D51E20"/>
    <w:rsid w:val="57DA78C0"/>
    <w:rsid w:val="57E02C93"/>
    <w:rsid w:val="57E44D88"/>
    <w:rsid w:val="57E611E8"/>
    <w:rsid w:val="57F145CA"/>
    <w:rsid w:val="57F65D5C"/>
    <w:rsid w:val="57F80D12"/>
    <w:rsid w:val="57F94CA0"/>
    <w:rsid w:val="580044F4"/>
    <w:rsid w:val="58042EB6"/>
    <w:rsid w:val="58087351"/>
    <w:rsid w:val="581A1322"/>
    <w:rsid w:val="58244E33"/>
    <w:rsid w:val="58300776"/>
    <w:rsid w:val="58300E4A"/>
    <w:rsid w:val="5832169E"/>
    <w:rsid w:val="583E3225"/>
    <w:rsid w:val="58420F9B"/>
    <w:rsid w:val="584B6339"/>
    <w:rsid w:val="58521F9E"/>
    <w:rsid w:val="585711A2"/>
    <w:rsid w:val="585B059D"/>
    <w:rsid w:val="58621F7E"/>
    <w:rsid w:val="5869138A"/>
    <w:rsid w:val="58692147"/>
    <w:rsid w:val="586B42FC"/>
    <w:rsid w:val="587246E1"/>
    <w:rsid w:val="587271C1"/>
    <w:rsid w:val="588562F7"/>
    <w:rsid w:val="588E2720"/>
    <w:rsid w:val="588E4E09"/>
    <w:rsid w:val="589936D6"/>
    <w:rsid w:val="58AD704A"/>
    <w:rsid w:val="58B02697"/>
    <w:rsid w:val="58B2642B"/>
    <w:rsid w:val="58B34857"/>
    <w:rsid w:val="58BE6380"/>
    <w:rsid w:val="58C800C8"/>
    <w:rsid w:val="58C919AA"/>
    <w:rsid w:val="58F717F7"/>
    <w:rsid w:val="58F740FA"/>
    <w:rsid w:val="58FB58BB"/>
    <w:rsid w:val="5902195F"/>
    <w:rsid w:val="590B5575"/>
    <w:rsid w:val="59124F2C"/>
    <w:rsid w:val="5918350F"/>
    <w:rsid w:val="591D7A0A"/>
    <w:rsid w:val="593A697F"/>
    <w:rsid w:val="59440359"/>
    <w:rsid w:val="5944340C"/>
    <w:rsid w:val="594B1005"/>
    <w:rsid w:val="59625B5B"/>
    <w:rsid w:val="596E41C9"/>
    <w:rsid w:val="59702FC5"/>
    <w:rsid w:val="59737535"/>
    <w:rsid w:val="597F7206"/>
    <w:rsid w:val="59816F10"/>
    <w:rsid w:val="598335D5"/>
    <w:rsid w:val="59927FEE"/>
    <w:rsid w:val="599454E3"/>
    <w:rsid w:val="5998521B"/>
    <w:rsid w:val="59A903FD"/>
    <w:rsid w:val="59C10E3B"/>
    <w:rsid w:val="59C261CB"/>
    <w:rsid w:val="59C94729"/>
    <w:rsid w:val="59C96E8A"/>
    <w:rsid w:val="59CA2CED"/>
    <w:rsid w:val="59D3626A"/>
    <w:rsid w:val="59D6607C"/>
    <w:rsid w:val="59D800F7"/>
    <w:rsid w:val="59DB3E39"/>
    <w:rsid w:val="59DD4851"/>
    <w:rsid w:val="59DF0B89"/>
    <w:rsid w:val="59EE791A"/>
    <w:rsid w:val="59F32F2D"/>
    <w:rsid w:val="59F56F34"/>
    <w:rsid w:val="59FB3A4A"/>
    <w:rsid w:val="5A0A4028"/>
    <w:rsid w:val="5A0E05F0"/>
    <w:rsid w:val="5A17494B"/>
    <w:rsid w:val="5A1841B6"/>
    <w:rsid w:val="5A1C2BD5"/>
    <w:rsid w:val="5A2C066C"/>
    <w:rsid w:val="5A315424"/>
    <w:rsid w:val="5A31629C"/>
    <w:rsid w:val="5A3F466D"/>
    <w:rsid w:val="5A4B3CAE"/>
    <w:rsid w:val="5A650FC0"/>
    <w:rsid w:val="5A673932"/>
    <w:rsid w:val="5A6951F3"/>
    <w:rsid w:val="5A796880"/>
    <w:rsid w:val="5A8072DC"/>
    <w:rsid w:val="5A8D0F14"/>
    <w:rsid w:val="5A9756BD"/>
    <w:rsid w:val="5A9A35FE"/>
    <w:rsid w:val="5A9C5EA1"/>
    <w:rsid w:val="5AA2476F"/>
    <w:rsid w:val="5AB7537F"/>
    <w:rsid w:val="5ABD4B43"/>
    <w:rsid w:val="5ABD62CE"/>
    <w:rsid w:val="5AC95939"/>
    <w:rsid w:val="5AD0086E"/>
    <w:rsid w:val="5AD7316F"/>
    <w:rsid w:val="5ADB005D"/>
    <w:rsid w:val="5ADD2038"/>
    <w:rsid w:val="5AEC0BE8"/>
    <w:rsid w:val="5AF86ED4"/>
    <w:rsid w:val="5B103576"/>
    <w:rsid w:val="5B1274C8"/>
    <w:rsid w:val="5B2568B6"/>
    <w:rsid w:val="5B263BC0"/>
    <w:rsid w:val="5B280010"/>
    <w:rsid w:val="5B303DC6"/>
    <w:rsid w:val="5B4C7D76"/>
    <w:rsid w:val="5B574D68"/>
    <w:rsid w:val="5B5C1FB2"/>
    <w:rsid w:val="5B5C4D58"/>
    <w:rsid w:val="5B62573A"/>
    <w:rsid w:val="5B667984"/>
    <w:rsid w:val="5B6D4370"/>
    <w:rsid w:val="5B763768"/>
    <w:rsid w:val="5B8552D4"/>
    <w:rsid w:val="5B8829D5"/>
    <w:rsid w:val="5B8A78C3"/>
    <w:rsid w:val="5B8B4149"/>
    <w:rsid w:val="5B8C4224"/>
    <w:rsid w:val="5B8D1FD6"/>
    <w:rsid w:val="5B904078"/>
    <w:rsid w:val="5B912F28"/>
    <w:rsid w:val="5B9143C6"/>
    <w:rsid w:val="5B950720"/>
    <w:rsid w:val="5B983002"/>
    <w:rsid w:val="5BA61855"/>
    <w:rsid w:val="5BAA1356"/>
    <w:rsid w:val="5BB055E7"/>
    <w:rsid w:val="5BB64E0F"/>
    <w:rsid w:val="5BB9179D"/>
    <w:rsid w:val="5BC87CF7"/>
    <w:rsid w:val="5BCD7313"/>
    <w:rsid w:val="5BCF180A"/>
    <w:rsid w:val="5BD237B0"/>
    <w:rsid w:val="5BD934E5"/>
    <w:rsid w:val="5BDC4A3D"/>
    <w:rsid w:val="5BDD5AA5"/>
    <w:rsid w:val="5BDF37E0"/>
    <w:rsid w:val="5BE135B0"/>
    <w:rsid w:val="5BE57919"/>
    <w:rsid w:val="5BE91B7A"/>
    <w:rsid w:val="5BF02FC3"/>
    <w:rsid w:val="5BF12387"/>
    <w:rsid w:val="5BF20804"/>
    <w:rsid w:val="5BF96315"/>
    <w:rsid w:val="5BFD36A9"/>
    <w:rsid w:val="5C007A19"/>
    <w:rsid w:val="5C061599"/>
    <w:rsid w:val="5C075A36"/>
    <w:rsid w:val="5C0A3FE8"/>
    <w:rsid w:val="5C0C69DD"/>
    <w:rsid w:val="5C0F7CEF"/>
    <w:rsid w:val="5C192F91"/>
    <w:rsid w:val="5C2238AB"/>
    <w:rsid w:val="5C28782A"/>
    <w:rsid w:val="5C29499E"/>
    <w:rsid w:val="5C2A09D3"/>
    <w:rsid w:val="5C3435DF"/>
    <w:rsid w:val="5C366A07"/>
    <w:rsid w:val="5C4921B5"/>
    <w:rsid w:val="5C493933"/>
    <w:rsid w:val="5C531C4F"/>
    <w:rsid w:val="5C564DB9"/>
    <w:rsid w:val="5C697295"/>
    <w:rsid w:val="5C6E2BA7"/>
    <w:rsid w:val="5C713A4E"/>
    <w:rsid w:val="5C7A5843"/>
    <w:rsid w:val="5C7B26FA"/>
    <w:rsid w:val="5C7F2D06"/>
    <w:rsid w:val="5C8B3CE0"/>
    <w:rsid w:val="5C8C7C2E"/>
    <w:rsid w:val="5C915592"/>
    <w:rsid w:val="5CA27F25"/>
    <w:rsid w:val="5CA87005"/>
    <w:rsid w:val="5CA95D7B"/>
    <w:rsid w:val="5CB76F4D"/>
    <w:rsid w:val="5CB85FBE"/>
    <w:rsid w:val="5CB9021B"/>
    <w:rsid w:val="5CBE507C"/>
    <w:rsid w:val="5CC4696B"/>
    <w:rsid w:val="5CC679CD"/>
    <w:rsid w:val="5CCA3F23"/>
    <w:rsid w:val="5CCA4E85"/>
    <w:rsid w:val="5CCE421A"/>
    <w:rsid w:val="5CD01F00"/>
    <w:rsid w:val="5CDC1CAC"/>
    <w:rsid w:val="5CE96177"/>
    <w:rsid w:val="5CEC6D18"/>
    <w:rsid w:val="5CF357A4"/>
    <w:rsid w:val="5CF834E9"/>
    <w:rsid w:val="5D014A4B"/>
    <w:rsid w:val="5D094C2B"/>
    <w:rsid w:val="5D1E62BE"/>
    <w:rsid w:val="5D2240FB"/>
    <w:rsid w:val="5D394E1E"/>
    <w:rsid w:val="5D3A0316"/>
    <w:rsid w:val="5D3F27BC"/>
    <w:rsid w:val="5D405402"/>
    <w:rsid w:val="5D41329E"/>
    <w:rsid w:val="5D4C6B10"/>
    <w:rsid w:val="5D573CAE"/>
    <w:rsid w:val="5D5C4B9B"/>
    <w:rsid w:val="5D5D7ED7"/>
    <w:rsid w:val="5D67366C"/>
    <w:rsid w:val="5D6D6F6B"/>
    <w:rsid w:val="5D6F0389"/>
    <w:rsid w:val="5D753156"/>
    <w:rsid w:val="5D80303B"/>
    <w:rsid w:val="5D824E2D"/>
    <w:rsid w:val="5D8916F9"/>
    <w:rsid w:val="5D99435E"/>
    <w:rsid w:val="5DA2115E"/>
    <w:rsid w:val="5DA24670"/>
    <w:rsid w:val="5DA440D0"/>
    <w:rsid w:val="5DA46F33"/>
    <w:rsid w:val="5DA87E54"/>
    <w:rsid w:val="5DAD3649"/>
    <w:rsid w:val="5DAD4973"/>
    <w:rsid w:val="5DB20C5F"/>
    <w:rsid w:val="5DB815B7"/>
    <w:rsid w:val="5DB828EB"/>
    <w:rsid w:val="5DC726D6"/>
    <w:rsid w:val="5DC91CAB"/>
    <w:rsid w:val="5DDB0240"/>
    <w:rsid w:val="5DE51A4E"/>
    <w:rsid w:val="5DE6209F"/>
    <w:rsid w:val="5DEA17FA"/>
    <w:rsid w:val="5DEB6DAA"/>
    <w:rsid w:val="5DFC414B"/>
    <w:rsid w:val="5E0303E5"/>
    <w:rsid w:val="5E112E3A"/>
    <w:rsid w:val="5E144C9F"/>
    <w:rsid w:val="5E272270"/>
    <w:rsid w:val="5E2D6D72"/>
    <w:rsid w:val="5E316028"/>
    <w:rsid w:val="5E32322F"/>
    <w:rsid w:val="5E327113"/>
    <w:rsid w:val="5E407C7E"/>
    <w:rsid w:val="5E424B3B"/>
    <w:rsid w:val="5E451DC5"/>
    <w:rsid w:val="5E492982"/>
    <w:rsid w:val="5E4E1292"/>
    <w:rsid w:val="5E501D1F"/>
    <w:rsid w:val="5E5E1542"/>
    <w:rsid w:val="5E602996"/>
    <w:rsid w:val="5E607523"/>
    <w:rsid w:val="5E6120B7"/>
    <w:rsid w:val="5E61260F"/>
    <w:rsid w:val="5E6647E7"/>
    <w:rsid w:val="5E682BDC"/>
    <w:rsid w:val="5E6914BF"/>
    <w:rsid w:val="5E701BB1"/>
    <w:rsid w:val="5E723751"/>
    <w:rsid w:val="5E7319AD"/>
    <w:rsid w:val="5E801BC7"/>
    <w:rsid w:val="5E853A63"/>
    <w:rsid w:val="5E853E15"/>
    <w:rsid w:val="5E861119"/>
    <w:rsid w:val="5E92224E"/>
    <w:rsid w:val="5E9D6C98"/>
    <w:rsid w:val="5EA855E4"/>
    <w:rsid w:val="5EC842E9"/>
    <w:rsid w:val="5ED12057"/>
    <w:rsid w:val="5ED1337F"/>
    <w:rsid w:val="5ED30052"/>
    <w:rsid w:val="5EE05CDC"/>
    <w:rsid w:val="5EEF38FF"/>
    <w:rsid w:val="5EF255A8"/>
    <w:rsid w:val="5EFA3673"/>
    <w:rsid w:val="5EFC6636"/>
    <w:rsid w:val="5EFE2AC0"/>
    <w:rsid w:val="5EFF320A"/>
    <w:rsid w:val="5F0020CC"/>
    <w:rsid w:val="5F0674B4"/>
    <w:rsid w:val="5F0C4F19"/>
    <w:rsid w:val="5F13572D"/>
    <w:rsid w:val="5F265461"/>
    <w:rsid w:val="5F3061A5"/>
    <w:rsid w:val="5F356E98"/>
    <w:rsid w:val="5F373469"/>
    <w:rsid w:val="5F497FAD"/>
    <w:rsid w:val="5F4A0DD7"/>
    <w:rsid w:val="5F4B6B40"/>
    <w:rsid w:val="5F5879C9"/>
    <w:rsid w:val="5F6863F8"/>
    <w:rsid w:val="5F726337"/>
    <w:rsid w:val="5F77006F"/>
    <w:rsid w:val="5F7A3694"/>
    <w:rsid w:val="5F7C4067"/>
    <w:rsid w:val="5F907269"/>
    <w:rsid w:val="5F93061C"/>
    <w:rsid w:val="5F97792E"/>
    <w:rsid w:val="5F993E2F"/>
    <w:rsid w:val="5F9C6526"/>
    <w:rsid w:val="5FA50C64"/>
    <w:rsid w:val="5FA63D9C"/>
    <w:rsid w:val="5FAC6581"/>
    <w:rsid w:val="5FAD3AEA"/>
    <w:rsid w:val="5FAF32F9"/>
    <w:rsid w:val="5FB00978"/>
    <w:rsid w:val="5FB16D7D"/>
    <w:rsid w:val="5FB707AE"/>
    <w:rsid w:val="5FC133DB"/>
    <w:rsid w:val="5FD4282A"/>
    <w:rsid w:val="5FD56E87"/>
    <w:rsid w:val="5FDB03C6"/>
    <w:rsid w:val="5FEE7A29"/>
    <w:rsid w:val="5FEF7737"/>
    <w:rsid w:val="600F690F"/>
    <w:rsid w:val="60157BC5"/>
    <w:rsid w:val="601D4F9E"/>
    <w:rsid w:val="602A619A"/>
    <w:rsid w:val="60312D7B"/>
    <w:rsid w:val="60430D8F"/>
    <w:rsid w:val="604443B0"/>
    <w:rsid w:val="60464497"/>
    <w:rsid w:val="60506E95"/>
    <w:rsid w:val="60537357"/>
    <w:rsid w:val="606478AE"/>
    <w:rsid w:val="60697C8D"/>
    <w:rsid w:val="607656AE"/>
    <w:rsid w:val="60777F4B"/>
    <w:rsid w:val="607A64DA"/>
    <w:rsid w:val="60884EB9"/>
    <w:rsid w:val="608B3797"/>
    <w:rsid w:val="60902A86"/>
    <w:rsid w:val="60A55C79"/>
    <w:rsid w:val="60AA0313"/>
    <w:rsid w:val="60C520E0"/>
    <w:rsid w:val="60CB7A76"/>
    <w:rsid w:val="60CF3392"/>
    <w:rsid w:val="60CF4F43"/>
    <w:rsid w:val="60D050D9"/>
    <w:rsid w:val="60D1519C"/>
    <w:rsid w:val="60D30B01"/>
    <w:rsid w:val="60D60457"/>
    <w:rsid w:val="60DA71BB"/>
    <w:rsid w:val="60DD3862"/>
    <w:rsid w:val="60E7548A"/>
    <w:rsid w:val="60EB314B"/>
    <w:rsid w:val="60F03CB7"/>
    <w:rsid w:val="60F50A49"/>
    <w:rsid w:val="60F6247C"/>
    <w:rsid w:val="60FD43BF"/>
    <w:rsid w:val="61004E5C"/>
    <w:rsid w:val="6102390F"/>
    <w:rsid w:val="610A03BD"/>
    <w:rsid w:val="610E2650"/>
    <w:rsid w:val="611D2541"/>
    <w:rsid w:val="6123315D"/>
    <w:rsid w:val="612B5363"/>
    <w:rsid w:val="612C7142"/>
    <w:rsid w:val="61306D4F"/>
    <w:rsid w:val="61353D4A"/>
    <w:rsid w:val="613D73D3"/>
    <w:rsid w:val="613F224D"/>
    <w:rsid w:val="61484C0F"/>
    <w:rsid w:val="6150546D"/>
    <w:rsid w:val="61655B26"/>
    <w:rsid w:val="61874A08"/>
    <w:rsid w:val="618A57FE"/>
    <w:rsid w:val="619A1C39"/>
    <w:rsid w:val="619C5EAE"/>
    <w:rsid w:val="61A3598A"/>
    <w:rsid w:val="61A52EA9"/>
    <w:rsid w:val="61A5314A"/>
    <w:rsid w:val="61AA552C"/>
    <w:rsid w:val="61AD00BB"/>
    <w:rsid w:val="61DF3461"/>
    <w:rsid w:val="61E351F0"/>
    <w:rsid w:val="61E46D57"/>
    <w:rsid w:val="61EC3C34"/>
    <w:rsid w:val="61F37242"/>
    <w:rsid w:val="61F61542"/>
    <w:rsid w:val="61F649E3"/>
    <w:rsid w:val="61F85543"/>
    <w:rsid w:val="61FA6816"/>
    <w:rsid w:val="61FF4C7C"/>
    <w:rsid w:val="62075528"/>
    <w:rsid w:val="62122B7D"/>
    <w:rsid w:val="621B03CC"/>
    <w:rsid w:val="621D79A3"/>
    <w:rsid w:val="621E4D5E"/>
    <w:rsid w:val="621F5761"/>
    <w:rsid w:val="623657B8"/>
    <w:rsid w:val="6238661A"/>
    <w:rsid w:val="62444B97"/>
    <w:rsid w:val="624721BC"/>
    <w:rsid w:val="62554F9C"/>
    <w:rsid w:val="6256562A"/>
    <w:rsid w:val="625B2FC4"/>
    <w:rsid w:val="625B7BB1"/>
    <w:rsid w:val="625C5B39"/>
    <w:rsid w:val="626F5DF9"/>
    <w:rsid w:val="627A4A82"/>
    <w:rsid w:val="627B74AB"/>
    <w:rsid w:val="62862020"/>
    <w:rsid w:val="629B73AC"/>
    <w:rsid w:val="62A464DE"/>
    <w:rsid w:val="62AA4ADD"/>
    <w:rsid w:val="62AE1283"/>
    <w:rsid w:val="62B87CBC"/>
    <w:rsid w:val="62C250A2"/>
    <w:rsid w:val="62CC31A9"/>
    <w:rsid w:val="62CE765A"/>
    <w:rsid w:val="62D600AD"/>
    <w:rsid w:val="62E02506"/>
    <w:rsid w:val="62E21E92"/>
    <w:rsid w:val="62E319FD"/>
    <w:rsid w:val="62EB776E"/>
    <w:rsid w:val="62F822B8"/>
    <w:rsid w:val="630A1AD1"/>
    <w:rsid w:val="630C0BB5"/>
    <w:rsid w:val="630E6ED4"/>
    <w:rsid w:val="630F6427"/>
    <w:rsid w:val="6310345E"/>
    <w:rsid w:val="631A66BE"/>
    <w:rsid w:val="631E7E42"/>
    <w:rsid w:val="63264190"/>
    <w:rsid w:val="632C751D"/>
    <w:rsid w:val="6331107E"/>
    <w:rsid w:val="63394B25"/>
    <w:rsid w:val="633A74F8"/>
    <w:rsid w:val="634436DA"/>
    <w:rsid w:val="634761CF"/>
    <w:rsid w:val="63503374"/>
    <w:rsid w:val="635B0EF3"/>
    <w:rsid w:val="63627B28"/>
    <w:rsid w:val="636367F6"/>
    <w:rsid w:val="636B7B77"/>
    <w:rsid w:val="63705E01"/>
    <w:rsid w:val="63766080"/>
    <w:rsid w:val="6388305A"/>
    <w:rsid w:val="639D7752"/>
    <w:rsid w:val="639F596D"/>
    <w:rsid w:val="63AC41F0"/>
    <w:rsid w:val="63B3794F"/>
    <w:rsid w:val="63B42878"/>
    <w:rsid w:val="63B74D6A"/>
    <w:rsid w:val="63B76FF0"/>
    <w:rsid w:val="63B8098A"/>
    <w:rsid w:val="63B81B91"/>
    <w:rsid w:val="63C61AA5"/>
    <w:rsid w:val="63CA4565"/>
    <w:rsid w:val="63D8429F"/>
    <w:rsid w:val="63DF1127"/>
    <w:rsid w:val="63E201FF"/>
    <w:rsid w:val="63EA78E2"/>
    <w:rsid w:val="63F253AA"/>
    <w:rsid w:val="63FE67A4"/>
    <w:rsid w:val="63FF13EF"/>
    <w:rsid w:val="63FF7190"/>
    <w:rsid w:val="64002FB4"/>
    <w:rsid w:val="640B491E"/>
    <w:rsid w:val="641259E3"/>
    <w:rsid w:val="641D7175"/>
    <w:rsid w:val="64203AB5"/>
    <w:rsid w:val="642F149C"/>
    <w:rsid w:val="643B4E3B"/>
    <w:rsid w:val="64490F42"/>
    <w:rsid w:val="64552344"/>
    <w:rsid w:val="645A632F"/>
    <w:rsid w:val="646D0626"/>
    <w:rsid w:val="646D42FB"/>
    <w:rsid w:val="647F655C"/>
    <w:rsid w:val="648E4AFB"/>
    <w:rsid w:val="649E5385"/>
    <w:rsid w:val="649E796C"/>
    <w:rsid w:val="64AE1B7C"/>
    <w:rsid w:val="64AF31D6"/>
    <w:rsid w:val="64B21EF7"/>
    <w:rsid w:val="64B30426"/>
    <w:rsid w:val="64B4185A"/>
    <w:rsid w:val="64C17A83"/>
    <w:rsid w:val="64C5315D"/>
    <w:rsid w:val="64C56ADD"/>
    <w:rsid w:val="64C574CA"/>
    <w:rsid w:val="64CF7B00"/>
    <w:rsid w:val="64D46D4B"/>
    <w:rsid w:val="64D8544F"/>
    <w:rsid w:val="64E723A4"/>
    <w:rsid w:val="64E77A56"/>
    <w:rsid w:val="64F035E5"/>
    <w:rsid w:val="64F3053C"/>
    <w:rsid w:val="64F362C3"/>
    <w:rsid w:val="64F63B27"/>
    <w:rsid w:val="65085608"/>
    <w:rsid w:val="650B3B7E"/>
    <w:rsid w:val="650C2246"/>
    <w:rsid w:val="650D45DC"/>
    <w:rsid w:val="65136487"/>
    <w:rsid w:val="65283356"/>
    <w:rsid w:val="65287AF6"/>
    <w:rsid w:val="652E420B"/>
    <w:rsid w:val="65354B29"/>
    <w:rsid w:val="654620A4"/>
    <w:rsid w:val="65465F20"/>
    <w:rsid w:val="654E7B30"/>
    <w:rsid w:val="6559178C"/>
    <w:rsid w:val="655D3287"/>
    <w:rsid w:val="65640929"/>
    <w:rsid w:val="65792FD8"/>
    <w:rsid w:val="65812033"/>
    <w:rsid w:val="659165D8"/>
    <w:rsid w:val="659264E6"/>
    <w:rsid w:val="65971923"/>
    <w:rsid w:val="659943C1"/>
    <w:rsid w:val="65996D67"/>
    <w:rsid w:val="659A4C69"/>
    <w:rsid w:val="65A920E1"/>
    <w:rsid w:val="65A93985"/>
    <w:rsid w:val="65B23EF2"/>
    <w:rsid w:val="65B61A11"/>
    <w:rsid w:val="65B9781F"/>
    <w:rsid w:val="65BA1670"/>
    <w:rsid w:val="65BD07FC"/>
    <w:rsid w:val="65BF666A"/>
    <w:rsid w:val="65C82055"/>
    <w:rsid w:val="65C8677F"/>
    <w:rsid w:val="65CC4882"/>
    <w:rsid w:val="65D01AC7"/>
    <w:rsid w:val="65D242C5"/>
    <w:rsid w:val="65D9228E"/>
    <w:rsid w:val="65DA35DE"/>
    <w:rsid w:val="65DA5B91"/>
    <w:rsid w:val="65DC7380"/>
    <w:rsid w:val="65DF525A"/>
    <w:rsid w:val="65E064BA"/>
    <w:rsid w:val="65E60104"/>
    <w:rsid w:val="65EB77B3"/>
    <w:rsid w:val="65F964E7"/>
    <w:rsid w:val="65FB66B6"/>
    <w:rsid w:val="65FC7CE6"/>
    <w:rsid w:val="66012783"/>
    <w:rsid w:val="6605194F"/>
    <w:rsid w:val="66070306"/>
    <w:rsid w:val="661E22B7"/>
    <w:rsid w:val="662238A4"/>
    <w:rsid w:val="66265EE1"/>
    <w:rsid w:val="662B6476"/>
    <w:rsid w:val="66382EC7"/>
    <w:rsid w:val="66451336"/>
    <w:rsid w:val="664F24CC"/>
    <w:rsid w:val="665B55DD"/>
    <w:rsid w:val="665C7523"/>
    <w:rsid w:val="666040F8"/>
    <w:rsid w:val="66666CE6"/>
    <w:rsid w:val="66745BD9"/>
    <w:rsid w:val="667F061F"/>
    <w:rsid w:val="667F52BD"/>
    <w:rsid w:val="66814D52"/>
    <w:rsid w:val="66887883"/>
    <w:rsid w:val="668D4E5B"/>
    <w:rsid w:val="668F17F1"/>
    <w:rsid w:val="668F4BCC"/>
    <w:rsid w:val="66903C84"/>
    <w:rsid w:val="66A57E7A"/>
    <w:rsid w:val="66AA2E1B"/>
    <w:rsid w:val="66AA3789"/>
    <w:rsid w:val="66AD7DF2"/>
    <w:rsid w:val="66B84BED"/>
    <w:rsid w:val="66BC4EDD"/>
    <w:rsid w:val="66C50DC3"/>
    <w:rsid w:val="66C76EAF"/>
    <w:rsid w:val="66CA2E55"/>
    <w:rsid w:val="66D16214"/>
    <w:rsid w:val="66D25ECE"/>
    <w:rsid w:val="66D86216"/>
    <w:rsid w:val="66D947DA"/>
    <w:rsid w:val="66D94921"/>
    <w:rsid w:val="66E63727"/>
    <w:rsid w:val="66EA7A2D"/>
    <w:rsid w:val="66F347C2"/>
    <w:rsid w:val="67017F95"/>
    <w:rsid w:val="6707201B"/>
    <w:rsid w:val="670A0F21"/>
    <w:rsid w:val="671A2FAC"/>
    <w:rsid w:val="671D183F"/>
    <w:rsid w:val="672162C1"/>
    <w:rsid w:val="67272774"/>
    <w:rsid w:val="672F1572"/>
    <w:rsid w:val="67301B70"/>
    <w:rsid w:val="6731373A"/>
    <w:rsid w:val="673E3563"/>
    <w:rsid w:val="67444DE7"/>
    <w:rsid w:val="674F751F"/>
    <w:rsid w:val="6765673D"/>
    <w:rsid w:val="677D0917"/>
    <w:rsid w:val="67804D2B"/>
    <w:rsid w:val="67810DF0"/>
    <w:rsid w:val="678C7530"/>
    <w:rsid w:val="678C75D6"/>
    <w:rsid w:val="67916B8A"/>
    <w:rsid w:val="67947BE6"/>
    <w:rsid w:val="67A16D3E"/>
    <w:rsid w:val="67A17A14"/>
    <w:rsid w:val="67AC19E7"/>
    <w:rsid w:val="67AE470C"/>
    <w:rsid w:val="67B13A34"/>
    <w:rsid w:val="67B760C0"/>
    <w:rsid w:val="67C66474"/>
    <w:rsid w:val="67C761C4"/>
    <w:rsid w:val="67CB32B7"/>
    <w:rsid w:val="67EE2F7F"/>
    <w:rsid w:val="67F52791"/>
    <w:rsid w:val="67F64D7B"/>
    <w:rsid w:val="67FC0B42"/>
    <w:rsid w:val="68091278"/>
    <w:rsid w:val="680D1DD9"/>
    <w:rsid w:val="6816694D"/>
    <w:rsid w:val="681C4628"/>
    <w:rsid w:val="681D0B01"/>
    <w:rsid w:val="68451EFB"/>
    <w:rsid w:val="68496680"/>
    <w:rsid w:val="684A3EDE"/>
    <w:rsid w:val="68503C5F"/>
    <w:rsid w:val="685662AA"/>
    <w:rsid w:val="6858720E"/>
    <w:rsid w:val="68675A2B"/>
    <w:rsid w:val="686B70E0"/>
    <w:rsid w:val="686E7C18"/>
    <w:rsid w:val="6871070A"/>
    <w:rsid w:val="68751915"/>
    <w:rsid w:val="68786EC6"/>
    <w:rsid w:val="68841906"/>
    <w:rsid w:val="6886382E"/>
    <w:rsid w:val="688867E2"/>
    <w:rsid w:val="688B27D8"/>
    <w:rsid w:val="68936EA6"/>
    <w:rsid w:val="689A7E1A"/>
    <w:rsid w:val="689E1749"/>
    <w:rsid w:val="68A742ED"/>
    <w:rsid w:val="68AA2317"/>
    <w:rsid w:val="68AF57CA"/>
    <w:rsid w:val="68B27663"/>
    <w:rsid w:val="68B55FE4"/>
    <w:rsid w:val="68B63D46"/>
    <w:rsid w:val="68B71517"/>
    <w:rsid w:val="68CA6CF5"/>
    <w:rsid w:val="68D31C2B"/>
    <w:rsid w:val="68E50904"/>
    <w:rsid w:val="68EE0AE2"/>
    <w:rsid w:val="68EE4FFF"/>
    <w:rsid w:val="68F175E3"/>
    <w:rsid w:val="69004988"/>
    <w:rsid w:val="690A7BA1"/>
    <w:rsid w:val="69136A00"/>
    <w:rsid w:val="69180FED"/>
    <w:rsid w:val="693F3A06"/>
    <w:rsid w:val="694B066C"/>
    <w:rsid w:val="6956463D"/>
    <w:rsid w:val="695A0B14"/>
    <w:rsid w:val="695B173F"/>
    <w:rsid w:val="69634909"/>
    <w:rsid w:val="69780E8E"/>
    <w:rsid w:val="69787545"/>
    <w:rsid w:val="699F351D"/>
    <w:rsid w:val="69B06122"/>
    <w:rsid w:val="69C277E9"/>
    <w:rsid w:val="69C8369D"/>
    <w:rsid w:val="69CA4EF9"/>
    <w:rsid w:val="69D31D5A"/>
    <w:rsid w:val="69D55F77"/>
    <w:rsid w:val="69F111F5"/>
    <w:rsid w:val="69F41EE8"/>
    <w:rsid w:val="69F616D6"/>
    <w:rsid w:val="69F74F22"/>
    <w:rsid w:val="6A083C46"/>
    <w:rsid w:val="6A102F95"/>
    <w:rsid w:val="6A1457FA"/>
    <w:rsid w:val="6A1975F8"/>
    <w:rsid w:val="6A217AF2"/>
    <w:rsid w:val="6A272403"/>
    <w:rsid w:val="6A2C1D99"/>
    <w:rsid w:val="6A3F454C"/>
    <w:rsid w:val="6A3F68F3"/>
    <w:rsid w:val="6A412B25"/>
    <w:rsid w:val="6A460625"/>
    <w:rsid w:val="6A46361D"/>
    <w:rsid w:val="6A4F2F78"/>
    <w:rsid w:val="6A4F3A53"/>
    <w:rsid w:val="6A501578"/>
    <w:rsid w:val="6A5B4F4E"/>
    <w:rsid w:val="6A7D13B5"/>
    <w:rsid w:val="6A7E784C"/>
    <w:rsid w:val="6A804937"/>
    <w:rsid w:val="6A834460"/>
    <w:rsid w:val="6A86594D"/>
    <w:rsid w:val="6A8B5C19"/>
    <w:rsid w:val="6A8D5266"/>
    <w:rsid w:val="6AA74886"/>
    <w:rsid w:val="6AA869A2"/>
    <w:rsid w:val="6AAC5A3C"/>
    <w:rsid w:val="6AAC6016"/>
    <w:rsid w:val="6AC54D19"/>
    <w:rsid w:val="6ACB45C8"/>
    <w:rsid w:val="6ACB4713"/>
    <w:rsid w:val="6ACD55C9"/>
    <w:rsid w:val="6ACD70D8"/>
    <w:rsid w:val="6ADF0BB9"/>
    <w:rsid w:val="6AEF6322"/>
    <w:rsid w:val="6AF50AB2"/>
    <w:rsid w:val="6AFE54AF"/>
    <w:rsid w:val="6B04596C"/>
    <w:rsid w:val="6B065121"/>
    <w:rsid w:val="6B066542"/>
    <w:rsid w:val="6B073CBA"/>
    <w:rsid w:val="6B0A6AC7"/>
    <w:rsid w:val="6B0F5DCE"/>
    <w:rsid w:val="6B164D96"/>
    <w:rsid w:val="6B1F4057"/>
    <w:rsid w:val="6B202BE8"/>
    <w:rsid w:val="6B2205DC"/>
    <w:rsid w:val="6B3610CD"/>
    <w:rsid w:val="6B366EC8"/>
    <w:rsid w:val="6B3875FD"/>
    <w:rsid w:val="6B387DF8"/>
    <w:rsid w:val="6B3D58CD"/>
    <w:rsid w:val="6B47528C"/>
    <w:rsid w:val="6B4B3F8A"/>
    <w:rsid w:val="6B4D1FC7"/>
    <w:rsid w:val="6B574A9F"/>
    <w:rsid w:val="6B5A22FA"/>
    <w:rsid w:val="6B6A2BA7"/>
    <w:rsid w:val="6B762CC0"/>
    <w:rsid w:val="6B8046B7"/>
    <w:rsid w:val="6B84372A"/>
    <w:rsid w:val="6B8A6784"/>
    <w:rsid w:val="6B923E7E"/>
    <w:rsid w:val="6B965409"/>
    <w:rsid w:val="6B9E2823"/>
    <w:rsid w:val="6BA76C48"/>
    <w:rsid w:val="6BA7744F"/>
    <w:rsid w:val="6BB556C1"/>
    <w:rsid w:val="6BB838E4"/>
    <w:rsid w:val="6BB93380"/>
    <w:rsid w:val="6BBC11E2"/>
    <w:rsid w:val="6BC541E0"/>
    <w:rsid w:val="6BC5783D"/>
    <w:rsid w:val="6BDB1118"/>
    <w:rsid w:val="6BDC5B59"/>
    <w:rsid w:val="6BDD2AC9"/>
    <w:rsid w:val="6BE44BFB"/>
    <w:rsid w:val="6BF06994"/>
    <w:rsid w:val="6BF3491C"/>
    <w:rsid w:val="6BF44B49"/>
    <w:rsid w:val="6BF80185"/>
    <w:rsid w:val="6BFE2B33"/>
    <w:rsid w:val="6BFE34C5"/>
    <w:rsid w:val="6C026B38"/>
    <w:rsid w:val="6C067803"/>
    <w:rsid w:val="6C080E98"/>
    <w:rsid w:val="6C0A0CE6"/>
    <w:rsid w:val="6C0F45CE"/>
    <w:rsid w:val="6C2213CC"/>
    <w:rsid w:val="6C2878F8"/>
    <w:rsid w:val="6C4443DB"/>
    <w:rsid w:val="6C45780A"/>
    <w:rsid w:val="6C4D0C93"/>
    <w:rsid w:val="6C5F4A0C"/>
    <w:rsid w:val="6C6226CE"/>
    <w:rsid w:val="6C6440D1"/>
    <w:rsid w:val="6C7A6553"/>
    <w:rsid w:val="6C7B26E0"/>
    <w:rsid w:val="6C82376B"/>
    <w:rsid w:val="6C863D15"/>
    <w:rsid w:val="6C877A70"/>
    <w:rsid w:val="6C8A543D"/>
    <w:rsid w:val="6C8F2770"/>
    <w:rsid w:val="6C8F396D"/>
    <w:rsid w:val="6C937955"/>
    <w:rsid w:val="6C9736F1"/>
    <w:rsid w:val="6C993CA6"/>
    <w:rsid w:val="6C9A1B93"/>
    <w:rsid w:val="6CA918BA"/>
    <w:rsid w:val="6CC04222"/>
    <w:rsid w:val="6CC52FAB"/>
    <w:rsid w:val="6CDA2D92"/>
    <w:rsid w:val="6CDF4428"/>
    <w:rsid w:val="6CE34991"/>
    <w:rsid w:val="6CE711D1"/>
    <w:rsid w:val="6CEA6DDF"/>
    <w:rsid w:val="6CEE5C86"/>
    <w:rsid w:val="6CF163C2"/>
    <w:rsid w:val="6CF555B0"/>
    <w:rsid w:val="6D003795"/>
    <w:rsid w:val="6D023972"/>
    <w:rsid w:val="6D0B038C"/>
    <w:rsid w:val="6D127C0D"/>
    <w:rsid w:val="6D151CC7"/>
    <w:rsid w:val="6D171E64"/>
    <w:rsid w:val="6D1E3E67"/>
    <w:rsid w:val="6D237483"/>
    <w:rsid w:val="6D283B0F"/>
    <w:rsid w:val="6D2A2C7F"/>
    <w:rsid w:val="6D2D5F6A"/>
    <w:rsid w:val="6D34557B"/>
    <w:rsid w:val="6D392803"/>
    <w:rsid w:val="6D396E69"/>
    <w:rsid w:val="6D416750"/>
    <w:rsid w:val="6D4260C2"/>
    <w:rsid w:val="6D4E1679"/>
    <w:rsid w:val="6D4E25B3"/>
    <w:rsid w:val="6D575167"/>
    <w:rsid w:val="6D580EDE"/>
    <w:rsid w:val="6D5A3A66"/>
    <w:rsid w:val="6D5F34A8"/>
    <w:rsid w:val="6D810EED"/>
    <w:rsid w:val="6D8C4F88"/>
    <w:rsid w:val="6D935989"/>
    <w:rsid w:val="6D9F1D42"/>
    <w:rsid w:val="6DA16A2E"/>
    <w:rsid w:val="6DA37F1E"/>
    <w:rsid w:val="6DA43467"/>
    <w:rsid w:val="6DAC5011"/>
    <w:rsid w:val="6DB374DF"/>
    <w:rsid w:val="6DB67DAC"/>
    <w:rsid w:val="6DBD75DB"/>
    <w:rsid w:val="6DCA03CE"/>
    <w:rsid w:val="6DCC3677"/>
    <w:rsid w:val="6DEB3A0D"/>
    <w:rsid w:val="6DEC3D19"/>
    <w:rsid w:val="6DF528CD"/>
    <w:rsid w:val="6DFB4E16"/>
    <w:rsid w:val="6DFD068B"/>
    <w:rsid w:val="6DFE10C6"/>
    <w:rsid w:val="6E013D12"/>
    <w:rsid w:val="6E041B89"/>
    <w:rsid w:val="6E1135F8"/>
    <w:rsid w:val="6E1B63AC"/>
    <w:rsid w:val="6E263F66"/>
    <w:rsid w:val="6E2C1522"/>
    <w:rsid w:val="6E2D011E"/>
    <w:rsid w:val="6E310B8E"/>
    <w:rsid w:val="6E3A0AC0"/>
    <w:rsid w:val="6E3B07FD"/>
    <w:rsid w:val="6E3D1064"/>
    <w:rsid w:val="6E450A66"/>
    <w:rsid w:val="6E455150"/>
    <w:rsid w:val="6E456907"/>
    <w:rsid w:val="6E4F22DD"/>
    <w:rsid w:val="6E516A6D"/>
    <w:rsid w:val="6E590FD0"/>
    <w:rsid w:val="6E6209D6"/>
    <w:rsid w:val="6E654A29"/>
    <w:rsid w:val="6E6B2E90"/>
    <w:rsid w:val="6E773F5F"/>
    <w:rsid w:val="6E781D7D"/>
    <w:rsid w:val="6E7B0E75"/>
    <w:rsid w:val="6E85511B"/>
    <w:rsid w:val="6E8D44D0"/>
    <w:rsid w:val="6E8E59C8"/>
    <w:rsid w:val="6E8F6AB7"/>
    <w:rsid w:val="6E922B12"/>
    <w:rsid w:val="6E934195"/>
    <w:rsid w:val="6E9D1075"/>
    <w:rsid w:val="6E9D3265"/>
    <w:rsid w:val="6E9F20B7"/>
    <w:rsid w:val="6EA10E7C"/>
    <w:rsid w:val="6EA2729E"/>
    <w:rsid w:val="6EA27DB2"/>
    <w:rsid w:val="6EAC2091"/>
    <w:rsid w:val="6EC04D6D"/>
    <w:rsid w:val="6EC620FB"/>
    <w:rsid w:val="6EC8180A"/>
    <w:rsid w:val="6ED42267"/>
    <w:rsid w:val="6ED8604B"/>
    <w:rsid w:val="6EDD36BA"/>
    <w:rsid w:val="6EE7256D"/>
    <w:rsid w:val="6EE74A40"/>
    <w:rsid w:val="6EEA1357"/>
    <w:rsid w:val="6EEA4AA3"/>
    <w:rsid w:val="6EF006A0"/>
    <w:rsid w:val="6EFF6BB4"/>
    <w:rsid w:val="6F005670"/>
    <w:rsid w:val="6F097FB5"/>
    <w:rsid w:val="6F17791D"/>
    <w:rsid w:val="6F1E1834"/>
    <w:rsid w:val="6F207A32"/>
    <w:rsid w:val="6F33286B"/>
    <w:rsid w:val="6F342E0D"/>
    <w:rsid w:val="6F370C5A"/>
    <w:rsid w:val="6F3A64AC"/>
    <w:rsid w:val="6F3C79CA"/>
    <w:rsid w:val="6F4E5777"/>
    <w:rsid w:val="6F521E70"/>
    <w:rsid w:val="6F5C3ED1"/>
    <w:rsid w:val="6F5E37F8"/>
    <w:rsid w:val="6F5F65E6"/>
    <w:rsid w:val="6F68774B"/>
    <w:rsid w:val="6F696BD0"/>
    <w:rsid w:val="6F6E72BF"/>
    <w:rsid w:val="6F6F26EE"/>
    <w:rsid w:val="6F712ACE"/>
    <w:rsid w:val="6F721A1D"/>
    <w:rsid w:val="6F8306AD"/>
    <w:rsid w:val="6F8751AE"/>
    <w:rsid w:val="6F885493"/>
    <w:rsid w:val="6F92269E"/>
    <w:rsid w:val="6F990006"/>
    <w:rsid w:val="6F9B77A5"/>
    <w:rsid w:val="6F9E5B7A"/>
    <w:rsid w:val="6F9F7969"/>
    <w:rsid w:val="6FA57D10"/>
    <w:rsid w:val="6FBB52CE"/>
    <w:rsid w:val="6FC10258"/>
    <w:rsid w:val="6FC82564"/>
    <w:rsid w:val="6FC83DE4"/>
    <w:rsid w:val="6FCA0CA1"/>
    <w:rsid w:val="6FCA17FB"/>
    <w:rsid w:val="6FD74CAA"/>
    <w:rsid w:val="6FDD3497"/>
    <w:rsid w:val="6FE82DDD"/>
    <w:rsid w:val="6FE95C1F"/>
    <w:rsid w:val="6FED6C05"/>
    <w:rsid w:val="6FEE0771"/>
    <w:rsid w:val="6FF6672A"/>
    <w:rsid w:val="6FFE4EBC"/>
    <w:rsid w:val="700621B2"/>
    <w:rsid w:val="70076BE8"/>
    <w:rsid w:val="700C4AC7"/>
    <w:rsid w:val="70140382"/>
    <w:rsid w:val="70152A9A"/>
    <w:rsid w:val="70153446"/>
    <w:rsid w:val="701546D1"/>
    <w:rsid w:val="701B3E96"/>
    <w:rsid w:val="701F1568"/>
    <w:rsid w:val="70256598"/>
    <w:rsid w:val="7028351B"/>
    <w:rsid w:val="702978D9"/>
    <w:rsid w:val="702B137A"/>
    <w:rsid w:val="702E6AA4"/>
    <w:rsid w:val="70352FF4"/>
    <w:rsid w:val="703640BF"/>
    <w:rsid w:val="70392103"/>
    <w:rsid w:val="70427DDE"/>
    <w:rsid w:val="704961CB"/>
    <w:rsid w:val="705108E7"/>
    <w:rsid w:val="705155E7"/>
    <w:rsid w:val="70543F27"/>
    <w:rsid w:val="70593D07"/>
    <w:rsid w:val="706169BF"/>
    <w:rsid w:val="70696D35"/>
    <w:rsid w:val="706B361B"/>
    <w:rsid w:val="706F6FB6"/>
    <w:rsid w:val="707029DF"/>
    <w:rsid w:val="70765B1C"/>
    <w:rsid w:val="707E42B2"/>
    <w:rsid w:val="708F23E0"/>
    <w:rsid w:val="709723BE"/>
    <w:rsid w:val="709E20B7"/>
    <w:rsid w:val="70A923EE"/>
    <w:rsid w:val="70B222D6"/>
    <w:rsid w:val="70B42B92"/>
    <w:rsid w:val="70B42C80"/>
    <w:rsid w:val="70B61689"/>
    <w:rsid w:val="70B667EF"/>
    <w:rsid w:val="70B778B4"/>
    <w:rsid w:val="70B94982"/>
    <w:rsid w:val="70BB200E"/>
    <w:rsid w:val="70BF6BE9"/>
    <w:rsid w:val="70C14FEA"/>
    <w:rsid w:val="70C34D81"/>
    <w:rsid w:val="70C55BFC"/>
    <w:rsid w:val="70C56EDC"/>
    <w:rsid w:val="70CB2A7C"/>
    <w:rsid w:val="70DE3125"/>
    <w:rsid w:val="70E44655"/>
    <w:rsid w:val="70E63138"/>
    <w:rsid w:val="70EA5177"/>
    <w:rsid w:val="70EA53DD"/>
    <w:rsid w:val="70EB622C"/>
    <w:rsid w:val="70ED6A0E"/>
    <w:rsid w:val="70ED6EE1"/>
    <w:rsid w:val="70F44AB2"/>
    <w:rsid w:val="71002FFA"/>
    <w:rsid w:val="71015B90"/>
    <w:rsid w:val="71045367"/>
    <w:rsid w:val="710464C7"/>
    <w:rsid w:val="710C79B5"/>
    <w:rsid w:val="710E7D3D"/>
    <w:rsid w:val="71153587"/>
    <w:rsid w:val="71184E25"/>
    <w:rsid w:val="711D3A76"/>
    <w:rsid w:val="711E5F98"/>
    <w:rsid w:val="711F7F62"/>
    <w:rsid w:val="7120760A"/>
    <w:rsid w:val="7135700E"/>
    <w:rsid w:val="713C2F89"/>
    <w:rsid w:val="7150636D"/>
    <w:rsid w:val="7164006A"/>
    <w:rsid w:val="71706A0F"/>
    <w:rsid w:val="717A5AA7"/>
    <w:rsid w:val="717A7D1B"/>
    <w:rsid w:val="717D7A04"/>
    <w:rsid w:val="71850DCB"/>
    <w:rsid w:val="7186176B"/>
    <w:rsid w:val="719018FB"/>
    <w:rsid w:val="719466DA"/>
    <w:rsid w:val="719873B6"/>
    <w:rsid w:val="71A94A2A"/>
    <w:rsid w:val="71BA02E1"/>
    <w:rsid w:val="71CE6050"/>
    <w:rsid w:val="71CF2FF9"/>
    <w:rsid w:val="71D73E5A"/>
    <w:rsid w:val="71EB1699"/>
    <w:rsid w:val="71F24A43"/>
    <w:rsid w:val="71F313DD"/>
    <w:rsid w:val="71F34E40"/>
    <w:rsid w:val="71F72600"/>
    <w:rsid w:val="71FE02C7"/>
    <w:rsid w:val="71FE1047"/>
    <w:rsid w:val="721714AB"/>
    <w:rsid w:val="72171998"/>
    <w:rsid w:val="72180310"/>
    <w:rsid w:val="72192C03"/>
    <w:rsid w:val="721D31A6"/>
    <w:rsid w:val="722332F3"/>
    <w:rsid w:val="72235642"/>
    <w:rsid w:val="72286181"/>
    <w:rsid w:val="724B6551"/>
    <w:rsid w:val="724B6EAE"/>
    <w:rsid w:val="724E0FB5"/>
    <w:rsid w:val="72511E69"/>
    <w:rsid w:val="72597649"/>
    <w:rsid w:val="725D421B"/>
    <w:rsid w:val="72685701"/>
    <w:rsid w:val="72833999"/>
    <w:rsid w:val="728564EA"/>
    <w:rsid w:val="7287629D"/>
    <w:rsid w:val="72906405"/>
    <w:rsid w:val="72916B7F"/>
    <w:rsid w:val="72920998"/>
    <w:rsid w:val="729C2E11"/>
    <w:rsid w:val="72A032FE"/>
    <w:rsid w:val="72A037B9"/>
    <w:rsid w:val="72A44BC2"/>
    <w:rsid w:val="72A83C28"/>
    <w:rsid w:val="72AB4D76"/>
    <w:rsid w:val="72AB53A5"/>
    <w:rsid w:val="72B172DF"/>
    <w:rsid w:val="72B9339D"/>
    <w:rsid w:val="72C07BB3"/>
    <w:rsid w:val="72D03618"/>
    <w:rsid w:val="72E2468B"/>
    <w:rsid w:val="72E42667"/>
    <w:rsid w:val="72E77059"/>
    <w:rsid w:val="72EB27F1"/>
    <w:rsid w:val="72FB10B5"/>
    <w:rsid w:val="73036F80"/>
    <w:rsid w:val="73062C09"/>
    <w:rsid w:val="73091E6F"/>
    <w:rsid w:val="73092A4F"/>
    <w:rsid w:val="73223C44"/>
    <w:rsid w:val="732B7F0D"/>
    <w:rsid w:val="73406B38"/>
    <w:rsid w:val="7342612F"/>
    <w:rsid w:val="7344027B"/>
    <w:rsid w:val="73450F08"/>
    <w:rsid w:val="734B14B4"/>
    <w:rsid w:val="73563A14"/>
    <w:rsid w:val="73571FD5"/>
    <w:rsid w:val="736B0067"/>
    <w:rsid w:val="73757C23"/>
    <w:rsid w:val="73765B39"/>
    <w:rsid w:val="738619C1"/>
    <w:rsid w:val="738A200A"/>
    <w:rsid w:val="738A42F1"/>
    <w:rsid w:val="738E3AB9"/>
    <w:rsid w:val="739065BC"/>
    <w:rsid w:val="73923409"/>
    <w:rsid w:val="739B0E90"/>
    <w:rsid w:val="739B168F"/>
    <w:rsid w:val="73A16CFB"/>
    <w:rsid w:val="73A255C1"/>
    <w:rsid w:val="73AF64D8"/>
    <w:rsid w:val="73B334AF"/>
    <w:rsid w:val="73B86888"/>
    <w:rsid w:val="73D82E38"/>
    <w:rsid w:val="73E379A7"/>
    <w:rsid w:val="73F30644"/>
    <w:rsid w:val="73F314E3"/>
    <w:rsid w:val="73FD6108"/>
    <w:rsid w:val="740833C6"/>
    <w:rsid w:val="740B33DB"/>
    <w:rsid w:val="740D6797"/>
    <w:rsid w:val="74166290"/>
    <w:rsid w:val="74340423"/>
    <w:rsid w:val="744646C9"/>
    <w:rsid w:val="744C3764"/>
    <w:rsid w:val="744C627E"/>
    <w:rsid w:val="745042EC"/>
    <w:rsid w:val="74505862"/>
    <w:rsid w:val="745132C7"/>
    <w:rsid w:val="74577DD0"/>
    <w:rsid w:val="746621ED"/>
    <w:rsid w:val="74676B45"/>
    <w:rsid w:val="746D5F5D"/>
    <w:rsid w:val="748B22B6"/>
    <w:rsid w:val="749173C8"/>
    <w:rsid w:val="74921493"/>
    <w:rsid w:val="74A36E05"/>
    <w:rsid w:val="74AF13CC"/>
    <w:rsid w:val="74B10AB0"/>
    <w:rsid w:val="74B51313"/>
    <w:rsid w:val="74BB0C08"/>
    <w:rsid w:val="74CE5238"/>
    <w:rsid w:val="74E37335"/>
    <w:rsid w:val="74E91888"/>
    <w:rsid w:val="74EB2FFE"/>
    <w:rsid w:val="75053818"/>
    <w:rsid w:val="75107E41"/>
    <w:rsid w:val="7514475E"/>
    <w:rsid w:val="75193067"/>
    <w:rsid w:val="7520013D"/>
    <w:rsid w:val="752D5510"/>
    <w:rsid w:val="754674E3"/>
    <w:rsid w:val="75485924"/>
    <w:rsid w:val="75524DAA"/>
    <w:rsid w:val="75547528"/>
    <w:rsid w:val="755503F6"/>
    <w:rsid w:val="755E1D00"/>
    <w:rsid w:val="756643B1"/>
    <w:rsid w:val="75685E27"/>
    <w:rsid w:val="757137F2"/>
    <w:rsid w:val="758F19AF"/>
    <w:rsid w:val="759167FC"/>
    <w:rsid w:val="7593349F"/>
    <w:rsid w:val="759430D6"/>
    <w:rsid w:val="75955D0A"/>
    <w:rsid w:val="75984F37"/>
    <w:rsid w:val="75AE38BE"/>
    <w:rsid w:val="75B36542"/>
    <w:rsid w:val="75BA79F6"/>
    <w:rsid w:val="75BB05C3"/>
    <w:rsid w:val="75C43331"/>
    <w:rsid w:val="75C91039"/>
    <w:rsid w:val="75CE15BB"/>
    <w:rsid w:val="75CF553F"/>
    <w:rsid w:val="75E45F38"/>
    <w:rsid w:val="75EC7E9C"/>
    <w:rsid w:val="75F01F05"/>
    <w:rsid w:val="75FB0F9D"/>
    <w:rsid w:val="75FC6AC3"/>
    <w:rsid w:val="75FE6FB3"/>
    <w:rsid w:val="76085578"/>
    <w:rsid w:val="760C61B1"/>
    <w:rsid w:val="76164029"/>
    <w:rsid w:val="7617607C"/>
    <w:rsid w:val="761A5134"/>
    <w:rsid w:val="761C0E19"/>
    <w:rsid w:val="76236070"/>
    <w:rsid w:val="76295DF0"/>
    <w:rsid w:val="762A1217"/>
    <w:rsid w:val="76302A7E"/>
    <w:rsid w:val="763040B0"/>
    <w:rsid w:val="763B1BDB"/>
    <w:rsid w:val="764A31E0"/>
    <w:rsid w:val="76520BEB"/>
    <w:rsid w:val="76527DD2"/>
    <w:rsid w:val="76563BF7"/>
    <w:rsid w:val="765F070B"/>
    <w:rsid w:val="766E602B"/>
    <w:rsid w:val="767A7900"/>
    <w:rsid w:val="76805E30"/>
    <w:rsid w:val="768A1200"/>
    <w:rsid w:val="7692076A"/>
    <w:rsid w:val="769B3628"/>
    <w:rsid w:val="769C05DC"/>
    <w:rsid w:val="76A11A98"/>
    <w:rsid w:val="76A52E1C"/>
    <w:rsid w:val="76A6331F"/>
    <w:rsid w:val="76B2657C"/>
    <w:rsid w:val="76B949B4"/>
    <w:rsid w:val="76C009DB"/>
    <w:rsid w:val="76C143D4"/>
    <w:rsid w:val="76C75180"/>
    <w:rsid w:val="76C832F2"/>
    <w:rsid w:val="76D534E5"/>
    <w:rsid w:val="76D9371F"/>
    <w:rsid w:val="76E35DC4"/>
    <w:rsid w:val="76E73652"/>
    <w:rsid w:val="76F73D82"/>
    <w:rsid w:val="76F9035F"/>
    <w:rsid w:val="76F9356A"/>
    <w:rsid w:val="76FA7664"/>
    <w:rsid w:val="770C453C"/>
    <w:rsid w:val="77111E60"/>
    <w:rsid w:val="77144FD9"/>
    <w:rsid w:val="771568A5"/>
    <w:rsid w:val="77483CC4"/>
    <w:rsid w:val="77560455"/>
    <w:rsid w:val="7758241F"/>
    <w:rsid w:val="775F0ADE"/>
    <w:rsid w:val="775F6961"/>
    <w:rsid w:val="776D4BF6"/>
    <w:rsid w:val="77807600"/>
    <w:rsid w:val="77870DF7"/>
    <w:rsid w:val="7789446C"/>
    <w:rsid w:val="778B6351"/>
    <w:rsid w:val="7793325C"/>
    <w:rsid w:val="779730C6"/>
    <w:rsid w:val="7798054D"/>
    <w:rsid w:val="779F3BAA"/>
    <w:rsid w:val="77A462BC"/>
    <w:rsid w:val="77AC296D"/>
    <w:rsid w:val="77B6528F"/>
    <w:rsid w:val="77BA4E88"/>
    <w:rsid w:val="77C04CAE"/>
    <w:rsid w:val="77C91F54"/>
    <w:rsid w:val="77CF71D3"/>
    <w:rsid w:val="77D520FE"/>
    <w:rsid w:val="77DE4AC8"/>
    <w:rsid w:val="77E05745"/>
    <w:rsid w:val="77E76C4F"/>
    <w:rsid w:val="77EA06D4"/>
    <w:rsid w:val="77F73701"/>
    <w:rsid w:val="780743F5"/>
    <w:rsid w:val="780B759B"/>
    <w:rsid w:val="780B7DB7"/>
    <w:rsid w:val="780D503B"/>
    <w:rsid w:val="781173A2"/>
    <w:rsid w:val="7819395D"/>
    <w:rsid w:val="781B5927"/>
    <w:rsid w:val="7823153E"/>
    <w:rsid w:val="78272AD2"/>
    <w:rsid w:val="782C4112"/>
    <w:rsid w:val="7831284C"/>
    <w:rsid w:val="78434743"/>
    <w:rsid w:val="78450BF6"/>
    <w:rsid w:val="784756B4"/>
    <w:rsid w:val="784A61BA"/>
    <w:rsid w:val="785F5D9A"/>
    <w:rsid w:val="786B12EF"/>
    <w:rsid w:val="786C35A6"/>
    <w:rsid w:val="786C791F"/>
    <w:rsid w:val="78747991"/>
    <w:rsid w:val="789C178C"/>
    <w:rsid w:val="78A0481B"/>
    <w:rsid w:val="78A37082"/>
    <w:rsid w:val="78A62FD0"/>
    <w:rsid w:val="78A87484"/>
    <w:rsid w:val="78B258F0"/>
    <w:rsid w:val="78B4713E"/>
    <w:rsid w:val="78C82570"/>
    <w:rsid w:val="78D104B0"/>
    <w:rsid w:val="78D46946"/>
    <w:rsid w:val="78D94A34"/>
    <w:rsid w:val="78DA6BAA"/>
    <w:rsid w:val="78DB1BC9"/>
    <w:rsid w:val="78E12E6A"/>
    <w:rsid w:val="78FB3062"/>
    <w:rsid w:val="79004525"/>
    <w:rsid w:val="79137E3E"/>
    <w:rsid w:val="791B709B"/>
    <w:rsid w:val="792518C1"/>
    <w:rsid w:val="793624A8"/>
    <w:rsid w:val="793B697A"/>
    <w:rsid w:val="79444E65"/>
    <w:rsid w:val="794F72D0"/>
    <w:rsid w:val="795127E8"/>
    <w:rsid w:val="79530561"/>
    <w:rsid w:val="79565203"/>
    <w:rsid w:val="795D4643"/>
    <w:rsid w:val="795F1F28"/>
    <w:rsid w:val="79643EB4"/>
    <w:rsid w:val="797178C2"/>
    <w:rsid w:val="79787E08"/>
    <w:rsid w:val="797D0EFA"/>
    <w:rsid w:val="79883F94"/>
    <w:rsid w:val="79913163"/>
    <w:rsid w:val="79921906"/>
    <w:rsid w:val="799B1BAA"/>
    <w:rsid w:val="799E5249"/>
    <w:rsid w:val="79A47D7B"/>
    <w:rsid w:val="79B624C0"/>
    <w:rsid w:val="79BC160D"/>
    <w:rsid w:val="79BD2A0E"/>
    <w:rsid w:val="79C869D8"/>
    <w:rsid w:val="79CD6CC2"/>
    <w:rsid w:val="79DB3867"/>
    <w:rsid w:val="79E24222"/>
    <w:rsid w:val="79FC2F6B"/>
    <w:rsid w:val="79FF4D98"/>
    <w:rsid w:val="7A056508"/>
    <w:rsid w:val="7A0B0573"/>
    <w:rsid w:val="7A0E7234"/>
    <w:rsid w:val="7A0F25A2"/>
    <w:rsid w:val="7A1730C3"/>
    <w:rsid w:val="7A216A47"/>
    <w:rsid w:val="7A3A208F"/>
    <w:rsid w:val="7A3A6FC1"/>
    <w:rsid w:val="7A3B7146"/>
    <w:rsid w:val="7A3E0A64"/>
    <w:rsid w:val="7A406FE4"/>
    <w:rsid w:val="7A444D55"/>
    <w:rsid w:val="7A4814FB"/>
    <w:rsid w:val="7A49604F"/>
    <w:rsid w:val="7A513FB6"/>
    <w:rsid w:val="7A5502B8"/>
    <w:rsid w:val="7A553ABC"/>
    <w:rsid w:val="7A597DBE"/>
    <w:rsid w:val="7A5F69CC"/>
    <w:rsid w:val="7A715CD2"/>
    <w:rsid w:val="7A9262BD"/>
    <w:rsid w:val="7A9A127E"/>
    <w:rsid w:val="7AA90E83"/>
    <w:rsid w:val="7AAB270A"/>
    <w:rsid w:val="7AB07079"/>
    <w:rsid w:val="7AB45BBF"/>
    <w:rsid w:val="7ABA5186"/>
    <w:rsid w:val="7ABD3A5A"/>
    <w:rsid w:val="7AC43368"/>
    <w:rsid w:val="7ACB31FB"/>
    <w:rsid w:val="7ACC3C99"/>
    <w:rsid w:val="7AD2380C"/>
    <w:rsid w:val="7AD635D1"/>
    <w:rsid w:val="7ADB2991"/>
    <w:rsid w:val="7ADB62FC"/>
    <w:rsid w:val="7ADD4701"/>
    <w:rsid w:val="7AE419D8"/>
    <w:rsid w:val="7AE61E7C"/>
    <w:rsid w:val="7AE661A6"/>
    <w:rsid w:val="7AE8102A"/>
    <w:rsid w:val="7AED4A83"/>
    <w:rsid w:val="7AF91823"/>
    <w:rsid w:val="7B0A12DE"/>
    <w:rsid w:val="7B1038BA"/>
    <w:rsid w:val="7B1509F2"/>
    <w:rsid w:val="7B25353B"/>
    <w:rsid w:val="7B2E70E7"/>
    <w:rsid w:val="7B34756A"/>
    <w:rsid w:val="7B3B22DE"/>
    <w:rsid w:val="7B4754A4"/>
    <w:rsid w:val="7B536A19"/>
    <w:rsid w:val="7B5A6870"/>
    <w:rsid w:val="7B5B3CEA"/>
    <w:rsid w:val="7B5D6256"/>
    <w:rsid w:val="7B5D715B"/>
    <w:rsid w:val="7B602807"/>
    <w:rsid w:val="7B624DB3"/>
    <w:rsid w:val="7B645BD1"/>
    <w:rsid w:val="7B75534E"/>
    <w:rsid w:val="7B7D3FA1"/>
    <w:rsid w:val="7B907B7C"/>
    <w:rsid w:val="7B9464EA"/>
    <w:rsid w:val="7B947F77"/>
    <w:rsid w:val="7B9664B7"/>
    <w:rsid w:val="7BAB0EF2"/>
    <w:rsid w:val="7BB96C8D"/>
    <w:rsid w:val="7BC063F8"/>
    <w:rsid w:val="7BC801EF"/>
    <w:rsid w:val="7BD85994"/>
    <w:rsid w:val="7BDC53CD"/>
    <w:rsid w:val="7BE06CB6"/>
    <w:rsid w:val="7BE5250D"/>
    <w:rsid w:val="7BE725A8"/>
    <w:rsid w:val="7BE905FB"/>
    <w:rsid w:val="7BF56B78"/>
    <w:rsid w:val="7C062B72"/>
    <w:rsid w:val="7C0A35A6"/>
    <w:rsid w:val="7C0C3966"/>
    <w:rsid w:val="7C0C7827"/>
    <w:rsid w:val="7C152B1A"/>
    <w:rsid w:val="7C1831CF"/>
    <w:rsid w:val="7C2567FC"/>
    <w:rsid w:val="7C2B02E0"/>
    <w:rsid w:val="7C2D3667"/>
    <w:rsid w:val="7C312183"/>
    <w:rsid w:val="7C312A12"/>
    <w:rsid w:val="7C32169D"/>
    <w:rsid w:val="7C3E167A"/>
    <w:rsid w:val="7C511181"/>
    <w:rsid w:val="7C60629D"/>
    <w:rsid w:val="7C6747B5"/>
    <w:rsid w:val="7C726333"/>
    <w:rsid w:val="7C745605"/>
    <w:rsid w:val="7C776EA4"/>
    <w:rsid w:val="7C790298"/>
    <w:rsid w:val="7C80111F"/>
    <w:rsid w:val="7C80291E"/>
    <w:rsid w:val="7C8F3CC3"/>
    <w:rsid w:val="7C9C690A"/>
    <w:rsid w:val="7CAE066F"/>
    <w:rsid w:val="7CAF6554"/>
    <w:rsid w:val="7CB035A9"/>
    <w:rsid w:val="7CB30B03"/>
    <w:rsid w:val="7CB628C0"/>
    <w:rsid w:val="7CB71EC4"/>
    <w:rsid w:val="7CBE15FE"/>
    <w:rsid w:val="7CC80EA4"/>
    <w:rsid w:val="7CCA0125"/>
    <w:rsid w:val="7CCB07E5"/>
    <w:rsid w:val="7CCD55CF"/>
    <w:rsid w:val="7CD21FCC"/>
    <w:rsid w:val="7CE3569C"/>
    <w:rsid w:val="7CF4470B"/>
    <w:rsid w:val="7CFD1A9F"/>
    <w:rsid w:val="7D01740A"/>
    <w:rsid w:val="7D0A1C7E"/>
    <w:rsid w:val="7D0E7F32"/>
    <w:rsid w:val="7D1E2D83"/>
    <w:rsid w:val="7D2A0678"/>
    <w:rsid w:val="7D33335B"/>
    <w:rsid w:val="7D437647"/>
    <w:rsid w:val="7D452921"/>
    <w:rsid w:val="7D456622"/>
    <w:rsid w:val="7D512D9B"/>
    <w:rsid w:val="7D5865FD"/>
    <w:rsid w:val="7D586CD5"/>
    <w:rsid w:val="7D624041"/>
    <w:rsid w:val="7D6D601C"/>
    <w:rsid w:val="7D6E545C"/>
    <w:rsid w:val="7D853519"/>
    <w:rsid w:val="7D9B3F1E"/>
    <w:rsid w:val="7DA06484"/>
    <w:rsid w:val="7DA82296"/>
    <w:rsid w:val="7DAA32A9"/>
    <w:rsid w:val="7DB149CD"/>
    <w:rsid w:val="7DB766B7"/>
    <w:rsid w:val="7DBE5657"/>
    <w:rsid w:val="7DC15B2F"/>
    <w:rsid w:val="7DC8626C"/>
    <w:rsid w:val="7DD94F0B"/>
    <w:rsid w:val="7DE253DF"/>
    <w:rsid w:val="7DE50961"/>
    <w:rsid w:val="7DE82A43"/>
    <w:rsid w:val="7DEB4663"/>
    <w:rsid w:val="7DF62F66"/>
    <w:rsid w:val="7DF74F04"/>
    <w:rsid w:val="7DFF04D3"/>
    <w:rsid w:val="7E0832DF"/>
    <w:rsid w:val="7E123B46"/>
    <w:rsid w:val="7E1A7AA1"/>
    <w:rsid w:val="7E2750F0"/>
    <w:rsid w:val="7E2D125A"/>
    <w:rsid w:val="7E35729A"/>
    <w:rsid w:val="7E363475"/>
    <w:rsid w:val="7E3F7E95"/>
    <w:rsid w:val="7E453946"/>
    <w:rsid w:val="7E682493"/>
    <w:rsid w:val="7E684DAB"/>
    <w:rsid w:val="7E6C149C"/>
    <w:rsid w:val="7E7057F6"/>
    <w:rsid w:val="7E723DC7"/>
    <w:rsid w:val="7E797790"/>
    <w:rsid w:val="7E822261"/>
    <w:rsid w:val="7E8245A2"/>
    <w:rsid w:val="7E8655A5"/>
    <w:rsid w:val="7E933D3D"/>
    <w:rsid w:val="7E941F07"/>
    <w:rsid w:val="7E947774"/>
    <w:rsid w:val="7E965555"/>
    <w:rsid w:val="7E980E05"/>
    <w:rsid w:val="7E9D2395"/>
    <w:rsid w:val="7E9D29D3"/>
    <w:rsid w:val="7EA402EC"/>
    <w:rsid w:val="7EAF6DC9"/>
    <w:rsid w:val="7EB85B2F"/>
    <w:rsid w:val="7EC71C88"/>
    <w:rsid w:val="7EC940BF"/>
    <w:rsid w:val="7ECB0608"/>
    <w:rsid w:val="7ECF6F64"/>
    <w:rsid w:val="7EDA7C1F"/>
    <w:rsid w:val="7EEB432E"/>
    <w:rsid w:val="7EF80085"/>
    <w:rsid w:val="7F047E7E"/>
    <w:rsid w:val="7F087EE6"/>
    <w:rsid w:val="7F0C421B"/>
    <w:rsid w:val="7F0D7F93"/>
    <w:rsid w:val="7F145E5A"/>
    <w:rsid w:val="7F173E6E"/>
    <w:rsid w:val="7F1B5C9C"/>
    <w:rsid w:val="7F296E2C"/>
    <w:rsid w:val="7F380944"/>
    <w:rsid w:val="7F413799"/>
    <w:rsid w:val="7F416B63"/>
    <w:rsid w:val="7F453289"/>
    <w:rsid w:val="7F455D29"/>
    <w:rsid w:val="7F4A4D43"/>
    <w:rsid w:val="7F4D554C"/>
    <w:rsid w:val="7F502FB5"/>
    <w:rsid w:val="7F507E7E"/>
    <w:rsid w:val="7F536167"/>
    <w:rsid w:val="7F551D4B"/>
    <w:rsid w:val="7F56130A"/>
    <w:rsid w:val="7F592236"/>
    <w:rsid w:val="7F623E3B"/>
    <w:rsid w:val="7F635E92"/>
    <w:rsid w:val="7F727B89"/>
    <w:rsid w:val="7F817BC2"/>
    <w:rsid w:val="7F942CCD"/>
    <w:rsid w:val="7F956B58"/>
    <w:rsid w:val="7F9962A7"/>
    <w:rsid w:val="7FA038B7"/>
    <w:rsid w:val="7FA676B9"/>
    <w:rsid w:val="7FAA3F16"/>
    <w:rsid w:val="7FAE1A0C"/>
    <w:rsid w:val="7FB1091F"/>
    <w:rsid w:val="7FD91B3E"/>
    <w:rsid w:val="7FE77193"/>
    <w:rsid w:val="7FF355F3"/>
    <w:rsid w:val="7FF5542B"/>
    <w:rsid w:val="7FFE03C3"/>
    <w:rsid w:val="7FFF6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semiHidden="0" w:name="HTML Cite"/>
    <w:lsdException w:qFormat="1" w:uiPriority="99" w:semiHidden="0"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2"/>
    <w:qFormat/>
    <w:uiPriority w:val="0"/>
    <w:pPr>
      <w:keepNext/>
      <w:keepLines/>
      <w:adjustRightInd w:val="0"/>
      <w:spacing w:before="120" w:line="360" w:lineRule="auto"/>
      <w:jc w:val="center"/>
      <w:textAlignment w:val="baseline"/>
      <w:outlineLvl w:val="0"/>
    </w:pPr>
    <w:rPr>
      <w:b/>
      <w:bCs/>
      <w:kern w:val="44"/>
      <w:sz w:val="32"/>
      <w:szCs w:val="20"/>
    </w:rPr>
  </w:style>
  <w:style w:type="paragraph" w:styleId="4">
    <w:name w:val="heading 2"/>
    <w:basedOn w:val="1"/>
    <w:next w:val="1"/>
    <w:link w:val="60"/>
    <w:qFormat/>
    <w:uiPriority w:val="0"/>
    <w:pPr>
      <w:keepNext/>
      <w:keepLines/>
      <w:spacing w:line="416" w:lineRule="auto"/>
      <w:outlineLvl w:val="1"/>
    </w:pPr>
    <w:rPr>
      <w:rFonts w:ascii="Arial" w:hAnsi="Arial"/>
      <w:b/>
      <w:bCs/>
      <w:szCs w:val="32"/>
    </w:rPr>
  </w:style>
  <w:style w:type="paragraph" w:styleId="5">
    <w:name w:val="heading 3"/>
    <w:basedOn w:val="1"/>
    <w:next w:val="2"/>
    <w:qFormat/>
    <w:uiPriority w:val="0"/>
    <w:pPr>
      <w:keepNext/>
      <w:keepLines/>
      <w:snapToGrid w:val="0"/>
      <w:spacing w:line="360" w:lineRule="auto"/>
      <w:jc w:val="left"/>
      <w:outlineLvl w:val="2"/>
    </w:pPr>
    <w:rPr>
      <w:b/>
      <w:bCs/>
      <w:sz w:val="24"/>
      <w:szCs w:val="32"/>
    </w:rPr>
  </w:style>
  <w:style w:type="paragraph" w:styleId="6">
    <w:name w:val="heading 4"/>
    <w:basedOn w:val="1"/>
    <w:next w:val="1"/>
    <w:link w:val="62"/>
    <w:qFormat/>
    <w:uiPriority w:val="0"/>
    <w:pPr>
      <w:keepNext/>
      <w:keepLines/>
      <w:spacing w:before="280" w:after="290" w:line="376" w:lineRule="auto"/>
      <w:outlineLvl w:val="3"/>
    </w:pPr>
    <w:rPr>
      <w:rFonts w:ascii="Cambria" w:hAnsi="Cambria"/>
      <w:b/>
      <w:bCs/>
      <w:sz w:val="28"/>
      <w:szCs w:val="28"/>
    </w:rPr>
  </w:style>
  <w:style w:type="paragraph" w:styleId="7">
    <w:name w:val="heading 5"/>
    <w:basedOn w:val="1"/>
    <w:next w:val="1"/>
    <w:link w:val="63"/>
    <w:qFormat/>
    <w:uiPriority w:val="0"/>
    <w:pPr>
      <w:keepNext/>
      <w:keepLines/>
      <w:spacing w:before="280" w:after="290" w:line="376" w:lineRule="auto"/>
      <w:outlineLvl w:val="4"/>
    </w:pPr>
    <w:rPr>
      <w:b/>
      <w:bCs/>
      <w:sz w:val="28"/>
      <w:szCs w:val="28"/>
    </w:rPr>
  </w:style>
  <w:style w:type="paragraph" w:styleId="8">
    <w:name w:val="heading 6"/>
    <w:basedOn w:val="1"/>
    <w:next w:val="1"/>
    <w:link w:val="64"/>
    <w:qFormat/>
    <w:uiPriority w:val="0"/>
    <w:pPr>
      <w:keepNext/>
      <w:keepLines/>
      <w:spacing w:before="240" w:after="64" w:line="320" w:lineRule="auto"/>
      <w:outlineLvl w:val="5"/>
    </w:pPr>
    <w:rPr>
      <w:rFonts w:ascii="Cambria" w:hAnsi="Cambria"/>
      <w:b/>
      <w:bCs/>
      <w:sz w:val="24"/>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link w:val="61"/>
    <w:qFormat/>
    <w:uiPriority w:val="0"/>
    <w:pPr>
      <w:ind w:firstLine="420"/>
    </w:pPr>
    <w:rPr>
      <w:szCs w:val="20"/>
    </w:rPr>
  </w:style>
  <w:style w:type="paragraph" w:styleId="9">
    <w:name w:val="toc 7"/>
    <w:basedOn w:val="1"/>
    <w:next w:val="1"/>
    <w:qFormat/>
    <w:uiPriority w:val="0"/>
    <w:pPr>
      <w:ind w:left="2520" w:leftChars="1200"/>
    </w:pPr>
    <w:rPr>
      <w:rFonts w:ascii="Calibri" w:hAnsi="Calibri"/>
      <w:szCs w:val="22"/>
    </w:rPr>
  </w:style>
  <w:style w:type="paragraph" w:styleId="10">
    <w:name w:val="List Number"/>
    <w:basedOn w:val="1"/>
    <w:qFormat/>
    <w:uiPriority w:val="0"/>
    <w:pPr>
      <w:widowControl/>
      <w:tabs>
        <w:tab w:val="left" w:pos="454"/>
        <w:tab w:val="left" w:pos="525"/>
        <w:tab w:val="left" w:pos="720"/>
      </w:tabs>
      <w:spacing w:afterLines="50"/>
      <w:ind w:left="454" w:hanging="284"/>
      <w:jc w:val="left"/>
    </w:pPr>
    <w:rPr>
      <w:kern w:val="0"/>
      <w:sz w:val="24"/>
      <w:szCs w:val="20"/>
    </w:rPr>
  </w:style>
  <w:style w:type="paragraph" w:styleId="11">
    <w:name w:val="caption"/>
    <w:basedOn w:val="1"/>
    <w:next w:val="1"/>
    <w:qFormat/>
    <w:uiPriority w:val="0"/>
    <w:pPr>
      <w:spacing w:before="152" w:after="160"/>
    </w:pPr>
    <w:rPr>
      <w:rFonts w:ascii="Arial" w:hAnsi="Arial" w:eastAsia="黑体" w:cs="Arial"/>
      <w:sz w:val="20"/>
      <w:szCs w:val="20"/>
    </w:rPr>
  </w:style>
  <w:style w:type="paragraph" w:styleId="12">
    <w:name w:val="Document Map"/>
    <w:basedOn w:val="1"/>
    <w:link w:val="65"/>
    <w:qFormat/>
    <w:uiPriority w:val="0"/>
    <w:rPr>
      <w:rFonts w:ascii="宋体"/>
      <w:sz w:val="18"/>
      <w:szCs w:val="18"/>
    </w:rPr>
  </w:style>
  <w:style w:type="paragraph" w:styleId="13">
    <w:name w:val="annotation text"/>
    <w:basedOn w:val="1"/>
    <w:link w:val="66"/>
    <w:qFormat/>
    <w:uiPriority w:val="0"/>
    <w:pPr>
      <w:jc w:val="left"/>
    </w:pPr>
  </w:style>
  <w:style w:type="paragraph" w:styleId="14">
    <w:name w:val="Body Text 3"/>
    <w:basedOn w:val="1"/>
    <w:link w:val="67"/>
    <w:qFormat/>
    <w:uiPriority w:val="0"/>
    <w:pPr>
      <w:spacing w:after="120"/>
    </w:pPr>
    <w:rPr>
      <w:sz w:val="16"/>
      <w:szCs w:val="16"/>
    </w:rPr>
  </w:style>
  <w:style w:type="paragraph" w:styleId="15">
    <w:name w:val="Body Text"/>
    <w:basedOn w:val="1"/>
    <w:next w:val="1"/>
    <w:link w:val="68"/>
    <w:qFormat/>
    <w:uiPriority w:val="0"/>
    <w:pPr>
      <w:spacing w:after="120"/>
    </w:pPr>
  </w:style>
  <w:style w:type="paragraph" w:styleId="16">
    <w:name w:val="Body Text Indent"/>
    <w:basedOn w:val="1"/>
    <w:next w:val="2"/>
    <w:link w:val="69"/>
    <w:qFormat/>
    <w:uiPriority w:val="0"/>
    <w:pPr>
      <w:spacing w:after="120"/>
      <w:ind w:left="420" w:leftChars="200"/>
    </w:pPr>
  </w:style>
  <w:style w:type="paragraph" w:styleId="17">
    <w:name w:val="List 2"/>
    <w:basedOn w:val="1"/>
    <w:qFormat/>
    <w:uiPriority w:val="0"/>
    <w:pPr>
      <w:ind w:left="100" w:leftChars="200" w:hanging="200" w:hangingChars="200"/>
    </w:pPr>
  </w:style>
  <w:style w:type="paragraph" w:styleId="18">
    <w:name w:val="toc 5"/>
    <w:basedOn w:val="1"/>
    <w:next w:val="1"/>
    <w:qFormat/>
    <w:uiPriority w:val="0"/>
    <w:pPr>
      <w:ind w:left="1680" w:leftChars="800"/>
    </w:pPr>
    <w:rPr>
      <w:rFonts w:ascii="Calibri" w:hAnsi="Calibri"/>
      <w:szCs w:val="22"/>
    </w:rPr>
  </w:style>
  <w:style w:type="paragraph" w:styleId="19">
    <w:name w:val="toc 3"/>
    <w:basedOn w:val="1"/>
    <w:next w:val="1"/>
    <w:qFormat/>
    <w:uiPriority w:val="39"/>
    <w:pPr>
      <w:ind w:left="840" w:leftChars="400"/>
    </w:pPr>
  </w:style>
  <w:style w:type="paragraph" w:styleId="20">
    <w:name w:val="Plain Text"/>
    <w:basedOn w:val="1"/>
    <w:next w:val="15"/>
    <w:link w:val="70"/>
    <w:qFormat/>
    <w:uiPriority w:val="0"/>
    <w:pPr>
      <w:spacing w:beforeLines="50" w:afterLines="50" w:line="400" w:lineRule="exact"/>
    </w:pPr>
    <w:rPr>
      <w:rFonts w:ascii="宋体" w:hAnsi="Courier New"/>
      <w:sz w:val="24"/>
    </w:rPr>
  </w:style>
  <w:style w:type="paragraph" w:styleId="21">
    <w:name w:val="toc 8"/>
    <w:basedOn w:val="1"/>
    <w:next w:val="1"/>
    <w:qFormat/>
    <w:uiPriority w:val="0"/>
    <w:pPr>
      <w:ind w:left="2940" w:leftChars="1400"/>
    </w:pPr>
    <w:rPr>
      <w:rFonts w:ascii="Calibri" w:hAnsi="Calibri"/>
      <w:szCs w:val="22"/>
    </w:rPr>
  </w:style>
  <w:style w:type="paragraph" w:styleId="22">
    <w:name w:val="Date"/>
    <w:basedOn w:val="1"/>
    <w:next w:val="1"/>
    <w:link w:val="71"/>
    <w:qFormat/>
    <w:uiPriority w:val="0"/>
    <w:pPr>
      <w:ind w:left="100" w:leftChars="2500"/>
    </w:pPr>
  </w:style>
  <w:style w:type="paragraph" w:styleId="23">
    <w:name w:val="Body Text Indent 2"/>
    <w:basedOn w:val="1"/>
    <w:link w:val="72"/>
    <w:qFormat/>
    <w:uiPriority w:val="0"/>
    <w:pPr>
      <w:snapToGrid w:val="0"/>
      <w:ind w:firstLine="542" w:firstLineChars="225"/>
    </w:pPr>
    <w:rPr>
      <w:rFonts w:ascii="仿宋_GB2312" w:hAnsi="宋体"/>
      <w:b/>
      <w:bCs/>
      <w:color w:val="000000"/>
      <w:sz w:val="24"/>
    </w:rPr>
  </w:style>
  <w:style w:type="paragraph" w:styleId="24">
    <w:name w:val="Balloon Text"/>
    <w:basedOn w:val="1"/>
    <w:link w:val="73"/>
    <w:qFormat/>
    <w:uiPriority w:val="0"/>
    <w:rPr>
      <w:sz w:val="18"/>
      <w:szCs w:val="18"/>
    </w:rPr>
  </w:style>
  <w:style w:type="paragraph" w:styleId="25">
    <w:name w:val="footer"/>
    <w:basedOn w:val="1"/>
    <w:link w:val="74"/>
    <w:qFormat/>
    <w:uiPriority w:val="0"/>
    <w:pPr>
      <w:tabs>
        <w:tab w:val="center" w:pos="4153"/>
        <w:tab w:val="right" w:pos="8306"/>
      </w:tabs>
      <w:snapToGrid w:val="0"/>
      <w:jc w:val="left"/>
    </w:pPr>
    <w:rPr>
      <w:rFonts w:eastAsia="黑体"/>
      <w:snapToGrid w:val="0"/>
      <w:kern w:val="0"/>
      <w:sz w:val="18"/>
      <w:szCs w:val="18"/>
    </w:rPr>
  </w:style>
  <w:style w:type="paragraph" w:styleId="26">
    <w:name w:val="envelope return"/>
    <w:basedOn w:val="1"/>
    <w:qFormat/>
    <w:uiPriority w:val="0"/>
    <w:pPr>
      <w:widowControl/>
      <w:adjustRightInd w:val="0"/>
      <w:snapToGrid w:val="0"/>
      <w:spacing w:after="200"/>
      <w:jc w:val="left"/>
    </w:pPr>
    <w:rPr>
      <w:rFonts w:ascii="Arial" w:hAnsi="Arial" w:eastAsia="微软雅黑"/>
      <w:kern w:val="0"/>
      <w:sz w:val="22"/>
      <w:szCs w:val="22"/>
    </w:rPr>
  </w:style>
  <w:style w:type="paragraph" w:styleId="27">
    <w:name w:val="header"/>
    <w:basedOn w:val="1"/>
    <w:link w:val="75"/>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right" w:leader="dot" w:pos="9060"/>
      </w:tabs>
      <w:spacing w:before="10" w:after="10"/>
    </w:pPr>
  </w:style>
  <w:style w:type="paragraph" w:styleId="29">
    <w:name w:val="toc 4"/>
    <w:basedOn w:val="1"/>
    <w:next w:val="1"/>
    <w:qFormat/>
    <w:uiPriority w:val="0"/>
    <w:pPr>
      <w:ind w:left="1260" w:leftChars="600"/>
    </w:pPr>
    <w:rPr>
      <w:rFonts w:ascii="Calibri" w:hAnsi="Calibri"/>
      <w:szCs w:val="22"/>
    </w:rPr>
  </w:style>
  <w:style w:type="paragraph" w:styleId="30">
    <w:name w:val="List"/>
    <w:basedOn w:val="1"/>
    <w:qFormat/>
    <w:uiPriority w:val="0"/>
    <w:pPr>
      <w:ind w:left="200" w:hanging="200" w:hangingChars="200"/>
    </w:pPr>
  </w:style>
  <w:style w:type="paragraph" w:styleId="31">
    <w:name w:val="footnote text"/>
    <w:basedOn w:val="1"/>
    <w:link w:val="76"/>
    <w:qFormat/>
    <w:uiPriority w:val="0"/>
    <w:pPr>
      <w:snapToGrid w:val="0"/>
      <w:jc w:val="left"/>
    </w:pPr>
    <w:rPr>
      <w:rFonts w:ascii="Tahoma" w:hAnsi="Tahoma"/>
      <w:sz w:val="18"/>
      <w:szCs w:val="18"/>
    </w:rPr>
  </w:style>
  <w:style w:type="paragraph" w:styleId="32">
    <w:name w:val="toc 6"/>
    <w:basedOn w:val="1"/>
    <w:next w:val="1"/>
    <w:qFormat/>
    <w:uiPriority w:val="0"/>
    <w:pPr>
      <w:ind w:left="2100" w:leftChars="1000"/>
    </w:pPr>
    <w:rPr>
      <w:rFonts w:ascii="Calibri" w:hAnsi="Calibri"/>
      <w:szCs w:val="22"/>
    </w:rPr>
  </w:style>
  <w:style w:type="paragraph" w:styleId="33">
    <w:name w:val="Body Text Indent 3"/>
    <w:basedOn w:val="1"/>
    <w:link w:val="77"/>
    <w:qFormat/>
    <w:uiPriority w:val="0"/>
    <w:pPr>
      <w:spacing w:line="360" w:lineRule="auto"/>
      <w:ind w:firstLine="420" w:firstLineChars="200"/>
    </w:pPr>
    <w:rPr>
      <w:szCs w:val="20"/>
    </w:rPr>
  </w:style>
  <w:style w:type="paragraph" w:styleId="34">
    <w:name w:val="index 7"/>
    <w:basedOn w:val="1"/>
    <w:next w:val="1"/>
    <w:qFormat/>
    <w:uiPriority w:val="0"/>
    <w:pPr>
      <w:ind w:left="1200" w:leftChars="1200"/>
    </w:pPr>
  </w:style>
  <w:style w:type="paragraph" w:styleId="35">
    <w:name w:val="toc 2"/>
    <w:basedOn w:val="1"/>
    <w:next w:val="1"/>
    <w:qFormat/>
    <w:uiPriority w:val="39"/>
    <w:pPr>
      <w:tabs>
        <w:tab w:val="left" w:pos="1470"/>
        <w:tab w:val="right" w:leader="dot" w:pos="9060"/>
      </w:tabs>
      <w:ind w:left="420" w:leftChars="200" w:firstLine="430" w:firstLineChars="205"/>
    </w:pPr>
  </w:style>
  <w:style w:type="paragraph" w:styleId="36">
    <w:name w:val="toc 9"/>
    <w:basedOn w:val="1"/>
    <w:next w:val="1"/>
    <w:qFormat/>
    <w:uiPriority w:val="0"/>
    <w:pPr>
      <w:ind w:left="3360" w:leftChars="1600"/>
    </w:pPr>
    <w:rPr>
      <w:rFonts w:ascii="Calibri" w:hAnsi="Calibri"/>
      <w:szCs w:val="22"/>
    </w:rPr>
  </w:style>
  <w:style w:type="paragraph" w:styleId="37">
    <w:name w:val="HTML Preformatted"/>
    <w:basedOn w:val="1"/>
    <w:link w:val="7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38">
    <w:name w:val="Normal (Web)"/>
    <w:basedOn w:val="1"/>
    <w:next w:val="1"/>
    <w:qFormat/>
    <w:uiPriority w:val="0"/>
    <w:pPr>
      <w:widowControl/>
      <w:spacing w:before="100" w:beforeAutospacing="1" w:after="100" w:afterAutospacing="1"/>
      <w:jc w:val="left"/>
    </w:pPr>
    <w:rPr>
      <w:rFonts w:ascii="宋体" w:hAnsi="宋体" w:cs="宋体"/>
      <w:kern w:val="0"/>
      <w:sz w:val="24"/>
    </w:rPr>
  </w:style>
  <w:style w:type="paragraph" w:styleId="39">
    <w:name w:val="Title"/>
    <w:basedOn w:val="1"/>
    <w:next w:val="1"/>
    <w:link w:val="58"/>
    <w:qFormat/>
    <w:uiPriority w:val="0"/>
    <w:pPr>
      <w:spacing w:before="240" w:after="60"/>
      <w:jc w:val="center"/>
      <w:outlineLvl w:val="0"/>
    </w:pPr>
    <w:rPr>
      <w:rFonts w:ascii="Arial" w:hAnsi="Arial"/>
      <w:b/>
      <w:bCs/>
      <w:sz w:val="32"/>
      <w:szCs w:val="32"/>
    </w:rPr>
  </w:style>
  <w:style w:type="paragraph" w:styleId="40">
    <w:name w:val="annotation subject"/>
    <w:basedOn w:val="13"/>
    <w:next w:val="13"/>
    <w:link w:val="79"/>
    <w:qFormat/>
    <w:uiPriority w:val="0"/>
    <w:rPr>
      <w:b/>
      <w:bCs/>
    </w:rPr>
  </w:style>
  <w:style w:type="paragraph" w:styleId="41">
    <w:name w:val="Body Text First Indent"/>
    <w:basedOn w:val="15"/>
    <w:next w:val="1"/>
    <w:link w:val="80"/>
    <w:qFormat/>
    <w:uiPriority w:val="0"/>
    <w:pPr>
      <w:ind w:firstLine="420" w:firstLineChars="100"/>
    </w:pPr>
    <w:rPr>
      <w:szCs w:val="22"/>
    </w:rPr>
  </w:style>
  <w:style w:type="paragraph" w:styleId="42">
    <w:name w:val="Body Text First Indent 2"/>
    <w:basedOn w:val="16"/>
    <w:next w:val="41"/>
    <w:link w:val="81"/>
    <w:qFormat/>
    <w:uiPriority w:val="0"/>
    <w:pPr>
      <w:ind w:firstLine="420"/>
    </w:pPr>
    <w:rPr>
      <w:rFonts w:cs="宋体"/>
      <w:szCs w:val="21"/>
    </w:r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basedOn w:val="45"/>
    <w:qFormat/>
    <w:uiPriority w:val="22"/>
  </w:style>
  <w:style w:type="character" w:styleId="47">
    <w:name w:val="page number"/>
    <w:qFormat/>
    <w:uiPriority w:val="0"/>
    <w:rPr>
      <w:rFonts w:ascii="Times New Roman" w:hAnsi="Times New Roman" w:eastAsia="宋体" w:cs="Times New Roman"/>
    </w:rPr>
  </w:style>
  <w:style w:type="character" w:styleId="48">
    <w:name w:val="FollowedHyperlink"/>
    <w:qFormat/>
    <w:uiPriority w:val="0"/>
    <w:rPr>
      <w:rFonts w:ascii="Times New Roman" w:hAnsi="Times New Roman" w:eastAsia="宋体" w:cs="Times New Roman"/>
      <w:color w:val="000000"/>
      <w:u w:val="none"/>
    </w:rPr>
  </w:style>
  <w:style w:type="character" w:styleId="49">
    <w:name w:val="Emphasis"/>
    <w:qFormat/>
    <w:uiPriority w:val="0"/>
    <w:rPr>
      <w:rFonts w:ascii="Times New Roman" w:hAnsi="Times New Roman" w:eastAsia="幼圆" w:cs="Times New Roman"/>
      <w:b/>
      <w:caps/>
      <w:spacing w:val="10"/>
      <w:sz w:val="18"/>
    </w:rPr>
  </w:style>
  <w:style w:type="character" w:styleId="50">
    <w:name w:val="Hyperlink"/>
    <w:qFormat/>
    <w:uiPriority w:val="99"/>
    <w:rPr>
      <w:rFonts w:ascii="Times New Roman" w:hAnsi="Times New Roman" w:eastAsia="宋体" w:cs="Times New Roman"/>
      <w:color w:val="000000"/>
      <w:u w:val="none"/>
    </w:rPr>
  </w:style>
  <w:style w:type="character" w:styleId="51">
    <w:name w:val="HTML Code"/>
    <w:basedOn w:val="45"/>
    <w:unhideWhenUsed/>
    <w:qFormat/>
    <w:uiPriority w:val="99"/>
    <w:rPr>
      <w:rFonts w:ascii="Courier New" w:hAnsi="Courier New"/>
      <w:sz w:val="20"/>
    </w:rPr>
  </w:style>
  <w:style w:type="character" w:styleId="52">
    <w:name w:val="annotation reference"/>
    <w:qFormat/>
    <w:uiPriority w:val="0"/>
    <w:rPr>
      <w:rFonts w:ascii="Times New Roman" w:hAnsi="Times New Roman" w:eastAsia="宋体" w:cs="Times New Roman"/>
      <w:sz w:val="21"/>
      <w:szCs w:val="21"/>
    </w:rPr>
  </w:style>
  <w:style w:type="character" w:styleId="53">
    <w:name w:val="HTML Cite"/>
    <w:basedOn w:val="45"/>
    <w:unhideWhenUsed/>
    <w:qFormat/>
    <w:uiPriority w:val="99"/>
  </w:style>
  <w:style w:type="character" w:styleId="54">
    <w:name w:val="footnote reference"/>
    <w:qFormat/>
    <w:uiPriority w:val="0"/>
    <w:rPr>
      <w:rFonts w:ascii="Tahoma" w:hAnsi="Tahoma" w:eastAsia="宋体" w:cs="Times New Roman"/>
      <w:kern w:val="2"/>
      <w:sz w:val="24"/>
      <w:szCs w:val="24"/>
      <w:vertAlign w:val="superscript"/>
      <w:lang w:val="en-US" w:eastAsia="zh-CN" w:bidi="ar-SA"/>
    </w:rPr>
  </w:style>
  <w:style w:type="paragraph" w:customStyle="1" w:styleId="55">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paragraph" w:customStyle="1" w:styleId="56">
    <w:name w:val="目录 62"/>
    <w:next w:val="1"/>
    <w:qFormat/>
    <w:uiPriority w:val="0"/>
    <w:rPr>
      <w:rFonts w:ascii="Times New Roman" w:hAnsi="Times New Roman" w:eastAsia="宋体" w:cs="Times New Roman"/>
      <w:sz w:val="21"/>
      <w:lang w:val="en-US" w:eastAsia="zh-CN" w:bidi="ar-SA"/>
    </w:rPr>
  </w:style>
  <w:style w:type="paragraph" w:customStyle="1" w:styleId="57">
    <w:name w:val="Char"/>
    <w:basedOn w:val="1"/>
    <w:qFormat/>
    <w:uiPriority w:val="0"/>
    <w:rPr>
      <w:rFonts w:ascii="仿宋_GB2312" w:eastAsia="仿宋_GB2312"/>
      <w:b/>
      <w:sz w:val="32"/>
      <w:szCs w:val="32"/>
    </w:rPr>
  </w:style>
  <w:style w:type="character" w:customStyle="1" w:styleId="58">
    <w:name w:val="标题 Char"/>
    <w:link w:val="39"/>
    <w:qFormat/>
    <w:uiPriority w:val="0"/>
    <w:rPr>
      <w:rFonts w:ascii="Arial" w:hAnsi="Arial" w:eastAsia="宋体" w:cs="Arial"/>
      <w:b/>
      <w:bCs/>
      <w:kern w:val="2"/>
      <w:sz w:val="32"/>
      <w:szCs w:val="32"/>
    </w:rPr>
  </w:style>
  <w:style w:type="character" w:customStyle="1" w:styleId="59">
    <w:name w:val="标题 1 Char1"/>
    <w:qFormat/>
    <w:uiPriority w:val="0"/>
    <w:rPr>
      <w:rFonts w:ascii="Times New Roman" w:hAnsi="Times New Roman" w:eastAsia="宋体" w:cs="Times New Roman"/>
      <w:b/>
      <w:bCs/>
      <w:kern w:val="44"/>
      <w:sz w:val="32"/>
      <w:lang w:val="en-US" w:eastAsia="zh-CN" w:bidi="ar-SA"/>
    </w:rPr>
  </w:style>
  <w:style w:type="character" w:customStyle="1" w:styleId="60">
    <w:name w:val="标题 2 Char1"/>
    <w:link w:val="4"/>
    <w:qFormat/>
    <w:uiPriority w:val="0"/>
    <w:rPr>
      <w:rFonts w:ascii="Arial" w:hAnsi="Arial" w:eastAsia="宋体" w:cs="Times New Roman"/>
      <w:b/>
      <w:bCs/>
      <w:kern w:val="2"/>
      <w:sz w:val="21"/>
      <w:szCs w:val="32"/>
    </w:rPr>
  </w:style>
  <w:style w:type="character" w:customStyle="1" w:styleId="61">
    <w:name w:val="正文缩进 Char"/>
    <w:link w:val="2"/>
    <w:qFormat/>
    <w:uiPriority w:val="0"/>
    <w:rPr>
      <w:rFonts w:ascii="Times New Roman" w:hAnsi="Times New Roman" w:eastAsia="宋体" w:cs="Times New Roman"/>
      <w:kern w:val="2"/>
      <w:sz w:val="21"/>
      <w:lang w:val="en-US" w:eastAsia="zh-CN" w:bidi="ar-SA"/>
    </w:rPr>
  </w:style>
  <w:style w:type="character" w:customStyle="1" w:styleId="62">
    <w:name w:val="标题 4 Char"/>
    <w:link w:val="6"/>
    <w:qFormat/>
    <w:uiPriority w:val="0"/>
    <w:rPr>
      <w:rFonts w:ascii="Cambria" w:hAnsi="Cambria" w:eastAsia="宋体" w:cs="Times New Roman"/>
      <w:b/>
      <w:bCs/>
      <w:kern w:val="2"/>
      <w:sz w:val="28"/>
      <w:szCs w:val="28"/>
    </w:rPr>
  </w:style>
  <w:style w:type="character" w:customStyle="1" w:styleId="63">
    <w:name w:val="标题 5 Char"/>
    <w:link w:val="7"/>
    <w:qFormat/>
    <w:uiPriority w:val="0"/>
    <w:rPr>
      <w:rFonts w:ascii="Times New Roman" w:hAnsi="Times New Roman" w:eastAsia="宋体" w:cs="Times New Roman"/>
      <w:b/>
      <w:bCs/>
      <w:kern w:val="2"/>
      <w:sz w:val="28"/>
      <w:szCs w:val="28"/>
    </w:rPr>
  </w:style>
  <w:style w:type="character" w:customStyle="1" w:styleId="64">
    <w:name w:val="标题 6 Char"/>
    <w:link w:val="8"/>
    <w:qFormat/>
    <w:uiPriority w:val="0"/>
    <w:rPr>
      <w:rFonts w:ascii="Cambria" w:hAnsi="Cambria" w:eastAsia="宋体" w:cs="Times New Roman"/>
      <w:b/>
      <w:bCs/>
      <w:kern w:val="2"/>
      <w:sz w:val="24"/>
      <w:szCs w:val="24"/>
    </w:rPr>
  </w:style>
  <w:style w:type="character" w:customStyle="1" w:styleId="65">
    <w:name w:val="文档结构图 Char1"/>
    <w:link w:val="12"/>
    <w:qFormat/>
    <w:uiPriority w:val="0"/>
    <w:rPr>
      <w:rFonts w:ascii="宋体" w:hAnsi="Times New Roman" w:eastAsia="宋体" w:cs="Times New Roman"/>
      <w:kern w:val="2"/>
      <w:sz w:val="18"/>
      <w:szCs w:val="18"/>
    </w:rPr>
  </w:style>
  <w:style w:type="character" w:customStyle="1" w:styleId="66">
    <w:name w:val="批注文字 Char"/>
    <w:link w:val="13"/>
    <w:qFormat/>
    <w:uiPriority w:val="0"/>
    <w:rPr>
      <w:rFonts w:ascii="Times New Roman" w:hAnsi="Times New Roman" w:eastAsia="宋体" w:cs="Times New Roman"/>
      <w:kern w:val="2"/>
      <w:sz w:val="21"/>
      <w:szCs w:val="24"/>
    </w:rPr>
  </w:style>
  <w:style w:type="character" w:customStyle="1" w:styleId="67">
    <w:name w:val="正文文本 3 Char"/>
    <w:link w:val="14"/>
    <w:qFormat/>
    <w:uiPriority w:val="0"/>
    <w:rPr>
      <w:rFonts w:ascii="Times New Roman" w:hAnsi="Times New Roman" w:eastAsia="宋体" w:cs="Times New Roman"/>
      <w:kern w:val="2"/>
      <w:sz w:val="16"/>
      <w:szCs w:val="16"/>
    </w:rPr>
  </w:style>
  <w:style w:type="character" w:customStyle="1" w:styleId="68">
    <w:name w:val="正文文本 Char1"/>
    <w:link w:val="15"/>
    <w:qFormat/>
    <w:uiPriority w:val="0"/>
    <w:rPr>
      <w:rFonts w:ascii="Times New Roman" w:hAnsi="Times New Roman" w:eastAsia="宋体" w:cs="Times New Roman"/>
      <w:kern w:val="2"/>
      <w:sz w:val="21"/>
      <w:szCs w:val="24"/>
    </w:rPr>
  </w:style>
  <w:style w:type="character" w:customStyle="1" w:styleId="69">
    <w:name w:val="正文文本缩进 Char"/>
    <w:link w:val="16"/>
    <w:qFormat/>
    <w:uiPriority w:val="0"/>
    <w:rPr>
      <w:rFonts w:ascii="Times New Roman" w:hAnsi="Times New Roman" w:eastAsia="宋体" w:cs="Times New Roman"/>
      <w:kern w:val="2"/>
      <w:sz w:val="21"/>
      <w:szCs w:val="24"/>
    </w:rPr>
  </w:style>
  <w:style w:type="character" w:customStyle="1" w:styleId="70">
    <w:name w:val="纯文本 Char"/>
    <w:link w:val="20"/>
    <w:qFormat/>
    <w:uiPriority w:val="0"/>
    <w:rPr>
      <w:rFonts w:ascii="宋体" w:hAnsi="Courier New" w:eastAsia="宋体" w:cs="Times New Roman"/>
      <w:kern w:val="2"/>
      <w:sz w:val="24"/>
      <w:szCs w:val="24"/>
      <w:lang w:val="en-US" w:eastAsia="zh-CN" w:bidi="ar-SA"/>
    </w:rPr>
  </w:style>
  <w:style w:type="character" w:customStyle="1" w:styleId="71">
    <w:name w:val="日期 Char1"/>
    <w:link w:val="22"/>
    <w:qFormat/>
    <w:uiPriority w:val="0"/>
    <w:rPr>
      <w:rFonts w:ascii="Times New Roman" w:hAnsi="Times New Roman" w:eastAsia="宋体" w:cs="Times New Roman"/>
      <w:kern w:val="2"/>
      <w:sz w:val="21"/>
      <w:szCs w:val="24"/>
    </w:rPr>
  </w:style>
  <w:style w:type="character" w:customStyle="1" w:styleId="72">
    <w:name w:val="正文文本缩进 2 Char"/>
    <w:link w:val="23"/>
    <w:qFormat/>
    <w:uiPriority w:val="0"/>
    <w:rPr>
      <w:rFonts w:ascii="仿宋_GB2312" w:hAnsi="宋体" w:eastAsia="宋体" w:cs="Arial"/>
      <w:b/>
      <w:bCs/>
      <w:color w:val="000000"/>
      <w:kern w:val="2"/>
      <w:sz w:val="24"/>
      <w:szCs w:val="24"/>
    </w:rPr>
  </w:style>
  <w:style w:type="character" w:customStyle="1" w:styleId="73">
    <w:name w:val="批注框文本 Char"/>
    <w:link w:val="24"/>
    <w:qFormat/>
    <w:uiPriority w:val="0"/>
    <w:rPr>
      <w:rFonts w:ascii="Times New Roman" w:hAnsi="Times New Roman" w:eastAsia="宋体" w:cs="Times New Roman"/>
      <w:kern w:val="2"/>
      <w:sz w:val="18"/>
      <w:szCs w:val="18"/>
    </w:rPr>
  </w:style>
  <w:style w:type="character" w:customStyle="1" w:styleId="74">
    <w:name w:val="页脚 Char"/>
    <w:link w:val="25"/>
    <w:qFormat/>
    <w:uiPriority w:val="0"/>
    <w:rPr>
      <w:rFonts w:ascii="Times New Roman" w:hAnsi="Times New Roman" w:eastAsia="黑体" w:cs="Times New Roman"/>
      <w:snapToGrid w:val="0"/>
      <w:sz w:val="18"/>
      <w:szCs w:val="18"/>
    </w:rPr>
  </w:style>
  <w:style w:type="character" w:customStyle="1" w:styleId="75">
    <w:name w:val="页眉 Char"/>
    <w:link w:val="27"/>
    <w:qFormat/>
    <w:uiPriority w:val="0"/>
    <w:rPr>
      <w:rFonts w:ascii="Times New Roman" w:hAnsi="Times New Roman" w:eastAsia="宋体" w:cs="Times New Roman"/>
      <w:kern w:val="2"/>
      <w:sz w:val="18"/>
      <w:szCs w:val="18"/>
    </w:rPr>
  </w:style>
  <w:style w:type="character" w:customStyle="1" w:styleId="76">
    <w:name w:val="脚注文本 Char"/>
    <w:link w:val="31"/>
    <w:qFormat/>
    <w:uiPriority w:val="0"/>
    <w:rPr>
      <w:rFonts w:ascii="Tahoma" w:hAnsi="Tahoma" w:eastAsia="宋体" w:cs="Times New Roman"/>
      <w:kern w:val="2"/>
      <w:sz w:val="18"/>
      <w:szCs w:val="18"/>
    </w:rPr>
  </w:style>
  <w:style w:type="character" w:customStyle="1" w:styleId="77">
    <w:name w:val="正文文本缩进 3 Char"/>
    <w:link w:val="33"/>
    <w:qFormat/>
    <w:uiPriority w:val="0"/>
    <w:rPr>
      <w:rFonts w:ascii="Times New Roman" w:hAnsi="Times New Roman" w:eastAsia="宋体" w:cs="Times New Roman"/>
      <w:kern w:val="2"/>
      <w:sz w:val="21"/>
    </w:rPr>
  </w:style>
  <w:style w:type="character" w:customStyle="1" w:styleId="78">
    <w:name w:val="HTML 预设格式 Char"/>
    <w:link w:val="37"/>
    <w:qFormat/>
    <w:uiPriority w:val="0"/>
    <w:rPr>
      <w:rFonts w:ascii="Arial" w:hAnsi="Arial" w:eastAsia="宋体" w:cs="Arial"/>
      <w:sz w:val="24"/>
      <w:szCs w:val="24"/>
    </w:rPr>
  </w:style>
  <w:style w:type="character" w:customStyle="1" w:styleId="79">
    <w:name w:val="批注主题 Char"/>
    <w:link w:val="40"/>
    <w:qFormat/>
    <w:uiPriority w:val="0"/>
    <w:rPr>
      <w:rFonts w:ascii="Times New Roman" w:hAnsi="Times New Roman" w:eastAsia="宋体" w:cs="Times New Roman"/>
      <w:kern w:val="2"/>
      <w:sz w:val="21"/>
      <w:szCs w:val="24"/>
    </w:rPr>
  </w:style>
  <w:style w:type="character" w:customStyle="1" w:styleId="80">
    <w:name w:val="正文首行缩进 Char"/>
    <w:link w:val="41"/>
    <w:qFormat/>
    <w:uiPriority w:val="0"/>
    <w:rPr>
      <w:rFonts w:ascii="Times New Roman" w:hAnsi="Times New Roman" w:eastAsia="宋体" w:cs="Times New Roman"/>
      <w:kern w:val="2"/>
      <w:sz w:val="21"/>
      <w:szCs w:val="22"/>
    </w:rPr>
  </w:style>
  <w:style w:type="character" w:customStyle="1" w:styleId="81">
    <w:name w:val="正文首行缩进 2 Char"/>
    <w:basedOn w:val="45"/>
    <w:link w:val="42"/>
    <w:qFormat/>
    <w:uiPriority w:val="0"/>
    <w:rPr>
      <w:rFonts w:hint="default" w:ascii="Calibri" w:hAnsi="Calibri" w:eastAsia="宋体" w:cs="Calibri"/>
      <w:kern w:val="2"/>
      <w:sz w:val="21"/>
      <w:szCs w:val="24"/>
      <w:lang w:val="en-US" w:eastAsia="zh-CN"/>
    </w:rPr>
  </w:style>
  <w:style w:type="character" w:customStyle="1" w:styleId="82">
    <w:name w:val="标题 1 Char"/>
    <w:link w:val="3"/>
    <w:qFormat/>
    <w:uiPriority w:val="0"/>
    <w:rPr>
      <w:rFonts w:ascii="Times New Roman" w:hAnsi="Times New Roman" w:eastAsia="宋体" w:cs="Times New Roman"/>
      <w:b/>
      <w:bCs/>
      <w:kern w:val="44"/>
      <w:sz w:val="32"/>
      <w:lang w:val="en-US" w:eastAsia="zh-CN" w:bidi="ar-SA"/>
    </w:rPr>
  </w:style>
  <w:style w:type="character" w:customStyle="1" w:styleId="83">
    <w:name w:val="标题 1 Char Char"/>
    <w:qFormat/>
    <w:uiPriority w:val="0"/>
    <w:rPr>
      <w:rFonts w:ascii="Times New Roman" w:hAnsi="Times New Roman" w:eastAsia="宋体" w:cs="Times New Roman"/>
      <w:b/>
      <w:spacing w:val="-2"/>
      <w:sz w:val="24"/>
      <w:lang w:val="en-US" w:eastAsia="zh-CN" w:bidi="ar-SA"/>
    </w:rPr>
  </w:style>
  <w:style w:type="character" w:customStyle="1" w:styleId="84">
    <w:name w:val="标题 Char1"/>
    <w:qFormat/>
    <w:uiPriority w:val="0"/>
    <w:rPr>
      <w:rFonts w:ascii="Cambria" w:hAnsi="Cambria" w:eastAsia="宋体" w:cs="Times New Roman"/>
      <w:b/>
      <w:bCs/>
      <w:kern w:val="2"/>
      <w:sz w:val="32"/>
      <w:szCs w:val="32"/>
    </w:rPr>
  </w:style>
  <w:style w:type="character" w:customStyle="1" w:styleId="85">
    <w:name w:val="ca-39"/>
    <w:qFormat/>
    <w:uiPriority w:val="0"/>
    <w:rPr>
      <w:rFonts w:ascii="Times New Roman" w:hAnsi="Times New Roman" w:eastAsia="宋体" w:cs="Times New Roman"/>
    </w:rPr>
  </w:style>
  <w:style w:type="character" w:customStyle="1" w:styleId="86">
    <w:name w:val="apple-converted-space"/>
    <w:qFormat/>
    <w:uiPriority w:val="0"/>
    <w:rPr>
      <w:rFonts w:ascii="Times New Roman" w:hAnsi="Times New Roman" w:eastAsia="宋体" w:cs="Times New Roman"/>
    </w:rPr>
  </w:style>
  <w:style w:type="character" w:customStyle="1" w:styleId="87">
    <w:name w:val="样式 首行缩进:  0.74 厘米 Char"/>
    <w:link w:val="88"/>
    <w:qFormat/>
    <w:uiPriority w:val="0"/>
    <w:rPr>
      <w:rFonts w:ascii="宋体" w:hAnsi="宋体" w:eastAsia="宋体" w:cs="宋体"/>
      <w:b/>
      <w:kern w:val="2"/>
      <w:sz w:val="24"/>
      <w:szCs w:val="24"/>
    </w:rPr>
  </w:style>
  <w:style w:type="paragraph" w:customStyle="1" w:styleId="88">
    <w:name w:val="样式 首行缩进:  0.74 厘米"/>
    <w:basedOn w:val="1"/>
    <w:link w:val="87"/>
    <w:qFormat/>
    <w:uiPriority w:val="0"/>
    <w:pPr>
      <w:tabs>
        <w:tab w:val="left" w:pos="851"/>
      </w:tabs>
      <w:spacing w:line="360" w:lineRule="auto"/>
    </w:pPr>
    <w:rPr>
      <w:rFonts w:ascii="宋体" w:hAnsi="宋体"/>
      <w:b/>
      <w:sz w:val="24"/>
    </w:rPr>
  </w:style>
  <w:style w:type="character" w:customStyle="1" w:styleId="89">
    <w:name w:val="脚注文本 Char1"/>
    <w:qFormat/>
    <w:uiPriority w:val="0"/>
    <w:rPr>
      <w:rFonts w:ascii="Times New Roman" w:hAnsi="Times New Roman" w:eastAsia="宋体" w:cs="Times New Roman"/>
      <w:kern w:val="2"/>
      <w:sz w:val="18"/>
      <w:szCs w:val="18"/>
    </w:rPr>
  </w:style>
  <w:style w:type="character" w:customStyle="1" w:styleId="90">
    <w:name w:val="Heading 2 Hidden Char2"/>
    <w:qFormat/>
    <w:uiPriority w:val="0"/>
    <w:rPr>
      <w:rFonts w:ascii="Arial" w:hAnsi="Arial" w:eastAsia="黑体" w:cs="Times New Roman"/>
      <w:b/>
      <w:bCs/>
      <w:kern w:val="2"/>
      <w:sz w:val="32"/>
      <w:szCs w:val="32"/>
      <w:lang w:val="en-US" w:eastAsia="zh-CN" w:bidi="ar-SA"/>
    </w:rPr>
  </w:style>
  <w:style w:type="character" w:customStyle="1" w:styleId="91">
    <w:name w:val="List Paragraph Char"/>
    <w:link w:val="92"/>
    <w:qFormat/>
    <w:uiPriority w:val="0"/>
    <w:rPr>
      <w:rFonts w:ascii="Calibri" w:hAnsi="Calibri" w:eastAsia="宋体" w:cs="Times New Roman"/>
      <w:kern w:val="2"/>
      <w:sz w:val="21"/>
      <w:szCs w:val="22"/>
    </w:rPr>
  </w:style>
  <w:style w:type="paragraph" w:customStyle="1" w:styleId="92">
    <w:name w:val="列出段落1"/>
    <w:basedOn w:val="1"/>
    <w:link w:val="91"/>
    <w:qFormat/>
    <w:uiPriority w:val="0"/>
    <w:pPr>
      <w:ind w:firstLine="420" w:firstLineChars="200"/>
    </w:pPr>
    <w:rPr>
      <w:rFonts w:ascii="Calibri" w:hAnsi="Calibri"/>
      <w:szCs w:val="22"/>
    </w:rPr>
  </w:style>
  <w:style w:type="character" w:customStyle="1" w:styleId="93">
    <w:name w:val="font61"/>
    <w:qFormat/>
    <w:uiPriority w:val="0"/>
    <w:rPr>
      <w:rFonts w:hint="eastAsia" w:ascii="微软雅黑" w:hAnsi="微软雅黑" w:eastAsia="微软雅黑" w:cs="微软雅黑"/>
      <w:color w:val="000000"/>
      <w:sz w:val="20"/>
      <w:szCs w:val="20"/>
      <w:u w:val="none"/>
    </w:rPr>
  </w:style>
  <w:style w:type="character" w:customStyle="1" w:styleId="94">
    <w:name w:val="文档结构图 Char"/>
    <w:link w:val="95"/>
    <w:qFormat/>
    <w:uiPriority w:val="0"/>
    <w:rPr>
      <w:rFonts w:ascii="宋体" w:hAnsi="Times New Roman" w:eastAsia="宋体" w:cs="Times New Roman"/>
      <w:sz w:val="18"/>
      <w:szCs w:val="18"/>
    </w:rPr>
  </w:style>
  <w:style w:type="paragraph" w:customStyle="1" w:styleId="95">
    <w:name w:val="文档结构图1"/>
    <w:basedOn w:val="1"/>
    <w:link w:val="94"/>
    <w:qFormat/>
    <w:uiPriority w:val="0"/>
    <w:rPr>
      <w:rFonts w:ascii="宋体"/>
      <w:kern w:val="0"/>
      <w:sz w:val="18"/>
      <w:szCs w:val="18"/>
    </w:rPr>
  </w:style>
  <w:style w:type="character" w:customStyle="1" w:styleId="96">
    <w:name w:val="正文文本缩进 3 Char1"/>
    <w:qFormat/>
    <w:uiPriority w:val="0"/>
    <w:rPr>
      <w:rFonts w:ascii="Times New Roman" w:hAnsi="Times New Roman" w:eastAsia="宋体" w:cs="Times New Roman"/>
      <w:kern w:val="2"/>
      <w:sz w:val="16"/>
      <w:szCs w:val="16"/>
    </w:rPr>
  </w:style>
  <w:style w:type="character" w:customStyle="1" w:styleId="97">
    <w:name w:val="h2 Char"/>
    <w:qFormat/>
    <w:uiPriority w:val="0"/>
    <w:rPr>
      <w:rFonts w:ascii="Arial" w:hAnsi="Arial" w:eastAsia="黑体" w:cs="Times New Roman"/>
      <w:b/>
      <w:bCs/>
      <w:kern w:val="2"/>
      <w:sz w:val="32"/>
      <w:szCs w:val="32"/>
      <w:lang w:val="en-US" w:eastAsia="zh-CN" w:bidi="ar-SA"/>
    </w:rPr>
  </w:style>
  <w:style w:type="character" w:styleId="98">
    <w:name w:val="Placeholder Text"/>
    <w:qFormat/>
    <w:uiPriority w:val="0"/>
    <w:rPr>
      <w:rFonts w:ascii="Times New Roman" w:hAnsi="Times New Roman" w:eastAsia="宋体" w:cs="Times New Roman"/>
      <w:color w:val="808080"/>
    </w:rPr>
  </w:style>
  <w:style w:type="character" w:customStyle="1" w:styleId="99">
    <w:name w:val="标题 2 Char"/>
    <w:qFormat/>
    <w:uiPriority w:val="0"/>
    <w:rPr>
      <w:rFonts w:hint="eastAsia" w:ascii="文鼎小标宋简" w:hAnsi="Times New Roman" w:eastAsia="文鼎小标宋简" w:cs="Times New Roman"/>
      <w:b/>
      <w:sz w:val="36"/>
      <w:lang w:val="en-US" w:eastAsia="zh-CN" w:bidi="ar-SA"/>
    </w:rPr>
  </w:style>
  <w:style w:type="character" w:customStyle="1" w:styleId="100">
    <w:name w:val="标题 3 Char"/>
    <w:qFormat/>
    <w:uiPriority w:val="0"/>
    <w:rPr>
      <w:rFonts w:ascii="Times New Roman" w:hAnsi="Times New Roman" w:eastAsia="黑体" w:cs="Times New Roman"/>
      <w:b/>
      <w:sz w:val="28"/>
      <w:lang w:val="en-US" w:eastAsia="zh-CN" w:bidi="ar-SA"/>
    </w:rPr>
  </w:style>
  <w:style w:type="character" w:customStyle="1" w:styleId="101">
    <w:name w:val="正文文本 Char"/>
    <w:qFormat/>
    <w:uiPriority w:val="0"/>
    <w:rPr>
      <w:rFonts w:ascii="Times New Roman" w:hAnsi="Times New Roman" w:eastAsia="宋体" w:cs="Times New Roman"/>
      <w:kern w:val="2"/>
      <w:sz w:val="21"/>
      <w:szCs w:val="24"/>
    </w:rPr>
  </w:style>
  <w:style w:type="character" w:customStyle="1" w:styleId="102">
    <w:name w:val="无间距字符"/>
    <w:link w:val="103"/>
    <w:qFormat/>
    <w:uiPriority w:val="0"/>
    <w:rPr>
      <w:rFonts w:ascii="Calibri" w:hAnsi="Calibri"/>
      <w:sz w:val="22"/>
      <w:szCs w:val="22"/>
      <w:lang w:val="en-US" w:eastAsia="zh-CN" w:bidi="ar-SA"/>
    </w:rPr>
  </w:style>
  <w:style w:type="paragraph" w:customStyle="1" w:styleId="103">
    <w:name w:val="无间距"/>
    <w:link w:val="102"/>
    <w:qFormat/>
    <w:uiPriority w:val="0"/>
    <w:rPr>
      <w:rFonts w:ascii="Calibri" w:hAnsi="Calibri" w:eastAsia="宋体" w:cs="Times New Roman"/>
      <w:sz w:val="22"/>
      <w:szCs w:val="22"/>
      <w:lang w:val="en-US" w:eastAsia="zh-CN" w:bidi="ar-SA"/>
    </w:rPr>
  </w:style>
  <w:style w:type="character" w:customStyle="1" w:styleId="104">
    <w:name w:val="日期 Char"/>
    <w:qFormat/>
    <w:uiPriority w:val="0"/>
    <w:rPr>
      <w:rFonts w:ascii="Times New Roman" w:hAnsi="Times New Roman" w:eastAsia="宋体" w:cs="Times New Roman"/>
      <w:kern w:val="2"/>
      <w:sz w:val="24"/>
    </w:rPr>
  </w:style>
  <w:style w:type="character" w:customStyle="1" w:styleId="105">
    <w:name w:val="NormalCharacter"/>
    <w:qFormat/>
    <w:uiPriority w:val="0"/>
    <w:rPr>
      <w:rFonts w:ascii="Times New Roman" w:hAnsi="Times New Roman" w:eastAsia="宋体"/>
    </w:rPr>
  </w:style>
  <w:style w:type="character" w:customStyle="1" w:styleId="106">
    <w:name w:val="font01"/>
    <w:basedOn w:val="45"/>
    <w:qFormat/>
    <w:uiPriority w:val="0"/>
    <w:rPr>
      <w:rFonts w:hint="eastAsia" w:ascii="宋体" w:hAnsi="宋体" w:eastAsia="宋体" w:cs="宋体"/>
      <w:color w:val="000000"/>
      <w:kern w:val="0"/>
      <w:sz w:val="24"/>
      <w:szCs w:val="24"/>
      <w:u w:val="none"/>
    </w:rPr>
  </w:style>
  <w:style w:type="character" w:customStyle="1" w:styleId="107">
    <w:name w:val="列出段落 Char"/>
    <w:link w:val="108"/>
    <w:qFormat/>
    <w:uiPriority w:val="0"/>
    <w:rPr>
      <w:rFonts w:ascii="Times New Roman" w:hAnsi="Times New Roman" w:eastAsia="宋体" w:cs="Times New Roman"/>
      <w:kern w:val="2"/>
      <w:sz w:val="21"/>
      <w:szCs w:val="24"/>
    </w:rPr>
  </w:style>
  <w:style w:type="paragraph" w:customStyle="1" w:styleId="108">
    <w:name w:val="列出段落2"/>
    <w:basedOn w:val="1"/>
    <w:link w:val="107"/>
    <w:qFormat/>
    <w:uiPriority w:val="0"/>
    <w:pPr>
      <w:ind w:firstLine="420" w:firstLineChars="200"/>
    </w:pPr>
  </w:style>
  <w:style w:type="character" w:customStyle="1" w:styleId="109">
    <w:name w:val="apple-style-span"/>
    <w:qFormat/>
    <w:uiPriority w:val="0"/>
    <w:rPr>
      <w:rFonts w:ascii="Times New Roman" w:hAnsi="Times New Roman" w:eastAsia="宋体" w:cs="Times New Roman"/>
    </w:rPr>
  </w:style>
  <w:style w:type="character" w:customStyle="1" w:styleId="110">
    <w:name w:val="普通文字 Char Char1"/>
    <w:qFormat/>
    <w:uiPriority w:val="0"/>
    <w:rPr>
      <w:rFonts w:hint="eastAsia" w:ascii="宋体" w:hAnsi="Courier New" w:eastAsia="宋体" w:cs="宋体"/>
      <w:kern w:val="2"/>
      <w:sz w:val="24"/>
      <w:szCs w:val="24"/>
      <w:lang w:val="en-US" w:eastAsia="zh-CN"/>
    </w:rPr>
  </w:style>
  <w:style w:type="character" w:customStyle="1" w:styleId="111">
    <w:name w:val="p141"/>
    <w:qFormat/>
    <w:uiPriority w:val="0"/>
    <w:rPr>
      <w:rFonts w:ascii="Times New Roman" w:hAnsi="Times New Roman" w:eastAsia="宋体" w:cs="Times New Roman"/>
      <w:sz w:val="21"/>
      <w:szCs w:val="21"/>
      <w:u w:val="none"/>
    </w:rPr>
  </w:style>
  <w:style w:type="character" w:customStyle="1" w:styleId="112">
    <w:name w:val="cpxl1"/>
    <w:qFormat/>
    <w:uiPriority w:val="0"/>
    <w:rPr>
      <w:rFonts w:ascii="Times New Roman" w:hAnsi="Times New Roman" w:eastAsia="宋体" w:cs="Times New Roman"/>
      <w:color w:val="000000"/>
      <w:sz w:val="24"/>
      <w:szCs w:val="24"/>
      <w:u w:val="none"/>
    </w:rPr>
  </w:style>
  <w:style w:type="character" w:customStyle="1" w:styleId="113">
    <w:name w:val="正文二级标题 Char"/>
    <w:qFormat/>
    <w:uiPriority w:val="0"/>
    <w:rPr>
      <w:rFonts w:hint="default" w:ascii="Arial" w:hAnsi="Arial" w:eastAsia="黑体" w:cs="Arial"/>
      <w:b/>
      <w:kern w:val="2"/>
      <w:sz w:val="32"/>
      <w:szCs w:val="32"/>
      <w:lang w:val="en-US" w:eastAsia="zh-CN"/>
    </w:rPr>
  </w:style>
  <w:style w:type="character" w:customStyle="1" w:styleId="114">
    <w:name w:val="标书1 Char"/>
    <w:qFormat/>
    <w:uiPriority w:val="0"/>
    <w:rPr>
      <w:rFonts w:hint="eastAsia" w:ascii="宋体" w:hAnsi="宋体" w:eastAsia="宋体" w:cs="宋体"/>
      <w:bCs/>
      <w:kern w:val="44"/>
      <w:sz w:val="44"/>
      <w:lang w:val="en-US" w:eastAsia="zh-CN"/>
    </w:rPr>
  </w:style>
  <w:style w:type="character" w:customStyle="1" w:styleId="115">
    <w:name w:val="正文小标题 Char"/>
    <w:qFormat/>
    <w:uiPriority w:val="0"/>
    <w:rPr>
      <w:rFonts w:ascii="Times New Roman" w:hAnsi="Times New Roman" w:eastAsia="宋体" w:cs="Times New Roman"/>
      <w:kern w:val="2"/>
      <w:sz w:val="21"/>
      <w:szCs w:val="24"/>
    </w:rPr>
  </w:style>
  <w:style w:type="character" w:customStyle="1" w:styleId="116">
    <w:name w:val="hui"/>
    <w:qFormat/>
    <w:uiPriority w:val="0"/>
    <w:rPr>
      <w:rFonts w:ascii="Times New Roman" w:hAnsi="Times New Roman" w:eastAsia="宋体" w:cs="Times New Roman"/>
    </w:rPr>
  </w:style>
  <w:style w:type="character" w:customStyle="1" w:styleId="117">
    <w:name w:val="批注主题 Char1"/>
    <w:qFormat/>
    <w:uiPriority w:val="0"/>
    <w:rPr>
      <w:rFonts w:ascii="Times New Roman" w:hAnsi="Times New Roman" w:eastAsia="宋体" w:cs="Times New Roman"/>
      <w:b/>
      <w:bCs/>
      <w:kern w:val="2"/>
      <w:sz w:val="21"/>
      <w:szCs w:val="24"/>
    </w:rPr>
  </w:style>
  <w:style w:type="character" w:customStyle="1" w:styleId="118">
    <w:name w:val="纯文本 Char1"/>
    <w:qFormat/>
    <w:uiPriority w:val="0"/>
    <w:rPr>
      <w:rFonts w:ascii="宋体" w:hAnsi="Courier New" w:eastAsia="宋体" w:cs="Times New Roman"/>
      <w:szCs w:val="20"/>
    </w:rPr>
  </w:style>
  <w:style w:type="character" w:customStyle="1" w:styleId="119">
    <w:name w:val="正文缩进 Char1"/>
    <w:link w:val="120"/>
    <w:qFormat/>
    <w:uiPriority w:val="0"/>
    <w:rPr>
      <w:rFonts w:ascii="Times New Roman" w:hAnsi="Times New Roman" w:eastAsia="宋体" w:cs="Times New Roman"/>
    </w:rPr>
  </w:style>
  <w:style w:type="paragraph" w:customStyle="1" w:styleId="120">
    <w:name w:val="正文缩进1"/>
    <w:basedOn w:val="1"/>
    <w:link w:val="119"/>
    <w:qFormat/>
    <w:uiPriority w:val="0"/>
    <w:pPr>
      <w:widowControl/>
      <w:ind w:firstLine="420"/>
      <w:jc w:val="left"/>
    </w:pPr>
    <w:rPr>
      <w:kern w:val="0"/>
      <w:sz w:val="20"/>
      <w:szCs w:val="20"/>
    </w:rPr>
  </w:style>
  <w:style w:type="paragraph" w:customStyle="1" w:styleId="121">
    <w:name w:val="xl85"/>
    <w:basedOn w:val="1"/>
    <w:qFormat/>
    <w:uiPriority w:val="0"/>
    <w:pPr>
      <w:widowControl/>
      <w:spacing w:before="100" w:beforeAutospacing="1" w:after="100" w:afterAutospacing="1"/>
      <w:jc w:val="left"/>
      <w:textAlignment w:val="center"/>
    </w:pPr>
    <w:rPr>
      <w:rFonts w:ascii="宋体" w:hAnsi="宋体" w:cs="宋体"/>
      <w:kern w:val="0"/>
      <w:sz w:val="20"/>
      <w:szCs w:val="20"/>
    </w:rPr>
  </w:style>
  <w:style w:type="paragraph" w:customStyle="1" w:styleId="122">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20"/>
      <w:szCs w:val="20"/>
    </w:rPr>
  </w:style>
  <w:style w:type="paragraph" w:customStyle="1" w:styleId="123">
    <w:name w:val="GP标题2"/>
    <w:basedOn w:val="1"/>
    <w:next w:val="1"/>
    <w:qFormat/>
    <w:uiPriority w:val="0"/>
    <w:pPr>
      <w:spacing w:beforeLines="50" w:afterLines="50" w:line="360" w:lineRule="auto"/>
      <w:jc w:val="left"/>
      <w:outlineLvl w:val="1"/>
    </w:pPr>
    <w:rPr>
      <w:rFonts w:ascii="华文细黑" w:hAnsi="华文细黑" w:eastAsia="华文细黑"/>
      <w:b/>
      <w:sz w:val="32"/>
      <w:szCs w:val="21"/>
    </w:rPr>
  </w:style>
  <w:style w:type="paragraph" w:customStyle="1" w:styleId="124">
    <w:name w:val="列出段落3"/>
    <w:basedOn w:val="1"/>
    <w:qFormat/>
    <w:uiPriority w:val="0"/>
    <w:pPr>
      <w:ind w:firstLine="420" w:firstLineChars="200"/>
    </w:pPr>
    <w:rPr>
      <w:rFonts w:ascii="Calibri" w:hAnsi="Calibri"/>
      <w:szCs w:val="22"/>
    </w:rPr>
  </w:style>
  <w:style w:type="paragraph" w:customStyle="1" w:styleId="125">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26">
    <w:name w:val="Normal_21"/>
    <w:qFormat/>
    <w:uiPriority w:val="0"/>
    <w:rPr>
      <w:rFonts w:ascii="黑体" w:hAnsi="黑体" w:eastAsia="黑体" w:cs="Times New Roman"/>
      <w:b/>
      <w:sz w:val="32"/>
      <w:szCs w:val="24"/>
      <w:lang w:val="en-US" w:eastAsia="zh-CN" w:bidi="ar-SA"/>
    </w:rPr>
  </w:style>
  <w:style w:type="paragraph" w:customStyle="1" w:styleId="127">
    <w:name w:val="普通(网站)1"/>
    <w:basedOn w:val="1"/>
    <w:qFormat/>
    <w:uiPriority w:val="0"/>
    <w:pPr>
      <w:jc w:val="left"/>
    </w:pPr>
    <w:rPr>
      <w:rFonts w:ascii="Calibri" w:hAnsi="Calibri"/>
      <w:kern w:val="0"/>
      <w:sz w:val="24"/>
    </w:rPr>
  </w:style>
  <w:style w:type="paragraph" w:customStyle="1" w:styleId="128">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9">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30">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Gulim" w:hAnsi="Gulim" w:eastAsia="Gulim" w:cs="宋体"/>
      <w:kern w:val="0"/>
      <w:sz w:val="20"/>
      <w:szCs w:val="20"/>
    </w:rPr>
  </w:style>
  <w:style w:type="paragraph" w:customStyle="1" w:styleId="131">
    <w:name w:val="font11"/>
    <w:basedOn w:val="1"/>
    <w:qFormat/>
    <w:uiPriority w:val="0"/>
    <w:pPr>
      <w:widowControl/>
      <w:spacing w:before="100" w:beforeAutospacing="1" w:after="100" w:afterAutospacing="1"/>
      <w:jc w:val="left"/>
    </w:pPr>
    <w:rPr>
      <w:rFonts w:ascii="新宋体" w:hAnsi="新宋体" w:eastAsia="新宋体" w:cs="宋体"/>
      <w:b/>
      <w:bCs/>
      <w:kern w:val="0"/>
      <w:sz w:val="20"/>
      <w:szCs w:val="20"/>
    </w:rPr>
  </w:style>
  <w:style w:type="paragraph" w:customStyle="1" w:styleId="132">
    <w:name w:val="正文文字缩进 2"/>
    <w:basedOn w:val="1"/>
    <w:next w:val="1"/>
    <w:qFormat/>
    <w:uiPriority w:val="0"/>
    <w:pPr>
      <w:widowControl/>
      <w:spacing w:after="120" w:line="480" w:lineRule="auto"/>
      <w:ind w:left="420"/>
    </w:pPr>
    <w:rPr>
      <w:color w:val="000000"/>
      <w:szCs w:val="20"/>
    </w:rPr>
  </w:style>
  <w:style w:type="paragraph" w:customStyle="1" w:styleId="133">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Gulim" w:hAnsi="Gulim" w:eastAsia="Gulim" w:cs="宋体"/>
      <w:kern w:val="0"/>
      <w:sz w:val="20"/>
      <w:szCs w:val="20"/>
    </w:rPr>
  </w:style>
  <w:style w:type="paragraph" w:customStyle="1" w:styleId="134">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5">
    <w:name w:val="xl9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Gulim" w:hAnsi="Gulim" w:eastAsia="Gulim" w:cs="宋体"/>
      <w:kern w:val="0"/>
      <w:sz w:val="20"/>
      <w:szCs w:val="20"/>
    </w:rPr>
  </w:style>
  <w:style w:type="paragraph" w:customStyle="1" w:styleId="13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37">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textAlignment w:val="center"/>
    </w:pPr>
    <w:rPr>
      <w:rFonts w:ascii="宋体" w:hAnsi="宋体" w:cs="宋体"/>
      <w:kern w:val="0"/>
      <w:sz w:val="20"/>
      <w:szCs w:val="20"/>
    </w:rPr>
  </w:style>
  <w:style w:type="paragraph" w:customStyle="1" w:styleId="138">
    <w:name w:val="reader-word-layer reader-word-s11-2"/>
    <w:basedOn w:val="1"/>
    <w:qFormat/>
    <w:uiPriority w:val="0"/>
    <w:pPr>
      <w:widowControl/>
      <w:spacing w:before="100" w:beforeAutospacing="1" w:after="100" w:afterAutospacing="1"/>
      <w:jc w:val="left"/>
    </w:pPr>
    <w:rPr>
      <w:rFonts w:ascii="宋体" w:hAnsi="宋体" w:cs="宋体"/>
      <w:kern w:val="0"/>
      <w:sz w:val="24"/>
    </w:rPr>
  </w:style>
  <w:style w:type="paragraph" w:customStyle="1" w:styleId="139">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40">
    <w:name w:val="文档正文"/>
    <w:basedOn w:val="1"/>
    <w:qFormat/>
    <w:uiPriority w:val="0"/>
    <w:pPr>
      <w:adjustRightInd w:val="0"/>
      <w:spacing w:line="480" w:lineRule="atLeast"/>
      <w:ind w:firstLine="567"/>
      <w:textAlignment w:val="baseline"/>
    </w:pPr>
    <w:rPr>
      <w:rFonts w:ascii="长城仿宋"/>
      <w:kern w:val="0"/>
      <w:sz w:val="24"/>
      <w:szCs w:val="20"/>
    </w:rPr>
  </w:style>
  <w:style w:type="paragraph" w:customStyle="1" w:styleId="141">
    <w:name w:val="彩色列表 - 强调文字颜色 11"/>
    <w:basedOn w:val="1"/>
    <w:qFormat/>
    <w:uiPriority w:val="0"/>
    <w:pPr>
      <w:ind w:firstLine="420" w:firstLineChars="200"/>
    </w:pPr>
    <w:rPr>
      <w:rFonts w:ascii="Calibri" w:hAnsi="Calibri"/>
      <w:sz w:val="24"/>
    </w:rPr>
  </w:style>
  <w:style w:type="paragraph" w:customStyle="1" w:styleId="142">
    <w:name w:val="Table Paragraph"/>
    <w:basedOn w:val="1"/>
    <w:unhideWhenUsed/>
    <w:qFormat/>
    <w:uiPriority w:val="1"/>
    <w:pPr>
      <w:spacing w:before="120"/>
      <w:jc w:val="center"/>
    </w:pPr>
    <w:rPr>
      <w:rFonts w:hint="eastAsia"/>
      <w:sz w:val="24"/>
    </w:rPr>
  </w:style>
  <w:style w:type="paragraph" w:customStyle="1" w:styleId="143">
    <w:name w:val="reader-word-layer reader-word-s1-10"/>
    <w:basedOn w:val="1"/>
    <w:qFormat/>
    <w:uiPriority w:val="0"/>
    <w:pPr>
      <w:widowControl/>
      <w:spacing w:before="100" w:beforeAutospacing="1" w:after="100" w:afterAutospacing="1"/>
      <w:jc w:val="left"/>
    </w:pPr>
    <w:rPr>
      <w:rFonts w:ascii="宋体" w:hAnsi="宋体" w:cs="宋体"/>
      <w:kern w:val="0"/>
      <w:sz w:val="24"/>
    </w:rPr>
  </w:style>
  <w:style w:type="paragraph" w:customStyle="1" w:styleId="14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5">
    <w:name w:val="xl8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Gulim" w:hAnsi="Gulim" w:eastAsia="Gulim" w:cs="宋体"/>
      <w:kern w:val="0"/>
      <w:sz w:val="20"/>
      <w:szCs w:val="20"/>
    </w:rPr>
  </w:style>
  <w:style w:type="paragraph" w:customStyle="1" w:styleId="146">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4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kern w:val="0"/>
      <w:sz w:val="20"/>
      <w:szCs w:val="20"/>
    </w:rPr>
  </w:style>
  <w:style w:type="paragraph" w:customStyle="1" w:styleId="148">
    <w:name w:val="HT_列表项目编号2"/>
    <w:basedOn w:val="1"/>
    <w:next w:val="1"/>
    <w:qFormat/>
    <w:uiPriority w:val="0"/>
    <w:pPr>
      <w:spacing w:beforeLines="50" w:line="360" w:lineRule="auto"/>
      <w:contextualSpacing/>
    </w:pPr>
    <w:rPr>
      <w:b/>
      <w:sz w:val="24"/>
      <w:szCs w:val="20"/>
    </w:rPr>
  </w:style>
  <w:style w:type="paragraph" w:customStyle="1" w:styleId="149">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b/>
      <w:bCs/>
      <w:kern w:val="0"/>
      <w:sz w:val="20"/>
      <w:szCs w:val="20"/>
    </w:rPr>
  </w:style>
  <w:style w:type="paragraph" w:customStyle="1" w:styleId="150">
    <w:name w:val="font8"/>
    <w:basedOn w:val="1"/>
    <w:qFormat/>
    <w:uiPriority w:val="0"/>
    <w:pPr>
      <w:widowControl/>
      <w:spacing w:before="100" w:beforeAutospacing="1" w:after="100" w:afterAutospacing="1"/>
      <w:jc w:val="left"/>
    </w:pPr>
    <w:rPr>
      <w:rFonts w:ascii="Gulim" w:hAnsi="Gulim" w:eastAsia="Gulim" w:cs="宋体"/>
      <w:kern w:val="0"/>
      <w:sz w:val="20"/>
      <w:szCs w:val="20"/>
    </w:rPr>
  </w:style>
  <w:style w:type="paragraph" w:customStyle="1" w:styleId="151">
    <w:name w:val="xl9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Gulim" w:hAnsi="Gulim" w:eastAsia="Gulim" w:cs="宋体"/>
      <w:b/>
      <w:bCs/>
      <w:kern w:val="0"/>
      <w:sz w:val="20"/>
      <w:szCs w:val="20"/>
    </w:rPr>
  </w:style>
  <w:style w:type="paragraph" w:customStyle="1" w:styleId="152">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53">
    <w:name w:val="paragraph1"/>
    <w:basedOn w:val="1"/>
    <w:qFormat/>
    <w:uiPriority w:val="0"/>
    <w:pPr>
      <w:spacing w:afterLines="30" w:line="360" w:lineRule="auto"/>
      <w:ind w:firstLine="480" w:firstLineChars="200"/>
    </w:pPr>
    <w:rPr>
      <w:rFonts w:ascii="Arial" w:hAnsi="Arial"/>
      <w:sz w:val="24"/>
    </w:rPr>
  </w:style>
  <w:style w:type="paragraph" w:customStyle="1" w:styleId="154">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5">
    <w:name w:val="二级条标题"/>
    <w:basedOn w:val="1"/>
    <w:next w:val="1"/>
    <w:qFormat/>
    <w:uiPriority w:val="0"/>
    <w:pPr>
      <w:widowControl/>
      <w:numPr>
        <w:ilvl w:val="2"/>
        <w:numId w:val="1"/>
      </w:numPr>
      <w:spacing w:before="50" w:after="50"/>
      <w:jc w:val="left"/>
      <w:outlineLvl w:val="3"/>
    </w:pPr>
    <w:rPr>
      <w:rFonts w:ascii="黑体" w:eastAsia="黑体"/>
      <w:kern w:val="0"/>
      <w:szCs w:val="21"/>
    </w:rPr>
  </w:style>
  <w:style w:type="paragraph" w:customStyle="1" w:styleId="156">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5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8">
    <w:name w:val="UserStyle_61"/>
    <w:qFormat/>
    <w:uiPriority w:val="0"/>
    <w:pPr>
      <w:textAlignment w:val="baseline"/>
    </w:pPr>
    <w:rPr>
      <w:rFonts w:ascii="宋体" w:hAnsi="Calibri" w:eastAsia="等线" w:cs="Times New Roman"/>
      <w:color w:val="000000"/>
      <w:sz w:val="24"/>
      <w:szCs w:val="24"/>
      <w:lang w:val="en-US" w:eastAsia="zh-CN" w:bidi="ar-SA"/>
    </w:rPr>
  </w:style>
  <w:style w:type="paragraph" w:customStyle="1" w:styleId="159">
    <w:name w:val="样式1"/>
    <w:basedOn w:val="1"/>
    <w:qFormat/>
    <w:uiPriority w:val="0"/>
    <w:pPr>
      <w:tabs>
        <w:tab w:val="left" w:pos="960"/>
      </w:tabs>
      <w:adjustRightInd w:val="0"/>
      <w:ind w:left="960" w:hanging="420"/>
      <w:textAlignment w:val="baseline"/>
    </w:pPr>
    <w:rPr>
      <w:rFonts w:ascii="宋体" w:hAnsi="宋体"/>
      <w:kern w:val="0"/>
      <w:szCs w:val="20"/>
    </w:rPr>
  </w:style>
  <w:style w:type="paragraph" w:customStyle="1" w:styleId="160">
    <w:name w:val="xl105"/>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61">
    <w:name w:val="def正文"/>
    <w:basedOn w:val="15"/>
    <w:qFormat/>
    <w:uiPriority w:val="0"/>
    <w:pPr>
      <w:widowControl/>
      <w:spacing w:after="0" w:line="360" w:lineRule="auto"/>
      <w:ind w:firstLine="510"/>
      <w:jc w:val="left"/>
    </w:pPr>
    <w:rPr>
      <w:rFonts w:hAnsi="Calibri"/>
      <w:kern w:val="0"/>
      <w:sz w:val="24"/>
      <w:szCs w:val="22"/>
    </w:rPr>
  </w:style>
  <w:style w:type="paragraph" w:customStyle="1" w:styleId="162">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163">
    <w:name w:val="Char Char Char1 Char"/>
    <w:basedOn w:val="1"/>
    <w:qFormat/>
    <w:uiPriority w:val="0"/>
    <w:rPr>
      <w:szCs w:val="20"/>
    </w:rPr>
  </w:style>
  <w:style w:type="paragraph" w:customStyle="1" w:styleId="164">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5">
    <w:name w:val="Table - Text"/>
    <w:basedOn w:val="1"/>
    <w:qFormat/>
    <w:uiPriority w:val="0"/>
    <w:pPr>
      <w:widowControl/>
      <w:spacing w:before="60" w:afterLines="50"/>
      <w:jc w:val="left"/>
    </w:pPr>
    <w:rPr>
      <w:kern w:val="0"/>
      <w:szCs w:val="20"/>
      <w:lang w:eastAsia="en-US"/>
    </w:rPr>
  </w:style>
  <w:style w:type="paragraph" w:customStyle="1" w:styleId="166">
    <w:name w:val="纯文本1"/>
    <w:basedOn w:val="1"/>
    <w:qFormat/>
    <w:uiPriority w:val="0"/>
    <w:pPr>
      <w:adjustRightInd w:val="0"/>
      <w:jc w:val="left"/>
      <w:textAlignment w:val="baseline"/>
    </w:pPr>
    <w:rPr>
      <w:rFonts w:ascii="宋体" w:hAnsi="Courier New"/>
      <w:sz w:val="24"/>
      <w:szCs w:val="20"/>
    </w:rPr>
  </w:style>
  <w:style w:type="paragraph" w:customStyle="1" w:styleId="167">
    <w:name w:val="Other|1"/>
    <w:basedOn w:val="1"/>
    <w:qFormat/>
    <w:uiPriority w:val="0"/>
    <w:rPr>
      <w:rFonts w:ascii="宋体" w:hAnsi="宋体" w:cs="宋体"/>
      <w:sz w:val="19"/>
      <w:szCs w:val="19"/>
      <w:lang w:val="zh-CN" w:bidi="zh-CN"/>
    </w:rPr>
  </w:style>
  <w:style w:type="paragraph" w:customStyle="1" w:styleId="168">
    <w:name w:val="Char Char Char Char"/>
    <w:basedOn w:val="1"/>
    <w:qFormat/>
    <w:uiPriority w:val="0"/>
    <w:pPr>
      <w:ind w:left="-48"/>
    </w:pPr>
  </w:style>
  <w:style w:type="paragraph" w:customStyle="1" w:styleId="169">
    <w:name w:val="p0"/>
    <w:basedOn w:val="1"/>
    <w:next w:val="34"/>
    <w:qFormat/>
    <w:uiPriority w:val="0"/>
    <w:pPr>
      <w:widowControl/>
      <w:spacing w:before="100" w:beforeAutospacing="1" w:after="100" w:afterAutospacing="1"/>
      <w:jc w:val="left"/>
    </w:pPr>
    <w:rPr>
      <w:rFonts w:ascii="宋体" w:hAnsi="宋体" w:cs="宋体"/>
      <w:kern w:val="0"/>
      <w:sz w:val="24"/>
    </w:rPr>
  </w:style>
  <w:style w:type="paragraph" w:customStyle="1" w:styleId="170">
    <w:name w:val="Char2"/>
    <w:basedOn w:val="1"/>
    <w:qFormat/>
    <w:uiPriority w:val="0"/>
    <w:rPr>
      <w:rFonts w:ascii="仿宋_GB2312" w:eastAsia="仿宋_GB2312"/>
      <w:b/>
      <w:sz w:val="32"/>
      <w:szCs w:val="32"/>
    </w:rPr>
  </w:style>
  <w:style w:type="paragraph" w:customStyle="1" w:styleId="171">
    <w:name w:val="正文_8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2">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Gulim" w:hAnsi="Gulim" w:eastAsia="Gulim" w:cs="宋体"/>
      <w:b/>
      <w:bCs/>
      <w:kern w:val="0"/>
      <w:sz w:val="20"/>
      <w:szCs w:val="20"/>
    </w:rPr>
  </w:style>
  <w:style w:type="paragraph" w:customStyle="1" w:styleId="173">
    <w:name w:val="默认段落字体 Para Char Char Char Char"/>
    <w:basedOn w:val="1"/>
    <w:qFormat/>
    <w:uiPriority w:val="0"/>
  </w:style>
  <w:style w:type="paragraph" w:customStyle="1" w:styleId="174">
    <w:name w:val="xl84"/>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175">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6">
    <w:name w:val="默认段落字体 Para Char"/>
    <w:basedOn w:val="1"/>
    <w:qFormat/>
    <w:uiPriority w:val="0"/>
    <w:pPr>
      <w:adjustRightInd w:val="0"/>
      <w:spacing w:line="360" w:lineRule="auto"/>
      <w:ind w:firstLine="480"/>
    </w:pPr>
    <w:rPr>
      <w:rFonts w:ascii="宋体" w:hAnsi="宋体"/>
      <w:kern w:val="0"/>
      <w:sz w:val="24"/>
      <w:szCs w:val="20"/>
    </w:rPr>
  </w:style>
  <w:style w:type="paragraph" w:customStyle="1" w:styleId="177">
    <w:name w:val="xl8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178">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79">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Gulim" w:hAnsi="Gulim" w:eastAsia="Gulim" w:cs="宋体"/>
      <w:kern w:val="0"/>
      <w:sz w:val="20"/>
      <w:szCs w:val="20"/>
    </w:rPr>
  </w:style>
  <w:style w:type="paragraph" w:customStyle="1" w:styleId="18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Gulim" w:hAnsi="Gulim" w:eastAsia="Gulim" w:cs="宋体"/>
      <w:b/>
      <w:bCs/>
      <w:kern w:val="0"/>
      <w:sz w:val="20"/>
      <w:szCs w:val="20"/>
    </w:rPr>
  </w:style>
  <w:style w:type="paragraph" w:customStyle="1" w:styleId="181">
    <w:name w:val="xl108"/>
    <w:basedOn w:val="1"/>
    <w:qFormat/>
    <w:uiPriority w:val="0"/>
    <w:pPr>
      <w:widowControl/>
      <w:spacing w:before="100" w:beforeAutospacing="1" w:after="100" w:afterAutospacing="1"/>
      <w:jc w:val="center"/>
      <w:textAlignment w:val="center"/>
    </w:pPr>
    <w:rPr>
      <w:rFonts w:ascii="宋体" w:hAnsi="宋体" w:cs="宋体"/>
      <w:kern w:val="0"/>
      <w:sz w:val="20"/>
      <w:szCs w:val="20"/>
    </w:rPr>
  </w:style>
  <w:style w:type="paragraph" w:customStyle="1" w:styleId="182">
    <w:name w:val="默认段落字体 Para Char Char Char Char Char Char Char Char Char1 Char Char Char Char"/>
    <w:basedOn w:val="1"/>
    <w:qFormat/>
    <w:uiPriority w:val="0"/>
    <w:rPr>
      <w:rFonts w:ascii="Tahoma" w:hAnsi="Tahoma"/>
      <w:sz w:val="24"/>
      <w:szCs w:val="20"/>
    </w:rPr>
  </w:style>
  <w:style w:type="paragraph" w:customStyle="1" w:styleId="183">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Gulim" w:hAnsi="Gulim" w:eastAsia="Gulim" w:cs="宋体"/>
      <w:b/>
      <w:bCs/>
      <w:kern w:val="0"/>
      <w:sz w:val="20"/>
      <w:szCs w:val="20"/>
    </w:rPr>
  </w:style>
  <w:style w:type="paragraph" w:customStyle="1" w:styleId="184">
    <w:name w:val="reader-word-layer reader-word-s11-6"/>
    <w:basedOn w:val="1"/>
    <w:qFormat/>
    <w:uiPriority w:val="0"/>
    <w:pPr>
      <w:widowControl/>
      <w:spacing w:before="100" w:beforeAutospacing="1" w:after="100" w:afterAutospacing="1"/>
      <w:jc w:val="left"/>
    </w:pPr>
    <w:rPr>
      <w:rFonts w:ascii="宋体" w:hAnsi="宋体" w:cs="宋体"/>
      <w:kern w:val="0"/>
      <w:sz w:val="24"/>
    </w:rPr>
  </w:style>
  <w:style w:type="paragraph" w:customStyle="1" w:styleId="185">
    <w:name w:val="TableText"/>
    <w:basedOn w:val="1"/>
    <w:qFormat/>
    <w:uiPriority w:val="0"/>
    <w:pPr>
      <w:snapToGrid w:val="0"/>
      <w:spacing w:beforeLines="20" w:afterLines="20"/>
      <w:jc w:val="center"/>
    </w:pPr>
    <w:rPr>
      <w:rFonts w:hint="eastAsia"/>
      <w:szCs w:val="20"/>
    </w:rPr>
  </w:style>
  <w:style w:type="paragraph" w:customStyle="1" w:styleId="186">
    <w:name w:val="font9"/>
    <w:basedOn w:val="1"/>
    <w:qFormat/>
    <w:uiPriority w:val="0"/>
    <w:pPr>
      <w:widowControl/>
      <w:spacing w:before="100" w:beforeAutospacing="1" w:after="100" w:afterAutospacing="1"/>
      <w:jc w:val="left"/>
    </w:pPr>
    <w:rPr>
      <w:rFonts w:ascii="新宋体" w:hAnsi="新宋体" w:eastAsia="新宋体" w:cs="宋体"/>
      <w:kern w:val="0"/>
      <w:sz w:val="20"/>
      <w:szCs w:val="20"/>
    </w:rPr>
  </w:style>
  <w:style w:type="paragraph" w:customStyle="1" w:styleId="187">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Gulim" w:hAnsi="Gulim" w:eastAsia="Gulim" w:cs="宋体"/>
      <w:kern w:val="0"/>
      <w:sz w:val="20"/>
      <w:szCs w:val="20"/>
    </w:rPr>
  </w:style>
  <w:style w:type="paragraph" w:customStyle="1" w:styleId="188">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9">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Gulim" w:hAnsi="Gulim" w:eastAsia="Gulim" w:cs="宋体"/>
      <w:kern w:val="0"/>
      <w:sz w:val="20"/>
      <w:szCs w:val="20"/>
    </w:rPr>
  </w:style>
  <w:style w:type="paragraph" w:customStyle="1" w:styleId="190">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Gulim" w:hAnsi="Gulim" w:eastAsia="Gulim" w:cs="宋体"/>
      <w:kern w:val="0"/>
      <w:sz w:val="20"/>
      <w:szCs w:val="20"/>
    </w:rPr>
  </w:style>
  <w:style w:type="paragraph" w:customStyle="1" w:styleId="191">
    <w:name w:val="正文_1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2">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3">
    <w:name w:val="正文段"/>
    <w:basedOn w:val="1"/>
    <w:qFormat/>
    <w:uiPriority w:val="0"/>
    <w:pPr>
      <w:widowControl/>
      <w:snapToGrid w:val="0"/>
      <w:spacing w:afterLines="50"/>
      <w:ind w:firstLine="200" w:firstLineChars="200"/>
    </w:pPr>
    <w:rPr>
      <w:kern w:val="0"/>
      <w:sz w:val="24"/>
      <w:szCs w:val="20"/>
    </w:rPr>
  </w:style>
  <w:style w:type="paragraph" w:customStyle="1" w:styleId="194">
    <w:name w:val="标题3333"/>
    <w:basedOn w:val="1"/>
    <w:qFormat/>
    <w:uiPriority w:val="0"/>
    <w:pPr>
      <w:ind w:left="-171" w:leftChars="-171" w:hanging="359" w:hangingChars="149"/>
    </w:pPr>
    <w:rPr>
      <w:rFonts w:ascii="宋体" w:hAnsi="宋体"/>
      <w:b/>
      <w:sz w:val="24"/>
      <w:szCs w:val="20"/>
    </w:rPr>
  </w:style>
  <w:style w:type="paragraph" w:customStyle="1" w:styleId="195">
    <w:name w:val="pa-18"/>
    <w:basedOn w:val="1"/>
    <w:qFormat/>
    <w:uiPriority w:val="0"/>
    <w:pPr>
      <w:widowControl/>
      <w:spacing w:before="150" w:after="150"/>
      <w:jc w:val="left"/>
    </w:pPr>
    <w:rPr>
      <w:rFonts w:ascii="宋体" w:hAnsi="宋体" w:cs="宋体"/>
      <w:kern w:val="0"/>
      <w:sz w:val="24"/>
    </w:rPr>
  </w:style>
  <w:style w:type="paragraph" w:customStyle="1" w:styleId="196">
    <w:name w:val="a正文"/>
    <w:basedOn w:val="1"/>
    <w:qFormat/>
    <w:uiPriority w:val="0"/>
    <w:pPr>
      <w:spacing w:line="360" w:lineRule="auto"/>
      <w:ind w:firstLine="480" w:firstLineChars="200"/>
    </w:pPr>
    <w:rPr>
      <w:rFonts w:ascii="宋体" w:hAnsi="宋体"/>
      <w:kern w:val="0"/>
      <w:sz w:val="24"/>
      <w:szCs w:val="20"/>
    </w:rPr>
  </w:style>
  <w:style w:type="paragraph" w:customStyle="1" w:styleId="197">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kern w:val="0"/>
      <w:sz w:val="20"/>
      <w:szCs w:val="20"/>
    </w:rPr>
  </w:style>
  <w:style w:type="paragraph" w:customStyle="1" w:styleId="198">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Gulim" w:hAnsi="Gulim" w:eastAsia="Gulim" w:cs="宋体"/>
      <w:kern w:val="0"/>
      <w:sz w:val="20"/>
      <w:szCs w:val="20"/>
    </w:rPr>
  </w:style>
  <w:style w:type="paragraph" w:customStyle="1" w:styleId="199">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Gulim" w:hAnsi="Gulim" w:eastAsia="Gulim" w:cs="宋体"/>
      <w:kern w:val="0"/>
      <w:sz w:val="20"/>
      <w:szCs w:val="20"/>
    </w:rPr>
  </w:style>
  <w:style w:type="paragraph" w:customStyle="1" w:styleId="200">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Gulim" w:hAnsi="Gulim" w:eastAsia="Gulim" w:cs="宋体"/>
      <w:kern w:val="0"/>
      <w:sz w:val="20"/>
      <w:szCs w:val="20"/>
    </w:rPr>
  </w:style>
  <w:style w:type="paragraph" w:styleId="201">
    <w:name w:val="No Spacing"/>
    <w:qFormat/>
    <w:uiPriority w:val="1"/>
    <w:pPr>
      <w:widowControl w:val="0"/>
      <w:jc w:val="both"/>
    </w:pPr>
    <w:rPr>
      <w:rFonts w:ascii="Times New Roman" w:hAnsi="Times New Roman" w:eastAsia="宋体" w:cs="Calibri"/>
      <w:kern w:val="2"/>
      <w:sz w:val="21"/>
      <w:szCs w:val="22"/>
      <w:lang w:val="en-US" w:eastAsia="zh-CN" w:bidi="ar-SA"/>
    </w:rPr>
  </w:style>
  <w:style w:type="paragraph" w:customStyle="1" w:styleId="202">
    <w:name w:val="xl9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Gulim" w:hAnsi="Gulim" w:eastAsia="Gulim" w:cs="宋体"/>
      <w:kern w:val="0"/>
      <w:sz w:val="20"/>
      <w:szCs w:val="20"/>
    </w:rPr>
  </w:style>
  <w:style w:type="paragraph" w:customStyle="1" w:styleId="203">
    <w:name w:val="正文2"/>
    <w:basedOn w:val="1"/>
    <w:qFormat/>
    <w:uiPriority w:val="0"/>
    <w:pPr>
      <w:spacing w:before="156" w:line="360" w:lineRule="auto"/>
      <w:ind w:firstLine="510" w:firstLineChars="200"/>
    </w:pPr>
    <w:rPr>
      <w:sz w:val="24"/>
      <w:szCs w:val="20"/>
    </w:rPr>
  </w:style>
  <w:style w:type="paragraph" w:customStyle="1" w:styleId="204">
    <w:name w:val="Char Char1 Char Char Char Char Char Char Char"/>
    <w:basedOn w:val="1"/>
    <w:qFormat/>
    <w:uiPriority w:val="0"/>
    <w:rPr>
      <w:rFonts w:ascii="Tahoma" w:hAnsi="Tahoma"/>
      <w:sz w:val="24"/>
    </w:rPr>
  </w:style>
  <w:style w:type="paragraph" w:customStyle="1" w:styleId="205">
    <w:name w:val="Paragraph Text"/>
    <w:basedOn w:val="1"/>
    <w:qFormat/>
    <w:uiPriority w:val="0"/>
    <w:pPr>
      <w:widowControl/>
      <w:spacing w:line="320" w:lineRule="exact"/>
      <w:jc w:val="left"/>
    </w:pPr>
    <w:rPr>
      <w:rFonts w:ascii="Beijing" w:eastAsia="Times New Roman"/>
      <w:kern w:val="0"/>
      <w:sz w:val="18"/>
      <w:szCs w:val="18"/>
    </w:rPr>
  </w:style>
  <w:style w:type="paragraph" w:customStyle="1" w:styleId="206">
    <w:name w:val="Normal_22"/>
    <w:qFormat/>
    <w:uiPriority w:val="0"/>
    <w:pPr>
      <w:widowControl w:val="0"/>
      <w:jc w:val="both"/>
    </w:pPr>
    <w:rPr>
      <w:rFonts w:ascii="Times New Roman" w:hAnsi="Times New Roman" w:eastAsia="Times New Roman" w:cs="Times New Roman"/>
      <w:lang w:val="en-US" w:eastAsia="zh-CN" w:bidi="ar-SA"/>
    </w:rPr>
  </w:style>
  <w:style w:type="paragraph" w:customStyle="1" w:styleId="207">
    <w:name w:val="彩色底纹 - 强调文字颜色 61"/>
    <w:basedOn w:val="3"/>
    <w:next w:val="1"/>
    <w:qFormat/>
    <w:uiPriority w:val="0"/>
    <w:pPr>
      <w:widowControl/>
      <w:adjustRightInd/>
      <w:spacing w:before="480" w:line="276" w:lineRule="auto"/>
      <w:jc w:val="left"/>
      <w:textAlignment w:val="auto"/>
      <w:outlineLvl w:val="9"/>
    </w:pPr>
    <w:rPr>
      <w:rFonts w:ascii="Cambria" w:hAnsi="Cambria"/>
      <w:b w:val="0"/>
      <w:color w:val="365F91"/>
      <w:kern w:val="0"/>
      <w:sz w:val="28"/>
      <w:szCs w:val="28"/>
    </w:rPr>
  </w:style>
  <w:style w:type="paragraph" w:customStyle="1" w:styleId="208">
    <w:name w:val="GP正文(首行缩进)"/>
    <w:basedOn w:val="1"/>
    <w:qFormat/>
    <w:uiPriority w:val="0"/>
    <w:pPr>
      <w:spacing w:line="360" w:lineRule="auto"/>
      <w:ind w:firstLine="200" w:firstLineChars="200"/>
      <w:jc w:val="left"/>
    </w:pPr>
    <w:rPr>
      <w:sz w:val="24"/>
      <w:szCs w:val="21"/>
    </w:rPr>
  </w:style>
  <w:style w:type="paragraph" w:customStyle="1" w:styleId="209">
    <w:name w:val="font10"/>
    <w:basedOn w:val="1"/>
    <w:qFormat/>
    <w:uiPriority w:val="0"/>
    <w:pPr>
      <w:widowControl/>
      <w:spacing w:before="100" w:beforeAutospacing="1" w:after="100" w:afterAutospacing="1"/>
      <w:jc w:val="left"/>
    </w:pPr>
    <w:rPr>
      <w:rFonts w:ascii="Gulim" w:hAnsi="Gulim" w:eastAsia="Gulim" w:cs="宋体"/>
      <w:b/>
      <w:bCs/>
      <w:kern w:val="0"/>
      <w:sz w:val="20"/>
      <w:szCs w:val="20"/>
    </w:rPr>
  </w:style>
  <w:style w:type="paragraph" w:customStyle="1" w:styleId="210">
    <w:name w:val="普通文字"/>
    <w:basedOn w:val="1"/>
    <w:next w:val="1"/>
    <w:qFormat/>
    <w:uiPriority w:val="0"/>
    <w:rPr>
      <w:rFonts w:ascii="宋体"/>
    </w:rPr>
  </w:style>
  <w:style w:type="paragraph" w:customStyle="1" w:styleId="211">
    <w:name w:val="S4-L15-C"/>
    <w:basedOn w:val="1"/>
    <w:qFormat/>
    <w:uiPriority w:val="0"/>
    <w:pPr>
      <w:spacing w:after="120" w:line="360" w:lineRule="auto"/>
      <w:jc w:val="center"/>
    </w:pPr>
    <w:rPr>
      <w:szCs w:val="20"/>
    </w:rPr>
  </w:style>
  <w:style w:type="paragraph" w:customStyle="1" w:styleId="212">
    <w:name w:val="Char Char Char"/>
    <w:basedOn w:val="12"/>
    <w:qFormat/>
    <w:uiPriority w:val="0"/>
    <w:pPr>
      <w:shd w:val="clear" w:color="auto" w:fill="000080"/>
    </w:pPr>
    <w:rPr>
      <w:rFonts w:ascii="Times New Roman"/>
      <w:sz w:val="21"/>
      <w:szCs w:val="24"/>
    </w:rPr>
  </w:style>
  <w:style w:type="paragraph" w:customStyle="1" w:styleId="213">
    <w:name w:val="HT_正文缩进"/>
    <w:basedOn w:val="1"/>
    <w:qFormat/>
    <w:uiPriority w:val="0"/>
    <w:pPr>
      <w:spacing w:beforeLines="50" w:line="300" w:lineRule="auto"/>
      <w:ind w:firstLine="480" w:firstLineChars="200"/>
    </w:pPr>
    <w:rPr>
      <w:sz w:val="24"/>
      <w:szCs w:val="20"/>
    </w:rPr>
  </w:style>
  <w:style w:type="paragraph" w:customStyle="1" w:styleId="214">
    <w:name w:val="表格内容"/>
    <w:basedOn w:val="1"/>
    <w:qFormat/>
    <w:uiPriority w:val="99"/>
    <w:pPr>
      <w:widowControl/>
      <w:jc w:val="center"/>
    </w:pPr>
    <w:rPr>
      <w:kern w:val="0"/>
      <w:sz w:val="24"/>
      <w:szCs w:val="28"/>
    </w:rPr>
  </w:style>
  <w:style w:type="paragraph" w:customStyle="1" w:styleId="215">
    <w:name w:val="正文首行缩进2字符"/>
    <w:basedOn w:val="1"/>
    <w:qFormat/>
    <w:locked/>
    <w:uiPriority w:val="99"/>
    <w:pPr>
      <w:widowControl/>
      <w:adjustRightInd w:val="0"/>
      <w:snapToGrid w:val="0"/>
      <w:spacing w:line="360" w:lineRule="auto"/>
      <w:ind w:firstLine="200" w:firstLineChars="200"/>
    </w:pPr>
    <w:rPr>
      <w:sz w:val="24"/>
      <w:szCs w:val="21"/>
    </w:rPr>
  </w:style>
  <w:style w:type="paragraph" w:customStyle="1" w:styleId="216">
    <w:name w:val="列出序号"/>
    <w:basedOn w:val="1"/>
    <w:qFormat/>
    <w:uiPriority w:val="0"/>
    <w:pPr>
      <w:widowControl/>
      <w:numPr>
        <w:ilvl w:val="7"/>
        <w:numId w:val="2"/>
      </w:numPr>
      <w:adjustRightInd w:val="0"/>
      <w:snapToGrid w:val="0"/>
      <w:spacing w:line="360" w:lineRule="auto"/>
    </w:pPr>
    <w:rPr>
      <w:sz w:val="24"/>
    </w:rPr>
  </w:style>
  <w:style w:type="paragraph" w:customStyle="1" w:styleId="217">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8">
    <w:name w:val="普通(网站)_0"/>
    <w:basedOn w:val="1"/>
    <w:unhideWhenUsed/>
    <w:qFormat/>
    <w:uiPriority w:val="0"/>
    <w:pPr>
      <w:spacing w:before="100" w:beforeAutospacing="1" w:after="100" w:afterAutospacing="1"/>
    </w:pPr>
    <w:rPr>
      <w:rFonts w:ascii="宋体"/>
      <w:sz w:val="24"/>
      <w:szCs w:val="22"/>
    </w:rPr>
  </w:style>
  <w:style w:type="paragraph" w:customStyle="1" w:styleId="219">
    <w:name w:val="cjk"/>
    <w:basedOn w:val="1"/>
    <w:qFormat/>
    <w:uiPriority w:val="0"/>
    <w:pPr>
      <w:jc w:val="left"/>
    </w:pPr>
    <w:rPr>
      <w:rFonts w:hint="eastAsia" w:ascii="宋体" w:hAnsi="宋体"/>
      <w:kern w:val="0"/>
      <w:sz w:val="24"/>
    </w:rPr>
  </w:style>
  <w:style w:type="paragraph" w:customStyle="1" w:styleId="220">
    <w:name w:val="正文_1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21">
    <w:name w:val="正文_13_0"/>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222">
    <w:name w:val="font21"/>
    <w:basedOn w:val="45"/>
    <w:qFormat/>
    <w:uiPriority w:val="0"/>
    <w:rPr>
      <w:rFonts w:hint="eastAsia" w:ascii="宋体" w:hAnsi="宋体" w:eastAsia="宋体" w:cs="宋体"/>
      <w:color w:val="000000"/>
      <w:sz w:val="21"/>
      <w:szCs w:val="21"/>
      <w:u w:val="none"/>
    </w:rPr>
  </w:style>
  <w:style w:type="character" w:customStyle="1" w:styleId="223">
    <w:name w:val="font31"/>
    <w:basedOn w:val="45"/>
    <w:qFormat/>
    <w:uiPriority w:val="0"/>
    <w:rPr>
      <w:rFonts w:hint="eastAsia" w:ascii="宋体" w:hAnsi="宋体" w:eastAsia="宋体" w:cs="宋体"/>
      <w:color w:val="000000"/>
      <w:sz w:val="24"/>
      <w:szCs w:val="24"/>
      <w:u w:val="none"/>
    </w:rPr>
  </w:style>
  <w:style w:type="paragraph" w:customStyle="1" w:styleId="224">
    <w:name w:val="BodyText"/>
    <w:basedOn w:val="1"/>
    <w:next w:val="225"/>
    <w:qFormat/>
    <w:uiPriority w:val="0"/>
    <w:pPr>
      <w:spacing w:after="120"/>
    </w:pPr>
    <w:rPr>
      <w:sz w:val="28"/>
    </w:rPr>
  </w:style>
  <w:style w:type="paragraph" w:customStyle="1" w:styleId="225">
    <w:name w:val="BodyText1I"/>
    <w:basedOn w:val="224"/>
    <w:qFormat/>
    <w:uiPriority w:val="0"/>
    <w:pPr>
      <w:spacing w:line="360" w:lineRule="auto"/>
      <w:ind w:firstLine="200" w:firstLineChars="200"/>
      <w:jc w:val="left"/>
    </w:pPr>
    <w:rPr>
      <w:bCs/>
      <w:sz w:val="24"/>
    </w:rPr>
  </w:style>
  <w:style w:type="paragraph" w:customStyle="1" w:styleId="226">
    <w:name w:val="章正文"/>
    <w:basedOn w:val="1"/>
    <w:qFormat/>
    <w:locked/>
    <w:uiPriority w:val="0"/>
    <w:pPr>
      <w:spacing w:beforeLines="50" w:after="120" w:line="300" w:lineRule="auto"/>
      <w:ind w:firstLine="480"/>
    </w:pPr>
    <w:rPr>
      <w:rFonts w:ascii="Helvetica" w:hAnsi="Helvetica"/>
      <w:kern w:val="0"/>
    </w:rPr>
  </w:style>
  <w:style w:type="paragraph" w:customStyle="1" w:styleId="227">
    <w:name w:val="纯文本_3"/>
    <w:basedOn w:val="154"/>
    <w:qFormat/>
    <w:uiPriority w:val="0"/>
    <w:rPr>
      <w:rFonts w:ascii="宋体" w:hAnsi="Courier New"/>
      <w:szCs w:val="20"/>
    </w:rPr>
  </w:style>
  <w:style w:type="paragraph" w:customStyle="1" w:styleId="228">
    <w:name w:val="纯文本_5_0"/>
    <w:basedOn w:val="1"/>
    <w:qFormat/>
    <w:uiPriority w:val="0"/>
    <w:rPr>
      <w:rFonts w:ascii="宋体" w:hAnsi="Courier New"/>
      <w:szCs w:val="20"/>
    </w:rPr>
  </w:style>
  <w:style w:type="paragraph" w:customStyle="1" w:styleId="229">
    <w:name w:val="_Style 2"/>
    <w:basedOn w:val="1"/>
    <w:qFormat/>
    <w:uiPriority w:val="0"/>
    <w:pPr>
      <w:ind w:firstLine="200" w:firstLineChars="200"/>
    </w:pPr>
    <w:rPr>
      <w:rFonts w:ascii="Calibri" w:hAnsi="Calibri"/>
      <w:sz w:val="28"/>
      <w:szCs w:val="22"/>
    </w:rPr>
  </w:style>
  <w:style w:type="paragraph" w:customStyle="1" w:styleId="230">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231">
    <w:name w:val="列出段落4"/>
    <w:basedOn w:val="1"/>
    <w:qFormat/>
    <w:uiPriority w:val="0"/>
    <w:pPr>
      <w:ind w:firstLine="420" w:firstLineChars="200"/>
    </w:pPr>
    <w:rPr>
      <w:rFonts w:ascii="Calibri" w:hAnsi="Calibri"/>
      <w:szCs w:val="22"/>
    </w:rPr>
  </w:style>
  <w:style w:type="paragraph" w:customStyle="1" w:styleId="232">
    <w:name w:val="正文缩进2"/>
    <w:basedOn w:val="1"/>
    <w:qFormat/>
    <w:uiPriority w:val="0"/>
    <w:pPr>
      <w:widowControl/>
      <w:ind w:firstLine="420"/>
      <w:jc w:val="left"/>
    </w:pPr>
    <w:rPr>
      <w:kern w:val="0"/>
      <w:szCs w:val="20"/>
    </w:rPr>
  </w:style>
  <w:style w:type="paragraph" w:customStyle="1" w:styleId="233">
    <w:name w:val="正文1"/>
    <w:basedOn w:val="19"/>
    <w:qFormat/>
    <w:uiPriority w:val="0"/>
    <w:pPr>
      <w:tabs>
        <w:tab w:val="right" w:leader="dot" w:pos="8268"/>
      </w:tabs>
      <w:adjustRightInd w:val="0"/>
      <w:spacing w:line="460" w:lineRule="exact"/>
      <w:ind w:left="0" w:firstLine="480" w:firstLineChars="200"/>
    </w:pPr>
    <w:rPr>
      <w:rFonts w:ascii="仿宋_GB2312" w:hAnsi="Courier New" w:eastAsia="仿宋_GB2312"/>
      <w:kern w:val="28"/>
      <w:sz w:val="24"/>
    </w:rPr>
  </w:style>
  <w:style w:type="paragraph" w:customStyle="1" w:styleId="234">
    <w:name w:val="无间隔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35">
    <w:name w:val="索引 11"/>
    <w:basedOn w:val="1"/>
    <w:next w:val="1"/>
    <w:qFormat/>
    <w:uiPriority w:val="0"/>
    <w:pPr>
      <w:spacing w:line="360" w:lineRule="auto"/>
    </w:pPr>
    <w:rPr>
      <w:rFonts w:ascii="仿宋_GB2312" w:eastAsia="仿宋_GB2312"/>
      <w:sz w:val="24"/>
      <w:szCs w:val="20"/>
    </w:rPr>
  </w:style>
  <w:style w:type="paragraph" w:customStyle="1" w:styleId="236">
    <w:name w:val="pa-1"/>
    <w:basedOn w:val="1"/>
    <w:qFormat/>
    <w:uiPriority w:val="0"/>
    <w:pPr>
      <w:widowControl/>
      <w:spacing w:line="320" w:lineRule="atLeast"/>
      <w:ind w:firstLine="560"/>
    </w:pPr>
    <w:rPr>
      <w:rFonts w:hAnsi="宋体" w:cs="宋体"/>
      <w:sz w:val="24"/>
    </w:rPr>
  </w:style>
  <w:style w:type="character" w:customStyle="1" w:styleId="237">
    <w:name w:val="ca-11"/>
    <w:basedOn w:val="45"/>
    <w:qFormat/>
    <w:uiPriority w:val="0"/>
    <w:rPr>
      <w:rFonts w:hint="eastAsia" w:ascii="仿宋_GB2312" w:hAnsi="宋体" w:eastAsia="仿宋_GB2312"/>
      <w:kern w:val="0"/>
      <w:sz w:val="28"/>
      <w:szCs w:val="28"/>
    </w:rPr>
  </w:style>
  <w:style w:type="character" w:customStyle="1" w:styleId="238">
    <w:name w:val="font112"/>
    <w:basedOn w:val="45"/>
    <w:qFormat/>
    <w:uiPriority w:val="0"/>
    <w:rPr>
      <w:rFonts w:hint="eastAsia" w:ascii="宋体" w:hAnsi="宋体" w:eastAsia="宋体" w:cs="宋体"/>
      <w:color w:val="000000"/>
      <w:sz w:val="20"/>
      <w:szCs w:val="20"/>
      <w:u w:val="none"/>
    </w:rPr>
  </w:style>
  <w:style w:type="character" w:customStyle="1" w:styleId="239">
    <w:name w:val="font71"/>
    <w:basedOn w:val="45"/>
    <w:qFormat/>
    <w:uiPriority w:val="0"/>
    <w:rPr>
      <w:rFonts w:hint="eastAsia" w:ascii="宋体" w:hAnsi="宋体" w:eastAsia="宋体" w:cs="宋体"/>
      <w:color w:val="000000"/>
      <w:sz w:val="20"/>
      <w:szCs w:val="20"/>
      <w:u w:val="none"/>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footer2.xml" Type="http://schemas.openxmlformats.org/officeDocument/2006/relationships/footer"/><Relationship Id="rId6" Target="theme/theme1.xml" Type="http://schemas.openxmlformats.org/officeDocument/2006/relationships/theme"/><Relationship Id="rId7" Target="../customXml/item1.xml" Type="http://schemas.openxmlformats.org/officeDocument/2006/relationships/customXml"/><Relationship Id="rId8" Target="numbering.xml" Type="http://schemas.openxmlformats.org/officeDocument/2006/relationships/numbering"/><Relationship Id="rId9"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CMCC</Company>
  <Pages>86</Pages>
  <Words>48270</Words>
  <Characters>54644</Characters>
  <Lines>248</Lines>
  <Paragraphs>70</Paragraphs>
  <TotalTime>11</TotalTime>
  <ScaleCrop>false</ScaleCrop>
  <LinksUpToDate>false</LinksUpToDate>
  <CharactersWithSpaces>57720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2021-11-15T06:42:00Z</dcterms:created>
  <dc:creator>oempc</dc:creator>
  <cp:lastModifiedBy>小放放</cp:lastModifiedBy>
  <cp:lastPrinted>2022-03-28T07:47:00Z</cp:lastPrinted>
  <dcterms:modified xsi:type="dcterms:W3CDTF">2022-09-16T06:31:22Z</dcterms:modified>
  <cp:revision>45</cp:revision>
  <dc:title>缙云县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A6BB1C7613F8473D821D3A20CFDC226A</vt:lpwstr>
  </property>
</Properties>
</file>