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b/>
          <w:sz w:val="72"/>
        </w:rPr>
      </w:pPr>
      <w:bookmarkStart w:id="141" w:name="_GoBack"/>
      <w:bookmarkEnd w:id="141"/>
    </w:p>
    <w:p>
      <w:pPr>
        <w:autoSpaceDE w:val="0"/>
        <w:autoSpaceDN w:val="0"/>
        <w:spacing w:line="360" w:lineRule="auto"/>
        <w:jc w:val="center"/>
        <w:textAlignment w:val="bottom"/>
        <w:rPr>
          <w:rFonts w:hint="eastAsia" w:ascii="宋体" w:hAnsi="宋体"/>
          <w:b/>
          <w:sz w:val="18"/>
          <w:szCs w:val="18"/>
        </w:rPr>
      </w:pPr>
    </w:p>
    <w:p>
      <w:pPr>
        <w:autoSpaceDE w:val="0"/>
        <w:autoSpaceDN w:val="0"/>
        <w:spacing w:line="360" w:lineRule="auto"/>
        <w:jc w:val="center"/>
        <w:textAlignment w:val="bottom"/>
        <w:outlineLvl w:val="0"/>
        <w:rPr>
          <w:rFonts w:hint="eastAsia" w:ascii="宋体" w:hAnsi="宋体"/>
          <w:b/>
          <w:sz w:val="84"/>
          <w14:shadow w14:blurRad="50800" w14:dist="38100" w14:dir="2700000" w14:sx="100000" w14:sy="100000" w14:kx="0" w14:ky="0" w14:algn="tl">
            <w14:srgbClr w14:val="000000">
              <w14:alpha w14:val="60000"/>
            </w14:srgbClr>
          </w14:shadow>
        </w:rPr>
      </w:pPr>
      <w:r>
        <w:rPr>
          <w:rFonts w:hint="eastAsia" w:ascii="宋体" w:hAnsi="宋体"/>
          <w:b/>
          <w:sz w:val="84"/>
          <w14:shadow w14:blurRad="50800" w14:dist="38100" w14:dir="2700000" w14:sx="100000" w14:sy="100000" w14:kx="0" w14:ky="0" w14:algn="tl">
            <w14:srgbClr w14:val="000000">
              <w14:alpha w14:val="60000"/>
            </w14:srgbClr>
          </w14:shadow>
        </w:rPr>
        <w:t>公开招标文件</w:t>
      </w:r>
    </w:p>
    <w:p>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宋体" w:hAnsi="宋体"/>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561" w:firstLineChars="432"/>
        <w:textAlignment w:val="bottom"/>
        <w:outlineLvl w:val="0"/>
        <w:rPr>
          <w:rFonts w:hint="eastAsia"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采购编号: 浙鼎峰招【2019】008号</w:t>
      </w:r>
    </w:p>
    <w:p>
      <w:pPr>
        <w:autoSpaceDE w:val="0"/>
        <w:autoSpaceDN w:val="0"/>
        <w:spacing w:line="360" w:lineRule="auto"/>
        <w:ind w:firstLine="1561" w:firstLineChars="432"/>
        <w:jc w:val="center"/>
        <w:textAlignment w:val="bottom"/>
        <w:rPr>
          <w:rFonts w:hint="eastAsia" w:ascii="宋体" w:hAnsi="宋体"/>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textAlignment w:val="bottom"/>
        <w:outlineLvl w:val="0"/>
        <w:rPr>
          <w:rFonts w:hint="eastAsia"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 xml:space="preserve">项目名称: </w:t>
      </w:r>
      <w:r>
        <w:rPr>
          <w:rFonts w:hint="eastAsia" w:ascii="宋体" w:hAnsi="宋体"/>
          <w:b/>
          <w:w w:val="80"/>
          <w:sz w:val="36"/>
          <w14:shadow w14:blurRad="50800" w14:dist="38100" w14:dir="2700000" w14:sx="100000" w14:sy="100000" w14:kx="0" w14:ky="0" w14:algn="tl">
            <w14:srgbClr w14:val="000000">
              <w14:alpha w14:val="60000"/>
            </w14:srgbClr>
          </w14:shadow>
        </w:rPr>
        <w:t>2018年市本级监察留置场所信息化建设项目</w:t>
      </w:r>
    </w:p>
    <w:p>
      <w:pPr>
        <w:spacing w:line="360" w:lineRule="auto"/>
        <w:ind w:firstLine="1561" w:firstLineChars="432"/>
        <w:rPr>
          <w:rFonts w:hint="eastAsia" w:ascii="宋体" w:hAnsi="宋体"/>
          <w:b/>
          <w:sz w:val="36"/>
          <w14:shadow w14:blurRad="50800" w14:dist="38100" w14:dir="2700000" w14:sx="100000" w14:sy="100000" w14:kx="0" w14:ky="0" w14:algn="tl">
            <w14:srgbClr w14:val="000000">
              <w14:alpha w14:val="60000"/>
            </w14:srgbClr>
          </w14:shadow>
        </w:rPr>
      </w:pPr>
    </w:p>
    <w:p>
      <w:pPr>
        <w:spacing w:line="360" w:lineRule="auto"/>
        <w:ind w:firstLine="1561" w:firstLineChars="432"/>
        <w:rPr>
          <w:rFonts w:hint="eastAsia"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采 购 人: 丽水市看守所</w:t>
      </w:r>
    </w:p>
    <w:p>
      <w:pPr>
        <w:spacing w:line="360" w:lineRule="auto"/>
        <w:ind w:firstLine="1446" w:firstLineChars="400"/>
        <w:rPr>
          <w:rFonts w:hint="eastAsia"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 xml:space="preserve"> </w:t>
      </w:r>
    </w:p>
    <w:p>
      <w:pPr>
        <w:autoSpaceDE w:val="0"/>
        <w:autoSpaceDN w:val="0"/>
        <w:spacing w:line="360" w:lineRule="auto"/>
        <w:jc w:val="center"/>
        <w:textAlignment w:val="bottom"/>
        <w:rPr>
          <w:rFonts w:hint="eastAsia"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 xml:space="preserve">   </w:t>
      </w:r>
    </w:p>
    <w:p>
      <w:pPr>
        <w:autoSpaceDE w:val="0"/>
        <w:autoSpaceDN w:val="0"/>
        <w:spacing w:line="360" w:lineRule="auto"/>
        <w:jc w:val="center"/>
        <w:textAlignment w:val="bottom"/>
        <w:rPr>
          <w:rFonts w:ascii="宋体" w:hAnsi="宋体"/>
          <w:b/>
          <w:sz w:val="36"/>
          <w14:shadow w14:blurRad="50800" w14:dist="38100" w14:dir="2700000" w14:sx="100000" w14:sy="100000" w14:kx="0" w14:ky="0" w14:algn="tl">
            <w14:srgbClr w14:val="000000">
              <w14:alpha w14:val="60000"/>
            </w14:srgbClr>
          </w14:shadow>
        </w:rPr>
      </w:pPr>
      <w:r>
        <w:rPr>
          <w:rFonts w:hint="eastAsia" w:ascii="宋体" w:hAnsi="宋体"/>
          <w:b/>
          <w:sz w:val="36"/>
          <w14:shadow w14:blurRad="50800" w14:dist="38100" w14:dir="2700000" w14:sx="100000" w14:sy="100000" w14:kx="0" w14:ky="0" w14:algn="tl">
            <w14:srgbClr w14:val="000000">
              <w14:alpha w14:val="60000"/>
            </w14:srgbClr>
          </w14:shadow>
        </w:rPr>
        <w:t xml:space="preserve"> 采购代理机构:浙江鼎峰程咨询工程有限公司</w:t>
      </w:r>
    </w:p>
    <w:p>
      <w:pPr>
        <w:pStyle w:val="26"/>
        <w:spacing w:line="360" w:lineRule="auto"/>
        <w:jc w:val="center"/>
        <w:rPr>
          <w:rFonts w:hint="eastAsia" w:ascii="宋体" w:hAnsi="宋体" w:eastAsia="宋体"/>
          <w:b/>
          <w:sz w:val="36"/>
          <w:lang w:eastAsia="zh-CN"/>
          <w14:shadow w14:blurRad="50800" w14:dist="38100" w14:dir="2700000" w14:sx="100000" w14:sy="100000" w14:kx="0" w14:ky="0" w14:algn="tl">
            <w14:srgbClr w14:val="000000">
              <w14:alpha w14:val="60000"/>
            </w14:srgbClr>
          </w14:shadow>
        </w:rPr>
      </w:pPr>
      <w:r>
        <w:rPr>
          <w:rFonts w:ascii="宋体" w:hAnsi="宋体" w:eastAsia="宋体"/>
          <w:b/>
          <w:sz w:val="36"/>
          <w14:shadow w14:blurRad="50800" w14:dist="38100" w14:dir="2700000" w14:sx="100000" w14:sy="100000" w14:kx="0" w14:ky="0" w14:algn="tl">
            <w14:srgbClr w14:val="000000">
              <w14:alpha w14:val="60000"/>
            </w14:srgbClr>
          </w14:shadow>
        </w:rPr>
        <w:t xml:space="preserve"> 二</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〇</w:t>
      </w:r>
      <w:r>
        <w:rPr>
          <w:rFonts w:ascii="宋体" w:hAnsi="宋体" w:eastAsia="宋体"/>
          <w:b/>
          <w:sz w:val="36"/>
          <w14:shadow w14:blurRad="50800" w14:dist="38100" w14:dir="2700000" w14:sx="100000" w14:sy="100000" w14:kx="0" w14:ky="0" w14:algn="tl">
            <w14:srgbClr w14:val="000000">
              <w14:alpha w14:val="60000"/>
            </w14:srgbClr>
          </w14:shadow>
        </w:rPr>
        <w:t>一</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九</w:t>
      </w:r>
      <w:r>
        <w:rPr>
          <w:rFonts w:ascii="宋体" w:hAnsi="宋体" w:eastAsia="宋体"/>
          <w:b/>
          <w:sz w:val="36"/>
          <w14:shadow w14:blurRad="50800" w14:dist="38100" w14:dir="2700000" w14:sx="100000" w14:sy="100000" w14:kx="0" w14:ky="0" w14:algn="tl">
            <w14:srgbClr w14:val="000000">
              <w14:alpha w14:val="60000"/>
            </w14:srgbClr>
          </w14:shadow>
        </w:rPr>
        <w:t>年</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一</w:t>
      </w:r>
      <w:r>
        <w:rPr>
          <w:rFonts w:ascii="宋体" w:hAnsi="宋体" w:eastAsia="宋体"/>
          <w:b/>
          <w:sz w:val="36"/>
          <w14:shadow w14:blurRad="50800" w14:dist="38100" w14:dir="2700000" w14:sx="100000" w14:sy="100000" w14:kx="0" w14:ky="0" w14:algn="tl">
            <w14:srgbClr w14:val="000000">
              <w14:alpha w14:val="60000"/>
            </w14:srgbClr>
          </w14:shadow>
        </w:rPr>
        <w:t>月</w:t>
      </w:r>
    </w:p>
    <w:p>
      <w:pPr>
        <w:rPr>
          <w:rFonts w:hint="eastAsia" w:ascii="宋体" w:hAnsi="宋体"/>
        </w:rPr>
      </w:pPr>
    </w:p>
    <w:p>
      <w:pPr>
        <w:jc w:val="center"/>
        <w:rPr>
          <w:rFonts w:hint="eastAsia" w:ascii="宋体" w:hAnsi="宋体"/>
          <w:b/>
          <w:bCs/>
          <w:sz w:val="44"/>
          <w:szCs w:val="44"/>
        </w:rPr>
      </w:pPr>
    </w:p>
    <w:p>
      <w:pPr>
        <w:jc w:val="center"/>
        <w:rPr>
          <w:rFonts w:hint="eastAsia" w:ascii="宋体" w:hAnsi="宋体"/>
          <w:b/>
          <w:bCs/>
          <w:sz w:val="44"/>
          <w:szCs w:val="44"/>
        </w:rPr>
      </w:pPr>
    </w:p>
    <w:p>
      <w:pP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目  录</w:t>
      </w:r>
    </w:p>
    <w:p>
      <w:pPr>
        <w:pStyle w:val="37"/>
        <w:rPr>
          <w:rFonts w:hint="eastAsia" w:eastAsia="宋体"/>
          <w:sz w:val="21"/>
          <w:szCs w:val="21"/>
          <w:lang w:eastAsia="zh-CN"/>
        </w:rPr>
      </w:pPr>
    </w:p>
    <w:p>
      <w:pPr>
        <w:pStyle w:val="37"/>
        <w:spacing w:line="360" w:lineRule="auto"/>
        <w:rPr>
          <w:rFonts w:ascii="Calibri" w:hAnsi="Calibri" w:eastAsia="宋体"/>
          <w:b w:val="0"/>
          <w:bCs w:val="0"/>
          <w:sz w:val="21"/>
          <w:szCs w:val="22"/>
          <w:lang w:val="en-US" w:eastAsia="zh-CN"/>
        </w:rPr>
      </w:pPr>
      <w:bookmarkStart w:id="0" w:name="_Toc69635410"/>
      <w:r>
        <w:rPr>
          <w:rFonts w:eastAsia="宋体"/>
          <w:b w:val="0"/>
          <w:bCs w:val="0"/>
          <w:sz w:val="21"/>
          <w:szCs w:val="21"/>
        </w:rPr>
        <w:fldChar w:fldCharType="begin"/>
      </w:r>
      <w:r>
        <w:rPr>
          <w:rFonts w:eastAsia="宋体"/>
          <w:b w:val="0"/>
          <w:bCs w:val="0"/>
          <w:sz w:val="21"/>
          <w:szCs w:val="21"/>
        </w:rPr>
        <w:instrText xml:space="preserve"> </w:instrText>
      </w:r>
      <w:r>
        <w:rPr>
          <w:rFonts w:hint="eastAsia" w:eastAsia="宋体"/>
          <w:b w:val="0"/>
          <w:bCs w:val="0"/>
          <w:sz w:val="21"/>
          <w:szCs w:val="21"/>
        </w:rPr>
        <w:instrText xml:space="preserve">TOC \o "1-3" \h \z</w:instrText>
      </w:r>
      <w:r>
        <w:rPr>
          <w:rFonts w:eastAsia="宋体"/>
          <w:b w:val="0"/>
          <w:bCs w:val="0"/>
          <w:sz w:val="21"/>
          <w:szCs w:val="21"/>
        </w:rPr>
        <w:instrText xml:space="preserve"> </w:instrText>
      </w:r>
      <w:r>
        <w:rPr>
          <w:rFonts w:eastAsia="宋体"/>
          <w:b w:val="0"/>
          <w:bCs w:val="0"/>
          <w:sz w:val="21"/>
          <w:szCs w:val="21"/>
        </w:rPr>
        <w:fldChar w:fldCharType="separate"/>
      </w:r>
      <w:r>
        <w:rPr>
          <w:rStyle w:val="53"/>
          <w:color w:val="auto"/>
          <w:lang/>
        </w:rPr>
        <w:fldChar w:fldCharType="begin"/>
      </w:r>
      <w:r>
        <w:rPr>
          <w:rStyle w:val="53"/>
          <w:color w:val="auto"/>
          <w:lang/>
        </w:rPr>
        <w:instrText xml:space="preserve"> </w:instrText>
      </w:r>
      <w:r>
        <w:rPr>
          <w:lang/>
        </w:rPr>
        <w:instrText xml:space="preserve">HYPERLINK \l "_Toc530665696"</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第一章</w:t>
      </w:r>
      <w:r>
        <w:rPr>
          <w:rStyle w:val="53"/>
          <w:rFonts w:eastAsia="宋体"/>
          <w:color w:val="auto"/>
          <w:lang/>
        </w:rPr>
        <w:t xml:space="preserve"> </w:t>
      </w:r>
      <w:r>
        <w:rPr>
          <w:rStyle w:val="53"/>
          <w:rFonts w:hint="eastAsia" w:eastAsia="宋体"/>
          <w:color w:val="auto"/>
          <w:lang w:eastAsia="zh-CN"/>
        </w:rPr>
        <w:t>公开招标投标邀请</w:t>
      </w:r>
      <w:r>
        <w:rPr>
          <w:lang/>
        </w:rPr>
        <w:tab/>
      </w:r>
      <w:r>
        <w:rPr>
          <w:lang/>
        </w:rPr>
        <w:fldChar w:fldCharType="begin"/>
      </w:r>
      <w:r>
        <w:rPr>
          <w:lang/>
        </w:rPr>
        <w:instrText xml:space="preserve"> PAGEREF _Toc530665696 \h </w:instrText>
      </w:r>
      <w:r>
        <w:rPr>
          <w:lang/>
        </w:rPr>
        <w:fldChar w:fldCharType="separate"/>
      </w:r>
      <w:r>
        <w:rPr>
          <w:lang/>
        </w:rPr>
        <w:t>4</w:t>
      </w:r>
      <w:r>
        <w:rPr>
          <w:lang/>
        </w:rPr>
        <w:fldChar w:fldCharType="end"/>
      </w:r>
      <w:r>
        <w:rPr>
          <w:rStyle w:val="53"/>
          <w:color w:val="auto"/>
          <w:lang/>
        </w:rPr>
        <w:fldChar w:fldCharType="end"/>
      </w:r>
    </w:p>
    <w:p>
      <w:pPr>
        <w:pStyle w:val="37"/>
        <w:spacing w:line="360" w:lineRule="auto"/>
        <w:rPr>
          <w:rFonts w:ascii="Calibri" w:hAnsi="Calibri" w:eastAsia="宋体"/>
          <w:b w:val="0"/>
          <w:bCs w:val="0"/>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"_Toc530665697"</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第二章</w:t>
      </w:r>
      <w:r>
        <w:rPr>
          <w:rStyle w:val="53"/>
          <w:rFonts w:eastAsia="宋体"/>
          <w:color w:val="auto"/>
          <w:lang/>
        </w:rPr>
        <w:t xml:space="preserve">  </w:t>
      </w:r>
      <w:r>
        <w:rPr>
          <w:rStyle w:val="53"/>
          <w:rFonts w:hint="eastAsia" w:eastAsia="宋体"/>
          <w:color w:val="auto"/>
          <w:lang/>
        </w:rPr>
        <w:t>投标人须知</w:t>
      </w:r>
      <w:r>
        <w:rPr>
          <w:lang/>
        </w:rPr>
        <w:tab/>
      </w:r>
      <w:r>
        <w:rPr>
          <w:lang/>
        </w:rPr>
        <w:fldChar w:fldCharType="begin"/>
      </w:r>
      <w:r>
        <w:rPr>
          <w:lang/>
        </w:rPr>
        <w:instrText xml:space="preserve"> PAGEREF _Toc530665697 \h </w:instrText>
      </w:r>
      <w:r>
        <w:rPr>
          <w:lang/>
        </w:rPr>
        <w:fldChar w:fldCharType="separate"/>
      </w:r>
      <w:r>
        <w:rPr>
          <w:lang/>
        </w:rPr>
        <w:t>7</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"_Toc530665698"</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前列表</w:t>
      </w:r>
      <w:r>
        <w:rPr>
          <w:lang/>
        </w:rPr>
        <w:tab/>
      </w:r>
      <w:r>
        <w:rPr>
          <w:lang/>
        </w:rPr>
        <w:fldChar w:fldCharType="begin"/>
      </w:r>
      <w:r>
        <w:rPr>
          <w:lang/>
        </w:rPr>
        <w:instrText xml:space="preserve"> PAGEREF _Toc530665698 \h </w:instrText>
      </w:r>
      <w:r>
        <w:rPr>
          <w:lang/>
        </w:rPr>
        <w:fldChar w:fldCharType="separate"/>
      </w:r>
      <w:r>
        <w:rPr>
          <w:lang/>
        </w:rPr>
        <w:t>7</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"_Toc530665699"</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一</w:t>
      </w:r>
      <w:r>
        <w:rPr>
          <w:rStyle w:val="53"/>
          <w:rFonts w:ascii="宋体" w:hAnsi="宋体" w:eastAsia="宋体"/>
          <w:color w:val="auto"/>
          <w:lang/>
        </w:rPr>
        <w:t xml:space="preserve">   </w:t>
      </w:r>
      <w:r>
        <w:rPr>
          <w:rStyle w:val="53"/>
          <w:rFonts w:hint="eastAsia" w:ascii="宋体" w:hAnsi="宋体" w:eastAsia="宋体"/>
          <w:color w:val="auto"/>
          <w:lang w:eastAsia="zh-CN"/>
        </w:rPr>
        <w:t>总则</w:t>
      </w:r>
      <w:r>
        <w:rPr>
          <w:lang/>
        </w:rPr>
        <w:tab/>
      </w:r>
      <w:r>
        <w:rPr>
          <w:lang/>
        </w:rPr>
        <w:fldChar w:fldCharType="begin"/>
      </w:r>
      <w:r>
        <w:rPr>
          <w:lang/>
        </w:rPr>
        <w:instrText xml:space="preserve"> PAGEREF _Toc530665699 \h </w:instrText>
      </w:r>
      <w:r>
        <w:rPr>
          <w:lang/>
        </w:rPr>
        <w:fldChar w:fldCharType="separate"/>
      </w:r>
      <w:r>
        <w:rPr>
          <w:lang/>
        </w:rPr>
        <w:t>9</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"_Toc530665700"</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二</w:t>
      </w:r>
      <w:r>
        <w:rPr>
          <w:rStyle w:val="53"/>
          <w:rFonts w:ascii="宋体" w:hAnsi="宋体" w:eastAsia="宋体"/>
          <w:color w:val="auto"/>
          <w:lang/>
        </w:rPr>
        <w:t xml:space="preserve">   </w:t>
      </w:r>
      <w:r>
        <w:rPr>
          <w:rStyle w:val="53"/>
          <w:rFonts w:hint="eastAsia" w:ascii="宋体" w:hAnsi="宋体" w:eastAsia="宋体"/>
          <w:color w:val="auto"/>
          <w:lang/>
        </w:rPr>
        <w:t>招标文件说明</w:t>
      </w:r>
      <w:r>
        <w:rPr>
          <w:lang/>
        </w:rPr>
        <w:tab/>
      </w:r>
      <w:r>
        <w:rPr>
          <w:lang/>
        </w:rPr>
        <w:fldChar w:fldCharType="begin"/>
      </w:r>
      <w:r>
        <w:rPr>
          <w:lang/>
        </w:rPr>
        <w:instrText xml:space="preserve"> PAGEREF _Toc530665700 \h </w:instrText>
      </w:r>
      <w:r>
        <w:rPr>
          <w:lang/>
        </w:rPr>
        <w:fldChar w:fldCharType="separate"/>
      </w:r>
      <w:r>
        <w:rPr>
          <w:lang/>
        </w:rPr>
        <w:t>10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"_Toc530665701"</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三</w:t>
      </w:r>
      <w:r>
        <w:rPr>
          <w:rStyle w:val="53"/>
          <w:rFonts w:ascii="宋体" w:hAnsi="宋体" w:eastAsia="宋体"/>
          <w:color w:val="auto"/>
          <w:lang/>
        </w:rPr>
        <w:t xml:space="preserve">   </w:t>
      </w:r>
      <w:r>
        <w:rPr>
          <w:rStyle w:val="53"/>
          <w:rFonts w:hint="eastAsia" w:ascii="宋体" w:hAnsi="宋体" w:eastAsia="宋体"/>
          <w:color w:val="auto"/>
          <w:lang/>
        </w:rPr>
        <w:t>投标文件的编写</w:t>
      </w:r>
      <w:r>
        <w:rPr>
          <w:lang/>
        </w:rPr>
        <w:tab/>
      </w:r>
      <w:r>
        <w:rPr>
          <w:lang/>
        </w:rPr>
        <w:fldChar w:fldCharType="begin"/>
      </w:r>
      <w:r>
        <w:rPr>
          <w:lang/>
        </w:rPr>
        <w:instrText xml:space="preserve"> PAGEREF _Toc530665701 \h </w:instrText>
      </w:r>
      <w:r>
        <w:rPr>
          <w:lang/>
        </w:rPr>
        <w:fldChar w:fldCharType="separate"/>
      </w:r>
      <w:r>
        <w:rPr>
          <w:lang/>
        </w:rPr>
        <w:t>10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"_Toc530665702"</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四</w:t>
      </w:r>
      <w:r>
        <w:rPr>
          <w:rStyle w:val="53"/>
          <w:rFonts w:ascii="宋体" w:hAnsi="宋体" w:eastAsia="宋体"/>
          <w:color w:val="auto"/>
          <w:lang/>
        </w:rPr>
        <w:t xml:space="preserve">   </w:t>
      </w:r>
      <w:r>
        <w:rPr>
          <w:rStyle w:val="53"/>
          <w:rFonts w:hint="eastAsia" w:ascii="宋体" w:hAnsi="宋体" w:eastAsia="宋体"/>
          <w:color w:val="auto"/>
          <w:lang/>
        </w:rPr>
        <w:t>保证金</w:t>
      </w:r>
      <w:r>
        <w:rPr>
          <w:lang/>
        </w:rPr>
        <w:tab/>
      </w:r>
      <w:r>
        <w:rPr>
          <w:lang/>
        </w:rPr>
        <w:fldChar w:fldCharType="begin"/>
      </w:r>
      <w:r>
        <w:rPr>
          <w:lang/>
        </w:rPr>
        <w:instrText xml:space="preserve"> PAGEREF _Toc530665702 \h </w:instrText>
      </w:r>
      <w:r>
        <w:rPr>
          <w:lang/>
        </w:rPr>
        <w:fldChar w:fldCharType="separate"/>
      </w:r>
      <w:r>
        <w:rPr>
          <w:lang/>
        </w:rPr>
        <w:t>13</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"_Toc530665703"</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五</w:t>
      </w:r>
      <w:r>
        <w:rPr>
          <w:rStyle w:val="53"/>
          <w:rFonts w:ascii="宋体" w:hAnsi="宋体" w:eastAsia="宋体"/>
          <w:color w:val="auto"/>
          <w:lang/>
        </w:rPr>
        <w:t xml:space="preserve">   </w:t>
      </w:r>
      <w:r>
        <w:rPr>
          <w:rStyle w:val="53"/>
          <w:rFonts w:hint="eastAsia" w:ascii="宋体" w:hAnsi="宋体" w:eastAsia="宋体"/>
          <w:color w:val="auto"/>
          <w:lang/>
        </w:rPr>
        <w:t>投标文件的包装、提交、修改和撤回</w:t>
      </w:r>
      <w:r>
        <w:rPr>
          <w:lang/>
        </w:rPr>
        <w:tab/>
      </w:r>
      <w:r>
        <w:rPr>
          <w:lang/>
        </w:rPr>
        <w:fldChar w:fldCharType="begin"/>
      </w:r>
      <w:r>
        <w:rPr>
          <w:lang/>
        </w:rPr>
        <w:instrText xml:space="preserve"> PAGEREF _Toc530665703 \h </w:instrText>
      </w:r>
      <w:r>
        <w:rPr>
          <w:lang/>
        </w:rPr>
        <w:fldChar w:fldCharType="separate"/>
      </w:r>
      <w:r>
        <w:rPr>
          <w:lang/>
        </w:rPr>
        <w:t>13</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"_Toc530665704"</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六</w:t>
      </w:r>
      <w:r>
        <w:rPr>
          <w:rStyle w:val="53"/>
          <w:rFonts w:ascii="宋体" w:hAnsi="宋体" w:eastAsia="宋体"/>
          <w:color w:val="auto"/>
          <w:lang/>
        </w:rPr>
        <w:t xml:space="preserve">   </w:t>
      </w:r>
      <w:r>
        <w:rPr>
          <w:rStyle w:val="53"/>
          <w:rFonts w:hint="eastAsia" w:ascii="宋体" w:hAnsi="宋体" w:eastAsia="宋体"/>
          <w:color w:val="auto"/>
          <w:lang/>
        </w:rPr>
        <w:t>开标和评审</w:t>
      </w:r>
      <w:r>
        <w:rPr>
          <w:lang/>
        </w:rPr>
        <w:tab/>
      </w:r>
      <w:r>
        <w:rPr>
          <w:lang/>
        </w:rPr>
        <w:fldChar w:fldCharType="begin"/>
      </w:r>
      <w:r>
        <w:rPr>
          <w:lang/>
        </w:rPr>
        <w:instrText xml:space="preserve"> PAGEREF _Toc530665704 \h </w:instrText>
      </w:r>
      <w:r>
        <w:rPr>
          <w:lang/>
        </w:rPr>
        <w:fldChar w:fldCharType="separate"/>
      </w:r>
      <w:r>
        <w:rPr>
          <w:lang/>
        </w:rPr>
        <w:t>14</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"_Toc530665705"</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七</w:t>
      </w:r>
      <w:r>
        <w:rPr>
          <w:rStyle w:val="53"/>
          <w:rFonts w:ascii="宋体" w:hAnsi="宋体" w:eastAsia="宋体"/>
          <w:color w:val="auto"/>
          <w:lang/>
        </w:rPr>
        <w:t xml:space="preserve">   </w:t>
      </w:r>
      <w:r>
        <w:rPr>
          <w:rStyle w:val="53"/>
          <w:rFonts w:hint="eastAsia" w:ascii="宋体" w:hAnsi="宋体" w:eastAsia="宋体"/>
          <w:color w:val="auto"/>
          <w:lang/>
        </w:rPr>
        <w:t>投标无效的情形</w:t>
      </w:r>
      <w:r>
        <w:rPr>
          <w:lang/>
        </w:rPr>
        <w:tab/>
      </w:r>
      <w:r>
        <w:rPr>
          <w:lang/>
        </w:rPr>
        <w:fldChar w:fldCharType="begin"/>
      </w:r>
      <w:r>
        <w:rPr>
          <w:lang/>
        </w:rPr>
        <w:instrText xml:space="preserve"> PAGEREF _Toc530665705 \h </w:instrText>
      </w:r>
      <w:r>
        <w:rPr>
          <w:lang/>
        </w:rPr>
        <w:fldChar w:fldCharType="separate"/>
      </w:r>
      <w:r>
        <w:rPr>
          <w:lang/>
        </w:rPr>
        <w:t>17</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"_Toc530665706"</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八</w:t>
      </w:r>
      <w:r>
        <w:rPr>
          <w:rStyle w:val="53"/>
          <w:rFonts w:ascii="宋体" w:hAnsi="宋体" w:eastAsia="宋体"/>
          <w:color w:val="auto"/>
          <w:lang/>
        </w:rPr>
        <w:t xml:space="preserve">   </w:t>
      </w:r>
      <w:r>
        <w:rPr>
          <w:rStyle w:val="53"/>
          <w:rFonts w:hint="eastAsia" w:ascii="宋体" w:hAnsi="宋体" w:eastAsia="宋体"/>
          <w:color w:val="auto"/>
          <w:lang/>
        </w:rPr>
        <w:t>法律责任</w:t>
      </w:r>
      <w:r>
        <w:rPr>
          <w:lang/>
        </w:rPr>
        <w:tab/>
      </w:r>
      <w:r>
        <w:rPr>
          <w:lang/>
        </w:rPr>
        <w:fldChar w:fldCharType="begin"/>
      </w:r>
      <w:r>
        <w:rPr>
          <w:lang/>
        </w:rPr>
        <w:instrText xml:space="preserve"> PAGEREF _Toc530665706 \h </w:instrText>
      </w:r>
      <w:r>
        <w:rPr>
          <w:lang/>
        </w:rPr>
        <w:fldChar w:fldCharType="separate"/>
      </w:r>
      <w:r>
        <w:rPr>
          <w:lang/>
        </w:rPr>
        <w:t>18</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"_Toc530665707"</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九</w:t>
      </w:r>
      <w:r>
        <w:rPr>
          <w:rStyle w:val="53"/>
          <w:rFonts w:ascii="宋体" w:hAnsi="宋体" w:eastAsia="宋体"/>
          <w:color w:val="auto"/>
          <w:lang/>
        </w:rPr>
        <w:t xml:space="preserve">   </w:t>
      </w:r>
      <w:r>
        <w:rPr>
          <w:rStyle w:val="53"/>
          <w:rFonts w:hint="eastAsia" w:ascii="宋体" w:hAnsi="宋体" w:eastAsia="宋体"/>
          <w:color w:val="auto"/>
          <w:lang/>
        </w:rPr>
        <w:t>询问</w:t>
      </w:r>
      <w:r>
        <w:rPr>
          <w:lang/>
        </w:rPr>
        <w:tab/>
      </w:r>
      <w:r>
        <w:rPr>
          <w:lang/>
        </w:rPr>
        <w:fldChar w:fldCharType="begin"/>
      </w:r>
      <w:r>
        <w:rPr>
          <w:lang/>
        </w:rPr>
        <w:instrText xml:space="preserve"> PAGEREF _Toc530665707 \h </w:instrText>
      </w:r>
      <w:r>
        <w:rPr>
          <w:lang/>
        </w:rPr>
        <w:fldChar w:fldCharType="separate"/>
      </w:r>
      <w:r>
        <w:rPr>
          <w:lang/>
        </w:rPr>
        <w:t>20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"_Toc530665708"</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w:t>
      </w:r>
      <w:r>
        <w:rPr>
          <w:rStyle w:val="53"/>
          <w:rFonts w:ascii="宋体" w:hAnsi="宋体" w:eastAsia="宋体"/>
          <w:color w:val="auto"/>
          <w:lang/>
        </w:rPr>
        <w:t xml:space="preserve">   </w:t>
      </w:r>
      <w:r>
        <w:rPr>
          <w:rStyle w:val="53"/>
          <w:rFonts w:hint="eastAsia" w:ascii="宋体" w:hAnsi="宋体" w:eastAsia="宋体"/>
          <w:color w:val="auto"/>
          <w:lang/>
        </w:rPr>
        <w:t>质疑</w:t>
      </w:r>
      <w:r>
        <w:rPr>
          <w:lang/>
        </w:rPr>
        <w:tab/>
      </w:r>
      <w:r>
        <w:rPr>
          <w:lang/>
        </w:rPr>
        <w:fldChar w:fldCharType="begin"/>
      </w:r>
      <w:r>
        <w:rPr>
          <w:lang/>
        </w:rPr>
        <w:instrText xml:space="preserve"> PAGEREF _Toc530665708 \h </w:instrText>
      </w:r>
      <w:r>
        <w:rPr>
          <w:lang/>
        </w:rPr>
        <w:fldChar w:fldCharType="separate"/>
      </w:r>
      <w:r>
        <w:rPr>
          <w:lang/>
        </w:rPr>
        <w:t>20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"_Toc530665709"</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十一</w:t>
      </w:r>
      <w:r>
        <w:rPr>
          <w:rStyle w:val="53"/>
          <w:rFonts w:ascii="宋体" w:hAnsi="宋体" w:eastAsia="宋体"/>
          <w:color w:val="auto"/>
          <w:lang/>
        </w:rPr>
        <w:t xml:space="preserve">  </w:t>
      </w:r>
      <w:r>
        <w:rPr>
          <w:rStyle w:val="53"/>
          <w:rFonts w:hint="eastAsia" w:ascii="宋体" w:hAnsi="宋体" w:eastAsia="宋体"/>
          <w:color w:val="auto"/>
          <w:lang/>
        </w:rPr>
        <w:t>投诉</w:t>
      </w:r>
      <w:r>
        <w:rPr>
          <w:lang/>
        </w:rPr>
        <w:tab/>
      </w:r>
      <w:r>
        <w:rPr>
          <w:lang/>
        </w:rPr>
        <w:fldChar w:fldCharType="begin"/>
      </w:r>
      <w:r>
        <w:rPr>
          <w:lang/>
        </w:rPr>
        <w:instrText xml:space="preserve"> PAGEREF _Toc530665709 \h </w:instrText>
      </w:r>
      <w:r>
        <w:rPr>
          <w:lang/>
        </w:rPr>
        <w:fldChar w:fldCharType="separate"/>
      </w:r>
      <w:r>
        <w:rPr>
          <w:lang/>
        </w:rPr>
        <w:t>21</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"_Toc530665710"</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十二</w:t>
      </w:r>
      <w:r>
        <w:rPr>
          <w:rStyle w:val="53"/>
          <w:rFonts w:ascii="宋体" w:hAnsi="宋体" w:eastAsia="宋体"/>
          <w:color w:val="auto"/>
          <w:lang/>
        </w:rPr>
        <w:t xml:space="preserve">   </w:t>
      </w:r>
      <w:r>
        <w:rPr>
          <w:rStyle w:val="53"/>
          <w:rFonts w:hint="eastAsia" w:ascii="宋体" w:hAnsi="宋体" w:eastAsia="宋体"/>
          <w:color w:val="auto"/>
          <w:lang/>
        </w:rPr>
        <w:t>授予合同</w:t>
      </w:r>
      <w:r>
        <w:rPr>
          <w:lang/>
        </w:rPr>
        <w:tab/>
      </w:r>
      <w:r>
        <w:rPr>
          <w:lang/>
        </w:rPr>
        <w:fldChar w:fldCharType="begin"/>
      </w:r>
      <w:r>
        <w:rPr>
          <w:lang/>
        </w:rPr>
        <w:instrText xml:space="preserve"> PAGEREF _Toc530665710 \h </w:instrText>
      </w:r>
      <w:r>
        <w:rPr>
          <w:lang/>
        </w:rPr>
        <w:fldChar w:fldCharType="separate"/>
      </w:r>
      <w:r>
        <w:rPr>
          <w:lang/>
        </w:rPr>
        <w:t>21</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"_Toc530665711"</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十三</w:t>
      </w:r>
      <w:r>
        <w:rPr>
          <w:rStyle w:val="53"/>
          <w:rFonts w:ascii="宋体" w:hAnsi="宋体" w:eastAsia="宋体"/>
          <w:color w:val="auto"/>
          <w:lang/>
        </w:rPr>
        <w:t xml:space="preserve">  </w:t>
      </w:r>
      <w:r>
        <w:rPr>
          <w:rStyle w:val="53"/>
          <w:rFonts w:hint="eastAsia" w:ascii="宋体" w:hAnsi="宋体" w:eastAsia="宋体"/>
          <w:color w:val="auto"/>
          <w:lang/>
        </w:rPr>
        <w:t>验收</w:t>
      </w:r>
      <w:r>
        <w:rPr>
          <w:lang/>
        </w:rPr>
        <w:tab/>
      </w:r>
      <w:r>
        <w:rPr>
          <w:lang/>
        </w:rPr>
        <w:fldChar w:fldCharType="begin"/>
      </w:r>
      <w:r>
        <w:rPr>
          <w:lang/>
        </w:rPr>
        <w:instrText xml:space="preserve"> PAGEREF _Toc530665711 \h </w:instrText>
      </w:r>
      <w:r>
        <w:rPr>
          <w:lang/>
        </w:rPr>
        <w:fldChar w:fldCharType="separate"/>
      </w:r>
      <w:r>
        <w:rPr>
          <w:lang/>
        </w:rPr>
        <w:t>22</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"_Toc530665712"</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w:t>
      </w:r>
      <w:r>
        <w:rPr>
          <w:rStyle w:val="53"/>
          <w:rFonts w:hint="eastAsia" w:ascii="宋体" w:hAnsi="宋体" w:eastAsia="宋体"/>
          <w:color w:val="auto"/>
          <w:lang w:eastAsia="zh-CN"/>
        </w:rPr>
        <w:t>四</w:t>
      </w:r>
      <w:r>
        <w:rPr>
          <w:rStyle w:val="53"/>
          <w:rFonts w:ascii="宋体" w:hAnsi="宋体" w:eastAsia="宋体"/>
          <w:color w:val="auto"/>
          <w:lang/>
        </w:rPr>
        <w:t xml:space="preserve">  </w:t>
      </w:r>
      <w:r>
        <w:rPr>
          <w:rStyle w:val="53"/>
          <w:rFonts w:hint="eastAsia" w:ascii="宋体" w:hAnsi="宋体" w:eastAsia="宋体"/>
          <w:color w:val="auto"/>
          <w:lang/>
        </w:rPr>
        <w:t>政府采购政策</w:t>
      </w:r>
      <w:r>
        <w:rPr>
          <w:lang/>
        </w:rPr>
        <w:tab/>
      </w:r>
      <w:r>
        <w:rPr>
          <w:lang/>
        </w:rPr>
        <w:fldChar w:fldCharType="begin"/>
      </w:r>
      <w:r>
        <w:rPr>
          <w:lang/>
        </w:rPr>
        <w:instrText xml:space="preserve"> PAGEREF _Toc530665712 \h </w:instrText>
      </w:r>
      <w:r>
        <w:rPr>
          <w:lang/>
        </w:rPr>
        <w:fldChar w:fldCharType="separate"/>
      </w:r>
      <w:r>
        <w:rPr>
          <w:lang/>
        </w:rPr>
        <w:t>22</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"_Toc530665713"</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十</w:t>
      </w:r>
      <w:r>
        <w:rPr>
          <w:rStyle w:val="53"/>
          <w:rFonts w:hint="eastAsia" w:ascii="宋体" w:hAnsi="宋体" w:eastAsia="宋体"/>
          <w:color w:val="auto"/>
          <w:lang w:eastAsia="zh-CN"/>
        </w:rPr>
        <w:t>五</w:t>
      </w:r>
      <w:r>
        <w:rPr>
          <w:rStyle w:val="53"/>
          <w:rFonts w:ascii="宋体" w:hAnsi="宋体" w:eastAsia="宋体"/>
          <w:color w:val="auto"/>
          <w:lang/>
        </w:rPr>
        <w:t xml:space="preserve">  </w:t>
      </w:r>
      <w:r>
        <w:rPr>
          <w:rStyle w:val="53"/>
          <w:rFonts w:hint="eastAsia" w:ascii="宋体" w:hAnsi="宋体" w:eastAsia="宋体"/>
          <w:color w:val="auto"/>
          <w:lang/>
        </w:rPr>
        <w:t>其他事项</w:t>
      </w:r>
      <w:r>
        <w:rPr>
          <w:lang/>
        </w:rPr>
        <w:tab/>
      </w:r>
      <w:r>
        <w:rPr>
          <w:lang/>
        </w:rPr>
        <w:fldChar w:fldCharType="begin"/>
      </w:r>
      <w:r>
        <w:rPr>
          <w:lang/>
        </w:rPr>
        <w:instrText xml:space="preserve"> PAGEREF _Toc530665713 \h </w:instrText>
      </w:r>
      <w:r>
        <w:rPr>
          <w:lang/>
        </w:rPr>
        <w:fldChar w:fldCharType="separate"/>
      </w:r>
      <w:r>
        <w:rPr>
          <w:lang/>
        </w:rPr>
        <w:t>23</w:t>
      </w:r>
      <w:r>
        <w:rPr>
          <w:lang/>
        </w:rPr>
        <w:fldChar w:fldCharType="end"/>
      </w:r>
      <w:r>
        <w:rPr>
          <w:rStyle w:val="53"/>
          <w:color w:val="auto"/>
          <w:lang/>
        </w:rPr>
        <w:fldChar w:fldCharType="end"/>
      </w:r>
    </w:p>
    <w:p>
      <w:pPr>
        <w:pStyle w:val="32"/>
        <w:spacing w:line="360" w:lineRule="auto"/>
        <w:rPr>
          <w:rFonts w:ascii="Calibri" w:hAnsi="Calibri" w:eastAsia="宋体"/>
          <w:b w:val="0"/>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"_Toc530665714"</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第三章</w:t>
      </w:r>
      <w:r>
        <w:rPr>
          <w:rFonts w:ascii="Calibri" w:hAnsi="Calibri" w:eastAsia="宋体"/>
          <w:b w:val="0"/>
          <w:sz w:val="21"/>
          <w:szCs w:val="22"/>
          <w:lang w:val="en-US" w:eastAsia="zh-CN"/>
        </w:rPr>
        <w:tab/>
      </w:r>
      <w:r>
        <w:rPr>
          <w:rStyle w:val="53"/>
          <w:rFonts w:hint="eastAsia" w:eastAsia="宋体"/>
          <w:color w:val="auto"/>
          <w:lang/>
        </w:rPr>
        <w:t>技术要求</w:t>
      </w:r>
      <w:r>
        <w:rPr>
          <w:lang/>
        </w:rPr>
        <w:tab/>
      </w:r>
      <w:r>
        <w:rPr>
          <w:lang/>
        </w:rPr>
        <w:fldChar w:fldCharType="begin"/>
      </w:r>
      <w:r>
        <w:rPr>
          <w:lang/>
        </w:rPr>
        <w:instrText xml:space="preserve"> PAGEREF _Toc530665714 \h </w:instrText>
      </w:r>
      <w:r>
        <w:rPr>
          <w:lang/>
        </w:rPr>
        <w:fldChar w:fldCharType="separate"/>
      </w:r>
      <w:r>
        <w:rPr>
          <w:lang/>
        </w:rPr>
        <w:t>24</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"_Toc530665715"</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一、</w:t>
      </w:r>
      <w:r>
        <w:rPr>
          <w:rStyle w:val="53"/>
          <w:rFonts w:hint="eastAsia" w:ascii="宋体" w:hAnsi="宋体" w:eastAsia="宋体"/>
          <w:color w:val="auto"/>
          <w:lang w:eastAsia="zh-CN"/>
        </w:rPr>
        <w:t>项目概况</w:t>
      </w:r>
      <w:r>
        <w:rPr>
          <w:lang/>
        </w:rPr>
        <w:tab/>
      </w:r>
      <w:r>
        <w:rPr>
          <w:lang/>
        </w:rPr>
        <w:fldChar w:fldCharType="begin"/>
      </w:r>
      <w:r>
        <w:rPr>
          <w:lang/>
        </w:rPr>
        <w:instrText xml:space="preserve"> PAGEREF _Toc530665715 \h </w:instrText>
      </w:r>
      <w:r>
        <w:rPr>
          <w:lang/>
        </w:rPr>
        <w:fldChar w:fldCharType="separate"/>
      </w:r>
      <w:r>
        <w:rPr>
          <w:lang/>
        </w:rPr>
        <w:t>24</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"_Toc530665716"</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二</w:t>
      </w:r>
      <w:r>
        <w:rPr>
          <w:rStyle w:val="53"/>
          <w:rFonts w:hint="eastAsia" w:ascii="宋体" w:hAnsi="宋体" w:eastAsia="宋体"/>
          <w:color w:val="auto"/>
          <w:lang/>
        </w:rPr>
        <w:t>、</w:t>
      </w:r>
      <w:r>
        <w:rPr>
          <w:rStyle w:val="53"/>
          <w:rFonts w:hint="eastAsia" w:ascii="宋体" w:hAnsi="宋体" w:eastAsia="宋体"/>
          <w:color w:val="auto"/>
          <w:lang w:eastAsia="zh-CN"/>
        </w:rPr>
        <w:t>最高限价</w:t>
      </w:r>
      <w:r>
        <w:rPr>
          <w:lang/>
        </w:rPr>
        <w:tab/>
      </w:r>
      <w:r>
        <w:rPr>
          <w:lang/>
        </w:rPr>
        <w:fldChar w:fldCharType="begin"/>
      </w:r>
      <w:r>
        <w:rPr>
          <w:lang/>
        </w:rPr>
        <w:instrText xml:space="preserve"> PAGEREF _Toc530665716 \h </w:instrText>
      </w:r>
      <w:r>
        <w:rPr>
          <w:lang/>
        </w:rPr>
        <w:fldChar w:fldCharType="separate"/>
      </w:r>
      <w:r>
        <w:rPr>
          <w:lang/>
        </w:rPr>
        <w:t>25</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"_Toc530665717"</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三</w:t>
      </w:r>
      <w:r>
        <w:rPr>
          <w:rStyle w:val="53"/>
          <w:rFonts w:hint="eastAsia" w:ascii="宋体" w:hAnsi="宋体" w:eastAsia="宋体"/>
          <w:color w:val="auto"/>
          <w:lang/>
        </w:rPr>
        <w:t>、</w:t>
      </w:r>
      <w:r>
        <w:rPr>
          <w:rStyle w:val="53"/>
          <w:rFonts w:hint="eastAsia" w:ascii="宋体" w:hAnsi="宋体" w:eastAsia="宋体"/>
          <w:color w:val="auto"/>
          <w:lang w:eastAsia="zh-CN"/>
        </w:rPr>
        <w:t>建设内容</w:t>
      </w:r>
      <w:r>
        <w:rPr>
          <w:lang/>
        </w:rPr>
        <w:tab/>
      </w:r>
      <w:r>
        <w:rPr>
          <w:lang/>
        </w:rPr>
        <w:fldChar w:fldCharType="begin"/>
      </w:r>
      <w:r>
        <w:rPr>
          <w:lang/>
        </w:rPr>
        <w:instrText xml:space="preserve"> PAGEREF _Toc530665717 \h </w:instrText>
      </w:r>
      <w:r>
        <w:rPr>
          <w:lang/>
        </w:rPr>
        <w:fldChar w:fldCharType="separate"/>
      </w:r>
      <w:r>
        <w:rPr>
          <w:lang/>
        </w:rPr>
        <w:t>25</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"_Toc530665718"</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四、采购清单</w:t>
      </w:r>
      <w:r>
        <w:rPr>
          <w:lang/>
        </w:rPr>
        <w:tab/>
      </w:r>
      <w:r>
        <w:rPr>
          <w:lang/>
        </w:rPr>
        <w:fldChar w:fldCharType="begin"/>
      </w:r>
      <w:r>
        <w:rPr>
          <w:lang/>
        </w:rPr>
        <w:instrText xml:space="preserve"> PAGEREF _Toc530665718 \h </w:instrText>
      </w:r>
      <w:r>
        <w:rPr>
          <w:lang/>
        </w:rPr>
        <w:fldChar w:fldCharType="separate"/>
      </w:r>
      <w:r>
        <w:rPr>
          <w:lang/>
        </w:rPr>
        <w:t>26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"_Toc530665719"</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五、商务要求</w:t>
      </w:r>
      <w:r>
        <w:rPr>
          <w:lang/>
        </w:rPr>
        <w:tab/>
      </w:r>
      <w:r>
        <w:rPr>
          <w:lang/>
        </w:rPr>
        <w:fldChar w:fldCharType="begin"/>
      </w:r>
      <w:r>
        <w:rPr>
          <w:lang/>
        </w:rPr>
        <w:instrText xml:space="preserve"> PAGEREF _Toc530665719 \h </w:instrText>
      </w:r>
      <w:r>
        <w:rPr>
          <w:lang/>
        </w:rPr>
        <w:fldChar w:fldCharType="separate"/>
      </w:r>
      <w:r>
        <w:rPr>
          <w:lang/>
        </w:rPr>
        <w:t>30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"_Toc530665720"</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六、工期要求</w:t>
      </w:r>
      <w:r>
        <w:rPr>
          <w:lang/>
        </w:rPr>
        <w:tab/>
      </w:r>
      <w:r>
        <w:rPr>
          <w:lang/>
        </w:rPr>
        <w:fldChar w:fldCharType="begin"/>
      </w:r>
      <w:r>
        <w:rPr>
          <w:lang/>
        </w:rPr>
        <w:instrText xml:space="preserve"> PAGEREF _Toc530665720 \h </w:instrText>
      </w:r>
      <w:r>
        <w:rPr>
          <w:lang/>
        </w:rPr>
        <w:fldChar w:fldCharType="separate"/>
      </w:r>
      <w:r>
        <w:rPr>
          <w:lang/>
        </w:rPr>
        <w:t>31</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"_Toc530665721"</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七</w:t>
      </w:r>
      <w:r>
        <w:rPr>
          <w:rStyle w:val="53"/>
          <w:rFonts w:ascii="宋体" w:hAnsi="宋体" w:eastAsia="宋体"/>
          <w:color w:val="auto"/>
          <w:lang/>
        </w:rPr>
        <w:t xml:space="preserve">   </w:t>
      </w:r>
      <w:r>
        <w:rPr>
          <w:rStyle w:val="53"/>
          <w:rFonts w:hint="eastAsia" w:ascii="宋体" w:hAnsi="宋体" w:eastAsia="宋体"/>
          <w:color w:val="auto"/>
          <w:lang/>
        </w:rPr>
        <w:t>安装、调试、验收要求</w:t>
      </w:r>
      <w:r>
        <w:rPr>
          <w:lang/>
        </w:rPr>
        <w:tab/>
      </w:r>
      <w:r>
        <w:rPr>
          <w:lang/>
        </w:rPr>
        <w:fldChar w:fldCharType="begin"/>
      </w:r>
      <w:r>
        <w:rPr>
          <w:lang/>
        </w:rPr>
        <w:instrText xml:space="preserve"> PAGEREF _Toc530665721 \h </w:instrText>
      </w:r>
      <w:r>
        <w:rPr>
          <w:lang/>
        </w:rPr>
        <w:fldChar w:fldCharType="separate"/>
      </w:r>
      <w:r>
        <w:rPr>
          <w:lang/>
        </w:rPr>
        <w:t>31</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"_Toc530665722"</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七</w:t>
      </w:r>
      <w:r>
        <w:rPr>
          <w:rStyle w:val="53"/>
          <w:rFonts w:hint="eastAsia" w:ascii="宋体" w:hAnsi="宋体" w:eastAsia="宋体"/>
          <w:color w:val="auto"/>
          <w:lang/>
        </w:rPr>
        <w:t>、</w:t>
      </w:r>
      <w:r>
        <w:rPr>
          <w:rStyle w:val="53"/>
          <w:rFonts w:hint="eastAsia" w:ascii="宋体" w:hAnsi="宋体" w:eastAsia="宋体"/>
          <w:color w:val="auto"/>
          <w:lang w:eastAsia="zh-CN"/>
        </w:rPr>
        <w:t>其他要求</w:t>
      </w:r>
      <w:r>
        <w:rPr>
          <w:lang/>
        </w:rPr>
        <w:tab/>
      </w:r>
      <w:r>
        <w:rPr>
          <w:lang/>
        </w:rPr>
        <w:fldChar w:fldCharType="begin"/>
      </w:r>
      <w:r>
        <w:rPr>
          <w:lang/>
        </w:rPr>
        <w:instrText xml:space="preserve"> PAGEREF _Toc530665722 \h </w:instrText>
      </w:r>
      <w:r>
        <w:rPr>
          <w:lang/>
        </w:rPr>
        <w:fldChar w:fldCharType="separate"/>
      </w:r>
      <w:r>
        <w:rPr>
          <w:lang/>
        </w:rPr>
        <w:t>31</w:t>
      </w:r>
      <w:r>
        <w:rPr>
          <w:lang/>
        </w:rPr>
        <w:fldChar w:fldCharType="end"/>
      </w:r>
      <w:r>
        <w:rPr>
          <w:rStyle w:val="53"/>
          <w:color w:val="auto"/>
          <w:lang/>
        </w:rPr>
        <w:fldChar w:fldCharType="end"/>
      </w:r>
    </w:p>
    <w:p>
      <w:pPr>
        <w:pStyle w:val="32"/>
        <w:spacing w:line="360" w:lineRule="auto"/>
        <w:rPr>
          <w:rFonts w:ascii="Calibri" w:hAnsi="Calibri" w:eastAsia="宋体"/>
          <w:b w:val="0"/>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"_Toc530665723"</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第四章　政府采购合同</w:t>
      </w:r>
      <w:r>
        <w:rPr>
          <w:lang/>
        </w:rPr>
        <w:tab/>
      </w:r>
      <w:r>
        <w:rPr>
          <w:lang/>
        </w:rPr>
        <w:fldChar w:fldCharType="begin"/>
      </w:r>
      <w:r>
        <w:rPr>
          <w:lang/>
        </w:rPr>
        <w:instrText xml:space="preserve"> PAGEREF _Toc530665723 \h </w:instrText>
      </w:r>
      <w:r>
        <w:rPr>
          <w:lang/>
        </w:rPr>
        <w:fldChar w:fldCharType="separate"/>
      </w:r>
      <w:r>
        <w:rPr>
          <w:lang/>
        </w:rPr>
        <w:t>32</w:t>
      </w:r>
      <w:r>
        <w:rPr>
          <w:lang/>
        </w:rPr>
        <w:fldChar w:fldCharType="end"/>
      </w:r>
      <w:r>
        <w:rPr>
          <w:rStyle w:val="53"/>
          <w:color w:val="auto"/>
          <w:lang/>
        </w:rPr>
        <w:fldChar w:fldCharType="end"/>
      </w:r>
    </w:p>
    <w:p>
      <w:pPr>
        <w:pStyle w:val="37"/>
        <w:spacing w:line="360" w:lineRule="auto"/>
        <w:rPr>
          <w:rFonts w:ascii="Calibri" w:hAnsi="Calibri" w:eastAsia="宋体"/>
          <w:b w:val="0"/>
          <w:bCs w:val="0"/>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"_Toc530665724"</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第五章　投标相关文件格式</w:t>
      </w:r>
      <w:r>
        <w:rPr>
          <w:lang/>
        </w:rPr>
        <w:tab/>
      </w:r>
      <w:r>
        <w:rPr>
          <w:lang/>
        </w:rPr>
        <w:fldChar w:fldCharType="begin"/>
      </w:r>
      <w:r>
        <w:rPr>
          <w:lang/>
        </w:rPr>
        <w:instrText xml:space="preserve"> PAGEREF _Toc530665724 \h </w:instrText>
      </w:r>
      <w:r>
        <w:rPr>
          <w:lang/>
        </w:rPr>
        <w:fldChar w:fldCharType="separate"/>
      </w:r>
      <w:r>
        <w:rPr>
          <w:lang/>
        </w:rPr>
        <w:t>39</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"_Toc530665725"</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一</w:t>
      </w:r>
      <w:r>
        <w:rPr>
          <w:rStyle w:val="53"/>
          <w:rFonts w:ascii="宋体" w:hAnsi="宋体" w:eastAsia="宋体"/>
          <w:color w:val="auto"/>
          <w:lang w:eastAsia="zh-CN"/>
        </w:rPr>
        <w:t xml:space="preserve">   </w:t>
      </w:r>
      <w:r>
        <w:rPr>
          <w:rStyle w:val="53"/>
          <w:rFonts w:hint="eastAsia" w:ascii="宋体" w:hAnsi="宋体" w:eastAsia="宋体"/>
          <w:color w:val="auto"/>
          <w:lang/>
        </w:rPr>
        <w:t>资格审查文件格式</w:t>
      </w:r>
      <w:r>
        <w:rPr>
          <w:lang/>
        </w:rPr>
        <w:tab/>
      </w:r>
      <w:r>
        <w:rPr>
          <w:lang/>
        </w:rPr>
        <w:fldChar w:fldCharType="begin"/>
      </w:r>
      <w:r>
        <w:rPr>
          <w:lang/>
        </w:rPr>
        <w:instrText xml:space="preserve"> PAGEREF _Toc530665725 \h </w:instrText>
      </w:r>
      <w:r>
        <w:rPr>
          <w:lang/>
        </w:rPr>
        <w:fldChar w:fldCharType="separate"/>
      </w:r>
      <w:r>
        <w:rPr>
          <w:lang/>
        </w:rPr>
        <w:t>39</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"_Toc530665726"</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二</w:t>
      </w:r>
      <w:r>
        <w:rPr>
          <w:rStyle w:val="53"/>
          <w:rFonts w:ascii="宋体" w:hAnsi="宋体" w:eastAsia="宋体"/>
          <w:color w:val="auto"/>
          <w:lang w:eastAsia="zh-CN"/>
        </w:rPr>
        <w:t xml:space="preserve">  </w:t>
      </w:r>
      <w:r>
        <w:rPr>
          <w:rStyle w:val="53"/>
          <w:rFonts w:ascii="宋体" w:hAnsi="宋体" w:eastAsia="宋体"/>
          <w:color w:val="auto"/>
          <w:lang/>
        </w:rPr>
        <w:t xml:space="preserve"> </w:t>
      </w:r>
      <w:r>
        <w:rPr>
          <w:rStyle w:val="53"/>
          <w:rFonts w:hint="eastAsia" w:ascii="宋体" w:hAnsi="宋体" w:eastAsia="宋体"/>
          <w:color w:val="auto"/>
          <w:lang/>
        </w:rPr>
        <w:t>资信及商务文件</w:t>
      </w:r>
      <w:r>
        <w:rPr>
          <w:lang/>
        </w:rPr>
        <w:tab/>
      </w:r>
      <w:r>
        <w:rPr>
          <w:lang/>
        </w:rPr>
        <w:fldChar w:fldCharType="begin"/>
      </w:r>
      <w:r>
        <w:rPr>
          <w:lang/>
        </w:rPr>
        <w:instrText xml:space="preserve"> PAGEREF _Toc530665726 \h </w:instrText>
      </w:r>
      <w:r>
        <w:rPr>
          <w:lang/>
        </w:rPr>
        <w:fldChar w:fldCharType="separate"/>
      </w:r>
      <w:r>
        <w:rPr>
          <w:lang/>
        </w:rPr>
        <w:t>48</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"_Toc530665727"</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三</w:t>
      </w:r>
      <w:r>
        <w:rPr>
          <w:rStyle w:val="53"/>
          <w:rFonts w:ascii="宋体" w:hAnsi="宋体" w:eastAsia="宋体"/>
          <w:color w:val="auto"/>
          <w:lang/>
        </w:rPr>
        <w:t xml:space="preserve">   </w:t>
      </w:r>
      <w:r>
        <w:rPr>
          <w:rStyle w:val="53"/>
          <w:rFonts w:hint="eastAsia" w:ascii="宋体" w:hAnsi="宋体" w:eastAsia="宋体"/>
          <w:color w:val="auto"/>
          <w:lang/>
        </w:rPr>
        <w:t>技术文件格式</w:t>
      </w:r>
      <w:r>
        <w:rPr>
          <w:lang/>
        </w:rPr>
        <w:tab/>
      </w:r>
      <w:r>
        <w:rPr>
          <w:lang/>
        </w:rPr>
        <w:fldChar w:fldCharType="begin"/>
      </w:r>
      <w:r>
        <w:rPr>
          <w:lang/>
        </w:rPr>
        <w:instrText xml:space="preserve"> PAGEREF _Toc530665727 \h </w:instrText>
      </w:r>
      <w:r>
        <w:rPr>
          <w:lang/>
        </w:rPr>
        <w:fldChar w:fldCharType="separate"/>
      </w:r>
      <w:r>
        <w:rPr>
          <w:lang/>
        </w:rPr>
        <w:t>55</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"_Toc530665728"</w:instrText>
      </w:r>
      <w:r>
        <w:rPr>
          <w:rStyle w:val="53"/>
          <w:color w:val="auto"/>
          <w:lang/>
        </w:rPr>
        <w:instrText xml:space="preserve"> </w:instrText>
      </w:r>
      <w:r>
        <w:rPr>
          <w:rStyle w:val="53"/>
          <w:color w:val="auto"/>
          <w:lang/>
        </w:rPr>
        <w:fldChar w:fldCharType="separate"/>
      </w:r>
      <w:r>
        <w:rPr>
          <w:rStyle w:val="53"/>
          <w:rFonts w:ascii="仿宋" w:hAnsi="仿宋" w:eastAsia="仿宋"/>
          <w:color w:val="auto"/>
          <w:lang/>
        </w:rPr>
        <w:t>1</w:t>
      </w:r>
      <w:r>
        <w:rPr>
          <w:rStyle w:val="53"/>
          <w:rFonts w:hint="eastAsia" w:ascii="仿宋" w:hAnsi="仿宋" w:eastAsia="仿宋"/>
          <w:color w:val="auto"/>
          <w:lang/>
        </w:rPr>
        <w:t>、项目技术方案</w:t>
      </w:r>
      <w:r>
        <w:rPr>
          <w:lang/>
        </w:rPr>
        <w:tab/>
      </w:r>
      <w:r>
        <w:rPr>
          <w:lang/>
        </w:rPr>
        <w:fldChar w:fldCharType="begin"/>
      </w:r>
      <w:r>
        <w:rPr>
          <w:lang/>
        </w:rPr>
        <w:instrText xml:space="preserve"> PAGEREF _Toc530665728 \h </w:instrText>
      </w:r>
      <w:r>
        <w:rPr>
          <w:lang/>
        </w:rPr>
        <w:fldChar w:fldCharType="separate"/>
      </w:r>
      <w:r>
        <w:rPr>
          <w:lang/>
        </w:rPr>
        <w:t>56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"_Toc530665729"</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四</w:t>
      </w:r>
      <w:r>
        <w:rPr>
          <w:rStyle w:val="53"/>
          <w:rFonts w:ascii="宋体" w:hAnsi="宋体" w:eastAsia="宋体"/>
          <w:color w:val="auto"/>
          <w:lang/>
        </w:rPr>
        <w:t xml:space="preserve">  </w:t>
      </w:r>
      <w:r>
        <w:rPr>
          <w:rStyle w:val="53"/>
          <w:rFonts w:hint="eastAsia" w:ascii="宋体" w:hAnsi="宋体" w:eastAsia="宋体"/>
          <w:color w:val="auto"/>
          <w:lang/>
        </w:rPr>
        <w:t>报价文件格式</w:t>
      </w:r>
      <w:r>
        <w:rPr>
          <w:lang/>
        </w:rPr>
        <w:tab/>
      </w:r>
      <w:r>
        <w:rPr>
          <w:lang/>
        </w:rPr>
        <w:fldChar w:fldCharType="begin"/>
      </w:r>
      <w:r>
        <w:rPr>
          <w:lang/>
        </w:rPr>
        <w:instrText xml:space="preserve"> PAGEREF _Toc530665729 \h </w:instrText>
      </w:r>
      <w:r>
        <w:rPr>
          <w:lang/>
        </w:rPr>
        <w:fldChar w:fldCharType="separate"/>
      </w:r>
      <w:r>
        <w:rPr>
          <w:lang/>
        </w:rPr>
        <w:t>57</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"_Toc530665730"</w:instrText>
      </w:r>
      <w:r>
        <w:rPr>
          <w:rStyle w:val="53"/>
          <w:color w:val="auto"/>
          <w:lang/>
        </w:rPr>
        <w:instrText xml:space="preserve"> </w:instrText>
      </w:r>
      <w:r>
        <w:rPr>
          <w:rStyle w:val="53"/>
          <w:color w:val="auto"/>
          <w:lang/>
        </w:rPr>
        <w:fldChar w:fldCharType="separate"/>
      </w:r>
      <w:r>
        <w:rPr>
          <w:rStyle w:val="53"/>
          <w:rFonts w:ascii="宋体" w:hAnsi="宋体" w:eastAsia="宋体"/>
          <w:color w:val="auto"/>
          <w:lang/>
        </w:rPr>
        <w:t>2</w:t>
      </w:r>
      <w:r>
        <w:rPr>
          <w:rStyle w:val="53"/>
          <w:rFonts w:hint="eastAsia" w:ascii="宋体" w:hAnsi="宋体" w:eastAsia="宋体"/>
          <w:color w:val="auto"/>
          <w:lang/>
        </w:rPr>
        <w:t>、技术规格偏离表</w:t>
      </w:r>
      <w:r>
        <w:rPr>
          <w:lang/>
        </w:rPr>
        <w:tab/>
      </w:r>
      <w:r>
        <w:rPr>
          <w:lang/>
        </w:rPr>
        <w:fldChar w:fldCharType="begin"/>
      </w:r>
      <w:r>
        <w:rPr>
          <w:lang/>
        </w:rPr>
        <w:instrText xml:space="preserve"> PAGEREF _Toc530665730 \h </w:instrText>
      </w:r>
      <w:r>
        <w:rPr>
          <w:lang/>
        </w:rPr>
        <w:fldChar w:fldCharType="separate"/>
      </w:r>
      <w:r>
        <w:rPr>
          <w:lang/>
        </w:rPr>
        <w:t>60</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"_Toc530665731"</w:instrText>
      </w:r>
      <w:r>
        <w:rPr>
          <w:rStyle w:val="53"/>
          <w:color w:val="auto"/>
          <w:lang/>
        </w:rPr>
        <w:instrText xml:space="preserve"> </w:instrText>
      </w:r>
      <w:r>
        <w:rPr>
          <w:rStyle w:val="53"/>
          <w:color w:val="auto"/>
          <w:lang/>
        </w:rPr>
        <w:fldChar w:fldCharType="separate"/>
      </w:r>
      <w:r>
        <w:rPr>
          <w:rStyle w:val="53"/>
          <w:rFonts w:ascii="宋体" w:hAnsi="宋体" w:eastAsia="宋体"/>
          <w:color w:val="auto"/>
          <w:lang/>
        </w:rPr>
        <w:t>3</w:t>
      </w:r>
      <w:r>
        <w:rPr>
          <w:rStyle w:val="53"/>
          <w:rFonts w:hint="eastAsia" w:ascii="宋体" w:hAnsi="宋体" w:eastAsia="宋体"/>
          <w:color w:val="auto"/>
          <w:lang/>
        </w:rPr>
        <w:t>、技术服务和售后服务的内容及措施</w:t>
      </w:r>
      <w:r>
        <w:rPr>
          <w:lang/>
        </w:rPr>
        <w:tab/>
      </w:r>
      <w:r>
        <w:rPr>
          <w:lang/>
        </w:rPr>
        <w:fldChar w:fldCharType="begin"/>
      </w:r>
      <w:r>
        <w:rPr>
          <w:lang/>
        </w:rPr>
        <w:instrText xml:space="preserve"> PAGEREF _Toc530665731 \h </w:instrText>
      </w:r>
      <w:r>
        <w:rPr>
          <w:lang/>
        </w:rPr>
        <w:fldChar w:fldCharType="separate"/>
      </w:r>
      <w:r>
        <w:rPr>
          <w:lang/>
        </w:rPr>
        <w:t>61</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"_Toc530665732"</w:instrText>
      </w:r>
      <w:r>
        <w:rPr>
          <w:rStyle w:val="53"/>
          <w:color w:val="auto"/>
          <w:lang/>
        </w:rPr>
        <w:instrText xml:space="preserve"> </w:instrText>
      </w:r>
      <w:r>
        <w:rPr>
          <w:rStyle w:val="53"/>
          <w:color w:val="auto"/>
          <w:lang/>
        </w:rPr>
        <w:fldChar w:fldCharType="separate"/>
      </w:r>
      <w:r>
        <w:rPr>
          <w:rStyle w:val="53"/>
          <w:rFonts w:ascii="宋体" w:hAnsi="宋体" w:eastAsia="宋体"/>
          <w:color w:val="auto"/>
          <w:lang/>
        </w:rPr>
        <w:t>4</w:t>
      </w:r>
      <w:r>
        <w:rPr>
          <w:rStyle w:val="53"/>
          <w:rFonts w:hint="eastAsia" w:ascii="宋体" w:hAnsi="宋体" w:eastAsia="宋体"/>
          <w:color w:val="auto"/>
          <w:lang/>
        </w:rPr>
        <w:t>、安装、调试、培训</w:t>
      </w:r>
      <w:r>
        <w:rPr>
          <w:lang/>
        </w:rPr>
        <w:tab/>
      </w:r>
      <w:r>
        <w:rPr>
          <w:lang/>
        </w:rPr>
        <w:fldChar w:fldCharType="begin"/>
      </w:r>
      <w:r>
        <w:rPr>
          <w:lang/>
        </w:rPr>
        <w:instrText xml:space="preserve"> PAGEREF _Toc530665732 \h </w:instrText>
      </w:r>
      <w:r>
        <w:rPr>
          <w:lang/>
        </w:rPr>
        <w:fldChar w:fldCharType="separate"/>
      </w:r>
      <w:r>
        <w:rPr>
          <w:lang/>
        </w:rPr>
        <w:t>62</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"_Toc530665733"</w:instrText>
      </w:r>
      <w:r>
        <w:rPr>
          <w:rStyle w:val="53"/>
          <w:color w:val="auto"/>
          <w:lang/>
        </w:rPr>
        <w:instrText xml:space="preserve"> </w:instrText>
      </w:r>
      <w:r>
        <w:rPr>
          <w:rStyle w:val="53"/>
          <w:color w:val="auto"/>
          <w:lang/>
        </w:rPr>
        <w:fldChar w:fldCharType="separate"/>
      </w:r>
      <w:r>
        <w:rPr>
          <w:rStyle w:val="53"/>
          <w:rFonts w:ascii="宋体" w:hAnsi="宋体" w:eastAsia="宋体"/>
          <w:color w:val="auto"/>
          <w:lang/>
        </w:rPr>
        <w:t>5</w:t>
      </w:r>
      <w:r>
        <w:rPr>
          <w:rStyle w:val="53"/>
          <w:rFonts w:hint="eastAsia" w:ascii="宋体" w:hAnsi="宋体" w:eastAsia="宋体"/>
          <w:color w:val="auto"/>
          <w:lang/>
        </w:rPr>
        <w:t>、设备配置清单</w:t>
      </w:r>
      <w:r>
        <w:rPr>
          <w:lang/>
        </w:rPr>
        <w:tab/>
      </w:r>
      <w:r>
        <w:rPr>
          <w:lang/>
        </w:rPr>
        <w:fldChar w:fldCharType="begin"/>
      </w:r>
      <w:r>
        <w:rPr>
          <w:lang/>
        </w:rPr>
        <w:instrText xml:space="preserve"> PAGEREF _Toc530665733 \h </w:instrText>
      </w:r>
      <w:r>
        <w:rPr>
          <w:lang/>
        </w:rPr>
        <w:fldChar w:fldCharType="separate"/>
      </w:r>
      <w:r>
        <w:rPr>
          <w:lang/>
        </w:rPr>
        <w:t>63</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"_Toc530665734"</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五</w:t>
      </w:r>
      <w:r>
        <w:rPr>
          <w:rStyle w:val="53"/>
          <w:rFonts w:ascii="宋体" w:hAnsi="宋体" w:eastAsia="宋体"/>
          <w:color w:val="auto"/>
          <w:lang/>
        </w:rPr>
        <w:t xml:space="preserve">   </w:t>
      </w:r>
      <w:r>
        <w:rPr>
          <w:rStyle w:val="53"/>
          <w:rFonts w:hint="eastAsia" w:ascii="宋体" w:hAnsi="宋体" w:eastAsia="宋体"/>
          <w:color w:val="auto"/>
          <w:lang/>
        </w:rPr>
        <w:t>投标文件封面及外包装封面格式</w:t>
      </w:r>
      <w:r>
        <w:rPr>
          <w:lang/>
        </w:rPr>
        <w:tab/>
      </w:r>
      <w:r>
        <w:rPr>
          <w:lang/>
        </w:rPr>
        <w:fldChar w:fldCharType="begin"/>
      </w:r>
      <w:r>
        <w:rPr>
          <w:lang/>
        </w:rPr>
        <w:instrText xml:space="preserve"> PAGEREF _Toc530665734 \h </w:instrText>
      </w:r>
      <w:r>
        <w:rPr>
          <w:lang/>
        </w:rPr>
        <w:fldChar w:fldCharType="separate"/>
      </w:r>
      <w:r>
        <w:rPr>
          <w:lang/>
        </w:rPr>
        <w:t>64</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"_Toc530665735"</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六</w:t>
      </w:r>
      <w:r>
        <w:rPr>
          <w:rStyle w:val="53"/>
          <w:rFonts w:ascii="宋体" w:hAnsi="宋体" w:eastAsia="宋体"/>
          <w:color w:val="auto"/>
          <w:lang/>
        </w:rPr>
        <w:t xml:space="preserve">  </w:t>
      </w:r>
      <w:r>
        <w:rPr>
          <w:rStyle w:val="53"/>
          <w:rFonts w:hint="eastAsia" w:ascii="宋体" w:hAnsi="宋体" w:eastAsia="宋体"/>
          <w:color w:val="auto"/>
          <w:lang/>
        </w:rPr>
        <w:t>中标</w:t>
      </w:r>
      <w:r>
        <w:rPr>
          <w:rStyle w:val="53"/>
          <w:rFonts w:hint="eastAsia" w:ascii="宋体" w:hAnsi="宋体" w:eastAsia="宋体"/>
          <w:color w:val="auto"/>
          <w:lang w:eastAsia="zh-CN"/>
        </w:rPr>
        <w:t>人</w:t>
      </w:r>
      <w:r>
        <w:rPr>
          <w:rStyle w:val="53"/>
          <w:rFonts w:hint="eastAsia" w:ascii="宋体" w:hAnsi="宋体" w:eastAsia="宋体"/>
          <w:color w:val="auto"/>
          <w:lang/>
        </w:rPr>
        <w:t>公告内容</w:t>
      </w:r>
      <w:r>
        <w:rPr>
          <w:lang/>
        </w:rPr>
        <w:tab/>
      </w:r>
      <w:r>
        <w:rPr>
          <w:lang/>
        </w:rPr>
        <w:fldChar w:fldCharType="begin"/>
      </w:r>
      <w:r>
        <w:rPr>
          <w:lang/>
        </w:rPr>
        <w:instrText xml:space="preserve"> PAGEREF _Toc530665735 \h </w:instrText>
      </w:r>
      <w:r>
        <w:rPr>
          <w:lang/>
        </w:rPr>
        <w:fldChar w:fldCharType="separate"/>
      </w:r>
      <w:r>
        <w:rPr>
          <w:lang/>
        </w:rPr>
        <w:t>65</w:t>
      </w:r>
      <w:r>
        <w:rPr>
          <w:lang/>
        </w:rPr>
        <w:fldChar w:fldCharType="end"/>
      </w:r>
      <w:r>
        <w:rPr>
          <w:rStyle w:val="53"/>
          <w:color w:val="auto"/>
          <w:lang/>
        </w:rPr>
        <w:fldChar w:fldCharType="end"/>
      </w:r>
    </w:p>
    <w:p>
      <w:pPr>
        <w:pStyle w:val="37"/>
        <w:spacing w:line="360" w:lineRule="auto"/>
        <w:rPr>
          <w:rFonts w:ascii="Calibri" w:hAnsi="Calibri" w:eastAsia="宋体"/>
          <w:b w:val="0"/>
          <w:bCs w:val="0"/>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"_Toc530665736"</w:instrText>
      </w:r>
      <w:r>
        <w:rPr>
          <w:rStyle w:val="53"/>
          <w:color w:val="auto"/>
          <w:lang/>
        </w:rPr>
        <w:instrText xml:space="preserve"> </w:instrText>
      </w:r>
      <w:r>
        <w:rPr>
          <w:rStyle w:val="53"/>
          <w:color w:val="auto"/>
          <w:lang/>
        </w:rPr>
        <w:fldChar w:fldCharType="separate"/>
      </w:r>
      <w:r>
        <w:rPr>
          <w:rStyle w:val="53"/>
          <w:rFonts w:hint="eastAsia" w:eastAsia="宋体"/>
          <w:color w:val="auto"/>
          <w:lang/>
        </w:rPr>
        <w:t>第六章</w:t>
      </w:r>
      <w:r>
        <w:rPr>
          <w:rStyle w:val="53"/>
          <w:rFonts w:eastAsia="宋体"/>
          <w:color w:val="auto"/>
          <w:lang/>
        </w:rPr>
        <w:t xml:space="preserve">  </w:t>
      </w:r>
      <w:r>
        <w:rPr>
          <w:rStyle w:val="53"/>
          <w:rFonts w:hint="eastAsia" w:eastAsia="宋体"/>
          <w:color w:val="auto"/>
          <w:lang/>
        </w:rPr>
        <w:t>评标办法和细则</w:t>
      </w:r>
      <w:r>
        <w:rPr>
          <w:lang/>
        </w:rPr>
        <w:tab/>
      </w:r>
      <w:r>
        <w:rPr>
          <w:lang/>
        </w:rPr>
        <w:fldChar w:fldCharType="begin"/>
      </w:r>
      <w:r>
        <w:rPr>
          <w:lang/>
        </w:rPr>
        <w:instrText xml:space="preserve"> PAGEREF _Toc530665736 \h </w:instrText>
      </w:r>
      <w:r>
        <w:rPr>
          <w:lang/>
        </w:rPr>
        <w:fldChar w:fldCharType="separate"/>
      </w:r>
      <w:r>
        <w:rPr>
          <w:lang/>
        </w:rPr>
        <w:t>66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"_Toc530665737"</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一</w:t>
      </w:r>
      <w:r>
        <w:rPr>
          <w:rStyle w:val="53"/>
          <w:rFonts w:ascii="宋体" w:hAnsi="宋体" w:eastAsia="宋体"/>
          <w:color w:val="auto"/>
          <w:lang/>
        </w:rPr>
        <w:t xml:space="preserve">   </w:t>
      </w:r>
      <w:r>
        <w:rPr>
          <w:rStyle w:val="53"/>
          <w:rFonts w:hint="eastAsia" w:ascii="宋体" w:hAnsi="宋体" w:eastAsia="宋体"/>
          <w:color w:val="auto"/>
          <w:lang/>
        </w:rPr>
        <w:t>总则</w:t>
      </w:r>
      <w:r>
        <w:rPr>
          <w:lang/>
        </w:rPr>
        <w:tab/>
      </w:r>
      <w:r>
        <w:rPr>
          <w:lang/>
        </w:rPr>
        <w:fldChar w:fldCharType="begin"/>
      </w:r>
      <w:r>
        <w:rPr>
          <w:lang/>
        </w:rPr>
        <w:instrText xml:space="preserve"> PAGEREF _Toc530665737 \h </w:instrText>
      </w:r>
      <w:r>
        <w:rPr>
          <w:lang/>
        </w:rPr>
        <w:fldChar w:fldCharType="separate"/>
      </w:r>
      <w:r>
        <w:rPr>
          <w:lang/>
        </w:rPr>
        <w:t>66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"_Toc530665738"</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二</w:t>
      </w:r>
      <w:r>
        <w:rPr>
          <w:rStyle w:val="53"/>
          <w:rFonts w:ascii="宋体" w:hAnsi="宋体" w:eastAsia="宋体"/>
          <w:color w:val="auto"/>
          <w:lang/>
        </w:rPr>
        <w:t xml:space="preserve">   </w:t>
      </w:r>
      <w:r>
        <w:rPr>
          <w:rStyle w:val="53"/>
          <w:rFonts w:hint="eastAsia" w:ascii="宋体" w:hAnsi="宋体" w:eastAsia="宋体"/>
          <w:color w:val="auto"/>
          <w:lang/>
        </w:rPr>
        <w:t>评审委员会</w:t>
      </w:r>
      <w:r>
        <w:rPr>
          <w:lang/>
        </w:rPr>
        <w:tab/>
      </w:r>
      <w:r>
        <w:rPr>
          <w:lang/>
        </w:rPr>
        <w:fldChar w:fldCharType="begin"/>
      </w:r>
      <w:r>
        <w:rPr>
          <w:lang/>
        </w:rPr>
        <w:instrText xml:space="preserve"> PAGEREF _Toc530665738 \h </w:instrText>
      </w:r>
      <w:r>
        <w:rPr>
          <w:lang/>
        </w:rPr>
        <w:fldChar w:fldCharType="separate"/>
      </w:r>
      <w:r>
        <w:rPr>
          <w:lang/>
        </w:rPr>
        <w:t>66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"_Toc530665739"</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三</w:t>
      </w:r>
      <w:r>
        <w:rPr>
          <w:rStyle w:val="53"/>
          <w:rFonts w:ascii="宋体" w:hAnsi="宋体" w:eastAsia="宋体"/>
          <w:color w:val="auto"/>
          <w:lang/>
        </w:rPr>
        <w:t xml:space="preserve">   </w:t>
      </w:r>
      <w:r>
        <w:rPr>
          <w:rStyle w:val="53"/>
          <w:rFonts w:hint="eastAsia" w:ascii="宋体" w:hAnsi="宋体" w:eastAsia="宋体"/>
          <w:color w:val="auto"/>
          <w:lang/>
        </w:rPr>
        <w:t>评标</w:t>
      </w:r>
      <w:r>
        <w:rPr>
          <w:rStyle w:val="53"/>
          <w:rFonts w:hint="eastAsia" w:ascii="宋体" w:hAnsi="宋体" w:eastAsia="宋体"/>
          <w:color w:val="auto"/>
          <w:lang w:eastAsia="zh-CN"/>
        </w:rPr>
        <w:t>程序</w:t>
      </w:r>
      <w:r>
        <w:rPr>
          <w:lang/>
        </w:rPr>
        <w:tab/>
      </w:r>
      <w:r>
        <w:rPr>
          <w:lang/>
        </w:rPr>
        <w:fldChar w:fldCharType="begin"/>
      </w:r>
      <w:r>
        <w:rPr>
          <w:lang/>
        </w:rPr>
        <w:instrText xml:space="preserve"> PAGEREF _Toc530665739 \h </w:instrText>
      </w:r>
      <w:r>
        <w:rPr>
          <w:lang/>
        </w:rPr>
        <w:fldChar w:fldCharType="separate"/>
      </w:r>
      <w:r>
        <w:rPr>
          <w:lang/>
        </w:rPr>
        <w:t>66</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"_Toc530665740"</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四</w:t>
      </w:r>
      <w:r>
        <w:rPr>
          <w:rStyle w:val="53"/>
          <w:rFonts w:ascii="宋体" w:hAnsi="宋体" w:eastAsia="宋体"/>
          <w:color w:val="auto"/>
          <w:lang/>
        </w:rPr>
        <w:t xml:space="preserve">   </w:t>
      </w:r>
      <w:r>
        <w:rPr>
          <w:rStyle w:val="53"/>
          <w:rFonts w:hint="eastAsia" w:ascii="宋体" w:hAnsi="宋体" w:eastAsia="宋体"/>
          <w:color w:val="auto"/>
          <w:lang/>
        </w:rPr>
        <w:t>评标一般规定</w:t>
      </w:r>
      <w:r>
        <w:rPr>
          <w:lang/>
        </w:rPr>
        <w:tab/>
      </w:r>
      <w:r>
        <w:rPr>
          <w:lang/>
        </w:rPr>
        <w:fldChar w:fldCharType="begin"/>
      </w:r>
      <w:r>
        <w:rPr>
          <w:lang/>
        </w:rPr>
        <w:instrText xml:space="preserve"> PAGEREF _Toc530665740 \h </w:instrText>
      </w:r>
      <w:r>
        <w:rPr>
          <w:lang/>
        </w:rPr>
        <w:fldChar w:fldCharType="separate"/>
      </w:r>
      <w:r>
        <w:rPr>
          <w:lang/>
        </w:rPr>
        <w:t>68</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"_Toc530665741"</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eastAsia="zh-CN"/>
        </w:rPr>
        <w:t>五</w:t>
      </w:r>
      <w:r>
        <w:rPr>
          <w:rStyle w:val="53"/>
          <w:rFonts w:ascii="宋体" w:hAnsi="宋体" w:eastAsia="宋体"/>
          <w:color w:val="auto"/>
          <w:lang/>
        </w:rPr>
        <w:t xml:space="preserve">   </w:t>
      </w:r>
      <w:r>
        <w:rPr>
          <w:rStyle w:val="53"/>
          <w:rFonts w:hint="eastAsia" w:ascii="宋体" w:hAnsi="宋体" w:eastAsia="宋体"/>
          <w:color w:val="auto"/>
          <w:lang/>
        </w:rPr>
        <w:t>评标办法和细则</w:t>
      </w:r>
      <w:r>
        <w:rPr>
          <w:lang/>
        </w:rPr>
        <w:tab/>
      </w:r>
      <w:r>
        <w:rPr>
          <w:lang/>
        </w:rPr>
        <w:fldChar w:fldCharType="begin"/>
      </w:r>
      <w:r>
        <w:rPr>
          <w:lang/>
        </w:rPr>
        <w:instrText xml:space="preserve"> PAGEREF _Toc530665741 \h </w:instrText>
      </w:r>
      <w:r>
        <w:rPr>
          <w:lang/>
        </w:rPr>
        <w:fldChar w:fldCharType="separate"/>
      </w:r>
      <w:r>
        <w:rPr>
          <w:lang/>
        </w:rPr>
        <w:t>68</w:t>
      </w:r>
      <w:r>
        <w:rPr>
          <w:lang/>
        </w:rPr>
        <w:fldChar w:fldCharType="end"/>
      </w:r>
      <w:r>
        <w:rPr>
          <w:rStyle w:val="53"/>
          <w:color w:val="auto"/>
          <w:lang/>
        </w:rPr>
        <w:fldChar w:fldCharType="end"/>
      </w:r>
    </w:p>
    <w:p>
      <w:pPr>
        <w:pStyle w:val="23"/>
        <w:spacing w:line="360" w:lineRule="auto"/>
        <w:rPr>
          <w:rFonts w:ascii="Calibri" w:hAnsi="Calibri" w:eastAsia="宋体"/>
          <w:sz w:val="21"/>
          <w:szCs w:val="22"/>
          <w:lang w:val="en-US" w:eastAsia="zh-CN"/>
        </w:rPr>
      </w:pPr>
      <w:r>
        <w:rPr>
          <w:rStyle w:val="53"/>
          <w:color w:val="auto"/>
          <w:lang/>
        </w:rPr>
        <w:fldChar w:fldCharType="begin"/>
      </w:r>
      <w:r>
        <w:rPr>
          <w:rStyle w:val="53"/>
          <w:color w:val="auto"/>
          <w:lang/>
        </w:rPr>
        <w:instrText xml:space="preserve"> </w:instrText>
      </w:r>
      <w:r>
        <w:rPr>
          <w:lang/>
        </w:rPr>
        <w:instrText xml:space="preserve">HYPERLINK \l "_Toc530665742"</w:instrText>
      </w:r>
      <w:r>
        <w:rPr>
          <w:rStyle w:val="53"/>
          <w:color w:val="auto"/>
          <w:lang/>
        </w:rPr>
        <w:instrText xml:space="preserve"> </w:instrText>
      </w:r>
      <w:r>
        <w:rPr>
          <w:rStyle w:val="53"/>
          <w:color w:val="auto"/>
          <w:lang/>
        </w:rPr>
        <w:fldChar w:fldCharType="separate"/>
      </w:r>
      <w:r>
        <w:rPr>
          <w:rStyle w:val="53"/>
          <w:rFonts w:hint="eastAsia" w:ascii="宋体" w:hAnsi="宋体" w:eastAsia="宋体"/>
          <w:color w:val="auto"/>
          <w:lang/>
        </w:rPr>
        <w:t>六</w:t>
      </w:r>
      <w:r>
        <w:rPr>
          <w:rStyle w:val="53"/>
          <w:rFonts w:ascii="宋体" w:hAnsi="宋体" w:eastAsia="宋体"/>
          <w:color w:val="auto"/>
          <w:lang/>
        </w:rPr>
        <w:t xml:space="preserve">  </w:t>
      </w:r>
      <w:r>
        <w:rPr>
          <w:rStyle w:val="53"/>
          <w:rFonts w:hint="eastAsia" w:ascii="宋体" w:hAnsi="宋体" w:eastAsia="宋体"/>
          <w:color w:val="auto"/>
          <w:lang/>
        </w:rPr>
        <w:t>评审纪律和要求</w:t>
      </w:r>
      <w:r>
        <w:rPr>
          <w:lang/>
        </w:rPr>
        <w:tab/>
      </w:r>
      <w:r>
        <w:rPr>
          <w:lang/>
        </w:rPr>
        <w:fldChar w:fldCharType="begin"/>
      </w:r>
      <w:r>
        <w:rPr>
          <w:lang/>
        </w:rPr>
        <w:instrText xml:space="preserve"> PAGEREF _Toc530665742 \h </w:instrText>
      </w:r>
      <w:r>
        <w:rPr>
          <w:lang/>
        </w:rPr>
        <w:fldChar w:fldCharType="separate"/>
      </w:r>
      <w:r>
        <w:rPr>
          <w:lang/>
        </w:rPr>
        <w:t>70</w:t>
      </w:r>
      <w:r>
        <w:rPr>
          <w:lang/>
        </w:rPr>
        <w:fldChar w:fldCharType="end"/>
      </w:r>
      <w:r>
        <w:rPr>
          <w:rStyle w:val="53"/>
          <w:color w:val="auto"/>
          <w:lang/>
        </w:rPr>
        <w:fldChar w:fldCharType="end"/>
      </w:r>
    </w:p>
    <w:p>
      <w:pPr>
        <w:pStyle w:val="23"/>
        <w:spacing w:line="360" w:lineRule="auto"/>
        <w:ind w:left="0" w:leftChars="0" w:firstLine="0" w:firstLineChars="0"/>
        <w:rPr>
          <w:rFonts w:hint="eastAsia" w:ascii="宋体" w:hAnsi="宋体" w:eastAsia="宋体"/>
          <w:sz w:val="21"/>
          <w:szCs w:val="21"/>
          <w:lang w:eastAsia="zh-CN"/>
        </w:rPr>
      </w:pPr>
      <w:r>
        <w:rPr>
          <w:rFonts w:ascii="宋体" w:hAnsi="宋体" w:eastAsia="宋体"/>
          <w:b/>
          <w:bCs/>
          <w:sz w:val="21"/>
          <w:szCs w:val="21"/>
        </w:rPr>
        <w:fldChar w:fldCharType="end"/>
      </w: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rPr>
          <w:rFonts w:hint="eastAsia" w:ascii="宋体" w:hAnsi="宋体"/>
          <w:lang/>
        </w:rPr>
      </w:pPr>
    </w:p>
    <w:p>
      <w:pPr>
        <w:pStyle w:val="3"/>
        <w:spacing w:line="560" w:lineRule="exact"/>
        <w:rPr>
          <w:rFonts w:ascii="宋体" w:hAnsi="宋体" w:eastAsia="宋体"/>
          <w:lang w:eastAsia="zh-CN"/>
        </w:rPr>
      </w:pPr>
      <w:bookmarkStart w:id="1" w:name="_Toc530665696"/>
      <w:r>
        <w:rPr>
          <w:rFonts w:hint="eastAsia" w:ascii="宋体" w:hAnsi="宋体" w:eastAsia="宋体"/>
        </w:rPr>
        <w:t>第一章</w:t>
      </w:r>
      <w:r>
        <w:rPr>
          <w:rFonts w:ascii="宋体" w:hAnsi="宋体" w:eastAsia="宋体"/>
        </w:rPr>
        <w:t xml:space="preserve"> </w:t>
      </w:r>
      <w:bookmarkEnd w:id="0"/>
      <w:r>
        <w:rPr>
          <w:rFonts w:hint="eastAsia" w:ascii="宋体" w:hAnsi="宋体" w:eastAsia="宋体"/>
          <w:lang w:eastAsia="zh-CN"/>
        </w:rPr>
        <w:t>公开招标投标邀请</w:t>
      </w:r>
      <w:bookmarkEnd w:id="1"/>
    </w:p>
    <w:p>
      <w:pPr>
        <w:spacing w:line="360" w:lineRule="auto"/>
        <w:ind w:firstLine="480" w:firstLineChars="200"/>
        <w:rPr>
          <w:rFonts w:ascii="宋体" w:hAnsi="宋体"/>
          <w:sz w:val="24"/>
        </w:rPr>
      </w:pPr>
      <w:bookmarkStart w:id="2" w:name="OLE_LINK4"/>
      <w:r>
        <w:rPr>
          <w:rFonts w:hint="eastAsia" w:ascii="宋体" w:hAnsi="宋体"/>
          <w:sz w:val="24"/>
        </w:rPr>
        <w:t>浙江鼎峰工程咨询有限公司受</w:t>
      </w:r>
      <w:r>
        <w:rPr>
          <w:rFonts w:hint="eastAsia" w:ascii="宋体" w:hAnsi="宋体"/>
          <w:b/>
          <w:sz w:val="24"/>
          <w:u w:val="single"/>
        </w:rPr>
        <w:t>丽水市看守所</w:t>
      </w:r>
      <w:r>
        <w:rPr>
          <w:rFonts w:hint="eastAsia" w:ascii="宋体" w:hAnsi="宋体"/>
          <w:sz w:val="24"/>
        </w:rPr>
        <w:t>的委托，对</w:t>
      </w:r>
      <w:r>
        <w:rPr>
          <w:rFonts w:hint="eastAsia" w:ascii="宋体" w:hAnsi="宋体"/>
          <w:b/>
          <w:sz w:val="24"/>
          <w:u w:val="single"/>
        </w:rPr>
        <w:t>2018年市本级监察留置场所信息化建设项目</w:t>
      </w:r>
      <w:r>
        <w:rPr>
          <w:rFonts w:hint="eastAsia" w:ascii="宋体" w:hAnsi="宋体"/>
          <w:sz w:val="24"/>
        </w:rPr>
        <w:t>进行采购。根据《中华人民共和国政府采购法》、《中华人民共和国政府采购法实施条例》等有关规定编制本文件。欢迎符合条件的潜在投标人参加本项目投标。</w:t>
      </w:r>
    </w:p>
    <w:p>
      <w:pPr>
        <w:spacing w:line="360" w:lineRule="auto"/>
        <w:ind w:firstLine="480" w:firstLineChars="200"/>
        <w:rPr>
          <w:rFonts w:hint="eastAsia" w:ascii="宋体" w:hAnsi="宋体"/>
          <w:sz w:val="24"/>
        </w:rPr>
      </w:pPr>
      <w:r>
        <w:rPr>
          <w:rFonts w:hint="eastAsia" w:ascii="宋体" w:hAnsi="宋体"/>
          <w:sz w:val="24"/>
        </w:rPr>
        <w:t>1.采购编号: 浙鼎峰招【2019】008号</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采购项目：2018年市本级监察留置场所信息化建设项目</w:t>
      </w:r>
    </w:p>
    <w:p>
      <w:pPr>
        <w:spacing w:line="360" w:lineRule="auto"/>
        <w:ind w:firstLine="480" w:firstLineChars="200"/>
        <w:rPr>
          <w:rFonts w:hint="eastAsia" w:ascii="宋体" w:hAnsi="宋体"/>
          <w:sz w:val="24"/>
        </w:rPr>
      </w:pPr>
      <w:r>
        <w:rPr>
          <w:rFonts w:hint="eastAsia" w:ascii="宋体" w:hAnsi="宋体"/>
          <w:sz w:val="24"/>
        </w:rPr>
        <w:t>3.采购方式：公开招标</w:t>
      </w:r>
    </w:p>
    <w:p>
      <w:pPr>
        <w:spacing w:line="360" w:lineRule="auto"/>
        <w:ind w:firstLine="480" w:firstLineChars="200"/>
        <w:rPr>
          <w:rFonts w:hint="eastAsia" w:ascii="宋体" w:hAnsi="宋体"/>
          <w:sz w:val="24"/>
        </w:rPr>
      </w:pPr>
      <w:r>
        <w:rPr>
          <w:rFonts w:hint="eastAsia" w:ascii="宋体" w:hAnsi="宋体"/>
          <w:sz w:val="24"/>
        </w:rPr>
        <w:t>4.项目概况：</w:t>
      </w:r>
    </w:p>
    <w:tbl>
      <w:tblPr>
        <w:tblStyle w:val="45"/>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517"/>
        <w:gridCol w:w="751"/>
        <w:gridCol w:w="845"/>
        <w:gridCol w:w="2901"/>
        <w:gridCol w:w="1837"/>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4" w:hRule="atLeast"/>
          <w:jc w:val="center"/>
        </w:trPr>
        <w:tc>
          <w:tcPr>
            <w:tcW w:w="80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序号</w:t>
            </w:r>
          </w:p>
        </w:tc>
        <w:tc>
          <w:tcPr>
            <w:tcW w:w="151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项目名称</w:t>
            </w:r>
          </w:p>
        </w:tc>
        <w:tc>
          <w:tcPr>
            <w:tcW w:w="751"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数量</w:t>
            </w:r>
          </w:p>
        </w:tc>
        <w:tc>
          <w:tcPr>
            <w:tcW w:w="845"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单位</w:t>
            </w:r>
          </w:p>
        </w:tc>
        <w:tc>
          <w:tcPr>
            <w:tcW w:w="2901"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简要规格描述</w:t>
            </w:r>
          </w:p>
        </w:tc>
        <w:tc>
          <w:tcPr>
            <w:tcW w:w="183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b/>
                <w:sz w:val="24"/>
              </w:rPr>
              <w:t>▲</w:t>
            </w:r>
            <w:r>
              <w:rPr>
                <w:rFonts w:hint="eastAsia" w:ascii="宋体" w:hAnsi="宋体"/>
                <w:sz w:val="24"/>
              </w:rPr>
              <w:t>预算金额</w:t>
            </w:r>
          </w:p>
          <w:p>
            <w:pPr>
              <w:snapToGrid w:val="0"/>
              <w:spacing w:line="360" w:lineRule="auto"/>
              <w:jc w:val="center"/>
              <w:rPr>
                <w:rFonts w:hint="eastAsia" w:ascii="宋体" w:hAnsi="宋体"/>
                <w:sz w:val="24"/>
              </w:rPr>
            </w:pPr>
            <w:r>
              <w:rPr>
                <w:rFonts w:hint="eastAsia" w:ascii="宋体" w:hAnsi="宋体"/>
                <w:sz w:val="24"/>
              </w:rPr>
              <w:t>（最高限价）</w:t>
            </w:r>
          </w:p>
        </w:tc>
        <w:tc>
          <w:tcPr>
            <w:tcW w:w="889"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0" w:hRule="atLeast"/>
          <w:jc w:val="center"/>
        </w:trPr>
        <w:tc>
          <w:tcPr>
            <w:tcW w:w="80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151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2018年市本级监察留置场所信息化建设项目</w:t>
            </w:r>
          </w:p>
        </w:tc>
        <w:tc>
          <w:tcPr>
            <w:tcW w:w="751"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845"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项</w:t>
            </w:r>
          </w:p>
        </w:tc>
        <w:tc>
          <w:tcPr>
            <w:tcW w:w="2901" w:type="dxa"/>
            <w:shd w:val="clear" w:color="auto" w:fill="auto"/>
            <w:noWrap w:val="0"/>
            <w:vAlign w:val="center"/>
          </w:tcPr>
          <w:p>
            <w:pPr>
              <w:snapToGrid w:val="0"/>
              <w:spacing w:line="360" w:lineRule="auto"/>
              <w:jc w:val="center"/>
              <w:rPr>
                <w:rFonts w:hint="eastAsia" w:ascii="宋体" w:hAnsi="宋体"/>
                <w:sz w:val="18"/>
                <w:szCs w:val="18"/>
              </w:rPr>
            </w:pPr>
            <w:r>
              <w:rPr>
                <w:rFonts w:hint="eastAsia" w:ascii="宋体" w:hAnsi="宋体"/>
                <w:sz w:val="24"/>
              </w:rPr>
              <w:t>具体要求详见第三章</w:t>
            </w:r>
          </w:p>
        </w:tc>
        <w:tc>
          <w:tcPr>
            <w:tcW w:w="1837"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2065010.00元</w:t>
            </w:r>
          </w:p>
        </w:tc>
        <w:tc>
          <w:tcPr>
            <w:tcW w:w="889" w:type="dxa"/>
            <w:shd w:val="clear" w:color="auto" w:fill="auto"/>
            <w:noWrap w:val="0"/>
            <w:vAlign w:val="center"/>
          </w:tcPr>
          <w:p>
            <w:pPr>
              <w:snapToGrid w:val="0"/>
              <w:spacing w:line="360" w:lineRule="auto"/>
              <w:jc w:val="center"/>
              <w:rPr>
                <w:rFonts w:hint="eastAsia" w:ascii="宋体" w:hAnsi="宋体"/>
                <w:sz w:val="18"/>
                <w:szCs w:val="18"/>
              </w:rPr>
            </w:pPr>
          </w:p>
        </w:tc>
      </w:tr>
    </w:tbl>
    <w:p>
      <w:pPr>
        <w:spacing w:line="360" w:lineRule="auto"/>
        <w:ind w:firstLine="480" w:firstLineChars="200"/>
        <w:rPr>
          <w:rFonts w:hint="eastAsia" w:ascii="宋体" w:hAnsi="宋体"/>
          <w:sz w:val="24"/>
        </w:rPr>
      </w:pPr>
      <w:r>
        <w:rPr>
          <w:rFonts w:hint="eastAsia" w:ascii="宋体" w:hAnsi="宋体"/>
          <w:sz w:val="24"/>
        </w:rPr>
        <w:t>5.投标人应具备的资格要求：</w:t>
      </w:r>
    </w:p>
    <w:p>
      <w:pPr>
        <w:spacing w:line="360" w:lineRule="auto"/>
        <w:ind w:firstLine="480" w:firstLineChars="200"/>
        <w:rPr>
          <w:rFonts w:hint="eastAsia" w:ascii="宋体" w:hAnsi="宋体"/>
          <w:sz w:val="24"/>
        </w:rPr>
      </w:pPr>
      <w:r>
        <w:rPr>
          <w:rFonts w:hint="eastAsia" w:ascii="宋体" w:hAnsi="宋体"/>
          <w:sz w:val="24"/>
        </w:rPr>
        <w:t>5.1符合《中华人民共和国政府采购法》第二十二条的规定。</w:t>
      </w:r>
    </w:p>
    <w:p>
      <w:pPr>
        <w:spacing w:line="360" w:lineRule="auto"/>
        <w:ind w:firstLine="480" w:firstLineChars="200"/>
        <w:rPr>
          <w:rFonts w:ascii="宋体" w:hAnsi="宋体"/>
          <w:sz w:val="24"/>
        </w:rPr>
      </w:pPr>
      <w:r>
        <w:rPr>
          <w:rFonts w:hint="eastAsia" w:ascii="宋体" w:hAnsi="宋体"/>
          <w:sz w:val="24"/>
        </w:rPr>
        <w:t>5.2投标</w:t>
      </w:r>
      <w:r>
        <w:rPr>
          <w:rFonts w:ascii="宋体" w:hAnsi="宋体"/>
          <w:sz w:val="24"/>
        </w:rPr>
        <w:t>截止</w:t>
      </w:r>
      <w:r>
        <w:rPr>
          <w:rFonts w:hint="eastAsia" w:ascii="宋体" w:hAnsi="宋体"/>
          <w:sz w:val="24"/>
        </w:rPr>
        <w:t>之日</w:t>
      </w:r>
      <w:r>
        <w:rPr>
          <w:rFonts w:ascii="宋体" w:hAnsi="宋体"/>
          <w:sz w:val="24"/>
        </w:rPr>
        <w:t>至</w:t>
      </w:r>
      <w:r>
        <w:rPr>
          <w:rFonts w:hint="eastAsia" w:ascii="宋体" w:hAnsi="宋体"/>
          <w:sz w:val="24"/>
        </w:rPr>
        <w:t>前三年内</w:t>
      </w:r>
      <w:r>
        <w:rPr>
          <w:rFonts w:ascii="宋体" w:hAnsi="宋体"/>
          <w:sz w:val="24"/>
        </w:rPr>
        <w:t>，</w:t>
      </w:r>
      <w:r>
        <w:rPr>
          <w:rFonts w:hint="eastAsia" w:ascii="宋体" w:hAnsi="宋体"/>
          <w:sz w:val="24"/>
        </w:rPr>
        <w:t>在“信用中国网” (www.creditchina.gov.cn)被列入失信</w:t>
      </w:r>
      <w:r>
        <w:rPr>
          <w:rFonts w:ascii="宋体" w:hAnsi="宋体"/>
          <w:sz w:val="24"/>
        </w:rPr>
        <w:t>被执行人、重大税收</w:t>
      </w:r>
      <w:r>
        <w:rPr>
          <w:rFonts w:hint="eastAsia" w:ascii="宋体" w:hAnsi="宋体"/>
          <w:sz w:val="24"/>
        </w:rPr>
        <w:t>违法当事人</w:t>
      </w:r>
      <w:r>
        <w:rPr>
          <w:rFonts w:ascii="宋体" w:hAnsi="宋体"/>
          <w:sz w:val="24"/>
        </w:rPr>
        <w:t>名单、政府采购</w:t>
      </w:r>
      <w:r>
        <w:rPr>
          <w:rFonts w:hint="eastAsia" w:ascii="宋体" w:hAnsi="宋体"/>
          <w:sz w:val="24"/>
        </w:rPr>
        <w:t>严重</w:t>
      </w:r>
      <w:r>
        <w:rPr>
          <w:rFonts w:ascii="宋体" w:hAnsi="宋体"/>
          <w:sz w:val="24"/>
        </w:rPr>
        <w:t>违法失信行为</w:t>
      </w:r>
      <w:r>
        <w:rPr>
          <w:rFonts w:hint="eastAsia" w:ascii="宋体" w:hAnsi="宋体"/>
          <w:sz w:val="24"/>
        </w:rPr>
        <w:t>记录</w:t>
      </w:r>
      <w:r>
        <w:rPr>
          <w:rFonts w:ascii="宋体" w:hAnsi="宋体"/>
          <w:sz w:val="24"/>
        </w:rPr>
        <w:t>名单的</w:t>
      </w:r>
      <w:r>
        <w:rPr>
          <w:rFonts w:hint="eastAsia" w:ascii="宋体" w:hAnsi="宋体"/>
          <w:sz w:val="24"/>
        </w:rPr>
        <w:t>投标人，资格审查时不予以通过。</w:t>
      </w:r>
    </w:p>
    <w:p>
      <w:pPr>
        <w:spacing w:line="360" w:lineRule="auto"/>
        <w:ind w:firstLine="480" w:firstLineChars="200"/>
        <w:rPr>
          <w:rFonts w:ascii="宋体" w:hAnsi="宋体"/>
          <w:sz w:val="24"/>
        </w:rPr>
      </w:pPr>
      <w:r>
        <w:rPr>
          <w:rFonts w:hint="eastAsia" w:ascii="宋体" w:hAnsi="宋体"/>
          <w:sz w:val="24"/>
        </w:rPr>
        <w:t>5.3投标</w:t>
      </w:r>
      <w:r>
        <w:rPr>
          <w:rFonts w:ascii="宋体" w:hAnsi="宋体"/>
          <w:sz w:val="24"/>
        </w:rPr>
        <w:t>截止</w:t>
      </w:r>
      <w:r>
        <w:rPr>
          <w:rFonts w:hint="eastAsia" w:ascii="宋体" w:hAnsi="宋体"/>
          <w:sz w:val="24"/>
        </w:rPr>
        <w:t>之日</w:t>
      </w:r>
      <w:r>
        <w:rPr>
          <w:rFonts w:ascii="宋体" w:hAnsi="宋体"/>
          <w:sz w:val="24"/>
        </w:rPr>
        <w:t>至</w:t>
      </w:r>
      <w:r>
        <w:rPr>
          <w:rFonts w:hint="eastAsia" w:ascii="宋体" w:hAnsi="宋体"/>
          <w:sz w:val="24"/>
        </w:rPr>
        <w:t>前三年内，在“中国政府采购网”(</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www.ccgp.gov.cn</w:instrText>
      </w:r>
      <w:r>
        <w:rPr>
          <w:rFonts w:ascii="宋体" w:hAnsi="宋体"/>
          <w:sz w:val="24"/>
        </w:rPr>
        <w:instrText xml:space="preserve">" </w:instrText>
      </w:r>
      <w:r>
        <w:rPr>
          <w:rFonts w:ascii="宋体" w:hAnsi="宋体"/>
          <w:sz w:val="24"/>
        </w:rPr>
        <w:fldChar w:fldCharType="separate"/>
      </w:r>
      <w:r>
        <w:rPr>
          <w:rFonts w:hint="eastAsia" w:ascii="宋体" w:hAnsi="宋体"/>
        </w:rPr>
        <w:t>www.ccgp.gov.cn</w:t>
      </w:r>
      <w:r>
        <w:rPr>
          <w:rFonts w:ascii="宋体" w:hAnsi="宋体"/>
          <w:sz w:val="24"/>
        </w:rPr>
        <w:fldChar w:fldCharType="end"/>
      </w:r>
      <w:r>
        <w:rPr>
          <w:rFonts w:hint="eastAsia" w:ascii="宋体" w:hAnsi="宋体"/>
          <w:sz w:val="24"/>
        </w:rPr>
        <w:t>)被</w:t>
      </w:r>
      <w:r>
        <w:rPr>
          <w:rFonts w:ascii="宋体" w:hAnsi="宋体"/>
          <w:sz w:val="24"/>
        </w:rPr>
        <w:t>列入政府采购</w:t>
      </w:r>
      <w:r>
        <w:rPr>
          <w:rFonts w:hint="eastAsia" w:ascii="宋体" w:hAnsi="宋体"/>
          <w:sz w:val="24"/>
        </w:rPr>
        <w:t>严重</w:t>
      </w:r>
      <w:r>
        <w:rPr>
          <w:rFonts w:ascii="宋体" w:hAnsi="宋体"/>
          <w:sz w:val="24"/>
        </w:rPr>
        <w:t>违法失信行为</w:t>
      </w:r>
      <w:r>
        <w:rPr>
          <w:rFonts w:hint="eastAsia" w:ascii="宋体" w:hAnsi="宋体"/>
          <w:sz w:val="24"/>
        </w:rPr>
        <w:t>记录</w:t>
      </w:r>
      <w:r>
        <w:rPr>
          <w:rFonts w:ascii="宋体" w:hAnsi="宋体"/>
          <w:sz w:val="24"/>
        </w:rPr>
        <w:t>名单</w:t>
      </w:r>
      <w:r>
        <w:rPr>
          <w:rFonts w:hint="eastAsia" w:ascii="宋体" w:hAnsi="宋体"/>
          <w:sz w:val="24"/>
        </w:rPr>
        <w:t>中</w:t>
      </w:r>
      <w:r>
        <w:rPr>
          <w:rFonts w:ascii="宋体" w:hAnsi="宋体"/>
          <w:sz w:val="24"/>
        </w:rPr>
        <w:t>的</w:t>
      </w:r>
      <w:r>
        <w:rPr>
          <w:rFonts w:hint="eastAsia" w:ascii="宋体" w:hAnsi="宋体"/>
          <w:sz w:val="24"/>
        </w:rPr>
        <w:t>投标人且在处罚有效期</w:t>
      </w:r>
      <w:r>
        <w:rPr>
          <w:rFonts w:ascii="宋体" w:hAnsi="宋体"/>
          <w:sz w:val="24"/>
        </w:rPr>
        <w:t>内</w:t>
      </w:r>
      <w:r>
        <w:rPr>
          <w:rFonts w:hint="eastAsia" w:ascii="宋体" w:hAnsi="宋体"/>
          <w:sz w:val="24"/>
        </w:rPr>
        <w:t>的投标人，资格审查时不予以通过。</w:t>
      </w:r>
    </w:p>
    <w:p>
      <w:pPr>
        <w:spacing w:line="360" w:lineRule="auto"/>
        <w:ind w:firstLine="480" w:firstLineChars="200"/>
        <w:rPr>
          <w:rFonts w:hint="eastAsia" w:ascii="宋体" w:hAnsi="宋体"/>
          <w:sz w:val="24"/>
        </w:rPr>
      </w:pPr>
      <w:r>
        <w:rPr>
          <w:rFonts w:hint="eastAsia" w:ascii="宋体" w:hAnsi="宋体"/>
          <w:sz w:val="24"/>
        </w:rPr>
        <w:t>5.4投标截止之日至前三年内，在“浙江政府采购网”（www.zjzfcg.gov.cn）“曝光台”中被曝光且在处罚有效期内的投标人，资格审查时不予以通过。</w:t>
      </w:r>
    </w:p>
    <w:p>
      <w:pPr>
        <w:spacing w:line="360" w:lineRule="auto"/>
        <w:ind w:firstLine="480" w:firstLineChars="200"/>
        <w:rPr>
          <w:rFonts w:hint="eastAsia" w:ascii="宋体" w:hAnsi="宋体"/>
          <w:sz w:val="24"/>
        </w:rPr>
      </w:pPr>
      <w:r>
        <w:rPr>
          <w:rFonts w:hint="eastAsia" w:ascii="宋体" w:hAnsi="宋体"/>
          <w:sz w:val="24"/>
        </w:rPr>
        <w:t>5.5</w:t>
      </w:r>
      <w:r>
        <w:rPr>
          <w:rFonts w:ascii="宋体" w:hAnsi="宋体"/>
          <w:sz w:val="24"/>
        </w:rPr>
        <w:t>本项目</w:t>
      </w:r>
      <w:r>
        <w:rPr>
          <w:rFonts w:hint="eastAsia" w:ascii="宋体" w:hAnsi="宋体"/>
          <w:sz w:val="24"/>
        </w:rPr>
        <w:t>不接受联合体投标，不允许转包和分包。</w:t>
      </w:r>
    </w:p>
    <w:p>
      <w:pPr>
        <w:spacing w:line="360" w:lineRule="auto"/>
        <w:ind w:firstLine="480" w:firstLineChars="200"/>
        <w:rPr>
          <w:rFonts w:hint="eastAsia" w:ascii="宋体" w:hAnsi="宋体"/>
          <w:sz w:val="24"/>
        </w:rPr>
      </w:pPr>
      <w:r>
        <w:rPr>
          <w:rFonts w:hint="eastAsia" w:ascii="宋体" w:hAnsi="宋体"/>
          <w:sz w:val="24"/>
        </w:rPr>
        <w:t>6.公告期限：本项目公告期限为5个工作日（以公告发布次日开始计算）。</w:t>
      </w:r>
    </w:p>
    <w:p>
      <w:pPr>
        <w:spacing w:line="360" w:lineRule="auto"/>
        <w:ind w:firstLine="480" w:firstLineChars="200"/>
        <w:rPr>
          <w:rFonts w:hint="eastAsia" w:ascii="宋体" w:hAnsi="宋体"/>
          <w:sz w:val="24"/>
        </w:rPr>
      </w:pPr>
      <w:r>
        <w:rPr>
          <w:rFonts w:hint="eastAsia" w:ascii="宋体" w:hAnsi="宋体"/>
          <w:sz w:val="24"/>
        </w:rPr>
        <w:t>7.招标文件网上获取时间:</w:t>
      </w:r>
      <w:r>
        <w:rPr>
          <w:rFonts w:ascii="宋体" w:hAnsi="宋体"/>
          <w:sz w:val="24"/>
        </w:rPr>
        <w:t>2</w:t>
      </w:r>
      <w:r>
        <w:rPr>
          <w:rFonts w:hint="eastAsia" w:ascii="宋体" w:hAnsi="宋体"/>
          <w:sz w:val="24"/>
        </w:rPr>
        <w:t>019</w:t>
      </w:r>
      <w:r>
        <w:rPr>
          <w:rFonts w:ascii="宋体" w:hAnsi="宋体"/>
          <w:sz w:val="24"/>
        </w:rPr>
        <w:t>年</w:t>
      </w:r>
      <w:r>
        <w:rPr>
          <w:rFonts w:hint="eastAsia" w:ascii="宋体" w:hAnsi="宋体"/>
          <w:sz w:val="24"/>
        </w:rPr>
        <w:t>1  月 25 日-  2月 3 日每天8</w:t>
      </w:r>
      <w:r>
        <w:rPr>
          <w:rFonts w:ascii="宋体" w:hAnsi="宋体"/>
          <w:sz w:val="24"/>
        </w:rPr>
        <w:t>:</w:t>
      </w:r>
      <w:r>
        <w:rPr>
          <w:rFonts w:hint="eastAsia" w:ascii="宋体" w:hAnsi="宋体"/>
          <w:sz w:val="24"/>
        </w:rPr>
        <w:t>3</w:t>
      </w:r>
      <w:r>
        <w:rPr>
          <w:rFonts w:ascii="宋体" w:hAnsi="宋体"/>
          <w:sz w:val="24"/>
        </w:rPr>
        <w:t>0-1</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0</w:t>
      </w:r>
      <w:r>
        <w:rPr>
          <w:rFonts w:hint="eastAsia" w:ascii="宋体" w:hAnsi="宋体"/>
          <w:sz w:val="24"/>
        </w:rPr>
        <w:t>,14:00-17：00（北京时间）,双休日及法定节假日除外。（招标公告期限届满之日后至投标截止时间前有潜在投标人提出要求获取招标文件的，允许其获取）。</w:t>
      </w:r>
    </w:p>
    <w:p>
      <w:pPr>
        <w:spacing w:line="360" w:lineRule="auto"/>
        <w:ind w:firstLine="482" w:firstLineChars="200"/>
        <w:rPr>
          <w:rFonts w:hint="eastAsia" w:ascii="宋体" w:hAnsi="宋体"/>
          <w:b/>
          <w:bCs/>
          <w:sz w:val="24"/>
        </w:rPr>
      </w:pPr>
      <w:r>
        <w:rPr>
          <w:rFonts w:hint="eastAsia" w:ascii="宋体" w:hAnsi="宋体"/>
          <w:b/>
          <w:bCs/>
          <w:sz w:val="24"/>
        </w:rPr>
        <w:t>8．网上获取招标文件时须向采购代理机构提供以下资料:</w:t>
      </w:r>
    </w:p>
    <w:p>
      <w:pPr>
        <w:spacing w:line="360" w:lineRule="auto"/>
        <w:ind w:firstLine="480" w:firstLineChars="200"/>
        <w:rPr>
          <w:rFonts w:hint="eastAsia" w:ascii="宋体" w:hAnsi="宋体"/>
          <w:sz w:val="24"/>
        </w:rPr>
      </w:pPr>
      <w:r>
        <w:rPr>
          <w:rFonts w:hint="eastAsia" w:ascii="宋体" w:hAnsi="宋体"/>
          <w:sz w:val="24"/>
        </w:rPr>
        <w:t>⑴投标人介绍信及联系方式；</w:t>
      </w:r>
    </w:p>
    <w:p>
      <w:pPr>
        <w:spacing w:line="360" w:lineRule="auto"/>
        <w:ind w:firstLine="480" w:firstLineChars="200"/>
        <w:rPr>
          <w:rFonts w:hint="eastAsia" w:ascii="宋体" w:hAnsi="宋体"/>
          <w:sz w:val="24"/>
        </w:rPr>
      </w:pPr>
      <w:r>
        <w:rPr>
          <w:rFonts w:hint="eastAsia" w:ascii="宋体" w:hAnsi="宋体"/>
          <w:sz w:val="24"/>
        </w:rPr>
        <w:t>⑵营业执照副本复印件；</w:t>
      </w:r>
    </w:p>
    <w:p>
      <w:pPr>
        <w:spacing w:line="360" w:lineRule="auto"/>
        <w:ind w:firstLine="482" w:firstLineChars="200"/>
        <w:rPr>
          <w:rFonts w:hint="eastAsia" w:ascii="宋体" w:hAnsi="宋体"/>
          <w:b/>
          <w:sz w:val="24"/>
        </w:rPr>
      </w:pPr>
      <w:r>
        <w:rPr>
          <w:rFonts w:hint="eastAsia" w:ascii="宋体" w:hAnsi="宋体"/>
          <w:b/>
          <w:sz w:val="24"/>
        </w:rPr>
        <w:t>以上资料须加盖单位公章，传真至采购代理机构（传真：0578-2571155）。</w:t>
      </w:r>
    </w:p>
    <w:p>
      <w:pPr>
        <w:spacing w:line="360" w:lineRule="auto"/>
        <w:ind w:firstLine="480" w:firstLineChars="200"/>
        <w:rPr>
          <w:rFonts w:hint="eastAsia" w:ascii="宋体" w:hAnsi="宋体"/>
          <w:sz w:val="24"/>
        </w:rPr>
      </w:pPr>
      <w:r>
        <w:rPr>
          <w:rFonts w:hint="eastAsia" w:ascii="宋体" w:hAnsi="宋体"/>
          <w:sz w:val="24"/>
        </w:rPr>
        <w:t>9.招标文件发售及补充（答疑、澄清）、修改文件获取的方式：网上下载</w:t>
      </w:r>
    </w:p>
    <w:p>
      <w:pPr>
        <w:spacing w:line="360" w:lineRule="auto"/>
        <w:ind w:firstLine="480" w:firstLineChars="200"/>
        <w:rPr>
          <w:rFonts w:hint="eastAsia" w:ascii="宋体" w:hAnsi="宋体"/>
          <w:sz w:val="24"/>
        </w:rPr>
      </w:pPr>
      <w:r>
        <w:rPr>
          <w:rFonts w:hint="eastAsia" w:ascii="宋体" w:hAnsi="宋体"/>
          <w:sz w:val="24"/>
        </w:rPr>
        <w:t>9.1潜在投标人应自行关注网站招标公告、更正公告、答疑文件等内容，采购人不再一一通知，投标人因自身贻误行为导致投标失败的，责任自负。</w:t>
      </w:r>
    </w:p>
    <w:p>
      <w:pPr>
        <w:snapToGrid w:val="0"/>
        <w:spacing w:line="360" w:lineRule="auto"/>
        <w:ind w:firstLine="510"/>
        <w:textAlignment w:val="bottom"/>
        <w:rPr>
          <w:rFonts w:hint="eastAsia" w:ascii="宋体" w:hAnsi="宋体"/>
          <w:sz w:val="24"/>
        </w:rPr>
      </w:pPr>
      <w:r>
        <w:rPr>
          <w:rFonts w:hint="eastAsia" w:ascii="宋体" w:hAnsi="宋体"/>
          <w:sz w:val="24"/>
        </w:rPr>
        <w:t>10.保证金交纳：</w:t>
      </w:r>
    </w:p>
    <w:p>
      <w:pPr>
        <w:snapToGrid w:val="0"/>
        <w:spacing w:line="360" w:lineRule="auto"/>
        <w:ind w:firstLine="510"/>
        <w:rPr>
          <w:rFonts w:hint="eastAsia" w:ascii="宋体" w:hAnsi="宋体"/>
          <w:sz w:val="24"/>
        </w:rPr>
      </w:pPr>
      <w:r>
        <w:rPr>
          <w:rFonts w:hint="eastAsia" w:ascii="宋体" w:hAnsi="宋体"/>
          <w:sz w:val="24"/>
        </w:rPr>
        <w:t>10.1投标保证金：人民币叁万元整。</w:t>
      </w:r>
    </w:p>
    <w:p>
      <w:pPr>
        <w:snapToGrid w:val="0"/>
        <w:spacing w:line="360" w:lineRule="auto"/>
        <w:ind w:firstLine="510"/>
        <w:textAlignment w:val="bottom"/>
        <w:rPr>
          <w:rFonts w:hint="eastAsia" w:ascii="宋体" w:hAnsi="宋体"/>
          <w:sz w:val="24"/>
        </w:rPr>
      </w:pPr>
      <w:r>
        <w:rPr>
          <w:rFonts w:hint="eastAsia" w:ascii="宋体" w:hAnsi="宋体"/>
          <w:sz w:val="24"/>
        </w:rPr>
        <w:t>10.2交纳投标保证金截止时间：2019年 2 月14  日17：00（北京时间）。交纳投标保证金后由代理公司在开标现场开具收据。（注：投标人应以本文件须知注明的开户行、账号等方式缴纳保证金，投标保证金缴纳情况以代理机构实际收取记录为准。)</w:t>
      </w:r>
    </w:p>
    <w:p>
      <w:pPr>
        <w:snapToGrid w:val="0"/>
        <w:spacing w:line="360" w:lineRule="auto"/>
        <w:ind w:firstLine="510"/>
        <w:textAlignment w:val="bottom"/>
        <w:rPr>
          <w:rFonts w:hint="eastAsia" w:ascii="宋体" w:hAnsi="宋体"/>
          <w:b/>
          <w:sz w:val="24"/>
        </w:rPr>
      </w:pPr>
      <w:r>
        <w:rPr>
          <w:rFonts w:hint="eastAsia" w:ascii="宋体" w:hAnsi="宋体"/>
          <w:b/>
          <w:sz w:val="24"/>
        </w:rPr>
        <w:t>▲11投标文件递交：</w:t>
      </w:r>
    </w:p>
    <w:p>
      <w:pPr>
        <w:snapToGrid w:val="0"/>
        <w:spacing w:line="360" w:lineRule="auto"/>
        <w:ind w:firstLine="628" w:firstLineChars="262"/>
        <w:textAlignment w:val="bottom"/>
        <w:rPr>
          <w:rFonts w:hint="eastAsia" w:ascii="宋体" w:hAnsi="宋体"/>
          <w:sz w:val="24"/>
        </w:rPr>
      </w:pPr>
      <w:r>
        <w:rPr>
          <w:rFonts w:hint="eastAsia" w:ascii="宋体" w:hAnsi="宋体"/>
          <w:sz w:val="24"/>
        </w:rPr>
        <w:t>投标文件采用现场递交方式。超过投标截止时间未提交投标文件的，投标文件将被拒收。</w:t>
      </w:r>
    </w:p>
    <w:p>
      <w:pPr>
        <w:snapToGrid w:val="0"/>
        <w:spacing w:line="360" w:lineRule="auto"/>
        <w:ind w:firstLine="510"/>
        <w:rPr>
          <w:rFonts w:hint="eastAsia" w:ascii="宋体" w:hAnsi="宋体"/>
          <w:sz w:val="24"/>
        </w:rPr>
      </w:pPr>
      <w:r>
        <w:rPr>
          <w:rFonts w:hint="eastAsia" w:ascii="宋体" w:hAnsi="宋体"/>
          <w:sz w:val="24"/>
        </w:rPr>
        <w:t>12.投标截止时间：2019年 2月  15  日上午9:00（北京时间）。</w:t>
      </w:r>
    </w:p>
    <w:p>
      <w:pPr>
        <w:snapToGrid w:val="0"/>
        <w:spacing w:line="360" w:lineRule="auto"/>
        <w:ind w:firstLine="510"/>
        <w:rPr>
          <w:rFonts w:hint="eastAsia" w:ascii="宋体" w:hAnsi="宋体"/>
          <w:sz w:val="24"/>
        </w:rPr>
      </w:pPr>
      <w:r>
        <w:rPr>
          <w:rFonts w:hint="eastAsia" w:ascii="宋体" w:hAnsi="宋体"/>
          <w:sz w:val="24"/>
        </w:rPr>
        <w:t>13.提交投标文件地点：丽水市公共资源交易中心（丽水市莲都区人民街615号，商会大厦五楼。）</w:t>
      </w:r>
    </w:p>
    <w:p>
      <w:pPr>
        <w:snapToGrid w:val="0"/>
        <w:spacing w:line="360" w:lineRule="auto"/>
        <w:ind w:firstLine="510"/>
        <w:rPr>
          <w:rFonts w:ascii="宋体" w:hAnsi="宋体"/>
          <w:sz w:val="24"/>
        </w:rPr>
      </w:pPr>
      <w:r>
        <w:rPr>
          <w:rFonts w:hint="eastAsia" w:ascii="宋体" w:hAnsi="宋体"/>
          <w:sz w:val="24"/>
        </w:rPr>
        <w:t>14.公开招标开标时间：2019年 2   月 15   日上午9:00（北京时间）。</w:t>
      </w:r>
    </w:p>
    <w:p>
      <w:pPr>
        <w:snapToGrid w:val="0"/>
        <w:spacing w:line="360" w:lineRule="auto"/>
        <w:ind w:firstLine="510"/>
        <w:rPr>
          <w:rFonts w:hint="eastAsia" w:ascii="宋体" w:hAnsi="宋体"/>
          <w:sz w:val="24"/>
        </w:rPr>
      </w:pPr>
      <w:r>
        <w:rPr>
          <w:rFonts w:hint="eastAsia" w:ascii="宋体" w:hAnsi="宋体"/>
          <w:sz w:val="24"/>
        </w:rPr>
        <w:t>15.开标地点：丽水市公共资源交易中心（丽水市莲都区人民街615号，商会大厦五楼）。</w:t>
      </w:r>
    </w:p>
    <w:p>
      <w:pPr>
        <w:snapToGrid w:val="0"/>
        <w:spacing w:line="360" w:lineRule="auto"/>
        <w:ind w:firstLine="510"/>
        <w:rPr>
          <w:rFonts w:hint="eastAsia" w:ascii="宋体" w:hAnsi="宋体"/>
          <w:sz w:val="24"/>
        </w:rPr>
      </w:pPr>
      <w:r>
        <w:rPr>
          <w:rFonts w:hint="eastAsia" w:ascii="宋体" w:hAnsi="宋体"/>
          <w:sz w:val="24"/>
        </w:rPr>
        <w:t>16. 本公告在以下媒体同时公布：</w:t>
      </w:r>
      <w:bookmarkStart w:id="3" w:name="_Hlt148781252"/>
      <w:bookmarkStart w:id="4" w:name="_Hlt148781253"/>
    </w:p>
    <w:bookmarkEnd w:id="3"/>
    <w:bookmarkEnd w:id="4"/>
    <w:p>
      <w:pPr>
        <w:snapToGrid w:val="0"/>
        <w:spacing w:line="360" w:lineRule="auto"/>
        <w:ind w:firstLine="988" w:firstLineChars="412"/>
        <w:rPr>
          <w:rFonts w:hint="eastAsia" w:ascii="宋体" w:hAnsi="宋体"/>
          <w:b/>
          <w:sz w:val="24"/>
          <w:szCs w:val="21"/>
        </w:rPr>
      </w:pPr>
      <w:bookmarkStart w:id="5" w:name="OLE_LINK1"/>
      <w:r>
        <w:rPr>
          <w:rFonts w:ascii="宋体" w:hAnsi="宋体"/>
          <w:sz w:val="24"/>
          <w:u w:val="single"/>
        </w:rPr>
        <w:fldChar w:fldCharType="begin"/>
      </w:r>
      <w:r>
        <w:rPr>
          <w:rFonts w:ascii="宋体" w:hAnsi="宋体"/>
          <w:sz w:val="24"/>
          <w:u w:val="single"/>
        </w:rPr>
        <w:instrText xml:space="preserve"> HYPERLINK "http://60.190.126.3:8080/wcm/WCMV6/editor/editor/招标文件（新版）.doc" </w:instrText>
      </w:r>
      <w:r>
        <w:rPr>
          <w:rFonts w:ascii="宋体" w:hAnsi="宋体"/>
          <w:sz w:val="24"/>
          <w:u w:val="single"/>
        </w:rPr>
        <w:fldChar w:fldCharType="separate"/>
      </w:r>
      <w:r>
        <w:rPr>
          <w:rStyle w:val="53"/>
          <w:rFonts w:hint="eastAsia" w:ascii="宋体" w:hAnsi="宋体"/>
          <w:color w:val="auto"/>
          <w:sz w:val="24"/>
        </w:rPr>
        <w:t>www.zjzfcg.gov.cn</w:t>
      </w:r>
      <w:r>
        <w:rPr>
          <w:rFonts w:ascii="宋体" w:hAnsi="宋体"/>
          <w:sz w:val="24"/>
          <w:u w:val="single"/>
        </w:rPr>
        <w:fldChar w:fldCharType="end"/>
      </w:r>
      <w:r>
        <w:rPr>
          <w:rFonts w:ascii="宋体" w:hAnsi="宋体"/>
        </w:rPr>
        <w:t xml:space="preserve"> </w:t>
      </w:r>
      <w:r>
        <w:rPr>
          <w:rFonts w:hint="eastAsia" w:ascii="宋体" w:hAnsi="宋体"/>
          <w:sz w:val="24"/>
        </w:rPr>
        <w:t>\</w:t>
      </w:r>
      <w:r>
        <w:rPr>
          <w:rFonts w:hint="eastAsia" w:ascii="宋体" w:hAnsi="宋体"/>
          <w:sz w:val="24"/>
          <w:u w:val="single"/>
        </w:rPr>
        <w:t xml:space="preserve"> www.lssggzy.com</w:t>
      </w:r>
      <w:bookmarkEnd w:id="5"/>
    </w:p>
    <w:p>
      <w:pPr>
        <w:spacing w:line="360" w:lineRule="auto"/>
        <w:ind w:firstLine="480" w:firstLineChars="200"/>
        <w:rPr>
          <w:rFonts w:hint="eastAsia" w:ascii="宋体" w:hAnsi="宋体"/>
          <w:sz w:val="24"/>
        </w:rPr>
      </w:pPr>
      <w:r>
        <w:rPr>
          <w:rFonts w:hint="eastAsia" w:ascii="宋体" w:hAnsi="宋体"/>
          <w:sz w:val="24"/>
        </w:rPr>
        <w:t>17．联系方式</w:t>
      </w:r>
    </w:p>
    <w:p>
      <w:pPr>
        <w:spacing w:line="360" w:lineRule="auto"/>
        <w:ind w:firstLine="360" w:firstLineChars="150"/>
        <w:rPr>
          <w:rFonts w:hint="eastAsia" w:ascii="宋体" w:hAnsi="宋体"/>
          <w:sz w:val="24"/>
        </w:rPr>
      </w:pPr>
      <w:r>
        <w:rPr>
          <w:rFonts w:hint="eastAsia" w:ascii="宋体" w:hAnsi="宋体"/>
          <w:sz w:val="24"/>
        </w:rPr>
        <w:t>（1）采购人名称：丽水市看守所</w:t>
      </w:r>
    </w:p>
    <w:p>
      <w:pPr>
        <w:spacing w:line="360" w:lineRule="auto"/>
        <w:ind w:firstLine="960" w:firstLineChars="400"/>
        <w:rPr>
          <w:rFonts w:hint="eastAsia" w:ascii="宋体" w:hAnsi="宋体"/>
          <w:sz w:val="24"/>
        </w:rPr>
      </w:pPr>
      <w:r>
        <w:rPr>
          <w:rFonts w:hint="eastAsia" w:ascii="宋体" w:hAnsi="宋体"/>
          <w:sz w:val="24"/>
        </w:rPr>
        <w:t>联系人：王警官  联系电话：13957078905</w:t>
      </w:r>
    </w:p>
    <w:p>
      <w:pPr>
        <w:spacing w:line="360" w:lineRule="auto"/>
        <w:ind w:firstLine="960" w:firstLineChars="400"/>
        <w:rPr>
          <w:rFonts w:hint="eastAsia" w:ascii="宋体" w:hAnsi="宋体"/>
          <w:sz w:val="24"/>
        </w:rPr>
      </w:pPr>
      <w:r>
        <w:rPr>
          <w:rFonts w:hint="eastAsia" w:ascii="宋体" w:hAnsi="宋体"/>
          <w:sz w:val="24"/>
        </w:rPr>
        <w:t>地址：丽水市看守所</w:t>
      </w:r>
    </w:p>
    <w:p>
      <w:pPr>
        <w:spacing w:line="360" w:lineRule="auto"/>
        <w:ind w:firstLine="360" w:firstLineChars="150"/>
        <w:rPr>
          <w:rFonts w:hint="eastAsia" w:ascii="宋体" w:hAnsi="宋体"/>
          <w:sz w:val="24"/>
        </w:rPr>
      </w:pPr>
      <w:r>
        <w:rPr>
          <w:rFonts w:hint="eastAsia" w:ascii="宋体" w:hAnsi="宋体"/>
          <w:sz w:val="24"/>
        </w:rPr>
        <w:t>（2）采购代理机构名称：浙江鼎峰工程咨询有限公司</w:t>
      </w:r>
    </w:p>
    <w:p>
      <w:pPr>
        <w:spacing w:line="360" w:lineRule="auto"/>
        <w:ind w:firstLine="960" w:firstLineChars="400"/>
        <w:rPr>
          <w:rFonts w:ascii="宋体" w:hAnsi="宋体"/>
          <w:sz w:val="24"/>
        </w:rPr>
      </w:pPr>
      <w:r>
        <w:rPr>
          <w:rFonts w:hint="eastAsia" w:ascii="宋体" w:hAnsi="宋体"/>
          <w:sz w:val="24"/>
        </w:rPr>
        <w:t>联系人：林秋丽、蓝浩  联系电话：0578-2571155  传真：0578-2531111</w:t>
      </w:r>
    </w:p>
    <w:p>
      <w:pPr>
        <w:spacing w:line="360" w:lineRule="auto"/>
        <w:ind w:firstLine="960" w:firstLineChars="400"/>
        <w:rPr>
          <w:rFonts w:hint="eastAsia" w:ascii="宋体" w:hAnsi="宋体"/>
          <w:sz w:val="24"/>
        </w:rPr>
      </w:pPr>
      <w:r>
        <w:rPr>
          <w:rFonts w:hint="eastAsia" w:ascii="宋体" w:hAnsi="宋体"/>
          <w:sz w:val="24"/>
        </w:rPr>
        <w:t>地址：丽青路39号2楼</w:t>
      </w:r>
    </w:p>
    <w:p>
      <w:pPr>
        <w:spacing w:line="360" w:lineRule="auto"/>
        <w:ind w:firstLine="360" w:firstLineChars="150"/>
        <w:rPr>
          <w:rFonts w:ascii="宋体" w:hAnsi="宋体"/>
          <w:sz w:val="24"/>
        </w:rPr>
      </w:pPr>
      <w:r>
        <w:rPr>
          <w:rFonts w:hint="eastAsia" w:ascii="宋体" w:hAnsi="宋体"/>
          <w:sz w:val="24"/>
        </w:rPr>
        <w:t>（3）同级政府采购监督管理部门名称：丽水市财政局政府采购监管处</w:t>
      </w:r>
    </w:p>
    <w:p>
      <w:pPr>
        <w:spacing w:line="360" w:lineRule="auto"/>
        <w:ind w:firstLine="960" w:firstLineChars="400"/>
        <w:rPr>
          <w:rFonts w:ascii="宋体" w:hAnsi="宋体"/>
          <w:sz w:val="24"/>
        </w:rPr>
      </w:pPr>
      <w:r>
        <w:rPr>
          <w:rFonts w:hint="eastAsia" w:ascii="宋体" w:hAnsi="宋体"/>
          <w:sz w:val="24"/>
        </w:rPr>
        <w:t>联系人：柳乃华     监督投诉电话：0578-2669165    传真：0578-2669165</w:t>
      </w:r>
    </w:p>
    <w:p>
      <w:pPr>
        <w:spacing w:line="360" w:lineRule="auto"/>
        <w:ind w:firstLine="960" w:firstLineChars="400"/>
        <w:rPr>
          <w:rFonts w:ascii="宋体" w:hAnsi="宋体"/>
          <w:sz w:val="24"/>
        </w:rPr>
      </w:pPr>
      <w:r>
        <w:rPr>
          <w:rFonts w:hint="eastAsia" w:ascii="宋体" w:hAnsi="宋体"/>
          <w:sz w:val="24"/>
        </w:rPr>
        <w:t>地 址：丽水市财政局</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特别提醒：参加本项目</w:t>
      </w:r>
      <w:r>
        <w:rPr>
          <w:rFonts w:hint="eastAsia" w:ascii="宋体" w:hAnsi="宋体"/>
          <w:sz w:val="24"/>
        </w:rPr>
        <w:t>投标</w:t>
      </w:r>
      <w:r>
        <w:rPr>
          <w:rFonts w:ascii="宋体" w:hAnsi="宋体"/>
          <w:sz w:val="24"/>
        </w:rPr>
        <w:t>的供应商请在</w:t>
      </w:r>
      <w:r>
        <w:rPr>
          <w:rFonts w:hint="eastAsia" w:ascii="宋体" w:hAnsi="宋体"/>
          <w:sz w:val="24"/>
        </w:rPr>
        <w:t>投标</w:t>
      </w:r>
      <w:r>
        <w:rPr>
          <w:rFonts w:ascii="宋体" w:hAnsi="宋体"/>
          <w:sz w:val="24"/>
        </w:rPr>
        <w:t xml:space="preserve">截止时间前到“浙江政府采购网（www.zjzfcg.gov.cn ）”上进行注册登记。 </w:t>
      </w:r>
    </w:p>
    <w:p>
      <w:pPr>
        <w:spacing w:line="360" w:lineRule="auto"/>
        <w:ind w:firstLine="1080" w:firstLineChars="450"/>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采购人：丽水市看守所</w:t>
      </w:r>
    </w:p>
    <w:p>
      <w:pPr>
        <w:spacing w:line="360" w:lineRule="auto"/>
        <w:rPr>
          <w:rFonts w:hint="eastAsia" w:ascii="宋体" w:hAnsi="宋体"/>
          <w:sz w:val="24"/>
        </w:rPr>
      </w:pPr>
    </w:p>
    <w:p>
      <w:pPr>
        <w:spacing w:line="360" w:lineRule="auto"/>
        <w:ind w:firstLine="3960" w:firstLineChars="1650"/>
        <w:rPr>
          <w:rFonts w:hint="eastAsia" w:ascii="宋体" w:hAnsi="宋体"/>
          <w:sz w:val="24"/>
        </w:rPr>
      </w:pPr>
      <w:r>
        <w:rPr>
          <w:rFonts w:hint="eastAsia" w:ascii="宋体" w:hAnsi="宋体"/>
          <w:sz w:val="24"/>
        </w:rPr>
        <w:t>采购代理机构：浙江鼎峰工程咨询有限公司</w:t>
      </w:r>
      <w:r>
        <w:rPr>
          <w:rFonts w:ascii="宋体" w:hAnsi="宋体"/>
          <w:sz w:val="24"/>
        </w:rPr>
        <w:t xml:space="preserve"> </w:t>
      </w:r>
    </w:p>
    <w:p>
      <w:pPr>
        <w:spacing w:line="360" w:lineRule="auto"/>
        <w:ind w:firstLine="5040" w:firstLineChars="2100"/>
        <w:rPr>
          <w:rFonts w:hint="eastAsia" w:ascii="宋体" w:hAnsi="宋体"/>
          <w:sz w:val="24"/>
        </w:rPr>
      </w:pPr>
      <w:r>
        <w:rPr>
          <w:rFonts w:hint="eastAsia" w:ascii="宋体" w:hAnsi="宋体"/>
          <w:sz w:val="24"/>
        </w:rPr>
        <w:t xml:space="preserve">日期：2019年 1 </w:t>
      </w:r>
      <w:r>
        <w:rPr>
          <w:rFonts w:ascii="宋体" w:hAnsi="宋体"/>
          <w:sz w:val="24"/>
        </w:rPr>
        <w:t>月</w:t>
      </w:r>
      <w:r>
        <w:rPr>
          <w:rFonts w:hint="eastAsia" w:ascii="宋体" w:hAnsi="宋体"/>
          <w:sz w:val="24"/>
        </w:rPr>
        <w:t>25  日</w:t>
      </w:r>
    </w:p>
    <w:bookmarkEnd w:id="2"/>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pStyle w:val="3"/>
        <w:spacing w:line="560" w:lineRule="exact"/>
        <w:rPr>
          <w:rFonts w:hint="eastAsia" w:ascii="宋体" w:hAnsi="宋体" w:eastAsia="宋体"/>
          <w:lang w:eastAsia="zh-CN"/>
        </w:rPr>
      </w:pPr>
      <w:r>
        <w:rPr>
          <w:rFonts w:hint="eastAsia" w:ascii="宋体" w:hAnsi="宋体" w:eastAsia="宋体"/>
          <w:lang w:eastAsia="zh-CN"/>
        </w:rPr>
        <w:t xml:space="preserve">  </w:t>
      </w:r>
      <w:bookmarkStart w:id="6" w:name="_Toc530665697"/>
      <w:r>
        <w:rPr>
          <w:rFonts w:hint="eastAsia" w:ascii="宋体" w:hAnsi="宋体" w:eastAsia="宋体"/>
        </w:rPr>
        <w:t>第二章</w:t>
      </w:r>
      <w:r>
        <w:rPr>
          <w:rFonts w:ascii="宋体" w:hAnsi="宋体" w:eastAsia="宋体"/>
        </w:rPr>
        <w:t xml:space="preserve">  </w:t>
      </w:r>
      <w:r>
        <w:rPr>
          <w:rFonts w:hint="eastAsia" w:ascii="宋体" w:hAnsi="宋体" w:eastAsia="宋体"/>
        </w:rPr>
        <w:t>投标人须知</w:t>
      </w:r>
      <w:bookmarkEnd w:id="6"/>
    </w:p>
    <w:p>
      <w:pPr>
        <w:pStyle w:val="4"/>
        <w:jc w:val="center"/>
        <w:rPr>
          <w:rFonts w:hint="eastAsia" w:ascii="宋体" w:hAnsi="宋体" w:eastAsia="宋体"/>
        </w:rPr>
      </w:pPr>
      <w:bookmarkStart w:id="7" w:name="_Toc530665698"/>
      <w:r>
        <w:rPr>
          <w:rFonts w:hint="eastAsia" w:ascii="宋体" w:hAnsi="宋体" w:eastAsia="宋体"/>
        </w:rPr>
        <w:t>前列表</w:t>
      </w:r>
      <w:bookmarkEnd w:id="7"/>
    </w:p>
    <w:tbl>
      <w:tblPr>
        <w:tblStyle w:val="45"/>
        <w:tblW w:w="98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b/>
                <w:bCs/>
                <w:snapToGrid w:val="0"/>
                <w:sz w:val="24"/>
              </w:rPr>
            </w:pPr>
            <w:r>
              <w:rPr>
                <w:rFonts w:hint="eastAsia" w:ascii="宋体" w:hAnsi="宋体"/>
                <w:b/>
                <w:bCs/>
                <w:snapToGrid w:val="0"/>
                <w:sz w:val="24"/>
              </w:rPr>
              <w:t>序号</w:t>
            </w:r>
          </w:p>
        </w:tc>
        <w:tc>
          <w:tcPr>
            <w:tcW w:w="1704" w:type="dxa"/>
            <w:tcBorders>
              <w:top w:val="double" w:color="auto" w:sz="4" w:space="0"/>
              <w:left w:val="single" w:color="auto" w:sz="4" w:space="0"/>
              <w:bottom w:val="single" w:color="auto" w:sz="4" w:space="0"/>
            </w:tcBorders>
            <w:noWrap w:val="0"/>
            <w:vAlign w:val="center"/>
          </w:tcPr>
          <w:p>
            <w:pPr>
              <w:jc w:val="center"/>
              <w:rPr>
                <w:rFonts w:hint="eastAsia" w:ascii="宋体" w:hAnsi="宋体"/>
                <w:b/>
                <w:bCs/>
                <w:sz w:val="24"/>
              </w:rPr>
            </w:pPr>
            <w:r>
              <w:rPr>
                <w:rFonts w:hint="eastAsia" w:ascii="宋体" w:hAnsi="宋体"/>
                <w:b/>
                <w:bCs/>
                <w:sz w:val="24"/>
              </w:rPr>
              <w:t>须知项目</w:t>
            </w:r>
          </w:p>
        </w:tc>
        <w:tc>
          <w:tcPr>
            <w:tcW w:w="7525" w:type="dxa"/>
            <w:gridSpan w:val="3"/>
            <w:tcBorders>
              <w:top w:val="double" w:color="auto" w:sz="4" w:space="0"/>
              <w:bottom w:val="single" w:color="auto" w:sz="4" w:space="0"/>
              <w:right w:val="double" w:color="auto" w:sz="4" w:space="0"/>
            </w:tcBorders>
            <w:noWrap w:val="0"/>
            <w:vAlign w:val="center"/>
          </w:tcPr>
          <w:p>
            <w:pPr>
              <w:jc w:val="center"/>
              <w:rPr>
                <w:rFonts w:hint="eastAsia"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top w:val="single" w:color="auto" w:sz="4" w:space="0"/>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w:t>
            </w:r>
          </w:p>
        </w:tc>
        <w:tc>
          <w:tcPr>
            <w:tcW w:w="1704" w:type="dxa"/>
            <w:tcBorders>
              <w:top w:val="single" w:color="auto" w:sz="4" w:space="0"/>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项目名称</w:t>
            </w:r>
          </w:p>
        </w:tc>
        <w:tc>
          <w:tcPr>
            <w:tcW w:w="7525" w:type="dxa"/>
            <w:gridSpan w:val="3"/>
            <w:tcBorders>
              <w:top w:val="single" w:color="auto" w:sz="4" w:space="0"/>
              <w:right w:val="double" w:color="auto" w:sz="4" w:space="0"/>
            </w:tcBorders>
            <w:noWrap w:val="0"/>
            <w:vAlign w:val="center"/>
          </w:tcPr>
          <w:p>
            <w:pPr>
              <w:spacing w:line="360" w:lineRule="auto"/>
              <w:rPr>
                <w:rFonts w:hint="eastAsia" w:ascii="宋体" w:hAnsi="宋体"/>
                <w:sz w:val="24"/>
                <w:szCs w:val="21"/>
              </w:rPr>
            </w:pPr>
            <w:r>
              <w:rPr>
                <w:rFonts w:hint="eastAsia" w:ascii="宋体" w:hAnsi="宋体"/>
                <w:bCs/>
                <w:sz w:val="24"/>
              </w:rPr>
              <w:t>2018年市本级监察留置场所信息化建设项目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2</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采购人</w:t>
            </w:r>
          </w:p>
        </w:tc>
        <w:tc>
          <w:tcPr>
            <w:tcW w:w="7525" w:type="dxa"/>
            <w:gridSpan w:val="3"/>
            <w:tcBorders>
              <w:right w:val="double" w:color="auto" w:sz="4" w:space="0"/>
            </w:tcBorders>
            <w:noWrap w:val="0"/>
            <w:vAlign w:val="center"/>
          </w:tcPr>
          <w:p>
            <w:pPr>
              <w:rPr>
                <w:rFonts w:ascii="宋体" w:hAnsi="宋体"/>
                <w:bCs/>
                <w:sz w:val="24"/>
              </w:rPr>
            </w:pPr>
            <w:r>
              <w:rPr>
                <w:rFonts w:hint="eastAsia" w:ascii="宋体" w:hAnsi="宋体"/>
                <w:bCs/>
                <w:sz w:val="24"/>
              </w:rPr>
              <w:t>丽水市看守所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3</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采购代理机构</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浙江鼎峰工程咨询有限公司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4</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采购方式</w:t>
            </w:r>
          </w:p>
        </w:tc>
        <w:tc>
          <w:tcPr>
            <w:tcW w:w="2487" w:type="dxa"/>
            <w:noWrap w:val="0"/>
            <w:vAlign w:val="center"/>
          </w:tcPr>
          <w:p>
            <w:pPr>
              <w:rPr>
                <w:rFonts w:hint="eastAsia" w:ascii="宋体" w:hAnsi="宋体"/>
                <w:bCs/>
                <w:sz w:val="24"/>
              </w:rPr>
            </w:pPr>
            <w:r>
              <w:rPr>
                <w:rFonts w:hint="eastAsia" w:ascii="宋体" w:hAnsi="宋体"/>
                <w:bCs/>
                <w:sz w:val="24"/>
              </w:rPr>
              <w:t>公开招标</w:t>
            </w:r>
          </w:p>
        </w:tc>
        <w:tc>
          <w:tcPr>
            <w:tcW w:w="1262" w:type="dxa"/>
            <w:noWrap w:val="0"/>
            <w:vAlign w:val="center"/>
          </w:tcPr>
          <w:p>
            <w:pPr>
              <w:rPr>
                <w:rFonts w:hint="eastAsia" w:ascii="宋体" w:hAnsi="宋体"/>
                <w:b/>
                <w:bCs/>
                <w:sz w:val="24"/>
              </w:rPr>
            </w:pPr>
            <w:r>
              <w:rPr>
                <w:rFonts w:hint="eastAsia" w:ascii="宋体" w:hAnsi="宋体"/>
                <w:b/>
                <w:bCs/>
                <w:sz w:val="24"/>
              </w:rPr>
              <w:t>组织方式</w:t>
            </w:r>
          </w:p>
        </w:tc>
        <w:tc>
          <w:tcPr>
            <w:tcW w:w="3776" w:type="dxa"/>
            <w:tcBorders>
              <w:right w:val="double" w:color="auto" w:sz="4" w:space="0"/>
            </w:tcBorders>
            <w:noWrap w:val="0"/>
            <w:vAlign w:val="center"/>
          </w:tcPr>
          <w:p>
            <w:pPr>
              <w:rPr>
                <w:rFonts w:hint="eastAsia" w:ascii="宋体" w:hAnsi="宋体"/>
                <w:bCs/>
                <w:sz w:val="24"/>
              </w:rPr>
            </w:pPr>
            <w:r>
              <w:rPr>
                <w:rFonts w:hint="eastAsia" w:ascii="宋体" w:hAnsi="宋体"/>
                <w:bCs/>
                <w:sz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2"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5</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资格审查方式</w:t>
            </w:r>
          </w:p>
        </w:tc>
        <w:tc>
          <w:tcPr>
            <w:tcW w:w="7525" w:type="dxa"/>
            <w:gridSpan w:val="3"/>
            <w:tcBorders>
              <w:right w:val="double" w:color="auto" w:sz="4" w:space="0"/>
            </w:tcBorders>
            <w:noWrap w:val="0"/>
            <w:vAlign w:val="center"/>
          </w:tcPr>
          <w:p>
            <w:pPr>
              <w:rPr>
                <w:rFonts w:hint="eastAsia" w:ascii="宋体" w:hAnsi="宋体"/>
                <w:bCs/>
                <w:snapToGrid w:val="0"/>
                <w:sz w:val="24"/>
              </w:rPr>
            </w:pPr>
            <w:r>
              <w:rPr>
                <w:rFonts w:hint="eastAsia" w:ascii="宋体" w:hAnsi="宋体"/>
                <w:bCs/>
                <w:snapToGrid w:val="0"/>
                <w:sz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6</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投标有效期</w:t>
            </w:r>
          </w:p>
        </w:tc>
        <w:tc>
          <w:tcPr>
            <w:tcW w:w="7525" w:type="dxa"/>
            <w:gridSpan w:val="3"/>
            <w:tcBorders>
              <w:right w:val="double" w:color="auto" w:sz="4" w:space="0"/>
            </w:tcBorders>
            <w:noWrap w:val="0"/>
            <w:vAlign w:val="center"/>
          </w:tcPr>
          <w:p>
            <w:pPr>
              <w:rPr>
                <w:rFonts w:hint="eastAsia"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70"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7</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投标文件份数</w:t>
            </w:r>
          </w:p>
        </w:tc>
        <w:tc>
          <w:tcPr>
            <w:tcW w:w="7525" w:type="dxa"/>
            <w:gridSpan w:val="3"/>
            <w:tcBorders>
              <w:right w:val="double" w:color="auto" w:sz="4" w:space="0"/>
            </w:tcBorders>
            <w:noWrap w:val="0"/>
            <w:vAlign w:val="center"/>
          </w:tcPr>
          <w:p>
            <w:pPr>
              <w:rPr>
                <w:rFonts w:hint="eastAsia" w:ascii="宋体" w:hAnsi="宋体"/>
                <w:sz w:val="24"/>
              </w:rPr>
            </w:pPr>
            <w:r>
              <w:rPr>
                <w:rFonts w:hint="eastAsia" w:ascii="宋体" w:hAnsi="宋体"/>
                <w:sz w:val="24"/>
              </w:rPr>
              <w:t>资格</w:t>
            </w:r>
            <w:r>
              <w:rPr>
                <w:rFonts w:ascii="宋体" w:hAnsi="宋体"/>
                <w:sz w:val="24"/>
              </w:rPr>
              <w:t>审查文件</w:t>
            </w:r>
            <w:r>
              <w:rPr>
                <w:rFonts w:hint="eastAsia" w:ascii="宋体" w:hAnsi="宋体"/>
                <w:sz w:val="24"/>
              </w:rPr>
              <w:t>、资信及商务文件、技术文件、报价文件各正本一份、副本四份，四部分应单独密封包装。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38"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8</w:t>
            </w:r>
          </w:p>
        </w:tc>
        <w:tc>
          <w:tcPr>
            <w:tcW w:w="1704" w:type="dxa"/>
            <w:tcBorders>
              <w:left w:val="single" w:color="auto" w:sz="4" w:space="0"/>
            </w:tcBorders>
            <w:noWrap w:val="0"/>
            <w:vAlign w:val="center"/>
          </w:tcPr>
          <w:p>
            <w:pPr>
              <w:jc w:val="center"/>
              <w:rPr>
                <w:rFonts w:hint="eastAsia" w:ascii="宋体" w:hAnsi="宋体"/>
                <w:bCs/>
                <w:sz w:val="24"/>
              </w:rPr>
            </w:pPr>
            <w:r>
              <w:rPr>
                <w:rFonts w:hint="eastAsia" w:ascii="宋体" w:hAnsi="宋体"/>
                <w:bCs/>
                <w:sz w:val="24"/>
              </w:rPr>
              <w:t>招标文件质疑</w:t>
            </w:r>
          </w:p>
        </w:tc>
        <w:tc>
          <w:tcPr>
            <w:tcW w:w="7525" w:type="dxa"/>
            <w:gridSpan w:val="3"/>
            <w:tcBorders>
              <w:right w:val="double" w:color="auto" w:sz="4" w:space="0"/>
            </w:tcBorders>
            <w:noWrap w:val="0"/>
            <w:vAlign w:val="center"/>
          </w:tcPr>
          <w:p>
            <w:pPr>
              <w:spacing w:line="360" w:lineRule="auto"/>
              <w:rPr>
                <w:rFonts w:hint="eastAsia" w:ascii="宋体" w:hAnsi="宋体"/>
                <w:bCs/>
                <w:sz w:val="24"/>
              </w:rPr>
            </w:pPr>
            <w:r>
              <w:rPr>
                <w:rFonts w:hint="eastAsia" w:ascii="宋体" w:hAnsi="宋体"/>
                <w:sz w:val="24"/>
              </w:rPr>
              <w:t>自获取采购文件之日（获取截止日之后获取采购文件的，以获取截止日为准）或者采购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1"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9</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sz w:val="24"/>
              </w:rPr>
              <w:t>招标文件澄清或修改时间</w:t>
            </w:r>
          </w:p>
        </w:tc>
        <w:tc>
          <w:tcPr>
            <w:tcW w:w="7525" w:type="dxa"/>
            <w:gridSpan w:val="3"/>
            <w:tcBorders>
              <w:right w:val="double" w:color="auto" w:sz="4" w:space="0"/>
            </w:tcBorders>
            <w:noWrap w:val="0"/>
            <w:vAlign w:val="center"/>
          </w:tcPr>
          <w:p>
            <w:pPr>
              <w:rPr>
                <w:rFonts w:hint="eastAsia" w:ascii="宋体" w:hAnsi="宋体"/>
                <w:bCs/>
                <w:snapToGrid w:val="0"/>
                <w:sz w:val="24"/>
              </w:rPr>
            </w:pPr>
            <w:r>
              <w:rPr>
                <w:rFonts w:hint="eastAsia" w:ascii="宋体" w:hAnsi="宋体"/>
                <w:sz w:val="24"/>
              </w:rPr>
              <w:t>投标截止时间15天前。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29"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10</w:t>
            </w:r>
          </w:p>
        </w:tc>
        <w:tc>
          <w:tcPr>
            <w:tcW w:w="1704"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投标保证金交纳方式</w:t>
            </w:r>
          </w:p>
        </w:tc>
        <w:tc>
          <w:tcPr>
            <w:tcW w:w="7525" w:type="dxa"/>
            <w:gridSpan w:val="3"/>
            <w:tcBorders>
              <w:right w:val="double" w:color="auto" w:sz="4" w:space="0"/>
            </w:tcBorders>
            <w:noWrap w:val="0"/>
            <w:vAlign w:val="top"/>
          </w:tcPr>
          <w:p>
            <w:pPr>
              <w:jc w:val="left"/>
              <w:rPr>
                <w:rFonts w:hint="eastAsia" w:ascii="宋体" w:hAnsi="宋体"/>
                <w:sz w:val="24"/>
              </w:rPr>
            </w:pPr>
            <w:r>
              <w:rPr>
                <w:rFonts w:hint="eastAsia" w:ascii="宋体" w:hAnsi="宋体"/>
                <w:sz w:val="24"/>
              </w:rPr>
              <w:t>提交方式：</w:t>
            </w:r>
          </w:p>
          <w:p>
            <w:pPr>
              <w:ind w:left="-68"/>
              <w:jc w:val="left"/>
              <w:rPr>
                <w:rFonts w:hint="eastAsia" w:ascii="宋体" w:hAnsi="宋体"/>
                <w:bCs/>
                <w:sz w:val="24"/>
                <w:u w:val="single"/>
              </w:rPr>
            </w:pPr>
            <w:r>
              <w:rPr>
                <w:rFonts w:hint="eastAsia" w:ascii="宋体" w:hAnsi="宋体"/>
                <w:bCs/>
                <w:sz w:val="24"/>
              </w:rPr>
              <w:t>1.转帐、电汇方式交纳保证金的：</w:t>
            </w:r>
            <w:r>
              <w:rPr>
                <w:rFonts w:hint="eastAsia" w:ascii="宋体" w:hAnsi="宋体"/>
                <w:bCs/>
                <w:sz w:val="24"/>
                <w:u w:val="single"/>
              </w:rPr>
              <w:t>以到指定银行帐户为准；</w:t>
            </w:r>
          </w:p>
          <w:p>
            <w:pPr>
              <w:ind w:left="-68"/>
              <w:jc w:val="left"/>
              <w:rPr>
                <w:rFonts w:hint="eastAsia" w:ascii="宋体" w:hAnsi="宋体"/>
                <w:bCs/>
                <w:sz w:val="24"/>
                <w:u w:val="single"/>
              </w:rPr>
            </w:pPr>
            <w:r>
              <w:rPr>
                <w:rFonts w:hint="eastAsia" w:ascii="宋体" w:hAnsi="宋体"/>
                <w:bCs/>
                <w:sz w:val="24"/>
              </w:rPr>
              <w:t>2.汇票方式交纳保证金的：</w:t>
            </w:r>
            <w:r>
              <w:rPr>
                <w:rFonts w:hint="eastAsia" w:ascii="宋体" w:hAnsi="宋体"/>
                <w:bCs/>
                <w:sz w:val="24"/>
                <w:u w:val="single"/>
              </w:rPr>
              <w:t>以到达浙江鼎峰工程咨询有限公司财务处为准；</w:t>
            </w:r>
          </w:p>
          <w:p>
            <w:pPr>
              <w:ind w:left="-68"/>
              <w:jc w:val="left"/>
              <w:rPr>
                <w:rFonts w:hint="eastAsia" w:ascii="宋体" w:hAnsi="宋体"/>
                <w:bCs/>
                <w:sz w:val="24"/>
              </w:rPr>
            </w:pPr>
            <w:r>
              <w:rPr>
                <w:rFonts w:hint="eastAsia" w:ascii="宋体" w:hAnsi="宋体"/>
                <w:bCs/>
                <w:sz w:val="24"/>
                <w:u w:val="single"/>
              </w:rPr>
              <w:t>3.交纳保证金后由浙江鼎峰工程咨询有限公司开标当日开具保证金收据。</w:t>
            </w:r>
          </w:p>
          <w:p>
            <w:pPr>
              <w:ind w:left="-68"/>
              <w:jc w:val="left"/>
              <w:rPr>
                <w:rFonts w:hint="eastAsia" w:ascii="宋体" w:hAnsi="宋体"/>
                <w:b/>
                <w:bCs/>
                <w:sz w:val="24"/>
              </w:rPr>
            </w:pPr>
            <w:r>
              <w:rPr>
                <w:rFonts w:hint="eastAsia" w:ascii="宋体" w:hAnsi="宋体"/>
                <w:b/>
                <w:bCs/>
                <w:sz w:val="24"/>
              </w:rPr>
              <w:t>财务电话：0578-2531111</w:t>
            </w:r>
          </w:p>
          <w:p>
            <w:pPr>
              <w:tabs>
                <w:tab w:val="left" w:pos="0"/>
                <w:tab w:val="left" w:pos="1134"/>
              </w:tabs>
              <w:adjustRightInd w:val="0"/>
              <w:snapToGrid w:val="0"/>
              <w:rPr>
                <w:rFonts w:hint="eastAsia" w:ascii="宋体" w:hAnsi="宋体"/>
                <w:bCs/>
                <w:sz w:val="24"/>
              </w:rPr>
            </w:pPr>
            <w:r>
              <w:rPr>
                <w:rFonts w:hint="eastAsia" w:ascii="宋体" w:hAnsi="宋体"/>
                <w:bCs/>
                <w:sz w:val="24"/>
              </w:rPr>
              <w:t xml:space="preserve">4．户名:  浙江鼎峰工程咨询有限公司  </w:t>
            </w:r>
          </w:p>
          <w:p>
            <w:pPr>
              <w:tabs>
                <w:tab w:val="left" w:pos="0"/>
                <w:tab w:val="left" w:pos="1134"/>
              </w:tabs>
              <w:adjustRightInd w:val="0"/>
              <w:snapToGrid w:val="0"/>
              <w:rPr>
                <w:rFonts w:hint="eastAsia" w:ascii="宋体" w:hAnsi="宋体"/>
                <w:bCs/>
                <w:sz w:val="24"/>
              </w:rPr>
            </w:pPr>
            <w:r>
              <w:rPr>
                <w:rFonts w:hint="eastAsia" w:ascii="宋体" w:hAnsi="宋体"/>
                <w:bCs/>
                <w:sz w:val="24"/>
              </w:rPr>
              <w:t xml:space="preserve">5．帐号： 2010 0007 8361 940     </w:t>
            </w:r>
          </w:p>
          <w:p>
            <w:pPr>
              <w:rPr>
                <w:rFonts w:hint="eastAsia" w:ascii="宋体" w:hAnsi="宋体"/>
                <w:sz w:val="24"/>
              </w:rPr>
            </w:pPr>
            <w:r>
              <w:rPr>
                <w:rFonts w:hint="eastAsia" w:ascii="宋体" w:hAnsi="宋体"/>
                <w:sz w:val="24"/>
              </w:rPr>
              <w:t>6．开户行：浙江丽水莲都农村商业银行股份有限公司营业部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93" w:hRule="atLeas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11</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投标文件</w:t>
            </w:r>
          </w:p>
          <w:p>
            <w:pPr>
              <w:jc w:val="left"/>
              <w:rPr>
                <w:rFonts w:hint="eastAsia" w:ascii="宋体" w:hAnsi="宋体"/>
                <w:bCs/>
                <w:snapToGrid w:val="0"/>
                <w:sz w:val="24"/>
              </w:rPr>
            </w:pPr>
            <w:r>
              <w:rPr>
                <w:rFonts w:hint="eastAsia" w:ascii="宋体" w:hAnsi="宋体"/>
                <w:bCs/>
                <w:snapToGrid w:val="0"/>
                <w:sz w:val="24"/>
              </w:rPr>
              <w:t>递交方式</w:t>
            </w:r>
          </w:p>
        </w:tc>
        <w:tc>
          <w:tcPr>
            <w:tcW w:w="7525" w:type="dxa"/>
            <w:gridSpan w:val="3"/>
            <w:tcBorders>
              <w:right w:val="double" w:color="auto" w:sz="4" w:space="0"/>
            </w:tcBorders>
            <w:noWrap w:val="0"/>
            <w:vAlign w:val="center"/>
          </w:tcPr>
          <w:p>
            <w:pPr>
              <w:pStyle w:val="109"/>
              <w:rPr>
                <w:rFonts w:hint="eastAsia" w:ascii="宋体" w:hAnsi="宋体"/>
                <w:szCs w:val="24"/>
                <w:lang w:val="en-US" w:eastAsia="zh-CN"/>
              </w:rPr>
            </w:pPr>
            <w:r>
              <w:rPr>
                <w:rFonts w:hint="eastAsia" w:ascii="宋体" w:hAnsi="宋体"/>
                <w:szCs w:val="24"/>
                <w:lang w:val="en-US" w:eastAsia="zh-CN"/>
              </w:rPr>
              <w:t>接收人：浙江鼎峰工程咨询有限公司</w:t>
            </w:r>
            <w:r>
              <w:rPr>
                <w:rFonts w:hint="eastAsia" w:ascii="宋体" w:hAnsi="宋体"/>
                <w:szCs w:val="24"/>
              </w:rPr>
              <w:t xml:space="preserve"> </w:t>
            </w:r>
          </w:p>
          <w:p>
            <w:pPr>
              <w:ind w:left="118" w:hanging="117" w:hangingChars="49"/>
              <w:rPr>
                <w:rFonts w:hint="eastAsia" w:ascii="宋体" w:hAnsi="宋体"/>
                <w:sz w:val="24"/>
              </w:rPr>
            </w:pPr>
            <w:r>
              <w:rPr>
                <w:rFonts w:hint="eastAsia" w:ascii="宋体" w:hAnsi="宋体"/>
                <w:sz w:val="24"/>
              </w:rPr>
              <w:t>投标截止时间：</w:t>
            </w:r>
            <w:r>
              <w:rPr>
                <w:rFonts w:hint="eastAsia" w:ascii="宋体" w:hAnsi="宋体"/>
                <w:b/>
                <w:sz w:val="24"/>
                <w:u w:val="single"/>
              </w:rPr>
              <w:t>2019年  2  月  15 日上午9 时00分</w:t>
            </w:r>
          </w:p>
          <w:p>
            <w:pPr>
              <w:rPr>
                <w:rFonts w:hint="eastAsia" w:ascii="宋体" w:hAnsi="宋体"/>
                <w:sz w:val="24"/>
              </w:rPr>
            </w:pPr>
            <w:r>
              <w:rPr>
                <w:rFonts w:hint="eastAsia" w:ascii="宋体" w:hAnsi="宋体"/>
                <w:sz w:val="24"/>
              </w:rPr>
              <w:t>提交投标文件地点：丽水市公共资源交易中心（丽水市莲都区人民街615号，商会大厦五楼。）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0"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12</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开标时间</w:t>
            </w:r>
          </w:p>
          <w:p>
            <w:pPr>
              <w:jc w:val="left"/>
              <w:rPr>
                <w:rFonts w:hint="eastAsia" w:ascii="宋体" w:hAnsi="宋体"/>
                <w:bCs/>
                <w:snapToGrid w:val="0"/>
                <w:sz w:val="24"/>
              </w:rPr>
            </w:pPr>
            <w:r>
              <w:rPr>
                <w:rFonts w:hint="eastAsia" w:ascii="宋体" w:hAnsi="宋体"/>
                <w:bCs/>
                <w:snapToGrid w:val="0"/>
                <w:sz w:val="24"/>
              </w:rPr>
              <w:t>及地点</w:t>
            </w:r>
          </w:p>
        </w:tc>
        <w:tc>
          <w:tcPr>
            <w:tcW w:w="7525" w:type="dxa"/>
            <w:gridSpan w:val="3"/>
            <w:tcBorders>
              <w:right w:val="double" w:color="auto" w:sz="4" w:space="0"/>
            </w:tcBorders>
            <w:noWrap w:val="0"/>
            <w:vAlign w:val="center"/>
          </w:tcPr>
          <w:p>
            <w:pPr>
              <w:rPr>
                <w:rFonts w:hint="eastAsia" w:ascii="宋体" w:hAnsi="宋体"/>
                <w:b/>
                <w:sz w:val="24"/>
                <w:u w:val="single"/>
              </w:rPr>
            </w:pPr>
            <w:r>
              <w:rPr>
                <w:rFonts w:hint="eastAsia" w:ascii="宋体" w:hAnsi="宋体"/>
                <w:b/>
                <w:sz w:val="24"/>
                <w:u w:val="single"/>
              </w:rPr>
              <w:t>时间：2019年  2 月  15  日上午9 时00分开始</w:t>
            </w:r>
          </w:p>
          <w:p>
            <w:pPr>
              <w:rPr>
                <w:rFonts w:hint="eastAsia" w:ascii="宋体" w:hAnsi="宋体"/>
                <w:bCs/>
                <w:sz w:val="24"/>
              </w:rPr>
            </w:pPr>
            <w:r>
              <w:rPr>
                <w:rFonts w:hint="eastAsia" w:ascii="宋体" w:hAnsi="宋体"/>
                <w:bCs/>
                <w:sz w:val="24"/>
              </w:rPr>
              <w:t>地点：</w:t>
            </w:r>
            <w:r>
              <w:rPr>
                <w:rFonts w:hint="eastAsia" w:ascii="宋体" w:hAnsi="宋体"/>
                <w:sz w:val="24"/>
              </w:rPr>
              <w:t>丽水市公共资源交易中心（丽水市莲都区人民街615号，商会大厦五楼。）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13</w:t>
            </w:r>
          </w:p>
        </w:tc>
        <w:tc>
          <w:tcPr>
            <w:tcW w:w="1704" w:type="dxa"/>
            <w:tcBorders>
              <w:left w:val="single" w:color="auto" w:sz="4" w:space="0"/>
            </w:tcBorders>
            <w:noWrap w:val="0"/>
            <w:vAlign w:val="center"/>
          </w:tcPr>
          <w:p>
            <w:pPr>
              <w:jc w:val="center"/>
              <w:rPr>
                <w:rFonts w:hint="eastAsia" w:ascii="宋体" w:hAnsi="宋体"/>
                <w:bCs/>
                <w:sz w:val="24"/>
              </w:rPr>
            </w:pPr>
            <w:r>
              <w:rPr>
                <w:rFonts w:hint="eastAsia" w:ascii="宋体" w:hAnsi="宋体"/>
                <w:bCs/>
                <w:sz w:val="24"/>
              </w:rPr>
              <w:t>中标结果公告及中标通知书</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kern w:val="0"/>
                <w:sz w:val="24"/>
              </w:rPr>
              <w:t>评标报告经采购人确认后2个工作日内，中标公告在浙江政府采购网（www.zjzfcg.gov.cn）、丽水市公共资源交易网（www.lssggzy.com）等媒体上发布，并发出中标通知书。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9"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14</w:t>
            </w:r>
          </w:p>
        </w:tc>
        <w:tc>
          <w:tcPr>
            <w:tcW w:w="1704" w:type="dxa"/>
            <w:tcBorders>
              <w:left w:val="single" w:color="auto" w:sz="4" w:space="0"/>
            </w:tcBorders>
            <w:noWrap w:val="0"/>
            <w:vAlign w:val="center"/>
          </w:tcPr>
          <w:p>
            <w:pPr>
              <w:jc w:val="left"/>
              <w:rPr>
                <w:rFonts w:hint="eastAsia" w:ascii="宋体" w:hAnsi="宋体"/>
                <w:bCs/>
                <w:snapToGrid w:val="0"/>
                <w:sz w:val="24"/>
              </w:rPr>
            </w:pPr>
            <w:r>
              <w:rPr>
                <w:rFonts w:hint="eastAsia" w:ascii="宋体" w:hAnsi="宋体"/>
                <w:bCs/>
                <w:snapToGrid w:val="0"/>
                <w:sz w:val="24"/>
              </w:rPr>
              <w:t>评标办法</w:t>
            </w:r>
          </w:p>
          <w:p>
            <w:pPr>
              <w:jc w:val="left"/>
              <w:rPr>
                <w:rFonts w:hint="eastAsia" w:ascii="宋体" w:hAnsi="宋体"/>
                <w:bCs/>
                <w:snapToGrid w:val="0"/>
                <w:sz w:val="24"/>
              </w:rPr>
            </w:pPr>
            <w:r>
              <w:rPr>
                <w:rFonts w:hint="eastAsia" w:ascii="宋体" w:hAnsi="宋体"/>
                <w:bCs/>
                <w:snapToGrid w:val="0"/>
                <w:sz w:val="24"/>
              </w:rPr>
              <w:t>和细则</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15</w:t>
            </w:r>
          </w:p>
        </w:tc>
        <w:tc>
          <w:tcPr>
            <w:tcW w:w="1704" w:type="dxa"/>
            <w:tcBorders>
              <w:left w:val="single" w:color="auto" w:sz="4" w:space="0"/>
            </w:tcBorders>
            <w:noWrap w:val="0"/>
            <w:vAlign w:val="center"/>
          </w:tcPr>
          <w:p>
            <w:pPr>
              <w:rPr>
                <w:rFonts w:hint="eastAsia" w:ascii="宋体" w:hAnsi="宋体"/>
                <w:bCs/>
                <w:sz w:val="24"/>
              </w:rPr>
            </w:pPr>
            <w:r>
              <w:rPr>
                <w:rFonts w:hint="eastAsia" w:ascii="宋体" w:hAnsi="宋体"/>
                <w:bCs/>
                <w:sz w:val="24"/>
              </w:rPr>
              <w:t>签订合同</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16</w:t>
            </w:r>
          </w:p>
        </w:tc>
        <w:tc>
          <w:tcPr>
            <w:tcW w:w="1704" w:type="dxa"/>
            <w:tcBorders>
              <w:left w:val="single" w:color="auto" w:sz="4" w:space="0"/>
            </w:tcBorders>
            <w:noWrap w:val="0"/>
            <w:vAlign w:val="center"/>
          </w:tcPr>
          <w:p>
            <w:pPr>
              <w:rPr>
                <w:rFonts w:hint="eastAsia" w:ascii="宋体" w:hAnsi="宋体"/>
                <w:bCs/>
                <w:snapToGrid w:val="0"/>
                <w:sz w:val="24"/>
              </w:rPr>
            </w:pPr>
            <w:r>
              <w:rPr>
                <w:rFonts w:hint="eastAsia" w:ascii="宋体" w:hAnsi="宋体"/>
                <w:bCs/>
                <w:snapToGrid w:val="0"/>
                <w:sz w:val="24"/>
              </w:rPr>
              <w:t>发布媒体</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浙江政府采购网（www.zjzfcg.gov.cn）、丽水市公共资源交易网（www.lssggzy.com）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jc w:val="center"/>
        </w:trPr>
        <w:tc>
          <w:tcPr>
            <w:tcW w:w="604"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17</w:t>
            </w:r>
          </w:p>
        </w:tc>
        <w:tc>
          <w:tcPr>
            <w:tcW w:w="1704" w:type="dxa"/>
            <w:tcBorders>
              <w:left w:val="single" w:color="auto" w:sz="4" w:space="0"/>
            </w:tcBorders>
            <w:noWrap w:val="0"/>
            <w:vAlign w:val="center"/>
          </w:tcPr>
          <w:p>
            <w:pPr>
              <w:jc w:val="center"/>
              <w:rPr>
                <w:rFonts w:hint="eastAsia" w:ascii="宋体" w:hAnsi="宋体"/>
                <w:bCs/>
                <w:snapToGrid w:val="0"/>
                <w:sz w:val="24"/>
              </w:rPr>
            </w:pPr>
            <w:r>
              <w:rPr>
                <w:rFonts w:hint="eastAsia" w:ascii="宋体" w:hAnsi="宋体"/>
                <w:bCs/>
                <w:sz w:val="24"/>
              </w:rPr>
              <w:t>采购文件</w:t>
            </w:r>
            <w:r>
              <w:rPr>
                <w:rFonts w:hint="eastAsia" w:ascii="宋体" w:hAnsi="宋体"/>
                <w:bCs/>
                <w:snapToGrid w:val="0"/>
                <w:sz w:val="24"/>
              </w:rPr>
              <w:t>解释</w:t>
            </w:r>
          </w:p>
        </w:tc>
        <w:tc>
          <w:tcPr>
            <w:tcW w:w="7525"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本项目采购文件的解释权属于浙江鼎峰工程咨询有限公司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jc w:val="center"/>
        </w:trPr>
        <w:tc>
          <w:tcPr>
            <w:tcW w:w="604" w:type="dxa"/>
            <w:tcBorders>
              <w:left w:val="double" w:color="auto" w:sz="4" w:space="0"/>
              <w:bottom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18</w:t>
            </w:r>
          </w:p>
        </w:tc>
        <w:tc>
          <w:tcPr>
            <w:tcW w:w="1704" w:type="dxa"/>
            <w:tcBorders>
              <w:left w:val="single" w:color="auto" w:sz="4" w:space="0"/>
              <w:bottom w:val="double" w:color="auto" w:sz="4" w:space="0"/>
            </w:tcBorders>
            <w:noWrap w:val="0"/>
            <w:vAlign w:val="center"/>
          </w:tcPr>
          <w:p>
            <w:pPr>
              <w:jc w:val="center"/>
              <w:rPr>
                <w:rFonts w:hint="eastAsia" w:ascii="宋体" w:hAnsi="宋体"/>
                <w:b/>
                <w:sz w:val="24"/>
              </w:rPr>
            </w:pPr>
            <w:r>
              <w:rPr>
                <w:rFonts w:hint="eastAsia" w:ascii="宋体" w:hAnsi="宋体"/>
                <w:b/>
                <w:sz w:val="24"/>
              </w:rPr>
              <w:t>特别提醒</w:t>
            </w:r>
          </w:p>
        </w:tc>
        <w:tc>
          <w:tcPr>
            <w:tcW w:w="7525" w:type="dxa"/>
            <w:gridSpan w:val="3"/>
            <w:tcBorders>
              <w:bottom w:val="double" w:color="auto" w:sz="4" w:space="0"/>
              <w:right w:val="double" w:color="auto" w:sz="4" w:space="0"/>
            </w:tcBorders>
            <w:noWrap w:val="0"/>
            <w:vAlign w:val="center"/>
          </w:tcPr>
          <w:p>
            <w:pPr>
              <w:rPr>
                <w:rFonts w:hint="eastAsia" w:ascii="宋体" w:hAnsi="宋体"/>
                <w:b/>
                <w:sz w:val="24"/>
              </w:rPr>
            </w:pPr>
            <w:r>
              <w:rPr>
                <w:rFonts w:hint="eastAsia" w:ascii="宋体" w:hAnsi="宋体"/>
                <w:b/>
                <w:sz w:val="24"/>
              </w:rPr>
              <w:t>请投标人根据资格审查要求和投标文件格式要求及评标办法要求提供相关原件，未提供原件所造成的风险由投标人自行承担。</w:t>
            </w: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pStyle w:val="4"/>
        <w:spacing w:line="560" w:lineRule="exact"/>
        <w:ind w:firstLine="0" w:firstLineChars="0"/>
        <w:rPr>
          <w:rFonts w:hint="eastAsia" w:ascii="宋体" w:hAnsi="宋体" w:eastAsia="宋体"/>
          <w:lang w:eastAsia="zh-CN"/>
        </w:rPr>
      </w:pPr>
      <w:bookmarkStart w:id="8" w:name="_Toc530665699"/>
      <w:r>
        <w:rPr>
          <w:rFonts w:hint="eastAsia" w:ascii="宋体" w:hAnsi="宋体" w:eastAsia="宋体"/>
        </w:rPr>
        <w:t xml:space="preserve">一   </w:t>
      </w:r>
      <w:r>
        <w:rPr>
          <w:rFonts w:hint="eastAsia" w:ascii="宋体" w:hAnsi="宋体" w:eastAsia="宋体"/>
          <w:lang w:eastAsia="zh-CN"/>
        </w:rPr>
        <w:t>总则</w:t>
      </w:r>
      <w:bookmarkEnd w:id="8"/>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hint="eastAsia" w:ascii="宋体" w:hAnsi="宋体"/>
          <w:sz w:val="24"/>
        </w:rPr>
      </w:pPr>
      <w:r>
        <w:rPr>
          <w:rFonts w:ascii="宋体" w:hAnsi="宋体"/>
          <w:sz w:val="24"/>
        </w:rPr>
        <w:t>2.1.1</w:t>
      </w:r>
      <w:r>
        <w:rPr>
          <w:rFonts w:hint="eastAsia" w:ascii="宋体" w:hAnsi="宋体"/>
          <w:sz w:val="24"/>
        </w:rPr>
        <w:t>“采购人”系丽水市看守所。</w:t>
      </w:r>
    </w:p>
    <w:p>
      <w:pPr>
        <w:spacing w:line="360" w:lineRule="auto"/>
        <w:ind w:firstLine="480" w:firstLineChars="200"/>
        <w:rPr>
          <w:rFonts w:hint="eastAsia" w:ascii="宋体" w:hAnsi="宋体"/>
          <w:sz w:val="24"/>
        </w:rPr>
      </w:pPr>
      <w:r>
        <w:rPr>
          <w:rFonts w:ascii="宋体" w:hAnsi="宋体"/>
          <w:sz w:val="24"/>
        </w:rPr>
        <w:t>2.1.</w:t>
      </w:r>
      <w:r>
        <w:rPr>
          <w:rFonts w:hint="eastAsia" w:ascii="宋体" w:hAnsi="宋体"/>
          <w:sz w:val="24"/>
        </w:rPr>
        <w:t>2 “投标人”系指符合本项目投标人应具备的资格要求并报名参与项目投标的供应商。</w:t>
      </w:r>
    </w:p>
    <w:p>
      <w:pPr>
        <w:spacing w:line="360" w:lineRule="auto"/>
        <w:ind w:firstLine="480" w:firstLineChars="200"/>
        <w:rPr>
          <w:rFonts w:hint="eastAsia" w:ascii="宋体" w:hAnsi="宋体"/>
          <w:sz w:val="24"/>
        </w:rPr>
      </w:pPr>
      <w:r>
        <w:rPr>
          <w:rFonts w:ascii="宋体" w:hAnsi="宋体"/>
          <w:sz w:val="24"/>
        </w:rPr>
        <w:t>2.1.</w:t>
      </w:r>
      <w:r>
        <w:rPr>
          <w:rFonts w:hint="eastAsia" w:ascii="宋体" w:hAnsi="宋体"/>
          <w:sz w:val="24"/>
        </w:rPr>
        <w:t>3 “采购代理机构”系指浙江鼎峰工程咨询有限公司。</w:t>
      </w:r>
    </w:p>
    <w:p>
      <w:pPr>
        <w:spacing w:line="360" w:lineRule="auto"/>
        <w:ind w:firstLine="480" w:firstLineChars="200"/>
        <w:rPr>
          <w:rFonts w:hint="eastAsia" w:ascii="宋体" w:hAnsi="宋体"/>
          <w:sz w:val="24"/>
        </w:rPr>
      </w:pPr>
      <w:r>
        <w:rPr>
          <w:rFonts w:ascii="宋体" w:hAnsi="宋体"/>
          <w:sz w:val="24"/>
        </w:rPr>
        <w:t>2.1.</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hint="eastAsia" w:ascii="宋体" w:hAnsi="宋体"/>
          <w:sz w:val="24"/>
        </w:rPr>
      </w:pPr>
      <w:r>
        <w:rPr>
          <w:rFonts w:hint="eastAsia" w:ascii="宋体" w:hAnsi="宋体"/>
          <w:sz w:val="24"/>
        </w:rPr>
        <w:t>2.1.5“合同”系指委托方、受托方双方签署的规定委托方、受托方双方权利与义务的协议，以及所有的附件、附录和招标文件所提到的构成合同的所有文件。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1.6</w:t>
      </w:r>
      <w:r>
        <w:rPr>
          <w:rFonts w:ascii="宋体" w:hAnsi="宋体"/>
          <w:sz w:val="24"/>
        </w:rPr>
        <w:t xml:space="preserve"> </w:t>
      </w:r>
      <w:r>
        <w:rPr>
          <w:rFonts w:hint="eastAsia" w:ascii="宋体" w:hAnsi="宋体"/>
          <w:sz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1.7</w:t>
      </w:r>
      <w:r>
        <w:rPr>
          <w:rFonts w:ascii="宋体" w:hAnsi="宋体"/>
          <w:sz w:val="24"/>
        </w:rPr>
        <w:t xml:space="preserve"> </w:t>
      </w:r>
      <w:r>
        <w:rPr>
          <w:rFonts w:hint="eastAsia" w:ascii="宋体" w:hAnsi="宋体"/>
          <w:sz w:val="24"/>
        </w:rPr>
        <w:t>“服务”系指投标人按招标文件规定应承担的送货上门、安装、调试、技术协助、校准、培训、技术指导以及其他类似的附随义务。</w:t>
      </w:r>
    </w:p>
    <w:p>
      <w:pPr>
        <w:spacing w:line="360" w:lineRule="auto"/>
        <w:ind w:firstLine="480" w:firstLineChars="200"/>
        <w:rPr>
          <w:rFonts w:hint="eastAsia" w:ascii="宋体" w:hAnsi="宋体"/>
          <w:b/>
          <w:bCs/>
          <w:sz w:val="24"/>
        </w:rPr>
      </w:pPr>
      <w:r>
        <w:rPr>
          <w:rFonts w:hint="eastAsia" w:ascii="宋体" w:hAnsi="宋体"/>
          <w:bCs/>
          <w:sz w:val="24"/>
        </w:rPr>
        <w:t>2.1.8“▲” 系指实质性要求条款。</w:t>
      </w:r>
      <w:r>
        <w:rPr>
          <w:rFonts w:hint="eastAsia" w:ascii="宋体" w:hAnsi="宋体"/>
          <w:b/>
          <w:bCs/>
          <w:sz w:val="24"/>
        </w:rPr>
        <w:t xml:space="preserve"> </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投标人资格条件</w:t>
      </w:r>
    </w:p>
    <w:p>
      <w:pPr>
        <w:spacing w:line="360" w:lineRule="auto"/>
        <w:ind w:firstLine="480" w:firstLineChars="200"/>
        <w:rPr>
          <w:rFonts w:hint="eastAsia" w:ascii="宋体" w:hAnsi="宋体"/>
          <w:sz w:val="24"/>
        </w:rPr>
      </w:pPr>
      <w:r>
        <w:rPr>
          <w:rFonts w:ascii="宋体" w:hAnsi="宋体"/>
          <w:sz w:val="24"/>
        </w:rPr>
        <w:t>3.1</w:t>
      </w:r>
      <w:r>
        <w:rPr>
          <w:rFonts w:hint="eastAsia" w:ascii="宋体" w:hAnsi="宋体"/>
          <w:sz w:val="24"/>
        </w:rPr>
        <w:t>符合第一章第“5”条规定；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2</w:t>
      </w:r>
      <w:r>
        <w:rPr>
          <w:rFonts w:ascii="宋体" w:hAnsi="宋体"/>
          <w:sz w:val="24"/>
        </w:rPr>
        <w:t>按</w:t>
      </w:r>
      <w:r>
        <w:rPr>
          <w:rFonts w:hint="eastAsia" w:ascii="宋体" w:hAnsi="宋体"/>
          <w:sz w:val="24"/>
        </w:rPr>
        <w:t>招标</w:t>
      </w:r>
      <w:r>
        <w:rPr>
          <w:rFonts w:ascii="宋体" w:hAnsi="宋体"/>
          <w:sz w:val="24"/>
        </w:rPr>
        <w:t>文件要求提交</w:t>
      </w:r>
      <w:r>
        <w:rPr>
          <w:rFonts w:hint="eastAsia" w:ascii="宋体" w:hAnsi="宋体"/>
          <w:sz w:val="24"/>
        </w:rPr>
        <w:t>投标</w:t>
      </w:r>
      <w:r>
        <w:rPr>
          <w:rFonts w:ascii="宋体" w:hAnsi="宋体"/>
          <w:sz w:val="24"/>
        </w:rPr>
        <w:t>保证金；</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3投标人应遵守有关的法律、法规和规章条例。</w:t>
      </w:r>
    </w:p>
    <w:p>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本项目</w:t>
      </w:r>
      <w:r>
        <w:rPr>
          <w:rFonts w:hint="eastAsia" w:ascii="宋体" w:hAnsi="宋体"/>
          <w:sz w:val="24"/>
        </w:rPr>
        <w:t>不</w:t>
      </w:r>
      <w:r>
        <w:rPr>
          <w:rFonts w:ascii="宋体" w:hAnsi="宋体"/>
          <w:sz w:val="24"/>
        </w:rPr>
        <w:t>接受联合体投标。</w:t>
      </w:r>
    </w:p>
    <w:p>
      <w:pPr>
        <w:spacing w:line="360" w:lineRule="auto"/>
        <w:ind w:firstLine="482" w:firstLineChars="200"/>
        <w:rPr>
          <w:rFonts w:hint="eastAsia" w:ascii="宋体" w:hAnsi="宋体"/>
          <w:b/>
          <w:sz w:val="24"/>
        </w:rPr>
      </w:pPr>
      <w:r>
        <w:rPr>
          <w:rFonts w:hint="eastAsia" w:ascii="宋体" w:hAnsi="宋体"/>
          <w:b/>
          <w:sz w:val="24"/>
        </w:rPr>
        <w:t>5.特别说明</w:t>
      </w:r>
    </w:p>
    <w:p>
      <w:pPr>
        <w:spacing w:line="360" w:lineRule="auto"/>
        <w:ind w:firstLine="480" w:firstLineChars="200"/>
        <w:rPr>
          <w:rFonts w:hint="eastAsia" w:ascii="宋体" w:hAnsi="宋体"/>
          <w:bCs/>
          <w:sz w:val="24"/>
        </w:rPr>
      </w:pPr>
      <w:r>
        <w:rPr>
          <w:rFonts w:hint="eastAsia" w:ascii="宋体" w:hAnsi="宋体"/>
          <w:bCs/>
          <w:sz w:val="24"/>
        </w:rPr>
        <w:t>▲5.1</w:t>
      </w:r>
      <w:r>
        <w:rPr>
          <w:rFonts w:ascii="宋体" w:hAnsi="宋体"/>
          <w:bCs/>
          <w:sz w:val="24"/>
        </w:rPr>
        <w:t xml:space="preserve"> </w:t>
      </w:r>
      <w:r>
        <w:rPr>
          <w:rFonts w:hint="eastAsia" w:ascii="宋体" w:hAnsi="宋体"/>
          <w:bCs/>
          <w:sz w:val="24"/>
        </w:rPr>
        <w:t>单位负责人为同一人或者存在直接控股、管理关系的不同投标人，以及属于同一母公司或集团的不同投标人不得参加同一合同项下的政府采购活动。</w:t>
      </w:r>
    </w:p>
    <w:p>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sz w:val="24"/>
        </w:rPr>
      </w:pPr>
      <w:r>
        <w:rPr>
          <w:rFonts w:hint="eastAsia" w:ascii="宋体" w:hAnsi="宋体"/>
          <w:sz w:val="24"/>
        </w:rPr>
        <w:t>5.3 多家投标人提供相同品牌的产品参加同一合同项投标的，应当按一家投标人认定。</w:t>
      </w:r>
    </w:p>
    <w:p>
      <w:pPr>
        <w:spacing w:line="360" w:lineRule="auto"/>
        <w:ind w:firstLine="480" w:firstLineChars="200"/>
        <w:rPr>
          <w:rFonts w:hint="eastAsia" w:ascii="宋体" w:hAnsi="宋体"/>
        </w:rPr>
      </w:pPr>
      <w:r>
        <w:rPr>
          <w:rFonts w:hint="eastAsia" w:ascii="宋体" w:hAnsi="宋体"/>
          <w:sz w:val="24"/>
        </w:rPr>
        <w:t>5.4投标人自行承担所有与投标有关的全部费用。</w:t>
      </w:r>
      <w:bookmarkStart w:id="9" w:name="EBb242ed4d95ae426f999df4b9b64f51fb"/>
      <w:r>
        <w:rPr>
          <w:rFonts w:hint="eastAsia" w:ascii="宋体" w:hAnsi="宋体"/>
          <w:sz w:val="20"/>
        </w:rPr>
        <w:t xml:space="preserve"> </w:t>
      </w:r>
      <w:bookmarkEnd w:id="9"/>
      <w:bookmarkStart w:id="10" w:name="EBf33655181aa74616a4714729efbcef95"/>
      <w:r>
        <w:rPr>
          <w:rFonts w:hint="eastAsia" w:ascii="宋体" w:hAnsi="宋体"/>
          <w:sz w:val="20"/>
        </w:rPr>
        <w:t xml:space="preserve"> </w:t>
      </w:r>
      <w:bookmarkEnd w:id="10"/>
    </w:p>
    <w:p>
      <w:pPr>
        <w:pStyle w:val="4"/>
        <w:rPr>
          <w:rFonts w:ascii="宋体" w:hAnsi="宋体" w:eastAsia="宋体"/>
        </w:rPr>
      </w:pPr>
      <w:bookmarkStart w:id="11" w:name="_Toc530665700"/>
      <w:r>
        <w:rPr>
          <w:rFonts w:hint="eastAsia" w:ascii="宋体" w:hAnsi="宋体" w:eastAsia="宋体"/>
        </w:rPr>
        <w:t>二</w:t>
      </w:r>
      <w:r>
        <w:rPr>
          <w:rFonts w:ascii="宋体" w:hAnsi="宋体" w:eastAsia="宋体"/>
        </w:rPr>
        <w:t xml:space="preserve">  </w:t>
      </w:r>
      <w:r>
        <w:rPr>
          <w:rFonts w:hint="eastAsia" w:ascii="宋体" w:hAnsi="宋体" w:eastAsia="宋体"/>
        </w:rPr>
        <w:t xml:space="preserve"> 招标文件说明</w:t>
      </w:r>
      <w:bookmarkEnd w:id="11"/>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6.1.1公开招标投标邀请</w:t>
      </w:r>
    </w:p>
    <w:p>
      <w:pPr>
        <w:spacing w:line="360" w:lineRule="auto"/>
        <w:ind w:firstLine="480" w:firstLineChars="200"/>
        <w:rPr>
          <w:rFonts w:hint="eastAsia"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6.1.3招标要求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hint="eastAsia" w:ascii="宋体" w:hAnsi="宋体"/>
          <w:sz w:val="24"/>
        </w:rPr>
      </w:pPr>
      <w:r>
        <w:rPr>
          <w:rFonts w:hint="eastAsia" w:ascii="宋体" w:hAnsi="宋体"/>
          <w:sz w:val="24"/>
        </w:rPr>
        <w:t>6.1.5投标相关文件格式</w:t>
      </w:r>
    </w:p>
    <w:p>
      <w:pPr>
        <w:spacing w:line="360" w:lineRule="auto"/>
        <w:ind w:firstLine="480" w:firstLineChars="200"/>
        <w:rPr>
          <w:rFonts w:hint="eastAsia" w:ascii="宋体" w:hAnsi="宋体"/>
          <w:sz w:val="24"/>
        </w:rPr>
      </w:pPr>
      <w:r>
        <w:rPr>
          <w:rFonts w:hint="eastAsia" w:ascii="宋体" w:hAnsi="宋体"/>
          <w:sz w:val="24"/>
        </w:rPr>
        <w:t>6.1.6评标办法和细则</w:t>
      </w:r>
    </w:p>
    <w:p>
      <w:pPr>
        <w:spacing w:line="360" w:lineRule="auto"/>
        <w:ind w:firstLine="480" w:firstLineChars="200"/>
        <w:rPr>
          <w:rFonts w:hint="eastAsia"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hint="eastAsia" w:ascii="宋体" w:hAnsi="宋体"/>
          <w:b/>
          <w:sz w:val="24"/>
        </w:rPr>
      </w:pPr>
      <w:r>
        <w:rPr>
          <w:rFonts w:hint="eastAsia" w:ascii="宋体" w:hAnsi="宋体"/>
          <w:b/>
          <w:sz w:val="24"/>
        </w:rPr>
        <w:t>7.投标人的风险</w:t>
      </w:r>
    </w:p>
    <w:p>
      <w:pPr>
        <w:spacing w:line="360" w:lineRule="auto"/>
        <w:ind w:firstLine="480" w:firstLineChars="200"/>
        <w:rPr>
          <w:rFonts w:hint="eastAsia"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招标文件的发售及澄清</w:t>
      </w:r>
    </w:p>
    <w:p>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pacing w:line="360" w:lineRule="auto"/>
        <w:ind w:firstLine="480" w:firstLineChars="200"/>
        <w:rPr>
          <w:rFonts w:hint="eastAsia" w:ascii="宋体" w:hAnsi="宋体"/>
          <w:sz w:val="24"/>
        </w:rPr>
      </w:pPr>
      <w:r>
        <w:rPr>
          <w:rFonts w:hint="eastAsia" w:ascii="宋体" w:hAnsi="宋体"/>
          <w:sz w:val="24"/>
        </w:rPr>
        <w:t>8.2报名投标人应认真阅读招标文件，应于招标文件规定的时间前向采购代理机构（传真）提出澄清申请。采购代理机构对已发出的招标文件进行必要的澄清或者修改。澄清或者修改内容可能影响投标文件编制的，采购代理机构在投标截止时间15日前,在“浙江省政府采购网”、“</w:t>
      </w:r>
      <w:r>
        <w:rPr>
          <w:rFonts w:hint="eastAsia" w:ascii="宋体" w:hAnsi="宋体" w:cs="宋体"/>
          <w:kern w:val="0"/>
          <w:sz w:val="24"/>
        </w:rPr>
        <w:t>丽水市公共资源交易网</w:t>
      </w:r>
      <w:r>
        <w:rPr>
          <w:rFonts w:hint="eastAsia" w:ascii="宋体" w:hAnsi="宋体"/>
          <w:sz w:val="24"/>
        </w:rPr>
        <w:t>”公布更正公告，并对其具有约束力。不足15日的，采购代理机构有权顺延提交投标文件的截止时间。</w:t>
      </w:r>
    </w:p>
    <w:p>
      <w:pPr>
        <w:pStyle w:val="4"/>
        <w:ind w:firstLine="200" w:firstLineChars="0"/>
        <w:rPr>
          <w:rFonts w:ascii="宋体" w:hAnsi="宋体" w:eastAsia="宋体"/>
          <w:sz w:val="32"/>
        </w:rPr>
      </w:pPr>
      <w:bookmarkStart w:id="12" w:name="_Toc530665701"/>
      <w:r>
        <w:rPr>
          <w:rFonts w:hint="eastAsia" w:ascii="宋体" w:hAnsi="宋体" w:eastAsia="宋体"/>
          <w:sz w:val="32"/>
        </w:rPr>
        <w:t>三</w:t>
      </w:r>
      <w:r>
        <w:rPr>
          <w:rFonts w:ascii="宋体" w:hAnsi="宋体" w:eastAsia="宋体"/>
          <w:sz w:val="32"/>
        </w:rPr>
        <w:t xml:space="preserve">   </w:t>
      </w:r>
      <w:r>
        <w:rPr>
          <w:rFonts w:hint="eastAsia" w:ascii="宋体" w:hAnsi="宋体" w:eastAsia="宋体"/>
          <w:sz w:val="32"/>
        </w:rPr>
        <w:t>投标文件的编写</w:t>
      </w:r>
      <w:bookmarkEnd w:id="12"/>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 xml:space="preserve">. </w:t>
      </w:r>
      <w:r>
        <w:rPr>
          <w:rFonts w:hint="eastAsia" w:ascii="宋体" w:hAnsi="宋体"/>
          <w:b/>
          <w:sz w:val="24"/>
        </w:rPr>
        <w:t>投标文件的组成</w:t>
      </w:r>
    </w:p>
    <w:p>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1递交的投标文件应分为资格审查文件、资信及商务文件、技术文件、报价文件四部分,四部分单独密封。资格审查文件、资信及商务文件、技术文件如有报价的内容, 其投标文件无效。报价文件如有资信及商务、技术内容, 其资信及商务、技术内容评标时将作为无效内容。</w:t>
      </w:r>
    </w:p>
    <w:p>
      <w:pPr>
        <w:spacing w:line="360" w:lineRule="auto"/>
        <w:ind w:firstLine="482" w:firstLineChars="200"/>
        <w:rPr>
          <w:rFonts w:hint="eastAsia" w:ascii="宋体" w:hAnsi="宋体"/>
          <w:b/>
          <w:sz w:val="24"/>
        </w:rPr>
      </w:pPr>
      <w:r>
        <w:rPr>
          <w:rFonts w:hint="eastAsia" w:ascii="宋体" w:hAnsi="宋体"/>
          <w:b/>
          <w:sz w:val="24"/>
        </w:rPr>
        <w:t>11. 投标文件编制内容和要求</w:t>
      </w:r>
    </w:p>
    <w:p>
      <w:pPr>
        <w:spacing w:line="360" w:lineRule="auto"/>
        <w:ind w:firstLine="482" w:firstLineChars="200"/>
        <w:rPr>
          <w:rFonts w:hint="eastAsia" w:ascii="宋体" w:hAnsi="宋体"/>
          <w:b/>
          <w:sz w:val="24"/>
        </w:rPr>
      </w:pPr>
      <w:r>
        <w:rPr>
          <w:rFonts w:hint="eastAsia" w:ascii="宋体" w:hAnsi="宋体"/>
          <w:b/>
          <w:sz w:val="24"/>
        </w:rPr>
        <w:t>11.1</w:t>
      </w:r>
      <w:r>
        <w:rPr>
          <w:rFonts w:ascii="宋体" w:hAnsi="宋体"/>
          <w:b/>
          <w:sz w:val="24"/>
        </w:rPr>
        <w:t xml:space="preserve"> </w:t>
      </w:r>
      <w:r>
        <w:rPr>
          <w:rFonts w:hint="eastAsia" w:ascii="宋体" w:hAnsi="宋体"/>
          <w:b/>
          <w:sz w:val="24"/>
        </w:rPr>
        <w:t>资格</w:t>
      </w:r>
      <w:r>
        <w:rPr>
          <w:rFonts w:ascii="宋体" w:hAnsi="宋体"/>
          <w:b/>
          <w:sz w:val="24"/>
        </w:rPr>
        <w:t>审查文件</w:t>
      </w:r>
      <w:r>
        <w:rPr>
          <w:rFonts w:hint="eastAsia" w:ascii="宋体" w:hAnsi="宋体"/>
          <w:b/>
          <w:sz w:val="24"/>
        </w:rPr>
        <w:t>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第五章资格审查文件格式</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 xml:space="preserve">11.1.1 </w:t>
      </w:r>
      <w:r>
        <w:rPr>
          <w:rFonts w:hint="eastAsia" w:ascii="宋体" w:hAnsi="宋体"/>
          <w:sz w:val="24"/>
        </w:rPr>
        <w:t>公司有效营业执照</w:t>
      </w:r>
      <w:r>
        <w:rPr>
          <w:rFonts w:hint="eastAsia" w:ascii="宋体" w:hAnsi="宋体"/>
          <w:sz w:val="24"/>
          <w:u w:val="single"/>
        </w:rPr>
        <w:t>原件和复印件</w:t>
      </w:r>
      <w:r>
        <w:rPr>
          <w:rFonts w:hint="eastAsia" w:ascii="宋体" w:hAnsi="宋体"/>
          <w:kern w:val="0"/>
          <w:sz w:val="24"/>
        </w:rPr>
        <w:t>（在</w:t>
      </w:r>
      <w:r>
        <w:rPr>
          <w:rFonts w:ascii="宋体" w:hAnsi="宋体"/>
          <w:kern w:val="0"/>
          <w:sz w:val="24"/>
        </w:rPr>
        <w:t>浙江政府采购网注册的供应</w:t>
      </w:r>
      <w:r>
        <w:rPr>
          <w:rFonts w:hint="eastAsia" w:ascii="宋体" w:hAnsi="宋体"/>
          <w:kern w:val="0"/>
          <w:sz w:val="24"/>
        </w:rPr>
        <w:t>商</w:t>
      </w:r>
      <w:r>
        <w:rPr>
          <w:rFonts w:ascii="宋体" w:hAnsi="宋体"/>
          <w:kern w:val="0"/>
          <w:sz w:val="24"/>
        </w:rPr>
        <w:t>不需要提供原件</w:t>
      </w:r>
      <w:r>
        <w:rPr>
          <w:rFonts w:hint="eastAsia" w:ascii="宋体" w:hAnsi="宋体"/>
          <w:kern w:val="0"/>
          <w:sz w:val="24"/>
        </w:rPr>
        <w:t>核对，但须</w:t>
      </w:r>
      <w:r>
        <w:rPr>
          <w:rFonts w:ascii="宋体" w:hAnsi="宋体"/>
          <w:kern w:val="0"/>
          <w:sz w:val="24"/>
        </w:rPr>
        <w:t>提供</w:t>
      </w:r>
      <w:r>
        <w:rPr>
          <w:rFonts w:hint="eastAsia" w:ascii="宋体" w:hAnsi="宋体"/>
          <w:kern w:val="0"/>
          <w:sz w:val="24"/>
        </w:rPr>
        <w:t>浙江</w:t>
      </w:r>
      <w:r>
        <w:rPr>
          <w:rFonts w:ascii="宋体" w:hAnsi="宋体"/>
          <w:kern w:val="0"/>
          <w:sz w:val="24"/>
        </w:rPr>
        <w:t>政府采购网注册供应商注册信息内容截图</w:t>
      </w:r>
      <w:r>
        <w:rPr>
          <w:rFonts w:hint="eastAsia" w:ascii="宋体" w:hAnsi="宋体"/>
          <w:kern w:val="0"/>
          <w:sz w:val="24"/>
        </w:rPr>
        <w:t>）；</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 xml:space="preserve">11.1.2 </w:t>
      </w:r>
      <w:r>
        <w:rPr>
          <w:rFonts w:hint="eastAsia" w:ascii="宋体" w:hAnsi="宋体"/>
          <w:sz w:val="24"/>
        </w:rPr>
        <w:t>负责人身份证</w:t>
      </w:r>
      <w:r>
        <w:rPr>
          <w:rFonts w:hint="eastAsia" w:ascii="宋体" w:hAnsi="宋体"/>
          <w:sz w:val="24"/>
          <w:u w:val="single"/>
        </w:rPr>
        <w:t>原件和复印件</w:t>
      </w:r>
      <w:r>
        <w:rPr>
          <w:rFonts w:hint="eastAsia" w:ascii="宋体" w:hAnsi="宋体"/>
          <w:sz w:val="24"/>
        </w:rPr>
        <w:t>（委托代理人参加投标的，提供负责人身份证</w:t>
      </w:r>
      <w:r>
        <w:rPr>
          <w:rFonts w:hint="eastAsia" w:ascii="宋体" w:hAnsi="宋体"/>
          <w:sz w:val="24"/>
          <w:u w:val="single"/>
        </w:rPr>
        <w:t>复印件</w:t>
      </w:r>
      <w:r>
        <w:rPr>
          <w:rFonts w:hint="eastAsia" w:ascii="宋体" w:hAnsi="宋体"/>
          <w:sz w:val="24"/>
        </w:rPr>
        <w:t>，同时提供授权委托书及委托代理人身份证</w:t>
      </w:r>
      <w:r>
        <w:rPr>
          <w:rFonts w:hint="eastAsia" w:ascii="宋体" w:hAnsi="宋体"/>
          <w:sz w:val="24"/>
          <w:u w:val="single"/>
        </w:rPr>
        <w:t>原件和复印件）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 xml:space="preserve">11.1.3 </w:t>
      </w:r>
      <w:r>
        <w:rPr>
          <w:rFonts w:hint="eastAsia" w:ascii="宋体" w:hAnsi="宋体"/>
          <w:sz w:val="24"/>
        </w:rPr>
        <w:t>投标人财务状况报告，应提供经审计的财务报告或银行出具的资信证明；</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 xml:space="preserve">11.1.4 </w:t>
      </w:r>
      <w:r>
        <w:rPr>
          <w:rFonts w:hint="eastAsia" w:ascii="宋体" w:hAnsi="宋体"/>
          <w:sz w:val="24"/>
        </w:rPr>
        <w:t>依法缴纳税收和社会保障资金的相关材料：</w:t>
      </w:r>
    </w:p>
    <w:p>
      <w:pPr>
        <w:spacing w:line="360" w:lineRule="auto"/>
        <w:ind w:firstLine="480" w:firstLineChars="200"/>
        <w:rPr>
          <w:rFonts w:hint="eastAsia" w:ascii="宋体" w:hAnsi="宋体"/>
          <w:sz w:val="24"/>
        </w:rPr>
      </w:pPr>
      <w:r>
        <w:rPr>
          <w:rFonts w:hint="eastAsia" w:ascii="宋体" w:hAnsi="宋体"/>
          <w:sz w:val="24"/>
        </w:rPr>
        <w:t>a.提供投标人税务登记证（国税、地税）</w:t>
      </w:r>
      <w:r>
        <w:rPr>
          <w:rFonts w:hint="eastAsia" w:ascii="宋体" w:hAnsi="宋体"/>
          <w:b/>
          <w:sz w:val="24"/>
        </w:rPr>
        <w:t>和</w:t>
      </w:r>
      <w:r>
        <w:rPr>
          <w:rFonts w:hint="eastAsia" w:ascii="宋体" w:hAnsi="宋体"/>
          <w:sz w:val="24"/>
        </w:rPr>
        <w:t>参加本项目采购活动前近三个月内相应税务机关出具的完税证明，包括增值税、企业所得税等凭据的复印件；</w:t>
      </w:r>
    </w:p>
    <w:p>
      <w:pPr>
        <w:spacing w:line="360" w:lineRule="auto"/>
        <w:ind w:firstLine="480" w:firstLineChars="200"/>
        <w:rPr>
          <w:rFonts w:hint="eastAsia" w:ascii="宋体" w:hAnsi="宋体"/>
          <w:sz w:val="24"/>
        </w:rPr>
      </w:pPr>
      <w:r>
        <w:rPr>
          <w:rFonts w:hint="eastAsia" w:ascii="宋体" w:hAnsi="宋体"/>
          <w:sz w:val="24"/>
        </w:rPr>
        <w:t>b.提供投标人社会保险登记证</w:t>
      </w:r>
      <w:r>
        <w:rPr>
          <w:rFonts w:hint="eastAsia" w:ascii="宋体" w:hAnsi="宋体"/>
          <w:b/>
          <w:sz w:val="24"/>
        </w:rPr>
        <w:t>和</w:t>
      </w:r>
      <w:r>
        <w:rPr>
          <w:rFonts w:hint="eastAsia" w:ascii="宋体" w:hAnsi="宋体"/>
          <w:sz w:val="24"/>
        </w:rPr>
        <w:t>参加政府采购活动前近三个月内任意一个月的缴纳社会保险的凭据（专用收据或社会保险缴纳清单）复印件；</w:t>
      </w:r>
    </w:p>
    <w:p>
      <w:pPr>
        <w:spacing w:line="360" w:lineRule="auto"/>
        <w:ind w:firstLine="480" w:firstLineChars="200"/>
        <w:rPr>
          <w:rFonts w:hint="eastAsia" w:ascii="宋体" w:hAnsi="宋体"/>
          <w:sz w:val="24"/>
        </w:rPr>
      </w:pPr>
      <w:r>
        <w:rPr>
          <w:rFonts w:hint="eastAsia" w:ascii="宋体" w:hAnsi="宋体"/>
          <w:sz w:val="24"/>
        </w:rPr>
        <w:t>c.依法免税或不需要缴纳社会保障资金的投标人，应提供相应文件证明其依法免税</w:t>
      </w:r>
      <w:r>
        <w:rPr>
          <w:rFonts w:hint="eastAsia" w:ascii="宋体" w:hAnsi="宋体"/>
          <w:b/>
          <w:sz w:val="24"/>
        </w:rPr>
        <w:t>或</w:t>
      </w:r>
      <w:r>
        <w:rPr>
          <w:rFonts w:hint="eastAsia" w:ascii="宋体" w:hAnsi="宋体"/>
          <w:sz w:val="24"/>
        </w:rPr>
        <w:t>不需要缴纳社会保障资金的材料复印件；</w:t>
      </w:r>
    </w:p>
    <w:p>
      <w:pPr>
        <w:spacing w:line="360" w:lineRule="auto"/>
        <w:ind w:firstLine="480" w:firstLineChars="200"/>
        <w:rPr>
          <w:rFonts w:ascii="宋体" w:hAnsi="宋体"/>
          <w:sz w:val="24"/>
        </w:rPr>
      </w:pPr>
      <w:r>
        <w:rPr>
          <w:rFonts w:hint="eastAsia" w:ascii="宋体" w:hAnsi="宋体"/>
          <w:sz w:val="24"/>
        </w:rPr>
        <w:t>注：营业执照属于三证合一的，则不需要提供税务登记证复印件；营业执照属于五证合一的，则不需要提供税务登记证和社会保险登记证复印件。</w:t>
      </w:r>
    </w:p>
    <w:p>
      <w:pPr>
        <w:spacing w:line="360" w:lineRule="auto"/>
        <w:ind w:firstLine="480" w:firstLineChars="200"/>
        <w:rPr>
          <w:rFonts w:hint="eastAsia" w:ascii="宋体" w:hAnsi="宋体"/>
          <w:sz w:val="24"/>
        </w:rPr>
      </w:pPr>
      <w:r>
        <w:rPr>
          <w:rFonts w:hint="eastAsia" w:ascii="宋体" w:hAnsi="宋体"/>
          <w:sz w:val="24"/>
        </w:rPr>
        <w:t>▲11.1.5 资格声明</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▲11.1.</w:t>
      </w:r>
      <w:r>
        <w:rPr>
          <w:rFonts w:ascii="宋体" w:hAnsi="宋体"/>
          <w:sz w:val="24"/>
        </w:rPr>
        <w:t>6</w:t>
      </w:r>
      <w:r>
        <w:rPr>
          <w:rFonts w:hint="eastAsia" w:ascii="宋体" w:hAnsi="宋体"/>
          <w:sz w:val="24"/>
        </w:rPr>
        <w:t xml:space="preserve"> 无重大违法记录声明书；</w:t>
      </w:r>
    </w:p>
    <w:p>
      <w:pPr>
        <w:spacing w:line="360" w:lineRule="auto"/>
        <w:ind w:firstLine="482" w:firstLineChars="200"/>
        <w:rPr>
          <w:rFonts w:hint="eastAsia" w:ascii="宋体" w:hAnsi="宋体"/>
          <w:b/>
          <w:sz w:val="24"/>
        </w:rPr>
      </w:pPr>
      <w:r>
        <w:rPr>
          <w:rFonts w:hint="eastAsia" w:ascii="宋体" w:hAnsi="宋体"/>
          <w:b/>
          <w:sz w:val="24"/>
        </w:rPr>
        <w:t>注：以上复印件均需加盖单位章。</w:t>
      </w:r>
      <w:r>
        <w:rPr>
          <w:rFonts w:hint="eastAsia" w:ascii="宋体" w:hAnsi="宋体"/>
          <w:b/>
          <w:kern w:val="0"/>
          <w:sz w:val="24"/>
        </w:rPr>
        <w:t>资格</w:t>
      </w:r>
      <w:r>
        <w:rPr>
          <w:rFonts w:ascii="宋体" w:hAnsi="宋体"/>
          <w:b/>
          <w:kern w:val="0"/>
          <w:sz w:val="24"/>
        </w:rPr>
        <w:t>审查文件</w:t>
      </w:r>
      <w:r>
        <w:rPr>
          <w:rFonts w:hint="eastAsia" w:ascii="宋体" w:hAnsi="宋体"/>
          <w:b/>
          <w:kern w:val="0"/>
          <w:sz w:val="24"/>
        </w:rPr>
        <w:t>应装订成册，纸张建议采用A4规格。上述所涉复印件应装订入资格审查文件中，</w:t>
      </w:r>
      <w:r>
        <w:rPr>
          <w:rFonts w:hint="eastAsia" w:ascii="宋体" w:hAnsi="宋体"/>
          <w:b/>
          <w:sz w:val="24"/>
        </w:rPr>
        <w:t>在资格审查时投标人准备相关原件提交备查，资格审查结束后所有原件交回投标人。资格审查不通过的，不进入下一阶段评标。</w:t>
      </w:r>
    </w:p>
    <w:p>
      <w:pPr>
        <w:spacing w:line="360" w:lineRule="auto"/>
        <w:ind w:firstLine="480" w:firstLineChars="200"/>
        <w:rPr>
          <w:rFonts w:hint="eastAsia" w:ascii="宋体" w:hAnsi="宋体"/>
          <w:sz w:val="24"/>
        </w:rPr>
      </w:pPr>
      <w:r>
        <w:rPr>
          <w:rFonts w:hint="eastAsia" w:ascii="宋体" w:hAnsi="宋体"/>
          <w:sz w:val="24"/>
        </w:rPr>
        <w:t>11.2资信及商务文件编制内容和要求：详见第五章格式。</w:t>
      </w:r>
    </w:p>
    <w:p>
      <w:pPr>
        <w:spacing w:line="360" w:lineRule="auto"/>
        <w:ind w:firstLine="480" w:firstLineChars="200"/>
        <w:rPr>
          <w:rFonts w:hint="eastAsia" w:ascii="宋体" w:hAnsi="宋体"/>
          <w:sz w:val="24"/>
        </w:rPr>
      </w:pPr>
      <w:r>
        <w:rPr>
          <w:rFonts w:hint="eastAsia" w:ascii="宋体" w:hAnsi="宋体"/>
          <w:sz w:val="24"/>
        </w:rPr>
        <w:t>11.3技术文件内容:</w:t>
      </w:r>
    </w:p>
    <w:p>
      <w:pPr>
        <w:spacing w:line="360" w:lineRule="auto"/>
        <w:ind w:firstLine="480" w:firstLineChars="200"/>
        <w:rPr>
          <w:rFonts w:hint="eastAsia" w:ascii="宋体" w:hAnsi="宋体"/>
          <w:sz w:val="24"/>
        </w:rPr>
      </w:pPr>
      <w:r>
        <w:rPr>
          <w:rFonts w:hint="eastAsia" w:ascii="宋体" w:hAnsi="宋体"/>
          <w:sz w:val="24"/>
        </w:rPr>
        <w:t>11.3.1按招标文件第五章投标相关文件格式所列的内容、格式的要求,及投标人认为有必要提供的其它文件；</w:t>
      </w:r>
    </w:p>
    <w:p>
      <w:pPr>
        <w:spacing w:line="360" w:lineRule="auto"/>
        <w:ind w:firstLine="480" w:firstLineChars="200"/>
        <w:rPr>
          <w:rFonts w:hint="eastAsia" w:ascii="宋体" w:hAnsi="宋体"/>
          <w:sz w:val="24"/>
        </w:rPr>
      </w:pPr>
      <w:r>
        <w:rPr>
          <w:rFonts w:hint="eastAsia" w:ascii="宋体" w:hAnsi="宋体"/>
          <w:sz w:val="24"/>
        </w:rPr>
        <w:t>11.3.2投标人需对照招标文件第三章招标要求所列的内容；</w:t>
      </w:r>
    </w:p>
    <w:p>
      <w:pPr>
        <w:spacing w:line="360" w:lineRule="auto"/>
        <w:ind w:firstLine="480" w:firstLineChars="200"/>
        <w:rPr>
          <w:rFonts w:hint="eastAsia" w:ascii="宋体" w:hAnsi="宋体"/>
          <w:sz w:val="24"/>
        </w:rPr>
      </w:pPr>
      <w:r>
        <w:rPr>
          <w:rFonts w:hint="eastAsia" w:ascii="宋体" w:hAnsi="宋体"/>
          <w:sz w:val="24"/>
        </w:rPr>
        <w:t>11.3.3质量合格证明文件及其他相关资料；</w:t>
      </w:r>
    </w:p>
    <w:p>
      <w:pPr>
        <w:spacing w:line="360" w:lineRule="auto"/>
        <w:ind w:firstLine="480" w:firstLineChars="200"/>
        <w:rPr>
          <w:rFonts w:hint="eastAsia" w:ascii="宋体" w:hAnsi="宋体"/>
          <w:sz w:val="24"/>
        </w:rPr>
      </w:pPr>
      <w:r>
        <w:rPr>
          <w:rFonts w:hint="eastAsia" w:ascii="宋体" w:hAnsi="宋体"/>
          <w:sz w:val="24"/>
        </w:rPr>
        <w:t>11.3.4投标人认为有必要提交的其他资料文件；</w:t>
      </w:r>
    </w:p>
    <w:p>
      <w:pPr>
        <w:spacing w:line="360" w:lineRule="auto"/>
        <w:ind w:firstLine="480" w:firstLineChars="200"/>
        <w:rPr>
          <w:rFonts w:hint="eastAsia" w:ascii="宋体" w:hAnsi="宋体"/>
          <w:sz w:val="24"/>
        </w:rPr>
      </w:pPr>
      <w:r>
        <w:rPr>
          <w:rFonts w:hint="eastAsia" w:ascii="宋体" w:hAnsi="宋体"/>
          <w:sz w:val="24"/>
        </w:rPr>
        <w:t>11.4报价文件内容: 详见第五章格式。</w:t>
      </w:r>
    </w:p>
    <w:p>
      <w:pPr>
        <w:spacing w:line="360" w:lineRule="auto"/>
        <w:ind w:firstLine="480" w:firstLineChars="200"/>
        <w:rPr>
          <w:rFonts w:ascii="宋体" w:hAnsi="宋体"/>
          <w:b/>
          <w:sz w:val="24"/>
        </w:rPr>
      </w:pPr>
      <w:r>
        <w:rPr>
          <w:rFonts w:hint="eastAsia" w:ascii="宋体" w:hAnsi="宋体"/>
          <w:sz w:val="24"/>
        </w:rPr>
        <w:t>11.4</w:t>
      </w:r>
      <w:r>
        <w:rPr>
          <w:rFonts w:hint="eastAsia" w:ascii="宋体" w:hAnsi="宋体"/>
          <w:b/>
          <w:sz w:val="24"/>
        </w:rPr>
        <w:t>.</w:t>
      </w:r>
      <w:r>
        <w:rPr>
          <w:rFonts w:hint="eastAsia" w:ascii="宋体" w:hAnsi="宋体"/>
          <w:sz w:val="24"/>
        </w:rPr>
        <w:t>1投标报价要求</w:t>
      </w:r>
    </w:p>
    <w:p>
      <w:pPr>
        <w:spacing w:line="360" w:lineRule="auto"/>
        <w:ind w:firstLine="482" w:firstLineChars="200"/>
        <w:rPr>
          <w:rFonts w:hint="eastAsia" w:ascii="宋体" w:hAnsi="宋体"/>
          <w:b/>
          <w:bCs/>
          <w:sz w:val="24"/>
        </w:rPr>
      </w:pPr>
      <w:r>
        <w:rPr>
          <w:rFonts w:hint="eastAsia" w:ascii="宋体" w:hAnsi="宋体"/>
          <w:b/>
          <w:bCs/>
          <w:sz w:val="24"/>
        </w:rPr>
        <w:t>▲投标人应在招标文件所附的投标价格表上写明投标价。投标人只允许有一个报价,采购人不接受有任何选择的报价。</w:t>
      </w:r>
    </w:p>
    <w:p>
      <w:pPr>
        <w:spacing w:line="360" w:lineRule="auto"/>
        <w:ind w:firstLine="482" w:firstLineChars="200"/>
        <w:rPr>
          <w:rFonts w:hint="eastAsia" w:ascii="宋体" w:hAnsi="宋体"/>
          <w:b/>
          <w:bCs/>
          <w:sz w:val="24"/>
        </w:rPr>
      </w:pPr>
      <w:r>
        <w:rPr>
          <w:rFonts w:hint="eastAsia" w:ascii="宋体" w:hAnsi="宋体"/>
          <w:b/>
          <w:bCs/>
          <w:sz w:val="24"/>
        </w:rPr>
        <w:t>投标报价高于最高限价的不进入报价标评审，视报价分为零分，</w:t>
      </w:r>
      <w:r>
        <w:rPr>
          <w:rFonts w:hint="eastAsia" w:ascii="宋体" w:hAnsi="宋体"/>
          <w:b/>
          <w:sz w:val="24"/>
        </w:rPr>
        <w:t>并不得推荐为中标候选人。</w:t>
      </w:r>
    </w:p>
    <w:p>
      <w:pPr>
        <w:spacing w:line="360" w:lineRule="auto"/>
        <w:ind w:firstLine="480" w:firstLineChars="200"/>
        <w:rPr>
          <w:rFonts w:hint="eastAsia" w:ascii="宋体" w:hAnsi="宋体"/>
          <w:sz w:val="24"/>
        </w:rPr>
      </w:pPr>
      <w:r>
        <w:rPr>
          <w:rFonts w:hint="eastAsia" w:ascii="宋体" w:hAnsi="宋体"/>
          <w:sz w:val="24"/>
        </w:rPr>
        <w:t>11.4</w:t>
      </w:r>
      <w:r>
        <w:rPr>
          <w:rFonts w:hint="eastAsia" w:ascii="宋体" w:hAnsi="宋体"/>
          <w:b/>
          <w:sz w:val="24"/>
        </w:rPr>
        <w:t>.</w:t>
      </w:r>
      <w:r>
        <w:rPr>
          <w:rFonts w:hint="eastAsia" w:ascii="宋体" w:hAnsi="宋体"/>
          <w:sz w:val="24"/>
        </w:rPr>
        <w:t>2投标相关报价明细表填写时应详细注明该表列举的费用及分项清单。</w:t>
      </w:r>
    </w:p>
    <w:p>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排版、封面</w:t>
      </w:r>
      <w:r>
        <w:rPr>
          <w:rFonts w:ascii="宋体" w:hAnsi="宋体"/>
          <w:b/>
          <w:sz w:val="24"/>
        </w:rPr>
        <w:t xml:space="preserve"> </w:t>
      </w:r>
      <w:r>
        <w:rPr>
          <w:rFonts w:hint="eastAsia" w:ascii="宋体" w:hAnsi="宋体"/>
          <w:b/>
          <w:sz w:val="24"/>
        </w:rPr>
        <w:t>、装订</w:t>
      </w:r>
    </w:p>
    <w:p>
      <w:pPr>
        <w:spacing w:line="360" w:lineRule="auto"/>
        <w:ind w:firstLine="480" w:firstLineChars="20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排版：所有文字及表格的纸张应采用白色标准A4纸。所有文字及表格采用黑色进行打印或印刷。</w:t>
      </w:r>
    </w:p>
    <w:p>
      <w:pPr>
        <w:spacing w:line="360" w:lineRule="auto"/>
        <w:ind w:firstLine="480" w:firstLineChars="200"/>
        <w:rPr>
          <w:rFonts w:ascii="宋体" w:hAnsi="宋体"/>
          <w:b/>
          <w:bCs/>
          <w:sz w:val="24"/>
        </w:rPr>
      </w:pPr>
      <w:r>
        <w:rPr>
          <w:rFonts w:hint="eastAsia" w:ascii="宋体" w:hAnsi="宋体"/>
          <w:sz w:val="24"/>
        </w:rPr>
        <w:t>12.2封面：</w:t>
      </w:r>
      <w:r>
        <w:rPr>
          <w:rFonts w:ascii="宋体" w:hAnsi="宋体"/>
          <w:sz w:val="24"/>
        </w:rPr>
        <w:t>用本招标文件提供的封面</w:t>
      </w:r>
      <w:r>
        <w:rPr>
          <w:rFonts w:hint="eastAsia" w:ascii="宋体" w:hAnsi="宋体"/>
          <w:sz w:val="24"/>
        </w:rPr>
        <w:t>制作</w:t>
      </w:r>
      <w:r>
        <w:rPr>
          <w:rFonts w:ascii="宋体" w:hAnsi="宋体"/>
          <w:sz w:val="24"/>
        </w:rPr>
        <w:t>，并在其上按封面标注要求加盖投标人公章</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投标人应按招标文件规定的内容和要求编制投标文件，每套</w:t>
      </w:r>
      <w:r>
        <w:rPr>
          <w:rFonts w:hint="eastAsia" w:ascii="宋体" w:hAnsi="宋体"/>
          <w:bCs/>
          <w:sz w:val="24"/>
        </w:rPr>
        <w:t>投标文件</w:t>
      </w:r>
      <w:r>
        <w:rPr>
          <w:rFonts w:hint="eastAsia" w:ascii="宋体" w:hAnsi="宋体"/>
          <w:kern w:val="0"/>
          <w:sz w:val="24"/>
        </w:rPr>
        <w:t>须清楚的标明“资格</w:t>
      </w:r>
      <w:r>
        <w:rPr>
          <w:rFonts w:ascii="宋体" w:hAnsi="宋体"/>
          <w:kern w:val="0"/>
          <w:sz w:val="24"/>
        </w:rPr>
        <w:t>审查文件</w:t>
      </w:r>
      <w:r>
        <w:rPr>
          <w:rFonts w:hint="eastAsia" w:ascii="宋体" w:hAnsi="宋体"/>
          <w:kern w:val="0"/>
          <w:sz w:val="24"/>
        </w:rPr>
        <w:t>”</w:t>
      </w:r>
      <w:r>
        <w:rPr>
          <w:rFonts w:ascii="宋体" w:hAnsi="宋体"/>
          <w:kern w:val="0"/>
          <w:sz w:val="24"/>
        </w:rPr>
        <w:t>、</w:t>
      </w:r>
      <w:r>
        <w:rPr>
          <w:rFonts w:hint="eastAsia" w:ascii="宋体" w:hAnsi="宋体"/>
          <w:kern w:val="0"/>
          <w:sz w:val="24"/>
        </w:rPr>
        <w:t>“资信及商务文件”、“技术文件”、“报价文件”、“正本”、“副本”的字样。若正本和副本有差异，以正本为准。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2投标文件的正本需打印或印刷，投标文件的副本可采用正本的复印件。</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p>
    <w:p>
      <w:pPr>
        <w:pStyle w:val="4"/>
        <w:ind w:firstLine="643"/>
        <w:rPr>
          <w:rFonts w:hint="eastAsia" w:ascii="宋体" w:hAnsi="宋体" w:eastAsia="宋体"/>
          <w:sz w:val="32"/>
        </w:rPr>
      </w:pPr>
      <w:bookmarkStart w:id="13" w:name="_Toc530665702"/>
      <w:r>
        <w:rPr>
          <w:rFonts w:hint="eastAsia" w:ascii="宋体" w:hAnsi="宋体" w:eastAsia="宋体"/>
          <w:sz w:val="32"/>
        </w:rPr>
        <w:t>四   保证金</w:t>
      </w:r>
      <w:bookmarkEnd w:id="13"/>
    </w:p>
    <w:p>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 xml:space="preserve">. </w:t>
      </w:r>
      <w:r>
        <w:rPr>
          <w:rFonts w:hint="eastAsia" w:ascii="宋体" w:hAnsi="宋体"/>
          <w:b/>
          <w:sz w:val="24"/>
        </w:rPr>
        <w:t>投标保证金</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投标人按</w:t>
      </w:r>
      <w:r>
        <w:rPr>
          <w:rFonts w:hint="eastAsia" w:ascii="宋体" w:hAnsi="宋体"/>
          <w:bCs/>
          <w:sz w:val="24"/>
        </w:rPr>
        <w:t>招标文件</w:t>
      </w:r>
      <w:r>
        <w:rPr>
          <w:rFonts w:hint="eastAsia" w:ascii="宋体" w:hAnsi="宋体"/>
          <w:sz w:val="24"/>
        </w:rPr>
        <w:t>的规定交纳保证金。否则，其投标将被拒绝。</w:t>
      </w:r>
    </w:p>
    <w:p>
      <w:pPr>
        <w:spacing w:line="360" w:lineRule="auto"/>
        <w:ind w:firstLine="480" w:firstLineChars="200"/>
        <w:rPr>
          <w:rFonts w:hint="eastAsia" w:ascii="宋体" w:hAnsi="宋体"/>
          <w:kern w:val="0"/>
          <w:sz w:val="24"/>
        </w:rPr>
      </w:pPr>
      <w:r>
        <w:rPr>
          <w:rFonts w:hint="eastAsia" w:ascii="宋体" w:hAnsi="宋体"/>
          <w:kern w:val="0"/>
          <w:sz w:val="24"/>
        </w:rPr>
        <w:t>15.2 投标保证金按招标公告第“十”点的规定交纳。</w:t>
      </w:r>
    </w:p>
    <w:p>
      <w:pPr>
        <w:spacing w:line="360" w:lineRule="auto"/>
        <w:ind w:firstLine="480" w:firstLineChars="200"/>
        <w:rPr>
          <w:rFonts w:hint="eastAsia" w:ascii="宋体" w:hAnsi="宋体"/>
          <w:sz w:val="24"/>
        </w:rPr>
      </w:pPr>
      <w:r>
        <w:rPr>
          <w:rFonts w:hint="eastAsia" w:ascii="宋体" w:hAnsi="宋体"/>
          <w:sz w:val="24"/>
        </w:rPr>
        <w:t>15.3本项目中标通知书发出之日起5个工作日内退还未中标人的投标保证金，自采购合同签订之日起5个工作日内退还中标人的投标保证金。</w:t>
      </w:r>
    </w:p>
    <w:p>
      <w:pPr>
        <w:spacing w:line="360" w:lineRule="auto"/>
        <w:ind w:firstLine="480" w:firstLineChars="200"/>
        <w:rPr>
          <w:rFonts w:hint="eastAsia" w:ascii="宋体" w:hAnsi="宋体"/>
          <w:sz w:val="24"/>
        </w:rPr>
      </w:pPr>
      <w:r>
        <w:rPr>
          <w:rFonts w:hint="eastAsia" w:ascii="宋体" w:hAnsi="宋体"/>
          <w:sz w:val="24"/>
        </w:rPr>
        <w:t>15.4投标人申请退还投标保证金时须提供：代理机构开具的投标保证金收据原件；投标人帐号、开户行。投标人未按要求提供材料导致无法及时退还的风险由投标人自行承担。</w:t>
      </w:r>
    </w:p>
    <w:p>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5投标人有下列情形之一的，投标保证金将不予退还：</w:t>
      </w:r>
    </w:p>
    <w:p>
      <w:pPr>
        <w:spacing w:line="360" w:lineRule="auto"/>
        <w:ind w:firstLine="480" w:firstLineChars="200"/>
        <w:rPr>
          <w:rFonts w:ascii="宋体" w:hAnsi="宋体"/>
          <w:sz w:val="24"/>
        </w:rPr>
      </w:pPr>
      <w:r>
        <w:rPr>
          <w:rFonts w:hint="eastAsia" w:ascii="宋体" w:hAnsi="宋体"/>
          <w:sz w:val="24"/>
        </w:rPr>
        <w:t>15.5.1开标后投标人在投标有效期内撤回投标文件的;</w:t>
      </w:r>
      <w:r>
        <w:rPr>
          <w:rFonts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15.5.2中标人无正当理由不与采购人签订合同的;</w:t>
      </w:r>
    </w:p>
    <w:p>
      <w:pPr>
        <w:spacing w:line="360" w:lineRule="auto"/>
        <w:ind w:firstLine="480" w:firstLineChars="200"/>
        <w:rPr>
          <w:rFonts w:hint="eastAsia" w:ascii="宋体" w:hAnsi="宋体"/>
          <w:sz w:val="24"/>
        </w:rPr>
      </w:pPr>
      <w:r>
        <w:rPr>
          <w:rFonts w:hint="eastAsia" w:ascii="宋体" w:hAnsi="宋体"/>
          <w:sz w:val="24"/>
        </w:rPr>
        <w:t>15.5.3违反投标承诺函的相关内容及条款的；</w:t>
      </w:r>
    </w:p>
    <w:p>
      <w:pPr>
        <w:spacing w:line="360" w:lineRule="auto"/>
        <w:ind w:firstLine="480" w:firstLineChars="200"/>
        <w:rPr>
          <w:rFonts w:hint="eastAsia" w:ascii="宋体" w:hAnsi="宋体"/>
          <w:sz w:val="24"/>
        </w:rPr>
      </w:pPr>
      <w:r>
        <w:rPr>
          <w:rFonts w:hint="eastAsia" w:ascii="宋体" w:hAnsi="宋体"/>
          <w:sz w:val="24"/>
        </w:rPr>
        <w:t>15.5.4提供虚假材料谋取中标的;</w:t>
      </w:r>
    </w:p>
    <w:p>
      <w:pPr>
        <w:spacing w:line="360" w:lineRule="auto"/>
        <w:ind w:firstLine="480" w:firstLineChars="200"/>
        <w:rPr>
          <w:rFonts w:hint="eastAsia" w:ascii="宋体" w:hAnsi="宋体"/>
          <w:sz w:val="24"/>
        </w:rPr>
      </w:pPr>
      <w:r>
        <w:rPr>
          <w:rFonts w:hint="eastAsia" w:ascii="宋体" w:hAnsi="宋体"/>
          <w:sz w:val="24"/>
        </w:rPr>
        <w:t>15.5.5采取不正当手段诋毁、排挤其他投标人的;</w:t>
      </w:r>
    </w:p>
    <w:p>
      <w:pPr>
        <w:spacing w:line="360" w:lineRule="auto"/>
        <w:ind w:firstLine="480" w:firstLineChars="200"/>
        <w:rPr>
          <w:rFonts w:hint="eastAsia" w:ascii="宋体" w:hAnsi="宋体"/>
          <w:sz w:val="24"/>
        </w:rPr>
      </w:pPr>
      <w:r>
        <w:rPr>
          <w:rFonts w:hint="eastAsia" w:ascii="宋体" w:hAnsi="宋体"/>
          <w:sz w:val="24"/>
        </w:rPr>
        <w:t>15.5.6与采购人、采购代理机构、其他投标人恶意串通的;</w:t>
      </w:r>
    </w:p>
    <w:p>
      <w:pPr>
        <w:spacing w:line="360" w:lineRule="auto"/>
        <w:ind w:firstLine="480" w:firstLineChars="200"/>
        <w:rPr>
          <w:rFonts w:hint="eastAsia" w:ascii="宋体" w:hAnsi="宋体"/>
          <w:sz w:val="24"/>
        </w:rPr>
      </w:pPr>
      <w:r>
        <w:rPr>
          <w:rFonts w:hint="eastAsia" w:ascii="宋体" w:hAnsi="宋体"/>
          <w:sz w:val="24"/>
        </w:rPr>
        <w:t>15.5.7向采购人、采购代理机构行贿或者提供其他不正当利益的;</w:t>
      </w:r>
    </w:p>
    <w:p>
      <w:pPr>
        <w:spacing w:line="360" w:lineRule="auto"/>
        <w:ind w:firstLine="480" w:firstLineChars="200"/>
        <w:rPr>
          <w:rFonts w:hint="eastAsia" w:ascii="宋体" w:hAnsi="宋体"/>
          <w:sz w:val="24"/>
        </w:rPr>
      </w:pPr>
      <w:r>
        <w:rPr>
          <w:rFonts w:hint="eastAsia" w:ascii="宋体" w:hAnsi="宋体"/>
          <w:sz w:val="24"/>
        </w:rPr>
        <w:t>15.5.8在招标过程中与采购人进行协商谈判、不按照招标文件和中标人投标文件订立合同,或者与采购人另行订立背离合同实质性内容协议的;</w:t>
      </w:r>
    </w:p>
    <w:p>
      <w:pPr>
        <w:spacing w:line="360" w:lineRule="auto"/>
        <w:ind w:firstLine="480" w:firstLineChars="200"/>
        <w:rPr>
          <w:rFonts w:hint="eastAsia" w:ascii="宋体" w:hAnsi="宋体"/>
          <w:sz w:val="24"/>
        </w:rPr>
      </w:pPr>
      <w:r>
        <w:rPr>
          <w:rFonts w:hint="eastAsia" w:ascii="宋体" w:hAnsi="宋体"/>
          <w:sz w:val="24"/>
        </w:rPr>
        <w:t>15.5.9拒绝有关部门监督检查或者提供虚假情况的；</w:t>
      </w:r>
    </w:p>
    <w:p>
      <w:pPr>
        <w:spacing w:line="360" w:lineRule="auto"/>
        <w:ind w:firstLine="480" w:firstLineChars="200"/>
        <w:rPr>
          <w:rFonts w:hint="eastAsia" w:ascii="宋体" w:hAnsi="宋体"/>
          <w:sz w:val="24"/>
        </w:rPr>
      </w:pPr>
      <w:r>
        <w:rPr>
          <w:rFonts w:hint="eastAsia" w:ascii="宋体" w:hAnsi="宋体"/>
          <w:sz w:val="24"/>
        </w:rPr>
        <w:t>15.5.10将中标项目转让给他人或者在投标文件中未说明且未经采购人同意将中标项目分包或转包给他人的；</w:t>
      </w:r>
    </w:p>
    <w:p>
      <w:pPr>
        <w:spacing w:line="360" w:lineRule="auto"/>
        <w:ind w:firstLine="480" w:firstLineChars="200"/>
        <w:rPr>
          <w:rFonts w:hint="eastAsia" w:ascii="宋体" w:hAnsi="宋体"/>
          <w:sz w:val="24"/>
        </w:rPr>
      </w:pPr>
      <w:r>
        <w:rPr>
          <w:rFonts w:hint="eastAsia" w:ascii="宋体" w:hAnsi="宋体"/>
          <w:sz w:val="24"/>
        </w:rPr>
        <w:t>15.5.11拒绝履行合同义务的；</w:t>
      </w:r>
    </w:p>
    <w:p>
      <w:pPr>
        <w:spacing w:line="360" w:lineRule="auto"/>
        <w:ind w:firstLine="480" w:firstLineChars="200"/>
        <w:rPr>
          <w:rFonts w:hint="eastAsia" w:ascii="宋体" w:hAnsi="宋体"/>
          <w:sz w:val="24"/>
        </w:rPr>
      </w:pPr>
      <w:r>
        <w:rPr>
          <w:rFonts w:hint="eastAsia" w:ascii="宋体" w:hAnsi="宋体"/>
          <w:sz w:val="24"/>
        </w:rPr>
        <w:t>15.5.12其他严重扰乱招投标程序的；</w:t>
      </w:r>
    </w:p>
    <w:p>
      <w:pPr>
        <w:pStyle w:val="4"/>
        <w:ind w:firstLine="643"/>
        <w:rPr>
          <w:rFonts w:ascii="宋体" w:hAnsi="宋体" w:eastAsia="宋体"/>
          <w:sz w:val="32"/>
        </w:rPr>
      </w:pPr>
      <w:bookmarkStart w:id="14" w:name="_Toc107820049"/>
      <w:bookmarkStart w:id="15" w:name="_Toc56928685"/>
      <w:bookmarkStart w:id="16" w:name="_Toc530665703"/>
      <w:r>
        <w:rPr>
          <w:rFonts w:hint="eastAsia" w:ascii="宋体" w:hAnsi="宋体" w:eastAsia="宋体"/>
          <w:sz w:val="32"/>
        </w:rPr>
        <w:t>五</w:t>
      </w:r>
      <w:r>
        <w:rPr>
          <w:rFonts w:ascii="宋体" w:hAnsi="宋体" w:eastAsia="宋体"/>
          <w:sz w:val="32"/>
        </w:rPr>
        <w:t xml:space="preserve">  </w:t>
      </w:r>
      <w:r>
        <w:rPr>
          <w:rFonts w:hint="eastAsia" w:ascii="宋体" w:hAnsi="宋体" w:eastAsia="宋体"/>
          <w:sz w:val="32"/>
        </w:rPr>
        <w:t xml:space="preserve"> 投标文件的</w:t>
      </w:r>
      <w:bookmarkEnd w:id="14"/>
      <w:bookmarkEnd w:id="15"/>
      <w:r>
        <w:rPr>
          <w:rFonts w:hint="eastAsia" w:ascii="宋体" w:hAnsi="宋体" w:eastAsia="宋体"/>
          <w:sz w:val="32"/>
        </w:rPr>
        <w:t>包装、提交、修改和撤回</w:t>
      </w:r>
      <w:bookmarkEnd w:id="16"/>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投标文件的密封和标记</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.1</w:t>
      </w:r>
      <w:r>
        <w:rPr>
          <w:rFonts w:ascii="宋体" w:hAnsi="宋体"/>
          <w:sz w:val="24"/>
        </w:rPr>
        <w:t>投标文件</w:t>
      </w:r>
      <w:r>
        <w:rPr>
          <w:rFonts w:hint="eastAsia" w:ascii="宋体" w:hAnsi="宋体"/>
          <w:sz w:val="24"/>
        </w:rPr>
        <w:t>按</w:t>
      </w:r>
      <w:r>
        <w:rPr>
          <w:rFonts w:ascii="宋体" w:hAnsi="宋体"/>
          <w:sz w:val="24"/>
        </w:rPr>
        <w:t>资格审查文件</w:t>
      </w:r>
      <w:r>
        <w:rPr>
          <w:rFonts w:hint="eastAsia" w:ascii="宋体" w:hAnsi="宋体"/>
          <w:sz w:val="24"/>
        </w:rPr>
        <w:t>、资信</w:t>
      </w:r>
      <w:r>
        <w:rPr>
          <w:rFonts w:ascii="宋体" w:hAnsi="宋体"/>
          <w:sz w:val="24"/>
        </w:rPr>
        <w:t>及商务文件</w:t>
      </w:r>
      <w:r>
        <w:rPr>
          <w:rFonts w:hint="eastAsia" w:ascii="宋体" w:hAnsi="宋体"/>
          <w:sz w:val="24"/>
        </w:rPr>
        <w:t>、技术文件、报价文件四部分单独密封封装成</w:t>
      </w:r>
      <w:r>
        <w:rPr>
          <w:rFonts w:hint="eastAsia" w:ascii="宋体" w:hAnsi="宋体"/>
          <w:bCs/>
          <w:sz w:val="24"/>
        </w:rPr>
        <w:t>投标文件</w:t>
      </w:r>
      <w:r>
        <w:rPr>
          <w:rFonts w:hint="eastAsia" w:ascii="宋体" w:hAnsi="宋体"/>
          <w:sz w:val="24"/>
        </w:rPr>
        <w:t>。</w:t>
      </w:r>
      <w:r>
        <w:rPr>
          <w:rFonts w:hint="eastAsia" w:ascii="宋体" w:hAnsi="宋体"/>
          <w:b/>
          <w:sz w:val="24"/>
        </w:rPr>
        <w:t>为方便开标,投标人应将开标一览表单独密封后与报价文件一并提交,并在信封上标明“开标一览表”字样,该信封须与报价文件一起密封。</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投标文件封面及外包装封面要求:</w:t>
      </w:r>
    </w:p>
    <w:p>
      <w:pPr>
        <w:spacing w:line="360" w:lineRule="auto"/>
        <w:ind w:firstLine="480" w:firstLineChars="200"/>
        <w:rPr>
          <w:rFonts w:hint="eastAsia" w:ascii="宋体" w:hAnsi="宋体"/>
          <w:sz w:val="24"/>
        </w:rPr>
      </w:pPr>
      <w:r>
        <w:rPr>
          <w:rFonts w:hint="eastAsia" w:ascii="宋体" w:hAnsi="宋体"/>
          <w:sz w:val="24"/>
        </w:rPr>
        <w:t>16.2.1按招标文件第五章提供的格式制作。</w:t>
      </w:r>
    </w:p>
    <w:p>
      <w:pPr>
        <w:spacing w:line="360" w:lineRule="auto"/>
        <w:ind w:firstLine="480" w:firstLineChars="200"/>
        <w:rPr>
          <w:rFonts w:hint="eastAsia" w:ascii="宋体" w:hAnsi="宋体"/>
          <w:sz w:val="24"/>
        </w:rPr>
      </w:pPr>
      <w:r>
        <w:rPr>
          <w:rFonts w:hint="eastAsia" w:ascii="宋体" w:hAnsi="宋体"/>
          <w:sz w:val="24"/>
        </w:rPr>
        <w:t>16.3 投标文件统一左侧装订，采用不可拆卸方式装订。</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4超过截止时间送达或未按规定签字、盖章、密封的投标文件将被拒绝。由投标人标记错误造成投标文件被误投或提前拆封的风险由投标人承担。</w:t>
      </w:r>
    </w:p>
    <w:p>
      <w:pPr>
        <w:spacing w:line="360" w:lineRule="auto"/>
        <w:ind w:firstLine="482" w:firstLineChars="200"/>
        <w:rPr>
          <w:rFonts w:hint="eastAsia" w:ascii="宋体" w:hAnsi="宋体"/>
          <w:b/>
          <w:sz w:val="24"/>
        </w:rPr>
      </w:pPr>
      <w:r>
        <w:rPr>
          <w:rFonts w:hint="eastAsia" w:ascii="宋体" w:hAnsi="宋体"/>
          <w:b/>
          <w:sz w:val="24"/>
        </w:rPr>
        <w:t>16.5 对以下不符合密封、装订、包装要求的投标文件由现场工作人员退还投标人代表人：</w:t>
      </w:r>
    </w:p>
    <w:p>
      <w:pPr>
        <w:spacing w:line="360" w:lineRule="auto"/>
        <w:ind w:firstLine="480" w:firstLineChars="200"/>
        <w:rPr>
          <w:rFonts w:hint="eastAsia" w:ascii="宋体" w:hAnsi="宋体"/>
          <w:sz w:val="24"/>
        </w:rPr>
      </w:pPr>
      <w:r>
        <w:rPr>
          <w:rFonts w:hint="eastAsia" w:ascii="宋体" w:hAnsi="宋体"/>
          <w:sz w:val="24"/>
        </w:rPr>
        <w:t>16.5.1</w:t>
      </w:r>
      <w:r>
        <w:rPr>
          <w:rFonts w:ascii="宋体" w:hAnsi="宋体"/>
          <w:sz w:val="24"/>
        </w:rPr>
        <w:t xml:space="preserve"> </w:t>
      </w:r>
      <w:r>
        <w:rPr>
          <w:rFonts w:hint="eastAsia" w:ascii="宋体" w:hAnsi="宋体"/>
          <w:sz w:val="24"/>
        </w:rPr>
        <w:t>未按招标文件规定要求密封的；</w:t>
      </w:r>
    </w:p>
    <w:p>
      <w:pPr>
        <w:spacing w:line="360" w:lineRule="auto"/>
        <w:ind w:firstLine="480" w:firstLineChars="200"/>
        <w:rPr>
          <w:rFonts w:hint="eastAsia" w:ascii="宋体" w:hAnsi="宋体"/>
          <w:sz w:val="24"/>
        </w:rPr>
      </w:pPr>
      <w:r>
        <w:rPr>
          <w:rFonts w:hint="eastAsia" w:ascii="宋体" w:hAnsi="宋体"/>
          <w:sz w:val="24"/>
        </w:rPr>
        <w:t>16.5.2</w:t>
      </w:r>
      <w:r>
        <w:rPr>
          <w:rFonts w:ascii="宋体" w:hAnsi="宋体"/>
          <w:sz w:val="24"/>
        </w:rPr>
        <w:t xml:space="preserve"> </w:t>
      </w:r>
      <w:r>
        <w:rPr>
          <w:rFonts w:hint="eastAsia" w:ascii="宋体" w:hAnsi="宋体"/>
          <w:sz w:val="24"/>
        </w:rPr>
        <w:t>未按招标文件规定要求装订的；</w:t>
      </w:r>
    </w:p>
    <w:p>
      <w:pPr>
        <w:spacing w:line="360" w:lineRule="auto"/>
        <w:ind w:firstLine="480" w:firstLineChars="200"/>
        <w:rPr>
          <w:rFonts w:hint="eastAsia" w:ascii="宋体" w:hAnsi="宋体"/>
          <w:sz w:val="24"/>
        </w:rPr>
      </w:pPr>
      <w:r>
        <w:rPr>
          <w:rFonts w:hint="eastAsia" w:ascii="宋体" w:hAnsi="宋体"/>
          <w:sz w:val="24"/>
        </w:rPr>
        <w:t>16.5.3 未按招标文件要求的份数提交的投标文件；</w:t>
      </w:r>
    </w:p>
    <w:p>
      <w:pPr>
        <w:spacing w:line="360" w:lineRule="auto"/>
        <w:ind w:firstLine="480" w:firstLineChars="200"/>
        <w:rPr>
          <w:rFonts w:hint="eastAsia" w:ascii="宋体" w:hAnsi="宋体"/>
          <w:sz w:val="24"/>
        </w:rPr>
      </w:pPr>
      <w:r>
        <w:rPr>
          <w:rFonts w:hint="eastAsia" w:ascii="宋体" w:hAnsi="宋体"/>
          <w:sz w:val="24"/>
        </w:rPr>
        <w:t>16.5.4 投标文件中的资格</w:t>
      </w:r>
      <w:r>
        <w:rPr>
          <w:rFonts w:ascii="宋体" w:hAnsi="宋体"/>
          <w:sz w:val="24"/>
        </w:rPr>
        <w:t>审查文件、</w:t>
      </w:r>
      <w:r>
        <w:rPr>
          <w:rFonts w:hint="eastAsia" w:ascii="宋体" w:hAnsi="宋体"/>
          <w:sz w:val="24"/>
        </w:rPr>
        <w:t>资信及商务文件、技术文件、报价文件出现包装混装。</w:t>
      </w:r>
    </w:p>
    <w:p>
      <w:pPr>
        <w:spacing w:line="360" w:lineRule="auto"/>
        <w:ind w:firstLine="482" w:firstLineChars="200"/>
        <w:rPr>
          <w:rFonts w:ascii="宋体" w:hAnsi="宋体"/>
          <w:b/>
          <w:sz w:val="24"/>
        </w:rPr>
      </w:pPr>
      <w:bookmarkStart w:id="17" w:name="_Toc107820050"/>
      <w:r>
        <w:rPr>
          <w:rFonts w:hint="eastAsia" w:ascii="宋体" w:hAnsi="宋体"/>
          <w:b/>
          <w:sz w:val="24"/>
        </w:rPr>
        <w:t>17</w:t>
      </w:r>
      <w:r>
        <w:rPr>
          <w:rFonts w:ascii="宋体" w:hAnsi="宋体"/>
          <w:b/>
          <w:sz w:val="24"/>
        </w:rPr>
        <w:t>.</w:t>
      </w:r>
      <w:r>
        <w:rPr>
          <w:rFonts w:hint="eastAsia" w:ascii="宋体" w:hAnsi="宋体"/>
          <w:b/>
          <w:sz w:val="24"/>
        </w:rPr>
        <w:t>投标文件的提交</w:t>
      </w:r>
    </w:p>
    <w:p>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.1</w:t>
      </w:r>
      <w:r>
        <w:rPr>
          <w:rFonts w:hint="eastAsia" w:ascii="宋体" w:hAnsi="宋体"/>
          <w:sz w:val="24"/>
        </w:rPr>
        <w:t>在投标截止时间前，投标人应按招标文件规定的时间和地点提交投标文件。在投标截止时间后，采购代理机构将拒收投标人的投标文件。</w:t>
      </w:r>
    </w:p>
    <w:p>
      <w:pPr>
        <w:spacing w:line="360" w:lineRule="auto"/>
        <w:ind w:firstLine="480" w:firstLineChars="200"/>
        <w:rPr>
          <w:rFonts w:ascii="宋体" w:hAnsi="宋体"/>
          <w:sz w:val="24"/>
        </w:rPr>
      </w:pPr>
      <w:r>
        <w:rPr>
          <w:rFonts w:hint="eastAsia" w:ascii="宋体" w:hAnsi="宋体"/>
          <w:sz w:val="24"/>
        </w:rPr>
        <w:t>17.2采购代理机构工作人员将做好投标文件签收手续，明确投标文件的提交时间、投标文件的份数、提交人等信息。</w:t>
      </w:r>
    </w:p>
    <w:p>
      <w:pPr>
        <w:spacing w:line="360" w:lineRule="auto"/>
        <w:ind w:firstLine="482" w:firstLineChars="200"/>
        <w:rPr>
          <w:rFonts w:ascii="宋体" w:hAnsi="宋体"/>
          <w:b/>
          <w:sz w:val="24"/>
        </w:rPr>
      </w:pPr>
      <w:r>
        <w:rPr>
          <w:rFonts w:hint="eastAsia" w:ascii="宋体" w:hAnsi="宋体"/>
          <w:b/>
          <w:sz w:val="24"/>
        </w:rPr>
        <w:t>18</w:t>
      </w:r>
      <w:r>
        <w:rPr>
          <w:rFonts w:ascii="宋体" w:hAnsi="宋体"/>
          <w:b/>
          <w:sz w:val="24"/>
        </w:rPr>
        <w:t>.</w:t>
      </w:r>
      <w:r>
        <w:rPr>
          <w:rFonts w:hint="eastAsia" w:ascii="宋体" w:hAnsi="宋体"/>
          <w:b/>
          <w:sz w:val="24"/>
        </w:rPr>
        <w:t>投标文件的修改和撤销</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.1</w:t>
      </w:r>
      <w:r>
        <w:rPr>
          <w:rFonts w:hint="eastAsia" w:ascii="宋体" w:hAnsi="宋体"/>
          <w:sz w:val="24"/>
        </w:rPr>
        <w:t>在投标截止时间前，投标人可对已提交的投标文件进行修改或撤回,修改或撤回的意思应以书面形式通知采购代理机构。</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修改后重新提交的投标文件应按招标文件的规定编制、密封、标记和提交。</w:t>
      </w:r>
    </w:p>
    <w:p>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480" w:firstLineChars="200"/>
        <w:rPr>
          <w:rFonts w:hint="eastAsia" w:ascii="宋体" w:hAnsi="宋体"/>
        </w:rPr>
      </w:pPr>
      <w:r>
        <w:rPr>
          <w:rFonts w:hint="eastAsia" w:ascii="宋体" w:hAnsi="宋体"/>
          <w:sz w:val="24"/>
        </w:rPr>
        <w:t>18.4</w:t>
      </w:r>
      <w:r>
        <w:rPr>
          <w:rFonts w:hint="eastAsia" w:ascii="宋体" w:hAnsi="宋体"/>
          <w:kern w:val="0"/>
          <w:sz w:val="24"/>
        </w:rPr>
        <w:t>投标文件不得涂改，若有修改错漏处，须加盖投标人公章或者负责人或委托代理人签字或盖章。投标文件因字迹潦草或表达不清所引起的后果由投标人负责。</w:t>
      </w:r>
    </w:p>
    <w:p>
      <w:pPr>
        <w:pStyle w:val="4"/>
        <w:ind w:firstLine="0" w:firstLineChars="0"/>
        <w:rPr>
          <w:rFonts w:hint="eastAsia" w:ascii="宋体" w:hAnsi="宋体" w:eastAsia="宋体"/>
          <w:sz w:val="32"/>
        </w:rPr>
      </w:pPr>
      <w:bookmarkStart w:id="18" w:name="_Toc530665704"/>
      <w:r>
        <w:rPr>
          <w:rFonts w:hint="eastAsia" w:ascii="宋体" w:hAnsi="宋体" w:eastAsia="宋体"/>
          <w:sz w:val="32"/>
        </w:rPr>
        <w:t>六</w:t>
      </w:r>
      <w:r>
        <w:rPr>
          <w:rFonts w:ascii="宋体" w:hAnsi="宋体" w:eastAsia="宋体"/>
          <w:sz w:val="32"/>
        </w:rPr>
        <w:t xml:space="preserve">  </w:t>
      </w:r>
      <w:r>
        <w:rPr>
          <w:rFonts w:hint="eastAsia" w:ascii="宋体" w:hAnsi="宋体" w:eastAsia="宋体"/>
          <w:sz w:val="32"/>
        </w:rPr>
        <w:t xml:space="preserve"> 开标和评</w:t>
      </w:r>
      <w:bookmarkEnd w:id="17"/>
      <w:r>
        <w:rPr>
          <w:rFonts w:hint="eastAsia" w:ascii="宋体" w:hAnsi="宋体" w:eastAsia="宋体"/>
          <w:sz w:val="32"/>
        </w:rPr>
        <w:t>审</w:t>
      </w:r>
      <w:bookmarkEnd w:id="18"/>
    </w:p>
    <w:p>
      <w:pPr>
        <w:spacing w:line="360" w:lineRule="auto"/>
        <w:ind w:firstLine="482" w:firstLineChars="200"/>
        <w:rPr>
          <w:rFonts w:ascii="宋体" w:hAnsi="宋体"/>
          <w:b/>
          <w:sz w:val="24"/>
        </w:rPr>
      </w:pPr>
      <w:r>
        <w:rPr>
          <w:rFonts w:hint="eastAsia" w:ascii="宋体" w:hAnsi="宋体"/>
          <w:b/>
          <w:sz w:val="24"/>
        </w:rPr>
        <w:t>19</w:t>
      </w:r>
      <w:r>
        <w:rPr>
          <w:rFonts w:ascii="宋体" w:hAnsi="宋体"/>
          <w:b/>
          <w:sz w:val="24"/>
        </w:rPr>
        <w:t>.</w:t>
      </w:r>
      <w:r>
        <w:rPr>
          <w:rFonts w:hint="eastAsia" w:ascii="宋体" w:hAnsi="宋体"/>
          <w:b/>
          <w:sz w:val="24"/>
        </w:rPr>
        <w:t>开标</w:t>
      </w:r>
    </w:p>
    <w:p>
      <w:pPr>
        <w:spacing w:line="36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采购代理机构在招标文件规定的时间和地点组织开标。开标时所有投标人应到场，如投标人不派代表参加开标会的，事后不得对采购相关人员、开标过程和开标结果提出异议。</w:t>
      </w:r>
    </w:p>
    <w:p>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.2</w:t>
      </w:r>
      <w:r>
        <w:rPr>
          <w:rFonts w:hint="eastAsia" w:ascii="宋体" w:hAnsi="宋体"/>
          <w:sz w:val="24"/>
        </w:rPr>
        <w:t>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pPr>
        <w:spacing w:line="360" w:lineRule="auto"/>
        <w:ind w:firstLine="480" w:firstLineChars="200"/>
        <w:rPr>
          <w:rFonts w:hint="eastAsia" w:ascii="宋体" w:hAnsi="宋体"/>
          <w:sz w:val="24"/>
        </w:rPr>
      </w:pPr>
      <w:r>
        <w:rPr>
          <w:rFonts w:hint="eastAsia" w:ascii="宋体" w:hAnsi="宋体"/>
          <w:sz w:val="24"/>
        </w:rPr>
        <w:t>投标人认为采购人员及相关人员与其他投标人有利害关系的，可以向采购代理机构书面提出回避申请，并说明理由。</w:t>
      </w:r>
    </w:p>
    <w:p>
      <w:pPr>
        <w:spacing w:line="360" w:lineRule="auto"/>
        <w:ind w:firstLine="480" w:firstLineChars="200"/>
        <w:rPr>
          <w:rFonts w:ascii="宋体" w:hAnsi="宋体"/>
          <w:kern w:val="0"/>
          <w:sz w:val="24"/>
        </w:rPr>
      </w:pPr>
      <w:bookmarkStart w:id="19" w:name="_Toc393869892"/>
      <w:bookmarkStart w:id="20" w:name="_Toc396838136"/>
      <w:bookmarkStart w:id="21" w:name="_Toc415648536"/>
      <w:bookmarkStart w:id="22" w:name="_Toc394928032"/>
      <w:bookmarkStart w:id="23" w:name="_Toc393869894"/>
      <w:bookmarkStart w:id="24" w:name="_Toc335664280"/>
      <w:bookmarkStart w:id="25" w:name="_Toc334087238"/>
      <w:bookmarkStart w:id="26" w:name="_Toc107820051"/>
      <w:r>
        <w:rPr>
          <w:rFonts w:hint="eastAsia" w:ascii="宋体" w:hAnsi="宋体"/>
          <w:sz w:val="24"/>
        </w:rPr>
        <w:t>19</w:t>
      </w:r>
      <w:r>
        <w:rPr>
          <w:rFonts w:ascii="宋体" w:hAnsi="宋体"/>
          <w:sz w:val="24"/>
        </w:rPr>
        <w:t>.3投标文件经投标人或者其推</w:t>
      </w:r>
      <w:r>
        <w:rPr>
          <w:rFonts w:hint="eastAsia" w:ascii="宋体" w:hAnsi="宋体"/>
          <w:sz w:val="24"/>
        </w:rPr>
        <w:t>选</w:t>
      </w:r>
      <w:r>
        <w:rPr>
          <w:rFonts w:ascii="宋体" w:hAnsi="宋体"/>
          <w:sz w:val="24"/>
        </w:rPr>
        <w:t>的代表</w:t>
      </w:r>
      <w:r>
        <w:rPr>
          <w:rFonts w:hint="eastAsia" w:ascii="宋体" w:hAnsi="宋体"/>
          <w:sz w:val="24"/>
        </w:rPr>
        <w:t>检查投标</w:t>
      </w:r>
      <w:r>
        <w:rPr>
          <w:rFonts w:ascii="宋体" w:hAnsi="宋体"/>
          <w:sz w:val="24"/>
        </w:rPr>
        <w:t>文件密封情况</w:t>
      </w:r>
      <w:r>
        <w:rPr>
          <w:rFonts w:hint="eastAsia" w:ascii="宋体" w:hAnsi="宋体"/>
          <w:sz w:val="24"/>
        </w:rPr>
        <w:t>，经投标人</w:t>
      </w:r>
      <w:r>
        <w:rPr>
          <w:rFonts w:ascii="宋体" w:hAnsi="宋体"/>
          <w:sz w:val="24"/>
        </w:rPr>
        <w:t>确认</w:t>
      </w:r>
      <w:r>
        <w:rPr>
          <w:rFonts w:hint="eastAsia" w:ascii="宋体" w:hAnsi="宋体"/>
          <w:sz w:val="24"/>
        </w:rPr>
        <w:t>无误</w:t>
      </w:r>
      <w:r>
        <w:rPr>
          <w:rFonts w:ascii="宋体" w:hAnsi="宋体"/>
          <w:sz w:val="24"/>
        </w:rPr>
        <w:t>后</w:t>
      </w:r>
      <w:r>
        <w:rPr>
          <w:rFonts w:hint="eastAsia" w:ascii="宋体" w:hAnsi="宋体"/>
          <w:sz w:val="24"/>
        </w:rPr>
        <w:t>，采购</w:t>
      </w:r>
      <w:r>
        <w:rPr>
          <w:rFonts w:ascii="宋体" w:hAnsi="宋体"/>
          <w:sz w:val="24"/>
        </w:rPr>
        <w:t>人</w:t>
      </w:r>
      <w:r>
        <w:rPr>
          <w:rFonts w:hint="eastAsia" w:ascii="宋体" w:hAnsi="宋体"/>
          <w:sz w:val="24"/>
        </w:rPr>
        <w:t>和</w:t>
      </w:r>
      <w:r>
        <w:rPr>
          <w:rFonts w:ascii="宋体" w:hAnsi="宋体"/>
          <w:sz w:val="24"/>
        </w:rPr>
        <w:t>采购代理机构按投标</w:t>
      </w:r>
      <w:r>
        <w:rPr>
          <w:rFonts w:hint="eastAsia" w:ascii="宋体" w:hAnsi="宋体"/>
          <w:sz w:val="24"/>
        </w:rPr>
        <w:t>文件递交</w:t>
      </w:r>
      <w:r>
        <w:rPr>
          <w:rFonts w:ascii="宋体" w:hAnsi="宋体"/>
          <w:sz w:val="24"/>
        </w:rPr>
        <w:t>的先后顺序开启</w:t>
      </w:r>
      <w:r>
        <w:rPr>
          <w:rFonts w:hint="eastAsia" w:ascii="宋体" w:hAnsi="宋体"/>
          <w:sz w:val="24"/>
        </w:rPr>
        <w:t>投标</w:t>
      </w:r>
      <w:r>
        <w:rPr>
          <w:rFonts w:ascii="宋体" w:hAnsi="宋体"/>
          <w:sz w:val="24"/>
        </w:rPr>
        <w:t>文件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 xml:space="preserve">9.3.1 </w:t>
      </w:r>
      <w:r>
        <w:rPr>
          <w:rFonts w:hint="eastAsia" w:ascii="宋体" w:hAnsi="宋体"/>
          <w:sz w:val="24"/>
        </w:rPr>
        <w:t>投标文件正、副</w:t>
      </w:r>
      <w:r>
        <w:rPr>
          <w:rFonts w:ascii="宋体" w:hAnsi="宋体"/>
          <w:sz w:val="24"/>
        </w:rPr>
        <w:t>份数不</w:t>
      </w:r>
      <w:r>
        <w:rPr>
          <w:rFonts w:hint="eastAsia" w:ascii="宋体" w:hAnsi="宋体"/>
          <w:sz w:val="24"/>
        </w:rPr>
        <w:t>符合</w:t>
      </w:r>
      <w:r>
        <w:rPr>
          <w:rFonts w:ascii="宋体" w:hAnsi="宋体"/>
          <w:sz w:val="24"/>
        </w:rPr>
        <w:t>要求的，当场退还投</w:t>
      </w:r>
      <w:r>
        <w:rPr>
          <w:rFonts w:hint="eastAsia" w:ascii="宋体" w:hAnsi="宋体"/>
          <w:sz w:val="24"/>
        </w:rPr>
        <w:t>标</w:t>
      </w:r>
      <w:r>
        <w:rPr>
          <w:rFonts w:ascii="宋体" w:hAnsi="宋体"/>
          <w:sz w:val="24"/>
        </w:rPr>
        <w:t>人；</w:t>
      </w:r>
    </w:p>
    <w:p>
      <w:pPr>
        <w:spacing w:line="360" w:lineRule="auto"/>
        <w:ind w:firstLine="480" w:firstLineChars="200"/>
        <w:rPr>
          <w:rFonts w:ascii="宋体" w:hAnsi="宋体"/>
          <w:kern w:val="0"/>
          <w:sz w:val="24"/>
        </w:rPr>
      </w:pPr>
      <w:r>
        <w:rPr>
          <w:rFonts w:ascii="宋体" w:hAnsi="宋体"/>
          <w:kern w:val="0"/>
          <w:sz w:val="24"/>
        </w:rPr>
        <w:t>19.3.</w:t>
      </w:r>
      <w:r>
        <w:rPr>
          <w:rFonts w:hint="eastAsia" w:ascii="宋体" w:hAnsi="宋体"/>
          <w:kern w:val="0"/>
          <w:sz w:val="24"/>
        </w:rPr>
        <w:t>2</w:t>
      </w:r>
      <w:r>
        <w:rPr>
          <w:rFonts w:ascii="宋体" w:hAnsi="宋体"/>
          <w:kern w:val="0"/>
          <w:sz w:val="24"/>
        </w:rPr>
        <w:t xml:space="preserve"> </w:t>
      </w:r>
      <w:r>
        <w:rPr>
          <w:rFonts w:hint="eastAsia" w:ascii="宋体" w:hAnsi="宋体"/>
          <w:kern w:val="0"/>
          <w:sz w:val="24"/>
        </w:rPr>
        <w:t>因</w:t>
      </w:r>
      <w:r>
        <w:rPr>
          <w:rFonts w:ascii="宋体" w:hAnsi="宋体"/>
          <w:kern w:val="0"/>
          <w:sz w:val="24"/>
        </w:rPr>
        <w:t>投标文件份数不</w:t>
      </w:r>
      <w:r>
        <w:rPr>
          <w:rFonts w:hint="eastAsia" w:ascii="宋体" w:hAnsi="宋体"/>
          <w:kern w:val="0"/>
          <w:sz w:val="24"/>
        </w:rPr>
        <w:t>符合要求</w:t>
      </w:r>
      <w:r>
        <w:rPr>
          <w:rFonts w:ascii="宋体" w:hAnsi="宋体"/>
          <w:kern w:val="0"/>
          <w:sz w:val="24"/>
        </w:rPr>
        <w:t>造成投标</w:t>
      </w:r>
      <w:r>
        <w:rPr>
          <w:rFonts w:hint="eastAsia" w:ascii="宋体" w:hAnsi="宋体"/>
          <w:kern w:val="0"/>
          <w:sz w:val="24"/>
        </w:rPr>
        <w:t>人不足</w:t>
      </w:r>
      <w:r>
        <w:rPr>
          <w:rFonts w:ascii="宋体" w:hAnsi="宋体"/>
          <w:kern w:val="0"/>
          <w:sz w:val="24"/>
        </w:rPr>
        <w:t>三家</w:t>
      </w:r>
      <w:r>
        <w:rPr>
          <w:rFonts w:hint="eastAsia" w:ascii="宋体" w:hAnsi="宋体"/>
          <w:kern w:val="0"/>
          <w:sz w:val="24"/>
        </w:rPr>
        <w:t>的，</w:t>
      </w:r>
      <w:r>
        <w:rPr>
          <w:rFonts w:ascii="宋体" w:hAnsi="宋体"/>
          <w:kern w:val="0"/>
          <w:sz w:val="24"/>
        </w:rPr>
        <w:t>按相关规定重新组织招标。</w:t>
      </w:r>
    </w:p>
    <w:p>
      <w:pPr>
        <w:spacing w:line="360" w:lineRule="auto"/>
        <w:ind w:firstLine="480" w:firstLineChars="200"/>
        <w:rPr>
          <w:rFonts w:ascii="宋体" w:hAnsi="宋体"/>
          <w:kern w:val="0"/>
          <w:sz w:val="24"/>
        </w:rPr>
      </w:pPr>
      <w:r>
        <w:rPr>
          <w:rFonts w:ascii="宋体" w:hAnsi="宋体"/>
          <w:kern w:val="0"/>
          <w:sz w:val="24"/>
        </w:rPr>
        <w:t xml:space="preserve">19.4 </w:t>
      </w:r>
      <w:r>
        <w:rPr>
          <w:rFonts w:hint="eastAsia" w:ascii="宋体" w:hAnsi="宋体"/>
          <w:kern w:val="0"/>
          <w:sz w:val="24"/>
        </w:rPr>
        <w:t>唱标</w:t>
      </w:r>
    </w:p>
    <w:p>
      <w:pPr>
        <w:spacing w:line="360" w:lineRule="auto"/>
        <w:ind w:firstLine="480" w:firstLineChars="200"/>
        <w:rPr>
          <w:rFonts w:ascii="宋体" w:hAnsi="宋体"/>
          <w:kern w:val="0"/>
          <w:sz w:val="24"/>
        </w:rPr>
      </w:pPr>
      <w:r>
        <w:rPr>
          <w:rFonts w:hint="eastAsia" w:ascii="宋体" w:hAnsi="宋体"/>
          <w:kern w:val="0"/>
          <w:sz w:val="24"/>
        </w:rPr>
        <w:t>19.4.1 采购</w:t>
      </w:r>
      <w:r>
        <w:rPr>
          <w:rFonts w:ascii="宋体" w:hAnsi="宋体"/>
          <w:kern w:val="0"/>
          <w:sz w:val="24"/>
        </w:rPr>
        <w:t>代理</w:t>
      </w:r>
      <w:r>
        <w:rPr>
          <w:rFonts w:hint="eastAsia" w:ascii="宋体" w:hAnsi="宋体"/>
          <w:kern w:val="0"/>
          <w:sz w:val="24"/>
        </w:rPr>
        <w:t>机构</w:t>
      </w:r>
      <w:r>
        <w:rPr>
          <w:rFonts w:ascii="宋体" w:hAnsi="宋体"/>
          <w:kern w:val="0"/>
          <w:sz w:val="24"/>
        </w:rPr>
        <w:t>按递交</w:t>
      </w:r>
      <w:r>
        <w:rPr>
          <w:rFonts w:hint="eastAsia" w:ascii="宋体" w:hAnsi="宋体"/>
          <w:kern w:val="0"/>
          <w:sz w:val="24"/>
        </w:rPr>
        <w:t>的投标</w:t>
      </w:r>
      <w:r>
        <w:rPr>
          <w:rFonts w:ascii="宋体" w:hAnsi="宋体"/>
          <w:kern w:val="0"/>
          <w:sz w:val="24"/>
        </w:rPr>
        <w:t>文件</w:t>
      </w:r>
      <w:r>
        <w:rPr>
          <w:rFonts w:hint="eastAsia" w:ascii="宋体" w:hAnsi="宋体"/>
          <w:kern w:val="0"/>
          <w:sz w:val="24"/>
        </w:rPr>
        <w:t>顺序</w:t>
      </w:r>
      <w:r>
        <w:rPr>
          <w:rFonts w:ascii="宋体" w:hAnsi="宋体"/>
          <w:kern w:val="0"/>
          <w:sz w:val="24"/>
        </w:rPr>
        <w:t>宣布投标人名称和招标文件规定的需要宣布的其他</w:t>
      </w:r>
      <w:r>
        <w:rPr>
          <w:rFonts w:hint="eastAsia" w:ascii="宋体" w:hAnsi="宋体"/>
          <w:kern w:val="0"/>
          <w:sz w:val="24"/>
        </w:rPr>
        <w:t>内容</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19.4.2 </w:t>
      </w:r>
      <w:r>
        <w:rPr>
          <w:rFonts w:hint="eastAsia" w:ascii="宋体" w:hAnsi="宋体"/>
          <w:kern w:val="0"/>
          <w:sz w:val="24"/>
        </w:rPr>
        <w:t>采购</w:t>
      </w:r>
      <w:r>
        <w:rPr>
          <w:rFonts w:ascii="宋体" w:hAnsi="宋体"/>
          <w:kern w:val="0"/>
          <w:sz w:val="24"/>
        </w:rPr>
        <w:t>代理机构做好</w:t>
      </w:r>
      <w:r>
        <w:rPr>
          <w:rFonts w:hint="eastAsia" w:ascii="宋体" w:hAnsi="宋体"/>
          <w:kern w:val="0"/>
          <w:sz w:val="24"/>
        </w:rPr>
        <w:t>开标记录。投标人代表对开标记录进行当场校验核对，并签字确认。投标人代表未到场签字确认或者拒绝签字确认的，视同认可开标结果，不影响评审过程，但有可能影响投标人诚信。</w:t>
      </w:r>
    </w:p>
    <w:p>
      <w:pPr>
        <w:spacing w:line="360" w:lineRule="auto"/>
        <w:ind w:firstLine="480" w:firstLineChars="200"/>
        <w:rPr>
          <w:rFonts w:hint="eastAsia" w:ascii="宋体" w:hAnsi="宋体"/>
          <w:kern w:val="0"/>
          <w:sz w:val="24"/>
        </w:rPr>
      </w:pPr>
      <w:r>
        <w:rPr>
          <w:rFonts w:hint="eastAsia" w:ascii="宋体" w:hAnsi="宋体"/>
          <w:kern w:val="0"/>
          <w:sz w:val="24"/>
        </w:rPr>
        <w:t>19.5 开标</w:t>
      </w:r>
      <w:r>
        <w:rPr>
          <w:rFonts w:ascii="宋体" w:hAnsi="宋体"/>
          <w:kern w:val="0"/>
          <w:sz w:val="24"/>
        </w:rPr>
        <w:t>会议结束。</w:t>
      </w:r>
    </w:p>
    <w:p>
      <w:pPr>
        <w:spacing w:line="360" w:lineRule="auto"/>
        <w:ind w:firstLine="482" w:firstLineChars="200"/>
        <w:rPr>
          <w:rFonts w:ascii="宋体" w:hAnsi="宋体"/>
          <w:b/>
          <w:sz w:val="24"/>
        </w:rPr>
      </w:pPr>
      <w:r>
        <w:rPr>
          <w:rFonts w:ascii="宋体" w:hAnsi="宋体"/>
          <w:b/>
          <w:sz w:val="24"/>
        </w:rPr>
        <w:t xml:space="preserve">20. </w:t>
      </w:r>
      <w:r>
        <w:rPr>
          <w:rFonts w:hint="eastAsia" w:ascii="宋体" w:hAnsi="宋体"/>
          <w:b/>
          <w:sz w:val="24"/>
        </w:rPr>
        <w:t>资格审查</w:t>
      </w:r>
    </w:p>
    <w:p>
      <w:pPr>
        <w:spacing w:line="360" w:lineRule="auto"/>
        <w:ind w:firstLine="480" w:firstLineChars="200"/>
        <w:rPr>
          <w:rFonts w:hint="eastAsia" w:ascii="宋体" w:hAnsi="宋体"/>
          <w:sz w:val="24"/>
        </w:rPr>
      </w:pPr>
      <w:r>
        <w:rPr>
          <w:rFonts w:ascii="宋体" w:hAnsi="宋体"/>
          <w:sz w:val="24"/>
        </w:rPr>
        <w:t xml:space="preserve">20.1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w:t>
      </w:r>
      <w:r>
        <w:rPr>
          <w:rFonts w:ascii="宋体" w:hAnsi="宋体"/>
          <w:sz w:val="24"/>
        </w:rPr>
        <w:t>审查文件要求对</w:t>
      </w:r>
      <w:r>
        <w:rPr>
          <w:rFonts w:hint="eastAsia" w:ascii="宋体" w:hAnsi="宋体"/>
          <w:sz w:val="24"/>
        </w:rPr>
        <w:t>投标</w:t>
      </w:r>
      <w:r>
        <w:rPr>
          <w:rFonts w:ascii="宋体" w:hAnsi="宋体"/>
          <w:sz w:val="24"/>
        </w:rPr>
        <w:t>人进行资格</w:t>
      </w:r>
      <w:r>
        <w:rPr>
          <w:rFonts w:hint="eastAsia" w:ascii="宋体" w:hAnsi="宋体"/>
          <w:sz w:val="24"/>
        </w:rPr>
        <w:t>审查及记录。并</w:t>
      </w:r>
      <w:r>
        <w:rPr>
          <w:rFonts w:ascii="宋体" w:hAnsi="宋体"/>
          <w:sz w:val="24"/>
        </w:rPr>
        <w:t>当场告知审查结果。</w:t>
      </w:r>
    </w:p>
    <w:p>
      <w:pPr>
        <w:spacing w:line="360" w:lineRule="auto"/>
        <w:ind w:firstLine="480" w:firstLineChars="200"/>
        <w:rPr>
          <w:rFonts w:ascii="宋体" w:hAnsi="宋体"/>
          <w:b/>
          <w:sz w:val="24"/>
        </w:rPr>
      </w:pPr>
      <w:r>
        <w:rPr>
          <w:rFonts w:ascii="宋体" w:hAnsi="宋体"/>
          <w:sz w:val="24"/>
        </w:rPr>
        <w:t xml:space="preserve">20.2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的，不得进入</w:t>
      </w:r>
      <w:r>
        <w:rPr>
          <w:rFonts w:hint="eastAsia" w:ascii="宋体" w:hAnsi="宋体"/>
          <w:b/>
          <w:sz w:val="24"/>
        </w:rPr>
        <w:t>评审</w:t>
      </w:r>
      <w:r>
        <w:rPr>
          <w:rFonts w:ascii="宋体" w:hAnsi="宋体"/>
          <w:b/>
          <w:sz w:val="24"/>
        </w:rPr>
        <w:t>，并按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 xml:space="preserve"> 评审流程</w:t>
      </w:r>
    </w:p>
    <w:p>
      <w:pPr>
        <w:spacing w:line="360" w:lineRule="auto"/>
        <w:ind w:firstLine="480" w:firstLineChars="200"/>
        <w:rPr>
          <w:rFonts w:hint="eastAsia" w:ascii="宋体" w:hAnsi="宋体"/>
          <w:kern w:val="0"/>
          <w:sz w:val="24"/>
        </w:rPr>
      </w:pPr>
      <w:r>
        <w:rPr>
          <w:rFonts w:hint="eastAsia" w:ascii="宋体" w:hAnsi="宋体"/>
          <w:kern w:val="0"/>
          <w:sz w:val="24"/>
        </w:rPr>
        <w:t>2</w:t>
      </w:r>
      <w:r>
        <w:rPr>
          <w:rFonts w:ascii="宋体" w:hAnsi="宋体"/>
          <w:kern w:val="0"/>
          <w:sz w:val="24"/>
        </w:rPr>
        <w:t>1</w:t>
      </w:r>
      <w:r>
        <w:rPr>
          <w:rFonts w:hint="eastAsia" w:ascii="宋体" w:hAnsi="宋体"/>
          <w:kern w:val="0"/>
          <w:sz w:val="24"/>
        </w:rPr>
        <w:t>.1采购代理机构和采购人将根据采购项目的特点组建</w:t>
      </w:r>
      <w:r>
        <w:rPr>
          <w:rFonts w:hint="eastAsia" w:ascii="宋体" w:hAnsi="宋体"/>
          <w:sz w:val="24"/>
        </w:rPr>
        <w:t>评标委员会</w:t>
      </w:r>
      <w:r>
        <w:rPr>
          <w:rFonts w:hint="eastAsia" w:ascii="宋体" w:hAnsi="宋体"/>
          <w:kern w:val="0"/>
          <w:sz w:val="24"/>
        </w:rPr>
        <w:t>，其成员由技术、经济等方面的专家和采购人代表组成。</w:t>
      </w:r>
      <w:r>
        <w:rPr>
          <w:rFonts w:hint="eastAsia" w:ascii="宋体" w:hAnsi="宋体"/>
          <w:sz w:val="24"/>
        </w:rPr>
        <w:t>评标委员会</w:t>
      </w:r>
      <w:r>
        <w:rPr>
          <w:rFonts w:hint="eastAsia" w:ascii="宋体" w:hAnsi="宋体"/>
          <w:kern w:val="0"/>
          <w:sz w:val="24"/>
        </w:rPr>
        <w:t>对投标文件进行符合性审查、询标、评价和推荐中标候选人。</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w:t>
      </w:r>
      <w:r>
        <w:rPr>
          <w:rFonts w:hint="eastAsia" w:ascii="宋体" w:hAnsi="宋体"/>
          <w:sz w:val="24"/>
        </w:rPr>
        <w:t>.1.1符合性审查</w:t>
      </w:r>
    </w:p>
    <w:p>
      <w:pPr>
        <w:spacing w:line="360" w:lineRule="auto"/>
        <w:ind w:firstLine="480" w:firstLineChars="200"/>
        <w:rPr>
          <w:rFonts w:hint="eastAsia" w:ascii="宋体" w:hAnsi="宋体"/>
          <w:b/>
          <w:sz w:val="24"/>
        </w:rPr>
      </w:pPr>
      <w:r>
        <w:rPr>
          <w:rFonts w:hint="eastAsia" w:ascii="宋体" w:hAnsi="宋体"/>
          <w:sz w:val="24"/>
        </w:rPr>
        <w:t>根据招标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b/>
          <w:sz w:val="24"/>
        </w:rPr>
        <w:t>通过符合性审查不足</w:t>
      </w:r>
      <w:r>
        <w:rPr>
          <w:rFonts w:ascii="宋体" w:hAnsi="宋体"/>
          <w:b/>
          <w:sz w:val="24"/>
        </w:rPr>
        <w:t>三家的</w:t>
      </w:r>
      <w:r>
        <w:rPr>
          <w:rFonts w:hint="eastAsia" w:ascii="宋体" w:hAnsi="宋体"/>
          <w:b/>
          <w:sz w:val="24"/>
        </w:rPr>
        <w:t>，</w:t>
      </w:r>
      <w:r>
        <w:rPr>
          <w:rFonts w:ascii="宋体" w:hAnsi="宋体"/>
          <w:b/>
          <w:sz w:val="24"/>
        </w:rPr>
        <w:t>除采购任务取消</w:t>
      </w:r>
      <w:r>
        <w:rPr>
          <w:rFonts w:hint="eastAsia" w:ascii="宋体" w:hAnsi="宋体"/>
          <w:b/>
          <w:sz w:val="24"/>
        </w:rPr>
        <w:t>情形</w:t>
      </w:r>
      <w:r>
        <w:rPr>
          <w:rFonts w:ascii="宋体" w:hAnsi="宋体"/>
          <w:b/>
          <w:sz w:val="24"/>
        </w:rPr>
        <w:t>外</w:t>
      </w:r>
      <w:r>
        <w:rPr>
          <w:rFonts w:hint="eastAsia" w:ascii="宋体" w:hAnsi="宋体"/>
          <w:b/>
          <w:sz w:val="24"/>
        </w:rPr>
        <w:t>，</w:t>
      </w:r>
      <w:r>
        <w:rPr>
          <w:rFonts w:ascii="宋体" w:hAnsi="宋体"/>
          <w:b/>
          <w:sz w:val="24"/>
        </w:rPr>
        <w:t>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w:t>
      </w:r>
      <w:r>
        <w:rPr>
          <w:rFonts w:hint="eastAsia" w:ascii="宋体" w:hAnsi="宋体"/>
          <w:sz w:val="24"/>
        </w:rPr>
        <w:t>.1.2</w:t>
      </w:r>
      <w:r>
        <w:rPr>
          <w:rFonts w:ascii="宋体" w:hAnsi="宋体"/>
          <w:sz w:val="24"/>
        </w:rPr>
        <w:t xml:space="preserve"> </w:t>
      </w:r>
      <w:r>
        <w:rPr>
          <w:rFonts w:hint="eastAsia" w:ascii="宋体" w:hAnsi="宋体"/>
          <w:sz w:val="24"/>
        </w:rPr>
        <w:t>技术文件评审</w:t>
      </w:r>
    </w:p>
    <w:p>
      <w:pPr>
        <w:spacing w:line="360" w:lineRule="auto"/>
        <w:ind w:firstLine="480" w:firstLineChars="200"/>
        <w:rPr>
          <w:rFonts w:hint="eastAsia" w:ascii="宋体" w:hAnsi="宋体"/>
          <w:sz w:val="24"/>
        </w:rPr>
      </w:pPr>
      <w:r>
        <w:rPr>
          <w:rFonts w:hint="eastAsia" w:ascii="宋体" w:hAnsi="宋体"/>
          <w:sz w:val="24"/>
        </w:rPr>
        <w:t>评标委员会依据招标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技术文件进行独立评审。对各</w:t>
      </w:r>
      <w:r>
        <w:rPr>
          <w:rFonts w:hint="eastAsia" w:ascii="宋体" w:hAnsi="宋体"/>
          <w:kern w:val="0"/>
          <w:sz w:val="24"/>
        </w:rPr>
        <w:t>投标文件</w:t>
      </w:r>
      <w:r>
        <w:rPr>
          <w:rFonts w:hint="eastAsia" w:ascii="宋体" w:hAnsi="宋体"/>
          <w:sz w:val="24"/>
        </w:rPr>
        <w:t>进行比较和必要的澄清。</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w:t>
      </w:r>
      <w:r>
        <w:rPr>
          <w:rFonts w:hint="eastAsia" w:ascii="宋体" w:hAnsi="宋体"/>
          <w:sz w:val="24"/>
        </w:rPr>
        <w:t>.1.</w:t>
      </w:r>
      <w:r>
        <w:rPr>
          <w:rFonts w:ascii="宋体" w:hAnsi="宋体"/>
          <w:sz w:val="24"/>
        </w:rPr>
        <w:t xml:space="preserve">3 </w:t>
      </w:r>
      <w:r>
        <w:rPr>
          <w:rFonts w:hint="eastAsia" w:ascii="宋体" w:hAnsi="宋体"/>
          <w:sz w:val="24"/>
        </w:rPr>
        <w:t>资信及商务文件评审</w:t>
      </w:r>
    </w:p>
    <w:p>
      <w:pPr>
        <w:spacing w:line="360" w:lineRule="auto"/>
        <w:ind w:firstLine="480" w:firstLineChars="200"/>
        <w:rPr>
          <w:rFonts w:ascii="宋体" w:hAnsi="宋体"/>
          <w:sz w:val="24"/>
        </w:rPr>
      </w:pPr>
      <w:r>
        <w:rPr>
          <w:rFonts w:hint="eastAsia" w:ascii="宋体" w:hAnsi="宋体"/>
          <w:sz w:val="24"/>
        </w:rPr>
        <w:t>评标委员会依据招标文件的规定，对各</w:t>
      </w:r>
      <w:r>
        <w:rPr>
          <w:rFonts w:hint="eastAsia" w:ascii="宋体" w:hAnsi="宋体"/>
          <w:kern w:val="0"/>
          <w:sz w:val="24"/>
        </w:rPr>
        <w:t>投标人的</w:t>
      </w:r>
      <w:r>
        <w:rPr>
          <w:rFonts w:hint="eastAsia" w:ascii="宋体" w:hAnsi="宋体"/>
          <w:sz w:val="24"/>
        </w:rPr>
        <w:t>资信及商务文件进行评审，对客观分应统一意见后统一给分。</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w:t>
      </w:r>
      <w:r>
        <w:rPr>
          <w:rFonts w:hint="eastAsia" w:ascii="宋体" w:hAnsi="宋体"/>
          <w:sz w:val="24"/>
        </w:rPr>
        <w:t>.2.</w:t>
      </w:r>
      <w:r>
        <w:rPr>
          <w:rFonts w:ascii="宋体" w:hAnsi="宋体"/>
          <w:sz w:val="24"/>
        </w:rPr>
        <w:t xml:space="preserve">4 </w:t>
      </w:r>
      <w:r>
        <w:rPr>
          <w:rFonts w:hint="eastAsia" w:ascii="宋体" w:hAnsi="宋体"/>
          <w:sz w:val="24"/>
        </w:rPr>
        <w:t>报价文件评审</w:t>
      </w:r>
    </w:p>
    <w:p>
      <w:pPr>
        <w:spacing w:line="360" w:lineRule="auto"/>
        <w:ind w:firstLine="480" w:firstLineChars="200"/>
        <w:rPr>
          <w:rFonts w:hint="eastAsia" w:ascii="宋体" w:hAnsi="宋体"/>
          <w:sz w:val="24"/>
        </w:rPr>
      </w:pPr>
      <w:r>
        <w:rPr>
          <w:rFonts w:hint="eastAsia" w:ascii="宋体" w:hAnsi="宋体"/>
          <w:sz w:val="24"/>
        </w:rPr>
        <w:t>评标委员会依据招标文件的规定，对各投标</w:t>
      </w:r>
      <w:r>
        <w:rPr>
          <w:rFonts w:ascii="宋体" w:hAnsi="宋体"/>
          <w:sz w:val="24"/>
        </w:rPr>
        <w:t>人的</w:t>
      </w:r>
      <w:r>
        <w:rPr>
          <w:rFonts w:hint="eastAsia" w:ascii="宋体" w:hAnsi="宋体"/>
          <w:sz w:val="24"/>
        </w:rPr>
        <w:t>报价的合理性进行审查，必要时可要求投保人对其报价做出澄清、说明。</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pPr>
        <w:spacing w:line="360" w:lineRule="auto"/>
        <w:ind w:firstLine="436" w:firstLineChars="182"/>
        <w:rPr>
          <w:rFonts w:ascii="宋体" w:hAnsi="宋体"/>
          <w:sz w:val="24"/>
        </w:rPr>
      </w:pPr>
      <w:r>
        <w:rPr>
          <w:rFonts w:hint="eastAsia" w:ascii="宋体" w:hAnsi="宋体"/>
          <w:sz w:val="24"/>
        </w:rPr>
        <w:t>22.1</w:t>
      </w:r>
      <w:r>
        <w:rPr>
          <w:rFonts w:ascii="宋体" w:hAnsi="宋体"/>
          <w:sz w:val="24"/>
        </w:rPr>
        <w:t xml:space="preserve"> </w:t>
      </w:r>
      <w:r>
        <w:rPr>
          <w:rFonts w:hint="eastAsia" w:ascii="宋体" w:hAnsi="宋体"/>
          <w:sz w:val="24"/>
        </w:rPr>
        <w:t>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22.2</w:t>
      </w:r>
      <w:r>
        <w:rPr>
          <w:rFonts w:ascii="宋体" w:hAnsi="宋体"/>
          <w:sz w:val="24"/>
        </w:rPr>
        <w:t xml:space="preserve"> </w:t>
      </w:r>
      <w:r>
        <w:rPr>
          <w:rFonts w:hint="eastAsia" w:ascii="宋体" w:hAnsi="宋体"/>
          <w:sz w:val="24"/>
        </w:rPr>
        <w:t>报价算术错误将按以下方法修正：</w:t>
      </w:r>
    </w:p>
    <w:p>
      <w:pPr>
        <w:spacing w:line="360" w:lineRule="auto"/>
        <w:ind w:firstLine="436" w:firstLineChars="182"/>
        <w:rPr>
          <w:rFonts w:ascii="宋体" w:hAnsi="宋体"/>
          <w:bCs/>
          <w:sz w:val="24"/>
        </w:rPr>
      </w:pPr>
      <w:r>
        <w:rPr>
          <w:rFonts w:hint="eastAsia" w:ascii="宋体" w:hAnsi="宋体"/>
          <w:sz w:val="24"/>
        </w:rPr>
        <w:t>（1）</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hint="eastAsia" w:ascii="宋体" w:hAnsi="宋体"/>
          <w:bCs/>
          <w:sz w:val="24"/>
        </w:rPr>
      </w:pPr>
      <w:r>
        <w:rPr>
          <w:rFonts w:hint="eastAsia" w:ascii="宋体" w:hAnsi="宋体"/>
          <w:bCs/>
          <w:sz w:val="24"/>
        </w:rPr>
        <w:t>（2）报价文件的大写金额和小写金额不一致的，以大写金额为准；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（4）总价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bCs/>
          <w:sz w:val="24"/>
        </w:rPr>
      </w:pPr>
      <w:r>
        <w:rPr>
          <w:rFonts w:hint="eastAsia" w:ascii="宋体" w:hAnsi="宋体"/>
          <w:bCs/>
          <w:sz w:val="24"/>
        </w:rPr>
        <w:t>（5）同时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hint="eastAsia" w:ascii="宋体" w:hAnsi="宋体"/>
          <w:sz w:val="24"/>
        </w:rPr>
      </w:pPr>
      <w:r>
        <w:rPr>
          <w:rFonts w:hint="eastAsia" w:ascii="宋体" w:hAnsi="宋体"/>
          <w:bCs/>
          <w:sz w:val="24"/>
        </w:rPr>
        <w:t>（6）对不同文字文本</w:t>
      </w:r>
      <w:r>
        <w:rPr>
          <w:rFonts w:hint="eastAsia" w:ascii="宋体" w:hAnsi="宋体"/>
          <w:kern w:val="0"/>
          <w:sz w:val="24"/>
        </w:rPr>
        <w:t>投标文件</w:t>
      </w:r>
      <w:r>
        <w:rPr>
          <w:rFonts w:hint="eastAsia" w:ascii="宋体" w:hAnsi="宋体"/>
          <w:bCs/>
          <w:sz w:val="24"/>
        </w:rPr>
        <w:t>的解释发生异议的，以中文文本为准</w:t>
      </w:r>
      <w:r>
        <w:rPr>
          <w:rFonts w:ascii="宋体" w:hAnsi="宋体"/>
          <w:bCs/>
          <w:sz w:val="24"/>
        </w:rPr>
        <w:t>。</w:t>
      </w:r>
    </w:p>
    <w:p>
      <w:pPr>
        <w:spacing w:line="360" w:lineRule="auto"/>
        <w:ind w:firstLine="436" w:firstLineChars="182"/>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修正错误的的投标报价，经投标人的负责人（或授权代表）同意签字确认后产生约束力。调整后的投标报价对投标人具有约束作用。若投标人不接受修正后的投标报价，则其投标将作为无效投标处理。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hint="eastAsia" w:ascii="宋体" w:hAnsi="宋体"/>
          <w:sz w:val="24"/>
        </w:rPr>
      </w:pPr>
      <w:r>
        <w:rPr>
          <w:rFonts w:hint="eastAsia" w:ascii="宋体" w:hAnsi="宋体"/>
          <w:sz w:val="24"/>
        </w:rPr>
        <w:t>23.1评标委员会根据招标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评标报告</w:t>
      </w:r>
    </w:p>
    <w:p>
      <w:pPr>
        <w:spacing w:line="360" w:lineRule="auto"/>
        <w:ind w:firstLine="480" w:firstLineChars="200"/>
        <w:rPr>
          <w:rFonts w:hint="eastAsia" w:ascii="宋体" w:hAnsi="宋体"/>
          <w:sz w:val="24"/>
        </w:rPr>
      </w:pPr>
      <w:r>
        <w:rPr>
          <w:rFonts w:hint="eastAsia" w:ascii="宋体" w:hAnsi="宋体"/>
          <w:sz w:val="24"/>
        </w:rPr>
        <w:t>评标</w:t>
      </w:r>
      <w:r>
        <w:rPr>
          <w:rFonts w:ascii="宋体" w:hAnsi="宋体"/>
          <w:sz w:val="24"/>
        </w:rPr>
        <w:t>委员会根据全体评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评标委员会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ascii="宋体" w:hAnsi="宋体"/>
          <w:b/>
          <w:sz w:val="24"/>
        </w:rPr>
        <w:t xml:space="preserve">25.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 xml:space="preserve">25.1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 xml:space="preserve">25.2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本项目开标、评审过程实行全程录音、录像监控，投标人在开标、评审过程中所进行的试图影响评审结果的不公正行为或授予合同决定的过程施加影响的企图和行为，可能导致其投标被拒绝。</w:t>
      </w:r>
      <w:bookmarkStart w:id="27" w:name="EB6abbdb67ad8e4dca83235298b1f0b56f"/>
      <w:r>
        <w:rPr>
          <w:rFonts w:hint="eastAsia" w:ascii="宋体" w:hAnsi="宋体"/>
          <w:sz w:val="20"/>
        </w:rPr>
        <w:t xml:space="preserve"> </w:t>
      </w:r>
      <w:bookmarkEnd w:id="27"/>
      <w:bookmarkStart w:id="28" w:name="EB50051ac8f4a946c091713b64242fa8f2"/>
      <w:r>
        <w:rPr>
          <w:rFonts w:hint="eastAsia" w:ascii="宋体" w:hAnsi="宋体"/>
          <w:sz w:val="20"/>
        </w:rPr>
        <w:t xml:space="preserve"> </w:t>
      </w:r>
      <w:bookmarkEnd w:id="28"/>
    </w:p>
    <w:p>
      <w:pPr>
        <w:pStyle w:val="4"/>
        <w:spacing w:before="240" w:after="240"/>
        <w:ind w:firstLine="0" w:firstLineChars="0"/>
        <w:rPr>
          <w:rFonts w:hint="eastAsia" w:ascii="宋体" w:hAnsi="宋体" w:eastAsia="宋体"/>
        </w:rPr>
      </w:pPr>
      <w:bookmarkStart w:id="29" w:name="_Toc493956039"/>
      <w:bookmarkStart w:id="30" w:name="_Toc530665705"/>
      <w:bookmarkStart w:id="31" w:name="_Toc494555855"/>
      <w:r>
        <w:rPr>
          <w:rFonts w:hint="eastAsia" w:ascii="宋体" w:hAnsi="宋体" w:eastAsia="宋体"/>
        </w:rPr>
        <w:t>七   投标无效的情形</w:t>
      </w:r>
      <w:bookmarkEnd w:id="29"/>
      <w:bookmarkEnd w:id="30"/>
      <w:bookmarkEnd w:id="31"/>
    </w:p>
    <w:p>
      <w:pPr>
        <w:spacing w:line="360" w:lineRule="auto"/>
        <w:ind w:firstLine="480" w:firstLineChars="200"/>
        <w:rPr>
          <w:rFonts w:ascii="宋体" w:hAnsi="宋体"/>
          <w:sz w:val="24"/>
        </w:rPr>
      </w:pPr>
      <w:r>
        <w:rPr>
          <w:rFonts w:hint="eastAsia" w:ascii="宋体" w:hAnsi="宋体"/>
          <w:sz w:val="24"/>
        </w:rPr>
        <w:t>26.</w:t>
      </w:r>
      <w:r>
        <w:rPr>
          <w:rFonts w:ascii="宋体" w:hAnsi="宋体"/>
          <w:sz w:val="24"/>
        </w:rPr>
        <w:t xml:space="preserve"> </w:t>
      </w:r>
      <w:r>
        <w:rPr>
          <w:rFonts w:hint="eastAsia" w:ascii="宋体" w:hAnsi="宋体"/>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kern w:val="0"/>
          <w:sz w:val="24"/>
        </w:rPr>
        <w:t>投标文件</w:t>
      </w:r>
      <w:r>
        <w:rPr>
          <w:rFonts w:hint="eastAsia" w:ascii="宋体" w:hAnsi="宋体"/>
          <w:sz w:val="24"/>
        </w:rPr>
        <w:t>无效：</w:t>
      </w:r>
    </w:p>
    <w:p>
      <w:pPr>
        <w:spacing w:line="360" w:lineRule="auto"/>
        <w:ind w:firstLine="480" w:firstLineChars="200"/>
        <w:rPr>
          <w:rFonts w:ascii="宋体" w:hAnsi="宋体"/>
          <w:sz w:val="24"/>
        </w:rPr>
      </w:pPr>
      <w:r>
        <w:rPr>
          <w:rFonts w:hint="eastAsia" w:ascii="宋体" w:hAnsi="宋体"/>
          <w:sz w:val="24"/>
        </w:rPr>
        <w:t>26.1投标人未按招标文件的要求交纳投标保证金，包括交纳保证金的金额、时间和方式不符合招标文件规定的；</w:t>
      </w:r>
    </w:p>
    <w:p>
      <w:pPr>
        <w:spacing w:line="360" w:lineRule="auto"/>
        <w:ind w:firstLine="480" w:firstLineChars="200"/>
        <w:rPr>
          <w:rFonts w:hint="eastAsia" w:ascii="宋体" w:hAnsi="宋体"/>
          <w:sz w:val="24"/>
        </w:rPr>
      </w:pPr>
      <w:r>
        <w:rPr>
          <w:rFonts w:hint="eastAsia" w:ascii="宋体" w:hAnsi="宋体"/>
          <w:sz w:val="24"/>
        </w:rPr>
        <w:t>26.2 电报、电话、传真形式的投标。</w:t>
      </w:r>
    </w:p>
    <w:p>
      <w:pPr>
        <w:spacing w:line="360" w:lineRule="auto"/>
        <w:ind w:firstLine="480" w:firstLineChars="200"/>
        <w:rPr>
          <w:rFonts w:ascii="宋体" w:hAnsi="宋体"/>
          <w:sz w:val="24"/>
        </w:rPr>
      </w:pPr>
      <w:r>
        <w:rPr>
          <w:rFonts w:hint="eastAsia" w:ascii="宋体" w:hAnsi="宋体"/>
          <w:sz w:val="24"/>
        </w:rPr>
        <w:t>26.</w:t>
      </w:r>
      <w:r>
        <w:rPr>
          <w:rFonts w:ascii="宋体" w:hAnsi="宋体"/>
          <w:sz w:val="24"/>
        </w:rPr>
        <w:t>3</w:t>
      </w:r>
      <w:r>
        <w:rPr>
          <w:rFonts w:hint="eastAsia" w:ascii="宋体" w:hAnsi="宋体"/>
          <w:sz w:val="24"/>
        </w:rPr>
        <w:t xml:space="preserve"> 投标人没有按招标文件规定的时间和地点提交</w:t>
      </w:r>
      <w:r>
        <w:rPr>
          <w:rFonts w:hint="eastAsia" w:ascii="宋体" w:hAnsi="宋体"/>
          <w:kern w:val="0"/>
          <w:sz w:val="24"/>
        </w:rPr>
        <w:t>投标文件</w:t>
      </w:r>
      <w:r>
        <w:rPr>
          <w:rFonts w:hint="eastAsia" w:ascii="宋体" w:hAnsi="宋体"/>
          <w:sz w:val="24"/>
        </w:rPr>
        <w:t>的；</w:t>
      </w:r>
    </w:p>
    <w:p>
      <w:pPr>
        <w:spacing w:line="360" w:lineRule="auto"/>
        <w:ind w:firstLine="480" w:firstLineChars="200"/>
        <w:rPr>
          <w:rFonts w:hint="eastAsia" w:ascii="宋体" w:hAnsi="宋体"/>
          <w:sz w:val="24"/>
        </w:rPr>
      </w:pPr>
      <w:r>
        <w:rPr>
          <w:rFonts w:hint="eastAsia" w:ascii="宋体" w:hAnsi="宋体"/>
          <w:sz w:val="24"/>
        </w:rPr>
        <w:t>26.4 未按招标文件规定要求签署、盖章的；</w:t>
      </w:r>
    </w:p>
    <w:p>
      <w:pPr>
        <w:spacing w:line="360" w:lineRule="auto"/>
        <w:ind w:firstLine="480" w:firstLineChars="200"/>
        <w:rPr>
          <w:rFonts w:ascii="宋体" w:hAnsi="宋体"/>
          <w:sz w:val="24"/>
        </w:rPr>
      </w:pPr>
      <w:r>
        <w:rPr>
          <w:rFonts w:hint="eastAsia" w:ascii="宋体" w:hAnsi="宋体"/>
          <w:sz w:val="24"/>
        </w:rPr>
        <w:t>26.5</w:t>
      </w:r>
      <w:r>
        <w:rPr>
          <w:rFonts w:ascii="宋体" w:hAnsi="宋体"/>
          <w:sz w:val="24"/>
        </w:rPr>
        <w:t xml:space="preserve"> </w:t>
      </w:r>
      <w:r>
        <w:rPr>
          <w:rFonts w:hint="eastAsia" w:ascii="宋体" w:hAnsi="宋体"/>
          <w:kern w:val="0"/>
          <w:sz w:val="24"/>
        </w:rPr>
        <w:t>投标文件</w:t>
      </w:r>
      <w:r>
        <w:rPr>
          <w:rFonts w:hint="eastAsia" w:ascii="宋体" w:hAnsi="宋体"/>
          <w:sz w:val="24"/>
        </w:rPr>
        <w:t>无负责人或者授权代表签字或盖章的；</w:t>
      </w:r>
    </w:p>
    <w:p>
      <w:pPr>
        <w:spacing w:line="360" w:lineRule="auto"/>
        <w:ind w:firstLine="480" w:firstLineChars="200"/>
        <w:rPr>
          <w:rFonts w:ascii="宋体" w:hAnsi="宋体"/>
          <w:sz w:val="24"/>
        </w:rPr>
      </w:pPr>
      <w:r>
        <w:rPr>
          <w:rFonts w:hint="eastAsia" w:ascii="宋体" w:hAnsi="宋体"/>
          <w:sz w:val="24"/>
        </w:rPr>
        <w:t>26.6 开启投标文件后，投标文件无法区分正、副本的；</w:t>
      </w:r>
    </w:p>
    <w:p>
      <w:pPr>
        <w:spacing w:line="360" w:lineRule="auto"/>
        <w:ind w:firstLine="480" w:firstLineChars="200"/>
        <w:rPr>
          <w:rFonts w:hint="eastAsia" w:ascii="宋体" w:hAnsi="宋体"/>
          <w:sz w:val="24"/>
        </w:rPr>
      </w:pPr>
      <w:r>
        <w:rPr>
          <w:rFonts w:hint="eastAsia" w:ascii="宋体" w:hAnsi="宋体"/>
          <w:sz w:val="24"/>
        </w:rPr>
        <w:t>26.7 开启</w:t>
      </w:r>
      <w:r>
        <w:rPr>
          <w:rFonts w:ascii="宋体" w:hAnsi="宋体"/>
          <w:sz w:val="24"/>
        </w:rPr>
        <w:t>投标文件后，投标文件</w:t>
      </w:r>
      <w:r>
        <w:rPr>
          <w:rFonts w:hint="eastAsia" w:ascii="宋体" w:hAnsi="宋体"/>
          <w:sz w:val="24"/>
        </w:rPr>
        <w:t>份数</w:t>
      </w:r>
      <w:r>
        <w:rPr>
          <w:rFonts w:ascii="宋体" w:hAnsi="宋体"/>
          <w:sz w:val="24"/>
        </w:rPr>
        <w:t>不满足</w:t>
      </w:r>
      <w:r>
        <w:rPr>
          <w:rFonts w:hint="eastAsia" w:ascii="宋体" w:hAnsi="宋体"/>
          <w:sz w:val="24"/>
        </w:rPr>
        <w:t>招标</w:t>
      </w:r>
      <w:r>
        <w:rPr>
          <w:rFonts w:ascii="宋体" w:hAnsi="宋体"/>
          <w:sz w:val="24"/>
        </w:rPr>
        <w:t>文件要求的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26.8不具备招标文件规定资格要求的；</w:t>
      </w:r>
    </w:p>
    <w:p>
      <w:pPr>
        <w:spacing w:line="360" w:lineRule="auto"/>
        <w:ind w:firstLine="480" w:firstLineChars="200"/>
        <w:rPr>
          <w:rFonts w:ascii="宋体" w:hAnsi="宋体"/>
          <w:sz w:val="24"/>
        </w:rPr>
      </w:pPr>
      <w:r>
        <w:rPr>
          <w:rFonts w:hint="eastAsia" w:ascii="宋体" w:hAnsi="宋体"/>
          <w:sz w:val="24"/>
        </w:rPr>
        <w:t>26.9 投标有效期不足的；</w:t>
      </w:r>
    </w:p>
    <w:p>
      <w:pPr>
        <w:spacing w:line="360" w:lineRule="auto"/>
        <w:ind w:firstLine="480" w:firstLineChars="200"/>
        <w:rPr>
          <w:rFonts w:ascii="宋体" w:hAnsi="宋体"/>
          <w:sz w:val="24"/>
        </w:rPr>
      </w:pPr>
      <w:r>
        <w:rPr>
          <w:rFonts w:ascii="宋体" w:hAnsi="宋体"/>
          <w:sz w:val="24"/>
        </w:rPr>
        <w:t>26.1</w:t>
      </w:r>
      <w:r>
        <w:rPr>
          <w:rFonts w:hint="eastAsia" w:ascii="宋体" w:hAnsi="宋体"/>
          <w:sz w:val="24"/>
        </w:rPr>
        <w:t>0</w:t>
      </w:r>
      <w:r>
        <w:rPr>
          <w:rFonts w:ascii="宋体" w:hAnsi="宋体"/>
          <w:sz w:val="24"/>
        </w:rPr>
        <w:t xml:space="preserve"> </w:t>
      </w:r>
      <w:r>
        <w:rPr>
          <w:rFonts w:hint="eastAsia" w:ascii="宋体" w:hAnsi="宋体"/>
          <w:sz w:val="24"/>
        </w:rPr>
        <w:t>评标委员会评定有实质上 “▲”条款的负偏离的；</w:t>
      </w:r>
    </w:p>
    <w:p>
      <w:pPr>
        <w:spacing w:line="360" w:lineRule="auto"/>
        <w:ind w:firstLine="480" w:firstLineChars="200"/>
        <w:rPr>
          <w:rFonts w:hint="eastAsia" w:ascii="宋体" w:hAnsi="宋体"/>
          <w:sz w:val="24"/>
        </w:rPr>
      </w:pPr>
      <w:r>
        <w:rPr>
          <w:rFonts w:hint="eastAsia" w:ascii="宋体" w:hAnsi="宋体"/>
          <w:sz w:val="24"/>
        </w:rPr>
        <w:t>26.11</w:t>
      </w:r>
      <w:r>
        <w:rPr>
          <w:rFonts w:ascii="宋体" w:hAnsi="宋体"/>
          <w:sz w:val="24"/>
        </w:rPr>
        <w:t xml:space="preserve"> </w:t>
      </w:r>
      <w:r>
        <w:rPr>
          <w:rFonts w:hint="eastAsia" w:ascii="宋体" w:hAnsi="宋体"/>
          <w:sz w:val="24"/>
        </w:rPr>
        <w:t>评标委员会评定有非实质性负偏离超过招标文件规定项数的；</w:t>
      </w:r>
    </w:p>
    <w:p>
      <w:pPr>
        <w:spacing w:line="360" w:lineRule="auto"/>
        <w:ind w:firstLine="480" w:firstLineChars="200"/>
        <w:rPr>
          <w:rFonts w:ascii="宋体" w:hAnsi="宋体"/>
          <w:sz w:val="24"/>
        </w:rPr>
      </w:pPr>
      <w:r>
        <w:rPr>
          <w:rFonts w:hint="eastAsia" w:ascii="宋体" w:hAnsi="宋体"/>
          <w:sz w:val="24"/>
        </w:rPr>
        <w:t>26.12 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2" w:firstLineChars="200"/>
        <w:rPr>
          <w:rFonts w:ascii="宋体" w:hAnsi="宋体"/>
          <w:b/>
          <w:sz w:val="24"/>
        </w:rPr>
      </w:pPr>
      <w:r>
        <w:rPr>
          <w:rFonts w:ascii="宋体" w:hAnsi="宋体"/>
          <w:b/>
          <w:kern w:val="0"/>
          <w:sz w:val="24"/>
        </w:rPr>
        <w:t>2</w:t>
      </w:r>
      <w:r>
        <w:rPr>
          <w:rFonts w:ascii="宋体" w:hAnsi="宋体"/>
          <w:b/>
          <w:sz w:val="24"/>
        </w:rPr>
        <w:t>6.1</w:t>
      </w:r>
      <w:r>
        <w:rPr>
          <w:rFonts w:hint="eastAsia" w:ascii="宋体" w:hAnsi="宋体"/>
          <w:b/>
          <w:sz w:val="24"/>
        </w:rPr>
        <w:t>3招标文件中未要求，但投标人给予赠品、回扣或与采购无关的其他商品、服务的。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26.14</w:t>
      </w:r>
      <w:r>
        <w:rPr>
          <w:rFonts w:ascii="宋体" w:hAnsi="宋体"/>
          <w:sz w:val="24"/>
        </w:rPr>
        <w:t xml:space="preserve"> </w:t>
      </w:r>
      <w:r>
        <w:rPr>
          <w:rFonts w:hint="eastAsia" w:ascii="宋体" w:hAnsi="宋体"/>
          <w:sz w:val="24"/>
        </w:rPr>
        <w:t>投标报价存在漏项或报价数量少于采购要求的；</w:t>
      </w:r>
    </w:p>
    <w:p>
      <w:pPr>
        <w:spacing w:line="360" w:lineRule="auto"/>
        <w:ind w:firstLine="480" w:firstLineChars="200"/>
        <w:rPr>
          <w:rFonts w:hint="eastAsia" w:ascii="宋体" w:hAnsi="宋体"/>
          <w:sz w:val="24"/>
        </w:rPr>
      </w:pPr>
      <w:r>
        <w:rPr>
          <w:rFonts w:hint="eastAsia" w:ascii="宋体" w:hAnsi="宋体"/>
          <w:sz w:val="24"/>
        </w:rPr>
        <w:t>26.15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sz w:val="24"/>
        </w:rPr>
      </w:pPr>
      <w:r>
        <w:rPr>
          <w:rFonts w:hint="eastAsia" w:ascii="宋体" w:hAnsi="宋体"/>
          <w:sz w:val="24"/>
        </w:rPr>
        <w:t>26.16</w:t>
      </w:r>
      <w:r>
        <w:rPr>
          <w:rFonts w:ascii="宋体" w:hAnsi="宋体"/>
          <w:sz w:val="24"/>
        </w:rPr>
        <w:t xml:space="preserve"> </w:t>
      </w:r>
      <w:r>
        <w:rPr>
          <w:rFonts w:hint="eastAsia" w:ascii="宋体" w:hAnsi="宋体"/>
          <w:sz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pPr>
        <w:spacing w:line="360" w:lineRule="auto"/>
        <w:ind w:firstLine="480" w:firstLineChars="200"/>
        <w:rPr>
          <w:rFonts w:hint="eastAsia" w:ascii="宋体" w:hAnsi="宋体"/>
          <w:sz w:val="24"/>
        </w:rPr>
      </w:pPr>
      <w:r>
        <w:rPr>
          <w:rFonts w:hint="eastAsia" w:ascii="宋体" w:hAnsi="宋体"/>
          <w:sz w:val="24"/>
        </w:rPr>
        <w:t>26.17提供虚假材料谋取中标的；</w:t>
      </w:r>
    </w:p>
    <w:p>
      <w:pPr>
        <w:spacing w:line="360" w:lineRule="auto"/>
        <w:ind w:firstLine="480" w:firstLineChars="200"/>
        <w:rPr>
          <w:rFonts w:hint="eastAsia" w:ascii="宋体" w:hAnsi="宋体"/>
          <w:sz w:val="24"/>
        </w:rPr>
      </w:pPr>
      <w:r>
        <w:rPr>
          <w:rFonts w:hint="eastAsia" w:ascii="宋体" w:hAnsi="宋体"/>
          <w:sz w:val="24"/>
        </w:rPr>
        <w:t>26.18在招标过程中与采购人进行协商谈判、不按招标文件和中标人的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hint="eastAsia" w:ascii="宋体" w:hAnsi="宋体"/>
        </w:rPr>
      </w:pPr>
      <w:r>
        <w:rPr>
          <w:rFonts w:hint="eastAsia" w:ascii="宋体" w:hAnsi="宋体"/>
          <w:sz w:val="24"/>
        </w:rPr>
        <w:t>26.19招标文件规定的其他</w:t>
      </w:r>
      <w:r>
        <w:rPr>
          <w:rFonts w:hint="eastAsia" w:ascii="宋体" w:hAnsi="宋体"/>
          <w:kern w:val="0"/>
          <w:sz w:val="24"/>
        </w:rPr>
        <w:t>投标文件</w:t>
      </w:r>
      <w:r>
        <w:rPr>
          <w:rFonts w:hint="eastAsia" w:ascii="宋体" w:hAnsi="宋体"/>
          <w:sz w:val="24"/>
        </w:rPr>
        <w:t>无效情形。</w:t>
      </w:r>
      <w:bookmarkStart w:id="32" w:name="EBdafef940fa674575a283c03dcfd15197"/>
      <w:r>
        <w:rPr>
          <w:rFonts w:hint="eastAsia" w:ascii="宋体" w:hAnsi="宋体"/>
          <w:sz w:val="20"/>
        </w:rPr>
        <w:t xml:space="preserve"> </w:t>
      </w:r>
      <w:bookmarkEnd w:id="32"/>
      <w:bookmarkStart w:id="33" w:name="EB09b84f7f941446eb81ae304223ba6dc4"/>
      <w:r>
        <w:rPr>
          <w:rFonts w:hint="eastAsia" w:ascii="宋体" w:hAnsi="宋体"/>
          <w:sz w:val="20"/>
        </w:rPr>
        <w:t xml:space="preserve"> </w:t>
      </w:r>
      <w:bookmarkEnd w:id="33"/>
    </w:p>
    <w:p>
      <w:pPr>
        <w:pStyle w:val="4"/>
        <w:spacing w:before="240" w:after="240"/>
        <w:ind w:firstLine="0" w:firstLineChars="0"/>
        <w:rPr>
          <w:rFonts w:hint="eastAsia" w:ascii="宋体" w:hAnsi="宋体" w:eastAsia="宋体"/>
          <w:b w:val="0"/>
          <w:bCs w:val="0"/>
          <w:sz w:val="32"/>
        </w:rPr>
      </w:pPr>
      <w:bookmarkStart w:id="34" w:name="_Toc493956040"/>
      <w:bookmarkStart w:id="35" w:name="_Toc494555856"/>
      <w:bookmarkStart w:id="36" w:name="_Toc530665706"/>
      <w:r>
        <w:rPr>
          <w:rFonts w:hint="eastAsia" w:ascii="宋体" w:hAnsi="宋体" w:eastAsia="宋体"/>
          <w:sz w:val="32"/>
        </w:rPr>
        <w:t>八   法律责任</w:t>
      </w:r>
      <w:bookmarkEnd w:id="34"/>
      <w:bookmarkEnd w:id="35"/>
      <w:bookmarkEnd w:id="36"/>
    </w:p>
    <w:p>
      <w:pPr>
        <w:spacing w:line="360" w:lineRule="auto"/>
        <w:ind w:firstLine="482" w:firstLineChars="200"/>
        <w:rPr>
          <w:rFonts w:hint="eastAsia" w:ascii="宋体" w:hAnsi="宋体"/>
          <w:b/>
          <w:sz w:val="24"/>
        </w:rPr>
      </w:pPr>
      <w:r>
        <w:rPr>
          <w:rFonts w:hint="eastAsia" w:ascii="宋体" w:hAnsi="宋体"/>
          <w:b/>
          <w:sz w:val="24"/>
        </w:rPr>
        <w:t>27.</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sz w:val="24"/>
        </w:rPr>
      </w:pPr>
      <w:r>
        <w:rPr>
          <w:rFonts w:hint="eastAsia" w:ascii="宋体" w:hAnsi="宋体"/>
          <w:sz w:val="24"/>
        </w:rPr>
        <w:t>27.1</w:t>
      </w:r>
      <w:r>
        <w:rPr>
          <w:rFonts w:ascii="宋体" w:hAnsi="宋体"/>
          <w:sz w:val="24"/>
        </w:rPr>
        <w:t xml:space="preserve"> </w:t>
      </w:r>
      <w:r>
        <w:rPr>
          <w:rFonts w:hint="eastAsia" w:ascii="宋体" w:hAnsi="宋体"/>
          <w:sz w:val="24"/>
        </w:rPr>
        <w:t>提供虚假材料谋取中标的；</w:t>
      </w:r>
    </w:p>
    <w:p>
      <w:pPr>
        <w:spacing w:line="360" w:lineRule="auto"/>
        <w:ind w:firstLine="480" w:firstLineChars="200"/>
        <w:rPr>
          <w:rFonts w:hint="eastAsia" w:ascii="宋体" w:hAnsi="宋体"/>
          <w:sz w:val="24"/>
        </w:rPr>
      </w:pPr>
      <w:r>
        <w:rPr>
          <w:rFonts w:hint="eastAsia" w:ascii="宋体" w:hAnsi="宋体"/>
          <w:sz w:val="24"/>
        </w:rPr>
        <w:t>27.2</w:t>
      </w:r>
      <w:r>
        <w:rPr>
          <w:rFonts w:ascii="宋体" w:hAnsi="宋体"/>
          <w:sz w:val="24"/>
        </w:rPr>
        <w:t xml:space="preserve"> </w:t>
      </w:r>
      <w:r>
        <w:rPr>
          <w:rFonts w:hint="eastAsia" w:ascii="宋体" w:hAnsi="宋体"/>
          <w:sz w:val="24"/>
        </w:rPr>
        <w:t>采取不正当手段诋毁、排挤其他投标人的；</w:t>
      </w:r>
    </w:p>
    <w:p>
      <w:pPr>
        <w:spacing w:line="360" w:lineRule="auto"/>
        <w:ind w:firstLine="480" w:firstLineChars="200"/>
        <w:rPr>
          <w:rFonts w:hint="eastAsia" w:ascii="宋体" w:hAnsi="宋体"/>
          <w:sz w:val="24"/>
        </w:rPr>
      </w:pPr>
      <w:r>
        <w:rPr>
          <w:rFonts w:hint="eastAsia" w:ascii="宋体" w:hAnsi="宋体"/>
          <w:sz w:val="24"/>
        </w:rPr>
        <w:t>27.3</w:t>
      </w:r>
      <w:r>
        <w:rPr>
          <w:rFonts w:ascii="宋体" w:hAnsi="宋体"/>
          <w:sz w:val="24"/>
        </w:rPr>
        <w:t xml:space="preserve"> </w:t>
      </w:r>
      <w:r>
        <w:rPr>
          <w:rFonts w:hint="eastAsia" w:ascii="宋体" w:hAnsi="宋体"/>
          <w:sz w:val="24"/>
        </w:rPr>
        <w:t>与采购人、其他投标人或者采购代理机构恶意串通的；</w:t>
      </w:r>
    </w:p>
    <w:p>
      <w:pPr>
        <w:spacing w:line="360" w:lineRule="auto"/>
        <w:ind w:firstLine="480" w:firstLineChars="200"/>
        <w:rPr>
          <w:rFonts w:hint="eastAsia" w:ascii="宋体" w:hAnsi="宋体"/>
          <w:sz w:val="24"/>
        </w:rPr>
      </w:pPr>
      <w:r>
        <w:rPr>
          <w:rFonts w:hint="eastAsia" w:ascii="宋体" w:hAnsi="宋体"/>
          <w:sz w:val="24"/>
        </w:rPr>
        <w:t>27.4</w:t>
      </w:r>
      <w:r>
        <w:rPr>
          <w:rFonts w:ascii="宋体" w:hAnsi="宋体"/>
          <w:sz w:val="24"/>
        </w:rPr>
        <w:t xml:space="preserve"> </w:t>
      </w:r>
      <w:r>
        <w:rPr>
          <w:rFonts w:hint="eastAsia" w:ascii="宋体" w:hAnsi="宋体"/>
          <w:sz w:val="24"/>
        </w:rPr>
        <w:t>向采购人、采购代理机构行贿或者提供其他不正当利益的；</w:t>
      </w:r>
    </w:p>
    <w:p>
      <w:pPr>
        <w:spacing w:line="360" w:lineRule="auto"/>
        <w:ind w:firstLine="480" w:firstLineChars="200"/>
        <w:rPr>
          <w:rFonts w:hint="eastAsia" w:ascii="宋体" w:hAnsi="宋体"/>
          <w:sz w:val="24"/>
        </w:rPr>
      </w:pPr>
      <w:r>
        <w:rPr>
          <w:rFonts w:hint="eastAsia" w:ascii="宋体" w:hAnsi="宋体"/>
          <w:sz w:val="24"/>
        </w:rPr>
        <w:t>27.5</w:t>
      </w:r>
      <w:r>
        <w:rPr>
          <w:rFonts w:ascii="宋体" w:hAnsi="宋体"/>
          <w:sz w:val="24"/>
        </w:rPr>
        <w:t xml:space="preserve"> </w:t>
      </w:r>
      <w:r>
        <w:rPr>
          <w:rFonts w:hint="eastAsia" w:ascii="宋体" w:hAnsi="宋体"/>
          <w:sz w:val="24"/>
        </w:rPr>
        <w:t>在招标采购过程中与采购人进行协商谈判的；</w:t>
      </w:r>
    </w:p>
    <w:p>
      <w:pPr>
        <w:spacing w:line="360" w:lineRule="auto"/>
        <w:ind w:firstLine="480" w:firstLineChars="200"/>
        <w:rPr>
          <w:rFonts w:hint="eastAsia" w:ascii="宋体" w:hAnsi="宋体"/>
          <w:sz w:val="24"/>
        </w:rPr>
      </w:pPr>
      <w:r>
        <w:rPr>
          <w:rFonts w:hint="eastAsia" w:ascii="宋体" w:hAnsi="宋体"/>
          <w:sz w:val="24"/>
        </w:rPr>
        <w:t>27.6</w:t>
      </w:r>
      <w:r>
        <w:rPr>
          <w:rFonts w:ascii="宋体" w:hAnsi="宋体"/>
          <w:sz w:val="24"/>
        </w:rPr>
        <w:t xml:space="preserve"> </w:t>
      </w:r>
      <w:r>
        <w:rPr>
          <w:rFonts w:hint="eastAsia" w:ascii="宋体" w:hAnsi="宋体"/>
          <w:sz w:val="24"/>
        </w:rPr>
        <w:t>拒绝有关部门监督检查或者提供虚假情况的；</w:t>
      </w:r>
    </w:p>
    <w:p>
      <w:pPr>
        <w:spacing w:line="360" w:lineRule="auto"/>
        <w:ind w:firstLine="480" w:firstLineChars="200"/>
        <w:rPr>
          <w:rFonts w:hint="eastAsia" w:ascii="宋体" w:hAnsi="宋体"/>
          <w:sz w:val="24"/>
        </w:rPr>
      </w:pPr>
      <w:r>
        <w:rPr>
          <w:rFonts w:hint="eastAsia" w:ascii="宋体" w:hAnsi="宋体"/>
          <w:sz w:val="24"/>
        </w:rPr>
        <w:t>投标人有前款27.1至27.5项情形之一的，中标无效。</w:t>
      </w:r>
    </w:p>
    <w:p>
      <w:pPr>
        <w:spacing w:line="360" w:lineRule="auto"/>
        <w:ind w:firstLine="482" w:firstLineChars="200"/>
        <w:rPr>
          <w:rFonts w:hint="eastAsia"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向评标</w:t>
      </w:r>
      <w:r>
        <w:rPr>
          <w:rFonts w:ascii="宋体" w:hAnsi="宋体"/>
          <w:sz w:val="24"/>
        </w:rPr>
        <w:t>委员会</w:t>
      </w:r>
      <w:r>
        <w:rPr>
          <w:rFonts w:hint="eastAsia" w:ascii="宋体" w:hAnsi="宋体"/>
          <w:sz w:val="24"/>
        </w:rPr>
        <w:t>或者</w:t>
      </w:r>
      <w:r>
        <w:rPr>
          <w:rFonts w:ascii="宋体" w:hAnsi="宋体"/>
          <w:sz w:val="24"/>
        </w:rPr>
        <w:t>评标委员会</w:t>
      </w:r>
      <w:r>
        <w:rPr>
          <w:rFonts w:hint="eastAsia" w:ascii="宋体" w:hAnsi="宋体"/>
          <w:sz w:val="24"/>
        </w:rPr>
        <w:t>成员行贿或者提供其他不正当利益；</w:t>
      </w:r>
    </w:p>
    <w:p>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中标或者成交后无正当理由拒不与采购人签订政府采购合同；</w:t>
      </w:r>
    </w:p>
    <w:p>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未按照招标文件确定的事项签订政府采购合同；</w:t>
      </w:r>
    </w:p>
    <w:p>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将政府采购合同转包；</w:t>
      </w:r>
    </w:p>
    <w:p>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提供假冒伪劣产品；</w:t>
      </w:r>
    </w:p>
    <w:p>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擅自变更、中止或者终止政府采购合同。</w:t>
      </w:r>
    </w:p>
    <w:p>
      <w:pPr>
        <w:spacing w:line="360" w:lineRule="auto"/>
        <w:ind w:firstLine="480" w:firstLineChars="200"/>
        <w:rPr>
          <w:rFonts w:hint="eastAsia"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9</w:t>
      </w:r>
      <w:r>
        <w:rPr>
          <w:rFonts w:hint="eastAsia" w:ascii="宋体" w:hAnsi="宋体"/>
          <w:b/>
          <w:sz w:val="24"/>
        </w:rPr>
        <w:t>.</w:t>
      </w:r>
      <w:r>
        <w:rPr>
          <w:rFonts w:ascii="宋体" w:hAnsi="宋体"/>
          <w:b/>
          <w:sz w:val="24"/>
        </w:rPr>
        <w:t xml:space="preserve"> </w:t>
      </w:r>
      <w:r>
        <w:rPr>
          <w:rFonts w:hint="eastAsia" w:ascii="宋体" w:hAnsi="宋体"/>
          <w:b/>
          <w:sz w:val="24"/>
        </w:rPr>
        <w:t>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hint="eastAsia" w:ascii="宋体" w:hAnsi="宋体"/>
          <w:b/>
          <w:sz w:val="24"/>
        </w:rPr>
      </w:pPr>
      <w:r>
        <w:rPr>
          <w:rFonts w:ascii="宋体" w:hAnsi="宋体"/>
          <w:b/>
          <w:sz w:val="24"/>
        </w:rPr>
        <w:t>30</w:t>
      </w:r>
      <w:r>
        <w:rPr>
          <w:rFonts w:hint="eastAsia" w:ascii="宋体" w:hAnsi="宋体"/>
          <w:b/>
          <w:sz w:val="24"/>
        </w:rPr>
        <w:t>.</w:t>
      </w:r>
      <w:r>
        <w:rPr>
          <w:rFonts w:ascii="宋体" w:hAnsi="宋体"/>
          <w:b/>
          <w:sz w:val="24"/>
        </w:rPr>
        <w:t xml:space="preserve"> </w:t>
      </w:r>
      <w:r>
        <w:rPr>
          <w:rFonts w:hint="eastAsia" w:ascii="宋体" w:hAnsi="宋体"/>
          <w:b/>
          <w:sz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sz w:val="24"/>
        </w:rPr>
      </w:pPr>
      <w:r>
        <w:rPr>
          <w:rFonts w:hint="eastAsia" w:ascii="宋体" w:hAnsi="宋体"/>
          <w:sz w:val="24"/>
        </w:rPr>
        <w:t>30.1投标人直接或者间接从采购人或者采购代理机构处获得其他投标人的相关情况并修改其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30.2</w:t>
      </w:r>
      <w:r>
        <w:rPr>
          <w:rFonts w:ascii="宋体" w:hAnsi="宋体"/>
          <w:sz w:val="24"/>
        </w:rPr>
        <w:t xml:space="preserve"> </w:t>
      </w:r>
      <w:r>
        <w:rPr>
          <w:rFonts w:hint="eastAsia" w:ascii="宋体" w:hAnsi="宋体"/>
          <w:sz w:val="24"/>
        </w:rPr>
        <w:t>投标人按照采购人或者采购代理机构的授意撤换、修改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30.3</w:t>
      </w:r>
      <w:r>
        <w:rPr>
          <w:rFonts w:ascii="宋体" w:hAnsi="宋体"/>
          <w:sz w:val="24"/>
        </w:rPr>
        <w:t xml:space="preserve"> </w:t>
      </w:r>
      <w:r>
        <w:rPr>
          <w:rFonts w:hint="eastAsia" w:ascii="宋体" w:hAnsi="宋体"/>
          <w:sz w:val="24"/>
        </w:rPr>
        <w:t>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hint="eastAsia" w:ascii="宋体" w:hAnsi="宋体"/>
          <w:sz w:val="24"/>
        </w:rPr>
      </w:pPr>
      <w:r>
        <w:rPr>
          <w:rFonts w:hint="eastAsia" w:ascii="宋体" w:hAnsi="宋体"/>
          <w:sz w:val="24"/>
        </w:rPr>
        <w:t>30.4属于同一集团、协会、商会等组织成员的投标人按照该组织要求协同参加政府采购活动；</w:t>
      </w:r>
    </w:p>
    <w:p>
      <w:pPr>
        <w:spacing w:line="360" w:lineRule="auto"/>
        <w:ind w:firstLine="480" w:firstLineChars="200"/>
        <w:rPr>
          <w:rFonts w:ascii="宋体" w:hAnsi="宋体"/>
          <w:sz w:val="24"/>
        </w:rPr>
      </w:pPr>
      <w:r>
        <w:rPr>
          <w:rFonts w:hint="eastAsia" w:ascii="宋体" w:hAnsi="宋体"/>
          <w:sz w:val="24"/>
        </w:rPr>
        <w:t>30.5</w:t>
      </w:r>
      <w:r>
        <w:rPr>
          <w:rFonts w:ascii="宋体" w:hAnsi="宋体"/>
          <w:sz w:val="24"/>
        </w:rPr>
        <w:t xml:space="preserve"> </w:t>
      </w:r>
      <w:r>
        <w:rPr>
          <w:rFonts w:hint="eastAsia" w:ascii="宋体" w:hAnsi="宋体"/>
          <w:sz w:val="24"/>
        </w:rPr>
        <w:t>投标人之间事先约定由某一特定投标人中标、成交；</w:t>
      </w:r>
    </w:p>
    <w:p>
      <w:pPr>
        <w:spacing w:line="360" w:lineRule="auto"/>
        <w:ind w:firstLine="480" w:firstLineChars="200"/>
        <w:rPr>
          <w:rFonts w:ascii="宋体" w:hAnsi="宋体"/>
          <w:sz w:val="24"/>
        </w:rPr>
      </w:pPr>
      <w:r>
        <w:rPr>
          <w:rFonts w:hint="eastAsia" w:ascii="宋体" w:hAnsi="宋体"/>
          <w:sz w:val="24"/>
        </w:rPr>
        <w:t>30.6</w:t>
      </w:r>
      <w:r>
        <w:rPr>
          <w:rFonts w:ascii="宋体" w:hAnsi="宋体"/>
          <w:sz w:val="24"/>
        </w:rPr>
        <w:t xml:space="preserve"> </w:t>
      </w:r>
      <w:r>
        <w:rPr>
          <w:rFonts w:hint="eastAsia" w:ascii="宋体" w:hAnsi="宋体"/>
          <w:sz w:val="24"/>
        </w:rPr>
        <w:t>投标人之间商定部分投标人放弃参加政府采购活动或者放弃中标、成交；</w:t>
      </w:r>
    </w:p>
    <w:p>
      <w:pPr>
        <w:spacing w:line="360" w:lineRule="auto"/>
        <w:ind w:firstLine="480" w:firstLineChars="200"/>
        <w:rPr>
          <w:rFonts w:ascii="宋体" w:hAnsi="宋体"/>
          <w:sz w:val="20"/>
        </w:rPr>
      </w:pPr>
      <w:r>
        <w:rPr>
          <w:rFonts w:hint="eastAsia" w:ascii="宋体" w:hAnsi="宋体"/>
          <w:sz w:val="24"/>
        </w:rPr>
        <w:t>30.7投标人与采购人或者采购代理机构之间、投标人相互之间，为谋求特定投标人中标、成交或者排斥其他投标人的其他串通行为；</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8 </w:t>
      </w:r>
      <w:r>
        <w:rPr>
          <w:rFonts w:hint="eastAsia" w:ascii="宋体" w:hAnsi="宋体"/>
          <w:sz w:val="24"/>
        </w:rPr>
        <w:t>不同投标人的投标文件由同一单位或者个人编制；</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9 </w:t>
      </w:r>
      <w:r>
        <w:rPr>
          <w:rFonts w:hint="eastAsia" w:ascii="宋体" w:hAnsi="宋体"/>
          <w:sz w:val="24"/>
        </w:rPr>
        <w:t>不同投标人委托同一单位或者个人办理投标事宜；</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10 </w:t>
      </w:r>
      <w:r>
        <w:rPr>
          <w:rFonts w:hint="eastAsia" w:ascii="宋体" w:hAnsi="宋体"/>
          <w:sz w:val="24"/>
        </w:rPr>
        <w:t>不同投标人的投标文件载明的项目管理成员或者联系人员为同一人；</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11 </w:t>
      </w:r>
      <w:r>
        <w:rPr>
          <w:rFonts w:hint="eastAsia" w:ascii="宋体" w:hAnsi="宋体"/>
          <w:sz w:val="24"/>
        </w:rPr>
        <w:t>不同投标人的投标文件异常一致或者投标报价呈规律性差异；</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12 </w:t>
      </w:r>
      <w:r>
        <w:rPr>
          <w:rFonts w:hint="eastAsia" w:ascii="宋体" w:hAnsi="宋体"/>
          <w:sz w:val="24"/>
        </w:rPr>
        <w:t>不同投标人的投标文件相互混装；</w:t>
      </w:r>
    </w:p>
    <w:p>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13 </w:t>
      </w:r>
      <w:r>
        <w:rPr>
          <w:rFonts w:hint="eastAsia" w:ascii="宋体" w:hAnsi="宋体"/>
          <w:sz w:val="24"/>
        </w:rPr>
        <w:t>不同投标人的投标保证金从同一单位或者个人的账户转出。</w:t>
      </w:r>
    </w:p>
    <w:p>
      <w:pPr>
        <w:pStyle w:val="4"/>
        <w:ind w:firstLine="643"/>
        <w:rPr>
          <w:rFonts w:hint="eastAsia" w:ascii="宋体" w:hAnsi="宋体" w:eastAsia="宋体"/>
          <w:sz w:val="32"/>
        </w:rPr>
      </w:pPr>
      <w:bookmarkStart w:id="37" w:name="_Toc530665707"/>
      <w:r>
        <w:rPr>
          <w:rFonts w:hint="eastAsia" w:ascii="宋体" w:hAnsi="宋体" w:eastAsia="宋体"/>
          <w:sz w:val="32"/>
        </w:rPr>
        <w:t>九   询问</w:t>
      </w:r>
      <w:bookmarkEnd w:id="19"/>
      <w:bookmarkEnd w:id="20"/>
      <w:bookmarkEnd w:id="21"/>
      <w:bookmarkEnd w:id="37"/>
    </w:p>
    <w:p>
      <w:pPr>
        <w:spacing w:line="360" w:lineRule="auto"/>
        <w:ind w:firstLine="480" w:firstLineChars="200"/>
        <w:rPr>
          <w:rFonts w:hint="eastAsia" w:ascii="宋体" w:hAnsi="宋体"/>
          <w:sz w:val="24"/>
        </w:rPr>
      </w:pPr>
      <w:r>
        <w:rPr>
          <w:rFonts w:hint="eastAsia" w:ascii="宋体" w:hAnsi="宋体"/>
          <w:sz w:val="24"/>
        </w:rPr>
        <w:t>31.投标人有权就采购活动的事项在有效时限内提出询问。</w:t>
      </w:r>
    </w:p>
    <w:p>
      <w:pPr>
        <w:spacing w:line="360" w:lineRule="auto"/>
        <w:ind w:firstLine="480" w:firstLineChars="200"/>
        <w:rPr>
          <w:rFonts w:hint="eastAsia" w:ascii="宋体" w:hAnsi="宋体"/>
          <w:sz w:val="24"/>
        </w:rPr>
      </w:pPr>
      <w:r>
        <w:rPr>
          <w:rFonts w:hint="eastAsia" w:ascii="宋体" w:hAnsi="宋体"/>
          <w:sz w:val="24"/>
        </w:rPr>
        <w:t>31.1投标人对采购活动事项有疑问的，可向采购代理机构提出询问，采购代理机构将在3个工作日内对投标人依法提出的询问作出答复，但答复的内容不涉及商业秘密。</w:t>
      </w:r>
    </w:p>
    <w:p>
      <w:pPr>
        <w:spacing w:line="360" w:lineRule="auto"/>
        <w:ind w:firstLine="480" w:firstLineChars="200"/>
        <w:rPr>
          <w:rFonts w:ascii="宋体" w:hAnsi="宋体"/>
          <w:sz w:val="24"/>
        </w:rPr>
      </w:pPr>
      <w:bookmarkStart w:id="38" w:name="_Toc176659672"/>
      <w:bookmarkStart w:id="39" w:name="_Toc334087237"/>
      <w:bookmarkStart w:id="40" w:name="_Toc335664279"/>
      <w:bookmarkStart w:id="41" w:name="_Toc393869893"/>
      <w:bookmarkStart w:id="42" w:name="_Toc396838137"/>
      <w:r>
        <w:rPr>
          <w:rFonts w:hint="eastAsia" w:ascii="宋体" w:hAnsi="宋体"/>
          <w:sz w:val="24"/>
        </w:rPr>
        <w:t>31.2对招标文件有疑问的，应在规定的时间内向采购代理机构书面提出。</w:t>
      </w:r>
    </w:p>
    <w:p>
      <w:pPr>
        <w:spacing w:line="360" w:lineRule="auto"/>
        <w:ind w:firstLine="480" w:firstLineChars="200"/>
        <w:rPr>
          <w:rFonts w:hint="eastAsia" w:ascii="宋体" w:hAnsi="宋体"/>
          <w:sz w:val="24"/>
        </w:rPr>
      </w:pPr>
      <w:r>
        <w:rPr>
          <w:rFonts w:hint="eastAsia" w:ascii="宋体" w:hAnsi="宋体"/>
          <w:sz w:val="24"/>
        </w:rPr>
        <w:t>31.2.1采购代理机构为合理安排工作进度，建议投标人在规定时间前，准备好需答疑、澄清的内容（内容包括：招标文件内容、技术参数是否具有排他性或独有性以及是否有违反三公原则的内容等），以书面形式送达或传真至采购代理机构项目负责人。</w:t>
      </w:r>
    </w:p>
    <w:p>
      <w:pPr>
        <w:spacing w:line="360" w:lineRule="auto"/>
        <w:ind w:firstLine="480" w:firstLineChars="200"/>
        <w:rPr>
          <w:rFonts w:hint="eastAsia" w:ascii="宋体" w:hAnsi="宋体"/>
          <w:sz w:val="24"/>
        </w:rPr>
      </w:pPr>
      <w:r>
        <w:rPr>
          <w:rFonts w:hint="eastAsia" w:ascii="宋体" w:hAnsi="宋体"/>
          <w:sz w:val="24"/>
        </w:rPr>
        <w:t>31.2.2采购代理机构将在投标截止时间十五日前对投标人澄清的要求予以答复，答复内容将在浙江政府采购网（</w:t>
      </w:r>
      <w:r>
        <w:rPr>
          <w:rFonts w:hint="eastAsia" w:ascii="宋体" w:hAnsi="宋体"/>
          <w:sz w:val="24"/>
        </w:rPr>
        <w:fldChar w:fldCharType="begin"/>
      </w:r>
      <w:r>
        <w:rPr>
          <w:rFonts w:hint="eastAsia" w:ascii="宋体" w:hAnsi="宋体"/>
          <w:sz w:val="24"/>
        </w:rPr>
        <w:instrText xml:space="preserve"> HYPERLINK "http://60.190.126.3:8080/wcm/WCMV6/editor/editor/招标文件（新版）.doc" </w:instrText>
      </w:r>
      <w:r>
        <w:rPr>
          <w:rFonts w:hint="eastAsia" w:ascii="宋体" w:hAnsi="宋体"/>
          <w:sz w:val="24"/>
        </w:rPr>
        <w:fldChar w:fldCharType="separate"/>
      </w:r>
      <w:r>
        <w:rPr>
          <w:rFonts w:hint="eastAsia" w:ascii="宋体" w:hAnsi="宋体"/>
          <w:sz w:val="24"/>
        </w:rPr>
        <w:t>www.zjzfcg.gov.cn</w:t>
      </w:r>
      <w:r>
        <w:rPr>
          <w:rFonts w:hint="eastAsia" w:ascii="宋体" w:hAnsi="宋体"/>
          <w:sz w:val="24"/>
        </w:rPr>
        <w:fldChar w:fldCharType="end"/>
      </w:r>
      <w:r>
        <w:rPr>
          <w:rFonts w:hint="eastAsia" w:ascii="宋体" w:hAnsi="宋体"/>
          <w:sz w:val="24"/>
        </w:rPr>
        <w:t>）、</w:t>
      </w:r>
      <w:r>
        <w:rPr>
          <w:rFonts w:ascii="宋体" w:hAnsi="宋体" w:cs="宋体"/>
          <w:kern w:val="0"/>
          <w:sz w:val="24"/>
        </w:rPr>
        <w:t>丽水市公共资源交易网（www.lssggzy.com）</w:t>
      </w:r>
      <w:r>
        <w:rPr>
          <w:rFonts w:hint="eastAsia" w:ascii="宋体" w:hAnsi="宋体"/>
          <w:sz w:val="24"/>
        </w:rPr>
        <w:t>上予以公布，请投标人务必关注相关网站，投标人因自身贻误行为导致投标失败的，责任自负。</w:t>
      </w:r>
    </w:p>
    <w:p>
      <w:pPr>
        <w:spacing w:line="360" w:lineRule="auto"/>
        <w:ind w:firstLine="480" w:firstLineChars="200"/>
        <w:rPr>
          <w:rFonts w:hint="eastAsia" w:ascii="宋体" w:hAnsi="宋体"/>
          <w:sz w:val="24"/>
        </w:rPr>
      </w:pPr>
      <w:r>
        <w:rPr>
          <w:rFonts w:hint="eastAsia" w:ascii="宋体" w:hAnsi="宋体"/>
          <w:sz w:val="24"/>
        </w:rPr>
        <w:t>31.3投标人提出的询问超出采购人对采购代理机构委托授权范围的，采购代理机构应当告知投标人向采购人提出。</w:t>
      </w:r>
    </w:p>
    <w:p>
      <w:pPr>
        <w:spacing w:line="360" w:lineRule="auto"/>
        <w:ind w:firstLine="480" w:firstLineChars="200"/>
        <w:rPr>
          <w:rFonts w:hint="eastAsia" w:ascii="宋体" w:hAnsi="宋体"/>
          <w:sz w:val="24"/>
        </w:rPr>
      </w:pPr>
      <w:r>
        <w:rPr>
          <w:rFonts w:hint="eastAsia" w:ascii="宋体" w:hAnsi="宋体"/>
          <w:sz w:val="24"/>
        </w:rPr>
        <w:t>31.4政府采购评审专家应当配合采购人或者采购代理机构答复投标人的询问。</w:t>
      </w:r>
    </w:p>
    <w:p>
      <w:pPr>
        <w:pStyle w:val="4"/>
        <w:ind w:firstLine="315" w:firstLineChars="98"/>
        <w:rPr>
          <w:rFonts w:hint="eastAsia" w:ascii="宋体" w:hAnsi="宋体" w:eastAsia="宋体"/>
          <w:sz w:val="32"/>
        </w:rPr>
      </w:pPr>
      <w:bookmarkStart w:id="43" w:name="_Toc530665708"/>
      <w:bookmarkStart w:id="44" w:name="_Toc415648537"/>
      <w:r>
        <w:rPr>
          <w:rFonts w:hint="eastAsia" w:ascii="宋体" w:hAnsi="宋体" w:eastAsia="宋体"/>
          <w:sz w:val="32"/>
        </w:rPr>
        <w:t>十   质疑</w:t>
      </w:r>
      <w:bookmarkEnd w:id="38"/>
      <w:bookmarkEnd w:id="39"/>
      <w:bookmarkEnd w:id="40"/>
      <w:bookmarkEnd w:id="41"/>
      <w:bookmarkEnd w:id="42"/>
      <w:bookmarkEnd w:id="43"/>
      <w:bookmarkEnd w:id="44"/>
    </w:p>
    <w:p>
      <w:pPr>
        <w:pStyle w:val="24"/>
        <w:spacing w:line="360" w:lineRule="auto"/>
        <w:ind w:firstLine="480" w:firstLineChars="200"/>
        <w:rPr>
          <w:rFonts w:hint="eastAsia" w:hAnsi="宋体"/>
          <w:sz w:val="24"/>
          <w:szCs w:val="21"/>
        </w:rPr>
      </w:pPr>
      <w:r>
        <w:rPr>
          <w:rFonts w:hint="eastAsia" w:hAnsi="宋体"/>
          <w:sz w:val="24"/>
          <w:szCs w:val="21"/>
        </w:rPr>
        <w:t>32</w:t>
      </w:r>
      <w:r>
        <w:rPr>
          <w:rFonts w:hAnsi="宋体"/>
          <w:sz w:val="24"/>
          <w:szCs w:val="21"/>
        </w:rPr>
        <w:t>.</w:t>
      </w:r>
      <w:r>
        <w:rPr>
          <w:rFonts w:hint="eastAsia" w:hAnsi="宋体"/>
          <w:sz w:val="24"/>
          <w:szCs w:val="21"/>
        </w:rPr>
        <w:t>1</w:t>
      </w:r>
      <w:r>
        <w:rPr>
          <w:rFonts w:hint="eastAsia" w:hAnsi="宋体" w:cs="宋体"/>
          <w:kern w:val="0"/>
          <w:sz w:val="24"/>
          <w:szCs w:val="24"/>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pPr>
        <w:pStyle w:val="24"/>
        <w:spacing w:line="360" w:lineRule="auto"/>
        <w:ind w:firstLine="480" w:firstLineChars="200"/>
        <w:rPr>
          <w:rFonts w:hint="eastAsia" w:hAnsi="宋体"/>
          <w:sz w:val="24"/>
          <w:szCs w:val="21"/>
        </w:rPr>
      </w:pPr>
      <w:r>
        <w:rPr>
          <w:rFonts w:hint="eastAsia" w:hAnsi="宋体"/>
          <w:sz w:val="24"/>
          <w:szCs w:val="21"/>
        </w:rPr>
        <w:t>32.2质疑的主要内容应符合</w:t>
      </w:r>
      <w:r>
        <w:rPr>
          <w:rFonts w:hint="eastAsia" w:hAnsi="宋体" w:cs="Calibri"/>
          <w:kern w:val="0"/>
          <w:sz w:val="24"/>
          <w:szCs w:val="24"/>
        </w:rPr>
        <w:t>《政府采购质疑和投诉办法》规定</w:t>
      </w:r>
      <w:r>
        <w:rPr>
          <w:rFonts w:hint="eastAsia" w:hAnsi="宋体"/>
          <w:sz w:val="24"/>
          <w:szCs w:val="21"/>
        </w:rPr>
        <w:t>以及浙江省和丽水市相关文件的规定。质疑内容涉及保密事项，质疑投标人应提供有效的信息来源或有效证据。</w:t>
      </w:r>
    </w:p>
    <w:p>
      <w:pPr>
        <w:pStyle w:val="24"/>
        <w:spacing w:line="360" w:lineRule="auto"/>
        <w:ind w:firstLine="480" w:firstLineChars="200"/>
        <w:rPr>
          <w:rFonts w:hint="eastAsia" w:hAnsi="宋体"/>
          <w:sz w:val="24"/>
          <w:szCs w:val="21"/>
        </w:rPr>
      </w:pPr>
      <w:r>
        <w:rPr>
          <w:rFonts w:hint="eastAsia" w:hAnsi="宋体"/>
          <w:sz w:val="24"/>
          <w:szCs w:val="21"/>
        </w:rPr>
        <w:t>32.3质疑投标人可直接提交、传真或邮寄方式提交质疑书（一式三份以上）。以其他方式提出的质疑，采购代理机构</w:t>
      </w:r>
      <w:r>
        <w:rPr>
          <w:rFonts w:hAnsi="宋体"/>
          <w:sz w:val="24"/>
          <w:szCs w:val="21"/>
        </w:rPr>
        <w:t>可不予接受、答复。</w:t>
      </w:r>
    </w:p>
    <w:p>
      <w:pPr>
        <w:pStyle w:val="24"/>
        <w:spacing w:line="360" w:lineRule="auto"/>
        <w:ind w:firstLine="480" w:firstLineChars="200"/>
        <w:rPr>
          <w:rFonts w:hint="eastAsia" w:hAnsi="宋体"/>
          <w:sz w:val="24"/>
          <w:szCs w:val="21"/>
        </w:rPr>
      </w:pPr>
      <w:r>
        <w:rPr>
          <w:rFonts w:hint="eastAsia" w:hAnsi="宋体"/>
          <w:sz w:val="24"/>
          <w:szCs w:val="21"/>
        </w:rPr>
        <w:t>32.3.1</w:t>
      </w:r>
      <w:r>
        <w:rPr>
          <w:rFonts w:hAnsi="宋体"/>
          <w:sz w:val="24"/>
          <w:szCs w:val="21"/>
        </w:rPr>
        <w:t>邮寄方式送达质疑书的，以</w:t>
      </w:r>
      <w:r>
        <w:rPr>
          <w:rFonts w:hint="eastAsia" w:hAnsi="宋体"/>
          <w:sz w:val="24"/>
          <w:szCs w:val="21"/>
        </w:rPr>
        <w:t>采购代理机构</w:t>
      </w:r>
      <w:r>
        <w:rPr>
          <w:rFonts w:hAnsi="宋体"/>
          <w:sz w:val="24"/>
          <w:szCs w:val="21"/>
        </w:rPr>
        <w:t>实际收到邮件之日作为收到质疑的日期。</w:t>
      </w:r>
    </w:p>
    <w:p>
      <w:pPr>
        <w:pStyle w:val="24"/>
        <w:spacing w:line="360" w:lineRule="auto"/>
        <w:ind w:firstLine="480" w:firstLineChars="200"/>
        <w:rPr>
          <w:rFonts w:hint="eastAsia" w:hAnsi="宋体"/>
          <w:sz w:val="24"/>
          <w:szCs w:val="21"/>
        </w:rPr>
      </w:pPr>
      <w:r>
        <w:rPr>
          <w:rFonts w:hint="eastAsia" w:hAnsi="宋体"/>
          <w:sz w:val="24"/>
          <w:szCs w:val="21"/>
        </w:rPr>
        <w:t>32.3.2</w:t>
      </w:r>
      <w:r>
        <w:rPr>
          <w:rFonts w:hAnsi="宋体"/>
          <w:sz w:val="24"/>
          <w:szCs w:val="21"/>
        </w:rPr>
        <w:t>传真方式送达质疑书的，质疑</w:t>
      </w:r>
      <w:r>
        <w:rPr>
          <w:rFonts w:hint="eastAsia" w:hAnsi="宋体"/>
          <w:sz w:val="24"/>
          <w:szCs w:val="21"/>
        </w:rPr>
        <w:t>投标人</w:t>
      </w:r>
      <w:r>
        <w:rPr>
          <w:rFonts w:hAnsi="宋体"/>
          <w:sz w:val="24"/>
          <w:szCs w:val="21"/>
        </w:rPr>
        <w:t>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pPr>
        <w:pStyle w:val="24"/>
        <w:spacing w:line="360" w:lineRule="auto"/>
        <w:ind w:firstLine="480" w:firstLineChars="200"/>
        <w:rPr>
          <w:rFonts w:hint="eastAsia" w:hAnsi="宋体"/>
          <w:sz w:val="24"/>
          <w:szCs w:val="21"/>
        </w:rPr>
      </w:pPr>
      <w:r>
        <w:rPr>
          <w:rFonts w:hint="eastAsia" w:hAnsi="宋体"/>
          <w:sz w:val="24"/>
          <w:szCs w:val="21"/>
        </w:rPr>
        <w:t>32.3.3</w:t>
      </w:r>
      <w:r>
        <w:rPr>
          <w:rFonts w:hAnsi="宋体"/>
          <w:sz w:val="24"/>
          <w:szCs w:val="21"/>
        </w:rPr>
        <w:t>在质疑期限届满前，质疑书已经邮寄或传真成功的，质疑不视为过期。</w:t>
      </w:r>
    </w:p>
    <w:p>
      <w:pPr>
        <w:pStyle w:val="24"/>
        <w:spacing w:line="360" w:lineRule="auto"/>
        <w:ind w:firstLine="480" w:firstLineChars="200"/>
        <w:rPr>
          <w:rFonts w:hint="eastAsia" w:hAnsi="宋体"/>
          <w:sz w:val="24"/>
          <w:szCs w:val="21"/>
        </w:rPr>
      </w:pPr>
      <w:r>
        <w:rPr>
          <w:rFonts w:hint="eastAsia" w:hAnsi="宋体"/>
          <w:sz w:val="24"/>
          <w:szCs w:val="21"/>
        </w:rPr>
        <w:t>32.4质疑投标人提供的相关材料中有外文资料的，应将与质疑相关的外文资料完整、客观、真实地翻译为中文，并注明翻译人员姓名、工作单位、联系方式等信息。</w:t>
      </w:r>
    </w:p>
    <w:p>
      <w:pPr>
        <w:pStyle w:val="24"/>
        <w:spacing w:line="360" w:lineRule="auto"/>
        <w:ind w:firstLine="480" w:firstLineChars="200"/>
        <w:rPr>
          <w:rFonts w:hAnsi="宋体"/>
          <w:sz w:val="24"/>
          <w:szCs w:val="21"/>
        </w:rPr>
      </w:pPr>
      <w:r>
        <w:rPr>
          <w:rFonts w:hint="eastAsia" w:hAnsi="宋体"/>
          <w:sz w:val="24"/>
          <w:szCs w:val="21"/>
        </w:rPr>
        <w:t>32</w:t>
      </w:r>
      <w:r>
        <w:rPr>
          <w:rFonts w:hAnsi="宋体"/>
          <w:sz w:val="24"/>
          <w:szCs w:val="21"/>
        </w:rPr>
        <w:t>.</w:t>
      </w:r>
      <w:r>
        <w:rPr>
          <w:rFonts w:hint="eastAsia" w:hAnsi="宋体"/>
          <w:sz w:val="24"/>
          <w:szCs w:val="21"/>
        </w:rPr>
        <w:t>5采购代理机构在收到质疑投标人的书面质疑后7个工作日内作出答复，并以书面形式答复质疑投标人</w:t>
      </w:r>
      <w:r>
        <w:rPr>
          <w:rFonts w:hAnsi="宋体"/>
          <w:sz w:val="24"/>
          <w:szCs w:val="21"/>
        </w:rPr>
        <w:t>。</w:t>
      </w:r>
    </w:p>
    <w:p>
      <w:pPr>
        <w:pStyle w:val="24"/>
        <w:spacing w:line="360" w:lineRule="auto"/>
        <w:ind w:firstLine="480" w:firstLineChars="200"/>
        <w:rPr>
          <w:rFonts w:hint="eastAsia" w:hAnsi="宋体"/>
          <w:sz w:val="24"/>
          <w:szCs w:val="21"/>
        </w:rPr>
      </w:pPr>
      <w:r>
        <w:rPr>
          <w:rFonts w:hint="eastAsia" w:hAnsi="宋体"/>
          <w:sz w:val="24"/>
          <w:szCs w:val="21"/>
        </w:rPr>
        <w:t>32.6质疑投标人捏造事实、提供虚假材料进行质疑的，采购代理机构报告同级财政部门，由同级财政部门审查，情况属实的，应列入不良行为记录，并在指定的媒体上公告，投标保证金不予退还。</w:t>
      </w:r>
    </w:p>
    <w:p>
      <w:pPr>
        <w:pStyle w:val="4"/>
        <w:ind w:firstLine="315" w:firstLineChars="98"/>
        <w:rPr>
          <w:rFonts w:hint="eastAsia" w:ascii="宋体" w:hAnsi="宋体" w:eastAsia="宋体"/>
          <w:sz w:val="32"/>
        </w:rPr>
      </w:pPr>
      <w:bookmarkStart w:id="45" w:name="_Toc530665709"/>
      <w:r>
        <w:rPr>
          <w:rFonts w:hint="eastAsia" w:ascii="宋体" w:hAnsi="宋体" w:eastAsia="宋体"/>
          <w:sz w:val="32"/>
        </w:rPr>
        <w:t>十一  投诉</w:t>
      </w:r>
      <w:bookmarkEnd w:id="22"/>
      <w:bookmarkEnd w:id="23"/>
      <w:bookmarkEnd w:id="24"/>
      <w:bookmarkEnd w:id="25"/>
      <w:bookmarkEnd w:id="45"/>
    </w:p>
    <w:p>
      <w:pPr>
        <w:spacing w:line="360" w:lineRule="auto"/>
        <w:ind w:firstLine="480" w:firstLineChars="200"/>
        <w:rPr>
          <w:rFonts w:hint="eastAsia" w:ascii="宋体" w:hAnsi="宋体"/>
          <w:sz w:val="24"/>
        </w:rPr>
      </w:pPr>
      <w:r>
        <w:rPr>
          <w:rFonts w:hint="eastAsia" w:ascii="宋体" w:hAnsi="宋体"/>
          <w:sz w:val="24"/>
        </w:rPr>
        <w:t>33.质疑投标人对采购代理机构的答复不满意或者采购代理机构未在规定时间内答复的，可以在答复期满后十五个工作日内按有关规定，以书面形式向同级财政部门投诉。</w:t>
      </w:r>
    </w:p>
    <w:p>
      <w:pPr>
        <w:pStyle w:val="4"/>
        <w:ind w:firstLine="321" w:firstLineChars="100"/>
        <w:rPr>
          <w:rFonts w:ascii="宋体" w:hAnsi="宋体" w:eastAsia="宋体"/>
          <w:sz w:val="32"/>
        </w:rPr>
      </w:pPr>
      <w:bookmarkStart w:id="46" w:name="_Toc530665710"/>
      <w:r>
        <w:rPr>
          <w:rFonts w:hint="eastAsia" w:ascii="宋体" w:hAnsi="宋体" w:eastAsia="宋体"/>
          <w:sz w:val="32"/>
        </w:rPr>
        <w:t>十二   授予合同</w:t>
      </w:r>
      <w:bookmarkEnd w:id="26"/>
      <w:bookmarkEnd w:id="46"/>
    </w:p>
    <w:p>
      <w:pPr>
        <w:spacing w:line="360" w:lineRule="auto"/>
        <w:ind w:firstLine="480" w:firstLineChars="200"/>
        <w:rPr>
          <w:rFonts w:ascii="宋体" w:hAnsi="宋体"/>
          <w:sz w:val="24"/>
        </w:rPr>
      </w:pPr>
      <w:r>
        <w:rPr>
          <w:rFonts w:hint="eastAsia" w:ascii="宋体" w:hAnsi="宋体"/>
          <w:sz w:val="24"/>
        </w:rPr>
        <w:t>34</w:t>
      </w:r>
      <w:r>
        <w:rPr>
          <w:rFonts w:ascii="宋体" w:hAnsi="宋体"/>
          <w:sz w:val="24"/>
        </w:rPr>
        <w:t xml:space="preserve">. </w:t>
      </w:r>
      <w:r>
        <w:rPr>
          <w:rFonts w:hint="eastAsia" w:ascii="宋体" w:hAnsi="宋体"/>
          <w:sz w:val="24"/>
        </w:rPr>
        <w:t>中标结果公告及中标通知书</w:t>
      </w:r>
    </w:p>
    <w:p>
      <w:pPr>
        <w:spacing w:line="360" w:lineRule="auto"/>
        <w:ind w:firstLine="480" w:firstLineChars="200"/>
        <w:rPr>
          <w:rFonts w:ascii="宋体" w:hAnsi="宋体"/>
          <w:sz w:val="24"/>
        </w:rPr>
      </w:pPr>
      <w:r>
        <w:rPr>
          <w:rFonts w:hint="eastAsia" w:ascii="宋体" w:hAnsi="宋体"/>
          <w:kern w:val="0"/>
          <w:sz w:val="24"/>
        </w:rPr>
        <w:t>34.1</w:t>
      </w:r>
      <w:r>
        <w:rPr>
          <w:rFonts w:ascii="宋体" w:hAnsi="宋体"/>
          <w:kern w:val="0"/>
          <w:sz w:val="24"/>
        </w:rPr>
        <w:t xml:space="preserve"> </w:t>
      </w:r>
      <w:r>
        <w:rPr>
          <w:rFonts w:hint="eastAsia" w:ascii="宋体" w:hAnsi="宋体"/>
          <w:kern w:val="0"/>
          <w:sz w:val="24"/>
        </w:rPr>
        <w:t>采购代理机构将在“浙江政府采购网”和“丽水市公共资源交易网”上发布中标结果公告。中标结果公告内容不包括国家秘密、商业秘密</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kern w:val="0"/>
          <w:sz w:val="24"/>
        </w:rPr>
        <w:t>34.2发布中标公告的同时，采购代理机构向中标人书面发出中标通知书。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授予合同时变更数量的权力</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.1</w:t>
      </w:r>
      <w:r>
        <w:rPr>
          <w:rFonts w:hint="eastAsia" w:ascii="宋体" w:hAnsi="宋体"/>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w:t>
      </w:r>
      <w:r>
        <w:rPr>
          <w:rFonts w:hint="eastAsia" w:ascii="宋体" w:hAnsi="宋体"/>
          <w:sz w:val="24"/>
        </w:rPr>
        <w:t>签订合同</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.1</w:t>
      </w:r>
      <w:r>
        <w:rPr>
          <w:rFonts w:hint="eastAsia" w:ascii="宋体" w:hAnsi="宋体"/>
          <w:sz w:val="24"/>
        </w:rPr>
        <w:t>中标人自中标通知书发出之日起7天内与采购人签定合同并进场开工。</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.3</w:t>
      </w:r>
      <w:r>
        <w:rPr>
          <w:rFonts w:hint="eastAsia" w:ascii="宋体" w:hAnsi="宋体"/>
          <w:sz w:val="24"/>
        </w:rPr>
        <w:t>中标人不遵守招标文件和投标文件的要约条款及所作的承诺,擅自修改报价或在中标通知书发出之日起7天内,借故拖延、拒签合同者,采购人将不退还投标保证金。同时采购人有权取消该投标人的中标资格。</w:t>
      </w:r>
    </w:p>
    <w:p>
      <w:pPr>
        <w:spacing w:line="360" w:lineRule="auto"/>
        <w:ind w:firstLine="480" w:firstLineChars="200"/>
        <w:rPr>
          <w:rFonts w:hint="eastAsia"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hint="eastAsia" w:ascii="宋体" w:hAnsi="宋体"/>
          <w:sz w:val="24"/>
        </w:rPr>
      </w:pPr>
      <w:r>
        <w:rPr>
          <w:rFonts w:hint="eastAsia" w:ascii="宋体" w:hAnsi="宋体"/>
          <w:sz w:val="24"/>
        </w:rPr>
        <w:t>36.4询问或者质疑事项可能影响中标结果的，采购人应当暂停签订合同，已经签订合同的，应当中止履行合同。（中标结果的质疑期为中标结果公告期限届满之日起七个工作日）。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hint="eastAsia" w:ascii="宋体" w:hAnsi="宋体"/>
          <w:sz w:val="24"/>
        </w:rPr>
      </w:pPr>
      <w:r>
        <w:rPr>
          <w:rFonts w:hint="eastAsia" w:ascii="宋体" w:hAnsi="宋体"/>
          <w:sz w:val="24"/>
        </w:rPr>
        <w:t>36.5如中标人在履约期间未履行有关义务或项目未验收通过的，采购人延期支付合同款项，直到中标人正常履行有关义务止。</w:t>
      </w:r>
    </w:p>
    <w:p>
      <w:pPr>
        <w:spacing w:line="360" w:lineRule="auto"/>
        <w:ind w:firstLine="480" w:firstLineChars="200"/>
        <w:rPr>
          <w:rFonts w:hint="eastAsia" w:ascii="宋体" w:hAnsi="宋体"/>
          <w:sz w:val="24"/>
        </w:rPr>
      </w:pPr>
      <w:r>
        <w:rPr>
          <w:rFonts w:hint="eastAsia" w:ascii="宋体" w:hAnsi="宋体"/>
          <w:sz w:val="24"/>
        </w:rPr>
        <w:t>36</w:t>
      </w:r>
      <w:r>
        <w:rPr>
          <w:rFonts w:ascii="宋体" w:hAnsi="宋体"/>
          <w:sz w:val="24"/>
        </w:rPr>
        <w:t>.</w:t>
      </w:r>
      <w:r>
        <w:rPr>
          <w:rFonts w:hint="eastAsia" w:ascii="宋体" w:hAnsi="宋体"/>
          <w:sz w:val="24"/>
        </w:rPr>
        <w:t>6采购人应当自政府采购合同签订之日起2个工作日内，将政府采购合同在省级以上人民政府财政部门指定的媒体上公告，但政府采购合同中涉及国家秘密、商业秘密的内容除外。</w:t>
      </w:r>
    </w:p>
    <w:p>
      <w:pPr>
        <w:pStyle w:val="4"/>
        <w:ind w:firstLine="321" w:firstLineChars="100"/>
        <w:rPr>
          <w:rFonts w:hint="eastAsia" w:ascii="宋体" w:hAnsi="宋体" w:eastAsia="宋体"/>
          <w:sz w:val="32"/>
        </w:rPr>
      </w:pPr>
      <w:bookmarkStart w:id="47" w:name="_Toc530665711"/>
      <w:r>
        <w:rPr>
          <w:rFonts w:hint="eastAsia" w:ascii="宋体" w:hAnsi="宋体" w:eastAsia="宋体"/>
          <w:sz w:val="32"/>
        </w:rPr>
        <w:t>十三  验收</w:t>
      </w:r>
      <w:bookmarkEnd w:id="47"/>
    </w:p>
    <w:p>
      <w:pPr>
        <w:spacing w:line="360" w:lineRule="auto"/>
        <w:ind w:firstLine="480" w:firstLineChars="200"/>
        <w:rPr>
          <w:rFonts w:hint="eastAsia" w:ascii="宋体" w:hAnsi="宋体"/>
          <w:sz w:val="24"/>
        </w:rPr>
      </w:pPr>
      <w:bookmarkStart w:id="48" w:name="_Toc45506731"/>
      <w:bookmarkStart w:id="49" w:name="_Toc15813254"/>
      <w:bookmarkStart w:id="50" w:name="_Toc107820052"/>
      <w:bookmarkStart w:id="51" w:name="_Toc15805937"/>
      <w:bookmarkStart w:id="52" w:name="_Toc47756031"/>
      <w:r>
        <w:rPr>
          <w:rFonts w:hint="eastAsia" w:ascii="宋体" w:hAnsi="宋体"/>
          <w:sz w:val="24"/>
        </w:rPr>
        <w:t>37.</w:t>
      </w:r>
      <w:r>
        <w:rPr>
          <w:rFonts w:ascii="宋体" w:hAnsi="宋体"/>
          <w:sz w:val="24"/>
        </w:rPr>
        <w:t xml:space="preserve"> </w:t>
      </w:r>
      <w:r>
        <w:rPr>
          <w:rFonts w:hint="eastAsia" w:ascii="宋体" w:hAnsi="宋体"/>
          <w:sz w:val="24"/>
        </w:rPr>
        <w:t>采购人应当按照政府采购合同对项目进行验收。</w:t>
      </w:r>
    </w:p>
    <w:p>
      <w:pPr>
        <w:pStyle w:val="4"/>
        <w:ind w:firstLine="321" w:firstLineChars="100"/>
        <w:rPr>
          <w:rFonts w:hint="eastAsia" w:ascii="宋体" w:hAnsi="宋体" w:eastAsia="宋体"/>
          <w:sz w:val="32"/>
        </w:rPr>
      </w:pPr>
      <w:bookmarkStart w:id="53" w:name="_Toc497376106"/>
      <w:bookmarkStart w:id="54" w:name="_Toc493956047"/>
      <w:bookmarkStart w:id="55" w:name="_Toc530665712"/>
      <w:r>
        <w:rPr>
          <w:rFonts w:hint="eastAsia" w:ascii="宋体" w:hAnsi="宋体" w:eastAsia="宋体"/>
          <w:sz w:val="32"/>
        </w:rPr>
        <w:t>十</w:t>
      </w:r>
      <w:r>
        <w:rPr>
          <w:rFonts w:hint="eastAsia" w:ascii="宋体" w:hAnsi="宋体" w:eastAsia="宋体"/>
          <w:sz w:val="32"/>
          <w:lang w:eastAsia="zh-CN"/>
        </w:rPr>
        <w:t>四</w:t>
      </w:r>
      <w:r>
        <w:rPr>
          <w:rFonts w:hint="eastAsia" w:ascii="宋体" w:hAnsi="宋体" w:eastAsia="宋体"/>
          <w:sz w:val="32"/>
        </w:rPr>
        <w:t xml:space="preserve">  政府</w:t>
      </w:r>
      <w:r>
        <w:rPr>
          <w:rFonts w:ascii="宋体" w:hAnsi="宋体" w:eastAsia="宋体"/>
          <w:sz w:val="32"/>
        </w:rPr>
        <w:t>采购政策</w:t>
      </w:r>
      <w:bookmarkEnd w:id="53"/>
      <w:bookmarkEnd w:id="54"/>
      <w:bookmarkEnd w:id="55"/>
    </w:p>
    <w:p>
      <w:pPr>
        <w:spacing w:line="360" w:lineRule="auto"/>
        <w:ind w:firstLine="480" w:firstLineChars="200"/>
        <w:rPr>
          <w:rFonts w:hint="eastAsia" w:ascii="宋体" w:hAnsi="宋体"/>
          <w:bCs/>
          <w:sz w:val="24"/>
        </w:rPr>
      </w:pPr>
      <w:r>
        <w:rPr>
          <w:rFonts w:hint="eastAsia" w:ascii="宋体" w:hAnsi="宋体"/>
          <w:bCs/>
          <w:sz w:val="24"/>
        </w:rPr>
        <w:t>38.</w:t>
      </w:r>
      <w:r>
        <w:rPr>
          <w:rFonts w:ascii="宋体" w:hAnsi="宋体"/>
          <w:bCs/>
          <w:sz w:val="24"/>
        </w:rPr>
        <w:t xml:space="preserve"> </w:t>
      </w:r>
      <w:r>
        <w:rPr>
          <w:rFonts w:hint="eastAsia" w:ascii="宋体" w:hAnsi="宋体"/>
          <w:bCs/>
          <w:sz w:val="24"/>
        </w:rPr>
        <w:t>关于中小企业参与政府采购活动的规定</w:t>
      </w:r>
    </w:p>
    <w:p>
      <w:pPr>
        <w:spacing w:line="360" w:lineRule="auto"/>
        <w:ind w:firstLine="480" w:firstLineChars="200"/>
        <w:rPr>
          <w:rFonts w:hint="eastAsia" w:ascii="宋体" w:hAnsi="宋体"/>
          <w:bCs/>
          <w:sz w:val="24"/>
        </w:rPr>
      </w:pPr>
      <w:r>
        <w:rPr>
          <w:rFonts w:hint="eastAsia" w:ascii="宋体" w:hAnsi="宋体"/>
          <w:bCs/>
          <w:sz w:val="24"/>
        </w:rPr>
        <w:t>38.1</w:t>
      </w:r>
      <w:r>
        <w:rPr>
          <w:rFonts w:ascii="宋体" w:hAnsi="宋体"/>
          <w:bCs/>
          <w:sz w:val="24"/>
        </w:rPr>
        <w:t xml:space="preserve"> </w:t>
      </w:r>
      <w:r>
        <w:rPr>
          <w:rFonts w:hint="eastAsia" w:ascii="宋体" w:hAnsi="宋体"/>
          <w:bCs/>
          <w:sz w:val="24"/>
        </w:rPr>
        <w:t>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spacing w:line="360" w:lineRule="auto"/>
        <w:ind w:firstLine="480" w:firstLineChars="200"/>
        <w:rPr>
          <w:rFonts w:hint="eastAsia" w:ascii="宋体" w:hAnsi="宋体"/>
          <w:bCs/>
          <w:sz w:val="24"/>
        </w:rPr>
      </w:pPr>
      <w:r>
        <w:rPr>
          <w:rFonts w:hint="eastAsia" w:ascii="宋体" w:hAnsi="宋体"/>
          <w:bCs/>
          <w:sz w:val="24"/>
        </w:rPr>
        <w:t>（1）符合中小企业划分标准；</w:t>
      </w:r>
    </w:p>
    <w:p>
      <w:pPr>
        <w:spacing w:line="360" w:lineRule="auto"/>
        <w:ind w:firstLine="480" w:firstLineChars="200"/>
        <w:rPr>
          <w:rFonts w:hint="eastAsia" w:ascii="宋体" w:hAnsi="宋体"/>
          <w:bCs/>
          <w:sz w:val="24"/>
        </w:rPr>
      </w:pPr>
      <w:r>
        <w:rPr>
          <w:rFonts w:hint="eastAsia" w:ascii="宋体" w:hAnsi="宋体"/>
          <w:bCs/>
          <w:sz w:val="24"/>
        </w:rPr>
        <w:t>（2）提供本企业制造的货物、承担的工程或者服务，或者提供其他中小企业制造的货物。本项所称货物不包括使用大型企业注册商标的货物。</w:t>
      </w:r>
    </w:p>
    <w:p>
      <w:pPr>
        <w:spacing w:line="360" w:lineRule="auto"/>
        <w:ind w:firstLine="480" w:firstLineChars="200"/>
        <w:rPr>
          <w:rFonts w:hint="eastAsia" w:ascii="宋体" w:hAnsi="宋体"/>
          <w:bCs/>
          <w:sz w:val="24"/>
        </w:rPr>
      </w:pPr>
      <w:r>
        <w:rPr>
          <w:rFonts w:hint="eastAsia" w:ascii="宋体" w:hAnsi="宋体"/>
          <w:bCs/>
          <w:sz w:val="24"/>
        </w:rPr>
        <w:t>本办法所称中小企业划分标准，是指国务院有关部门根据企业从业人员、营业收入、资产总额等指标制定的中小企业划型标准。</w:t>
      </w:r>
    </w:p>
    <w:p>
      <w:pPr>
        <w:spacing w:line="360" w:lineRule="auto"/>
        <w:ind w:firstLine="480" w:firstLineChars="200"/>
        <w:rPr>
          <w:rFonts w:hint="eastAsia" w:ascii="宋体" w:hAnsi="宋体"/>
          <w:bCs/>
          <w:sz w:val="24"/>
        </w:rPr>
      </w:pPr>
      <w:r>
        <w:rPr>
          <w:rFonts w:hint="eastAsia" w:ascii="宋体" w:hAnsi="宋体"/>
          <w:bCs/>
          <w:sz w:val="24"/>
        </w:rPr>
        <w:t>小型、微型企业提供中型企业制造的货物的，视同为中型企业。</w:t>
      </w:r>
    </w:p>
    <w:p>
      <w:pPr>
        <w:spacing w:line="360" w:lineRule="auto"/>
        <w:ind w:firstLine="480" w:firstLineChars="200"/>
        <w:rPr>
          <w:rFonts w:hint="eastAsia" w:ascii="宋体" w:hAnsi="宋体"/>
          <w:bCs/>
          <w:sz w:val="24"/>
        </w:rPr>
      </w:pPr>
      <w:r>
        <w:rPr>
          <w:rFonts w:hint="eastAsia" w:ascii="宋体" w:hAnsi="宋体"/>
          <w:bCs/>
          <w:sz w:val="24"/>
        </w:rPr>
        <w:t>38.2 根据《转发财政部工业和信息化部关于印发〈政府采购促进中小企业发展暂行办法〉的通知》（浙财采监〔2012〕11号）的有关规定，参加浙江省政府采购的中小企业投标人，应根据省财政厅《关于开展政府采购供应商网上注册登记和诚信管理工作的通知》（浙财采监〔2010〕8号)的要求，通过浙江政府采购网申请注册加入政府采购供应商库。</w:t>
      </w:r>
    </w:p>
    <w:p>
      <w:pPr>
        <w:spacing w:line="360" w:lineRule="auto"/>
        <w:ind w:firstLine="480" w:firstLineChars="200"/>
        <w:rPr>
          <w:rFonts w:ascii="宋体" w:hAnsi="宋体"/>
          <w:bCs/>
          <w:sz w:val="24"/>
        </w:rPr>
      </w:pPr>
      <w:r>
        <w:rPr>
          <w:rFonts w:hint="eastAsia" w:ascii="宋体" w:hAnsi="宋体"/>
          <w:bCs/>
          <w:sz w:val="24"/>
        </w:rPr>
        <w:t xml:space="preserve"> 已注册入库且符合《政府采购促进中小企业发展暂行办法》（下称暂行办法）规定的中小企业（含微型企业，下同）条件的，在参加浙江省政府采购活动时可享受《暂行办法》规定的优惠政策。专门面向中小企业采购的项目，中小企业可以在成为中标（成交）候选投标人后再申请注册入库。</w:t>
      </w:r>
      <w:bookmarkStart w:id="56" w:name="EBcc06b000945a49bfabe33284d6b98662"/>
    </w:p>
    <w:bookmarkEnd w:id="56"/>
    <w:p>
      <w:pPr>
        <w:pStyle w:val="4"/>
        <w:ind w:firstLine="301" w:firstLineChars="100"/>
        <w:rPr>
          <w:rFonts w:hint="eastAsia" w:ascii="宋体" w:hAnsi="宋体" w:eastAsia="宋体"/>
          <w:b w:val="0"/>
          <w:bCs w:val="0"/>
          <w:sz w:val="24"/>
        </w:rPr>
      </w:pPr>
      <w:bookmarkStart w:id="57" w:name="_Toc530665713"/>
      <w:r>
        <w:rPr>
          <w:rFonts w:hint="eastAsia" w:ascii="宋体" w:hAnsi="宋体" w:eastAsia="宋体"/>
        </w:rPr>
        <w:t>十</w:t>
      </w:r>
      <w:r>
        <w:rPr>
          <w:rFonts w:hint="eastAsia" w:ascii="宋体" w:hAnsi="宋体" w:eastAsia="宋体"/>
          <w:lang w:eastAsia="zh-CN"/>
        </w:rPr>
        <w:t>五</w:t>
      </w:r>
      <w:r>
        <w:rPr>
          <w:rFonts w:hint="eastAsia" w:ascii="宋体" w:hAnsi="宋体" w:eastAsia="宋体"/>
        </w:rPr>
        <w:t xml:space="preserve">  其他事项</w:t>
      </w:r>
      <w:bookmarkEnd w:id="48"/>
      <w:bookmarkEnd w:id="49"/>
      <w:bookmarkEnd w:id="50"/>
      <w:bookmarkEnd w:id="51"/>
      <w:bookmarkEnd w:id="52"/>
      <w:bookmarkEnd w:id="57"/>
    </w:p>
    <w:p>
      <w:pPr>
        <w:spacing w:line="360" w:lineRule="auto"/>
        <w:ind w:firstLine="480" w:firstLineChars="200"/>
        <w:rPr>
          <w:rFonts w:hint="eastAsia" w:ascii="宋体" w:hAnsi="宋体"/>
          <w:sz w:val="24"/>
        </w:rPr>
      </w:pPr>
      <w:r>
        <w:rPr>
          <w:rFonts w:hint="eastAsia" w:ascii="宋体" w:hAnsi="宋体"/>
          <w:bCs/>
          <w:sz w:val="24"/>
        </w:rPr>
        <w:t>39.</w:t>
      </w:r>
      <w:r>
        <w:rPr>
          <w:rFonts w:hint="eastAsia" w:ascii="宋体" w:hAnsi="宋体"/>
          <w:sz w:val="24"/>
        </w:rPr>
        <w:t xml:space="preserve"> 解释权 </w:t>
      </w:r>
    </w:p>
    <w:p>
      <w:pPr>
        <w:spacing w:line="360" w:lineRule="auto"/>
        <w:ind w:firstLine="480" w:firstLineChars="200"/>
        <w:rPr>
          <w:rFonts w:hint="eastAsia" w:ascii="宋体" w:hAnsi="宋体"/>
          <w:bCs/>
          <w:sz w:val="24"/>
        </w:rPr>
      </w:pPr>
      <w:r>
        <w:rPr>
          <w:rFonts w:hint="eastAsia" w:ascii="宋体" w:hAnsi="宋体"/>
          <w:bCs/>
          <w:sz w:val="24"/>
        </w:rPr>
        <w:t>39.1本招标文件是根据国家有关法律、法规、规章和有关规定编制的,解释权属采购代理机构。</w:t>
      </w:r>
    </w:p>
    <w:p>
      <w:pPr>
        <w:spacing w:line="360" w:lineRule="auto"/>
        <w:ind w:firstLine="480" w:firstLineChars="200"/>
        <w:rPr>
          <w:rFonts w:ascii="宋体" w:hAnsi="宋体"/>
          <w:sz w:val="24"/>
        </w:rPr>
      </w:pPr>
      <w:r>
        <w:rPr>
          <w:rFonts w:hint="eastAsia" w:ascii="宋体" w:hAnsi="宋体"/>
          <w:bCs/>
          <w:sz w:val="24"/>
        </w:rPr>
        <w:t>40. 采购代理机构</w:t>
      </w:r>
      <w:r>
        <w:rPr>
          <w:rFonts w:hint="eastAsia" w:ascii="宋体" w:hAnsi="宋体"/>
          <w:sz w:val="24"/>
        </w:rPr>
        <w:t>对决标结果不负责解释。</w:t>
      </w:r>
    </w:p>
    <w:p>
      <w:pPr>
        <w:spacing w:line="360" w:lineRule="auto"/>
        <w:ind w:firstLine="482" w:firstLineChars="200"/>
        <w:rPr>
          <w:rFonts w:hint="eastAsia" w:ascii="宋体" w:hAnsi="宋体"/>
          <w:b/>
          <w:sz w:val="24"/>
        </w:rPr>
      </w:pPr>
      <w:r>
        <w:rPr>
          <w:rFonts w:hint="eastAsia" w:ascii="宋体" w:hAnsi="宋体"/>
          <w:b/>
          <w:bCs/>
          <w:sz w:val="24"/>
        </w:rPr>
        <w:t>41.</w:t>
      </w:r>
      <w:r>
        <w:rPr>
          <w:rFonts w:hint="eastAsia" w:ascii="宋体" w:hAnsi="宋体"/>
          <w:b/>
          <w:sz w:val="24"/>
        </w:rPr>
        <w:t xml:space="preserve"> 采购代理服务费、监理和设计咨询费:</w:t>
      </w:r>
    </w:p>
    <w:p>
      <w:pPr>
        <w:spacing w:line="360" w:lineRule="auto"/>
        <w:ind w:firstLine="482" w:firstLineChars="200"/>
        <w:rPr>
          <w:rFonts w:hint="eastAsia" w:ascii="宋体" w:hAnsi="宋体"/>
          <w:b/>
          <w:bCs/>
          <w:sz w:val="24"/>
        </w:rPr>
      </w:pPr>
      <w:r>
        <w:rPr>
          <w:rFonts w:hint="eastAsia" w:ascii="宋体" w:hAnsi="宋体"/>
          <w:b/>
          <w:bCs/>
          <w:sz w:val="24"/>
        </w:rPr>
        <w:t>代理服务费：人民币贰万贰仟元，由中标人在领取中标通知书前向采购代理机构一次性支付。</w:t>
      </w:r>
    </w:p>
    <w:p>
      <w:pPr>
        <w:spacing w:line="360" w:lineRule="auto"/>
        <w:ind w:firstLine="482" w:firstLineChars="200"/>
        <w:rPr>
          <w:rFonts w:hint="eastAsia" w:ascii="宋体" w:hAnsi="宋体"/>
          <w:b/>
          <w:bCs/>
          <w:sz w:val="24"/>
        </w:rPr>
      </w:pPr>
      <w:r>
        <w:rPr>
          <w:rFonts w:hint="eastAsia" w:ascii="宋体" w:hAnsi="宋体"/>
          <w:b/>
          <w:bCs/>
          <w:sz w:val="24"/>
        </w:rPr>
        <w:t>监理和设计费：人民币壹拾万，由中标人在合同签订时一次性支付。</w:t>
      </w: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pStyle w:val="2"/>
        <w:numPr>
          <w:ilvl w:val="0"/>
          <w:numId w:val="5"/>
        </w:numPr>
        <w:rPr>
          <w:rFonts w:ascii="宋体" w:hAnsi="宋体" w:eastAsia="宋体"/>
        </w:rPr>
      </w:pPr>
      <w:bookmarkStart w:id="58" w:name="_Toc530665714"/>
      <w:r>
        <w:rPr>
          <w:rFonts w:hint="eastAsia" w:ascii="宋体" w:hAnsi="宋体" w:eastAsia="宋体"/>
        </w:rPr>
        <w:t>技术要求</w:t>
      </w:r>
      <w:bookmarkEnd w:id="58"/>
    </w:p>
    <w:p>
      <w:pPr>
        <w:pStyle w:val="4"/>
        <w:tabs>
          <w:tab w:val="left" w:pos="3405"/>
        </w:tabs>
        <w:ind w:firstLine="241" w:firstLineChars="100"/>
        <w:rPr>
          <w:rFonts w:hint="eastAsia" w:ascii="宋体" w:hAnsi="宋体" w:eastAsia="宋体"/>
          <w:bCs w:val="0"/>
          <w:sz w:val="24"/>
          <w:szCs w:val="24"/>
          <w:lang w:eastAsia="zh-CN"/>
        </w:rPr>
      </w:pPr>
      <w:bookmarkStart w:id="59" w:name="_Toc498694719"/>
      <w:bookmarkStart w:id="60" w:name="_Toc418691901"/>
      <w:bookmarkStart w:id="61" w:name="_Toc530665715"/>
      <w:r>
        <w:rPr>
          <w:rFonts w:hint="eastAsia" w:ascii="宋体" w:hAnsi="宋体" w:eastAsia="宋体"/>
          <w:bCs w:val="0"/>
          <w:sz w:val="24"/>
          <w:szCs w:val="24"/>
        </w:rPr>
        <w:t>一、</w:t>
      </w:r>
      <w:bookmarkEnd w:id="59"/>
      <w:bookmarkEnd w:id="60"/>
      <w:r>
        <w:rPr>
          <w:rFonts w:hint="eastAsia" w:ascii="宋体" w:hAnsi="宋体" w:eastAsia="宋体"/>
          <w:bCs w:val="0"/>
          <w:sz w:val="24"/>
          <w:szCs w:val="24"/>
          <w:lang w:eastAsia="zh-CN"/>
        </w:rPr>
        <w:t>项目概况</w:t>
      </w:r>
      <w:bookmarkEnd w:id="61"/>
    </w:p>
    <w:p>
      <w:pPr>
        <w:pStyle w:val="5"/>
        <w:ind w:firstLine="301"/>
        <w:rPr>
          <w:rFonts w:hint="eastAsia" w:ascii="宋体" w:hAnsi="宋体" w:cs="宋体"/>
          <w:b/>
          <w:sz w:val="24"/>
          <w:szCs w:val="24"/>
        </w:rPr>
      </w:pPr>
      <w:r>
        <w:rPr>
          <w:rFonts w:hint="eastAsia" w:ascii="宋体" w:hAnsi="宋体" w:cs="宋体"/>
          <w:b/>
          <w:sz w:val="24"/>
          <w:szCs w:val="24"/>
        </w:rPr>
        <w:t>1、建设背景</w:t>
      </w:r>
    </w:p>
    <w:p>
      <w:pPr>
        <w:pStyle w:val="287"/>
        <w:ind w:left="0" w:leftChars="0" w:firstLine="360" w:firstLineChars="150"/>
        <w:rPr>
          <w:rFonts w:hint="eastAsia" w:ascii="宋体" w:hAnsi="宋体"/>
          <w:sz w:val="24"/>
          <w:szCs w:val="24"/>
        </w:rPr>
      </w:pPr>
      <w:r>
        <w:rPr>
          <w:rFonts w:hint="eastAsia" w:ascii="宋体" w:hAnsi="宋体"/>
          <w:sz w:val="24"/>
          <w:szCs w:val="24"/>
        </w:rPr>
        <w:t>全国监管场所不断改革创新，监所执法理念也有很大的变化。为贯彻落实厅党委“云上公安、智能防控”第一战略决策部署和公安部监管局《2017年公安监管工作要点》中“全力打造智慧监管”工作要求，并根据《全省公安监管场所“智慧监所”建设指导意见》，全面推进全省公安监管“智慧监所”建设，夯实“智慧监管”建设基础。结合丽水市看守所勤务管理模式，建设实用的智慧监所工程，实现信息化主导**，形成规范化、精细化的现代监管新模式，促进监所安全。</w:t>
      </w:r>
    </w:p>
    <w:p>
      <w:pPr>
        <w:pStyle w:val="287"/>
        <w:ind w:left="0" w:leftChars="0" w:firstLine="361" w:firstLineChars="150"/>
        <w:rPr>
          <w:rFonts w:hint="eastAsia" w:ascii="宋体" w:hAnsi="宋体"/>
          <w:b/>
          <w:sz w:val="24"/>
          <w:szCs w:val="24"/>
        </w:rPr>
      </w:pPr>
      <w:r>
        <w:rPr>
          <w:rFonts w:hint="eastAsia" w:ascii="宋体" w:hAnsi="宋体"/>
          <w:b/>
          <w:sz w:val="24"/>
          <w:szCs w:val="24"/>
        </w:rPr>
        <w:t>2、建设目标</w:t>
      </w:r>
    </w:p>
    <w:p>
      <w:pPr>
        <w:pStyle w:val="287"/>
        <w:ind w:left="0" w:leftChars="0" w:firstLine="480"/>
        <w:rPr>
          <w:rFonts w:ascii="宋体" w:hAnsi="宋体"/>
          <w:sz w:val="24"/>
          <w:szCs w:val="24"/>
        </w:rPr>
      </w:pPr>
      <w:r>
        <w:rPr>
          <w:rFonts w:hint="eastAsia" w:ascii="宋体" w:hAnsi="宋体"/>
          <w:sz w:val="24"/>
          <w:szCs w:val="24"/>
        </w:rPr>
        <w:t>1）、深入推进监管场所五化建设，规范民警的执法行为，实现管理更加精细化，提高工作效率。</w:t>
      </w:r>
    </w:p>
    <w:p>
      <w:pPr>
        <w:pStyle w:val="287"/>
        <w:ind w:left="0" w:leftChars="0" w:firstLine="480"/>
        <w:rPr>
          <w:rFonts w:ascii="宋体" w:hAnsi="宋体"/>
          <w:sz w:val="24"/>
          <w:szCs w:val="24"/>
        </w:rPr>
      </w:pPr>
      <w:r>
        <w:rPr>
          <w:rFonts w:hint="eastAsia" w:ascii="宋体" w:hAnsi="宋体"/>
          <w:sz w:val="24"/>
          <w:szCs w:val="24"/>
        </w:rPr>
        <w:t>2）、解决各岗位实际履行职责不到位的短板问题，细化岗位勤务工作，落实“看”和“管”的具体措施，服务监管安全工作。</w:t>
      </w:r>
    </w:p>
    <w:p>
      <w:pPr>
        <w:pStyle w:val="287"/>
        <w:ind w:left="0" w:leftChars="0" w:firstLine="480"/>
        <w:rPr>
          <w:rFonts w:ascii="宋体" w:hAnsi="宋体"/>
          <w:sz w:val="24"/>
          <w:szCs w:val="24"/>
        </w:rPr>
      </w:pPr>
      <w:r>
        <w:rPr>
          <w:rFonts w:hint="eastAsia" w:ascii="宋体" w:hAnsi="宋体"/>
          <w:sz w:val="24"/>
          <w:szCs w:val="24"/>
        </w:rPr>
        <w:t>3）、响应部局及厅监管总队、支队业务指导部门的指导意见，引入先进技术，用科技的力量服务监所管理，打造智慧监管，使监管场所的执法水平和管理水平更上一个台阶，成为省内信息化水平相对较高的智慧型看守所。</w:t>
      </w:r>
    </w:p>
    <w:p>
      <w:pPr>
        <w:pStyle w:val="287"/>
        <w:ind w:left="0" w:leftChars="0" w:firstLine="361" w:firstLineChars="150"/>
        <w:rPr>
          <w:rFonts w:hint="eastAsia" w:ascii="宋体" w:hAnsi="宋体"/>
          <w:b/>
          <w:sz w:val="24"/>
          <w:szCs w:val="24"/>
        </w:rPr>
      </w:pPr>
      <w:r>
        <w:rPr>
          <w:rFonts w:hint="eastAsia" w:ascii="宋体" w:hAnsi="宋体"/>
          <w:b/>
          <w:sz w:val="24"/>
          <w:szCs w:val="24"/>
        </w:rPr>
        <w:t>3、设计原则</w:t>
      </w:r>
    </w:p>
    <w:p>
      <w:pPr>
        <w:pStyle w:val="287"/>
        <w:ind w:left="0" w:leftChars="0" w:firstLine="482"/>
        <w:rPr>
          <w:rFonts w:ascii="宋体" w:hAnsi="宋体"/>
          <w:b/>
          <w:bCs/>
          <w:sz w:val="24"/>
          <w:szCs w:val="24"/>
        </w:rPr>
      </w:pPr>
      <w:bookmarkStart w:id="62" w:name="_Toc1822_WPSOffice_Level2"/>
      <w:r>
        <w:rPr>
          <w:rFonts w:hint="eastAsia" w:ascii="宋体" w:hAnsi="宋体"/>
          <w:b/>
          <w:bCs/>
          <w:sz w:val="24"/>
          <w:szCs w:val="24"/>
        </w:rPr>
        <w:t>1）简单</w:t>
      </w:r>
      <w:bookmarkEnd w:id="62"/>
    </w:p>
    <w:p>
      <w:pPr>
        <w:pStyle w:val="287"/>
        <w:ind w:left="0" w:leftChars="0" w:firstLine="480"/>
        <w:rPr>
          <w:rFonts w:ascii="宋体" w:hAnsi="宋体"/>
          <w:sz w:val="24"/>
          <w:szCs w:val="24"/>
        </w:rPr>
      </w:pPr>
      <w:r>
        <w:rPr>
          <w:rFonts w:hint="eastAsia" w:ascii="宋体" w:hAnsi="宋体"/>
          <w:sz w:val="24"/>
          <w:szCs w:val="24"/>
        </w:rPr>
        <w:t>界面简单明了，基本实现一看就懂。</w:t>
      </w:r>
    </w:p>
    <w:p>
      <w:pPr>
        <w:pStyle w:val="287"/>
        <w:ind w:left="0" w:leftChars="0" w:firstLine="482"/>
        <w:rPr>
          <w:rFonts w:ascii="宋体" w:hAnsi="宋体"/>
          <w:b/>
          <w:bCs/>
          <w:sz w:val="24"/>
          <w:szCs w:val="24"/>
        </w:rPr>
      </w:pPr>
      <w:bookmarkStart w:id="63" w:name="_Toc6961_WPSOffice_Level2"/>
      <w:r>
        <w:rPr>
          <w:rFonts w:hint="eastAsia" w:ascii="宋体" w:hAnsi="宋体"/>
          <w:b/>
          <w:bCs/>
          <w:sz w:val="24"/>
          <w:szCs w:val="24"/>
        </w:rPr>
        <w:t>2）方便</w:t>
      </w:r>
      <w:bookmarkEnd w:id="63"/>
    </w:p>
    <w:p>
      <w:pPr>
        <w:pStyle w:val="287"/>
        <w:ind w:left="0" w:leftChars="0" w:firstLine="480"/>
        <w:rPr>
          <w:rFonts w:ascii="宋体" w:hAnsi="宋体"/>
          <w:sz w:val="24"/>
          <w:szCs w:val="24"/>
        </w:rPr>
      </w:pPr>
      <w:r>
        <w:rPr>
          <w:rFonts w:hint="eastAsia" w:ascii="宋体" w:hAnsi="宋体"/>
          <w:sz w:val="24"/>
          <w:szCs w:val="24"/>
        </w:rPr>
        <w:t>相关功能及设备，使用方便；大多数操作采用按捺指纹或点击浏览选择的方式即可完成大部分的数据采集录入工作。</w:t>
      </w:r>
    </w:p>
    <w:p>
      <w:pPr>
        <w:pStyle w:val="287"/>
        <w:ind w:left="0" w:leftChars="0" w:firstLine="482"/>
        <w:rPr>
          <w:rFonts w:ascii="宋体" w:hAnsi="宋体"/>
          <w:b/>
          <w:bCs/>
          <w:sz w:val="24"/>
          <w:szCs w:val="24"/>
        </w:rPr>
      </w:pPr>
      <w:bookmarkStart w:id="64" w:name="_Toc24833_WPSOffice_Level2"/>
      <w:r>
        <w:rPr>
          <w:rFonts w:hint="eastAsia" w:ascii="宋体" w:hAnsi="宋体"/>
          <w:b/>
          <w:bCs/>
          <w:sz w:val="24"/>
          <w:szCs w:val="24"/>
        </w:rPr>
        <w:t>3）实用</w:t>
      </w:r>
      <w:bookmarkEnd w:id="64"/>
    </w:p>
    <w:p>
      <w:pPr>
        <w:pStyle w:val="287"/>
        <w:ind w:left="0" w:leftChars="0" w:firstLine="480"/>
        <w:rPr>
          <w:rFonts w:ascii="宋体" w:hAnsi="宋体"/>
          <w:sz w:val="24"/>
          <w:szCs w:val="24"/>
        </w:rPr>
      </w:pPr>
      <w:r>
        <w:rPr>
          <w:rFonts w:hint="eastAsia" w:ascii="宋体" w:hAnsi="宋体"/>
          <w:sz w:val="24"/>
          <w:szCs w:val="24"/>
        </w:rPr>
        <w:t>把日常录入的管理数据充分进行运用，解决只录不用的弊端；对相关岗位民警的工作职责内容通过分析，形成民警工作具体工作的要求、时间和内容，用技术手段提醒民警完成具体工作。做到各岗位工作一日清，结合系统后台分析研判完成相关岗位的绩效考核。</w:t>
      </w:r>
    </w:p>
    <w:p>
      <w:pPr>
        <w:pStyle w:val="287"/>
        <w:ind w:left="0" w:leftChars="0" w:firstLine="482"/>
        <w:rPr>
          <w:rFonts w:ascii="宋体" w:hAnsi="宋体"/>
          <w:b/>
          <w:bCs/>
          <w:sz w:val="24"/>
          <w:szCs w:val="24"/>
        </w:rPr>
      </w:pPr>
      <w:bookmarkStart w:id="65" w:name="_Toc7917_WPSOffice_Level2"/>
      <w:r>
        <w:rPr>
          <w:rFonts w:hint="eastAsia" w:ascii="宋体" w:hAnsi="宋体"/>
          <w:b/>
          <w:bCs/>
          <w:sz w:val="24"/>
          <w:szCs w:val="24"/>
        </w:rPr>
        <w:t>4）高效</w:t>
      </w:r>
      <w:bookmarkEnd w:id="65"/>
    </w:p>
    <w:p>
      <w:pPr>
        <w:pStyle w:val="287"/>
        <w:ind w:left="0" w:leftChars="0" w:firstLine="480"/>
        <w:rPr>
          <w:rFonts w:ascii="宋体" w:hAnsi="宋体"/>
          <w:sz w:val="24"/>
          <w:szCs w:val="24"/>
        </w:rPr>
      </w:pPr>
      <w:r>
        <w:rPr>
          <w:rFonts w:hint="eastAsia" w:ascii="宋体" w:hAnsi="宋体"/>
          <w:sz w:val="24"/>
          <w:szCs w:val="24"/>
        </w:rPr>
        <w:t>整合所内现有的浙江省违法犯罪信息系统常用功能模块，并结合风险评估系统、在逃比对、民警助理、提人提示等模块于一体，将数据充分综合利用，解决多系统登录的问题。</w:t>
      </w:r>
    </w:p>
    <w:p>
      <w:pPr>
        <w:pStyle w:val="287"/>
        <w:ind w:left="0" w:leftChars="0" w:firstLine="482"/>
        <w:rPr>
          <w:rFonts w:ascii="宋体" w:hAnsi="宋体"/>
          <w:b/>
          <w:bCs/>
          <w:sz w:val="24"/>
          <w:szCs w:val="24"/>
        </w:rPr>
      </w:pPr>
      <w:bookmarkStart w:id="66" w:name="_Toc14019_WPSOffice_Level2"/>
      <w:r>
        <w:rPr>
          <w:rFonts w:hint="eastAsia" w:ascii="宋体" w:hAnsi="宋体"/>
          <w:b/>
          <w:bCs/>
          <w:sz w:val="24"/>
          <w:szCs w:val="24"/>
        </w:rPr>
        <w:t>5）安全</w:t>
      </w:r>
      <w:bookmarkEnd w:id="66"/>
    </w:p>
    <w:p>
      <w:pPr>
        <w:spacing w:line="360" w:lineRule="auto"/>
        <w:ind w:firstLine="480" w:firstLineChars="200"/>
        <w:rPr>
          <w:rFonts w:ascii="宋体" w:hAnsi="宋体" w:cs="宋体"/>
          <w:sz w:val="24"/>
        </w:rPr>
      </w:pPr>
      <w:r>
        <w:rPr>
          <w:rFonts w:hint="eastAsia" w:ascii="宋体" w:hAnsi="宋体" w:cs="宋体"/>
          <w:sz w:val="24"/>
        </w:rPr>
        <w:t>整合机房系统，保证智慧监管24小时正常运行，确保数据的实时性及数据的保密性。</w:t>
      </w:r>
    </w:p>
    <w:p>
      <w:pPr>
        <w:pStyle w:val="287"/>
        <w:ind w:left="0" w:leftChars="0" w:firstLine="360" w:firstLineChars="150"/>
        <w:rPr>
          <w:rFonts w:hint="eastAsia" w:ascii="宋体" w:hAnsi="宋体"/>
          <w:sz w:val="24"/>
          <w:szCs w:val="24"/>
        </w:rPr>
      </w:pPr>
      <w:r>
        <w:rPr>
          <w:rFonts w:hint="eastAsia" w:ascii="宋体" w:hAnsi="宋体"/>
          <w:sz w:val="24"/>
          <w:szCs w:val="24"/>
        </w:rPr>
        <w:t>监室内安装的智能交互终端硬件设施应满足防暴等级和防水、防尘等级要</w:t>
      </w:r>
    </w:p>
    <w:p>
      <w:pPr>
        <w:pStyle w:val="4"/>
        <w:tabs>
          <w:tab w:val="left" w:pos="3405"/>
        </w:tabs>
        <w:ind w:firstLine="241" w:firstLineChars="100"/>
        <w:rPr>
          <w:rFonts w:hint="eastAsia" w:ascii="宋体" w:hAnsi="宋体" w:eastAsia="宋体"/>
          <w:bCs w:val="0"/>
          <w:sz w:val="24"/>
          <w:szCs w:val="24"/>
          <w:lang w:eastAsia="zh-CN"/>
        </w:rPr>
      </w:pPr>
      <w:bookmarkStart w:id="67" w:name="_Toc530665716"/>
      <w:r>
        <w:rPr>
          <w:rFonts w:hint="eastAsia" w:ascii="宋体" w:hAnsi="宋体" w:eastAsia="宋体"/>
          <w:bCs w:val="0"/>
          <w:sz w:val="24"/>
          <w:szCs w:val="24"/>
          <w:lang w:eastAsia="zh-CN"/>
        </w:rPr>
        <w:t>二</w:t>
      </w:r>
      <w:r>
        <w:rPr>
          <w:rFonts w:hint="eastAsia" w:ascii="宋体" w:hAnsi="宋体" w:eastAsia="宋体"/>
          <w:bCs w:val="0"/>
          <w:sz w:val="24"/>
          <w:szCs w:val="24"/>
        </w:rPr>
        <w:t>、</w:t>
      </w:r>
      <w:r>
        <w:rPr>
          <w:rFonts w:hint="eastAsia" w:ascii="宋体" w:hAnsi="宋体" w:eastAsia="宋体"/>
          <w:bCs w:val="0"/>
          <w:sz w:val="24"/>
          <w:szCs w:val="24"/>
          <w:lang w:eastAsia="zh-CN"/>
        </w:rPr>
        <w:t>最高限价</w:t>
      </w:r>
      <w:bookmarkEnd w:id="67"/>
    </w:p>
    <w:tbl>
      <w:tblPr>
        <w:tblStyle w:val="45"/>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142"/>
        <w:gridCol w:w="1060"/>
        <w:gridCol w:w="1192"/>
        <w:gridCol w:w="2378"/>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39"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序号</w:t>
            </w:r>
          </w:p>
        </w:tc>
        <w:tc>
          <w:tcPr>
            <w:tcW w:w="2142"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项目名称</w:t>
            </w:r>
          </w:p>
        </w:tc>
        <w:tc>
          <w:tcPr>
            <w:tcW w:w="1060"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数量</w:t>
            </w:r>
          </w:p>
        </w:tc>
        <w:tc>
          <w:tcPr>
            <w:tcW w:w="1192"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单位</w:t>
            </w:r>
          </w:p>
        </w:tc>
        <w:tc>
          <w:tcPr>
            <w:tcW w:w="2378"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b/>
                <w:sz w:val="24"/>
              </w:rPr>
              <w:t>▲</w:t>
            </w:r>
            <w:r>
              <w:rPr>
                <w:rFonts w:hint="eastAsia" w:ascii="宋体" w:hAnsi="宋体"/>
                <w:sz w:val="24"/>
              </w:rPr>
              <w:t>预算金额</w:t>
            </w:r>
          </w:p>
          <w:p>
            <w:pPr>
              <w:snapToGrid w:val="0"/>
              <w:spacing w:line="360" w:lineRule="auto"/>
              <w:jc w:val="center"/>
              <w:rPr>
                <w:rFonts w:hint="eastAsia" w:ascii="宋体" w:hAnsi="宋体"/>
                <w:sz w:val="24"/>
              </w:rPr>
            </w:pPr>
            <w:r>
              <w:rPr>
                <w:rFonts w:hint="eastAsia" w:ascii="宋体" w:hAnsi="宋体"/>
                <w:sz w:val="24"/>
              </w:rPr>
              <w:t>（最高限价）</w:t>
            </w:r>
          </w:p>
        </w:tc>
        <w:tc>
          <w:tcPr>
            <w:tcW w:w="1471"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0" w:hRule="atLeast"/>
        </w:trPr>
        <w:tc>
          <w:tcPr>
            <w:tcW w:w="1139"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2142"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2018年市本级监察留置场所信息化建设项目</w:t>
            </w:r>
          </w:p>
        </w:tc>
        <w:tc>
          <w:tcPr>
            <w:tcW w:w="1060"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1192"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项</w:t>
            </w:r>
          </w:p>
        </w:tc>
        <w:tc>
          <w:tcPr>
            <w:tcW w:w="2378" w:type="dxa"/>
            <w:shd w:val="clear" w:color="auto" w:fill="auto"/>
            <w:noWrap w:val="0"/>
            <w:vAlign w:val="center"/>
          </w:tcPr>
          <w:p>
            <w:pPr>
              <w:snapToGrid w:val="0"/>
              <w:spacing w:line="360" w:lineRule="auto"/>
              <w:jc w:val="center"/>
              <w:rPr>
                <w:rFonts w:hint="eastAsia" w:ascii="宋体" w:hAnsi="宋体"/>
                <w:sz w:val="24"/>
              </w:rPr>
            </w:pPr>
            <w:r>
              <w:rPr>
                <w:rFonts w:hint="eastAsia" w:ascii="宋体" w:hAnsi="宋体"/>
                <w:sz w:val="24"/>
              </w:rPr>
              <w:t>2065010.00元</w:t>
            </w:r>
          </w:p>
        </w:tc>
        <w:tc>
          <w:tcPr>
            <w:tcW w:w="1471" w:type="dxa"/>
            <w:shd w:val="clear" w:color="auto" w:fill="auto"/>
            <w:noWrap w:val="0"/>
            <w:vAlign w:val="center"/>
          </w:tcPr>
          <w:p>
            <w:pPr>
              <w:snapToGrid w:val="0"/>
              <w:spacing w:line="360" w:lineRule="auto"/>
              <w:jc w:val="center"/>
              <w:rPr>
                <w:rFonts w:hint="eastAsia" w:ascii="宋体" w:hAnsi="宋体"/>
                <w:sz w:val="18"/>
                <w:szCs w:val="18"/>
              </w:rPr>
            </w:pPr>
          </w:p>
        </w:tc>
      </w:tr>
    </w:tbl>
    <w:p>
      <w:pPr>
        <w:pStyle w:val="4"/>
        <w:tabs>
          <w:tab w:val="left" w:pos="3405"/>
        </w:tabs>
        <w:ind w:firstLine="241" w:firstLineChars="100"/>
        <w:rPr>
          <w:rFonts w:hint="eastAsia" w:ascii="宋体" w:hAnsi="宋体" w:eastAsia="宋体"/>
          <w:bCs w:val="0"/>
          <w:sz w:val="24"/>
          <w:szCs w:val="24"/>
          <w:lang w:eastAsia="zh-CN"/>
        </w:rPr>
      </w:pPr>
      <w:bookmarkStart w:id="68" w:name="_Toc530665717"/>
      <w:r>
        <w:rPr>
          <w:rFonts w:hint="eastAsia" w:ascii="宋体" w:hAnsi="宋体" w:eastAsia="宋体"/>
          <w:bCs w:val="0"/>
          <w:sz w:val="24"/>
          <w:szCs w:val="24"/>
          <w:lang w:eastAsia="zh-CN"/>
        </w:rPr>
        <w:t>三</w:t>
      </w:r>
      <w:r>
        <w:rPr>
          <w:rFonts w:hint="eastAsia" w:ascii="宋体" w:hAnsi="宋体" w:eastAsia="宋体"/>
          <w:bCs w:val="0"/>
          <w:sz w:val="24"/>
          <w:szCs w:val="24"/>
        </w:rPr>
        <w:t>、</w:t>
      </w:r>
      <w:r>
        <w:rPr>
          <w:rFonts w:hint="eastAsia" w:ascii="宋体" w:hAnsi="宋体" w:eastAsia="宋体"/>
          <w:bCs w:val="0"/>
          <w:sz w:val="24"/>
          <w:szCs w:val="24"/>
          <w:lang w:eastAsia="zh-CN"/>
        </w:rPr>
        <w:t>建设内容</w:t>
      </w:r>
      <w:bookmarkEnd w:id="68"/>
    </w:p>
    <w:p>
      <w:pPr>
        <w:spacing w:line="360" w:lineRule="auto"/>
        <w:ind w:firstLine="480"/>
        <w:rPr>
          <w:sz w:val="24"/>
        </w:rPr>
      </w:pPr>
      <w:r>
        <w:rPr>
          <w:rFonts w:hint="eastAsia"/>
          <w:sz w:val="24"/>
        </w:rPr>
        <w:t>1、丽水市看守所信息化项目方案编制依据《全省公安监管“智慧监所”建设实施方案》要求，并结合本监管场所的实际情况，设计下列内容：</w:t>
      </w:r>
    </w:p>
    <w:p>
      <w:pPr>
        <w:numPr>
          <w:ilvl w:val="0"/>
          <w:numId w:val="6"/>
        </w:numPr>
        <w:spacing w:line="360" w:lineRule="auto"/>
        <w:ind w:firstLine="480"/>
        <w:rPr>
          <w:rFonts w:ascii="宋体" w:hAnsi="宋体" w:cs="宋体"/>
          <w:sz w:val="24"/>
        </w:rPr>
      </w:pPr>
      <w:bookmarkStart w:id="69" w:name="_Toc11249_WPSOffice_Level2"/>
      <w:r>
        <w:rPr>
          <w:rFonts w:hint="eastAsia" w:ascii="宋体" w:hAnsi="宋体" w:cs="宋体"/>
          <w:sz w:val="24"/>
        </w:rPr>
        <w:t>监室智能交互终端系统</w:t>
      </w:r>
    </w:p>
    <w:p>
      <w:pPr>
        <w:numPr>
          <w:ilvl w:val="0"/>
          <w:numId w:val="6"/>
        </w:numPr>
        <w:spacing w:line="360" w:lineRule="auto"/>
        <w:ind w:firstLine="480"/>
        <w:rPr>
          <w:rFonts w:ascii="宋体" w:hAnsi="宋体" w:cs="宋体"/>
          <w:sz w:val="24"/>
        </w:rPr>
      </w:pPr>
      <w:r>
        <w:rPr>
          <w:rFonts w:hint="eastAsia" w:ascii="宋体" w:hAnsi="宋体" w:cs="宋体"/>
          <w:sz w:val="24"/>
        </w:rPr>
        <w:t>违禁物品及拍摄系统</w:t>
      </w:r>
    </w:p>
    <w:p>
      <w:pPr>
        <w:numPr>
          <w:ilvl w:val="0"/>
          <w:numId w:val="6"/>
        </w:numPr>
        <w:spacing w:line="360" w:lineRule="auto"/>
        <w:ind w:firstLine="480"/>
        <w:rPr>
          <w:rFonts w:ascii="宋体" w:hAnsi="宋体" w:cs="宋体"/>
          <w:sz w:val="24"/>
        </w:rPr>
      </w:pPr>
      <w:r>
        <w:rPr>
          <w:rFonts w:hint="eastAsia"/>
          <w:sz w:val="24"/>
        </w:rPr>
        <w:t>监所服务综合管理系统</w:t>
      </w:r>
    </w:p>
    <w:p>
      <w:pPr>
        <w:numPr>
          <w:ilvl w:val="0"/>
          <w:numId w:val="6"/>
        </w:numPr>
        <w:spacing w:line="360" w:lineRule="auto"/>
        <w:ind w:firstLine="480"/>
        <w:rPr>
          <w:rFonts w:ascii="宋体" w:hAnsi="宋体" w:cs="宋体"/>
          <w:sz w:val="24"/>
        </w:rPr>
      </w:pPr>
      <w:r>
        <w:rPr>
          <w:rFonts w:hint="eastAsia"/>
          <w:sz w:val="24"/>
        </w:rPr>
        <w:t>出所就医防脱逃系统</w:t>
      </w:r>
    </w:p>
    <w:p>
      <w:pPr>
        <w:numPr>
          <w:ilvl w:val="0"/>
          <w:numId w:val="6"/>
        </w:numPr>
        <w:spacing w:line="360" w:lineRule="auto"/>
        <w:ind w:firstLine="480"/>
        <w:rPr>
          <w:rFonts w:ascii="宋体" w:hAnsi="宋体" w:cs="宋体"/>
          <w:sz w:val="24"/>
        </w:rPr>
      </w:pPr>
      <w:r>
        <w:rPr>
          <w:rFonts w:hint="eastAsia"/>
          <w:sz w:val="24"/>
        </w:rPr>
        <w:t>移动**终端</w:t>
      </w:r>
    </w:p>
    <w:p>
      <w:pPr>
        <w:numPr>
          <w:ilvl w:val="0"/>
          <w:numId w:val="6"/>
        </w:numPr>
        <w:spacing w:line="360" w:lineRule="auto"/>
        <w:ind w:firstLine="480"/>
        <w:rPr>
          <w:rFonts w:ascii="宋体" w:hAnsi="宋体" w:cs="宋体"/>
          <w:sz w:val="24"/>
        </w:rPr>
      </w:pPr>
      <w:r>
        <w:rPr>
          <w:rFonts w:hint="eastAsia"/>
          <w:sz w:val="24"/>
        </w:rPr>
        <w:t>谈话录音系统</w:t>
      </w:r>
    </w:p>
    <w:p>
      <w:pPr>
        <w:numPr>
          <w:ilvl w:val="0"/>
          <w:numId w:val="6"/>
        </w:numPr>
        <w:spacing w:line="360" w:lineRule="auto"/>
        <w:ind w:firstLine="480"/>
        <w:rPr>
          <w:rFonts w:ascii="宋体" w:hAnsi="宋体" w:cs="宋体"/>
          <w:sz w:val="24"/>
        </w:rPr>
      </w:pPr>
      <w:r>
        <w:rPr>
          <w:rFonts w:hint="eastAsia"/>
          <w:sz w:val="24"/>
        </w:rPr>
        <w:t>网络系统</w:t>
      </w:r>
    </w:p>
    <w:p>
      <w:pPr>
        <w:numPr>
          <w:ilvl w:val="0"/>
          <w:numId w:val="6"/>
        </w:numPr>
        <w:spacing w:line="360" w:lineRule="auto"/>
        <w:ind w:firstLine="480"/>
        <w:rPr>
          <w:rFonts w:ascii="宋体" w:hAnsi="宋体" w:cs="宋体"/>
          <w:sz w:val="24"/>
        </w:rPr>
      </w:pPr>
      <w:r>
        <w:rPr>
          <w:rFonts w:hint="eastAsia"/>
          <w:sz w:val="24"/>
        </w:rPr>
        <w:t>电气监测</w:t>
      </w:r>
    </w:p>
    <w:bookmarkEnd w:id="69"/>
    <w:p>
      <w:pPr>
        <w:pStyle w:val="5"/>
        <w:spacing w:line="360" w:lineRule="auto"/>
        <w:ind w:firstLine="301"/>
        <w:rPr>
          <w:rFonts w:hint="eastAsia"/>
          <w:sz w:val="24"/>
          <w:szCs w:val="24"/>
        </w:rPr>
      </w:pPr>
      <w:r>
        <w:rPr>
          <w:rFonts w:hint="eastAsia"/>
          <w:sz w:val="24"/>
          <w:szCs w:val="24"/>
        </w:rPr>
        <w:t>2、具体建设方案要求详见设计文件</w:t>
      </w:r>
    </w:p>
    <w:p>
      <w:pPr>
        <w:pStyle w:val="4"/>
        <w:spacing w:before="0" w:after="240" w:afterLines="100"/>
        <w:ind w:firstLine="241" w:firstLineChars="100"/>
        <w:contextualSpacing/>
        <w:rPr>
          <w:rFonts w:hint="eastAsia" w:ascii="宋体" w:hAnsi="宋体" w:eastAsia="宋体"/>
          <w:bCs w:val="0"/>
          <w:sz w:val="24"/>
          <w:szCs w:val="24"/>
          <w:lang w:eastAsia="zh-CN"/>
        </w:rPr>
      </w:pPr>
      <w:bookmarkStart w:id="70" w:name="_Toc530665718"/>
      <w:r>
        <w:rPr>
          <w:rFonts w:hint="eastAsia" w:ascii="宋体" w:hAnsi="宋体" w:eastAsia="宋体"/>
          <w:bCs w:val="0"/>
          <w:sz w:val="24"/>
          <w:szCs w:val="24"/>
          <w:lang w:eastAsia="zh-CN"/>
        </w:rPr>
        <w:t>四、采购清单</w:t>
      </w:r>
      <w:bookmarkEnd w:id="70"/>
    </w:p>
    <w:tbl>
      <w:tblPr>
        <w:tblStyle w:val="45"/>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734"/>
        <w:gridCol w:w="5916"/>
        <w:gridCol w:w="517"/>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trPr>
        <w:tc>
          <w:tcPr>
            <w:tcW w:w="437" w:type="dxa"/>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序号</w:t>
            </w:r>
          </w:p>
        </w:tc>
        <w:tc>
          <w:tcPr>
            <w:tcW w:w="2734"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5916"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内容/技术参数</w:t>
            </w:r>
          </w:p>
        </w:tc>
        <w:tc>
          <w:tcPr>
            <w:tcW w:w="517"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481" w:type="dxa"/>
            <w:shd w:val="clear" w:color="000000" w:fill="FFFFFF"/>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一、监所交互终端及管理系统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智能交互终端</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10.1寸触摸屏，分辨率1366x768；结构牢固，防拆卸，嵌墙式安装，抗物理冲击，触摸屏防暴等级IK08，防水防尘等级IP54；四核CPU，内存为DDR3，1GB；主机自带8G存储，支持T-flash存储卡扩展功能；高清摄像机(120万)；直流12V集中供电；具有指纹模块，具有公安部检测报告，含安装底盒。具有可视对讲/在线商店/医疗预约/就医记录/三固定/菜谱/法律法规（标配）等功能APP；平台管理具有基础服务/对讲服务/数据库服务/消息服务 30-60（含）个监室。</w:t>
            </w:r>
            <w:r>
              <w:rPr>
                <w:rFonts w:hint="eastAsia" w:ascii="宋体" w:hAnsi="宋体" w:cs="宋体"/>
                <w:kern w:val="0"/>
                <w:sz w:val="20"/>
                <w:szCs w:val="20"/>
              </w:rPr>
              <w:br w:type="textWrapping"/>
            </w:r>
            <w:r>
              <w:rPr>
                <w:rFonts w:hint="eastAsia" w:ascii="宋体" w:hAnsi="宋体" w:cs="宋体"/>
                <w:kern w:val="0"/>
                <w:sz w:val="20"/>
                <w:szCs w:val="20"/>
              </w:rPr>
              <w:t>软件含后台管理，▲软件厂家需提供《智能交互终端软件》计算机软件著作权证书，功能具有:</w:t>
            </w:r>
            <w:r>
              <w:rPr>
                <w:rFonts w:hint="eastAsia" w:ascii="宋体" w:hAnsi="宋体" w:cs="宋体"/>
                <w:kern w:val="0"/>
                <w:sz w:val="20"/>
                <w:szCs w:val="20"/>
              </w:rPr>
              <w:br w:type="textWrapping"/>
            </w:r>
            <w:r>
              <w:rPr>
                <w:rFonts w:hint="eastAsia" w:ascii="宋体" w:hAnsi="宋体" w:cs="宋体"/>
                <w:kern w:val="0"/>
                <w:sz w:val="20"/>
                <w:szCs w:val="20"/>
              </w:rPr>
              <w:t>1、可视对讲：关联现有违法犯罪人员信息系统管教主协管监室权限；</w:t>
            </w:r>
            <w:r>
              <w:rPr>
                <w:rFonts w:hint="eastAsia" w:ascii="宋体" w:hAnsi="宋体" w:cs="宋体"/>
                <w:kern w:val="0"/>
                <w:sz w:val="20"/>
                <w:szCs w:val="20"/>
              </w:rPr>
              <w:br w:type="textWrapping"/>
            </w:r>
            <w:r>
              <w:rPr>
                <w:rFonts w:hint="eastAsia" w:ascii="宋体" w:hAnsi="宋体" w:cs="宋体"/>
                <w:kern w:val="0"/>
                <w:sz w:val="20"/>
                <w:szCs w:val="20"/>
              </w:rPr>
              <w:t>2、一周生活：无缝对接违法犯罪人员信息系统总队库，实时显示三固定信息、每周菜谱，无需重复录入；</w:t>
            </w:r>
            <w:r>
              <w:rPr>
                <w:rFonts w:hint="eastAsia" w:ascii="宋体" w:hAnsi="宋体" w:cs="宋体"/>
                <w:kern w:val="0"/>
                <w:sz w:val="20"/>
                <w:szCs w:val="20"/>
              </w:rPr>
              <w:br w:type="textWrapping"/>
            </w:r>
            <w:r>
              <w:rPr>
                <w:rFonts w:hint="eastAsia" w:ascii="宋体" w:hAnsi="宋体" w:cs="宋体"/>
                <w:kern w:val="0"/>
                <w:sz w:val="20"/>
                <w:szCs w:val="20"/>
              </w:rPr>
              <w:t>3、电子点名：实时获取监室人员信息，采用指纹或者刷卡认证方式。点名结果在违法犯罪人员信息系统中查询，自动获取当前不在监在押人员状态；</w:t>
            </w:r>
            <w:r>
              <w:rPr>
                <w:rFonts w:hint="eastAsia" w:ascii="宋体" w:hAnsi="宋体" w:cs="宋体"/>
                <w:kern w:val="0"/>
                <w:sz w:val="20"/>
                <w:szCs w:val="20"/>
              </w:rPr>
              <w:br w:type="textWrapping"/>
            </w:r>
            <w:r>
              <w:rPr>
                <w:rFonts w:hint="eastAsia" w:ascii="宋体" w:hAnsi="宋体" w:cs="宋体"/>
                <w:kern w:val="0"/>
                <w:sz w:val="20"/>
                <w:szCs w:val="20"/>
              </w:rPr>
              <w:t>4、在线商店：进所自动建立在押人员帐号、上传违法犯罪人员信息系统大帐模块、订单收集统计、出所自动冻结；</w:t>
            </w:r>
            <w:r>
              <w:rPr>
                <w:rFonts w:hint="eastAsia" w:ascii="宋体" w:hAnsi="宋体" w:cs="宋体"/>
                <w:kern w:val="0"/>
                <w:sz w:val="20"/>
                <w:szCs w:val="20"/>
              </w:rPr>
              <w:br w:type="textWrapping"/>
            </w:r>
            <w:r>
              <w:rPr>
                <w:rFonts w:hint="eastAsia" w:ascii="宋体" w:hAnsi="宋体" w:cs="宋体"/>
                <w:kern w:val="0"/>
                <w:sz w:val="20"/>
                <w:szCs w:val="20"/>
              </w:rPr>
              <w:t>5、个人医疗：自动获取违法犯罪人员信息系统就医台账、预约就医数据推送违法犯罪人员信息系统医疗岗位；</w:t>
            </w:r>
            <w:r>
              <w:rPr>
                <w:rFonts w:hint="eastAsia" w:ascii="宋体" w:hAnsi="宋体" w:cs="宋体"/>
                <w:kern w:val="0"/>
                <w:sz w:val="20"/>
                <w:szCs w:val="20"/>
              </w:rPr>
              <w:br w:type="textWrapping"/>
            </w:r>
            <w:r>
              <w:rPr>
                <w:rFonts w:hint="eastAsia" w:ascii="宋体" w:hAnsi="宋体" w:cs="宋体"/>
                <w:kern w:val="0"/>
                <w:sz w:val="20"/>
                <w:szCs w:val="20"/>
              </w:rPr>
              <w:t>6、法律法规：权利与义务告知、作息时间、法律知识展示；</w:t>
            </w:r>
            <w:r>
              <w:rPr>
                <w:rFonts w:hint="eastAsia" w:ascii="宋体" w:hAnsi="宋体" w:cs="宋体"/>
                <w:kern w:val="0"/>
                <w:sz w:val="20"/>
                <w:szCs w:val="20"/>
              </w:rPr>
              <w:br w:type="textWrapping"/>
            </w:r>
            <w:r>
              <w:rPr>
                <w:rFonts w:hint="eastAsia" w:ascii="宋体" w:hAnsi="宋体" w:cs="宋体"/>
                <w:kern w:val="0"/>
                <w:sz w:val="20"/>
                <w:szCs w:val="20"/>
              </w:rPr>
              <w:t>7、视频教育：终端视频播放查看；</w:t>
            </w:r>
            <w:r>
              <w:rPr>
                <w:rFonts w:hint="eastAsia" w:ascii="宋体" w:hAnsi="宋体" w:cs="宋体"/>
                <w:kern w:val="0"/>
                <w:sz w:val="20"/>
                <w:szCs w:val="20"/>
              </w:rPr>
              <w:br w:type="textWrapping"/>
            </w:r>
            <w:r>
              <w:rPr>
                <w:rFonts w:hint="eastAsia" w:ascii="宋体" w:hAnsi="宋体" w:cs="宋体"/>
                <w:kern w:val="0"/>
                <w:sz w:val="20"/>
                <w:szCs w:val="20"/>
              </w:rPr>
              <w:t>8、预约领导：预约管教、所领导后自动在违法犯罪人员信息系统处推送有关岗位；</w:t>
            </w:r>
            <w:r>
              <w:rPr>
                <w:rFonts w:hint="eastAsia" w:ascii="宋体" w:hAnsi="宋体" w:cs="宋体"/>
                <w:kern w:val="0"/>
                <w:sz w:val="20"/>
                <w:szCs w:val="20"/>
              </w:rPr>
              <w:br w:type="textWrapping"/>
            </w:r>
            <w:r>
              <w:rPr>
                <w:rFonts w:hint="eastAsia" w:ascii="宋体" w:hAnsi="宋体" w:cs="宋体"/>
                <w:kern w:val="0"/>
                <w:sz w:val="20"/>
                <w:szCs w:val="20"/>
              </w:rPr>
              <w:t>9、违规查询：实时获取违法犯罪人员信息系统行为规范台帐；</w:t>
            </w:r>
            <w:r>
              <w:rPr>
                <w:rFonts w:hint="eastAsia" w:ascii="宋体" w:hAnsi="宋体" w:cs="宋体"/>
                <w:kern w:val="0"/>
                <w:sz w:val="20"/>
                <w:szCs w:val="20"/>
              </w:rPr>
              <w:br w:type="textWrapping"/>
            </w:r>
            <w:r>
              <w:rPr>
                <w:rFonts w:hint="eastAsia" w:ascii="宋体" w:hAnsi="宋体" w:cs="宋体"/>
                <w:kern w:val="0"/>
                <w:sz w:val="20"/>
                <w:szCs w:val="20"/>
              </w:rPr>
              <w:t>10、羁押信息：实时获取违法犯罪人员信息系统业务信息；</w:t>
            </w:r>
            <w:r>
              <w:rPr>
                <w:rFonts w:hint="eastAsia" w:ascii="宋体" w:hAnsi="宋体" w:cs="宋体"/>
                <w:kern w:val="0"/>
                <w:sz w:val="20"/>
                <w:szCs w:val="20"/>
              </w:rPr>
              <w:br w:type="textWrapping"/>
            </w:r>
            <w:r>
              <w:rPr>
                <w:rFonts w:hint="eastAsia" w:ascii="宋体" w:hAnsi="宋体" w:cs="宋体"/>
                <w:kern w:val="0"/>
                <w:sz w:val="20"/>
                <w:szCs w:val="20"/>
              </w:rPr>
              <w:t>11、个人认证：在押人员个人界面登录认证方式需经总队指纹库及基本信息表密码认证；</w:t>
            </w:r>
            <w:r>
              <w:rPr>
                <w:rFonts w:hint="eastAsia" w:ascii="宋体" w:hAnsi="宋体" w:cs="宋体"/>
                <w:kern w:val="0"/>
                <w:sz w:val="20"/>
                <w:szCs w:val="20"/>
              </w:rPr>
              <w:br w:type="textWrapping"/>
            </w:r>
            <w:r>
              <w:rPr>
                <w:rFonts w:hint="eastAsia" w:ascii="宋体" w:hAnsi="宋体" w:cs="宋体"/>
                <w:kern w:val="0"/>
                <w:sz w:val="20"/>
                <w:szCs w:val="20"/>
              </w:rPr>
              <w:t>12、每日进监：民警每日两下监室签到，进监结果表自动回传违法犯罪人员信息系统进监汇总表；</w:t>
            </w:r>
            <w:r>
              <w:rPr>
                <w:rFonts w:hint="eastAsia" w:ascii="宋体" w:hAnsi="宋体" w:cs="宋体"/>
                <w:kern w:val="0"/>
                <w:sz w:val="20"/>
                <w:szCs w:val="20"/>
              </w:rPr>
              <w:br w:type="textWrapping"/>
            </w:r>
            <w:r>
              <w:rPr>
                <w:rFonts w:hint="eastAsia" w:ascii="宋体" w:hAnsi="宋体" w:cs="宋体"/>
                <w:kern w:val="0"/>
                <w:sz w:val="20"/>
                <w:szCs w:val="20"/>
              </w:rPr>
              <w:t>13、值班值更：夜间终端自动获取违法犯罪人员信息系统中三固定值班表相关人员，供值班在押人员签到工作</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音箱及话筒</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功率2×21W灵敏度PC：750±50mV；AUX：550±50mV频响范围45Hz-20KHz接口PC、AUX</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智能双备份集成电源</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可实现网络集中管理，实时监测、显示电源工作状态，具有历史信息查询功能；提供总电流、总电压、温度及每路供电状态显示；输出电压：DC15V；额定输出功率：350W；输出电压容差：±1%；单路最大输出电流：4A，总电流不超过23A；输出：12路，输出TVS防雷保护，每路PTC保护。输入电压范围：220±10%VAC。</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2"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交换机</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24个10/100/1000Base-T以太网端口，4个千兆SFP端口，存储-转发，背板带宽256Gbps，包转发率66Mbps/96Mbps。S5700-28P2L-AC</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多模光模块</w:t>
            </w:r>
          </w:p>
        </w:tc>
        <w:tc>
          <w:tcPr>
            <w:tcW w:w="591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光模块-SFP-GE-多模模块-(850nm,550m,LC)</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591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多模、5米</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w:t>
            </w:r>
          </w:p>
        </w:tc>
        <w:tc>
          <w:tcPr>
            <w:tcW w:w="591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超五类4对非屏蔽双绞线</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管材及电源线等</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包含管材、电源线等附材，由投标单位现场查看后自行计算。</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二、违禁物品及拍摄系统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安检门</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通过速度低限值和高限值的设置，以达到较宽的探测速度范围（0.05~10米/秒）；具有极强的抗干扰能力。6个相互重叠的探测区域  6.99~11KHZ 8个可供选择频率。</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手持金属探测器</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高灵敏度，声光同时报警。超高探测速度：前次报警后重新回复到探测状态探测一个新的目标只需0.1秒。极低的电池消耗：待机状态0mA，工作电流少于1mA，报警电流6.5 Ma</w:t>
            </w:r>
          </w:p>
        </w:tc>
        <w:tc>
          <w:tcPr>
            <w:tcW w:w="51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1"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高拍仪</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主摄像头：500万拍摄像素；分辨率：2592*1944；电脑接口：USB2.0接口；图像控制：亮度调整，曝光长度调整，锐利度调整，色彩调整等。</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软件功能</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可快速采集、查阅、下载、归档；实现法律文书、在押人员档案电子化；档案与在押人员自动关联；★出具现有浙江省违法犯罪人员信息系统维护单位提供的配合证明</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高清摄像机</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200万像素高清摄像机，含镜头和安装支架。</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送物软件</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通过安装高清摄像机，拍摄家属送来的物品，进行图片保存，再输送到监室智能交互终端，在押人员通过图片与所收实物进行比对并确认；★提供终端展示图片。</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移动手持终端</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支持1296p录像，照片像素高达3400w  </w:t>
            </w:r>
            <w:r>
              <w:rPr>
                <w:rFonts w:hint="eastAsia" w:ascii="宋体" w:hAnsi="宋体" w:cs="宋体"/>
                <w:kern w:val="0"/>
                <w:sz w:val="20"/>
                <w:szCs w:val="20"/>
              </w:rPr>
              <w:br w:type="textWrapping"/>
            </w:r>
            <w:r>
              <w:rPr>
                <w:rFonts w:hint="eastAsia" w:ascii="宋体" w:hAnsi="宋体" w:cs="宋体"/>
                <w:kern w:val="0"/>
                <w:sz w:val="20"/>
                <w:szCs w:val="20"/>
              </w:rPr>
              <w:t xml:space="preserve">支持激光定位，LED补光、自动红外模式  </w:t>
            </w:r>
            <w:r>
              <w:rPr>
                <w:rFonts w:hint="eastAsia" w:ascii="宋体" w:hAnsi="宋体" w:cs="宋体"/>
                <w:kern w:val="0"/>
                <w:sz w:val="20"/>
                <w:szCs w:val="20"/>
              </w:rPr>
              <w:br w:type="textWrapping"/>
            </w:r>
            <w:r>
              <w:rPr>
                <w:rFonts w:hint="eastAsia" w:ascii="宋体" w:hAnsi="宋体" w:cs="宋体"/>
                <w:kern w:val="0"/>
                <w:sz w:val="20"/>
                <w:szCs w:val="20"/>
              </w:rPr>
              <w:t xml:space="preserve">视频分辨率可达2304x1296 30p  </w:t>
            </w:r>
            <w:r>
              <w:rPr>
                <w:rFonts w:hint="eastAsia" w:ascii="宋体" w:hAnsi="宋体" w:cs="宋体"/>
                <w:kern w:val="0"/>
                <w:sz w:val="20"/>
                <w:szCs w:val="20"/>
              </w:rPr>
              <w:br w:type="textWrapping"/>
            </w:r>
            <w:r>
              <w:rPr>
                <w:rFonts w:hint="eastAsia" w:ascii="宋体" w:hAnsi="宋体" w:cs="宋体"/>
                <w:kern w:val="0"/>
                <w:sz w:val="20"/>
                <w:szCs w:val="20"/>
              </w:rPr>
              <w:t xml:space="preserve">内存标配32G  </w:t>
            </w:r>
            <w:r>
              <w:rPr>
                <w:rFonts w:hint="eastAsia" w:ascii="宋体" w:hAnsi="宋体" w:cs="宋体"/>
                <w:kern w:val="0"/>
                <w:sz w:val="20"/>
                <w:szCs w:val="20"/>
              </w:rPr>
              <w:br w:type="textWrapping"/>
            </w:r>
            <w:r>
              <w:rPr>
                <w:rFonts w:hint="eastAsia" w:ascii="宋体" w:hAnsi="宋体" w:cs="宋体"/>
                <w:kern w:val="0"/>
                <w:sz w:val="20"/>
                <w:szCs w:val="20"/>
              </w:rPr>
              <w:t xml:space="preserve">水平视场角达101度，图像畸变小于20%  </w:t>
            </w:r>
            <w:r>
              <w:rPr>
                <w:rFonts w:hint="eastAsia" w:ascii="宋体" w:hAnsi="宋体" w:cs="宋体"/>
                <w:kern w:val="0"/>
                <w:sz w:val="20"/>
                <w:szCs w:val="20"/>
              </w:rPr>
              <w:br w:type="textWrapping"/>
            </w:r>
            <w:r>
              <w:rPr>
                <w:rFonts w:hint="eastAsia" w:ascii="宋体" w:hAnsi="宋体" w:cs="宋体"/>
                <w:kern w:val="0"/>
                <w:sz w:val="20"/>
                <w:szCs w:val="20"/>
              </w:rPr>
              <w:t xml:space="preserve">可以与各种型号的对讲机连接使用  </w:t>
            </w:r>
            <w:r>
              <w:rPr>
                <w:rFonts w:hint="eastAsia" w:ascii="宋体" w:hAnsi="宋体" w:cs="宋体"/>
                <w:kern w:val="0"/>
                <w:sz w:val="20"/>
                <w:szCs w:val="20"/>
              </w:rPr>
              <w:br w:type="textWrapping"/>
            </w:r>
            <w:r>
              <w:rPr>
                <w:rFonts w:hint="eastAsia" w:ascii="宋体" w:hAnsi="宋体" w:cs="宋体"/>
                <w:kern w:val="0"/>
                <w:sz w:val="20"/>
                <w:szCs w:val="20"/>
              </w:rPr>
              <w:t xml:space="preserve">录像时有语音提示“现场执法，录像开始”  </w:t>
            </w:r>
            <w:r>
              <w:rPr>
                <w:rFonts w:hint="eastAsia" w:ascii="宋体" w:hAnsi="宋体" w:cs="宋体"/>
                <w:kern w:val="0"/>
                <w:sz w:val="20"/>
                <w:szCs w:val="20"/>
              </w:rPr>
              <w:br w:type="textWrapping"/>
            </w:r>
            <w:r>
              <w:rPr>
                <w:rFonts w:hint="eastAsia" w:ascii="宋体" w:hAnsi="宋体" w:cs="宋体"/>
                <w:kern w:val="0"/>
                <w:sz w:val="20"/>
                <w:szCs w:val="20"/>
              </w:rPr>
              <w:t xml:space="preserve">单块电池连续录像时长达10小时以上，同时支持底座充电  </w:t>
            </w:r>
            <w:r>
              <w:rPr>
                <w:rFonts w:hint="eastAsia" w:ascii="宋体" w:hAnsi="宋体" w:cs="宋体"/>
                <w:kern w:val="0"/>
                <w:sz w:val="20"/>
                <w:szCs w:val="20"/>
              </w:rPr>
              <w:br w:type="textWrapping"/>
            </w:r>
            <w:r>
              <w:rPr>
                <w:rFonts w:hint="eastAsia" w:ascii="宋体" w:hAnsi="宋体" w:cs="宋体"/>
                <w:kern w:val="0"/>
                <w:sz w:val="20"/>
                <w:szCs w:val="20"/>
              </w:rPr>
              <w:t xml:space="preserve">可叠加字符，通过上位机软件可手动或自动较时，本机不能修改时间  </w:t>
            </w:r>
            <w:r>
              <w:rPr>
                <w:rFonts w:hint="eastAsia" w:ascii="宋体" w:hAnsi="宋体" w:cs="宋体"/>
                <w:kern w:val="0"/>
                <w:sz w:val="20"/>
                <w:szCs w:val="20"/>
              </w:rPr>
              <w:br w:type="textWrapping"/>
            </w:r>
            <w:r>
              <w:rPr>
                <w:rFonts w:hint="eastAsia" w:ascii="宋体" w:hAnsi="宋体" w:cs="宋体"/>
                <w:kern w:val="0"/>
                <w:sz w:val="20"/>
                <w:szCs w:val="20"/>
              </w:rPr>
              <w:t xml:space="preserve">具有电池欠压、存储溢出报警功能  </w:t>
            </w:r>
            <w:r>
              <w:rPr>
                <w:rFonts w:hint="eastAsia" w:ascii="宋体" w:hAnsi="宋体" w:cs="宋体"/>
                <w:kern w:val="0"/>
                <w:sz w:val="20"/>
                <w:szCs w:val="20"/>
              </w:rPr>
              <w:br w:type="textWrapping"/>
            </w:r>
            <w:r>
              <w:rPr>
                <w:rFonts w:hint="eastAsia" w:ascii="宋体" w:hAnsi="宋体" w:cs="宋体"/>
                <w:kern w:val="0"/>
                <w:sz w:val="20"/>
                <w:szCs w:val="20"/>
              </w:rPr>
              <w:t xml:space="preserve">能预录10s延录触发前后30s的视音频信息  </w:t>
            </w:r>
            <w:r>
              <w:rPr>
                <w:rFonts w:hint="eastAsia" w:ascii="宋体" w:hAnsi="宋体" w:cs="宋体"/>
                <w:kern w:val="0"/>
                <w:sz w:val="20"/>
                <w:szCs w:val="20"/>
              </w:rPr>
              <w:br w:type="textWrapping"/>
            </w:r>
            <w:r>
              <w:rPr>
                <w:rFonts w:hint="eastAsia" w:ascii="宋体" w:hAnsi="宋体" w:cs="宋体"/>
                <w:kern w:val="0"/>
                <w:sz w:val="20"/>
                <w:szCs w:val="20"/>
              </w:rPr>
              <w:t xml:space="preserve">红外可视距离3.5米看清人脸，20米看清轮廓  </w:t>
            </w:r>
            <w:r>
              <w:rPr>
                <w:rFonts w:hint="eastAsia" w:ascii="宋体" w:hAnsi="宋体" w:cs="宋体"/>
                <w:kern w:val="0"/>
                <w:sz w:val="20"/>
                <w:szCs w:val="20"/>
              </w:rPr>
              <w:br w:type="textWrapping"/>
            </w:r>
            <w:r>
              <w:rPr>
                <w:rFonts w:hint="eastAsia" w:ascii="宋体" w:hAnsi="宋体" w:cs="宋体"/>
                <w:kern w:val="0"/>
                <w:sz w:val="20"/>
                <w:szCs w:val="20"/>
              </w:rPr>
              <w:t xml:space="preserve">带背夹，支持一键录像/一键录音，一键切换  </w:t>
            </w:r>
            <w:r>
              <w:rPr>
                <w:rFonts w:hint="eastAsia" w:ascii="宋体" w:hAnsi="宋体" w:cs="宋体"/>
                <w:kern w:val="0"/>
                <w:sz w:val="20"/>
                <w:szCs w:val="20"/>
              </w:rPr>
              <w:br w:type="textWrapping"/>
            </w:r>
            <w:r>
              <w:rPr>
                <w:rFonts w:hint="eastAsia" w:ascii="宋体" w:hAnsi="宋体" w:cs="宋体"/>
                <w:kern w:val="0"/>
                <w:sz w:val="20"/>
                <w:szCs w:val="20"/>
              </w:rPr>
              <w:t xml:space="preserve">支持语音播报，整点报时  </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2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采集器</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可显示记录仪的接入状态和位置，即一一对应功能  </w:t>
            </w:r>
            <w:r>
              <w:rPr>
                <w:rFonts w:hint="eastAsia" w:ascii="宋体" w:hAnsi="宋体" w:cs="宋体"/>
                <w:kern w:val="0"/>
                <w:sz w:val="20"/>
                <w:szCs w:val="20"/>
              </w:rPr>
              <w:br w:type="textWrapping"/>
            </w:r>
            <w:r>
              <w:rPr>
                <w:rFonts w:hint="eastAsia" w:ascii="宋体" w:hAnsi="宋体" w:cs="宋体"/>
                <w:kern w:val="0"/>
                <w:sz w:val="20"/>
                <w:szCs w:val="20"/>
              </w:rPr>
              <w:t xml:space="preserve">上传完成后自动删除记录仪中的数据  </w:t>
            </w:r>
            <w:r>
              <w:rPr>
                <w:rFonts w:hint="eastAsia" w:ascii="宋体" w:hAnsi="宋体" w:cs="宋体"/>
                <w:kern w:val="0"/>
                <w:sz w:val="20"/>
                <w:szCs w:val="20"/>
              </w:rPr>
              <w:br w:type="textWrapping"/>
            </w:r>
            <w:r>
              <w:rPr>
                <w:rFonts w:hint="eastAsia" w:ascii="宋体" w:hAnsi="宋体" w:cs="宋体"/>
                <w:kern w:val="0"/>
                <w:sz w:val="20"/>
                <w:szCs w:val="20"/>
              </w:rPr>
              <w:t xml:space="preserve">支持数据分类查询、回放、重点标记；  </w:t>
            </w:r>
            <w:r>
              <w:rPr>
                <w:rFonts w:hint="eastAsia" w:ascii="宋体" w:hAnsi="宋体" w:cs="宋体"/>
                <w:kern w:val="0"/>
                <w:sz w:val="20"/>
                <w:szCs w:val="20"/>
              </w:rPr>
              <w:br w:type="textWrapping"/>
            </w:r>
            <w:r>
              <w:rPr>
                <w:rFonts w:hint="eastAsia" w:ascii="宋体" w:hAnsi="宋体" w:cs="宋体"/>
                <w:kern w:val="0"/>
                <w:sz w:val="20"/>
                <w:szCs w:val="20"/>
              </w:rPr>
              <w:t xml:space="preserve">支持文件手动或自动从采集站上传到服务器  </w:t>
            </w:r>
            <w:r>
              <w:rPr>
                <w:rFonts w:hint="eastAsia" w:ascii="宋体" w:hAnsi="宋体" w:cs="宋体"/>
                <w:kern w:val="0"/>
                <w:sz w:val="20"/>
                <w:szCs w:val="20"/>
              </w:rPr>
              <w:br w:type="textWrapping"/>
            </w:r>
            <w:r>
              <w:rPr>
                <w:rFonts w:hint="eastAsia" w:ascii="宋体" w:hAnsi="宋体" w:cs="宋体"/>
                <w:kern w:val="0"/>
                <w:sz w:val="20"/>
                <w:szCs w:val="20"/>
              </w:rPr>
              <w:t xml:space="preserve">支持记录仪参数设置，自动时间校正  </w:t>
            </w:r>
            <w:r>
              <w:rPr>
                <w:rFonts w:hint="eastAsia" w:ascii="宋体" w:hAnsi="宋体" w:cs="宋体"/>
                <w:kern w:val="0"/>
                <w:sz w:val="20"/>
                <w:szCs w:val="20"/>
              </w:rPr>
              <w:br w:type="textWrapping"/>
            </w:r>
            <w:r>
              <w:rPr>
                <w:rFonts w:hint="eastAsia" w:ascii="宋体" w:hAnsi="宋体" w:cs="宋体"/>
                <w:kern w:val="0"/>
                <w:sz w:val="20"/>
                <w:szCs w:val="20"/>
              </w:rPr>
              <w:t xml:space="preserve">用户权限管理、日志管理  </w:t>
            </w:r>
            <w:r>
              <w:rPr>
                <w:rFonts w:hint="eastAsia" w:ascii="宋体" w:hAnsi="宋体" w:cs="宋体"/>
                <w:kern w:val="0"/>
                <w:sz w:val="20"/>
                <w:szCs w:val="20"/>
              </w:rPr>
              <w:br w:type="textWrapping"/>
            </w:r>
            <w:r>
              <w:rPr>
                <w:rFonts w:hint="eastAsia" w:ascii="宋体" w:hAnsi="宋体" w:cs="宋体"/>
                <w:kern w:val="0"/>
                <w:sz w:val="20"/>
                <w:szCs w:val="20"/>
              </w:rPr>
              <w:t xml:space="preserve">采集站支持通过服务器远程升级，支持对记录仪自动或手动升级  </w:t>
            </w:r>
            <w:r>
              <w:rPr>
                <w:rFonts w:hint="eastAsia" w:ascii="宋体" w:hAnsi="宋体" w:cs="宋体"/>
                <w:kern w:val="0"/>
                <w:sz w:val="20"/>
                <w:szCs w:val="20"/>
              </w:rPr>
              <w:br w:type="textWrapping"/>
            </w:r>
            <w:r>
              <w:rPr>
                <w:rFonts w:hint="eastAsia" w:ascii="宋体" w:hAnsi="宋体" w:cs="宋体"/>
                <w:kern w:val="0"/>
                <w:sz w:val="20"/>
                <w:szCs w:val="20"/>
              </w:rPr>
              <w:t xml:space="preserve">支持网络中断、存储异常等情况下进行故障报警功能 </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管理平台</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大华执法记录仪管理平台软件依托全国公安机关图像信息联网系统，通过获取部署在公安内网，执法记录仪采集到的现场实时数据；如音视频、图片等，连接采集站，自动上传到EVS进行存储，C8700平台对执法数据进行管理、存储、查询、检索等。</w:t>
            </w:r>
            <w:r>
              <w:rPr>
                <w:rFonts w:hint="eastAsia" w:ascii="宋体" w:hAnsi="宋体" w:cs="宋体"/>
                <w:kern w:val="0"/>
                <w:sz w:val="20"/>
                <w:szCs w:val="20"/>
              </w:rPr>
              <w:br w:type="textWrapping"/>
            </w:r>
            <w:r>
              <w:rPr>
                <w:rFonts w:hint="eastAsia" w:ascii="宋体" w:hAnsi="宋体" w:cs="宋体"/>
                <w:kern w:val="0"/>
                <w:sz w:val="20"/>
                <w:szCs w:val="20"/>
              </w:rPr>
              <w:t xml:space="preserve">支持资源采集功能 </w:t>
            </w:r>
            <w:r>
              <w:rPr>
                <w:rFonts w:hint="eastAsia" w:ascii="宋体" w:hAnsi="宋体" w:cs="宋体"/>
                <w:kern w:val="0"/>
                <w:sz w:val="20"/>
                <w:szCs w:val="20"/>
              </w:rPr>
              <w:br w:type="textWrapping"/>
            </w:r>
            <w:r>
              <w:rPr>
                <w:rFonts w:hint="eastAsia" w:ascii="宋体" w:hAnsi="宋体" w:cs="宋体"/>
                <w:kern w:val="0"/>
                <w:sz w:val="20"/>
                <w:szCs w:val="20"/>
              </w:rPr>
              <w:t xml:space="preserve">支持视频播放 </w:t>
            </w:r>
            <w:r>
              <w:rPr>
                <w:rFonts w:hint="eastAsia" w:ascii="宋体" w:hAnsi="宋体" w:cs="宋体"/>
                <w:kern w:val="0"/>
                <w:sz w:val="20"/>
                <w:szCs w:val="20"/>
              </w:rPr>
              <w:br w:type="textWrapping"/>
            </w:r>
            <w:r>
              <w:rPr>
                <w:rFonts w:hint="eastAsia" w:ascii="宋体" w:hAnsi="宋体" w:cs="宋体"/>
                <w:kern w:val="0"/>
                <w:sz w:val="20"/>
                <w:szCs w:val="20"/>
              </w:rPr>
              <w:t xml:space="preserve">支持图像分析 </w:t>
            </w:r>
            <w:r>
              <w:rPr>
                <w:rFonts w:hint="eastAsia" w:ascii="宋体" w:hAnsi="宋体" w:cs="宋体"/>
                <w:kern w:val="0"/>
                <w:sz w:val="20"/>
                <w:szCs w:val="20"/>
              </w:rPr>
              <w:br w:type="textWrapping"/>
            </w:r>
            <w:r>
              <w:rPr>
                <w:rFonts w:hint="eastAsia" w:ascii="宋体" w:hAnsi="宋体" w:cs="宋体"/>
                <w:kern w:val="0"/>
                <w:sz w:val="20"/>
                <w:szCs w:val="20"/>
              </w:rPr>
              <w:t xml:space="preserve">支持多种存储（云存储和IPSAN) </w:t>
            </w:r>
            <w:r>
              <w:rPr>
                <w:rFonts w:hint="eastAsia" w:ascii="宋体" w:hAnsi="宋体" w:cs="宋体"/>
                <w:kern w:val="0"/>
                <w:sz w:val="20"/>
                <w:szCs w:val="20"/>
              </w:rPr>
              <w:br w:type="textWrapping"/>
            </w:r>
            <w:r>
              <w:rPr>
                <w:rFonts w:hint="eastAsia" w:ascii="宋体" w:hAnsi="宋体" w:cs="宋体"/>
                <w:kern w:val="0"/>
                <w:sz w:val="20"/>
                <w:szCs w:val="20"/>
              </w:rPr>
              <w:t>支持GIS地图</w:t>
            </w:r>
            <w:r>
              <w:rPr>
                <w:rFonts w:hint="eastAsia" w:ascii="宋体" w:hAnsi="宋体" w:cs="宋体"/>
                <w:kern w:val="0"/>
                <w:sz w:val="20"/>
                <w:szCs w:val="20"/>
              </w:rPr>
              <w:br w:type="textWrapping"/>
            </w:r>
            <w:r>
              <w:rPr>
                <w:rFonts w:hint="eastAsia" w:ascii="宋体" w:hAnsi="宋体" w:cs="宋体"/>
                <w:kern w:val="0"/>
                <w:sz w:val="20"/>
                <w:szCs w:val="20"/>
              </w:rPr>
              <w:t>设置支队级管理平台，可接入丽水地区各监所执法记录仪。</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存储设备</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含三十四台控制主机，一机双显，含二台显示器，屏幕尺寸≧19.5寸；操作系统预装Windows 10 64bit（64位简体中文版）</w:t>
            </w:r>
            <w:r>
              <w:rPr>
                <w:rFonts w:hint="eastAsia" w:ascii="宋体" w:hAnsi="宋体" w:cs="宋体"/>
                <w:kern w:val="0"/>
                <w:sz w:val="20"/>
                <w:szCs w:val="20"/>
              </w:rPr>
              <w:br w:type="textWrapping"/>
            </w:r>
            <w:r>
              <w:rPr>
                <w:rFonts w:hint="eastAsia" w:ascii="宋体" w:hAnsi="宋体" w:cs="宋体"/>
                <w:kern w:val="0"/>
                <w:sz w:val="20"/>
                <w:szCs w:val="20"/>
              </w:rPr>
              <w:t>处理器:酷睿i7 7代系列</w:t>
            </w:r>
            <w:r>
              <w:rPr>
                <w:rFonts w:hint="eastAsia" w:ascii="宋体" w:hAnsi="宋体" w:cs="宋体"/>
                <w:kern w:val="0"/>
                <w:sz w:val="20"/>
                <w:szCs w:val="20"/>
              </w:rPr>
              <w:br w:type="textWrapping"/>
            </w:r>
            <w:r>
              <w:rPr>
                <w:rFonts w:hint="eastAsia" w:ascii="宋体" w:hAnsi="宋体" w:cs="宋体"/>
                <w:kern w:val="0"/>
                <w:sz w:val="20"/>
                <w:szCs w:val="20"/>
              </w:rPr>
              <w:t>CPU频率≧3.6GHz;</w:t>
            </w:r>
            <w:r>
              <w:rPr>
                <w:rFonts w:hint="eastAsia" w:ascii="宋体" w:hAnsi="宋体" w:cs="宋体"/>
                <w:kern w:val="0"/>
                <w:sz w:val="20"/>
                <w:szCs w:val="20"/>
              </w:rPr>
              <w:br w:type="textWrapping"/>
            </w:r>
            <w:r>
              <w:rPr>
                <w:rFonts w:hint="eastAsia" w:ascii="宋体" w:hAnsi="宋体" w:cs="宋体"/>
                <w:kern w:val="0"/>
                <w:sz w:val="20"/>
                <w:szCs w:val="20"/>
              </w:rPr>
              <w:t>总线规格DMI3 8GT/s;缓存L3 8MB;核心架构Kaby Lake</w:t>
            </w:r>
            <w:r>
              <w:rPr>
                <w:rFonts w:hint="eastAsia" w:ascii="宋体" w:hAnsi="宋体" w:cs="宋体"/>
                <w:kern w:val="0"/>
                <w:sz w:val="20"/>
                <w:szCs w:val="20"/>
              </w:rPr>
              <w:br w:type="textWrapping"/>
            </w:r>
            <w:r>
              <w:rPr>
                <w:rFonts w:hint="eastAsia" w:ascii="宋体" w:hAnsi="宋体" w:cs="宋体"/>
                <w:kern w:val="0"/>
                <w:sz w:val="20"/>
                <w:szCs w:val="20"/>
              </w:rPr>
              <w:t xml:space="preserve">核心/线程数四核心/八线程;制程工艺14nm;商用技术Intel 博锐技术 </w:t>
            </w:r>
            <w:r>
              <w:rPr>
                <w:rFonts w:hint="eastAsia" w:ascii="宋体" w:hAnsi="宋体" w:cs="宋体"/>
                <w:kern w:val="0"/>
                <w:sz w:val="20"/>
                <w:szCs w:val="20"/>
              </w:rPr>
              <w:br w:type="textWrapping"/>
            </w:r>
            <w:r>
              <w:rPr>
                <w:rFonts w:hint="eastAsia" w:ascii="宋体" w:hAnsi="宋体" w:cs="宋体"/>
                <w:kern w:val="0"/>
                <w:sz w:val="20"/>
                <w:szCs w:val="20"/>
              </w:rPr>
              <w:t>内存容量16GB:内存类型DDR4 2400MHz;内存插槽2个DiMM插槽;最大内存容量32GB</w:t>
            </w:r>
            <w:r>
              <w:rPr>
                <w:rFonts w:hint="eastAsia" w:ascii="宋体" w:hAnsi="宋体" w:cs="宋体"/>
                <w:kern w:val="0"/>
                <w:sz w:val="20"/>
                <w:szCs w:val="20"/>
              </w:rPr>
              <w:br w:type="textWrapping"/>
            </w:r>
            <w:r>
              <w:rPr>
                <w:rFonts w:hint="eastAsia" w:ascii="宋体" w:hAnsi="宋体" w:cs="宋体"/>
                <w:kern w:val="0"/>
                <w:sz w:val="20"/>
                <w:szCs w:val="20"/>
              </w:rPr>
              <w:t>硬盘容量128GB+1TB;硬盘描述混合硬盘（SSD+HDD）</w:t>
            </w:r>
            <w:r>
              <w:rPr>
                <w:rFonts w:hint="eastAsia" w:ascii="宋体" w:hAnsi="宋体" w:cs="宋体"/>
                <w:kern w:val="0"/>
                <w:sz w:val="20"/>
                <w:szCs w:val="20"/>
              </w:rPr>
              <w:br w:type="textWrapping"/>
            </w:r>
            <w:r>
              <w:rPr>
                <w:rFonts w:hint="eastAsia" w:ascii="宋体" w:hAnsi="宋体" w:cs="宋体"/>
                <w:kern w:val="0"/>
                <w:sz w:val="20"/>
                <w:szCs w:val="20"/>
              </w:rPr>
              <w:t>独立显卡，显存容量≧3GB</w:t>
            </w:r>
            <w:r>
              <w:rPr>
                <w:rFonts w:hint="eastAsia" w:ascii="宋体" w:hAnsi="宋体" w:cs="宋体"/>
                <w:kern w:val="0"/>
                <w:sz w:val="20"/>
                <w:szCs w:val="20"/>
              </w:rPr>
              <w:br w:type="textWrapping"/>
            </w:r>
            <w:r>
              <w:rPr>
                <w:rFonts w:hint="eastAsia" w:ascii="宋体" w:hAnsi="宋体" w:cs="宋体"/>
                <w:kern w:val="0"/>
                <w:sz w:val="20"/>
                <w:szCs w:val="20"/>
              </w:rPr>
              <w:t>DirectXDirectX 12</w:t>
            </w:r>
            <w:r>
              <w:rPr>
                <w:rFonts w:hint="eastAsia" w:ascii="宋体" w:hAnsi="宋体" w:cs="宋体"/>
                <w:kern w:val="0"/>
                <w:sz w:val="20"/>
                <w:szCs w:val="20"/>
              </w:rPr>
              <w:br w:type="textWrapping"/>
            </w:r>
            <w:r>
              <w:rPr>
                <w:rFonts w:hint="eastAsia" w:ascii="宋体" w:hAnsi="宋体" w:cs="宋体"/>
                <w:kern w:val="0"/>
                <w:sz w:val="20"/>
                <w:szCs w:val="20"/>
              </w:rPr>
              <w:t>有线网卡1000Mbps以太网卡（不得带无线网卡）</w:t>
            </w:r>
          </w:p>
        </w:tc>
        <w:tc>
          <w:tcPr>
            <w:tcW w:w="517"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三、监所服务综合管理系统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平台模块</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数据可视化界面；定制；监所动态、人员管控、三色预警、预警分析、绩效考核、警情处置、电子地图、网页集成界面等功能模块；实现警情的流转、处置、跟踪、监督、查询、统计等功能；集成原监控实战平台。定制：对讲、监控、门禁、门开、紧急报警、视频分析系统、信息系统业务数据等接入研发的系统对接。根据看守所平面图图，提供平面效果电子地图（3D电子地图）。通过监室智能终端，建立完善监管场所刑事案件视频图像辩认工作机制，发布刑侦部门特定案件的视频、图像播放或者嫌疑人照片，鼓励在押人员检举揭发，挖掘案件侦破线索。</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信息系统二次开发</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定制；对讲、监控、门禁、门开、紧急报警、视频分析系统、信息系统业务数据等接入研发</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多岗联动模块</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实现递值班、管教、医生、巡控、所领导等岗位信息及时交互和工作任务快速交接，督促岗位工作落实。</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风险评估模块</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收押对象首次评估（违法性质、重大疾病等、管教评估三方面）、二次评估（收押后15天内）、日常评估等。</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绩效考核模块</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在信息系统中设立在押人员考核机制和民警考核机制，对在押人员和民警行为分别进行量化、规范管理。量化在押人员、民警各岗位工作，督促工作落实，自动测算在押人员、民警考核成绩，科学进行绩效考核，提升管理水平；</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信息系统中间开发</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兼容信息系统、读取信息系统数据，完成二次应用；出具浙江省违法犯罪人员信息系统研发厂家提供的接入证明。</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短信系统</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将超押信息、会见信息、判决信息等相关内容以短信的方式通过科通网关或短信猫自动发送给相关人员。</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短信猫</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全网通，含一年短信流量费用</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短信自发送模块开发</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通过联动超押信息、会见信息、判决信息等给相应单位或人员。</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室外显示屏系统APP</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与省厅违法犯罪人员管理系统相衔接。可实时显示在押人员的姓名、照片、当前诉讼阶段、案件类别、安全风险等级、医嘱等信息；显示监室主协管民警、监室在押人员基本信息；可查看在押人员详细信息。查看监室最近的会见信息、违规信息、就医信息等。查看监室实时视频；登记违规信息，用药信息。★投标单位提供承诺可与现触摸屏兼容。</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四、出所就医防脱逃系统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移动手持终端</w:t>
            </w:r>
          </w:p>
        </w:tc>
        <w:tc>
          <w:tcPr>
            <w:tcW w:w="5916"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符合支队统一选型，符合公安部监管局要求；1. 支持GPS定位、北斗定位、LBS基站定位、AGPS；2.测距功能：通过UWB精确测量距离；3.喇叭提醒功能：具有小喇叭功能；4.低电报警功能：电压低于一定阈值会发出低电报警信号；5.管理功能：安装专门的APP，用于对押解任务的管理；6.网络支持：GSM:850/900/1800/1900;WCDMA:850/900/1900/2100;TDD-LTE:B38/39/40/41;FDD-LTE:B1/3/7;CDMA:800;7.操作系统：Android 7.0</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电子脚镣</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含:电子脚扣、金属手提箱、设备开启器、充电宝、电源线等线缆</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5"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管理软件</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防误放人系统：含15.6寸坐式双屏防误放人终端，安装于监门哨，与省违法犯罪人员信息系统对接，核对信息系统中在押人员身份及当前业务。自动形成在押人员出入所凭证，可同步核对：刑满释放、取保候审、提押等出所业务信息。▲可提供《监所防误放人管理系统》计算机软件著作权证书。</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五、移动**终端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移动**终端-所领导版APP</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与省违法犯罪人员信息系统数据无缝对接，含全所监室信息\三固定\人员状态\人员详情\今日动态\业务审批等功能；▲可提供《移动**终端领导版软件》计算机软件著作权证书</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移动**终端-所领导版中间件</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数据管理平台，为终端软件提供加密注册服务，提供终端数据传输通道</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移动**终端-巡控版APP</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与省违法犯罪人员信息系统数据无缝对接，含全所监室信息\人员状态\人员详情\三固定\违规查询及添加\巡视签到\巡视打卡\巡视计时\巡视记录集成在省违法犯罪人员信息系统中</w:t>
            </w:r>
            <w:r>
              <w:rPr>
                <w:rFonts w:hint="eastAsia" w:ascii="宋体" w:hAnsi="宋体" w:cs="宋体"/>
                <w:kern w:val="0"/>
                <w:sz w:val="20"/>
                <w:szCs w:val="20"/>
              </w:rPr>
              <w:br w:type="textWrapping"/>
            </w:r>
            <w:r>
              <w:rPr>
                <w:rFonts w:hint="eastAsia" w:ascii="宋体" w:hAnsi="宋体" w:cs="宋体"/>
                <w:kern w:val="0"/>
                <w:sz w:val="20"/>
                <w:szCs w:val="20"/>
              </w:rPr>
              <w:t>▲可提供《移动**终端巡控版软件》计算机软件著作权证书</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9"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移动**终端-巡控版中间件</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数据管理平台，为终端软件提供加密注册服务，提供终端数据传输通道</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六、谈话录音系统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话筒</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有线式，录音专用，心形指向性，灵敏度：-37 dB (14.1 mV) re 1V at 1 Pa；频率范围：20-20000Hz，阻抗100欧姆；信噪比74 dB, 1 kHz at 1 Pa。</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3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音箱</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有源音箱，频率响应：扬声器48Hz-20KHz/功放系统：40Hz-20KHz；扬声器：1英寸钛膜高音+5.5英寸中低音；信噪比：88dB；AUX音频接口；支持防磁功能；灵敏度：AUX输入灵敏度：700±50mV；</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指纹仪</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CPU： ARM, 32 Bits, Cortex-M4, 400MHz DSP；内存： 4MB闪存+8MB RAM；指纹容量： 1000枚；指纹传感器： 500 dpi 光学传感器；指纹识别时间： ≤1Sec。★出具现有浙江省违法犯罪人员信息系统维护单位提供的配合证明</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81" w:type="dxa"/>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4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3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语音谈话模块开发</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教民警在违法犯罪人员信息系统中进行谈话教育工作时谈话过程可录音。确保管教民警谈话教育在时间和内容上的真实性，对管教的工作职责起到有效的监督作用，防止弄虚作假。所领导登录信息系统可查看听取民警谈话内容。</w:t>
            </w:r>
            <w:r>
              <w:rPr>
                <w:rFonts w:hint="eastAsia" w:ascii="宋体" w:hAnsi="宋体" w:cs="宋体"/>
                <w:kern w:val="0"/>
                <w:sz w:val="20"/>
                <w:szCs w:val="20"/>
              </w:rPr>
              <w:br w:type="textWrapping"/>
            </w:r>
            <w:r>
              <w:rPr>
                <w:rFonts w:hint="eastAsia" w:ascii="宋体" w:hAnsi="宋体" w:cs="宋体"/>
                <w:kern w:val="0"/>
                <w:sz w:val="20"/>
                <w:szCs w:val="20"/>
              </w:rPr>
              <w:t>1）可通过录音方式进行谈话教育；</w:t>
            </w:r>
            <w:r>
              <w:rPr>
                <w:rFonts w:hint="eastAsia" w:ascii="宋体" w:hAnsi="宋体" w:cs="宋体"/>
                <w:kern w:val="0"/>
                <w:sz w:val="20"/>
                <w:szCs w:val="20"/>
              </w:rPr>
              <w:br w:type="textWrapping"/>
            </w:r>
            <w:r>
              <w:rPr>
                <w:rFonts w:hint="eastAsia" w:ascii="宋体" w:hAnsi="宋体" w:cs="宋体"/>
                <w:kern w:val="0"/>
                <w:sz w:val="20"/>
                <w:szCs w:val="20"/>
              </w:rPr>
              <w:t>2）录音文件集中存储在服务器中，并可供调阅管理。</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七、网络系统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快速以太网交换机</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24个10/100/1000Base-T以太网端口，4个千兆SFP端口，存储-转发，背板带宽256Gbps，包转发率66Mbps/96Mbps。S5700-28P2L-AC</w:t>
            </w:r>
          </w:p>
        </w:tc>
        <w:tc>
          <w:tcPr>
            <w:tcW w:w="517"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81" w:type="dxa"/>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核心交换机</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采用原型号H3C S7506E-NP-组合配置-(主机+双主控(MPUB))含电源及24端口千兆以太网电接口(RJ45)+4端口万兆以太网光接口模块(SFP+,LC)</w:t>
            </w:r>
          </w:p>
        </w:tc>
        <w:tc>
          <w:tcPr>
            <w:tcW w:w="517"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437" w:type="dxa"/>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光纤、光模块及跳线</w:t>
            </w:r>
          </w:p>
        </w:tc>
        <w:tc>
          <w:tcPr>
            <w:tcW w:w="59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交换机系统辅材</w:t>
            </w:r>
          </w:p>
        </w:tc>
        <w:tc>
          <w:tcPr>
            <w:tcW w:w="517"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1" w:type="dxa"/>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5" w:type="dxa"/>
            <w:gridSpan w:val="5"/>
            <w:shd w:val="clear" w:color="000000"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xml:space="preserve">      八、电气监测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437"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智慧电气安全在线监测装置</w:t>
            </w:r>
          </w:p>
        </w:tc>
        <w:tc>
          <w:tcPr>
            <w:tcW w:w="5916" w:type="dxa"/>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81"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437"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灭弧式电气保护装置</w:t>
            </w:r>
          </w:p>
        </w:tc>
        <w:tc>
          <w:tcPr>
            <w:tcW w:w="5916" w:type="dxa"/>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81"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437"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3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安装箱</w:t>
            </w:r>
          </w:p>
        </w:tc>
        <w:tc>
          <w:tcPr>
            <w:tcW w:w="5916" w:type="dxa"/>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1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81"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bl>
    <w:p>
      <w:pPr>
        <w:pStyle w:val="5"/>
        <w:spacing w:after="240"/>
        <w:ind w:firstLine="211"/>
        <w:rPr>
          <w:rFonts w:hint="eastAsia"/>
        </w:rPr>
      </w:pPr>
    </w:p>
    <w:p>
      <w:pPr>
        <w:pStyle w:val="4"/>
        <w:spacing w:before="0" w:after="240" w:afterLines="100"/>
        <w:ind w:firstLine="241" w:firstLineChars="100"/>
        <w:contextualSpacing/>
        <w:rPr>
          <w:rFonts w:hint="eastAsia" w:ascii="宋体" w:hAnsi="宋体" w:eastAsia="宋体"/>
          <w:bCs w:val="0"/>
          <w:sz w:val="24"/>
          <w:szCs w:val="24"/>
          <w:lang w:eastAsia="zh-CN"/>
        </w:rPr>
      </w:pPr>
      <w:bookmarkStart w:id="71" w:name="_Toc530665719"/>
      <w:r>
        <w:rPr>
          <w:rFonts w:hint="eastAsia" w:ascii="宋体" w:hAnsi="宋体" w:eastAsia="宋体"/>
          <w:bCs w:val="0"/>
          <w:sz w:val="24"/>
          <w:szCs w:val="24"/>
          <w:lang w:eastAsia="zh-CN"/>
        </w:rPr>
        <w:t>五、商务要求</w:t>
      </w:r>
      <w:bookmarkEnd w:id="71"/>
    </w:p>
    <w:p>
      <w:pPr>
        <w:snapToGrid w:val="0"/>
        <w:spacing w:line="360" w:lineRule="auto"/>
        <w:ind w:firstLine="510"/>
        <w:rPr>
          <w:rFonts w:hint="eastAsia" w:ascii="宋体" w:hAnsi="宋体"/>
          <w:sz w:val="24"/>
        </w:rPr>
      </w:pPr>
      <w:r>
        <w:rPr>
          <w:rFonts w:hint="eastAsia" w:ascii="宋体" w:hAnsi="宋体"/>
          <w:kern w:val="0"/>
          <w:sz w:val="24"/>
        </w:rPr>
        <w:t>1、项目质保期要求：</w:t>
      </w:r>
      <w:r>
        <w:rPr>
          <w:rFonts w:hint="eastAsia" w:ascii="宋体" w:hAnsi="宋体"/>
          <w:sz w:val="24"/>
        </w:rPr>
        <w:t>本项目产品质保期五年（质保范围应包含本次采购的所有设备）。投标人可提供更优惠的质保期，产品实际质保期以高者为准。所有质保期自项目验收合格次日起计算。质保期内要求免费上门服务，并严格按照国家三包规定执行。</w:t>
      </w:r>
    </w:p>
    <w:p>
      <w:pPr>
        <w:snapToGrid w:val="0"/>
        <w:spacing w:line="360" w:lineRule="auto"/>
        <w:ind w:firstLine="510"/>
        <w:rPr>
          <w:rFonts w:hint="eastAsia" w:ascii="宋体" w:hAnsi="宋体"/>
          <w:kern w:val="0"/>
          <w:sz w:val="24"/>
        </w:rPr>
      </w:pPr>
      <w:r>
        <w:rPr>
          <w:rFonts w:hint="eastAsia" w:ascii="宋体" w:hAnsi="宋体"/>
          <w:kern w:val="0"/>
          <w:sz w:val="24"/>
        </w:rPr>
        <w:t>2、 售后技术服务要求：提供产品保修卡，并按厂家产品规定保修期限及内容以及供应商的其它承诺条款实行保修，出现故障后</w:t>
      </w:r>
      <w:r>
        <w:rPr>
          <w:rFonts w:hint="eastAsia" w:ascii="宋体" w:hAnsi="宋体"/>
          <w:kern w:val="0"/>
          <w:sz w:val="24"/>
          <w:u w:val="single"/>
        </w:rPr>
        <w:t xml:space="preserve">  1 </w:t>
      </w:r>
      <w:r>
        <w:rPr>
          <w:rFonts w:hint="eastAsia" w:ascii="宋体" w:hAnsi="宋体"/>
          <w:kern w:val="0"/>
          <w:sz w:val="24"/>
        </w:rPr>
        <w:t>小时内服务响应、</w:t>
      </w:r>
      <w:r>
        <w:rPr>
          <w:rFonts w:hint="eastAsia" w:ascii="宋体" w:hAnsi="宋体"/>
          <w:kern w:val="0"/>
          <w:sz w:val="24"/>
          <w:u w:val="single"/>
        </w:rPr>
        <w:t xml:space="preserve">  2 </w:t>
      </w:r>
      <w:r>
        <w:rPr>
          <w:rFonts w:hint="eastAsia" w:ascii="宋体" w:hAnsi="宋体"/>
          <w:kern w:val="0"/>
          <w:sz w:val="24"/>
        </w:rPr>
        <w:t>小时内现场服务到位</w:t>
      </w:r>
      <w:r>
        <w:rPr>
          <w:rFonts w:hint="eastAsia" w:ascii="宋体" w:hAnsi="宋体"/>
          <w:kern w:val="0"/>
          <w:sz w:val="24"/>
          <w:u w:val="single"/>
        </w:rPr>
        <w:t xml:space="preserve"> 24 </w:t>
      </w:r>
      <w:r>
        <w:rPr>
          <w:rFonts w:hint="eastAsia" w:ascii="宋体" w:hAnsi="宋体"/>
          <w:kern w:val="0"/>
          <w:sz w:val="24"/>
        </w:rPr>
        <w:t>小时内解决问题，不能解决的提供</w:t>
      </w:r>
      <w:r>
        <w:rPr>
          <w:rFonts w:hint="eastAsia" w:ascii="宋体" w:hAnsi="宋体"/>
          <w:kern w:val="0"/>
          <w:sz w:val="24"/>
          <w:u w:val="single"/>
        </w:rPr>
        <w:t xml:space="preserve">  备品备件  </w:t>
      </w:r>
      <w:r>
        <w:rPr>
          <w:rFonts w:hint="eastAsia" w:ascii="宋体" w:hAnsi="宋体"/>
          <w:kern w:val="0"/>
          <w:sz w:val="24"/>
        </w:rPr>
        <w:t xml:space="preserve"> ；软件系统升级按照省厅统一要求安排及时升级维护。</w:t>
      </w:r>
    </w:p>
    <w:p>
      <w:pPr>
        <w:widowControl/>
        <w:adjustRightInd w:val="0"/>
        <w:snapToGrid w:val="0"/>
        <w:spacing w:line="360" w:lineRule="auto"/>
        <w:ind w:firstLine="482"/>
        <w:rPr>
          <w:rFonts w:ascii="宋体" w:hAnsi="宋体"/>
          <w:sz w:val="24"/>
        </w:rPr>
      </w:pPr>
      <w:r>
        <w:rPr>
          <w:rFonts w:hint="eastAsia" w:ascii="宋体" w:hAnsi="宋体"/>
          <w:kern w:val="0"/>
          <w:sz w:val="24"/>
        </w:rPr>
        <w:t>3.</w:t>
      </w:r>
      <w:r>
        <w:rPr>
          <w:rFonts w:ascii="宋体" w:hAnsi="宋体"/>
          <w:kern w:val="0"/>
          <w:sz w:val="24"/>
        </w:rPr>
        <w:t>3</w:t>
      </w:r>
      <w:r>
        <w:rPr>
          <w:rFonts w:hint="eastAsia" w:ascii="宋体" w:hAnsi="宋体"/>
          <w:kern w:val="0"/>
          <w:sz w:val="24"/>
        </w:rPr>
        <w:t xml:space="preserve"> 付款方式：合同签订后支付合同金额总价的30%；</w:t>
      </w:r>
      <w:r>
        <w:rPr>
          <w:rFonts w:hint="eastAsia" w:ascii="宋体" w:hAnsi="宋体"/>
          <w:sz w:val="24"/>
        </w:rPr>
        <w:t>到货验收后支付合同金额总价的30%，通过最终验收后支付剩余合同金额的30%，剩余合同金额的10%作为质保金，质保期满后一个月内无息支付。</w:t>
      </w:r>
    </w:p>
    <w:p>
      <w:pPr>
        <w:snapToGrid w:val="0"/>
        <w:spacing w:line="360" w:lineRule="auto"/>
        <w:ind w:firstLine="510"/>
        <w:rPr>
          <w:rFonts w:ascii="宋体" w:hAnsi="宋体"/>
          <w:kern w:val="0"/>
          <w:sz w:val="24"/>
        </w:rPr>
      </w:pPr>
      <w:r>
        <w:rPr>
          <w:rFonts w:hint="eastAsia" w:ascii="宋体" w:hAnsi="宋体"/>
          <w:sz w:val="24"/>
        </w:rPr>
        <w:t>注：若履约保证金在合同履行过程中有被扣除的不足合同价10%，差额部分直接从余款中扣除。</w:t>
      </w:r>
    </w:p>
    <w:p>
      <w:pPr>
        <w:snapToGrid w:val="0"/>
        <w:spacing w:line="360" w:lineRule="auto"/>
        <w:ind w:firstLine="510"/>
        <w:rPr>
          <w:rFonts w:hint="eastAsia" w:ascii="宋体" w:hAnsi="宋体"/>
          <w:kern w:val="0"/>
          <w:sz w:val="24"/>
        </w:rPr>
      </w:pPr>
      <w:r>
        <w:rPr>
          <w:rFonts w:hint="eastAsia" w:ascii="宋体" w:hAnsi="宋体"/>
          <w:kern w:val="0"/>
          <w:sz w:val="24"/>
        </w:rPr>
        <w:t>3、培训要求：</w:t>
      </w:r>
    </w:p>
    <w:p>
      <w:pPr>
        <w:snapToGrid w:val="0"/>
        <w:spacing w:line="360" w:lineRule="auto"/>
        <w:ind w:firstLine="960" w:firstLineChars="400"/>
        <w:rPr>
          <w:rFonts w:hint="eastAsia" w:ascii="宋体" w:hAnsi="宋体"/>
          <w:kern w:val="0"/>
          <w:sz w:val="24"/>
        </w:rPr>
      </w:pPr>
      <w:r>
        <w:rPr>
          <w:rFonts w:hint="eastAsia" w:ascii="宋体" w:hAnsi="宋体"/>
          <w:sz w:val="24"/>
        </w:rPr>
        <w:t>培训地点：</w:t>
      </w:r>
      <w:r>
        <w:rPr>
          <w:rFonts w:hint="eastAsia" w:ascii="宋体" w:hAnsi="宋体"/>
          <w:sz w:val="24"/>
          <w:u w:val="single"/>
        </w:rPr>
        <w:t xml:space="preserve"> 项目现场 </w:t>
      </w:r>
      <w:r>
        <w:rPr>
          <w:rFonts w:hint="eastAsia" w:ascii="宋体" w:hAnsi="宋体"/>
          <w:sz w:val="24"/>
        </w:rPr>
        <w:t>；培训人数及天数：根据采购人需求。</w:t>
      </w:r>
    </w:p>
    <w:p>
      <w:pPr>
        <w:pStyle w:val="4"/>
        <w:tabs>
          <w:tab w:val="left" w:pos="3405"/>
        </w:tabs>
        <w:ind w:firstLine="241" w:firstLineChars="100"/>
        <w:rPr>
          <w:rFonts w:hint="eastAsia" w:ascii="宋体" w:hAnsi="宋体" w:eastAsia="宋体"/>
          <w:bCs w:val="0"/>
          <w:sz w:val="24"/>
          <w:szCs w:val="24"/>
          <w:lang w:eastAsia="zh-CN"/>
        </w:rPr>
      </w:pPr>
      <w:bookmarkStart w:id="72" w:name="_Toc530665720"/>
      <w:r>
        <w:rPr>
          <w:rFonts w:hint="eastAsia" w:ascii="宋体" w:hAnsi="宋体" w:eastAsia="宋体"/>
          <w:bCs w:val="0"/>
          <w:sz w:val="24"/>
          <w:szCs w:val="24"/>
          <w:lang w:eastAsia="zh-CN"/>
        </w:rPr>
        <w:t>六、工期要求</w:t>
      </w:r>
      <w:bookmarkEnd w:id="72"/>
    </w:p>
    <w:p>
      <w:pPr>
        <w:snapToGrid w:val="0"/>
        <w:spacing w:line="360" w:lineRule="auto"/>
        <w:ind w:firstLine="510"/>
        <w:rPr>
          <w:rFonts w:hint="eastAsia" w:ascii="宋体" w:hAnsi="宋体"/>
          <w:kern w:val="0"/>
          <w:sz w:val="24"/>
        </w:rPr>
      </w:pPr>
      <w:r>
        <w:rPr>
          <w:rFonts w:hint="eastAsia" w:ascii="宋体" w:hAnsi="宋体"/>
          <w:kern w:val="0"/>
          <w:sz w:val="24"/>
        </w:rPr>
        <w:t>签订合同后60日内。</w:t>
      </w:r>
    </w:p>
    <w:p>
      <w:pPr>
        <w:pStyle w:val="4"/>
        <w:spacing w:before="120" w:beforeLines="50" w:after="120" w:afterLines="50"/>
        <w:ind w:firstLine="316" w:firstLineChars="150"/>
        <w:rPr>
          <w:rFonts w:hint="eastAsia" w:ascii="宋体" w:hAnsi="宋体" w:eastAsia="宋体"/>
          <w:bCs w:val="0"/>
          <w:sz w:val="21"/>
          <w:szCs w:val="21"/>
        </w:rPr>
      </w:pPr>
      <w:bookmarkStart w:id="73" w:name="_Toc486423876"/>
      <w:bookmarkStart w:id="74" w:name="_Toc493956026"/>
      <w:bookmarkStart w:id="75" w:name="_Toc530665721"/>
      <w:bookmarkStart w:id="76" w:name="_Toc494555842"/>
      <w:bookmarkStart w:id="77" w:name="_Toc520382213"/>
      <w:r>
        <w:rPr>
          <w:rFonts w:hint="eastAsia" w:ascii="宋体" w:hAnsi="宋体" w:eastAsia="宋体"/>
          <w:bCs w:val="0"/>
          <w:sz w:val="21"/>
          <w:szCs w:val="21"/>
          <w:lang w:eastAsia="zh-CN"/>
        </w:rPr>
        <w:t>七</w:t>
      </w:r>
      <w:r>
        <w:rPr>
          <w:rFonts w:hint="eastAsia" w:ascii="宋体" w:hAnsi="宋体" w:eastAsia="宋体"/>
          <w:bCs w:val="0"/>
          <w:sz w:val="21"/>
          <w:szCs w:val="21"/>
        </w:rPr>
        <w:t xml:space="preserve">   安装、调试、验收要求</w:t>
      </w:r>
      <w:bookmarkEnd w:id="73"/>
      <w:bookmarkEnd w:id="74"/>
      <w:bookmarkEnd w:id="75"/>
      <w:bookmarkEnd w:id="76"/>
      <w:bookmarkEnd w:id="77"/>
    </w:p>
    <w:p>
      <w:pPr>
        <w:snapToGrid w:val="0"/>
        <w:spacing w:line="360" w:lineRule="auto"/>
        <w:ind w:firstLine="510"/>
        <w:rPr>
          <w:rFonts w:hint="eastAsia" w:ascii="宋体" w:hAnsi="宋体"/>
          <w:sz w:val="24"/>
          <w:szCs w:val="20"/>
        </w:rPr>
      </w:pPr>
      <w:r>
        <w:rPr>
          <w:rFonts w:hint="eastAsia" w:ascii="宋体" w:hAnsi="宋体"/>
          <w:kern w:val="0"/>
          <w:sz w:val="24"/>
        </w:rPr>
        <w:t>1、</w:t>
      </w:r>
      <w:r>
        <w:rPr>
          <w:rFonts w:ascii="宋体" w:hAnsi="宋体"/>
          <w:kern w:val="0"/>
          <w:sz w:val="24"/>
        </w:rPr>
        <w:t xml:space="preserve"> </w:t>
      </w:r>
      <w:r>
        <w:rPr>
          <w:rFonts w:hint="eastAsia" w:ascii="宋体" w:hAnsi="宋体"/>
          <w:kern w:val="0"/>
          <w:sz w:val="24"/>
        </w:rPr>
        <w:t>安装要求</w:t>
      </w:r>
      <w:r>
        <w:rPr>
          <w:rFonts w:ascii="宋体" w:hAnsi="宋体"/>
          <w:kern w:val="0"/>
          <w:sz w:val="24"/>
        </w:rPr>
        <w:t>：</w:t>
      </w:r>
      <w:r>
        <w:rPr>
          <w:rFonts w:hint="eastAsia" w:ascii="宋体" w:hAnsi="宋体"/>
          <w:sz w:val="24"/>
          <w:szCs w:val="20"/>
        </w:rPr>
        <w:t>各系统的安装必须按照招标文件要求，按行业通用标准、厂方出厂标准安装，必须保证整个设备稳定运行。</w:t>
      </w:r>
    </w:p>
    <w:p>
      <w:pPr>
        <w:snapToGrid w:val="0"/>
        <w:spacing w:line="360" w:lineRule="auto"/>
        <w:ind w:firstLine="510"/>
        <w:rPr>
          <w:rFonts w:hint="eastAsia" w:ascii="宋体" w:hAnsi="宋体"/>
          <w:kern w:val="0"/>
          <w:sz w:val="24"/>
        </w:rPr>
      </w:pPr>
      <w:r>
        <w:rPr>
          <w:rFonts w:hint="eastAsia" w:ascii="宋体" w:hAnsi="宋体"/>
          <w:kern w:val="0"/>
          <w:sz w:val="24"/>
        </w:rPr>
        <w:t>2、</w:t>
      </w:r>
      <w:r>
        <w:rPr>
          <w:rFonts w:ascii="宋体" w:hAnsi="宋体"/>
          <w:kern w:val="0"/>
          <w:sz w:val="24"/>
        </w:rPr>
        <w:t xml:space="preserve"> </w:t>
      </w:r>
      <w:r>
        <w:rPr>
          <w:rFonts w:hint="eastAsia" w:ascii="宋体" w:hAnsi="宋体"/>
          <w:kern w:val="0"/>
          <w:sz w:val="24"/>
        </w:rPr>
        <w:t>验收</w:t>
      </w:r>
      <w:r>
        <w:rPr>
          <w:rFonts w:ascii="宋体" w:hAnsi="宋体"/>
          <w:kern w:val="0"/>
          <w:sz w:val="24"/>
        </w:rPr>
        <w:t>要求：</w:t>
      </w:r>
    </w:p>
    <w:p>
      <w:pPr>
        <w:snapToGrid w:val="0"/>
        <w:spacing w:line="360" w:lineRule="auto"/>
        <w:ind w:firstLine="510"/>
        <w:rPr>
          <w:rFonts w:hint="eastAsia" w:ascii="宋体" w:hAnsi="宋体"/>
          <w:sz w:val="24"/>
          <w:szCs w:val="20"/>
        </w:rPr>
      </w:pPr>
      <w:r>
        <w:rPr>
          <w:rFonts w:hint="eastAsia" w:ascii="宋体" w:hAnsi="宋体"/>
          <w:sz w:val="24"/>
          <w:szCs w:val="20"/>
        </w:rPr>
        <w:t>1）采购人对中标人提交的货物依据招标文件上技术规格要求和国家有关质量标准进行现场初步验收，外观、说明书符合招标文件技术要求的，给予签收，初步验收不合格的不予验收。</w:t>
      </w:r>
    </w:p>
    <w:p>
      <w:pPr>
        <w:snapToGrid w:val="0"/>
        <w:spacing w:line="360" w:lineRule="auto"/>
        <w:ind w:firstLine="510"/>
        <w:rPr>
          <w:rFonts w:hint="eastAsia" w:ascii="宋体" w:hAnsi="宋体"/>
          <w:sz w:val="24"/>
          <w:szCs w:val="20"/>
        </w:rPr>
      </w:pPr>
      <w:r>
        <w:rPr>
          <w:rFonts w:hint="eastAsia" w:ascii="宋体" w:hAnsi="宋体"/>
          <w:sz w:val="24"/>
          <w:szCs w:val="20"/>
        </w:rPr>
        <w:t>2）中标人交货前应对产品作出全面检查和对验收文件进行整理，并列出清单，作为甲方收货验收和使用的技术条件依据，检验的结果应随货物交甲方。</w:t>
      </w:r>
    </w:p>
    <w:p>
      <w:pPr>
        <w:snapToGrid w:val="0"/>
        <w:spacing w:line="360" w:lineRule="auto"/>
        <w:ind w:firstLine="510"/>
        <w:rPr>
          <w:rFonts w:hint="eastAsia" w:ascii="宋体" w:hAnsi="宋体"/>
          <w:sz w:val="24"/>
          <w:szCs w:val="20"/>
        </w:rPr>
      </w:pPr>
      <w:r>
        <w:rPr>
          <w:rFonts w:hint="eastAsia" w:ascii="宋体" w:hAnsi="宋体"/>
          <w:sz w:val="24"/>
          <w:szCs w:val="20"/>
        </w:rPr>
        <w:t>3）采购人对供中标人提供的货物在使用前进行调试时，中标人需负责安装并培训采购人的使用操作人员，并协助采购人一起调试，直到符合技术要求，采购人才做最终验收。</w:t>
      </w:r>
    </w:p>
    <w:p>
      <w:pPr>
        <w:snapToGrid w:val="0"/>
        <w:spacing w:line="360" w:lineRule="auto"/>
        <w:ind w:firstLine="510"/>
        <w:rPr>
          <w:rFonts w:hint="eastAsia" w:ascii="宋体" w:hAnsi="宋体"/>
          <w:sz w:val="24"/>
          <w:szCs w:val="20"/>
        </w:rPr>
      </w:pPr>
      <w:r>
        <w:rPr>
          <w:rFonts w:hint="eastAsia" w:ascii="宋体" w:hAnsi="宋体"/>
          <w:sz w:val="24"/>
          <w:szCs w:val="20"/>
        </w:rPr>
        <w:t>4）对技术复杂的货物，采购人可请国家认可的专业检测机构或相关领域专家参与初步验收及最终验收，并由其出具检测意见。</w:t>
      </w:r>
    </w:p>
    <w:p>
      <w:pPr>
        <w:snapToGrid w:val="0"/>
        <w:spacing w:line="360" w:lineRule="auto"/>
        <w:ind w:firstLine="510"/>
        <w:rPr>
          <w:rFonts w:hint="eastAsia" w:ascii="宋体" w:hAnsi="宋体"/>
          <w:sz w:val="24"/>
          <w:szCs w:val="20"/>
        </w:rPr>
      </w:pPr>
      <w:r>
        <w:rPr>
          <w:rFonts w:hint="eastAsia" w:ascii="宋体" w:hAnsi="宋体"/>
          <w:sz w:val="24"/>
          <w:szCs w:val="20"/>
        </w:rPr>
        <w:t>5）验收时中标人必须在现场，验收完毕后作出验收结果报告；验收费用由中标人负责。</w:t>
      </w:r>
    </w:p>
    <w:p>
      <w:pPr>
        <w:snapToGrid w:val="0"/>
        <w:spacing w:line="360" w:lineRule="auto"/>
        <w:ind w:firstLine="510"/>
        <w:rPr>
          <w:rFonts w:hint="eastAsia" w:ascii="宋体" w:hAnsi="宋体"/>
          <w:kern w:val="0"/>
          <w:sz w:val="24"/>
        </w:rPr>
      </w:pPr>
      <w:r>
        <w:rPr>
          <w:rFonts w:hint="eastAsia" w:ascii="宋体" w:hAnsi="宋体"/>
          <w:kern w:val="0"/>
          <w:sz w:val="24"/>
        </w:rPr>
        <w:t>3、 本项目安装、调试完成后，15天内组织验收。</w:t>
      </w:r>
    </w:p>
    <w:p>
      <w:pPr>
        <w:pStyle w:val="4"/>
        <w:tabs>
          <w:tab w:val="left" w:pos="3405"/>
        </w:tabs>
        <w:ind w:firstLine="241" w:firstLineChars="100"/>
        <w:rPr>
          <w:rFonts w:ascii="宋体" w:hAnsi="宋体" w:eastAsia="宋体"/>
          <w:bCs w:val="0"/>
          <w:sz w:val="24"/>
          <w:szCs w:val="24"/>
          <w:lang w:eastAsia="zh-CN"/>
        </w:rPr>
      </w:pPr>
      <w:bookmarkStart w:id="78" w:name="_Toc530665722"/>
      <w:r>
        <w:rPr>
          <w:rFonts w:hint="eastAsia" w:ascii="宋体" w:hAnsi="宋体" w:eastAsia="宋体"/>
          <w:bCs w:val="0"/>
          <w:sz w:val="24"/>
          <w:szCs w:val="24"/>
          <w:lang w:eastAsia="zh-CN"/>
        </w:rPr>
        <w:t>七</w:t>
      </w:r>
      <w:r>
        <w:rPr>
          <w:rFonts w:hint="eastAsia" w:ascii="宋体" w:hAnsi="宋体" w:eastAsia="宋体"/>
          <w:bCs w:val="0"/>
          <w:sz w:val="24"/>
          <w:szCs w:val="24"/>
        </w:rPr>
        <w:t>、</w:t>
      </w:r>
      <w:r>
        <w:rPr>
          <w:rFonts w:hint="eastAsia" w:ascii="宋体" w:hAnsi="宋体" w:eastAsia="宋体"/>
          <w:bCs w:val="0"/>
          <w:sz w:val="24"/>
          <w:szCs w:val="24"/>
          <w:lang w:eastAsia="zh-CN"/>
        </w:rPr>
        <w:t>其他要求</w:t>
      </w:r>
      <w:bookmarkEnd w:id="78"/>
    </w:p>
    <w:p>
      <w:pPr>
        <w:pStyle w:val="41"/>
        <w:snapToGrid w:val="0"/>
        <w:spacing w:line="360" w:lineRule="auto"/>
        <w:ind w:firstLine="480" w:firstLineChars="200"/>
        <w:rPr>
          <w:rFonts w:hint="eastAsia"/>
          <w:szCs w:val="21"/>
        </w:rPr>
      </w:pPr>
      <w:r>
        <w:rPr>
          <w:rFonts w:hint="eastAsia"/>
          <w:szCs w:val="21"/>
        </w:rPr>
        <w:t>本项目排名第一的中标候选人未注册成为“浙江省政府采购供应商”的，采购代理机构将暂缓发布中标通知书，由此造成的不利影响自行承担。</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pStyle w:val="2"/>
        <w:spacing w:line="560" w:lineRule="exact"/>
        <w:rPr>
          <w:rFonts w:hint="eastAsia" w:ascii="宋体" w:hAnsi="宋体" w:eastAsia="宋体"/>
        </w:rPr>
      </w:pPr>
      <w:bookmarkStart w:id="79" w:name="_Toc530665723"/>
      <w:r>
        <w:rPr>
          <w:rFonts w:hint="eastAsia" w:ascii="宋体" w:hAnsi="宋体" w:eastAsia="宋体"/>
          <w:sz w:val="32"/>
        </w:rPr>
        <w:t>第四章　政府采购合同</w:t>
      </w:r>
      <w:bookmarkEnd w:id="79"/>
    </w:p>
    <w:p>
      <w:pPr>
        <w:snapToGrid w:val="0"/>
        <w:spacing w:after="480" w:line="240" w:lineRule="atLeast"/>
        <w:jc w:val="center"/>
        <w:textAlignment w:val="baseline"/>
        <w:rPr>
          <w:rFonts w:hint="eastAsia" w:ascii="宋体" w:hAnsi="宋体"/>
          <w:sz w:val="24"/>
        </w:rPr>
      </w:pPr>
      <w:r>
        <w:rPr>
          <w:rFonts w:hint="eastAsia" w:ascii="宋体" w:hAnsi="宋体"/>
          <w:b/>
          <w:sz w:val="28"/>
        </w:rPr>
        <w:t xml:space="preserve">                       </w:t>
      </w:r>
    </w:p>
    <w:p>
      <w:pPr>
        <w:pStyle w:val="232"/>
        <w:spacing w:before="0" w:beforeAutospacing="0" w:after="0" w:afterAutospacing="0" w:line="360" w:lineRule="auto"/>
        <w:rPr>
          <w:rFonts w:hint="eastAsia"/>
        </w:rPr>
      </w:pPr>
      <w:r>
        <w:rPr>
          <w:rFonts w:hint="eastAsia"/>
        </w:rPr>
        <w:t>采购人：（以下称买方）</w:t>
      </w:r>
      <w:r>
        <w:rPr>
          <w:rFonts w:hint="eastAsia"/>
          <w:u w:val="single"/>
        </w:rPr>
        <w:t xml:space="preserve">               </w:t>
      </w:r>
    </w:p>
    <w:p>
      <w:pPr>
        <w:pStyle w:val="232"/>
        <w:spacing w:before="0" w:beforeAutospacing="0" w:after="0" w:afterAutospacing="0" w:line="360" w:lineRule="auto"/>
        <w:rPr>
          <w:rFonts w:hint="eastAsia"/>
        </w:rPr>
      </w:pPr>
      <w:r>
        <w:rPr>
          <w:rFonts w:hint="eastAsia"/>
        </w:rPr>
        <w:t>中标人：（以下称卖方）</w:t>
      </w:r>
      <w:r>
        <w:rPr>
          <w:rFonts w:hint="eastAsia"/>
          <w:u w:val="single"/>
        </w:rPr>
        <w:t xml:space="preserve">               </w:t>
      </w:r>
    </w:p>
    <w:p>
      <w:pPr>
        <w:pStyle w:val="232"/>
        <w:spacing w:before="0" w:beforeAutospacing="0" w:after="0" w:afterAutospacing="0" w:line="360" w:lineRule="auto"/>
        <w:ind w:firstLine="480" w:firstLineChars="200"/>
        <w:rPr>
          <w:rFonts w:hint="eastAsia"/>
        </w:rPr>
      </w:pPr>
      <w:r>
        <w:rPr>
          <w:rFonts w:hint="eastAsia"/>
        </w:rPr>
        <w:t>根据招标文件采购编号（</w:t>
      </w:r>
      <w:r>
        <w:rPr>
          <w:rFonts w:hint="eastAsia"/>
          <w:u w:val="single"/>
        </w:rPr>
        <w:t xml:space="preserve">               </w:t>
      </w:r>
      <w:r>
        <w:rPr>
          <w:rFonts w:hint="eastAsia"/>
        </w:rPr>
        <w:t>）在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日开标会上，经评标委员会评定 </w:t>
      </w:r>
      <w:r>
        <w:rPr>
          <w:rFonts w:hint="eastAsia"/>
          <w:u w:val="single"/>
        </w:rPr>
        <w:t xml:space="preserve">　　　　  　  </w:t>
      </w:r>
      <w:r>
        <w:rPr>
          <w:rFonts w:hint="eastAsia"/>
        </w:rPr>
        <w:t>(卖方)为中标人。买卖双方依据《中华人民共和国政府采购法》、《中华人民共和国合同法》等相关法律法规和招标文件的要求，在平等自愿的基础上，同意按照下面的条款和条件，签署本合同。</w:t>
      </w:r>
    </w:p>
    <w:p>
      <w:pPr>
        <w:pStyle w:val="232"/>
        <w:spacing w:before="0" w:beforeAutospacing="0" w:after="0" w:afterAutospacing="0" w:line="360" w:lineRule="auto"/>
        <w:ind w:firstLine="480" w:firstLineChars="200"/>
        <w:rPr>
          <w:rFonts w:hint="eastAsia"/>
        </w:rPr>
      </w:pPr>
      <w:r>
        <w:rPr>
          <w:rFonts w:hint="eastAsia"/>
        </w:rPr>
        <w:t>第一条　合同标的</w:t>
      </w:r>
    </w:p>
    <w:p>
      <w:pPr>
        <w:pStyle w:val="232"/>
        <w:spacing w:before="0" w:beforeAutospacing="0" w:after="0" w:afterAutospacing="0" w:line="360" w:lineRule="auto"/>
        <w:ind w:firstLine="480" w:firstLineChars="200"/>
        <w:rPr>
          <w:rFonts w:hint="eastAsia"/>
        </w:rPr>
      </w:pPr>
      <w:r>
        <w:rPr>
          <w:rFonts w:hint="eastAsia"/>
        </w:rPr>
        <w:t>1.1</w:t>
      </w:r>
      <w:r>
        <w:t xml:space="preserve"> </w:t>
      </w:r>
      <w:r>
        <w:rPr>
          <w:rFonts w:hint="eastAsia"/>
        </w:rPr>
        <w:t>卖方根据买方需求提供下列货物：</w:t>
      </w:r>
      <w:r>
        <w:rPr>
          <w:rFonts w:hint="eastAsia"/>
          <w:u w:val="single"/>
        </w:rPr>
        <w:t xml:space="preserve">           </w:t>
      </w:r>
    </w:p>
    <w:p>
      <w:pPr>
        <w:pStyle w:val="232"/>
        <w:spacing w:before="0" w:beforeAutospacing="0" w:after="0" w:afterAutospacing="0" w:line="360" w:lineRule="auto"/>
        <w:ind w:firstLine="480" w:firstLineChars="200"/>
        <w:rPr>
          <w:rFonts w:hint="eastAsia"/>
        </w:rPr>
      </w:pPr>
      <w:r>
        <w:rPr>
          <w:rFonts w:hint="eastAsia"/>
        </w:rPr>
        <w:t>1.2</w:t>
      </w:r>
      <w:r>
        <w:t xml:space="preserve"> </w:t>
      </w:r>
      <w:r>
        <w:rPr>
          <w:rFonts w:hint="eastAsia"/>
        </w:rPr>
        <w:t>货物名称、规格及数量详见“货物一览表”。</w:t>
      </w:r>
    </w:p>
    <w:p>
      <w:pPr>
        <w:pStyle w:val="232"/>
        <w:spacing w:before="0" w:beforeAutospacing="0" w:after="0" w:afterAutospacing="0" w:line="360" w:lineRule="auto"/>
        <w:ind w:firstLine="480" w:firstLineChars="200"/>
        <w:rPr>
          <w:rFonts w:hint="eastAsia"/>
        </w:rPr>
      </w:pPr>
      <w:r>
        <w:rPr>
          <w:rFonts w:hint="eastAsia"/>
        </w:rPr>
        <w:t>第二条　合同总价款</w:t>
      </w:r>
    </w:p>
    <w:p>
      <w:pPr>
        <w:pStyle w:val="232"/>
        <w:spacing w:before="0" w:beforeAutospacing="0" w:after="0" w:afterAutospacing="0" w:line="360" w:lineRule="auto"/>
        <w:ind w:firstLine="480" w:firstLineChars="200"/>
        <w:rPr>
          <w:rFonts w:hint="eastAsia"/>
        </w:rPr>
      </w:pPr>
      <w:r>
        <w:rPr>
          <w:rFonts w:hint="eastAsia"/>
        </w:rPr>
        <w:t>2.1</w:t>
      </w:r>
      <w:r>
        <w:t xml:space="preserve"> </w:t>
      </w:r>
      <w:r>
        <w:rPr>
          <w:rFonts w:hint="eastAsia"/>
        </w:rPr>
        <w:t>本合同项下货物总价款为人民币</w:t>
      </w:r>
      <w:r>
        <w:rPr>
          <w:rFonts w:hint="eastAsia"/>
          <w:u w:val="single"/>
        </w:rPr>
        <w:t xml:space="preserve">       （大写）（￥：）            </w:t>
      </w:r>
      <w:r>
        <w:rPr>
          <w:rFonts w:hint="eastAsia"/>
        </w:rPr>
        <w:t>，分项价款在“投标报价表”中有明确规定。</w:t>
      </w:r>
    </w:p>
    <w:p>
      <w:pPr>
        <w:pStyle w:val="232"/>
        <w:spacing w:before="0" w:beforeAutospacing="0" w:after="0" w:afterAutospacing="0" w:line="360" w:lineRule="auto"/>
        <w:ind w:firstLine="480" w:firstLineChars="200"/>
        <w:rPr>
          <w:rFonts w:hint="eastAsia"/>
        </w:rPr>
      </w:pPr>
      <w:r>
        <w:rPr>
          <w:rFonts w:hint="eastAsia"/>
        </w:rPr>
        <w:t>2.2</w:t>
      </w:r>
      <w:r>
        <w:t xml:space="preserve"> </w:t>
      </w:r>
      <w:r>
        <w:rPr>
          <w:rFonts w:hint="eastAsia"/>
        </w:rPr>
        <w:t>本合同总价款是货物设计、制造、包装、仓储、运输、安装及验收合格之前及保修期内备品备件发生的所有含税费用。</w:t>
      </w:r>
    </w:p>
    <w:p>
      <w:pPr>
        <w:pStyle w:val="232"/>
        <w:spacing w:before="0" w:beforeAutospacing="0" w:after="0" w:afterAutospacing="0" w:line="360" w:lineRule="auto"/>
        <w:ind w:firstLine="480" w:firstLineChars="200"/>
        <w:rPr>
          <w:rFonts w:hint="eastAsia"/>
        </w:rPr>
      </w:pPr>
      <w:r>
        <w:rPr>
          <w:rFonts w:hint="eastAsia"/>
        </w:rPr>
        <w:t>2.3</w:t>
      </w:r>
      <w:r>
        <w:t xml:space="preserve"> </w:t>
      </w:r>
      <w:r>
        <w:rPr>
          <w:rFonts w:hint="eastAsia"/>
        </w:rPr>
        <w:t>本合同总价款还包含卖方应当提供的伴随服务/售后服务费用。</w:t>
      </w:r>
    </w:p>
    <w:p>
      <w:pPr>
        <w:pStyle w:val="232"/>
        <w:spacing w:before="0" w:beforeAutospacing="0" w:after="0" w:afterAutospacing="0" w:line="360" w:lineRule="auto"/>
        <w:ind w:firstLine="480" w:firstLineChars="200"/>
        <w:rPr>
          <w:rFonts w:hint="eastAsia"/>
        </w:rPr>
      </w:pPr>
      <w:r>
        <w:rPr>
          <w:rFonts w:hint="eastAsia"/>
        </w:rPr>
        <w:t>2.4</w:t>
      </w:r>
      <w:r>
        <w:t xml:space="preserve"> </w:t>
      </w:r>
      <w:r>
        <w:rPr>
          <w:rFonts w:hint="eastAsia"/>
        </w:rPr>
        <w:t>本合同执行期间合同总价款不变。</w:t>
      </w:r>
    </w:p>
    <w:p>
      <w:pPr>
        <w:pStyle w:val="232"/>
        <w:spacing w:before="0" w:beforeAutospacing="0" w:after="0" w:afterAutospacing="0" w:line="360" w:lineRule="auto"/>
        <w:ind w:firstLine="480" w:firstLineChars="200"/>
        <w:rPr>
          <w:rFonts w:hint="eastAsia"/>
        </w:rPr>
      </w:pPr>
      <w:r>
        <w:rPr>
          <w:rFonts w:hint="eastAsia"/>
        </w:rPr>
        <w:t>第三条　组成本合同的有关文件</w:t>
      </w:r>
    </w:p>
    <w:p>
      <w:pPr>
        <w:pStyle w:val="232"/>
        <w:spacing w:before="0" w:beforeAutospacing="0" w:after="0" w:afterAutospacing="0" w:line="360" w:lineRule="auto"/>
        <w:ind w:firstLine="480" w:firstLineChars="200"/>
        <w:rPr>
          <w:rFonts w:hint="eastAsia"/>
        </w:rPr>
      </w:pPr>
      <w:r>
        <w:rPr>
          <w:rFonts w:hint="eastAsia"/>
        </w:rPr>
        <w:t>3.1</w:t>
      </w:r>
      <w:r>
        <w:t xml:space="preserve"> </w:t>
      </w:r>
      <w:r>
        <w:rPr>
          <w:rFonts w:hint="eastAsia"/>
        </w:rPr>
        <w:t>下列文件构成本合同的组成部分，应该认为是一个整体，彼此相互解释，相互补充。组成合同的多个文件的优先支配地位的次序如下：</w:t>
      </w:r>
    </w:p>
    <w:p>
      <w:pPr>
        <w:pStyle w:val="232"/>
        <w:spacing w:before="0" w:beforeAutospacing="0" w:after="0" w:afterAutospacing="0" w:line="360" w:lineRule="auto"/>
        <w:ind w:firstLine="480" w:firstLineChars="200"/>
        <w:rPr>
          <w:rFonts w:hint="eastAsia"/>
        </w:rPr>
      </w:pPr>
      <w:r>
        <w:rPr>
          <w:rFonts w:hint="eastAsia"/>
        </w:rPr>
        <w:t>3.1.1</w:t>
      </w:r>
      <w:r>
        <w:t xml:space="preserve"> </w:t>
      </w:r>
      <w:r>
        <w:rPr>
          <w:rFonts w:hint="eastAsia"/>
        </w:rPr>
        <w:t>本合同书　</w:t>
      </w:r>
    </w:p>
    <w:p>
      <w:pPr>
        <w:pStyle w:val="232"/>
        <w:spacing w:before="0" w:beforeAutospacing="0" w:after="0" w:afterAutospacing="0" w:line="360" w:lineRule="auto"/>
        <w:ind w:firstLine="480" w:firstLineChars="200"/>
        <w:rPr>
          <w:rFonts w:hint="eastAsia"/>
        </w:rPr>
      </w:pPr>
      <w:r>
        <w:rPr>
          <w:rFonts w:hint="eastAsia"/>
        </w:rPr>
        <w:t>3.1.2</w:t>
      </w:r>
      <w:r>
        <w:t xml:space="preserve"> </w:t>
      </w:r>
      <w:r>
        <w:rPr>
          <w:rFonts w:hint="eastAsia"/>
        </w:rPr>
        <w:t>中标通知书</w:t>
      </w:r>
      <w:r>
        <w:rPr>
          <w:rFonts w:hint="eastAsia"/>
        </w:rPr>
        <w:tab/>
      </w:r>
    </w:p>
    <w:p>
      <w:pPr>
        <w:pStyle w:val="232"/>
        <w:spacing w:before="0" w:beforeAutospacing="0" w:after="0" w:afterAutospacing="0" w:line="360" w:lineRule="auto"/>
        <w:ind w:firstLine="480" w:firstLineChars="200"/>
        <w:rPr>
          <w:rFonts w:hint="eastAsia"/>
        </w:rPr>
      </w:pPr>
      <w:r>
        <w:rPr>
          <w:rFonts w:hint="eastAsia"/>
        </w:rPr>
        <w:t>3.1.3</w:t>
      </w:r>
      <w:r>
        <w:t xml:space="preserve"> </w:t>
      </w:r>
      <w:r>
        <w:rPr>
          <w:rFonts w:hint="eastAsia"/>
        </w:rPr>
        <w:t>中标人澄清修改文件</w:t>
      </w:r>
    </w:p>
    <w:p>
      <w:pPr>
        <w:pStyle w:val="232"/>
        <w:spacing w:before="0" w:beforeAutospacing="0" w:after="0" w:afterAutospacing="0" w:line="360" w:lineRule="auto"/>
        <w:ind w:firstLine="480" w:firstLineChars="200"/>
        <w:rPr>
          <w:rFonts w:hint="eastAsia"/>
        </w:rPr>
      </w:pPr>
      <w:r>
        <w:rPr>
          <w:rFonts w:hint="eastAsia"/>
        </w:rPr>
        <w:t>3.1.4</w:t>
      </w:r>
      <w:r>
        <w:t xml:space="preserve"> </w:t>
      </w:r>
      <w:r>
        <w:rPr>
          <w:rFonts w:hint="eastAsia"/>
        </w:rPr>
        <w:t>中标人投标文件</w:t>
      </w:r>
    </w:p>
    <w:p>
      <w:pPr>
        <w:pStyle w:val="232"/>
        <w:spacing w:before="0" w:beforeAutospacing="0" w:after="0" w:afterAutospacing="0" w:line="360" w:lineRule="auto"/>
        <w:ind w:firstLine="480" w:firstLineChars="200"/>
        <w:rPr>
          <w:rFonts w:hint="eastAsia"/>
        </w:rPr>
      </w:pPr>
      <w:r>
        <w:rPr>
          <w:rFonts w:hint="eastAsia"/>
        </w:rPr>
        <w:t>3.1.5</w:t>
      </w:r>
      <w:r>
        <w:t xml:space="preserve"> </w:t>
      </w:r>
      <w:r>
        <w:rPr>
          <w:rFonts w:hint="eastAsia"/>
        </w:rPr>
        <w:t>招标文件澄清修改文件</w:t>
      </w:r>
    </w:p>
    <w:p>
      <w:pPr>
        <w:pStyle w:val="232"/>
        <w:spacing w:before="0" w:beforeAutospacing="0" w:after="0" w:afterAutospacing="0" w:line="360" w:lineRule="auto"/>
        <w:ind w:firstLine="480" w:firstLineChars="200"/>
        <w:rPr>
          <w:rFonts w:hint="eastAsia"/>
        </w:rPr>
      </w:pPr>
      <w:r>
        <w:rPr>
          <w:rFonts w:hint="eastAsia"/>
        </w:rPr>
        <w:t>3.1.6</w:t>
      </w:r>
      <w:r>
        <w:t xml:space="preserve"> </w:t>
      </w:r>
      <w:r>
        <w:rPr>
          <w:rFonts w:hint="eastAsia"/>
        </w:rPr>
        <w:t>招标文件</w:t>
      </w:r>
    </w:p>
    <w:p>
      <w:pPr>
        <w:pStyle w:val="232"/>
        <w:spacing w:before="0" w:beforeAutospacing="0" w:after="0" w:afterAutospacing="0" w:line="360" w:lineRule="auto"/>
        <w:ind w:firstLine="480" w:firstLineChars="200"/>
        <w:rPr>
          <w:rFonts w:hint="eastAsia"/>
        </w:rPr>
      </w:pPr>
      <w:r>
        <w:rPr>
          <w:rFonts w:hint="eastAsia"/>
        </w:rPr>
        <w:t>第四条　权利保证</w:t>
      </w:r>
    </w:p>
    <w:p>
      <w:pPr>
        <w:pStyle w:val="232"/>
        <w:spacing w:before="0" w:beforeAutospacing="0" w:after="0" w:afterAutospacing="0" w:line="360" w:lineRule="auto"/>
        <w:ind w:firstLine="480" w:firstLineChars="200"/>
        <w:rPr>
          <w:rFonts w:hint="eastAsia"/>
        </w:rPr>
      </w:pPr>
      <w:r>
        <w:rPr>
          <w:rFonts w:hint="eastAsia"/>
        </w:rPr>
        <w:t>卖方保证提供的货物不存在对任何第三方侵权行为（包括商标、专利、版权、知识产权等）。若发生侵权行为，由卖方负全责，应承担由此发生的一切经济和法律责任，并赔偿买方30%的合同货款的。</w:t>
      </w:r>
    </w:p>
    <w:p>
      <w:pPr>
        <w:pStyle w:val="232"/>
        <w:spacing w:before="0" w:beforeAutospacing="0" w:after="0" w:afterAutospacing="0" w:line="360" w:lineRule="auto"/>
        <w:ind w:firstLine="480" w:firstLineChars="200"/>
        <w:rPr>
          <w:rFonts w:hint="eastAsia"/>
        </w:rPr>
      </w:pPr>
      <w:r>
        <w:rPr>
          <w:rFonts w:hint="eastAsia"/>
        </w:rPr>
        <w:t>第五条　质量保证</w:t>
      </w:r>
    </w:p>
    <w:p>
      <w:pPr>
        <w:pStyle w:val="232"/>
        <w:spacing w:before="0" w:beforeAutospacing="0" w:after="0" w:afterAutospacing="0" w:line="360" w:lineRule="auto"/>
        <w:ind w:firstLine="480" w:firstLineChars="200"/>
        <w:rPr>
          <w:rFonts w:hint="eastAsia"/>
        </w:rPr>
      </w:pPr>
      <w:r>
        <w:rPr>
          <w:rFonts w:hint="eastAsia"/>
        </w:rPr>
        <w:t>5.1</w:t>
      </w:r>
      <w:r>
        <w:t xml:space="preserve"> </w:t>
      </w:r>
      <w:r>
        <w:rPr>
          <w:rFonts w:hint="eastAsia"/>
        </w:rPr>
        <w:t>卖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232"/>
        <w:spacing w:before="0" w:beforeAutospacing="0" w:after="0" w:afterAutospacing="0" w:line="360" w:lineRule="auto"/>
        <w:ind w:firstLine="480" w:firstLineChars="200"/>
        <w:rPr>
          <w:rFonts w:hint="eastAsia"/>
        </w:rPr>
      </w:pPr>
      <w:r>
        <w:rPr>
          <w:rFonts w:hint="eastAsia"/>
        </w:rPr>
        <w:t>5.2</w:t>
      </w:r>
      <w:r>
        <w:t xml:space="preserve"> </w:t>
      </w:r>
      <w:r>
        <w:rPr>
          <w:rFonts w:hint="eastAsia"/>
        </w:rPr>
        <w:t>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232"/>
        <w:spacing w:before="0" w:beforeAutospacing="0" w:after="0" w:afterAutospacing="0" w:line="360" w:lineRule="auto"/>
        <w:ind w:firstLine="480" w:firstLineChars="200"/>
        <w:rPr>
          <w:rFonts w:hint="eastAsia"/>
        </w:rPr>
      </w:pPr>
      <w:r>
        <w:rPr>
          <w:rFonts w:hint="eastAsia"/>
        </w:rPr>
        <w:t>5.3</w:t>
      </w:r>
      <w:r>
        <w:t xml:space="preserve"> </w:t>
      </w:r>
      <w:r>
        <w:rPr>
          <w:rFonts w:hint="eastAsia"/>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u w:val="single"/>
        </w:rPr>
        <w:t xml:space="preserve">       </w:t>
      </w:r>
      <w:r>
        <w:rPr>
          <w:rFonts w:hint="eastAsia"/>
        </w:rPr>
        <w:t>天内应免费维修或更换有缺陷的货物或部件。</w:t>
      </w:r>
    </w:p>
    <w:p>
      <w:pPr>
        <w:pStyle w:val="232"/>
        <w:spacing w:before="0" w:beforeAutospacing="0" w:after="0" w:afterAutospacing="0" w:line="360" w:lineRule="auto"/>
        <w:ind w:firstLine="480" w:firstLineChars="200"/>
        <w:rPr>
          <w:rFonts w:hint="eastAsia"/>
        </w:rPr>
      </w:pPr>
      <w:r>
        <w:rPr>
          <w:rFonts w:hint="eastAsia"/>
        </w:rPr>
        <w:t>5.4</w:t>
      </w:r>
      <w:r>
        <w:t xml:space="preserve"> </w:t>
      </w:r>
      <w:r>
        <w:rPr>
          <w:rFonts w:hint="eastAsia"/>
        </w:rPr>
        <w:t>如果卖方在收到通知后</w:t>
      </w:r>
      <w:r>
        <w:rPr>
          <w:rFonts w:hint="eastAsia"/>
          <w:u w:val="single"/>
        </w:rPr>
        <w:t xml:space="preserve">       </w:t>
      </w:r>
      <w:r>
        <w:rPr>
          <w:rFonts w:hint="eastAsia"/>
        </w:rPr>
        <w:t>天内没有弥补缺陷，买方可采取必要的补救措施，但由此引发的风险和费用将由卖方承担。</w:t>
      </w:r>
    </w:p>
    <w:p>
      <w:pPr>
        <w:pStyle w:val="232"/>
        <w:spacing w:before="0" w:beforeAutospacing="0" w:after="0" w:afterAutospacing="0" w:line="360" w:lineRule="auto"/>
        <w:ind w:firstLine="480" w:firstLineChars="200"/>
        <w:rPr>
          <w:rFonts w:hint="eastAsia"/>
        </w:rPr>
      </w:pPr>
      <w:r>
        <w:rPr>
          <w:rFonts w:hint="eastAsia"/>
        </w:rPr>
        <w:t>第六条  技术资料</w:t>
      </w:r>
    </w:p>
    <w:p>
      <w:pPr>
        <w:pStyle w:val="232"/>
        <w:spacing w:before="0" w:beforeAutospacing="0" w:after="0" w:afterAutospacing="0" w:line="360" w:lineRule="auto"/>
        <w:ind w:firstLine="480" w:firstLineChars="200"/>
        <w:rPr>
          <w:rFonts w:hint="eastAsia"/>
        </w:rPr>
      </w:pPr>
      <w:r>
        <w:rPr>
          <w:rFonts w:hint="eastAsia"/>
        </w:rPr>
        <w:t>6.1</w:t>
      </w:r>
      <w:r>
        <w:t xml:space="preserve"> </w:t>
      </w:r>
      <w:r>
        <w:rPr>
          <w:rFonts w:hint="eastAsia"/>
        </w:rPr>
        <w:t>卖方应将每台设备和仪器的中文技术资料完整一套，如目录索引、图纸、操作手册、使用指南、维修指南和／或服务手册和示意图等随同每批货物一起发运。</w:t>
      </w:r>
    </w:p>
    <w:p>
      <w:pPr>
        <w:pStyle w:val="232"/>
        <w:spacing w:before="0" w:beforeAutospacing="0" w:after="0" w:afterAutospacing="0" w:line="360" w:lineRule="auto"/>
        <w:ind w:firstLine="480" w:firstLineChars="200"/>
        <w:rPr>
          <w:rFonts w:hint="eastAsia"/>
        </w:rPr>
      </w:pPr>
      <w:r>
        <w:rPr>
          <w:rFonts w:hint="eastAsia"/>
        </w:rPr>
        <w:t>6.2</w:t>
      </w:r>
      <w:r>
        <w:t xml:space="preserve"> </w:t>
      </w:r>
      <w:r>
        <w:rPr>
          <w:rFonts w:hint="eastAsia"/>
        </w:rPr>
        <w:t>如果买方确认卖方提供的技术资料不完整或在运输过程中丢失，卖方将在收到买方通知后</w:t>
      </w:r>
      <w:r>
        <w:rPr>
          <w:rFonts w:hint="eastAsia"/>
          <w:u w:val="single"/>
        </w:rPr>
        <w:t xml:space="preserve">    </w:t>
      </w:r>
      <w:r>
        <w:rPr>
          <w:rFonts w:hint="eastAsia"/>
        </w:rPr>
        <w:t>天内将这些资料免费寄给买方。</w:t>
      </w:r>
    </w:p>
    <w:p>
      <w:pPr>
        <w:pStyle w:val="232"/>
        <w:spacing w:before="0" w:beforeAutospacing="0" w:after="0" w:afterAutospacing="0" w:line="360" w:lineRule="auto"/>
        <w:ind w:firstLine="480" w:firstLineChars="200"/>
        <w:rPr>
          <w:rFonts w:hint="eastAsia"/>
        </w:rPr>
      </w:pPr>
      <w:r>
        <w:rPr>
          <w:rFonts w:hint="eastAsia"/>
        </w:rPr>
        <w:t>第七条　包装要求</w:t>
      </w:r>
    </w:p>
    <w:p>
      <w:pPr>
        <w:pStyle w:val="232"/>
        <w:spacing w:before="0" w:beforeAutospacing="0" w:after="0" w:afterAutospacing="0" w:line="360" w:lineRule="auto"/>
        <w:ind w:firstLine="480" w:firstLineChars="200"/>
        <w:rPr>
          <w:rFonts w:hint="eastAsia"/>
        </w:rPr>
      </w:pPr>
      <w:r>
        <w:rPr>
          <w:rFonts w:hint="eastAsia"/>
        </w:rPr>
        <w:t>7.1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232"/>
        <w:spacing w:before="0" w:beforeAutospacing="0" w:after="0" w:afterAutospacing="0" w:line="360" w:lineRule="auto"/>
        <w:ind w:firstLine="480" w:firstLineChars="200"/>
        <w:rPr>
          <w:rFonts w:hint="eastAsia"/>
        </w:rPr>
      </w:pPr>
      <w:r>
        <w:rPr>
          <w:rFonts w:hint="eastAsia"/>
        </w:rPr>
        <w:t>7.2每一包装单元内应附详细的装箱单和质量合格凭证。</w:t>
      </w:r>
    </w:p>
    <w:p>
      <w:pPr>
        <w:pStyle w:val="232"/>
        <w:spacing w:before="0" w:beforeAutospacing="0" w:after="0" w:afterAutospacing="0" w:line="360" w:lineRule="auto"/>
        <w:ind w:firstLine="480" w:firstLineChars="200"/>
        <w:rPr>
          <w:rFonts w:hint="eastAsia"/>
        </w:rPr>
      </w:pPr>
      <w:r>
        <w:rPr>
          <w:rFonts w:hint="eastAsia"/>
        </w:rPr>
        <w:t>第八条　交货时间、方式、地点</w:t>
      </w:r>
    </w:p>
    <w:p>
      <w:pPr>
        <w:pStyle w:val="232"/>
        <w:spacing w:before="0" w:beforeAutospacing="0" w:after="0" w:afterAutospacing="0" w:line="360" w:lineRule="auto"/>
        <w:ind w:firstLine="480" w:firstLineChars="200"/>
        <w:rPr>
          <w:rFonts w:hint="eastAsia"/>
        </w:rPr>
      </w:pPr>
      <w:r>
        <w:rPr>
          <w:rFonts w:hint="eastAsia"/>
        </w:rPr>
        <w:t>8.1</w:t>
      </w:r>
      <w:r>
        <w:t xml:space="preserve"> </w:t>
      </w:r>
      <w:r>
        <w:rPr>
          <w:rFonts w:hint="eastAsia"/>
        </w:rPr>
        <w:t>卖方应按照本合同或招标文件规定的时间和方式向买方交付货物，交货地点为</w:t>
      </w:r>
      <w:r>
        <w:rPr>
          <w:rFonts w:hint="eastAsia"/>
          <w:u w:val="single"/>
        </w:rPr>
        <w:t xml:space="preserve">                   </w:t>
      </w:r>
      <w:r>
        <w:rPr>
          <w:rFonts w:hint="eastAsia"/>
        </w:rPr>
        <w:t>；</w:t>
      </w:r>
    </w:p>
    <w:p>
      <w:pPr>
        <w:pStyle w:val="232"/>
        <w:spacing w:before="0" w:beforeAutospacing="0" w:after="0" w:afterAutospacing="0" w:line="360" w:lineRule="auto"/>
        <w:ind w:firstLine="480" w:firstLineChars="200"/>
        <w:rPr>
          <w:rFonts w:hint="eastAsia"/>
        </w:rPr>
      </w:pPr>
      <w:r>
        <w:rPr>
          <w:rFonts w:hint="eastAsia"/>
        </w:rPr>
        <w:t>8.2</w:t>
      </w:r>
      <w:r>
        <w:t xml:space="preserve"> </w:t>
      </w:r>
      <w:r>
        <w:rPr>
          <w:rFonts w:hint="eastAsia"/>
        </w:rPr>
        <w:t>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232"/>
        <w:spacing w:before="0" w:beforeAutospacing="0" w:after="0" w:afterAutospacing="0" w:line="360" w:lineRule="auto"/>
        <w:ind w:firstLine="480" w:firstLineChars="200"/>
        <w:rPr>
          <w:rFonts w:hint="eastAsia"/>
        </w:rPr>
      </w:pPr>
      <w:r>
        <w:rPr>
          <w:rFonts w:hint="eastAsia"/>
        </w:rPr>
        <w:t>第九条  检验和验收</w:t>
      </w:r>
    </w:p>
    <w:p>
      <w:pPr>
        <w:pStyle w:val="232"/>
        <w:spacing w:before="0" w:beforeAutospacing="0" w:after="0" w:afterAutospacing="0" w:line="360" w:lineRule="auto"/>
        <w:ind w:firstLine="480" w:firstLineChars="200"/>
        <w:rPr>
          <w:rFonts w:hint="eastAsia"/>
        </w:rPr>
      </w:pPr>
      <w:r>
        <w:rPr>
          <w:rFonts w:hint="eastAsia"/>
        </w:rPr>
        <w:t>9.1</w:t>
      </w:r>
      <w:r>
        <w:t xml:space="preserve"> </w:t>
      </w:r>
      <w:r>
        <w:rPr>
          <w:rFonts w:hint="eastAsia"/>
        </w:rPr>
        <w:t>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232"/>
        <w:spacing w:before="0" w:beforeAutospacing="0" w:after="0" w:afterAutospacing="0" w:line="360" w:lineRule="auto"/>
        <w:ind w:firstLine="480" w:firstLineChars="200"/>
        <w:rPr>
          <w:rFonts w:hint="eastAsia"/>
        </w:rPr>
      </w:pPr>
      <w:r>
        <w:rPr>
          <w:rFonts w:hint="eastAsia"/>
        </w:rPr>
        <w:t>9.2</w:t>
      </w:r>
      <w:r>
        <w:t xml:space="preserve"> </w:t>
      </w:r>
      <w:r>
        <w:rPr>
          <w:rFonts w:hint="eastAsia"/>
        </w:rPr>
        <w:t>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232"/>
        <w:spacing w:before="0" w:beforeAutospacing="0" w:after="0" w:afterAutospacing="0" w:line="360" w:lineRule="auto"/>
        <w:ind w:firstLine="480" w:firstLineChars="200"/>
        <w:rPr>
          <w:rFonts w:hint="eastAsia"/>
        </w:rPr>
      </w:pPr>
      <w:r>
        <w:rPr>
          <w:rFonts w:hint="eastAsia"/>
        </w:rPr>
        <w:t>大型或者复杂的项目，买方应当邀请国家认可的质量检测机构参加验收。</w:t>
      </w:r>
    </w:p>
    <w:p>
      <w:pPr>
        <w:pStyle w:val="232"/>
        <w:spacing w:before="0" w:beforeAutospacing="0" w:after="0" w:afterAutospacing="0" w:line="360" w:lineRule="auto"/>
        <w:ind w:firstLine="480" w:firstLineChars="200"/>
        <w:rPr>
          <w:rFonts w:hint="eastAsia"/>
        </w:rPr>
      </w:pPr>
      <w:r>
        <w:rPr>
          <w:rFonts w:hint="eastAsia"/>
        </w:rPr>
        <w:t>9.3买方应当在到货后的</w:t>
      </w:r>
      <w:r>
        <w:rPr>
          <w:rFonts w:hint="eastAsia"/>
          <w:u w:val="single"/>
        </w:rPr>
        <w:t xml:space="preserve">   </w:t>
      </w:r>
      <w:r>
        <w:rPr>
          <w:rFonts w:hint="eastAsia"/>
        </w:rPr>
        <w:t>个工作日内对货物进行验收；需要卖方对货物或系统进行安装调试的，买方应在货物安装调试完毕后的</w:t>
      </w:r>
      <w:r>
        <w:rPr>
          <w:rFonts w:hint="eastAsia"/>
          <w:u w:val="single"/>
        </w:rPr>
        <w:t xml:space="preserve">    </w:t>
      </w:r>
      <w:r>
        <w:rPr>
          <w:rFonts w:hint="eastAsia"/>
        </w:rPr>
        <w:t>个工作日内进行质量验收。验收合格的，由买方签署验收单并加盖单位公章。招标文件对检验期限另有规定的，从其规定。</w:t>
      </w:r>
    </w:p>
    <w:p>
      <w:pPr>
        <w:pStyle w:val="232"/>
        <w:spacing w:before="0" w:beforeAutospacing="0" w:after="0" w:afterAutospacing="0" w:line="360" w:lineRule="auto"/>
        <w:ind w:firstLine="480" w:firstLineChars="200"/>
        <w:rPr>
          <w:rFonts w:hint="eastAsia"/>
        </w:rPr>
      </w:pPr>
      <w:r>
        <w:rPr>
          <w:rFonts w:hint="eastAsia"/>
        </w:rPr>
        <w:t>9.4货物和系统调试验收的标准：按行业通行标准、厂方出厂标准和卖方投标文件的承诺（详见合同附件载明的标准，并不低于国家相关标准）。</w:t>
      </w:r>
    </w:p>
    <w:p>
      <w:pPr>
        <w:pStyle w:val="232"/>
        <w:spacing w:before="0" w:beforeAutospacing="0" w:after="0" w:afterAutospacing="0" w:line="360" w:lineRule="auto"/>
        <w:ind w:firstLine="480" w:firstLineChars="200"/>
        <w:rPr>
          <w:rFonts w:hint="eastAsia"/>
        </w:rPr>
      </w:pPr>
      <w:r>
        <w:rPr>
          <w:rFonts w:hint="eastAsia"/>
        </w:rPr>
        <w:t>9.5买方有在货物制造过程中派员监造的权利， 卖方有义务为买方监造人员行使该权利提供方便。</w:t>
      </w:r>
    </w:p>
    <w:p>
      <w:pPr>
        <w:pStyle w:val="232"/>
        <w:spacing w:before="0" w:beforeAutospacing="0" w:after="0" w:afterAutospacing="0" w:line="360" w:lineRule="auto"/>
        <w:ind w:firstLine="480" w:firstLineChars="200"/>
        <w:rPr>
          <w:rFonts w:hint="eastAsia"/>
        </w:rPr>
      </w:pPr>
      <w:r>
        <w:rPr>
          <w:rFonts w:hint="eastAsia"/>
        </w:rPr>
        <w:t>9.6制造厂对所供货物进行机械运转试验和性能试验时，卖方必须提前通知买方。</w:t>
      </w:r>
    </w:p>
    <w:p>
      <w:pPr>
        <w:pStyle w:val="232"/>
        <w:spacing w:before="0" w:beforeAutospacing="0" w:after="0" w:afterAutospacing="0" w:line="360" w:lineRule="auto"/>
        <w:ind w:firstLine="480" w:firstLineChars="200"/>
        <w:rPr>
          <w:rFonts w:hint="eastAsia"/>
        </w:rPr>
      </w:pPr>
      <w:r>
        <w:rPr>
          <w:rFonts w:hint="eastAsia"/>
        </w:rPr>
        <w:t>第十条　伴随服务／售后服务</w:t>
      </w:r>
    </w:p>
    <w:p>
      <w:pPr>
        <w:pStyle w:val="232"/>
        <w:spacing w:before="0" w:beforeAutospacing="0" w:after="0" w:afterAutospacing="0" w:line="360" w:lineRule="auto"/>
        <w:ind w:firstLine="480" w:firstLineChars="200"/>
        <w:rPr>
          <w:rFonts w:hint="eastAsia"/>
        </w:rPr>
      </w:pPr>
      <w:r>
        <w:rPr>
          <w:rFonts w:hint="eastAsia"/>
        </w:rPr>
        <w:t>10.1卖方应按照国家有关法律法规规章和“三包”规定以及合同所附的“服务承诺”提供服务。</w:t>
      </w:r>
    </w:p>
    <w:p>
      <w:pPr>
        <w:pStyle w:val="232"/>
        <w:spacing w:before="0" w:beforeAutospacing="0" w:after="0" w:afterAutospacing="0" w:line="360" w:lineRule="auto"/>
        <w:ind w:firstLine="480" w:firstLineChars="200"/>
        <w:rPr>
          <w:rFonts w:hint="eastAsia"/>
        </w:rPr>
      </w:pPr>
      <w:r>
        <w:rPr>
          <w:rFonts w:hint="eastAsia"/>
        </w:rPr>
        <w:t>10.2除前款规定外，卖方还应提供下列服务：</w:t>
      </w:r>
    </w:p>
    <w:p>
      <w:pPr>
        <w:pStyle w:val="232"/>
        <w:spacing w:before="0" w:beforeAutospacing="0" w:after="0" w:afterAutospacing="0" w:line="360" w:lineRule="auto"/>
        <w:ind w:firstLine="480" w:firstLineChars="200"/>
        <w:rPr>
          <w:rFonts w:hint="eastAsia"/>
        </w:rPr>
      </w:pPr>
      <w:r>
        <w:rPr>
          <w:rFonts w:hint="eastAsia"/>
        </w:rPr>
        <w:t>10.2.1货物的现场安装、调试和/或启动监督；</w:t>
      </w:r>
    </w:p>
    <w:p>
      <w:pPr>
        <w:pStyle w:val="232"/>
        <w:spacing w:before="0" w:beforeAutospacing="0" w:after="0" w:afterAutospacing="0" w:line="360" w:lineRule="auto"/>
        <w:ind w:firstLine="480" w:firstLineChars="200"/>
        <w:rPr>
          <w:rFonts w:hint="eastAsia"/>
        </w:rPr>
      </w:pPr>
      <w:r>
        <w:rPr>
          <w:rFonts w:hint="eastAsia"/>
        </w:rPr>
        <w:t>10.2.2就货物的安装、启动、运行及维护等对买方人员进行免费培训。</w:t>
      </w:r>
    </w:p>
    <w:p>
      <w:pPr>
        <w:pStyle w:val="232"/>
        <w:spacing w:before="0" w:beforeAutospacing="0" w:after="0" w:afterAutospacing="0" w:line="360" w:lineRule="auto"/>
        <w:ind w:firstLine="480" w:firstLineChars="200"/>
        <w:rPr>
          <w:rFonts w:hint="eastAsia"/>
        </w:rPr>
      </w:pPr>
      <w:r>
        <w:rPr>
          <w:rFonts w:hint="eastAsia"/>
        </w:rPr>
        <w:t>10.2.3若招标文件中不包含有关伴随服务或售后服务的承诺，双方作如下约定：</w:t>
      </w:r>
    </w:p>
    <w:p>
      <w:pPr>
        <w:pStyle w:val="232"/>
        <w:spacing w:before="0" w:beforeAutospacing="0" w:after="0" w:afterAutospacing="0" w:line="360" w:lineRule="auto"/>
        <w:ind w:firstLine="480" w:firstLineChars="200"/>
        <w:rPr>
          <w:rFonts w:hint="eastAsia"/>
          <w:u w:val="single"/>
        </w:rPr>
      </w:pPr>
      <w:r>
        <w:rPr>
          <w:rFonts w:hint="eastAsia"/>
          <w:u w:val="single"/>
        </w:rPr>
        <w:t xml:space="preserve">                      </w:t>
      </w:r>
    </w:p>
    <w:p>
      <w:pPr>
        <w:pStyle w:val="232"/>
        <w:spacing w:before="0" w:beforeAutospacing="0" w:after="0" w:afterAutospacing="0" w:line="360" w:lineRule="auto"/>
        <w:ind w:firstLine="480" w:firstLineChars="200"/>
        <w:rPr>
          <w:rFonts w:hint="eastAsia"/>
        </w:rPr>
      </w:pPr>
      <w:r>
        <w:rPr>
          <w:rFonts w:hint="eastAsia"/>
        </w:rPr>
        <w:t>10.3卖方应为买方提供免费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232"/>
        <w:spacing w:before="0" w:beforeAutospacing="0" w:after="0" w:afterAutospacing="0" w:line="360" w:lineRule="auto"/>
        <w:rPr>
          <w:rFonts w:hint="eastAsia"/>
        </w:rPr>
      </w:pPr>
      <w:r>
        <w:rPr>
          <w:rFonts w:hint="eastAsia"/>
        </w:rPr>
        <w:t xml:space="preserve">10.4 </w:t>
      </w:r>
    </w:p>
    <w:p>
      <w:pPr>
        <w:pStyle w:val="232"/>
        <w:spacing w:before="0" w:beforeAutospacing="0" w:after="0" w:afterAutospacing="0" w:line="360" w:lineRule="auto"/>
        <w:rPr>
          <w:rFonts w:hint="eastAsia"/>
        </w:rPr>
      </w:pPr>
      <w:r>
        <w:rPr>
          <w:rFonts w:hint="eastAsia"/>
        </w:rPr>
        <w:t xml:space="preserve">   改为：本合同内所有货物和系统由卖方提供至少5年的整机保修和系统维护。</w:t>
      </w:r>
    </w:p>
    <w:p>
      <w:pPr>
        <w:pStyle w:val="232"/>
        <w:spacing w:before="0" w:beforeAutospacing="0" w:after="0" w:afterAutospacing="0" w:line="360" w:lineRule="auto"/>
        <w:ind w:firstLine="480" w:firstLineChars="200"/>
        <w:rPr>
          <w:rFonts w:hint="eastAsia"/>
        </w:rPr>
      </w:pPr>
      <w:r>
        <w:rPr>
          <w:rFonts w:hint="eastAsia"/>
        </w:rPr>
        <w:t>10.5保修期内，卖方负责对其提供的货物整机进行维修和系统维护，不再收取任何费用，但不可抗力（如火灾、雷击等）造成的故障除外。</w:t>
      </w:r>
    </w:p>
    <w:p>
      <w:pPr>
        <w:pStyle w:val="232"/>
        <w:spacing w:before="0" w:beforeAutospacing="0" w:after="0" w:afterAutospacing="0" w:line="360" w:lineRule="auto"/>
        <w:ind w:firstLine="480" w:firstLineChars="200"/>
        <w:rPr>
          <w:rFonts w:hint="eastAsia"/>
          <w:u w:val="single"/>
        </w:rPr>
      </w:pPr>
      <w:r>
        <w:rPr>
          <w:rFonts w:hint="eastAsia"/>
        </w:rPr>
        <w:t>10.6货物故障报修的响应时间为：工作期间（星期一至星期五8：00-18：00）为</w:t>
      </w:r>
    </w:p>
    <w:p>
      <w:pPr>
        <w:pStyle w:val="232"/>
        <w:spacing w:before="0" w:beforeAutospacing="0" w:after="0" w:afterAutospacing="0" w:line="360" w:lineRule="auto"/>
        <w:rPr>
          <w:rFonts w:hint="eastAsia"/>
        </w:rPr>
      </w:pPr>
      <w:r>
        <w:rPr>
          <w:rFonts w:hint="eastAsia"/>
          <w:u w:val="single"/>
        </w:rPr>
        <w:t xml:space="preserve">      </w:t>
      </w:r>
      <w:r>
        <w:rPr>
          <w:rFonts w:hint="eastAsia"/>
        </w:rPr>
        <w:t>时；非工作期间为</w:t>
      </w:r>
      <w:r>
        <w:rPr>
          <w:rFonts w:hint="eastAsia"/>
          <w:u w:val="single"/>
        </w:rPr>
        <w:t xml:space="preserve">       </w:t>
      </w:r>
      <w:r>
        <w:rPr>
          <w:rFonts w:hint="eastAsia"/>
        </w:rPr>
        <w:t>小时。</w:t>
      </w:r>
    </w:p>
    <w:p>
      <w:pPr>
        <w:pStyle w:val="232"/>
        <w:spacing w:before="0" w:beforeAutospacing="0" w:after="0" w:afterAutospacing="0" w:line="360" w:lineRule="auto"/>
        <w:ind w:firstLine="480" w:firstLineChars="200"/>
        <w:rPr>
          <w:rFonts w:hint="eastAsia"/>
        </w:rPr>
      </w:pPr>
      <w:r>
        <w:rPr>
          <w:rFonts w:hint="eastAsia"/>
        </w:rPr>
        <w:t>10.7货物故障报修的到达指定地点时间为：工作期间（星期一至星期五8：00-18：00）为</w:t>
      </w:r>
      <w:r>
        <w:rPr>
          <w:rFonts w:hint="eastAsia"/>
          <w:u w:val="single"/>
        </w:rPr>
        <w:t xml:space="preserve">   </w:t>
      </w:r>
      <w:r>
        <w:rPr>
          <w:rFonts w:hint="eastAsia"/>
        </w:rPr>
        <w:t>时；非工作期间为</w:t>
      </w:r>
      <w:r>
        <w:rPr>
          <w:rFonts w:hint="eastAsia"/>
          <w:u w:val="single"/>
        </w:rPr>
        <w:t xml:space="preserve">   </w:t>
      </w:r>
      <w:r>
        <w:rPr>
          <w:rFonts w:hint="eastAsia"/>
        </w:rPr>
        <w:t>小时。</w:t>
      </w:r>
    </w:p>
    <w:p>
      <w:pPr>
        <w:pStyle w:val="232"/>
        <w:spacing w:before="0" w:beforeAutospacing="0" w:after="0" w:afterAutospacing="0" w:line="360" w:lineRule="auto"/>
        <w:ind w:firstLine="480" w:firstLineChars="200"/>
        <w:rPr>
          <w:rFonts w:hint="eastAsia"/>
        </w:rPr>
      </w:pPr>
      <w:r>
        <w:rPr>
          <w:rFonts w:hint="eastAsia"/>
        </w:rPr>
        <w:t>10.8下列货物（分别列出：</w:t>
      </w:r>
      <w:r>
        <w:rPr>
          <w:rFonts w:hint="eastAsia"/>
          <w:u w:val="single"/>
        </w:rPr>
        <w:t xml:space="preserve">               </w:t>
      </w:r>
      <w:r>
        <w:rPr>
          <w:rFonts w:hint="eastAsia"/>
        </w:rPr>
        <w:t>）若故障在检修8工作小时后仍无法排除，卖方应在48小时内免费提供不低于故障货物规格型号档次的备用货物供买方使用，直至故障货物修复。</w:t>
      </w:r>
    </w:p>
    <w:p>
      <w:pPr>
        <w:pStyle w:val="232"/>
        <w:spacing w:before="0" w:beforeAutospacing="0" w:after="0" w:afterAutospacing="0" w:line="360" w:lineRule="auto"/>
        <w:ind w:firstLine="480" w:firstLineChars="200"/>
        <w:rPr>
          <w:rFonts w:hint="eastAsia"/>
        </w:rPr>
      </w:pPr>
      <w:r>
        <w:rPr>
          <w:rFonts w:hint="eastAsia"/>
        </w:rPr>
        <w:t>10.9所有货物保修服务方式均为卖方上门保修，即由卖方派员到货物使用现场维修，由此产生的一切费用均由卖方承担。</w:t>
      </w:r>
    </w:p>
    <w:p>
      <w:pPr>
        <w:pStyle w:val="232"/>
        <w:spacing w:before="0" w:beforeAutospacing="0" w:after="0" w:afterAutospacing="0" w:line="360" w:lineRule="auto"/>
        <w:ind w:firstLine="480" w:firstLineChars="200"/>
        <w:rPr>
          <w:rFonts w:hint="eastAsia"/>
        </w:rPr>
      </w:pPr>
      <w:r>
        <w:rPr>
          <w:rFonts w:hint="eastAsia"/>
        </w:rPr>
        <w:t>10.10保修期后的货物维护由双方协商再定。</w:t>
      </w:r>
    </w:p>
    <w:p>
      <w:pPr>
        <w:pStyle w:val="232"/>
        <w:spacing w:before="0" w:beforeAutospacing="0" w:after="0" w:afterAutospacing="0" w:line="360" w:lineRule="auto"/>
        <w:ind w:firstLine="480" w:firstLineChars="200"/>
        <w:rPr>
          <w:rFonts w:hint="eastAsia"/>
        </w:rPr>
      </w:pPr>
      <w:r>
        <w:rPr>
          <w:rFonts w:hint="eastAsia"/>
        </w:rPr>
        <w:t>10.11本项目售后服务的特殊条款：</w:t>
      </w:r>
    </w:p>
    <w:p>
      <w:pPr>
        <w:pStyle w:val="232"/>
        <w:spacing w:before="0" w:beforeAutospacing="0" w:after="0" w:afterAutospacing="0" w:line="360" w:lineRule="auto"/>
        <w:ind w:firstLine="480" w:firstLineChars="200"/>
        <w:rPr>
          <w:rFonts w:hint="eastAsia"/>
        </w:rPr>
      </w:pPr>
      <w:r>
        <w:rPr>
          <w:rFonts w:hint="eastAsia"/>
        </w:rPr>
        <w:t>10.12本项目培训服务的特殊条款：</w:t>
      </w:r>
    </w:p>
    <w:p>
      <w:pPr>
        <w:pStyle w:val="232"/>
        <w:spacing w:before="0" w:beforeAutospacing="0" w:after="0" w:afterAutospacing="0" w:line="360" w:lineRule="auto"/>
        <w:ind w:firstLine="480" w:firstLineChars="200"/>
        <w:rPr>
          <w:rFonts w:hint="eastAsia"/>
        </w:rPr>
      </w:pPr>
      <w:r>
        <w:rPr>
          <w:rFonts w:hint="eastAsia"/>
        </w:rPr>
        <w:t>第十一条　履约保证金</w:t>
      </w:r>
    </w:p>
    <w:p>
      <w:pPr>
        <w:pStyle w:val="232"/>
        <w:spacing w:before="0" w:beforeAutospacing="0" w:after="0" w:afterAutospacing="0" w:line="360" w:lineRule="auto"/>
        <w:ind w:firstLine="480" w:firstLineChars="200"/>
        <w:rPr>
          <w:rFonts w:hint="eastAsia"/>
        </w:rPr>
      </w:pPr>
      <w:r>
        <w:rPr>
          <w:rFonts w:hint="eastAsia"/>
        </w:rPr>
        <w:t>11.1卖方应按招标文件的时间内，按要求缴纳履约保证金。</w:t>
      </w:r>
    </w:p>
    <w:p>
      <w:pPr>
        <w:pStyle w:val="232"/>
        <w:spacing w:before="0" w:beforeAutospacing="0" w:after="0" w:afterAutospacing="0" w:line="360" w:lineRule="auto"/>
        <w:ind w:firstLine="480" w:firstLineChars="200"/>
        <w:rPr>
          <w:rFonts w:hint="eastAsia"/>
        </w:rPr>
      </w:pPr>
      <w:r>
        <w:rPr>
          <w:rFonts w:hint="eastAsia"/>
        </w:rPr>
        <w:t>11.2履约保证金用于补偿买方因卖方不能履行其合同义务而蒙受的损失。</w:t>
      </w:r>
    </w:p>
    <w:p>
      <w:pPr>
        <w:pStyle w:val="232"/>
        <w:spacing w:before="0" w:beforeAutospacing="0" w:after="0" w:afterAutospacing="0" w:line="360" w:lineRule="auto"/>
        <w:ind w:firstLine="480" w:firstLineChars="200"/>
        <w:rPr>
          <w:rFonts w:hint="eastAsia"/>
        </w:rPr>
      </w:pPr>
      <w:r>
        <w:rPr>
          <w:rFonts w:hint="eastAsia"/>
        </w:rPr>
        <w:t>11.3履约保证金应使用本合同货币，按招标文件的规定提交。</w:t>
      </w:r>
    </w:p>
    <w:p>
      <w:pPr>
        <w:pStyle w:val="232"/>
        <w:spacing w:before="0" w:beforeAutospacing="0" w:after="0" w:afterAutospacing="0" w:line="360" w:lineRule="auto"/>
        <w:ind w:firstLine="480" w:firstLineChars="200"/>
        <w:rPr>
          <w:rFonts w:hint="eastAsia"/>
        </w:rPr>
      </w:pPr>
      <w:r>
        <w:rPr>
          <w:rFonts w:hint="eastAsia"/>
        </w:rPr>
        <w:t>11.4如果卖方未能按合同规定履行其义务，买方有权从履约保证金中取得补偿。</w:t>
      </w:r>
    </w:p>
    <w:p>
      <w:pPr>
        <w:pStyle w:val="232"/>
        <w:spacing w:before="0" w:beforeAutospacing="0" w:after="0" w:afterAutospacing="0" w:line="360" w:lineRule="auto"/>
        <w:ind w:firstLine="480" w:firstLineChars="200"/>
        <w:rPr>
          <w:rFonts w:hint="eastAsia"/>
        </w:rPr>
      </w:pPr>
      <w:r>
        <w:rPr>
          <w:rFonts w:hint="eastAsia"/>
        </w:rPr>
        <w:t>第十二条　货款支付</w:t>
      </w:r>
    </w:p>
    <w:p>
      <w:pPr>
        <w:pStyle w:val="232"/>
        <w:spacing w:before="0" w:beforeAutospacing="0" w:after="0" w:afterAutospacing="0" w:line="360" w:lineRule="auto"/>
        <w:ind w:firstLine="480" w:firstLineChars="200"/>
        <w:rPr>
          <w:rFonts w:hint="eastAsia"/>
        </w:rPr>
      </w:pPr>
      <w:r>
        <w:rPr>
          <w:rFonts w:hint="eastAsia"/>
        </w:rPr>
        <w:t>12.1本合同项下所有款项均以人民币支付。</w:t>
      </w:r>
    </w:p>
    <w:p>
      <w:pPr>
        <w:pStyle w:val="232"/>
        <w:spacing w:before="0" w:beforeAutospacing="0" w:after="0" w:afterAutospacing="0" w:line="360" w:lineRule="auto"/>
        <w:ind w:firstLine="480" w:firstLineChars="200"/>
        <w:rPr>
          <w:rFonts w:hint="eastAsia"/>
        </w:rPr>
      </w:pPr>
      <w:r>
        <w:rPr>
          <w:rFonts w:hint="eastAsia"/>
        </w:rPr>
        <w:t>12.2货款支付方法：</w:t>
      </w:r>
      <w:r>
        <w:rPr>
          <w:rFonts w:hint="eastAsia"/>
          <w:u w:val="single"/>
        </w:rPr>
        <w:t xml:space="preserve">                                                     </w:t>
      </w:r>
    </w:p>
    <w:p>
      <w:pPr>
        <w:pStyle w:val="232"/>
        <w:spacing w:before="0" w:beforeAutospacing="0" w:after="0" w:afterAutospacing="0" w:line="360" w:lineRule="auto"/>
        <w:ind w:firstLine="480" w:firstLineChars="200"/>
        <w:rPr>
          <w:rFonts w:hint="eastAsia"/>
        </w:rPr>
      </w:pPr>
      <w:r>
        <w:rPr>
          <w:rFonts w:hint="eastAsia"/>
        </w:rPr>
        <w:t>第十三条　违约责任</w:t>
      </w:r>
    </w:p>
    <w:p>
      <w:pPr>
        <w:pStyle w:val="232"/>
        <w:spacing w:before="0" w:beforeAutospacing="0" w:after="0" w:afterAutospacing="0" w:line="360" w:lineRule="auto"/>
        <w:ind w:firstLine="480" w:firstLineChars="200"/>
        <w:rPr>
          <w:rFonts w:hint="eastAsia"/>
        </w:rPr>
      </w:pPr>
      <w:r>
        <w:rPr>
          <w:rFonts w:hint="eastAsia"/>
        </w:rPr>
        <w:t>13.1买方无正当理由拒收货物、拒付货物款的，由买方向卖方偿付合同总价的3%违约金。</w:t>
      </w:r>
    </w:p>
    <w:p>
      <w:pPr>
        <w:pStyle w:val="232"/>
        <w:spacing w:before="0" w:beforeAutospacing="0" w:after="0" w:afterAutospacing="0" w:line="360" w:lineRule="auto"/>
        <w:ind w:firstLine="480" w:firstLineChars="200"/>
        <w:rPr>
          <w:rFonts w:hint="eastAsia"/>
        </w:rPr>
      </w:pPr>
      <w:r>
        <w:rPr>
          <w:rFonts w:hint="eastAsia"/>
        </w:rPr>
        <w:t>13.2买方未按合同规定的期限向卖方支付货款的，每逾期1天买方向卖方偿付欠款总额的5‰滞纳金，但累计滞纳金总额不超过欠款总额的3% 。</w:t>
      </w:r>
    </w:p>
    <w:p>
      <w:pPr>
        <w:pStyle w:val="232"/>
        <w:spacing w:before="0" w:beforeAutospacing="0" w:after="0" w:afterAutospacing="0" w:line="360" w:lineRule="auto"/>
        <w:ind w:firstLine="480" w:firstLineChars="200"/>
        <w:rPr>
          <w:rFonts w:hint="eastAsia"/>
        </w:rPr>
      </w:pPr>
      <w:r>
        <w:rPr>
          <w:rFonts w:hint="eastAsia"/>
        </w:rPr>
        <w:t>13.3如卖方不能交付货物，买方有权扣留全部履约保证金；同时卖方应向买方支付合同总价3％的违约金。</w:t>
      </w:r>
    </w:p>
    <w:p>
      <w:pPr>
        <w:pStyle w:val="232"/>
        <w:spacing w:before="0" w:beforeAutospacing="0" w:after="0" w:afterAutospacing="0" w:line="360" w:lineRule="auto"/>
        <w:ind w:firstLine="480" w:firstLineChars="200"/>
        <w:rPr>
          <w:rFonts w:hint="eastAsia"/>
        </w:rPr>
      </w:pPr>
      <w:r>
        <w:rPr>
          <w:rFonts w:hint="eastAsia"/>
        </w:rPr>
        <w:t>13.4卖方逾期交付货物的，每逾期1天，卖方向买方偿付逾期交货部分货款总额的5‰的滞纳金。如卖方逾期交货达</w:t>
      </w:r>
      <w:r>
        <w:rPr>
          <w:rFonts w:hint="eastAsia"/>
          <w:u w:val="single"/>
        </w:rPr>
        <w:t xml:space="preserve">      </w:t>
      </w:r>
      <w:r>
        <w:rPr>
          <w:rFonts w:hint="eastAsia"/>
        </w:rPr>
        <w:t>天，买方有权解除合同，解除合同的通知自到达卖方时生效。</w:t>
      </w:r>
    </w:p>
    <w:p>
      <w:pPr>
        <w:pStyle w:val="232"/>
        <w:spacing w:before="0" w:beforeAutospacing="0" w:after="0" w:afterAutospacing="0" w:line="360" w:lineRule="auto"/>
        <w:ind w:firstLine="480" w:firstLineChars="200"/>
        <w:rPr>
          <w:rFonts w:hint="eastAsia"/>
        </w:rPr>
      </w:pPr>
      <w:r>
        <w:rPr>
          <w:rFonts w:hint="eastAsia"/>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232"/>
        <w:spacing w:before="0" w:beforeAutospacing="0" w:after="0" w:afterAutospacing="0" w:line="360" w:lineRule="auto"/>
        <w:ind w:firstLine="480" w:firstLineChars="200"/>
        <w:rPr>
          <w:rFonts w:hint="eastAsia"/>
        </w:rPr>
      </w:pPr>
      <w:r>
        <w:rPr>
          <w:rFonts w:hint="eastAsia"/>
        </w:rPr>
        <w:t>13.5卖方所交付的货物品种、型号、规格、技术指标不符合合同规定的，买方有权拒收。买方拒收的，卖方应向买方支付货款总额3%的违约金。</w:t>
      </w:r>
    </w:p>
    <w:p>
      <w:pPr>
        <w:pStyle w:val="232"/>
        <w:spacing w:before="0" w:beforeAutospacing="0" w:after="0" w:afterAutospacing="0" w:line="360" w:lineRule="auto"/>
        <w:ind w:firstLine="480" w:firstLineChars="200"/>
        <w:rPr>
          <w:rFonts w:hint="eastAsia"/>
        </w:rPr>
      </w:pPr>
      <w:r>
        <w:rPr>
          <w:rFonts w:hint="eastAsia"/>
        </w:rPr>
        <w:t>13.6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232"/>
        <w:spacing w:before="0" w:beforeAutospacing="0" w:after="0" w:afterAutospacing="0" w:line="360" w:lineRule="auto"/>
        <w:ind w:firstLine="480" w:firstLineChars="200"/>
        <w:rPr>
          <w:rFonts w:hint="eastAsia"/>
        </w:rPr>
      </w:pPr>
      <w:r>
        <w:rPr>
          <w:rFonts w:hint="eastAsia"/>
        </w:rPr>
        <w:t>13.7卖方未按本合同的规定和“服务承诺”提供伴随服务/售后服务的，应按合同总价款的</w:t>
      </w:r>
      <w:r>
        <w:rPr>
          <w:rFonts w:hint="eastAsia"/>
          <w:u w:val="single"/>
        </w:rPr>
        <w:t xml:space="preserve">    %</w:t>
      </w:r>
      <w:r>
        <w:rPr>
          <w:rFonts w:hint="eastAsia"/>
        </w:rPr>
        <w:t>向买方承担违约责任。</w:t>
      </w:r>
    </w:p>
    <w:p>
      <w:pPr>
        <w:pStyle w:val="232"/>
        <w:spacing w:before="0" w:beforeAutospacing="0" w:after="0" w:afterAutospacing="0" w:line="360" w:lineRule="auto"/>
        <w:ind w:firstLine="480" w:firstLineChars="200"/>
        <w:rPr>
          <w:rFonts w:hint="eastAsia"/>
        </w:rPr>
      </w:pPr>
      <w:r>
        <w:rPr>
          <w:rFonts w:hint="eastAsia"/>
        </w:rPr>
        <w:t>13.8卖方在承担上述13.3～13.7款一项或多项违约责任后，仍应继续履行合同规定的义务（买方解除合同的除外）。买方未能及时追究卖方的任何一项违约责任并不表明买方放弃追究卖方该项或其他违约责任。</w:t>
      </w:r>
    </w:p>
    <w:p>
      <w:pPr>
        <w:pStyle w:val="232"/>
        <w:spacing w:before="0" w:beforeAutospacing="0" w:after="0" w:afterAutospacing="0" w:line="360" w:lineRule="auto"/>
        <w:ind w:firstLine="480" w:firstLineChars="200"/>
        <w:rPr>
          <w:rFonts w:hint="eastAsia"/>
        </w:rPr>
      </w:pPr>
      <w:r>
        <w:rPr>
          <w:rFonts w:hint="eastAsia"/>
        </w:rPr>
        <w:t>第十四条　合同的转让和分包</w:t>
      </w:r>
    </w:p>
    <w:p>
      <w:pPr>
        <w:pStyle w:val="232"/>
        <w:spacing w:before="0" w:beforeAutospacing="0" w:after="0" w:afterAutospacing="0" w:line="360" w:lineRule="auto"/>
        <w:ind w:firstLine="480" w:firstLineChars="200"/>
        <w:rPr>
          <w:rFonts w:hint="eastAsia"/>
        </w:rPr>
      </w:pPr>
      <w:r>
        <w:rPr>
          <w:rFonts w:hint="eastAsia"/>
        </w:rPr>
        <w:t>卖方不得擅自部分或全部转让其应履行的合同义务；卖方不得擅自分包其应履行的合同义务。</w:t>
      </w:r>
    </w:p>
    <w:p>
      <w:pPr>
        <w:pStyle w:val="232"/>
        <w:spacing w:before="0" w:beforeAutospacing="0" w:after="0" w:afterAutospacing="0" w:line="360" w:lineRule="auto"/>
        <w:ind w:firstLine="480" w:firstLineChars="200"/>
        <w:rPr>
          <w:rFonts w:hint="eastAsia"/>
        </w:rPr>
      </w:pPr>
      <w:r>
        <w:rPr>
          <w:rFonts w:hint="eastAsia"/>
        </w:rPr>
        <w:t>第十五条　合同的变更和终止</w:t>
      </w:r>
    </w:p>
    <w:p>
      <w:pPr>
        <w:pStyle w:val="232"/>
        <w:widowControl w:val="0"/>
        <w:spacing w:before="0" w:beforeAutospacing="0" w:after="0" w:afterAutospacing="0" w:line="360" w:lineRule="auto"/>
        <w:ind w:firstLine="480" w:firstLineChars="200"/>
        <w:rPr>
          <w:rFonts w:hint="eastAsia"/>
        </w:rPr>
      </w:pPr>
      <w:r>
        <w:rPr>
          <w:rFonts w:hint="eastAsia"/>
        </w:rPr>
        <w:t>除《政府采购法》第50条第二款规定的情形外，本合同一经签订，双方不得擅自变更、中止或终止合同。</w:t>
      </w:r>
    </w:p>
    <w:p>
      <w:pPr>
        <w:pStyle w:val="232"/>
        <w:spacing w:before="0" w:beforeAutospacing="0" w:after="0" w:afterAutospacing="0" w:line="360" w:lineRule="auto"/>
        <w:ind w:firstLine="480" w:firstLineChars="200"/>
        <w:rPr>
          <w:rFonts w:hint="eastAsia"/>
        </w:rPr>
      </w:pPr>
      <w:r>
        <w:rPr>
          <w:rFonts w:hint="eastAsia"/>
        </w:rPr>
        <w:t>第十六条  不可抗力</w:t>
      </w:r>
    </w:p>
    <w:p>
      <w:pPr>
        <w:pStyle w:val="232"/>
        <w:spacing w:before="0" w:beforeAutospacing="0" w:after="0" w:afterAutospacing="0" w:line="360" w:lineRule="auto"/>
        <w:ind w:firstLine="480" w:firstLineChars="200"/>
        <w:rPr>
          <w:rFonts w:hint="eastAsia"/>
        </w:rPr>
      </w:pPr>
      <w:r>
        <w:rPr>
          <w:rFonts w:hint="eastAsia"/>
        </w:rPr>
        <w:t>16.1如果双方中任何一方遭遇法律规定的不可抗力，致使合同履行受阻时，履行合同的期限应予延长，延长的期限应相当于不可抗力所影响的时间。</w:t>
      </w:r>
    </w:p>
    <w:p>
      <w:pPr>
        <w:pStyle w:val="232"/>
        <w:spacing w:before="0" w:beforeAutospacing="0" w:after="0" w:afterAutospacing="0" w:line="360" w:lineRule="auto"/>
        <w:ind w:firstLine="480" w:firstLineChars="200"/>
        <w:rPr>
          <w:rFonts w:hint="eastAsia"/>
        </w:rPr>
      </w:pPr>
      <w:r>
        <w:rPr>
          <w:rFonts w:hint="eastAsia"/>
        </w:rPr>
        <w:t>16.2受事故影响的一方应在不可抗力的事故发生后尽快书面形式通知另一方，并尽快将有关部门出具的证明文件送达另一方。</w:t>
      </w:r>
    </w:p>
    <w:p>
      <w:pPr>
        <w:pStyle w:val="232"/>
        <w:spacing w:before="0" w:beforeAutospacing="0" w:after="0" w:afterAutospacing="0" w:line="360" w:lineRule="auto"/>
        <w:ind w:firstLine="480" w:firstLineChars="200"/>
        <w:rPr>
          <w:rFonts w:hint="eastAsia"/>
        </w:rPr>
      </w:pPr>
      <w:r>
        <w:rPr>
          <w:rFonts w:hint="eastAsia"/>
        </w:rPr>
        <w:t>16.3不可抗力使合同的某些内容有变更必要的， 双方应通过协商达成进一步履行合同的协议，因不可抗力致使合同不能履行的，合同终止。</w:t>
      </w:r>
    </w:p>
    <w:p>
      <w:pPr>
        <w:pStyle w:val="232"/>
        <w:spacing w:before="0" w:beforeAutospacing="0" w:after="0" w:afterAutospacing="0" w:line="360" w:lineRule="auto"/>
        <w:ind w:firstLine="480" w:firstLineChars="200"/>
        <w:rPr>
          <w:rFonts w:hint="eastAsia"/>
        </w:rPr>
      </w:pPr>
      <w:r>
        <w:rPr>
          <w:rFonts w:hint="eastAsia"/>
        </w:rPr>
        <w:t>第十七条　争议的解决</w:t>
      </w:r>
    </w:p>
    <w:p>
      <w:pPr>
        <w:pStyle w:val="232"/>
        <w:spacing w:before="0" w:beforeAutospacing="0" w:after="0" w:afterAutospacing="0" w:line="360" w:lineRule="auto"/>
        <w:ind w:firstLine="480" w:firstLineChars="200"/>
        <w:rPr>
          <w:rFonts w:hint="eastAsia"/>
        </w:rPr>
      </w:pPr>
      <w:r>
        <w:rPr>
          <w:rFonts w:hint="eastAsia"/>
        </w:rPr>
        <w:t>17.1因货物的质量问题发生争议的，应当邀请国家认可的质量检测机构对货物质量进行鉴定。货物符合标准的，鉴定费由买方承担；货物不符合质量标准的，鉴定费由卖方承担。</w:t>
      </w:r>
    </w:p>
    <w:p>
      <w:pPr>
        <w:pStyle w:val="232"/>
        <w:spacing w:before="0" w:beforeAutospacing="0" w:after="0" w:afterAutospacing="0" w:line="360" w:lineRule="auto"/>
        <w:ind w:firstLine="480" w:firstLineChars="200"/>
        <w:rPr>
          <w:rFonts w:hint="eastAsia"/>
        </w:rPr>
      </w:pPr>
      <w:r>
        <w:rPr>
          <w:rFonts w:hint="eastAsia"/>
        </w:rPr>
        <w:t>17.2因履行本合同引起的或与本合同有关的争议，买、卖双方应首先通过友好协商解决，如果协商不能解决争议，则采取以下第</w:t>
      </w:r>
      <w:r>
        <w:rPr>
          <w:rFonts w:hint="eastAsia"/>
          <w:u w:val="single"/>
        </w:rPr>
        <w:t xml:space="preserve">  2 </w:t>
      </w:r>
      <w:r>
        <w:rPr>
          <w:rFonts w:hint="eastAsia"/>
        </w:rPr>
        <w:t>种方式解决争议：</w:t>
      </w:r>
    </w:p>
    <w:p>
      <w:pPr>
        <w:pStyle w:val="232"/>
        <w:spacing w:before="0" w:beforeAutospacing="0" w:after="0" w:afterAutospacing="0" w:line="360" w:lineRule="auto"/>
        <w:ind w:firstLine="480" w:firstLineChars="200"/>
        <w:rPr>
          <w:rFonts w:hint="eastAsia"/>
        </w:rPr>
      </w:pPr>
      <w:r>
        <w:rPr>
          <w:rFonts w:hint="eastAsia"/>
        </w:rPr>
        <w:t>17.2.1向买方所在地有管辖权的人民法院提起诉讼；</w:t>
      </w:r>
    </w:p>
    <w:p>
      <w:pPr>
        <w:pStyle w:val="232"/>
        <w:spacing w:before="0" w:beforeAutospacing="0" w:after="0" w:afterAutospacing="0" w:line="360" w:lineRule="auto"/>
        <w:ind w:firstLine="480" w:firstLineChars="200"/>
        <w:rPr>
          <w:rFonts w:hint="eastAsia"/>
        </w:rPr>
      </w:pPr>
      <w:r>
        <w:rPr>
          <w:rFonts w:hint="eastAsia"/>
        </w:rPr>
        <w:t>17.2.2向</w:t>
      </w:r>
      <w:r>
        <w:rPr>
          <w:rFonts w:hint="eastAsia"/>
          <w:u w:val="single"/>
        </w:rPr>
        <w:t xml:space="preserve"> 丽水 </w:t>
      </w:r>
      <w:r>
        <w:rPr>
          <w:rFonts w:hint="eastAsia"/>
        </w:rPr>
        <w:t>仲裁委员会按其仲裁规则申请仲裁。</w:t>
      </w:r>
    </w:p>
    <w:p>
      <w:pPr>
        <w:pStyle w:val="232"/>
        <w:spacing w:before="0" w:beforeAutospacing="0" w:after="0" w:afterAutospacing="0" w:line="360" w:lineRule="auto"/>
        <w:ind w:firstLine="480" w:firstLineChars="200"/>
        <w:rPr>
          <w:rFonts w:hint="eastAsia"/>
        </w:rPr>
      </w:pPr>
      <w:r>
        <w:rPr>
          <w:rFonts w:hint="eastAsia"/>
        </w:rPr>
        <w:t>17.3在仲裁期间，本合同应继续履行。</w:t>
      </w:r>
    </w:p>
    <w:p>
      <w:pPr>
        <w:pStyle w:val="232"/>
        <w:spacing w:before="0" w:beforeAutospacing="0" w:after="0" w:afterAutospacing="0" w:line="360" w:lineRule="auto"/>
        <w:ind w:firstLine="482"/>
        <w:rPr>
          <w:rFonts w:hint="eastAsia"/>
        </w:rPr>
      </w:pPr>
      <w:r>
        <w:rPr>
          <w:rFonts w:hint="eastAsia"/>
        </w:rPr>
        <w:t>第十八条　合同生效及其他</w:t>
      </w:r>
    </w:p>
    <w:p>
      <w:pPr>
        <w:pStyle w:val="232"/>
        <w:spacing w:before="0" w:beforeAutospacing="0" w:after="0" w:afterAutospacing="0" w:line="360" w:lineRule="auto"/>
        <w:ind w:firstLine="482"/>
        <w:rPr>
          <w:rFonts w:hint="eastAsia"/>
        </w:rPr>
      </w:pPr>
      <w:r>
        <w:rPr>
          <w:rFonts w:hint="eastAsia"/>
        </w:rPr>
        <w:t>18.1合同经双方负责人或被委托人签字并加盖单位公章。</w:t>
      </w:r>
    </w:p>
    <w:p>
      <w:pPr>
        <w:pStyle w:val="232"/>
        <w:spacing w:before="0" w:beforeAutospacing="0" w:after="0" w:afterAutospacing="0" w:line="360" w:lineRule="auto"/>
        <w:ind w:firstLine="482"/>
        <w:rPr>
          <w:rFonts w:hint="eastAsia"/>
        </w:rPr>
      </w:pPr>
      <w:r>
        <w:rPr>
          <w:rFonts w:hint="eastAsia"/>
        </w:rPr>
        <w:t>18.2合同执行中涉及采购资金和采购内容修改或补充的，须经财政部门批准，并签书面补充协议报政府采购监督管理部门备案，方可作为合同不可分割的一部分。</w:t>
      </w:r>
    </w:p>
    <w:p>
      <w:pPr>
        <w:pStyle w:val="232"/>
        <w:spacing w:before="0" w:beforeAutospacing="0" w:after="0" w:afterAutospacing="0" w:line="360" w:lineRule="auto"/>
        <w:ind w:firstLine="482"/>
        <w:rPr>
          <w:rFonts w:hint="eastAsia"/>
        </w:rPr>
      </w:pPr>
      <w:r>
        <w:rPr>
          <w:rFonts w:hint="eastAsia"/>
        </w:rPr>
        <w:t>18.3本合同自签订之日起生效。</w:t>
      </w:r>
    </w:p>
    <w:p>
      <w:pPr>
        <w:pStyle w:val="232"/>
        <w:spacing w:before="0" w:beforeAutospacing="0" w:after="0" w:afterAutospacing="0" w:line="360" w:lineRule="auto"/>
        <w:ind w:firstLine="482"/>
        <w:rPr>
          <w:rFonts w:hint="eastAsia"/>
        </w:rPr>
      </w:pPr>
      <w:r>
        <w:rPr>
          <w:rFonts w:hint="eastAsia"/>
        </w:rPr>
        <w:t>18.4本合同一式六份，买卖双方各执二份，一份交代理机构存档，一份报送政府采购监督管理部门备案。</w:t>
      </w:r>
    </w:p>
    <w:p>
      <w:pPr>
        <w:pStyle w:val="232"/>
        <w:spacing w:before="0" w:beforeAutospacing="0" w:after="0" w:afterAutospacing="0" w:line="360" w:lineRule="auto"/>
        <w:ind w:firstLine="482"/>
        <w:rPr>
          <w:rFonts w:hint="eastAsia"/>
        </w:rPr>
      </w:pPr>
      <w:r>
        <w:rPr>
          <w:rFonts w:hint="eastAsia"/>
        </w:rPr>
        <w:t>18.5本合同应按照中华人民共和国的现行法律进行解释。</w:t>
      </w: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p>
    <w:p>
      <w:pPr>
        <w:pStyle w:val="251"/>
        <w:snapToGrid w:val="0"/>
        <w:spacing w:line="360" w:lineRule="auto"/>
        <w:rPr>
          <w:rFonts w:ascii="宋体" w:hAnsi="宋体"/>
          <w:sz w:val="24"/>
        </w:rPr>
      </w:pPr>
    </w:p>
    <w:p>
      <w:pPr>
        <w:pStyle w:val="251"/>
        <w:snapToGrid w:val="0"/>
        <w:spacing w:line="360" w:lineRule="auto"/>
        <w:rPr>
          <w:rFonts w:hint="eastAsia" w:ascii="宋体" w:hAnsi="宋体"/>
          <w:sz w:val="24"/>
        </w:rPr>
      </w:pPr>
      <w:r>
        <w:rPr>
          <w:rFonts w:hint="eastAsia" w:ascii="宋体" w:hAnsi="宋体"/>
          <w:sz w:val="24"/>
        </w:rPr>
        <w:t>买　方：</w:t>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卖　方：</w:t>
      </w:r>
      <w:r>
        <w:rPr>
          <w:rFonts w:hint="eastAsia" w:ascii="宋体" w:hAnsi="宋体"/>
          <w:sz w:val="24"/>
          <w:u w:val="single"/>
        </w:rPr>
        <w:t xml:space="preserve">             </w:t>
      </w:r>
      <w:r>
        <w:rPr>
          <w:rFonts w:hint="eastAsia" w:ascii="宋体" w:hAnsi="宋体"/>
          <w:sz w:val="24"/>
        </w:rPr>
        <w:t xml:space="preserve">    </w:t>
      </w:r>
    </w:p>
    <w:p>
      <w:pPr>
        <w:pStyle w:val="252"/>
        <w:snapToGrid w:val="0"/>
        <w:spacing w:line="360" w:lineRule="auto"/>
        <w:rPr>
          <w:rFonts w:hint="eastAsia" w:ascii="宋体" w:hAnsi="宋体"/>
          <w:szCs w:val="24"/>
        </w:rPr>
      </w:pPr>
    </w:p>
    <w:p>
      <w:pPr>
        <w:pStyle w:val="251"/>
        <w:snapToGrid w:val="0"/>
        <w:spacing w:line="360" w:lineRule="auto"/>
        <w:rPr>
          <w:rFonts w:hint="eastAsia" w:ascii="宋体" w:hAnsi="宋体"/>
          <w:sz w:val="24"/>
        </w:rPr>
      </w:pPr>
      <w:r>
        <w:rPr>
          <w:rFonts w:hint="eastAsia" w:ascii="宋体" w:hAnsi="宋体"/>
          <w:sz w:val="24"/>
        </w:rPr>
        <w:t xml:space="preserve">名　称：(印章)　　　       </w:t>
      </w:r>
      <w:r>
        <w:rPr>
          <w:rFonts w:hint="eastAsia" w:ascii="宋体" w:hAnsi="宋体"/>
          <w:sz w:val="24"/>
        </w:rPr>
        <w:tab/>
      </w:r>
      <w:r>
        <w:rPr>
          <w:rFonts w:hint="eastAsia" w:ascii="宋体" w:hAnsi="宋体"/>
          <w:sz w:val="24"/>
        </w:rPr>
        <w:t xml:space="preserve">            名　称：(印章)            </w:t>
      </w: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rPr>
      </w:pPr>
      <w:r>
        <w:rPr>
          <w:rFonts w:hint="eastAsia" w:ascii="宋体" w:hAnsi="宋体"/>
          <w:sz w:val="24"/>
        </w:rPr>
        <w:t xml:space="preserve">年　 月　 日　　　　　　                年　 月 　日 </w:t>
      </w:r>
    </w:p>
    <w:p>
      <w:pPr>
        <w:pStyle w:val="251"/>
        <w:snapToGrid w:val="0"/>
        <w:spacing w:line="360" w:lineRule="auto"/>
        <w:rPr>
          <w:rFonts w:hint="eastAsia" w:ascii="宋体" w:hAnsi="宋体"/>
          <w:sz w:val="24"/>
        </w:rPr>
      </w:pPr>
      <w:r>
        <w:rPr>
          <w:rFonts w:hint="eastAsia" w:ascii="宋体" w:hAnsi="宋体"/>
          <w:sz w:val="24"/>
        </w:rPr>
        <w:t>负责人 (签字或盖章)：                负责人(签字或盖章)：</w:t>
      </w:r>
    </w:p>
    <w:p>
      <w:pPr>
        <w:pStyle w:val="251"/>
        <w:snapToGrid w:val="0"/>
        <w:spacing w:line="360" w:lineRule="auto"/>
        <w:rPr>
          <w:rFonts w:hint="eastAsia" w:ascii="宋体" w:hAnsi="宋体"/>
          <w:sz w:val="24"/>
        </w:rPr>
      </w:pPr>
      <w:r>
        <w:rPr>
          <w:rFonts w:hint="eastAsia" w:ascii="宋体" w:hAnsi="宋体"/>
          <w:sz w:val="24"/>
        </w:rPr>
        <w:t>被委托人(签字或盖章)：</w:t>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被委托人(签字或盖章)：</w:t>
      </w:r>
      <w:r>
        <w:rPr>
          <w:rFonts w:hint="eastAsia" w:ascii="宋体" w:hAnsi="宋体"/>
          <w:sz w:val="24"/>
          <w:u w:val="single"/>
        </w:rPr>
        <w:t xml:space="preserve">            </w:t>
      </w:r>
      <w:r>
        <w:rPr>
          <w:rFonts w:hint="eastAsia" w:ascii="宋体" w:hAnsi="宋体"/>
          <w:sz w:val="24"/>
        </w:rPr>
        <w:t xml:space="preserve"> </w:t>
      </w:r>
    </w:p>
    <w:p>
      <w:pPr>
        <w:pStyle w:val="251"/>
        <w:snapToGrid w:val="0"/>
        <w:spacing w:line="360" w:lineRule="auto"/>
        <w:rPr>
          <w:rFonts w:hint="eastAsia" w:ascii="宋体" w:hAnsi="宋体"/>
          <w:sz w:val="24"/>
          <w:u w:val="single"/>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pStyle w:val="251"/>
        <w:snapToGrid w:val="0"/>
        <w:spacing w:line="360" w:lineRule="auto"/>
        <w:rPr>
          <w:rFonts w:hint="eastAsia" w:ascii="宋体" w:hAnsi="宋体"/>
          <w:sz w:val="24"/>
          <w:u w:val="single"/>
        </w:rPr>
      </w:pPr>
      <w:r>
        <w:rPr>
          <w:rFonts w:hint="eastAsia" w:ascii="宋体" w:hAnsi="宋体"/>
          <w:sz w:val="24"/>
        </w:rPr>
        <w:t>邮政编码：</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邮政编码：</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电　　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电　　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开户银行：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开户银行：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账　　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 xml:space="preserve">  账　　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pStyle w:val="251"/>
        <w:snapToGrid w:val="0"/>
        <w:spacing w:line="360" w:lineRule="auto"/>
        <w:rPr>
          <w:rFonts w:hint="eastAsia" w:ascii="宋体" w:hAnsi="宋体"/>
          <w:sz w:val="24"/>
        </w:rPr>
      </w:pPr>
    </w:p>
    <w:p>
      <w:pPr>
        <w:pStyle w:val="251"/>
        <w:snapToGrid w:val="0"/>
        <w:spacing w:line="360" w:lineRule="auto"/>
        <w:rPr>
          <w:rFonts w:hint="eastAsia" w:ascii="宋体" w:hAnsi="宋体"/>
          <w:sz w:val="24"/>
          <w:u w:val="single"/>
        </w:rPr>
      </w:pPr>
      <w:r>
        <w:rPr>
          <w:rFonts w:hint="eastAsia" w:ascii="宋体" w:hAnsi="宋体"/>
          <w:sz w:val="24"/>
        </w:rPr>
        <w:t>鉴证方（盖章）：</w:t>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被委托人(签字或盖章)：</w:t>
      </w:r>
      <w:r>
        <w:rPr>
          <w:rFonts w:hint="eastAsia" w:ascii="宋体" w:hAnsi="宋体"/>
          <w:sz w:val="24"/>
          <w:u w:val="single"/>
        </w:rPr>
        <w:t xml:space="preserve">              </w:t>
      </w:r>
    </w:p>
    <w:p>
      <w:pPr>
        <w:pStyle w:val="251"/>
        <w:snapToGrid w:val="0"/>
        <w:spacing w:line="360" w:lineRule="auto"/>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邮编：</w:t>
      </w:r>
      <w:r>
        <w:rPr>
          <w:rFonts w:hint="eastAsia" w:ascii="宋体" w:hAnsi="宋体"/>
          <w:sz w:val="24"/>
          <w:u w:val="single"/>
        </w:rPr>
        <w:t xml:space="preserve">                              </w:t>
      </w:r>
    </w:p>
    <w:p>
      <w:pPr>
        <w:pStyle w:val="251"/>
        <w:snapToGrid w:val="0"/>
        <w:spacing w:line="360" w:lineRule="auto"/>
        <w:rPr>
          <w:rFonts w:hint="eastAsia" w:ascii="宋体" w:hAnsi="宋体"/>
          <w:sz w:val="24"/>
        </w:rPr>
      </w:pPr>
      <w:r>
        <w:rPr>
          <w:rFonts w:hint="eastAsia" w:ascii="宋体" w:hAnsi="宋体"/>
          <w:sz w:val="24"/>
        </w:rPr>
        <w:t>电话：</w:t>
      </w:r>
      <w:r>
        <w:rPr>
          <w:rFonts w:hint="eastAsia" w:ascii="宋体" w:hAnsi="宋体"/>
          <w:sz w:val="24"/>
          <w:u w:val="single"/>
        </w:rPr>
        <w:t xml:space="preserve">                              </w:t>
      </w:r>
    </w:p>
    <w:p>
      <w:pPr>
        <w:pStyle w:val="251"/>
        <w:spacing w:line="360" w:lineRule="auto"/>
        <w:rPr>
          <w:rFonts w:hint="eastAsia" w:ascii="宋体" w:hAnsi="宋体"/>
          <w:w w:val="200"/>
        </w:rPr>
      </w:pPr>
      <w:r>
        <w:rPr>
          <w:rFonts w:hint="eastAsia" w:ascii="宋体" w:hAnsi="宋体"/>
        </w:rPr>
        <w:t>时间：</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napToGrid w:val="0"/>
        <w:spacing w:before="119" w:line="340" w:lineRule="auto"/>
        <w:rPr>
          <w:rFonts w:hint="eastAsia" w:ascii="宋体" w:hAnsi="宋体"/>
          <w:sz w:val="24"/>
        </w:rPr>
      </w:pPr>
    </w:p>
    <w:p>
      <w:pPr>
        <w:snapToGrid w:val="0"/>
        <w:spacing w:before="119" w:line="340" w:lineRule="auto"/>
        <w:rPr>
          <w:rFonts w:hint="eastAsia" w:ascii="宋体" w:hAnsi="宋体"/>
          <w:sz w:val="24"/>
        </w:rPr>
      </w:pPr>
    </w:p>
    <w:p>
      <w:pPr>
        <w:snapToGrid w:val="0"/>
        <w:spacing w:before="119" w:line="340" w:lineRule="auto"/>
        <w:rPr>
          <w:rFonts w:hint="eastAsia" w:ascii="宋体" w:hAnsi="宋体"/>
          <w:sz w:val="24"/>
        </w:rPr>
      </w:pPr>
    </w:p>
    <w:p>
      <w:pPr>
        <w:snapToGrid w:val="0"/>
        <w:spacing w:before="119" w:line="340" w:lineRule="auto"/>
        <w:rPr>
          <w:rFonts w:hint="eastAsia" w:ascii="宋体" w:hAnsi="宋体"/>
          <w:sz w:val="24"/>
        </w:rPr>
      </w:pPr>
    </w:p>
    <w:p>
      <w:pPr>
        <w:snapToGrid w:val="0"/>
        <w:spacing w:before="119" w:line="340" w:lineRule="auto"/>
        <w:rPr>
          <w:rFonts w:hint="eastAsia" w:ascii="宋体" w:hAnsi="宋体"/>
          <w:sz w:val="24"/>
        </w:rPr>
      </w:pPr>
    </w:p>
    <w:p>
      <w:pPr>
        <w:snapToGrid w:val="0"/>
        <w:spacing w:before="119" w:line="340" w:lineRule="auto"/>
        <w:rPr>
          <w:rFonts w:hint="eastAsia" w:ascii="宋体" w:hAnsi="宋体"/>
          <w:sz w:val="24"/>
        </w:rPr>
      </w:pPr>
    </w:p>
    <w:p>
      <w:pPr>
        <w:pStyle w:val="3"/>
        <w:spacing w:line="560" w:lineRule="exact"/>
        <w:rPr>
          <w:rFonts w:hint="eastAsia" w:ascii="宋体" w:hAnsi="宋体" w:eastAsia="宋体"/>
          <w:lang w:eastAsia="zh-CN"/>
        </w:rPr>
      </w:pPr>
      <w:bookmarkStart w:id="80" w:name="_Toc530665724"/>
      <w:r>
        <w:rPr>
          <w:rFonts w:hint="eastAsia" w:ascii="宋体" w:hAnsi="宋体" w:eastAsia="宋体"/>
        </w:rPr>
        <w:t>第五章　投标相关文件格式</w:t>
      </w:r>
      <w:bookmarkEnd w:id="80"/>
      <w:bookmarkStart w:id="81" w:name="_Toc15805942"/>
      <w:bookmarkStart w:id="82" w:name="_Toc45506740"/>
      <w:bookmarkStart w:id="83" w:name="_Toc47756041"/>
      <w:bookmarkStart w:id="84" w:name="_Toc15813259"/>
    </w:p>
    <w:p>
      <w:pPr>
        <w:pStyle w:val="4"/>
        <w:ind w:firstLine="3120" w:firstLineChars="1040"/>
        <w:rPr>
          <w:rFonts w:hint="eastAsia" w:ascii="宋体" w:hAnsi="宋体" w:eastAsia="宋体"/>
          <w:b w:val="0"/>
          <w:bCs w:val="0"/>
          <w:lang w:eastAsia="zh-CN"/>
        </w:rPr>
      </w:pPr>
      <w:bookmarkStart w:id="85" w:name="_Toc530665725"/>
      <w:r>
        <w:rPr>
          <w:rFonts w:hint="eastAsia" w:ascii="宋体" w:hAnsi="宋体" w:eastAsia="宋体"/>
          <w:b w:val="0"/>
          <w:bCs w:val="0"/>
        </w:rPr>
        <w:t>一</w:t>
      </w:r>
      <w:r>
        <w:rPr>
          <w:rFonts w:hint="eastAsia" w:ascii="宋体" w:hAnsi="宋体" w:eastAsia="宋体"/>
          <w:b w:val="0"/>
          <w:bCs w:val="0"/>
          <w:lang w:eastAsia="zh-CN"/>
        </w:rPr>
        <w:t xml:space="preserve">   </w:t>
      </w:r>
      <w:r>
        <w:rPr>
          <w:rFonts w:hint="eastAsia" w:ascii="宋体" w:hAnsi="宋体" w:eastAsia="宋体"/>
          <w:b w:val="0"/>
          <w:bCs w:val="0"/>
        </w:rPr>
        <w:t>资格审查文件格式</w:t>
      </w:r>
      <w:bookmarkEnd w:id="85"/>
    </w:p>
    <w:p>
      <w:pPr>
        <w:spacing w:line="360" w:lineRule="auto"/>
        <w:jc w:val="left"/>
        <w:rPr>
          <w:rFonts w:hint="eastAsia" w:ascii="宋体" w:hAnsi="宋体"/>
          <w:sz w:val="30"/>
        </w:rPr>
      </w:pPr>
      <w:bookmarkStart w:id="86" w:name="_Toc493956052"/>
      <w:bookmarkStart w:id="87" w:name="_Toc494555868"/>
      <w:bookmarkStart w:id="88" w:name="_Toc494555869"/>
      <w:bookmarkStart w:id="89" w:name="_Toc493956053"/>
      <w:bookmarkStart w:id="90" w:name="_Toc494555870"/>
      <w:bookmarkStart w:id="91" w:name="_Toc493956054"/>
      <w:bookmarkStart w:id="92" w:name="_Toc493956055"/>
      <w:bookmarkStart w:id="93" w:name="_Toc494555871"/>
      <w:bookmarkStart w:id="94" w:name="_Toc494555872"/>
      <w:bookmarkStart w:id="95" w:name="_Toc494555873"/>
      <w:r>
        <w:rPr>
          <w:rFonts w:hint="eastAsia" w:ascii="宋体" w:hAnsi="宋体"/>
          <w:sz w:val="30"/>
        </w:rPr>
        <w:t>1、公司有效营业执照</w:t>
      </w:r>
      <w:bookmarkEnd w:id="86"/>
      <w:bookmarkEnd w:id="87"/>
    </w:p>
    <w:p>
      <w:pPr>
        <w:spacing w:line="360" w:lineRule="auto"/>
        <w:jc w:val="left"/>
        <w:rPr>
          <w:rFonts w:ascii="宋体" w:hAnsi="宋体"/>
          <w:sz w:val="30"/>
        </w:rPr>
      </w:pPr>
      <w:r>
        <w:rPr>
          <w:rFonts w:hint="eastAsia" w:ascii="宋体" w:hAnsi="宋体"/>
          <w:sz w:val="30"/>
        </w:rPr>
        <w:t>2、授权委托书</w:t>
      </w:r>
      <w:bookmarkEnd w:id="88"/>
      <w:bookmarkEnd w:id="89"/>
      <w:r>
        <w:rPr>
          <w:rFonts w:hint="eastAsia" w:ascii="宋体" w:hAnsi="宋体"/>
          <w:sz w:val="30"/>
        </w:rPr>
        <w:t>、身份证</w:t>
      </w:r>
    </w:p>
    <w:p>
      <w:pPr>
        <w:spacing w:line="360" w:lineRule="auto"/>
        <w:jc w:val="left"/>
        <w:rPr>
          <w:rFonts w:ascii="宋体" w:hAnsi="宋体"/>
          <w:sz w:val="30"/>
        </w:rPr>
      </w:pPr>
      <w:r>
        <w:rPr>
          <w:rFonts w:hint="eastAsia" w:ascii="宋体" w:hAnsi="宋体"/>
          <w:sz w:val="30"/>
        </w:rPr>
        <w:t>3、财务状况报告</w:t>
      </w:r>
      <w:bookmarkEnd w:id="90"/>
      <w:bookmarkEnd w:id="91"/>
    </w:p>
    <w:p>
      <w:pPr>
        <w:spacing w:line="360" w:lineRule="auto"/>
        <w:jc w:val="left"/>
        <w:rPr>
          <w:rFonts w:ascii="宋体" w:hAnsi="宋体"/>
          <w:sz w:val="30"/>
        </w:rPr>
      </w:pPr>
      <w:r>
        <w:rPr>
          <w:rFonts w:hint="eastAsia" w:ascii="宋体" w:hAnsi="宋体"/>
          <w:sz w:val="30"/>
        </w:rPr>
        <w:t>4、</w:t>
      </w:r>
      <w:r>
        <w:rPr>
          <w:rFonts w:ascii="宋体" w:hAnsi="宋体"/>
          <w:sz w:val="30"/>
        </w:rPr>
        <w:t>依法缴纳税收和社会保障资金</w:t>
      </w:r>
      <w:bookmarkEnd w:id="92"/>
      <w:bookmarkEnd w:id="93"/>
    </w:p>
    <w:p>
      <w:pPr>
        <w:spacing w:line="360" w:lineRule="auto"/>
        <w:jc w:val="left"/>
        <w:rPr>
          <w:rFonts w:ascii="宋体" w:hAnsi="宋体"/>
          <w:sz w:val="30"/>
        </w:rPr>
      </w:pPr>
      <w:r>
        <w:rPr>
          <w:rFonts w:hint="eastAsia" w:ascii="宋体" w:hAnsi="宋体"/>
          <w:sz w:val="30"/>
        </w:rPr>
        <w:t>5、资格声明</w:t>
      </w:r>
      <w:bookmarkEnd w:id="94"/>
    </w:p>
    <w:p>
      <w:pPr>
        <w:spacing w:line="360" w:lineRule="auto"/>
        <w:jc w:val="left"/>
        <w:rPr>
          <w:rFonts w:hint="eastAsia" w:ascii="宋体" w:hAnsi="宋体"/>
          <w:sz w:val="30"/>
        </w:rPr>
      </w:pPr>
      <w:r>
        <w:rPr>
          <w:rFonts w:ascii="宋体" w:hAnsi="宋体"/>
          <w:sz w:val="30"/>
        </w:rPr>
        <w:t>6</w:t>
      </w:r>
      <w:r>
        <w:rPr>
          <w:rFonts w:hint="eastAsia" w:ascii="宋体" w:hAnsi="宋体"/>
          <w:sz w:val="30"/>
        </w:rPr>
        <w:t>、无重大违法记录声明书</w:t>
      </w:r>
      <w:bookmarkEnd w:id="95"/>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0"/>
        <w:rPr>
          <w:rFonts w:hint="eastAsia" w:ascii="宋体" w:hAnsi="宋体"/>
        </w:rPr>
      </w:pPr>
    </w:p>
    <w:p>
      <w:pPr>
        <w:spacing w:line="360" w:lineRule="auto"/>
        <w:jc w:val="center"/>
        <w:rPr>
          <w:rFonts w:ascii="宋体" w:hAnsi="宋体"/>
          <w:sz w:val="30"/>
        </w:rPr>
      </w:pPr>
      <w:r>
        <w:rPr>
          <w:rFonts w:hint="eastAsia" w:ascii="宋体" w:hAnsi="宋体"/>
          <w:sz w:val="30"/>
        </w:rPr>
        <w:t>1、公司有效营业执照</w:t>
      </w:r>
    </w:p>
    <w:p>
      <w:pPr>
        <w:spacing w:line="360" w:lineRule="auto"/>
        <w:rPr>
          <w:rFonts w:hint="eastAsia" w:ascii="宋体" w:hAnsi="宋体"/>
          <w:sz w:val="24"/>
        </w:rPr>
      </w:pPr>
      <w:r>
        <w:rPr>
          <w:rFonts w:hint="eastAsia" w:ascii="宋体" w:hAnsi="宋体"/>
          <w:sz w:val="24"/>
        </w:rPr>
        <w:t>要求：</w:t>
      </w:r>
    </w:p>
    <w:p>
      <w:pPr>
        <w:spacing w:line="360" w:lineRule="auto"/>
        <w:rPr>
          <w:rFonts w:hint="eastAsia" w:ascii="宋体" w:hAnsi="宋体"/>
          <w:sz w:val="24"/>
        </w:rPr>
      </w:pPr>
      <w:r>
        <w:rPr>
          <w:rFonts w:hint="eastAsia" w:ascii="宋体" w:hAnsi="宋体"/>
          <w:sz w:val="24"/>
        </w:rPr>
        <w:t>1.提供</w:t>
      </w:r>
      <w:r>
        <w:rPr>
          <w:rFonts w:ascii="宋体" w:hAnsi="宋体"/>
          <w:sz w:val="24"/>
        </w:rPr>
        <w:t>有效的营业执照复印件；</w:t>
      </w:r>
    </w:p>
    <w:p>
      <w:pPr>
        <w:spacing w:line="360" w:lineRule="auto"/>
        <w:rPr>
          <w:rFonts w:hint="eastAsia" w:ascii="宋体" w:hAnsi="宋体"/>
          <w:b/>
          <w:sz w:val="24"/>
        </w:rPr>
      </w:pPr>
      <w:r>
        <w:rPr>
          <w:rFonts w:ascii="宋体" w:hAnsi="宋体"/>
          <w:b/>
          <w:sz w:val="24"/>
        </w:rPr>
        <w:t>2</w:t>
      </w:r>
      <w:r>
        <w:rPr>
          <w:rFonts w:hint="eastAsia" w:ascii="宋体" w:hAnsi="宋体"/>
          <w:b/>
          <w:sz w:val="24"/>
        </w:rPr>
        <w:t>.资格审查时须提供原件核对（在浙江政府采购网注册的供应商不需要提供营业执照原件）；</w:t>
      </w:r>
    </w:p>
    <w:p>
      <w:pPr>
        <w:spacing w:line="360" w:lineRule="auto"/>
        <w:rPr>
          <w:rFonts w:ascii="宋体" w:hAnsi="宋体"/>
          <w:sz w:val="24"/>
        </w:rPr>
      </w:pPr>
      <w:r>
        <w:rPr>
          <w:rFonts w:ascii="宋体" w:hAnsi="宋体"/>
          <w:sz w:val="24"/>
        </w:rPr>
        <w:t>3</w:t>
      </w:r>
      <w:r>
        <w:rPr>
          <w:rFonts w:hint="eastAsia" w:ascii="宋体" w:hAnsi="宋体"/>
          <w:sz w:val="24"/>
        </w:rPr>
        <w:t>.浙江政府采购网”的“供应商”栏目查询投标</w:t>
      </w:r>
      <w:r>
        <w:rPr>
          <w:rFonts w:ascii="宋体" w:hAnsi="宋体"/>
          <w:sz w:val="24"/>
        </w:rPr>
        <w:t>人</w:t>
      </w:r>
      <w:r>
        <w:rPr>
          <w:rFonts w:hint="eastAsia" w:ascii="宋体" w:hAnsi="宋体"/>
          <w:sz w:val="24"/>
        </w:rPr>
        <w:t>注册页面信息打印件（浙江</w:t>
      </w:r>
      <w:r>
        <w:rPr>
          <w:rFonts w:ascii="宋体" w:hAnsi="宋体"/>
          <w:sz w:val="24"/>
        </w:rPr>
        <w:t>政府采购网注册供应商提供</w:t>
      </w:r>
      <w:r>
        <w:rPr>
          <w:rFonts w:hint="eastAsia" w:ascii="宋体" w:hAnsi="宋体"/>
          <w:sz w:val="24"/>
        </w:rPr>
        <w:t>）；</w:t>
      </w:r>
    </w:p>
    <w:p>
      <w:pPr>
        <w:spacing w:line="360" w:lineRule="auto"/>
        <w:rPr>
          <w:rFonts w:hint="eastAsia" w:ascii="宋体" w:hAnsi="宋体"/>
          <w:sz w:val="24"/>
        </w:rPr>
      </w:pPr>
      <w:r>
        <w:rPr>
          <w:rFonts w:hint="eastAsia" w:ascii="宋体" w:hAnsi="宋体"/>
          <w:sz w:val="24"/>
        </w:rPr>
        <w:t>注：复印件</w:t>
      </w:r>
      <w:r>
        <w:rPr>
          <w:rFonts w:ascii="宋体" w:hAnsi="宋体"/>
          <w:sz w:val="24"/>
        </w:rPr>
        <w:t>须加盖</w:t>
      </w:r>
      <w:r>
        <w:rPr>
          <w:rFonts w:hint="eastAsia" w:ascii="宋体" w:hAnsi="宋体"/>
          <w:sz w:val="24"/>
        </w:rPr>
        <w:t>投标人章</w:t>
      </w:r>
      <w:r>
        <w:rPr>
          <w:rFonts w:ascii="宋体" w:hAnsi="宋体"/>
          <w:sz w:val="24"/>
        </w:rPr>
        <w:t>。</w:t>
      </w:r>
    </w:p>
    <w:p>
      <w:pPr>
        <w:pStyle w:val="4"/>
        <w:spacing w:before="240" w:after="240"/>
        <w:ind w:firstLine="0" w:firstLineChars="0"/>
        <w:jc w:val="center"/>
        <w:rPr>
          <w:rFonts w:ascii="宋体" w:hAnsi="宋体" w:eastAsia="宋体"/>
          <w:sz w:val="32"/>
          <w:szCs w:val="32"/>
          <w:lang w:val="en-US"/>
        </w:rPr>
        <w:sectPr>
          <w:headerReference r:id="rId4" w:type="first"/>
          <w:headerReference r:id="rId3" w:type="default"/>
          <w:footerReference r:id="rId5" w:type="default"/>
          <w:pgSz w:w="11906" w:h="16838"/>
          <w:pgMar w:top="1440" w:right="1440" w:bottom="1440" w:left="1440" w:header="851" w:footer="851" w:gutter="0"/>
          <w:cols w:space="425" w:num="1"/>
          <w:titlePg/>
          <w:docGrid w:linePitch="312" w:charSpace="0"/>
        </w:sectPr>
      </w:pPr>
    </w:p>
    <w:p>
      <w:pPr>
        <w:spacing w:line="360" w:lineRule="auto"/>
        <w:jc w:val="center"/>
        <w:rPr>
          <w:rFonts w:ascii="宋体" w:hAnsi="宋体"/>
          <w:sz w:val="30"/>
        </w:rPr>
      </w:pPr>
      <w:r>
        <w:rPr>
          <w:rFonts w:hint="eastAsia" w:ascii="宋体" w:hAnsi="宋体"/>
          <w:sz w:val="30"/>
        </w:rPr>
        <w:t>2、授权委托书</w:t>
      </w:r>
    </w:p>
    <w:p>
      <w:pPr>
        <w:pStyle w:val="228"/>
        <w:spacing w:line="440" w:lineRule="exact"/>
        <w:rPr>
          <w:rFonts w:ascii="宋体" w:hAnsi="宋体"/>
          <w:b/>
          <w:sz w:val="24"/>
          <w:szCs w:val="21"/>
          <w:lang/>
        </w:rPr>
      </w:pPr>
      <w:r>
        <w:rPr>
          <w:rFonts w:hint="eastAsia" w:ascii="宋体" w:hAnsi="宋体"/>
          <w:sz w:val="24"/>
          <w:szCs w:val="21"/>
          <w:u w:val="single"/>
          <w:lang/>
        </w:rPr>
        <w:t>（代理机构名称）</w:t>
      </w:r>
      <w:r>
        <w:rPr>
          <w:rFonts w:hint="eastAsia" w:ascii="宋体" w:hAnsi="宋体"/>
          <w:sz w:val="24"/>
          <w:szCs w:val="21"/>
          <w:lang/>
        </w:rPr>
        <w:t>：</w:t>
      </w:r>
    </w:p>
    <w:p>
      <w:pPr>
        <w:pStyle w:val="228"/>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我</w:t>
      </w:r>
      <w:r>
        <w:rPr>
          <w:rFonts w:hint="eastAsia" w:ascii="宋体" w:hAnsi="宋体"/>
          <w:sz w:val="24"/>
          <w:szCs w:val="20"/>
          <w:u w:val="single"/>
        </w:rPr>
        <w:t xml:space="preserve">              （</w:t>
      </w:r>
      <w:r>
        <w:rPr>
          <w:rFonts w:hint="eastAsia" w:ascii="宋体" w:hAnsi="宋体"/>
          <w:sz w:val="24"/>
          <w:szCs w:val="20"/>
        </w:rPr>
        <w:t>负责人姓名）系</w:t>
      </w:r>
      <w:r>
        <w:rPr>
          <w:rFonts w:hint="eastAsia" w:ascii="宋体" w:hAnsi="宋体"/>
          <w:sz w:val="24"/>
          <w:szCs w:val="20"/>
          <w:u w:val="single"/>
        </w:rPr>
        <w:t xml:space="preserve">           </w:t>
      </w:r>
      <w:r>
        <w:rPr>
          <w:rFonts w:hint="eastAsia" w:ascii="宋体" w:hAnsi="宋体"/>
          <w:sz w:val="24"/>
          <w:szCs w:val="20"/>
        </w:rPr>
        <w:t>（投标人全称）的负责人，现授权委托本单位</w:t>
      </w:r>
      <w:r>
        <w:rPr>
          <w:rFonts w:hint="eastAsia" w:ascii="宋体" w:hAnsi="宋体"/>
          <w:b/>
          <w:sz w:val="24"/>
          <w:szCs w:val="20"/>
        </w:rPr>
        <w:t>在职职工</w:t>
      </w:r>
      <w:r>
        <w:rPr>
          <w:rFonts w:hint="eastAsia" w:ascii="宋体" w:hAnsi="宋体"/>
          <w:sz w:val="24"/>
          <w:szCs w:val="20"/>
          <w:u w:val="single"/>
        </w:rPr>
        <w:t xml:space="preserve">              </w:t>
      </w:r>
      <w:r>
        <w:rPr>
          <w:rFonts w:hint="eastAsia" w:ascii="宋体" w:hAnsi="宋体"/>
          <w:sz w:val="24"/>
          <w:szCs w:val="20"/>
        </w:rPr>
        <w:t>（姓名）以我方的名义参加就贵方组织的</w:t>
      </w:r>
      <w:r>
        <w:rPr>
          <w:rFonts w:hint="eastAsia" w:ascii="宋体" w:hAnsi="宋体"/>
          <w:sz w:val="24"/>
          <w:szCs w:val="20"/>
          <w:u w:val="single"/>
        </w:rPr>
        <w:t xml:space="preserve">                         （采购项目名称）</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pPr>
        <w:pStyle w:val="228"/>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我方对委托代理人的签字或盖章事项负全部责任。</w:t>
      </w:r>
    </w:p>
    <w:p>
      <w:pPr>
        <w:pStyle w:val="228"/>
        <w:spacing w:line="440" w:lineRule="exact"/>
        <w:ind w:firstLine="480"/>
        <w:rPr>
          <w:rFonts w:ascii="宋体" w:hAnsi="宋体"/>
          <w:sz w:val="24"/>
          <w:szCs w:val="21"/>
          <w:lang/>
        </w:rPr>
      </w:pPr>
      <w:r>
        <w:rPr>
          <w:rFonts w:hint="eastAsia" w:ascii="宋体" w:hAnsi="宋体"/>
          <w:sz w:val="24"/>
          <w:szCs w:val="21"/>
          <w:lang/>
        </w:rPr>
        <w:t>本授权书自签署之日起生效，在撤销授权的书面通知送达贵方以前，本授权委托书一直有效。委托代理人在授权书有效期内签署的所有文件不因授权的撤销而失效。</w:t>
      </w:r>
    </w:p>
    <w:p>
      <w:pPr>
        <w:pStyle w:val="228"/>
        <w:spacing w:line="440" w:lineRule="exact"/>
        <w:ind w:firstLine="480"/>
        <w:rPr>
          <w:rFonts w:ascii="宋体" w:hAnsi="宋体"/>
          <w:sz w:val="24"/>
          <w:szCs w:val="21"/>
          <w:lang/>
        </w:rPr>
      </w:pPr>
      <w:r>
        <w:rPr>
          <w:rFonts w:hint="eastAsia" w:ascii="宋体" w:hAnsi="宋体"/>
          <w:sz w:val="24"/>
          <w:szCs w:val="21"/>
          <w:lang/>
        </w:rPr>
        <w:t>委托代理人无转委托权，特此声明。</w:t>
      </w:r>
    </w:p>
    <w:p>
      <w:pPr>
        <w:pStyle w:val="228"/>
        <w:spacing w:line="440" w:lineRule="exact"/>
        <w:ind w:firstLine="480"/>
        <w:rPr>
          <w:rFonts w:ascii="宋体" w:hAnsi="宋体"/>
          <w:sz w:val="24"/>
          <w:szCs w:val="21"/>
          <w:lang/>
        </w:rPr>
      </w:pPr>
    </w:p>
    <w:p>
      <w:pPr>
        <w:pStyle w:val="228"/>
        <w:spacing w:line="440" w:lineRule="exact"/>
        <w:ind w:firstLine="3840" w:firstLineChars="1600"/>
        <w:rPr>
          <w:rFonts w:ascii="宋体" w:hAnsi="宋体"/>
          <w:spacing w:val="20"/>
          <w:sz w:val="24"/>
          <w:szCs w:val="21"/>
          <w:lang/>
        </w:rPr>
      </w:pPr>
      <w:r>
        <w:rPr>
          <w:rFonts w:hint="eastAsia" w:ascii="宋体" w:hAnsi="宋体"/>
          <w:sz w:val="24"/>
          <w:szCs w:val="21"/>
          <w:lang/>
        </w:rPr>
        <w:t xml:space="preserve">     </w:t>
      </w:r>
      <w:r>
        <w:rPr>
          <w:rFonts w:ascii="宋体" w:hAnsi="宋体"/>
          <w:spacing w:val="20"/>
          <w:sz w:val="24"/>
          <w:szCs w:val="21"/>
          <w:lang/>
        </w:rPr>
        <w:t>负责人</w:t>
      </w:r>
      <w:r>
        <w:rPr>
          <w:rFonts w:hint="eastAsia" w:ascii="宋体" w:hAnsi="宋体"/>
          <w:spacing w:val="20"/>
          <w:sz w:val="24"/>
          <w:szCs w:val="21"/>
          <w:lang/>
        </w:rPr>
        <w:t>签字或盖章</w:t>
      </w:r>
      <w:r>
        <w:rPr>
          <w:rFonts w:ascii="宋体" w:hAnsi="宋体"/>
          <w:spacing w:val="20"/>
          <w:sz w:val="24"/>
          <w:szCs w:val="21"/>
          <w:lang/>
        </w:rPr>
        <w:t>：</w:t>
      </w:r>
      <w:r>
        <w:rPr>
          <w:rFonts w:ascii="宋体" w:hAnsi="宋体"/>
          <w:spacing w:val="20"/>
          <w:sz w:val="24"/>
          <w:szCs w:val="21"/>
          <w:u w:val="single"/>
          <w:lang/>
        </w:rPr>
        <w:t xml:space="preserve">       </w:t>
      </w:r>
    </w:p>
    <w:p>
      <w:pPr>
        <w:pStyle w:val="228"/>
        <w:spacing w:line="440" w:lineRule="exact"/>
        <w:ind w:firstLine="4480" w:firstLineChars="1600"/>
        <w:rPr>
          <w:rFonts w:ascii="宋体" w:hAnsi="宋体"/>
          <w:spacing w:val="20"/>
          <w:sz w:val="24"/>
          <w:szCs w:val="21"/>
          <w:u w:val="single"/>
          <w:lang/>
        </w:rPr>
      </w:pPr>
      <w:r>
        <w:rPr>
          <w:rFonts w:ascii="宋体" w:hAnsi="宋体"/>
          <w:spacing w:val="20"/>
          <w:sz w:val="24"/>
          <w:szCs w:val="21"/>
          <w:lang/>
        </w:rPr>
        <w:t>投标人盖章：</w:t>
      </w:r>
      <w:r>
        <w:rPr>
          <w:rFonts w:ascii="宋体" w:hAnsi="宋体"/>
          <w:spacing w:val="20"/>
          <w:sz w:val="24"/>
          <w:szCs w:val="21"/>
          <w:u w:val="single"/>
          <w:lang/>
        </w:rPr>
        <w:t xml:space="preserve">            </w:t>
      </w:r>
    </w:p>
    <w:p>
      <w:pPr>
        <w:pStyle w:val="228"/>
        <w:spacing w:line="440" w:lineRule="exact"/>
        <w:ind w:firstLine="4480" w:firstLineChars="1600"/>
        <w:rPr>
          <w:rFonts w:ascii="宋体" w:hAnsi="宋体"/>
          <w:spacing w:val="20"/>
          <w:sz w:val="24"/>
          <w:szCs w:val="21"/>
          <w:u w:val="single"/>
          <w:lang/>
        </w:rPr>
      </w:pPr>
      <w:r>
        <w:rPr>
          <w:rFonts w:ascii="宋体" w:hAnsi="宋体"/>
          <w:spacing w:val="20"/>
          <w:sz w:val="24"/>
          <w:szCs w:val="21"/>
          <w:lang/>
        </w:rPr>
        <w:t>日     期：</w:t>
      </w:r>
      <w:r>
        <w:rPr>
          <w:rFonts w:ascii="宋体" w:hAnsi="宋体"/>
          <w:spacing w:val="20"/>
          <w:sz w:val="24"/>
          <w:szCs w:val="21"/>
          <w:u w:val="single"/>
          <w:lang/>
        </w:rPr>
        <w:t xml:space="preserve">            </w:t>
      </w:r>
    </w:p>
    <w:p>
      <w:pPr>
        <w:pStyle w:val="228"/>
        <w:spacing w:line="440" w:lineRule="exact"/>
        <w:rPr>
          <w:rFonts w:ascii="宋体" w:hAnsi="宋体"/>
          <w:sz w:val="24"/>
          <w:szCs w:val="21"/>
          <w:lang/>
        </w:rPr>
      </w:pPr>
      <w:r>
        <w:rPr>
          <w:rFonts w:ascii="宋体" w:hAnsi="宋体"/>
          <w:sz w:val="24"/>
          <w:szCs w:val="21"/>
          <w:lang/>
        </w:rPr>
        <w:t>_____________________________________________________________________</w:t>
      </w:r>
    </w:p>
    <w:p>
      <w:pPr>
        <w:pStyle w:val="228"/>
        <w:spacing w:line="440" w:lineRule="exact"/>
        <w:ind w:firstLine="480"/>
        <w:rPr>
          <w:rFonts w:ascii="宋体" w:hAnsi="宋体"/>
          <w:sz w:val="24"/>
          <w:szCs w:val="21"/>
          <w:lang/>
        </w:rPr>
      </w:pPr>
      <w:r>
        <w:rPr>
          <w:rFonts w:hint="eastAsia" w:ascii="宋体" w:hAnsi="宋体"/>
          <w:sz w:val="24"/>
          <w:szCs w:val="21"/>
          <w:lang/>
        </w:rPr>
        <w:t>附：1、委托代理人工作单位：</w:t>
      </w:r>
      <w:r>
        <w:rPr>
          <w:rFonts w:hint="eastAsia" w:ascii="宋体" w:hAnsi="宋体"/>
          <w:sz w:val="24"/>
          <w:szCs w:val="21"/>
          <w:lang/>
        </w:rPr>
        <w:tab/>
      </w:r>
      <w:r>
        <w:rPr>
          <w:rFonts w:hint="eastAsia" w:ascii="宋体" w:hAnsi="宋体"/>
          <w:sz w:val="24"/>
          <w:szCs w:val="21"/>
          <w:lang/>
        </w:rPr>
        <w:tab/>
      </w:r>
      <w:r>
        <w:rPr>
          <w:rFonts w:hint="eastAsia" w:ascii="宋体" w:hAnsi="宋体"/>
          <w:sz w:val="24"/>
          <w:szCs w:val="21"/>
          <w:lang/>
        </w:rPr>
        <w:tab/>
      </w:r>
      <w:r>
        <w:rPr>
          <w:rFonts w:hint="eastAsia" w:ascii="宋体" w:hAnsi="宋体"/>
          <w:sz w:val="24"/>
          <w:szCs w:val="21"/>
          <w:lang/>
        </w:rPr>
        <w:tab/>
      </w:r>
      <w:r>
        <w:rPr>
          <w:rFonts w:hint="eastAsia" w:ascii="宋体" w:hAnsi="宋体"/>
          <w:sz w:val="24"/>
          <w:szCs w:val="21"/>
          <w:lang/>
        </w:rPr>
        <w:tab/>
      </w:r>
      <w:r>
        <w:rPr>
          <w:rFonts w:hint="eastAsia" w:ascii="宋体" w:hAnsi="宋体"/>
          <w:sz w:val="24"/>
          <w:szCs w:val="21"/>
          <w:lang/>
        </w:rPr>
        <w:t xml:space="preserve">职务： </w:t>
      </w:r>
    </w:p>
    <w:p>
      <w:pPr>
        <w:pStyle w:val="228"/>
        <w:spacing w:line="440" w:lineRule="exact"/>
        <w:ind w:firstLine="480"/>
        <w:rPr>
          <w:rFonts w:ascii="宋体" w:hAnsi="宋体"/>
          <w:sz w:val="24"/>
          <w:szCs w:val="21"/>
          <w:lang/>
        </w:rPr>
      </w:pPr>
      <w:r>
        <w:rPr>
          <w:rFonts w:hint="eastAsia" w:ascii="宋体" w:hAnsi="宋体"/>
          <w:sz w:val="24"/>
          <w:szCs w:val="21"/>
          <w:lang/>
        </w:rPr>
        <w:t xml:space="preserve">       身份证号码：　　　　　　　　　　</w:t>
      </w:r>
      <w:r>
        <w:rPr>
          <w:rFonts w:hint="eastAsia" w:ascii="宋体" w:hAnsi="宋体"/>
          <w:sz w:val="24"/>
          <w:szCs w:val="21"/>
          <w:lang/>
        </w:rPr>
        <w:tab/>
      </w:r>
      <w:r>
        <w:rPr>
          <w:rFonts w:hint="eastAsia" w:ascii="宋体" w:hAnsi="宋体"/>
          <w:sz w:val="24"/>
          <w:szCs w:val="21"/>
          <w:lang/>
        </w:rPr>
        <w:t xml:space="preserve">性别：　    </w:t>
      </w:r>
    </w:p>
    <w:p>
      <w:pPr>
        <w:pStyle w:val="228"/>
        <w:spacing w:line="360" w:lineRule="auto"/>
        <w:ind w:firstLine="420"/>
        <w:rPr>
          <w:rFonts w:ascii="宋体" w:hAnsi="宋体"/>
          <w:b/>
          <w:sz w:val="24"/>
          <w:szCs w:val="21"/>
          <w:lang/>
        </w:rPr>
      </w:pPr>
    </w:p>
    <w:p>
      <w:pPr>
        <w:pStyle w:val="228"/>
        <w:spacing w:line="360" w:lineRule="auto"/>
        <w:ind w:firstLine="420"/>
        <w:rPr>
          <w:rFonts w:hint="eastAsia" w:ascii="宋体" w:hAnsi="宋体"/>
          <w:sz w:val="24"/>
          <w:szCs w:val="21"/>
          <w:lang/>
        </w:rPr>
      </w:pPr>
      <w:r>
        <w:rPr>
          <w:rFonts w:hint="eastAsia" w:ascii="宋体" w:hAnsi="宋体"/>
          <w:b/>
          <w:sz w:val="24"/>
          <w:szCs w:val="21"/>
          <w:lang/>
        </w:rPr>
        <w:t>注：</w:t>
      </w:r>
      <w:r>
        <w:rPr>
          <w:rFonts w:hint="eastAsia" w:ascii="宋体" w:hAnsi="宋体"/>
          <w:sz w:val="24"/>
          <w:szCs w:val="21"/>
          <w:lang/>
        </w:rPr>
        <w:t>1、投标人为法人企业的，其负责人为其法定代表人；投标人为其他组织的，其负责人为</w:t>
      </w:r>
      <w:r>
        <w:rPr>
          <w:rFonts w:ascii="宋体" w:hAnsi="宋体"/>
          <w:sz w:val="24"/>
          <w:szCs w:val="21"/>
          <w:lang/>
        </w:rPr>
        <w:t>法律、行政法规规定代表单位行使职权的主要负责人</w:t>
      </w:r>
      <w:r>
        <w:rPr>
          <w:rFonts w:hint="eastAsia" w:ascii="宋体" w:hAnsi="宋体"/>
          <w:sz w:val="24"/>
          <w:szCs w:val="21"/>
          <w:lang/>
        </w:rPr>
        <w:t>；。</w:t>
      </w:r>
    </w:p>
    <w:p>
      <w:pPr>
        <w:pStyle w:val="228"/>
        <w:spacing w:line="360" w:lineRule="auto"/>
        <w:ind w:firstLine="900" w:firstLineChars="375"/>
        <w:rPr>
          <w:rFonts w:ascii="宋体" w:hAnsi="宋体"/>
          <w:sz w:val="24"/>
          <w:szCs w:val="21"/>
          <w:lang/>
        </w:rPr>
      </w:pPr>
      <w:r>
        <w:rPr>
          <w:rFonts w:hint="eastAsia" w:ascii="宋体" w:hAnsi="宋体"/>
          <w:sz w:val="24"/>
          <w:szCs w:val="21"/>
          <w:lang/>
        </w:rPr>
        <w:t>2、委托人为上述条款中的负责人。</w:t>
      </w:r>
    </w:p>
    <w:p>
      <w:pPr>
        <w:pStyle w:val="228"/>
        <w:spacing w:line="360" w:lineRule="auto"/>
        <w:ind w:firstLine="900" w:firstLineChars="375"/>
        <w:rPr>
          <w:rFonts w:ascii="宋体" w:hAnsi="宋体"/>
          <w:sz w:val="24"/>
          <w:szCs w:val="21"/>
          <w:lang/>
        </w:rPr>
      </w:pPr>
      <w:r>
        <w:rPr>
          <w:rFonts w:ascii="宋体" w:hAnsi="宋体"/>
          <w:sz w:val="24"/>
          <w:szCs w:val="21"/>
          <w:lang/>
        </w:rPr>
        <w:t>3</w:t>
      </w:r>
      <w:r>
        <w:rPr>
          <w:rFonts w:hint="eastAsia" w:ascii="宋体" w:hAnsi="宋体"/>
          <w:sz w:val="24"/>
          <w:szCs w:val="21"/>
          <w:lang/>
        </w:rPr>
        <w:t>、本“授权委托书”需附负责人和委托代理人身份证件扫描件（或复印件），如扫描件（或复印件）不清晰或错误的，后果由投标人承担。</w:t>
      </w:r>
      <w:r>
        <w:rPr>
          <w:rFonts w:hint="eastAsia" w:ascii="宋体" w:hAnsi="宋体"/>
          <w:b/>
          <w:sz w:val="24"/>
          <w:szCs w:val="21"/>
          <w:lang/>
        </w:rPr>
        <w:t>负责人参加投标的，提供负责人身份证原件核对，委托代理人参加投标的，提供委托代理人身份证原件核对。</w:t>
      </w:r>
    </w:p>
    <w:p>
      <w:pPr>
        <w:pStyle w:val="229"/>
        <w:spacing w:line="440" w:lineRule="exact"/>
        <w:ind w:firstLine="420" w:firstLineChars="200"/>
        <w:rPr>
          <w:rFonts w:hAnsi="宋体"/>
          <w:bCs/>
          <w:sz w:val="24"/>
        </w:rPr>
      </w:pPr>
      <w:r>
        <w:rPr>
          <w:rFonts w:hAnsi="宋体"/>
        </w:rPr>
        <w:br w:type="page"/>
      </w:r>
      <w:r>
        <w:rPr>
          <w:rFonts w:hint="eastAsia" w:hAnsi="宋体"/>
          <w:bCs/>
          <w:sz w:val="24"/>
        </w:rPr>
        <w:t>负责人身份证件扫描件：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noWrap w:val="0"/>
            <w:vAlign w:val="top"/>
          </w:tcPr>
          <w:p>
            <w:pPr>
              <w:pStyle w:val="229"/>
              <w:spacing w:line="440" w:lineRule="exact"/>
              <w:rPr>
                <w:rFonts w:hAnsi="宋体"/>
                <w:bCs/>
                <w:sz w:val="24"/>
                <w:lang w:eastAsia="zh-CN"/>
              </w:rPr>
            </w:pPr>
            <w:r>
              <w:rPr>
                <w:rFonts w:hint="eastAsia" w:hAnsi="宋体"/>
                <w:bCs/>
                <w:sz w:val="24"/>
                <w:lang w:eastAsia="zh-CN"/>
              </w:rPr>
              <w:t>正面</w:t>
            </w:r>
            <w:r>
              <w:rPr>
                <w:rFonts w:hAnsi="宋体"/>
                <w:bCs/>
                <w:sz w:val="24"/>
                <w:lang w:eastAsia="zh-CN"/>
              </w:rPr>
              <w:t>：</w:t>
            </w:r>
            <w:r>
              <w:rPr>
                <w:rFonts w:hint="eastAsia" w:hAnsi="宋体"/>
                <w:bCs/>
                <w:sz w:val="24"/>
                <w:lang w:eastAsia="zh-CN"/>
              </w:rPr>
              <w:t xml:space="preserve">                                 反面</w:t>
            </w:r>
            <w:r>
              <w:rPr>
                <w:rFonts w:hAnsi="宋体"/>
                <w:bCs/>
                <w:sz w:val="24"/>
                <w:lang w:eastAsia="zh-CN"/>
              </w:rPr>
              <w:t>：</w:t>
            </w:r>
          </w:p>
          <w:p>
            <w:pPr>
              <w:pStyle w:val="229"/>
              <w:spacing w:line="440" w:lineRule="exact"/>
              <w:rPr>
                <w:rFonts w:hint="eastAsia" w:hAnsi="宋体"/>
                <w:bCs/>
                <w:sz w:val="24"/>
                <w:lang w:eastAsia="zh-CN"/>
              </w:rPr>
            </w:pPr>
          </w:p>
        </w:tc>
      </w:tr>
    </w:tbl>
    <w:p>
      <w:pPr>
        <w:pStyle w:val="229"/>
        <w:spacing w:line="440" w:lineRule="exact"/>
        <w:rPr>
          <w:rFonts w:hAnsi="宋体"/>
          <w:bCs/>
          <w:sz w:val="24"/>
        </w:rPr>
      </w:pPr>
      <w:r>
        <w:rPr>
          <w:rFonts w:hint="eastAsia" w:hAnsi="宋体"/>
          <w:bCs/>
          <w:sz w:val="24"/>
          <w:lang w:eastAsia="zh-CN"/>
        </w:rPr>
        <w:t>委托代理人</w:t>
      </w:r>
      <w:r>
        <w:rPr>
          <w:rFonts w:hint="eastAsia" w:hAnsi="宋体"/>
          <w:bCs/>
          <w:sz w:val="24"/>
        </w:rPr>
        <w:t>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noWrap w:val="0"/>
            <w:vAlign w:val="top"/>
          </w:tcPr>
          <w:p>
            <w:pPr>
              <w:pStyle w:val="229"/>
              <w:spacing w:line="440" w:lineRule="exact"/>
              <w:rPr>
                <w:rFonts w:hAnsi="宋体"/>
                <w:bCs/>
                <w:sz w:val="24"/>
                <w:lang w:eastAsia="zh-CN"/>
              </w:rPr>
            </w:pPr>
            <w:r>
              <w:rPr>
                <w:rFonts w:hint="eastAsia" w:hAnsi="宋体"/>
                <w:bCs/>
                <w:sz w:val="24"/>
                <w:lang w:eastAsia="zh-CN"/>
              </w:rPr>
              <w:t>正面</w:t>
            </w:r>
            <w:r>
              <w:rPr>
                <w:rFonts w:hAnsi="宋体"/>
                <w:bCs/>
                <w:sz w:val="24"/>
                <w:lang w:eastAsia="zh-CN"/>
              </w:rPr>
              <w:t>：</w:t>
            </w:r>
            <w:r>
              <w:rPr>
                <w:rFonts w:hint="eastAsia" w:hAnsi="宋体"/>
                <w:bCs/>
                <w:sz w:val="24"/>
                <w:lang w:eastAsia="zh-CN"/>
              </w:rPr>
              <w:t xml:space="preserve">                                 反面</w:t>
            </w:r>
            <w:r>
              <w:rPr>
                <w:rFonts w:hAnsi="宋体"/>
                <w:bCs/>
                <w:sz w:val="24"/>
                <w:lang w:eastAsia="zh-CN"/>
              </w:rPr>
              <w:t>：</w:t>
            </w:r>
          </w:p>
          <w:p>
            <w:pPr>
              <w:pStyle w:val="229"/>
              <w:spacing w:line="440" w:lineRule="exact"/>
              <w:rPr>
                <w:rFonts w:hint="eastAsia" w:hAnsi="宋体"/>
                <w:bCs/>
                <w:sz w:val="24"/>
                <w:lang w:eastAsia="zh-CN"/>
              </w:rPr>
            </w:pPr>
          </w:p>
        </w:tc>
      </w:tr>
    </w:tbl>
    <w:p>
      <w:pPr>
        <w:pStyle w:val="229"/>
        <w:spacing w:line="360" w:lineRule="auto"/>
        <w:ind w:firstLine="4480" w:firstLineChars="1600"/>
        <w:rPr>
          <w:rFonts w:hint="eastAsia" w:hAnsi="宋体"/>
          <w:spacing w:val="20"/>
          <w:sz w:val="24"/>
          <w:lang w:eastAsia="zh-CN"/>
        </w:rPr>
      </w:pPr>
    </w:p>
    <w:p>
      <w:pPr>
        <w:pStyle w:val="229"/>
        <w:spacing w:line="360" w:lineRule="auto"/>
        <w:ind w:firstLine="4480" w:firstLineChars="1600"/>
        <w:rPr>
          <w:rFonts w:hint="eastAsia" w:hAnsi="宋体"/>
          <w:spacing w:val="20"/>
          <w:sz w:val="24"/>
          <w:lang w:eastAsia="zh-CN"/>
        </w:rPr>
      </w:pPr>
    </w:p>
    <w:p>
      <w:pPr>
        <w:pStyle w:val="4"/>
        <w:spacing w:before="240" w:after="240"/>
        <w:ind w:firstLine="0" w:firstLineChars="0"/>
        <w:jc w:val="center"/>
        <w:rPr>
          <w:rFonts w:ascii="宋体" w:hAnsi="宋体" w:eastAsia="宋体"/>
        </w:rPr>
        <w:sectPr>
          <w:pgSz w:w="11906" w:h="16838"/>
          <w:pgMar w:top="1440" w:right="1440" w:bottom="1440" w:left="1440" w:header="851" w:footer="851" w:gutter="0"/>
          <w:cols w:space="425" w:num="1"/>
          <w:titlePg/>
          <w:docGrid w:linePitch="312" w:charSpace="0"/>
        </w:sectPr>
      </w:pPr>
    </w:p>
    <w:p>
      <w:pPr>
        <w:spacing w:line="360" w:lineRule="auto"/>
        <w:jc w:val="center"/>
        <w:rPr>
          <w:rFonts w:ascii="宋体" w:hAnsi="宋体"/>
          <w:sz w:val="30"/>
        </w:rPr>
      </w:pPr>
      <w:r>
        <w:rPr>
          <w:rFonts w:hint="eastAsia" w:ascii="宋体" w:hAnsi="宋体"/>
          <w:sz w:val="30"/>
        </w:rPr>
        <w:t>3、财务状况报告</w:t>
      </w:r>
    </w:p>
    <w:p>
      <w:pPr>
        <w:pStyle w:val="240"/>
        <w:spacing w:after="120" w:line="360" w:lineRule="auto"/>
        <w:ind w:firstLine="482" w:firstLineChars="200"/>
        <w:rPr>
          <w:rFonts w:ascii="宋体" w:hAnsi="宋体"/>
          <w:b/>
          <w:bCs/>
          <w:sz w:val="24"/>
        </w:rPr>
      </w:pPr>
      <w:r>
        <w:rPr>
          <w:rFonts w:hint="eastAsia" w:ascii="宋体" w:hAnsi="宋体"/>
          <w:b/>
          <w:bCs/>
          <w:sz w:val="24"/>
        </w:rPr>
        <w:t>投标人可提供以下1和2其中一种材料作为本单位财务状态报告：</w:t>
      </w:r>
    </w:p>
    <w:p>
      <w:pPr>
        <w:pStyle w:val="240"/>
        <w:spacing w:after="120" w:line="360" w:lineRule="auto"/>
        <w:ind w:firstLine="480" w:firstLineChars="200"/>
        <w:rPr>
          <w:rFonts w:ascii="宋体" w:hAnsi="宋体"/>
          <w:bCs/>
          <w:sz w:val="24"/>
        </w:rPr>
      </w:pPr>
      <w:r>
        <w:rPr>
          <w:rFonts w:hint="eastAsia" w:ascii="宋体" w:hAnsi="宋体"/>
          <w:bCs/>
          <w:sz w:val="24"/>
        </w:rPr>
        <w:t>1.提供经审计的财务报告，包括资产负载表、利润表、现金流量表、所有者权益变动表；</w:t>
      </w:r>
    </w:p>
    <w:p>
      <w:pPr>
        <w:pStyle w:val="240"/>
        <w:spacing w:after="120" w:line="360" w:lineRule="auto"/>
        <w:ind w:firstLine="480" w:firstLineChars="200"/>
        <w:rPr>
          <w:rFonts w:hint="eastAsia" w:ascii="宋体" w:hAnsi="宋体"/>
          <w:bCs/>
          <w:sz w:val="24"/>
        </w:rPr>
      </w:pPr>
      <w:r>
        <w:rPr>
          <w:rFonts w:hint="eastAsia" w:ascii="宋体" w:hAnsi="宋体"/>
          <w:bCs/>
          <w:sz w:val="24"/>
        </w:rPr>
        <w:t>2.银行出具的资信证明复印件；</w:t>
      </w:r>
    </w:p>
    <w:p>
      <w:pPr>
        <w:spacing w:line="360" w:lineRule="auto"/>
        <w:ind w:firstLine="480" w:firstLineChars="200"/>
        <w:rPr>
          <w:rFonts w:hint="eastAsia" w:ascii="宋体" w:hAnsi="宋体"/>
          <w:sz w:val="24"/>
        </w:rPr>
      </w:pPr>
      <w:r>
        <w:rPr>
          <w:rFonts w:hint="eastAsia" w:ascii="宋体" w:hAnsi="宋体"/>
          <w:bCs/>
          <w:sz w:val="24"/>
        </w:rPr>
        <w:t>注：</w:t>
      </w:r>
      <w:r>
        <w:rPr>
          <w:rFonts w:hint="eastAsia" w:ascii="宋体" w:hAnsi="宋体"/>
          <w:sz w:val="24"/>
        </w:rPr>
        <w:t>复印件</w:t>
      </w:r>
      <w:r>
        <w:rPr>
          <w:rFonts w:ascii="宋体" w:hAnsi="宋体"/>
          <w:sz w:val="24"/>
        </w:rPr>
        <w:t>须加盖</w:t>
      </w:r>
      <w:r>
        <w:rPr>
          <w:rFonts w:hint="eastAsia" w:ascii="宋体" w:hAnsi="宋体"/>
          <w:sz w:val="24"/>
        </w:rPr>
        <w:t>投标人章</w:t>
      </w:r>
      <w:r>
        <w:rPr>
          <w:rFonts w:ascii="宋体" w:hAnsi="宋体"/>
          <w:sz w:val="24"/>
        </w:rPr>
        <w:t>。</w:t>
      </w:r>
    </w:p>
    <w:p>
      <w:pPr>
        <w:pStyle w:val="240"/>
        <w:spacing w:after="120" w:line="360" w:lineRule="auto"/>
        <w:ind w:firstLine="480" w:firstLineChars="200"/>
        <w:rPr>
          <w:rFonts w:ascii="宋体" w:hAnsi="宋体"/>
          <w:bCs/>
          <w:sz w:val="24"/>
        </w:rPr>
        <w:sectPr>
          <w:pgSz w:w="11906" w:h="16838"/>
          <w:pgMar w:top="1440" w:right="1440" w:bottom="1440" w:left="1440" w:header="851" w:footer="851" w:gutter="0"/>
          <w:cols w:space="425" w:num="1"/>
          <w:titlePg/>
          <w:docGrid w:linePitch="312" w:charSpace="0"/>
        </w:sectPr>
      </w:pPr>
    </w:p>
    <w:p>
      <w:pPr>
        <w:spacing w:line="360" w:lineRule="auto"/>
        <w:jc w:val="center"/>
        <w:rPr>
          <w:rFonts w:hint="eastAsia" w:ascii="宋体" w:hAnsi="宋体"/>
          <w:sz w:val="30"/>
        </w:rPr>
      </w:pPr>
      <w:r>
        <w:rPr>
          <w:rFonts w:hint="eastAsia" w:ascii="宋体" w:hAnsi="宋体"/>
          <w:sz w:val="30"/>
        </w:rPr>
        <w:t>4、</w:t>
      </w:r>
      <w:r>
        <w:rPr>
          <w:rFonts w:ascii="宋体" w:hAnsi="宋体"/>
          <w:sz w:val="30"/>
        </w:rPr>
        <w:t>依法缴纳税收和社会保障资金</w:t>
      </w:r>
    </w:p>
    <w:p>
      <w:pPr>
        <w:pStyle w:val="241"/>
        <w:spacing w:line="360" w:lineRule="auto"/>
        <w:rPr>
          <w:rFonts w:hint="eastAsia" w:ascii="宋体" w:hAnsi="宋体"/>
          <w:b/>
          <w:sz w:val="24"/>
          <w:szCs w:val="24"/>
        </w:rPr>
      </w:pPr>
      <w:r>
        <w:rPr>
          <w:rFonts w:hint="eastAsia" w:ascii="宋体" w:hAnsi="宋体"/>
          <w:b/>
          <w:sz w:val="24"/>
          <w:szCs w:val="24"/>
        </w:rPr>
        <w:t>依法缴纳税收和社会保障资金的相关材料要求</w:t>
      </w:r>
      <w:r>
        <w:rPr>
          <w:rFonts w:ascii="宋体" w:hAnsi="宋体"/>
          <w:b/>
          <w:sz w:val="24"/>
          <w:szCs w:val="24"/>
        </w:rPr>
        <w:t>：</w:t>
      </w:r>
    </w:p>
    <w:p>
      <w:pPr>
        <w:pStyle w:val="241"/>
        <w:spacing w:line="360" w:lineRule="auto"/>
        <w:ind w:firstLine="540" w:firstLineChars="225"/>
        <w:rPr>
          <w:rFonts w:hint="eastAsia" w:ascii="宋体" w:hAnsi="宋体"/>
          <w:b/>
          <w:sz w:val="24"/>
          <w:szCs w:val="24"/>
        </w:rPr>
      </w:pPr>
      <w:r>
        <w:rPr>
          <w:rFonts w:hint="eastAsia" w:ascii="宋体" w:hAnsi="宋体"/>
          <w:sz w:val="24"/>
          <w:szCs w:val="24"/>
        </w:rPr>
        <w:t>营业执照属于三证合一的，则不需要提供税务登记证复印件。营业执照属于五证合一的，则不需要提供税务登记证和社会保险登记证复印件。</w:t>
      </w:r>
    </w:p>
    <w:p>
      <w:pPr>
        <w:pStyle w:val="241"/>
        <w:spacing w:line="360" w:lineRule="auto"/>
        <w:ind w:firstLine="420"/>
        <w:rPr>
          <w:rFonts w:ascii="宋体" w:hAnsi="宋体"/>
          <w:sz w:val="24"/>
          <w:szCs w:val="24"/>
        </w:rPr>
      </w:pPr>
      <w:r>
        <w:rPr>
          <w:rFonts w:hint="eastAsia" w:ascii="宋体" w:hAnsi="宋体"/>
          <w:sz w:val="24"/>
          <w:szCs w:val="24"/>
        </w:rPr>
        <w:t>1.提供投标人税务登记证（国税、地税）</w:t>
      </w:r>
      <w:r>
        <w:rPr>
          <w:rFonts w:hint="eastAsia" w:ascii="宋体" w:hAnsi="宋体"/>
          <w:b/>
          <w:sz w:val="24"/>
          <w:szCs w:val="24"/>
        </w:rPr>
        <w:t>和</w:t>
      </w:r>
      <w:r>
        <w:rPr>
          <w:rFonts w:hint="eastAsia" w:ascii="宋体" w:hAnsi="宋体"/>
          <w:sz w:val="24"/>
          <w:szCs w:val="24"/>
        </w:rPr>
        <w:t>参加本项目采购活动前近三个月内相应税务机关出具的完税证明，包括缴纳增值税、企业所得税等凭据的复印件；</w:t>
      </w:r>
    </w:p>
    <w:p>
      <w:pPr>
        <w:pStyle w:val="241"/>
        <w:spacing w:line="360" w:lineRule="auto"/>
        <w:ind w:firstLine="420"/>
        <w:rPr>
          <w:rFonts w:ascii="宋体" w:hAnsi="宋体"/>
          <w:sz w:val="24"/>
          <w:szCs w:val="24"/>
        </w:rPr>
      </w:pPr>
      <w:r>
        <w:rPr>
          <w:rFonts w:hint="eastAsia" w:ascii="宋体" w:hAnsi="宋体"/>
          <w:sz w:val="24"/>
          <w:szCs w:val="24"/>
        </w:rPr>
        <w:t>2.提供投标人社会保险登记证</w:t>
      </w:r>
      <w:r>
        <w:rPr>
          <w:rFonts w:hint="eastAsia" w:ascii="宋体" w:hAnsi="宋体"/>
          <w:b/>
          <w:sz w:val="24"/>
          <w:szCs w:val="24"/>
        </w:rPr>
        <w:t>和</w:t>
      </w:r>
      <w:r>
        <w:rPr>
          <w:rFonts w:hint="eastAsia" w:ascii="宋体" w:hAnsi="宋体"/>
          <w:sz w:val="24"/>
          <w:szCs w:val="24"/>
        </w:rPr>
        <w:t>参加政府采购活动前</w:t>
      </w:r>
      <w:r>
        <w:rPr>
          <w:rFonts w:hint="eastAsia" w:ascii="宋体" w:hAnsi="宋体"/>
          <w:sz w:val="24"/>
        </w:rPr>
        <w:t>近三个月内任意一个月的</w:t>
      </w:r>
      <w:r>
        <w:rPr>
          <w:rFonts w:hint="eastAsia" w:ascii="宋体" w:hAnsi="宋体"/>
          <w:sz w:val="24"/>
          <w:szCs w:val="24"/>
        </w:rPr>
        <w:t>内缴纳社会保险的凭据（专用收据或社会保险缴纳清单）复印件；</w:t>
      </w:r>
    </w:p>
    <w:p>
      <w:pPr>
        <w:pStyle w:val="241"/>
        <w:spacing w:line="360" w:lineRule="auto"/>
        <w:ind w:firstLine="420"/>
        <w:rPr>
          <w:rFonts w:ascii="宋体" w:hAnsi="宋体"/>
          <w:sz w:val="24"/>
          <w:szCs w:val="24"/>
        </w:rPr>
      </w:pPr>
      <w:r>
        <w:rPr>
          <w:rFonts w:hint="eastAsia" w:ascii="宋体" w:hAnsi="宋体"/>
          <w:sz w:val="24"/>
          <w:szCs w:val="24"/>
        </w:rPr>
        <w:t>3.依法免税或不需要缴纳社会保障资金的投标人，应提供相应文件证明其依法免税</w:t>
      </w:r>
      <w:r>
        <w:rPr>
          <w:rFonts w:hint="eastAsia" w:ascii="宋体" w:hAnsi="宋体"/>
          <w:b/>
          <w:sz w:val="24"/>
          <w:szCs w:val="24"/>
        </w:rPr>
        <w:t>或</w:t>
      </w:r>
      <w:r>
        <w:rPr>
          <w:rFonts w:hint="eastAsia" w:ascii="宋体" w:hAnsi="宋体"/>
          <w:sz w:val="24"/>
          <w:szCs w:val="24"/>
        </w:rPr>
        <w:t>不需要缴纳社会保障资金的材料复印件；</w:t>
      </w:r>
    </w:p>
    <w:p>
      <w:pPr>
        <w:pStyle w:val="241"/>
        <w:spacing w:line="360" w:lineRule="auto"/>
        <w:ind w:firstLine="420"/>
        <w:rPr>
          <w:rFonts w:ascii="宋体" w:hAnsi="宋体"/>
          <w:sz w:val="24"/>
          <w:szCs w:val="24"/>
        </w:rPr>
      </w:pPr>
      <w:r>
        <w:rPr>
          <w:rFonts w:hint="eastAsia" w:ascii="宋体" w:hAnsi="宋体"/>
          <w:sz w:val="24"/>
          <w:szCs w:val="24"/>
        </w:rPr>
        <w:t>注：</w:t>
      </w:r>
      <w:r>
        <w:rPr>
          <w:rFonts w:hint="eastAsia" w:ascii="宋体" w:hAnsi="宋体"/>
          <w:sz w:val="24"/>
        </w:rPr>
        <w:t>复印件</w:t>
      </w:r>
      <w:r>
        <w:rPr>
          <w:rFonts w:ascii="宋体" w:hAnsi="宋体"/>
          <w:sz w:val="24"/>
        </w:rPr>
        <w:t>须加盖</w:t>
      </w:r>
      <w:r>
        <w:rPr>
          <w:rFonts w:hint="eastAsia" w:ascii="宋体" w:hAnsi="宋体"/>
          <w:sz w:val="24"/>
        </w:rPr>
        <w:t>投标人章</w:t>
      </w:r>
      <w:r>
        <w:rPr>
          <w:rFonts w:ascii="宋体" w:hAnsi="宋体"/>
          <w:sz w:val="24"/>
        </w:rPr>
        <w:t>。</w:t>
      </w:r>
    </w:p>
    <w:p>
      <w:pPr>
        <w:pStyle w:val="228"/>
        <w:spacing w:before="120" w:beforeLines="50" w:after="120" w:afterLines="50" w:line="360" w:lineRule="auto"/>
        <w:jc w:val="center"/>
        <w:rPr>
          <w:rFonts w:ascii="宋体" w:hAnsi="宋体"/>
          <w:b/>
          <w:sz w:val="32"/>
          <w:szCs w:val="32"/>
        </w:rPr>
        <w:sectPr>
          <w:pgSz w:w="11906" w:h="16838"/>
          <w:pgMar w:top="1440" w:right="1440" w:bottom="1440" w:left="1440" w:header="851" w:footer="851" w:gutter="0"/>
          <w:cols w:space="425" w:num="1"/>
          <w:titlePg/>
          <w:docGrid w:linePitch="312" w:charSpace="0"/>
        </w:sectPr>
      </w:pPr>
    </w:p>
    <w:p>
      <w:pPr>
        <w:spacing w:line="360" w:lineRule="auto"/>
        <w:jc w:val="center"/>
        <w:rPr>
          <w:rFonts w:ascii="宋体" w:hAnsi="宋体"/>
          <w:sz w:val="30"/>
        </w:rPr>
      </w:pPr>
      <w:bookmarkStart w:id="96" w:name="_Toc493956056"/>
      <w:r>
        <w:rPr>
          <w:rFonts w:hint="eastAsia" w:ascii="宋体" w:hAnsi="宋体"/>
          <w:sz w:val="30"/>
        </w:rPr>
        <w:t>5、资格声明</w:t>
      </w:r>
    </w:p>
    <w:p>
      <w:pPr>
        <w:pStyle w:val="228"/>
        <w:spacing w:line="520" w:lineRule="exact"/>
        <w:rPr>
          <w:rFonts w:ascii="宋体" w:hAnsi="宋体"/>
          <w:b/>
          <w:sz w:val="24"/>
          <w:szCs w:val="21"/>
          <w:lang/>
        </w:rPr>
      </w:pPr>
      <w:r>
        <w:rPr>
          <w:rFonts w:hint="eastAsia" w:ascii="宋体" w:hAnsi="宋体"/>
          <w:sz w:val="24"/>
          <w:szCs w:val="21"/>
          <w:u w:val="single"/>
          <w:lang/>
        </w:rPr>
        <w:t>（代理机构名称）</w:t>
      </w:r>
      <w:r>
        <w:rPr>
          <w:rFonts w:hint="eastAsia" w:ascii="宋体" w:hAnsi="宋体"/>
          <w:sz w:val="24"/>
          <w:szCs w:val="21"/>
          <w:lang/>
        </w:rPr>
        <w:t>：</w:t>
      </w:r>
    </w:p>
    <w:p>
      <w:pPr>
        <w:pStyle w:val="233"/>
        <w:spacing w:line="520" w:lineRule="exact"/>
        <w:rPr>
          <w:rFonts w:hint="eastAsia" w:hAnsi="宋体"/>
          <w:sz w:val="24"/>
          <w:szCs w:val="21"/>
        </w:rPr>
      </w:pPr>
      <w:r>
        <w:rPr>
          <w:rFonts w:hAnsi="宋体"/>
          <w:sz w:val="24"/>
          <w:szCs w:val="21"/>
          <w:u w:val="single"/>
        </w:rPr>
        <w:t xml:space="preserve">   </w:t>
      </w:r>
      <w:r>
        <w:rPr>
          <w:rFonts w:hint="eastAsia" w:hAnsi="宋体"/>
          <w:sz w:val="24"/>
          <w:szCs w:val="21"/>
          <w:u w:val="single"/>
        </w:rPr>
        <w:t xml:space="preserve"> (投标人全称)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rPr>
        <w:t>。</w:t>
      </w:r>
    </w:p>
    <w:p>
      <w:pPr>
        <w:pStyle w:val="5"/>
        <w:spacing w:line="520" w:lineRule="exact"/>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法定代表人或负责人名字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投标人名称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为负责人，我方愿意参加贵方组织的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的投标。为便于贵方公正、择优地确定中标人以及投标产品和服务，我方就本次投标有关事项证明如下：</w:t>
      </w:r>
    </w:p>
    <w:p>
      <w:pPr>
        <w:pStyle w:val="235"/>
        <w:spacing w:line="520" w:lineRule="exact"/>
        <w:ind w:firstLine="420"/>
        <w:rPr>
          <w:rFonts w:hint="eastAsia" w:hAnsi="宋体"/>
          <w:sz w:val="24"/>
          <w:szCs w:val="21"/>
        </w:rPr>
      </w:pPr>
      <w:r>
        <w:rPr>
          <w:rFonts w:hint="eastAsia" w:hAnsi="宋体"/>
          <w:sz w:val="24"/>
          <w:szCs w:val="21"/>
        </w:rPr>
        <w:t>（一）名称及概况：</w:t>
      </w:r>
    </w:p>
    <w:p>
      <w:pPr>
        <w:pStyle w:val="235"/>
        <w:spacing w:line="520" w:lineRule="exact"/>
        <w:ind w:firstLine="420"/>
        <w:rPr>
          <w:rFonts w:hint="eastAsia" w:hAnsi="宋体"/>
          <w:sz w:val="24"/>
          <w:szCs w:val="21"/>
        </w:rPr>
      </w:pPr>
      <w:r>
        <w:rPr>
          <w:rFonts w:hint="eastAsia" w:hAnsi="宋体"/>
          <w:sz w:val="24"/>
          <w:szCs w:val="21"/>
        </w:rPr>
        <w:t xml:space="preserve">1．企业名称：________________________________________________ </w:t>
      </w:r>
    </w:p>
    <w:p>
      <w:pPr>
        <w:pStyle w:val="235"/>
        <w:spacing w:line="520" w:lineRule="exact"/>
        <w:ind w:firstLine="420"/>
        <w:rPr>
          <w:rFonts w:hint="eastAsia" w:hAnsi="宋体"/>
          <w:b/>
          <w:bCs/>
          <w:sz w:val="24"/>
        </w:rPr>
      </w:pPr>
      <w:r>
        <w:rPr>
          <w:rFonts w:hint="eastAsia" w:hAnsi="宋体"/>
          <w:sz w:val="24"/>
          <w:szCs w:val="21"/>
        </w:rPr>
        <w:t>银行开户名称：________________________________________________</w:t>
      </w:r>
    </w:p>
    <w:p>
      <w:pPr>
        <w:pStyle w:val="235"/>
        <w:spacing w:line="520" w:lineRule="exact"/>
        <w:ind w:firstLine="420"/>
        <w:rPr>
          <w:rFonts w:hint="eastAsia" w:hAnsi="宋体"/>
          <w:sz w:val="24"/>
          <w:szCs w:val="21"/>
        </w:rPr>
      </w:pPr>
      <w:r>
        <w:rPr>
          <w:rFonts w:hint="eastAsia" w:hAnsi="宋体"/>
          <w:sz w:val="24"/>
          <w:szCs w:val="21"/>
        </w:rPr>
        <w:t xml:space="preserve">    开户银行：_________________________________________________ </w:t>
      </w:r>
    </w:p>
    <w:p>
      <w:pPr>
        <w:pStyle w:val="235"/>
        <w:spacing w:line="520" w:lineRule="exact"/>
        <w:ind w:firstLine="420"/>
        <w:rPr>
          <w:rFonts w:hint="eastAsia" w:hAnsi="宋体"/>
          <w:sz w:val="24"/>
          <w:szCs w:val="21"/>
        </w:rPr>
      </w:pPr>
      <w:r>
        <w:rPr>
          <w:rFonts w:hint="eastAsia" w:hAnsi="宋体"/>
          <w:sz w:val="24"/>
          <w:szCs w:val="21"/>
        </w:rPr>
        <w:t xml:space="preserve">    账    号：________________________________________________ </w:t>
      </w:r>
    </w:p>
    <w:p>
      <w:pPr>
        <w:pStyle w:val="235"/>
        <w:spacing w:line="520" w:lineRule="exact"/>
        <w:ind w:firstLine="420"/>
        <w:rPr>
          <w:rFonts w:hint="eastAsia" w:hAnsi="宋体"/>
          <w:sz w:val="24"/>
          <w:szCs w:val="21"/>
        </w:rPr>
      </w:pPr>
      <w:r>
        <w:rPr>
          <w:rFonts w:hint="eastAsia" w:hAnsi="宋体"/>
          <w:sz w:val="24"/>
          <w:szCs w:val="21"/>
        </w:rPr>
        <w:t xml:space="preserve">企业详细地址：________________________________________________ </w:t>
      </w:r>
    </w:p>
    <w:p>
      <w:pPr>
        <w:pStyle w:val="235"/>
        <w:spacing w:line="520" w:lineRule="exact"/>
        <w:ind w:firstLine="420"/>
        <w:rPr>
          <w:rFonts w:hint="eastAsia" w:hAnsi="宋体"/>
          <w:sz w:val="24"/>
          <w:szCs w:val="21"/>
        </w:rPr>
      </w:pPr>
      <w:r>
        <w:rPr>
          <w:rFonts w:hint="eastAsia" w:hAnsi="宋体"/>
          <w:sz w:val="24"/>
          <w:szCs w:val="21"/>
        </w:rPr>
        <w:t xml:space="preserve">    传    真： ________________________________________________</w:t>
      </w:r>
    </w:p>
    <w:p>
      <w:pPr>
        <w:pStyle w:val="235"/>
        <w:spacing w:line="520" w:lineRule="exact"/>
        <w:ind w:firstLine="420"/>
        <w:rPr>
          <w:rFonts w:hint="eastAsia" w:hAnsi="宋体"/>
          <w:sz w:val="24"/>
          <w:szCs w:val="21"/>
        </w:rPr>
      </w:pPr>
      <w:r>
        <w:rPr>
          <w:rFonts w:hint="eastAsia" w:hAnsi="宋体"/>
          <w:sz w:val="24"/>
          <w:szCs w:val="21"/>
        </w:rPr>
        <w:t xml:space="preserve">    电    话： ________________________________________________</w:t>
      </w:r>
    </w:p>
    <w:p>
      <w:pPr>
        <w:pStyle w:val="235"/>
        <w:spacing w:line="520" w:lineRule="exact"/>
        <w:ind w:firstLine="420"/>
        <w:rPr>
          <w:rFonts w:hint="eastAsia" w:hAnsi="宋体"/>
          <w:sz w:val="24"/>
          <w:szCs w:val="21"/>
        </w:rPr>
      </w:pPr>
      <w:r>
        <w:rPr>
          <w:rFonts w:hint="eastAsia" w:hAnsi="宋体"/>
          <w:sz w:val="24"/>
          <w:szCs w:val="21"/>
        </w:rPr>
        <w:t xml:space="preserve">2．负责人姓名：___________________________________________ </w:t>
      </w:r>
    </w:p>
    <w:p>
      <w:pPr>
        <w:pStyle w:val="235"/>
        <w:spacing w:line="520" w:lineRule="exact"/>
        <w:ind w:firstLine="420"/>
        <w:rPr>
          <w:rFonts w:hint="eastAsia" w:hAnsi="宋体"/>
          <w:sz w:val="24"/>
          <w:szCs w:val="21"/>
        </w:rPr>
      </w:pPr>
      <w:r>
        <w:rPr>
          <w:rFonts w:hint="eastAsia" w:hAnsi="宋体"/>
          <w:sz w:val="24"/>
          <w:szCs w:val="21"/>
        </w:rPr>
        <w:t>3．项目联系人：姓名__________职务：______电话______手机______</w:t>
      </w:r>
    </w:p>
    <w:p>
      <w:pPr>
        <w:pStyle w:val="235"/>
        <w:spacing w:line="520" w:lineRule="exact"/>
        <w:ind w:firstLine="420"/>
        <w:rPr>
          <w:rFonts w:hint="eastAsia" w:hAnsi="宋体"/>
          <w:sz w:val="24"/>
        </w:rPr>
      </w:pPr>
      <w:r>
        <w:rPr>
          <w:rFonts w:hint="eastAsia" w:hAnsi="宋体"/>
          <w:sz w:val="24"/>
          <w:szCs w:val="21"/>
        </w:rPr>
        <w:t>4．注册地址：________________________________________________</w:t>
      </w:r>
    </w:p>
    <w:p>
      <w:pPr>
        <w:pStyle w:val="235"/>
        <w:spacing w:line="520" w:lineRule="exact"/>
        <w:ind w:firstLine="420"/>
        <w:rPr>
          <w:rFonts w:hint="eastAsia" w:hAnsi="宋体"/>
          <w:sz w:val="24"/>
          <w:szCs w:val="21"/>
        </w:rPr>
      </w:pPr>
      <w:r>
        <w:rPr>
          <w:rFonts w:hint="eastAsia" w:hAnsi="宋体"/>
          <w:sz w:val="24"/>
          <w:szCs w:val="21"/>
        </w:rPr>
        <w:t xml:space="preserve">5．注册资金：________________________________________________ </w:t>
      </w:r>
    </w:p>
    <w:p>
      <w:pPr>
        <w:pStyle w:val="235"/>
        <w:spacing w:line="520" w:lineRule="exact"/>
        <w:ind w:firstLine="735"/>
        <w:rPr>
          <w:rFonts w:hint="eastAsia" w:hAnsi="宋体"/>
          <w:sz w:val="24"/>
          <w:szCs w:val="21"/>
        </w:rPr>
      </w:pPr>
      <w:r>
        <w:rPr>
          <w:rFonts w:hint="eastAsia" w:hAnsi="宋体"/>
          <w:sz w:val="24"/>
          <w:szCs w:val="21"/>
        </w:rPr>
        <w:t>自有资金：______________________________________________________</w:t>
      </w:r>
    </w:p>
    <w:p>
      <w:pPr>
        <w:pStyle w:val="235"/>
        <w:spacing w:line="520" w:lineRule="exact"/>
        <w:ind w:firstLine="735"/>
        <w:rPr>
          <w:rFonts w:hint="eastAsia" w:hAnsi="宋体"/>
          <w:sz w:val="24"/>
          <w:szCs w:val="21"/>
        </w:rPr>
      </w:pPr>
      <w:r>
        <w:rPr>
          <w:rFonts w:hint="eastAsia" w:hAnsi="宋体"/>
          <w:sz w:val="24"/>
          <w:szCs w:val="21"/>
        </w:rPr>
        <w:t>企业人数：_</w:t>
      </w:r>
      <w:r>
        <w:rPr>
          <w:rFonts w:hint="eastAsia" w:hAnsi="宋体"/>
          <w:b/>
          <w:bCs/>
          <w:sz w:val="24"/>
          <w:szCs w:val="21"/>
        </w:rPr>
        <w:t xml:space="preserve"> </w:t>
      </w:r>
      <w:r>
        <w:rPr>
          <w:rFonts w:hint="eastAsia" w:hAnsi="宋体"/>
          <w:sz w:val="24"/>
          <w:szCs w:val="21"/>
        </w:rPr>
        <w:t>______</w:t>
      </w:r>
      <w:r>
        <w:rPr>
          <w:rFonts w:hint="eastAsia" w:hAnsi="宋体"/>
          <w:b/>
          <w:bCs/>
          <w:sz w:val="24"/>
          <w:szCs w:val="21"/>
        </w:rPr>
        <w:t>_</w:t>
      </w:r>
      <w:r>
        <w:rPr>
          <w:rFonts w:hint="eastAsia" w:hAnsi="宋体"/>
          <w:sz w:val="24"/>
          <w:szCs w:val="21"/>
        </w:rPr>
        <w:t>人</w:t>
      </w:r>
    </w:p>
    <w:p>
      <w:pPr>
        <w:pStyle w:val="235"/>
        <w:spacing w:line="520" w:lineRule="exact"/>
        <w:ind w:firstLine="420"/>
        <w:rPr>
          <w:rFonts w:hint="eastAsia" w:hAnsi="宋体"/>
          <w:sz w:val="24"/>
          <w:szCs w:val="21"/>
        </w:rPr>
      </w:pPr>
      <w:r>
        <w:rPr>
          <w:rFonts w:hint="eastAsia" w:hAnsi="宋体"/>
          <w:sz w:val="24"/>
          <w:szCs w:val="21"/>
        </w:rPr>
        <w:t>6．企业性质：____________</w:t>
      </w:r>
      <w:r>
        <w:rPr>
          <w:rFonts w:hint="eastAsia" w:hAnsi="宋体"/>
          <w:sz w:val="24"/>
        </w:rPr>
        <w:t>股份有限公司</w:t>
      </w:r>
      <w:r>
        <w:rPr>
          <w:rFonts w:hint="eastAsia" w:hAnsi="宋体"/>
          <w:sz w:val="24"/>
          <w:szCs w:val="21"/>
        </w:rPr>
        <w:t xml:space="preserve"> </w:t>
      </w:r>
    </w:p>
    <w:p>
      <w:pPr>
        <w:pStyle w:val="235"/>
        <w:spacing w:line="520" w:lineRule="exact"/>
        <w:ind w:firstLine="420"/>
        <w:rPr>
          <w:rFonts w:hint="eastAsia" w:hAnsi="宋体"/>
          <w:sz w:val="24"/>
          <w:szCs w:val="21"/>
        </w:rPr>
      </w:pPr>
      <w:r>
        <w:rPr>
          <w:rFonts w:hint="eastAsia" w:hAnsi="宋体"/>
          <w:sz w:val="24"/>
          <w:szCs w:val="21"/>
        </w:rPr>
        <w:t xml:space="preserve">7．主要经营地点：________________________________________________ </w:t>
      </w:r>
    </w:p>
    <w:p>
      <w:pPr>
        <w:pStyle w:val="235"/>
        <w:spacing w:line="520" w:lineRule="exact"/>
        <w:ind w:firstLine="420"/>
        <w:rPr>
          <w:rFonts w:hint="eastAsia" w:hAnsi="宋体"/>
          <w:sz w:val="24"/>
          <w:szCs w:val="21"/>
          <w:lang w:eastAsia="zh-CN"/>
        </w:rPr>
      </w:pPr>
      <w:r>
        <w:rPr>
          <w:rFonts w:hint="eastAsia" w:hAnsi="宋体"/>
          <w:sz w:val="24"/>
          <w:szCs w:val="21"/>
        </w:rPr>
        <w:t>如有派出机构，请列出名称及详细通讯地址如下：</w:t>
      </w:r>
      <w:r>
        <w:rPr>
          <w:rFonts w:hint="eastAsia" w:hAnsi="宋体"/>
          <w:sz w:val="24"/>
          <w:szCs w:val="21"/>
          <w:u w:val="single"/>
          <w:lang w:eastAsia="zh-CN"/>
        </w:rPr>
        <w:t xml:space="preserve">               </w:t>
      </w:r>
    </w:p>
    <w:p>
      <w:pPr>
        <w:pStyle w:val="235"/>
        <w:spacing w:line="520" w:lineRule="exact"/>
        <w:ind w:firstLine="465"/>
        <w:rPr>
          <w:rFonts w:hint="eastAsia" w:hAnsi="宋体"/>
          <w:sz w:val="24"/>
          <w:szCs w:val="21"/>
          <w:lang w:eastAsia="zh-CN"/>
        </w:rPr>
      </w:pPr>
      <w:r>
        <w:rPr>
          <w:rFonts w:hint="eastAsia" w:hAnsi="宋体"/>
          <w:sz w:val="24"/>
          <w:szCs w:val="21"/>
          <w:lang w:eastAsia="zh-CN"/>
        </w:rPr>
        <w:t>8.</w:t>
      </w:r>
      <w:r>
        <w:rPr>
          <w:rFonts w:hint="eastAsia" w:hAnsi="宋体"/>
          <w:sz w:val="24"/>
          <w:szCs w:val="21"/>
        </w:rPr>
        <w:t>必需的设备</w:t>
      </w:r>
      <w:r>
        <w:rPr>
          <w:rFonts w:hint="eastAsia" w:hAnsi="宋体"/>
          <w:sz w:val="24"/>
          <w:szCs w:val="21"/>
          <w:lang w:eastAsia="zh-CN"/>
        </w:rPr>
        <w:t>：</w:t>
      </w:r>
      <w:r>
        <w:rPr>
          <w:rFonts w:hint="eastAsia" w:hAnsi="宋体"/>
          <w:sz w:val="24"/>
          <w:szCs w:val="21"/>
        </w:rPr>
        <w:t>_______________________________________________</w:t>
      </w:r>
    </w:p>
    <w:p>
      <w:pPr>
        <w:pStyle w:val="235"/>
        <w:spacing w:line="520" w:lineRule="exact"/>
        <w:ind w:firstLine="465"/>
        <w:jc w:val="left"/>
        <w:rPr>
          <w:rFonts w:hint="eastAsia" w:hAnsi="宋体"/>
          <w:sz w:val="24"/>
          <w:szCs w:val="21"/>
          <w:lang w:eastAsia="zh-CN"/>
        </w:rPr>
      </w:pPr>
      <w:r>
        <w:rPr>
          <w:rFonts w:hint="eastAsia" w:hAnsi="宋体"/>
          <w:sz w:val="24"/>
          <w:szCs w:val="21"/>
          <w:lang w:eastAsia="zh-CN"/>
        </w:rPr>
        <w:t>9.</w:t>
      </w:r>
      <w:r>
        <w:rPr>
          <w:rFonts w:hint="eastAsia" w:hAnsi="宋体"/>
          <w:sz w:val="24"/>
          <w:szCs w:val="21"/>
        </w:rPr>
        <w:t>专业技术能力的证明材料</w:t>
      </w:r>
      <w:r>
        <w:rPr>
          <w:rFonts w:hint="eastAsia" w:hAnsi="宋体"/>
          <w:sz w:val="24"/>
          <w:szCs w:val="21"/>
          <w:lang w:eastAsia="zh-CN"/>
        </w:rPr>
        <w:t>：</w:t>
      </w:r>
      <w:r>
        <w:rPr>
          <w:rFonts w:hAnsi="宋体"/>
          <w:sz w:val="24"/>
          <w:szCs w:val="21"/>
          <w:lang w:eastAsia="zh-CN"/>
        </w:rPr>
        <w:t>__________________________</w:t>
      </w:r>
    </w:p>
    <w:p>
      <w:pPr>
        <w:pStyle w:val="235"/>
        <w:spacing w:line="520" w:lineRule="exact"/>
        <w:ind w:firstLine="480" w:firstLineChars="200"/>
        <w:rPr>
          <w:rFonts w:hint="eastAsia" w:hAnsi="宋体"/>
          <w:sz w:val="24"/>
          <w:szCs w:val="21"/>
          <w:lang w:eastAsia="zh-CN"/>
        </w:rPr>
      </w:pPr>
      <w:r>
        <w:rPr>
          <w:rFonts w:hint="eastAsia" w:hAnsi="宋体"/>
          <w:sz w:val="24"/>
          <w:szCs w:val="21"/>
        </w:rPr>
        <w:t>兹证明上述声明是真实、正确的，并提供了全部能提供的资料和数据，我们同意遵照贵方要求出示有关证明文件。</w:t>
      </w:r>
    </w:p>
    <w:p>
      <w:pPr>
        <w:pStyle w:val="235"/>
        <w:spacing w:line="520" w:lineRule="exact"/>
        <w:ind w:firstLine="480" w:firstLineChars="200"/>
        <w:rPr>
          <w:rFonts w:hint="eastAsia" w:hAnsi="宋体"/>
          <w:sz w:val="24"/>
          <w:szCs w:val="21"/>
          <w:lang w:eastAsia="zh-CN"/>
        </w:rPr>
      </w:pPr>
    </w:p>
    <w:p>
      <w:pPr>
        <w:pStyle w:val="235"/>
        <w:spacing w:line="520" w:lineRule="exact"/>
        <w:ind w:firstLine="1400" w:firstLineChars="50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4480" w:firstLineChars="160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4480" w:firstLineChars="16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5"/>
        <w:spacing w:line="520" w:lineRule="exact"/>
        <w:ind w:firstLine="0"/>
        <w:rPr>
          <w:rFonts w:hint="eastAsia" w:ascii="宋体" w:hAnsi="宋体"/>
          <w:b/>
          <w:sz w:val="24"/>
          <w:szCs w:val="24"/>
        </w:rPr>
      </w:pPr>
    </w:p>
    <w:p>
      <w:pPr>
        <w:pStyle w:val="5"/>
        <w:spacing w:line="520" w:lineRule="exact"/>
        <w:ind w:firstLine="0"/>
        <w:rPr>
          <w:rFonts w:hint="eastAsia" w:ascii="宋体" w:hAnsi="宋体"/>
          <w:b/>
          <w:sz w:val="24"/>
          <w:szCs w:val="24"/>
        </w:rPr>
      </w:pPr>
      <w:r>
        <w:rPr>
          <w:rFonts w:hint="eastAsia" w:ascii="宋体" w:hAnsi="宋体"/>
          <w:b/>
          <w:sz w:val="24"/>
          <w:szCs w:val="24"/>
        </w:rPr>
        <w:t>注：</w:t>
      </w:r>
    </w:p>
    <w:p>
      <w:pPr>
        <w:pStyle w:val="5"/>
        <w:spacing w:line="520" w:lineRule="exact"/>
        <w:ind w:firstLine="0"/>
        <w:rPr>
          <w:rFonts w:hint="eastAsia" w:ascii="宋体" w:hAnsi="宋体"/>
          <w:sz w:val="24"/>
          <w:szCs w:val="24"/>
        </w:rPr>
      </w:pPr>
      <w:r>
        <w:rPr>
          <w:rFonts w:hint="eastAsia" w:ascii="宋体" w:hAnsi="宋体"/>
          <w:sz w:val="24"/>
          <w:szCs w:val="24"/>
        </w:rPr>
        <w:t>1.上表8、9项内容可自行添加（格式自拟）。</w:t>
      </w:r>
    </w:p>
    <w:p>
      <w:pPr>
        <w:pStyle w:val="5"/>
        <w:spacing w:line="360" w:lineRule="auto"/>
        <w:ind w:firstLine="0"/>
        <w:rPr>
          <w:rFonts w:hint="eastAsia" w:ascii="宋体" w:hAnsi="宋体"/>
          <w:sz w:val="24"/>
          <w:szCs w:val="24"/>
        </w:rPr>
      </w:pPr>
    </w:p>
    <w:p>
      <w:pPr>
        <w:pStyle w:val="5"/>
        <w:spacing w:line="360" w:lineRule="auto"/>
        <w:rPr>
          <w:rFonts w:hint="eastAsia" w:ascii="宋体" w:hAnsi="宋体"/>
        </w:rPr>
        <w:sectPr>
          <w:pgSz w:w="11906" w:h="16838"/>
          <w:pgMar w:top="1440" w:right="1440" w:bottom="1440" w:left="1440" w:header="851" w:footer="851" w:gutter="0"/>
          <w:cols w:space="425" w:num="1"/>
          <w:titlePg/>
          <w:docGrid w:linePitch="312" w:charSpace="0"/>
        </w:sectPr>
      </w:pPr>
    </w:p>
    <w:p>
      <w:pPr>
        <w:spacing w:line="360" w:lineRule="auto"/>
        <w:jc w:val="center"/>
        <w:rPr>
          <w:rFonts w:hint="eastAsia" w:ascii="宋体" w:hAnsi="宋体"/>
          <w:sz w:val="30"/>
        </w:rPr>
      </w:pPr>
      <w:r>
        <w:rPr>
          <w:rFonts w:ascii="宋体" w:hAnsi="宋体"/>
          <w:sz w:val="30"/>
        </w:rPr>
        <w:t>6</w:t>
      </w:r>
      <w:r>
        <w:rPr>
          <w:rFonts w:hint="eastAsia" w:ascii="宋体" w:hAnsi="宋体"/>
          <w:sz w:val="30"/>
        </w:rPr>
        <w:t>、无重大违法记录声明书</w:t>
      </w:r>
      <w:bookmarkEnd w:id="96"/>
    </w:p>
    <w:p>
      <w:pPr>
        <w:pStyle w:val="228"/>
        <w:spacing w:line="440" w:lineRule="exact"/>
        <w:rPr>
          <w:rFonts w:ascii="宋体" w:hAnsi="宋体"/>
          <w:spacing w:val="6"/>
          <w:sz w:val="30"/>
          <w:szCs w:val="30"/>
          <w:u w:val="single"/>
        </w:rPr>
      </w:pPr>
      <w:r>
        <w:rPr>
          <w:rFonts w:hint="eastAsia" w:ascii="宋体" w:hAnsi="宋体"/>
          <w:spacing w:val="6"/>
          <w:sz w:val="30"/>
          <w:szCs w:val="30"/>
          <w:u w:val="single"/>
        </w:rPr>
        <w:t>（代理机构名称）：</w:t>
      </w:r>
    </w:p>
    <w:p>
      <w:pPr>
        <w:pStyle w:val="238"/>
        <w:spacing w:before="120" w:beforeLines="50" w:line="480" w:lineRule="auto"/>
        <w:ind w:firstLine="624" w:firstLineChars="200"/>
        <w:rPr>
          <w:rFonts w:hint="eastAsia" w:ascii="宋体" w:hAnsi="宋体"/>
          <w:spacing w:val="6"/>
          <w:sz w:val="30"/>
          <w:szCs w:val="30"/>
        </w:rPr>
      </w:pPr>
      <w:r>
        <w:rPr>
          <w:rFonts w:hint="eastAsia" w:ascii="宋体" w:hAnsi="宋体"/>
          <w:spacing w:val="6"/>
          <w:sz w:val="30"/>
          <w:szCs w:val="30"/>
        </w:rPr>
        <w:t xml:space="preserve"> 我方参与的</w:t>
      </w:r>
      <w:r>
        <w:rPr>
          <w:rFonts w:hint="eastAsia" w:ascii="宋体" w:hAnsi="宋体"/>
          <w:spacing w:val="6"/>
          <w:sz w:val="30"/>
          <w:szCs w:val="30"/>
          <w:u w:val="single"/>
        </w:rPr>
        <w:t xml:space="preserve">                         </w:t>
      </w:r>
      <w:r>
        <w:rPr>
          <w:rFonts w:hint="eastAsia" w:ascii="宋体" w:hAnsi="宋体"/>
          <w:spacing w:val="6"/>
          <w:sz w:val="30"/>
          <w:szCs w:val="30"/>
        </w:rPr>
        <w:t>（采购项目名称）（采购编号：</w:t>
      </w:r>
      <w:r>
        <w:rPr>
          <w:rFonts w:hint="eastAsia" w:ascii="宋体" w:hAnsi="宋体"/>
          <w:spacing w:val="6"/>
          <w:sz w:val="30"/>
          <w:szCs w:val="30"/>
          <w:u w:val="single"/>
        </w:rPr>
        <w:t>　　  　　</w:t>
      </w:r>
      <w:r>
        <w:rPr>
          <w:rFonts w:hint="eastAsia" w:ascii="宋体" w:hAnsi="宋体"/>
          <w:spacing w:val="6"/>
          <w:sz w:val="30"/>
          <w:szCs w:val="30"/>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238"/>
        <w:spacing w:line="480" w:lineRule="auto"/>
        <w:ind w:firstLine="624" w:firstLineChars="200"/>
        <w:rPr>
          <w:rFonts w:hint="eastAsia" w:ascii="宋体" w:hAnsi="宋体"/>
          <w:spacing w:val="6"/>
          <w:sz w:val="30"/>
          <w:szCs w:val="30"/>
        </w:rPr>
      </w:pPr>
      <w:r>
        <w:rPr>
          <w:rFonts w:hint="eastAsia" w:ascii="宋体" w:hAnsi="宋体"/>
          <w:spacing w:val="6"/>
          <w:sz w:val="30"/>
          <w:szCs w:val="30"/>
        </w:rPr>
        <w:tab/>
      </w:r>
      <w:r>
        <w:rPr>
          <w:rFonts w:hint="eastAsia" w:ascii="宋体" w:hAnsi="宋体"/>
          <w:spacing w:val="6"/>
          <w:sz w:val="30"/>
          <w:szCs w:val="30"/>
        </w:rPr>
        <w:t>特此声明。</w:t>
      </w: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5"/>
        <w:spacing w:line="520" w:lineRule="exact"/>
        <w:ind w:firstLine="2380" w:firstLineChars="85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5460" w:firstLineChars="195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5460" w:firstLineChars="195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jc w:val="center"/>
        <w:rPr>
          <w:rFonts w:hint="eastAsia" w:hAnsi="宋体"/>
          <w:sz w:val="30"/>
          <w:lang w:eastAsia="zh-CN"/>
        </w:rPr>
      </w:pPr>
    </w:p>
    <w:p>
      <w:pPr>
        <w:pStyle w:val="237"/>
        <w:rPr>
          <w:rFonts w:hint="eastAsia" w:hAnsi="宋体"/>
          <w:sz w:val="30"/>
          <w:lang w:eastAsia="zh-CN"/>
        </w:rPr>
      </w:pPr>
    </w:p>
    <w:p>
      <w:pPr>
        <w:pStyle w:val="4"/>
        <w:ind w:firstLine="3120" w:firstLineChars="1040"/>
        <w:rPr>
          <w:rFonts w:hint="eastAsia" w:ascii="宋体" w:hAnsi="宋体" w:eastAsia="宋体"/>
          <w:b w:val="0"/>
          <w:bCs w:val="0"/>
        </w:rPr>
      </w:pPr>
      <w:bookmarkStart w:id="97" w:name="_Toc530665726"/>
      <w:r>
        <w:rPr>
          <w:rFonts w:hint="eastAsia" w:ascii="宋体" w:hAnsi="宋体" w:eastAsia="宋体"/>
          <w:b w:val="0"/>
          <w:bCs w:val="0"/>
          <w:lang w:eastAsia="zh-CN"/>
        </w:rPr>
        <w:t xml:space="preserve">二  </w:t>
      </w:r>
      <w:r>
        <w:rPr>
          <w:rFonts w:hint="eastAsia" w:ascii="宋体" w:hAnsi="宋体" w:eastAsia="宋体"/>
          <w:b w:val="0"/>
          <w:bCs w:val="0"/>
        </w:rPr>
        <w:t xml:space="preserve"> 资信及商务文件</w:t>
      </w:r>
      <w:bookmarkEnd w:id="97"/>
    </w:p>
    <w:p>
      <w:pPr>
        <w:pStyle w:val="5"/>
        <w:spacing w:line="720" w:lineRule="auto"/>
        <w:jc w:val="center"/>
        <w:rPr>
          <w:rFonts w:hint="eastAsia" w:ascii="宋体" w:hAnsi="宋体"/>
          <w:b/>
          <w:kern w:val="0"/>
          <w:sz w:val="36"/>
        </w:rPr>
      </w:pPr>
      <w:r>
        <w:rPr>
          <w:rFonts w:hint="eastAsia" w:ascii="宋体" w:hAnsi="宋体"/>
          <w:b/>
          <w:kern w:val="0"/>
          <w:sz w:val="36"/>
        </w:rPr>
        <w:t>目录</w:t>
      </w:r>
    </w:p>
    <w:p>
      <w:pPr>
        <w:spacing w:line="360" w:lineRule="auto"/>
        <w:jc w:val="left"/>
        <w:rPr>
          <w:rFonts w:hint="eastAsia" w:ascii="宋体" w:hAnsi="宋体"/>
          <w:sz w:val="30"/>
        </w:rPr>
      </w:pPr>
      <w:r>
        <w:rPr>
          <w:rFonts w:hint="eastAsia" w:ascii="宋体" w:hAnsi="宋体"/>
          <w:sz w:val="30"/>
        </w:rPr>
        <w:t>1、</w:t>
      </w:r>
      <w:r>
        <w:rPr>
          <w:rFonts w:ascii="宋体" w:hAnsi="宋体"/>
          <w:sz w:val="30"/>
        </w:rPr>
        <w:t>投标声明书</w:t>
      </w:r>
    </w:p>
    <w:p>
      <w:pPr>
        <w:spacing w:line="360" w:lineRule="auto"/>
        <w:jc w:val="left"/>
        <w:rPr>
          <w:rFonts w:ascii="宋体" w:hAnsi="宋体"/>
          <w:sz w:val="30"/>
        </w:rPr>
      </w:pPr>
      <w:r>
        <w:rPr>
          <w:rFonts w:ascii="宋体" w:hAnsi="宋体"/>
          <w:sz w:val="30"/>
        </w:rPr>
        <w:t>2、投标人参标申请表</w:t>
      </w:r>
    </w:p>
    <w:p>
      <w:pPr>
        <w:spacing w:line="360" w:lineRule="auto"/>
        <w:jc w:val="left"/>
        <w:rPr>
          <w:rFonts w:hint="eastAsia" w:ascii="宋体" w:hAnsi="宋体"/>
          <w:sz w:val="30"/>
        </w:rPr>
      </w:pPr>
      <w:r>
        <w:rPr>
          <w:rFonts w:hint="eastAsia" w:ascii="宋体" w:hAnsi="宋体"/>
          <w:sz w:val="30"/>
        </w:rPr>
        <w:t>3、中小企业声明函</w:t>
      </w:r>
    </w:p>
    <w:p>
      <w:pPr>
        <w:tabs>
          <w:tab w:val="left" w:pos="2355"/>
          <w:tab w:val="center" w:pos="4513"/>
        </w:tabs>
        <w:spacing w:line="360" w:lineRule="auto"/>
        <w:rPr>
          <w:rFonts w:hint="eastAsia" w:ascii="宋体" w:hAnsi="宋体"/>
          <w:sz w:val="32"/>
          <w:szCs w:val="32"/>
        </w:rPr>
      </w:pPr>
      <w:r>
        <w:rPr>
          <w:rFonts w:hint="eastAsia" w:ascii="宋体" w:hAnsi="宋体"/>
          <w:sz w:val="32"/>
          <w:szCs w:val="32"/>
        </w:rPr>
        <w:t>4、投标人项目业绩表</w:t>
      </w:r>
    </w:p>
    <w:p>
      <w:pPr>
        <w:spacing w:line="360" w:lineRule="auto"/>
        <w:jc w:val="left"/>
        <w:rPr>
          <w:rFonts w:hint="eastAsia" w:ascii="宋体" w:hAnsi="宋体"/>
          <w:sz w:val="30"/>
        </w:rPr>
      </w:pPr>
      <w:r>
        <w:rPr>
          <w:rFonts w:hint="eastAsia" w:ascii="宋体" w:hAnsi="宋体"/>
          <w:sz w:val="30"/>
        </w:rPr>
        <w:t>5、其  他</w:t>
      </w: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bookmarkEnd w:id="81"/>
    <w:bookmarkEnd w:id="82"/>
    <w:bookmarkEnd w:id="83"/>
    <w:bookmarkEnd w:id="84"/>
    <w:p>
      <w:pPr>
        <w:spacing w:line="360" w:lineRule="auto"/>
        <w:jc w:val="center"/>
        <w:rPr>
          <w:rFonts w:ascii="宋体" w:hAnsi="宋体"/>
          <w:b/>
          <w:sz w:val="30"/>
        </w:rPr>
      </w:pPr>
      <w:bookmarkStart w:id="98" w:name="_Toc173728539"/>
      <w:bookmarkStart w:id="99" w:name="_Toc105230662"/>
      <w:r>
        <w:rPr>
          <w:rFonts w:hint="eastAsia" w:ascii="宋体" w:hAnsi="宋体"/>
          <w:b/>
          <w:sz w:val="30"/>
        </w:rPr>
        <w:t>1、</w:t>
      </w:r>
      <w:r>
        <w:rPr>
          <w:rFonts w:ascii="宋体" w:hAnsi="宋体"/>
          <w:b/>
          <w:sz w:val="30"/>
        </w:rPr>
        <w:t>投标声明书</w:t>
      </w:r>
    </w:p>
    <w:p>
      <w:pPr>
        <w:pStyle w:val="228"/>
        <w:spacing w:line="440" w:lineRule="exact"/>
        <w:rPr>
          <w:rFonts w:ascii="宋体" w:hAnsi="宋体"/>
          <w:kern w:val="0"/>
          <w:sz w:val="24"/>
          <w:szCs w:val="21"/>
          <w:u w:val="single"/>
          <w:lang/>
        </w:rPr>
      </w:pPr>
      <w:r>
        <w:rPr>
          <w:rFonts w:hint="eastAsia" w:ascii="宋体" w:hAnsi="宋体"/>
          <w:kern w:val="0"/>
          <w:sz w:val="24"/>
          <w:szCs w:val="21"/>
          <w:u w:val="single"/>
          <w:lang/>
        </w:rPr>
        <w:t>（代理机构名称）：</w:t>
      </w:r>
    </w:p>
    <w:p>
      <w:pPr>
        <w:pStyle w:val="233"/>
        <w:spacing w:line="440" w:lineRule="exact"/>
        <w:ind w:firstLine="72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(投标人全称</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rPr>
        <w:t>。</w:t>
      </w:r>
    </w:p>
    <w:p>
      <w:pPr>
        <w:pStyle w:val="233"/>
        <w:spacing w:line="440" w:lineRule="exact"/>
        <w:ind w:firstLine="480" w:firstLineChars="20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lang w:eastAsia="zh-CN"/>
        </w:rPr>
        <w:t>投标人</w:t>
      </w:r>
      <w:r>
        <w:rPr>
          <w:rFonts w:hint="eastAsia" w:hAnsi="宋体"/>
          <w:sz w:val="24"/>
          <w:szCs w:val="21"/>
          <w:u w:val="single"/>
        </w:rPr>
        <w:t>名称</w:t>
      </w:r>
      <w:r>
        <w:rPr>
          <w:rFonts w:hAnsi="宋体"/>
          <w:sz w:val="24"/>
          <w:szCs w:val="21"/>
          <w:u w:val="single"/>
        </w:rPr>
        <w:t>)</w:t>
      </w:r>
      <w:r>
        <w:rPr>
          <w:rFonts w:hint="eastAsia" w:hAnsi="宋体"/>
          <w:sz w:val="24"/>
          <w:szCs w:val="21"/>
          <w:u w:val="single"/>
        </w:rPr>
        <w:t xml:space="preserve">       </w:t>
      </w:r>
      <w:r>
        <w:rPr>
          <w:rFonts w:hint="eastAsia" w:hAnsi="宋体"/>
          <w:sz w:val="24"/>
          <w:szCs w:val="21"/>
        </w:rPr>
        <w:t>为负责人，我方愿意参加贵方组织的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int="eastAsia" w:hAnsi="宋体"/>
          <w:sz w:val="24"/>
          <w:szCs w:val="21"/>
        </w:rPr>
        <w:t>的投标。为便于贵方公正、择优地确定中标人以及投标产品和服务，我方就本次投标有关事项郑重承诺如下：</w:t>
      </w:r>
    </w:p>
    <w:p>
      <w:pPr>
        <w:pStyle w:val="233"/>
        <w:spacing w:line="440" w:lineRule="exact"/>
        <w:ind w:firstLine="480" w:firstLineChars="200"/>
        <w:rPr>
          <w:rFonts w:hint="eastAsia" w:hAnsi="宋体"/>
          <w:sz w:val="24"/>
          <w:szCs w:val="21"/>
        </w:rPr>
      </w:pPr>
      <w:r>
        <w:rPr>
          <w:rFonts w:hint="eastAsia" w:hAnsi="宋体"/>
          <w:sz w:val="24"/>
          <w:szCs w:val="21"/>
        </w:rPr>
        <w:t>1、我方向贵方提交的所有投标文件、资料都是准确的和真实的。</w:t>
      </w:r>
    </w:p>
    <w:p>
      <w:pPr>
        <w:pStyle w:val="233"/>
        <w:spacing w:line="440" w:lineRule="exact"/>
        <w:ind w:firstLine="480" w:firstLineChars="200"/>
        <w:rPr>
          <w:rFonts w:hint="eastAsia"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pPr>
        <w:pStyle w:val="233"/>
        <w:spacing w:line="440" w:lineRule="exact"/>
        <w:ind w:firstLine="480" w:firstLineChars="200"/>
        <w:rPr>
          <w:rFonts w:hAnsi="宋体"/>
          <w:sz w:val="24"/>
          <w:szCs w:val="21"/>
        </w:rPr>
      </w:pPr>
      <w:r>
        <w:rPr>
          <w:rFonts w:hint="eastAsia" w:hAnsi="宋体"/>
          <w:sz w:val="24"/>
          <w:szCs w:val="21"/>
        </w:rPr>
        <w:t>3、提供投标人须知规定的全部投标文件，包括：</w:t>
      </w:r>
    </w:p>
    <w:p>
      <w:pPr>
        <w:pStyle w:val="233"/>
        <w:spacing w:line="440" w:lineRule="exact"/>
        <w:ind w:firstLine="480" w:firstLineChars="200"/>
        <w:rPr>
          <w:rFonts w:hint="eastAsia" w:hAnsi="宋体"/>
          <w:sz w:val="24"/>
          <w:szCs w:val="21"/>
          <w:lang w:eastAsia="zh-CN"/>
        </w:rPr>
      </w:pPr>
      <w:r>
        <w:rPr>
          <w:rFonts w:hint="eastAsia" w:hAnsi="宋体"/>
          <w:sz w:val="24"/>
          <w:szCs w:val="21"/>
          <w:lang w:eastAsia="zh-CN"/>
        </w:rPr>
        <w:t>资格审查</w:t>
      </w:r>
      <w:r>
        <w:rPr>
          <w:rFonts w:hAnsi="宋体"/>
          <w:sz w:val="24"/>
          <w:szCs w:val="21"/>
          <w:lang w:eastAsia="zh-CN"/>
        </w:rPr>
        <w:t>文件</w:t>
      </w:r>
      <w:r>
        <w:rPr>
          <w:rFonts w:hint="eastAsia" w:hAnsi="宋体"/>
          <w:sz w:val="24"/>
          <w:szCs w:val="21"/>
        </w:rPr>
        <w:t>正本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份，副本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w:t>
      </w:r>
      <w:r>
        <w:rPr>
          <w:rFonts w:hint="eastAsia" w:hAnsi="宋体"/>
          <w:sz w:val="24"/>
          <w:szCs w:val="21"/>
          <w:lang w:eastAsia="zh-CN"/>
        </w:rPr>
        <w:t>；</w:t>
      </w:r>
    </w:p>
    <w:p>
      <w:pPr>
        <w:pStyle w:val="233"/>
        <w:spacing w:line="440" w:lineRule="exact"/>
        <w:ind w:firstLine="480" w:firstLineChars="200"/>
        <w:rPr>
          <w:rFonts w:hint="eastAsia" w:hAnsi="宋体"/>
          <w:sz w:val="24"/>
          <w:szCs w:val="21"/>
        </w:rPr>
      </w:pPr>
      <w:r>
        <w:rPr>
          <w:rFonts w:hint="eastAsia" w:hAnsi="宋体"/>
          <w:sz w:val="24"/>
          <w:szCs w:val="21"/>
        </w:rPr>
        <w:t>资信及商务文件正本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份，副本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w:t>
      </w:r>
    </w:p>
    <w:p>
      <w:pPr>
        <w:pStyle w:val="233"/>
        <w:spacing w:line="440" w:lineRule="exact"/>
        <w:ind w:firstLine="480" w:firstLineChars="200"/>
        <w:rPr>
          <w:rFonts w:hint="eastAsia" w:hAnsi="宋体"/>
          <w:sz w:val="24"/>
          <w:szCs w:val="21"/>
        </w:rPr>
      </w:pPr>
      <w:r>
        <w:rPr>
          <w:rFonts w:hint="eastAsia" w:hAnsi="宋体"/>
          <w:sz w:val="24"/>
          <w:szCs w:val="21"/>
        </w:rPr>
        <w:t>技术文件正本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份，副本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w:t>
      </w:r>
    </w:p>
    <w:p>
      <w:pPr>
        <w:pStyle w:val="233"/>
        <w:spacing w:line="440" w:lineRule="exact"/>
        <w:ind w:firstLine="480" w:firstLineChars="200"/>
        <w:rPr>
          <w:rFonts w:hint="eastAsia" w:hAnsi="宋体"/>
          <w:sz w:val="24"/>
          <w:szCs w:val="21"/>
        </w:rPr>
      </w:pPr>
      <w:r>
        <w:rPr>
          <w:rFonts w:hint="eastAsia" w:hAnsi="宋体"/>
          <w:sz w:val="24"/>
          <w:szCs w:val="21"/>
        </w:rPr>
        <w:t>报价文件正本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份，副本</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份；</w:t>
      </w:r>
    </w:p>
    <w:p>
      <w:pPr>
        <w:pStyle w:val="233"/>
        <w:spacing w:line="440" w:lineRule="exact"/>
        <w:ind w:firstLine="480" w:firstLineChars="200"/>
        <w:rPr>
          <w:rFonts w:hint="eastAsia" w:hAnsi="宋体"/>
          <w:sz w:val="24"/>
          <w:szCs w:val="21"/>
        </w:rPr>
      </w:pPr>
      <w:r>
        <w:rPr>
          <w:rFonts w:hint="eastAsia" w:hAnsi="宋体"/>
          <w:sz w:val="24"/>
          <w:szCs w:val="21"/>
        </w:rPr>
        <w:t>投标人须知要求的投标人提交的全部文件；</w:t>
      </w:r>
    </w:p>
    <w:p>
      <w:pPr>
        <w:pStyle w:val="233"/>
        <w:spacing w:line="440" w:lineRule="exact"/>
        <w:ind w:firstLine="480" w:firstLineChars="200"/>
        <w:rPr>
          <w:rFonts w:hint="eastAsia" w:hAnsi="宋体"/>
          <w:sz w:val="24"/>
          <w:szCs w:val="21"/>
        </w:rPr>
      </w:pPr>
      <w:r>
        <w:rPr>
          <w:rFonts w:hint="eastAsia" w:hAnsi="宋体"/>
          <w:sz w:val="24"/>
          <w:szCs w:val="21"/>
        </w:rPr>
        <w:t>我方按招标文件要求采用</w:t>
      </w:r>
      <w:r>
        <w:rPr>
          <w:rFonts w:hint="eastAsia" w:hAnsi="宋体"/>
          <w:sz w:val="24"/>
          <w:szCs w:val="21"/>
          <w:u w:val="single"/>
        </w:rPr>
        <w:t>（保证金缴纳方式）</w:t>
      </w:r>
      <w:r>
        <w:rPr>
          <w:rFonts w:hint="eastAsia" w:hAnsi="宋体"/>
          <w:sz w:val="24"/>
          <w:szCs w:val="21"/>
          <w:u w:val="single"/>
          <w:lang w:eastAsia="zh-CN"/>
        </w:rPr>
        <w:t xml:space="preserve">  </w:t>
      </w:r>
      <w:r>
        <w:rPr>
          <w:rFonts w:hint="eastAsia" w:hAnsi="宋体"/>
          <w:sz w:val="24"/>
          <w:szCs w:val="21"/>
        </w:rPr>
        <w:t>提交金额</w:t>
      </w:r>
      <w:r>
        <w:rPr>
          <w:rFonts w:hint="eastAsia" w:hAnsi="宋体"/>
          <w:sz w:val="24"/>
          <w:szCs w:val="21"/>
          <w:u w:val="single"/>
        </w:rPr>
        <w:t>（大写）</w:t>
      </w:r>
      <w:r>
        <w:rPr>
          <w:rFonts w:hint="eastAsia" w:hAnsi="宋体"/>
          <w:sz w:val="24"/>
          <w:szCs w:val="21"/>
          <w:u w:val="single"/>
          <w:lang w:eastAsia="zh-CN"/>
        </w:rPr>
        <w:t xml:space="preserve">    </w:t>
      </w:r>
      <w:r>
        <w:rPr>
          <w:rFonts w:hint="eastAsia" w:hAnsi="宋体"/>
          <w:sz w:val="24"/>
          <w:szCs w:val="21"/>
          <w:u w:val="single"/>
        </w:rPr>
        <w:t>（￥：）元</w:t>
      </w:r>
      <w:r>
        <w:rPr>
          <w:rFonts w:hint="eastAsia" w:hAnsi="宋体"/>
          <w:sz w:val="24"/>
          <w:szCs w:val="21"/>
        </w:rPr>
        <w:t>的投标保证金。</w:t>
      </w:r>
    </w:p>
    <w:p>
      <w:pPr>
        <w:pStyle w:val="233"/>
        <w:spacing w:line="440" w:lineRule="exact"/>
        <w:ind w:firstLine="480" w:firstLineChars="200"/>
        <w:rPr>
          <w:rFonts w:hint="eastAsia" w:hAnsi="宋体"/>
          <w:sz w:val="24"/>
          <w:szCs w:val="21"/>
        </w:rPr>
      </w:pPr>
      <w:r>
        <w:rPr>
          <w:rFonts w:hint="eastAsia" w:hAnsi="宋体"/>
          <w:sz w:val="24"/>
          <w:szCs w:val="21"/>
        </w:rPr>
        <w:t>按招标文件要求提供和交付的货物和服务的投标报价详见报价表。</w:t>
      </w:r>
    </w:p>
    <w:p>
      <w:pPr>
        <w:pStyle w:val="233"/>
        <w:spacing w:line="440" w:lineRule="exact"/>
        <w:ind w:firstLine="480" w:firstLineChars="200"/>
        <w:rPr>
          <w:rFonts w:hint="eastAsia" w:hAnsi="宋体"/>
          <w:sz w:val="24"/>
          <w:szCs w:val="21"/>
        </w:rPr>
      </w:pPr>
      <w:r>
        <w:rPr>
          <w:rFonts w:hint="eastAsia" w:hAnsi="宋体"/>
          <w:sz w:val="24"/>
          <w:szCs w:val="21"/>
          <w:lang w:eastAsia="zh-CN"/>
        </w:rPr>
        <w:t>4</w:t>
      </w:r>
      <w:r>
        <w:rPr>
          <w:rFonts w:hint="eastAsia" w:hAnsi="宋体"/>
          <w:sz w:val="24"/>
          <w:szCs w:val="21"/>
        </w:rPr>
        <w:t>、如果我方中标，将派出</w:t>
      </w:r>
      <w:r>
        <w:rPr>
          <w:rFonts w:hint="eastAsia" w:hAnsi="宋体"/>
          <w:sz w:val="24"/>
          <w:szCs w:val="21"/>
          <w:u w:val="single"/>
        </w:rPr>
        <w:t>（姓名及身份证号码），</w:t>
      </w:r>
      <w:r>
        <w:rPr>
          <w:rFonts w:hint="eastAsia" w:hAnsi="宋体"/>
          <w:sz w:val="24"/>
          <w:szCs w:val="21"/>
        </w:rPr>
        <w:t>作为本项目与采购单位联系的项目实施负责人，联系手机号码：</w:t>
      </w:r>
      <w:r>
        <w:rPr>
          <w:rFonts w:hAnsi="宋体"/>
          <w:sz w:val="24"/>
          <w:szCs w:val="21"/>
          <w:u w:val="single"/>
        </w:rPr>
        <w:t xml:space="preserve">             </w:t>
      </w:r>
      <w:r>
        <w:rPr>
          <w:rFonts w:hint="eastAsia" w:hAnsi="宋体"/>
          <w:sz w:val="24"/>
          <w:szCs w:val="21"/>
        </w:rPr>
        <w:t>。在项目实施过程中，并承诺项目实施负责人不更换，若确需要更换的，书面征得采购人同意后才准予更换。</w:t>
      </w:r>
    </w:p>
    <w:p>
      <w:pPr>
        <w:pStyle w:val="233"/>
        <w:spacing w:line="440" w:lineRule="exact"/>
        <w:ind w:firstLine="480" w:firstLineChars="200"/>
        <w:rPr>
          <w:rFonts w:hint="eastAsia" w:hAnsi="宋体"/>
          <w:sz w:val="24"/>
          <w:szCs w:val="21"/>
        </w:rPr>
      </w:pPr>
      <w:r>
        <w:rPr>
          <w:rFonts w:hint="eastAsia" w:hAnsi="宋体"/>
          <w:sz w:val="24"/>
          <w:szCs w:val="21"/>
          <w:lang w:eastAsia="zh-CN"/>
        </w:rPr>
        <w:t>5</w:t>
      </w:r>
      <w:r>
        <w:rPr>
          <w:rFonts w:hint="eastAsia" w:hAnsi="宋体"/>
          <w:sz w:val="24"/>
          <w:szCs w:val="21"/>
        </w:rPr>
        <w:t>、我方的投标有效期自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天内有效。如果在开标后规定的投标有效期内撤回投标，贵方可不退还我方的投标保证金。</w:t>
      </w:r>
    </w:p>
    <w:p>
      <w:pPr>
        <w:pStyle w:val="233"/>
        <w:spacing w:line="440" w:lineRule="exact"/>
        <w:ind w:firstLine="480" w:firstLineChars="200"/>
        <w:rPr>
          <w:rFonts w:hint="eastAsia" w:hAnsi="宋体"/>
          <w:sz w:val="24"/>
          <w:szCs w:val="21"/>
        </w:rPr>
      </w:pPr>
      <w:r>
        <w:rPr>
          <w:rFonts w:hint="eastAsia" w:hAnsi="宋体"/>
          <w:sz w:val="24"/>
          <w:szCs w:val="21"/>
          <w:lang w:eastAsia="zh-CN"/>
        </w:rPr>
        <w:t>6</w:t>
      </w:r>
      <w:r>
        <w:rPr>
          <w:rFonts w:hint="eastAsia" w:hAnsi="宋体"/>
          <w:sz w:val="24"/>
          <w:szCs w:val="21"/>
        </w:rPr>
        <w:t>、我方在投标之前已经与贵方进行了充分的沟通，完全理解并接受招标文件的各项规定和要求，对招标文件的合理性、合法性不再有异议。</w:t>
      </w:r>
    </w:p>
    <w:p>
      <w:pPr>
        <w:pStyle w:val="233"/>
        <w:spacing w:line="440" w:lineRule="exact"/>
        <w:ind w:firstLine="480" w:firstLineChars="200"/>
        <w:rPr>
          <w:rFonts w:hint="eastAsia"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233"/>
        <w:spacing w:line="440" w:lineRule="exact"/>
        <w:ind w:firstLine="480" w:firstLineChars="200"/>
        <w:rPr>
          <w:rFonts w:hint="eastAsia" w:hAnsi="宋体"/>
          <w:sz w:val="24"/>
          <w:szCs w:val="21"/>
        </w:rPr>
      </w:pPr>
      <w:r>
        <w:rPr>
          <w:rFonts w:hint="eastAsia" w:hAnsi="宋体"/>
          <w:sz w:val="24"/>
          <w:szCs w:val="21"/>
          <w:lang w:eastAsia="zh-CN"/>
        </w:rPr>
        <w:t>7</w:t>
      </w:r>
      <w:r>
        <w:rPr>
          <w:rFonts w:hint="eastAsia" w:hAnsi="宋体"/>
          <w:sz w:val="24"/>
          <w:szCs w:val="21"/>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233"/>
        <w:spacing w:line="440" w:lineRule="exact"/>
        <w:ind w:firstLine="480" w:firstLineChars="200"/>
        <w:rPr>
          <w:rFonts w:hint="eastAsia" w:hAnsi="宋体"/>
          <w:sz w:val="24"/>
          <w:szCs w:val="21"/>
        </w:rPr>
      </w:pPr>
      <w:r>
        <w:rPr>
          <w:rFonts w:hint="eastAsia" w:hAnsi="宋体"/>
          <w:sz w:val="24"/>
          <w:szCs w:val="21"/>
          <w:lang w:eastAsia="zh-CN"/>
        </w:rPr>
        <w:t>8</w:t>
      </w:r>
      <w:r>
        <w:rPr>
          <w:rFonts w:hint="eastAsia" w:hAnsi="宋体"/>
          <w:sz w:val="24"/>
          <w:szCs w:val="21"/>
        </w:rPr>
        <w:t>、我方不是采购人的附属机构，并未为本项目提供整体设计、规范编制或者项目管理、监理、监测等服务。</w:t>
      </w:r>
    </w:p>
    <w:p>
      <w:pPr>
        <w:pStyle w:val="233"/>
        <w:spacing w:line="440" w:lineRule="exact"/>
        <w:ind w:firstLine="480" w:firstLineChars="200"/>
        <w:rPr>
          <w:rFonts w:hint="eastAsia" w:hAnsi="宋体"/>
          <w:sz w:val="24"/>
          <w:szCs w:val="21"/>
        </w:rPr>
      </w:pPr>
      <w:r>
        <w:rPr>
          <w:rFonts w:hint="eastAsia" w:hAnsi="宋体"/>
          <w:sz w:val="24"/>
          <w:szCs w:val="21"/>
          <w:lang w:eastAsia="zh-CN"/>
        </w:rPr>
        <w:t>9</w:t>
      </w:r>
      <w:r>
        <w:rPr>
          <w:rFonts w:hint="eastAsia" w:hAnsi="宋体"/>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3"/>
        <w:spacing w:line="440" w:lineRule="exact"/>
        <w:ind w:firstLine="240" w:firstLineChars="100"/>
        <w:rPr>
          <w:rFonts w:hint="eastAsia" w:hAnsi="宋体"/>
          <w:sz w:val="24"/>
          <w:szCs w:val="21"/>
        </w:rPr>
      </w:pPr>
      <w:r>
        <w:rPr>
          <w:rFonts w:hint="eastAsia" w:hAnsi="宋体"/>
          <w:sz w:val="24"/>
          <w:szCs w:val="21"/>
        </w:rPr>
        <w:t>（一）提供虚假材料谋取中标、中标的；</w:t>
      </w:r>
    </w:p>
    <w:p>
      <w:pPr>
        <w:pStyle w:val="233"/>
        <w:spacing w:line="440" w:lineRule="exact"/>
        <w:ind w:firstLine="240" w:firstLineChars="100"/>
        <w:rPr>
          <w:rFonts w:hint="eastAsia" w:hAnsi="宋体"/>
          <w:sz w:val="24"/>
          <w:szCs w:val="21"/>
        </w:rPr>
      </w:pPr>
      <w:r>
        <w:rPr>
          <w:rFonts w:hint="eastAsia" w:hAnsi="宋体"/>
          <w:sz w:val="24"/>
          <w:szCs w:val="21"/>
        </w:rPr>
        <w:t>（二）采取不正当手段诋毁、排挤其他投标人的；</w:t>
      </w:r>
    </w:p>
    <w:p>
      <w:pPr>
        <w:pStyle w:val="233"/>
        <w:spacing w:line="440" w:lineRule="exact"/>
        <w:ind w:firstLine="240" w:firstLineChars="100"/>
        <w:rPr>
          <w:rFonts w:hint="eastAsia" w:hAnsi="宋体"/>
          <w:sz w:val="24"/>
          <w:szCs w:val="21"/>
        </w:rPr>
      </w:pPr>
      <w:r>
        <w:rPr>
          <w:rFonts w:hint="eastAsia" w:hAnsi="宋体"/>
          <w:sz w:val="24"/>
          <w:szCs w:val="21"/>
        </w:rPr>
        <w:t>（三）与采购人、其它投标人或者采购代理机构恶意串通的；</w:t>
      </w:r>
    </w:p>
    <w:p>
      <w:pPr>
        <w:pStyle w:val="233"/>
        <w:spacing w:line="440" w:lineRule="exact"/>
        <w:ind w:firstLine="240" w:firstLineChars="100"/>
        <w:rPr>
          <w:rFonts w:hint="eastAsia" w:hAnsi="宋体"/>
          <w:sz w:val="24"/>
          <w:szCs w:val="21"/>
        </w:rPr>
      </w:pPr>
      <w:r>
        <w:rPr>
          <w:rFonts w:hint="eastAsia" w:hAnsi="宋体"/>
          <w:sz w:val="24"/>
          <w:szCs w:val="21"/>
        </w:rPr>
        <w:t>（四）向采购人、采购代理机构行贿或者提供其他不正当利益的；</w:t>
      </w:r>
    </w:p>
    <w:p>
      <w:pPr>
        <w:pStyle w:val="233"/>
        <w:spacing w:line="440" w:lineRule="exact"/>
        <w:ind w:firstLine="240" w:firstLineChars="100"/>
        <w:rPr>
          <w:rFonts w:hint="eastAsia" w:hAnsi="宋体"/>
          <w:sz w:val="24"/>
          <w:szCs w:val="21"/>
        </w:rPr>
      </w:pPr>
      <w:r>
        <w:rPr>
          <w:rFonts w:hint="eastAsia" w:hAnsi="宋体"/>
          <w:sz w:val="24"/>
          <w:szCs w:val="21"/>
        </w:rPr>
        <w:t>（五）在招标采购过程中与采购人进行协商谈判的；</w:t>
      </w:r>
    </w:p>
    <w:p>
      <w:pPr>
        <w:pStyle w:val="233"/>
        <w:spacing w:line="440" w:lineRule="exact"/>
        <w:ind w:firstLine="240" w:firstLineChars="100"/>
        <w:rPr>
          <w:rFonts w:hint="eastAsia" w:hAnsi="宋体"/>
          <w:sz w:val="24"/>
          <w:szCs w:val="21"/>
        </w:rPr>
      </w:pPr>
      <w:r>
        <w:rPr>
          <w:rFonts w:hint="eastAsia" w:hAnsi="宋体"/>
          <w:sz w:val="24"/>
          <w:szCs w:val="21"/>
        </w:rPr>
        <w:t>（六）拒绝有关部门监督检查或提供虚假情况的。</w:t>
      </w:r>
    </w:p>
    <w:p>
      <w:pPr>
        <w:pStyle w:val="233"/>
        <w:spacing w:line="440" w:lineRule="exact"/>
        <w:ind w:firstLine="240" w:firstLineChars="100"/>
        <w:rPr>
          <w:rFonts w:hint="eastAsia" w:hAnsi="宋体"/>
          <w:sz w:val="24"/>
          <w:szCs w:val="21"/>
        </w:rPr>
      </w:pPr>
      <w:r>
        <w:rPr>
          <w:rFonts w:hint="eastAsia" w:hAnsi="宋体"/>
          <w:sz w:val="24"/>
          <w:szCs w:val="21"/>
        </w:rPr>
        <w:t>1</w:t>
      </w:r>
      <w:r>
        <w:rPr>
          <w:rFonts w:hint="eastAsia" w:hAnsi="宋体"/>
          <w:sz w:val="24"/>
          <w:szCs w:val="21"/>
          <w:lang w:eastAsia="zh-CN"/>
        </w:rPr>
        <w:t>0</w:t>
      </w:r>
      <w:r>
        <w:rPr>
          <w:rFonts w:hint="eastAsia" w:hAnsi="宋体"/>
          <w:sz w:val="24"/>
          <w:szCs w:val="21"/>
        </w:rPr>
        <w:t>、如中标，本投标文件至本项目合同履行完毕止均保持有效，我方将按招标文件及政府采购法律、法规的规定履行合同责任和义务。</w:t>
      </w:r>
    </w:p>
    <w:p>
      <w:pPr>
        <w:pStyle w:val="233"/>
        <w:spacing w:line="440" w:lineRule="exact"/>
        <w:ind w:firstLine="240" w:firstLineChars="100"/>
        <w:rPr>
          <w:rFonts w:hint="eastAsia" w:hAnsi="宋体"/>
          <w:sz w:val="24"/>
          <w:szCs w:val="21"/>
        </w:rPr>
      </w:pPr>
      <w:r>
        <w:rPr>
          <w:rFonts w:hint="eastAsia" w:hAnsi="宋体"/>
          <w:sz w:val="24"/>
          <w:szCs w:val="21"/>
        </w:rPr>
        <w:t>1</w:t>
      </w:r>
      <w:r>
        <w:rPr>
          <w:rFonts w:hint="eastAsia" w:hAnsi="宋体"/>
          <w:sz w:val="24"/>
          <w:szCs w:val="21"/>
          <w:lang w:eastAsia="zh-CN"/>
        </w:rPr>
        <w:t>1</w:t>
      </w:r>
      <w:r>
        <w:rPr>
          <w:rFonts w:hint="eastAsia" w:hAnsi="宋体"/>
          <w:sz w:val="24"/>
          <w:szCs w:val="21"/>
        </w:rPr>
        <w:t>、以上事项如有虚假或隐瞒，我方愿意承担一切不利后果，并不再寻求任何旨在减轻或免除法律责任。</w:t>
      </w:r>
    </w:p>
    <w:p>
      <w:pPr>
        <w:pStyle w:val="233"/>
        <w:spacing w:line="440" w:lineRule="exact"/>
        <w:ind w:firstLine="480"/>
        <w:rPr>
          <w:rFonts w:hAnsi="宋体"/>
          <w:sz w:val="24"/>
          <w:szCs w:val="21"/>
        </w:rPr>
      </w:pPr>
      <w:r>
        <w:rPr>
          <w:rFonts w:hint="eastAsia" w:hAnsi="宋体"/>
          <w:sz w:val="24"/>
          <w:szCs w:val="21"/>
        </w:rPr>
        <w:t>与本次投标有关的一切正式往来信函请寄：</w:t>
      </w:r>
    </w:p>
    <w:p>
      <w:pPr>
        <w:pStyle w:val="233"/>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pPr>
        <w:pStyle w:val="24"/>
        <w:spacing w:line="440" w:lineRule="exact"/>
        <w:ind w:firstLine="480" w:firstLineChars="200"/>
        <w:rPr>
          <w:rFonts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pPr>
        <w:pStyle w:val="233"/>
        <w:spacing w:line="440" w:lineRule="exact"/>
        <w:rPr>
          <w:rFonts w:hint="eastAsia" w:hAnsi="宋体"/>
          <w:sz w:val="24"/>
          <w:szCs w:val="21"/>
          <w:lang w:val="en-US"/>
        </w:rPr>
      </w:pPr>
    </w:p>
    <w:p>
      <w:pPr>
        <w:pStyle w:val="235"/>
        <w:spacing w:line="520" w:lineRule="exact"/>
        <w:ind w:firstLine="2240" w:firstLineChars="80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233"/>
        <w:spacing w:line="440" w:lineRule="exact"/>
        <w:rPr>
          <w:rFonts w:hAnsi="宋体"/>
          <w:sz w:val="24"/>
          <w:szCs w:val="21"/>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pStyle w:val="233"/>
        <w:spacing w:line="440" w:lineRule="exact"/>
        <w:rPr>
          <w:rFonts w:hint="eastAsia" w:hAnsi="宋体"/>
          <w:sz w:val="24"/>
          <w:szCs w:val="21"/>
          <w:lang w:eastAsia="zh-CN"/>
        </w:rPr>
      </w:pPr>
    </w:p>
    <w:p>
      <w:pPr>
        <w:spacing w:line="360" w:lineRule="auto"/>
        <w:jc w:val="center"/>
        <w:rPr>
          <w:rFonts w:ascii="宋体" w:hAnsi="宋体"/>
          <w:b/>
          <w:sz w:val="30"/>
        </w:rPr>
      </w:pPr>
      <w:r>
        <w:rPr>
          <w:rFonts w:ascii="宋体" w:hAnsi="宋体"/>
          <w:b/>
          <w:sz w:val="30"/>
        </w:rPr>
        <w:t>2、投标人参标申请表</w:t>
      </w:r>
    </w:p>
    <w:tbl>
      <w:tblPr>
        <w:tblStyle w:val="45"/>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36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hint="eastAsia" w:ascii="宋体" w:hAnsi="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242"/>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left="-109" w:leftChars="-52" w:right="-113" w:rightChars="-54"/>
              <w:rPr>
                <w:rFonts w:ascii="宋体" w:hAnsi="宋体"/>
                <w:sz w:val="24"/>
              </w:rPr>
            </w:pPr>
            <w:r>
              <w:rPr>
                <w:rFonts w:hint="eastAsia" w:ascii="宋体" w:hAnsi="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left="-109" w:leftChars="-52" w:right="-113" w:rightChars="-54"/>
              <w:rPr>
                <w:rFonts w:ascii="宋体" w:hAnsi="宋体"/>
                <w:sz w:val="24"/>
              </w:rPr>
            </w:pPr>
            <w:r>
              <w:rPr>
                <w:rFonts w:hint="eastAsia" w:ascii="宋体" w:hAnsi="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pPr>
              <w:pStyle w:val="242"/>
              <w:ind w:firstLine="480"/>
              <w:rPr>
                <w:rFonts w:ascii="宋体" w:hAnsi="宋体"/>
                <w:sz w:val="24"/>
              </w:rPr>
            </w:pPr>
            <w:r>
              <w:rPr>
                <w:rFonts w:hint="eastAsia" w:ascii="宋体" w:hAnsi="宋体"/>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242"/>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rPr>
                <w:rFonts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242"/>
              <w:ind w:firstLine="480"/>
              <w:jc w:val="center"/>
              <w:rPr>
                <w:rFonts w:ascii="宋体" w:hAnsi="宋体"/>
                <w:sz w:val="24"/>
              </w:rPr>
            </w:pPr>
          </w:p>
        </w:tc>
      </w:tr>
    </w:tbl>
    <w:p>
      <w:pPr>
        <w:pStyle w:val="235"/>
        <w:spacing w:line="520" w:lineRule="exact"/>
        <w:ind w:firstLine="2240" w:firstLineChars="800"/>
        <w:rPr>
          <w:rFonts w:hint="eastAsia" w:hAnsi="宋体"/>
          <w:spacing w:val="20"/>
          <w:sz w:val="24"/>
          <w:lang w:eastAsia="zh-CN"/>
        </w:rPr>
      </w:pPr>
    </w:p>
    <w:p>
      <w:pPr>
        <w:pStyle w:val="235"/>
        <w:spacing w:line="520" w:lineRule="exact"/>
        <w:ind w:firstLine="2240" w:firstLineChars="80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lang w:eastAsia="zh-CN"/>
        </w:rPr>
      </w:pPr>
      <w:r>
        <w:rPr>
          <w:rFonts w:hint="eastAsia" w:hAnsi="宋体"/>
          <w:spacing w:val="20"/>
          <w:sz w:val="24"/>
        </w:rPr>
        <w:t>日     期：</w:t>
      </w:r>
      <w:r>
        <w:rPr>
          <w:rFonts w:hint="eastAsia" w:hAnsi="宋体"/>
          <w:spacing w:val="20"/>
          <w:sz w:val="24"/>
          <w:u w:val="single"/>
        </w:rPr>
        <w:t xml:space="preserve">            </w:t>
      </w:r>
      <w:bookmarkStart w:id="100" w:name="_Toc497376120"/>
    </w:p>
    <w:p>
      <w:pPr>
        <w:spacing w:line="360" w:lineRule="auto"/>
        <w:jc w:val="center"/>
        <w:rPr>
          <w:rFonts w:hint="eastAsia" w:ascii="宋体" w:hAnsi="宋体"/>
          <w:b/>
          <w:sz w:val="30"/>
        </w:rPr>
      </w:pPr>
    </w:p>
    <w:p>
      <w:pPr>
        <w:spacing w:line="360" w:lineRule="auto"/>
        <w:jc w:val="center"/>
        <w:rPr>
          <w:rFonts w:hint="eastAsia" w:ascii="宋体" w:hAnsi="宋体"/>
          <w:b/>
          <w:sz w:val="30"/>
        </w:rPr>
      </w:pPr>
      <w:r>
        <w:rPr>
          <w:rFonts w:hint="eastAsia" w:ascii="宋体" w:hAnsi="宋体"/>
          <w:b/>
          <w:sz w:val="30"/>
        </w:rPr>
        <w:t>3、中小企业声明函</w:t>
      </w:r>
      <w:bookmarkEnd w:id="100"/>
    </w:p>
    <w:p>
      <w:pPr>
        <w:pStyle w:val="243"/>
        <w:spacing w:line="360" w:lineRule="auto"/>
        <w:ind w:firstLine="504" w:firstLineChars="200"/>
        <w:rPr>
          <w:rFonts w:hint="eastAsia" w:ascii="宋体" w:hAnsi="宋体"/>
          <w:spacing w:val="6"/>
          <w:sz w:val="24"/>
        </w:rPr>
      </w:pPr>
      <w:r>
        <w:rPr>
          <w:rFonts w:hint="eastAsia" w:ascii="宋体" w:hAnsi="宋体"/>
          <w:spacing w:val="6"/>
          <w:sz w:val="24"/>
        </w:rPr>
        <w:t>本公司郑重声明，根据《政府采购促进中小企业发展暂行办法》（财库〔2011〕181号）的规定，本公司为</w:t>
      </w:r>
      <w:r>
        <w:rPr>
          <w:rFonts w:ascii="宋体" w:hAnsi="宋体"/>
          <w:spacing w:val="6"/>
          <w:sz w:val="24"/>
          <w:u w:val="single"/>
        </w:rPr>
        <w:t xml:space="preserve">        </w:t>
      </w:r>
      <w:r>
        <w:rPr>
          <w:rFonts w:hint="eastAsia" w:ascii="宋体" w:hAnsi="宋体"/>
          <w:spacing w:val="6"/>
          <w:sz w:val="24"/>
        </w:rPr>
        <w:t>（请填写：小型、微型、监狱</w:t>
      </w:r>
      <w:r>
        <w:rPr>
          <w:rFonts w:ascii="宋体" w:hAnsi="宋体"/>
          <w:spacing w:val="6"/>
          <w:sz w:val="24"/>
        </w:rPr>
        <w:t>和残疾人福利</w:t>
      </w:r>
      <w:r>
        <w:rPr>
          <w:rFonts w:hint="eastAsia" w:ascii="宋体" w:hAnsi="宋体"/>
          <w:spacing w:val="6"/>
          <w:sz w:val="24"/>
        </w:rPr>
        <w:t>）企业。即，本公司同时满足以下条件：</w:t>
      </w:r>
    </w:p>
    <w:p>
      <w:pPr>
        <w:pStyle w:val="243"/>
        <w:spacing w:line="360" w:lineRule="auto"/>
        <w:ind w:firstLine="504" w:firstLineChars="200"/>
        <w:rPr>
          <w:rFonts w:hint="eastAsia"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1.根据《工业和信息化部、国家统计局、国家发展和改革委员会、财政部关于印发中小企业划型标准规定的通知》（工信部联企业〔2011〕300号）规定的划分标准，本公司为</w:t>
      </w:r>
      <w:r>
        <w:rPr>
          <w:rFonts w:ascii="宋体" w:hAnsi="宋体"/>
          <w:spacing w:val="6"/>
          <w:sz w:val="24"/>
          <w:u w:val="single"/>
        </w:rPr>
        <w:t xml:space="preserve">       </w:t>
      </w:r>
      <w:r>
        <w:rPr>
          <w:rFonts w:hint="eastAsia" w:ascii="宋体" w:hAnsi="宋体"/>
          <w:spacing w:val="6"/>
          <w:sz w:val="24"/>
        </w:rPr>
        <w:t>（请填写：中型、小型、微型）企业。</w:t>
      </w:r>
    </w:p>
    <w:p>
      <w:pPr>
        <w:pStyle w:val="243"/>
        <w:spacing w:line="360" w:lineRule="auto"/>
        <w:ind w:firstLine="504" w:firstLineChars="200"/>
        <w:rPr>
          <w:rFonts w:hint="eastAsia" w:ascii="宋体" w:hAnsi="宋体"/>
          <w:spacing w:val="6"/>
          <w:sz w:val="24"/>
        </w:rPr>
      </w:pPr>
      <w:r>
        <w:rPr>
          <w:rFonts w:hint="eastAsia" w:ascii="宋体" w:hAnsi="宋体"/>
          <w:spacing w:val="6"/>
          <w:sz w:val="24"/>
        </w:rPr>
        <w:t>2.本公司参加</w:t>
      </w:r>
      <w:r>
        <w:rPr>
          <w:rFonts w:ascii="宋体" w:hAnsi="宋体"/>
          <w:spacing w:val="6"/>
          <w:sz w:val="24"/>
          <w:u w:val="single"/>
        </w:rPr>
        <w:t xml:space="preserve">    </w:t>
      </w:r>
      <w:r>
        <w:rPr>
          <w:rFonts w:hint="eastAsia" w:ascii="宋体" w:hAnsi="宋体"/>
          <w:spacing w:val="6"/>
          <w:sz w:val="24"/>
          <w:u w:val="single"/>
        </w:rPr>
        <w:t>（项目</w:t>
      </w:r>
      <w:r>
        <w:rPr>
          <w:rFonts w:ascii="宋体" w:hAnsi="宋体"/>
          <w:spacing w:val="6"/>
          <w:sz w:val="24"/>
          <w:u w:val="single"/>
        </w:rPr>
        <w:t>名称</w:t>
      </w:r>
      <w:r>
        <w:rPr>
          <w:rFonts w:hint="eastAsia" w:ascii="宋体" w:hAnsi="宋体"/>
          <w:spacing w:val="6"/>
          <w:sz w:val="24"/>
          <w:u w:val="single"/>
        </w:rPr>
        <w:t xml:space="preserve">）    </w:t>
      </w:r>
      <w:r>
        <w:rPr>
          <w:rFonts w:hint="eastAsia" w:ascii="宋体" w:hAnsi="宋体"/>
          <w:spacing w:val="6"/>
          <w:sz w:val="24"/>
        </w:rPr>
        <w:t>采购活动提供本企业制造的货物，由本企业承担工程、提供服务，或者提供其他</w:t>
      </w:r>
      <w:r>
        <w:rPr>
          <w:rFonts w:ascii="宋体" w:hAnsi="宋体"/>
          <w:spacing w:val="6"/>
          <w:sz w:val="24"/>
          <w:u w:val="single"/>
        </w:rPr>
        <w:t xml:space="preserve">       </w:t>
      </w:r>
      <w:r>
        <w:rPr>
          <w:rFonts w:hint="eastAsia" w:ascii="宋体" w:hAnsi="宋体"/>
          <w:spacing w:val="6"/>
          <w:sz w:val="24"/>
        </w:rPr>
        <w:t>（请填写：小型、微型、监狱</w:t>
      </w:r>
      <w:r>
        <w:rPr>
          <w:rFonts w:ascii="宋体" w:hAnsi="宋体"/>
          <w:spacing w:val="6"/>
          <w:sz w:val="24"/>
        </w:rPr>
        <w:t>和残疾人福利</w:t>
      </w:r>
      <w:r>
        <w:rPr>
          <w:rFonts w:hint="eastAsia" w:ascii="宋体" w:hAnsi="宋体"/>
          <w:spacing w:val="6"/>
          <w:sz w:val="24"/>
        </w:rPr>
        <w:t>）企业制造的货物。本条所称货物不包括使用大型企业注册商标的货物。</w:t>
      </w:r>
    </w:p>
    <w:p>
      <w:pPr>
        <w:pStyle w:val="243"/>
        <w:spacing w:line="500" w:lineRule="exact"/>
        <w:jc w:val="center"/>
        <w:rPr>
          <w:rFonts w:hint="eastAsia" w:ascii="宋体" w:hAnsi="宋体"/>
          <w:b/>
          <w:spacing w:val="6"/>
          <w:sz w:val="24"/>
        </w:rPr>
      </w:pPr>
      <w:r>
        <w:rPr>
          <w:rFonts w:hint="eastAsia" w:ascii="宋体" w:hAnsi="宋体"/>
          <w:b/>
          <w:spacing w:val="6"/>
          <w:sz w:val="24"/>
        </w:rPr>
        <w:t>投标企业基本情况</w:t>
      </w:r>
    </w:p>
    <w:tbl>
      <w:tblPr>
        <w:tblStyle w:val="4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444"/>
        <w:gridCol w:w="1444"/>
        <w:gridCol w:w="1439"/>
        <w:gridCol w:w="1306"/>
        <w:gridCol w:w="130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700"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企业名称</w:t>
            </w:r>
          </w:p>
        </w:tc>
        <w:tc>
          <w:tcPr>
            <w:tcW w:w="1444"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企业类别</w:t>
            </w:r>
          </w:p>
        </w:tc>
        <w:tc>
          <w:tcPr>
            <w:tcW w:w="1444"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从业人员（人）</w:t>
            </w:r>
          </w:p>
        </w:tc>
        <w:tc>
          <w:tcPr>
            <w:tcW w:w="1439"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营业收入（万元）</w:t>
            </w:r>
          </w:p>
        </w:tc>
        <w:tc>
          <w:tcPr>
            <w:tcW w:w="1306"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资产总额（万元）</w:t>
            </w:r>
          </w:p>
        </w:tc>
        <w:tc>
          <w:tcPr>
            <w:tcW w:w="1300"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提供产品名称</w:t>
            </w:r>
          </w:p>
        </w:tc>
        <w:tc>
          <w:tcPr>
            <w:tcW w:w="1138"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jc w:val="center"/>
        </w:trPr>
        <w:tc>
          <w:tcPr>
            <w:tcW w:w="1700" w:type="dxa"/>
            <w:shd w:val="clear" w:color="auto" w:fill="auto"/>
            <w:noWrap w:val="0"/>
            <w:vAlign w:val="center"/>
          </w:tcPr>
          <w:p>
            <w:pPr>
              <w:pStyle w:val="243"/>
              <w:spacing w:line="588" w:lineRule="exact"/>
              <w:jc w:val="center"/>
              <w:rPr>
                <w:rFonts w:hint="eastAsia" w:ascii="宋体" w:hAnsi="宋体"/>
                <w:spacing w:val="6"/>
                <w:szCs w:val="21"/>
              </w:rPr>
            </w:pPr>
          </w:p>
        </w:tc>
        <w:tc>
          <w:tcPr>
            <w:tcW w:w="1444" w:type="dxa"/>
            <w:shd w:val="clear" w:color="auto" w:fill="auto"/>
            <w:noWrap w:val="0"/>
            <w:vAlign w:val="center"/>
          </w:tcPr>
          <w:p>
            <w:pPr>
              <w:pStyle w:val="243"/>
              <w:spacing w:line="588" w:lineRule="exact"/>
              <w:jc w:val="center"/>
              <w:rPr>
                <w:rFonts w:hint="eastAsia" w:ascii="宋体" w:hAnsi="宋体"/>
                <w:spacing w:val="6"/>
                <w:szCs w:val="21"/>
              </w:rPr>
            </w:pPr>
          </w:p>
        </w:tc>
        <w:tc>
          <w:tcPr>
            <w:tcW w:w="1444" w:type="dxa"/>
            <w:shd w:val="clear" w:color="auto" w:fill="auto"/>
            <w:noWrap w:val="0"/>
            <w:vAlign w:val="center"/>
          </w:tcPr>
          <w:p>
            <w:pPr>
              <w:pStyle w:val="243"/>
              <w:spacing w:line="588" w:lineRule="exact"/>
              <w:jc w:val="center"/>
              <w:rPr>
                <w:rFonts w:hint="eastAsia" w:ascii="宋体" w:hAnsi="宋体"/>
                <w:spacing w:val="6"/>
                <w:szCs w:val="21"/>
              </w:rPr>
            </w:pPr>
          </w:p>
        </w:tc>
        <w:tc>
          <w:tcPr>
            <w:tcW w:w="1439" w:type="dxa"/>
            <w:shd w:val="clear" w:color="auto" w:fill="auto"/>
            <w:noWrap w:val="0"/>
            <w:vAlign w:val="center"/>
          </w:tcPr>
          <w:p>
            <w:pPr>
              <w:pStyle w:val="243"/>
              <w:spacing w:line="588" w:lineRule="exact"/>
              <w:jc w:val="center"/>
              <w:rPr>
                <w:rFonts w:hint="eastAsia" w:ascii="宋体" w:hAnsi="宋体"/>
                <w:spacing w:val="6"/>
                <w:szCs w:val="21"/>
              </w:rPr>
            </w:pPr>
          </w:p>
        </w:tc>
        <w:tc>
          <w:tcPr>
            <w:tcW w:w="1306" w:type="dxa"/>
            <w:shd w:val="clear" w:color="auto" w:fill="auto"/>
            <w:noWrap w:val="0"/>
            <w:vAlign w:val="center"/>
          </w:tcPr>
          <w:p>
            <w:pPr>
              <w:pStyle w:val="243"/>
              <w:spacing w:line="588" w:lineRule="exact"/>
              <w:jc w:val="center"/>
              <w:rPr>
                <w:rFonts w:hint="eastAsia" w:ascii="宋体" w:hAnsi="宋体"/>
                <w:spacing w:val="6"/>
                <w:szCs w:val="21"/>
              </w:rPr>
            </w:pPr>
          </w:p>
        </w:tc>
        <w:tc>
          <w:tcPr>
            <w:tcW w:w="1300" w:type="dxa"/>
            <w:shd w:val="clear" w:color="auto" w:fill="auto"/>
            <w:noWrap w:val="0"/>
            <w:vAlign w:val="center"/>
          </w:tcPr>
          <w:p>
            <w:pPr>
              <w:pStyle w:val="243"/>
              <w:spacing w:line="588" w:lineRule="exact"/>
              <w:jc w:val="center"/>
              <w:rPr>
                <w:rFonts w:hint="eastAsia" w:ascii="宋体" w:hAnsi="宋体"/>
                <w:spacing w:val="6"/>
                <w:szCs w:val="21"/>
              </w:rPr>
            </w:pPr>
          </w:p>
        </w:tc>
        <w:tc>
          <w:tcPr>
            <w:tcW w:w="1138" w:type="dxa"/>
            <w:shd w:val="clear" w:color="auto" w:fill="auto"/>
            <w:noWrap w:val="0"/>
            <w:vAlign w:val="center"/>
          </w:tcPr>
          <w:p>
            <w:pPr>
              <w:pStyle w:val="243"/>
              <w:jc w:val="center"/>
              <w:rPr>
                <w:rFonts w:hint="eastAsia" w:ascii="宋体" w:hAnsi="宋体"/>
                <w:spacing w:val="6"/>
                <w:szCs w:val="21"/>
              </w:rPr>
            </w:pPr>
            <w:r>
              <w:rPr>
                <w:rFonts w:hint="eastAsia" w:ascii="宋体" w:hAnsi="宋体"/>
                <w:spacing w:val="6"/>
                <w:szCs w:val="21"/>
              </w:rPr>
              <w:t>产品名称与分项报价一致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8" w:hRule="atLeast"/>
          <w:jc w:val="center"/>
        </w:trPr>
        <w:tc>
          <w:tcPr>
            <w:tcW w:w="1700" w:type="dxa"/>
            <w:shd w:val="clear" w:color="auto" w:fill="auto"/>
            <w:noWrap w:val="0"/>
            <w:vAlign w:val="center"/>
          </w:tcPr>
          <w:p>
            <w:pPr>
              <w:pStyle w:val="243"/>
              <w:spacing w:line="588" w:lineRule="exact"/>
              <w:jc w:val="center"/>
              <w:rPr>
                <w:rFonts w:hint="eastAsia" w:ascii="宋体" w:hAnsi="宋体"/>
                <w:spacing w:val="6"/>
                <w:szCs w:val="21"/>
              </w:rPr>
            </w:pPr>
          </w:p>
        </w:tc>
        <w:tc>
          <w:tcPr>
            <w:tcW w:w="1444" w:type="dxa"/>
            <w:shd w:val="clear" w:color="auto" w:fill="auto"/>
            <w:noWrap w:val="0"/>
            <w:vAlign w:val="center"/>
          </w:tcPr>
          <w:p>
            <w:pPr>
              <w:pStyle w:val="243"/>
              <w:spacing w:line="588" w:lineRule="exact"/>
              <w:jc w:val="center"/>
              <w:rPr>
                <w:rFonts w:hint="eastAsia" w:ascii="宋体" w:hAnsi="宋体"/>
                <w:spacing w:val="6"/>
                <w:szCs w:val="21"/>
              </w:rPr>
            </w:pPr>
          </w:p>
        </w:tc>
        <w:tc>
          <w:tcPr>
            <w:tcW w:w="1444" w:type="dxa"/>
            <w:shd w:val="clear" w:color="auto" w:fill="auto"/>
            <w:noWrap w:val="0"/>
            <w:vAlign w:val="center"/>
          </w:tcPr>
          <w:p>
            <w:pPr>
              <w:pStyle w:val="243"/>
              <w:spacing w:line="588" w:lineRule="exact"/>
              <w:jc w:val="center"/>
              <w:rPr>
                <w:rFonts w:hint="eastAsia" w:ascii="宋体" w:hAnsi="宋体"/>
                <w:spacing w:val="6"/>
                <w:szCs w:val="21"/>
              </w:rPr>
            </w:pPr>
          </w:p>
        </w:tc>
        <w:tc>
          <w:tcPr>
            <w:tcW w:w="1439" w:type="dxa"/>
            <w:shd w:val="clear" w:color="auto" w:fill="auto"/>
            <w:noWrap w:val="0"/>
            <w:vAlign w:val="center"/>
          </w:tcPr>
          <w:p>
            <w:pPr>
              <w:pStyle w:val="243"/>
              <w:spacing w:line="588" w:lineRule="exact"/>
              <w:jc w:val="center"/>
              <w:rPr>
                <w:rFonts w:hint="eastAsia" w:ascii="宋体" w:hAnsi="宋体"/>
                <w:spacing w:val="6"/>
                <w:szCs w:val="21"/>
              </w:rPr>
            </w:pPr>
          </w:p>
        </w:tc>
        <w:tc>
          <w:tcPr>
            <w:tcW w:w="1306" w:type="dxa"/>
            <w:shd w:val="clear" w:color="auto" w:fill="auto"/>
            <w:noWrap w:val="0"/>
            <w:vAlign w:val="center"/>
          </w:tcPr>
          <w:p>
            <w:pPr>
              <w:pStyle w:val="243"/>
              <w:spacing w:line="588" w:lineRule="exact"/>
              <w:jc w:val="center"/>
              <w:rPr>
                <w:rFonts w:hint="eastAsia" w:ascii="宋体" w:hAnsi="宋体"/>
                <w:spacing w:val="6"/>
                <w:szCs w:val="21"/>
              </w:rPr>
            </w:pPr>
          </w:p>
        </w:tc>
        <w:tc>
          <w:tcPr>
            <w:tcW w:w="1300" w:type="dxa"/>
            <w:shd w:val="clear" w:color="auto" w:fill="auto"/>
            <w:noWrap w:val="0"/>
            <w:vAlign w:val="center"/>
          </w:tcPr>
          <w:p>
            <w:pPr>
              <w:pStyle w:val="243"/>
              <w:spacing w:line="588" w:lineRule="exact"/>
              <w:jc w:val="center"/>
              <w:rPr>
                <w:rFonts w:hint="eastAsia" w:ascii="宋体" w:hAnsi="宋体"/>
                <w:spacing w:val="6"/>
                <w:szCs w:val="21"/>
              </w:rPr>
            </w:pPr>
          </w:p>
        </w:tc>
        <w:tc>
          <w:tcPr>
            <w:tcW w:w="1138" w:type="dxa"/>
            <w:shd w:val="clear" w:color="auto" w:fill="auto"/>
            <w:noWrap w:val="0"/>
            <w:vAlign w:val="center"/>
          </w:tcPr>
          <w:p>
            <w:pPr>
              <w:pStyle w:val="243"/>
              <w:jc w:val="center"/>
              <w:rPr>
                <w:rFonts w:hint="eastAsia" w:ascii="宋体" w:hAnsi="宋体"/>
                <w:spacing w:val="6"/>
                <w:szCs w:val="21"/>
              </w:rPr>
            </w:pPr>
            <w:r>
              <w:rPr>
                <w:rFonts w:hint="eastAsia" w:ascii="宋体" w:hAnsi="宋体"/>
                <w:spacing w:val="6"/>
                <w:szCs w:val="21"/>
              </w:rPr>
              <w:t>产品名称与分项报价一致</w:t>
            </w:r>
          </w:p>
        </w:tc>
      </w:tr>
    </w:tbl>
    <w:p>
      <w:pPr>
        <w:pStyle w:val="243"/>
        <w:spacing w:line="500" w:lineRule="exact"/>
        <w:jc w:val="center"/>
        <w:rPr>
          <w:rFonts w:hint="eastAsia" w:ascii="宋体" w:hAnsi="宋体"/>
          <w:b/>
          <w:spacing w:val="6"/>
          <w:szCs w:val="21"/>
        </w:rPr>
      </w:pPr>
      <w:r>
        <w:rPr>
          <w:rFonts w:hint="eastAsia" w:ascii="宋体" w:hAnsi="宋体"/>
          <w:b/>
          <w:spacing w:val="6"/>
          <w:szCs w:val="21"/>
        </w:rPr>
        <w:t>制造企业基本情况</w:t>
      </w:r>
    </w:p>
    <w:tbl>
      <w:tblPr>
        <w:tblStyle w:val="4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45"/>
        <w:gridCol w:w="1445"/>
        <w:gridCol w:w="1440"/>
        <w:gridCol w:w="1308"/>
        <w:gridCol w:w="130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7" w:hRule="atLeast"/>
          <w:jc w:val="center"/>
        </w:trPr>
        <w:tc>
          <w:tcPr>
            <w:tcW w:w="1702"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企业名称</w:t>
            </w:r>
          </w:p>
        </w:tc>
        <w:tc>
          <w:tcPr>
            <w:tcW w:w="1445"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企业类别</w:t>
            </w:r>
          </w:p>
        </w:tc>
        <w:tc>
          <w:tcPr>
            <w:tcW w:w="1445"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从业人员（人）</w:t>
            </w:r>
          </w:p>
        </w:tc>
        <w:tc>
          <w:tcPr>
            <w:tcW w:w="1440"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营业收入（万元）</w:t>
            </w:r>
          </w:p>
        </w:tc>
        <w:tc>
          <w:tcPr>
            <w:tcW w:w="1308"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资产总额（万元）</w:t>
            </w:r>
          </w:p>
        </w:tc>
        <w:tc>
          <w:tcPr>
            <w:tcW w:w="1302"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制造产品名称</w:t>
            </w:r>
          </w:p>
        </w:tc>
        <w:tc>
          <w:tcPr>
            <w:tcW w:w="1140" w:type="dxa"/>
            <w:shd w:val="clear" w:color="auto" w:fill="auto"/>
            <w:noWrap w:val="0"/>
            <w:vAlign w:val="center"/>
          </w:tcPr>
          <w:p>
            <w:pPr>
              <w:pStyle w:val="243"/>
              <w:jc w:val="center"/>
              <w:rPr>
                <w:rFonts w:hint="eastAsia" w:ascii="宋体" w:hAnsi="宋体"/>
                <w:b/>
                <w:spacing w:val="6"/>
                <w:szCs w:val="21"/>
              </w:rPr>
            </w:pPr>
            <w:r>
              <w:rPr>
                <w:rFonts w:hint="eastAsia" w:ascii="宋体" w:hAnsi="宋体"/>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1702" w:type="dxa"/>
            <w:shd w:val="clear" w:color="auto" w:fill="auto"/>
            <w:noWrap w:val="0"/>
            <w:vAlign w:val="center"/>
          </w:tcPr>
          <w:p>
            <w:pPr>
              <w:pStyle w:val="243"/>
              <w:spacing w:line="588" w:lineRule="exact"/>
              <w:jc w:val="center"/>
              <w:rPr>
                <w:rFonts w:hint="eastAsia" w:ascii="宋体" w:hAnsi="宋体"/>
                <w:spacing w:val="6"/>
                <w:szCs w:val="21"/>
              </w:rPr>
            </w:pPr>
          </w:p>
        </w:tc>
        <w:tc>
          <w:tcPr>
            <w:tcW w:w="1445" w:type="dxa"/>
            <w:shd w:val="clear" w:color="auto" w:fill="auto"/>
            <w:noWrap w:val="0"/>
            <w:vAlign w:val="center"/>
          </w:tcPr>
          <w:p>
            <w:pPr>
              <w:pStyle w:val="243"/>
              <w:spacing w:line="588" w:lineRule="exact"/>
              <w:jc w:val="center"/>
              <w:rPr>
                <w:rFonts w:hint="eastAsia" w:ascii="宋体" w:hAnsi="宋体"/>
                <w:spacing w:val="6"/>
                <w:szCs w:val="21"/>
              </w:rPr>
            </w:pPr>
          </w:p>
        </w:tc>
        <w:tc>
          <w:tcPr>
            <w:tcW w:w="1445" w:type="dxa"/>
            <w:shd w:val="clear" w:color="auto" w:fill="auto"/>
            <w:noWrap w:val="0"/>
            <w:vAlign w:val="center"/>
          </w:tcPr>
          <w:p>
            <w:pPr>
              <w:pStyle w:val="243"/>
              <w:spacing w:line="588" w:lineRule="exact"/>
              <w:jc w:val="center"/>
              <w:rPr>
                <w:rFonts w:hint="eastAsia" w:ascii="宋体" w:hAnsi="宋体"/>
                <w:spacing w:val="6"/>
                <w:szCs w:val="21"/>
              </w:rPr>
            </w:pPr>
          </w:p>
        </w:tc>
        <w:tc>
          <w:tcPr>
            <w:tcW w:w="1440" w:type="dxa"/>
            <w:shd w:val="clear" w:color="auto" w:fill="auto"/>
            <w:noWrap w:val="0"/>
            <w:vAlign w:val="center"/>
          </w:tcPr>
          <w:p>
            <w:pPr>
              <w:pStyle w:val="243"/>
              <w:spacing w:line="588" w:lineRule="exact"/>
              <w:jc w:val="center"/>
              <w:rPr>
                <w:rFonts w:hint="eastAsia" w:ascii="宋体" w:hAnsi="宋体"/>
                <w:spacing w:val="6"/>
                <w:szCs w:val="21"/>
              </w:rPr>
            </w:pPr>
          </w:p>
        </w:tc>
        <w:tc>
          <w:tcPr>
            <w:tcW w:w="1308" w:type="dxa"/>
            <w:shd w:val="clear" w:color="auto" w:fill="auto"/>
            <w:noWrap w:val="0"/>
            <w:vAlign w:val="center"/>
          </w:tcPr>
          <w:p>
            <w:pPr>
              <w:pStyle w:val="243"/>
              <w:spacing w:line="588" w:lineRule="exact"/>
              <w:jc w:val="center"/>
              <w:rPr>
                <w:rFonts w:hint="eastAsia" w:ascii="宋体" w:hAnsi="宋体"/>
                <w:spacing w:val="6"/>
                <w:szCs w:val="21"/>
              </w:rPr>
            </w:pPr>
          </w:p>
        </w:tc>
        <w:tc>
          <w:tcPr>
            <w:tcW w:w="1302" w:type="dxa"/>
            <w:shd w:val="clear" w:color="auto" w:fill="auto"/>
            <w:noWrap w:val="0"/>
            <w:vAlign w:val="center"/>
          </w:tcPr>
          <w:p>
            <w:pPr>
              <w:pStyle w:val="243"/>
              <w:spacing w:line="588" w:lineRule="exact"/>
              <w:jc w:val="center"/>
              <w:rPr>
                <w:rFonts w:hint="eastAsia" w:ascii="宋体" w:hAnsi="宋体"/>
                <w:spacing w:val="6"/>
                <w:szCs w:val="21"/>
              </w:rPr>
            </w:pPr>
          </w:p>
        </w:tc>
        <w:tc>
          <w:tcPr>
            <w:tcW w:w="1140" w:type="dxa"/>
            <w:shd w:val="clear" w:color="auto" w:fill="auto"/>
            <w:noWrap w:val="0"/>
            <w:vAlign w:val="center"/>
          </w:tcPr>
          <w:p>
            <w:pPr>
              <w:pStyle w:val="243"/>
              <w:jc w:val="center"/>
              <w:rPr>
                <w:rFonts w:hint="eastAsia" w:ascii="宋体" w:hAnsi="宋体"/>
                <w:spacing w:val="6"/>
                <w:szCs w:val="21"/>
              </w:rPr>
            </w:pPr>
            <w:r>
              <w:rPr>
                <w:rFonts w:hint="eastAsia" w:ascii="宋体" w:hAnsi="宋体"/>
                <w:spacing w:val="6"/>
                <w:szCs w:val="21"/>
              </w:rPr>
              <w:t>产品名称与分项报价一致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jc w:val="center"/>
        </w:trPr>
        <w:tc>
          <w:tcPr>
            <w:tcW w:w="1702" w:type="dxa"/>
            <w:shd w:val="clear" w:color="auto" w:fill="auto"/>
            <w:noWrap w:val="0"/>
            <w:vAlign w:val="center"/>
          </w:tcPr>
          <w:p>
            <w:pPr>
              <w:pStyle w:val="243"/>
              <w:spacing w:line="588" w:lineRule="exact"/>
              <w:jc w:val="center"/>
              <w:rPr>
                <w:rFonts w:hint="eastAsia" w:ascii="宋体" w:hAnsi="宋体"/>
                <w:spacing w:val="6"/>
                <w:szCs w:val="21"/>
              </w:rPr>
            </w:pPr>
          </w:p>
        </w:tc>
        <w:tc>
          <w:tcPr>
            <w:tcW w:w="1445" w:type="dxa"/>
            <w:shd w:val="clear" w:color="auto" w:fill="auto"/>
            <w:noWrap w:val="0"/>
            <w:vAlign w:val="center"/>
          </w:tcPr>
          <w:p>
            <w:pPr>
              <w:pStyle w:val="243"/>
              <w:spacing w:line="588" w:lineRule="exact"/>
              <w:jc w:val="center"/>
              <w:rPr>
                <w:rFonts w:hint="eastAsia" w:ascii="宋体" w:hAnsi="宋体"/>
                <w:spacing w:val="6"/>
                <w:szCs w:val="21"/>
              </w:rPr>
            </w:pPr>
          </w:p>
        </w:tc>
        <w:tc>
          <w:tcPr>
            <w:tcW w:w="1445" w:type="dxa"/>
            <w:shd w:val="clear" w:color="auto" w:fill="auto"/>
            <w:noWrap w:val="0"/>
            <w:vAlign w:val="center"/>
          </w:tcPr>
          <w:p>
            <w:pPr>
              <w:pStyle w:val="243"/>
              <w:spacing w:line="588" w:lineRule="exact"/>
              <w:jc w:val="center"/>
              <w:rPr>
                <w:rFonts w:hint="eastAsia" w:ascii="宋体" w:hAnsi="宋体"/>
                <w:spacing w:val="6"/>
                <w:szCs w:val="21"/>
              </w:rPr>
            </w:pPr>
          </w:p>
        </w:tc>
        <w:tc>
          <w:tcPr>
            <w:tcW w:w="1440" w:type="dxa"/>
            <w:shd w:val="clear" w:color="auto" w:fill="auto"/>
            <w:noWrap w:val="0"/>
            <w:vAlign w:val="center"/>
          </w:tcPr>
          <w:p>
            <w:pPr>
              <w:pStyle w:val="243"/>
              <w:spacing w:line="588" w:lineRule="exact"/>
              <w:jc w:val="center"/>
              <w:rPr>
                <w:rFonts w:hint="eastAsia" w:ascii="宋体" w:hAnsi="宋体"/>
                <w:spacing w:val="6"/>
                <w:szCs w:val="21"/>
              </w:rPr>
            </w:pPr>
          </w:p>
        </w:tc>
        <w:tc>
          <w:tcPr>
            <w:tcW w:w="1308" w:type="dxa"/>
            <w:shd w:val="clear" w:color="auto" w:fill="auto"/>
            <w:noWrap w:val="0"/>
            <w:vAlign w:val="center"/>
          </w:tcPr>
          <w:p>
            <w:pPr>
              <w:pStyle w:val="243"/>
              <w:spacing w:line="588" w:lineRule="exact"/>
              <w:jc w:val="center"/>
              <w:rPr>
                <w:rFonts w:hint="eastAsia" w:ascii="宋体" w:hAnsi="宋体"/>
                <w:spacing w:val="6"/>
                <w:szCs w:val="21"/>
              </w:rPr>
            </w:pPr>
          </w:p>
        </w:tc>
        <w:tc>
          <w:tcPr>
            <w:tcW w:w="1302" w:type="dxa"/>
            <w:shd w:val="clear" w:color="auto" w:fill="auto"/>
            <w:noWrap w:val="0"/>
            <w:vAlign w:val="center"/>
          </w:tcPr>
          <w:p>
            <w:pPr>
              <w:pStyle w:val="243"/>
              <w:spacing w:line="588" w:lineRule="exact"/>
              <w:jc w:val="center"/>
              <w:rPr>
                <w:rFonts w:hint="eastAsia" w:ascii="宋体" w:hAnsi="宋体"/>
                <w:spacing w:val="6"/>
                <w:szCs w:val="21"/>
              </w:rPr>
            </w:pPr>
          </w:p>
        </w:tc>
        <w:tc>
          <w:tcPr>
            <w:tcW w:w="1140" w:type="dxa"/>
            <w:shd w:val="clear" w:color="auto" w:fill="auto"/>
            <w:noWrap w:val="0"/>
            <w:vAlign w:val="center"/>
          </w:tcPr>
          <w:p>
            <w:pPr>
              <w:pStyle w:val="243"/>
              <w:jc w:val="center"/>
              <w:rPr>
                <w:rFonts w:hint="eastAsia" w:ascii="宋体" w:hAnsi="宋体"/>
                <w:spacing w:val="6"/>
                <w:szCs w:val="21"/>
              </w:rPr>
            </w:pPr>
            <w:r>
              <w:rPr>
                <w:rFonts w:hint="eastAsia" w:ascii="宋体" w:hAnsi="宋体"/>
                <w:spacing w:val="6"/>
                <w:szCs w:val="21"/>
              </w:rPr>
              <w:t>产品名称与分项报价一致</w:t>
            </w:r>
          </w:p>
        </w:tc>
      </w:tr>
    </w:tbl>
    <w:p>
      <w:pPr>
        <w:pStyle w:val="243"/>
        <w:spacing w:line="360" w:lineRule="auto"/>
        <w:ind w:firstLine="444" w:firstLineChars="200"/>
        <w:rPr>
          <w:rFonts w:hint="eastAsia" w:ascii="宋体" w:hAnsi="宋体"/>
          <w:spacing w:val="6"/>
          <w:szCs w:val="21"/>
        </w:rPr>
      </w:pPr>
      <w:r>
        <w:rPr>
          <w:rFonts w:hint="eastAsia" w:ascii="宋体" w:hAnsi="宋体"/>
          <w:spacing w:val="6"/>
          <w:szCs w:val="21"/>
        </w:rPr>
        <w:t>本公司对上述声明的真实性负责。如有虚假，将依法承担相应责任。</w:t>
      </w:r>
    </w:p>
    <w:p>
      <w:pPr>
        <w:pStyle w:val="243"/>
        <w:rPr>
          <w:rFonts w:ascii="宋体" w:hAnsi="宋体"/>
          <w:b/>
          <w:bCs/>
          <w:szCs w:val="21"/>
        </w:rPr>
      </w:pPr>
      <w:r>
        <w:rPr>
          <w:rFonts w:hint="eastAsia" w:ascii="宋体" w:hAnsi="宋体"/>
          <w:b/>
          <w:bCs/>
          <w:szCs w:val="21"/>
        </w:rPr>
        <w:t>注：</w:t>
      </w:r>
    </w:p>
    <w:p>
      <w:pPr>
        <w:pStyle w:val="243"/>
        <w:ind w:firstLine="420" w:firstLineChars="200"/>
        <w:rPr>
          <w:rFonts w:ascii="宋体" w:hAnsi="宋体"/>
          <w:bCs/>
          <w:szCs w:val="21"/>
        </w:rPr>
      </w:pPr>
      <w:r>
        <w:rPr>
          <w:rFonts w:hint="eastAsia" w:ascii="宋体" w:hAnsi="宋体"/>
          <w:bCs/>
          <w:szCs w:val="21"/>
        </w:rPr>
        <w:t>1.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pPr>
        <w:pStyle w:val="243"/>
        <w:ind w:firstLine="420" w:firstLineChars="200"/>
        <w:rPr>
          <w:rFonts w:ascii="宋体" w:hAnsi="宋体"/>
          <w:bCs/>
          <w:szCs w:val="21"/>
        </w:rPr>
      </w:pPr>
      <w:r>
        <w:rPr>
          <w:rFonts w:hint="eastAsia" w:ascii="宋体" w:hAnsi="宋体"/>
          <w:bCs/>
          <w:szCs w:val="21"/>
        </w:rPr>
        <w:t>2.填写内容应与分项报价清单相关内容一致，如不一致造成偏差的，后果由投标人自行承担。</w:t>
      </w:r>
    </w:p>
    <w:p>
      <w:pPr>
        <w:pStyle w:val="243"/>
        <w:ind w:firstLine="420" w:firstLineChars="200"/>
        <w:rPr>
          <w:rFonts w:hint="eastAsia" w:ascii="宋体" w:hAnsi="宋体"/>
          <w:spacing w:val="6"/>
          <w:szCs w:val="21"/>
        </w:rPr>
      </w:pPr>
      <w:r>
        <w:rPr>
          <w:rFonts w:hint="eastAsia" w:ascii="宋体" w:hAnsi="宋体"/>
          <w:bCs/>
          <w:szCs w:val="21"/>
        </w:rPr>
        <w:t>3.如未填写或未提供相关证明的，视为投标人放弃相关政策优惠处理。</w:t>
      </w:r>
    </w:p>
    <w:p>
      <w:pPr>
        <w:pStyle w:val="235"/>
        <w:spacing w:line="520" w:lineRule="exact"/>
        <w:ind w:firstLine="2240" w:firstLineChars="80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lang w:eastAsia="zh-CN"/>
        </w:rPr>
      </w:pPr>
      <w:r>
        <w:rPr>
          <w:rFonts w:hint="eastAsia" w:hAnsi="宋体"/>
          <w:spacing w:val="20"/>
          <w:sz w:val="24"/>
        </w:rPr>
        <w:t>日     期：</w:t>
      </w:r>
      <w:r>
        <w:rPr>
          <w:rFonts w:hint="eastAsia" w:hAnsi="宋体"/>
          <w:spacing w:val="20"/>
          <w:sz w:val="24"/>
          <w:u w:val="single"/>
        </w:rPr>
        <w:t xml:space="preserve">            </w:t>
      </w:r>
    </w:p>
    <w:p>
      <w:pPr>
        <w:spacing w:line="360" w:lineRule="auto"/>
        <w:jc w:val="center"/>
        <w:rPr>
          <w:rFonts w:ascii="宋体" w:hAnsi="宋体"/>
          <w:b/>
          <w:sz w:val="30"/>
        </w:rPr>
      </w:pPr>
      <w:r>
        <w:rPr>
          <w:rFonts w:hint="eastAsia" w:ascii="宋体" w:hAnsi="宋体"/>
          <w:b/>
          <w:sz w:val="30"/>
        </w:rPr>
        <w:t>4、投标人项目业绩表</w:t>
      </w:r>
    </w:p>
    <w:tbl>
      <w:tblPr>
        <w:tblStyle w:val="4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05"/>
        <w:gridCol w:w="1276"/>
        <w:gridCol w:w="1561"/>
        <w:gridCol w:w="1418"/>
        <w:gridCol w:w="170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20"/>
                <w:sz w:val="24"/>
              </w:rPr>
            </w:pPr>
            <w:r>
              <w:rPr>
                <w:rFonts w:hint="eastAsia" w:ascii="宋体" w:hAnsi="宋体"/>
                <w:spacing w:val="20"/>
                <w:sz w:val="24"/>
              </w:rPr>
              <w:t>序号</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20"/>
                <w:sz w:val="24"/>
              </w:rPr>
            </w:pPr>
            <w:r>
              <w:rPr>
                <w:rFonts w:hint="eastAsia" w:ascii="宋体" w:hAnsi="宋体"/>
                <w:spacing w:val="20"/>
                <w:sz w:val="24"/>
              </w:rPr>
              <w:t>项目名称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20"/>
                <w:sz w:val="24"/>
              </w:rPr>
            </w:pPr>
            <w:r>
              <w:rPr>
                <w:rFonts w:hint="eastAsia" w:ascii="宋体" w:hAnsi="宋体"/>
                <w:spacing w:val="20"/>
                <w:sz w:val="24"/>
              </w:rPr>
              <w:t>项目委托单位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20"/>
                <w:sz w:val="24"/>
              </w:rPr>
            </w:pPr>
            <w:r>
              <w:rPr>
                <w:rFonts w:hint="eastAsia" w:ascii="宋体" w:hAnsi="宋体"/>
                <w:spacing w:val="20"/>
                <w:sz w:val="24"/>
              </w:rPr>
              <w:t>项目投</w:t>
            </w:r>
          </w:p>
          <w:p>
            <w:pPr>
              <w:spacing w:line="300" w:lineRule="auto"/>
              <w:jc w:val="center"/>
              <w:rPr>
                <w:rFonts w:ascii="宋体" w:hAnsi="宋体"/>
                <w:spacing w:val="20"/>
                <w:sz w:val="24"/>
              </w:rPr>
            </w:pPr>
            <w:r>
              <w:rPr>
                <w:rFonts w:hint="eastAsia" w:ascii="宋体" w:hAnsi="宋体"/>
                <w:spacing w:val="20"/>
                <w:sz w:val="24"/>
              </w:rPr>
              <w:t>资额</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pacing w:val="20"/>
                <w:sz w:val="24"/>
              </w:rPr>
            </w:pPr>
            <w:r>
              <w:rPr>
                <w:rFonts w:hint="eastAsia" w:ascii="宋体" w:hAnsi="宋体"/>
                <w:spacing w:val="20"/>
                <w:sz w:val="24"/>
              </w:rPr>
              <w:t>合同</w:t>
            </w:r>
          </w:p>
          <w:p>
            <w:pPr>
              <w:spacing w:line="300" w:lineRule="auto"/>
              <w:jc w:val="center"/>
              <w:rPr>
                <w:rFonts w:ascii="宋体" w:hAnsi="宋体"/>
                <w:spacing w:val="20"/>
                <w:sz w:val="24"/>
              </w:rPr>
            </w:pPr>
            <w:r>
              <w:rPr>
                <w:rFonts w:hint="eastAsia" w:ascii="宋体" w:hAnsi="宋体"/>
                <w:spacing w:val="20"/>
                <w:sz w:val="24"/>
              </w:rPr>
              <w:t>签订时间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140" w:firstLineChars="50"/>
              <w:jc w:val="center"/>
              <w:rPr>
                <w:rFonts w:hint="eastAsia" w:ascii="宋体" w:hAnsi="宋体"/>
                <w:spacing w:val="20"/>
                <w:sz w:val="24"/>
              </w:rPr>
            </w:pPr>
            <w:r>
              <w:rPr>
                <w:rFonts w:hint="eastAsia" w:ascii="宋体" w:hAnsi="宋体"/>
                <w:spacing w:val="20"/>
                <w:sz w:val="24"/>
              </w:rPr>
              <w:t>合同</w:t>
            </w:r>
          </w:p>
          <w:p>
            <w:pPr>
              <w:spacing w:line="300" w:lineRule="auto"/>
              <w:ind w:firstLine="140" w:firstLineChars="50"/>
              <w:jc w:val="center"/>
              <w:rPr>
                <w:rFonts w:ascii="宋体" w:hAnsi="宋体"/>
                <w:spacing w:val="20"/>
                <w:sz w:val="24"/>
              </w:rPr>
            </w:pPr>
            <w:r>
              <w:rPr>
                <w:rFonts w:hint="eastAsia" w:ascii="宋体" w:hAnsi="宋体"/>
                <w:spacing w:val="20"/>
                <w:sz w:val="24"/>
              </w:rPr>
              <w:t>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pacing w:val="20"/>
                <w:sz w:val="24"/>
              </w:rPr>
            </w:pPr>
            <w:r>
              <w:rPr>
                <w:rFonts w:hint="eastAsia" w:ascii="宋体" w:hAnsi="宋体"/>
                <w:spacing w:val="20"/>
                <w:sz w:val="24"/>
              </w:rPr>
              <w:t>合同签订</w:t>
            </w:r>
          </w:p>
          <w:p>
            <w:pPr>
              <w:spacing w:line="300" w:lineRule="auto"/>
              <w:jc w:val="center"/>
              <w:rPr>
                <w:rFonts w:ascii="宋体" w:hAnsi="宋体"/>
                <w:spacing w:val="20"/>
                <w:sz w:val="24"/>
              </w:rPr>
            </w:pPr>
            <w:r>
              <w:rPr>
                <w:rFonts w:hint="eastAsia" w:ascii="宋体" w:hAnsi="宋体"/>
                <w:spacing w:val="20"/>
                <w:sz w:val="24"/>
              </w:rPr>
              <w:t>时间</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20"/>
                <w:sz w:val="24"/>
              </w:rPr>
            </w:pPr>
            <w:r>
              <w:rPr>
                <w:rFonts w:hint="eastAsia" w:ascii="宋体" w:hAnsi="宋体"/>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pacing w:val="20"/>
                <w:sz w:val="24"/>
              </w:rPr>
            </w:pPr>
          </w:p>
        </w:tc>
      </w:tr>
    </w:tbl>
    <w:p>
      <w:pPr>
        <w:pStyle w:val="24"/>
        <w:spacing w:line="360" w:lineRule="auto"/>
        <w:rPr>
          <w:rFonts w:hint="eastAsia" w:hAnsi="宋体"/>
          <w:spacing w:val="20"/>
          <w:sz w:val="24"/>
          <w:szCs w:val="24"/>
        </w:rPr>
      </w:pPr>
      <w:r>
        <w:rPr>
          <w:rFonts w:hint="eastAsia" w:hAnsi="宋体"/>
          <w:spacing w:val="20"/>
          <w:sz w:val="24"/>
          <w:szCs w:val="24"/>
        </w:rPr>
        <w:t>注：</w:t>
      </w:r>
    </w:p>
    <w:p>
      <w:pPr>
        <w:pStyle w:val="24"/>
        <w:spacing w:line="360" w:lineRule="auto"/>
        <w:ind w:firstLine="560" w:firstLineChars="200"/>
        <w:rPr>
          <w:rFonts w:hint="eastAsia" w:hAnsi="宋体"/>
          <w:spacing w:val="20"/>
          <w:sz w:val="24"/>
          <w:szCs w:val="24"/>
        </w:rPr>
      </w:pPr>
      <w:r>
        <w:rPr>
          <w:rFonts w:hint="eastAsia" w:hAnsi="宋体"/>
          <w:spacing w:val="20"/>
          <w:sz w:val="24"/>
          <w:szCs w:val="24"/>
        </w:rPr>
        <w:t>1、评标办法要求的相关证明材料复印件附本表后。</w:t>
      </w:r>
    </w:p>
    <w:p>
      <w:pPr>
        <w:pStyle w:val="24"/>
        <w:spacing w:line="360" w:lineRule="auto"/>
        <w:ind w:firstLine="562" w:firstLineChars="200"/>
        <w:rPr>
          <w:rFonts w:hint="eastAsia" w:hAnsi="宋体"/>
          <w:b/>
          <w:spacing w:val="20"/>
          <w:sz w:val="24"/>
          <w:szCs w:val="24"/>
        </w:rPr>
      </w:pPr>
      <w:r>
        <w:rPr>
          <w:rFonts w:hint="eastAsia" w:hAnsi="宋体"/>
          <w:b/>
          <w:spacing w:val="20"/>
          <w:sz w:val="24"/>
          <w:szCs w:val="24"/>
        </w:rPr>
        <w:t>2、投标人应对递交的所有材料的真实性负法律责任。</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235"/>
        <w:spacing w:line="520" w:lineRule="exact"/>
        <w:ind w:firstLine="2240" w:firstLineChars="800"/>
        <w:rPr>
          <w:rFonts w:hint="eastAsia" w:hAnsi="宋体"/>
          <w:spacing w:val="20"/>
          <w:sz w:val="24"/>
          <w:lang w:eastAsia="zh-CN"/>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r>
        <w:rPr>
          <w:rFonts w:hint="eastAsia" w:hAnsi="宋体"/>
          <w:spacing w:val="20"/>
          <w:sz w:val="24"/>
          <w:lang w:eastAsia="zh-CN"/>
        </w:rPr>
        <w:t>：</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投标人盖章：</w:t>
      </w:r>
      <w:r>
        <w:rPr>
          <w:rFonts w:hint="eastAsia" w:hAnsi="宋体"/>
          <w:spacing w:val="20"/>
          <w:sz w:val="24"/>
          <w:u w:val="single"/>
        </w:rPr>
        <w:t xml:space="preserve">            </w:t>
      </w:r>
    </w:p>
    <w:p>
      <w:pPr>
        <w:pStyle w:val="235"/>
        <w:spacing w:line="520" w:lineRule="exact"/>
        <w:ind w:firstLine="5320" w:firstLineChars="19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r>
        <w:rPr>
          <w:rFonts w:hint="eastAsia" w:ascii="宋体" w:hAnsi="宋体"/>
          <w:b/>
          <w:sz w:val="30"/>
        </w:rPr>
        <w:t>5、其  他</w:t>
      </w:r>
    </w:p>
    <w:p>
      <w:pPr>
        <w:pStyle w:val="248"/>
        <w:spacing w:before="156" w:after="156" w:line="360" w:lineRule="auto"/>
        <w:ind w:firstLine="480" w:firstLineChars="200"/>
        <w:rPr>
          <w:rFonts w:hAnsi="宋体"/>
          <w:sz w:val="24"/>
          <w:szCs w:val="21"/>
        </w:rPr>
      </w:pPr>
      <w:r>
        <w:rPr>
          <w:rFonts w:hint="eastAsia" w:hAnsi="宋体"/>
          <w:sz w:val="24"/>
          <w:szCs w:val="21"/>
        </w:rPr>
        <w:t>除招标文件规定的资信</w:t>
      </w:r>
      <w:r>
        <w:rPr>
          <w:rFonts w:hint="eastAsia" w:hAnsi="宋体"/>
          <w:sz w:val="24"/>
          <w:szCs w:val="21"/>
          <w:lang w:eastAsia="zh-CN"/>
        </w:rPr>
        <w:t>及</w:t>
      </w:r>
      <w:r>
        <w:rPr>
          <w:rFonts w:hint="eastAsia" w:hAnsi="宋体"/>
          <w:sz w:val="24"/>
          <w:szCs w:val="21"/>
        </w:rPr>
        <w:t>商务文件要求格式外，投标人还可以提供如下证明材料：</w:t>
      </w:r>
    </w:p>
    <w:p>
      <w:pPr>
        <w:pStyle w:val="248"/>
        <w:spacing w:before="156" w:after="156" w:line="360" w:lineRule="auto"/>
        <w:ind w:firstLine="480" w:firstLineChars="200"/>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1 \* GB2</w:instrText>
      </w:r>
      <w:r>
        <w:rPr>
          <w:rFonts w:hAnsi="宋体"/>
          <w:sz w:val="24"/>
          <w:szCs w:val="21"/>
        </w:rPr>
        <w:instrText xml:space="preserve"> </w:instrText>
      </w:r>
      <w:r>
        <w:rPr>
          <w:rFonts w:hAnsi="宋体"/>
          <w:sz w:val="24"/>
          <w:szCs w:val="21"/>
        </w:rPr>
        <w:fldChar w:fldCharType="separate"/>
      </w:r>
      <w:r>
        <w:rPr>
          <w:rFonts w:hint="eastAsia" w:hAnsi="宋体"/>
          <w:sz w:val="24"/>
          <w:szCs w:val="21"/>
          <w:lang/>
        </w:rPr>
        <w:t>⑴</w:t>
      </w:r>
      <w:r>
        <w:rPr>
          <w:rFonts w:hAnsi="宋体"/>
          <w:sz w:val="24"/>
          <w:szCs w:val="21"/>
        </w:rPr>
        <w:fldChar w:fldCharType="end"/>
      </w:r>
      <w:r>
        <w:rPr>
          <w:rFonts w:hint="eastAsia" w:hAnsi="宋体"/>
          <w:sz w:val="24"/>
          <w:szCs w:val="21"/>
          <w:lang w:eastAsia="zh-CN"/>
        </w:rPr>
        <w:t>资信及商务评标办法要求的其他资料</w:t>
      </w:r>
      <w:r>
        <w:rPr>
          <w:rFonts w:hint="eastAsia" w:hAnsi="宋体"/>
          <w:sz w:val="24"/>
          <w:szCs w:val="21"/>
        </w:rPr>
        <w:t>；</w:t>
      </w:r>
    </w:p>
    <w:p>
      <w:pPr>
        <w:pStyle w:val="248"/>
        <w:spacing w:before="156" w:after="156" w:line="360" w:lineRule="auto"/>
        <w:ind w:firstLine="480" w:firstLineChars="200"/>
        <w:rPr>
          <w:rFonts w:hAnsi="宋体"/>
          <w:sz w:val="24"/>
          <w:szCs w:val="21"/>
          <w:lang w:eastAsia="zh-CN"/>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2 \* GB2</w:instrText>
      </w:r>
      <w:r>
        <w:rPr>
          <w:rFonts w:hAnsi="宋体"/>
          <w:sz w:val="24"/>
          <w:szCs w:val="21"/>
        </w:rPr>
        <w:instrText xml:space="preserve"> </w:instrText>
      </w:r>
      <w:r>
        <w:rPr>
          <w:rFonts w:hAnsi="宋体"/>
          <w:sz w:val="24"/>
          <w:szCs w:val="21"/>
        </w:rPr>
        <w:fldChar w:fldCharType="separate"/>
      </w:r>
      <w:r>
        <w:rPr>
          <w:rFonts w:hint="eastAsia" w:hAnsi="宋体"/>
          <w:sz w:val="24"/>
          <w:szCs w:val="21"/>
          <w:lang/>
        </w:rPr>
        <w:t>⑵</w:t>
      </w:r>
      <w:r>
        <w:rPr>
          <w:rFonts w:hAnsi="宋体"/>
          <w:sz w:val="24"/>
          <w:szCs w:val="21"/>
        </w:rPr>
        <w:fldChar w:fldCharType="end"/>
      </w:r>
      <w:r>
        <w:rPr>
          <w:rFonts w:hint="eastAsia" w:hAnsi="宋体"/>
          <w:sz w:val="24"/>
          <w:szCs w:val="21"/>
        </w:rPr>
        <w:t>投标人认为可以证明其资信</w:t>
      </w:r>
      <w:r>
        <w:rPr>
          <w:rFonts w:hint="eastAsia" w:hAnsi="宋体"/>
          <w:sz w:val="24"/>
          <w:szCs w:val="21"/>
          <w:lang w:eastAsia="zh-CN"/>
        </w:rPr>
        <w:t>及</w:t>
      </w:r>
      <w:r>
        <w:rPr>
          <w:rFonts w:hint="eastAsia" w:hAnsi="宋体"/>
          <w:sz w:val="24"/>
          <w:szCs w:val="21"/>
        </w:rPr>
        <w:t>商务方面的其他材料</w:t>
      </w:r>
      <w:r>
        <w:rPr>
          <w:rFonts w:hint="eastAsia" w:hAnsi="宋体"/>
          <w:sz w:val="24"/>
          <w:szCs w:val="21"/>
          <w:lang w:eastAsia="zh-CN"/>
        </w:rPr>
        <w:t>，但不得出现报价。</w:t>
      </w:r>
    </w:p>
    <w:p>
      <w:pPr>
        <w:pStyle w:val="5"/>
        <w:ind w:firstLine="0"/>
        <w:jc w:val="center"/>
        <w:rPr>
          <w:rFonts w:hint="eastAsia" w:ascii="宋体"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p>
      <w:pPr>
        <w:pStyle w:val="24"/>
        <w:spacing w:line="560" w:lineRule="exact"/>
        <w:rPr>
          <w:rFonts w:hint="eastAsia" w:hAnsi="宋体"/>
          <w:sz w:val="30"/>
        </w:rPr>
      </w:pPr>
    </w:p>
    <w:bookmarkEnd w:id="98"/>
    <w:bookmarkEnd w:id="99"/>
    <w:p>
      <w:pPr>
        <w:pStyle w:val="4"/>
        <w:ind w:firstLine="3120" w:firstLineChars="1040"/>
        <w:rPr>
          <w:rFonts w:hint="eastAsia" w:ascii="宋体" w:hAnsi="宋体" w:eastAsia="宋体"/>
          <w:b w:val="0"/>
          <w:bCs w:val="0"/>
          <w:lang w:eastAsia="zh-CN"/>
        </w:rPr>
      </w:pPr>
      <w:bookmarkStart w:id="101" w:name="_Toc65051207"/>
      <w:bookmarkStart w:id="102" w:name="_Toc530665727"/>
      <w:bookmarkStart w:id="103" w:name="_Toc58318190"/>
      <w:r>
        <w:rPr>
          <w:rFonts w:hint="eastAsia" w:ascii="宋体" w:hAnsi="宋体" w:eastAsia="宋体"/>
          <w:b w:val="0"/>
          <w:bCs w:val="0"/>
          <w:lang w:eastAsia="zh-CN"/>
        </w:rPr>
        <w:t>三</w:t>
      </w:r>
      <w:r>
        <w:rPr>
          <w:rFonts w:hint="eastAsia" w:ascii="宋体" w:hAnsi="宋体" w:eastAsia="宋体"/>
          <w:b w:val="0"/>
          <w:bCs w:val="0"/>
        </w:rPr>
        <w:t xml:space="preserve">   </w:t>
      </w:r>
      <w:r>
        <w:rPr>
          <w:rFonts w:ascii="宋体" w:hAnsi="宋体" w:eastAsia="宋体"/>
          <w:b w:val="0"/>
          <w:bCs w:val="0"/>
        </w:rPr>
        <w:t>技术文件格式</w:t>
      </w:r>
      <w:bookmarkEnd w:id="101"/>
      <w:bookmarkEnd w:id="102"/>
      <w:bookmarkEnd w:id="103"/>
      <w:bookmarkStart w:id="104" w:name="_Toc208049590"/>
    </w:p>
    <w:p>
      <w:pPr>
        <w:spacing w:line="360" w:lineRule="auto"/>
        <w:rPr>
          <w:rFonts w:hint="eastAsia" w:ascii="宋体" w:hAnsi="宋体"/>
          <w:b/>
          <w:bCs/>
          <w:sz w:val="24"/>
        </w:rPr>
      </w:pPr>
    </w:p>
    <w:p>
      <w:pPr>
        <w:pStyle w:val="24"/>
        <w:spacing w:line="560" w:lineRule="exact"/>
        <w:jc w:val="center"/>
        <w:rPr>
          <w:rFonts w:hint="eastAsia" w:hAnsi="宋体"/>
          <w:b/>
          <w:sz w:val="24"/>
        </w:rPr>
      </w:pPr>
      <w:r>
        <w:rPr>
          <w:rFonts w:hint="eastAsia" w:hAnsi="宋体"/>
          <w:b/>
          <w:sz w:val="24"/>
        </w:rPr>
        <w:br w:type="page"/>
      </w:r>
    </w:p>
    <w:p>
      <w:pPr>
        <w:pStyle w:val="4"/>
        <w:spacing w:before="240" w:after="240"/>
        <w:ind w:firstLine="0" w:firstLineChars="0"/>
        <w:jc w:val="center"/>
        <w:rPr>
          <w:rFonts w:hint="eastAsia" w:ascii="仿宋" w:hAnsi="仿宋" w:eastAsia="仿宋"/>
          <w:sz w:val="32"/>
          <w:szCs w:val="32"/>
        </w:rPr>
      </w:pPr>
      <w:bookmarkStart w:id="105" w:name="_Toc516671997"/>
      <w:bookmarkStart w:id="106" w:name="_Toc530665728"/>
      <w:bookmarkStart w:id="107" w:name="_Toc494555882"/>
      <w:bookmarkStart w:id="108" w:name="_Toc493956067"/>
      <w:r>
        <w:rPr>
          <w:rFonts w:hint="eastAsia" w:ascii="仿宋" w:hAnsi="仿宋" w:eastAsia="仿宋"/>
          <w:sz w:val="32"/>
          <w:szCs w:val="32"/>
        </w:rPr>
        <w:t>1、项目技术方案</w:t>
      </w:r>
      <w:bookmarkEnd w:id="105"/>
      <w:bookmarkEnd w:id="106"/>
      <w:bookmarkEnd w:id="107"/>
      <w:bookmarkEnd w:id="108"/>
    </w:p>
    <w:p>
      <w:pPr>
        <w:pStyle w:val="376"/>
        <w:spacing w:line="360" w:lineRule="auto"/>
        <w:rPr>
          <w:rFonts w:hint="eastAsia" w:ascii="仿宋" w:hAnsi="仿宋" w:eastAsia="仿宋"/>
          <w:sz w:val="24"/>
        </w:rPr>
      </w:pPr>
      <w:r>
        <w:rPr>
          <w:rFonts w:hint="eastAsia" w:ascii="仿宋" w:hAnsi="仿宋" w:eastAsia="仿宋"/>
          <w:sz w:val="24"/>
        </w:rPr>
        <w:t>内容要求：</w:t>
      </w:r>
    </w:p>
    <w:p>
      <w:pPr>
        <w:pStyle w:val="376"/>
        <w:spacing w:line="360" w:lineRule="auto"/>
        <w:rPr>
          <w:rFonts w:hint="eastAsia" w:ascii="仿宋" w:hAnsi="仿宋" w:eastAsia="仿宋"/>
          <w:sz w:val="24"/>
        </w:rPr>
      </w:pPr>
      <w:r>
        <w:rPr>
          <w:rFonts w:hint="eastAsia" w:ascii="仿宋" w:hAnsi="仿宋" w:eastAsia="仿宋"/>
          <w:sz w:val="24"/>
        </w:rPr>
        <w:t xml:space="preserve">    投标人须针对技术部分中有关章节的需求逐个作出实质性的响应，请按技术需求内容的顺序进行详细描述。</w:t>
      </w:r>
    </w:p>
    <w:p>
      <w:pPr>
        <w:pStyle w:val="376"/>
        <w:spacing w:line="360" w:lineRule="auto"/>
        <w:ind w:firstLine="480" w:firstLineChars="200"/>
        <w:rPr>
          <w:rFonts w:hint="eastAsia" w:ascii="仿宋" w:hAnsi="仿宋" w:eastAsia="仿宋"/>
          <w:sz w:val="24"/>
        </w:rPr>
      </w:pPr>
    </w:p>
    <w:p>
      <w:pPr>
        <w:widowControl/>
        <w:spacing w:line="360" w:lineRule="auto"/>
        <w:ind w:firstLine="560" w:firstLineChars="200"/>
        <w:jc w:val="center"/>
        <w:rPr>
          <w:rFonts w:hint="eastAsia" w:ascii="仿宋" w:hAnsi="仿宋" w:eastAsia="仿宋"/>
          <w:spacing w:val="20"/>
          <w:sz w:val="24"/>
        </w:rPr>
      </w:pPr>
      <w:r>
        <w:rPr>
          <w:rFonts w:hint="eastAsia" w:ascii="仿宋" w:hAnsi="仿宋" w:eastAsia="仿宋"/>
          <w:spacing w:val="20"/>
          <w:sz w:val="24"/>
        </w:rPr>
        <w:t>附投标产品清单与技术参数汇总表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77"/>
        <w:gridCol w:w="1216"/>
        <w:gridCol w:w="2148"/>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625" w:type="dxa"/>
            <w:vMerge w:val="restart"/>
            <w:tcBorders>
              <w:top w:val="single" w:color="auto" w:sz="4" w:space="0"/>
              <w:left w:val="single" w:color="auto" w:sz="4" w:space="0"/>
              <w:right w:val="single" w:color="auto" w:sz="4" w:space="0"/>
            </w:tcBorders>
            <w:noWrap w:val="0"/>
            <w:vAlign w:val="center"/>
          </w:tcPr>
          <w:p>
            <w:pPr>
              <w:widowControl/>
              <w:tabs>
                <w:tab w:val="left" w:pos="3200"/>
              </w:tabs>
              <w:jc w:val="center"/>
              <w:rPr>
                <w:rFonts w:hint="eastAsia" w:ascii="仿宋" w:hAnsi="仿宋" w:eastAsia="仿宋"/>
                <w:b/>
                <w:bCs/>
                <w:sz w:val="24"/>
              </w:rPr>
            </w:pPr>
            <w:r>
              <w:rPr>
                <w:rFonts w:hint="eastAsia" w:ascii="仿宋" w:hAnsi="仿宋" w:eastAsia="仿宋"/>
                <w:b/>
                <w:bCs/>
                <w:sz w:val="24"/>
              </w:rPr>
              <w:t>序号</w:t>
            </w:r>
          </w:p>
        </w:tc>
        <w:tc>
          <w:tcPr>
            <w:tcW w:w="2293" w:type="dxa"/>
            <w:gridSpan w:val="2"/>
            <w:tcBorders>
              <w:top w:val="single" w:color="auto" w:sz="4" w:space="0"/>
              <w:left w:val="single" w:color="auto" w:sz="4" w:space="0"/>
              <w:right w:val="single" w:color="auto" w:sz="4" w:space="0"/>
            </w:tcBorders>
            <w:noWrap w:val="0"/>
            <w:vAlign w:val="center"/>
          </w:tcPr>
          <w:p>
            <w:pPr>
              <w:widowControl/>
              <w:tabs>
                <w:tab w:val="left" w:pos="3200"/>
              </w:tabs>
              <w:jc w:val="center"/>
              <w:rPr>
                <w:rFonts w:hint="eastAsia" w:ascii="仿宋" w:hAnsi="仿宋" w:eastAsia="仿宋"/>
                <w:sz w:val="24"/>
              </w:rPr>
            </w:pPr>
            <w:r>
              <w:rPr>
                <w:rFonts w:hint="eastAsia" w:ascii="仿宋" w:hAnsi="仿宋" w:eastAsia="仿宋"/>
                <w:sz w:val="24"/>
              </w:rPr>
              <w:t>投标产品名称</w:t>
            </w:r>
          </w:p>
        </w:tc>
        <w:tc>
          <w:tcPr>
            <w:tcW w:w="214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rPr>
            </w:pPr>
            <w:r>
              <w:rPr>
                <w:rFonts w:hint="eastAsia" w:ascii="仿宋" w:hAnsi="仿宋" w:eastAsia="仿宋"/>
                <w:sz w:val="24"/>
              </w:rPr>
              <w:t>数量</w:t>
            </w:r>
          </w:p>
        </w:tc>
        <w:tc>
          <w:tcPr>
            <w:tcW w:w="214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rPr>
            </w:pPr>
            <w:r>
              <w:rPr>
                <w:rFonts w:hint="eastAsia" w:ascii="仿宋" w:hAnsi="仿宋" w:eastAsia="仿宋"/>
                <w:sz w:val="24"/>
              </w:rPr>
              <w:t>投标技术参数</w:t>
            </w:r>
          </w:p>
        </w:tc>
        <w:tc>
          <w:tcPr>
            <w:tcW w:w="214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625" w:type="dxa"/>
            <w:vMerge w:val="continue"/>
            <w:tcBorders>
              <w:left w:val="single" w:color="auto" w:sz="4" w:space="0"/>
              <w:right w:val="single" w:color="auto" w:sz="4" w:space="0"/>
            </w:tcBorders>
            <w:noWrap w:val="0"/>
            <w:vAlign w:val="center"/>
          </w:tcPr>
          <w:p>
            <w:pPr>
              <w:widowControl/>
              <w:tabs>
                <w:tab w:val="left" w:pos="3200"/>
              </w:tabs>
              <w:jc w:val="center"/>
              <w:rPr>
                <w:rFonts w:hint="eastAsia" w:ascii="仿宋" w:hAnsi="仿宋" w:eastAsia="仿宋"/>
                <w:b/>
                <w:bCs/>
                <w:sz w:val="24"/>
              </w:rPr>
            </w:pPr>
          </w:p>
        </w:tc>
        <w:tc>
          <w:tcPr>
            <w:tcW w:w="1077" w:type="dxa"/>
            <w:tcBorders>
              <w:top w:val="single" w:color="auto" w:sz="4" w:space="0"/>
              <w:left w:val="single" w:color="auto" w:sz="4" w:space="0"/>
              <w:right w:val="single" w:color="auto" w:sz="4" w:space="0"/>
            </w:tcBorders>
            <w:noWrap w:val="0"/>
            <w:vAlign w:val="center"/>
          </w:tcPr>
          <w:p>
            <w:pPr>
              <w:widowControl/>
              <w:tabs>
                <w:tab w:val="left" w:pos="3200"/>
              </w:tabs>
              <w:jc w:val="center"/>
              <w:rPr>
                <w:rFonts w:hint="eastAsia" w:ascii="仿宋" w:hAnsi="仿宋" w:eastAsia="仿宋"/>
                <w:sz w:val="24"/>
              </w:rPr>
            </w:pPr>
            <w:r>
              <w:rPr>
                <w:rFonts w:hint="eastAsia" w:ascii="仿宋" w:hAnsi="仿宋" w:eastAsia="仿宋"/>
                <w:sz w:val="24"/>
              </w:rPr>
              <w:t>品牌</w:t>
            </w:r>
          </w:p>
        </w:tc>
        <w:tc>
          <w:tcPr>
            <w:tcW w:w="1216" w:type="dxa"/>
            <w:tcBorders>
              <w:top w:val="single" w:color="auto" w:sz="4" w:space="0"/>
              <w:left w:val="single" w:color="auto" w:sz="4" w:space="0"/>
              <w:right w:val="single" w:color="auto" w:sz="4" w:space="0"/>
            </w:tcBorders>
            <w:noWrap w:val="0"/>
            <w:vAlign w:val="center"/>
          </w:tcPr>
          <w:p>
            <w:pPr>
              <w:widowControl/>
              <w:tabs>
                <w:tab w:val="left" w:pos="3200"/>
              </w:tabs>
              <w:jc w:val="center"/>
              <w:rPr>
                <w:rFonts w:hint="eastAsia" w:ascii="仿宋" w:hAnsi="仿宋" w:eastAsia="仿宋"/>
                <w:sz w:val="24"/>
              </w:rPr>
            </w:pPr>
            <w:r>
              <w:rPr>
                <w:rFonts w:hint="eastAsia" w:ascii="仿宋" w:hAnsi="仿宋" w:eastAsia="仿宋"/>
                <w:sz w:val="24"/>
              </w:rPr>
              <w:t>型号</w:t>
            </w:r>
          </w:p>
        </w:tc>
        <w:tc>
          <w:tcPr>
            <w:tcW w:w="214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625" w:type="dxa"/>
            <w:tcBorders>
              <w:left w:val="single" w:color="auto" w:sz="4" w:space="0"/>
              <w:right w:val="single" w:color="auto" w:sz="4" w:space="0"/>
            </w:tcBorders>
            <w:noWrap w:val="0"/>
            <w:vAlign w:val="center"/>
          </w:tcPr>
          <w:p>
            <w:pPr>
              <w:widowControl/>
              <w:tabs>
                <w:tab w:val="left" w:pos="3200"/>
              </w:tabs>
              <w:jc w:val="center"/>
              <w:rPr>
                <w:rFonts w:hint="eastAsia" w:ascii="仿宋" w:hAnsi="仿宋" w:eastAsia="仿宋"/>
                <w:sz w:val="24"/>
              </w:rPr>
            </w:pPr>
            <w:r>
              <w:rPr>
                <w:rFonts w:hint="eastAsia" w:ascii="仿宋" w:hAnsi="仿宋" w:eastAsia="仿宋"/>
                <w:sz w:val="24"/>
              </w:rPr>
              <w:t>1</w:t>
            </w:r>
          </w:p>
        </w:tc>
        <w:tc>
          <w:tcPr>
            <w:tcW w:w="107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rPr>
            </w:pPr>
          </w:p>
        </w:tc>
        <w:tc>
          <w:tcPr>
            <w:tcW w:w="1216"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625" w:type="dxa"/>
            <w:tcBorders>
              <w:left w:val="single" w:color="auto" w:sz="4" w:space="0"/>
              <w:right w:val="single" w:color="auto" w:sz="4" w:space="0"/>
            </w:tcBorders>
            <w:noWrap w:val="0"/>
            <w:vAlign w:val="center"/>
          </w:tcPr>
          <w:p>
            <w:pPr>
              <w:widowControl/>
              <w:tabs>
                <w:tab w:val="left" w:pos="3200"/>
              </w:tabs>
              <w:jc w:val="center"/>
              <w:rPr>
                <w:rFonts w:hint="eastAsia" w:ascii="仿宋" w:hAnsi="仿宋" w:eastAsia="仿宋"/>
                <w:sz w:val="24"/>
              </w:rPr>
            </w:pPr>
            <w:r>
              <w:rPr>
                <w:rFonts w:hint="eastAsia" w:ascii="仿宋" w:hAnsi="仿宋" w:eastAsia="仿宋"/>
                <w:sz w:val="24"/>
              </w:rPr>
              <w:t>2</w:t>
            </w:r>
          </w:p>
        </w:tc>
        <w:tc>
          <w:tcPr>
            <w:tcW w:w="1077"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1216"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 w:val="24"/>
                <w:lang w:val="en-GB"/>
              </w:rPr>
            </w:pPr>
          </w:p>
        </w:tc>
      </w:tr>
    </w:tbl>
    <w:p>
      <w:pPr>
        <w:widowControl/>
        <w:tabs>
          <w:tab w:val="left" w:pos="1418"/>
        </w:tabs>
        <w:spacing w:line="360" w:lineRule="auto"/>
        <w:rPr>
          <w:rFonts w:hint="eastAsia" w:ascii="仿宋" w:hAnsi="仿宋" w:eastAsia="仿宋"/>
        </w:rPr>
      </w:pPr>
    </w:p>
    <w:p>
      <w:pPr>
        <w:widowControl/>
        <w:ind w:left="480" w:hanging="480"/>
        <w:jc w:val="left"/>
        <w:rPr>
          <w:rFonts w:hint="eastAsia" w:ascii="仿宋" w:hAnsi="仿宋" w:eastAsia="仿宋"/>
          <w:sz w:val="24"/>
        </w:rPr>
      </w:pPr>
    </w:p>
    <w:p>
      <w:pPr>
        <w:widowControl/>
        <w:spacing w:line="360" w:lineRule="auto"/>
        <w:rPr>
          <w:rFonts w:hint="eastAsia" w:ascii="仿宋" w:hAnsi="仿宋" w:eastAsia="仿宋"/>
          <w:b/>
          <w:bCs/>
          <w:sz w:val="24"/>
        </w:rPr>
      </w:pPr>
    </w:p>
    <w:p>
      <w:pPr>
        <w:widowControl/>
        <w:spacing w:line="360" w:lineRule="auto"/>
        <w:rPr>
          <w:rFonts w:hint="eastAsia" w:ascii="仿宋" w:hAnsi="仿宋" w:eastAsia="仿宋"/>
          <w:b/>
          <w:bCs/>
          <w:sz w:val="24"/>
        </w:rPr>
      </w:pPr>
    </w:p>
    <w:p>
      <w:pPr>
        <w:widowControl/>
        <w:spacing w:line="360" w:lineRule="auto"/>
        <w:rPr>
          <w:rFonts w:hint="eastAsia" w:ascii="仿宋" w:hAnsi="仿宋" w:eastAsia="仿宋"/>
          <w:b/>
          <w:bCs/>
          <w:sz w:val="24"/>
        </w:rPr>
      </w:pPr>
    </w:p>
    <w:p>
      <w:pPr>
        <w:widowControl/>
        <w:spacing w:line="440" w:lineRule="exact"/>
        <w:ind w:firstLine="4480" w:firstLineChars="1600"/>
        <w:rPr>
          <w:rFonts w:ascii="仿宋" w:hAnsi="仿宋" w:eastAsia="仿宋"/>
          <w:spacing w:val="20"/>
          <w:sz w:val="24"/>
          <w:szCs w:val="20"/>
          <w:u w:val="single"/>
        </w:rPr>
      </w:pPr>
      <w:r>
        <w:rPr>
          <w:rFonts w:ascii="仿宋" w:hAnsi="仿宋" w:eastAsia="仿宋"/>
          <w:spacing w:val="20"/>
          <w:sz w:val="24"/>
          <w:szCs w:val="20"/>
        </w:rPr>
        <w:t>投标人盖章：</w:t>
      </w:r>
      <w:r>
        <w:rPr>
          <w:rFonts w:ascii="仿宋" w:hAnsi="仿宋" w:eastAsia="仿宋"/>
          <w:spacing w:val="20"/>
          <w:sz w:val="24"/>
          <w:szCs w:val="20"/>
          <w:u w:val="single"/>
        </w:rPr>
        <w:t xml:space="preserve">            </w:t>
      </w:r>
    </w:p>
    <w:p>
      <w:pPr>
        <w:widowControl/>
        <w:spacing w:line="440" w:lineRule="exact"/>
        <w:ind w:firstLine="4480" w:firstLineChars="1600"/>
        <w:rPr>
          <w:rFonts w:hint="eastAsia" w:ascii="仿宋" w:hAnsi="仿宋" w:eastAsia="仿宋"/>
          <w:spacing w:val="20"/>
          <w:sz w:val="24"/>
          <w:szCs w:val="20"/>
          <w:u w:val="single"/>
        </w:rPr>
      </w:pPr>
      <w:r>
        <w:rPr>
          <w:rFonts w:ascii="仿宋" w:hAnsi="仿宋" w:eastAsia="仿宋"/>
          <w:spacing w:val="20"/>
          <w:sz w:val="24"/>
          <w:szCs w:val="20"/>
        </w:rPr>
        <w:t>日     期：</w:t>
      </w:r>
      <w:r>
        <w:rPr>
          <w:rFonts w:ascii="仿宋" w:hAnsi="仿宋" w:eastAsia="仿宋"/>
          <w:spacing w:val="20"/>
          <w:sz w:val="24"/>
          <w:szCs w:val="20"/>
          <w:u w:val="single"/>
        </w:rPr>
        <w:t xml:space="preserve">            </w:t>
      </w:r>
    </w:p>
    <w:p>
      <w:pPr>
        <w:pStyle w:val="375"/>
        <w:spacing w:line="360" w:lineRule="auto"/>
        <w:rPr>
          <w:rFonts w:ascii="仿宋" w:hAnsi="仿宋" w:eastAsia="仿宋"/>
          <w:sz w:val="30"/>
        </w:rPr>
      </w:pPr>
    </w:p>
    <w:p>
      <w:pPr>
        <w:pStyle w:val="255"/>
        <w:spacing w:line="360" w:lineRule="auto"/>
        <w:rPr>
          <w:rFonts w:ascii="仿宋" w:hAnsi="仿宋" w:eastAsia="仿宋"/>
        </w:rPr>
      </w:pPr>
    </w:p>
    <w:p>
      <w:pPr>
        <w:pStyle w:val="255"/>
        <w:rPr>
          <w:rFonts w:hint="eastAsia" w:ascii="仿宋" w:hAnsi="仿宋" w:eastAsia="仿宋"/>
        </w:rPr>
      </w:pPr>
      <w:r>
        <w:rPr>
          <w:rFonts w:ascii="仿宋" w:hAnsi="仿宋" w:eastAsia="仿宋"/>
          <w:bCs/>
          <w:sz w:val="24"/>
        </w:rPr>
        <w:t xml:space="preserve">    </w:t>
      </w:r>
    </w:p>
    <w:p>
      <w:pPr>
        <w:pStyle w:val="4"/>
        <w:spacing w:before="240" w:after="240"/>
        <w:ind w:firstLine="0" w:firstLineChars="0"/>
        <w:jc w:val="center"/>
        <w:rPr>
          <w:rFonts w:ascii="仿宋" w:hAnsi="仿宋" w:eastAsia="仿宋"/>
        </w:rPr>
        <w:sectPr>
          <w:pgSz w:w="11906" w:h="16838"/>
          <w:pgMar w:top="1440" w:right="1440" w:bottom="1440" w:left="1440" w:header="851" w:footer="851" w:gutter="0"/>
          <w:cols w:space="720" w:num="1"/>
          <w:docGrid w:linePitch="312" w:charSpace="0"/>
        </w:sectPr>
      </w:pPr>
    </w:p>
    <w:p>
      <w:pPr>
        <w:pStyle w:val="24"/>
        <w:spacing w:line="440" w:lineRule="exact"/>
        <w:ind w:firstLine="5320" w:firstLineChars="1900"/>
        <w:rPr>
          <w:rFonts w:hint="eastAsia" w:hAnsi="宋体"/>
          <w:spacing w:val="20"/>
          <w:sz w:val="24"/>
          <w:szCs w:val="24"/>
          <w:u w:val="single"/>
        </w:rPr>
      </w:pPr>
    </w:p>
    <w:p>
      <w:pPr>
        <w:pStyle w:val="24"/>
        <w:spacing w:line="440" w:lineRule="exact"/>
        <w:rPr>
          <w:rFonts w:hint="eastAsia" w:hAnsi="宋体" w:cs="Courier New"/>
          <w:sz w:val="30"/>
          <w:szCs w:val="21"/>
        </w:rPr>
      </w:pPr>
    </w:p>
    <w:bookmarkEnd w:id="104"/>
    <w:p>
      <w:pPr>
        <w:pStyle w:val="4"/>
        <w:ind w:firstLine="0" w:firstLineChars="0"/>
        <w:jc w:val="center"/>
        <w:rPr>
          <w:rFonts w:hint="eastAsia" w:ascii="宋体" w:hAnsi="宋体" w:eastAsia="宋体"/>
          <w:b w:val="0"/>
          <w:bCs w:val="0"/>
        </w:rPr>
      </w:pPr>
      <w:bookmarkStart w:id="109" w:name="_Toc69635465"/>
      <w:bookmarkStart w:id="110" w:name="_Toc530665729"/>
      <w:r>
        <w:rPr>
          <w:rFonts w:hint="eastAsia" w:ascii="宋体" w:hAnsi="宋体" w:eastAsia="宋体"/>
          <w:b w:val="0"/>
          <w:bCs w:val="0"/>
          <w:lang w:eastAsia="zh-CN"/>
        </w:rPr>
        <w:t>四</w:t>
      </w:r>
      <w:r>
        <w:rPr>
          <w:rFonts w:hint="eastAsia" w:ascii="宋体" w:hAnsi="宋体" w:eastAsia="宋体"/>
          <w:b w:val="0"/>
          <w:bCs w:val="0"/>
        </w:rPr>
        <w:t xml:space="preserve">  报价文件格式</w:t>
      </w:r>
      <w:bookmarkEnd w:id="109"/>
      <w:bookmarkEnd w:id="110"/>
    </w:p>
    <w:p>
      <w:pPr>
        <w:pStyle w:val="5"/>
        <w:spacing w:line="720" w:lineRule="auto"/>
        <w:jc w:val="center"/>
        <w:rPr>
          <w:rFonts w:hint="eastAsia" w:ascii="宋体" w:hAnsi="宋体"/>
          <w:b/>
          <w:kern w:val="0"/>
          <w:sz w:val="36"/>
        </w:rPr>
      </w:pPr>
      <w:r>
        <w:rPr>
          <w:rFonts w:hint="eastAsia" w:ascii="宋体" w:hAnsi="宋体"/>
          <w:b/>
          <w:kern w:val="0"/>
          <w:sz w:val="36"/>
        </w:rPr>
        <w:t>目录</w:t>
      </w:r>
    </w:p>
    <w:p>
      <w:pPr>
        <w:spacing w:line="360" w:lineRule="auto"/>
        <w:rPr>
          <w:rFonts w:hint="eastAsia" w:ascii="宋体" w:hAnsi="宋体"/>
          <w:sz w:val="30"/>
        </w:rPr>
      </w:pPr>
      <w:r>
        <w:rPr>
          <w:rFonts w:hint="eastAsia" w:ascii="宋体" w:hAnsi="宋体"/>
          <w:sz w:val="30"/>
        </w:rPr>
        <w:t>1、报价书（开标一览表）</w:t>
      </w:r>
    </w:p>
    <w:p>
      <w:pPr>
        <w:pStyle w:val="5"/>
        <w:ind w:firstLine="0"/>
        <w:rPr>
          <w:rFonts w:hint="eastAsia" w:ascii="宋体" w:hAnsi="宋体"/>
          <w:sz w:val="30"/>
          <w:szCs w:val="24"/>
        </w:rPr>
      </w:pPr>
      <w:r>
        <w:rPr>
          <w:rFonts w:hint="eastAsia" w:ascii="宋体" w:hAnsi="宋体"/>
          <w:sz w:val="30"/>
          <w:szCs w:val="24"/>
        </w:rPr>
        <w:t>2、分项报价表</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0"/>
        <w:rPr>
          <w:rFonts w:hint="eastAsia" w:ascii="宋体" w:hAnsi="宋体"/>
        </w:rPr>
      </w:pPr>
    </w:p>
    <w:p>
      <w:pPr>
        <w:pStyle w:val="24"/>
        <w:spacing w:line="360" w:lineRule="auto"/>
        <w:jc w:val="center"/>
        <w:rPr>
          <w:rFonts w:hint="eastAsia" w:hAnsi="宋体"/>
          <w:sz w:val="30"/>
        </w:rPr>
      </w:pPr>
      <w:r>
        <w:rPr>
          <w:rFonts w:hint="eastAsia" w:hAnsi="宋体"/>
          <w:sz w:val="30"/>
        </w:rPr>
        <w:t>1、报价书（开标一览表）</w:t>
      </w:r>
    </w:p>
    <w:p>
      <w:pPr>
        <w:spacing w:line="360" w:lineRule="auto"/>
        <w:rPr>
          <w:rFonts w:hint="eastAsia" w:ascii="宋体" w:hAnsi="宋体"/>
          <w:spacing w:val="20"/>
          <w:sz w:val="24"/>
        </w:rPr>
      </w:pPr>
    </w:p>
    <w:tbl>
      <w:tblPr>
        <w:tblStyle w:val="45"/>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70"/>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项目名称</w:t>
            </w:r>
          </w:p>
        </w:tc>
        <w:tc>
          <w:tcPr>
            <w:tcW w:w="5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szCs w:val="21"/>
              </w:rPr>
            </w:pPr>
            <w:r>
              <w:rPr>
                <w:rFonts w:hint="eastAsia" w:ascii="宋体" w:hAnsi="宋体"/>
                <w:sz w:val="24"/>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1"/>
              </w:rPr>
            </w:pPr>
            <w:r>
              <w:rPr>
                <w:rFonts w:hint="eastAsia" w:ascii="宋体" w:hAnsi="宋体"/>
                <w:sz w:val="24"/>
                <w:szCs w:val="21"/>
              </w:rPr>
              <w:t>2018年市本级监察留置场所信息化建设项目</w:t>
            </w:r>
          </w:p>
        </w:tc>
        <w:tc>
          <w:tcPr>
            <w:tcW w:w="5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小写：</w:t>
            </w:r>
          </w:p>
          <w:p>
            <w:pPr>
              <w:snapToGrid w:val="0"/>
              <w:spacing w:line="400" w:lineRule="exact"/>
              <w:jc w:val="center"/>
              <w:rPr>
                <w:rFonts w:hint="eastAsia" w:ascii="宋体" w:hAnsi="宋体"/>
                <w:sz w:val="24"/>
              </w:rPr>
            </w:pPr>
          </w:p>
          <w:p>
            <w:pPr>
              <w:snapToGrid w:val="0"/>
              <w:spacing w:line="400" w:lineRule="exact"/>
              <w:rPr>
                <w:rFonts w:hint="eastAsia" w:ascii="宋体" w:hAnsi="宋体"/>
                <w:sz w:val="24"/>
              </w:rPr>
            </w:pPr>
          </w:p>
          <w:p>
            <w:pPr>
              <w:snapToGrid w:val="0"/>
              <w:spacing w:line="400" w:lineRule="exact"/>
              <w:rPr>
                <w:rFonts w:ascii="宋体" w:hAnsi="宋体"/>
                <w:sz w:val="24"/>
              </w:rPr>
            </w:pPr>
            <w:r>
              <w:rPr>
                <w:rFonts w:hint="eastAsia" w:ascii="宋体" w:hAnsi="宋体"/>
                <w:sz w:val="24"/>
              </w:rPr>
              <w:t>大写：</w:t>
            </w:r>
          </w:p>
        </w:tc>
      </w:tr>
    </w:tbl>
    <w:p>
      <w:pPr>
        <w:spacing w:line="360" w:lineRule="auto"/>
        <w:ind w:firstLine="280" w:firstLineChars="100"/>
        <w:rPr>
          <w:rFonts w:ascii="宋体" w:hAnsi="宋体"/>
          <w:spacing w:val="20"/>
          <w:sz w:val="24"/>
        </w:rPr>
      </w:pPr>
      <w:r>
        <w:rPr>
          <w:rFonts w:hint="eastAsia" w:ascii="宋体" w:hAnsi="宋体"/>
          <w:spacing w:val="20"/>
          <w:sz w:val="24"/>
        </w:rPr>
        <w:t>注：</w:t>
      </w:r>
    </w:p>
    <w:p>
      <w:pPr>
        <w:snapToGrid w:val="0"/>
        <w:spacing w:line="500" w:lineRule="exact"/>
        <w:ind w:firstLine="480" w:firstLineChars="200"/>
        <w:rPr>
          <w:rFonts w:hint="eastAsia" w:ascii="宋体" w:hAnsi="宋体"/>
          <w:sz w:val="24"/>
        </w:rPr>
      </w:pPr>
      <w:r>
        <w:rPr>
          <w:rFonts w:hint="eastAsia" w:ascii="宋体" w:hAnsi="宋体"/>
          <w:sz w:val="24"/>
        </w:rPr>
        <w:t>1、报价一经涂改，应在涂改处加盖单位公章，否则其投标作无效标处理。</w:t>
      </w:r>
    </w:p>
    <w:p>
      <w:pPr>
        <w:autoSpaceDE w:val="0"/>
        <w:autoSpaceDN w:val="0"/>
        <w:adjustRightInd w:val="0"/>
        <w:spacing w:line="500" w:lineRule="exact"/>
        <w:rPr>
          <w:rFonts w:hint="eastAsia" w:ascii="宋体" w:hAnsi="宋体"/>
          <w:spacing w:val="20"/>
          <w:sz w:val="24"/>
        </w:rPr>
      </w:pPr>
      <w:r>
        <w:rPr>
          <w:rFonts w:hint="eastAsia" w:ascii="宋体" w:hAnsi="宋体"/>
          <w:sz w:val="24"/>
        </w:rPr>
        <w:t xml:space="preserve">    </w:t>
      </w:r>
      <w:r>
        <w:rPr>
          <w:rFonts w:hint="eastAsia" w:ascii="宋体" w:hAnsi="宋体"/>
          <w:b/>
          <w:sz w:val="24"/>
        </w:rPr>
        <w:t>2、</w:t>
      </w:r>
      <w:r>
        <w:rPr>
          <w:rFonts w:hint="eastAsia" w:ascii="宋体" w:hAnsi="宋体"/>
          <w:b/>
          <w:bCs/>
          <w:sz w:val="24"/>
        </w:rPr>
        <w:t>投标报价是指咨询人在正确地完全履行合同义务后委托人应支付给咨询人所有的服务价款，即本服务工作所涉及咨询服务费、所有工作及差旅费用、技术服务、咨询成果装订费、税金、专家论证费、代理服务费、项目设计费和监理费等全部费用，实行固定费用总包干，投标人应根据上述因素自行考虑含入总报价。</w:t>
      </w:r>
    </w:p>
    <w:p>
      <w:pPr>
        <w:autoSpaceDE w:val="0"/>
        <w:autoSpaceDN w:val="0"/>
        <w:adjustRightInd w:val="0"/>
        <w:spacing w:line="500" w:lineRule="exact"/>
        <w:rPr>
          <w:rFonts w:hint="eastAsia" w:ascii="宋体" w:hAnsi="宋体"/>
          <w:spacing w:val="20"/>
          <w:sz w:val="24"/>
        </w:rPr>
      </w:pPr>
    </w:p>
    <w:p>
      <w:pPr>
        <w:spacing w:line="360" w:lineRule="auto"/>
        <w:ind w:firstLine="560" w:firstLineChars="200"/>
        <w:rPr>
          <w:rFonts w:hint="eastAsia" w:ascii="宋体" w:hAnsi="宋体"/>
          <w:spacing w:val="20"/>
          <w:sz w:val="24"/>
        </w:rPr>
      </w:pPr>
    </w:p>
    <w:p>
      <w:pPr>
        <w:spacing w:line="360" w:lineRule="auto"/>
        <w:ind w:firstLine="241" w:firstLineChars="100"/>
        <w:rPr>
          <w:rFonts w:hint="eastAsia" w:ascii="宋体" w:hAnsi="宋体"/>
          <w:b/>
          <w:sz w:val="24"/>
          <w:szCs w:val="21"/>
        </w:rPr>
      </w:pPr>
    </w:p>
    <w:p>
      <w:pPr>
        <w:spacing w:line="360" w:lineRule="auto"/>
        <w:ind w:firstLine="241" w:firstLineChars="100"/>
        <w:rPr>
          <w:rFonts w:hint="eastAsia" w:ascii="宋体" w:hAnsi="宋体"/>
          <w:b/>
          <w:sz w:val="24"/>
          <w:szCs w:val="21"/>
        </w:rPr>
      </w:pPr>
    </w:p>
    <w:p>
      <w:pPr>
        <w:spacing w:line="360" w:lineRule="auto"/>
        <w:ind w:firstLine="241" w:firstLineChars="100"/>
        <w:rPr>
          <w:rFonts w:hint="eastAsia" w:ascii="宋体" w:hAnsi="宋体"/>
          <w:b/>
          <w:sz w:val="24"/>
          <w:szCs w:val="21"/>
        </w:rPr>
      </w:pPr>
    </w:p>
    <w:p>
      <w:pPr>
        <w:spacing w:line="360" w:lineRule="auto"/>
        <w:ind w:firstLine="241" w:firstLineChars="100"/>
        <w:rPr>
          <w:rFonts w:hint="eastAsia" w:ascii="宋体" w:hAnsi="宋体"/>
          <w:b/>
          <w:sz w:val="24"/>
          <w:szCs w:val="21"/>
        </w:rPr>
      </w:pPr>
    </w:p>
    <w:p>
      <w:pPr>
        <w:pStyle w:val="24"/>
        <w:spacing w:line="440" w:lineRule="exact"/>
        <w:rPr>
          <w:rFonts w:hint="eastAsia" w:hAnsi="宋体"/>
        </w:rPr>
      </w:pPr>
    </w:p>
    <w:p>
      <w:pPr>
        <w:pStyle w:val="24"/>
        <w:spacing w:line="480" w:lineRule="auto"/>
        <w:ind w:firstLine="2520" w:firstLineChars="900"/>
        <w:rPr>
          <w:rFonts w:hint="eastAsia" w:hAnsi="宋体"/>
          <w:spacing w:val="20"/>
          <w:sz w:val="24"/>
        </w:rPr>
      </w:pPr>
      <w:r>
        <w:rPr>
          <w:rFonts w:hint="eastAsia" w:hAnsi="宋体"/>
          <w:spacing w:val="20"/>
          <w:sz w:val="24"/>
        </w:rPr>
        <w:t>负责人（或授权代表）签字或盖章：</w:t>
      </w:r>
      <w:r>
        <w:rPr>
          <w:rFonts w:hint="eastAsia" w:hAnsi="宋体"/>
          <w:spacing w:val="20"/>
          <w:sz w:val="24"/>
          <w:u w:val="single"/>
        </w:rPr>
        <w:t xml:space="preserve">            </w:t>
      </w:r>
      <w:r>
        <w:rPr>
          <w:rFonts w:hint="eastAsia" w:hAnsi="宋体"/>
          <w:spacing w:val="20"/>
          <w:sz w:val="24"/>
        </w:rPr>
        <w:t xml:space="preserve"> </w:t>
      </w:r>
    </w:p>
    <w:p>
      <w:pPr>
        <w:pStyle w:val="24"/>
        <w:spacing w:line="480" w:lineRule="auto"/>
        <w:ind w:firstLine="5320" w:firstLineChars="1900"/>
        <w:rPr>
          <w:rFonts w:hint="eastAsia"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24"/>
        <w:spacing w:line="480" w:lineRule="auto"/>
        <w:ind w:firstLine="5320" w:firstLineChars="1900"/>
        <w:rPr>
          <w:rFonts w:hint="eastAsia" w:hAnsi="宋体"/>
          <w:sz w:val="30"/>
        </w:rPr>
      </w:pPr>
      <w:r>
        <w:rPr>
          <w:rFonts w:hint="eastAsia" w:hAnsi="宋体"/>
          <w:spacing w:val="20"/>
          <w:sz w:val="24"/>
        </w:rPr>
        <w:t>日     期：</w:t>
      </w:r>
      <w:r>
        <w:rPr>
          <w:rFonts w:hint="eastAsia" w:hAnsi="宋体"/>
          <w:spacing w:val="20"/>
          <w:sz w:val="24"/>
          <w:u w:val="single"/>
        </w:rPr>
        <w:t xml:space="preserve">            </w:t>
      </w:r>
    </w:p>
    <w:p>
      <w:pPr>
        <w:rPr>
          <w:rFonts w:hint="eastAsia" w:ascii="宋体" w:hAnsi="宋体"/>
          <w:sz w:val="30"/>
        </w:rPr>
      </w:pPr>
    </w:p>
    <w:p>
      <w:pPr>
        <w:spacing w:line="360" w:lineRule="auto"/>
        <w:rPr>
          <w:rFonts w:hint="eastAsia" w:ascii="宋体" w:hAnsi="宋体"/>
          <w:sz w:val="24"/>
        </w:rPr>
      </w:pPr>
    </w:p>
    <w:p>
      <w:pPr>
        <w:pStyle w:val="5"/>
        <w:ind w:firstLine="0"/>
        <w:jc w:val="center"/>
        <w:rPr>
          <w:rFonts w:hint="eastAsia" w:ascii="宋体" w:hAnsi="宋体"/>
          <w:sz w:val="30"/>
          <w:szCs w:val="24"/>
        </w:rPr>
      </w:pPr>
      <w:r>
        <w:rPr>
          <w:rFonts w:hint="eastAsia" w:ascii="宋体" w:hAnsi="宋体"/>
          <w:sz w:val="30"/>
          <w:szCs w:val="24"/>
        </w:rPr>
        <w:t>2、分项报价表</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49"/>
        <w:gridCol w:w="2185"/>
        <w:gridCol w:w="1420"/>
        <w:gridCol w:w="149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序号</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名称</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详细说明</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单价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数量</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1</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2</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3</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8"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4</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5</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6</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4"/>
              </w:rPr>
            </w:pPr>
            <w:r>
              <w:rPr>
                <w:rFonts w:ascii="宋体" w:hAnsi="宋体"/>
                <w:sz w:val="24"/>
              </w:rPr>
              <w:t>7</w:t>
            </w:r>
          </w:p>
        </w:tc>
        <w:tc>
          <w:tcPr>
            <w:tcW w:w="42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总价（元）</w:t>
            </w:r>
          </w:p>
        </w:tc>
        <w:tc>
          <w:tcPr>
            <w:tcW w:w="4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40" w:line="360" w:lineRule="auto"/>
              <w:ind w:firstLine="480" w:firstLineChars="200"/>
              <w:jc w:val="center"/>
              <w:rPr>
                <w:rFonts w:ascii="宋体" w:hAnsi="宋体"/>
                <w:sz w:val="24"/>
              </w:rPr>
            </w:pPr>
            <w:r>
              <w:rPr>
                <w:rFonts w:ascii="宋体" w:hAnsi="宋体"/>
                <w:sz w:val="24"/>
              </w:rPr>
              <w:t>人民币</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tc>
      </w:tr>
    </w:tbl>
    <w:p>
      <w:pPr>
        <w:spacing w:line="360" w:lineRule="auto"/>
        <w:rPr>
          <w:rFonts w:hint="eastAsia" w:ascii="宋体" w:hAnsi="宋体"/>
          <w:b/>
          <w:sz w:val="24"/>
        </w:rPr>
      </w:pPr>
      <w:r>
        <w:rPr>
          <w:rFonts w:hint="eastAsia" w:ascii="宋体" w:hAnsi="宋体"/>
          <w:b/>
          <w:sz w:val="24"/>
        </w:rPr>
        <w:t>注：本表总价须与报价书（开标一览表）一致。</w:t>
      </w:r>
    </w:p>
    <w:p>
      <w:pPr>
        <w:spacing w:line="360" w:lineRule="auto"/>
        <w:rPr>
          <w:rFonts w:hint="eastAsia" w:ascii="宋体" w:hAnsi="宋体"/>
          <w:sz w:val="24"/>
        </w:rPr>
      </w:pPr>
    </w:p>
    <w:p>
      <w:pPr>
        <w:spacing w:line="360" w:lineRule="auto"/>
        <w:rPr>
          <w:rFonts w:hint="eastAsia" w:ascii="宋体" w:hAnsi="宋体"/>
          <w:sz w:val="24"/>
        </w:rPr>
      </w:pPr>
    </w:p>
    <w:p>
      <w:pPr>
        <w:pStyle w:val="24"/>
        <w:spacing w:line="480" w:lineRule="auto"/>
        <w:ind w:firstLine="2520" w:firstLineChars="900"/>
        <w:rPr>
          <w:rFonts w:hint="eastAsia" w:hAnsi="宋体"/>
          <w:spacing w:val="20"/>
          <w:sz w:val="24"/>
        </w:rPr>
      </w:pPr>
      <w:r>
        <w:rPr>
          <w:rFonts w:hint="eastAsia" w:hAnsi="宋体"/>
          <w:spacing w:val="20"/>
          <w:sz w:val="24"/>
        </w:rPr>
        <w:t>负责人（或授权代表）签字或盖章：</w:t>
      </w:r>
      <w:r>
        <w:rPr>
          <w:rFonts w:hint="eastAsia" w:hAnsi="宋体"/>
          <w:spacing w:val="20"/>
          <w:sz w:val="24"/>
          <w:u w:val="single"/>
        </w:rPr>
        <w:t xml:space="preserve">            </w:t>
      </w:r>
      <w:r>
        <w:rPr>
          <w:rFonts w:hint="eastAsia" w:hAnsi="宋体"/>
          <w:spacing w:val="20"/>
          <w:sz w:val="24"/>
        </w:rPr>
        <w:t xml:space="preserve"> </w:t>
      </w:r>
    </w:p>
    <w:p>
      <w:pPr>
        <w:pStyle w:val="24"/>
        <w:spacing w:line="480" w:lineRule="auto"/>
        <w:ind w:firstLine="5320" w:firstLineChars="1900"/>
        <w:rPr>
          <w:rFonts w:hint="eastAsia"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24"/>
        <w:spacing w:line="480" w:lineRule="auto"/>
        <w:ind w:firstLine="5320" w:firstLineChars="1900"/>
        <w:rPr>
          <w:rFonts w:hint="eastAsia" w:hAnsi="宋体"/>
          <w:sz w:val="30"/>
        </w:rPr>
      </w:pPr>
      <w:r>
        <w:rPr>
          <w:rFonts w:hint="eastAsia" w:hAnsi="宋体"/>
          <w:spacing w:val="20"/>
          <w:sz w:val="24"/>
        </w:rPr>
        <w:t>日     期：</w:t>
      </w:r>
      <w:r>
        <w:rPr>
          <w:rFonts w:hint="eastAsia" w:hAnsi="宋体"/>
          <w:spacing w:val="20"/>
          <w:sz w:val="24"/>
          <w:u w:val="single"/>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pStyle w:val="4"/>
        <w:spacing w:before="240" w:after="240"/>
        <w:ind w:firstLine="0" w:firstLineChars="0"/>
        <w:jc w:val="center"/>
        <w:rPr>
          <w:rFonts w:hint="eastAsia" w:ascii="宋体" w:hAnsi="宋体" w:eastAsia="宋体"/>
          <w:b w:val="0"/>
          <w:sz w:val="32"/>
          <w:szCs w:val="32"/>
        </w:rPr>
      </w:pPr>
      <w:bookmarkStart w:id="111" w:name="_Toc530665730"/>
      <w:bookmarkStart w:id="112" w:name="_Toc520382225"/>
      <w:bookmarkStart w:id="113" w:name="_Toc494555883"/>
      <w:bookmarkStart w:id="114" w:name="_Toc493956068"/>
      <w:r>
        <w:rPr>
          <w:rFonts w:ascii="宋体" w:hAnsi="宋体" w:eastAsia="宋体"/>
        </w:rPr>
        <w:t>2</w:t>
      </w:r>
      <w:r>
        <w:rPr>
          <w:rFonts w:hint="eastAsia" w:ascii="宋体" w:hAnsi="宋体" w:eastAsia="宋体"/>
        </w:rPr>
        <w:t>、</w:t>
      </w:r>
      <w:r>
        <w:rPr>
          <w:rFonts w:hint="eastAsia" w:ascii="宋体" w:hAnsi="宋体" w:eastAsia="宋体"/>
          <w:sz w:val="32"/>
          <w:szCs w:val="32"/>
        </w:rPr>
        <w:t>技术规格偏离表</w:t>
      </w:r>
      <w:bookmarkEnd w:id="111"/>
      <w:bookmarkEnd w:id="112"/>
      <w:bookmarkEnd w:id="113"/>
      <w:bookmarkEnd w:id="114"/>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540" w:type="dxa"/>
            <w:vMerge w:val="restart"/>
            <w:tcBorders>
              <w:top w:val="single" w:color="auto" w:sz="4" w:space="0"/>
              <w:left w:val="single" w:color="auto" w:sz="4" w:space="0"/>
              <w:right w:val="single" w:color="auto" w:sz="4" w:space="0"/>
            </w:tcBorders>
            <w:noWrap w:val="0"/>
            <w:vAlign w:val="center"/>
          </w:tcPr>
          <w:p>
            <w:pPr>
              <w:pStyle w:val="377"/>
              <w:tabs>
                <w:tab w:val="left" w:pos="3200"/>
              </w:tabs>
              <w:jc w:val="center"/>
              <w:rPr>
                <w:rFonts w:hint="eastAsia" w:ascii="宋体" w:hAnsi="宋体"/>
                <w:b/>
                <w:bCs/>
                <w:sz w:val="24"/>
              </w:rPr>
            </w:pPr>
            <w:r>
              <w:rPr>
                <w:rFonts w:hint="eastAsia" w:ascii="宋体" w:hAnsi="宋体"/>
                <w:b/>
                <w:bCs/>
                <w:sz w:val="24"/>
              </w:rPr>
              <w:t>序号</w:t>
            </w:r>
          </w:p>
        </w:tc>
        <w:tc>
          <w:tcPr>
            <w:tcW w:w="1980" w:type="dxa"/>
            <w:gridSpan w:val="2"/>
            <w:tcBorders>
              <w:top w:val="single" w:color="auto" w:sz="4" w:space="0"/>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投标产品名称</w:t>
            </w:r>
          </w:p>
        </w:tc>
        <w:tc>
          <w:tcPr>
            <w:tcW w:w="1855" w:type="dxa"/>
            <w:vMerge w:val="restart"/>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lang/>
              </w:rPr>
            </w:pPr>
            <w:r>
              <w:rPr>
                <w:rFonts w:hint="eastAsia" w:ascii="宋体" w:hAnsi="宋体"/>
                <w:sz w:val="24"/>
                <w:lang/>
              </w:rPr>
              <w:t>招标文件要求</w:t>
            </w:r>
          </w:p>
        </w:tc>
        <w:tc>
          <w:tcPr>
            <w:tcW w:w="1855" w:type="dxa"/>
            <w:vMerge w:val="restart"/>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lang/>
              </w:rPr>
            </w:pPr>
            <w:r>
              <w:rPr>
                <w:rFonts w:hint="eastAsia" w:ascii="宋体" w:hAnsi="宋体"/>
                <w:sz w:val="24"/>
                <w:lang/>
              </w:rPr>
              <w:t>投标产品详细规格</w:t>
            </w:r>
          </w:p>
        </w:tc>
        <w:tc>
          <w:tcPr>
            <w:tcW w:w="1855" w:type="dxa"/>
            <w:vMerge w:val="restart"/>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lang/>
              </w:rPr>
            </w:pPr>
            <w:r>
              <w:rPr>
                <w:rFonts w:hint="eastAsia" w:ascii="宋体" w:hAnsi="宋体"/>
                <w:sz w:val="24"/>
                <w:lang/>
              </w:rPr>
              <w:t>偏离情况详细说明</w:t>
            </w:r>
          </w:p>
        </w:tc>
        <w:tc>
          <w:tcPr>
            <w:tcW w:w="945" w:type="dxa"/>
            <w:vMerge w:val="restart"/>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lang/>
              </w:rPr>
            </w:pPr>
            <w:r>
              <w:rPr>
                <w:rFonts w:hint="eastAsia" w:ascii="宋体" w:hAnsi="宋体"/>
                <w:sz w:val="24"/>
                <w:lang/>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540" w:type="dxa"/>
            <w:vMerge w:val="continue"/>
            <w:tcBorders>
              <w:left w:val="single" w:color="auto" w:sz="4" w:space="0"/>
              <w:right w:val="single" w:color="auto" w:sz="4" w:space="0"/>
            </w:tcBorders>
            <w:noWrap w:val="0"/>
            <w:vAlign w:val="center"/>
          </w:tcPr>
          <w:p>
            <w:pPr>
              <w:pStyle w:val="377"/>
              <w:tabs>
                <w:tab w:val="left" w:pos="3200"/>
              </w:tabs>
              <w:jc w:val="center"/>
              <w:rPr>
                <w:rFonts w:hint="eastAsia" w:ascii="宋体" w:hAnsi="宋体"/>
                <w:b/>
                <w:bCs/>
                <w:sz w:val="24"/>
              </w:rPr>
            </w:pPr>
          </w:p>
        </w:tc>
        <w:tc>
          <w:tcPr>
            <w:tcW w:w="930" w:type="dxa"/>
            <w:tcBorders>
              <w:top w:val="single" w:color="auto" w:sz="4" w:space="0"/>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品牌</w:t>
            </w:r>
          </w:p>
        </w:tc>
        <w:tc>
          <w:tcPr>
            <w:tcW w:w="1050" w:type="dxa"/>
            <w:tcBorders>
              <w:top w:val="single" w:color="auto" w:sz="4" w:space="0"/>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型号</w:t>
            </w:r>
          </w:p>
        </w:tc>
        <w:tc>
          <w:tcPr>
            <w:tcW w:w="1855" w:type="dxa"/>
            <w:vMerge w:val="continue"/>
            <w:tcBorders>
              <w:left w:val="single" w:color="auto" w:sz="4" w:space="0"/>
              <w:right w:val="single" w:color="auto" w:sz="4" w:space="0"/>
            </w:tcBorders>
            <w:noWrap w:val="0"/>
            <w:vAlign w:val="center"/>
          </w:tcPr>
          <w:p>
            <w:pPr>
              <w:pStyle w:val="377"/>
              <w:jc w:val="center"/>
              <w:rPr>
                <w:rFonts w:hint="eastAsia" w:ascii="宋体" w:hAnsi="宋体"/>
                <w:sz w:val="24"/>
                <w:lang/>
              </w:rPr>
            </w:pPr>
          </w:p>
        </w:tc>
        <w:tc>
          <w:tcPr>
            <w:tcW w:w="1855" w:type="dxa"/>
            <w:vMerge w:val="continue"/>
            <w:tcBorders>
              <w:left w:val="single" w:color="auto" w:sz="4" w:space="0"/>
              <w:right w:val="single" w:color="auto" w:sz="4" w:space="0"/>
            </w:tcBorders>
            <w:noWrap w:val="0"/>
            <w:vAlign w:val="center"/>
          </w:tcPr>
          <w:p>
            <w:pPr>
              <w:pStyle w:val="377"/>
              <w:jc w:val="center"/>
              <w:rPr>
                <w:rFonts w:hint="eastAsia" w:ascii="宋体" w:hAnsi="宋体"/>
                <w:sz w:val="24"/>
                <w:lang/>
              </w:rPr>
            </w:pPr>
          </w:p>
        </w:tc>
        <w:tc>
          <w:tcPr>
            <w:tcW w:w="1855" w:type="dxa"/>
            <w:vMerge w:val="continue"/>
            <w:tcBorders>
              <w:left w:val="single" w:color="auto" w:sz="4" w:space="0"/>
              <w:right w:val="single" w:color="auto" w:sz="4" w:space="0"/>
            </w:tcBorders>
            <w:noWrap w:val="0"/>
            <w:vAlign w:val="center"/>
          </w:tcPr>
          <w:p>
            <w:pPr>
              <w:pStyle w:val="377"/>
              <w:jc w:val="center"/>
              <w:rPr>
                <w:rFonts w:hint="eastAsia" w:ascii="宋体" w:hAnsi="宋体"/>
                <w:sz w:val="24"/>
                <w:lang/>
              </w:rPr>
            </w:pPr>
          </w:p>
        </w:tc>
        <w:tc>
          <w:tcPr>
            <w:tcW w:w="945" w:type="dxa"/>
            <w:vMerge w:val="continue"/>
            <w:tcBorders>
              <w:left w:val="single" w:color="auto" w:sz="4" w:space="0"/>
              <w:right w:val="single" w:color="auto" w:sz="4" w:space="0"/>
            </w:tcBorders>
            <w:noWrap w:val="0"/>
            <w:vAlign w:val="center"/>
          </w:tcPr>
          <w:p>
            <w:pPr>
              <w:pStyle w:val="377"/>
              <w:jc w:val="center"/>
              <w:rPr>
                <w:rFonts w:hint="eastAsia" w:ascii="宋体" w:hAnsi="宋体"/>
                <w:sz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540" w:type="dxa"/>
            <w:tcBorders>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1</w:t>
            </w:r>
          </w:p>
        </w:tc>
        <w:tc>
          <w:tcPr>
            <w:tcW w:w="930" w:type="dxa"/>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rPr>
            </w:pPr>
          </w:p>
        </w:tc>
        <w:tc>
          <w:tcPr>
            <w:tcW w:w="1050" w:type="dxa"/>
            <w:tcBorders>
              <w:top w:val="single" w:color="auto" w:sz="4" w:space="0"/>
              <w:left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540" w:type="dxa"/>
            <w:tcBorders>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2</w:t>
            </w:r>
          </w:p>
        </w:tc>
        <w:tc>
          <w:tcPr>
            <w:tcW w:w="930" w:type="dxa"/>
            <w:tcBorders>
              <w:left w:val="single" w:color="auto" w:sz="4" w:space="0"/>
              <w:right w:val="single" w:color="auto" w:sz="4" w:space="0"/>
            </w:tcBorders>
            <w:noWrap w:val="0"/>
            <w:vAlign w:val="center"/>
          </w:tcPr>
          <w:p>
            <w:pPr>
              <w:pStyle w:val="377"/>
              <w:jc w:val="center"/>
              <w:rPr>
                <w:rFonts w:hint="eastAsia" w:ascii="宋体" w:hAnsi="宋体"/>
                <w:sz w:val="24"/>
              </w:rPr>
            </w:pPr>
          </w:p>
        </w:tc>
        <w:tc>
          <w:tcPr>
            <w:tcW w:w="1050" w:type="dxa"/>
            <w:tcBorders>
              <w:left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540" w:type="dxa"/>
            <w:tcBorders>
              <w:left w:val="single" w:color="auto" w:sz="4" w:space="0"/>
              <w:right w:val="single" w:color="auto" w:sz="4" w:space="0"/>
            </w:tcBorders>
            <w:noWrap w:val="0"/>
            <w:vAlign w:val="center"/>
          </w:tcPr>
          <w:p>
            <w:pPr>
              <w:pStyle w:val="377"/>
              <w:tabs>
                <w:tab w:val="left" w:pos="3200"/>
              </w:tabs>
              <w:jc w:val="center"/>
              <w:rPr>
                <w:rFonts w:hint="eastAsia" w:ascii="宋体" w:hAnsi="宋体"/>
                <w:sz w:val="24"/>
              </w:rPr>
            </w:pPr>
            <w:r>
              <w:rPr>
                <w:rFonts w:hint="eastAsia" w:ascii="宋体" w:hAnsi="宋体"/>
                <w:sz w:val="24"/>
              </w:rPr>
              <w:t>…</w:t>
            </w:r>
          </w:p>
        </w:tc>
        <w:tc>
          <w:tcPr>
            <w:tcW w:w="930" w:type="dxa"/>
            <w:tcBorders>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r>
              <w:rPr>
                <w:rFonts w:hint="eastAsia" w:ascii="宋体" w:hAnsi="宋体"/>
                <w:sz w:val="24"/>
              </w:rPr>
              <w:t>…</w:t>
            </w:r>
          </w:p>
        </w:tc>
        <w:tc>
          <w:tcPr>
            <w:tcW w:w="1050" w:type="dxa"/>
            <w:tcBorders>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r>
              <w:rPr>
                <w:rFonts w:hint="eastAsia" w:ascii="宋体" w:hAnsi="宋体"/>
                <w:sz w:val="24"/>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377"/>
              <w:jc w:val="center"/>
              <w:rPr>
                <w:rFonts w:hint="eastAsia" w:ascii="宋体" w:hAnsi="宋体"/>
                <w:sz w:val="24"/>
                <w:lang w:val="en-GB"/>
              </w:rPr>
            </w:pPr>
            <w:r>
              <w:rPr>
                <w:rFonts w:hint="eastAsia" w:ascii="宋体" w:hAnsi="宋体"/>
                <w:sz w:val="24"/>
              </w:rPr>
              <w:t>…</w:t>
            </w:r>
          </w:p>
        </w:tc>
      </w:tr>
    </w:tbl>
    <w:p>
      <w:pPr>
        <w:pStyle w:val="377"/>
        <w:spacing w:line="360" w:lineRule="auto"/>
        <w:rPr>
          <w:rFonts w:hint="eastAsia" w:ascii="宋体" w:hAnsi="宋体"/>
          <w:sz w:val="24"/>
          <w:lang w:val="en-GB"/>
        </w:rPr>
      </w:pPr>
      <w:r>
        <w:rPr>
          <w:rFonts w:hint="eastAsia" w:ascii="宋体" w:hAnsi="宋体"/>
          <w:sz w:val="24"/>
          <w:lang w:val="en-GB"/>
        </w:rPr>
        <w:t>注：</w:t>
      </w:r>
    </w:p>
    <w:p>
      <w:pPr>
        <w:pStyle w:val="377"/>
        <w:spacing w:line="360" w:lineRule="auto"/>
        <w:rPr>
          <w:rFonts w:hint="eastAsia" w:ascii="宋体" w:hAnsi="宋体"/>
          <w:sz w:val="24"/>
          <w:lang w:val="en-GB"/>
        </w:rPr>
      </w:pPr>
      <w:r>
        <w:rPr>
          <w:rFonts w:hint="eastAsia" w:ascii="宋体" w:hAnsi="宋体"/>
          <w:sz w:val="24"/>
          <w:lang w:val="en-GB"/>
        </w:rPr>
        <w:t>请各投标人参照招标文件严格按以下要求认真填写偏离表：</w:t>
      </w:r>
    </w:p>
    <w:p>
      <w:pPr>
        <w:pStyle w:val="377"/>
        <w:spacing w:line="360" w:lineRule="auto"/>
        <w:ind w:firstLine="480" w:firstLineChars="200"/>
        <w:rPr>
          <w:rFonts w:hint="eastAsia" w:ascii="宋体" w:hAnsi="宋体"/>
          <w:sz w:val="24"/>
          <w:lang w:val="en-GB"/>
        </w:rPr>
      </w:pPr>
      <w:r>
        <w:rPr>
          <w:rFonts w:hint="eastAsia" w:ascii="宋体" w:hAnsi="宋体"/>
          <w:sz w:val="24"/>
          <w:lang w:val="en-GB"/>
        </w:rPr>
        <w:t>1.投标人应根据投标货物的实际规格，并对照招标文件要求，对确实存在投标规格要求与招标文件要求有偏离的情况，应真实、认真的填写本表。“投标产品名称”栏注明偏离产品的名称；“投标产品详细规格”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pStyle w:val="377"/>
        <w:tabs>
          <w:tab w:val="left" w:pos="1267"/>
        </w:tabs>
        <w:spacing w:line="360" w:lineRule="auto"/>
        <w:ind w:firstLine="480" w:firstLineChars="200"/>
        <w:rPr>
          <w:rFonts w:hint="eastAsia" w:ascii="宋体" w:hAnsi="宋体"/>
          <w:sz w:val="24"/>
          <w:lang w:val="en-GB"/>
        </w:rPr>
      </w:pPr>
      <w:r>
        <w:rPr>
          <w:rFonts w:hint="eastAsia" w:ascii="宋体" w:hAnsi="宋体"/>
          <w:sz w:val="24"/>
          <w:lang w:val="en-GB"/>
        </w:rPr>
        <w:t>2.投标人真实填写本表，并对其真实性负责。</w:t>
      </w:r>
      <w:r>
        <w:rPr>
          <w:rFonts w:hint="eastAsia" w:ascii="宋体" w:hAnsi="宋体"/>
          <w:sz w:val="24"/>
        </w:rPr>
        <w:t>评标委员会</w:t>
      </w:r>
      <w:r>
        <w:rPr>
          <w:rFonts w:hint="eastAsia" w:ascii="宋体" w:hAnsi="宋体"/>
          <w:sz w:val="24"/>
          <w:lang w:val="en-GB"/>
        </w:rPr>
        <w:t>将根据</w:t>
      </w:r>
      <w:r>
        <w:rPr>
          <w:rFonts w:ascii="宋体" w:hAnsi="宋体"/>
          <w:sz w:val="24"/>
          <w:lang w:val="en-GB"/>
        </w:rPr>
        <w:t>评审办法和细则</w:t>
      </w:r>
      <w:r>
        <w:rPr>
          <w:rFonts w:hint="eastAsia" w:ascii="宋体" w:hAnsi="宋体"/>
          <w:sz w:val="24"/>
          <w:lang w:val="en-GB"/>
        </w:rPr>
        <w:t>进行打分。）如某项非实质性投标规格实际为“负偏离”，而投标人注明为“正偏离”或不注明的，</w:t>
      </w:r>
      <w:r>
        <w:rPr>
          <w:rFonts w:hint="eastAsia" w:ascii="宋体" w:hAnsi="宋体"/>
          <w:sz w:val="24"/>
        </w:rPr>
        <w:t>评标委员会</w:t>
      </w:r>
      <w:r>
        <w:rPr>
          <w:rFonts w:hint="eastAsia" w:ascii="宋体" w:hAnsi="宋体"/>
          <w:sz w:val="24"/>
          <w:lang w:val="en-GB"/>
        </w:rPr>
        <w:t>可对此项偏离按评审办法加倍减分。</w:t>
      </w:r>
    </w:p>
    <w:p>
      <w:pPr>
        <w:pStyle w:val="377"/>
        <w:spacing w:line="360" w:lineRule="auto"/>
        <w:ind w:firstLine="480" w:firstLineChars="200"/>
        <w:rPr>
          <w:rFonts w:ascii="宋体" w:hAnsi="宋体"/>
          <w:sz w:val="24"/>
          <w:lang w:val="en-GB"/>
        </w:rPr>
      </w:pPr>
      <w:r>
        <w:rPr>
          <w:rFonts w:hint="eastAsia" w:ascii="宋体" w:hAnsi="宋体"/>
          <w:sz w:val="24"/>
          <w:lang w:val="en-GB"/>
        </w:rPr>
        <w:t>3. 投标人注明的偏离情况只作为评审专家评定的参考，最终是否构成偏离或实质性偏离情况应由</w:t>
      </w:r>
      <w:r>
        <w:rPr>
          <w:rFonts w:hint="eastAsia" w:ascii="宋体" w:hAnsi="宋体"/>
          <w:sz w:val="24"/>
        </w:rPr>
        <w:t>评标委员会</w:t>
      </w:r>
      <w:r>
        <w:rPr>
          <w:rFonts w:hint="eastAsia" w:ascii="宋体" w:hAnsi="宋体"/>
          <w:sz w:val="24"/>
          <w:lang w:val="en-GB"/>
        </w:rPr>
        <w:t>决定。</w:t>
      </w:r>
    </w:p>
    <w:p>
      <w:pPr>
        <w:pStyle w:val="377"/>
        <w:spacing w:line="360" w:lineRule="auto"/>
        <w:ind w:firstLine="480" w:firstLineChars="200"/>
        <w:rPr>
          <w:rFonts w:ascii="宋体" w:hAnsi="宋体"/>
          <w:sz w:val="24"/>
          <w:szCs w:val="20"/>
          <w:lang/>
        </w:rPr>
      </w:pPr>
      <w:r>
        <w:rPr>
          <w:rFonts w:hint="eastAsia" w:ascii="宋体" w:hAnsi="宋体"/>
          <w:sz w:val="24"/>
          <w:lang w:val="en-GB"/>
        </w:rPr>
        <w:t>4.不允许存在实质性负偏离。非实质性负偏离超过5项的，投标文件无效；（招标文件中</w:t>
      </w:r>
      <w:r>
        <w:rPr>
          <w:rFonts w:hint="eastAsia" w:ascii="宋体" w:hAnsi="宋体"/>
          <w:sz w:val="24"/>
          <w:szCs w:val="20"/>
          <w:lang/>
        </w:rPr>
        <w:t>“▲”条款为实质性条款）</w:t>
      </w:r>
    </w:p>
    <w:p>
      <w:pPr>
        <w:pStyle w:val="377"/>
        <w:spacing w:line="360" w:lineRule="auto"/>
        <w:ind w:firstLine="480" w:firstLineChars="200"/>
        <w:rPr>
          <w:rFonts w:ascii="宋体" w:hAnsi="宋体"/>
          <w:b/>
          <w:bCs/>
          <w:sz w:val="24"/>
        </w:rPr>
      </w:pPr>
      <w:r>
        <w:rPr>
          <w:rFonts w:hint="eastAsia" w:ascii="宋体" w:hAnsi="宋体"/>
          <w:sz w:val="24"/>
          <w:lang w:val="en-GB"/>
        </w:rPr>
        <w:t>5.投标规格的实际偏离情况以</w:t>
      </w:r>
      <w:r>
        <w:rPr>
          <w:rFonts w:hint="eastAsia" w:ascii="宋体" w:hAnsi="宋体"/>
          <w:sz w:val="24"/>
        </w:rPr>
        <w:t>评标委员会</w:t>
      </w:r>
      <w:r>
        <w:rPr>
          <w:rFonts w:hint="eastAsia" w:ascii="宋体" w:hAnsi="宋体"/>
          <w:sz w:val="24"/>
          <w:lang w:val="en-GB"/>
        </w:rPr>
        <w:t>综合评价为准，</w:t>
      </w:r>
      <w:r>
        <w:rPr>
          <w:rFonts w:hint="eastAsia" w:ascii="宋体" w:hAnsi="宋体"/>
          <w:bCs/>
          <w:sz w:val="24"/>
        </w:rPr>
        <w:t>解释权属</w:t>
      </w:r>
      <w:r>
        <w:rPr>
          <w:rFonts w:hint="eastAsia" w:ascii="宋体" w:hAnsi="宋体"/>
          <w:sz w:val="24"/>
        </w:rPr>
        <w:t>评标委员会</w:t>
      </w:r>
      <w:r>
        <w:rPr>
          <w:rFonts w:hint="eastAsia" w:ascii="宋体" w:hAnsi="宋体"/>
          <w:bCs/>
          <w:sz w:val="24"/>
        </w:rPr>
        <w:t>。</w:t>
      </w:r>
    </w:p>
    <w:p>
      <w:pPr>
        <w:spacing w:line="360" w:lineRule="auto"/>
        <w:ind w:firstLine="560"/>
        <w:rPr>
          <w:rFonts w:hint="eastAsia" w:ascii="宋体" w:hAnsi="宋体"/>
          <w:spacing w:val="20"/>
          <w:sz w:val="24"/>
        </w:rPr>
      </w:pPr>
    </w:p>
    <w:p>
      <w:pPr>
        <w:rPr>
          <w:rFonts w:ascii="宋体" w:hAnsi="宋体"/>
          <w:sz w:val="24"/>
        </w:rPr>
      </w:pPr>
    </w:p>
    <w:p>
      <w:pPr>
        <w:pStyle w:val="24"/>
        <w:spacing w:line="360" w:lineRule="auto"/>
        <w:ind w:right="480" w:firstLine="2400" w:firstLineChars="1000"/>
        <w:rPr>
          <w:rFonts w:hint="eastAsia" w:hAnsi="宋体"/>
          <w:sz w:val="24"/>
          <w:szCs w:val="24"/>
        </w:rPr>
      </w:pPr>
      <w:r>
        <w:rPr>
          <w:rFonts w:hint="eastAsia" w:hAnsi="宋体"/>
          <w:sz w:val="24"/>
          <w:szCs w:val="24"/>
        </w:rPr>
        <w:t>负责人（或委托代理人）签字或盖章</w:t>
      </w:r>
      <w:r>
        <w:rPr>
          <w:rFonts w:hAnsi="宋体"/>
          <w:sz w:val="24"/>
          <w:szCs w:val="24"/>
        </w:rPr>
        <w:t>_____________</w:t>
      </w:r>
    </w:p>
    <w:p>
      <w:pPr>
        <w:pStyle w:val="24"/>
        <w:spacing w:line="360" w:lineRule="auto"/>
        <w:ind w:right="480"/>
        <w:jc w:val="center"/>
        <w:rPr>
          <w:rFonts w:hint="eastAsia" w:hAnsi="宋体"/>
          <w:sz w:val="24"/>
          <w:szCs w:val="24"/>
        </w:rPr>
      </w:pPr>
      <w:r>
        <w:rPr>
          <w:rFonts w:hint="eastAsia" w:hAnsi="宋体"/>
          <w:sz w:val="24"/>
          <w:szCs w:val="24"/>
        </w:rPr>
        <w:t>　　　　　　　　　　　　　投标人盖公章</w:t>
      </w:r>
      <w:r>
        <w:rPr>
          <w:rFonts w:hAnsi="宋体"/>
          <w:sz w:val="24"/>
          <w:szCs w:val="24"/>
        </w:rPr>
        <w:t>_____________</w:t>
      </w:r>
    </w:p>
    <w:p>
      <w:pPr>
        <w:pStyle w:val="24"/>
        <w:wordWrap w:val="0"/>
        <w:spacing w:line="360" w:lineRule="auto"/>
        <w:ind w:right="480" w:firstLine="4320" w:firstLineChars="1800"/>
        <w:rPr>
          <w:rFonts w:hint="eastAsia" w:hAnsi="宋体"/>
          <w:sz w:val="24"/>
          <w:szCs w:val="24"/>
        </w:rPr>
      </w:pPr>
      <w:r>
        <w:rPr>
          <w:rFonts w:hint="eastAsia" w:hAnsi="宋体"/>
          <w:sz w:val="24"/>
          <w:szCs w:val="24"/>
        </w:rPr>
        <w:t>日  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pStyle w:val="4"/>
        <w:spacing w:before="240" w:after="240"/>
        <w:ind w:firstLine="0" w:firstLineChars="0"/>
        <w:jc w:val="center"/>
        <w:rPr>
          <w:rFonts w:ascii="宋体" w:hAnsi="宋体" w:eastAsia="宋体"/>
        </w:rPr>
      </w:pPr>
      <w:bookmarkStart w:id="115" w:name="_Toc520382226"/>
      <w:bookmarkStart w:id="116" w:name="_Toc494555884"/>
      <w:bookmarkStart w:id="117" w:name="_Toc493956069"/>
      <w:bookmarkStart w:id="118" w:name="_Toc530665731"/>
      <w:r>
        <w:rPr>
          <w:rFonts w:ascii="宋体" w:hAnsi="宋体" w:eastAsia="宋体"/>
        </w:rPr>
        <w:t>3</w:t>
      </w:r>
      <w:r>
        <w:rPr>
          <w:rFonts w:hint="eastAsia" w:ascii="宋体" w:hAnsi="宋体" w:eastAsia="宋体"/>
        </w:rPr>
        <w:t>、技术服务和售后服务的内容及措施</w:t>
      </w:r>
      <w:bookmarkEnd w:id="115"/>
      <w:bookmarkEnd w:id="116"/>
      <w:bookmarkEnd w:id="117"/>
      <w:bookmarkEnd w:id="118"/>
    </w:p>
    <w:p>
      <w:pPr>
        <w:pStyle w:val="378"/>
        <w:spacing w:line="360" w:lineRule="auto"/>
        <w:rPr>
          <w:rFonts w:ascii="宋体" w:hAnsi="宋体"/>
          <w:sz w:val="24"/>
        </w:rPr>
      </w:pPr>
      <w:r>
        <w:rPr>
          <w:rFonts w:hint="eastAsia" w:ascii="宋体" w:hAnsi="宋体"/>
          <w:sz w:val="24"/>
        </w:rPr>
        <w:t>内容要求</w:t>
      </w:r>
      <w:r>
        <w:rPr>
          <w:rFonts w:ascii="宋体" w:hAnsi="宋体"/>
          <w:sz w:val="24"/>
        </w:rPr>
        <w:t>：</w:t>
      </w:r>
    </w:p>
    <w:p>
      <w:pPr>
        <w:pStyle w:val="378"/>
        <w:spacing w:line="360" w:lineRule="auto"/>
        <w:ind w:firstLine="480" w:firstLineChars="200"/>
        <w:rPr>
          <w:rFonts w:ascii="宋体" w:hAnsi="宋体"/>
          <w:sz w:val="24"/>
        </w:rPr>
      </w:pPr>
      <w:r>
        <w:rPr>
          <w:rFonts w:hint="eastAsia" w:ascii="宋体" w:hAnsi="宋体"/>
          <w:sz w:val="24"/>
        </w:rPr>
        <w:t>1、投标</w:t>
      </w:r>
      <w:r>
        <w:rPr>
          <w:rFonts w:ascii="宋体" w:hAnsi="宋体"/>
          <w:sz w:val="24"/>
        </w:rPr>
        <w:t>人应针对本项目的技术需求</w:t>
      </w:r>
      <w:r>
        <w:rPr>
          <w:rFonts w:hint="eastAsia" w:ascii="宋体" w:hAnsi="宋体"/>
          <w:sz w:val="24"/>
        </w:rPr>
        <w:t>提出详细</w:t>
      </w:r>
      <w:r>
        <w:rPr>
          <w:rFonts w:ascii="宋体" w:hAnsi="宋体"/>
          <w:sz w:val="24"/>
        </w:rPr>
        <w:t>的</w:t>
      </w:r>
      <w:r>
        <w:rPr>
          <w:rFonts w:hint="eastAsia" w:ascii="宋体" w:hAnsi="宋体"/>
          <w:sz w:val="24"/>
        </w:rPr>
        <w:t>后期</w:t>
      </w:r>
      <w:r>
        <w:rPr>
          <w:rFonts w:ascii="宋体" w:hAnsi="宋体"/>
          <w:sz w:val="24"/>
        </w:rPr>
        <w:t>的技术服务和</w:t>
      </w:r>
      <w:r>
        <w:rPr>
          <w:rFonts w:hint="eastAsia" w:ascii="宋体" w:hAnsi="宋体"/>
          <w:sz w:val="24"/>
        </w:rPr>
        <w:t>售后</w:t>
      </w:r>
      <w:r>
        <w:rPr>
          <w:rFonts w:ascii="宋体" w:hAnsi="宋体"/>
          <w:sz w:val="24"/>
        </w:rPr>
        <w:t>服务内容及</w:t>
      </w:r>
      <w:r>
        <w:rPr>
          <w:rFonts w:hint="eastAsia" w:ascii="宋体" w:hAnsi="宋体"/>
          <w:sz w:val="24"/>
        </w:rPr>
        <w:t>措施；</w:t>
      </w:r>
    </w:p>
    <w:p>
      <w:pPr>
        <w:pStyle w:val="378"/>
        <w:spacing w:line="360" w:lineRule="auto"/>
        <w:ind w:firstLine="480" w:firstLineChars="200"/>
        <w:rPr>
          <w:rFonts w:ascii="宋体" w:hAnsi="宋体"/>
          <w:sz w:val="24"/>
        </w:rPr>
      </w:pPr>
      <w:r>
        <w:rPr>
          <w:rFonts w:hint="eastAsia" w:ascii="宋体" w:hAnsi="宋体"/>
          <w:sz w:val="24"/>
        </w:rPr>
        <w:t>2、</w:t>
      </w:r>
      <w:r>
        <w:rPr>
          <w:rFonts w:ascii="宋体" w:hAnsi="宋体"/>
          <w:sz w:val="24"/>
        </w:rPr>
        <w:t>招标文件</w:t>
      </w:r>
      <w:r>
        <w:rPr>
          <w:rFonts w:hint="eastAsia" w:ascii="宋体" w:hAnsi="宋体"/>
          <w:sz w:val="24"/>
        </w:rPr>
        <w:t>的</w:t>
      </w:r>
      <w:r>
        <w:rPr>
          <w:rFonts w:ascii="宋体" w:hAnsi="宋体"/>
          <w:sz w:val="24"/>
        </w:rPr>
        <w:t>技术服务和售后服务</w:t>
      </w:r>
      <w:r>
        <w:rPr>
          <w:rFonts w:hint="eastAsia" w:ascii="宋体" w:hAnsi="宋体"/>
          <w:sz w:val="24"/>
        </w:rPr>
        <w:t>只是</w:t>
      </w:r>
      <w:r>
        <w:rPr>
          <w:rFonts w:ascii="宋体" w:hAnsi="宋体"/>
          <w:sz w:val="24"/>
        </w:rPr>
        <w:t>基本要求，投标人根据项目</w:t>
      </w:r>
      <w:r>
        <w:rPr>
          <w:rFonts w:hint="eastAsia" w:ascii="宋体" w:hAnsi="宋体"/>
          <w:sz w:val="24"/>
        </w:rPr>
        <w:t>特性</w:t>
      </w:r>
      <w:r>
        <w:rPr>
          <w:rFonts w:ascii="宋体" w:hAnsi="宋体"/>
          <w:sz w:val="24"/>
        </w:rPr>
        <w:t>可</w:t>
      </w:r>
      <w:r>
        <w:rPr>
          <w:rFonts w:hint="eastAsia" w:ascii="宋体" w:hAnsi="宋体"/>
          <w:sz w:val="24"/>
        </w:rPr>
        <w:t>作出</w:t>
      </w:r>
      <w:r>
        <w:rPr>
          <w:rFonts w:ascii="宋体" w:hAnsi="宋体"/>
          <w:sz w:val="24"/>
        </w:rPr>
        <w:t>优于或者等同于</w:t>
      </w:r>
      <w:r>
        <w:rPr>
          <w:rFonts w:hint="eastAsia" w:ascii="宋体" w:hAnsi="宋体"/>
          <w:sz w:val="24"/>
        </w:rPr>
        <w:t>招标</w:t>
      </w:r>
      <w:r>
        <w:rPr>
          <w:rFonts w:ascii="宋体" w:hAnsi="宋体"/>
          <w:sz w:val="24"/>
        </w:rPr>
        <w:t>文件</w:t>
      </w:r>
      <w:r>
        <w:rPr>
          <w:rFonts w:hint="eastAsia" w:ascii="宋体" w:hAnsi="宋体"/>
          <w:sz w:val="24"/>
        </w:rPr>
        <w:t>要求</w:t>
      </w:r>
      <w:r>
        <w:rPr>
          <w:rFonts w:ascii="宋体" w:hAnsi="宋体"/>
          <w:sz w:val="24"/>
        </w:rPr>
        <w:t>的</w:t>
      </w:r>
      <w:r>
        <w:rPr>
          <w:rFonts w:hint="eastAsia" w:ascii="宋体" w:hAnsi="宋体"/>
          <w:sz w:val="24"/>
        </w:rPr>
        <w:t>承诺</w:t>
      </w:r>
      <w:r>
        <w:rPr>
          <w:rFonts w:ascii="宋体" w:hAnsi="宋体"/>
          <w:sz w:val="24"/>
        </w:rPr>
        <w:t>。</w:t>
      </w:r>
    </w:p>
    <w:p>
      <w:pPr>
        <w:pStyle w:val="378"/>
        <w:spacing w:line="360" w:lineRule="auto"/>
        <w:ind w:firstLine="480" w:firstLineChars="200"/>
        <w:rPr>
          <w:rFonts w:ascii="宋体" w:hAnsi="宋体"/>
          <w:sz w:val="24"/>
        </w:rPr>
      </w:pPr>
    </w:p>
    <w:p>
      <w:pPr>
        <w:pStyle w:val="378"/>
        <w:spacing w:line="360" w:lineRule="auto"/>
        <w:ind w:firstLine="480" w:firstLineChars="200"/>
        <w:rPr>
          <w:rFonts w:ascii="宋体" w:hAnsi="宋体"/>
          <w:sz w:val="24"/>
        </w:rPr>
      </w:pPr>
    </w:p>
    <w:p>
      <w:pPr>
        <w:pStyle w:val="378"/>
        <w:spacing w:line="360" w:lineRule="auto"/>
        <w:ind w:firstLine="480" w:firstLineChars="200"/>
        <w:rPr>
          <w:rFonts w:ascii="宋体" w:hAnsi="宋体"/>
          <w:sz w:val="24"/>
        </w:rPr>
      </w:pPr>
    </w:p>
    <w:p>
      <w:pPr>
        <w:pStyle w:val="255"/>
        <w:rPr>
          <w:rFonts w:ascii="宋体" w:hAnsi="宋体"/>
          <w:bCs/>
          <w:sz w:val="24"/>
        </w:rPr>
      </w:pPr>
      <w:r>
        <w:rPr>
          <w:rFonts w:hint="eastAsia" w:ascii="宋体" w:hAnsi="宋体"/>
          <w:b/>
          <w:bCs/>
          <w:sz w:val="24"/>
        </w:rPr>
        <w:t>注</w:t>
      </w:r>
      <w:r>
        <w:rPr>
          <w:rFonts w:ascii="宋体" w:hAnsi="宋体"/>
          <w:b/>
          <w:bCs/>
          <w:sz w:val="24"/>
        </w:rPr>
        <w:t>：</w:t>
      </w:r>
      <w:r>
        <w:rPr>
          <w:rFonts w:hint="eastAsia" w:ascii="宋体" w:hAnsi="宋体"/>
          <w:bCs/>
          <w:sz w:val="24"/>
        </w:rPr>
        <w:t>1</w:t>
      </w:r>
      <w:r>
        <w:rPr>
          <w:rFonts w:ascii="宋体" w:hAnsi="宋体"/>
          <w:bCs/>
          <w:sz w:val="24"/>
        </w:rPr>
        <w:t xml:space="preserve">. </w:t>
      </w:r>
      <w:r>
        <w:rPr>
          <w:rFonts w:hint="eastAsia" w:ascii="宋体" w:hAnsi="宋体"/>
          <w:bCs/>
          <w:sz w:val="24"/>
        </w:rPr>
        <w:t>格式自拟；</w:t>
      </w:r>
    </w:p>
    <w:p>
      <w:pPr>
        <w:spacing w:line="360" w:lineRule="auto"/>
        <w:jc w:val="center"/>
        <w:rPr>
          <w:rFonts w:hint="eastAsia" w:ascii="宋体" w:hAnsi="宋体"/>
          <w:sz w:val="30"/>
        </w:rPr>
      </w:pPr>
      <w:r>
        <w:rPr>
          <w:rFonts w:hint="eastAsia" w:ascii="宋体" w:hAnsi="宋体"/>
          <w:sz w:val="30"/>
        </w:rPr>
        <w:t xml:space="preserve">  </w:t>
      </w: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pStyle w:val="4"/>
        <w:spacing w:before="240" w:after="240"/>
        <w:ind w:firstLine="0" w:firstLineChars="0"/>
        <w:jc w:val="center"/>
        <w:rPr>
          <w:rFonts w:hint="eastAsia" w:ascii="宋体" w:hAnsi="宋体" w:eastAsia="宋体"/>
        </w:rPr>
      </w:pPr>
      <w:bookmarkStart w:id="119" w:name="_Toc520382227"/>
      <w:bookmarkStart w:id="120" w:name="_Toc530665732"/>
      <w:bookmarkStart w:id="121" w:name="_Toc493956070"/>
      <w:bookmarkStart w:id="122" w:name="_Toc494555885"/>
      <w:r>
        <w:rPr>
          <w:rFonts w:hint="eastAsia" w:ascii="宋体" w:hAnsi="宋体" w:eastAsia="宋体"/>
        </w:rPr>
        <w:t>4、安装、调试、培训</w:t>
      </w:r>
      <w:bookmarkEnd w:id="119"/>
      <w:bookmarkEnd w:id="120"/>
      <w:bookmarkEnd w:id="121"/>
      <w:bookmarkEnd w:id="122"/>
    </w:p>
    <w:p>
      <w:pPr>
        <w:pStyle w:val="378"/>
        <w:spacing w:line="360" w:lineRule="auto"/>
        <w:rPr>
          <w:rFonts w:hint="eastAsia" w:ascii="宋体" w:hAnsi="宋体"/>
          <w:sz w:val="24"/>
        </w:rPr>
      </w:pPr>
      <w:r>
        <w:rPr>
          <w:rFonts w:hint="eastAsia" w:ascii="宋体" w:hAnsi="宋体"/>
          <w:sz w:val="24"/>
        </w:rPr>
        <w:t>内容要求：</w:t>
      </w:r>
    </w:p>
    <w:p>
      <w:pPr>
        <w:pStyle w:val="378"/>
        <w:spacing w:line="360" w:lineRule="auto"/>
        <w:ind w:firstLine="480" w:firstLineChars="200"/>
        <w:rPr>
          <w:rFonts w:ascii="宋体" w:hAnsi="宋体"/>
          <w:sz w:val="24"/>
        </w:rPr>
      </w:pPr>
      <w:r>
        <w:rPr>
          <w:rFonts w:hint="eastAsia" w:ascii="宋体" w:hAnsi="宋体"/>
          <w:sz w:val="24"/>
        </w:rPr>
        <w:t>1、投标人应针对本项目提出</w:t>
      </w:r>
      <w:r>
        <w:rPr>
          <w:rFonts w:ascii="宋体" w:hAnsi="宋体"/>
          <w:sz w:val="24"/>
        </w:rPr>
        <w:t>详细</w:t>
      </w:r>
      <w:r>
        <w:rPr>
          <w:rFonts w:hint="eastAsia" w:ascii="宋体" w:hAnsi="宋体"/>
          <w:sz w:val="24"/>
        </w:rPr>
        <w:t>的</w:t>
      </w:r>
      <w:r>
        <w:rPr>
          <w:rFonts w:ascii="宋体" w:hAnsi="宋体"/>
          <w:sz w:val="24"/>
        </w:rPr>
        <w:t>安装、调试</w:t>
      </w:r>
      <w:r>
        <w:rPr>
          <w:rFonts w:hint="eastAsia" w:ascii="宋体" w:hAnsi="宋体"/>
          <w:sz w:val="24"/>
        </w:rPr>
        <w:t>、</w:t>
      </w:r>
      <w:r>
        <w:rPr>
          <w:rFonts w:ascii="宋体" w:hAnsi="宋体"/>
          <w:sz w:val="24"/>
        </w:rPr>
        <w:t>培训要求</w:t>
      </w:r>
      <w:r>
        <w:rPr>
          <w:rFonts w:hint="eastAsia" w:ascii="宋体" w:hAnsi="宋体"/>
          <w:sz w:val="24"/>
        </w:rPr>
        <w:t>及改进</w:t>
      </w:r>
      <w:r>
        <w:rPr>
          <w:rFonts w:ascii="宋体" w:hAnsi="宋体"/>
          <w:sz w:val="24"/>
        </w:rPr>
        <w:t>的方法</w:t>
      </w:r>
      <w:r>
        <w:rPr>
          <w:rFonts w:hint="eastAsia" w:ascii="宋体" w:hAnsi="宋体"/>
          <w:sz w:val="24"/>
        </w:rPr>
        <w:t>；</w:t>
      </w:r>
    </w:p>
    <w:p>
      <w:pPr>
        <w:pStyle w:val="378"/>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本</w:t>
      </w:r>
      <w:r>
        <w:rPr>
          <w:rFonts w:hint="eastAsia" w:ascii="宋体" w:hAnsi="宋体"/>
          <w:sz w:val="24"/>
        </w:rPr>
        <w:t>招标</w:t>
      </w:r>
      <w:r>
        <w:rPr>
          <w:rFonts w:ascii="宋体" w:hAnsi="宋体"/>
          <w:sz w:val="24"/>
        </w:rPr>
        <w:t>文件</w:t>
      </w:r>
      <w:r>
        <w:rPr>
          <w:rFonts w:hint="eastAsia" w:ascii="宋体" w:hAnsi="宋体"/>
          <w:sz w:val="24"/>
        </w:rPr>
        <w:t>安装</w:t>
      </w:r>
      <w:r>
        <w:rPr>
          <w:rFonts w:ascii="宋体" w:hAnsi="宋体"/>
          <w:sz w:val="24"/>
        </w:rPr>
        <w:t>、调试、培训要求</w:t>
      </w:r>
      <w:r>
        <w:rPr>
          <w:rFonts w:hint="eastAsia" w:ascii="宋体" w:hAnsi="宋体"/>
          <w:sz w:val="24"/>
        </w:rPr>
        <w:t>只是基本要求</w:t>
      </w:r>
      <w:r>
        <w:rPr>
          <w:rFonts w:ascii="宋体" w:hAnsi="宋体"/>
          <w:sz w:val="24"/>
        </w:rPr>
        <w:t>，投标人可以根据项目的特性作出</w:t>
      </w:r>
      <w:r>
        <w:rPr>
          <w:rFonts w:hint="eastAsia" w:ascii="宋体" w:hAnsi="宋体"/>
          <w:sz w:val="24"/>
        </w:rPr>
        <w:t>优于或</w:t>
      </w:r>
      <w:r>
        <w:rPr>
          <w:rFonts w:ascii="宋体" w:hAnsi="宋体"/>
          <w:sz w:val="24"/>
        </w:rPr>
        <w:t>等同于招标文件要求</w:t>
      </w:r>
      <w:r>
        <w:rPr>
          <w:rFonts w:hint="eastAsia" w:ascii="宋体" w:hAnsi="宋体"/>
          <w:sz w:val="24"/>
        </w:rPr>
        <w:t>的</w:t>
      </w:r>
      <w:r>
        <w:rPr>
          <w:rFonts w:ascii="宋体" w:hAnsi="宋体"/>
          <w:sz w:val="24"/>
        </w:rPr>
        <w:t>承诺。</w:t>
      </w:r>
    </w:p>
    <w:p>
      <w:pPr>
        <w:pStyle w:val="378"/>
        <w:spacing w:line="360" w:lineRule="auto"/>
        <w:rPr>
          <w:rFonts w:hint="eastAsia" w:ascii="宋体" w:hAnsi="宋体"/>
          <w:sz w:val="24"/>
        </w:rPr>
      </w:pPr>
    </w:p>
    <w:p>
      <w:pPr>
        <w:pStyle w:val="378"/>
        <w:jc w:val="left"/>
        <w:rPr>
          <w:rFonts w:hint="eastAsia" w:ascii="宋体" w:hAnsi="宋体"/>
          <w:sz w:val="30"/>
          <w:szCs w:val="20"/>
          <w:lang/>
        </w:rPr>
      </w:pPr>
    </w:p>
    <w:p>
      <w:pPr>
        <w:pStyle w:val="378"/>
        <w:jc w:val="left"/>
        <w:rPr>
          <w:rFonts w:hint="eastAsia" w:ascii="宋体" w:hAnsi="宋体"/>
          <w:sz w:val="30"/>
          <w:szCs w:val="20"/>
          <w:lang/>
        </w:rPr>
      </w:pPr>
    </w:p>
    <w:p>
      <w:pPr>
        <w:pStyle w:val="378"/>
        <w:jc w:val="left"/>
        <w:rPr>
          <w:rFonts w:hint="eastAsia" w:ascii="宋体" w:hAnsi="宋体"/>
          <w:sz w:val="30"/>
          <w:szCs w:val="20"/>
          <w:lang/>
        </w:rPr>
      </w:pPr>
    </w:p>
    <w:p>
      <w:pPr>
        <w:pStyle w:val="255"/>
        <w:rPr>
          <w:rFonts w:ascii="宋体" w:hAnsi="宋体"/>
          <w:bCs/>
          <w:sz w:val="24"/>
        </w:rPr>
      </w:pPr>
      <w:r>
        <w:rPr>
          <w:rFonts w:hint="eastAsia" w:ascii="宋体" w:hAnsi="宋体"/>
          <w:b/>
          <w:bCs/>
          <w:sz w:val="24"/>
        </w:rPr>
        <w:t>注：</w:t>
      </w:r>
      <w:r>
        <w:rPr>
          <w:rFonts w:ascii="宋体" w:hAnsi="宋体"/>
          <w:bCs/>
          <w:sz w:val="24"/>
        </w:rPr>
        <w:t xml:space="preserve"> </w:t>
      </w:r>
      <w:r>
        <w:rPr>
          <w:rFonts w:hint="eastAsia" w:ascii="宋体" w:hAnsi="宋体"/>
          <w:bCs/>
          <w:sz w:val="24"/>
        </w:rPr>
        <w:t>1</w:t>
      </w:r>
      <w:r>
        <w:rPr>
          <w:rFonts w:ascii="宋体" w:hAnsi="宋体"/>
          <w:bCs/>
          <w:sz w:val="24"/>
        </w:rPr>
        <w:t xml:space="preserve">. </w:t>
      </w:r>
      <w:r>
        <w:rPr>
          <w:rFonts w:hint="eastAsia" w:ascii="宋体" w:hAnsi="宋体"/>
          <w:bCs/>
          <w:sz w:val="24"/>
        </w:rPr>
        <w:t>格式自拟；</w:t>
      </w: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tabs>
          <w:tab w:val="left" w:pos="2355"/>
          <w:tab w:val="center" w:pos="4513"/>
        </w:tabs>
        <w:spacing w:line="360" w:lineRule="auto"/>
        <w:ind w:firstLine="560" w:firstLineChars="200"/>
        <w:jc w:val="center"/>
        <w:rPr>
          <w:rFonts w:hint="eastAsia" w:ascii="宋体" w:hAnsi="宋体"/>
          <w:spacing w:val="20"/>
          <w:sz w:val="24"/>
        </w:rPr>
      </w:pPr>
    </w:p>
    <w:p>
      <w:pPr>
        <w:pStyle w:val="24"/>
        <w:spacing w:line="360" w:lineRule="auto"/>
        <w:ind w:right="480" w:firstLine="2400" w:firstLineChars="1000"/>
        <w:rPr>
          <w:rFonts w:hint="eastAsia" w:hAnsi="宋体"/>
          <w:sz w:val="24"/>
          <w:szCs w:val="24"/>
        </w:rPr>
      </w:pPr>
      <w:r>
        <w:rPr>
          <w:rFonts w:hint="eastAsia" w:hAnsi="宋体"/>
          <w:sz w:val="24"/>
          <w:szCs w:val="24"/>
        </w:rPr>
        <w:t>负责人（或委托代理人）签字或盖章</w:t>
      </w:r>
      <w:r>
        <w:rPr>
          <w:rFonts w:hAnsi="宋体"/>
          <w:sz w:val="24"/>
          <w:szCs w:val="24"/>
        </w:rPr>
        <w:t>_____________</w:t>
      </w:r>
    </w:p>
    <w:p>
      <w:pPr>
        <w:pStyle w:val="24"/>
        <w:spacing w:line="360" w:lineRule="auto"/>
        <w:ind w:right="480"/>
        <w:jc w:val="center"/>
        <w:rPr>
          <w:rFonts w:hint="eastAsia" w:hAnsi="宋体"/>
          <w:sz w:val="24"/>
          <w:szCs w:val="24"/>
        </w:rPr>
      </w:pPr>
      <w:r>
        <w:rPr>
          <w:rFonts w:hint="eastAsia" w:hAnsi="宋体"/>
          <w:sz w:val="24"/>
          <w:szCs w:val="24"/>
        </w:rPr>
        <w:t>　　　　　　　　　　　　　投标人盖公章</w:t>
      </w:r>
      <w:r>
        <w:rPr>
          <w:rFonts w:hAnsi="宋体"/>
          <w:sz w:val="24"/>
          <w:szCs w:val="24"/>
        </w:rPr>
        <w:t>_____________</w:t>
      </w:r>
    </w:p>
    <w:p>
      <w:pPr>
        <w:pStyle w:val="24"/>
        <w:wordWrap w:val="0"/>
        <w:spacing w:line="360" w:lineRule="auto"/>
        <w:ind w:right="480" w:firstLine="4320" w:firstLineChars="1800"/>
        <w:rPr>
          <w:rFonts w:hint="eastAsia" w:hAnsi="宋体"/>
          <w:sz w:val="24"/>
          <w:szCs w:val="24"/>
        </w:rPr>
      </w:pPr>
      <w:r>
        <w:rPr>
          <w:rFonts w:hint="eastAsia" w:hAnsi="宋体"/>
          <w:sz w:val="24"/>
          <w:szCs w:val="24"/>
        </w:rPr>
        <w:t>日  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560" w:firstLineChars="200"/>
        <w:jc w:val="center"/>
        <w:rPr>
          <w:rFonts w:hint="eastAsia" w:ascii="宋体" w:hAnsi="宋体"/>
          <w:spacing w:val="20"/>
          <w:sz w:val="24"/>
        </w:rPr>
      </w:pPr>
    </w:p>
    <w:p>
      <w:pPr>
        <w:pStyle w:val="4"/>
        <w:spacing w:before="240" w:after="240"/>
        <w:ind w:firstLine="0" w:firstLineChars="0"/>
        <w:jc w:val="center"/>
        <w:rPr>
          <w:rFonts w:ascii="宋体" w:hAnsi="宋体" w:eastAsia="宋体"/>
        </w:rPr>
      </w:pPr>
      <w:r>
        <w:rPr>
          <w:rFonts w:ascii="宋体" w:hAnsi="宋体" w:eastAsia="宋体"/>
          <w:spacing w:val="20"/>
          <w:sz w:val="24"/>
        </w:rPr>
        <w:br w:type="page"/>
      </w:r>
      <w:bookmarkStart w:id="123" w:name="_Toc520382228"/>
      <w:bookmarkStart w:id="124" w:name="_Toc530665733"/>
      <w:bookmarkStart w:id="125" w:name="_Toc493956071"/>
      <w:bookmarkStart w:id="126" w:name="_Toc498509853"/>
      <w:r>
        <w:rPr>
          <w:rFonts w:hint="eastAsia" w:ascii="宋体" w:hAnsi="宋体" w:eastAsia="宋体"/>
        </w:rPr>
        <w:t>5、设备配置清单</w:t>
      </w:r>
      <w:bookmarkEnd w:id="123"/>
      <w:bookmarkEnd w:id="124"/>
      <w:bookmarkEnd w:id="125"/>
      <w:bookmarkEnd w:id="126"/>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088"/>
        <w:gridCol w:w="1281"/>
        <w:gridCol w:w="920"/>
        <w:gridCol w:w="92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设备名称</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规格型号</w:t>
            </w: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单位</w:t>
            </w: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p>
        </w:tc>
        <w:tc>
          <w:tcPr>
            <w:tcW w:w="1080" w:type="dxa"/>
            <w:tcBorders>
              <w:top w:val="single" w:color="auto" w:sz="4" w:space="0"/>
              <w:left w:val="single" w:color="auto" w:sz="4" w:space="0"/>
              <w:bottom w:val="nil"/>
              <w:right w:val="single" w:color="auto" w:sz="4" w:space="0"/>
            </w:tcBorders>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本</w:t>
      </w:r>
      <w:r>
        <w:rPr>
          <w:rFonts w:ascii="宋体" w:hAnsi="宋体"/>
          <w:sz w:val="24"/>
        </w:rPr>
        <w:t>表格不得体现报价</w:t>
      </w:r>
      <w:r>
        <w:rPr>
          <w:rFonts w:hint="eastAsia" w:ascii="宋体" w:hAnsi="宋体"/>
          <w:sz w:val="24"/>
        </w:rPr>
        <w:t>；</w:t>
      </w: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spacing w:line="360" w:lineRule="auto"/>
        <w:ind w:firstLine="600" w:firstLineChars="200"/>
        <w:rPr>
          <w:rFonts w:ascii="宋体" w:hAnsi="宋体"/>
          <w:sz w:val="30"/>
        </w:rPr>
      </w:pPr>
      <w:r>
        <w:rPr>
          <w:rFonts w:hint="eastAsia" w:ascii="宋体" w:hAnsi="宋体"/>
          <w:sz w:val="30"/>
        </w:rPr>
        <w:t>6、技术评标办法中要求提供的其他资料（不得出现报价）</w:t>
      </w: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jc w:val="center"/>
        <w:rPr>
          <w:rFonts w:hint="eastAsia" w:ascii="宋体" w:hAnsi="宋体"/>
          <w:sz w:val="32"/>
          <w:szCs w:val="32"/>
        </w:rPr>
      </w:pPr>
    </w:p>
    <w:p>
      <w:pPr>
        <w:tabs>
          <w:tab w:val="left" w:pos="2355"/>
          <w:tab w:val="center" w:pos="4513"/>
        </w:tabs>
        <w:spacing w:line="360" w:lineRule="auto"/>
        <w:ind w:firstLine="640" w:firstLineChars="200"/>
        <w:rPr>
          <w:rFonts w:hint="eastAsia" w:ascii="宋体" w:hAnsi="宋体"/>
          <w:sz w:val="32"/>
          <w:szCs w:val="32"/>
        </w:rPr>
      </w:pPr>
    </w:p>
    <w:p>
      <w:pPr>
        <w:pStyle w:val="4"/>
        <w:ind w:firstLine="600"/>
        <w:jc w:val="center"/>
        <w:rPr>
          <w:rFonts w:ascii="宋体" w:hAnsi="宋体" w:eastAsia="宋体"/>
          <w:b w:val="0"/>
          <w:bCs w:val="0"/>
          <w:sz w:val="32"/>
        </w:rPr>
      </w:pPr>
      <w:bookmarkStart w:id="127" w:name="_Toc530665734"/>
      <w:bookmarkStart w:id="128" w:name="_Toc119229667"/>
      <w:r>
        <w:rPr>
          <w:rFonts w:hint="eastAsia" w:ascii="宋体" w:hAnsi="宋体" w:eastAsia="宋体"/>
          <w:b w:val="0"/>
          <w:bCs w:val="0"/>
          <w:lang w:eastAsia="zh-CN"/>
        </w:rPr>
        <w:t>五</w:t>
      </w:r>
      <w:r>
        <w:rPr>
          <w:rFonts w:hint="eastAsia" w:ascii="宋体" w:hAnsi="宋体" w:eastAsia="宋体"/>
          <w:b w:val="0"/>
          <w:bCs w:val="0"/>
        </w:rPr>
        <w:t xml:space="preserve">   </w:t>
      </w:r>
      <w:r>
        <w:rPr>
          <w:rFonts w:ascii="宋体" w:hAnsi="宋体" w:eastAsia="宋体"/>
          <w:b w:val="0"/>
          <w:bCs w:val="0"/>
        </w:rPr>
        <w:t>投标文件</w:t>
      </w:r>
      <w:r>
        <w:rPr>
          <w:rFonts w:hint="eastAsia" w:ascii="宋体" w:hAnsi="宋体" w:eastAsia="宋体"/>
          <w:b w:val="0"/>
          <w:bCs w:val="0"/>
        </w:rPr>
        <w:t>封面及外包装</w:t>
      </w:r>
      <w:r>
        <w:rPr>
          <w:rFonts w:ascii="宋体" w:hAnsi="宋体" w:eastAsia="宋体"/>
          <w:b w:val="0"/>
          <w:bCs w:val="0"/>
        </w:rPr>
        <w:t>封面格式</w:t>
      </w:r>
      <w:bookmarkEnd w:id="127"/>
      <w:bookmarkEnd w:id="128"/>
    </w:p>
    <w:p>
      <w:pPr>
        <w:pStyle w:val="5"/>
        <w:ind w:firstLine="1320" w:firstLineChars="300"/>
        <w:rPr>
          <w:rFonts w:hint="eastAsia" w:ascii="宋体" w:hAnsi="宋体"/>
          <w:sz w:val="44"/>
        </w:rPr>
      </w:pPr>
    </w:p>
    <w:p>
      <w:pPr>
        <w:pStyle w:val="5"/>
        <w:ind w:firstLine="1320" w:firstLineChars="300"/>
        <w:rPr>
          <w:rFonts w:ascii="宋体" w:hAnsi="宋体"/>
          <w:sz w:val="44"/>
        </w:rPr>
      </w:pPr>
      <w:r>
        <w:rPr>
          <w:rFonts w:ascii="宋体" w:hAnsi="宋体"/>
          <w:sz w:val="44"/>
        </w:rPr>
        <w:t>（正本）或（副本）</w:t>
      </w:r>
    </w:p>
    <w:p>
      <w:pPr>
        <w:pStyle w:val="5"/>
        <w:ind w:firstLine="417" w:firstLineChars="116"/>
        <w:rPr>
          <w:rFonts w:hint="eastAsia" w:ascii="宋体" w:hAnsi="宋体"/>
          <w:sz w:val="36"/>
        </w:rPr>
      </w:pPr>
    </w:p>
    <w:p>
      <w:pPr>
        <w:pStyle w:val="5"/>
        <w:ind w:firstLine="1497" w:firstLineChars="416"/>
        <w:rPr>
          <w:rFonts w:ascii="宋体" w:hAnsi="宋体"/>
          <w:sz w:val="36"/>
        </w:rPr>
      </w:pPr>
      <w:r>
        <w:rPr>
          <w:rFonts w:ascii="宋体" w:hAnsi="宋体"/>
          <w:sz w:val="36"/>
        </w:rPr>
        <w:t>采购编号：</w:t>
      </w:r>
    </w:p>
    <w:p>
      <w:pPr>
        <w:pStyle w:val="5"/>
        <w:rPr>
          <w:rFonts w:ascii="宋体" w:hAnsi="宋体"/>
          <w:sz w:val="36"/>
        </w:rPr>
      </w:pPr>
    </w:p>
    <w:p>
      <w:pPr>
        <w:pStyle w:val="5"/>
        <w:ind w:firstLine="1497" w:firstLineChars="416"/>
        <w:rPr>
          <w:rFonts w:hint="eastAsia" w:ascii="宋体" w:hAnsi="宋体"/>
          <w:sz w:val="36"/>
        </w:rPr>
      </w:pPr>
      <w:r>
        <w:rPr>
          <w:rFonts w:ascii="宋体" w:hAnsi="宋体"/>
          <w:sz w:val="36"/>
        </w:rPr>
        <w:t>项目名称</w:t>
      </w:r>
      <w:r>
        <w:rPr>
          <w:rFonts w:hint="eastAsia" w:ascii="宋体" w:hAnsi="宋体"/>
          <w:sz w:val="36"/>
        </w:rPr>
        <w:t>：</w:t>
      </w:r>
    </w:p>
    <w:p>
      <w:pPr>
        <w:pStyle w:val="5"/>
        <w:ind w:firstLine="0"/>
        <w:rPr>
          <w:rFonts w:ascii="宋体" w:hAnsi="宋体"/>
          <w:sz w:val="36"/>
        </w:rPr>
      </w:pPr>
    </w:p>
    <w:p>
      <w:pPr>
        <w:pStyle w:val="5"/>
        <w:ind w:firstLine="1509" w:firstLineChars="466"/>
        <w:rPr>
          <w:rFonts w:hint="eastAsia" w:ascii="宋体" w:hAnsi="宋体"/>
          <w:w w:val="90"/>
          <w:sz w:val="36"/>
        </w:rPr>
      </w:pPr>
      <w:r>
        <w:rPr>
          <w:rFonts w:ascii="宋体" w:hAnsi="宋体"/>
          <w:w w:val="90"/>
          <w:sz w:val="36"/>
        </w:rPr>
        <w:t>投标文件名称：</w:t>
      </w:r>
      <w:r>
        <w:rPr>
          <w:rFonts w:hint="eastAsia" w:ascii="宋体" w:hAnsi="宋体"/>
          <w:w w:val="90"/>
          <w:sz w:val="36"/>
        </w:rPr>
        <w:t>资格审查文件/资信及商务文件/技术文件/报价文件</w:t>
      </w:r>
    </w:p>
    <w:p>
      <w:pPr>
        <w:pStyle w:val="5"/>
        <w:rPr>
          <w:rFonts w:ascii="宋体" w:hAnsi="宋体"/>
          <w:sz w:val="36"/>
        </w:rPr>
      </w:pPr>
    </w:p>
    <w:p>
      <w:pPr>
        <w:pStyle w:val="5"/>
        <w:ind w:firstLine="1497" w:firstLineChars="416"/>
        <w:rPr>
          <w:rFonts w:ascii="宋体" w:hAnsi="宋体"/>
          <w:sz w:val="36"/>
        </w:rPr>
      </w:pPr>
      <w:r>
        <w:rPr>
          <w:rFonts w:ascii="宋体" w:hAnsi="宋体"/>
          <w:sz w:val="36"/>
        </w:rPr>
        <w:t>投标人名称（盖章）：</w:t>
      </w:r>
    </w:p>
    <w:p>
      <w:pPr>
        <w:pStyle w:val="5"/>
        <w:ind w:firstLine="2502" w:firstLineChars="695"/>
        <w:rPr>
          <w:rFonts w:ascii="宋体" w:hAnsi="宋体"/>
          <w:sz w:val="36"/>
        </w:rPr>
      </w:pPr>
    </w:p>
    <w:p>
      <w:pPr>
        <w:pStyle w:val="5"/>
        <w:ind w:firstLine="1497" w:firstLineChars="416"/>
        <w:rPr>
          <w:rFonts w:ascii="宋体" w:hAnsi="宋体"/>
          <w:sz w:val="36"/>
        </w:rPr>
      </w:pPr>
      <w:r>
        <w:rPr>
          <w:rFonts w:ascii="宋体" w:hAnsi="宋体"/>
          <w:sz w:val="36"/>
        </w:rPr>
        <w:t>投标人地址：</w:t>
      </w:r>
    </w:p>
    <w:p>
      <w:pPr>
        <w:pStyle w:val="5"/>
        <w:ind w:firstLine="0"/>
        <w:rPr>
          <w:rFonts w:ascii="宋体" w:hAnsi="宋体"/>
          <w:sz w:val="36"/>
        </w:rPr>
      </w:pPr>
    </w:p>
    <w:p>
      <w:pPr>
        <w:pStyle w:val="5"/>
        <w:ind w:firstLine="1440" w:firstLineChars="400"/>
        <w:rPr>
          <w:rFonts w:ascii="宋体" w:hAnsi="宋体"/>
          <w:sz w:val="36"/>
        </w:rPr>
      </w:pPr>
      <w:r>
        <w:rPr>
          <w:rFonts w:ascii="宋体" w:hAnsi="宋体"/>
          <w:sz w:val="36"/>
        </w:rPr>
        <w:t>时间：在  年  月  日  时  分之前不得启封</w:t>
      </w:r>
    </w:p>
    <w:p>
      <w:pPr>
        <w:tabs>
          <w:tab w:val="left" w:pos="1418"/>
        </w:tabs>
        <w:spacing w:line="360" w:lineRule="auto"/>
        <w:rPr>
          <w:rFonts w:hint="eastAsia" w:ascii="宋体" w:hAnsi="宋体"/>
          <w:bCs/>
          <w:spacing w:val="20"/>
          <w:sz w:val="24"/>
        </w:rPr>
      </w:pPr>
    </w:p>
    <w:p>
      <w:pPr>
        <w:tabs>
          <w:tab w:val="left" w:pos="1418"/>
        </w:tabs>
        <w:spacing w:line="360" w:lineRule="auto"/>
        <w:rPr>
          <w:rFonts w:hint="eastAsia" w:ascii="宋体" w:hAnsi="宋体"/>
          <w:bCs/>
          <w:spacing w:val="20"/>
          <w:sz w:val="24"/>
        </w:rPr>
      </w:pPr>
    </w:p>
    <w:p>
      <w:pPr>
        <w:tabs>
          <w:tab w:val="left" w:pos="1418"/>
        </w:tabs>
        <w:spacing w:line="360" w:lineRule="auto"/>
        <w:rPr>
          <w:rFonts w:hint="eastAsia" w:ascii="宋体" w:hAnsi="宋体"/>
          <w:bCs/>
          <w:spacing w:val="20"/>
          <w:sz w:val="24"/>
        </w:rPr>
      </w:pPr>
    </w:p>
    <w:p>
      <w:pPr>
        <w:tabs>
          <w:tab w:val="left" w:pos="1418"/>
        </w:tabs>
        <w:spacing w:line="360" w:lineRule="auto"/>
        <w:rPr>
          <w:rFonts w:hint="eastAsia" w:ascii="宋体" w:hAnsi="宋体"/>
          <w:bCs/>
          <w:spacing w:val="20"/>
          <w:sz w:val="24"/>
        </w:rPr>
      </w:pPr>
    </w:p>
    <w:p>
      <w:pPr>
        <w:tabs>
          <w:tab w:val="left" w:pos="1418"/>
        </w:tabs>
        <w:spacing w:line="360" w:lineRule="auto"/>
        <w:rPr>
          <w:rFonts w:hint="eastAsia" w:ascii="宋体" w:hAnsi="宋体"/>
          <w:bCs/>
          <w:spacing w:val="20"/>
          <w:sz w:val="24"/>
        </w:rPr>
      </w:pPr>
    </w:p>
    <w:p>
      <w:pPr>
        <w:tabs>
          <w:tab w:val="left" w:pos="1418"/>
        </w:tabs>
        <w:spacing w:line="360" w:lineRule="auto"/>
        <w:rPr>
          <w:rFonts w:hint="eastAsia" w:ascii="宋体" w:hAnsi="宋体"/>
          <w:bCs/>
          <w:spacing w:val="20"/>
          <w:sz w:val="24"/>
        </w:rPr>
      </w:pPr>
    </w:p>
    <w:p>
      <w:pPr>
        <w:pStyle w:val="4"/>
        <w:ind w:firstLine="600"/>
        <w:jc w:val="center"/>
        <w:rPr>
          <w:rFonts w:hint="eastAsia" w:ascii="宋体" w:hAnsi="宋体" w:eastAsia="宋体"/>
          <w:b w:val="0"/>
          <w:bCs w:val="0"/>
        </w:rPr>
      </w:pPr>
      <w:bookmarkStart w:id="129" w:name="_Toc432670427"/>
      <w:bookmarkStart w:id="130" w:name="_Toc530665735"/>
      <w:r>
        <w:rPr>
          <w:rFonts w:hint="eastAsia" w:ascii="宋体" w:hAnsi="宋体" w:eastAsia="宋体"/>
          <w:b w:val="0"/>
          <w:bCs w:val="0"/>
          <w:lang w:eastAsia="zh-CN"/>
        </w:rPr>
        <w:t>六</w:t>
      </w:r>
      <w:r>
        <w:rPr>
          <w:rFonts w:hint="eastAsia" w:ascii="宋体" w:hAnsi="宋体" w:eastAsia="宋体"/>
          <w:b w:val="0"/>
          <w:bCs w:val="0"/>
        </w:rPr>
        <w:t xml:space="preserve">  </w:t>
      </w:r>
      <w:bookmarkEnd w:id="129"/>
      <w:r>
        <w:rPr>
          <w:rFonts w:hint="eastAsia" w:ascii="宋体" w:hAnsi="宋体" w:eastAsia="宋体"/>
          <w:b w:val="0"/>
          <w:bCs w:val="0"/>
        </w:rPr>
        <w:t>中标</w:t>
      </w:r>
      <w:r>
        <w:rPr>
          <w:rFonts w:hint="eastAsia" w:ascii="宋体" w:hAnsi="宋体" w:eastAsia="宋体"/>
          <w:b w:val="0"/>
          <w:bCs w:val="0"/>
          <w:lang w:eastAsia="zh-CN"/>
        </w:rPr>
        <w:t>人</w:t>
      </w:r>
      <w:r>
        <w:rPr>
          <w:rFonts w:hint="eastAsia" w:ascii="宋体" w:hAnsi="宋体" w:eastAsia="宋体"/>
          <w:b w:val="0"/>
          <w:bCs w:val="0"/>
        </w:rPr>
        <w:t>公告内容</w:t>
      </w:r>
      <w:bookmarkEnd w:id="130"/>
    </w:p>
    <w:p>
      <w:pPr>
        <w:spacing w:line="360" w:lineRule="auto"/>
        <w:rPr>
          <w:rFonts w:hint="eastAsia" w:ascii="宋体" w:hAnsi="宋体"/>
          <w:spacing w:val="20"/>
          <w:sz w:val="24"/>
        </w:rPr>
      </w:pPr>
      <w:r>
        <w:rPr>
          <w:rFonts w:hint="eastAsia" w:ascii="宋体" w:hAnsi="宋体"/>
          <w:spacing w:val="20"/>
          <w:sz w:val="24"/>
        </w:rPr>
        <w:t>采购项目：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z w:val="24"/>
          <w:lang w:val="en-GB"/>
        </w:rPr>
        <w:tab/>
      </w:r>
      <w:r>
        <w:rPr>
          <w:rFonts w:hint="eastAsia" w:ascii="宋体" w:hAnsi="宋体"/>
          <w:spacing w:val="20"/>
          <w:sz w:val="24"/>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产品名称</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规格型号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93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pacing w:val="20"/>
                <w:sz w:val="24"/>
              </w:rPr>
            </w:pPr>
            <w:r>
              <w:rPr>
                <w:rFonts w:hint="eastAsia" w:ascii="宋体" w:hAnsi="宋体"/>
                <w:spacing w:val="20"/>
                <w:sz w:val="24"/>
              </w:rPr>
              <w:t>服务要求：</w:t>
            </w:r>
          </w:p>
          <w:p>
            <w:pPr>
              <w:spacing w:line="360" w:lineRule="auto"/>
              <w:rPr>
                <w:rFonts w:hint="eastAsia" w:ascii="宋体" w:hAnsi="宋体"/>
                <w:spacing w:val="20"/>
                <w:sz w:val="24"/>
              </w:rPr>
            </w:pPr>
          </w:p>
          <w:p>
            <w:pPr>
              <w:spacing w:line="360" w:lineRule="auto"/>
              <w:rPr>
                <w:rFonts w:ascii="宋体" w:hAnsi="宋体"/>
                <w:spacing w:val="20"/>
                <w:sz w:val="24"/>
              </w:rPr>
            </w:pPr>
          </w:p>
        </w:tc>
      </w:tr>
    </w:tbl>
    <w:p>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将项目投标文件电子文档刻录成光盘或将电子文档提交给代理机构的项目负责人。未按时提交规定内容造成后果由中标人自行承担。</w:t>
      </w:r>
    </w:p>
    <w:p>
      <w:pPr>
        <w:ind w:firstLine="490" w:firstLineChars="196"/>
        <w:rPr>
          <w:rFonts w:hint="eastAsia"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pStyle w:val="3"/>
        <w:spacing w:line="560" w:lineRule="exact"/>
        <w:rPr>
          <w:rFonts w:hint="eastAsia" w:ascii="宋体" w:hAnsi="宋体" w:eastAsia="宋体"/>
        </w:rPr>
      </w:pPr>
      <w:bookmarkStart w:id="131" w:name="_Toc530665736"/>
      <w:r>
        <w:rPr>
          <w:rFonts w:hint="eastAsia" w:ascii="宋体" w:hAnsi="宋体" w:eastAsia="宋体"/>
        </w:rPr>
        <w:t>第六章</w:t>
      </w:r>
      <w:r>
        <w:rPr>
          <w:rFonts w:ascii="宋体" w:hAnsi="宋体" w:eastAsia="宋体"/>
        </w:rPr>
        <w:t xml:space="preserve">  </w:t>
      </w:r>
      <w:r>
        <w:rPr>
          <w:rFonts w:hint="eastAsia" w:ascii="宋体" w:hAnsi="宋体" w:eastAsia="宋体"/>
        </w:rPr>
        <w:t>评标办法和细则</w:t>
      </w:r>
      <w:bookmarkEnd w:id="131"/>
    </w:p>
    <w:p>
      <w:pPr>
        <w:pStyle w:val="27"/>
        <w:snapToGrid/>
        <w:spacing w:line="360" w:lineRule="auto"/>
        <w:ind w:firstLineChars="200"/>
        <w:rPr>
          <w:rFonts w:hint="eastAsia"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4"/>
        <w:spacing w:line="560" w:lineRule="exact"/>
        <w:ind w:firstLine="300" w:firstLineChars="100"/>
        <w:rPr>
          <w:rFonts w:ascii="宋体" w:hAnsi="宋体" w:eastAsia="宋体"/>
          <w:b w:val="0"/>
          <w:bCs w:val="0"/>
        </w:rPr>
      </w:pPr>
      <w:bookmarkStart w:id="132" w:name="_Toc530665737"/>
      <w:r>
        <w:rPr>
          <w:rFonts w:hint="eastAsia" w:ascii="宋体" w:hAnsi="宋体" w:eastAsia="宋体"/>
          <w:b w:val="0"/>
          <w:bCs w:val="0"/>
        </w:rPr>
        <w:t>一   总则</w:t>
      </w:r>
      <w:bookmarkEnd w:id="132"/>
    </w:p>
    <w:p>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为最大限度地保护各当事人的权益，评标委员会应严格按照招标文件的技术、资信及商务、报价要求，对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 xml:space="preserve">2 </w:t>
      </w:r>
      <w:r>
        <w:rPr>
          <w:rFonts w:hint="eastAsia" w:ascii="宋体" w:hAnsi="宋体"/>
          <w:b/>
          <w:sz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pPr>
        <w:pStyle w:val="4"/>
        <w:spacing w:line="560" w:lineRule="exact"/>
        <w:ind w:firstLine="300" w:firstLineChars="100"/>
        <w:rPr>
          <w:rFonts w:ascii="宋体" w:hAnsi="宋体" w:eastAsia="宋体"/>
          <w:b w:val="0"/>
          <w:bCs w:val="0"/>
        </w:rPr>
      </w:pPr>
      <w:bookmarkStart w:id="133" w:name="_Toc530665738"/>
      <w:r>
        <w:rPr>
          <w:rFonts w:hint="eastAsia" w:ascii="宋体" w:hAnsi="宋体" w:eastAsia="宋体"/>
          <w:b w:val="0"/>
          <w:bCs w:val="0"/>
        </w:rPr>
        <w:t>二   评审委员会</w:t>
      </w:r>
      <w:bookmarkEnd w:id="133"/>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w:t>
      </w:r>
      <w:r>
        <w:rPr>
          <w:rFonts w:hint="eastAsia" w:ascii="宋体" w:hAnsi="宋体"/>
          <w:sz w:val="24"/>
        </w:rPr>
        <w:t>五人及以上单数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除国务院财政部门规定的情形外，评审专家由采购代理机构在政府采购专家库中随机抽取。</w:t>
      </w:r>
    </w:p>
    <w:p>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4"/>
        <w:spacing w:line="560" w:lineRule="exact"/>
        <w:ind w:firstLine="300" w:firstLineChars="100"/>
        <w:rPr>
          <w:rFonts w:hint="eastAsia" w:ascii="宋体" w:hAnsi="宋体" w:eastAsia="宋体"/>
          <w:b w:val="0"/>
          <w:bCs w:val="0"/>
          <w:lang w:eastAsia="zh-CN"/>
        </w:rPr>
      </w:pPr>
      <w:bookmarkStart w:id="134" w:name="_Toc530665739"/>
      <w:r>
        <w:rPr>
          <w:rFonts w:hint="eastAsia" w:ascii="宋体" w:hAnsi="宋体" w:eastAsia="宋体"/>
          <w:b w:val="0"/>
          <w:bCs w:val="0"/>
        </w:rPr>
        <w:t>三   评标</w:t>
      </w:r>
      <w:r>
        <w:rPr>
          <w:rFonts w:hint="eastAsia" w:ascii="宋体" w:hAnsi="宋体" w:eastAsia="宋体"/>
          <w:b w:val="0"/>
          <w:bCs w:val="0"/>
          <w:lang w:eastAsia="zh-CN"/>
        </w:rPr>
        <w:t>程序</w:t>
      </w:r>
      <w:bookmarkEnd w:id="134"/>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hint="eastAsia" w:ascii="宋体" w:hAnsi="宋体"/>
          <w:sz w:val="24"/>
        </w:rPr>
      </w:pPr>
      <w:r>
        <w:rPr>
          <w:rFonts w:hint="eastAsia" w:ascii="宋体" w:hAnsi="宋体"/>
          <w:sz w:val="24"/>
        </w:rPr>
        <w:t>评标委员会依据招标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hint="eastAsia" w:ascii="宋体" w:hAnsi="宋体"/>
          <w:b/>
          <w:sz w:val="24"/>
        </w:rPr>
      </w:pPr>
      <w:r>
        <w:rPr>
          <w:rFonts w:hint="eastAsia" w:ascii="宋体" w:hAnsi="宋体"/>
          <w:b/>
          <w:sz w:val="24"/>
        </w:rPr>
        <w:t>3.2</w:t>
      </w:r>
      <w:r>
        <w:rPr>
          <w:rFonts w:ascii="宋体" w:hAnsi="宋体"/>
          <w:b/>
          <w:sz w:val="24"/>
        </w:rPr>
        <w:t xml:space="preserve"> </w:t>
      </w:r>
      <w:r>
        <w:rPr>
          <w:rFonts w:hint="eastAsia" w:ascii="宋体" w:hAnsi="宋体"/>
          <w:b/>
          <w:sz w:val="24"/>
        </w:rPr>
        <w:t>技术文件评审</w:t>
      </w:r>
    </w:p>
    <w:p>
      <w:pPr>
        <w:spacing w:line="360" w:lineRule="auto"/>
        <w:ind w:firstLine="480" w:firstLineChars="200"/>
        <w:rPr>
          <w:rFonts w:ascii="宋体" w:hAnsi="宋体"/>
          <w:sz w:val="24"/>
        </w:rPr>
      </w:pPr>
      <w:r>
        <w:rPr>
          <w:rFonts w:hint="eastAsia" w:ascii="宋体" w:hAnsi="宋体"/>
          <w:sz w:val="24"/>
        </w:rPr>
        <w:t>3.2.1评标委员会依据招标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技术文件进行独立评审。对各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w:t>
      </w:r>
      <w:r>
        <w:rPr>
          <w:rFonts w:ascii="宋体" w:hAnsi="宋体"/>
          <w:sz w:val="24"/>
        </w:rPr>
        <w:t>序</w:t>
      </w:r>
      <w:r>
        <w:rPr>
          <w:rFonts w:hint="eastAsia" w:ascii="宋体" w:hAnsi="宋体"/>
          <w:sz w:val="24"/>
        </w:rPr>
        <w:t>为投标文件递交顺序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hint="eastAsia" w:ascii="宋体" w:hAnsi="宋体"/>
          <w:sz w:val="24"/>
        </w:rPr>
      </w:pPr>
      <w:r>
        <w:rPr>
          <w:rFonts w:hint="eastAsia" w:ascii="宋体" w:hAnsi="宋体"/>
          <w:sz w:val="24"/>
        </w:rPr>
        <w:t>3.2.2 各投标人的技术得分，为各评审专家对该投标人的技术得分结果汇总后的算术平均数。</w:t>
      </w:r>
    </w:p>
    <w:p>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资信及商务文件评审</w:t>
      </w:r>
    </w:p>
    <w:p>
      <w:pPr>
        <w:spacing w:line="360" w:lineRule="auto"/>
        <w:ind w:firstLine="480" w:firstLineChars="200"/>
        <w:rPr>
          <w:rFonts w:hint="eastAsia" w:ascii="宋体" w:hAnsi="宋体"/>
          <w:sz w:val="24"/>
        </w:rPr>
      </w:pPr>
      <w:r>
        <w:rPr>
          <w:rFonts w:hint="eastAsia" w:ascii="宋体" w:hAnsi="宋体"/>
          <w:sz w:val="24"/>
        </w:rPr>
        <w:t>评标委员会依据招标文件的规定，对各</w:t>
      </w:r>
      <w:r>
        <w:rPr>
          <w:rFonts w:hint="eastAsia" w:ascii="宋体" w:hAnsi="宋体"/>
          <w:kern w:val="0"/>
          <w:sz w:val="24"/>
        </w:rPr>
        <w:t>投标人的</w:t>
      </w:r>
      <w:r>
        <w:rPr>
          <w:rFonts w:hint="eastAsia" w:ascii="宋体" w:hAnsi="宋体"/>
          <w:sz w:val="24"/>
        </w:rPr>
        <w:t>资信及商务文件进行评审，对客观分应统一意见后统一给分。</w:t>
      </w:r>
    </w:p>
    <w:p>
      <w:pPr>
        <w:spacing w:line="360" w:lineRule="auto"/>
        <w:ind w:firstLine="482" w:firstLineChars="200"/>
        <w:rPr>
          <w:rFonts w:ascii="宋体" w:hAnsi="宋体"/>
          <w:b/>
          <w:sz w:val="24"/>
        </w:rPr>
      </w:pPr>
      <w:r>
        <w:rPr>
          <w:rFonts w:ascii="宋体" w:hAnsi="宋体"/>
          <w:b/>
          <w:sz w:val="24"/>
        </w:rPr>
        <w:t xml:space="preserve">3.4 </w:t>
      </w:r>
      <w:r>
        <w:rPr>
          <w:rFonts w:hint="eastAsia" w:ascii="宋体" w:hAnsi="宋体"/>
          <w:b/>
          <w:sz w:val="24"/>
        </w:rPr>
        <w:t>宣布资信及商务文件和技术文件得分，开启有效投标人的报价文件。</w:t>
      </w:r>
    </w:p>
    <w:p>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5</w:t>
      </w:r>
      <w:r>
        <w:rPr>
          <w:rFonts w:ascii="宋体" w:hAnsi="宋体"/>
          <w:b/>
          <w:sz w:val="24"/>
        </w:rPr>
        <w:t xml:space="preserve"> </w:t>
      </w:r>
      <w:r>
        <w:rPr>
          <w:rFonts w:hint="eastAsia" w:ascii="宋体" w:hAnsi="宋体"/>
          <w:b/>
          <w:sz w:val="24"/>
        </w:rPr>
        <w:t>报价文件评审</w:t>
      </w:r>
    </w:p>
    <w:p>
      <w:pPr>
        <w:spacing w:line="360" w:lineRule="auto"/>
        <w:ind w:firstLine="480" w:firstLineChars="200"/>
        <w:rPr>
          <w:rFonts w:hint="eastAsia" w:ascii="宋体" w:hAnsi="宋体"/>
          <w:sz w:val="24"/>
        </w:rPr>
      </w:pPr>
      <w:r>
        <w:rPr>
          <w:rFonts w:hint="eastAsia" w:ascii="宋体" w:hAnsi="宋体"/>
          <w:sz w:val="24"/>
        </w:rPr>
        <w:t>3.5.1</w:t>
      </w:r>
      <w:r>
        <w:rPr>
          <w:rFonts w:ascii="宋体" w:hAnsi="宋体"/>
          <w:sz w:val="24"/>
        </w:rPr>
        <w:t xml:space="preserve"> </w:t>
      </w:r>
      <w:r>
        <w:rPr>
          <w:rFonts w:hint="eastAsia" w:ascii="宋体" w:hAnsi="宋体"/>
          <w:sz w:val="24"/>
        </w:rPr>
        <w:t>评标委员会依据招标文件的规定，对各投标</w:t>
      </w:r>
      <w:r>
        <w:rPr>
          <w:rFonts w:ascii="宋体" w:hAnsi="宋体"/>
          <w:sz w:val="24"/>
        </w:rPr>
        <w:t>人的</w:t>
      </w:r>
      <w:r>
        <w:rPr>
          <w:rFonts w:hint="eastAsia" w:ascii="宋体" w:hAnsi="宋体"/>
          <w:sz w:val="24"/>
        </w:rPr>
        <w:t>报价的合理性进行审查，必要时可要求投保人对其报价做出澄清、说明；</w:t>
      </w:r>
    </w:p>
    <w:p>
      <w:pPr>
        <w:spacing w:line="360" w:lineRule="auto"/>
        <w:ind w:firstLine="480" w:firstLineChars="200"/>
        <w:rPr>
          <w:rFonts w:hint="eastAsia" w:ascii="宋体" w:hAnsi="宋体"/>
          <w:sz w:val="24"/>
        </w:rPr>
      </w:pPr>
      <w:r>
        <w:rPr>
          <w:rFonts w:hint="eastAsia" w:ascii="宋体" w:hAnsi="宋体"/>
          <w:sz w:val="24"/>
        </w:rPr>
        <w:t>3.5.2 政府采购政策价格扣除；</w:t>
      </w:r>
    </w:p>
    <w:p>
      <w:pPr>
        <w:spacing w:line="360" w:lineRule="auto"/>
        <w:ind w:firstLine="480" w:firstLineChars="200"/>
        <w:rPr>
          <w:rFonts w:hint="eastAsia" w:ascii="宋体" w:hAnsi="宋体"/>
          <w:sz w:val="24"/>
        </w:rPr>
      </w:pPr>
      <w:r>
        <w:rPr>
          <w:rFonts w:hint="eastAsia" w:ascii="宋体" w:hAnsi="宋体"/>
          <w:sz w:val="24"/>
        </w:rPr>
        <w:t>3.5.3报价修正；</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4评审委员会根据投标人的报价和评审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pPr>
        <w:spacing w:line="360" w:lineRule="auto"/>
        <w:ind w:firstLine="480" w:firstLineChars="200"/>
        <w:rPr>
          <w:rFonts w:hint="eastAsia" w:ascii="宋体" w:hAnsi="宋体"/>
          <w:sz w:val="24"/>
        </w:rPr>
      </w:pPr>
      <w:r>
        <w:rPr>
          <w:rFonts w:hint="eastAsia" w:ascii="宋体" w:hAnsi="宋体"/>
          <w:sz w:val="24"/>
        </w:rPr>
        <w:t>3.6.1 评审结果汇总，同品牌投标人的确定，投标人结果排序；</w:t>
      </w:r>
    </w:p>
    <w:p>
      <w:pPr>
        <w:spacing w:line="360" w:lineRule="auto"/>
        <w:ind w:firstLine="480" w:firstLineChars="200"/>
        <w:rPr>
          <w:rFonts w:hint="eastAsia" w:ascii="宋体" w:hAnsi="宋体"/>
          <w:sz w:val="24"/>
        </w:rPr>
      </w:pPr>
      <w:r>
        <w:rPr>
          <w:rFonts w:hint="eastAsia" w:ascii="宋体" w:hAnsi="宋体"/>
          <w:sz w:val="24"/>
        </w:rPr>
        <w:t>3.6.2 起草评标报告，确定中标候选人；</w:t>
      </w:r>
    </w:p>
    <w:p>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pPr>
        <w:tabs>
          <w:tab w:val="left" w:pos="8535"/>
        </w:tabs>
        <w:spacing w:line="360" w:lineRule="auto"/>
        <w:ind w:firstLine="480" w:firstLineChars="200"/>
        <w:rPr>
          <w:rFonts w:hint="eastAsia" w:ascii="宋体" w:hAnsi="宋体"/>
          <w:sz w:val="24"/>
        </w:rPr>
      </w:pPr>
      <w:r>
        <w:rPr>
          <w:rFonts w:hint="eastAsia" w:ascii="宋体" w:hAnsi="宋体"/>
          <w:sz w:val="24"/>
        </w:rPr>
        <w:t>（1）招标公告刊登的媒体名称、开标日期和地点；</w:t>
      </w:r>
      <w:r>
        <w:rPr>
          <w:rFonts w:ascii="宋体" w:hAnsi="宋体"/>
          <w:sz w:val="24"/>
        </w:rPr>
        <w:tab/>
      </w:r>
    </w:p>
    <w:p>
      <w:pPr>
        <w:spacing w:line="360" w:lineRule="auto"/>
        <w:ind w:firstLine="480" w:firstLineChars="200"/>
        <w:rPr>
          <w:rFonts w:hint="eastAsia" w:ascii="宋体" w:hAnsi="宋体"/>
          <w:sz w:val="24"/>
        </w:rPr>
      </w:pPr>
      <w:r>
        <w:rPr>
          <w:rFonts w:hint="eastAsia" w:ascii="宋体" w:hAnsi="宋体"/>
          <w:sz w:val="24"/>
        </w:rPr>
        <w:t>（2）投标人名单和评标委员会成员名单；</w:t>
      </w:r>
    </w:p>
    <w:p>
      <w:pPr>
        <w:spacing w:line="360" w:lineRule="auto"/>
        <w:ind w:firstLine="480" w:firstLineChars="200"/>
        <w:rPr>
          <w:rFonts w:hint="eastAsia" w:ascii="宋体" w:hAnsi="宋体"/>
          <w:sz w:val="24"/>
        </w:rPr>
      </w:pPr>
      <w:r>
        <w:rPr>
          <w:rFonts w:hint="eastAsia" w:ascii="宋体" w:hAnsi="宋体"/>
          <w:sz w:val="24"/>
        </w:rPr>
        <w:t>（3）评审方法和标准；</w:t>
      </w:r>
    </w:p>
    <w:p>
      <w:pPr>
        <w:spacing w:line="360" w:lineRule="auto"/>
        <w:ind w:firstLine="480" w:firstLineChars="200"/>
        <w:rPr>
          <w:rFonts w:hint="eastAsia" w:ascii="宋体" w:hAnsi="宋体"/>
          <w:sz w:val="24"/>
        </w:rPr>
      </w:pPr>
      <w:r>
        <w:rPr>
          <w:rFonts w:hint="eastAsia" w:ascii="宋体" w:hAnsi="宋体"/>
          <w:sz w:val="24"/>
        </w:rPr>
        <w:t>（4）资格审查记录；</w:t>
      </w:r>
    </w:p>
    <w:p>
      <w:pPr>
        <w:spacing w:line="360" w:lineRule="auto"/>
        <w:ind w:firstLine="480" w:firstLineChars="200"/>
        <w:rPr>
          <w:rFonts w:hint="eastAsia"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hint="eastAsia" w:ascii="宋体" w:hAnsi="宋体"/>
          <w:sz w:val="24"/>
        </w:rPr>
      </w:pPr>
      <w:r>
        <w:rPr>
          <w:rFonts w:hint="eastAsia" w:ascii="宋体" w:hAnsi="宋体"/>
          <w:sz w:val="24"/>
        </w:rPr>
        <w:t>（6）评审结果，确定的中标候选人名单或者经采购人委托直接确定的中标人；</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（7）其他需要说明的情况，包括评审过程中投标人根据评标委员会要求进行的澄清、说明或者补正，评标委员会成员的更换等。</w:t>
      </w:r>
    </w:p>
    <w:p>
      <w:pPr>
        <w:spacing w:line="360" w:lineRule="auto"/>
        <w:ind w:firstLine="480" w:firstLineChars="200"/>
        <w:rPr>
          <w:rFonts w:hint="eastAsia" w:ascii="宋体" w:hAnsi="宋体"/>
          <w:sz w:val="24"/>
        </w:rPr>
      </w:pPr>
      <w:r>
        <w:rPr>
          <w:rFonts w:hint="eastAsia" w:ascii="宋体" w:hAnsi="宋体"/>
          <w:sz w:val="24"/>
        </w:rPr>
        <w:t>3.6.3 评标</w:t>
      </w:r>
      <w:r>
        <w:rPr>
          <w:rFonts w:ascii="宋体" w:hAnsi="宋体"/>
          <w:sz w:val="24"/>
        </w:rPr>
        <w:t>报告由全体</w:t>
      </w:r>
      <w:r>
        <w:rPr>
          <w:rFonts w:hint="eastAsia" w:ascii="宋体" w:hAnsi="宋体"/>
          <w:sz w:val="24"/>
        </w:rPr>
        <w:t>评标委员会</w:t>
      </w:r>
      <w:r>
        <w:rPr>
          <w:rFonts w:ascii="宋体" w:hAnsi="宋体"/>
          <w:sz w:val="24"/>
        </w:rPr>
        <w:t>成员</w:t>
      </w:r>
      <w:r>
        <w:rPr>
          <w:rFonts w:hint="eastAsia" w:ascii="宋体" w:hAnsi="宋体"/>
          <w:sz w:val="24"/>
        </w:rPr>
        <w:t>确认后提交</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3.7</w:t>
      </w:r>
      <w:r>
        <w:rPr>
          <w:rFonts w:ascii="宋体" w:hAnsi="宋体"/>
          <w:sz w:val="24"/>
        </w:rPr>
        <w:t xml:space="preserve"> </w:t>
      </w:r>
      <w:r>
        <w:rPr>
          <w:rFonts w:hint="eastAsia" w:ascii="宋体" w:hAnsi="宋体"/>
          <w:sz w:val="24"/>
        </w:rPr>
        <w:t>评审结束后，采购代理机构当日在开标大厅宣布评审结果，并在采购人确定中标人后2个工作日内，发出中标通知书，并在相关媒体上公告中标结果。</w:t>
      </w:r>
    </w:p>
    <w:p>
      <w:pPr>
        <w:pStyle w:val="4"/>
        <w:spacing w:line="560" w:lineRule="exact"/>
        <w:ind w:firstLine="300" w:firstLineChars="100"/>
        <w:rPr>
          <w:rFonts w:hint="eastAsia" w:ascii="宋体" w:hAnsi="宋体" w:eastAsia="宋体"/>
          <w:b w:val="0"/>
          <w:bCs w:val="0"/>
        </w:rPr>
      </w:pPr>
      <w:bookmarkStart w:id="135" w:name="_Toc530665740"/>
      <w:r>
        <w:rPr>
          <w:rFonts w:hint="eastAsia" w:ascii="宋体" w:hAnsi="宋体" w:eastAsia="宋体"/>
          <w:b w:val="0"/>
          <w:bCs w:val="0"/>
        </w:rPr>
        <w:t>四   评标一般规定</w:t>
      </w:r>
      <w:bookmarkEnd w:id="135"/>
    </w:p>
    <w:p>
      <w:pPr>
        <w:spacing w:line="360" w:lineRule="auto"/>
        <w:ind w:firstLine="480" w:firstLineChars="200"/>
        <w:rPr>
          <w:rFonts w:hint="eastAsia" w:ascii="宋体" w:hAnsi="宋体"/>
          <w:sz w:val="24"/>
        </w:rPr>
      </w:pPr>
      <w:r>
        <w:rPr>
          <w:rFonts w:hint="eastAsia" w:ascii="宋体" w:hAnsi="宋体"/>
          <w:sz w:val="24"/>
        </w:rPr>
        <w:t>4.本评标办法采用综合评分法,总分100分。</w:t>
      </w:r>
    </w:p>
    <w:p>
      <w:pPr>
        <w:spacing w:line="360" w:lineRule="auto"/>
        <w:ind w:firstLine="480" w:firstLineChars="200"/>
        <w:rPr>
          <w:rFonts w:hint="eastAsia" w:ascii="宋体" w:hAnsi="宋体"/>
          <w:sz w:val="24"/>
        </w:rPr>
      </w:pPr>
      <w:r>
        <w:rPr>
          <w:rFonts w:hint="eastAsia" w:ascii="宋体" w:hAnsi="宋体"/>
          <w:sz w:val="24"/>
        </w:rPr>
        <w:t>4.1资信及商务权重为10%，总分值为10分，评委在规定的分值内统一打分。</w:t>
      </w:r>
    </w:p>
    <w:p>
      <w:pPr>
        <w:spacing w:line="360" w:lineRule="auto"/>
        <w:ind w:firstLine="480" w:firstLineChars="200"/>
        <w:rPr>
          <w:rFonts w:hint="eastAsia" w:ascii="宋体" w:hAnsi="宋体"/>
          <w:sz w:val="24"/>
        </w:rPr>
      </w:pPr>
      <w:r>
        <w:rPr>
          <w:rFonts w:hint="eastAsia" w:ascii="宋体" w:hAnsi="宋体"/>
          <w:sz w:val="24"/>
        </w:rPr>
        <w:t>4.2项目技术权重为60%,总分值为60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hint="eastAsia" w:ascii="宋体" w:hAnsi="宋体"/>
          <w:sz w:val="24"/>
        </w:rPr>
      </w:pPr>
      <w:r>
        <w:rPr>
          <w:rFonts w:hint="eastAsia" w:ascii="宋体" w:hAnsi="宋体"/>
          <w:sz w:val="24"/>
        </w:rPr>
        <w:t>4.3报价权重为30%，总分值为30分，由评委按各投标人的报价统一计算。</w:t>
      </w:r>
    </w:p>
    <w:p>
      <w:pPr>
        <w:spacing w:line="360" w:lineRule="auto"/>
        <w:ind w:firstLine="480" w:firstLineChars="200"/>
        <w:rPr>
          <w:rFonts w:hint="eastAsia" w:ascii="宋体" w:hAnsi="宋体"/>
          <w:sz w:val="24"/>
        </w:rPr>
      </w:pPr>
      <w:r>
        <w:rPr>
          <w:rFonts w:hint="eastAsia" w:ascii="宋体" w:hAnsi="宋体"/>
          <w:sz w:val="24"/>
        </w:rPr>
        <w:t>4.4评审专家在规定的分值范围内独立打分，评分保留1位小数。</w:t>
      </w:r>
    </w:p>
    <w:p>
      <w:pPr>
        <w:pStyle w:val="4"/>
        <w:spacing w:line="560" w:lineRule="exact"/>
        <w:ind w:firstLine="0" w:firstLineChars="0"/>
        <w:rPr>
          <w:rFonts w:hint="eastAsia" w:ascii="宋体" w:hAnsi="宋体" w:eastAsia="宋体"/>
          <w:b w:val="0"/>
          <w:bCs w:val="0"/>
        </w:rPr>
      </w:pPr>
      <w:bookmarkStart w:id="136" w:name="_Toc530665741"/>
      <w:r>
        <w:rPr>
          <w:rFonts w:hint="eastAsia" w:ascii="宋体" w:hAnsi="宋体" w:eastAsia="宋体"/>
          <w:b w:val="0"/>
          <w:bCs w:val="0"/>
          <w:lang w:eastAsia="zh-CN"/>
        </w:rPr>
        <w:t>五</w:t>
      </w:r>
      <w:r>
        <w:rPr>
          <w:rFonts w:ascii="宋体" w:hAnsi="宋体" w:eastAsia="宋体"/>
          <w:b w:val="0"/>
          <w:bCs w:val="0"/>
        </w:rPr>
        <w:t xml:space="preserve"> </w:t>
      </w:r>
      <w:r>
        <w:rPr>
          <w:rFonts w:hint="eastAsia" w:ascii="宋体" w:hAnsi="宋体" w:eastAsia="宋体"/>
          <w:b w:val="0"/>
          <w:bCs w:val="0"/>
        </w:rPr>
        <w:t xml:space="preserve">  </w:t>
      </w:r>
      <w:r>
        <w:rPr>
          <w:rFonts w:ascii="宋体" w:hAnsi="宋体" w:eastAsia="宋体"/>
          <w:b w:val="0"/>
          <w:bCs w:val="0"/>
        </w:rPr>
        <w:t>评标办法和细则</w:t>
      </w:r>
      <w:bookmarkEnd w:id="136"/>
    </w:p>
    <w:p>
      <w:pPr>
        <w:spacing w:line="360" w:lineRule="auto"/>
        <w:ind w:firstLine="472" w:firstLineChars="196"/>
        <w:rPr>
          <w:rFonts w:ascii="宋体" w:hAnsi="宋体"/>
          <w:b/>
          <w:sz w:val="24"/>
        </w:rPr>
      </w:pPr>
      <w:r>
        <w:rPr>
          <w:rFonts w:hint="eastAsia" w:ascii="宋体" w:hAnsi="宋体"/>
          <w:b/>
          <w:sz w:val="24"/>
        </w:rPr>
        <w:t>5. 评标内容和标准</w:t>
      </w:r>
    </w:p>
    <w:p>
      <w:pPr>
        <w:spacing w:line="360" w:lineRule="auto"/>
        <w:ind w:firstLine="472" w:firstLineChars="196"/>
        <w:rPr>
          <w:rFonts w:hint="eastAsia" w:ascii="宋体" w:hAnsi="宋体"/>
          <w:b/>
          <w:sz w:val="24"/>
        </w:rPr>
      </w:pPr>
      <w:r>
        <w:rPr>
          <w:rFonts w:hint="eastAsia" w:ascii="宋体" w:hAnsi="宋体"/>
          <w:b/>
          <w:sz w:val="24"/>
        </w:rPr>
        <w:t>5.1资信及商务文件得分为10分，权值为10%，</w:t>
      </w:r>
      <w:r>
        <w:rPr>
          <w:rFonts w:hint="eastAsia" w:ascii="宋体" w:hAnsi="宋体"/>
          <w:b/>
          <w:bCs/>
          <w:sz w:val="24"/>
        </w:rPr>
        <w:t>由评委根据以下内容统一打分。</w:t>
      </w:r>
      <w:r>
        <w:rPr>
          <w:rFonts w:hint="eastAsia" w:ascii="宋体" w:hAnsi="宋体"/>
          <w:b/>
          <w:sz w:val="24"/>
        </w:rPr>
        <w:t>所有复印件应装入资信及商务投标文件。</w:t>
      </w:r>
    </w:p>
    <w:p>
      <w:pPr>
        <w:spacing w:line="360" w:lineRule="auto"/>
        <w:ind w:firstLine="472" w:firstLineChars="196"/>
        <w:rPr>
          <w:rFonts w:hint="eastAsia" w:ascii="宋体" w:hAnsi="宋体"/>
          <w:b/>
          <w:sz w:val="24"/>
        </w:rPr>
      </w:pPr>
    </w:p>
    <w:tbl>
      <w:tblPr>
        <w:tblStyle w:val="45"/>
        <w:tblW w:w="972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94"/>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859" w:type="dxa"/>
            <w:noWrap w:val="0"/>
            <w:vAlign w:val="center"/>
          </w:tcPr>
          <w:p>
            <w:pPr>
              <w:adjustRightInd w:val="0"/>
              <w:spacing w:line="360" w:lineRule="auto"/>
              <w:rPr>
                <w:rFonts w:ascii="宋体" w:hAnsi="宋体" w:cs="Arial"/>
                <w:b/>
                <w:bCs/>
                <w:snapToGrid w:val="0"/>
                <w:kern w:val="0"/>
                <w:sz w:val="22"/>
              </w:rPr>
            </w:pPr>
            <w:r>
              <w:rPr>
                <w:rFonts w:hint="eastAsia" w:ascii="宋体" w:hAnsi="宋体" w:cs="Arial"/>
                <w:b/>
                <w:bCs/>
                <w:snapToGrid w:val="0"/>
                <w:kern w:val="0"/>
                <w:sz w:val="22"/>
              </w:rPr>
              <w:t>序号</w:t>
            </w:r>
          </w:p>
        </w:tc>
        <w:tc>
          <w:tcPr>
            <w:tcW w:w="1794" w:type="dxa"/>
            <w:noWrap w:val="0"/>
            <w:vAlign w:val="center"/>
          </w:tcPr>
          <w:p>
            <w:pPr>
              <w:adjustRightInd w:val="0"/>
              <w:spacing w:line="360" w:lineRule="auto"/>
              <w:jc w:val="center"/>
              <w:rPr>
                <w:rFonts w:ascii="宋体" w:hAnsi="宋体"/>
                <w:b/>
                <w:sz w:val="22"/>
              </w:rPr>
            </w:pPr>
            <w:r>
              <w:rPr>
                <w:rFonts w:hint="eastAsia" w:ascii="宋体" w:hAnsi="宋体"/>
                <w:b/>
                <w:sz w:val="22"/>
              </w:rPr>
              <w:t>项目分值</w:t>
            </w:r>
          </w:p>
        </w:tc>
        <w:tc>
          <w:tcPr>
            <w:tcW w:w="7075" w:type="dxa"/>
            <w:noWrap w:val="0"/>
            <w:vAlign w:val="center"/>
          </w:tcPr>
          <w:p>
            <w:pPr>
              <w:adjustRightInd w:val="0"/>
              <w:spacing w:line="360" w:lineRule="auto"/>
              <w:jc w:val="center"/>
              <w:rPr>
                <w:rFonts w:ascii="宋体" w:hAns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859" w:type="dxa"/>
            <w:noWrap w:val="0"/>
            <w:vAlign w:val="center"/>
          </w:tcPr>
          <w:p>
            <w:pPr>
              <w:adjustRightInd w:val="0"/>
              <w:spacing w:line="360" w:lineRule="auto"/>
              <w:ind w:left="440" w:hanging="440"/>
              <w:jc w:val="center"/>
              <w:rPr>
                <w:rFonts w:ascii="宋体" w:hAnsi="宋体" w:cs="Arial"/>
                <w:bCs/>
                <w:snapToGrid w:val="0"/>
                <w:kern w:val="0"/>
                <w:sz w:val="22"/>
              </w:rPr>
            </w:pPr>
            <w:r>
              <w:rPr>
                <w:rFonts w:hint="eastAsia" w:ascii="宋体" w:hAnsi="宋体" w:cs="Arial"/>
                <w:bCs/>
                <w:snapToGrid w:val="0"/>
                <w:kern w:val="0"/>
                <w:sz w:val="22"/>
              </w:rPr>
              <w:t>1</w:t>
            </w:r>
          </w:p>
        </w:tc>
        <w:tc>
          <w:tcPr>
            <w:tcW w:w="1794" w:type="dxa"/>
            <w:noWrap w:val="0"/>
            <w:vAlign w:val="center"/>
          </w:tcPr>
          <w:p>
            <w:pPr>
              <w:tabs>
                <w:tab w:val="left" w:pos="0"/>
              </w:tabs>
              <w:autoSpaceDE w:val="0"/>
              <w:autoSpaceDN w:val="0"/>
              <w:adjustRightInd w:val="0"/>
              <w:spacing w:line="360" w:lineRule="auto"/>
              <w:rPr>
                <w:rFonts w:ascii="宋体" w:hAnsi="宋体"/>
                <w:szCs w:val="21"/>
              </w:rPr>
            </w:pPr>
            <w:r>
              <w:rPr>
                <w:rFonts w:hint="eastAsia" w:ascii="宋体" w:hAnsi="宋体"/>
                <w:szCs w:val="21"/>
              </w:rPr>
              <w:t>项目业绩（7分）</w:t>
            </w:r>
          </w:p>
        </w:tc>
        <w:tc>
          <w:tcPr>
            <w:tcW w:w="7075" w:type="dxa"/>
            <w:noWrap w:val="0"/>
            <w:vAlign w:val="center"/>
          </w:tcPr>
          <w:p>
            <w:pPr>
              <w:snapToGrid w:val="0"/>
              <w:rPr>
                <w:rFonts w:ascii="宋体" w:hAnsi="宋体"/>
                <w:szCs w:val="21"/>
              </w:rPr>
            </w:pPr>
            <w:r>
              <w:rPr>
                <w:rFonts w:hint="eastAsia" w:ascii="宋体" w:hAnsi="宋体" w:cs="宋体"/>
                <w:kern w:val="0"/>
                <w:sz w:val="24"/>
              </w:rPr>
              <w:t>201</w:t>
            </w:r>
            <w:r>
              <w:rPr>
                <w:rFonts w:ascii="宋体" w:hAnsi="宋体" w:cs="宋体"/>
                <w:kern w:val="0"/>
                <w:sz w:val="24"/>
              </w:rPr>
              <w:t>5</w:t>
            </w:r>
            <w:r>
              <w:rPr>
                <w:rFonts w:hint="eastAsia" w:ascii="宋体" w:hAnsi="宋体" w:cs="宋体"/>
                <w:kern w:val="0"/>
                <w:sz w:val="24"/>
              </w:rPr>
              <w:t>年1月1日以来，类似监所信息化项目（至少包含智能交互终端系统、监室信息显示系统、移动**终端系统)的案例：</w:t>
            </w:r>
          </w:p>
          <w:p>
            <w:pPr>
              <w:snapToGrid w:val="0"/>
              <w:rPr>
                <w:rFonts w:ascii="宋体" w:hAnsi="宋体"/>
                <w:szCs w:val="21"/>
              </w:rPr>
            </w:pPr>
            <w:r>
              <w:rPr>
                <w:rFonts w:hint="eastAsia" w:ascii="宋体" w:hAnsi="宋体"/>
                <w:szCs w:val="21"/>
              </w:rPr>
              <w:t>1）合同金额500万元（含）以上的每个得3分；</w:t>
            </w:r>
          </w:p>
          <w:p>
            <w:pPr>
              <w:snapToGrid w:val="0"/>
              <w:rPr>
                <w:rFonts w:ascii="宋体" w:hAnsi="宋体"/>
                <w:szCs w:val="21"/>
              </w:rPr>
            </w:pPr>
            <w:r>
              <w:rPr>
                <w:rFonts w:hint="eastAsia" w:ascii="宋体" w:hAnsi="宋体"/>
                <w:szCs w:val="21"/>
              </w:rPr>
              <w:t>2）合同金额300万元（含）以上的每个得2分；</w:t>
            </w:r>
          </w:p>
          <w:p>
            <w:pPr>
              <w:snapToGrid w:val="0"/>
              <w:rPr>
                <w:rFonts w:ascii="宋体" w:hAnsi="宋体"/>
                <w:szCs w:val="21"/>
              </w:rPr>
            </w:pPr>
            <w:r>
              <w:rPr>
                <w:rFonts w:hint="eastAsia" w:ascii="宋体" w:hAnsi="宋体"/>
                <w:szCs w:val="21"/>
              </w:rPr>
              <w:t>3）合同金额100万元（含）以上的每个得1分。</w:t>
            </w:r>
          </w:p>
          <w:p>
            <w:pPr>
              <w:adjustRightInd w:val="0"/>
              <w:snapToGrid w:val="0"/>
              <w:spacing w:line="360" w:lineRule="auto"/>
              <w:rPr>
                <w:rFonts w:ascii="宋体" w:hAnsi="宋体" w:cs="宋体"/>
                <w:kern w:val="0"/>
                <w:sz w:val="24"/>
              </w:rPr>
            </w:pPr>
            <w:r>
              <w:rPr>
                <w:rFonts w:hint="eastAsia" w:ascii="宋体" w:hAnsi="宋体" w:cs="宋体"/>
                <w:kern w:val="0"/>
                <w:sz w:val="24"/>
              </w:rPr>
              <w:t>本项最高7分。注：业绩需提供合同复印件或其他有效证明文件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859" w:type="dxa"/>
            <w:noWrap w:val="0"/>
            <w:vAlign w:val="center"/>
          </w:tcPr>
          <w:p>
            <w:pPr>
              <w:adjustRightInd w:val="0"/>
              <w:spacing w:line="360" w:lineRule="auto"/>
              <w:ind w:left="440" w:hanging="440"/>
              <w:jc w:val="center"/>
              <w:rPr>
                <w:rFonts w:hint="eastAsia" w:ascii="宋体" w:hAnsi="宋体" w:cs="Arial"/>
                <w:bCs/>
                <w:snapToGrid w:val="0"/>
                <w:kern w:val="0"/>
                <w:sz w:val="22"/>
              </w:rPr>
            </w:pPr>
            <w:r>
              <w:rPr>
                <w:rFonts w:hint="eastAsia" w:ascii="宋体" w:hAnsi="宋体" w:cs="Arial"/>
                <w:bCs/>
                <w:snapToGrid w:val="0"/>
                <w:kern w:val="0"/>
                <w:sz w:val="22"/>
              </w:rPr>
              <w:t>2</w:t>
            </w:r>
          </w:p>
        </w:tc>
        <w:tc>
          <w:tcPr>
            <w:tcW w:w="1794" w:type="dxa"/>
            <w:noWrap w:val="0"/>
            <w:vAlign w:val="center"/>
          </w:tcPr>
          <w:p>
            <w:pPr>
              <w:tabs>
                <w:tab w:val="left" w:pos="0"/>
              </w:tabs>
              <w:autoSpaceDE w:val="0"/>
              <w:autoSpaceDN w:val="0"/>
              <w:adjustRightInd w:val="0"/>
              <w:spacing w:line="360" w:lineRule="auto"/>
              <w:rPr>
                <w:rFonts w:hint="eastAsia" w:ascii="宋体" w:hAnsi="宋体"/>
                <w:szCs w:val="21"/>
              </w:rPr>
            </w:pPr>
            <w:r>
              <w:rPr>
                <w:rFonts w:hint="eastAsia" w:ascii="宋体" w:hAnsi="宋体"/>
              </w:rPr>
              <w:t>企业资质（2分）</w:t>
            </w:r>
          </w:p>
        </w:tc>
        <w:tc>
          <w:tcPr>
            <w:tcW w:w="7075"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投标单位具有信息安全管理体系认证证书及信息技术服务管理体系认证证书得1分。</w:t>
            </w:r>
          </w:p>
          <w:p>
            <w:pPr>
              <w:adjustRightInd w:val="0"/>
              <w:snapToGrid w:val="0"/>
              <w:spacing w:line="360" w:lineRule="auto"/>
              <w:rPr>
                <w:rFonts w:hint="eastAsia" w:ascii="宋体" w:hAnsi="宋体" w:cs="宋体"/>
                <w:kern w:val="0"/>
                <w:sz w:val="24"/>
              </w:rPr>
            </w:pPr>
            <w:r>
              <w:rPr>
                <w:rFonts w:hint="eastAsia" w:ascii="宋体" w:hAnsi="宋体"/>
                <w:szCs w:val="21"/>
              </w:rPr>
              <w:t>投标单位具有电子与智能化工程专业承包一级及涉密信息系统集成资质得1分。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440" w:hanging="440"/>
              <w:jc w:val="center"/>
              <w:rPr>
                <w:rFonts w:ascii="宋体" w:hAnsi="宋体" w:cs="Arial"/>
                <w:bCs/>
                <w:snapToGrid w:val="0"/>
                <w:kern w:val="0"/>
                <w:sz w:val="22"/>
              </w:rPr>
            </w:pPr>
            <w:r>
              <w:rPr>
                <w:rFonts w:hint="eastAsia" w:ascii="宋体" w:hAnsi="宋体" w:cs="Arial"/>
                <w:bCs/>
                <w:snapToGrid w:val="0"/>
                <w:kern w:val="0"/>
                <w:sz w:val="22"/>
              </w:rPr>
              <w:t>3</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tabs>
                <w:tab w:val="left" w:pos="0"/>
              </w:tabs>
              <w:autoSpaceDE w:val="0"/>
              <w:autoSpaceDN w:val="0"/>
              <w:adjustRightInd w:val="0"/>
              <w:spacing w:line="360" w:lineRule="auto"/>
              <w:rPr>
                <w:rFonts w:ascii="宋体" w:hAnsi="宋体"/>
                <w:b/>
                <w:szCs w:val="21"/>
              </w:rPr>
            </w:pPr>
            <w:r>
              <w:rPr>
                <w:rFonts w:hint="eastAsia" w:ascii="宋体" w:hAnsi="宋体"/>
                <w:b/>
                <w:szCs w:val="21"/>
              </w:rPr>
              <w:t>政策加分（1分）</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sz w:val="22"/>
              </w:rPr>
            </w:pPr>
            <w:r>
              <w:rPr>
                <w:rFonts w:hint="eastAsia" w:ascii="宋体" w:hAnsi="宋体" w:cs="宋体"/>
                <w:kern w:val="0"/>
                <w:sz w:val="24"/>
              </w:rPr>
              <w:t>中小企业加分，供应商作为中小微企业且提供中小微企业产品或服务，符合相关中小微企业政策的，参与本项目投标，并在本项目中提供“中小企业声明函”的，得1分，未提供“中小企业声明函”的不得分。</w:t>
            </w:r>
          </w:p>
        </w:tc>
      </w:tr>
    </w:tbl>
    <w:p>
      <w:pPr>
        <w:spacing w:line="360" w:lineRule="auto"/>
        <w:rPr>
          <w:rFonts w:hint="eastAsia" w:ascii="宋体" w:hAnsi="宋体"/>
          <w:b/>
          <w:sz w:val="24"/>
        </w:rPr>
      </w:pPr>
    </w:p>
    <w:p>
      <w:pPr>
        <w:spacing w:line="360" w:lineRule="auto"/>
        <w:ind w:firstLine="472" w:firstLineChars="196"/>
        <w:rPr>
          <w:rFonts w:hint="eastAsia" w:ascii="宋体" w:hAnsi="宋体"/>
          <w:b/>
          <w:sz w:val="24"/>
        </w:rPr>
      </w:pPr>
      <w:r>
        <w:rPr>
          <w:rFonts w:hint="eastAsia" w:ascii="宋体" w:hAnsi="宋体"/>
          <w:b/>
          <w:sz w:val="24"/>
        </w:rPr>
        <w:t>5.2技术分为60分，权值为60%，由评委独立完成打分，所有复印件应装入技术投标文件。</w:t>
      </w:r>
    </w:p>
    <w:p>
      <w:pPr>
        <w:rPr>
          <w:rFonts w:ascii="宋体" w:hAnsi="宋体"/>
          <w:vanish/>
        </w:rPr>
      </w:pPr>
    </w:p>
    <w:tbl>
      <w:tblPr>
        <w:tblStyle w:val="4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74"/>
        <w:gridCol w:w="993"/>
        <w:gridCol w:w="6299"/>
        <w:tblGridChange w:id="0">
          <w:tblGrid>
            <w:gridCol w:w="802"/>
            <w:gridCol w:w="1574"/>
            <w:gridCol w:w="993"/>
            <w:gridCol w:w="62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802" w:type="dxa"/>
            <w:tcBorders>
              <w:bottom w:val="single" w:color="auto" w:sz="6" w:space="0"/>
            </w:tcBorders>
            <w:shd w:val="clear" w:color="auto" w:fill="auto"/>
            <w:noWrap w:val="0"/>
            <w:vAlign w:val="center"/>
          </w:tcPr>
          <w:p>
            <w:pPr>
              <w:jc w:val="center"/>
              <w:rPr>
                <w:rFonts w:ascii="宋体" w:hAnsi="宋体"/>
                <w:szCs w:val="21"/>
              </w:rPr>
            </w:pPr>
            <w:r>
              <w:rPr>
                <w:rFonts w:hint="eastAsia" w:ascii="宋体" w:hAnsi="宋体"/>
                <w:b/>
                <w:szCs w:val="21"/>
              </w:rPr>
              <w:t>序号</w:t>
            </w:r>
          </w:p>
        </w:tc>
        <w:tc>
          <w:tcPr>
            <w:tcW w:w="1574" w:type="dxa"/>
            <w:tcBorders>
              <w:bottom w:val="single" w:color="auto" w:sz="6" w:space="0"/>
            </w:tcBorders>
            <w:shd w:val="clear" w:color="auto" w:fill="auto"/>
            <w:noWrap w:val="0"/>
            <w:vAlign w:val="center"/>
          </w:tcPr>
          <w:p>
            <w:pPr>
              <w:adjustRightInd w:val="0"/>
              <w:snapToGrid w:val="0"/>
              <w:spacing w:line="360" w:lineRule="auto"/>
              <w:jc w:val="center"/>
              <w:rPr>
                <w:rFonts w:ascii="宋体" w:hAnsi="宋体"/>
                <w:szCs w:val="21"/>
              </w:rPr>
            </w:pPr>
            <w:r>
              <w:rPr>
                <w:rFonts w:hint="eastAsia" w:ascii="宋体" w:hAnsi="宋体" w:cs="Arial"/>
                <w:b/>
                <w:bCs/>
                <w:snapToGrid w:val="0"/>
                <w:kern w:val="0"/>
                <w:szCs w:val="21"/>
              </w:rPr>
              <w:t>项目</w:t>
            </w:r>
            <w:r>
              <w:rPr>
                <w:rFonts w:hint="eastAsia" w:ascii="宋体" w:hAnsi="宋体"/>
                <w:b/>
                <w:szCs w:val="21"/>
              </w:rPr>
              <w:t>分值</w:t>
            </w:r>
          </w:p>
        </w:tc>
        <w:tc>
          <w:tcPr>
            <w:tcW w:w="993" w:type="dxa"/>
            <w:tcBorders>
              <w:right w:val="single" w:color="auto" w:sz="6" w:space="0"/>
            </w:tcBorders>
            <w:shd w:val="clear" w:color="auto" w:fill="auto"/>
            <w:noWrap w:val="0"/>
            <w:vAlign w:val="center"/>
          </w:tcPr>
          <w:p>
            <w:pPr>
              <w:spacing w:line="360" w:lineRule="auto"/>
              <w:jc w:val="center"/>
              <w:rPr>
                <w:rFonts w:ascii="宋体" w:hAnsi="宋体"/>
                <w:szCs w:val="21"/>
              </w:rPr>
            </w:pPr>
            <w:r>
              <w:rPr>
                <w:rFonts w:hint="eastAsia" w:ascii="宋体" w:hAnsi="宋体"/>
                <w:szCs w:val="21"/>
              </w:rPr>
              <w:t>分值</w:t>
            </w:r>
          </w:p>
        </w:tc>
        <w:tc>
          <w:tcPr>
            <w:tcW w:w="6299" w:type="dxa"/>
            <w:tcBorders>
              <w:left w:val="single" w:color="auto" w:sz="6" w:space="0"/>
            </w:tcBorders>
            <w:shd w:val="clear" w:color="auto" w:fill="auto"/>
            <w:noWrap w:val="0"/>
            <w:vAlign w:val="center"/>
          </w:tcPr>
          <w:p>
            <w:pPr>
              <w:spacing w:line="360" w:lineRule="auto"/>
              <w:jc w:val="center"/>
              <w:rPr>
                <w:rFonts w:ascii="宋体" w:hAnsi="宋体"/>
                <w:szCs w:val="21"/>
              </w:rPr>
            </w:pPr>
            <w:r>
              <w:rPr>
                <w:rFonts w:hint="eastAsia" w:ascii="宋体" w:hAnsi="宋体" w:cs="Arial"/>
                <w:b/>
                <w:bCs/>
                <w:snapToGrid w:val="0"/>
                <w:kern w:val="0"/>
                <w:szCs w:val="21"/>
              </w:rPr>
              <w:t>评分</w:t>
            </w:r>
            <w:r>
              <w:rPr>
                <w:rFonts w:hint="eastAsia" w:ascii="宋体" w:hAnsi="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trPr>
        <w:tc>
          <w:tcPr>
            <w:tcW w:w="802" w:type="dxa"/>
            <w:vMerge w:val="restart"/>
            <w:tcBorders>
              <w:top w:val="single" w:color="auto" w:sz="6" w:space="0"/>
            </w:tcBorders>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574" w:type="dxa"/>
            <w:vMerge w:val="restart"/>
            <w:tcBorders>
              <w:top w:val="single" w:color="auto" w:sz="6" w:space="0"/>
            </w:tcBorders>
            <w:shd w:val="clear" w:color="auto" w:fill="auto"/>
            <w:noWrap w:val="0"/>
            <w:vAlign w:val="center"/>
          </w:tcPr>
          <w:p>
            <w:pPr>
              <w:adjustRightInd w:val="0"/>
              <w:snapToGrid w:val="0"/>
              <w:spacing w:line="360" w:lineRule="auto"/>
              <w:jc w:val="center"/>
              <w:rPr>
                <w:rFonts w:hint="eastAsia" w:ascii="宋体" w:hAnsi="宋体" w:cs="宋体"/>
              </w:rPr>
            </w:pPr>
            <w:r>
              <w:rPr>
                <w:rFonts w:hint="eastAsia" w:ascii="宋体" w:hAnsi="宋体" w:cs="宋体"/>
              </w:rPr>
              <w:t>实施方案</w:t>
            </w:r>
          </w:p>
          <w:p>
            <w:pPr>
              <w:adjustRightInd w:val="0"/>
              <w:snapToGrid w:val="0"/>
              <w:spacing w:line="360" w:lineRule="auto"/>
              <w:jc w:val="center"/>
              <w:rPr>
                <w:rFonts w:ascii="宋体" w:hAnsi="宋体"/>
                <w:szCs w:val="21"/>
              </w:rPr>
            </w:pPr>
            <w:r>
              <w:rPr>
                <w:rFonts w:hint="eastAsia" w:ascii="宋体" w:hAnsi="宋体" w:cs="宋体"/>
              </w:rPr>
              <w:t>（46分）</w:t>
            </w:r>
          </w:p>
        </w:tc>
        <w:tc>
          <w:tcPr>
            <w:tcW w:w="993" w:type="dxa"/>
            <w:tcBorders>
              <w:right w:val="single" w:color="auto" w:sz="6" w:space="0"/>
            </w:tcBorders>
            <w:shd w:val="clear" w:color="auto" w:fill="auto"/>
            <w:noWrap w:val="0"/>
            <w:vAlign w:val="center"/>
          </w:tcPr>
          <w:p>
            <w:pPr>
              <w:spacing w:line="300" w:lineRule="exact"/>
              <w:jc w:val="center"/>
              <w:rPr>
                <w:rFonts w:ascii="宋体" w:hAnsi="宋体" w:cs="宋体"/>
              </w:rPr>
            </w:pPr>
            <w:r>
              <w:rPr>
                <w:rFonts w:hint="eastAsia" w:ascii="宋体" w:hAnsi="宋体" w:cs="宋体"/>
              </w:rPr>
              <w:t>5</w:t>
            </w:r>
          </w:p>
        </w:tc>
        <w:tc>
          <w:tcPr>
            <w:tcW w:w="6299" w:type="dxa"/>
            <w:tcBorders>
              <w:left w:val="single" w:color="auto" w:sz="6" w:space="0"/>
            </w:tcBorders>
            <w:shd w:val="clear" w:color="auto" w:fill="auto"/>
            <w:noWrap w:val="0"/>
            <w:vAlign w:val="center"/>
          </w:tcPr>
          <w:p>
            <w:pPr>
              <w:tabs>
                <w:tab w:val="left" w:pos="0"/>
              </w:tabs>
              <w:rPr>
                <w:rFonts w:ascii="宋体" w:hAnsi="宋体" w:cs="宋体"/>
              </w:rPr>
            </w:pPr>
            <w:r>
              <w:rPr>
                <w:rFonts w:hint="eastAsia" w:ascii="宋体" w:hAnsi="宋体" w:cs="宋体"/>
                <w:sz w:val="24"/>
              </w:rPr>
              <w:t>整体设备实施方案：根据设备整体方案描述、货物技术规格描述的完整性、先进性、科学性打分。评为优得4-5分，良得2-3.9分，一般得1-1.9分，差不得分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5" w:hRule="atLeast"/>
        </w:trPr>
        <w:tc>
          <w:tcPr>
            <w:tcW w:w="802" w:type="dxa"/>
            <w:vMerge w:val="continue"/>
            <w:shd w:val="clear" w:color="auto" w:fill="auto"/>
            <w:noWrap w:val="0"/>
            <w:vAlign w:val="center"/>
          </w:tcPr>
          <w:p>
            <w:pPr>
              <w:jc w:val="center"/>
              <w:rPr>
                <w:rFonts w:hint="eastAsia" w:ascii="宋体" w:hAnsi="宋体"/>
                <w:szCs w:val="21"/>
              </w:rPr>
            </w:pPr>
          </w:p>
        </w:tc>
        <w:tc>
          <w:tcPr>
            <w:tcW w:w="1574" w:type="dxa"/>
            <w:vMerge w:val="continue"/>
            <w:shd w:val="clear" w:color="auto" w:fill="auto"/>
            <w:noWrap w:val="0"/>
            <w:vAlign w:val="center"/>
          </w:tcPr>
          <w:p>
            <w:pPr>
              <w:adjustRightInd w:val="0"/>
              <w:snapToGrid w:val="0"/>
              <w:spacing w:line="360" w:lineRule="auto"/>
              <w:jc w:val="center"/>
              <w:rPr>
                <w:rFonts w:ascii="宋体" w:hAnsi="宋体"/>
                <w:szCs w:val="21"/>
              </w:rPr>
            </w:pPr>
          </w:p>
        </w:tc>
        <w:tc>
          <w:tcPr>
            <w:tcW w:w="993" w:type="dxa"/>
            <w:tcBorders>
              <w:right w:val="single" w:color="auto" w:sz="6" w:space="0"/>
            </w:tcBorders>
            <w:shd w:val="clear" w:color="auto" w:fill="auto"/>
            <w:noWrap w:val="0"/>
            <w:vAlign w:val="center"/>
          </w:tcPr>
          <w:p>
            <w:pPr>
              <w:spacing w:line="300" w:lineRule="exact"/>
              <w:jc w:val="center"/>
              <w:rPr>
                <w:rFonts w:ascii="宋体" w:hAnsi="宋体" w:cs="宋体"/>
              </w:rPr>
            </w:pPr>
            <w:r>
              <w:rPr>
                <w:rFonts w:hint="eastAsia" w:ascii="宋体" w:hAnsi="宋体" w:cs="宋体"/>
              </w:rPr>
              <w:t>4</w:t>
            </w:r>
          </w:p>
        </w:tc>
        <w:tc>
          <w:tcPr>
            <w:tcW w:w="6299" w:type="dxa"/>
            <w:tcBorders>
              <w:left w:val="single" w:color="auto" w:sz="6" w:space="0"/>
            </w:tcBorders>
            <w:shd w:val="clear" w:color="auto" w:fill="auto"/>
            <w:noWrap w:val="0"/>
            <w:vAlign w:val="center"/>
          </w:tcPr>
          <w:p>
            <w:pPr>
              <w:tabs>
                <w:tab w:val="left" w:pos="0"/>
              </w:tabs>
              <w:rPr>
                <w:rFonts w:ascii="宋体" w:hAnsi="宋体" w:cs="宋体"/>
                <w:sz w:val="24"/>
              </w:rPr>
            </w:pPr>
            <w:r>
              <w:rPr>
                <w:rFonts w:hint="eastAsia" w:ascii="宋体" w:hAnsi="宋体" w:cs="宋体"/>
                <w:sz w:val="24"/>
              </w:rPr>
              <w:t>评委对投标人在投标文件中所提供的系统架构图、网络拓扑图的准确性、合理性情况，进行综合评定：评为优得3-4分，良得2-2.9分，一般得1-1.9分，差不得分。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802" w:type="dxa"/>
            <w:vMerge w:val="continue"/>
            <w:shd w:val="clear" w:color="auto" w:fill="auto"/>
            <w:noWrap w:val="0"/>
            <w:vAlign w:val="center"/>
          </w:tcPr>
          <w:p>
            <w:pPr>
              <w:jc w:val="center"/>
              <w:rPr>
                <w:rFonts w:hint="eastAsia" w:ascii="宋体" w:hAnsi="宋体"/>
                <w:szCs w:val="21"/>
              </w:rPr>
            </w:pPr>
          </w:p>
        </w:tc>
        <w:tc>
          <w:tcPr>
            <w:tcW w:w="1574" w:type="dxa"/>
            <w:vMerge w:val="continue"/>
            <w:shd w:val="clear" w:color="auto" w:fill="auto"/>
            <w:noWrap w:val="0"/>
            <w:vAlign w:val="center"/>
          </w:tcPr>
          <w:p>
            <w:pPr>
              <w:adjustRightInd w:val="0"/>
              <w:snapToGrid w:val="0"/>
              <w:spacing w:line="360" w:lineRule="auto"/>
              <w:jc w:val="center"/>
              <w:rPr>
                <w:rFonts w:hint="eastAsia" w:ascii="宋体" w:hAnsi="宋体" w:cs="宋体"/>
              </w:rPr>
            </w:pPr>
          </w:p>
        </w:tc>
        <w:tc>
          <w:tcPr>
            <w:tcW w:w="993" w:type="dxa"/>
            <w:tcBorders>
              <w:right w:val="single" w:color="auto" w:sz="6" w:space="0"/>
            </w:tcBorders>
            <w:shd w:val="clear" w:color="auto" w:fill="auto"/>
            <w:noWrap w:val="0"/>
            <w:vAlign w:val="center"/>
          </w:tcPr>
          <w:p>
            <w:pPr>
              <w:spacing w:line="300" w:lineRule="exact"/>
              <w:jc w:val="center"/>
              <w:rPr>
                <w:rFonts w:ascii="宋体" w:hAnsi="宋体" w:cs="宋体"/>
              </w:rPr>
            </w:pPr>
            <w:r>
              <w:rPr>
                <w:rFonts w:hint="eastAsia" w:ascii="宋体" w:hAnsi="宋体" w:cs="宋体"/>
              </w:rPr>
              <w:t>23</w:t>
            </w:r>
          </w:p>
        </w:tc>
        <w:tc>
          <w:tcPr>
            <w:tcW w:w="6299" w:type="dxa"/>
            <w:tcBorders>
              <w:left w:val="single" w:color="auto" w:sz="6" w:space="0"/>
            </w:tcBorders>
            <w:shd w:val="clear" w:color="auto" w:fill="auto"/>
            <w:noWrap w:val="0"/>
            <w:vAlign w:val="center"/>
          </w:tcPr>
          <w:p>
            <w:pPr>
              <w:tabs>
                <w:tab w:val="left" w:pos="0"/>
              </w:tabs>
              <w:rPr>
                <w:rFonts w:ascii="宋体" w:hAnsi="宋体" w:cs="宋体"/>
              </w:rPr>
            </w:pPr>
            <w:r>
              <w:rPr>
                <w:rFonts w:hint="eastAsia" w:hAnsi="宋体" w:cs="宋体"/>
                <w:bCs/>
                <w:sz w:val="24"/>
              </w:rPr>
              <w:t>投标文件中设备的技术参数、性能、配置、用途等；标注“★”技术参数有一项未响应的，每项扣2分，超出五项未响应的本项得0分；其余指标有未响应的，每项扣1分，直至扣完</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trPr>
        <w:tc>
          <w:tcPr>
            <w:tcW w:w="802" w:type="dxa"/>
            <w:vMerge w:val="continue"/>
            <w:shd w:val="clear" w:color="auto" w:fill="auto"/>
            <w:noWrap w:val="0"/>
            <w:vAlign w:val="center"/>
          </w:tcPr>
          <w:p>
            <w:pPr>
              <w:jc w:val="center"/>
              <w:rPr>
                <w:rFonts w:ascii="宋体" w:hAnsi="宋体"/>
                <w:szCs w:val="21"/>
              </w:rPr>
            </w:pPr>
          </w:p>
        </w:tc>
        <w:tc>
          <w:tcPr>
            <w:tcW w:w="1574" w:type="dxa"/>
            <w:vMerge w:val="continue"/>
            <w:shd w:val="clear" w:color="auto" w:fill="auto"/>
            <w:noWrap w:val="0"/>
            <w:vAlign w:val="center"/>
          </w:tcPr>
          <w:p>
            <w:pPr>
              <w:adjustRightInd w:val="0"/>
              <w:snapToGrid w:val="0"/>
              <w:spacing w:line="360" w:lineRule="auto"/>
              <w:jc w:val="center"/>
              <w:rPr>
                <w:rFonts w:ascii="宋体" w:hAnsi="宋体"/>
                <w:szCs w:val="21"/>
              </w:rPr>
            </w:pPr>
          </w:p>
        </w:tc>
        <w:tc>
          <w:tcPr>
            <w:tcW w:w="993" w:type="dxa"/>
            <w:tcBorders>
              <w:right w:val="single" w:color="auto" w:sz="6" w:space="0"/>
            </w:tcBorders>
            <w:shd w:val="clear" w:color="auto" w:fill="auto"/>
            <w:noWrap w:val="0"/>
            <w:vAlign w:val="center"/>
          </w:tcPr>
          <w:p>
            <w:pPr>
              <w:spacing w:line="300" w:lineRule="exact"/>
              <w:jc w:val="center"/>
              <w:rPr>
                <w:rFonts w:ascii="宋体" w:hAnsi="宋体" w:cs="宋体"/>
              </w:rPr>
            </w:pPr>
            <w:r>
              <w:rPr>
                <w:rFonts w:hint="eastAsia" w:ascii="宋体" w:hAnsi="宋体" w:cs="宋体"/>
              </w:rPr>
              <w:t>6</w:t>
            </w:r>
          </w:p>
        </w:tc>
        <w:tc>
          <w:tcPr>
            <w:tcW w:w="6299" w:type="dxa"/>
            <w:tcBorders>
              <w:left w:val="single" w:color="auto" w:sz="6" w:space="0"/>
            </w:tcBorders>
            <w:shd w:val="clear" w:color="auto" w:fill="auto"/>
            <w:noWrap w:val="0"/>
            <w:vAlign w:val="center"/>
          </w:tcPr>
          <w:p>
            <w:pPr>
              <w:tabs>
                <w:tab w:val="left" w:pos="0"/>
              </w:tabs>
              <w:rPr>
                <w:rFonts w:ascii="宋体" w:hAnsi="宋体" w:cs="宋体"/>
              </w:rPr>
            </w:pPr>
            <w:r>
              <w:rPr>
                <w:rFonts w:hint="eastAsia" w:hAnsi="宋体" w:cs="宋体"/>
                <w:bCs/>
                <w:sz w:val="24"/>
              </w:rPr>
              <w:t>投标方案中对接方案合理并提供省违法犯罪人员信息系统驻场维护单位出具的配合接入证明，否则该项得0分；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802" w:type="dxa"/>
            <w:vMerge w:val="continue"/>
            <w:shd w:val="clear" w:color="auto" w:fill="auto"/>
            <w:noWrap w:val="0"/>
            <w:vAlign w:val="center"/>
          </w:tcPr>
          <w:p>
            <w:pPr>
              <w:jc w:val="center"/>
              <w:rPr>
                <w:rFonts w:ascii="宋体" w:hAnsi="宋体"/>
                <w:szCs w:val="21"/>
              </w:rPr>
            </w:pPr>
          </w:p>
        </w:tc>
        <w:tc>
          <w:tcPr>
            <w:tcW w:w="1574" w:type="dxa"/>
            <w:vMerge w:val="continue"/>
            <w:shd w:val="clear" w:color="auto" w:fill="auto"/>
            <w:noWrap w:val="0"/>
            <w:vAlign w:val="center"/>
          </w:tcPr>
          <w:p>
            <w:pPr>
              <w:adjustRightInd w:val="0"/>
              <w:snapToGrid w:val="0"/>
              <w:spacing w:line="360" w:lineRule="auto"/>
              <w:jc w:val="center"/>
              <w:rPr>
                <w:rFonts w:ascii="宋体" w:hAnsi="宋体"/>
                <w:szCs w:val="21"/>
              </w:rPr>
            </w:pPr>
          </w:p>
        </w:tc>
        <w:tc>
          <w:tcPr>
            <w:tcW w:w="993" w:type="dxa"/>
            <w:tcBorders>
              <w:right w:val="single" w:color="auto" w:sz="6" w:space="0"/>
            </w:tcBorders>
            <w:shd w:val="clear" w:color="auto" w:fill="auto"/>
            <w:noWrap w:val="0"/>
            <w:vAlign w:val="center"/>
          </w:tcPr>
          <w:p>
            <w:pPr>
              <w:spacing w:line="300" w:lineRule="exact"/>
              <w:jc w:val="center"/>
              <w:rPr>
                <w:rFonts w:ascii="宋体" w:hAnsi="宋体" w:cs="宋体"/>
              </w:rPr>
            </w:pPr>
            <w:r>
              <w:rPr>
                <w:rFonts w:hint="eastAsia" w:ascii="宋体" w:hAnsi="宋体" w:cs="宋体"/>
              </w:rPr>
              <w:t>3</w:t>
            </w:r>
          </w:p>
        </w:tc>
        <w:tc>
          <w:tcPr>
            <w:tcW w:w="6299" w:type="dxa"/>
            <w:tcBorders>
              <w:left w:val="single" w:color="auto" w:sz="6" w:space="0"/>
            </w:tcBorders>
            <w:shd w:val="clear" w:color="auto" w:fill="auto"/>
            <w:noWrap w:val="0"/>
            <w:vAlign w:val="center"/>
          </w:tcPr>
          <w:p>
            <w:pPr>
              <w:tabs>
                <w:tab w:val="left" w:pos="0"/>
              </w:tabs>
              <w:rPr>
                <w:rFonts w:ascii="宋体" w:hAnsi="宋体" w:cs="宋体"/>
              </w:rPr>
            </w:pPr>
            <w:r>
              <w:rPr>
                <w:rFonts w:hint="eastAsia" w:hAnsi="宋体" w:cs="宋体"/>
                <w:bCs/>
                <w:sz w:val="24"/>
              </w:rPr>
              <w:t>投标方案中对智慧监所的理解，符合丽水市看守所需求</w:t>
            </w:r>
            <w:r>
              <w:rPr>
                <w:rFonts w:hint="eastAsia" w:hAnsi="宋体" w:cs="宋体"/>
                <w:b/>
                <w:bCs/>
                <w:sz w:val="24"/>
              </w:rPr>
              <w:t>，</w:t>
            </w:r>
            <w:r>
              <w:rPr>
                <w:rFonts w:hint="eastAsia" w:ascii="宋体" w:hAnsi="宋体" w:cs="宋体"/>
                <w:sz w:val="24"/>
              </w:rPr>
              <w:t>评为优得2-3分，良得1-1.9分，一般得0.5-0.9分，差不得分。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802" w:type="dxa"/>
            <w:vMerge w:val="continue"/>
            <w:shd w:val="clear" w:color="auto" w:fill="auto"/>
            <w:noWrap w:val="0"/>
            <w:vAlign w:val="center"/>
          </w:tcPr>
          <w:p>
            <w:pPr>
              <w:jc w:val="center"/>
              <w:rPr>
                <w:rFonts w:ascii="宋体" w:hAnsi="宋体"/>
                <w:szCs w:val="21"/>
              </w:rPr>
            </w:pPr>
          </w:p>
        </w:tc>
        <w:tc>
          <w:tcPr>
            <w:tcW w:w="1574" w:type="dxa"/>
            <w:vMerge w:val="continue"/>
            <w:shd w:val="clear" w:color="auto" w:fill="auto"/>
            <w:noWrap w:val="0"/>
            <w:vAlign w:val="center"/>
          </w:tcPr>
          <w:p>
            <w:pPr>
              <w:adjustRightInd w:val="0"/>
              <w:snapToGrid w:val="0"/>
              <w:spacing w:line="360" w:lineRule="auto"/>
              <w:jc w:val="center"/>
              <w:rPr>
                <w:rFonts w:ascii="宋体" w:hAnsi="宋体"/>
                <w:szCs w:val="21"/>
              </w:rPr>
            </w:pPr>
          </w:p>
        </w:tc>
        <w:tc>
          <w:tcPr>
            <w:tcW w:w="993" w:type="dxa"/>
            <w:tcBorders>
              <w:right w:val="single" w:color="auto" w:sz="6" w:space="0"/>
            </w:tcBorders>
            <w:shd w:val="clear" w:color="auto" w:fill="auto"/>
            <w:noWrap w:val="0"/>
            <w:vAlign w:val="center"/>
          </w:tcPr>
          <w:p>
            <w:pPr>
              <w:spacing w:line="300" w:lineRule="exact"/>
              <w:jc w:val="center"/>
              <w:rPr>
                <w:rFonts w:hint="eastAsia" w:ascii="宋体" w:hAnsi="宋体" w:cs="宋体"/>
              </w:rPr>
            </w:pPr>
            <w:r>
              <w:rPr>
                <w:rFonts w:hint="eastAsia" w:ascii="宋体" w:hAnsi="宋体" w:cs="宋体"/>
              </w:rPr>
              <w:t>5</w:t>
            </w:r>
          </w:p>
        </w:tc>
        <w:tc>
          <w:tcPr>
            <w:tcW w:w="6299" w:type="dxa"/>
            <w:tcBorders>
              <w:left w:val="single" w:color="auto" w:sz="6" w:space="0"/>
            </w:tcBorders>
            <w:shd w:val="clear" w:color="auto" w:fill="auto"/>
            <w:noWrap w:val="0"/>
            <w:vAlign w:val="center"/>
          </w:tcPr>
          <w:p>
            <w:pPr>
              <w:tabs>
                <w:tab w:val="left" w:pos="0"/>
              </w:tabs>
              <w:rPr>
                <w:rFonts w:hint="eastAsia" w:ascii="宋体" w:hAnsi="宋体" w:cs="宋体"/>
              </w:rPr>
            </w:pPr>
            <w:r>
              <w:rPr>
                <w:rFonts w:hint="eastAsia" w:ascii="宋体" w:hAnsi="宋体" w:cs="宋体"/>
                <w:sz w:val="24"/>
              </w:rPr>
              <w:t>投标单位投标</w:t>
            </w:r>
            <w:r>
              <w:rPr>
                <w:rFonts w:hint="eastAsia" w:ascii="宋体" w:hAnsi="宋体" w:cs="宋体"/>
              </w:rPr>
              <w:t>所提供的产品在浙江监管市场占有率，高得5分，低得1分，未进入浙江市场的得0分，提供相关证明文件。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trPr>
        <w:tc>
          <w:tcPr>
            <w:tcW w:w="802" w:type="dxa"/>
            <w:tcBorders>
              <w:top w:val="single" w:color="auto" w:sz="6" w:space="0"/>
              <w:bottom w:val="single" w:color="auto" w:sz="6" w:space="0"/>
            </w:tcBorders>
            <w:shd w:val="clear" w:color="auto" w:fill="auto"/>
            <w:noWrap w:val="0"/>
            <w:vAlign w:val="center"/>
          </w:tcPr>
          <w:p>
            <w:pPr>
              <w:spacing w:before="156" w:beforeLines="50" w:after="156" w:afterLines="50"/>
              <w:jc w:val="center"/>
              <w:rPr>
                <w:rFonts w:ascii="宋体" w:hAnsi="宋体"/>
                <w:szCs w:val="21"/>
              </w:rPr>
            </w:pPr>
            <w:r>
              <w:rPr>
                <w:rFonts w:hint="eastAsia" w:ascii="宋体" w:hAnsi="宋体"/>
                <w:szCs w:val="21"/>
              </w:rPr>
              <w:t>2</w:t>
            </w:r>
          </w:p>
        </w:tc>
        <w:tc>
          <w:tcPr>
            <w:tcW w:w="1574" w:type="dxa"/>
            <w:shd w:val="clear" w:color="auto" w:fill="auto"/>
            <w:noWrap w:val="0"/>
            <w:vAlign w:val="center"/>
          </w:tcPr>
          <w:p>
            <w:pPr>
              <w:spacing w:line="300" w:lineRule="exact"/>
              <w:jc w:val="center"/>
              <w:rPr>
                <w:rFonts w:ascii="宋体" w:hAnsi="宋体"/>
              </w:rPr>
            </w:pPr>
            <w:r>
              <w:rPr>
                <w:rFonts w:ascii="宋体" w:hAnsi="宋体"/>
                <w:b/>
                <w:bCs/>
                <w:kern w:val="0"/>
                <w:sz w:val="24"/>
              </w:rPr>
              <w:t>保证工期和施工进度的方案和措施</w:t>
            </w:r>
          </w:p>
        </w:tc>
        <w:tc>
          <w:tcPr>
            <w:tcW w:w="993" w:type="dxa"/>
            <w:tcBorders>
              <w:right w:val="single" w:color="auto" w:sz="6" w:space="0"/>
            </w:tcBorders>
            <w:shd w:val="clear" w:color="auto" w:fill="auto"/>
            <w:noWrap w:val="0"/>
            <w:vAlign w:val="center"/>
          </w:tcPr>
          <w:p>
            <w:pPr>
              <w:spacing w:line="300" w:lineRule="exact"/>
              <w:jc w:val="center"/>
              <w:rPr>
                <w:rFonts w:ascii="宋体" w:hAnsi="宋体"/>
              </w:rPr>
            </w:pPr>
            <w:r>
              <w:rPr>
                <w:rFonts w:hint="eastAsia" w:ascii="宋体" w:hAnsi="宋体"/>
              </w:rPr>
              <w:t>2</w:t>
            </w:r>
          </w:p>
        </w:tc>
        <w:tc>
          <w:tcPr>
            <w:tcW w:w="6299" w:type="dxa"/>
            <w:tcBorders>
              <w:left w:val="single" w:color="auto" w:sz="6" w:space="0"/>
            </w:tcBorders>
            <w:shd w:val="clear" w:color="auto" w:fill="auto"/>
            <w:noWrap w:val="0"/>
            <w:vAlign w:val="center"/>
          </w:tcPr>
          <w:p>
            <w:pPr>
              <w:widowControl/>
              <w:snapToGrid w:val="0"/>
              <w:spacing w:line="300" w:lineRule="exact"/>
              <w:rPr>
                <w:rFonts w:ascii="宋体" w:hAnsi="宋体"/>
              </w:rPr>
            </w:pPr>
            <w:r>
              <w:rPr>
                <w:rFonts w:ascii="宋体" w:hAnsi="宋体"/>
                <w:kern w:val="0"/>
                <w:sz w:val="24"/>
              </w:rPr>
              <w:t>保证工期和施工进度的方案和措施科学、合理最高得</w:t>
            </w:r>
            <w:r>
              <w:rPr>
                <w:rFonts w:hint="eastAsia" w:ascii="宋体" w:hAnsi="宋体"/>
                <w:kern w:val="0"/>
                <w:sz w:val="24"/>
              </w:rPr>
              <w:t>2</w:t>
            </w:r>
            <w:r>
              <w:rPr>
                <w:rFonts w:ascii="宋体" w:hAnsi="宋体"/>
                <w:kern w:val="0"/>
                <w:sz w:val="24"/>
              </w:rPr>
              <w:t>分；方案不严密扣1分，措施不得力扣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trPr>
        <w:tc>
          <w:tcPr>
            <w:tcW w:w="802" w:type="dxa"/>
            <w:tcBorders>
              <w:top w:val="single" w:color="auto" w:sz="6" w:space="0"/>
              <w:bottom w:val="single" w:color="auto" w:sz="6" w:space="0"/>
            </w:tcBorders>
            <w:shd w:val="clear" w:color="auto" w:fill="auto"/>
            <w:noWrap w:val="0"/>
            <w:vAlign w:val="center"/>
          </w:tcPr>
          <w:p>
            <w:pPr>
              <w:spacing w:before="156" w:beforeLines="50" w:after="156" w:afterLines="50"/>
              <w:jc w:val="center"/>
              <w:rPr>
                <w:rFonts w:hint="eastAsia" w:ascii="宋体" w:hAnsi="宋体"/>
                <w:szCs w:val="21"/>
              </w:rPr>
            </w:pPr>
            <w:r>
              <w:rPr>
                <w:rFonts w:hint="eastAsia" w:ascii="宋体" w:hAnsi="宋体"/>
                <w:szCs w:val="21"/>
              </w:rPr>
              <w:t>3</w:t>
            </w:r>
          </w:p>
        </w:tc>
        <w:tc>
          <w:tcPr>
            <w:tcW w:w="1574" w:type="dxa"/>
            <w:shd w:val="clear" w:color="auto" w:fill="auto"/>
            <w:noWrap w:val="0"/>
            <w:vAlign w:val="center"/>
          </w:tcPr>
          <w:p>
            <w:pPr>
              <w:spacing w:line="300" w:lineRule="exact"/>
              <w:jc w:val="center"/>
              <w:rPr>
                <w:rFonts w:ascii="宋体" w:hAnsi="宋体"/>
                <w:b/>
                <w:bCs/>
                <w:kern w:val="0"/>
                <w:sz w:val="24"/>
              </w:rPr>
            </w:pPr>
            <w:r>
              <w:rPr>
                <w:rFonts w:ascii="宋体" w:hAnsi="宋体"/>
                <w:b/>
                <w:bCs/>
                <w:kern w:val="0"/>
                <w:sz w:val="24"/>
              </w:rPr>
              <w:t>技术培训及售后服务承诺</w:t>
            </w:r>
          </w:p>
        </w:tc>
        <w:tc>
          <w:tcPr>
            <w:tcW w:w="993" w:type="dxa"/>
            <w:tcBorders>
              <w:right w:val="single" w:color="auto" w:sz="6" w:space="0"/>
            </w:tcBorders>
            <w:shd w:val="clear" w:color="auto" w:fill="auto"/>
            <w:noWrap w:val="0"/>
            <w:vAlign w:val="center"/>
          </w:tcPr>
          <w:p>
            <w:pPr>
              <w:spacing w:line="300" w:lineRule="exact"/>
              <w:jc w:val="center"/>
              <w:rPr>
                <w:rFonts w:hint="eastAsia" w:ascii="宋体" w:hAnsi="宋体"/>
              </w:rPr>
            </w:pPr>
            <w:r>
              <w:rPr>
                <w:rFonts w:hint="eastAsia" w:ascii="宋体" w:hAnsi="宋体"/>
              </w:rPr>
              <w:t>6</w:t>
            </w:r>
          </w:p>
        </w:tc>
        <w:tc>
          <w:tcPr>
            <w:tcW w:w="6299" w:type="dxa"/>
            <w:tcBorders>
              <w:left w:val="single" w:color="auto" w:sz="6" w:space="0"/>
            </w:tcBorders>
            <w:shd w:val="clear" w:color="auto" w:fill="auto"/>
            <w:noWrap w:val="0"/>
            <w:vAlign w:val="center"/>
          </w:tcPr>
          <w:p>
            <w:pPr>
              <w:widowControl/>
              <w:snapToGrid w:val="0"/>
              <w:spacing w:line="300" w:lineRule="exact"/>
              <w:rPr>
                <w:rFonts w:ascii="宋体" w:hAnsi="宋体"/>
                <w:kern w:val="0"/>
                <w:sz w:val="24"/>
              </w:rPr>
            </w:pPr>
            <w:r>
              <w:rPr>
                <w:rFonts w:ascii="宋体" w:hAnsi="宋体"/>
                <w:kern w:val="0"/>
                <w:sz w:val="24"/>
              </w:rPr>
              <w:t>有培训计划和培训实施方案以及售后服务方案得0.5－1分；质保期内外的后续技术支持和</w:t>
            </w:r>
            <w:r>
              <w:rPr>
                <w:rFonts w:hint="eastAsia" w:ascii="宋体" w:hAnsi="宋体"/>
                <w:kern w:val="0"/>
                <w:sz w:val="24"/>
              </w:rPr>
              <w:t>服务</w:t>
            </w:r>
            <w:r>
              <w:rPr>
                <w:rFonts w:ascii="宋体" w:hAnsi="宋体"/>
                <w:kern w:val="0"/>
                <w:sz w:val="24"/>
              </w:rPr>
              <w:t>能力情况（结合投标单位实际售后服务的响应时间、服务质量、服务组织机构、</w:t>
            </w:r>
            <w:r>
              <w:rPr>
                <w:rFonts w:hint="eastAsia" w:ascii="宋体" w:hAnsi="宋体"/>
                <w:kern w:val="0"/>
                <w:sz w:val="24"/>
              </w:rPr>
              <w:t>本地化服务、</w:t>
            </w:r>
            <w:r>
              <w:rPr>
                <w:rFonts w:ascii="宋体" w:hAnsi="宋体"/>
                <w:kern w:val="0"/>
                <w:sz w:val="24"/>
              </w:rPr>
              <w:t>技术和服务人员配置等）</w:t>
            </w:r>
            <w:r>
              <w:rPr>
                <w:rFonts w:hint="eastAsia" w:ascii="宋体" w:hAnsi="宋体"/>
                <w:kern w:val="0"/>
                <w:sz w:val="24"/>
              </w:rPr>
              <w:t>0.5</w:t>
            </w:r>
            <w:r>
              <w:rPr>
                <w:rFonts w:ascii="宋体" w:hAnsi="宋体"/>
                <w:kern w:val="0"/>
                <w:sz w:val="24"/>
              </w:rPr>
              <w:t>－2分。投标人提供的售后</w:t>
            </w:r>
            <w:r>
              <w:rPr>
                <w:rFonts w:hint="eastAsia" w:ascii="宋体" w:hAnsi="宋体"/>
                <w:kern w:val="0"/>
                <w:sz w:val="24"/>
              </w:rPr>
              <w:t>服务</w:t>
            </w:r>
            <w:r>
              <w:rPr>
                <w:rFonts w:ascii="宋体" w:hAnsi="宋体"/>
                <w:kern w:val="0"/>
                <w:sz w:val="24"/>
              </w:rPr>
              <w:t>人员</w:t>
            </w:r>
            <w:r>
              <w:rPr>
                <w:rFonts w:hint="eastAsia" w:ascii="宋体" w:hAnsi="宋体"/>
                <w:kern w:val="0"/>
                <w:sz w:val="24"/>
              </w:rPr>
              <w:t>具有违法犯罪人员信息系统维护单位的培训合格证明得0-3分</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trPr>
        <w:tc>
          <w:tcPr>
            <w:tcW w:w="802" w:type="dxa"/>
            <w:tcBorders>
              <w:top w:val="single" w:color="auto" w:sz="6" w:space="0"/>
              <w:bottom w:val="single" w:color="auto" w:sz="6" w:space="0"/>
            </w:tcBorders>
            <w:shd w:val="clear" w:color="auto" w:fill="auto"/>
            <w:noWrap w:val="0"/>
            <w:vAlign w:val="center"/>
          </w:tcPr>
          <w:p>
            <w:pPr>
              <w:spacing w:before="156" w:beforeLines="50" w:after="156" w:afterLines="50"/>
              <w:jc w:val="center"/>
              <w:rPr>
                <w:rFonts w:hint="eastAsia" w:ascii="宋体" w:hAnsi="宋体"/>
                <w:szCs w:val="21"/>
              </w:rPr>
            </w:pPr>
            <w:r>
              <w:rPr>
                <w:rFonts w:hint="eastAsia" w:ascii="宋体" w:hAnsi="宋体"/>
                <w:szCs w:val="21"/>
              </w:rPr>
              <w:t>4</w:t>
            </w:r>
          </w:p>
        </w:tc>
        <w:tc>
          <w:tcPr>
            <w:tcW w:w="1574" w:type="dxa"/>
            <w:shd w:val="clear" w:color="auto" w:fill="auto"/>
            <w:noWrap w:val="0"/>
            <w:vAlign w:val="center"/>
          </w:tcPr>
          <w:p>
            <w:pPr>
              <w:spacing w:line="300" w:lineRule="exact"/>
              <w:jc w:val="center"/>
              <w:rPr>
                <w:rFonts w:ascii="宋体" w:hAnsi="宋体"/>
                <w:b/>
                <w:bCs/>
                <w:kern w:val="0"/>
                <w:sz w:val="24"/>
              </w:rPr>
            </w:pPr>
            <w:r>
              <w:rPr>
                <w:rFonts w:hint="eastAsia" w:ascii="宋体" w:hAnsi="宋体"/>
                <w:b/>
                <w:kern w:val="0"/>
                <w:sz w:val="24"/>
              </w:rPr>
              <w:t>备品</w:t>
            </w:r>
            <w:r>
              <w:rPr>
                <w:rFonts w:ascii="宋体" w:hAnsi="宋体"/>
                <w:b/>
                <w:kern w:val="0"/>
                <w:sz w:val="24"/>
              </w:rPr>
              <w:t>备件</w:t>
            </w:r>
          </w:p>
        </w:tc>
        <w:tc>
          <w:tcPr>
            <w:tcW w:w="993" w:type="dxa"/>
            <w:tcBorders>
              <w:right w:val="single" w:color="auto" w:sz="6" w:space="0"/>
            </w:tcBorders>
            <w:shd w:val="clear" w:color="auto" w:fill="auto"/>
            <w:noWrap w:val="0"/>
            <w:vAlign w:val="center"/>
          </w:tcPr>
          <w:p>
            <w:pPr>
              <w:spacing w:line="300" w:lineRule="exact"/>
              <w:jc w:val="center"/>
              <w:rPr>
                <w:rFonts w:hint="eastAsia" w:ascii="宋体" w:hAnsi="宋体"/>
              </w:rPr>
            </w:pPr>
            <w:r>
              <w:rPr>
                <w:rFonts w:hint="eastAsia" w:ascii="宋体" w:hAnsi="宋体"/>
              </w:rPr>
              <w:t>1</w:t>
            </w:r>
          </w:p>
        </w:tc>
        <w:tc>
          <w:tcPr>
            <w:tcW w:w="6299" w:type="dxa"/>
            <w:tcBorders>
              <w:left w:val="single" w:color="auto" w:sz="6" w:space="0"/>
            </w:tcBorders>
            <w:shd w:val="clear" w:color="auto" w:fill="auto"/>
            <w:noWrap w:val="0"/>
            <w:vAlign w:val="center"/>
          </w:tcPr>
          <w:p>
            <w:pPr>
              <w:widowControl/>
              <w:snapToGrid w:val="0"/>
              <w:spacing w:line="300" w:lineRule="exact"/>
              <w:rPr>
                <w:rFonts w:ascii="宋体" w:hAnsi="宋体"/>
                <w:kern w:val="0"/>
                <w:sz w:val="24"/>
              </w:rPr>
            </w:pPr>
            <w:r>
              <w:rPr>
                <w:rFonts w:ascii="宋体" w:hAnsi="宋体"/>
                <w:kern w:val="0"/>
                <w:sz w:val="24"/>
              </w:rPr>
              <w:t>提供有效的备品、备件实施方案，评标专家根据其有效性和可行性酌情给分得0-1分。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trPr>
        <w:tc>
          <w:tcPr>
            <w:tcW w:w="802" w:type="dxa"/>
            <w:tcBorders>
              <w:top w:val="single" w:color="auto" w:sz="6" w:space="0"/>
              <w:bottom w:val="single" w:color="auto" w:sz="6" w:space="0"/>
            </w:tcBorders>
            <w:shd w:val="clear" w:color="auto" w:fill="auto"/>
            <w:noWrap w:val="0"/>
            <w:vAlign w:val="center"/>
          </w:tcPr>
          <w:p>
            <w:pPr>
              <w:spacing w:before="156" w:beforeLines="50" w:after="156" w:afterLines="50"/>
              <w:jc w:val="center"/>
              <w:rPr>
                <w:rFonts w:hint="eastAsia" w:ascii="宋体" w:hAnsi="宋体"/>
                <w:szCs w:val="21"/>
              </w:rPr>
            </w:pPr>
            <w:r>
              <w:rPr>
                <w:rFonts w:hint="eastAsia" w:ascii="宋体" w:hAnsi="宋体"/>
                <w:szCs w:val="21"/>
              </w:rPr>
              <w:t>5</w:t>
            </w:r>
          </w:p>
        </w:tc>
        <w:tc>
          <w:tcPr>
            <w:tcW w:w="1574" w:type="dxa"/>
            <w:shd w:val="clear" w:color="auto" w:fill="auto"/>
            <w:noWrap w:val="0"/>
            <w:vAlign w:val="center"/>
          </w:tcPr>
          <w:p>
            <w:pPr>
              <w:spacing w:line="300" w:lineRule="exact"/>
              <w:jc w:val="center"/>
              <w:rPr>
                <w:rFonts w:hint="eastAsia" w:ascii="宋体" w:hAnsi="宋体"/>
                <w:b/>
                <w:kern w:val="0"/>
                <w:sz w:val="24"/>
              </w:rPr>
            </w:pPr>
            <w:r>
              <w:rPr>
                <w:rFonts w:hint="eastAsia" w:ascii="宋体" w:hAnsi="宋体"/>
                <w:b/>
                <w:kern w:val="0"/>
                <w:sz w:val="24"/>
              </w:rPr>
              <w:t>合理化建议</w:t>
            </w:r>
          </w:p>
        </w:tc>
        <w:tc>
          <w:tcPr>
            <w:tcW w:w="993" w:type="dxa"/>
            <w:tcBorders>
              <w:right w:val="single" w:color="auto" w:sz="6" w:space="0"/>
            </w:tcBorders>
            <w:shd w:val="clear" w:color="auto" w:fill="auto"/>
            <w:noWrap w:val="0"/>
            <w:vAlign w:val="center"/>
          </w:tcPr>
          <w:p>
            <w:pPr>
              <w:spacing w:line="300" w:lineRule="exact"/>
              <w:jc w:val="center"/>
              <w:rPr>
                <w:rFonts w:hint="eastAsia" w:ascii="宋体" w:hAnsi="宋体"/>
              </w:rPr>
            </w:pPr>
            <w:r>
              <w:rPr>
                <w:rFonts w:hint="eastAsia" w:ascii="宋体" w:hAnsi="宋体"/>
              </w:rPr>
              <w:t>2</w:t>
            </w:r>
          </w:p>
        </w:tc>
        <w:tc>
          <w:tcPr>
            <w:tcW w:w="6299" w:type="dxa"/>
            <w:tcBorders>
              <w:left w:val="single" w:color="auto" w:sz="6" w:space="0"/>
            </w:tcBorders>
            <w:shd w:val="clear" w:color="auto" w:fill="auto"/>
            <w:noWrap w:val="0"/>
            <w:vAlign w:val="center"/>
          </w:tcPr>
          <w:p>
            <w:pPr>
              <w:widowControl/>
              <w:snapToGrid w:val="0"/>
              <w:spacing w:line="300" w:lineRule="exact"/>
              <w:rPr>
                <w:rFonts w:ascii="宋体" w:hAnsi="宋体"/>
                <w:kern w:val="0"/>
                <w:sz w:val="24"/>
              </w:rPr>
            </w:pPr>
            <w:r>
              <w:rPr>
                <w:rFonts w:hint="eastAsia" w:ascii="宋体" w:hAnsi="宋体"/>
                <w:kern w:val="0"/>
                <w:sz w:val="24"/>
              </w:rPr>
              <w:t>根据合理化建议，由评标专家打分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trPr>
        <w:tc>
          <w:tcPr>
            <w:tcW w:w="802" w:type="dxa"/>
            <w:tcBorders>
              <w:top w:val="single" w:color="auto" w:sz="6" w:space="0"/>
              <w:bottom w:val="single" w:color="auto" w:sz="6" w:space="0"/>
            </w:tcBorders>
            <w:shd w:val="clear" w:color="auto" w:fill="auto"/>
            <w:noWrap w:val="0"/>
            <w:vAlign w:val="center"/>
          </w:tcPr>
          <w:p>
            <w:pPr>
              <w:spacing w:before="156" w:beforeLines="50" w:after="156" w:afterLines="50"/>
              <w:jc w:val="center"/>
              <w:rPr>
                <w:rFonts w:hint="eastAsia" w:ascii="宋体" w:hAnsi="宋体"/>
                <w:szCs w:val="21"/>
              </w:rPr>
            </w:pPr>
            <w:r>
              <w:rPr>
                <w:rFonts w:hint="eastAsia" w:ascii="宋体" w:hAnsi="宋体"/>
                <w:szCs w:val="21"/>
              </w:rPr>
              <w:t>6</w:t>
            </w:r>
          </w:p>
        </w:tc>
        <w:tc>
          <w:tcPr>
            <w:tcW w:w="1574" w:type="dxa"/>
            <w:shd w:val="clear" w:color="auto" w:fill="auto"/>
            <w:noWrap w:val="0"/>
            <w:vAlign w:val="center"/>
          </w:tcPr>
          <w:p>
            <w:pPr>
              <w:spacing w:line="300" w:lineRule="exact"/>
              <w:jc w:val="center"/>
              <w:rPr>
                <w:rFonts w:hint="eastAsia" w:ascii="宋体" w:hAnsi="宋体"/>
                <w:b/>
                <w:kern w:val="0"/>
                <w:sz w:val="24"/>
              </w:rPr>
            </w:pPr>
            <w:r>
              <w:rPr>
                <w:rFonts w:hint="eastAsia" w:ascii="宋体" w:hAnsi="宋体" w:cs="宋体"/>
                <w:sz w:val="24"/>
              </w:rPr>
              <w:t>技术偏离</w:t>
            </w:r>
          </w:p>
        </w:tc>
        <w:tc>
          <w:tcPr>
            <w:tcW w:w="993" w:type="dxa"/>
            <w:tcBorders>
              <w:right w:val="single" w:color="auto" w:sz="6" w:space="0"/>
            </w:tcBorders>
            <w:shd w:val="clear" w:color="auto" w:fill="auto"/>
            <w:noWrap w:val="0"/>
            <w:vAlign w:val="center"/>
          </w:tcPr>
          <w:p>
            <w:pPr>
              <w:spacing w:line="300" w:lineRule="exact"/>
              <w:jc w:val="center"/>
              <w:rPr>
                <w:rFonts w:hint="eastAsia" w:ascii="宋体" w:hAnsi="宋体"/>
              </w:rPr>
            </w:pPr>
            <w:r>
              <w:rPr>
                <w:rFonts w:hint="eastAsia" w:ascii="宋体" w:hAnsi="宋体"/>
              </w:rPr>
              <w:t>3</w:t>
            </w:r>
          </w:p>
        </w:tc>
        <w:tc>
          <w:tcPr>
            <w:tcW w:w="6299" w:type="dxa"/>
            <w:tcBorders>
              <w:left w:val="single" w:color="auto" w:sz="6" w:space="0"/>
            </w:tcBorders>
            <w:shd w:val="clear" w:color="auto" w:fill="auto"/>
            <w:noWrap w:val="0"/>
            <w:vAlign w:val="center"/>
          </w:tcPr>
          <w:p>
            <w:pPr>
              <w:widowControl/>
              <w:snapToGrid w:val="0"/>
              <w:spacing w:line="300" w:lineRule="exact"/>
              <w:rPr>
                <w:rFonts w:ascii="宋体" w:hAnsi="宋体"/>
                <w:kern w:val="0"/>
                <w:sz w:val="24"/>
              </w:rPr>
            </w:pPr>
            <w:r>
              <w:rPr>
                <w:rFonts w:hint="eastAsia" w:ascii="宋体" w:hAnsi="宋体" w:cs="宋体"/>
                <w:sz w:val="24"/>
              </w:rPr>
              <w:t>投标技术指标实质性正偏离,每项给1分，最多得3分。</w:t>
            </w:r>
          </w:p>
        </w:tc>
      </w:tr>
    </w:tbl>
    <w:p>
      <w:pPr>
        <w:spacing w:line="360" w:lineRule="auto"/>
        <w:ind w:firstLine="472" w:firstLineChars="196"/>
        <w:rPr>
          <w:rFonts w:hint="eastAsia" w:ascii="宋体" w:hAnsi="宋体"/>
          <w:b/>
          <w:bCs/>
          <w:sz w:val="24"/>
        </w:rPr>
      </w:pPr>
      <w:r>
        <w:rPr>
          <w:rFonts w:ascii="宋体" w:hAnsi="宋体"/>
          <w:b/>
          <w:bCs/>
          <w:sz w:val="24"/>
        </w:rPr>
        <w:t>5</w:t>
      </w:r>
      <w:r>
        <w:rPr>
          <w:rFonts w:hint="eastAsia" w:ascii="宋体" w:hAnsi="宋体"/>
          <w:b/>
          <w:bCs/>
          <w:sz w:val="24"/>
        </w:rPr>
        <w:t>.3投标人报价满分为</w:t>
      </w:r>
      <w:r>
        <w:rPr>
          <w:rFonts w:hint="eastAsia" w:ascii="宋体" w:hAnsi="宋体"/>
          <w:sz w:val="24"/>
        </w:rPr>
        <w:t>30</w:t>
      </w:r>
      <w:r>
        <w:rPr>
          <w:rFonts w:hint="eastAsia" w:ascii="宋体" w:hAnsi="宋体"/>
          <w:b/>
          <w:bCs/>
          <w:sz w:val="24"/>
        </w:rPr>
        <w:t>分，报价权重</w:t>
      </w:r>
      <w:r>
        <w:rPr>
          <w:rFonts w:hint="eastAsia" w:ascii="宋体" w:hAnsi="宋体"/>
          <w:sz w:val="24"/>
        </w:rPr>
        <w:t>30</w:t>
      </w:r>
      <w:r>
        <w:rPr>
          <w:rFonts w:hint="eastAsia" w:ascii="宋体" w:hAnsi="宋体"/>
          <w:b/>
          <w:bCs/>
          <w:sz w:val="24"/>
        </w:rPr>
        <w:t>%，由评标委员会根据以下内容统一计算打分：</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.3.1</w:t>
      </w:r>
      <w:r>
        <w:rPr>
          <w:rFonts w:ascii="宋体" w:hAnsi="宋体"/>
          <w:sz w:val="24"/>
        </w:rPr>
        <w:t xml:space="preserve"> </w:t>
      </w:r>
      <w:r>
        <w:rPr>
          <w:rFonts w:hint="eastAsia" w:ascii="宋体" w:hAnsi="宋体"/>
          <w:sz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.3.2</w:t>
      </w:r>
      <w:r>
        <w:rPr>
          <w:rFonts w:ascii="宋体" w:hAnsi="宋体"/>
          <w:sz w:val="24"/>
        </w:rPr>
        <w:t xml:space="preserve"> </w:t>
      </w:r>
      <w:r>
        <w:rPr>
          <w:rFonts w:hint="eastAsia" w:ascii="宋体" w:hAnsi="宋体"/>
          <w:sz w:val="24"/>
        </w:rPr>
        <w:t>最终报价高于最高</w:t>
      </w:r>
      <w:r>
        <w:rPr>
          <w:rFonts w:ascii="宋体" w:hAnsi="宋体"/>
          <w:sz w:val="24"/>
        </w:rPr>
        <w:t>限价</w:t>
      </w:r>
      <w:r>
        <w:rPr>
          <w:rFonts w:hint="eastAsia" w:ascii="宋体" w:hAnsi="宋体"/>
          <w:sz w:val="24"/>
        </w:rPr>
        <w:t>的投标人不进入报价评分。</w:t>
      </w:r>
    </w:p>
    <w:p>
      <w:pPr>
        <w:spacing w:line="360" w:lineRule="auto"/>
        <w:ind w:firstLine="482" w:firstLineChars="200"/>
        <w:rPr>
          <w:rFonts w:hint="eastAsia" w:ascii="宋体" w:hAnsi="宋体"/>
          <w:b/>
          <w:sz w:val="24"/>
        </w:rPr>
      </w:pPr>
      <w:r>
        <w:rPr>
          <w:rFonts w:ascii="宋体" w:hAnsi="宋体"/>
          <w:b/>
          <w:sz w:val="24"/>
        </w:rPr>
        <w:t>5.</w:t>
      </w:r>
      <w:r>
        <w:rPr>
          <w:rFonts w:hint="eastAsia" w:ascii="宋体" w:hAnsi="宋体"/>
          <w:b/>
          <w:sz w:val="24"/>
        </w:rPr>
        <w:t>3</w:t>
      </w:r>
      <w:r>
        <w:rPr>
          <w:rFonts w:ascii="宋体" w:hAnsi="宋体"/>
          <w:b/>
          <w:sz w:val="24"/>
        </w:rPr>
        <w:t>.</w:t>
      </w:r>
      <w:r>
        <w:rPr>
          <w:rFonts w:hint="eastAsia" w:ascii="宋体" w:hAnsi="宋体"/>
          <w:b/>
          <w:sz w:val="24"/>
        </w:rPr>
        <w:t>3报价得分</w:t>
      </w:r>
      <w:r>
        <w:rPr>
          <w:rFonts w:ascii="宋体" w:hAnsi="宋体"/>
          <w:b/>
          <w:sz w:val="24"/>
        </w:rPr>
        <w:t>计算：</w:t>
      </w:r>
    </w:p>
    <w:p>
      <w:pPr>
        <w:spacing w:line="360" w:lineRule="auto"/>
        <w:ind w:firstLine="482" w:firstLineChars="200"/>
        <w:rPr>
          <w:rFonts w:ascii="宋体" w:hAnsi="宋体"/>
          <w:b/>
          <w:sz w:val="24"/>
        </w:rPr>
      </w:pPr>
      <w:bookmarkStart w:id="137" w:name="_Toc493956082"/>
      <w:bookmarkStart w:id="138" w:name="_Toc335664301"/>
      <w:bookmarkStart w:id="139" w:name="_Toc494555896"/>
      <w:r>
        <w:rPr>
          <w:rFonts w:hint="eastAsia" w:ascii="宋体" w:hAnsi="宋体"/>
          <w:b/>
          <w:sz w:val="24"/>
        </w:rPr>
        <w:t>5.3.4 报价得分按以下方式计算：</w:t>
      </w:r>
    </w:p>
    <w:p>
      <w:pPr>
        <w:spacing w:line="360" w:lineRule="auto"/>
        <w:ind w:firstLine="480" w:firstLineChars="200"/>
        <w:rPr>
          <w:rFonts w:hint="eastAsia" w:ascii="宋体" w:hAnsi="宋体"/>
          <w:sz w:val="24"/>
        </w:rPr>
      </w:pPr>
      <w:r>
        <w:rPr>
          <w:rFonts w:hint="eastAsia" w:ascii="宋体" w:hAnsi="宋体"/>
          <w:sz w:val="24"/>
        </w:rPr>
        <w:fldChar w:fldCharType="begin"/>
      </w:r>
      <w:r>
        <w:rPr>
          <w:rFonts w:hint="eastAsia"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hint="eastAsia" w:ascii="宋体" w:hAnsi="宋体"/>
          <w:sz w:val="24"/>
        </w:rPr>
        <w:fldChar w:fldCharType="end"/>
      </w:r>
      <w:r>
        <w:rPr>
          <w:rFonts w:hint="eastAsia" w:ascii="宋体" w:hAnsi="宋体"/>
          <w:sz w:val="24"/>
        </w:rPr>
        <w:t>评标基准价=投标报价中的最低报价</w:t>
      </w:r>
    </w:p>
    <w:p>
      <w:pPr>
        <w:spacing w:line="360" w:lineRule="auto"/>
        <w:ind w:firstLine="480" w:firstLineChars="200"/>
        <w:rPr>
          <w:rFonts w:hint="eastAsia" w:ascii="宋体" w:hAnsi="宋体"/>
          <w:sz w:val="24"/>
        </w:rPr>
      </w:pPr>
      <w:r>
        <w:rPr>
          <w:rFonts w:hint="eastAsia" w:ascii="宋体" w:hAnsi="宋体"/>
          <w:sz w:val="24"/>
        </w:rPr>
        <w:fldChar w:fldCharType="begin"/>
      </w:r>
      <w:r>
        <w:rPr>
          <w:rFonts w:hint="eastAsia"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hint="eastAsia" w:ascii="宋体" w:hAnsi="宋体"/>
          <w:sz w:val="24"/>
        </w:rPr>
        <w:fldChar w:fldCharType="end"/>
      </w:r>
      <w:r>
        <w:rPr>
          <w:rFonts w:hint="eastAsia" w:ascii="宋体" w:hAnsi="宋体"/>
          <w:sz w:val="24"/>
        </w:rPr>
        <w:t>投标报价等于评标基准价的得30分，其他投标人的报价得分按下列公式计算：</w:t>
      </w:r>
    </w:p>
    <w:p>
      <w:pPr>
        <w:spacing w:line="360" w:lineRule="auto"/>
        <w:ind w:firstLine="480" w:firstLineChars="200"/>
        <w:rPr>
          <w:rFonts w:hint="eastAsia" w:ascii="宋体" w:hAnsi="宋体"/>
          <w:sz w:val="24"/>
        </w:rPr>
      </w:pPr>
      <w:r>
        <w:rPr>
          <w:rFonts w:hint="eastAsia" w:ascii="宋体" w:hAnsi="宋体"/>
          <w:sz w:val="24"/>
        </w:rPr>
        <w:t>投标报价得分=（评标基准价/投标报价）×报价权重×100。</w:t>
      </w:r>
    </w:p>
    <w:p>
      <w:pPr>
        <w:spacing w:line="360" w:lineRule="auto"/>
        <w:ind w:firstLine="482" w:firstLineChars="200"/>
        <w:rPr>
          <w:rFonts w:hint="eastAsia" w:ascii="宋体" w:hAnsi="宋体"/>
          <w:b/>
          <w:sz w:val="24"/>
        </w:rPr>
      </w:pPr>
      <w:r>
        <w:rPr>
          <w:rFonts w:hint="eastAsia" w:ascii="宋体" w:hAnsi="宋体"/>
          <w:b/>
          <w:sz w:val="24"/>
        </w:rPr>
        <w:t>5.4 本项目最终得分=资信及商务得分＋技术得分＋报价得分。</w:t>
      </w:r>
    </w:p>
    <w:p>
      <w:pPr>
        <w:spacing w:line="360" w:lineRule="auto"/>
        <w:ind w:firstLine="480" w:firstLineChars="200"/>
        <w:rPr>
          <w:rFonts w:hint="eastAsia" w:ascii="宋体" w:hAnsi="宋体"/>
          <w:sz w:val="24"/>
        </w:rPr>
      </w:pPr>
      <w:r>
        <w:rPr>
          <w:rFonts w:hint="eastAsia" w:ascii="宋体" w:hAnsi="宋体"/>
          <w:sz w:val="24"/>
        </w:rPr>
        <w:t>5.5 评分时保留小数1位，计算评分值时保留小数2位，小数点采用四舍五入方法。</w:t>
      </w:r>
    </w:p>
    <w:p>
      <w:pPr>
        <w:pStyle w:val="4"/>
        <w:spacing w:before="240" w:after="240"/>
        <w:ind w:firstLine="0" w:firstLineChars="0"/>
        <w:rPr>
          <w:rFonts w:hint="eastAsia" w:ascii="宋体" w:hAnsi="宋体" w:eastAsia="宋体"/>
          <w:bCs w:val="0"/>
        </w:rPr>
      </w:pPr>
      <w:bookmarkStart w:id="140" w:name="_Toc530665742"/>
      <w:r>
        <w:rPr>
          <w:rFonts w:hint="eastAsia" w:ascii="宋体" w:hAnsi="宋体" w:eastAsia="宋体"/>
          <w:bCs w:val="0"/>
        </w:rPr>
        <w:t xml:space="preserve">六 </w:t>
      </w:r>
      <w:r>
        <w:rPr>
          <w:rFonts w:ascii="宋体" w:hAnsi="宋体" w:eastAsia="宋体"/>
          <w:bCs w:val="0"/>
        </w:rPr>
        <w:t xml:space="preserve"> </w:t>
      </w:r>
      <w:r>
        <w:rPr>
          <w:rFonts w:hint="eastAsia" w:ascii="宋体" w:hAnsi="宋体" w:eastAsia="宋体"/>
          <w:bCs w:val="0"/>
        </w:rPr>
        <w:t>评审纪律和要求</w:t>
      </w:r>
      <w:bookmarkEnd w:id="137"/>
      <w:bookmarkEnd w:id="138"/>
      <w:bookmarkEnd w:id="139"/>
      <w:bookmarkEnd w:id="140"/>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w:t>
      </w:r>
      <w:r>
        <w:rPr>
          <w:rFonts w:ascii="宋体" w:hAnsi="宋体"/>
          <w:sz w:val="24"/>
        </w:rPr>
        <w:t xml:space="preserve"> </w:t>
      </w:r>
      <w:r>
        <w:rPr>
          <w:rFonts w:hint="eastAsia" w:ascii="宋体" w:hAnsi="宋体"/>
          <w:sz w:val="24"/>
        </w:rPr>
        <w:t>评审专家必须公平、公正评审，遵纪守法，客观、廉洁地履行职责。</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.2</w:t>
      </w:r>
      <w:r>
        <w:rPr>
          <w:rFonts w:ascii="宋体" w:hAnsi="宋体"/>
          <w:sz w:val="24"/>
        </w:rPr>
        <w:t xml:space="preserve"> </w:t>
      </w:r>
      <w:r>
        <w:rPr>
          <w:rFonts w:hint="eastAsia" w:ascii="宋体" w:hAnsi="宋体"/>
          <w:sz w:val="24"/>
        </w:rPr>
        <w:t>评审专家在评审开始前，应关闭并上交随身携带的各种通信工具。</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.3</w:t>
      </w:r>
      <w:r>
        <w:rPr>
          <w:rFonts w:ascii="宋体" w:hAnsi="宋体"/>
          <w:sz w:val="24"/>
        </w:rPr>
        <w:t xml:space="preserve"> </w:t>
      </w:r>
      <w:r>
        <w:rPr>
          <w:rFonts w:hint="eastAsia" w:ascii="宋体" w:hAnsi="宋体"/>
          <w:sz w:val="24"/>
        </w:rPr>
        <w:t>评审专家在评审过程中，未经许可不得中途离开评审现场，不得迟到早退。</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.4</w:t>
      </w:r>
      <w:r>
        <w:rPr>
          <w:rFonts w:ascii="宋体" w:hAnsi="宋体"/>
          <w:sz w:val="24"/>
        </w:rPr>
        <w:t xml:space="preserve"> </w:t>
      </w:r>
      <w:r>
        <w:rPr>
          <w:rFonts w:hint="eastAsia" w:ascii="宋体" w:hAnsi="宋体"/>
          <w:sz w:val="24"/>
        </w:rPr>
        <w:t>评审专家和工作人员不得透露评审过程中的讨论情况和评审结果。</w:t>
      </w:r>
    </w:p>
    <w:p>
      <w:pPr>
        <w:spacing w:line="360" w:lineRule="auto"/>
        <w:ind w:firstLine="480"/>
        <w:rPr>
          <w:rFonts w:hint="eastAsia" w:ascii="宋体" w:hAnsi="宋体"/>
          <w:sz w:val="24"/>
        </w:rPr>
      </w:pPr>
      <w:r>
        <w:rPr>
          <w:rFonts w:ascii="宋体" w:hAnsi="宋体"/>
          <w:sz w:val="24"/>
        </w:rPr>
        <w:t>6</w:t>
      </w:r>
      <w:r>
        <w:rPr>
          <w:rFonts w:hint="eastAsia" w:ascii="宋体" w:hAnsi="宋体"/>
          <w:sz w:val="24"/>
        </w:rPr>
        <w:t>.5</w:t>
      </w:r>
      <w:r>
        <w:rPr>
          <w:rFonts w:ascii="宋体" w:hAnsi="宋体"/>
          <w:sz w:val="24"/>
        </w:rPr>
        <w:t xml:space="preserve"> </w:t>
      </w:r>
      <w:r>
        <w:rPr>
          <w:rFonts w:hint="eastAsia" w:ascii="宋体" w:hAnsi="宋体"/>
          <w:sz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.6</w:t>
      </w:r>
      <w:r>
        <w:rPr>
          <w:rFonts w:ascii="宋体" w:hAnsi="宋体"/>
          <w:sz w:val="24"/>
        </w:rPr>
        <w:t xml:space="preserve"> </w:t>
      </w:r>
      <w:r>
        <w:rPr>
          <w:rFonts w:hint="eastAsia" w:ascii="宋体" w:hAnsi="宋体"/>
          <w:sz w:val="24"/>
        </w:rPr>
        <w:t>采购人、采购代理机构不得向评标委员会的评审专家作倾向性、误导性的解释或者说明。</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.7</w:t>
      </w:r>
      <w:r>
        <w:rPr>
          <w:rFonts w:ascii="宋体" w:hAnsi="宋体"/>
          <w:sz w:val="24"/>
        </w:rPr>
        <w:t xml:space="preserve"> </w:t>
      </w:r>
      <w:r>
        <w:rPr>
          <w:rFonts w:hint="eastAsia" w:ascii="宋体" w:hAnsi="宋体"/>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hint="eastAsia" w:ascii="宋体" w:hAnsi="宋体"/>
          <w:sz w:val="24"/>
        </w:rPr>
      </w:pPr>
      <w:r>
        <w:rPr>
          <w:rFonts w:ascii="宋体" w:hAnsi="宋体"/>
          <w:sz w:val="24"/>
          <w:szCs w:val="21"/>
        </w:rPr>
        <w:t>6</w:t>
      </w:r>
      <w:r>
        <w:rPr>
          <w:rFonts w:hint="eastAsia" w:ascii="宋体" w:hAnsi="宋体"/>
          <w:sz w:val="24"/>
          <w:szCs w:val="21"/>
        </w:rPr>
        <w:t>.8</w:t>
      </w:r>
      <w:r>
        <w:rPr>
          <w:rFonts w:ascii="宋体" w:hAnsi="宋体"/>
          <w:sz w:val="24"/>
          <w:szCs w:val="21"/>
        </w:rPr>
        <w:t xml:space="preserve"> </w:t>
      </w:r>
      <w:r>
        <w:rPr>
          <w:rFonts w:hint="eastAsia" w:ascii="宋体" w:hAnsi="宋体"/>
          <w:sz w:val="24"/>
          <w:szCs w:val="21"/>
        </w:rPr>
        <w:t>评审专家在评审过程中不得将自己的观点强加给其他评审专家，评审专家应自主发表见解，对评审意见承担个人责任。</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.9</w:t>
      </w:r>
      <w:r>
        <w:rPr>
          <w:rFonts w:ascii="宋体" w:hAnsi="宋体"/>
          <w:sz w:val="24"/>
        </w:rPr>
        <w:t xml:space="preserve"> </w:t>
      </w:r>
      <w:r>
        <w:rPr>
          <w:rFonts w:hint="eastAsia" w:ascii="宋体" w:hAnsi="宋体"/>
          <w:sz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.10</w:t>
      </w:r>
      <w:r>
        <w:rPr>
          <w:rFonts w:ascii="宋体" w:hAnsi="宋体"/>
          <w:sz w:val="24"/>
        </w:rPr>
        <w:t xml:space="preserve"> </w:t>
      </w:r>
      <w:r>
        <w:rPr>
          <w:rFonts w:hint="eastAsia" w:ascii="宋体" w:hAnsi="宋体"/>
          <w:sz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.11</w:t>
      </w:r>
      <w:r>
        <w:rPr>
          <w:rFonts w:ascii="宋体" w:hAnsi="宋体"/>
          <w:sz w:val="24"/>
        </w:rPr>
        <w:t xml:space="preserve"> </w:t>
      </w:r>
      <w:r>
        <w:rPr>
          <w:rFonts w:hint="eastAsia" w:ascii="宋体" w:hAnsi="宋体"/>
          <w:sz w:val="24"/>
        </w:rPr>
        <w:t>评审专家应当遵守评审工作纪律，不得泄露评审文件、评审情况和评审中获悉的商业秘密。</w:t>
      </w:r>
    </w:p>
    <w:p>
      <w:pPr>
        <w:spacing w:line="360" w:lineRule="auto"/>
        <w:ind w:firstLine="480" w:firstLineChars="200"/>
        <w:rPr>
          <w:rFonts w:hint="eastAsia" w:ascii="宋体" w:hAnsi="宋体"/>
          <w:sz w:val="24"/>
        </w:rPr>
      </w:pPr>
      <w:r>
        <w:rPr>
          <w:rFonts w:hint="eastAsia" w:ascii="宋体" w:hAnsi="宋体"/>
          <w:sz w:val="24"/>
        </w:rPr>
        <w:t>评标委员会在评审过程中发现投标人有行贿、提供虚假材料或者串通等违法行为的，应当及时向财政部门报告。</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.12</w:t>
      </w:r>
      <w:r>
        <w:rPr>
          <w:rFonts w:ascii="宋体" w:hAnsi="宋体"/>
          <w:sz w:val="24"/>
        </w:rPr>
        <w:t xml:space="preserve"> </w:t>
      </w:r>
      <w:r>
        <w:rPr>
          <w:rFonts w:hint="eastAsia" w:ascii="宋体" w:hAnsi="宋体"/>
          <w:sz w:val="24"/>
        </w:rPr>
        <w:t>招标文件内容违反国家有关强制性规定的，评标委员会应当停止评审并向采购代理机构说明情况。</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.13</w:t>
      </w:r>
      <w:r>
        <w:rPr>
          <w:rFonts w:ascii="宋体" w:hAnsi="宋体"/>
          <w:sz w:val="24"/>
        </w:rPr>
        <w:t xml:space="preserve"> </w:t>
      </w:r>
      <w:r>
        <w:rPr>
          <w:rFonts w:hint="eastAsia" w:ascii="宋体" w:hAnsi="宋体"/>
          <w:sz w:val="24"/>
        </w:rPr>
        <w:t>评审专家应当配合采购代理机构答复投标人提出的质疑。</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.14</w:t>
      </w:r>
      <w:r>
        <w:rPr>
          <w:rFonts w:ascii="宋体" w:hAnsi="宋体"/>
          <w:sz w:val="24"/>
        </w:rPr>
        <w:t xml:space="preserve"> </w:t>
      </w:r>
      <w:r>
        <w:rPr>
          <w:rFonts w:hint="eastAsia" w:ascii="宋体" w:hAnsi="宋体"/>
          <w:sz w:val="24"/>
        </w:rPr>
        <w:t>评审专家应当配合财政部门的投诉处理工作。</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.15.1</w:t>
      </w:r>
      <w:r>
        <w:rPr>
          <w:rFonts w:ascii="宋体" w:hAnsi="宋体"/>
          <w:sz w:val="24"/>
        </w:rPr>
        <w:t xml:space="preserve"> </w:t>
      </w:r>
      <w:r>
        <w:rPr>
          <w:rFonts w:hint="eastAsia" w:ascii="宋体" w:hAnsi="宋体"/>
          <w:sz w:val="24"/>
        </w:rPr>
        <w:t>明知应当回避而未主动回避的；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.15.2</w:t>
      </w:r>
      <w:r>
        <w:rPr>
          <w:rFonts w:ascii="宋体" w:hAnsi="宋体"/>
          <w:sz w:val="24"/>
        </w:rPr>
        <w:t xml:space="preserve"> </w:t>
      </w:r>
      <w:r>
        <w:rPr>
          <w:rFonts w:hint="eastAsia" w:ascii="宋体" w:hAnsi="宋体"/>
          <w:sz w:val="24"/>
        </w:rPr>
        <w:t>在知道自己为评审专家身份后至评审结束前的时段内私下接触投标人的；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.15.3</w:t>
      </w:r>
      <w:r>
        <w:rPr>
          <w:rFonts w:ascii="宋体" w:hAnsi="宋体"/>
          <w:sz w:val="24"/>
        </w:rPr>
        <w:t xml:space="preserve"> </w:t>
      </w:r>
      <w:r>
        <w:rPr>
          <w:rFonts w:hint="eastAsia" w:ascii="宋体" w:hAnsi="宋体"/>
          <w:sz w:val="24"/>
        </w:rPr>
        <w:t>在评审过程中擅离职守，影响评审程序正常进行的；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.15.4</w:t>
      </w:r>
      <w:r>
        <w:rPr>
          <w:rFonts w:ascii="宋体" w:hAnsi="宋体"/>
          <w:sz w:val="24"/>
        </w:rPr>
        <w:t xml:space="preserve"> </w:t>
      </w:r>
      <w:r>
        <w:rPr>
          <w:rFonts w:hint="eastAsia" w:ascii="宋体" w:hAnsi="宋体"/>
          <w:sz w:val="24"/>
        </w:rPr>
        <w:t>在评审过程有明显不合理或者不正当倾向性的；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.15.5</w:t>
      </w:r>
      <w:r>
        <w:rPr>
          <w:rFonts w:ascii="宋体" w:hAnsi="宋体"/>
          <w:sz w:val="24"/>
        </w:rPr>
        <w:t xml:space="preserve"> </w:t>
      </w:r>
      <w:r>
        <w:rPr>
          <w:rFonts w:hint="eastAsia" w:ascii="宋体" w:hAnsi="宋体"/>
          <w:sz w:val="24"/>
        </w:rPr>
        <w:t>未按招标文件规定的评审方法和标准进行评审的。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.15.6</w:t>
      </w:r>
      <w:r>
        <w:rPr>
          <w:rFonts w:ascii="宋体" w:hAnsi="宋体"/>
          <w:sz w:val="24"/>
        </w:rPr>
        <w:t xml:space="preserve"> </w:t>
      </w:r>
      <w:r>
        <w:rPr>
          <w:rFonts w:hint="eastAsia" w:ascii="宋体" w:hAnsi="宋体"/>
          <w:sz w:val="24"/>
        </w:rPr>
        <w:t>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.16</w:t>
      </w:r>
      <w:r>
        <w:rPr>
          <w:rFonts w:ascii="宋体" w:hAnsi="宋体"/>
          <w:sz w:val="24"/>
        </w:rPr>
        <w:t xml:space="preserve"> </w:t>
      </w:r>
      <w:r>
        <w:rPr>
          <w:rFonts w:hint="eastAsia" w:ascii="宋体" w:hAnsi="宋体"/>
          <w:sz w:val="24"/>
        </w:rPr>
        <w:t>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.17</w:t>
      </w:r>
      <w:r>
        <w:rPr>
          <w:rFonts w:ascii="宋体" w:hAnsi="宋体"/>
          <w:sz w:val="24"/>
        </w:rPr>
        <w:t xml:space="preserve"> </w:t>
      </w:r>
      <w:r>
        <w:rPr>
          <w:rFonts w:hint="eastAsia" w:ascii="宋体" w:hAnsi="宋体"/>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eastAsia"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hint="eastAsia"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sz w:val="24"/>
        </w:rPr>
      </w:pPr>
      <w:r>
        <w:rPr>
          <w:rFonts w:hint="eastAsia" w:ascii="宋体" w:hAnsi="宋体"/>
          <w:sz w:val="24"/>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hint="eastAsia" w:ascii="宋体" w:hAnsi="宋体"/>
        </w:rPr>
      </w:pPr>
    </w:p>
    <w:sectPr>
      <w:footerReference r:id="rId9" w:type="first"/>
      <w:headerReference r:id="rId6" w:type="default"/>
      <w:footerReference r:id="rId7" w:type="default"/>
      <w:footerReference r:id="rId8" w:type="even"/>
      <w:pgSz w:w="11906" w:h="16838"/>
      <w:pgMar w:top="820" w:right="991"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7"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楷体_gb18030">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lang w:eastAsia="zh-CN"/>
      </w:rPr>
    </w:pPr>
    <w:r>
      <w:rPr>
        <w:rFonts w:hint="eastAsia"/>
      </w:rPr>
      <w:t xml:space="preserve">   招标代理机构：浙江</w:t>
    </w:r>
    <w:r>
      <w:rPr>
        <w:rFonts w:hint="eastAsia"/>
        <w:lang w:eastAsia="zh-CN"/>
      </w:rPr>
      <w:t>鼎峰</w:t>
    </w:r>
    <w:r>
      <w:rPr>
        <w:rFonts w:hint="eastAsia"/>
      </w:rPr>
      <w:t>工程咨询有限公司         电话：0578-2</w:t>
    </w:r>
    <w:r>
      <w:rPr>
        <w:rFonts w:hint="eastAsia"/>
        <w:lang w:eastAsia="zh-CN"/>
      </w:rPr>
      <w:t>571155</w:t>
    </w:r>
    <w:r>
      <w:rPr>
        <w:rFonts w:hint="eastAsia"/>
      </w:rPr>
      <w:t xml:space="preserve">         传真：0578-2</w:t>
    </w:r>
    <w:r>
      <w:rPr>
        <w:rFonts w:hint="eastAsia"/>
        <w:lang w:eastAsia="zh-CN"/>
      </w:rPr>
      <w:t>531111</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right"/>
      <w:rPr>
        <w:rFonts w:hint="eastAsia"/>
      </w:rPr>
    </w:pPr>
    <w:r>
      <w:rPr>
        <w:rFonts w:hint="eastAsia"/>
      </w:rPr>
      <w:t>招标代理机构：浙江</w:t>
    </w:r>
    <w:r>
      <w:rPr>
        <w:rFonts w:hint="eastAsia"/>
        <w:lang w:eastAsia="zh-CN"/>
      </w:rPr>
      <w:t>鼎峰</w:t>
    </w:r>
    <w:r>
      <w:rPr>
        <w:rFonts w:hint="eastAsia"/>
      </w:rPr>
      <w:t>工程咨询有限公司         电话：0578-2</w:t>
    </w:r>
    <w:r>
      <w:rPr>
        <w:rFonts w:hint="eastAsia"/>
        <w:lang w:eastAsia="zh-CN"/>
      </w:rPr>
      <w:t>571155</w:t>
    </w:r>
    <w:r>
      <w:rPr>
        <w:rFonts w:hint="eastAsia"/>
      </w:rPr>
      <w:t xml:space="preserve">         传真：0578-2</w:t>
    </w:r>
    <w:r>
      <w:rPr>
        <w:rFonts w:hint="eastAsia"/>
        <w:lang w:eastAsia="zh-CN"/>
      </w:rPr>
      <w:t>531111</w:t>
    </w:r>
  </w:p>
  <w:p>
    <w:pPr>
      <w:pStyle w:val="2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rPr>
    </w:pPr>
    <w:r>
      <w:rPr>
        <w:rFonts w:hint="eastAsia"/>
      </w:rPr>
      <w:t xml:space="preserve">  招标代理机构：浙江</w:t>
    </w:r>
    <w:r>
      <w:rPr>
        <w:rFonts w:hint="eastAsia"/>
        <w:lang w:eastAsia="zh-CN"/>
      </w:rPr>
      <w:t>鼎峰</w:t>
    </w:r>
    <w:r>
      <w:rPr>
        <w:rFonts w:hint="eastAsia"/>
      </w:rPr>
      <w:t>工程咨询有限公司         电话：0578-2</w:t>
    </w:r>
    <w:r>
      <w:rPr>
        <w:rFonts w:hint="eastAsia"/>
        <w:lang w:eastAsia="zh-CN"/>
      </w:rPr>
      <w:t>571155</w:t>
    </w:r>
    <w:r>
      <w:rPr>
        <w:rFonts w:hint="eastAsia"/>
      </w:rPr>
      <w:t xml:space="preserve">         传真：0578-2</w:t>
    </w:r>
    <w:r>
      <w:rPr>
        <w:rFonts w:hint="eastAsia"/>
        <w:lang w:eastAsia="zh-CN"/>
      </w:rPr>
      <w:t>531111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2"/>
      </w:pBdr>
      <w:tabs>
        <w:tab w:val="left" w:pos="6580"/>
        <w:tab w:val="clear" w:pos="8306"/>
      </w:tabs>
      <w:spacing w:line="240" w:lineRule="auto"/>
      <w:jc w:val="both"/>
      <w:rPr>
        <w:rFonts w:hint="eastAsia"/>
        <w:kern w:val="2"/>
        <w:szCs w:val="24"/>
        <w:lang w:val="en-US" w:eastAsia="zh-CN"/>
      </w:rPr>
    </w:pPr>
    <w:r>
      <w:rPr>
        <w:kern w:val="2"/>
        <w:szCs w:val="24"/>
        <w:lang w:val="en-US" w:eastAsia="zh-CN"/>
      </w:rPr>
      <mc:AlternateContent>
        <mc:Choice Requires="wps">
          <w:drawing>
            <wp:anchor distT="0" distB="0" distL="114300" distR="114300" simplePos="0" relativeHeight="251659264" behindDoc="0" locked="0" layoutInCell="1" allowOverlap="1">
              <wp:simplePos x="0" y="0"/>
              <wp:positionH relativeFrom="margin">
                <wp:posOffset>5097145</wp:posOffset>
              </wp:positionH>
              <wp:positionV relativeFrom="paragraph">
                <wp:posOffset>0</wp:posOffset>
              </wp:positionV>
              <wp:extent cx="4578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56</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1.35pt;margin-top:0pt;height:11.65pt;width:36.05pt;mso-position-horizontal-relative:margin;mso-wrap-style:none;z-index:251659264;mso-width-relative:page;mso-height-relative:page;" filled="f" stroked="f" coordsize="21600,21600" o:gfxdata="UEsDBAoAAAAAAIdO4kAAAAAAAAAAAAAAAAAEAAAAZHJzL1BLAwQUAAAACACHTuJAyOZs5dUAAAAH AQAADwAAAGRycy9kb3ducmV2LnhtbE2PzU7DMBCE70i8g7VI3KjdpKJRiFOJinBEouHA0Y2XJK1/ IttNw9uznOA4mtHMN9VusYbNGOLonYT1SgBD13k9ul7CR9s8FMBiUk4r4x1K+MYIu/r2plKl9lf3 jvMh9YxKXCyVhCGlqeQ8dgNaFVd+Qkfelw9WJZKh5zqoK5VbwzMhHrlVo6OFQU24H7A7Hy5Wwr5p 2zBjDOYTX5v89Pa8wZdFyvu7tXgClnBJf2H4xSd0qInp6C9OR2YkFCLbUlQCPSK72G7oyVFClufA 64r/569/AFBLAwQUAAAACACHTuJAa+TjvDICAABjBAAADgAAAGRycy9lMm9Eb2MueG1srVTNjtMw EL4j8Q6W7zRpWVZV1XRVtipCqtiVFsTZdZwmkv9ku03KA8AbcOLCnefqc/DZabpo4bAHLunYM/5m vm9mOr/plCQH4XxjdEHHo5wSobkpG70r6KeP61dTSnxgumTSaFHQo/D0ZvHyxby1MzExtZGlcAQg 2s9aW9A6BDvLMs9roZgfGSs0nJVxigUc3S4rHWuBrmQ2yfPrrDWutM5w4T1uV72TnhHdcwBNVTVc rAzfK6FDj+qEZAGUfN1YTxep2qoSPNxVlReByIKCaUhfJIG9jd9sMWeznWO2bvi5BPacEp5wUqzR SHqBWrHAyN41f0GphjvjTRVG3KisJ5IUAYtx/kSbh5pZkbhAam8vovv/B8s/HO4dacqCXlGimULD T9+/nX78Ov38Sq6iPK31M0Q9WMSF7q3pMDTDvcdlZN1VTsVf8CHwQ9zjRVzRBcLjo+lkOs3h4vAN B+Bnj8+t8+GdMIpEo6AO3UuissPGhz50CInZtFk3UqYOSk3agl6/fpOnBxcPwKWOsSLNwhkmUupL j1bott2Z59aUR9B0pp8Tb/m6QSkb5sM9cxgMlI/VCXf4VNIgpTlblNTGffnXfYxHv+ClpMWgFVRj ryiR7zX6CMAwGG4wtoOh9+rWYHLHWEnLk4kHLsjBrJxRn7FPy5gDLqY5MhU0DOZt6Icd+8jFcpmC MHmWhY1+sDxCR3m8Xe4D5EwqR1F6JdCdeMDspT6d9yQO95/nFPX437D4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MjmbOXVAAAABwEAAA8AAAAAAAAAAQAgAAAAIgAAAGRycy9kb3ducmV2LnhtbFBL AQIUABQAAAAIAIdO4kBr5OO8MgIAAGMEAAAOAAAAAAAAAAEAIAAAACQBAABkcnMvZTJvRG9jLnht bFBLBQYAAAAABgAGAFkBAADIBQAAAAA= ">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56</w:t>
                    </w:r>
                    <w:r>
                      <w:rPr>
                        <w:rFonts w:hint="eastAsia"/>
                        <w:sz w:val="18"/>
                      </w:rPr>
                      <w:fldChar w:fldCharType="end"/>
                    </w:r>
                    <w:r>
                      <w:rPr>
                        <w:rFonts w:hint="eastAsia"/>
                        <w:sz w:val="18"/>
                      </w:rPr>
                      <w:t xml:space="preserve"> 页</w:t>
                    </w:r>
                  </w:p>
                </w:txbxContent>
              </v:textbox>
            </v:shape>
          </w:pict>
        </mc:Fallback>
      </mc:AlternateContent>
    </w:r>
    <w:r>
      <w:rPr>
        <w:rFonts w:hint="eastAsia"/>
        <w:kern w:val="2"/>
        <w:szCs w:val="24"/>
        <w:lang w:val="en-US" w:eastAsia="zh-CN"/>
      </w:rPr>
      <w:t>2018年市本级监察留置场所信息化建设项目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2"/>
      </w:pBdr>
      <w:tabs>
        <w:tab w:val="left" w:pos="6580"/>
        <w:tab w:val="clear" w:pos="8306"/>
      </w:tabs>
      <w:spacing w:line="240" w:lineRule="auto"/>
      <w:jc w:val="both"/>
      <w:rPr>
        <w:rFonts w:hint="eastAsia"/>
        <w:kern w:val="2"/>
        <w:szCs w:val="24"/>
        <w:lang w:val="en-US" w:eastAsia="zh-CN"/>
      </w:rPr>
    </w:pPr>
    <w:r>
      <w:rPr>
        <w:kern w:val="2"/>
        <w:szCs w:val="24"/>
        <w:lang w:val="en-US" w:eastAsia="zh-CN"/>
      </w:rPr>
      <mc:AlternateContent>
        <mc:Choice Requires="wps">
          <w:drawing>
            <wp:anchor distT="0" distB="0" distL="114300" distR="114300" simplePos="0" relativeHeight="251660288" behindDoc="0" locked="0" layoutInCell="1" allowOverlap="1">
              <wp:simplePos x="0" y="0"/>
              <wp:positionH relativeFrom="margin">
                <wp:posOffset>5097145</wp:posOffset>
              </wp:positionH>
              <wp:positionV relativeFrom="paragraph">
                <wp:posOffset>0</wp:posOffset>
              </wp:positionV>
              <wp:extent cx="457835" cy="14795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69</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left:401.35pt;margin-top:0pt;height:11.65pt;width:36.05pt;mso-position-horizontal-relative:margin;mso-wrap-style:none;z-index:251660288;mso-width-relative:page;mso-height-relative:page;" filled="f" stroked="f" coordsize="21600,21600" o:gfxdata="UEsDBAoAAAAAAIdO4kAAAAAAAAAAAAAAAAAEAAAAZHJzL1BLAwQUAAAACACHTuJAyOZs5dUAAAAH AQAADwAAAGRycy9kb3ducmV2LnhtbE2PzU7DMBCE70i8g7VI3KjdpKJRiFOJinBEouHA0Y2XJK1/ IttNw9uznOA4mtHMN9VusYbNGOLonYT1SgBD13k9ul7CR9s8FMBiUk4r4x1K+MYIu/r2plKl9lf3 jvMh9YxKXCyVhCGlqeQ8dgNaFVd+Qkfelw9WJZKh5zqoK5VbwzMhHrlVo6OFQU24H7A7Hy5Wwr5p 2zBjDOYTX5v89Pa8wZdFyvu7tXgClnBJf2H4xSd0qInp6C9OR2YkFCLbUlQCPSK72G7oyVFClufA 64r/569/AFBLAwQUAAAACACHTuJAtKe9ODECAABjBAAADgAAAGRycy9lMm9Eb2MueG1srVTNjtMw EL4j8Q6W7zTZAqsqaroqWxUhVexKBXF2HaeJ5D/ZbpPyAPAGnLhw3+fqc/A5P120cNgDF2fsGX8z 3zfjzG9aJclROF8bndOrSUqJ0NwUtd7n9POn9asZJT4wXTBptMjpSXh6s3j5Yt7YTExNZWQhHAGI 9lljc1qFYLMk8bwSivmJsULDWRqnWMDW7ZPCsQboSibTNL1OGuMK6wwX3uN01TvpgOieA2jKsuZi ZfhBCR16VCckC6Dkq9p6uuiqLUvBw11ZehGIzCmYhm5FEti7uCaLOcv2jtmq5kMJ7DklPOGkWK2R 9AK1YoGRg6v/glI1d8abMky4UUlPpFMELK7SJ9psK2ZFxwVSe3sR3f8/WP7xeO9IXWASKNFMoeHn H9/PPx/Ov76RN1GexvoMUVuLuNC+M20MHc49DiPrtnQqfsGHwA9xTxdxRRsIj5dm09kshYvDN26A kzxet86H98IoEo2cOnSvE5UdNz70oWNIzKbNupYS5yyTmjQ5vX79Nu0uXDwAlzoGiG4WBphIqS89 WqHdtQOfnSlOoOlMPyfe8nWNUjbMh3vmMBgoH08n3GEppUFKM1iUVMZ9/dd5jEe/4KWkwaDlVONd USI/aPQRgGE03GjsRkMf1K3B5KI3qKUzccEFOZqlM+oL3tMy5oCLaY5MOQ2jeRv6Ycd75GK57IIw eZaFjd5aHqGjPN4uDwFydipHUXol0J24wex1fRreSRzuP/dd1OO/YfEb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nwQAAFtDb250ZW50X1R5cGVz XS54bWxQSwECFAAKAAAAAACHTuJAAAAAAAAAAAAAAAAABgAAAAAAAAAAABAAAACBAwAAX3JlbHMv UEsBAhQAFAAAAAgAh07iQIoUZjzRAAAAlAEAAAsAAAAAAAAAAQAgAAAApQMAAF9yZWxzLy5yZWxz UEsBAhQACgAAAAAAh07iQAAAAAAAAAAAAAAAAAQAAAAAAAAAAAAQAAAAAAAAAGRycy9QSwECFAAU AAAACACHTuJAyOZs5dUAAAAHAQAADwAAAAAAAAABACAAAAAiAAAAZHJzL2Rvd25yZXYueG1sUEsB AhQAFAAAAAgAh07iQLSnvTgxAgAAYwQAAA4AAAAAAAAAAQAgAAAAJAEAAGRycy9lMm9Eb2MueG1s UEsFBgAAAAAGAAYAWQEAAMcFAAAAAA== ">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69</w:t>
                    </w:r>
                    <w:r>
                      <w:rPr>
                        <w:rFonts w:hint="eastAsia"/>
                        <w:sz w:val="18"/>
                      </w:rPr>
                      <w:fldChar w:fldCharType="end"/>
                    </w:r>
                    <w:r>
                      <w:rPr>
                        <w:rFonts w:hint="eastAsia"/>
                        <w:sz w:val="18"/>
                      </w:rPr>
                      <w:t xml:space="preserve"> 页</w:t>
                    </w:r>
                  </w:p>
                </w:txbxContent>
              </v:textbox>
            </v:shape>
          </w:pict>
        </mc:Fallback>
      </mc:AlternateContent>
    </w:r>
    <w:r>
      <w:rPr>
        <w:rFonts w:hint="eastAsia"/>
        <w:kern w:val="2"/>
        <w:szCs w:val="24"/>
        <w:lang w:val="en-US" w:eastAsia="zh-CN"/>
      </w:rPr>
      <w:t>2018年市本级监察留置场所信息化建设项目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630C3"/>
    <w:multiLevelType w:val="singleLevel"/>
    <w:tmpl w:val="F33630C3"/>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leftChars="400" w:hanging="360" w:hangingChars="200"/>
      </w:pPr>
    </w:lvl>
  </w:abstractNum>
  <w:abstractNum w:abstractNumId="2">
    <w:nsid w:val="314675E1"/>
    <w:multiLevelType w:val="multilevel"/>
    <w:tmpl w:val="314675E1"/>
    <w:lvl w:ilvl="0" w:tentative="0">
      <w:start w:val="1"/>
      <w:numFmt w:val="decimal"/>
      <w:lvlText w:val="%1"/>
      <w:lvlJc w:val="left"/>
      <w:pPr>
        <w:ind w:left="585" w:hanging="585"/>
      </w:pPr>
      <w:rPr>
        <w:rFonts w:hint="default"/>
      </w:rPr>
    </w:lvl>
    <w:lvl w:ilvl="1" w:tentative="0">
      <w:start w:val="1"/>
      <w:numFmt w:val="decimal"/>
      <w:lvlText w:val="%1.%2"/>
      <w:lvlJc w:val="left"/>
      <w:pPr>
        <w:ind w:left="585" w:hanging="585"/>
      </w:pPr>
      <w:rPr>
        <w:rFonts w:hint="default"/>
      </w:rPr>
    </w:lvl>
    <w:lvl w:ilvl="2" w:tentative="0">
      <w:start w:val="1"/>
      <w:numFmt w:val="decimal"/>
      <w:lvlText w:val="%1.%2.%3"/>
      <w:lvlJc w:val="left"/>
      <w:pPr>
        <w:ind w:left="720" w:hanging="720"/>
      </w:pPr>
      <w:rPr>
        <w:rFonts w:hint="default"/>
      </w:rPr>
    </w:lvl>
    <w:lvl w:ilvl="3" w:tentative="0">
      <w:start w:val="1"/>
      <w:numFmt w:val="decimal"/>
      <w:pStyle w:val="215"/>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505E62ED"/>
    <w:multiLevelType w:val="multilevel"/>
    <w:tmpl w:val="505E62ED"/>
    <w:lvl w:ilvl="0" w:tentative="0">
      <w:start w:val="1"/>
      <w:numFmt w:val="none"/>
      <w:lvlText w:val=""/>
      <w:lvlJc w:val="left"/>
      <w:pPr>
        <w:tabs>
          <w:tab w:val="left" w:pos="481"/>
        </w:tabs>
        <w:ind w:left="708" w:hanging="283"/>
      </w:pPr>
      <w:rPr>
        <w:rFonts w:hint="default"/>
        <w:b w:val="0"/>
        <w:bCs/>
        <w:i w:val="0"/>
        <w:iCs w:val="0"/>
        <w:caps w:val="0"/>
        <w:strike w:val="0"/>
        <w:dstrike w:val="0"/>
        <w:vanish w:val="0"/>
        <w:color w:val="auto"/>
        <w:sz w:val="13"/>
        <w:szCs w:val="13"/>
        <w:vertAlign w:val="baseline"/>
      </w:rPr>
    </w:lvl>
    <w:lvl w:ilvl="1" w:tentative="0">
      <w:start w:val="1"/>
      <w:numFmt w:val="decimal"/>
      <w:lvlRestart w:val="0"/>
      <w:suff w:val="nothing"/>
      <w:lvlText w:val="%2%1"/>
      <w:lvlJc w:val="left"/>
      <w:pPr>
        <w:ind w:left="141" w:firstLine="0"/>
      </w:pPr>
      <w:rPr>
        <w:rFonts w:hint="default" w:ascii="Arial" w:hAnsi="Arial" w:cs="Arial"/>
        <w:b w:val="0"/>
        <w:bCs w:val="0"/>
        <w:i w:val="0"/>
        <w:iCs w:val="0"/>
        <w:caps w:val="0"/>
        <w:strike w:val="0"/>
        <w:dstrike w:val="0"/>
        <w:vanish w:val="0"/>
        <w:color w:val="auto"/>
        <w:sz w:val="30"/>
        <w:szCs w:val="30"/>
        <w:vertAlign w:val="baseline"/>
      </w:rPr>
    </w:lvl>
    <w:lvl w:ilvl="2" w:tentative="0">
      <w:start w:val="1"/>
      <w:numFmt w:val="decimal"/>
      <w:lvlRestart w:val="0"/>
      <w:suff w:val="nothing"/>
      <w:lvlText w:val="%1 "/>
      <w:lvlJc w:val="left"/>
      <w:pPr>
        <w:ind w:left="141" w:firstLine="0"/>
      </w:pPr>
      <w:rPr>
        <w:rFonts w:hint="default" w:ascii="Arial" w:hAnsi="Arial" w:cs="Arial"/>
        <w:b w:val="0"/>
        <w:bCs w:val="0"/>
        <w:i w:val="0"/>
        <w:iCs w:val="0"/>
        <w:caps w:val="0"/>
        <w:strike w:val="0"/>
        <w:dstrike w:val="0"/>
        <w:vanish w:val="0"/>
        <w:color w:val="auto"/>
        <w:sz w:val="24"/>
        <w:szCs w:val="24"/>
        <w:vertAlign w:val="baseline"/>
      </w:rPr>
    </w:lvl>
    <w:lvl w:ilvl="3" w:tentative="0">
      <w:start w:val="1"/>
      <w:numFmt w:val="none"/>
      <w:lvlRestart w:val="0"/>
      <w:suff w:val="nothing"/>
      <w:lvlText w:val=""/>
      <w:lvlJc w:val="left"/>
      <w:pPr>
        <w:ind w:left="1530" w:hanging="255"/>
      </w:pPr>
      <w:rPr>
        <w:rFonts w:hint="default" w:ascii="Arial" w:hAnsi="Arial" w:cs="Arial"/>
        <w:b w:val="0"/>
        <w:bCs w:val="0"/>
        <w:i w:val="0"/>
        <w:iCs w:val="0"/>
        <w:caps w:val="0"/>
        <w:strike w:val="0"/>
        <w:dstrike w:val="0"/>
        <w:vanish w:val="0"/>
        <w:color w:val="auto"/>
        <w:sz w:val="21"/>
        <w:szCs w:val="21"/>
        <w:vertAlign w:val="baseline"/>
      </w:rPr>
    </w:lvl>
    <w:lvl w:ilvl="4" w:tentative="0">
      <w:start w:val="1"/>
      <w:numFmt w:val="none"/>
      <w:lvlRestart w:val="0"/>
      <w:lvlText w:val=""/>
      <w:lvlJc w:val="left"/>
      <w:pPr>
        <w:tabs>
          <w:tab w:val="left" w:pos="1785"/>
        </w:tabs>
        <w:ind w:left="1785" w:hanging="510"/>
      </w:pPr>
      <w:rPr>
        <w:rFonts w:hint="default" w:ascii="Arial" w:hAnsi="Arial" w:eastAsia="宋体"/>
        <w:b w:val="0"/>
        <w:bCs w:val="0"/>
        <w:i w:val="0"/>
        <w:iCs w:val="0"/>
        <w:caps w:val="0"/>
        <w:strike w:val="0"/>
        <w:dstrike w:val="0"/>
        <w:snapToGrid/>
        <w:vanish w:val="0"/>
        <w:color w:val="auto"/>
        <w:spacing w:val="0"/>
        <w:w w:val="100"/>
        <w:kern w:val="0"/>
        <w:position w:val="0"/>
        <w:sz w:val="21"/>
        <w:szCs w:val="21"/>
        <w:u w:val="none"/>
        <w:vertAlign w:val="baseline"/>
      </w:rPr>
    </w:lvl>
    <w:lvl w:ilvl="5" w:tentative="0">
      <w:start w:val="1"/>
      <w:numFmt w:val="none"/>
      <w:lvlRestart w:val="0"/>
      <w:suff w:val="space"/>
      <w:lvlText w:val=""/>
      <w:lvlJc w:val="left"/>
      <w:pPr>
        <w:ind w:left="1275" w:firstLine="0"/>
      </w:pPr>
      <w:rPr>
        <w:rFonts w:hint="default" w:ascii="Arial" w:hAnsi="Arial" w:eastAsia="黑体"/>
        <w:b w:val="0"/>
        <w:bCs w:val="0"/>
        <w:i w:val="0"/>
        <w:iCs w:val="0"/>
        <w:color w:val="auto"/>
        <w:sz w:val="18"/>
        <w:szCs w:val="18"/>
        <w:u w:val="none"/>
      </w:rPr>
    </w:lvl>
    <w:lvl w:ilvl="6" w:tentative="0">
      <w:start w:val="1"/>
      <w:numFmt w:val="none"/>
      <w:lvlRestart w:val="0"/>
      <w:suff w:val="space"/>
      <w:lvlText w:val=""/>
      <w:lvlJc w:val="left"/>
      <w:pPr>
        <w:ind w:left="1275" w:firstLine="0"/>
      </w:pPr>
      <w:rPr>
        <w:rFonts w:hint="default" w:ascii="Arial" w:hAnsi="Arial" w:eastAsia="黑体"/>
        <w:b w:val="0"/>
        <w:bCs w:val="0"/>
        <w:i w:val="0"/>
        <w:iCs w:val="0"/>
        <w:caps w:val="0"/>
        <w:strike w:val="0"/>
        <w:dstrike w:val="0"/>
        <w:snapToGrid/>
        <w:vanish w:val="0"/>
        <w:color w:val="auto"/>
        <w:spacing w:val="0"/>
        <w:w w:val="100"/>
        <w:kern w:val="0"/>
        <w:position w:val="0"/>
        <w:sz w:val="18"/>
        <w:szCs w:val="18"/>
        <w:vertAlign w:val="baseline"/>
      </w:rPr>
    </w:lvl>
    <w:lvl w:ilvl="7" w:tentative="0">
      <w:start w:val="1"/>
      <w:numFmt w:val="bullet"/>
      <w:lvlRestart w:val="0"/>
      <w:pStyle w:val="220"/>
      <w:lvlText w:val=""/>
      <w:lvlJc w:val="left"/>
      <w:pPr>
        <w:tabs>
          <w:tab w:val="left" w:pos="482"/>
        </w:tabs>
        <w:ind w:left="709" w:hanging="284"/>
      </w:pPr>
      <w:rPr>
        <w:rFonts w:hint="default" w:ascii="Wingdings" w:hAnsi="Wingdings"/>
        <w:color w:val="auto"/>
        <w:sz w:val="13"/>
      </w:rPr>
    </w:lvl>
    <w:lvl w:ilvl="8" w:tentative="0">
      <w:start w:val="1"/>
      <w:numFmt w:val="none"/>
      <w:lvlRestart w:val="0"/>
      <w:lvlText w:val=""/>
      <w:lvlJc w:val="left"/>
      <w:pPr>
        <w:tabs>
          <w:tab w:val="left" w:pos="1275"/>
        </w:tabs>
        <w:ind w:left="1275" w:hanging="907"/>
      </w:pPr>
      <w:rPr>
        <w:rFonts w:hint="default" w:ascii="Arial" w:hAnsi="Arial" w:eastAsia="宋体"/>
        <w:b/>
        <w:bCs/>
        <w:i w:val="0"/>
        <w:iCs w:val="0"/>
        <w:color w:val="auto"/>
        <w:sz w:val="21"/>
        <w:szCs w:val="21"/>
      </w:rPr>
    </w:lvl>
  </w:abstractNum>
  <w:abstractNum w:abstractNumId="4">
    <w:nsid w:val="6DDA0EC1"/>
    <w:multiLevelType w:val="multilevel"/>
    <w:tmpl w:val="6DDA0EC1"/>
    <w:lvl w:ilvl="0" w:tentative="0">
      <w:start w:val="1"/>
      <w:numFmt w:val="bullet"/>
      <w:pStyle w:val="20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7CE5216B"/>
    <w:multiLevelType w:val="multilevel"/>
    <w:tmpl w:val="7CE5216B"/>
    <w:lvl w:ilvl="0" w:tentative="0">
      <w:start w:val="3"/>
      <w:numFmt w:val="japaneseCounting"/>
      <w:lvlText w:val="第%1章"/>
      <w:lvlJc w:val="left"/>
      <w:pPr>
        <w:tabs>
          <w:tab w:val="left" w:pos="1770"/>
        </w:tabs>
        <w:ind w:left="1770" w:hanging="1770"/>
      </w:pPr>
      <w:rPr>
        <w:rFonts w:hint="default" w:hAnsi="宋体"/>
        <w:sz w:val="44"/>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21"/>
    <w:rsid w:val="00000151"/>
    <w:rsid w:val="00000257"/>
    <w:rsid w:val="00000347"/>
    <w:rsid w:val="000003AB"/>
    <w:rsid w:val="000007FF"/>
    <w:rsid w:val="000026C1"/>
    <w:rsid w:val="00002915"/>
    <w:rsid w:val="00002DA3"/>
    <w:rsid w:val="000036BF"/>
    <w:rsid w:val="00007361"/>
    <w:rsid w:val="00007965"/>
    <w:rsid w:val="000100CB"/>
    <w:rsid w:val="000103DD"/>
    <w:rsid w:val="00011064"/>
    <w:rsid w:val="000110E5"/>
    <w:rsid w:val="0001145B"/>
    <w:rsid w:val="0001237A"/>
    <w:rsid w:val="0001274F"/>
    <w:rsid w:val="000128DF"/>
    <w:rsid w:val="00012AF5"/>
    <w:rsid w:val="00013676"/>
    <w:rsid w:val="00014553"/>
    <w:rsid w:val="000146EA"/>
    <w:rsid w:val="00015297"/>
    <w:rsid w:val="00015555"/>
    <w:rsid w:val="000156DC"/>
    <w:rsid w:val="00015CA7"/>
    <w:rsid w:val="00016630"/>
    <w:rsid w:val="00016AB8"/>
    <w:rsid w:val="00016CFC"/>
    <w:rsid w:val="00017946"/>
    <w:rsid w:val="00017D32"/>
    <w:rsid w:val="00017FBA"/>
    <w:rsid w:val="000209C6"/>
    <w:rsid w:val="00020B3D"/>
    <w:rsid w:val="0002102A"/>
    <w:rsid w:val="000216F7"/>
    <w:rsid w:val="00021BCB"/>
    <w:rsid w:val="00021C09"/>
    <w:rsid w:val="000223D9"/>
    <w:rsid w:val="00022AD6"/>
    <w:rsid w:val="00023011"/>
    <w:rsid w:val="0002392B"/>
    <w:rsid w:val="00023E55"/>
    <w:rsid w:val="00024F82"/>
    <w:rsid w:val="000250A0"/>
    <w:rsid w:val="000257A7"/>
    <w:rsid w:val="00025FCC"/>
    <w:rsid w:val="0002731D"/>
    <w:rsid w:val="0003161E"/>
    <w:rsid w:val="00031624"/>
    <w:rsid w:val="0003238A"/>
    <w:rsid w:val="000329E0"/>
    <w:rsid w:val="00032DA9"/>
    <w:rsid w:val="000335C4"/>
    <w:rsid w:val="00033721"/>
    <w:rsid w:val="00033B08"/>
    <w:rsid w:val="00033E85"/>
    <w:rsid w:val="00033EA0"/>
    <w:rsid w:val="000343BE"/>
    <w:rsid w:val="00034684"/>
    <w:rsid w:val="00034B5D"/>
    <w:rsid w:val="000358E8"/>
    <w:rsid w:val="000361C3"/>
    <w:rsid w:val="0003758B"/>
    <w:rsid w:val="0004021C"/>
    <w:rsid w:val="0004120C"/>
    <w:rsid w:val="000413A0"/>
    <w:rsid w:val="00042AB2"/>
    <w:rsid w:val="000435B2"/>
    <w:rsid w:val="00043CA2"/>
    <w:rsid w:val="0004467D"/>
    <w:rsid w:val="00045BF2"/>
    <w:rsid w:val="0004603F"/>
    <w:rsid w:val="00046DBC"/>
    <w:rsid w:val="00046EA0"/>
    <w:rsid w:val="00046F60"/>
    <w:rsid w:val="0004715C"/>
    <w:rsid w:val="00047921"/>
    <w:rsid w:val="00050159"/>
    <w:rsid w:val="000501D0"/>
    <w:rsid w:val="000505A6"/>
    <w:rsid w:val="00051590"/>
    <w:rsid w:val="0005163A"/>
    <w:rsid w:val="00051A6A"/>
    <w:rsid w:val="000527C6"/>
    <w:rsid w:val="0005280E"/>
    <w:rsid w:val="00053869"/>
    <w:rsid w:val="00053EF6"/>
    <w:rsid w:val="00054228"/>
    <w:rsid w:val="0005450F"/>
    <w:rsid w:val="00054759"/>
    <w:rsid w:val="00054A05"/>
    <w:rsid w:val="0005515A"/>
    <w:rsid w:val="00055161"/>
    <w:rsid w:val="0005560A"/>
    <w:rsid w:val="000569D7"/>
    <w:rsid w:val="0005764D"/>
    <w:rsid w:val="000576E8"/>
    <w:rsid w:val="00057AA3"/>
    <w:rsid w:val="00060459"/>
    <w:rsid w:val="00060A09"/>
    <w:rsid w:val="00060C53"/>
    <w:rsid w:val="00060D7C"/>
    <w:rsid w:val="00061009"/>
    <w:rsid w:val="0006120B"/>
    <w:rsid w:val="00061F76"/>
    <w:rsid w:val="00062902"/>
    <w:rsid w:val="00062A26"/>
    <w:rsid w:val="00063156"/>
    <w:rsid w:val="00063B4E"/>
    <w:rsid w:val="00065686"/>
    <w:rsid w:val="00065F47"/>
    <w:rsid w:val="0006601F"/>
    <w:rsid w:val="00066894"/>
    <w:rsid w:val="00066F83"/>
    <w:rsid w:val="000678CA"/>
    <w:rsid w:val="000701CF"/>
    <w:rsid w:val="00070456"/>
    <w:rsid w:val="00070609"/>
    <w:rsid w:val="00071F41"/>
    <w:rsid w:val="00072078"/>
    <w:rsid w:val="00072216"/>
    <w:rsid w:val="00072805"/>
    <w:rsid w:val="00072F1D"/>
    <w:rsid w:val="000734EB"/>
    <w:rsid w:val="00073C0B"/>
    <w:rsid w:val="000757FE"/>
    <w:rsid w:val="00075E0D"/>
    <w:rsid w:val="000764F4"/>
    <w:rsid w:val="00076E1D"/>
    <w:rsid w:val="0007757D"/>
    <w:rsid w:val="000777EF"/>
    <w:rsid w:val="000800CB"/>
    <w:rsid w:val="00080156"/>
    <w:rsid w:val="000818CA"/>
    <w:rsid w:val="00083194"/>
    <w:rsid w:val="000833D3"/>
    <w:rsid w:val="000833E2"/>
    <w:rsid w:val="000836D1"/>
    <w:rsid w:val="000836F5"/>
    <w:rsid w:val="00084ADE"/>
    <w:rsid w:val="0008691D"/>
    <w:rsid w:val="00090800"/>
    <w:rsid w:val="00090862"/>
    <w:rsid w:val="00090B6C"/>
    <w:rsid w:val="00090C0D"/>
    <w:rsid w:val="00092863"/>
    <w:rsid w:val="00095E92"/>
    <w:rsid w:val="00096864"/>
    <w:rsid w:val="00097480"/>
    <w:rsid w:val="000A04FD"/>
    <w:rsid w:val="000A1B3E"/>
    <w:rsid w:val="000A22EE"/>
    <w:rsid w:val="000A2315"/>
    <w:rsid w:val="000A27E4"/>
    <w:rsid w:val="000A2B08"/>
    <w:rsid w:val="000A39D3"/>
    <w:rsid w:val="000A5E1C"/>
    <w:rsid w:val="000A63AD"/>
    <w:rsid w:val="000A7BFF"/>
    <w:rsid w:val="000A7DFA"/>
    <w:rsid w:val="000B004A"/>
    <w:rsid w:val="000B0188"/>
    <w:rsid w:val="000B01F1"/>
    <w:rsid w:val="000B0738"/>
    <w:rsid w:val="000B08E5"/>
    <w:rsid w:val="000B0C51"/>
    <w:rsid w:val="000B12C3"/>
    <w:rsid w:val="000B12ED"/>
    <w:rsid w:val="000B1F08"/>
    <w:rsid w:val="000B2765"/>
    <w:rsid w:val="000B2CCA"/>
    <w:rsid w:val="000B3803"/>
    <w:rsid w:val="000B4011"/>
    <w:rsid w:val="000B4377"/>
    <w:rsid w:val="000B4C6D"/>
    <w:rsid w:val="000B50CF"/>
    <w:rsid w:val="000B528E"/>
    <w:rsid w:val="000B53D6"/>
    <w:rsid w:val="000B562A"/>
    <w:rsid w:val="000B5688"/>
    <w:rsid w:val="000B5707"/>
    <w:rsid w:val="000B65AA"/>
    <w:rsid w:val="000B6FA5"/>
    <w:rsid w:val="000B73BB"/>
    <w:rsid w:val="000B7C7B"/>
    <w:rsid w:val="000B7FF6"/>
    <w:rsid w:val="000C012F"/>
    <w:rsid w:val="000C0DDD"/>
    <w:rsid w:val="000C2D29"/>
    <w:rsid w:val="000C5478"/>
    <w:rsid w:val="000C5A03"/>
    <w:rsid w:val="000C5E30"/>
    <w:rsid w:val="000C5F87"/>
    <w:rsid w:val="000C60DA"/>
    <w:rsid w:val="000C64A3"/>
    <w:rsid w:val="000D0F2F"/>
    <w:rsid w:val="000D159E"/>
    <w:rsid w:val="000D1A7E"/>
    <w:rsid w:val="000D1E6B"/>
    <w:rsid w:val="000D1E89"/>
    <w:rsid w:val="000D21F2"/>
    <w:rsid w:val="000D2DBA"/>
    <w:rsid w:val="000D447D"/>
    <w:rsid w:val="000D52AF"/>
    <w:rsid w:val="000D59C1"/>
    <w:rsid w:val="000D5A7D"/>
    <w:rsid w:val="000D5F8C"/>
    <w:rsid w:val="000D682D"/>
    <w:rsid w:val="000D6D21"/>
    <w:rsid w:val="000D7862"/>
    <w:rsid w:val="000D79FC"/>
    <w:rsid w:val="000D7DAF"/>
    <w:rsid w:val="000E03F7"/>
    <w:rsid w:val="000E10C7"/>
    <w:rsid w:val="000E12C5"/>
    <w:rsid w:val="000E166E"/>
    <w:rsid w:val="000E16CC"/>
    <w:rsid w:val="000E1990"/>
    <w:rsid w:val="000E20B1"/>
    <w:rsid w:val="000E21CC"/>
    <w:rsid w:val="000E2239"/>
    <w:rsid w:val="000E28C7"/>
    <w:rsid w:val="000E2A4A"/>
    <w:rsid w:val="000E2C6E"/>
    <w:rsid w:val="000E3067"/>
    <w:rsid w:val="000E3AC9"/>
    <w:rsid w:val="000E469B"/>
    <w:rsid w:val="000E4987"/>
    <w:rsid w:val="000E4C38"/>
    <w:rsid w:val="000E4CE5"/>
    <w:rsid w:val="000E525D"/>
    <w:rsid w:val="000E5827"/>
    <w:rsid w:val="000E59CC"/>
    <w:rsid w:val="000E5ADE"/>
    <w:rsid w:val="000E5DE9"/>
    <w:rsid w:val="000E640C"/>
    <w:rsid w:val="000E6610"/>
    <w:rsid w:val="000E72E5"/>
    <w:rsid w:val="000E756B"/>
    <w:rsid w:val="000E7F0F"/>
    <w:rsid w:val="000F2240"/>
    <w:rsid w:val="000F2EE0"/>
    <w:rsid w:val="000F2F23"/>
    <w:rsid w:val="000F31F9"/>
    <w:rsid w:val="000F3207"/>
    <w:rsid w:val="000F3AA7"/>
    <w:rsid w:val="000F424C"/>
    <w:rsid w:val="000F5611"/>
    <w:rsid w:val="000F5E1D"/>
    <w:rsid w:val="000F5E9A"/>
    <w:rsid w:val="000F648B"/>
    <w:rsid w:val="000F6AA1"/>
    <w:rsid w:val="000F700F"/>
    <w:rsid w:val="000F72F9"/>
    <w:rsid w:val="00101CD7"/>
    <w:rsid w:val="00102063"/>
    <w:rsid w:val="00102286"/>
    <w:rsid w:val="0010231C"/>
    <w:rsid w:val="00102558"/>
    <w:rsid w:val="00102D03"/>
    <w:rsid w:val="00103500"/>
    <w:rsid w:val="00104605"/>
    <w:rsid w:val="00104A90"/>
    <w:rsid w:val="00104EE9"/>
    <w:rsid w:val="00106695"/>
    <w:rsid w:val="001066B7"/>
    <w:rsid w:val="001077A9"/>
    <w:rsid w:val="00110111"/>
    <w:rsid w:val="001103A9"/>
    <w:rsid w:val="00110958"/>
    <w:rsid w:val="001112FA"/>
    <w:rsid w:val="00111D5E"/>
    <w:rsid w:val="00111F5F"/>
    <w:rsid w:val="00112137"/>
    <w:rsid w:val="001131AA"/>
    <w:rsid w:val="0011348A"/>
    <w:rsid w:val="001146B0"/>
    <w:rsid w:val="00115EF1"/>
    <w:rsid w:val="00116896"/>
    <w:rsid w:val="00117E39"/>
    <w:rsid w:val="001208ED"/>
    <w:rsid w:val="00120A4E"/>
    <w:rsid w:val="00121FBC"/>
    <w:rsid w:val="0012304B"/>
    <w:rsid w:val="0012326E"/>
    <w:rsid w:val="0012367D"/>
    <w:rsid w:val="001237DE"/>
    <w:rsid w:val="00126C10"/>
    <w:rsid w:val="00127259"/>
    <w:rsid w:val="00127554"/>
    <w:rsid w:val="001303B2"/>
    <w:rsid w:val="001311BE"/>
    <w:rsid w:val="00131257"/>
    <w:rsid w:val="00132A59"/>
    <w:rsid w:val="00133095"/>
    <w:rsid w:val="001334F2"/>
    <w:rsid w:val="00133ACE"/>
    <w:rsid w:val="00133D33"/>
    <w:rsid w:val="0013485C"/>
    <w:rsid w:val="00134948"/>
    <w:rsid w:val="00135F9E"/>
    <w:rsid w:val="001361AF"/>
    <w:rsid w:val="001361E5"/>
    <w:rsid w:val="00140244"/>
    <w:rsid w:val="0014133E"/>
    <w:rsid w:val="00141D82"/>
    <w:rsid w:val="00143787"/>
    <w:rsid w:val="0014384E"/>
    <w:rsid w:val="00143E6A"/>
    <w:rsid w:val="00145CE6"/>
    <w:rsid w:val="001466C2"/>
    <w:rsid w:val="00146A47"/>
    <w:rsid w:val="00146A97"/>
    <w:rsid w:val="00146C31"/>
    <w:rsid w:val="001473CF"/>
    <w:rsid w:val="001477CA"/>
    <w:rsid w:val="00147A89"/>
    <w:rsid w:val="00147ECB"/>
    <w:rsid w:val="001505E4"/>
    <w:rsid w:val="00151002"/>
    <w:rsid w:val="001510DD"/>
    <w:rsid w:val="001511BD"/>
    <w:rsid w:val="00151292"/>
    <w:rsid w:val="00152278"/>
    <w:rsid w:val="001526E1"/>
    <w:rsid w:val="00154CA3"/>
    <w:rsid w:val="00155C39"/>
    <w:rsid w:val="00157144"/>
    <w:rsid w:val="00157471"/>
    <w:rsid w:val="001601B0"/>
    <w:rsid w:val="0016034E"/>
    <w:rsid w:val="00161A36"/>
    <w:rsid w:val="00162064"/>
    <w:rsid w:val="00162C43"/>
    <w:rsid w:val="00162F0B"/>
    <w:rsid w:val="00163B74"/>
    <w:rsid w:val="00164022"/>
    <w:rsid w:val="00165DF2"/>
    <w:rsid w:val="00165EB4"/>
    <w:rsid w:val="001663C3"/>
    <w:rsid w:val="00166430"/>
    <w:rsid w:val="00166A47"/>
    <w:rsid w:val="00166F06"/>
    <w:rsid w:val="00167398"/>
    <w:rsid w:val="00167438"/>
    <w:rsid w:val="00167D78"/>
    <w:rsid w:val="00170A06"/>
    <w:rsid w:val="001714DE"/>
    <w:rsid w:val="00171577"/>
    <w:rsid w:val="0017172A"/>
    <w:rsid w:val="00171799"/>
    <w:rsid w:val="0017217B"/>
    <w:rsid w:val="00172516"/>
    <w:rsid w:val="0017289D"/>
    <w:rsid w:val="00172A15"/>
    <w:rsid w:val="00172BC5"/>
    <w:rsid w:val="00172DB5"/>
    <w:rsid w:val="00173349"/>
    <w:rsid w:val="00173F9B"/>
    <w:rsid w:val="00174134"/>
    <w:rsid w:val="001748B1"/>
    <w:rsid w:val="00175AE9"/>
    <w:rsid w:val="00175C44"/>
    <w:rsid w:val="001767DF"/>
    <w:rsid w:val="00176C21"/>
    <w:rsid w:val="001802A5"/>
    <w:rsid w:val="00180484"/>
    <w:rsid w:val="001809A0"/>
    <w:rsid w:val="00180E6D"/>
    <w:rsid w:val="001818C5"/>
    <w:rsid w:val="00181B95"/>
    <w:rsid w:val="001827C2"/>
    <w:rsid w:val="00182D2F"/>
    <w:rsid w:val="00183167"/>
    <w:rsid w:val="001844F8"/>
    <w:rsid w:val="001847DF"/>
    <w:rsid w:val="001852CA"/>
    <w:rsid w:val="00185BA2"/>
    <w:rsid w:val="00185F6A"/>
    <w:rsid w:val="001860D3"/>
    <w:rsid w:val="00186241"/>
    <w:rsid w:val="0018647B"/>
    <w:rsid w:val="00186DF5"/>
    <w:rsid w:val="001870E2"/>
    <w:rsid w:val="001870F5"/>
    <w:rsid w:val="0019048F"/>
    <w:rsid w:val="00190ADB"/>
    <w:rsid w:val="00190B94"/>
    <w:rsid w:val="00192F7B"/>
    <w:rsid w:val="00193E0D"/>
    <w:rsid w:val="00194EB7"/>
    <w:rsid w:val="001954E7"/>
    <w:rsid w:val="00196320"/>
    <w:rsid w:val="00196FF5"/>
    <w:rsid w:val="00197346"/>
    <w:rsid w:val="00197744"/>
    <w:rsid w:val="00197F54"/>
    <w:rsid w:val="001A0118"/>
    <w:rsid w:val="001A082E"/>
    <w:rsid w:val="001A0865"/>
    <w:rsid w:val="001A1295"/>
    <w:rsid w:val="001A19A6"/>
    <w:rsid w:val="001A2183"/>
    <w:rsid w:val="001A2DDF"/>
    <w:rsid w:val="001A3579"/>
    <w:rsid w:val="001A3E51"/>
    <w:rsid w:val="001A3EE8"/>
    <w:rsid w:val="001A5922"/>
    <w:rsid w:val="001A5F79"/>
    <w:rsid w:val="001A6B31"/>
    <w:rsid w:val="001A7B6D"/>
    <w:rsid w:val="001B01CE"/>
    <w:rsid w:val="001B0451"/>
    <w:rsid w:val="001B0EE2"/>
    <w:rsid w:val="001B1C5C"/>
    <w:rsid w:val="001B251E"/>
    <w:rsid w:val="001B2635"/>
    <w:rsid w:val="001B26E1"/>
    <w:rsid w:val="001B3268"/>
    <w:rsid w:val="001B34C0"/>
    <w:rsid w:val="001B49E5"/>
    <w:rsid w:val="001B4F36"/>
    <w:rsid w:val="001B54D4"/>
    <w:rsid w:val="001B58A4"/>
    <w:rsid w:val="001B6A89"/>
    <w:rsid w:val="001B6C7A"/>
    <w:rsid w:val="001B6C96"/>
    <w:rsid w:val="001C02C4"/>
    <w:rsid w:val="001C043F"/>
    <w:rsid w:val="001C1EA6"/>
    <w:rsid w:val="001C27F6"/>
    <w:rsid w:val="001C3529"/>
    <w:rsid w:val="001C36C8"/>
    <w:rsid w:val="001C3B75"/>
    <w:rsid w:val="001C4045"/>
    <w:rsid w:val="001C4362"/>
    <w:rsid w:val="001C44C5"/>
    <w:rsid w:val="001C56D0"/>
    <w:rsid w:val="001C62DE"/>
    <w:rsid w:val="001C6F03"/>
    <w:rsid w:val="001C7199"/>
    <w:rsid w:val="001C71A3"/>
    <w:rsid w:val="001C726F"/>
    <w:rsid w:val="001C73C2"/>
    <w:rsid w:val="001C79A0"/>
    <w:rsid w:val="001C7AAF"/>
    <w:rsid w:val="001D00F0"/>
    <w:rsid w:val="001D19DA"/>
    <w:rsid w:val="001D2B5F"/>
    <w:rsid w:val="001D34D7"/>
    <w:rsid w:val="001D4425"/>
    <w:rsid w:val="001D469C"/>
    <w:rsid w:val="001D57A9"/>
    <w:rsid w:val="001D61DE"/>
    <w:rsid w:val="001D6414"/>
    <w:rsid w:val="001D742B"/>
    <w:rsid w:val="001D7CB7"/>
    <w:rsid w:val="001D7E48"/>
    <w:rsid w:val="001E04E1"/>
    <w:rsid w:val="001E0851"/>
    <w:rsid w:val="001E0CA8"/>
    <w:rsid w:val="001E1838"/>
    <w:rsid w:val="001E2F7D"/>
    <w:rsid w:val="001E4AFD"/>
    <w:rsid w:val="001E4C17"/>
    <w:rsid w:val="001E514B"/>
    <w:rsid w:val="001E6AC6"/>
    <w:rsid w:val="001E6C86"/>
    <w:rsid w:val="001E6E9B"/>
    <w:rsid w:val="001E71A9"/>
    <w:rsid w:val="001E7350"/>
    <w:rsid w:val="001E79AC"/>
    <w:rsid w:val="001F04CB"/>
    <w:rsid w:val="001F074D"/>
    <w:rsid w:val="001F0A16"/>
    <w:rsid w:val="001F0EFA"/>
    <w:rsid w:val="001F0F4B"/>
    <w:rsid w:val="001F149B"/>
    <w:rsid w:val="001F278F"/>
    <w:rsid w:val="001F2863"/>
    <w:rsid w:val="001F2991"/>
    <w:rsid w:val="001F2ADB"/>
    <w:rsid w:val="001F309B"/>
    <w:rsid w:val="001F3337"/>
    <w:rsid w:val="001F430A"/>
    <w:rsid w:val="001F49BD"/>
    <w:rsid w:val="001F4B7F"/>
    <w:rsid w:val="001F6566"/>
    <w:rsid w:val="001F6F3B"/>
    <w:rsid w:val="001F7580"/>
    <w:rsid w:val="0020070C"/>
    <w:rsid w:val="00201698"/>
    <w:rsid w:val="00201E00"/>
    <w:rsid w:val="00202340"/>
    <w:rsid w:val="00202FA3"/>
    <w:rsid w:val="002035B1"/>
    <w:rsid w:val="00203796"/>
    <w:rsid w:val="00203CA3"/>
    <w:rsid w:val="00204322"/>
    <w:rsid w:val="00204F10"/>
    <w:rsid w:val="002051CD"/>
    <w:rsid w:val="00205A7B"/>
    <w:rsid w:val="00206480"/>
    <w:rsid w:val="00206A73"/>
    <w:rsid w:val="00206E11"/>
    <w:rsid w:val="002070AB"/>
    <w:rsid w:val="002074F9"/>
    <w:rsid w:val="00207B9A"/>
    <w:rsid w:val="002103C5"/>
    <w:rsid w:val="00210454"/>
    <w:rsid w:val="002106EC"/>
    <w:rsid w:val="0021089B"/>
    <w:rsid w:val="00211343"/>
    <w:rsid w:val="002113DF"/>
    <w:rsid w:val="002117E8"/>
    <w:rsid w:val="002121DD"/>
    <w:rsid w:val="0021282E"/>
    <w:rsid w:val="00212AEE"/>
    <w:rsid w:val="0021321F"/>
    <w:rsid w:val="0021359C"/>
    <w:rsid w:val="00214515"/>
    <w:rsid w:val="0021544F"/>
    <w:rsid w:val="0021553A"/>
    <w:rsid w:val="00215896"/>
    <w:rsid w:val="00215C50"/>
    <w:rsid w:val="002167E2"/>
    <w:rsid w:val="00216E53"/>
    <w:rsid w:val="002172DF"/>
    <w:rsid w:val="002172E3"/>
    <w:rsid w:val="002173E5"/>
    <w:rsid w:val="00217425"/>
    <w:rsid w:val="00217A8C"/>
    <w:rsid w:val="00217E67"/>
    <w:rsid w:val="0022007B"/>
    <w:rsid w:val="00220CCD"/>
    <w:rsid w:val="002213FF"/>
    <w:rsid w:val="002225E4"/>
    <w:rsid w:val="00222D7A"/>
    <w:rsid w:val="0022309D"/>
    <w:rsid w:val="002233CE"/>
    <w:rsid w:val="00223845"/>
    <w:rsid w:val="00223A29"/>
    <w:rsid w:val="0022400B"/>
    <w:rsid w:val="00224264"/>
    <w:rsid w:val="002257B7"/>
    <w:rsid w:val="0022693C"/>
    <w:rsid w:val="00226DCF"/>
    <w:rsid w:val="00227C59"/>
    <w:rsid w:val="00230166"/>
    <w:rsid w:val="002305EC"/>
    <w:rsid w:val="00231A3E"/>
    <w:rsid w:val="0023392B"/>
    <w:rsid w:val="00233B9B"/>
    <w:rsid w:val="00233DA7"/>
    <w:rsid w:val="0023411B"/>
    <w:rsid w:val="00234E2D"/>
    <w:rsid w:val="00234FCB"/>
    <w:rsid w:val="002353D3"/>
    <w:rsid w:val="00235FCD"/>
    <w:rsid w:val="00236615"/>
    <w:rsid w:val="00236766"/>
    <w:rsid w:val="00237655"/>
    <w:rsid w:val="002377F2"/>
    <w:rsid w:val="002404EC"/>
    <w:rsid w:val="0024130B"/>
    <w:rsid w:val="002413C4"/>
    <w:rsid w:val="0024201D"/>
    <w:rsid w:val="002426AD"/>
    <w:rsid w:val="00242AFC"/>
    <w:rsid w:val="00242C4F"/>
    <w:rsid w:val="00243528"/>
    <w:rsid w:val="00243DBA"/>
    <w:rsid w:val="00243E24"/>
    <w:rsid w:val="0024449B"/>
    <w:rsid w:val="0024452E"/>
    <w:rsid w:val="00244658"/>
    <w:rsid w:val="00244B7C"/>
    <w:rsid w:val="00244C3C"/>
    <w:rsid w:val="00246E52"/>
    <w:rsid w:val="0024754D"/>
    <w:rsid w:val="002479F0"/>
    <w:rsid w:val="00250323"/>
    <w:rsid w:val="00250472"/>
    <w:rsid w:val="00250C5C"/>
    <w:rsid w:val="00250EDB"/>
    <w:rsid w:val="00251212"/>
    <w:rsid w:val="00251652"/>
    <w:rsid w:val="00251D03"/>
    <w:rsid w:val="00252A7F"/>
    <w:rsid w:val="00253780"/>
    <w:rsid w:val="002537C6"/>
    <w:rsid w:val="00254D2E"/>
    <w:rsid w:val="00255EB9"/>
    <w:rsid w:val="00256E26"/>
    <w:rsid w:val="00257C2A"/>
    <w:rsid w:val="00257E1F"/>
    <w:rsid w:val="00260006"/>
    <w:rsid w:val="00260703"/>
    <w:rsid w:val="00261B94"/>
    <w:rsid w:val="002622ED"/>
    <w:rsid w:val="00262730"/>
    <w:rsid w:val="00262DA8"/>
    <w:rsid w:val="0026334E"/>
    <w:rsid w:val="002648B7"/>
    <w:rsid w:val="002655E9"/>
    <w:rsid w:val="00265DE2"/>
    <w:rsid w:val="002665A8"/>
    <w:rsid w:val="00266831"/>
    <w:rsid w:val="00266F1E"/>
    <w:rsid w:val="00267486"/>
    <w:rsid w:val="00270239"/>
    <w:rsid w:val="00272282"/>
    <w:rsid w:val="0027366D"/>
    <w:rsid w:val="0027453F"/>
    <w:rsid w:val="00274847"/>
    <w:rsid w:val="00274C45"/>
    <w:rsid w:val="00274F49"/>
    <w:rsid w:val="00275344"/>
    <w:rsid w:val="00275402"/>
    <w:rsid w:val="00275703"/>
    <w:rsid w:val="0028169C"/>
    <w:rsid w:val="00281E84"/>
    <w:rsid w:val="002827FD"/>
    <w:rsid w:val="00282E5F"/>
    <w:rsid w:val="0028429E"/>
    <w:rsid w:val="0028569B"/>
    <w:rsid w:val="00285A30"/>
    <w:rsid w:val="00286004"/>
    <w:rsid w:val="002863E3"/>
    <w:rsid w:val="0028674D"/>
    <w:rsid w:val="00286FD4"/>
    <w:rsid w:val="0028721F"/>
    <w:rsid w:val="00287EC2"/>
    <w:rsid w:val="0029017E"/>
    <w:rsid w:val="0029054C"/>
    <w:rsid w:val="00290936"/>
    <w:rsid w:val="0029104B"/>
    <w:rsid w:val="00293C4A"/>
    <w:rsid w:val="00293CBD"/>
    <w:rsid w:val="002949A2"/>
    <w:rsid w:val="002954CD"/>
    <w:rsid w:val="00295B8F"/>
    <w:rsid w:val="00295D2D"/>
    <w:rsid w:val="0029655D"/>
    <w:rsid w:val="002965CD"/>
    <w:rsid w:val="00296AA5"/>
    <w:rsid w:val="00297621"/>
    <w:rsid w:val="00297CB5"/>
    <w:rsid w:val="00297DE2"/>
    <w:rsid w:val="002A1037"/>
    <w:rsid w:val="002A125C"/>
    <w:rsid w:val="002A12EA"/>
    <w:rsid w:val="002A1691"/>
    <w:rsid w:val="002A2111"/>
    <w:rsid w:val="002A2B65"/>
    <w:rsid w:val="002A3FB1"/>
    <w:rsid w:val="002A5469"/>
    <w:rsid w:val="002A72BD"/>
    <w:rsid w:val="002A74FB"/>
    <w:rsid w:val="002A76D5"/>
    <w:rsid w:val="002B034C"/>
    <w:rsid w:val="002B0CAB"/>
    <w:rsid w:val="002B1438"/>
    <w:rsid w:val="002B15BA"/>
    <w:rsid w:val="002B1885"/>
    <w:rsid w:val="002B1AFA"/>
    <w:rsid w:val="002B1DF5"/>
    <w:rsid w:val="002B360A"/>
    <w:rsid w:val="002B3F42"/>
    <w:rsid w:val="002B4434"/>
    <w:rsid w:val="002B4A67"/>
    <w:rsid w:val="002B4BA6"/>
    <w:rsid w:val="002B538A"/>
    <w:rsid w:val="002B787B"/>
    <w:rsid w:val="002C05F2"/>
    <w:rsid w:val="002C0A37"/>
    <w:rsid w:val="002C1833"/>
    <w:rsid w:val="002C1D12"/>
    <w:rsid w:val="002C2199"/>
    <w:rsid w:val="002C28BD"/>
    <w:rsid w:val="002C2A15"/>
    <w:rsid w:val="002C2D05"/>
    <w:rsid w:val="002C3A39"/>
    <w:rsid w:val="002C41A0"/>
    <w:rsid w:val="002C5548"/>
    <w:rsid w:val="002C5A46"/>
    <w:rsid w:val="002C5CF3"/>
    <w:rsid w:val="002C6025"/>
    <w:rsid w:val="002C619D"/>
    <w:rsid w:val="002C699F"/>
    <w:rsid w:val="002C6AC2"/>
    <w:rsid w:val="002C71D8"/>
    <w:rsid w:val="002C7661"/>
    <w:rsid w:val="002D1418"/>
    <w:rsid w:val="002D2593"/>
    <w:rsid w:val="002D2A3A"/>
    <w:rsid w:val="002D2CB2"/>
    <w:rsid w:val="002D300B"/>
    <w:rsid w:val="002D3D29"/>
    <w:rsid w:val="002D510C"/>
    <w:rsid w:val="002D5132"/>
    <w:rsid w:val="002D5996"/>
    <w:rsid w:val="002D5ECE"/>
    <w:rsid w:val="002D6973"/>
    <w:rsid w:val="002D6FD9"/>
    <w:rsid w:val="002D735B"/>
    <w:rsid w:val="002E1CEE"/>
    <w:rsid w:val="002E1E40"/>
    <w:rsid w:val="002E2A3C"/>
    <w:rsid w:val="002E350C"/>
    <w:rsid w:val="002E39F1"/>
    <w:rsid w:val="002E4A30"/>
    <w:rsid w:val="002E4B12"/>
    <w:rsid w:val="002E4C77"/>
    <w:rsid w:val="002E5134"/>
    <w:rsid w:val="002E57A2"/>
    <w:rsid w:val="002E57F1"/>
    <w:rsid w:val="002E6624"/>
    <w:rsid w:val="002E6859"/>
    <w:rsid w:val="002E6E80"/>
    <w:rsid w:val="002E70FC"/>
    <w:rsid w:val="002E71D7"/>
    <w:rsid w:val="002E74AC"/>
    <w:rsid w:val="002E7E44"/>
    <w:rsid w:val="002E7F14"/>
    <w:rsid w:val="002E7F88"/>
    <w:rsid w:val="002F191E"/>
    <w:rsid w:val="002F227C"/>
    <w:rsid w:val="002F26B4"/>
    <w:rsid w:val="002F337E"/>
    <w:rsid w:val="002F4D95"/>
    <w:rsid w:val="002F53C0"/>
    <w:rsid w:val="002F67A4"/>
    <w:rsid w:val="002F6CBB"/>
    <w:rsid w:val="002F7D13"/>
    <w:rsid w:val="00300EDC"/>
    <w:rsid w:val="00301518"/>
    <w:rsid w:val="0030175D"/>
    <w:rsid w:val="0030231F"/>
    <w:rsid w:val="003037CC"/>
    <w:rsid w:val="00303DDD"/>
    <w:rsid w:val="00303F86"/>
    <w:rsid w:val="00304199"/>
    <w:rsid w:val="00304B2C"/>
    <w:rsid w:val="00304BA3"/>
    <w:rsid w:val="00305DAC"/>
    <w:rsid w:val="00305F49"/>
    <w:rsid w:val="003063AA"/>
    <w:rsid w:val="00307018"/>
    <w:rsid w:val="003074AB"/>
    <w:rsid w:val="00307A0C"/>
    <w:rsid w:val="00307CB2"/>
    <w:rsid w:val="00310791"/>
    <w:rsid w:val="00311806"/>
    <w:rsid w:val="00311CC7"/>
    <w:rsid w:val="00312789"/>
    <w:rsid w:val="0031393D"/>
    <w:rsid w:val="003152C7"/>
    <w:rsid w:val="00315F9F"/>
    <w:rsid w:val="003160DC"/>
    <w:rsid w:val="00317AF8"/>
    <w:rsid w:val="00317B5A"/>
    <w:rsid w:val="00320551"/>
    <w:rsid w:val="0032167F"/>
    <w:rsid w:val="00321B5B"/>
    <w:rsid w:val="0032209D"/>
    <w:rsid w:val="0032327F"/>
    <w:rsid w:val="003235BC"/>
    <w:rsid w:val="0032361C"/>
    <w:rsid w:val="0032391E"/>
    <w:rsid w:val="00323EA0"/>
    <w:rsid w:val="00325094"/>
    <w:rsid w:val="00325562"/>
    <w:rsid w:val="00327A12"/>
    <w:rsid w:val="00330584"/>
    <w:rsid w:val="00330D04"/>
    <w:rsid w:val="0033251D"/>
    <w:rsid w:val="00332BAA"/>
    <w:rsid w:val="003330A5"/>
    <w:rsid w:val="00333869"/>
    <w:rsid w:val="00333E86"/>
    <w:rsid w:val="003344DA"/>
    <w:rsid w:val="00334619"/>
    <w:rsid w:val="00334A4D"/>
    <w:rsid w:val="00335379"/>
    <w:rsid w:val="003353AC"/>
    <w:rsid w:val="003357A2"/>
    <w:rsid w:val="00335898"/>
    <w:rsid w:val="0033682D"/>
    <w:rsid w:val="00337633"/>
    <w:rsid w:val="00337888"/>
    <w:rsid w:val="00337C6F"/>
    <w:rsid w:val="00337CA4"/>
    <w:rsid w:val="00340292"/>
    <w:rsid w:val="003405D9"/>
    <w:rsid w:val="0034071C"/>
    <w:rsid w:val="00340996"/>
    <w:rsid w:val="00340B74"/>
    <w:rsid w:val="00341618"/>
    <w:rsid w:val="00341D08"/>
    <w:rsid w:val="00342348"/>
    <w:rsid w:val="00343345"/>
    <w:rsid w:val="0034347C"/>
    <w:rsid w:val="003438D7"/>
    <w:rsid w:val="0034495E"/>
    <w:rsid w:val="00344990"/>
    <w:rsid w:val="00344E94"/>
    <w:rsid w:val="00345150"/>
    <w:rsid w:val="00345223"/>
    <w:rsid w:val="00345473"/>
    <w:rsid w:val="00345EDB"/>
    <w:rsid w:val="0034623E"/>
    <w:rsid w:val="003465A1"/>
    <w:rsid w:val="003466A7"/>
    <w:rsid w:val="00346867"/>
    <w:rsid w:val="0034766F"/>
    <w:rsid w:val="00350109"/>
    <w:rsid w:val="00350775"/>
    <w:rsid w:val="0035119C"/>
    <w:rsid w:val="00351A5F"/>
    <w:rsid w:val="00353E19"/>
    <w:rsid w:val="00356760"/>
    <w:rsid w:val="003577F4"/>
    <w:rsid w:val="00357B20"/>
    <w:rsid w:val="00360981"/>
    <w:rsid w:val="003609D4"/>
    <w:rsid w:val="003613ED"/>
    <w:rsid w:val="00361408"/>
    <w:rsid w:val="00361629"/>
    <w:rsid w:val="00361FB2"/>
    <w:rsid w:val="003622CD"/>
    <w:rsid w:val="00362450"/>
    <w:rsid w:val="00362DE0"/>
    <w:rsid w:val="003630E6"/>
    <w:rsid w:val="003633CD"/>
    <w:rsid w:val="00363D6A"/>
    <w:rsid w:val="00363F87"/>
    <w:rsid w:val="00364847"/>
    <w:rsid w:val="003656DA"/>
    <w:rsid w:val="0036625C"/>
    <w:rsid w:val="00366926"/>
    <w:rsid w:val="00366EF6"/>
    <w:rsid w:val="0036790B"/>
    <w:rsid w:val="00370710"/>
    <w:rsid w:val="003709A8"/>
    <w:rsid w:val="00371E2B"/>
    <w:rsid w:val="003727C2"/>
    <w:rsid w:val="00372CA7"/>
    <w:rsid w:val="003738F6"/>
    <w:rsid w:val="00374EED"/>
    <w:rsid w:val="00375167"/>
    <w:rsid w:val="0037590C"/>
    <w:rsid w:val="0037709B"/>
    <w:rsid w:val="00377F07"/>
    <w:rsid w:val="00377FC5"/>
    <w:rsid w:val="003802BC"/>
    <w:rsid w:val="003807B1"/>
    <w:rsid w:val="00380D3B"/>
    <w:rsid w:val="003813CF"/>
    <w:rsid w:val="00381EFF"/>
    <w:rsid w:val="00382895"/>
    <w:rsid w:val="00383059"/>
    <w:rsid w:val="003838EB"/>
    <w:rsid w:val="00383949"/>
    <w:rsid w:val="003844CA"/>
    <w:rsid w:val="003846E7"/>
    <w:rsid w:val="00384BC9"/>
    <w:rsid w:val="00384C18"/>
    <w:rsid w:val="00385024"/>
    <w:rsid w:val="003856F5"/>
    <w:rsid w:val="00385801"/>
    <w:rsid w:val="00385B35"/>
    <w:rsid w:val="00387503"/>
    <w:rsid w:val="00387F97"/>
    <w:rsid w:val="00390267"/>
    <w:rsid w:val="003906BF"/>
    <w:rsid w:val="00390988"/>
    <w:rsid w:val="0039134C"/>
    <w:rsid w:val="00391F5B"/>
    <w:rsid w:val="00392718"/>
    <w:rsid w:val="00393D2B"/>
    <w:rsid w:val="00394066"/>
    <w:rsid w:val="00394908"/>
    <w:rsid w:val="00395708"/>
    <w:rsid w:val="00395DBD"/>
    <w:rsid w:val="003972A0"/>
    <w:rsid w:val="0039739D"/>
    <w:rsid w:val="00397CF2"/>
    <w:rsid w:val="00397E85"/>
    <w:rsid w:val="003A0D9B"/>
    <w:rsid w:val="003A1346"/>
    <w:rsid w:val="003A1704"/>
    <w:rsid w:val="003A209C"/>
    <w:rsid w:val="003A25E8"/>
    <w:rsid w:val="003A357E"/>
    <w:rsid w:val="003A392A"/>
    <w:rsid w:val="003A39E4"/>
    <w:rsid w:val="003A413C"/>
    <w:rsid w:val="003A4928"/>
    <w:rsid w:val="003A505C"/>
    <w:rsid w:val="003A51AD"/>
    <w:rsid w:val="003A5257"/>
    <w:rsid w:val="003A5C12"/>
    <w:rsid w:val="003A5F2A"/>
    <w:rsid w:val="003A633A"/>
    <w:rsid w:val="003A6FEA"/>
    <w:rsid w:val="003A77F0"/>
    <w:rsid w:val="003A7950"/>
    <w:rsid w:val="003B0C62"/>
    <w:rsid w:val="003B1AB9"/>
    <w:rsid w:val="003B1B75"/>
    <w:rsid w:val="003B27EC"/>
    <w:rsid w:val="003B3ADC"/>
    <w:rsid w:val="003B41B0"/>
    <w:rsid w:val="003B5B61"/>
    <w:rsid w:val="003B5C58"/>
    <w:rsid w:val="003B7131"/>
    <w:rsid w:val="003B7629"/>
    <w:rsid w:val="003B77A3"/>
    <w:rsid w:val="003B7AAF"/>
    <w:rsid w:val="003B7C70"/>
    <w:rsid w:val="003C032B"/>
    <w:rsid w:val="003C042E"/>
    <w:rsid w:val="003C0A2B"/>
    <w:rsid w:val="003C0CDA"/>
    <w:rsid w:val="003C0F3C"/>
    <w:rsid w:val="003C1B4D"/>
    <w:rsid w:val="003C1C5C"/>
    <w:rsid w:val="003C1FE2"/>
    <w:rsid w:val="003C2316"/>
    <w:rsid w:val="003C2A65"/>
    <w:rsid w:val="003C3659"/>
    <w:rsid w:val="003C47C0"/>
    <w:rsid w:val="003C49CD"/>
    <w:rsid w:val="003C4D85"/>
    <w:rsid w:val="003C4D9E"/>
    <w:rsid w:val="003C521A"/>
    <w:rsid w:val="003C52EC"/>
    <w:rsid w:val="003C5B58"/>
    <w:rsid w:val="003C62AC"/>
    <w:rsid w:val="003C646F"/>
    <w:rsid w:val="003C6BA6"/>
    <w:rsid w:val="003C757D"/>
    <w:rsid w:val="003C7A8C"/>
    <w:rsid w:val="003D0D4A"/>
    <w:rsid w:val="003D14A2"/>
    <w:rsid w:val="003D24D9"/>
    <w:rsid w:val="003D25BD"/>
    <w:rsid w:val="003D2C18"/>
    <w:rsid w:val="003D5A1F"/>
    <w:rsid w:val="003D5BA9"/>
    <w:rsid w:val="003D62AE"/>
    <w:rsid w:val="003D71F9"/>
    <w:rsid w:val="003D73E8"/>
    <w:rsid w:val="003E0656"/>
    <w:rsid w:val="003E0D53"/>
    <w:rsid w:val="003E200E"/>
    <w:rsid w:val="003E2720"/>
    <w:rsid w:val="003E31E5"/>
    <w:rsid w:val="003E3555"/>
    <w:rsid w:val="003E3A14"/>
    <w:rsid w:val="003E3BE4"/>
    <w:rsid w:val="003E4018"/>
    <w:rsid w:val="003E41A3"/>
    <w:rsid w:val="003E4329"/>
    <w:rsid w:val="003E4C5E"/>
    <w:rsid w:val="003E59E4"/>
    <w:rsid w:val="003E5C93"/>
    <w:rsid w:val="003E646B"/>
    <w:rsid w:val="003E646E"/>
    <w:rsid w:val="003E64A8"/>
    <w:rsid w:val="003E6740"/>
    <w:rsid w:val="003E68CB"/>
    <w:rsid w:val="003E7CED"/>
    <w:rsid w:val="003E7DD8"/>
    <w:rsid w:val="003F0888"/>
    <w:rsid w:val="003F0AF4"/>
    <w:rsid w:val="003F113B"/>
    <w:rsid w:val="003F1493"/>
    <w:rsid w:val="003F1B61"/>
    <w:rsid w:val="003F2B38"/>
    <w:rsid w:val="003F3A8F"/>
    <w:rsid w:val="003F4044"/>
    <w:rsid w:val="003F675D"/>
    <w:rsid w:val="003F7285"/>
    <w:rsid w:val="003F79DE"/>
    <w:rsid w:val="00400726"/>
    <w:rsid w:val="004007EB"/>
    <w:rsid w:val="0040088D"/>
    <w:rsid w:val="004010BD"/>
    <w:rsid w:val="0040358A"/>
    <w:rsid w:val="00403EE3"/>
    <w:rsid w:val="004040BE"/>
    <w:rsid w:val="0040427E"/>
    <w:rsid w:val="00404707"/>
    <w:rsid w:val="00405044"/>
    <w:rsid w:val="0040708E"/>
    <w:rsid w:val="0041036B"/>
    <w:rsid w:val="004113A1"/>
    <w:rsid w:val="0041147B"/>
    <w:rsid w:val="00411D5C"/>
    <w:rsid w:val="004122E5"/>
    <w:rsid w:val="00413111"/>
    <w:rsid w:val="0041324A"/>
    <w:rsid w:val="004135A8"/>
    <w:rsid w:val="00414AA3"/>
    <w:rsid w:val="004159A1"/>
    <w:rsid w:val="00415D6B"/>
    <w:rsid w:val="004162B6"/>
    <w:rsid w:val="00416C25"/>
    <w:rsid w:val="00416F05"/>
    <w:rsid w:val="00417A5B"/>
    <w:rsid w:val="00417EA8"/>
    <w:rsid w:val="004200A1"/>
    <w:rsid w:val="00420576"/>
    <w:rsid w:val="004211B9"/>
    <w:rsid w:val="00421485"/>
    <w:rsid w:val="00422662"/>
    <w:rsid w:val="0042284F"/>
    <w:rsid w:val="00423346"/>
    <w:rsid w:val="00423570"/>
    <w:rsid w:val="00423A57"/>
    <w:rsid w:val="00423BF7"/>
    <w:rsid w:val="0042431F"/>
    <w:rsid w:val="004256A0"/>
    <w:rsid w:val="0042645F"/>
    <w:rsid w:val="004270DC"/>
    <w:rsid w:val="00427FDF"/>
    <w:rsid w:val="0043106A"/>
    <w:rsid w:val="004310BB"/>
    <w:rsid w:val="00431859"/>
    <w:rsid w:val="00432143"/>
    <w:rsid w:val="0043360B"/>
    <w:rsid w:val="0043363F"/>
    <w:rsid w:val="00433E95"/>
    <w:rsid w:val="004342EE"/>
    <w:rsid w:val="004345D9"/>
    <w:rsid w:val="00435245"/>
    <w:rsid w:val="00435BE4"/>
    <w:rsid w:val="0043604C"/>
    <w:rsid w:val="00436EBE"/>
    <w:rsid w:val="00436F27"/>
    <w:rsid w:val="0043705B"/>
    <w:rsid w:val="004375F0"/>
    <w:rsid w:val="00440020"/>
    <w:rsid w:val="00440323"/>
    <w:rsid w:val="004404AC"/>
    <w:rsid w:val="0044130C"/>
    <w:rsid w:val="00441A5D"/>
    <w:rsid w:val="004420F7"/>
    <w:rsid w:val="0044253C"/>
    <w:rsid w:val="0044328C"/>
    <w:rsid w:val="00443E5E"/>
    <w:rsid w:val="00443ECD"/>
    <w:rsid w:val="00444DB0"/>
    <w:rsid w:val="00445D8D"/>
    <w:rsid w:val="0044614E"/>
    <w:rsid w:val="004461EB"/>
    <w:rsid w:val="0044700D"/>
    <w:rsid w:val="00447BAF"/>
    <w:rsid w:val="0045008A"/>
    <w:rsid w:val="00450486"/>
    <w:rsid w:val="004504A0"/>
    <w:rsid w:val="004512CD"/>
    <w:rsid w:val="0045141A"/>
    <w:rsid w:val="0045267D"/>
    <w:rsid w:val="004527DF"/>
    <w:rsid w:val="004531BD"/>
    <w:rsid w:val="00453F90"/>
    <w:rsid w:val="004542DB"/>
    <w:rsid w:val="004544AF"/>
    <w:rsid w:val="0045452E"/>
    <w:rsid w:val="00454613"/>
    <w:rsid w:val="00455964"/>
    <w:rsid w:val="00455EBA"/>
    <w:rsid w:val="0045609D"/>
    <w:rsid w:val="0045666F"/>
    <w:rsid w:val="004566A4"/>
    <w:rsid w:val="00456BDE"/>
    <w:rsid w:val="00456E20"/>
    <w:rsid w:val="0045721E"/>
    <w:rsid w:val="0045730A"/>
    <w:rsid w:val="00457BFA"/>
    <w:rsid w:val="00457DD8"/>
    <w:rsid w:val="00457DFF"/>
    <w:rsid w:val="00457F91"/>
    <w:rsid w:val="00460B1B"/>
    <w:rsid w:val="004610A7"/>
    <w:rsid w:val="0046149F"/>
    <w:rsid w:val="00461874"/>
    <w:rsid w:val="00461E35"/>
    <w:rsid w:val="004629AA"/>
    <w:rsid w:val="00462F28"/>
    <w:rsid w:val="0046321E"/>
    <w:rsid w:val="00463573"/>
    <w:rsid w:val="0046365A"/>
    <w:rsid w:val="0046437F"/>
    <w:rsid w:val="004648F9"/>
    <w:rsid w:val="00464EEB"/>
    <w:rsid w:val="00465EBA"/>
    <w:rsid w:val="00466E1A"/>
    <w:rsid w:val="00466E21"/>
    <w:rsid w:val="00466EA4"/>
    <w:rsid w:val="00467085"/>
    <w:rsid w:val="00467A99"/>
    <w:rsid w:val="0047078D"/>
    <w:rsid w:val="00470AF5"/>
    <w:rsid w:val="00470B78"/>
    <w:rsid w:val="00473011"/>
    <w:rsid w:val="00474249"/>
    <w:rsid w:val="0047437D"/>
    <w:rsid w:val="00474447"/>
    <w:rsid w:val="0047457C"/>
    <w:rsid w:val="00474AC4"/>
    <w:rsid w:val="00474BA5"/>
    <w:rsid w:val="00474D58"/>
    <w:rsid w:val="00474ECD"/>
    <w:rsid w:val="0047566E"/>
    <w:rsid w:val="0047575B"/>
    <w:rsid w:val="00475A6C"/>
    <w:rsid w:val="00476017"/>
    <w:rsid w:val="004761E5"/>
    <w:rsid w:val="00477CC9"/>
    <w:rsid w:val="004801BC"/>
    <w:rsid w:val="004806ED"/>
    <w:rsid w:val="004811A1"/>
    <w:rsid w:val="004818F3"/>
    <w:rsid w:val="00482442"/>
    <w:rsid w:val="00482EDA"/>
    <w:rsid w:val="00483C4D"/>
    <w:rsid w:val="00483F18"/>
    <w:rsid w:val="0048447E"/>
    <w:rsid w:val="0048529C"/>
    <w:rsid w:val="00485318"/>
    <w:rsid w:val="00485883"/>
    <w:rsid w:val="00485BE8"/>
    <w:rsid w:val="0048635A"/>
    <w:rsid w:val="004863D4"/>
    <w:rsid w:val="00486656"/>
    <w:rsid w:val="00486BEC"/>
    <w:rsid w:val="00487172"/>
    <w:rsid w:val="00487521"/>
    <w:rsid w:val="00487B97"/>
    <w:rsid w:val="004905D3"/>
    <w:rsid w:val="004919AA"/>
    <w:rsid w:val="00491AF2"/>
    <w:rsid w:val="00491D48"/>
    <w:rsid w:val="00492081"/>
    <w:rsid w:val="00492276"/>
    <w:rsid w:val="00492716"/>
    <w:rsid w:val="00494903"/>
    <w:rsid w:val="00494B8F"/>
    <w:rsid w:val="00495F16"/>
    <w:rsid w:val="00496435"/>
    <w:rsid w:val="00496A08"/>
    <w:rsid w:val="004970CD"/>
    <w:rsid w:val="00497C32"/>
    <w:rsid w:val="004A02EB"/>
    <w:rsid w:val="004A0ACB"/>
    <w:rsid w:val="004A1699"/>
    <w:rsid w:val="004A3DF6"/>
    <w:rsid w:val="004A400F"/>
    <w:rsid w:val="004A4C54"/>
    <w:rsid w:val="004A522A"/>
    <w:rsid w:val="004A57E9"/>
    <w:rsid w:val="004A5EF1"/>
    <w:rsid w:val="004A5EF7"/>
    <w:rsid w:val="004A5F10"/>
    <w:rsid w:val="004A6B93"/>
    <w:rsid w:val="004A6F5C"/>
    <w:rsid w:val="004B1437"/>
    <w:rsid w:val="004B1D67"/>
    <w:rsid w:val="004B2F9B"/>
    <w:rsid w:val="004B2FF6"/>
    <w:rsid w:val="004B3045"/>
    <w:rsid w:val="004B316D"/>
    <w:rsid w:val="004B3446"/>
    <w:rsid w:val="004B3646"/>
    <w:rsid w:val="004B3F05"/>
    <w:rsid w:val="004B3F1A"/>
    <w:rsid w:val="004B4E83"/>
    <w:rsid w:val="004B4EBE"/>
    <w:rsid w:val="004B5B5E"/>
    <w:rsid w:val="004B5EF5"/>
    <w:rsid w:val="004B6667"/>
    <w:rsid w:val="004B7082"/>
    <w:rsid w:val="004B732E"/>
    <w:rsid w:val="004B757C"/>
    <w:rsid w:val="004B75D2"/>
    <w:rsid w:val="004C14FC"/>
    <w:rsid w:val="004C1A41"/>
    <w:rsid w:val="004C39AA"/>
    <w:rsid w:val="004C3A12"/>
    <w:rsid w:val="004C3E10"/>
    <w:rsid w:val="004C465E"/>
    <w:rsid w:val="004C5681"/>
    <w:rsid w:val="004C56B1"/>
    <w:rsid w:val="004C5AC5"/>
    <w:rsid w:val="004C6855"/>
    <w:rsid w:val="004C74E4"/>
    <w:rsid w:val="004C7610"/>
    <w:rsid w:val="004C7B2E"/>
    <w:rsid w:val="004D05A7"/>
    <w:rsid w:val="004D0943"/>
    <w:rsid w:val="004D28C4"/>
    <w:rsid w:val="004D2956"/>
    <w:rsid w:val="004D2C28"/>
    <w:rsid w:val="004D3454"/>
    <w:rsid w:val="004D3D41"/>
    <w:rsid w:val="004D3F8F"/>
    <w:rsid w:val="004D4E8D"/>
    <w:rsid w:val="004D546C"/>
    <w:rsid w:val="004D593A"/>
    <w:rsid w:val="004D6AA5"/>
    <w:rsid w:val="004D76CB"/>
    <w:rsid w:val="004D7CBA"/>
    <w:rsid w:val="004E1EB7"/>
    <w:rsid w:val="004E20FE"/>
    <w:rsid w:val="004E28EF"/>
    <w:rsid w:val="004E360E"/>
    <w:rsid w:val="004E3AA2"/>
    <w:rsid w:val="004E49C8"/>
    <w:rsid w:val="004E516C"/>
    <w:rsid w:val="004E518E"/>
    <w:rsid w:val="004E6C48"/>
    <w:rsid w:val="004F0AFD"/>
    <w:rsid w:val="004F2523"/>
    <w:rsid w:val="004F318B"/>
    <w:rsid w:val="004F3738"/>
    <w:rsid w:val="004F3799"/>
    <w:rsid w:val="004F430D"/>
    <w:rsid w:val="004F6F9A"/>
    <w:rsid w:val="004F748E"/>
    <w:rsid w:val="004F7769"/>
    <w:rsid w:val="005010E9"/>
    <w:rsid w:val="00502282"/>
    <w:rsid w:val="00503F90"/>
    <w:rsid w:val="00503F9C"/>
    <w:rsid w:val="005055FD"/>
    <w:rsid w:val="0050575D"/>
    <w:rsid w:val="00505B3F"/>
    <w:rsid w:val="00506001"/>
    <w:rsid w:val="005074AA"/>
    <w:rsid w:val="00507D39"/>
    <w:rsid w:val="00510113"/>
    <w:rsid w:val="00512904"/>
    <w:rsid w:val="00514333"/>
    <w:rsid w:val="0051546D"/>
    <w:rsid w:val="0051605A"/>
    <w:rsid w:val="005169AD"/>
    <w:rsid w:val="0051723F"/>
    <w:rsid w:val="00521553"/>
    <w:rsid w:val="005218CB"/>
    <w:rsid w:val="005218E8"/>
    <w:rsid w:val="00521A99"/>
    <w:rsid w:val="00523147"/>
    <w:rsid w:val="005236E3"/>
    <w:rsid w:val="00523A5F"/>
    <w:rsid w:val="00523D3C"/>
    <w:rsid w:val="00523D57"/>
    <w:rsid w:val="00523D64"/>
    <w:rsid w:val="0052491F"/>
    <w:rsid w:val="00525281"/>
    <w:rsid w:val="0052600B"/>
    <w:rsid w:val="005262EF"/>
    <w:rsid w:val="00526E21"/>
    <w:rsid w:val="00527337"/>
    <w:rsid w:val="005275FE"/>
    <w:rsid w:val="005318CF"/>
    <w:rsid w:val="00531B4F"/>
    <w:rsid w:val="00531BBF"/>
    <w:rsid w:val="00532542"/>
    <w:rsid w:val="005325C4"/>
    <w:rsid w:val="00533407"/>
    <w:rsid w:val="00533F9F"/>
    <w:rsid w:val="00534396"/>
    <w:rsid w:val="0053470A"/>
    <w:rsid w:val="00535346"/>
    <w:rsid w:val="00535D39"/>
    <w:rsid w:val="00536B2D"/>
    <w:rsid w:val="005372B3"/>
    <w:rsid w:val="00540360"/>
    <w:rsid w:val="00540FDF"/>
    <w:rsid w:val="005416BA"/>
    <w:rsid w:val="0054301B"/>
    <w:rsid w:val="005447EE"/>
    <w:rsid w:val="00544B70"/>
    <w:rsid w:val="0054534F"/>
    <w:rsid w:val="00545EC6"/>
    <w:rsid w:val="0054630D"/>
    <w:rsid w:val="00546F4A"/>
    <w:rsid w:val="005471AF"/>
    <w:rsid w:val="00547D2E"/>
    <w:rsid w:val="00547F81"/>
    <w:rsid w:val="00551097"/>
    <w:rsid w:val="00552456"/>
    <w:rsid w:val="005525D9"/>
    <w:rsid w:val="00552933"/>
    <w:rsid w:val="00552B0D"/>
    <w:rsid w:val="00552BA9"/>
    <w:rsid w:val="005532E3"/>
    <w:rsid w:val="0055333B"/>
    <w:rsid w:val="00553703"/>
    <w:rsid w:val="00553ED9"/>
    <w:rsid w:val="0055454E"/>
    <w:rsid w:val="00554B4E"/>
    <w:rsid w:val="00554FD3"/>
    <w:rsid w:val="0055503B"/>
    <w:rsid w:val="005551F1"/>
    <w:rsid w:val="00555B88"/>
    <w:rsid w:val="005560BD"/>
    <w:rsid w:val="0055642A"/>
    <w:rsid w:val="0055649A"/>
    <w:rsid w:val="00556690"/>
    <w:rsid w:val="005568AA"/>
    <w:rsid w:val="005568D2"/>
    <w:rsid w:val="00557073"/>
    <w:rsid w:val="0056037F"/>
    <w:rsid w:val="00560401"/>
    <w:rsid w:val="00561E6E"/>
    <w:rsid w:val="0056220B"/>
    <w:rsid w:val="00564001"/>
    <w:rsid w:val="005649C4"/>
    <w:rsid w:val="00564D48"/>
    <w:rsid w:val="00564F45"/>
    <w:rsid w:val="00565A9A"/>
    <w:rsid w:val="005666C2"/>
    <w:rsid w:val="00567B13"/>
    <w:rsid w:val="00570E07"/>
    <w:rsid w:val="005715B4"/>
    <w:rsid w:val="005728AF"/>
    <w:rsid w:val="00573792"/>
    <w:rsid w:val="00573ED4"/>
    <w:rsid w:val="005760D8"/>
    <w:rsid w:val="00576F3E"/>
    <w:rsid w:val="00577CC1"/>
    <w:rsid w:val="00580188"/>
    <w:rsid w:val="00580BDF"/>
    <w:rsid w:val="0058158E"/>
    <w:rsid w:val="00581EA8"/>
    <w:rsid w:val="005820D9"/>
    <w:rsid w:val="005822C2"/>
    <w:rsid w:val="00582FB5"/>
    <w:rsid w:val="0058376F"/>
    <w:rsid w:val="00583831"/>
    <w:rsid w:val="00583A4E"/>
    <w:rsid w:val="00583D98"/>
    <w:rsid w:val="00583EEB"/>
    <w:rsid w:val="005844EC"/>
    <w:rsid w:val="0058529E"/>
    <w:rsid w:val="0058539B"/>
    <w:rsid w:val="005856AC"/>
    <w:rsid w:val="00585B9A"/>
    <w:rsid w:val="00586043"/>
    <w:rsid w:val="005860A6"/>
    <w:rsid w:val="0059088D"/>
    <w:rsid w:val="00590C73"/>
    <w:rsid w:val="0059263F"/>
    <w:rsid w:val="00593CFD"/>
    <w:rsid w:val="00593E93"/>
    <w:rsid w:val="00594054"/>
    <w:rsid w:val="00594807"/>
    <w:rsid w:val="00596871"/>
    <w:rsid w:val="00596DF8"/>
    <w:rsid w:val="00596F9A"/>
    <w:rsid w:val="00597ABC"/>
    <w:rsid w:val="00597B4E"/>
    <w:rsid w:val="005A16F6"/>
    <w:rsid w:val="005A219E"/>
    <w:rsid w:val="005A2668"/>
    <w:rsid w:val="005A284D"/>
    <w:rsid w:val="005A2D7D"/>
    <w:rsid w:val="005A4158"/>
    <w:rsid w:val="005A54F2"/>
    <w:rsid w:val="005A5B3E"/>
    <w:rsid w:val="005A5DC4"/>
    <w:rsid w:val="005A6150"/>
    <w:rsid w:val="005A67AA"/>
    <w:rsid w:val="005A7539"/>
    <w:rsid w:val="005A7571"/>
    <w:rsid w:val="005B1A0A"/>
    <w:rsid w:val="005B1D35"/>
    <w:rsid w:val="005B232A"/>
    <w:rsid w:val="005B259C"/>
    <w:rsid w:val="005B2879"/>
    <w:rsid w:val="005B2944"/>
    <w:rsid w:val="005B2F99"/>
    <w:rsid w:val="005B3932"/>
    <w:rsid w:val="005B3A67"/>
    <w:rsid w:val="005B4346"/>
    <w:rsid w:val="005B5C01"/>
    <w:rsid w:val="005B6494"/>
    <w:rsid w:val="005B6CA4"/>
    <w:rsid w:val="005C09DA"/>
    <w:rsid w:val="005C3411"/>
    <w:rsid w:val="005C40BE"/>
    <w:rsid w:val="005C5312"/>
    <w:rsid w:val="005C5763"/>
    <w:rsid w:val="005C5B20"/>
    <w:rsid w:val="005C5BA5"/>
    <w:rsid w:val="005C7CD3"/>
    <w:rsid w:val="005C7F8B"/>
    <w:rsid w:val="005D09BD"/>
    <w:rsid w:val="005D14CB"/>
    <w:rsid w:val="005D16F5"/>
    <w:rsid w:val="005D1BF9"/>
    <w:rsid w:val="005D21A9"/>
    <w:rsid w:val="005D49C1"/>
    <w:rsid w:val="005D5763"/>
    <w:rsid w:val="005D5BE6"/>
    <w:rsid w:val="005D5C69"/>
    <w:rsid w:val="005D64E4"/>
    <w:rsid w:val="005D6D05"/>
    <w:rsid w:val="005D709F"/>
    <w:rsid w:val="005D7631"/>
    <w:rsid w:val="005D7719"/>
    <w:rsid w:val="005D782E"/>
    <w:rsid w:val="005D79FB"/>
    <w:rsid w:val="005E0598"/>
    <w:rsid w:val="005E062D"/>
    <w:rsid w:val="005E0E86"/>
    <w:rsid w:val="005E0FE9"/>
    <w:rsid w:val="005E11B6"/>
    <w:rsid w:val="005E1832"/>
    <w:rsid w:val="005E1920"/>
    <w:rsid w:val="005E1C9F"/>
    <w:rsid w:val="005E1F25"/>
    <w:rsid w:val="005E3D38"/>
    <w:rsid w:val="005E3EAA"/>
    <w:rsid w:val="005E47D6"/>
    <w:rsid w:val="005E4B85"/>
    <w:rsid w:val="005E5248"/>
    <w:rsid w:val="005E53EB"/>
    <w:rsid w:val="005E580F"/>
    <w:rsid w:val="005E6533"/>
    <w:rsid w:val="005E6A2A"/>
    <w:rsid w:val="005E7846"/>
    <w:rsid w:val="005E7B28"/>
    <w:rsid w:val="005F02B1"/>
    <w:rsid w:val="005F114C"/>
    <w:rsid w:val="005F16D6"/>
    <w:rsid w:val="005F1BAF"/>
    <w:rsid w:val="005F1FC4"/>
    <w:rsid w:val="005F26D3"/>
    <w:rsid w:val="005F28DF"/>
    <w:rsid w:val="005F2D7C"/>
    <w:rsid w:val="005F366C"/>
    <w:rsid w:val="005F4654"/>
    <w:rsid w:val="005F4BB9"/>
    <w:rsid w:val="005F526D"/>
    <w:rsid w:val="005F56F6"/>
    <w:rsid w:val="005F5C0C"/>
    <w:rsid w:val="005F7386"/>
    <w:rsid w:val="005F7CE8"/>
    <w:rsid w:val="005F7DE9"/>
    <w:rsid w:val="00600288"/>
    <w:rsid w:val="006003C6"/>
    <w:rsid w:val="0060055B"/>
    <w:rsid w:val="006007E6"/>
    <w:rsid w:val="00600AEA"/>
    <w:rsid w:val="00600DEA"/>
    <w:rsid w:val="00602D0D"/>
    <w:rsid w:val="00602DBD"/>
    <w:rsid w:val="006032E7"/>
    <w:rsid w:val="006041BE"/>
    <w:rsid w:val="00604A29"/>
    <w:rsid w:val="00604DCF"/>
    <w:rsid w:val="006054CE"/>
    <w:rsid w:val="00605D84"/>
    <w:rsid w:val="00607EB5"/>
    <w:rsid w:val="006104ED"/>
    <w:rsid w:val="00610E33"/>
    <w:rsid w:val="00610FEE"/>
    <w:rsid w:val="006114CD"/>
    <w:rsid w:val="006126C2"/>
    <w:rsid w:val="006134A7"/>
    <w:rsid w:val="00614171"/>
    <w:rsid w:val="006169B6"/>
    <w:rsid w:val="00617636"/>
    <w:rsid w:val="00617A74"/>
    <w:rsid w:val="00623931"/>
    <w:rsid w:val="00623C29"/>
    <w:rsid w:val="00624085"/>
    <w:rsid w:val="006249EE"/>
    <w:rsid w:val="006252B5"/>
    <w:rsid w:val="006254B1"/>
    <w:rsid w:val="0062566C"/>
    <w:rsid w:val="00625C9B"/>
    <w:rsid w:val="0062680F"/>
    <w:rsid w:val="00626BFA"/>
    <w:rsid w:val="00627073"/>
    <w:rsid w:val="006275A9"/>
    <w:rsid w:val="00627938"/>
    <w:rsid w:val="00627B4C"/>
    <w:rsid w:val="0063051A"/>
    <w:rsid w:val="00630573"/>
    <w:rsid w:val="00631170"/>
    <w:rsid w:val="00631C83"/>
    <w:rsid w:val="00632DBD"/>
    <w:rsid w:val="006332A9"/>
    <w:rsid w:val="006344C9"/>
    <w:rsid w:val="00634F37"/>
    <w:rsid w:val="006358C3"/>
    <w:rsid w:val="00635BD3"/>
    <w:rsid w:val="00635D06"/>
    <w:rsid w:val="00636894"/>
    <w:rsid w:val="00637C2D"/>
    <w:rsid w:val="006403CE"/>
    <w:rsid w:val="00641095"/>
    <w:rsid w:val="00641394"/>
    <w:rsid w:val="0064155E"/>
    <w:rsid w:val="0064162D"/>
    <w:rsid w:val="006418F1"/>
    <w:rsid w:val="00641B49"/>
    <w:rsid w:val="00642207"/>
    <w:rsid w:val="00642968"/>
    <w:rsid w:val="00642E3F"/>
    <w:rsid w:val="00643F4F"/>
    <w:rsid w:val="00644EAE"/>
    <w:rsid w:val="0064528F"/>
    <w:rsid w:val="006463FC"/>
    <w:rsid w:val="0064676B"/>
    <w:rsid w:val="006474C1"/>
    <w:rsid w:val="00647833"/>
    <w:rsid w:val="00647CDA"/>
    <w:rsid w:val="006508CB"/>
    <w:rsid w:val="00652840"/>
    <w:rsid w:val="00652F73"/>
    <w:rsid w:val="006536A3"/>
    <w:rsid w:val="006540D2"/>
    <w:rsid w:val="006542B3"/>
    <w:rsid w:val="0065483C"/>
    <w:rsid w:val="006548FF"/>
    <w:rsid w:val="006557F4"/>
    <w:rsid w:val="00655EA3"/>
    <w:rsid w:val="00657345"/>
    <w:rsid w:val="006605B6"/>
    <w:rsid w:val="00660AD5"/>
    <w:rsid w:val="00660C97"/>
    <w:rsid w:val="006612F8"/>
    <w:rsid w:val="0066164B"/>
    <w:rsid w:val="00661707"/>
    <w:rsid w:val="00661B62"/>
    <w:rsid w:val="00662AC8"/>
    <w:rsid w:val="00662C89"/>
    <w:rsid w:val="006636AA"/>
    <w:rsid w:val="00663F83"/>
    <w:rsid w:val="00664230"/>
    <w:rsid w:val="006642F7"/>
    <w:rsid w:val="00664EE8"/>
    <w:rsid w:val="00666BED"/>
    <w:rsid w:val="00666DDF"/>
    <w:rsid w:val="00667A8F"/>
    <w:rsid w:val="00667D4E"/>
    <w:rsid w:val="0067043B"/>
    <w:rsid w:val="006706C2"/>
    <w:rsid w:val="006709A7"/>
    <w:rsid w:val="00671E6A"/>
    <w:rsid w:val="0067215E"/>
    <w:rsid w:val="006735FF"/>
    <w:rsid w:val="00673FE3"/>
    <w:rsid w:val="00674268"/>
    <w:rsid w:val="006744E8"/>
    <w:rsid w:val="00674750"/>
    <w:rsid w:val="006749EC"/>
    <w:rsid w:val="0067657F"/>
    <w:rsid w:val="006768B8"/>
    <w:rsid w:val="006805FE"/>
    <w:rsid w:val="0068192B"/>
    <w:rsid w:val="00682749"/>
    <w:rsid w:val="00682866"/>
    <w:rsid w:val="0068301F"/>
    <w:rsid w:val="006838F2"/>
    <w:rsid w:val="00683C1A"/>
    <w:rsid w:val="00684746"/>
    <w:rsid w:val="00684A2A"/>
    <w:rsid w:val="00685403"/>
    <w:rsid w:val="006904FD"/>
    <w:rsid w:val="00690C75"/>
    <w:rsid w:val="0069162F"/>
    <w:rsid w:val="0069238E"/>
    <w:rsid w:val="00693095"/>
    <w:rsid w:val="006937B6"/>
    <w:rsid w:val="0069450D"/>
    <w:rsid w:val="00694886"/>
    <w:rsid w:val="00694959"/>
    <w:rsid w:val="00694BF4"/>
    <w:rsid w:val="00695D41"/>
    <w:rsid w:val="00696135"/>
    <w:rsid w:val="0069620A"/>
    <w:rsid w:val="00697076"/>
    <w:rsid w:val="0069780D"/>
    <w:rsid w:val="006979B2"/>
    <w:rsid w:val="006A0545"/>
    <w:rsid w:val="006A0771"/>
    <w:rsid w:val="006A136E"/>
    <w:rsid w:val="006A226C"/>
    <w:rsid w:val="006A2933"/>
    <w:rsid w:val="006A2F26"/>
    <w:rsid w:val="006A318A"/>
    <w:rsid w:val="006A3398"/>
    <w:rsid w:val="006A4C8A"/>
    <w:rsid w:val="006A52D2"/>
    <w:rsid w:val="006A5612"/>
    <w:rsid w:val="006A5DAC"/>
    <w:rsid w:val="006A651C"/>
    <w:rsid w:val="006A69B6"/>
    <w:rsid w:val="006A6D7E"/>
    <w:rsid w:val="006B09BD"/>
    <w:rsid w:val="006B1C4E"/>
    <w:rsid w:val="006B1F0E"/>
    <w:rsid w:val="006B294B"/>
    <w:rsid w:val="006B2A03"/>
    <w:rsid w:val="006B2E19"/>
    <w:rsid w:val="006B416E"/>
    <w:rsid w:val="006B4205"/>
    <w:rsid w:val="006B42A5"/>
    <w:rsid w:val="006B431F"/>
    <w:rsid w:val="006B46A9"/>
    <w:rsid w:val="006B5DF4"/>
    <w:rsid w:val="006B6265"/>
    <w:rsid w:val="006B68C5"/>
    <w:rsid w:val="006B6C02"/>
    <w:rsid w:val="006B7019"/>
    <w:rsid w:val="006C0801"/>
    <w:rsid w:val="006C209D"/>
    <w:rsid w:val="006C2131"/>
    <w:rsid w:val="006C21C7"/>
    <w:rsid w:val="006C28CA"/>
    <w:rsid w:val="006C291D"/>
    <w:rsid w:val="006C2A57"/>
    <w:rsid w:val="006C3FAA"/>
    <w:rsid w:val="006C405C"/>
    <w:rsid w:val="006C412D"/>
    <w:rsid w:val="006C4C0F"/>
    <w:rsid w:val="006C58DB"/>
    <w:rsid w:val="006C591C"/>
    <w:rsid w:val="006C5991"/>
    <w:rsid w:val="006C6035"/>
    <w:rsid w:val="006C66F2"/>
    <w:rsid w:val="006C6EB2"/>
    <w:rsid w:val="006C7B78"/>
    <w:rsid w:val="006C7EAD"/>
    <w:rsid w:val="006D02F1"/>
    <w:rsid w:val="006D0512"/>
    <w:rsid w:val="006D16D9"/>
    <w:rsid w:val="006D26EE"/>
    <w:rsid w:val="006D3A26"/>
    <w:rsid w:val="006D3F8F"/>
    <w:rsid w:val="006D4FF1"/>
    <w:rsid w:val="006D591F"/>
    <w:rsid w:val="006D6423"/>
    <w:rsid w:val="006D7684"/>
    <w:rsid w:val="006E08AE"/>
    <w:rsid w:val="006E1477"/>
    <w:rsid w:val="006E1865"/>
    <w:rsid w:val="006E1E62"/>
    <w:rsid w:val="006E2015"/>
    <w:rsid w:val="006E2520"/>
    <w:rsid w:val="006E2D0B"/>
    <w:rsid w:val="006E30AF"/>
    <w:rsid w:val="006E3E63"/>
    <w:rsid w:val="006E48AC"/>
    <w:rsid w:val="006E4AB9"/>
    <w:rsid w:val="006E553D"/>
    <w:rsid w:val="006E57E3"/>
    <w:rsid w:val="006E620C"/>
    <w:rsid w:val="006E6C21"/>
    <w:rsid w:val="006E7366"/>
    <w:rsid w:val="006F0369"/>
    <w:rsid w:val="006F07C7"/>
    <w:rsid w:val="006F0899"/>
    <w:rsid w:val="006F0952"/>
    <w:rsid w:val="006F0E51"/>
    <w:rsid w:val="006F0EF3"/>
    <w:rsid w:val="006F22FD"/>
    <w:rsid w:val="006F34BD"/>
    <w:rsid w:val="006F36A0"/>
    <w:rsid w:val="006F3C11"/>
    <w:rsid w:val="006F3C35"/>
    <w:rsid w:val="006F4679"/>
    <w:rsid w:val="006F7E15"/>
    <w:rsid w:val="00700298"/>
    <w:rsid w:val="007006EC"/>
    <w:rsid w:val="00701C8E"/>
    <w:rsid w:val="007023CD"/>
    <w:rsid w:val="007023EA"/>
    <w:rsid w:val="007026D8"/>
    <w:rsid w:val="00702AF0"/>
    <w:rsid w:val="007032CF"/>
    <w:rsid w:val="0070428A"/>
    <w:rsid w:val="007043C8"/>
    <w:rsid w:val="0070489D"/>
    <w:rsid w:val="00705A8F"/>
    <w:rsid w:val="007060C5"/>
    <w:rsid w:val="00706B23"/>
    <w:rsid w:val="00706D94"/>
    <w:rsid w:val="0071036D"/>
    <w:rsid w:val="00710434"/>
    <w:rsid w:val="007111DC"/>
    <w:rsid w:val="0071163D"/>
    <w:rsid w:val="00712174"/>
    <w:rsid w:val="0071252B"/>
    <w:rsid w:val="007135A1"/>
    <w:rsid w:val="007135A2"/>
    <w:rsid w:val="007137B6"/>
    <w:rsid w:val="00714466"/>
    <w:rsid w:val="00714A41"/>
    <w:rsid w:val="00716D75"/>
    <w:rsid w:val="007200D9"/>
    <w:rsid w:val="00720370"/>
    <w:rsid w:val="0072082D"/>
    <w:rsid w:val="00720D89"/>
    <w:rsid w:val="0072128E"/>
    <w:rsid w:val="0072153B"/>
    <w:rsid w:val="00721FF9"/>
    <w:rsid w:val="00722064"/>
    <w:rsid w:val="00722573"/>
    <w:rsid w:val="00722741"/>
    <w:rsid w:val="00722773"/>
    <w:rsid w:val="00722AF0"/>
    <w:rsid w:val="007232D1"/>
    <w:rsid w:val="00723626"/>
    <w:rsid w:val="00724545"/>
    <w:rsid w:val="00724C4B"/>
    <w:rsid w:val="00725B82"/>
    <w:rsid w:val="007262AD"/>
    <w:rsid w:val="007265FF"/>
    <w:rsid w:val="0072680E"/>
    <w:rsid w:val="00726887"/>
    <w:rsid w:val="00727A7E"/>
    <w:rsid w:val="00727E0B"/>
    <w:rsid w:val="00727ED3"/>
    <w:rsid w:val="007333FF"/>
    <w:rsid w:val="00733437"/>
    <w:rsid w:val="00734017"/>
    <w:rsid w:val="00734617"/>
    <w:rsid w:val="00734A49"/>
    <w:rsid w:val="00734FF4"/>
    <w:rsid w:val="00735966"/>
    <w:rsid w:val="00735A70"/>
    <w:rsid w:val="00736879"/>
    <w:rsid w:val="00736921"/>
    <w:rsid w:val="00737456"/>
    <w:rsid w:val="007413E8"/>
    <w:rsid w:val="0074247A"/>
    <w:rsid w:val="00742576"/>
    <w:rsid w:val="007436CD"/>
    <w:rsid w:val="00743943"/>
    <w:rsid w:val="00743FA9"/>
    <w:rsid w:val="007441F0"/>
    <w:rsid w:val="00744ACB"/>
    <w:rsid w:val="00744F1D"/>
    <w:rsid w:val="007451C9"/>
    <w:rsid w:val="00745395"/>
    <w:rsid w:val="0074561A"/>
    <w:rsid w:val="007457ED"/>
    <w:rsid w:val="007467D5"/>
    <w:rsid w:val="007468F1"/>
    <w:rsid w:val="00746AAF"/>
    <w:rsid w:val="00746FBB"/>
    <w:rsid w:val="00747266"/>
    <w:rsid w:val="00747F58"/>
    <w:rsid w:val="007500A4"/>
    <w:rsid w:val="00750328"/>
    <w:rsid w:val="00750491"/>
    <w:rsid w:val="007513C1"/>
    <w:rsid w:val="00751719"/>
    <w:rsid w:val="00752B5C"/>
    <w:rsid w:val="00753625"/>
    <w:rsid w:val="00753A70"/>
    <w:rsid w:val="00753B4C"/>
    <w:rsid w:val="00754009"/>
    <w:rsid w:val="00755A3F"/>
    <w:rsid w:val="0075640A"/>
    <w:rsid w:val="00760AD7"/>
    <w:rsid w:val="00760AF1"/>
    <w:rsid w:val="00760C3B"/>
    <w:rsid w:val="00760C47"/>
    <w:rsid w:val="007611EA"/>
    <w:rsid w:val="0076185A"/>
    <w:rsid w:val="00762612"/>
    <w:rsid w:val="00762A12"/>
    <w:rsid w:val="0076345D"/>
    <w:rsid w:val="00763EC4"/>
    <w:rsid w:val="00764EAF"/>
    <w:rsid w:val="00764F25"/>
    <w:rsid w:val="0076696F"/>
    <w:rsid w:val="00767550"/>
    <w:rsid w:val="007709FC"/>
    <w:rsid w:val="00770A27"/>
    <w:rsid w:val="00772326"/>
    <w:rsid w:val="0077271B"/>
    <w:rsid w:val="00772B38"/>
    <w:rsid w:val="00772CA2"/>
    <w:rsid w:val="00773068"/>
    <w:rsid w:val="00773084"/>
    <w:rsid w:val="00773169"/>
    <w:rsid w:val="007732EB"/>
    <w:rsid w:val="00773980"/>
    <w:rsid w:val="00773D66"/>
    <w:rsid w:val="00774191"/>
    <w:rsid w:val="00776032"/>
    <w:rsid w:val="00776189"/>
    <w:rsid w:val="0077696E"/>
    <w:rsid w:val="00776AFF"/>
    <w:rsid w:val="00776D9D"/>
    <w:rsid w:val="007775BD"/>
    <w:rsid w:val="007802C7"/>
    <w:rsid w:val="00780C76"/>
    <w:rsid w:val="00780D79"/>
    <w:rsid w:val="00781329"/>
    <w:rsid w:val="00781ED2"/>
    <w:rsid w:val="0078220E"/>
    <w:rsid w:val="007829AF"/>
    <w:rsid w:val="00783292"/>
    <w:rsid w:val="007848D2"/>
    <w:rsid w:val="007851B1"/>
    <w:rsid w:val="007854A1"/>
    <w:rsid w:val="007855C9"/>
    <w:rsid w:val="007857BB"/>
    <w:rsid w:val="00785970"/>
    <w:rsid w:val="00785A05"/>
    <w:rsid w:val="007865AD"/>
    <w:rsid w:val="00787506"/>
    <w:rsid w:val="00790472"/>
    <w:rsid w:val="007907ED"/>
    <w:rsid w:val="00790BF2"/>
    <w:rsid w:val="00790CA1"/>
    <w:rsid w:val="00790DA3"/>
    <w:rsid w:val="00790ECB"/>
    <w:rsid w:val="00792565"/>
    <w:rsid w:val="00792963"/>
    <w:rsid w:val="007937DB"/>
    <w:rsid w:val="00793BCE"/>
    <w:rsid w:val="00794252"/>
    <w:rsid w:val="00794994"/>
    <w:rsid w:val="00794B03"/>
    <w:rsid w:val="00795623"/>
    <w:rsid w:val="0079593A"/>
    <w:rsid w:val="00795BE7"/>
    <w:rsid w:val="0079722B"/>
    <w:rsid w:val="0079750B"/>
    <w:rsid w:val="007A0150"/>
    <w:rsid w:val="007A0200"/>
    <w:rsid w:val="007A0214"/>
    <w:rsid w:val="007A02B8"/>
    <w:rsid w:val="007A07DB"/>
    <w:rsid w:val="007A1773"/>
    <w:rsid w:val="007A1B42"/>
    <w:rsid w:val="007A1D1A"/>
    <w:rsid w:val="007A2059"/>
    <w:rsid w:val="007A21C7"/>
    <w:rsid w:val="007A2F5C"/>
    <w:rsid w:val="007A388F"/>
    <w:rsid w:val="007A3A87"/>
    <w:rsid w:val="007A40AD"/>
    <w:rsid w:val="007A5861"/>
    <w:rsid w:val="007A5B55"/>
    <w:rsid w:val="007A618E"/>
    <w:rsid w:val="007A6627"/>
    <w:rsid w:val="007A6DEE"/>
    <w:rsid w:val="007A6E19"/>
    <w:rsid w:val="007A6E77"/>
    <w:rsid w:val="007A6F7C"/>
    <w:rsid w:val="007A7304"/>
    <w:rsid w:val="007A7343"/>
    <w:rsid w:val="007A74D7"/>
    <w:rsid w:val="007B0013"/>
    <w:rsid w:val="007B06AF"/>
    <w:rsid w:val="007B2430"/>
    <w:rsid w:val="007B2837"/>
    <w:rsid w:val="007B35B9"/>
    <w:rsid w:val="007B3730"/>
    <w:rsid w:val="007B37D9"/>
    <w:rsid w:val="007B3D58"/>
    <w:rsid w:val="007B3D81"/>
    <w:rsid w:val="007B3E1E"/>
    <w:rsid w:val="007B5795"/>
    <w:rsid w:val="007B5BF3"/>
    <w:rsid w:val="007C18B8"/>
    <w:rsid w:val="007C1E16"/>
    <w:rsid w:val="007C2230"/>
    <w:rsid w:val="007C275D"/>
    <w:rsid w:val="007C296E"/>
    <w:rsid w:val="007C2C33"/>
    <w:rsid w:val="007C332D"/>
    <w:rsid w:val="007C3DA5"/>
    <w:rsid w:val="007C3F6E"/>
    <w:rsid w:val="007C43B5"/>
    <w:rsid w:val="007C44D7"/>
    <w:rsid w:val="007C5487"/>
    <w:rsid w:val="007C66D4"/>
    <w:rsid w:val="007C7B8E"/>
    <w:rsid w:val="007D0067"/>
    <w:rsid w:val="007D0329"/>
    <w:rsid w:val="007D291F"/>
    <w:rsid w:val="007D3599"/>
    <w:rsid w:val="007D3A65"/>
    <w:rsid w:val="007D3DD5"/>
    <w:rsid w:val="007D438C"/>
    <w:rsid w:val="007D54D5"/>
    <w:rsid w:val="007D5584"/>
    <w:rsid w:val="007D5BFE"/>
    <w:rsid w:val="007D5D54"/>
    <w:rsid w:val="007D5E56"/>
    <w:rsid w:val="007D651B"/>
    <w:rsid w:val="007D6F58"/>
    <w:rsid w:val="007D70BB"/>
    <w:rsid w:val="007E0790"/>
    <w:rsid w:val="007E1174"/>
    <w:rsid w:val="007E1C5D"/>
    <w:rsid w:val="007E2EE6"/>
    <w:rsid w:val="007E353F"/>
    <w:rsid w:val="007E3BD5"/>
    <w:rsid w:val="007E4E25"/>
    <w:rsid w:val="007E50E9"/>
    <w:rsid w:val="007E5AFA"/>
    <w:rsid w:val="007E5BFF"/>
    <w:rsid w:val="007E6618"/>
    <w:rsid w:val="007E6DD4"/>
    <w:rsid w:val="007E70A5"/>
    <w:rsid w:val="007E7417"/>
    <w:rsid w:val="007F012A"/>
    <w:rsid w:val="007F0290"/>
    <w:rsid w:val="007F18CA"/>
    <w:rsid w:val="007F295D"/>
    <w:rsid w:val="007F2E49"/>
    <w:rsid w:val="007F2F43"/>
    <w:rsid w:val="007F3575"/>
    <w:rsid w:val="007F3635"/>
    <w:rsid w:val="007F3815"/>
    <w:rsid w:val="007F4C24"/>
    <w:rsid w:val="007F4EE9"/>
    <w:rsid w:val="007F5184"/>
    <w:rsid w:val="007F5FE9"/>
    <w:rsid w:val="007F6229"/>
    <w:rsid w:val="007F65CF"/>
    <w:rsid w:val="007F7DF3"/>
    <w:rsid w:val="00800323"/>
    <w:rsid w:val="00801184"/>
    <w:rsid w:val="008013C1"/>
    <w:rsid w:val="008015E7"/>
    <w:rsid w:val="008018B4"/>
    <w:rsid w:val="00801A0E"/>
    <w:rsid w:val="0080262B"/>
    <w:rsid w:val="008035B9"/>
    <w:rsid w:val="008035FC"/>
    <w:rsid w:val="00803AC7"/>
    <w:rsid w:val="00804268"/>
    <w:rsid w:val="00804A3C"/>
    <w:rsid w:val="00805790"/>
    <w:rsid w:val="00805C6B"/>
    <w:rsid w:val="00805ED2"/>
    <w:rsid w:val="00806DAC"/>
    <w:rsid w:val="00806E61"/>
    <w:rsid w:val="00806F44"/>
    <w:rsid w:val="00807F27"/>
    <w:rsid w:val="00810140"/>
    <w:rsid w:val="00810150"/>
    <w:rsid w:val="008101EF"/>
    <w:rsid w:val="00810D6D"/>
    <w:rsid w:val="00811C6A"/>
    <w:rsid w:val="00812D92"/>
    <w:rsid w:val="00814A18"/>
    <w:rsid w:val="00815346"/>
    <w:rsid w:val="008154FB"/>
    <w:rsid w:val="00815A82"/>
    <w:rsid w:val="008164A5"/>
    <w:rsid w:val="008165F0"/>
    <w:rsid w:val="0081784D"/>
    <w:rsid w:val="00817AF6"/>
    <w:rsid w:val="00820045"/>
    <w:rsid w:val="00820810"/>
    <w:rsid w:val="00820F7C"/>
    <w:rsid w:val="00821552"/>
    <w:rsid w:val="00821981"/>
    <w:rsid w:val="00821FC3"/>
    <w:rsid w:val="00822515"/>
    <w:rsid w:val="00822BA3"/>
    <w:rsid w:val="00822F8A"/>
    <w:rsid w:val="0082326D"/>
    <w:rsid w:val="00823992"/>
    <w:rsid w:val="00823FFA"/>
    <w:rsid w:val="0082488C"/>
    <w:rsid w:val="00824AD4"/>
    <w:rsid w:val="008253A6"/>
    <w:rsid w:val="0082608F"/>
    <w:rsid w:val="008271ED"/>
    <w:rsid w:val="0082742B"/>
    <w:rsid w:val="008278D1"/>
    <w:rsid w:val="00827A76"/>
    <w:rsid w:val="00827E86"/>
    <w:rsid w:val="00830413"/>
    <w:rsid w:val="00830687"/>
    <w:rsid w:val="008308F2"/>
    <w:rsid w:val="0083383A"/>
    <w:rsid w:val="00833FC6"/>
    <w:rsid w:val="00834B29"/>
    <w:rsid w:val="008360C2"/>
    <w:rsid w:val="00836C2A"/>
    <w:rsid w:val="00837A48"/>
    <w:rsid w:val="00840068"/>
    <w:rsid w:val="00840FAC"/>
    <w:rsid w:val="008418F5"/>
    <w:rsid w:val="00841E6D"/>
    <w:rsid w:val="00842032"/>
    <w:rsid w:val="008427E9"/>
    <w:rsid w:val="00842816"/>
    <w:rsid w:val="00842D81"/>
    <w:rsid w:val="00842F1E"/>
    <w:rsid w:val="008435E8"/>
    <w:rsid w:val="00843BAE"/>
    <w:rsid w:val="0084545E"/>
    <w:rsid w:val="008460F6"/>
    <w:rsid w:val="00846848"/>
    <w:rsid w:val="00846ABF"/>
    <w:rsid w:val="008471FF"/>
    <w:rsid w:val="00847B7C"/>
    <w:rsid w:val="00850049"/>
    <w:rsid w:val="00850A4A"/>
    <w:rsid w:val="008519AE"/>
    <w:rsid w:val="00851CBF"/>
    <w:rsid w:val="008524CB"/>
    <w:rsid w:val="00853998"/>
    <w:rsid w:val="0085578F"/>
    <w:rsid w:val="0085598E"/>
    <w:rsid w:val="00855EAB"/>
    <w:rsid w:val="00856AE2"/>
    <w:rsid w:val="00856E18"/>
    <w:rsid w:val="00857065"/>
    <w:rsid w:val="0085783C"/>
    <w:rsid w:val="008578C4"/>
    <w:rsid w:val="008579E5"/>
    <w:rsid w:val="00857D3D"/>
    <w:rsid w:val="00860DA8"/>
    <w:rsid w:val="008619C2"/>
    <w:rsid w:val="00861A07"/>
    <w:rsid w:val="00861DE2"/>
    <w:rsid w:val="00861EDA"/>
    <w:rsid w:val="00862068"/>
    <w:rsid w:val="008634FF"/>
    <w:rsid w:val="008636E2"/>
    <w:rsid w:val="00863BC3"/>
    <w:rsid w:val="008649A2"/>
    <w:rsid w:val="00864E3F"/>
    <w:rsid w:val="00865872"/>
    <w:rsid w:val="00867B60"/>
    <w:rsid w:val="00867F2F"/>
    <w:rsid w:val="00867FD7"/>
    <w:rsid w:val="008701E6"/>
    <w:rsid w:val="0087022A"/>
    <w:rsid w:val="00871210"/>
    <w:rsid w:val="00871BFE"/>
    <w:rsid w:val="00872391"/>
    <w:rsid w:val="00872A99"/>
    <w:rsid w:val="00872BE2"/>
    <w:rsid w:val="0087304A"/>
    <w:rsid w:val="00873825"/>
    <w:rsid w:val="0087388D"/>
    <w:rsid w:val="008744EF"/>
    <w:rsid w:val="008746AE"/>
    <w:rsid w:val="0087498B"/>
    <w:rsid w:val="00874A9B"/>
    <w:rsid w:val="00875674"/>
    <w:rsid w:val="00876ACD"/>
    <w:rsid w:val="00876B5A"/>
    <w:rsid w:val="008801E3"/>
    <w:rsid w:val="00880ADE"/>
    <w:rsid w:val="00880BE5"/>
    <w:rsid w:val="008811E9"/>
    <w:rsid w:val="008822E8"/>
    <w:rsid w:val="008826E0"/>
    <w:rsid w:val="008828EC"/>
    <w:rsid w:val="00882901"/>
    <w:rsid w:val="00882C3C"/>
    <w:rsid w:val="008831B8"/>
    <w:rsid w:val="00883340"/>
    <w:rsid w:val="00883787"/>
    <w:rsid w:val="00884F2A"/>
    <w:rsid w:val="00885179"/>
    <w:rsid w:val="008858ED"/>
    <w:rsid w:val="00885E3A"/>
    <w:rsid w:val="008863C6"/>
    <w:rsid w:val="00886511"/>
    <w:rsid w:val="00886668"/>
    <w:rsid w:val="00886B9F"/>
    <w:rsid w:val="00886D1D"/>
    <w:rsid w:val="008874BD"/>
    <w:rsid w:val="00890B44"/>
    <w:rsid w:val="00890B50"/>
    <w:rsid w:val="00891355"/>
    <w:rsid w:val="0089223A"/>
    <w:rsid w:val="008923BE"/>
    <w:rsid w:val="008931D5"/>
    <w:rsid w:val="008963E6"/>
    <w:rsid w:val="00897256"/>
    <w:rsid w:val="008A015E"/>
    <w:rsid w:val="008A09C8"/>
    <w:rsid w:val="008A1A3D"/>
    <w:rsid w:val="008A1E2F"/>
    <w:rsid w:val="008A2805"/>
    <w:rsid w:val="008A2990"/>
    <w:rsid w:val="008A36D8"/>
    <w:rsid w:val="008A439A"/>
    <w:rsid w:val="008A4938"/>
    <w:rsid w:val="008A52F2"/>
    <w:rsid w:val="008A54B9"/>
    <w:rsid w:val="008A5772"/>
    <w:rsid w:val="008A63A4"/>
    <w:rsid w:val="008A7765"/>
    <w:rsid w:val="008A787D"/>
    <w:rsid w:val="008B07F5"/>
    <w:rsid w:val="008B1670"/>
    <w:rsid w:val="008B2474"/>
    <w:rsid w:val="008B3C29"/>
    <w:rsid w:val="008B3E45"/>
    <w:rsid w:val="008B4B1F"/>
    <w:rsid w:val="008B4F3F"/>
    <w:rsid w:val="008B506D"/>
    <w:rsid w:val="008B63BC"/>
    <w:rsid w:val="008B67F9"/>
    <w:rsid w:val="008B6A45"/>
    <w:rsid w:val="008C0633"/>
    <w:rsid w:val="008C178F"/>
    <w:rsid w:val="008C1CED"/>
    <w:rsid w:val="008C1F51"/>
    <w:rsid w:val="008C30E0"/>
    <w:rsid w:val="008C33E1"/>
    <w:rsid w:val="008C4DAA"/>
    <w:rsid w:val="008C5011"/>
    <w:rsid w:val="008C5396"/>
    <w:rsid w:val="008C5442"/>
    <w:rsid w:val="008C5D8A"/>
    <w:rsid w:val="008C6C6F"/>
    <w:rsid w:val="008C72F2"/>
    <w:rsid w:val="008C7820"/>
    <w:rsid w:val="008C7DED"/>
    <w:rsid w:val="008D02E8"/>
    <w:rsid w:val="008D06CF"/>
    <w:rsid w:val="008D1087"/>
    <w:rsid w:val="008D11F0"/>
    <w:rsid w:val="008D12A5"/>
    <w:rsid w:val="008D14EA"/>
    <w:rsid w:val="008D175A"/>
    <w:rsid w:val="008D1D61"/>
    <w:rsid w:val="008D2D6B"/>
    <w:rsid w:val="008D3297"/>
    <w:rsid w:val="008D3691"/>
    <w:rsid w:val="008D3C40"/>
    <w:rsid w:val="008D45D1"/>
    <w:rsid w:val="008D4EA3"/>
    <w:rsid w:val="008D5E2A"/>
    <w:rsid w:val="008D623D"/>
    <w:rsid w:val="008D745B"/>
    <w:rsid w:val="008D74DB"/>
    <w:rsid w:val="008E019F"/>
    <w:rsid w:val="008E06DF"/>
    <w:rsid w:val="008E0AA3"/>
    <w:rsid w:val="008E21FF"/>
    <w:rsid w:val="008E303F"/>
    <w:rsid w:val="008E3288"/>
    <w:rsid w:val="008E3E16"/>
    <w:rsid w:val="008E4542"/>
    <w:rsid w:val="008E45BF"/>
    <w:rsid w:val="008E4936"/>
    <w:rsid w:val="008E4DBD"/>
    <w:rsid w:val="008E6061"/>
    <w:rsid w:val="008E621A"/>
    <w:rsid w:val="008E7160"/>
    <w:rsid w:val="008E75F7"/>
    <w:rsid w:val="008F00C3"/>
    <w:rsid w:val="008F01D9"/>
    <w:rsid w:val="008F064C"/>
    <w:rsid w:val="008F109B"/>
    <w:rsid w:val="008F1FD6"/>
    <w:rsid w:val="008F3222"/>
    <w:rsid w:val="008F3C9A"/>
    <w:rsid w:val="008F45A3"/>
    <w:rsid w:val="008F47F4"/>
    <w:rsid w:val="008F4FF2"/>
    <w:rsid w:val="008F5A46"/>
    <w:rsid w:val="008F6DFE"/>
    <w:rsid w:val="008F7403"/>
    <w:rsid w:val="008F77AE"/>
    <w:rsid w:val="00900246"/>
    <w:rsid w:val="0090082A"/>
    <w:rsid w:val="009012F5"/>
    <w:rsid w:val="0090161B"/>
    <w:rsid w:val="00901B13"/>
    <w:rsid w:val="00902AF2"/>
    <w:rsid w:val="00902EAB"/>
    <w:rsid w:val="009031F8"/>
    <w:rsid w:val="00903374"/>
    <w:rsid w:val="00903550"/>
    <w:rsid w:val="00904359"/>
    <w:rsid w:val="00904804"/>
    <w:rsid w:val="00904F38"/>
    <w:rsid w:val="0090516B"/>
    <w:rsid w:val="00905704"/>
    <w:rsid w:val="00906E85"/>
    <w:rsid w:val="00907563"/>
    <w:rsid w:val="00911F8E"/>
    <w:rsid w:val="0091283A"/>
    <w:rsid w:val="00912B37"/>
    <w:rsid w:val="00912BE9"/>
    <w:rsid w:val="00912F8D"/>
    <w:rsid w:val="009139BB"/>
    <w:rsid w:val="00913D3A"/>
    <w:rsid w:val="00914FEA"/>
    <w:rsid w:val="009151D9"/>
    <w:rsid w:val="009156BF"/>
    <w:rsid w:val="00916649"/>
    <w:rsid w:val="00917C03"/>
    <w:rsid w:val="00920D27"/>
    <w:rsid w:val="00921195"/>
    <w:rsid w:val="009213C5"/>
    <w:rsid w:val="0092158F"/>
    <w:rsid w:val="00921A50"/>
    <w:rsid w:val="009239C3"/>
    <w:rsid w:val="00923B18"/>
    <w:rsid w:val="0092415E"/>
    <w:rsid w:val="00924AA8"/>
    <w:rsid w:val="00925D5C"/>
    <w:rsid w:val="009261E8"/>
    <w:rsid w:val="00926988"/>
    <w:rsid w:val="00931067"/>
    <w:rsid w:val="00931142"/>
    <w:rsid w:val="009314A6"/>
    <w:rsid w:val="0093215C"/>
    <w:rsid w:val="00933111"/>
    <w:rsid w:val="00933158"/>
    <w:rsid w:val="00933C04"/>
    <w:rsid w:val="0093438F"/>
    <w:rsid w:val="00934486"/>
    <w:rsid w:val="009344AC"/>
    <w:rsid w:val="009349BE"/>
    <w:rsid w:val="00935823"/>
    <w:rsid w:val="009360DD"/>
    <w:rsid w:val="00936A4F"/>
    <w:rsid w:val="00936FD0"/>
    <w:rsid w:val="00937182"/>
    <w:rsid w:val="009371DA"/>
    <w:rsid w:val="0093758A"/>
    <w:rsid w:val="00937A7F"/>
    <w:rsid w:val="009423DF"/>
    <w:rsid w:val="009427F7"/>
    <w:rsid w:val="00942CE5"/>
    <w:rsid w:val="00942DC8"/>
    <w:rsid w:val="009430C1"/>
    <w:rsid w:val="00943168"/>
    <w:rsid w:val="00943414"/>
    <w:rsid w:val="009439F5"/>
    <w:rsid w:val="009459E9"/>
    <w:rsid w:val="00946F92"/>
    <w:rsid w:val="00947A78"/>
    <w:rsid w:val="00947EF9"/>
    <w:rsid w:val="0095008E"/>
    <w:rsid w:val="009502FD"/>
    <w:rsid w:val="0095289A"/>
    <w:rsid w:val="00952F56"/>
    <w:rsid w:val="00954B55"/>
    <w:rsid w:val="00955061"/>
    <w:rsid w:val="009553D3"/>
    <w:rsid w:val="00955940"/>
    <w:rsid w:val="00955998"/>
    <w:rsid w:val="00955E36"/>
    <w:rsid w:val="009571EA"/>
    <w:rsid w:val="0095797E"/>
    <w:rsid w:val="00957A58"/>
    <w:rsid w:val="009600FA"/>
    <w:rsid w:val="00960CAF"/>
    <w:rsid w:val="00960F1A"/>
    <w:rsid w:val="0096259E"/>
    <w:rsid w:val="00962EF3"/>
    <w:rsid w:val="009632DD"/>
    <w:rsid w:val="0096377C"/>
    <w:rsid w:val="00963CB0"/>
    <w:rsid w:val="009649FF"/>
    <w:rsid w:val="00964CFE"/>
    <w:rsid w:val="0096563D"/>
    <w:rsid w:val="009657D1"/>
    <w:rsid w:val="009662AC"/>
    <w:rsid w:val="009662F8"/>
    <w:rsid w:val="009665D8"/>
    <w:rsid w:val="00966DDA"/>
    <w:rsid w:val="00966E54"/>
    <w:rsid w:val="00966F85"/>
    <w:rsid w:val="0096740B"/>
    <w:rsid w:val="009676CF"/>
    <w:rsid w:val="00967915"/>
    <w:rsid w:val="00967D27"/>
    <w:rsid w:val="0097065E"/>
    <w:rsid w:val="00970CA2"/>
    <w:rsid w:val="00971303"/>
    <w:rsid w:val="00971660"/>
    <w:rsid w:val="009727E9"/>
    <w:rsid w:val="00972904"/>
    <w:rsid w:val="00973304"/>
    <w:rsid w:val="009735E9"/>
    <w:rsid w:val="00973C2E"/>
    <w:rsid w:val="00975722"/>
    <w:rsid w:val="00975883"/>
    <w:rsid w:val="00976BCA"/>
    <w:rsid w:val="00976C72"/>
    <w:rsid w:val="00980F0B"/>
    <w:rsid w:val="009813C0"/>
    <w:rsid w:val="009818C6"/>
    <w:rsid w:val="00981FED"/>
    <w:rsid w:val="0098253D"/>
    <w:rsid w:val="009827AD"/>
    <w:rsid w:val="009829DC"/>
    <w:rsid w:val="00982EC1"/>
    <w:rsid w:val="009838E9"/>
    <w:rsid w:val="009844DE"/>
    <w:rsid w:val="00984F07"/>
    <w:rsid w:val="00987964"/>
    <w:rsid w:val="00987C0B"/>
    <w:rsid w:val="00987DB4"/>
    <w:rsid w:val="00990296"/>
    <w:rsid w:val="009902A2"/>
    <w:rsid w:val="00990885"/>
    <w:rsid w:val="0099130A"/>
    <w:rsid w:val="0099197A"/>
    <w:rsid w:val="00992237"/>
    <w:rsid w:val="0099235F"/>
    <w:rsid w:val="009923A6"/>
    <w:rsid w:val="00994313"/>
    <w:rsid w:val="009944DD"/>
    <w:rsid w:val="00994704"/>
    <w:rsid w:val="00994C73"/>
    <w:rsid w:val="00994E0B"/>
    <w:rsid w:val="00996F39"/>
    <w:rsid w:val="0099753D"/>
    <w:rsid w:val="009A0EC0"/>
    <w:rsid w:val="009A1061"/>
    <w:rsid w:val="009A109F"/>
    <w:rsid w:val="009A1B1D"/>
    <w:rsid w:val="009A23AC"/>
    <w:rsid w:val="009A2536"/>
    <w:rsid w:val="009A3394"/>
    <w:rsid w:val="009A33D5"/>
    <w:rsid w:val="009A38AF"/>
    <w:rsid w:val="009A3D43"/>
    <w:rsid w:val="009A3FAC"/>
    <w:rsid w:val="009A4554"/>
    <w:rsid w:val="009A46FA"/>
    <w:rsid w:val="009A47D0"/>
    <w:rsid w:val="009A501D"/>
    <w:rsid w:val="009A5E1E"/>
    <w:rsid w:val="009A6C2A"/>
    <w:rsid w:val="009A7330"/>
    <w:rsid w:val="009A7F9A"/>
    <w:rsid w:val="009B004E"/>
    <w:rsid w:val="009B071E"/>
    <w:rsid w:val="009B25A2"/>
    <w:rsid w:val="009B2E29"/>
    <w:rsid w:val="009B30FA"/>
    <w:rsid w:val="009B3CD4"/>
    <w:rsid w:val="009B3D78"/>
    <w:rsid w:val="009B4454"/>
    <w:rsid w:val="009B5133"/>
    <w:rsid w:val="009B532E"/>
    <w:rsid w:val="009B6141"/>
    <w:rsid w:val="009B62CA"/>
    <w:rsid w:val="009B652E"/>
    <w:rsid w:val="009B6853"/>
    <w:rsid w:val="009B6A7D"/>
    <w:rsid w:val="009B7083"/>
    <w:rsid w:val="009B7B86"/>
    <w:rsid w:val="009B7C2D"/>
    <w:rsid w:val="009C0B02"/>
    <w:rsid w:val="009C1272"/>
    <w:rsid w:val="009C1C3E"/>
    <w:rsid w:val="009C2EDD"/>
    <w:rsid w:val="009C3B5D"/>
    <w:rsid w:val="009C4134"/>
    <w:rsid w:val="009C4DAC"/>
    <w:rsid w:val="009C5BDD"/>
    <w:rsid w:val="009C5E25"/>
    <w:rsid w:val="009C665D"/>
    <w:rsid w:val="009C6E12"/>
    <w:rsid w:val="009C730A"/>
    <w:rsid w:val="009C7DDC"/>
    <w:rsid w:val="009D012E"/>
    <w:rsid w:val="009D04FC"/>
    <w:rsid w:val="009D05E2"/>
    <w:rsid w:val="009D0A57"/>
    <w:rsid w:val="009D1C30"/>
    <w:rsid w:val="009D38F0"/>
    <w:rsid w:val="009D5769"/>
    <w:rsid w:val="009D5973"/>
    <w:rsid w:val="009D644B"/>
    <w:rsid w:val="009D663A"/>
    <w:rsid w:val="009D6991"/>
    <w:rsid w:val="009D6DC4"/>
    <w:rsid w:val="009D7368"/>
    <w:rsid w:val="009D7F4E"/>
    <w:rsid w:val="009D7FE7"/>
    <w:rsid w:val="009E01FF"/>
    <w:rsid w:val="009E05B0"/>
    <w:rsid w:val="009E07F2"/>
    <w:rsid w:val="009E10BC"/>
    <w:rsid w:val="009E11FA"/>
    <w:rsid w:val="009E14E3"/>
    <w:rsid w:val="009E293F"/>
    <w:rsid w:val="009E322D"/>
    <w:rsid w:val="009E36C9"/>
    <w:rsid w:val="009E3789"/>
    <w:rsid w:val="009E38E3"/>
    <w:rsid w:val="009E3BE8"/>
    <w:rsid w:val="009E3F6E"/>
    <w:rsid w:val="009E40F3"/>
    <w:rsid w:val="009E44EC"/>
    <w:rsid w:val="009E47C1"/>
    <w:rsid w:val="009E49A4"/>
    <w:rsid w:val="009E553B"/>
    <w:rsid w:val="009E5AE9"/>
    <w:rsid w:val="009E5F17"/>
    <w:rsid w:val="009E7BE4"/>
    <w:rsid w:val="009F0964"/>
    <w:rsid w:val="009F1173"/>
    <w:rsid w:val="009F13C0"/>
    <w:rsid w:val="009F1B6E"/>
    <w:rsid w:val="009F1DBF"/>
    <w:rsid w:val="009F2145"/>
    <w:rsid w:val="009F256F"/>
    <w:rsid w:val="009F2C70"/>
    <w:rsid w:val="009F3467"/>
    <w:rsid w:val="009F3C2B"/>
    <w:rsid w:val="009F3E87"/>
    <w:rsid w:val="009F46D4"/>
    <w:rsid w:val="009F4998"/>
    <w:rsid w:val="009F5482"/>
    <w:rsid w:val="009F552A"/>
    <w:rsid w:val="009F5A01"/>
    <w:rsid w:val="009F6020"/>
    <w:rsid w:val="009F6772"/>
    <w:rsid w:val="009F6A28"/>
    <w:rsid w:val="009F7015"/>
    <w:rsid w:val="009F75E9"/>
    <w:rsid w:val="00A0145D"/>
    <w:rsid w:val="00A01EC9"/>
    <w:rsid w:val="00A02442"/>
    <w:rsid w:val="00A02758"/>
    <w:rsid w:val="00A0319B"/>
    <w:rsid w:val="00A03B24"/>
    <w:rsid w:val="00A03C39"/>
    <w:rsid w:val="00A0475E"/>
    <w:rsid w:val="00A0517D"/>
    <w:rsid w:val="00A05B44"/>
    <w:rsid w:val="00A05E44"/>
    <w:rsid w:val="00A06055"/>
    <w:rsid w:val="00A0793B"/>
    <w:rsid w:val="00A115F1"/>
    <w:rsid w:val="00A1263B"/>
    <w:rsid w:val="00A12AA4"/>
    <w:rsid w:val="00A140A1"/>
    <w:rsid w:val="00A141A6"/>
    <w:rsid w:val="00A14A97"/>
    <w:rsid w:val="00A15393"/>
    <w:rsid w:val="00A1578A"/>
    <w:rsid w:val="00A15BDB"/>
    <w:rsid w:val="00A15CBC"/>
    <w:rsid w:val="00A1653E"/>
    <w:rsid w:val="00A16A82"/>
    <w:rsid w:val="00A1703D"/>
    <w:rsid w:val="00A171E8"/>
    <w:rsid w:val="00A178DB"/>
    <w:rsid w:val="00A20216"/>
    <w:rsid w:val="00A20A8D"/>
    <w:rsid w:val="00A20D85"/>
    <w:rsid w:val="00A20DC7"/>
    <w:rsid w:val="00A20E16"/>
    <w:rsid w:val="00A2109E"/>
    <w:rsid w:val="00A21E1A"/>
    <w:rsid w:val="00A21F74"/>
    <w:rsid w:val="00A22394"/>
    <w:rsid w:val="00A23110"/>
    <w:rsid w:val="00A235E9"/>
    <w:rsid w:val="00A23716"/>
    <w:rsid w:val="00A23A92"/>
    <w:rsid w:val="00A24D1D"/>
    <w:rsid w:val="00A24F18"/>
    <w:rsid w:val="00A24F38"/>
    <w:rsid w:val="00A25190"/>
    <w:rsid w:val="00A25679"/>
    <w:rsid w:val="00A25C3B"/>
    <w:rsid w:val="00A26B7B"/>
    <w:rsid w:val="00A26F0C"/>
    <w:rsid w:val="00A2701D"/>
    <w:rsid w:val="00A27D06"/>
    <w:rsid w:val="00A3163F"/>
    <w:rsid w:val="00A318C7"/>
    <w:rsid w:val="00A32453"/>
    <w:rsid w:val="00A3389C"/>
    <w:rsid w:val="00A34214"/>
    <w:rsid w:val="00A34382"/>
    <w:rsid w:val="00A34984"/>
    <w:rsid w:val="00A349B3"/>
    <w:rsid w:val="00A34F81"/>
    <w:rsid w:val="00A35013"/>
    <w:rsid w:val="00A35469"/>
    <w:rsid w:val="00A35567"/>
    <w:rsid w:val="00A35EDE"/>
    <w:rsid w:val="00A36BD4"/>
    <w:rsid w:val="00A37598"/>
    <w:rsid w:val="00A376F8"/>
    <w:rsid w:val="00A37BCA"/>
    <w:rsid w:val="00A4040B"/>
    <w:rsid w:val="00A40E23"/>
    <w:rsid w:val="00A41050"/>
    <w:rsid w:val="00A42042"/>
    <w:rsid w:val="00A421CD"/>
    <w:rsid w:val="00A423FD"/>
    <w:rsid w:val="00A4247A"/>
    <w:rsid w:val="00A42EDC"/>
    <w:rsid w:val="00A4312F"/>
    <w:rsid w:val="00A433D2"/>
    <w:rsid w:val="00A43CC9"/>
    <w:rsid w:val="00A455FA"/>
    <w:rsid w:val="00A45EC1"/>
    <w:rsid w:val="00A461B6"/>
    <w:rsid w:val="00A461FB"/>
    <w:rsid w:val="00A47D5F"/>
    <w:rsid w:val="00A50396"/>
    <w:rsid w:val="00A5052E"/>
    <w:rsid w:val="00A507EA"/>
    <w:rsid w:val="00A50EAB"/>
    <w:rsid w:val="00A5167E"/>
    <w:rsid w:val="00A51797"/>
    <w:rsid w:val="00A52146"/>
    <w:rsid w:val="00A52757"/>
    <w:rsid w:val="00A52CF3"/>
    <w:rsid w:val="00A540B2"/>
    <w:rsid w:val="00A54D55"/>
    <w:rsid w:val="00A55BAA"/>
    <w:rsid w:val="00A55E45"/>
    <w:rsid w:val="00A562BD"/>
    <w:rsid w:val="00A56452"/>
    <w:rsid w:val="00A56A7D"/>
    <w:rsid w:val="00A57375"/>
    <w:rsid w:val="00A574F4"/>
    <w:rsid w:val="00A57E82"/>
    <w:rsid w:val="00A60D69"/>
    <w:rsid w:val="00A61429"/>
    <w:rsid w:val="00A61AA0"/>
    <w:rsid w:val="00A61F8E"/>
    <w:rsid w:val="00A622F7"/>
    <w:rsid w:val="00A635BF"/>
    <w:rsid w:val="00A63E05"/>
    <w:rsid w:val="00A64637"/>
    <w:rsid w:val="00A64E4B"/>
    <w:rsid w:val="00A655C6"/>
    <w:rsid w:val="00A65FA1"/>
    <w:rsid w:val="00A664C9"/>
    <w:rsid w:val="00A66510"/>
    <w:rsid w:val="00A66CA3"/>
    <w:rsid w:val="00A66EB2"/>
    <w:rsid w:val="00A66FF3"/>
    <w:rsid w:val="00A704EE"/>
    <w:rsid w:val="00A713E1"/>
    <w:rsid w:val="00A71599"/>
    <w:rsid w:val="00A7185C"/>
    <w:rsid w:val="00A71C00"/>
    <w:rsid w:val="00A71DF1"/>
    <w:rsid w:val="00A72A91"/>
    <w:rsid w:val="00A72ADF"/>
    <w:rsid w:val="00A7321B"/>
    <w:rsid w:val="00A73F2E"/>
    <w:rsid w:val="00A743DC"/>
    <w:rsid w:val="00A74D2A"/>
    <w:rsid w:val="00A74E26"/>
    <w:rsid w:val="00A75573"/>
    <w:rsid w:val="00A7609F"/>
    <w:rsid w:val="00A76CA5"/>
    <w:rsid w:val="00A77666"/>
    <w:rsid w:val="00A77717"/>
    <w:rsid w:val="00A77A30"/>
    <w:rsid w:val="00A80B7B"/>
    <w:rsid w:val="00A82101"/>
    <w:rsid w:val="00A8219C"/>
    <w:rsid w:val="00A82556"/>
    <w:rsid w:val="00A82B43"/>
    <w:rsid w:val="00A8356F"/>
    <w:rsid w:val="00A8376A"/>
    <w:rsid w:val="00A83FC5"/>
    <w:rsid w:val="00A84188"/>
    <w:rsid w:val="00A841BA"/>
    <w:rsid w:val="00A8503B"/>
    <w:rsid w:val="00A854EA"/>
    <w:rsid w:val="00A857A1"/>
    <w:rsid w:val="00A857E6"/>
    <w:rsid w:val="00A85A55"/>
    <w:rsid w:val="00A85C60"/>
    <w:rsid w:val="00A90475"/>
    <w:rsid w:val="00A9080C"/>
    <w:rsid w:val="00A94969"/>
    <w:rsid w:val="00A94E72"/>
    <w:rsid w:val="00A9532A"/>
    <w:rsid w:val="00A962DA"/>
    <w:rsid w:val="00A968A2"/>
    <w:rsid w:val="00A96B86"/>
    <w:rsid w:val="00A97217"/>
    <w:rsid w:val="00A97A39"/>
    <w:rsid w:val="00AA036C"/>
    <w:rsid w:val="00AA0BE2"/>
    <w:rsid w:val="00AA2145"/>
    <w:rsid w:val="00AA265B"/>
    <w:rsid w:val="00AA2705"/>
    <w:rsid w:val="00AA2A0D"/>
    <w:rsid w:val="00AA2B96"/>
    <w:rsid w:val="00AA2F7B"/>
    <w:rsid w:val="00AA4FE3"/>
    <w:rsid w:val="00AA5C00"/>
    <w:rsid w:val="00AA6B95"/>
    <w:rsid w:val="00AA71FE"/>
    <w:rsid w:val="00AA799C"/>
    <w:rsid w:val="00AB1954"/>
    <w:rsid w:val="00AB2CF9"/>
    <w:rsid w:val="00AB3132"/>
    <w:rsid w:val="00AB3DCD"/>
    <w:rsid w:val="00AB4172"/>
    <w:rsid w:val="00AB4255"/>
    <w:rsid w:val="00AB4445"/>
    <w:rsid w:val="00AB4B5B"/>
    <w:rsid w:val="00AB5E43"/>
    <w:rsid w:val="00AB6663"/>
    <w:rsid w:val="00AB7F2F"/>
    <w:rsid w:val="00AC06E9"/>
    <w:rsid w:val="00AC079C"/>
    <w:rsid w:val="00AC1C9C"/>
    <w:rsid w:val="00AC2431"/>
    <w:rsid w:val="00AC2F97"/>
    <w:rsid w:val="00AC4A2D"/>
    <w:rsid w:val="00AC58AB"/>
    <w:rsid w:val="00AC5F04"/>
    <w:rsid w:val="00AC6061"/>
    <w:rsid w:val="00AC61C2"/>
    <w:rsid w:val="00AC698C"/>
    <w:rsid w:val="00AC7C67"/>
    <w:rsid w:val="00AC7E1C"/>
    <w:rsid w:val="00AD0D37"/>
    <w:rsid w:val="00AD0D40"/>
    <w:rsid w:val="00AD0FEB"/>
    <w:rsid w:val="00AD47E6"/>
    <w:rsid w:val="00AD4EBC"/>
    <w:rsid w:val="00AD4F7E"/>
    <w:rsid w:val="00AD5788"/>
    <w:rsid w:val="00AD58B3"/>
    <w:rsid w:val="00AD6655"/>
    <w:rsid w:val="00AD677B"/>
    <w:rsid w:val="00AD6B07"/>
    <w:rsid w:val="00AD73DE"/>
    <w:rsid w:val="00AD7F31"/>
    <w:rsid w:val="00AE00A7"/>
    <w:rsid w:val="00AE00DF"/>
    <w:rsid w:val="00AE0911"/>
    <w:rsid w:val="00AE10DF"/>
    <w:rsid w:val="00AE148A"/>
    <w:rsid w:val="00AE156A"/>
    <w:rsid w:val="00AE1B1E"/>
    <w:rsid w:val="00AE3525"/>
    <w:rsid w:val="00AE355D"/>
    <w:rsid w:val="00AE475E"/>
    <w:rsid w:val="00AE59FD"/>
    <w:rsid w:val="00AE5BC7"/>
    <w:rsid w:val="00AE5C47"/>
    <w:rsid w:val="00AE6B68"/>
    <w:rsid w:val="00AE7593"/>
    <w:rsid w:val="00AE789A"/>
    <w:rsid w:val="00AF009B"/>
    <w:rsid w:val="00AF0AED"/>
    <w:rsid w:val="00AF15E8"/>
    <w:rsid w:val="00AF26CB"/>
    <w:rsid w:val="00AF3E95"/>
    <w:rsid w:val="00AF3FE4"/>
    <w:rsid w:val="00AF42E0"/>
    <w:rsid w:val="00AF4A86"/>
    <w:rsid w:val="00AF4AF4"/>
    <w:rsid w:val="00AF5129"/>
    <w:rsid w:val="00AF6729"/>
    <w:rsid w:val="00AF6E37"/>
    <w:rsid w:val="00AF72D4"/>
    <w:rsid w:val="00B003A2"/>
    <w:rsid w:val="00B00A87"/>
    <w:rsid w:val="00B017FB"/>
    <w:rsid w:val="00B01EA8"/>
    <w:rsid w:val="00B032D0"/>
    <w:rsid w:val="00B03411"/>
    <w:rsid w:val="00B03B20"/>
    <w:rsid w:val="00B048B2"/>
    <w:rsid w:val="00B0750D"/>
    <w:rsid w:val="00B0759E"/>
    <w:rsid w:val="00B07714"/>
    <w:rsid w:val="00B07A57"/>
    <w:rsid w:val="00B07AF5"/>
    <w:rsid w:val="00B100D3"/>
    <w:rsid w:val="00B10FCA"/>
    <w:rsid w:val="00B113C4"/>
    <w:rsid w:val="00B11D9D"/>
    <w:rsid w:val="00B12FAD"/>
    <w:rsid w:val="00B13D0F"/>
    <w:rsid w:val="00B13DB8"/>
    <w:rsid w:val="00B140FC"/>
    <w:rsid w:val="00B14A82"/>
    <w:rsid w:val="00B15AD8"/>
    <w:rsid w:val="00B17B6B"/>
    <w:rsid w:val="00B202A3"/>
    <w:rsid w:val="00B204DD"/>
    <w:rsid w:val="00B20D74"/>
    <w:rsid w:val="00B21269"/>
    <w:rsid w:val="00B217D3"/>
    <w:rsid w:val="00B225A0"/>
    <w:rsid w:val="00B23005"/>
    <w:rsid w:val="00B23AF7"/>
    <w:rsid w:val="00B241E4"/>
    <w:rsid w:val="00B24756"/>
    <w:rsid w:val="00B24950"/>
    <w:rsid w:val="00B25A47"/>
    <w:rsid w:val="00B274A7"/>
    <w:rsid w:val="00B27513"/>
    <w:rsid w:val="00B309BB"/>
    <w:rsid w:val="00B315F8"/>
    <w:rsid w:val="00B31672"/>
    <w:rsid w:val="00B32440"/>
    <w:rsid w:val="00B325DD"/>
    <w:rsid w:val="00B32F8C"/>
    <w:rsid w:val="00B332AB"/>
    <w:rsid w:val="00B33FC5"/>
    <w:rsid w:val="00B34352"/>
    <w:rsid w:val="00B353D7"/>
    <w:rsid w:val="00B35737"/>
    <w:rsid w:val="00B35EA3"/>
    <w:rsid w:val="00B360E5"/>
    <w:rsid w:val="00B3633A"/>
    <w:rsid w:val="00B36444"/>
    <w:rsid w:val="00B3689F"/>
    <w:rsid w:val="00B36FFC"/>
    <w:rsid w:val="00B3754F"/>
    <w:rsid w:val="00B409BB"/>
    <w:rsid w:val="00B40CF7"/>
    <w:rsid w:val="00B40EDB"/>
    <w:rsid w:val="00B41A20"/>
    <w:rsid w:val="00B4205C"/>
    <w:rsid w:val="00B421F0"/>
    <w:rsid w:val="00B4228C"/>
    <w:rsid w:val="00B428EE"/>
    <w:rsid w:val="00B42F65"/>
    <w:rsid w:val="00B43035"/>
    <w:rsid w:val="00B4324E"/>
    <w:rsid w:val="00B434DC"/>
    <w:rsid w:val="00B4376D"/>
    <w:rsid w:val="00B4391A"/>
    <w:rsid w:val="00B43D0B"/>
    <w:rsid w:val="00B43F36"/>
    <w:rsid w:val="00B44FE5"/>
    <w:rsid w:val="00B456D8"/>
    <w:rsid w:val="00B45E41"/>
    <w:rsid w:val="00B46D35"/>
    <w:rsid w:val="00B47FCE"/>
    <w:rsid w:val="00B5027D"/>
    <w:rsid w:val="00B50374"/>
    <w:rsid w:val="00B504EA"/>
    <w:rsid w:val="00B51612"/>
    <w:rsid w:val="00B51D05"/>
    <w:rsid w:val="00B521E8"/>
    <w:rsid w:val="00B52B55"/>
    <w:rsid w:val="00B53215"/>
    <w:rsid w:val="00B5344D"/>
    <w:rsid w:val="00B53911"/>
    <w:rsid w:val="00B54235"/>
    <w:rsid w:val="00B54439"/>
    <w:rsid w:val="00B54710"/>
    <w:rsid w:val="00B54C0B"/>
    <w:rsid w:val="00B55437"/>
    <w:rsid w:val="00B55C75"/>
    <w:rsid w:val="00B55E76"/>
    <w:rsid w:val="00B56413"/>
    <w:rsid w:val="00B56B2D"/>
    <w:rsid w:val="00B57265"/>
    <w:rsid w:val="00B5797F"/>
    <w:rsid w:val="00B62A93"/>
    <w:rsid w:val="00B62DAA"/>
    <w:rsid w:val="00B6334A"/>
    <w:rsid w:val="00B638A7"/>
    <w:rsid w:val="00B64B23"/>
    <w:rsid w:val="00B64F59"/>
    <w:rsid w:val="00B654A4"/>
    <w:rsid w:val="00B66C01"/>
    <w:rsid w:val="00B67E96"/>
    <w:rsid w:val="00B70DA7"/>
    <w:rsid w:val="00B70E2A"/>
    <w:rsid w:val="00B71DAC"/>
    <w:rsid w:val="00B72818"/>
    <w:rsid w:val="00B729A4"/>
    <w:rsid w:val="00B72ED5"/>
    <w:rsid w:val="00B7332D"/>
    <w:rsid w:val="00B734B0"/>
    <w:rsid w:val="00B74F6E"/>
    <w:rsid w:val="00B75CB4"/>
    <w:rsid w:val="00B75D38"/>
    <w:rsid w:val="00B773DE"/>
    <w:rsid w:val="00B77413"/>
    <w:rsid w:val="00B81202"/>
    <w:rsid w:val="00B8139F"/>
    <w:rsid w:val="00B815D3"/>
    <w:rsid w:val="00B82447"/>
    <w:rsid w:val="00B82864"/>
    <w:rsid w:val="00B82B09"/>
    <w:rsid w:val="00B83294"/>
    <w:rsid w:val="00B84276"/>
    <w:rsid w:val="00B848D0"/>
    <w:rsid w:val="00B85CB7"/>
    <w:rsid w:val="00B8622A"/>
    <w:rsid w:val="00B86CE0"/>
    <w:rsid w:val="00B86EBD"/>
    <w:rsid w:val="00B86F62"/>
    <w:rsid w:val="00B87896"/>
    <w:rsid w:val="00B908E3"/>
    <w:rsid w:val="00B908F7"/>
    <w:rsid w:val="00B90A5D"/>
    <w:rsid w:val="00B90BA6"/>
    <w:rsid w:val="00B90E45"/>
    <w:rsid w:val="00B91843"/>
    <w:rsid w:val="00B92886"/>
    <w:rsid w:val="00B92925"/>
    <w:rsid w:val="00B92D53"/>
    <w:rsid w:val="00B92E3C"/>
    <w:rsid w:val="00B932DF"/>
    <w:rsid w:val="00B93530"/>
    <w:rsid w:val="00B93969"/>
    <w:rsid w:val="00B94F67"/>
    <w:rsid w:val="00B9513C"/>
    <w:rsid w:val="00B952BC"/>
    <w:rsid w:val="00B9540D"/>
    <w:rsid w:val="00B954C9"/>
    <w:rsid w:val="00B95546"/>
    <w:rsid w:val="00B95793"/>
    <w:rsid w:val="00B96507"/>
    <w:rsid w:val="00B9709D"/>
    <w:rsid w:val="00B977DF"/>
    <w:rsid w:val="00B9780C"/>
    <w:rsid w:val="00B97CAE"/>
    <w:rsid w:val="00BA0F12"/>
    <w:rsid w:val="00BA1112"/>
    <w:rsid w:val="00BA114D"/>
    <w:rsid w:val="00BA1626"/>
    <w:rsid w:val="00BA2147"/>
    <w:rsid w:val="00BA2831"/>
    <w:rsid w:val="00BA2D82"/>
    <w:rsid w:val="00BA3130"/>
    <w:rsid w:val="00BA3C5E"/>
    <w:rsid w:val="00BA44E8"/>
    <w:rsid w:val="00BA48BF"/>
    <w:rsid w:val="00BA4A8B"/>
    <w:rsid w:val="00BA5D67"/>
    <w:rsid w:val="00BA61B1"/>
    <w:rsid w:val="00BA6C21"/>
    <w:rsid w:val="00BA74E9"/>
    <w:rsid w:val="00BA761A"/>
    <w:rsid w:val="00BB0BB4"/>
    <w:rsid w:val="00BB0C57"/>
    <w:rsid w:val="00BB132E"/>
    <w:rsid w:val="00BB1A6A"/>
    <w:rsid w:val="00BB1C4F"/>
    <w:rsid w:val="00BB2518"/>
    <w:rsid w:val="00BB2750"/>
    <w:rsid w:val="00BB2EB7"/>
    <w:rsid w:val="00BB3567"/>
    <w:rsid w:val="00BB3723"/>
    <w:rsid w:val="00BB3921"/>
    <w:rsid w:val="00BB3CD7"/>
    <w:rsid w:val="00BB3FE9"/>
    <w:rsid w:val="00BB46E4"/>
    <w:rsid w:val="00BB5255"/>
    <w:rsid w:val="00BB70F7"/>
    <w:rsid w:val="00BB7EB3"/>
    <w:rsid w:val="00BB7F79"/>
    <w:rsid w:val="00BC070E"/>
    <w:rsid w:val="00BC0E26"/>
    <w:rsid w:val="00BC1224"/>
    <w:rsid w:val="00BC1DA9"/>
    <w:rsid w:val="00BC1ED5"/>
    <w:rsid w:val="00BC2854"/>
    <w:rsid w:val="00BC2BCF"/>
    <w:rsid w:val="00BC33A4"/>
    <w:rsid w:val="00BC3748"/>
    <w:rsid w:val="00BC4243"/>
    <w:rsid w:val="00BC490E"/>
    <w:rsid w:val="00BC49E4"/>
    <w:rsid w:val="00BC4E6F"/>
    <w:rsid w:val="00BC57E6"/>
    <w:rsid w:val="00BC5E6F"/>
    <w:rsid w:val="00BC6498"/>
    <w:rsid w:val="00BD1B7A"/>
    <w:rsid w:val="00BD1E14"/>
    <w:rsid w:val="00BD1FB7"/>
    <w:rsid w:val="00BD22F1"/>
    <w:rsid w:val="00BD25C4"/>
    <w:rsid w:val="00BD29C5"/>
    <w:rsid w:val="00BD357B"/>
    <w:rsid w:val="00BD3A4C"/>
    <w:rsid w:val="00BD4130"/>
    <w:rsid w:val="00BD41DF"/>
    <w:rsid w:val="00BD4570"/>
    <w:rsid w:val="00BD47BF"/>
    <w:rsid w:val="00BD5036"/>
    <w:rsid w:val="00BD639F"/>
    <w:rsid w:val="00BD66D3"/>
    <w:rsid w:val="00BD6ACC"/>
    <w:rsid w:val="00BD6DE0"/>
    <w:rsid w:val="00BE014C"/>
    <w:rsid w:val="00BE0C98"/>
    <w:rsid w:val="00BE0EFF"/>
    <w:rsid w:val="00BE24EE"/>
    <w:rsid w:val="00BE2A31"/>
    <w:rsid w:val="00BE2ACE"/>
    <w:rsid w:val="00BE3A16"/>
    <w:rsid w:val="00BE3A80"/>
    <w:rsid w:val="00BE4365"/>
    <w:rsid w:val="00BE4571"/>
    <w:rsid w:val="00BE50D1"/>
    <w:rsid w:val="00BE5C51"/>
    <w:rsid w:val="00BE5D14"/>
    <w:rsid w:val="00BE7D89"/>
    <w:rsid w:val="00BE7DDB"/>
    <w:rsid w:val="00BF0E0D"/>
    <w:rsid w:val="00BF1037"/>
    <w:rsid w:val="00BF1484"/>
    <w:rsid w:val="00BF153E"/>
    <w:rsid w:val="00BF1D34"/>
    <w:rsid w:val="00BF2037"/>
    <w:rsid w:val="00BF24BC"/>
    <w:rsid w:val="00BF35A6"/>
    <w:rsid w:val="00BF4F52"/>
    <w:rsid w:val="00BF519D"/>
    <w:rsid w:val="00BF5686"/>
    <w:rsid w:val="00BF5D71"/>
    <w:rsid w:val="00BF6042"/>
    <w:rsid w:val="00BF625A"/>
    <w:rsid w:val="00BF6574"/>
    <w:rsid w:val="00BF7579"/>
    <w:rsid w:val="00BF7B6F"/>
    <w:rsid w:val="00C01118"/>
    <w:rsid w:val="00C0286E"/>
    <w:rsid w:val="00C0324B"/>
    <w:rsid w:val="00C0327C"/>
    <w:rsid w:val="00C04895"/>
    <w:rsid w:val="00C04B94"/>
    <w:rsid w:val="00C06635"/>
    <w:rsid w:val="00C0677A"/>
    <w:rsid w:val="00C0723D"/>
    <w:rsid w:val="00C0754B"/>
    <w:rsid w:val="00C0767E"/>
    <w:rsid w:val="00C110B8"/>
    <w:rsid w:val="00C1208E"/>
    <w:rsid w:val="00C12416"/>
    <w:rsid w:val="00C13148"/>
    <w:rsid w:val="00C131BA"/>
    <w:rsid w:val="00C132E0"/>
    <w:rsid w:val="00C137B2"/>
    <w:rsid w:val="00C152EC"/>
    <w:rsid w:val="00C1535C"/>
    <w:rsid w:val="00C15521"/>
    <w:rsid w:val="00C155E6"/>
    <w:rsid w:val="00C159C3"/>
    <w:rsid w:val="00C15A12"/>
    <w:rsid w:val="00C164BC"/>
    <w:rsid w:val="00C16775"/>
    <w:rsid w:val="00C1691F"/>
    <w:rsid w:val="00C16F3C"/>
    <w:rsid w:val="00C20C9A"/>
    <w:rsid w:val="00C20E1E"/>
    <w:rsid w:val="00C20F2A"/>
    <w:rsid w:val="00C211C9"/>
    <w:rsid w:val="00C21DB9"/>
    <w:rsid w:val="00C221BB"/>
    <w:rsid w:val="00C2256A"/>
    <w:rsid w:val="00C23A82"/>
    <w:rsid w:val="00C23E09"/>
    <w:rsid w:val="00C244E2"/>
    <w:rsid w:val="00C24C46"/>
    <w:rsid w:val="00C25201"/>
    <w:rsid w:val="00C2536B"/>
    <w:rsid w:val="00C25C97"/>
    <w:rsid w:val="00C25E2E"/>
    <w:rsid w:val="00C260C9"/>
    <w:rsid w:val="00C2747B"/>
    <w:rsid w:val="00C27E1E"/>
    <w:rsid w:val="00C30654"/>
    <w:rsid w:val="00C30EC9"/>
    <w:rsid w:val="00C318AE"/>
    <w:rsid w:val="00C320A8"/>
    <w:rsid w:val="00C321AD"/>
    <w:rsid w:val="00C322E4"/>
    <w:rsid w:val="00C3261D"/>
    <w:rsid w:val="00C32B12"/>
    <w:rsid w:val="00C3318F"/>
    <w:rsid w:val="00C3346F"/>
    <w:rsid w:val="00C33734"/>
    <w:rsid w:val="00C33A49"/>
    <w:rsid w:val="00C33F0B"/>
    <w:rsid w:val="00C33F77"/>
    <w:rsid w:val="00C34A53"/>
    <w:rsid w:val="00C3615E"/>
    <w:rsid w:val="00C369AC"/>
    <w:rsid w:val="00C36E4F"/>
    <w:rsid w:val="00C40204"/>
    <w:rsid w:val="00C4126B"/>
    <w:rsid w:val="00C4224E"/>
    <w:rsid w:val="00C42A07"/>
    <w:rsid w:val="00C42A88"/>
    <w:rsid w:val="00C42AA1"/>
    <w:rsid w:val="00C4322B"/>
    <w:rsid w:val="00C43D9E"/>
    <w:rsid w:val="00C44132"/>
    <w:rsid w:val="00C44248"/>
    <w:rsid w:val="00C45C38"/>
    <w:rsid w:val="00C461DF"/>
    <w:rsid w:val="00C47DFD"/>
    <w:rsid w:val="00C50128"/>
    <w:rsid w:val="00C51E68"/>
    <w:rsid w:val="00C521DA"/>
    <w:rsid w:val="00C52286"/>
    <w:rsid w:val="00C526DA"/>
    <w:rsid w:val="00C527A6"/>
    <w:rsid w:val="00C52808"/>
    <w:rsid w:val="00C5296B"/>
    <w:rsid w:val="00C52D9F"/>
    <w:rsid w:val="00C533C1"/>
    <w:rsid w:val="00C53AE5"/>
    <w:rsid w:val="00C53B78"/>
    <w:rsid w:val="00C5409B"/>
    <w:rsid w:val="00C542D9"/>
    <w:rsid w:val="00C55B6A"/>
    <w:rsid w:val="00C55F13"/>
    <w:rsid w:val="00C55FBA"/>
    <w:rsid w:val="00C561F0"/>
    <w:rsid w:val="00C568D0"/>
    <w:rsid w:val="00C57362"/>
    <w:rsid w:val="00C574CB"/>
    <w:rsid w:val="00C600E8"/>
    <w:rsid w:val="00C600EA"/>
    <w:rsid w:val="00C61467"/>
    <w:rsid w:val="00C61B12"/>
    <w:rsid w:val="00C62309"/>
    <w:rsid w:val="00C6255B"/>
    <w:rsid w:val="00C63E3B"/>
    <w:rsid w:val="00C64BA2"/>
    <w:rsid w:val="00C650B5"/>
    <w:rsid w:val="00C663E8"/>
    <w:rsid w:val="00C6685B"/>
    <w:rsid w:val="00C66980"/>
    <w:rsid w:val="00C66A48"/>
    <w:rsid w:val="00C67626"/>
    <w:rsid w:val="00C67C9B"/>
    <w:rsid w:val="00C67F71"/>
    <w:rsid w:val="00C70AA2"/>
    <w:rsid w:val="00C70F9A"/>
    <w:rsid w:val="00C71B18"/>
    <w:rsid w:val="00C71B31"/>
    <w:rsid w:val="00C71CF8"/>
    <w:rsid w:val="00C731F5"/>
    <w:rsid w:val="00C73DD9"/>
    <w:rsid w:val="00C748EB"/>
    <w:rsid w:val="00C74CAD"/>
    <w:rsid w:val="00C75107"/>
    <w:rsid w:val="00C7595B"/>
    <w:rsid w:val="00C75D51"/>
    <w:rsid w:val="00C7668D"/>
    <w:rsid w:val="00C76758"/>
    <w:rsid w:val="00C768CC"/>
    <w:rsid w:val="00C76CC3"/>
    <w:rsid w:val="00C7745B"/>
    <w:rsid w:val="00C77495"/>
    <w:rsid w:val="00C77672"/>
    <w:rsid w:val="00C77980"/>
    <w:rsid w:val="00C80120"/>
    <w:rsid w:val="00C80204"/>
    <w:rsid w:val="00C81043"/>
    <w:rsid w:val="00C81442"/>
    <w:rsid w:val="00C8159F"/>
    <w:rsid w:val="00C818CE"/>
    <w:rsid w:val="00C824ED"/>
    <w:rsid w:val="00C82660"/>
    <w:rsid w:val="00C83C28"/>
    <w:rsid w:val="00C8436E"/>
    <w:rsid w:val="00C84716"/>
    <w:rsid w:val="00C84891"/>
    <w:rsid w:val="00C84B18"/>
    <w:rsid w:val="00C84DF8"/>
    <w:rsid w:val="00C84F76"/>
    <w:rsid w:val="00C86544"/>
    <w:rsid w:val="00C86B8F"/>
    <w:rsid w:val="00C874F1"/>
    <w:rsid w:val="00C90729"/>
    <w:rsid w:val="00C920EE"/>
    <w:rsid w:val="00C92C03"/>
    <w:rsid w:val="00C93BAC"/>
    <w:rsid w:val="00C942F1"/>
    <w:rsid w:val="00C94A7A"/>
    <w:rsid w:val="00C94C4A"/>
    <w:rsid w:val="00C953C5"/>
    <w:rsid w:val="00C9561C"/>
    <w:rsid w:val="00C95730"/>
    <w:rsid w:val="00C96032"/>
    <w:rsid w:val="00C96A80"/>
    <w:rsid w:val="00C96AD5"/>
    <w:rsid w:val="00C97034"/>
    <w:rsid w:val="00C97ED6"/>
    <w:rsid w:val="00CA0A9D"/>
    <w:rsid w:val="00CA0C7A"/>
    <w:rsid w:val="00CA0DB3"/>
    <w:rsid w:val="00CA1BB5"/>
    <w:rsid w:val="00CA1EEC"/>
    <w:rsid w:val="00CA2BC5"/>
    <w:rsid w:val="00CA31FB"/>
    <w:rsid w:val="00CA4293"/>
    <w:rsid w:val="00CA530F"/>
    <w:rsid w:val="00CA55EF"/>
    <w:rsid w:val="00CA5988"/>
    <w:rsid w:val="00CA5D9A"/>
    <w:rsid w:val="00CA7BCB"/>
    <w:rsid w:val="00CB00CE"/>
    <w:rsid w:val="00CB0336"/>
    <w:rsid w:val="00CB1747"/>
    <w:rsid w:val="00CB1773"/>
    <w:rsid w:val="00CB1E20"/>
    <w:rsid w:val="00CB1E9D"/>
    <w:rsid w:val="00CB24C3"/>
    <w:rsid w:val="00CB24F7"/>
    <w:rsid w:val="00CB2E48"/>
    <w:rsid w:val="00CB2F78"/>
    <w:rsid w:val="00CB3216"/>
    <w:rsid w:val="00CB57BD"/>
    <w:rsid w:val="00CB5E97"/>
    <w:rsid w:val="00CB6746"/>
    <w:rsid w:val="00CB68B8"/>
    <w:rsid w:val="00CB6FEC"/>
    <w:rsid w:val="00CC108E"/>
    <w:rsid w:val="00CC15AC"/>
    <w:rsid w:val="00CC1653"/>
    <w:rsid w:val="00CC1B4E"/>
    <w:rsid w:val="00CC265D"/>
    <w:rsid w:val="00CC3225"/>
    <w:rsid w:val="00CC3391"/>
    <w:rsid w:val="00CC3A96"/>
    <w:rsid w:val="00CC3DCC"/>
    <w:rsid w:val="00CC3FCB"/>
    <w:rsid w:val="00CC4086"/>
    <w:rsid w:val="00CC4175"/>
    <w:rsid w:val="00CC5A48"/>
    <w:rsid w:val="00CC5CE8"/>
    <w:rsid w:val="00CC6750"/>
    <w:rsid w:val="00CC7780"/>
    <w:rsid w:val="00CC79FF"/>
    <w:rsid w:val="00CC7F07"/>
    <w:rsid w:val="00CD0281"/>
    <w:rsid w:val="00CD0B02"/>
    <w:rsid w:val="00CD25C8"/>
    <w:rsid w:val="00CD2CBD"/>
    <w:rsid w:val="00CD2D35"/>
    <w:rsid w:val="00CD31D5"/>
    <w:rsid w:val="00CD3A54"/>
    <w:rsid w:val="00CD4508"/>
    <w:rsid w:val="00CD4959"/>
    <w:rsid w:val="00CD4B14"/>
    <w:rsid w:val="00CD55CA"/>
    <w:rsid w:val="00CD613D"/>
    <w:rsid w:val="00CD630D"/>
    <w:rsid w:val="00CD74AA"/>
    <w:rsid w:val="00CD790F"/>
    <w:rsid w:val="00CD7C5F"/>
    <w:rsid w:val="00CE11EA"/>
    <w:rsid w:val="00CE131B"/>
    <w:rsid w:val="00CE23E3"/>
    <w:rsid w:val="00CE2AFD"/>
    <w:rsid w:val="00CE336D"/>
    <w:rsid w:val="00CE37AA"/>
    <w:rsid w:val="00CE3983"/>
    <w:rsid w:val="00CE4248"/>
    <w:rsid w:val="00CE51C8"/>
    <w:rsid w:val="00CE5E74"/>
    <w:rsid w:val="00CE5EE3"/>
    <w:rsid w:val="00CE60C9"/>
    <w:rsid w:val="00CE7A91"/>
    <w:rsid w:val="00CE7CD8"/>
    <w:rsid w:val="00CF0415"/>
    <w:rsid w:val="00CF0B71"/>
    <w:rsid w:val="00CF0E5E"/>
    <w:rsid w:val="00CF0EA3"/>
    <w:rsid w:val="00CF0FC1"/>
    <w:rsid w:val="00CF104A"/>
    <w:rsid w:val="00CF16D2"/>
    <w:rsid w:val="00CF26A8"/>
    <w:rsid w:val="00CF2E90"/>
    <w:rsid w:val="00CF42E4"/>
    <w:rsid w:val="00CF5048"/>
    <w:rsid w:val="00CF5F76"/>
    <w:rsid w:val="00CF6289"/>
    <w:rsid w:val="00D004D6"/>
    <w:rsid w:val="00D00846"/>
    <w:rsid w:val="00D0114F"/>
    <w:rsid w:val="00D01AF1"/>
    <w:rsid w:val="00D01F5B"/>
    <w:rsid w:val="00D02D96"/>
    <w:rsid w:val="00D03071"/>
    <w:rsid w:val="00D037CA"/>
    <w:rsid w:val="00D0420E"/>
    <w:rsid w:val="00D04454"/>
    <w:rsid w:val="00D0476B"/>
    <w:rsid w:val="00D0551A"/>
    <w:rsid w:val="00D0582E"/>
    <w:rsid w:val="00D0672C"/>
    <w:rsid w:val="00D06E2E"/>
    <w:rsid w:val="00D0702F"/>
    <w:rsid w:val="00D07197"/>
    <w:rsid w:val="00D073B6"/>
    <w:rsid w:val="00D075AB"/>
    <w:rsid w:val="00D07F54"/>
    <w:rsid w:val="00D105F7"/>
    <w:rsid w:val="00D10DB8"/>
    <w:rsid w:val="00D13968"/>
    <w:rsid w:val="00D13E7B"/>
    <w:rsid w:val="00D14552"/>
    <w:rsid w:val="00D14B35"/>
    <w:rsid w:val="00D14BE3"/>
    <w:rsid w:val="00D167C6"/>
    <w:rsid w:val="00D170CD"/>
    <w:rsid w:val="00D17340"/>
    <w:rsid w:val="00D201A6"/>
    <w:rsid w:val="00D20826"/>
    <w:rsid w:val="00D20C0D"/>
    <w:rsid w:val="00D20F83"/>
    <w:rsid w:val="00D2183C"/>
    <w:rsid w:val="00D21AF1"/>
    <w:rsid w:val="00D21C10"/>
    <w:rsid w:val="00D2226E"/>
    <w:rsid w:val="00D22664"/>
    <w:rsid w:val="00D2283D"/>
    <w:rsid w:val="00D22EC0"/>
    <w:rsid w:val="00D233D1"/>
    <w:rsid w:val="00D23AAB"/>
    <w:rsid w:val="00D24532"/>
    <w:rsid w:val="00D24BE6"/>
    <w:rsid w:val="00D24E01"/>
    <w:rsid w:val="00D259D4"/>
    <w:rsid w:val="00D25A55"/>
    <w:rsid w:val="00D26A09"/>
    <w:rsid w:val="00D26E48"/>
    <w:rsid w:val="00D274A2"/>
    <w:rsid w:val="00D30787"/>
    <w:rsid w:val="00D324C7"/>
    <w:rsid w:val="00D33954"/>
    <w:rsid w:val="00D34251"/>
    <w:rsid w:val="00D34461"/>
    <w:rsid w:val="00D349C5"/>
    <w:rsid w:val="00D35043"/>
    <w:rsid w:val="00D354D4"/>
    <w:rsid w:val="00D356B5"/>
    <w:rsid w:val="00D36036"/>
    <w:rsid w:val="00D37265"/>
    <w:rsid w:val="00D40093"/>
    <w:rsid w:val="00D4015C"/>
    <w:rsid w:val="00D40E95"/>
    <w:rsid w:val="00D413B3"/>
    <w:rsid w:val="00D42960"/>
    <w:rsid w:val="00D42B4C"/>
    <w:rsid w:val="00D42DAD"/>
    <w:rsid w:val="00D43ED9"/>
    <w:rsid w:val="00D442A1"/>
    <w:rsid w:val="00D466D8"/>
    <w:rsid w:val="00D467A3"/>
    <w:rsid w:val="00D4693E"/>
    <w:rsid w:val="00D473AB"/>
    <w:rsid w:val="00D47DE2"/>
    <w:rsid w:val="00D47F04"/>
    <w:rsid w:val="00D50A78"/>
    <w:rsid w:val="00D51E3E"/>
    <w:rsid w:val="00D51F0D"/>
    <w:rsid w:val="00D53292"/>
    <w:rsid w:val="00D533FB"/>
    <w:rsid w:val="00D537ED"/>
    <w:rsid w:val="00D53F11"/>
    <w:rsid w:val="00D55894"/>
    <w:rsid w:val="00D56323"/>
    <w:rsid w:val="00D565ED"/>
    <w:rsid w:val="00D565FE"/>
    <w:rsid w:val="00D567AA"/>
    <w:rsid w:val="00D569DD"/>
    <w:rsid w:val="00D57184"/>
    <w:rsid w:val="00D62B16"/>
    <w:rsid w:val="00D62BBC"/>
    <w:rsid w:val="00D62BD1"/>
    <w:rsid w:val="00D62C60"/>
    <w:rsid w:val="00D63C7A"/>
    <w:rsid w:val="00D64492"/>
    <w:rsid w:val="00D647A0"/>
    <w:rsid w:val="00D64BAF"/>
    <w:rsid w:val="00D64D3C"/>
    <w:rsid w:val="00D650C9"/>
    <w:rsid w:val="00D65C67"/>
    <w:rsid w:val="00D66617"/>
    <w:rsid w:val="00D66D9F"/>
    <w:rsid w:val="00D671D1"/>
    <w:rsid w:val="00D67BDA"/>
    <w:rsid w:val="00D71394"/>
    <w:rsid w:val="00D7142D"/>
    <w:rsid w:val="00D71B93"/>
    <w:rsid w:val="00D71E17"/>
    <w:rsid w:val="00D724C4"/>
    <w:rsid w:val="00D7390C"/>
    <w:rsid w:val="00D73D07"/>
    <w:rsid w:val="00D73F50"/>
    <w:rsid w:val="00D74888"/>
    <w:rsid w:val="00D75E00"/>
    <w:rsid w:val="00D766FB"/>
    <w:rsid w:val="00D800A0"/>
    <w:rsid w:val="00D80CF3"/>
    <w:rsid w:val="00D80D1F"/>
    <w:rsid w:val="00D80EB2"/>
    <w:rsid w:val="00D81F85"/>
    <w:rsid w:val="00D8351C"/>
    <w:rsid w:val="00D84F78"/>
    <w:rsid w:val="00D8502D"/>
    <w:rsid w:val="00D853B8"/>
    <w:rsid w:val="00D867CD"/>
    <w:rsid w:val="00D878F6"/>
    <w:rsid w:val="00D87D55"/>
    <w:rsid w:val="00D907E5"/>
    <w:rsid w:val="00D91091"/>
    <w:rsid w:val="00D91272"/>
    <w:rsid w:val="00D912F9"/>
    <w:rsid w:val="00D92A9F"/>
    <w:rsid w:val="00D933FF"/>
    <w:rsid w:val="00D94287"/>
    <w:rsid w:val="00D944CB"/>
    <w:rsid w:val="00D94E0F"/>
    <w:rsid w:val="00D95AA8"/>
    <w:rsid w:val="00D96CBD"/>
    <w:rsid w:val="00D97A58"/>
    <w:rsid w:val="00D97ABA"/>
    <w:rsid w:val="00D97BE4"/>
    <w:rsid w:val="00DA03C1"/>
    <w:rsid w:val="00DA0DB0"/>
    <w:rsid w:val="00DA1382"/>
    <w:rsid w:val="00DA2630"/>
    <w:rsid w:val="00DA2CAC"/>
    <w:rsid w:val="00DA3412"/>
    <w:rsid w:val="00DA39BE"/>
    <w:rsid w:val="00DA462F"/>
    <w:rsid w:val="00DA5D43"/>
    <w:rsid w:val="00DA6ABD"/>
    <w:rsid w:val="00DA6D47"/>
    <w:rsid w:val="00DA7457"/>
    <w:rsid w:val="00DA77F4"/>
    <w:rsid w:val="00DA7946"/>
    <w:rsid w:val="00DA7AF3"/>
    <w:rsid w:val="00DB102C"/>
    <w:rsid w:val="00DB13FE"/>
    <w:rsid w:val="00DB2B81"/>
    <w:rsid w:val="00DB30A8"/>
    <w:rsid w:val="00DB4C61"/>
    <w:rsid w:val="00DB4F05"/>
    <w:rsid w:val="00DB50B6"/>
    <w:rsid w:val="00DB5543"/>
    <w:rsid w:val="00DB5A75"/>
    <w:rsid w:val="00DB6602"/>
    <w:rsid w:val="00DB6FA1"/>
    <w:rsid w:val="00DB70C1"/>
    <w:rsid w:val="00DB7612"/>
    <w:rsid w:val="00DC023C"/>
    <w:rsid w:val="00DC0771"/>
    <w:rsid w:val="00DC0A6B"/>
    <w:rsid w:val="00DC120E"/>
    <w:rsid w:val="00DC1439"/>
    <w:rsid w:val="00DC18ED"/>
    <w:rsid w:val="00DC1C02"/>
    <w:rsid w:val="00DC206A"/>
    <w:rsid w:val="00DC228A"/>
    <w:rsid w:val="00DC29F6"/>
    <w:rsid w:val="00DC35AF"/>
    <w:rsid w:val="00DC3BE5"/>
    <w:rsid w:val="00DC51D0"/>
    <w:rsid w:val="00DC5260"/>
    <w:rsid w:val="00DC66F1"/>
    <w:rsid w:val="00DC6754"/>
    <w:rsid w:val="00DC68CB"/>
    <w:rsid w:val="00DC69B6"/>
    <w:rsid w:val="00DC76F9"/>
    <w:rsid w:val="00DC7D13"/>
    <w:rsid w:val="00DD0001"/>
    <w:rsid w:val="00DD25C9"/>
    <w:rsid w:val="00DD2F6D"/>
    <w:rsid w:val="00DD446C"/>
    <w:rsid w:val="00DD48D3"/>
    <w:rsid w:val="00DD4DA9"/>
    <w:rsid w:val="00DD526D"/>
    <w:rsid w:val="00DD5C35"/>
    <w:rsid w:val="00DD693A"/>
    <w:rsid w:val="00DD69D7"/>
    <w:rsid w:val="00DD6E24"/>
    <w:rsid w:val="00DD70DA"/>
    <w:rsid w:val="00DD78CA"/>
    <w:rsid w:val="00DE0036"/>
    <w:rsid w:val="00DE0472"/>
    <w:rsid w:val="00DE126A"/>
    <w:rsid w:val="00DE1504"/>
    <w:rsid w:val="00DE1B14"/>
    <w:rsid w:val="00DE1BD9"/>
    <w:rsid w:val="00DE241D"/>
    <w:rsid w:val="00DE2538"/>
    <w:rsid w:val="00DE26C1"/>
    <w:rsid w:val="00DE2CC1"/>
    <w:rsid w:val="00DE2E2A"/>
    <w:rsid w:val="00DE2F03"/>
    <w:rsid w:val="00DE43B3"/>
    <w:rsid w:val="00DE4641"/>
    <w:rsid w:val="00DE4914"/>
    <w:rsid w:val="00DE4F52"/>
    <w:rsid w:val="00DE6B1C"/>
    <w:rsid w:val="00DE73D5"/>
    <w:rsid w:val="00DE78D7"/>
    <w:rsid w:val="00DF144C"/>
    <w:rsid w:val="00DF18FA"/>
    <w:rsid w:val="00DF20D1"/>
    <w:rsid w:val="00DF245C"/>
    <w:rsid w:val="00DF3342"/>
    <w:rsid w:val="00DF39C5"/>
    <w:rsid w:val="00DF3CE0"/>
    <w:rsid w:val="00DF6A13"/>
    <w:rsid w:val="00DF739C"/>
    <w:rsid w:val="00DF7767"/>
    <w:rsid w:val="00DF7BE2"/>
    <w:rsid w:val="00DF7C5F"/>
    <w:rsid w:val="00E00078"/>
    <w:rsid w:val="00E000C4"/>
    <w:rsid w:val="00E012A5"/>
    <w:rsid w:val="00E013AC"/>
    <w:rsid w:val="00E017D8"/>
    <w:rsid w:val="00E01B49"/>
    <w:rsid w:val="00E0205C"/>
    <w:rsid w:val="00E02352"/>
    <w:rsid w:val="00E03BC4"/>
    <w:rsid w:val="00E03CFE"/>
    <w:rsid w:val="00E03DBB"/>
    <w:rsid w:val="00E040A7"/>
    <w:rsid w:val="00E04BE4"/>
    <w:rsid w:val="00E04CC7"/>
    <w:rsid w:val="00E05D27"/>
    <w:rsid w:val="00E05DB8"/>
    <w:rsid w:val="00E05E5A"/>
    <w:rsid w:val="00E0681A"/>
    <w:rsid w:val="00E07529"/>
    <w:rsid w:val="00E075C0"/>
    <w:rsid w:val="00E07994"/>
    <w:rsid w:val="00E07FC9"/>
    <w:rsid w:val="00E1253F"/>
    <w:rsid w:val="00E13E09"/>
    <w:rsid w:val="00E14FC9"/>
    <w:rsid w:val="00E15864"/>
    <w:rsid w:val="00E158B1"/>
    <w:rsid w:val="00E160C7"/>
    <w:rsid w:val="00E16385"/>
    <w:rsid w:val="00E1646B"/>
    <w:rsid w:val="00E16734"/>
    <w:rsid w:val="00E1691D"/>
    <w:rsid w:val="00E16B1E"/>
    <w:rsid w:val="00E2060A"/>
    <w:rsid w:val="00E2064F"/>
    <w:rsid w:val="00E20D33"/>
    <w:rsid w:val="00E214DA"/>
    <w:rsid w:val="00E22668"/>
    <w:rsid w:val="00E226AD"/>
    <w:rsid w:val="00E22762"/>
    <w:rsid w:val="00E229C8"/>
    <w:rsid w:val="00E23B8D"/>
    <w:rsid w:val="00E23BA8"/>
    <w:rsid w:val="00E23C76"/>
    <w:rsid w:val="00E246FC"/>
    <w:rsid w:val="00E258CC"/>
    <w:rsid w:val="00E25E63"/>
    <w:rsid w:val="00E26644"/>
    <w:rsid w:val="00E268ED"/>
    <w:rsid w:val="00E27541"/>
    <w:rsid w:val="00E27B28"/>
    <w:rsid w:val="00E27F8B"/>
    <w:rsid w:val="00E3006F"/>
    <w:rsid w:val="00E30EFD"/>
    <w:rsid w:val="00E324D5"/>
    <w:rsid w:val="00E337DA"/>
    <w:rsid w:val="00E349C1"/>
    <w:rsid w:val="00E34B83"/>
    <w:rsid w:val="00E3517D"/>
    <w:rsid w:val="00E35C7D"/>
    <w:rsid w:val="00E35E67"/>
    <w:rsid w:val="00E36393"/>
    <w:rsid w:val="00E36662"/>
    <w:rsid w:val="00E36B31"/>
    <w:rsid w:val="00E36C8B"/>
    <w:rsid w:val="00E372BD"/>
    <w:rsid w:val="00E378F3"/>
    <w:rsid w:val="00E40368"/>
    <w:rsid w:val="00E40EB6"/>
    <w:rsid w:val="00E42128"/>
    <w:rsid w:val="00E4263B"/>
    <w:rsid w:val="00E42DA4"/>
    <w:rsid w:val="00E42F6B"/>
    <w:rsid w:val="00E42FBF"/>
    <w:rsid w:val="00E43084"/>
    <w:rsid w:val="00E44673"/>
    <w:rsid w:val="00E44DAD"/>
    <w:rsid w:val="00E451F1"/>
    <w:rsid w:val="00E45340"/>
    <w:rsid w:val="00E47275"/>
    <w:rsid w:val="00E51157"/>
    <w:rsid w:val="00E52C58"/>
    <w:rsid w:val="00E534CD"/>
    <w:rsid w:val="00E535A3"/>
    <w:rsid w:val="00E54821"/>
    <w:rsid w:val="00E548E5"/>
    <w:rsid w:val="00E54CFC"/>
    <w:rsid w:val="00E55103"/>
    <w:rsid w:val="00E55319"/>
    <w:rsid w:val="00E55F51"/>
    <w:rsid w:val="00E56519"/>
    <w:rsid w:val="00E56872"/>
    <w:rsid w:val="00E57880"/>
    <w:rsid w:val="00E61757"/>
    <w:rsid w:val="00E6265F"/>
    <w:rsid w:val="00E626F4"/>
    <w:rsid w:val="00E62752"/>
    <w:rsid w:val="00E62A7B"/>
    <w:rsid w:val="00E62BB9"/>
    <w:rsid w:val="00E63970"/>
    <w:rsid w:val="00E63998"/>
    <w:rsid w:val="00E639EF"/>
    <w:rsid w:val="00E63FF4"/>
    <w:rsid w:val="00E64B5B"/>
    <w:rsid w:val="00E6514B"/>
    <w:rsid w:val="00E65844"/>
    <w:rsid w:val="00E65A50"/>
    <w:rsid w:val="00E66115"/>
    <w:rsid w:val="00E66CD0"/>
    <w:rsid w:val="00E6726C"/>
    <w:rsid w:val="00E67459"/>
    <w:rsid w:val="00E67E9A"/>
    <w:rsid w:val="00E67F81"/>
    <w:rsid w:val="00E702AE"/>
    <w:rsid w:val="00E70443"/>
    <w:rsid w:val="00E705B9"/>
    <w:rsid w:val="00E71C91"/>
    <w:rsid w:val="00E72C5C"/>
    <w:rsid w:val="00E73C9A"/>
    <w:rsid w:val="00E73D2E"/>
    <w:rsid w:val="00E7445A"/>
    <w:rsid w:val="00E74A37"/>
    <w:rsid w:val="00E74C93"/>
    <w:rsid w:val="00E75E07"/>
    <w:rsid w:val="00E76860"/>
    <w:rsid w:val="00E777E6"/>
    <w:rsid w:val="00E77A99"/>
    <w:rsid w:val="00E8049C"/>
    <w:rsid w:val="00E80787"/>
    <w:rsid w:val="00E81EB3"/>
    <w:rsid w:val="00E83DB4"/>
    <w:rsid w:val="00E863AE"/>
    <w:rsid w:val="00E86480"/>
    <w:rsid w:val="00E866A6"/>
    <w:rsid w:val="00E8679D"/>
    <w:rsid w:val="00E87079"/>
    <w:rsid w:val="00E87D59"/>
    <w:rsid w:val="00E90558"/>
    <w:rsid w:val="00E91110"/>
    <w:rsid w:val="00E914C0"/>
    <w:rsid w:val="00E9152E"/>
    <w:rsid w:val="00E916ED"/>
    <w:rsid w:val="00E91D25"/>
    <w:rsid w:val="00E922E8"/>
    <w:rsid w:val="00E92336"/>
    <w:rsid w:val="00E92712"/>
    <w:rsid w:val="00E932FE"/>
    <w:rsid w:val="00E93852"/>
    <w:rsid w:val="00E94D5A"/>
    <w:rsid w:val="00E95789"/>
    <w:rsid w:val="00E95BA5"/>
    <w:rsid w:val="00E96CC1"/>
    <w:rsid w:val="00E9705C"/>
    <w:rsid w:val="00EA0397"/>
    <w:rsid w:val="00EA0570"/>
    <w:rsid w:val="00EA102B"/>
    <w:rsid w:val="00EA1664"/>
    <w:rsid w:val="00EA1D10"/>
    <w:rsid w:val="00EA2075"/>
    <w:rsid w:val="00EA2325"/>
    <w:rsid w:val="00EA33E4"/>
    <w:rsid w:val="00EA3A80"/>
    <w:rsid w:val="00EA3C30"/>
    <w:rsid w:val="00EA3E2D"/>
    <w:rsid w:val="00EA4BCC"/>
    <w:rsid w:val="00EA4C7E"/>
    <w:rsid w:val="00EA584E"/>
    <w:rsid w:val="00EA5F44"/>
    <w:rsid w:val="00EA7975"/>
    <w:rsid w:val="00EB0A6A"/>
    <w:rsid w:val="00EB22B2"/>
    <w:rsid w:val="00EB241F"/>
    <w:rsid w:val="00EB331B"/>
    <w:rsid w:val="00EB35C4"/>
    <w:rsid w:val="00EB3779"/>
    <w:rsid w:val="00EB3A7C"/>
    <w:rsid w:val="00EB418D"/>
    <w:rsid w:val="00EB4BE9"/>
    <w:rsid w:val="00EB52DF"/>
    <w:rsid w:val="00EB6BFA"/>
    <w:rsid w:val="00EB6EE3"/>
    <w:rsid w:val="00EB74ED"/>
    <w:rsid w:val="00EB75FB"/>
    <w:rsid w:val="00EC0033"/>
    <w:rsid w:val="00EC082D"/>
    <w:rsid w:val="00EC0B93"/>
    <w:rsid w:val="00EC1CB6"/>
    <w:rsid w:val="00EC27F1"/>
    <w:rsid w:val="00EC3E5F"/>
    <w:rsid w:val="00EC40CC"/>
    <w:rsid w:val="00EC41D1"/>
    <w:rsid w:val="00EC587C"/>
    <w:rsid w:val="00EC5ABC"/>
    <w:rsid w:val="00EC7934"/>
    <w:rsid w:val="00ED13E4"/>
    <w:rsid w:val="00ED1927"/>
    <w:rsid w:val="00ED1DF1"/>
    <w:rsid w:val="00ED1E53"/>
    <w:rsid w:val="00ED2720"/>
    <w:rsid w:val="00ED2772"/>
    <w:rsid w:val="00ED3809"/>
    <w:rsid w:val="00ED43C9"/>
    <w:rsid w:val="00ED464A"/>
    <w:rsid w:val="00ED476F"/>
    <w:rsid w:val="00ED47AD"/>
    <w:rsid w:val="00ED4B5E"/>
    <w:rsid w:val="00ED4E2E"/>
    <w:rsid w:val="00ED4E6C"/>
    <w:rsid w:val="00ED5301"/>
    <w:rsid w:val="00ED592C"/>
    <w:rsid w:val="00ED660A"/>
    <w:rsid w:val="00ED6C1F"/>
    <w:rsid w:val="00ED7863"/>
    <w:rsid w:val="00ED7D11"/>
    <w:rsid w:val="00ED7F10"/>
    <w:rsid w:val="00EE0B4F"/>
    <w:rsid w:val="00EE1032"/>
    <w:rsid w:val="00EE14F8"/>
    <w:rsid w:val="00EE1764"/>
    <w:rsid w:val="00EE27B1"/>
    <w:rsid w:val="00EE2EC7"/>
    <w:rsid w:val="00EE4322"/>
    <w:rsid w:val="00EE4CE5"/>
    <w:rsid w:val="00EE53C1"/>
    <w:rsid w:val="00EE5F93"/>
    <w:rsid w:val="00EE7A84"/>
    <w:rsid w:val="00EF0184"/>
    <w:rsid w:val="00EF0C88"/>
    <w:rsid w:val="00EF0EE8"/>
    <w:rsid w:val="00EF0F0B"/>
    <w:rsid w:val="00EF14A2"/>
    <w:rsid w:val="00EF20E4"/>
    <w:rsid w:val="00EF2CAB"/>
    <w:rsid w:val="00EF33BC"/>
    <w:rsid w:val="00EF44B6"/>
    <w:rsid w:val="00EF6E8C"/>
    <w:rsid w:val="00EF704A"/>
    <w:rsid w:val="00F011D8"/>
    <w:rsid w:val="00F01231"/>
    <w:rsid w:val="00F01442"/>
    <w:rsid w:val="00F01896"/>
    <w:rsid w:val="00F02724"/>
    <w:rsid w:val="00F02A2D"/>
    <w:rsid w:val="00F03557"/>
    <w:rsid w:val="00F0388D"/>
    <w:rsid w:val="00F040CB"/>
    <w:rsid w:val="00F052B2"/>
    <w:rsid w:val="00F05948"/>
    <w:rsid w:val="00F05AFA"/>
    <w:rsid w:val="00F05F2B"/>
    <w:rsid w:val="00F06E9C"/>
    <w:rsid w:val="00F073D2"/>
    <w:rsid w:val="00F07A44"/>
    <w:rsid w:val="00F07DBD"/>
    <w:rsid w:val="00F1008E"/>
    <w:rsid w:val="00F1085D"/>
    <w:rsid w:val="00F10A14"/>
    <w:rsid w:val="00F10D45"/>
    <w:rsid w:val="00F111E7"/>
    <w:rsid w:val="00F119E0"/>
    <w:rsid w:val="00F1246B"/>
    <w:rsid w:val="00F12473"/>
    <w:rsid w:val="00F125AC"/>
    <w:rsid w:val="00F127A5"/>
    <w:rsid w:val="00F13520"/>
    <w:rsid w:val="00F150F2"/>
    <w:rsid w:val="00F15605"/>
    <w:rsid w:val="00F157AA"/>
    <w:rsid w:val="00F15B6A"/>
    <w:rsid w:val="00F15CA3"/>
    <w:rsid w:val="00F173E8"/>
    <w:rsid w:val="00F17D98"/>
    <w:rsid w:val="00F204F7"/>
    <w:rsid w:val="00F20ADA"/>
    <w:rsid w:val="00F216F3"/>
    <w:rsid w:val="00F21F31"/>
    <w:rsid w:val="00F22132"/>
    <w:rsid w:val="00F22ABF"/>
    <w:rsid w:val="00F2352B"/>
    <w:rsid w:val="00F24FFE"/>
    <w:rsid w:val="00F250CC"/>
    <w:rsid w:val="00F25483"/>
    <w:rsid w:val="00F254B1"/>
    <w:rsid w:val="00F25754"/>
    <w:rsid w:val="00F25F94"/>
    <w:rsid w:val="00F26735"/>
    <w:rsid w:val="00F269D8"/>
    <w:rsid w:val="00F27653"/>
    <w:rsid w:val="00F27A55"/>
    <w:rsid w:val="00F27C03"/>
    <w:rsid w:val="00F27CD1"/>
    <w:rsid w:val="00F27FB8"/>
    <w:rsid w:val="00F3015F"/>
    <w:rsid w:val="00F305CC"/>
    <w:rsid w:val="00F3083C"/>
    <w:rsid w:val="00F3108E"/>
    <w:rsid w:val="00F3288F"/>
    <w:rsid w:val="00F329CB"/>
    <w:rsid w:val="00F32AC0"/>
    <w:rsid w:val="00F32BA3"/>
    <w:rsid w:val="00F32FB3"/>
    <w:rsid w:val="00F3351D"/>
    <w:rsid w:val="00F33719"/>
    <w:rsid w:val="00F34B20"/>
    <w:rsid w:val="00F34B2C"/>
    <w:rsid w:val="00F34D42"/>
    <w:rsid w:val="00F34FD9"/>
    <w:rsid w:val="00F354DA"/>
    <w:rsid w:val="00F35D76"/>
    <w:rsid w:val="00F3671E"/>
    <w:rsid w:val="00F373F2"/>
    <w:rsid w:val="00F3793B"/>
    <w:rsid w:val="00F37F60"/>
    <w:rsid w:val="00F40010"/>
    <w:rsid w:val="00F40654"/>
    <w:rsid w:val="00F41108"/>
    <w:rsid w:val="00F41DE4"/>
    <w:rsid w:val="00F42A25"/>
    <w:rsid w:val="00F449F8"/>
    <w:rsid w:val="00F451FF"/>
    <w:rsid w:val="00F45A0B"/>
    <w:rsid w:val="00F45A0E"/>
    <w:rsid w:val="00F45ED8"/>
    <w:rsid w:val="00F46C9A"/>
    <w:rsid w:val="00F47035"/>
    <w:rsid w:val="00F50303"/>
    <w:rsid w:val="00F50F04"/>
    <w:rsid w:val="00F517D2"/>
    <w:rsid w:val="00F51FB3"/>
    <w:rsid w:val="00F52CF6"/>
    <w:rsid w:val="00F52F8D"/>
    <w:rsid w:val="00F5398D"/>
    <w:rsid w:val="00F55F63"/>
    <w:rsid w:val="00F562B2"/>
    <w:rsid w:val="00F56649"/>
    <w:rsid w:val="00F5667A"/>
    <w:rsid w:val="00F56C24"/>
    <w:rsid w:val="00F56E33"/>
    <w:rsid w:val="00F57BA8"/>
    <w:rsid w:val="00F57CFE"/>
    <w:rsid w:val="00F60133"/>
    <w:rsid w:val="00F60160"/>
    <w:rsid w:val="00F601F8"/>
    <w:rsid w:val="00F60361"/>
    <w:rsid w:val="00F60A17"/>
    <w:rsid w:val="00F60F4F"/>
    <w:rsid w:val="00F614B3"/>
    <w:rsid w:val="00F61915"/>
    <w:rsid w:val="00F619A2"/>
    <w:rsid w:val="00F61A5C"/>
    <w:rsid w:val="00F626C0"/>
    <w:rsid w:val="00F62D90"/>
    <w:rsid w:val="00F63207"/>
    <w:rsid w:val="00F633C5"/>
    <w:rsid w:val="00F64B35"/>
    <w:rsid w:val="00F65EDC"/>
    <w:rsid w:val="00F66A93"/>
    <w:rsid w:val="00F67E56"/>
    <w:rsid w:val="00F67EC0"/>
    <w:rsid w:val="00F70665"/>
    <w:rsid w:val="00F70751"/>
    <w:rsid w:val="00F707CB"/>
    <w:rsid w:val="00F70AFD"/>
    <w:rsid w:val="00F70DB7"/>
    <w:rsid w:val="00F70F33"/>
    <w:rsid w:val="00F72109"/>
    <w:rsid w:val="00F73314"/>
    <w:rsid w:val="00F7396F"/>
    <w:rsid w:val="00F73A9A"/>
    <w:rsid w:val="00F73FD2"/>
    <w:rsid w:val="00F74086"/>
    <w:rsid w:val="00F74438"/>
    <w:rsid w:val="00F7518A"/>
    <w:rsid w:val="00F75289"/>
    <w:rsid w:val="00F7712C"/>
    <w:rsid w:val="00F77193"/>
    <w:rsid w:val="00F774C2"/>
    <w:rsid w:val="00F779AB"/>
    <w:rsid w:val="00F779B0"/>
    <w:rsid w:val="00F800FE"/>
    <w:rsid w:val="00F819E7"/>
    <w:rsid w:val="00F81BC3"/>
    <w:rsid w:val="00F82AE4"/>
    <w:rsid w:val="00F82F87"/>
    <w:rsid w:val="00F830CA"/>
    <w:rsid w:val="00F83943"/>
    <w:rsid w:val="00F846F0"/>
    <w:rsid w:val="00F8525C"/>
    <w:rsid w:val="00F85741"/>
    <w:rsid w:val="00F859BA"/>
    <w:rsid w:val="00F859EF"/>
    <w:rsid w:val="00F85B7B"/>
    <w:rsid w:val="00F85BB4"/>
    <w:rsid w:val="00F85BC5"/>
    <w:rsid w:val="00F85DFB"/>
    <w:rsid w:val="00F869BA"/>
    <w:rsid w:val="00F87FC8"/>
    <w:rsid w:val="00F924D4"/>
    <w:rsid w:val="00F93857"/>
    <w:rsid w:val="00F93C15"/>
    <w:rsid w:val="00F9400A"/>
    <w:rsid w:val="00F950A7"/>
    <w:rsid w:val="00F95886"/>
    <w:rsid w:val="00F9598A"/>
    <w:rsid w:val="00F95B20"/>
    <w:rsid w:val="00F961F4"/>
    <w:rsid w:val="00F965D8"/>
    <w:rsid w:val="00F97EFD"/>
    <w:rsid w:val="00FA05F6"/>
    <w:rsid w:val="00FA189B"/>
    <w:rsid w:val="00FA2113"/>
    <w:rsid w:val="00FA308A"/>
    <w:rsid w:val="00FA3191"/>
    <w:rsid w:val="00FA396D"/>
    <w:rsid w:val="00FA3B09"/>
    <w:rsid w:val="00FA3DF4"/>
    <w:rsid w:val="00FA46ED"/>
    <w:rsid w:val="00FA5B5C"/>
    <w:rsid w:val="00FA5BD1"/>
    <w:rsid w:val="00FA5CEC"/>
    <w:rsid w:val="00FA6AA3"/>
    <w:rsid w:val="00FA7751"/>
    <w:rsid w:val="00FA7ADF"/>
    <w:rsid w:val="00FA7DDD"/>
    <w:rsid w:val="00FB1A39"/>
    <w:rsid w:val="00FB1A52"/>
    <w:rsid w:val="00FB2333"/>
    <w:rsid w:val="00FB41F5"/>
    <w:rsid w:val="00FB6330"/>
    <w:rsid w:val="00FB70D8"/>
    <w:rsid w:val="00FB778D"/>
    <w:rsid w:val="00FB7A15"/>
    <w:rsid w:val="00FC18ED"/>
    <w:rsid w:val="00FC23A8"/>
    <w:rsid w:val="00FC27E4"/>
    <w:rsid w:val="00FC2E96"/>
    <w:rsid w:val="00FC2EE9"/>
    <w:rsid w:val="00FC3541"/>
    <w:rsid w:val="00FC3C6F"/>
    <w:rsid w:val="00FC3D7E"/>
    <w:rsid w:val="00FC3F43"/>
    <w:rsid w:val="00FC41E0"/>
    <w:rsid w:val="00FC442D"/>
    <w:rsid w:val="00FC4ADC"/>
    <w:rsid w:val="00FC4E49"/>
    <w:rsid w:val="00FC5263"/>
    <w:rsid w:val="00FC57E7"/>
    <w:rsid w:val="00FC60ED"/>
    <w:rsid w:val="00FC6740"/>
    <w:rsid w:val="00FC72CA"/>
    <w:rsid w:val="00FC7E15"/>
    <w:rsid w:val="00FC7EEB"/>
    <w:rsid w:val="00FD0586"/>
    <w:rsid w:val="00FD06DA"/>
    <w:rsid w:val="00FD0AA0"/>
    <w:rsid w:val="00FD1468"/>
    <w:rsid w:val="00FD1986"/>
    <w:rsid w:val="00FD2046"/>
    <w:rsid w:val="00FD2383"/>
    <w:rsid w:val="00FD2992"/>
    <w:rsid w:val="00FD2DB6"/>
    <w:rsid w:val="00FD33ED"/>
    <w:rsid w:val="00FD3F09"/>
    <w:rsid w:val="00FD4676"/>
    <w:rsid w:val="00FD4D69"/>
    <w:rsid w:val="00FD6714"/>
    <w:rsid w:val="00FD7419"/>
    <w:rsid w:val="00FD74E7"/>
    <w:rsid w:val="00FE04DF"/>
    <w:rsid w:val="00FE0912"/>
    <w:rsid w:val="00FE0DB9"/>
    <w:rsid w:val="00FE21A3"/>
    <w:rsid w:val="00FE390C"/>
    <w:rsid w:val="00FE4A42"/>
    <w:rsid w:val="00FE4A6E"/>
    <w:rsid w:val="00FE4D1F"/>
    <w:rsid w:val="00FE5283"/>
    <w:rsid w:val="00FE5F31"/>
    <w:rsid w:val="00FE6939"/>
    <w:rsid w:val="00FE753A"/>
    <w:rsid w:val="00FE7C1F"/>
    <w:rsid w:val="00FE7CA3"/>
    <w:rsid w:val="00FF07B3"/>
    <w:rsid w:val="00FF0CFF"/>
    <w:rsid w:val="00FF13D5"/>
    <w:rsid w:val="00FF198A"/>
    <w:rsid w:val="00FF227A"/>
    <w:rsid w:val="00FF22A4"/>
    <w:rsid w:val="00FF230B"/>
    <w:rsid w:val="00FF252C"/>
    <w:rsid w:val="00FF2723"/>
    <w:rsid w:val="00FF2BDF"/>
    <w:rsid w:val="00FF3589"/>
    <w:rsid w:val="00FF3633"/>
    <w:rsid w:val="00FF4194"/>
    <w:rsid w:val="00FF4685"/>
    <w:rsid w:val="00FF4908"/>
    <w:rsid w:val="00FF4C0C"/>
    <w:rsid w:val="00FF51AF"/>
    <w:rsid w:val="00FF5F46"/>
    <w:rsid w:val="00FF6781"/>
    <w:rsid w:val="00FF7631"/>
    <w:rsid w:val="00FF7E96"/>
    <w:rsid w:val="04411C9E"/>
    <w:rsid w:val="0C337593"/>
    <w:rsid w:val="1C502501"/>
    <w:rsid w:val="24533EA6"/>
    <w:rsid w:val="254C40BE"/>
    <w:rsid w:val="25EF714A"/>
    <w:rsid w:val="263B17C8"/>
    <w:rsid w:val="269221D6"/>
    <w:rsid w:val="289C222B"/>
    <w:rsid w:val="291D7302"/>
    <w:rsid w:val="316C3324"/>
    <w:rsid w:val="36E47B9D"/>
    <w:rsid w:val="37F832AF"/>
    <w:rsid w:val="3C111A19"/>
    <w:rsid w:val="3F8743D5"/>
    <w:rsid w:val="4C4206D4"/>
    <w:rsid w:val="4E1622A9"/>
    <w:rsid w:val="52730954"/>
    <w:rsid w:val="53772781"/>
    <w:rsid w:val="675A6D1E"/>
    <w:rsid w:val="6B213BD1"/>
    <w:rsid w:val="6C0576C7"/>
    <w:rsid w:val="7471142F"/>
    <w:rsid w:val="75787FC9"/>
    <w:rsid w:val="765F29E9"/>
    <w:rsid w:val="78B26191"/>
    <w:rsid w:val="7B957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5"/>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17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170"/>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219"/>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256"/>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257"/>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258"/>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259"/>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260"/>
    <w:qFormat/>
    <w:uiPriority w:val="0"/>
    <w:pPr>
      <w:keepLines/>
      <w:widowControl/>
      <w:spacing w:before="240" w:after="64" w:line="312" w:lineRule="auto"/>
      <w:outlineLvl w:val="8"/>
    </w:pPr>
    <w:rPr>
      <w:rFonts w:ascii="Arial" w:hAnsi="Arial" w:eastAsia="黑体"/>
      <w:color w:val="000000"/>
      <w:szCs w:val="20"/>
    </w:rPr>
  </w:style>
  <w:style w:type="character" w:default="1" w:styleId="48">
    <w:name w:val="Default Paragraph Font"/>
    <w:semiHidden/>
    <w:uiPriority w:val="0"/>
  </w:style>
  <w:style w:type="table" w:default="1" w:styleId="45">
    <w:name w:val="Normal Table"/>
    <w:semiHidden/>
    <w:uiPriority w:val="0"/>
    <w:tblPr>
      <w:tblStyle w:val="45"/>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12">
    <w:name w:val="toc 7"/>
    <w:basedOn w:val="1"/>
    <w:next w:val="1"/>
    <w:unhideWhenUsed/>
    <w:uiPriority w:val="39"/>
    <w:pPr>
      <w:ind w:left="2520" w:leftChars="1200"/>
    </w:pPr>
    <w:rPr>
      <w:rFonts w:ascii="Calibri" w:hAnsi="Calibri"/>
      <w:szCs w:val="22"/>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uiPriority w:val="0"/>
    <w:pPr>
      <w:tabs>
        <w:tab w:val="left" w:pos="360"/>
      </w:tabs>
      <w:ind w:left="360" w:hanging="360"/>
    </w:pPr>
    <w:rPr>
      <w:szCs w:val="20"/>
    </w:rPr>
  </w:style>
  <w:style w:type="paragraph" w:styleId="15">
    <w:name w:val="Document Map"/>
    <w:basedOn w:val="1"/>
    <w:link w:val="174"/>
    <w:qFormat/>
    <w:uiPriority w:val="99"/>
    <w:pPr>
      <w:widowControl/>
      <w:adjustRightInd w:val="0"/>
      <w:snapToGrid w:val="0"/>
      <w:spacing w:after="200"/>
      <w:jc w:val="left"/>
    </w:pPr>
    <w:rPr>
      <w:rFonts w:ascii="宋体" w:hAnsi="Tahoma"/>
      <w:kern w:val="0"/>
      <w:sz w:val="18"/>
      <w:szCs w:val="18"/>
    </w:rPr>
  </w:style>
  <w:style w:type="paragraph" w:styleId="16">
    <w:name w:val="annotation text"/>
    <w:basedOn w:val="1"/>
    <w:link w:val="266"/>
    <w:uiPriority w:val="0"/>
    <w:pPr>
      <w:jc w:val="left"/>
    </w:pPr>
  </w:style>
  <w:style w:type="paragraph" w:styleId="17">
    <w:name w:val="Body Text 3"/>
    <w:basedOn w:val="1"/>
    <w:uiPriority w:val="0"/>
    <w:pPr>
      <w:widowControl/>
      <w:spacing w:line="360" w:lineRule="auto"/>
    </w:pPr>
    <w:rPr>
      <w:rFonts w:ascii="仿宋_GB2312" w:eastAsia="仿宋_GB2312"/>
      <w:sz w:val="24"/>
      <w:szCs w:val="20"/>
    </w:rPr>
  </w:style>
  <w:style w:type="paragraph" w:styleId="18">
    <w:name w:val="Body Text"/>
    <w:basedOn w:val="1"/>
    <w:link w:val="186"/>
    <w:qFormat/>
    <w:uiPriority w:val="0"/>
    <w:pPr>
      <w:tabs>
        <w:tab w:val="left" w:pos="208"/>
      </w:tabs>
      <w:spacing w:line="432" w:lineRule="auto"/>
    </w:pPr>
    <w:rPr>
      <w:rFonts w:ascii="仿宋_GB2312" w:eastAsia="仿宋_GB2312"/>
      <w:sz w:val="28"/>
    </w:rPr>
  </w:style>
  <w:style w:type="paragraph" w:styleId="19">
    <w:name w:val="Body Text Indent"/>
    <w:basedOn w:val="1"/>
    <w:link w:val="263"/>
    <w:uiPriority w:val="0"/>
    <w:pPr>
      <w:ind w:firstLine="540"/>
    </w:pPr>
    <w:rPr>
      <w:sz w:val="28"/>
      <w:szCs w:val="20"/>
    </w:rPr>
  </w:style>
  <w:style w:type="paragraph" w:styleId="20">
    <w:name w:val="List Number 3"/>
    <w:basedOn w:val="1"/>
    <w:uiPriority w:val="0"/>
    <w:pPr>
      <w:numPr>
        <w:ilvl w:val="0"/>
        <w:numId w:val="1"/>
      </w:numPr>
      <w:spacing w:beforeLines="40" w:afterLines="40" w:line="300" w:lineRule="auto"/>
    </w:pPr>
    <w:rPr>
      <w:sz w:val="24"/>
    </w:rPr>
  </w:style>
  <w:style w:type="paragraph" w:styleId="21">
    <w:name w:val="List 2"/>
    <w:basedOn w:val="1"/>
    <w:uiPriority w:val="0"/>
    <w:pPr>
      <w:widowControl/>
      <w:spacing w:after="160"/>
      <w:ind w:left="100" w:leftChars="200" w:hanging="200" w:hangingChars="200"/>
      <w:jc w:val="left"/>
    </w:pPr>
    <w:rPr>
      <w:kern w:val="0"/>
      <w:szCs w:val="20"/>
      <w:lang w:eastAsia="en-US"/>
    </w:rPr>
  </w:style>
  <w:style w:type="paragraph" w:styleId="22">
    <w:name w:val="toc 5"/>
    <w:basedOn w:val="1"/>
    <w:next w:val="1"/>
    <w:unhideWhenUsed/>
    <w:uiPriority w:val="39"/>
    <w:pPr>
      <w:ind w:left="1680" w:leftChars="800"/>
    </w:pPr>
    <w:rPr>
      <w:rFonts w:ascii="Calibri" w:hAnsi="Calibri"/>
      <w:szCs w:val="22"/>
    </w:rPr>
  </w:style>
  <w:style w:type="paragraph" w:styleId="23">
    <w:name w:val="toc 3"/>
    <w:basedOn w:val="1"/>
    <w:next w:val="1"/>
    <w:qFormat/>
    <w:uiPriority w:val="39"/>
    <w:pPr>
      <w:tabs>
        <w:tab w:val="right" w:leader="dot" w:pos="9060"/>
      </w:tabs>
      <w:ind w:left="750" w:leftChars="300" w:hanging="120" w:hangingChars="50"/>
    </w:pPr>
    <w:rPr>
      <w:rFonts w:ascii="仿宋_GB2312" w:eastAsia="仿宋_GB2312"/>
      <w:sz w:val="24"/>
      <w:szCs w:val="36"/>
      <w:lang/>
    </w:rPr>
  </w:style>
  <w:style w:type="paragraph" w:styleId="24">
    <w:name w:val="Plain Text"/>
    <w:basedOn w:val="1"/>
    <w:link w:val="63"/>
    <w:qFormat/>
    <w:uiPriority w:val="0"/>
    <w:rPr>
      <w:rFonts w:ascii="宋体" w:hAnsi="Courier New"/>
      <w:szCs w:val="20"/>
    </w:rPr>
  </w:style>
  <w:style w:type="paragraph" w:styleId="25">
    <w:name w:val="toc 8"/>
    <w:basedOn w:val="1"/>
    <w:next w:val="1"/>
    <w:unhideWhenUsed/>
    <w:uiPriority w:val="39"/>
    <w:pPr>
      <w:ind w:left="2940" w:leftChars="1400"/>
    </w:pPr>
    <w:rPr>
      <w:rFonts w:ascii="Calibri" w:hAnsi="Calibri"/>
      <w:szCs w:val="22"/>
    </w:rPr>
  </w:style>
  <w:style w:type="paragraph" w:styleId="26">
    <w:name w:val="Date"/>
    <w:basedOn w:val="1"/>
    <w:next w:val="1"/>
    <w:link w:val="194"/>
    <w:qFormat/>
    <w:uiPriority w:val="0"/>
    <w:pPr>
      <w:adjustRightInd w:val="0"/>
      <w:spacing w:line="312" w:lineRule="atLeast"/>
    </w:pPr>
    <w:rPr>
      <w:rFonts w:ascii="仿宋_GB2312" w:eastAsia="仿宋_GB2312"/>
      <w:kern w:val="0"/>
      <w:sz w:val="28"/>
      <w:szCs w:val="20"/>
    </w:rPr>
  </w:style>
  <w:style w:type="paragraph" w:styleId="27">
    <w:name w:val="Body Text Indent 2"/>
    <w:basedOn w:val="1"/>
    <w:link w:val="279"/>
    <w:uiPriority w:val="0"/>
    <w:pPr>
      <w:snapToGrid w:val="0"/>
      <w:spacing w:line="400" w:lineRule="exact"/>
      <w:ind w:firstLine="480"/>
    </w:pPr>
    <w:rPr>
      <w:rFonts w:eastAsia="仿宋_GB2312"/>
      <w:sz w:val="24"/>
    </w:rPr>
  </w:style>
  <w:style w:type="paragraph" w:styleId="28">
    <w:name w:val="Balloon Text"/>
    <w:basedOn w:val="1"/>
    <w:link w:val="179"/>
    <w:qFormat/>
    <w:uiPriority w:val="99"/>
    <w:rPr>
      <w:sz w:val="18"/>
      <w:szCs w:val="18"/>
    </w:rPr>
  </w:style>
  <w:style w:type="paragraph" w:styleId="29">
    <w:name w:val="footer"/>
    <w:basedOn w:val="1"/>
    <w:link w:val="172"/>
    <w:qFormat/>
    <w:uiPriority w:val="99"/>
    <w:pPr>
      <w:tabs>
        <w:tab w:val="center" w:pos="4153"/>
        <w:tab w:val="right" w:pos="8306"/>
      </w:tabs>
      <w:snapToGrid w:val="0"/>
      <w:jc w:val="left"/>
    </w:pPr>
    <w:rPr>
      <w:sz w:val="18"/>
      <w:szCs w:val="18"/>
    </w:rPr>
  </w:style>
  <w:style w:type="paragraph" w:styleId="30">
    <w:name w:val="header"/>
    <w:basedOn w:val="1"/>
    <w:link w:val="17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Signature"/>
    <w:basedOn w:val="1"/>
    <w:next w:val="1"/>
    <w:link w:val="68"/>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2">
    <w:name w:val="toc 1"/>
    <w:basedOn w:val="1"/>
    <w:next w:val="1"/>
    <w:qFormat/>
    <w:uiPriority w:val="39"/>
    <w:pPr>
      <w:tabs>
        <w:tab w:val="left" w:pos="1470"/>
        <w:tab w:val="right" w:leader="dot" w:pos="9016"/>
      </w:tabs>
      <w:ind w:firstLine="480"/>
    </w:pPr>
    <w:rPr>
      <w:rFonts w:ascii="宋体" w:hAnsi="宋体" w:eastAsia="仿宋_GB2312"/>
      <w:b/>
      <w:sz w:val="30"/>
      <w:szCs w:val="30"/>
      <w:lang/>
    </w:rPr>
  </w:style>
  <w:style w:type="paragraph" w:styleId="33">
    <w:name w:val="toc 4"/>
    <w:basedOn w:val="1"/>
    <w:next w:val="1"/>
    <w:unhideWhenUsed/>
    <w:uiPriority w:val="39"/>
    <w:pPr>
      <w:ind w:left="1260" w:leftChars="600"/>
    </w:pPr>
    <w:rPr>
      <w:rFonts w:ascii="Calibri" w:hAnsi="Calibri"/>
      <w:szCs w:val="22"/>
    </w:rPr>
  </w:style>
  <w:style w:type="paragraph" w:styleId="34">
    <w:name w:val="Subtitle"/>
    <w:basedOn w:val="1"/>
    <w:link w:val="188"/>
    <w:qFormat/>
    <w:uiPriority w:val="11"/>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uiPriority w:val="39"/>
    <w:pPr>
      <w:ind w:left="2100" w:leftChars="1000"/>
    </w:pPr>
    <w:rPr>
      <w:rFonts w:ascii="Calibri" w:hAnsi="Calibri"/>
      <w:szCs w:val="22"/>
    </w:rPr>
  </w:style>
  <w:style w:type="paragraph" w:styleId="36">
    <w:name w:val="Body Text Indent 3"/>
    <w:basedOn w:val="1"/>
    <w:uiPriority w:val="0"/>
    <w:pPr>
      <w:spacing w:line="360" w:lineRule="auto"/>
      <w:ind w:left="220"/>
      <w:jc w:val="left"/>
    </w:pPr>
    <w:rPr>
      <w:rFonts w:ascii="仿宋_GB2312" w:eastAsia="仿宋_GB2312"/>
      <w:color w:val="000000"/>
      <w:sz w:val="24"/>
    </w:rPr>
  </w:style>
  <w:style w:type="paragraph" w:styleId="37">
    <w:name w:val="toc 2"/>
    <w:basedOn w:val="1"/>
    <w:next w:val="1"/>
    <w:qFormat/>
    <w:uiPriority w:val="39"/>
    <w:pPr>
      <w:tabs>
        <w:tab w:val="right" w:leader="dot" w:pos="9060"/>
      </w:tabs>
      <w:ind w:left="525" w:leftChars="250"/>
      <w:jc w:val="center"/>
    </w:pPr>
    <w:rPr>
      <w:rFonts w:ascii="宋体" w:hAnsi="宋体" w:eastAsia="仿宋_GB2312"/>
      <w:b/>
      <w:bCs/>
      <w:sz w:val="30"/>
      <w:szCs w:val="30"/>
      <w:lang/>
    </w:rPr>
  </w:style>
  <w:style w:type="paragraph" w:styleId="38">
    <w:name w:val="toc 9"/>
    <w:basedOn w:val="1"/>
    <w:next w:val="1"/>
    <w:unhideWhenUsed/>
    <w:uiPriority w:val="39"/>
    <w:pPr>
      <w:ind w:left="3360" w:leftChars="1600"/>
    </w:pPr>
    <w:rPr>
      <w:rFonts w:ascii="Calibri" w:hAnsi="Calibri"/>
      <w:szCs w:val="22"/>
    </w:rPr>
  </w:style>
  <w:style w:type="paragraph" w:styleId="39">
    <w:name w:val="Body Text 2"/>
    <w:basedOn w:val="1"/>
    <w:uiPriority w:val="0"/>
    <w:pPr>
      <w:spacing w:line="560" w:lineRule="exact"/>
    </w:pPr>
    <w:rPr>
      <w:rFonts w:ascii="仿宋_GB2312" w:eastAsia="仿宋_GB2312"/>
      <w:sz w:val="24"/>
    </w:rPr>
  </w:style>
  <w:style w:type="paragraph" w:styleId="40">
    <w:name w:val="HTML Preformatted"/>
    <w:basedOn w:val="1"/>
    <w:link w:val="71"/>
    <w:uiPriority w:val="0"/>
    <w:rPr>
      <w:rFonts w:ascii="Arial Unicode MS" w:hAnsi="Arial Unicode MS" w:eastAsia="Arial Unicode MS"/>
      <w:kern w:val="0"/>
      <w:sz w:val="20"/>
      <w:szCs w:val="20"/>
    </w:rPr>
  </w:style>
  <w:style w:type="paragraph" w:styleId="41">
    <w:name w:val="Normal (Web)"/>
    <w:basedOn w:val="1"/>
    <w:link w:val="58"/>
    <w:uiPriority w:val="0"/>
    <w:pPr>
      <w:widowControl/>
      <w:jc w:val="left"/>
    </w:pPr>
    <w:rPr>
      <w:rFonts w:ascii="宋体" w:hAnsi="宋体"/>
      <w:kern w:val="0"/>
      <w:sz w:val="24"/>
    </w:rPr>
  </w:style>
  <w:style w:type="paragraph" w:styleId="42">
    <w:name w:val="Title"/>
    <w:basedOn w:val="1"/>
    <w:link w:val="183"/>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3">
    <w:name w:val="annotation subject"/>
    <w:basedOn w:val="16"/>
    <w:next w:val="16"/>
    <w:link w:val="267"/>
    <w:unhideWhenUsed/>
    <w:uiPriority w:val="99"/>
    <w:rPr>
      <w:rFonts w:ascii="Calibri" w:hAnsi="Calibri" w:eastAsia="宋体" w:cs="Times New Roman"/>
      <w:b/>
      <w:bCs/>
      <w:szCs w:val="22"/>
    </w:rPr>
  </w:style>
  <w:style w:type="paragraph" w:styleId="44">
    <w:name w:val="Body Text First Indent"/>
    <w:basedOn w:val="18"/>
    <w:link w:val="187"/>
    <w:uiPriority w:val="0"/>
    <w:pPr>
      <w:tabs>
        <w:tab w:val="clear" w:pos="208"/>
      </w:tabs>
      <w:spacing w:after="120" w:line="240" w:lineRule="auto"/>
      <w:ind w:firstLine="420"/>
    </w:pPr>
    <w:rPr>
      <w:lang w:val="zh-CN"/>
    </w:rPr>
  </w:style>
  <w:style w:type="table" w:styleId="46">
    <w:name w:val="Table Grid"/>
    <w:basedOn w:val="45"/>
    <w:qFormat/>
    <w:uiPriority w:val="5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4"/>
    <w:basedOn w:val="45"/>
    <w:uiPriority w:val="0"/>
    <w:pPr>
      <w:overflowPunct w:val="0"/>
      <w:autoSpaceDE w:val="0"/>
      <w:autoSpaceDN w:val="0"/>
      <w:adjustRightInd w:val="0"/>
      <w:ind w:firstLine="425"/>
      <w:textAlignment w:val="baseline"/>
    </w:pPr>
    <w:tblPr>
      <w:tblStyle w:val="45"/>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blStyle w:val="45"/>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Style w:val="45"/>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Style w:val="45"/>
      </w:tblPr>
      <w:tcPr>
        <w:tcBorders>
          <w:top w:val="nil"/>
          <w:left w:val="nil"/>
          <w:bottom w:val="nil"/>
          <w:right w:val="nil"/>
          <w:insideH w:val="nil"/>
          <w:insideV w:val="nil"/>
          <w:tl2br w:val="nil"/>
          <w:tr2bl w:val="nil"/>
        </w:tcBorders>
      </w:tcPr>
    </w:tblStylePr>
  </w:style>
  <w:style w:type="character" w:styleId="49">
    <w:name w:val="Strong"/>
    <w:qFormat/>
    <w:uiPriority w:val="22"/>
  </w:style>
  <w:style w:type="character" w:styleId="50">
    <w:name w:val="page number"/>
    <w:basedOn w:val="48"/>
    <w:qFormat/>
    <w:uiPriority w:val="0"/>
  </w:style>
  <w:style w:type="character" w:styleId="51">
    <w:name w:val="FollowedHyperlink"/>
    <w:uiPriority w:val="99"/>
    <w:rPr>
      <w:color w:val="800080"/>
      <w:u w:val="single"/>
    </w:rPr>
  </w:style>
  <w:style w:type="character" w:styleId="52">
    <w:name w:val="Emphasis"/>
    <w:qFormat/>
    <w:uiPriority w:val="20"/>
    <w:rPr>
      <w:color w:val="CC0000"/>
    </w:rPr>
  </w:style>
  <w:style w:type="character" w:styleId="53">
    <w:name w:val="Hyperlink"/>
    <w:qFormat/>
    <w:uiPriority w:val="99"/>
    <w:rPr>
      <w:color w:val="0000FF"/>
      <w:u w:val="single"/>
    </w:rPr>
  </w:style>
  <w:style w:type="character" w:styleId="54">
    <w:name w:val="annotation reference"/>
    <w:uiPriority w:val="99"/>
    <w:rPr>
      <w:sz w:val="21"/>
      <w:szCs w:val="21"/>
    </w:rPr>
  </w:style>
  <w:style w:type="character" w:customStyle="1" w:styleId="55">
    <w:name w:val="标题 1 Char"/>
    <w:aliases w:val="TITRE1 Char,h1 Char,合同标题 Char,卷标题 Char,featurehead Char,Title1 Char,LN Char,H1 Char,H11 Char,H12 Char,H13 Char,H14 Char,H15 Char,H16 Char,H17 Char,H111 Char,H121 Char,H131 Char,H141 Char,H151 Char,H161 Char,H18 Char,H112 Char,H122 Char,l1 Char"/>
    <w:link w:val="2"/>
    <w:qFormat/>
    <w:uiPriority w:val="0"/>
    <w:rPr>
      <w:rFonts w:ascii="仿宋_GB2312" w:eastAsia="仿宋_GB2312"/>
      <w:b/>
      <w:kern w:val="2"/>
      <w:sz w:val="44"/>
      <w:szCs w:val="24"/>
      <w:lang w:val="en-US" w:eastAsia="zh-CN" w:bidi="ar-SA"/>
    </w:rPr>
  </w:style>
  <w:style w:type="character" w:customStyle="1" w:styleId="56">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uiPriority w:val="0"/>
    <w:rPr>
      <w:rFonts w:eastAsia="宋体"/>
      <w:kern w:val="2"/>
      <w:sz w:val="21"/>
      <w:lang w:val="en-US" w:eastAsia="zh-CN" w:bidi="ar-SA"/>
    </w:rPr>
  </w:style>
  <w:style w:type="character" w:customStyle="1" w:styleId="57">
    <w:name w:val="HTML 预设格式 Char1"/>
    <w:uiPriority w:val="0"/>
    <w:rPr>
      <w:rFonts w:ascii="Courier New" w:hAnsi="Courier New" w:cs="Courier New"/>
      <w:kern w:val="2"/>
    </w:rPr>
  </w:style>
  <w:style w:type="character" w:customStyle="1" w:styleId="58">
    <w:name w:val="普通(网站) Char"/>
    <w:link w:val="41"/>
    <w:uiPriority w:val="0"/>
    <w:rPr>
      <w:rFonts w:ascii="宋体" w:hAnsi="宋体" w:cs="宋体"/>
      <w:sz w:val="24"/>
      <w:szCs w:val="24"/>
    </w:rPr>
  </w:style>
  <w:style w:type="character" w:customStyle="1" w:styleId="59">
    <w:name w:val="titlestylelight1"/>
    <w:uiPriority w:val="0"/>
    <w:rPr>
      <w:rFonts w:hint="default" w:ascii="Arial" w:hAnsi="Arial" w:cs="Arial"/>
      <w:b/>
      <w:bCs/>
      <w:color w:val="666666"/>
      <w:sz w:val="18"/>
      <w:szCs w:val="18"/>
    </w:rPr>
  </w:style>
  <w:style w:type="character" w:customStyle="1" w:styleId="60">
    <w:name w:val="p141"/>
    <w:uiPriority w:val="0"/>
    <w:rPr>
      <w:sz w:val="21"/>
      <w:szCs w:val="21"/>
      <w:u w:val="none"/>
    </w:rPr>
  </w:style>
  <w:style w:type="character" w:customStyle="1" w:styleId="61">
    <w:name w:val="Char Char1"/>
    <w:link w:val="62"/>
    <w:locked/>
    <w:uiPriority w:val="0"/>
    <w:rPr>
      <w:rFonts w:ascii="Tahoma" w:hAnsi="Tahoma" w:cs="仿宋_GB2312"/>
      <w:kern w:val="2"/>
      <w:sz w:val="24"/>
      <w:szCs w:val="28"/>
    </w:rPr>
  </w:style>
  <w:style w:type="paragraph" w:customStyle="1" w:styleId="62">
    <w:name w:val="Char"/>
    <w:basedOn w:val="1"/>
    <w:link w:val="61"/>
    <w:uiPriority w:val="0"/>
    <w:rPr>
      <w:rFonts w:ascii="Tahoma" w:hAnsi="Tahoma"/>
      <w:sz w:val="24"/>
      <w:szCs w:val="28"/>
    </w:rPr>
  </w:style>
  <w:style w:type="character" w:customStyle="1" w:styleId="63">
    <w:name w:val="纯文本 Char"/>
    <w:aliases w:val="普通文字 Char Char3,纯文本 Char Char Char1,普通文字 Char Char Char2,普通文字 Char Char Char Char2,普通文字 Char Char Char Char Char1,普通文字 Char2,小 Char1,Texte Char1,正 文 1 Char1,纯文本 Char Char Char Char Char Char Char Char Char Char Char Char Char Char,普通文字1 Char"/>
    <w:link w:val="24"/>
    <w:qFormat/>
    <w:uiPriority w:val="0"/>
    <w:rPr>
      <w:rFonts w:ascii="宋体" w:hAnsi="Courier New" w:eastAsia="宋体"/>
      <w:kern w:val="2"/>
      <w:sz w:val="21"/>
      <w:lang w:val="en-US" w:eastAsia="zh-CN" w:bidi="ar-SA"/>
    </w:rPr>
  </w:style>
  <w:style w:type="character" w:customStyle="1" w:styleId="64">
    <w:name w:val="style21"/>
    <w:uiPriority w:val="0"/>
    <w:rPr>
      <w:color w:val="003366"/>
    </w:rPr>
  </w:style>
  <w:style w:type="character" w:customStyle="1" w:styleId="65">
    <w:name w:val="apple-converted-space"/>
    <w:uiPriority w:val="0"/>
  </w:style>
  <w:style w:type="character" w:customStyle="1" w:styleId="66">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uiPriority w:val="0"/>
    <w:rPr>
      <w:rFonts w:ascii="宋体" w:hAnsi="Courier New" w:eastAsia="宋体"/>
      <w:kern w:val="2"/>
      <w:sz w:val="21"/>
      <w:lang w:val="en-US" w:eastAsia="zh-CN" w:bidi="ar-SA"/>
    </w:rPr>
  </w:style>
  <w:style w:type="character" w:customStyle="1" w:styleId="67">
    <w:name w:val="htd0"/>
    <w:basedOn w:val="48"/>
    <w:uiPriority w:val="0"/>
  </w:style>
  <w:style w:type="character" w:customStyle="1" w:styleId="68">
    <w:name w:val="签名 Char"/>
    <w:link w:val="31"/>
    <w:uiPriority w:val="0"/>
    <w:rPr>
      <w:rFonts w:ascii="Arial" w:hAnsi="Arial"/>
      <w:spacing w:val="-5"/>
      <w:sz w:val="24"/>
    </w:rPr>
  </w:style>
  <w:style w:type="character" w:customStyle="1" w:styleId="69">
    <w:name w:val="textfont1"/>
    <w:basedOn w:val="48"/>
    <w:uiPriority w:val="0"/>
  </w:style>
  <w:style w:type="character" w:customStyle="1" w:styleId="70">
    <w:name w:val="签名 Char1"/>
    <w:uiPriority w:val="0"/>
    <w:rPr>
      <w:kern w:val="2"/>
      <w:sz w:val="21"/>
      <w:szCs w:val="24"/>
    </w:rPr>
  </w:style>
  <w:style w:type="character" w:customStyle="1" w:styleId="71">
    <w:name w:val="HTML 预设格式 Char"/>
    <w:link w:val="40"/>
    <w:qFormat/>
    <w:uiPriority w:val="0"/>
    <w:rPr>
      <w:rFonts w:ascii="Arial Unicode MS" w:hAnsi="Arial Unicode MS" w:eastAsia="Arial Unicode MS"/>
    </w:rPr>
  </w:style>
  <w:style w:type="paragraph" w:customStyle="1" w:styleId="72">
    <w:name w:val="Default"/>
    <w:qFormat/>
    <w:uiPriority w:val="0"/>
    <w:pPr>
      <w:widowControl w:val="0"/>
      <w:autoSpaceDE w:val="0"/>
      <w:autoSpaceDN w:val="0"/>
      <w:adjustRightInd w:val="0"/>
    </w:pPr>
    <w:rPr>
      <w:rFonts w:ascii="华文细黑" w:eastAsia="华文细黑" w:cs="华文细黑"/>
      <w:color w:val="000000"/>
      <w:sz w:val="24"/>
      <w:szCs w:val="24"/>
      <w:lang w:val="en-US" w:eastAsia="zh-CN" w:bidi="ar-SA"/>
    </w:rPr>
  </w:style>
  <w:style w:type="paragraph" w:customStyle="1" w:styleId="73">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74">
    <w:name w:val="xl57"/>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5">
    <w:name w:val="xl70"/>
    <w:basedOn w:val="1"/>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76">
    <w:name w:val="样式 样式 特点标题 + 首行缩进:  2 字符 + 首行缩进:  2 字符"/>
    <w:basedOn w:val="1"/>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77">
    <w:name w:val="xl65"/>
    <w:basedOn w:val="1"/>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78">
    <w:name w:val="列出段落"/>
    <w:basedOn w:val="1"/>
    <w:link w:val="264"/>
    <w:qFormat/>
    <w:uiPriority w:val="34"/>
    <w:pPr>
      <w:ind w:firstLine="420" w:firstLineChars="200"/>
    </w:pPr>
    <w:rPr>
      <w:rFonts w:ascii="Calibri" w:hAnsi="Calibri"/>
      <w:szCs w:val="22"/>
    </w:rPr>
  </w:style>
  <w:style w:type="paragraph" w:customStyle="1" w:styleId="79">
    <w:name w:val="xl75"/>
    <w:basedOn w:val="1"/>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80">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81">
    <w:name w:val="样式1"/>
    <w:basedOn w:val="3"/>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82">
    <w:name w:val="Item List in Table"/>
    <w:basedOn w:val="1"/>
    <w:uiPriority w:val="0"/>
    <w:pPr>
      <w:tabs>
        <w:tab w:val="left" w:pos="420"/>
      </w:tabs>
      <w:ind w:left="420" w:hanging="420"/>
    </w:pPr>
    <w:rPr>
      <w:sz w:val="18"/>
    </w:rPr>
  </w:style>
  <w:style w:type="paragraph" w:customStyle="1" w:styleId="83">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84">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85">
    <w:name w:val=" Char Char Char Char Char Char Char"/>
    <w:basedOn w:val="1"/>
    <w:uiPriority w:val="0"/>
    <w:rPr>
      <w:rFonts w:ascii="仿宋_GB2312" w:eastAsia="仿宋_GB2312"/>
      <w:b/>
      <w:sz w:val="32"/>
      <w:szCs w:val="32"/>
    </w:rPr>
  </w:style>
  <w:style w:type="paragraph" w:customStyle="1" w:styleId="86">
    <w:name w:val="Plain Text"/>
    <w:basedOn w:val="1"/>
    <w:uiPriority w:val="0"/>
    <w:pPr>
      <w:adjustRightInd w:val="0"/>
      <w:jc w:val="left"/>
      <w:textAlignment w:val="baseline"/>
    </w:pPr>
    <w:rPr>
      <w:rFonts w:ascii="宋体" w:hAnsi="Courier New"/>
      <w:sz w:val="24"/>
      <w:szCs w:val="20"/>
    </w:rPr>
  </w:style>
  <w:style w:type="paragraph" w:customStyle="1" w:styleId="87">
    <w:name w:val="xl78"/>
    <w:basedOn w:val="1"/>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88">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89">
    <w:name w:val="font8"/>
    <w:basedOn w:val="1"/>
    <w:uiPriority w:val="0"/>
    <w:pPr>
      <w:widowControl/>
      <w:spacing w:before="100" w:beforeAutospacing="1" w:after="100" w:afterAutospacing="1"/>
      <w:jc w:val="left"/>
    </w:pPr>
    <w:rPr>
      <w:kern w:val="0"/>
      <w:sz w:val="20"/>
      <w:szCs w:val="20"/>
    </w:rPr>
  </w:style>
  <w:style w:type="paragraph" w:customStyle="1" w:styleId="90">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91">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2">
    <w:name w:val="SJ2"/>
    <w:basedOn w:val="1"/>
    <w:uiPriority w:val="0"/>
    <w:pPr>
      <w:spacing w:line="360" w:lineRule="auto"/>
      <w:ind w:firstLine="480" w:firstLineChars="200"/>
      <w:jc w:val="left"/>
    </w:pPr>
    <w:rPr>
      <w:rFonts w:cs="宋体"/>
      <w:sz w:val="24"/>
      <w:szCs w:val="20"/>
    </w:rPr>
  </w:style>
  <w:style w:type="paragraph" w:customStyle="1" w:styleId="93">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4">
    <w:name w:val="xl81"/>
    <w:basedOn w:val="1"/>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95">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96">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7">
    <w:name w:val="xl5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8">
    <w:name w:val="Table Text"/>
    <w:uiPriority w:val="0"/>
    <w:pPr>
      <w:snapToGrid w:val="0"/>
      <w:spacing w:before="80" w:after="80"/>
    </w:pPr>
    <w:rPr>
      <w:rFonts w:ascii="Arial" w:hAnsi="Arial" w:cs="Arial"/>
      <w:kern w:val="2"/>
      <w:sz w:val="18"/>
      <w:szCs w:val="18"/>
      <w:lang w:val="en-US" w:eastAsia="zh-CN" w:bidi="ar-SA"/>
    </w:rPr>
  </w:style>
  <w:style w:type="paragraph" w:customStyle="1" w:styleId="99">
    <w:name w:val="页码1"/>
    <w:basedOn w:val="1"/>
    <w:next w:val="1"/>
    <w:uiPriority w:val="0"/>
    <w:pPr>
      <w:widowControl/>
    </w:pPr>
    <w:rPr>
      <w:color w:val="000000"/>
      <w:szCs w:val="20"/>
    </w:rPr>
  </w:style>
  <w:style w:type="paragraph" w:customStyle="1" w:styleId="100">
    <w:name w:val="def正文"/>
    <w:basedOn w:val="18"/>
    <w:uiPriority w:val="0"/>
    <w:pPr>
      <w:widowControl/>
      <w:tabs>
        <w:tab w:val="clear" w:pos="208"/>
      </w:tabs>
      <w:spacing w:line="360" w:lineRule="auto"/>
      <w:ind w:firstLine="510"/>
      <w:jc w:val="left"/>
    </w:pPr>
    <w:rPr>
      <w:rFonts w:ascii="Times New Roman" w:eastAsia="宋体"/>
      <w:kern w:val="0"/>
      <w:sz w:val="24"/>
    </w:rPr>
  </w:style>
  <w:style w:type="paragraph" w:customStyle="1" w:styleId="101">
    <w:name w:val="xl5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2">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03">
    <w:name w:val="默认段落字体 Para Char Char Char Char Char Char Char Char Char1 Char Char Char Char"/>
    <w:basedOn w:val="1"/>
    <w:uiPriority w:val="0"/>
    <w:rPr>
      <w:rFonts w:ascii="Tahoma" w:hAnsi="Tahoma"/>
      <w:sz w:val="24"/>
      <w:szCs w:val="20"/>
    </w:rPr>
  </w:style>
  <w:style w:type="paragraph" w:customStyle="1" w:styleId="104">
    <w:name w:val="特点标题"/>
    <w:basedOn w:val="1"/>
    <w:next w:val="19"/>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105">
    <w:name w:val="xl7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06">
    <w:name w:val="Body Text 21"/>
    <w:basedOn w:val="1"/>
    <w:next w:val="1"/>
    <w:uiPriority w:val="0"/>
    <w:pPr>
      <w:widowControl/>
      <w:spacing w:line="300" w:lineRule="auto"/>
      <w:jc w:val="center"/>
    </w:pPr>
    <w:rPr>
      <w:rFonts w:ascii="宋体"/>
      <w:color w:val="000000"/>
      <w:sz w:val="24"/>
      <w:szCs w:val="20"/>
    </w:rPr>
  </w:style>
  <w:style w:type="paragraph" w:customStyle="1" w:styleId="107">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8">
    <w:name w:val="xl64"/>
    <w:basedOn w:val="1"/>
    <w:uiPriority w:val="0"/>
    <w:pPr>
      <w:widowControl/>
      <w:spacing w:before="100" w:beforeAutospacing="1" w:after="100" w:afterAutospacing="1"/>
      <w:jc w:val="center"/>
    </w:pPr>
    <w:rPr>
      <w:rFonts w:ascii="宋体" w:hAnsi="宋体"/>
      <w:b/>
      <w:bCs/>
      <w:kern w:val="0"/>
      <w:sz w:val="36"/>
      <w:szCs w:val="36"/>
    </w:rPr>
  </w:style>
  <w:style w:type="paragraph" w:customStyle="1" w:styleId="109">
    <w:name w:val=" Char"/>
    <w:basedOn w:val="1"/>
    <w:link w:val="182"/>
    <w:uiPriority w:val="0"/>
    <w:rPr>
      <w:rFonts w:ascii="Tahoma" w:hAnsi="Tahoma"/>
      <w:sz w:val="24"/>
      <w:szCs w:val="20"/>
    </w:rPr>
  </w:style>
  <w:style w:type="paragraph" w:customStyle="1" w:styleId="11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1">
    <w:name w:val="xl4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12">
    <w:name w:val="xl79"/>
    <w:basedOn w:val="1"/>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13">
    <w:name w:val="font11"/>
    <w:basedOn w:val="1"/>
    <w:uiPriority w:val="0"/>
    <w:pPr>
      <w:widowControl/>
      <w:spacing w:before="100" w:beforeAutospacing="1" w:after="100" w:afterAutospacing="1"/>
      <w:jc w:val="left"/>
    </w:pPr>
    <w:rPr>
      <w:b/>
      <w:bCs/>
      <w:i/>
      <w:iCs/>
      <w:kern w:val="0"/>
      <w:sz w:val="24"/>
    </w:rPr>
  </w:style>
  <w:style w:type="paragraph" w:customStyle="1" w:styleId="11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5">
    <w:name w:val="xl6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6">
    <w:name w:val="Table Contents"/>
    <w:basedOn w:val="1"/>
    <w:uiPriority w:val="0"/>
    <w:pPr>
      <w:suppressAutoHyphens/>
      <w:autoSpaceDE w:val="0"/>
      <w:spacing w:after="120"/>
      <w:jc w:val="left"/>
    </w:pPr>
    <w:rPr>
      <w:rFonts w:ascii="Helvetica" w:hAnsi="Helvetica"/>
      <w:kern w:val="1"/>
      <w:sz w:val="20"/>
      <w:szCs w:val="20"/>
      <w:lang/>
    </w:rPr>
  </w:style>
  <w:style w:type="paragraph" w:customStyle="1" w:styleId="11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1">
    <w:name w:val="xl83"/>
    <w:basedOn w:val="1"/>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2">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2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24">
    <w:name w:val="文章标题4级"/>
    <w:basedOn w:val="1"/>
    <w:next w:val="1"/>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lang/>
    </w:rPr>
  </w:style>
  <w:style w:type="paragraph" w:customStyle="1" w:styleId="125">
    <w:name w:val="xl80"/>
    <w:basedOn w:val="1"/>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6">
    <w:name w:val="_Style 129"/>
    <w:next w:val="1"/>
    <w:uiPriority w:val="0"/>
    <w:pPr>
      <w:widowControl w:val="0"/>
      <w:jc w:val="both"/>
    </w:pPr>
    <w:rPr>
      <w:kern w:val="2"/>
      <w:sz w:val="21"/>
      <w:szCs w:val="24"/>
      <w:lang w:val="en-US" w:eastAsia="zh-CN" w:bidi="ar-SA"/>
    </w:rPr>
  </w:style>
  <w:style w:type="paragraph" w:customStyle="1" w:styleId="12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自动更正"/>
    <w:uiPriority w:val="0"/>
    <w:pPr>
      <w:widowControl w:val="0"/>
      <w:jc w:val="both"/>
    </w:pPr>
    <w:rPr>
      <w:kern w:val="2"/>
      <w:sz w:val="21"/>
      <w:szCs w:val="24"/>
      <w:lang w:val="en-US" w:eastAsia="zh-CN" w:bidi="ar-SA"/>
    </w:rPr>
  </w:style>
  <w:style w:type="paragraph" w:customStyle="1" w:styleId="13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31">
    <w:name w:val="font7"/>
    <w:basedOn w:val="1"/>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32">
    <w:name w:val="font10"/>
    <w:basedOn w:val="1"/>
    <w:uiPriority w:val="0"/>
    <w:pPr>
      <w:widowControl/>
      <w:spacing w:before="100" w:beforeAutospacing="1" w:after="100" w:afterAutospacing="1"/>
      <w:jc w:val="left"/>
    </w:pPr>
    <w:rPr>
      <w:rFonts w:hint="eastAsia" w:ascii="宋体" w:hAnsi="宋体"/>
      <w:b/>
      <w:bCs/>
      <w:i/>
      <w:iCs/>
      <w:kern w:val="0"/>
      <w:sz w:val="24"/>
    </w:rPr>
  </w:style>
  <w:style w:type="paragraph" w:customStyle="1" w:styleId="133">
    <w:name w:val="xl45"/>
    <w:basedOn w:val="1"/>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表内文字"/>
    <w:basedOn w:val="1"/>
    <w:uiPriority w:val="0"/>
    <w:pPr>
      <w:jc w:val="center"/>
    </w:pPr>
    <w:rPr>
      <w:rFonts w:ascii="仿宋_GB2312" w:eastAsia="仿宋_GB2312"/>
      <w:sz w:val="24"/>
    </w:rPr>
  </w:style>
  <w:style w:type="paragraph" w:customStyle="1" w:styleId="135">
    <w:name w:val="font9"/>
    <w:basedOn w:val="1"/>
    <w:uiPriority w:val="0"/>
    <w:pPr>
      <w:widowControl/>
      <w:spacing w:before="100" w:beforeAutospacing="1" w:after="100" w:afterAutospacing="1"/>
      <w:jc w:val="left"/>
    </w:pPr>
    <w:rPr>
      <w:color w:val="000000"/>
      <w:kern w:val="0"/>
      <w:sz w:val="20"/>
      <w:szCs w:val="20"/>
    </w:rPr>
  </w:style>
  <w:style w:type="paragraph" w:customStyle="1" w:styleId="13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37">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8">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9">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4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2">
    <w:name w:val="xl66"/>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3">
    <w:name w:val="xl44"/>
    <w:basedOn w:val="1"/>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4">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6">
    <w:name w:val="xl46"/>
    <w:basedOn w:val="1"/>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7">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8">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9">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0">
    <w:name w:val="xl4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1">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52">
    <w:name w:val="xl5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3">
    <w:name w:val="List Paragraph"/>
    <w:basedOn w:val="1"/>
    <w:qFormat/>
    <w:uiPriority w:val="34"/>
    <w:pPr>
      <w:ind w:firstLine="420" w:firstLineChars="200"/>
    </w:pPr>
    <w:rPr>
      <w:szCs w:val="20"/>
    </w:rPr>
  </w:style>
  <w:style w:type="paragraph" w:customStyle="1" w:styleId="154">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5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56">
    <w:name w:val="xl5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57">
    <w:name w:val="xl58"/>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58">
    <w:name w:val="tabletext"/>
    <w:basedOn w:val="1"/>
    <w:uiPriority w:val="0"/>
    <w:pPr>
      <w:widowControl/>
      <w:spacing w:before="100" w:beforeAutospacing="1" w:after="100" w:afterAutospacing="1"/>
      <w:jc w:val="left"/>
    </w:pPr>
    <w:rPr>
      <w:rFonts w:ascii="宋体" w:hAnsi="宋体"/>
      <w:kern w:val="0"/>
      <w:sz w:val="24"/>
    </w:rPr>
  </w:style>
  <w:style w:type="paragraph" w:customStyle="1" w:styleId="159">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0">
    <w:name w:val="xl77"/>
    <w:basedOn w:val="1"/>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61">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62">
    <w:name w:val="xl82"/>
    <w:basedOn w:val="1"/>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63">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4">
    <w:name w:val="正文 A"/>
    <w:uiPriority w:val="99"/>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65">
    <w:name w:val="xl68"/>
    <w:basedOn w:val="1"/>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66">
    <w:name w:val=" Char1 Char Char Char Char Char Char"/>
    <w:basedOn w:val="2"/>
    <w:semiHidden/>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167">
    <w:name w:val="tec_para1"/>
    <w:basedOn w:val="1"/>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168">
    <w:name w:val="样式 标题 3h3H3sect1.2.3 + 五号 段前: 6 磅 段后: 6 磅 行距: 单倍行距"/>
    <w:basedOn w:val="4"/>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69">
    <w:name w:val="样式2"/>
    <w:basedOn w:val="1"/>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character" w:customStyle="1" w:styleId="170">
    <w:name w:val="标题 3 Char"/>
    <w:aliases w:val="H3 Char1,h3 Char1,列表编号3 Char1,Heading 3 - old Char1,BOD 0 Char1,Bold Head Char1,bh Char1,Level 3 Head Char1,level_3 Char1,PIM 3 Char1,sect1.2.3 Char1,sect1.2.31 Char1,sect1.2.32 Char1,sect1.2.311 Char1,sect1.2.33 Char1,sect1.2.312 Char1,b Char"/>
    <w:link w:val="4"/>
    <w:qFormat/>
    <w:uiPriority w:val="0"/>
    <w:rPr>
      <w:rFonts w:ascii="仿宋_GB2312" w:eastAsia="仿宋_GB2312"/>
      <w:b/>
      <w:bCs/>
      <w:kern w:val="2"/>
      <w:sz w:val="30"/>
    </w:rPr>
  </w:style>
  <w:style w:type="character" w:customStyle="1" w:styleId="171">
    <w:name w:val="页眉 Char"/>
    <w:link w:val="30"/>
    <w:qFormat/>
    <w:uiPriority w:val="99"/>
    <w:rPr>
      <w:sz w:val="18"/>
    </w:rPr>
  </w:style>
  <w:style w:type="character" w:customStyle="1" w:styleId="172">
    <w:name w:val="页脚 Char"/>
    <w:link w:val="29"/>
    <w:qFormat/>
    <w:uiPriority w:val="99"/>
    <w:rPr>
      <w:kern w:val="2"/>
      <w:sz w:val="18"/>
      <w:szCs w:val="18"/>
    </w:rPr>
  </w:style>
  <w:style w:type="character" w:customStyle="1" w:styleId="173">
    <w:name w:val="标题 2 Char"/>
    <w:aliases w:val="第一层条 Char,第二层 Char,论文标题 1 Char,ICSS章标记 Char,sect 1.2 Char,HD2 Char,H2 Char,h2 Char,Level 2 Topic Heading Char,2 Char,Header 2 Char,heading 2 Char,DO NOT USE_h2 Char,chn Char,Chapter Number/Appendix Letter Char,ACERHead 2 Char,Underrubrik1 Char"/>
    <w:link w:val="3"/>
    <w:qFormat/>
    <w:uiPriority w:val="9"/>
    <w:rPr>
      <w:rFonts w:ascii="仿宋_GB2312" w:eastAsia="仿宋_GB2312"/>
      <w:b/>
      <w:sz w:val="36"/>
    </w:rPr>
  </w:style>
  <w:style w:type="character" w:customStyle="1" w:styleId="174">
    <w:name w:val="文档结构图 Char"/>
    <w:link w:val="15"/>
    <w:uiPriority w:val="99"/>
    <w:rPr>
      <w:rFonts w:ascii="宋体" w:hAnsi="Tahoma" w:cs="黑体"/>
      <w:sz w:val="18"/>
      <w:szCs w:val="18"/>
    </w:rPr>
  </w:style>
  <w:style w:type="paragraph" w:customStyle="1" w:styleId="175">
    <w:name w:val="列出段落1"/>
    <w:basedOn w:val="1"/>
    <w:qFormat/>
    <w:uiPriority w:val="34"/>
    <w:pPr>
      <w:ind w:firstLine="420" w:firstLineChars="200"/>
    </w:pPr>
    <w:rPr>
      <w:rFonts w:ascii="Calibri" w:hAnsi="Calibri"/>
      <w:szCs w:val="22"/>
    </w:rPr>
  </w:style>
  <w:style w:type="paragraph" w:customStyle="1" w:styleId="176">
    <w:name w:val="样式74"/>
    <w:basedOn w:val="1"/>
    <w:uiPriority w:val="0"/>
    <w:pPr>
      <w:widowControl/>
      <w:spacing w:before="100" w:beforeAutospacing="1" w:after="100" w:afterAutospacing="1" w:line="450" w:lineRule="atLeast"/>
      <w:jc w:val="left"/>
    </w:pPr>
    <w:rPr>
      <w:rFonts w:ascii="宋体" w:hAnsi="宋体"/>
      <w:color w:val="030303"/>
      <w:kern w:val="0"/>
      <w:sz w:val="20"/>
      <w:szCs w:val="20"/>
    </w:rPr>
  </w:style>
  <w:style w:type="character" w:customStyle="1" w:styleId="177">
    <w:name w:val="页脚 Char Char"/>
    <w:uiPriority w:val="0"/>
    <w:rPr>
      <w:sz w:val="18"/>
    </w:rPr>
  </w:style>
  <w:style w:type="character" w:customStyle="1" w:styleId="178">
    <w:name w:val="不明显强调1"/>
    <w:uiPriority w:val="0"/>
    <w:rPr>
      <w:i/>
      <w:color w:val="808080"/>
    </w:rPr>
  </w:style>
  <w:style w:type="character" w:customStyle="1" w:styleId="179">
    <w:name w:val="批注框文本 Char"/>
    <w:link w:val="28"/>
    <w:semiHidden/>
    <w:qFormat/>
    <w:uiPriority w:val="99"/>
    <w:rPr>
      <w:kern w:val="2"/>
      <w:sz w:val="18"/>
      <w:szCs w:val="18"/>
    </w:rPr>
  </w:style>
  <w:style w:type="paragraph" w:customStyle="1" w:styleId="180">
    <w:name w:val="正文段"/>
    <w:basedOn w:val="1"/>
    <w:uiPriority w:val="0"/>
    <w:pPr>
      <w:widowControl/>
      <w:snapToGrid w:val="0"/>
      <w:spacing w:after="200" w:afterLines="50"/>
      <w:ind w:firstLine="200" w:firstLineChars="200"/>
    </w:pPr>
    <w:rPr>
      <w:kern w:val="0"/>
      <w:sz w:val="24"/>
      <w:szCs w:val="20"/>
    </w:rPr>
  </w:style>
  <w:style w:type="paragraph" w:customStyle="1" w:styleId="181">
    <w:name w:val="List Paragraph1"/>
    <w:basedOn w:val="1"/>
    <w:uiPriority w:val="99"/>
    <w:pPr>
      <w:ind w:firstLine="420" w:firstLineChars="200"/>
    </w:pPr>
    <w:rPr>
      <w:rFonts w:ascii="Calibri" w:hAnsi="Calibri"/>
      <w:szCs w:val="22"/>
    </w:rPr>
  </w:style>
  <w:style w:type="character" w:customStyle="1" w:styleId="182">
    <w:name w:val=" Char Char1"/>
    <w:link w:val="109"/>
    <w:uiPriority w:val="0"/>
    <w:rPr>
      <w:rFonts w:ascii="Tahoma" w:hAnsi="Tahoma"/>
      <w:kern w:val="2"/>
      <w:sz w:val="24"/>
    </w:rPr>
  </w:style>
  <w:style w:type="character" w:customStyle="1" w:styleId="183">
    <w:name w:val="标题 Char"/>
    <w:link w:val="42"/>
    <w:uiPriority w:val="10"/>
    <w:rPr>
      <w:rFonts w:eastAsia="黑体"/>
      <w:b/>
      <w:sz w:val="28"/>
      <w:lang w:val="en-GB"/>
    </w:rPr>
  </w:style>
  <w:style w:type="character" w:customStyle="1" w:styleId="184">
    <w:name w:val="标题 3 Char1"/>
    <w:aliases w:val="H3 Char,h3 Char,标题 3 Char Char,列表编号3 Char,Heading 3 - old Char,BOD 0 Char,Bold Head Char,bh Char,Level 3 Head Char,level_3 Char,PIM 3 Char,sect1.2.3 Char,sect1.2.31 Char,sect1.2.32 Char,sect1.2.311 Char,sect1.2.33 Char,sect1.2.312 Char,3 Char"/>
    <w:locked/>
    <w:uiPriority w:val="0"/>
    <w:rPr>
      <w:rFonts w:ascii="仿宋_GB2312" w:eastAsia="仿宋_GB2312"/>
      <w:b/>
      <w:bCs/>
      <w:kern w:val="2"/>
      <w:sz w:val="30"/>
    </w:rPr>
  </w:style>
  <w:style w:type="paragraph" w:customStyle="1" w:styleId="185">
    <w:name w:val="默认段落字体 Para Char Char Char Char Char Char Char Char Char1 Char Char Char Char Char Char Char"/>
    <w:basedOn w:val="1"/>
    <w:uiPriority w:val="0"/>
    <w:pPr>
      <w:keepNext/>
      <w:autoSpaceDE w:val="0"/>
      <w:autoSpaceDN w:val="0"/>
      <w:spacing w:before="40" w:after="40"/>
      <w:jc w:val="center"/>
    </w:pPr>
    <w:rPr>
      <w:szCs w:val="20"/>
    </w:rPr>
  </w:style>
  <w:style w:type="character" w:customStyle="1" w:styleId="186">
    <w:name w:val="正文文本 Char"/>
    <w:link w:val="18"/>
    <w:uiPriority w:val="0"/>
    <w:rPr>
      <w:rFonts w:ascii="仿宋_GB2312" w:eastAsia="仿宋_GB2312"/>
      <w:kern w:val="2"/>
      <w:sz w:val="28"/>
      <w:szCs w:val="24"/>
    </w:rPr>
  </w:style>
  <w:style w:type="character" w:customStyle="1" w:styleId="187">
    <w:name w:val="正文首行缩进 Char"/>
    <w:link w:val="44"/>
    <w:uiPriority w:val="0"/>
    <w:rPr>
      <w:rFonts w:ascii="仿宋_GB2312" w:eastAsia="仿宋_GB2312"/>
      <w:kern w:val="2"/>
      <w:sz w:val="28"/>
      <w:szCs w:val="24"/>
      <w:lang w:val="zh-CN"/>
    </w:rPr>
  </w:style>
  <w:style w:type="character" w:customStyle="1" w:styleId="188">
    <w:name w:val="副标题 Char"/>
    <w:link w:val="34"/>
    <w:uiPriority w:val="11"/>
    <w:rPr>
      <w:rFonts w:ascii="Cambria" w:hAnsi="Cambria"/>
      <w:b/>
      <w:bCs/>
      <w:kern w:val="28"/>
      <w:sz w:val="32"/>
      <w:szCs w:val="32"/>
    </w:rPr>
  </w:style>
  <w:style w:type="character" w:customStyle="1" w:styleId="189">
    <w:name w:val="正文2 Char"/>
    <w:link w:val="190"/>
    <w:qFormat/>
    <w:uiPriority w:val="0"/>
  </w:style>
  <w:style w:type="paragraph" w:customStyle="1" w:styleId="190">
    <w:name w:val="正文2"/>
    <w:basedOn w:val="1"/>
    <w:link w:val="189"/>
    <w:uiPriority w:val="0"/>
    <w:pPr>
      <w:spacing w:line="300" w:lineRule="auto"/>
      <w:ind w:left="500" w:leftChars="500"/>
    </w:pPr>
    <w:rPr>
      <w:kern w:val="0"/>
      <w:sz w:val="20"/>
      <w:szCs w:val="20"/>
    </w:rPr>
  </w:style>
  <w:style w:type="paragraph" w:customStyle="1" w:styleId="191">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192">
    <w:name w:val="模板标题3"/>
    <w:basedOn w:val="1"/>
    <w:next w:val="44"/>
    <w:qFormat/>
    <w:uiPriority w:val="0"/>
    <w:pPr>
      <w:keepNext/>
      <w:keepLines/>
      <w:tabs>
        <w:tab w:val="left" w:pos="1080"/>
      </w:tabs>
      <w:spacing w:afterLines="50"/>
      <w:outlineLvl w:val="2"/>
    </w:pPr>
    <w:rPr>
      <w:rFonts w:ascii="Arial" w:hAnsi="Arial"/>
      <w:b/>
      <w:kern w:val="21"/>
      <w:sz w:val="24"/>
      <w:szCs w:val="20"/>
    </w:rPr>
  </w:style>
  <w:style w:type="paragraph" w:customStyle="1" w:styleId="193">
    <w:name w:val="模板标题5"/>
    <w:basedOn w:val="1"/>
    <w:next w:val="44"/>
    <w:qFormat/>
    <w:uiPriority w:val="0"/>
    <w:pPr>
      <w:tabs>
        <w:tab w:val="left" w:pos="1800"/>
      </w:tabs>
      <w:spacing w:afterLines="50"/>
      <w:outlineLvl w:val="4"/>
    </w:pPr>
    <w:rPr>
      <w:rFonts w:ascii="宋体" w:hAnsi="宋体"/>
      <w:b/>
      <w:szCs w:val="20"/>
    </w:rPr>
  </w:style>
  <w:style w:type="character" w:customStyle="1" w:styleId="194">
    <w:name w:val="日期 Char"/>
    <w:link w:val="26"/>
    <w:qFormat/>
    <w:uiPriority w:val="0"/>
    <w:rPr>
      <w:rFonts w:ascii="仿宋_GB2312" w:eastAsia="仿宋_GB2312"/>
      <w:sz w:val="28"/>
    </w:rPr>
  </w:style>
  <w:style w:type="paragraph" w:customStyle="1" w:styleId="195">
    <w:name w:val="模板标题6"/>
    <w:basedOn w:val="1"/>
    <w:next w:val="44"/>
    <w:qFormat/>
    <w:uiPriority w:val="0"/>
    <w:pPr>
      <w:tabs>
        <w:tab w:val="left" w:pos="2160"/>
      </w:tabs>
      <w:spacing w:afterLines="50"/>
      <w:outlineLvl w:val="5"/>
    </w:pPr>
    <w:rPr>
      <w:rFonts w:ascii="宋体" w:hAnsi="宋体"/>
      <w:b/>
      <w:szCs w:val="20"/>
    </w:rPr>
  </w:style>
  <w:style w:type="paragraph" w:customStyle="1" w:styleId="196">
    <w:name w:val="默认段落字体 Para Char Char Char Char Char Char Char Char Char Char1 Char Char Char Char"/>
    <w:basedOn w:val="1"/>
    <w:uiPriority w:val="0"/>
    <w:pPr>
      <w:spacing w:line="500" w:lineRule="exact"/>
      <w:ind w:firstLine="200" w:firstLineChars="200"/>
    </w:pPr>
    <w:rPr>
      <w:szCs w:val="20"/>
    </w:rPr>
  </w:style>
  <w:style w:type="paragraph" w:customStyle="1" w:styleId="19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模板标题4"/>
    <w:basedOn w:val="1"/>
    <w:next w:val="44"/>
    <w:qFormat/>
    <w:uiPriority w:val="0"/>
    <w:pPr>
      <w:tabs>
        <w:tab w:val="left" w:pos="1440"/>
      </w:tabs>
      <w:spacing w:afterLines="50"/>
      <w:outlineLvl w:val="3"/>
    </w:pPr>
    <w:rPr>
      <w:rFonts w:ascii="宋体" w:hAnsi="宋体"/>
      <w:b/>
      <w:szCs w:val="20"/>
    </w:rPr>
  </w:style>
  <w:style w:type="paragraph" w:customStyle="1" w:styleId="199">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200">
    <w:name w:val="节前说明"/>
    <w:next w:val="201"/>
    <w:uiPriority w:val="0"/>
    <w:pPr>
      <w:pBdr>
        <w:top w:val="single" w:color="auto" w:sz="2" w:space="1"/>
      </w:pBdr>
      <w:tabs>
        <w:tab w:val="left" w:pos="928"/>
      </w:tabs>
      <w:spacing w:before="40" w:after="40"/>
      <w:ind w:left="1701"/>
    </w:pPr>
    <w:rPr>
      <w:rFonts w:eastAsia="黑体"/>
      <w:b/>
      <w:sz w:val="21"/>
      <w:lang w:val="en-US" w:eastAsia="zh-CN" w:bidi="ar-SA"/>
    </w:rPr>
  </w:style>
  <w:style w:type="paragraph" w:customStyle="1" w:styleId="201">
    <w:name w:val="说明内容"/>
    <w:uiPriority w:val="0"/>
    <w:pPr>
      <w:pBdr>
        <w:bottom w:val="single" w:color="auto" w:sz="2" w:space="1"/>
      </w:pBdr>
      <w:tabs>
        <w:tab w:val="left" w:pos="2268"/>
      </w:tabs>
      <w:ind w:left="1701"/>
    </w:pPr>
    <w:rPr>
      <w:rFonts w:eastAsia="仿宋_GB2312"/>
      <w:sz w:val="21"/>
      <w:lang w:val="en-US" w:eastAsia="zh-CN" w:bidi="ar-SA"/>
    </w:rPr>
  </w:style>
  <w:style w:type="paragraph" w:customStyle="1" w:styleId="202">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03">
    <w:name w:val="_Style 96"/>
    <w:basedOn w:val="1"/>
    <w:uiPriority w:val="0"/>
    <w:rPr>
      <w:rFonts w:ascii="Calibri" w:hAnsi="Calibri"/>
      <w:szCs w:val="20"/>
    </w:rPr>
  </w:style>
  <w:style w:type="paragraph" w:customStyle="1" w:styleId="204">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205">
    <w:name w:val="正文缩进1"/>
    <w:basedOn w:val="1"/>
    <w:uiPriority w:val="0"/>
    <w:pPr>
      <w:spacing w:line="300" w:lineRule="auto"/>
      <w:ind w:firstLine="425"/>
    </w:pPr>
    <w:rPr>
      <w:szCs w:val="20"/>
    </w:rPr>
  </w:style>
  <w:style w:type="paragraph" w:customStyle="1" w:styleId="206">
    <w:name w:val="列表项目"/>
    <w:basedOn w:val="1"/>
    <w:uiPriority w:val="0"/>
    <w:pPr>
      <w:numPr>
        <w:ilvl w:val="0"/>
        <w:numId w:val="2"/>
      </w:numPr>
      <w:tabs>
        <w:tab w:val="left" w:pos="420"/>
        <w:tab w:val="clear" w:pos="980"/>
      </w:tabs>
      <w:spacing w:line="288" w:lineRule="auto"/>
      <w:ind w:left="840" w:leftChars="200" w:hanging="420" w:hangingChars="200"/>
    </w:pPr>
    <w:rPr>
      <w:sz w:val="24"/>
      <w:szCs w:val="20"/>
    </w:rPr>
  </w:style>
  <w:style w:type="character" w:customStyle="1" w:styleId="207">
    <w:name w:val="明显强调1"/>
    <w:qFormat/>
    <w:uiPriority w:val="0"/>
    <w:rPr>
      <w:b/>
      <w:bCs/>
      <w:i/>
      <w:iCs/>
      <w:color w:val="4F81BD"/>
    </w:rPr>
  </w:style>
  <w:style w:type="paragraph" w:customStyle="1" w:styleId="208">
    <w:name w:val="SANGFOR_7_2级编号"/>
    <w:basedOn w:val="1"/>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09">
    <w:name w:val="SANGFOR_8_表格文字"/>
    <w:basedOn w:val="1"/>
    <w:uiPriority w:val="0"/>
    <w:pPr>
      <w:snapToGrid w:val="0"/>
    </w:pPr>
    <w:rPr>
      <w:szCs w:val="21"/>
    </w:rPr>
  </w:style>
  <w:style w:type="character" w:customStyle="1" w:styleId="210">
    <w:name w:val="SANGFOR_3_标题3 Char"/>
    <w:link w:val="211"/>
    <w:uiPriority w:val="0"/>
    <w:rPr>
      <w:rFonts w:ascii="黑体" w:hAnsi="黑体" w:eastAsia="黑体"/>
      <w:b/>
      <w:bCs/>
      <w:kern w:val="2"/>
      <w:sz w:val="36"/>
      <w:szCs w:val="36"/>
    </w:rPr>
  </w:style>
  <w:style w:type="paragraph" w:customStyle="1" w:styleId="211">
    <w:name w:val="SANGFOR_3_标题3"/>
    <w:basedOn w:val="4"/>
    <w:next w:val="1"/>
    <w:link w:val="210"/>
    <w:uiPriority w:val="0"/>
    <w:pPr>
      <w:spacing w:beforeLines="50" w:afterLines="50" w:line="240" w:lineRule="auto"/>
      <w:ind w:left="142" w:firstLine="0" w:firstLineChars="0"/>
    </w:pPr>
    <w:rPr>
      <w:rFonts w:ascii="黑体" w:hAnsi="黑体" w:eastAsia="黑体"/>
      <w:sz w:val="36"/>
      <w:szCs w:val="36"/>
    </w:rPr>
  </w:style>
  <w:style w:type="character" w:customStyle="1" w:styleId="212">
    <w:name w:val="SANGFOR_6_正文 Char"/>
    <w:link w:val="213"/>
    <w:uiPriority w:val="0"/>
    <w:rPr>
      <w:rFonts w:ascii="楷体_gb18030" w:hAnsi="Verdana" w:eastAsia="楷体_gb18030"/>
      <w:color w:val="000000"/>
      <w:kern w:val="2"/>
      <w:sz w:val="28"/>
      <w:szCs w:val="28"/>
    </w:rPr>
  </w:style>
  <w:style w:type="paragraph" w:customStyle="1" w:styleId="213">
    <w:name w:val="SANGFOR_6_正文"/>
    <w:basedOn w:val="1"/>
    <w:link w:val="212"/>
    <w:uiPriority w:val="0"/>
    <w:pPr>
      <w:spacing w:line="400" w:lineRule="exact"/>
      <w:ind w:firstLine="560" w:firstLineChars="200"/>
    </w:pPr>
    <w:rPr>
      <w:rFonts w:ascii="楷体_gb18030" w:hAnsi="Verdana" w:eastAsia="楷体_gb18030"/>
      <w:color w:val="000000"/>
      <w:sz w:val="28"/>
      <w:szCs w:val="28"/>
    </w:rPr>
  </w:style>
  <w:style w:type="character" w:customStyle="1" w:styleId="214">
    <w:name w:val="SANGFOR_4_标题4 Char"/>
    <w:link w:val="215"/>
    <w:uiPriority w:val="0"/>
    <w:rPr>
      <w:rFonts w:ascii="Arial" w:hAnsi="Arial" w:eastAsia="黑体"/>
      <w:b/>
      <w:bCs/>
      <w:kern w:val="2"/>
      <w:sz w:val="24"/>
      <w:szCs w:val="24"/>
    </w:rPr>
  </w:style>
  <w:style w:type="paragraph" w:customStyle="1" w:styleId="215">
    <w:name w:val="SANGFOR_4_标题4"/>
    <w:basedOn w:val="6"/>
    <w:next w:val="213"/>
    <w:link w:val="214"/>
    <w:uiPriority w:val="0"/>
    <w:pPr>
      <w:keepNext/>
      <w:widowControl w:val="0"/>
      <w:numPr>
        <w:ilvl w:val="3"/>
        <w:numId w:val="3"/>
      </w:numPr>
      <w:tabs>
        <w:tab w:val="left" w:pos="567"/>
      </w:tabs>
      <w:spacing w:beforeLines="50" w:afterLines="50" w:line="240" w:lineRule="auto"/>
    </w:pPr>
    <w:rPr>
      <w:bCs/>
      <w:color w:val="auto"/>
      <w:sz w:val="24"/>
      <w:szCs w:val="24"/>
    </w:rPr>
  </w:style>
  <w:style w:type="paragraph" w:customStyle="1" w:styleId="216">
    <w:name w:val="SANGFOR_2_标题2"/>
    <w:basedOn w:val="3"/>
    <w:next w:val="213"/>
    <w:uiPriority w:val="0"/>
    <w:pPr>
      <w:keepLines/>
      <w:adjustRightInd/>
      <w:snapToGrid/>
      <w:spacing w:before="260" w:beforeLines="50" w:after="260" w:afterLines="50" w:line="240" w:lineRule="auto"/>
      <w:jc w:val="both"/>
      <w:textAlignment w:val="auto"/>
    </w:pPr>
    <w:rPr>
      <w:rFonts w:ascii="黑体" w:hAnsi="黑体" w:eastAsia="黑体"/>
      <w:bCs/>
      <w:kern w:val="2"/>
      <w:szCs w:val="36"/>
      <w:lang w:val="en-US" w:eastAsia="zh-CN"/>
    </w:rPr>
  </w:style>
  <w:style w:type="paragraph" w:customStyle="1" w:styleId="217">
    <w:name w:val="样式 标题 2 + 宋体 加粗 行距: 1.5 倍行距"/>
    <w:basedOn w:val="3"/>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218">
    <w:name w:val="Char1"/>
    <w:basedOn w:val="1"/>
    <w:uiPriority w:val="0"/>
    <w:pPr>
      <w:adjustRightInd w:val="0"/>
      <w:spacing w:line="360" w:lineRule="auto"/>
    </w:pPr>
    <w:rPr>
      <w:kern w:val="0"/>
      <w:sz w:val="24"/>
      <w:szCs w:val="20"/>
    </w:rPr>
  </w:style>
  <w:style w:type="character" w:customStyle="1" w:styleId="219">
    <w:name w:val="标题 4 Char"/>
    <w:aliases w:val="H4 Char,Ref Heading 1 Char,rh1 Char,Heading sql Char,sect 1.2.3.4 Char,h4 Char,4 Char,4heading Char,PIM 4 Char,Heading 14 Char,Heading 141 Char,Heading 142 Char,第三层条 Char,bullet Char,bl Char,bb Char,H41 Char,H42 Char,H43 Char,H44 Char,H45 Char"/>
    <w:link w:val="6"/>
    <w:uiPriority w:val="0"/>
    <w:rPr>
      <w:rFonts w:ascii="Arial" w:hAnsi="Arial" w:eastAsia="黑体"/>
      <w:b/>
      <w:color w:val="000000"/>
      <w:kern w:val="2"/>
      <w:sz w:val="28"/>
    </w:rPr>
  </w:style>
  <w:style w:type="paragraph" w:customStyle="1" w:styleId="220">
    <w:name w:val="Item List"/>
    <w:link w:val="221"/>
    <w:uiPriority w:val="0"/>
    <w:pPr>
      <w:numPr>
        <w:ilvl w:val="7"/>
        <w:numId w:val="4"/>
      </w:numPr>
      <w:spacing w:line="300" w:lineRule="auto"/>
      <w:jc w:val="both"/>
    </w:pPr>
    <w:rPr>
      <w:rFonts w:ascii="Arial" w:hAnsi="Arial"/>
      <w:sz w:val="21"/>
      <w:szCs w:val="21"/>
      <w:lang w:val="en-US" w:eastAsia="zh-CN" w:bidi="ar-SA"/>
    </w:rPr>
  </w:style>
  <w:style w:type="character" w:customStyle="1" w:styleId="221">
    <w:name w:val="Item List Char"/>
    <w:link w:val="220"/>
    <w:uiPriority w:val="0"/>
    <w:rPr>
      <w:rFonts w:ascii="Arial" w:hAnsi="Arial"/>
      <w:sz w:val="21"/>
      <w:szCs w:val="21"/>
    </w:rPr>
  </w:style>
  <w:style w:type="paragraph" w:customStyle="1" w:styleId="222">
    <w:name w:val="正文样式"/>
    <w:basedOn w:val="1"/>
    <w:uiPriority w:val="0"/>
    <w:pPr>
      <w:spacing w:line="360" w:lineRule="auto"/>
      <w:ind w:firstLine="480" w:firstLineChars="200"/>
    </w:pPr>
    <w:rPr>
      <w:rFonts w:cs="宋体"/>
      <w:sz w:val="24"/>
      <w:szCs w:val="20"/>
    </w:rPr>
  </w:style>
  <w:style w:type="paragraph" w:customStyle="1" w:styleId="223">
    <w:name w:val="无间隔1"/>
    <w:link w:val="224"/>
    <w:qFormat/>
    <w:uiPriority w:val="1"/>
    <w:rPr>
      <w:rFonts w:ascii="等线" w:hAnsi="等线" w:eastAsia="等线"/>
      <w:sz w:val="22"/>
      <w:szCs w:val="22"/>
      <w:lang w:val="en-US" w:eastAsia="zh-CN" w:bidi="ar-SA"/>
    </w:rPr>
  </w:style>
  <w:style w:type="character" w:customStyle="1" w:styleId="224">
    <w:name w:val="无间隔 字符"/>
    <w:link w:val="223"/>
    <w:uiPriority w:val="1"/>
    <w:rPr>
      <w:rFonts w:ascii="等线" w:hAnsi="等线" w:eastAsia="等线"/>
      <w:sz w:val="22"/>
      <w:szCs w:val="22"/>
      <w:lang w:bidi="ar-SA"/>
    </w:rPr>
  </w:style>
  <w:style w:type="paragraph" w:customStyle="1" w:styleId="225">
    <w:name w:val="msonormal"/>
    <w:basedOn w:val="1"/>
    <w:uiPriority w:val="0"/>
    <w:pPr>
      <w:widowControl/>
      <w:spacing w:before="100" w:beforeAutospacing="1" w:after="100" w:afterAutospacing="1"/>
      <w:jc w:val="left"/>
    </w:pPr>
    <w:rPr>
      <w:rFonts w:ascii="宋体" w:hAnsi="宋体" w:cs="宋体"/>
      <w:kern w:val="0"/>
      <w:sz w:val="24"/>
    </w:rPr>
  </w:style>
  <w:style w:type="character" w:customStyle="1" w:styleId="226">
    <w:name w:val="我的正文 Char"/>
    <w:link w:val="227"/>
    <w:uiPriority w:val="0"/>
    <w:rPr>
      <w:sz w:val="24"/>
      <w:szCs w:val="24"/>
    </w:rPr>
  </w:style>
  <w:style w:type="paragraph" w:customStyle="1" w:styleId="227">
    <w:name w:val="我的正文"/>
    <w:basedOn w:val="1"/>
    <w:link w:val="226"/>
    <w:uiPriority w:val="0"/>
    <w:pPr>
      <w:spacing w:line="360" w:lineRule="auto"/>
      <w:ind w:hangingChars="202" w:firstLine="539"/>
      <w:jc w:val="left"/>
    </w:pPr>
    <w:rPr>
      <w:kern w:val="0"/>
      <w:sz w:val="24"/>
    </w:rPr>
  </w:style>
  <w:style w:type="paragraph" w:customStyle="1" w:styleId="228">
    <w:name w:val="正文_1_0"/>
    <w:qFormat/>
    <w:uiPriority w:val="0"/>
    <w:pPr>
      <w:widowControl w:val="0"/>
      <w:jc w:val="both"/>
    </w:pPr>
    <w:rPr>
      <w:kern w:val="2"/>
      <w:sz w:val="21"/>
      <w:szCs w:val="24"/>
      <w:lang w:val="en-US" w:eastAsia="zh-CN" w:bidi="ar-SA"/>
    </w:rPr>
  </w:style>
  <w:style w:type="paragraph" w:customStyle="1" w:styleId="229">
    <w:name w:val="纯文本_0_0"/>
    <w:basedOn w:val="228"/>
    <w:link w:val="230"/>
    <w:uiPriority w:val="0"/>
    <w:rPr>
      <w:rFonts w:ascii="宋体" w:hAnsi="Courier New"/>
      <w:szCs w:val="21"/>
      <w:lang/>
    </w:rPr>
  </w:style>
  <w:style w:type="character" w:customStyle="1" w:styleId="230">
    <w:name w:val="纯文本 Char_0"/>
    <w:link w:val="229"/>
    <w:uiPriority w:val="0"/>
    <w:rPr>
      <w:rFonts w:ascii="宋体" w:hAnsi="Courier New"/>
      <w:kern w:val="2"/>
      <w:sz w:val="21"/>
      <w:szCs w:val="21"/>
      <w:lang/>
    </w:rPr>
  </w:style>
  <w:style w:type="paragraph" w:customStyle="1" w:styleId="231">
    <w:name w:val="正文_2_0"/>
    <w:qFormat/>
    <w:uiPriority w:val="0"/>
    <w:pPr>
      <w:widowControl w:val="0"/>
      <w:jc w:val="both"/>
    </w:pPr>
    <w:rPr>
      <w:kern w:val="2"/>
      <w:sz w:val="21"/>
      <w:szCs w:val="24"/>
      <w:lang w:val="en-US" w:eastAsia="zh-CN" w:bidi="ar-SA"/>
    </w:rPr>
  </w:style>
  <w:style w:type="paragraph" w:customStyle="1" w:styleId="232">
    <w:name w:val="普通(网站)_0"/>
    <w:basedOn w:val="1"/>
    <w:unhideWhenUsed/>
    <w:uiPriority w:val="0"/>
    <w:pPr>
      <w:widowControl/>
      <w:spacing w:before="100" w:beforeAutospacing="1" w:after="100" w:afterAutospacing="1"/>
      <w:jc w:val="left"/>
    </w:pPr>
    <w:rPr>
      <w:rFonts w:ascii="宋体" w:hAnsi="宋体"/>
      <w:kern w:val="0"/>
      <w:sz w:val="24"/>
      <w:szCs w:val="22"/>
    </w:rPr>
  </w:style>
  <w:style w:type="paragraph" w:customStyle="1" w:styleId="233">
    <w:name w:val="纯文本_0"/>
    <w:basedOn w:val="1"/>
    <w:link w:val="234"/>
    <w:unhideWhenUsed/>
    <w:uiPriority w:val="0"/>
    <w:rPr>
      <w:rFonts w:ascii="宋体" w:hAnsi="Courier New"/>
      <w:kern w:val="0"/>
      <w:sz w:val="20"/>
      <w:szCs w:val="20"/>
      <w:lang/>
    </w:rPr>
  </w:style>
  <w:style w:type="character" w:customStyle="1" w:styleId="234">
    <w:name w:val="纯文本 Char1_0"/>
    <w:link w:val="233"/>
    <w:locked/>
    <w:uiPriority w:val="0"/>
    <w:rPr>
      <w:rFonts w:ascii="宋体" w:hAnsi="Courier New"/>
      <w:lang/>
    </w:rPr>
  </w:style>
  <w:style w:type="paragraph" w:customStyle="1" w:styleId="235">
    <w:name w:val="纯文本_1"/>
    <w:basedOn w:val="1"/>
    <w:link w:val="236"/>
    <w:uiPriority w:val="0"/>
    <w:rPr>
      <w:rFonts w:ascii="宋体" w:hAnsi="Courier New"/>
      <w:szCs w:val="20"/>
      <w:lang/>
    </w:rPr>
  </w:style>
  <w:style w:type="character" w:customStyle="1" w:styleId="236">
    <w:name w:val="纯文本 Char1_1"/>
    <w:link w:val="235"/>
    <w:uiPriority w:val="0"/>
    <w:rPr>
      <w:rFonts w:ascii="宋体" w:hAnsi="Courier New"/>
      <w:kern w:val="2"/>
      <w:sz w:val="21"/>
      <w:lang/>
    </w:rPr>
  </w:style>
  <w:style w:type="paragraph" w:customStyle="1" w:styleId="237">
    <w:name w:val="纯文本_3"/>
    <w:basedOn w:val="238"/>
    <w:link w:val="239"/>
    <w:uiPriority w:val="0"/>
    <w:rPr>
      <w:rFonts w:ascii="宋体" w:hAnsi="Courier New"/>
      <w:szCs w:val="20"/>
      <w:lang/>
    </w:rPr>
  </w:style>
  <w:style w:type="paragraph" w:customStyle="1" w:styleId="238">
    <w:name w:val="正文_5"/>
    <w:qFormat/>
    <w:uiPriority w:val="0"/>
    <w:pPr>
      <w:widowControl w:val="0"/>
      <w:jc w:val="both"/>
    </w:pPr>
    <w:rPr>
      <w:kern w:val="2"/>
      <w:sz w:val="21"/>
      <w:szCs w:val="24"/>
      <w:lang w:val="en-US" w:eastAsia="zh-CN" w:bidi="ar-SA"/>
    </w:rPr>
  </w:style>
  <w:style w:type="character" w:customStyle="1" w:styleId="239">
    <w:name w:val="纯文本 Char1_3"/>
    <w:link w:val="237"/>
    <w:uiPriority w:val="0"/>
    <w:rPr>
      <w:rFonts w:ascii="宋体" w:hAnsi="Courier New"/>
      <w:kern w:val="2"/>
      <w:sz w:val="21"/>
      <w:lang/>
    </w:rPr>
  </w:style>
  <w:style w:type="paragraph" w:customStyle="1" w:styleId="240">
    <w:name w:val="正文_8_0_0"/>
    <w:qFormat/>
    <w:uiPriority w:val="0"/>
    <w:pPr>
      <w:widowControl w:val="0"/>
      <w:jc w:val="both"/>
    </w:pPr>
    <w:rPr>
      <w:rFonts w:ascii="Calibri" w:hAnsi="Calibri"/>
      <w:kern w:val="2"/>
      <w:sz w:val="21"/>
      <w:szCs w:val="22"/>
      <w:lang w:val="en-US" w:eastAsia="zh-CN" w:bidi="ar-SA"/>
    </w:rPr>
  </w:style>
  <w:style w:type="paragraph" w:customStyle="1" w:styleId="241">
    <w:name w:val="正文_10_0"/>
    <w:qFormat/>
    <w:uiPriority w:val="0"/>
    <w:pPr>
      <w:widowControl w:val="0"/>
      <w:jc w:val="both"/>
    </w:pPr>
    <w:rPr>
      <w:rFonts w:ascii="Calibri" w:hAnsi="Calibri"/>
      <w:kern w:val="2"/>
      <w:sz w:val="21"/>
      <w:szCs w:val="22"/>
      <w:lang w:val="en-US" w:eastAsia="zh-CN" w:bidi="ar-SA"/>
    </w:rPr>
  </w:style>
  <w:style w:type="paragraph" w:customStyle="1" w:styleId="242">
    <w:name w:val="正文_2_1"/>
    <w:qFormat/>
    <w:uiPriority w:val="0"/>
    <w:pPr>
      <w:widowControl w:val="0"/>
      <w:jc w:val="both"/>
    </w:pPr>
    <w:rPr>
      <w:kern w:val="2"/>
      <w:sz w:val="21"/>
      <w:szCs w:val="24"/>
      <w:lang w:val="en-US" w:eastAsia="zh-CN" w:bidi="ar-SA"/>
    </w:rPr>
  </w:style>
  <w:style w:type="paragraph" w:customStyle="1" w:styleId="243">
    <w:name w:val="正文_4"/>
    <w:qFormat/>
    <w:uiPriority w:val="0"/>
    <w:pPr>
      <w:widowControl w:val="0"/>
      <w:jc w:val="both"/>
    </w:pPr>
    <w:rPr>
      <w:kern w:val="2"/>
      <w:sz w:val="21"/>
      <w:szCs w:val="24"/>
      <w:lang w:val="en-US" w:eastAsia="zh-CN" w:bidi="ar-SA"/>
    </w:rPr>
  </w:style>
  <w:style w:type="paragraph" w:customStyle="1" w:styleId="244">
    <w:name w:val="正文_8"/>
    <w:qFormat/>
    <w:uiPriority w:val="0"/>
    <w:pPr>
      <w:widowControl w:val="0"/>
      <w:jc w:val="both"/>
    </w:pPr>
    <w:rPr>
      <w:kern w:val="2"/>
      <w:sz w:val="21"/>
      <w:szCs w:val="24"/>
      <w:lang w:val="en-US" w:eastAsia="zh-CN" w:bidi="ar-SA"/>
    </w:rPr>
  </w:style>
  <w:style w:type="paragraph" w:customStyle="1" w:styleId="245">
    <w:name w:val="正文_8_0"/>
    <w:qFormat/>
    <w:uiPriority w:val="0"/>
    <w:pPr>
      <w:widowControl w:val="0"/>
      <w:jc w:val="both"/>
    </w:pPr>
    <w:rPr>
      <w:kern w:val="2"/>
      <w:sz w:val="21"/>
      <w:szCs w:val="24"/>
      <w:lang w:val="en-US" w:eastAsia="zh-CN" w:bidi="ar-SA"/>
    </w:rPr>
  </w:style>
  <w:style w:type="paragraph" w:customStyle="1" w:styleId="246">
    <w:name w:val="纯文本_4_0"/>
    <w:basedOn w:val="1"/>
    <w:link w:val="247"/>
    <w:uiPriority w:val="0"/>
    <w:rPr>
      <w:rFonts w:ascii="宋体" w:hAnsi="Courier New"/>
      <w:szCs w:val="20"/>
      <w:lang/>
    </w:rPr>
  </w:style>
  <w:style w:type="character" w:customStyle="1" w:styleId="247">
    <w:name w:val="纯文本 Char1_4_0"/>
    <w:link w:val="246"/>
    <w:uiPriority w:val="0"/>
    <w:rPr>
      <w:rFonts w:ascii="宋体" w:hAnsi="Courier New"/>
      <w:kern w:val="2"/>
      <w:sz w:val="21"/>
      <w:lang/>
    </w:rPr>
  </w:style>
  <w:style w:type="paragraph" w:customStyle="1" w:styleId="248">
    <w:name w:val="纯文本_5_0"/>
    <w:basedOn w:val="1"/>
    <w:link w:val="249"/>
    <w:uiPriority w:val="0"/>
    <w:rPr>
      <w:rFonts w:ascii="宋体" w:hAnsi="Courier New"/>
      <w:szCs w:val="20"/>
      <w:lang/>
    </w:rPr>
  </w:style>
  <w:style w:type="character" w:customStyle="1" w:styleId="249">
    <w:name w:val="纯文本 Char1_4_3"/>
    <w:link w:val="248"/>
    <w:uiPriority w:val="0"/>
    <w:rPr>
      <w:rFonts w:ascii="宋体" w:hAnsi="Courier New"/>
      <w:kern w:val="2"/>
      <w:sz w:val="21"/>
      <w:lang/>
    </w:rPr>
  </w:style>
  <w:style w:type="paragraph" w:customStyle="1" w:styleId="250">
    <w:name w:val="CM106"/>
    <w:basedOn w:val="72"/>
    <w:next w:val="72"/>
    <w:uiPriority w:val="0"/>
    <w:rPr>
      <w:rFonts w:ascii="宋体" w:eastAsia="宋体" w:cs="Times New Roman"/>
      <w:color w:val="auto"/>
    </w:rPr>
  </w:style>
  <w:style w:type="paragraph" w:customStyle="1" w:styleId="251">
    <w:name w:val="正文_1"/>
    <w:qFormat/>
    <w:uiPriority w:val="0"/>
    <w:pPr>
      <w:widowControl w:val="0"/>
      <w:jc w:val="both"/>
    </w:pPr>
    <w:rPr>
      <w:kern w:val="2"/>
      <w:sz w:val="21"/>
      <w:szCs w:val="24"/>
      <w:lang w:val="en-US" w:eastAsia="zh-CN" w:bidi="ar-SA"/>
    </w:rPr>
  </w:style>
  <w:style w:type="paragraph" w:customStyle="1" w:styleId="252">
    <w:name w:val=" Char_0"/>
    <w:basedOn w:val="251"/>
    <w:link w:val="253"/>
    <w:uiPriority w:val="0"/>
    <w:rPr>
      <w:rFonts w:ascii="Tahoma" w:hAnsi="Tahoma"/>
      <w:sz w:val="24"/>
      <w:szCs w:val="20"/>
    </w:rPr>
  </w:style>
  <w:style w:type="character" w:customStyle="1" w:styleId="253">
    <w:name w:val=" Char Char1_0"/>
    <w:link w:val="252"/>
    <w:uiPriority w:val="0"/>
    <w:rPr>
      <w:rFonts w:ascii="Tahoma" w:hAnsi="Tahoma"/>
      <w:kern w:val="2"/>
      <w:sz w:val="24"/>
    </w:rPr>
  </w:style>
  <w:style w:type="paragraph" w:customStyle="1" w:styleId="254">
    <w:name w:val="正文_21"/>
    <w:qFormat/>
    <w:uiPriority w:val="0"/>
    <w:pPr>
      <w:widowControl w:val="0"/>
      <w:jc w:val="both"/>
    </w:pPr>
    <w:rPr>
      <w:rFonts w:ascii="Calibri" w:hAnsi="Calibri"/>
      <w:kern w:val="2"/>
      <w:sz w:val="21"/>
      <w:szCs w:val="22"/>
      <w:lang w:val="en-US" w:eastAsia="zh-CN" w:bidi="ar-SA"/>
    </w:rPr>
  </w:style>
  <w:style w:type="paragraph" w:customStyle="1" w:styleId="255">
    <w:name w:val="正文_15_0"/>
    <w:qFormat/>
    <w:uiPriority w:val="0"/>
    <w:pPr>
      <w:widowControl w:val="0"/>
      <w:jc w:val="both"/>
    </w:pPr>
    <w:rPr>
      <w:kern w:val="2"/>
      <w:sz w:val="21"/>
      <w:szCs w:val="24"/>
      <w:lang w:val="en-US" w:eastAsia="zh-CN" w:bidi="ar-SA"/>
    </w:rPr>
  </w:style>
  <w:style w:type="character" w:customStyle="1" w:styleId="256">
    <w:name w:val="标题 5 Char"/>
    <w:aliases w:val="标题 5-venustech Char,H5 Char,PIM 5 Char,h5 Char,ds Char,dd Char,ds1 Char,dd1 Char,ds2 Char,dd2 Char,dash3 Char,ds3 Char,dd3 Char,dash4 Char,ds4 Char,dd4 Char,dash5 Char,ds5 Char,dd5 Char,dash6 Char,ds6 Char,dd6 Char,dash7 Char,ds7 Char,dd7 Char"/>
    <w:link w:val="7"/>
    <w:uiPriority w:val="0"/>
    <w:rPr>
      <w:b/>
      <w:color w:val="000000"/>
      <w:kern w:val="2"/>
      <w:sz w:val="28"/>
    </w:rPr>
  </w:style>
  <w:style w:type="character" w:customStyle="1" w:styleId="257">
    <w:name w:val="标题 6 Char"/>
    <w:aliases w:val="标题 6-venustech Char,H6 Char,PIM 6 Char,正文六级标题 Char,Legal Level 1. Char,T1 Char,sub-dash Char,sd Char,Subdash Char,cnp Char,Caption number (page-wide) Char,h6 Char,ITT t6 Char,PA Appendix Char,sub-dash1 Char,sd1 Char,51 Char,sub-dash2 Char"/>
    <w:link w:val="8"/>
    <w:uiPriority w:val="0"/>
    <w:rPr>
      <w:rFonts w:ascii="Arial" w:hAnsi="Arial" w:eastAsia="黑体"/>
      <w:b/>
      <w:color w:val="000000"/>
      <w:kern w:val="2"/>
      <w:sz w:val="24"/>
    </w:rPr>
  </w:style>
  <w:style w:type="character" w:customStyle="1" w:styleId="258">
    <w:name w:val="标题 7 Char"/>
    <w:link w:val="9"/>
    <w:uiPriority w:val="9"/>
    <w:rPr>
      <w:b/>
      <w:color w:val="000000"/>
      <w:kern w:val="2"/>
      <w:sz w:val="24"/>
    </w:rPr>
  </w:style>
  <w:style w:type="character" w:customStyle="1" w:styleId="259">
    <w:name w:val="标题 8 Char"/>
    <w:link w:val="10"/>
    <w:uiPriority w:val="0"/>
    <w:rPr>
      <w:rFonts w:ascii="Arial" w:hAnsi="Arial" w:eastAsia="黑体"/>
      <w:color w:val="000000"/>
      <w:kern w:val="2"/>
      <w:sz w:val="24"/>
    </w:rPr>
  </w:style>
  <w:style w:type="character" w:customStyle="1" w:styleId="260">
    <w:name w:val="标题 9 Char"/>
    <w:link w:val="11"/>
    <w:uiPriority w:val="0"/>
    <w:rPr>
      <w:rFonts w:ascii="Arial" w:hAnsi="Arial" w:eastAsia="黑体"/>
      <w:color w:val="000000"/>
      <w:kern w:val="2"/>
      <w:sz w:val="21"/>
    </w:rPr>
  </w:style>
  <w:style w:type="paragraph" w:styleId="261">
    <w:name w:val="No Spacing"/>
    <w:basedOn w:val="1"/>
    <w:link w:val="262"/>
    <w:qFormat/>
    <w:uiPriority w:val="1"/>
    <w:rPr>
      <w:rFonts w:ascii="Calibri" w:hAnsi="Calibri"/>
      <w:szCs w:val="22"/>
    </w:rPr>
  </w:style>
  <w:style w:type="character" w:customStyle="1" w:styleId="262">
    <w:name w:val="无间隔 Char"/>
    <w:link w:val="261"/>
    <w:uiPriority w:val="1"/>
    <w:rPr>
      <w:rFonts w:ascii="Calibri" w:hAnsi="Calibri"/>
      <w:kern w:val="2"/>
      <w:sz w:val="21"/>
      <w:szCs w:val="22"/>
    </w:rPr>
  </w:style>
  <w:style w:type="character" w:customStyle="1" w:styleId="263">
    <w:name w:val="正文文本缩进 Char"/>
    <w:link w:val="19"/>
    <w:uiPriority w:val="0"/>
    <w:rPr>
      <w:kern w:val="2"/>
      <w:sz w:val="28"/>
    </w:rPr>
  </w:style>
  <w:style w:type="character" w:customStyle="1" w:styleId="264">
    <w:name w:val="列出段落 Char"/>
    <w:aliases w:val="List Char,List1 Char,表格段落 Char,编号 Char,stc标题4 Char,符号列表 Char,列出段落2 Char,lp1 Char,List11 Char,List111 Char,List1111 Char,List11111 Char,List111111 Char,List1111111 Char,List11111111 Char,List111111111 Char,List1111111111 Char,正文.制度 Char"/>
    <w:link w:val="78"/>
    <w:qFormat/>
    <w:locked/>
    <w:uiPriority w:val="34"/>
    <w:rPr>
      <w:rFonts w:ascii="Calibri" w:hAnsi="Calibri"/>
      <w:kern w:val="2"/>
      <w:sz w:val="21"/>
      <w:szCs w:val="22"/>
    </w:rPr>
  </w:style>
  <w:style w:type="character" w:customStyle="1" w:styleId="265">
    <w:name w:val="批注文字 Char"/>
    <w:uiPriority w:val="0"/>
  </w:style>
  <w:style w:type="character" w:customStyle="1" w:styleId="266">
    <w:name w:val="批注文字 Char1"/>
    <w:link w:val="16"/>
    <w:uiPriority w:val="0"/>
    <w:rPr>
      <w:kern w:val="2"/>
      <w:sz w:val="21"/>
      <w:szCs w:val="24"/>
    </w:rPr>
  </w:style>
  <w:style w:type="character" w:customStyle="1" w:styleId="267">
    <w:name w:val="批注主题 Char"/>
    <w:link w:val="43"/>
    <w:uiPriority w:val="99"/>
    <w:rPr>
      <w:rFonts w:ascii="Calibri" w:hAnsi="Calibri"/>
      <w:b/>
      <w:bCs/>
      <w:kern w:val="2"/>
      <w:sz w:val="21"/>
      <w:szCs w:val="22"/>
    </w:rPr>
  </w:style>
  <w:style w:type="paragraph" w:styleId="268">
    <w:name w:val="Quote"/>
    <w:basedOn w:val="1"/>
    <w:next w:val="1"/>
    <w:link w:val="269"/>
    <w:qFormat/>
    <w:uiPriority w:val="29"/>
    <w:rPr>
      <w:rFonts w:ascii="Calibri" w:hAnsi="Calibri" w:eastAsia="宋体" w:cs="Times New Roman"/>
      <w:i/>
      <w:iCs/>
      <w:color w:val="000000"/>
      <w:szCs w:val="22"/>
    </w:rPr>
  </w:style>
  <w:style w:type="character" w:customStyle="1" w:styleId="269">
    <w:name w:val="引用 Char"/>
    <w:link w:val="268"/>
    <w:uiPriority w:val="29"/>
    <w:rPr>
      <w:rFonts w:ascii="Calibri" w:hAnsi="Calibri"/>
      <w:i/>
      <w:iCs/>
      <w:color w:val="000000"/>
      <w:kern w:val="2"/>
      <w:sz w:val="21"/>
      <w:szCs w:val="22"/>
    </w:rPr>
  </w:style>
  <w:style w:type="paragraph" w:styleId="270">
    <w:name w:val="Intense Quote"/>
    <w:basedOn w:val="1"/>
    <w:next w:val="1"/>
    <w:link w:val="271"/>
    <w:qFormat/>
    <w:uiPriority w:val="30"/>
    <w:pPr>
      <w:pBdr>
        <w:bottom w:val="single" w:color="4F81BD" w:sz="4" w:space="4"/>
      </w:pBdr>
      <w:spacing w:before="200" w:after="280"/>
      <w:ind w:left="936" w:right="936"/>
    </w:pPr>
    <w:rPr>
      <w:rFonts w:ascii="Calibri" w:hAnsi="Calibri" w:eastAsia="宋体" w:cs="Times New Roman"/>
      <w:b/>
      <w:bCs/>
      <w:i/>
      <w:iCs/>
      <w:color w:val="4F81BD"/>
      <w:szCs w:val="22"/>
    </w:rPr>
  </w:style>
  <w:style w:type="character" w:customStyle="1" w:styleId="271">
    <w:name w:val="明显引用 Char"/>
    <w:link w:val="270"/>
    <w:uiPriority w:val="30"/>
    <w:rPr>
      <w:rFonts w:ascii="Calibri" w:hAnsi="Calibri"/>
      <w:b/>
      <w:bCs/>
      <w:i/>
      <w:iCs/>
      <w:color w:val="4F81BD"/>
      <w:kern w:val="2"/>
      <w:sz w:val="21"/>
      <w:szCs w:val="22"/>
    </w:rPr>
  </w:style>
  <w:style w:type="character" w:styleId="272">
    <w:name w:val=""/>
    <w:qFormat/>
    <w:uiPriority w:val="19"/>
    <w:rPr>
      <w:i/>
      <w:iCs/>
      <w:color w:val="808080"/>
    </w:rPr>
  </w:style>
  <w:style w:type="character" w:styleId="273">
    <w:name w:val=""/>
    <w:qFormat/>
    <w:uiPriority w:val="21"/>
    <w:rPr>
      <w:b/>
      <w:bCs/>
      <w:i/>
      <w:iCs/>
      <w:color w:val="4F81BD"/>
    </w:rPr>
  </w:style>
  <w:style w:type="character" w:styleId="274">
    <w:name w:val=""/>
    <w:qFormat/>
    <w:uiPriority w:val="31"/>
    <w:rPr>
      <w:smallCaps/>
      <w:color w:val="C0504D"/>
      <w:u w:val="single"/>
    </w:rPr>
  </w:style>
  <w:style w:type="character" w:styleId="275">
    <w:name w:val=""/>
    <w:qFormat/>
    <w:uiPriority w:val="32"/>
    <w:rPr>
      <w:b/>
      <w:bCs/>
      <w:smallCaps/>
      <w:color w:val="C0504D"/>
      <w:spacing w:val="5"/>
      <w:u w:val="single"/>
    </w:rPr>
  </w:style>
  <w:style w:type="character" w:styleId="276">
    <w:name w:val=""/>
    <w:qFormat/>
    <w:uiPriority w:val="33"/>
    <w:rPr>
      <w:b/>
      <w:bCs/>
      <w:smallCaps/>
      <w:spacing w:val="5"/>
    </w:rPr>
  </w:style>
  <w:style w:type="paragraph" w:styleId="277">
    <w:name w:val=""/>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278">
    <w:name w:val="Char Char Char Char"/>
    <w:basedOn w:val="1"/>
    <w:uiPriority w:val="0"/>
    <w:pPr>
      <w:adjustRightInd w:val="0"/>
      <w:spacing w:line="360" w:lineRule="auto"/>
    </w:pPr>
    <w:rPr>
      <w:kern w:val="0"/>
      <w:sz w:val="24"/>
      <w:szCs w:val="20"/>
    </w:rPr>
  </w:style>
  <w:style w:type="character" w:customStyle="1" w:styleId="279">
    <w:name w:val="正文文本缩进 2 Char1"/>
    <w:link w:val="27"/>
    <w:uiPriority w:val="0"/>
    <w:rPr>
      <w:rFonts w:eastAsia="仿宋_GB2312"/>
      <w:kern w:val="2"/>
      <w:sz w:val="24"/>
      <w:szCs w:val="24"/>
    </w:rPr>
  </w:style>
  <w:style w:type="character" w:customStyle="1" w:styleId="280">
    <w:name w:val="正文文本缩进 2 Char"/>
    <w:semiHidden/>
    <w:uiPriority w:val="99"/>
  </w:style>
  <w:style w:type="paragraph" w:customStyle="1" w:styleId="281">
    <w:name w:val="Char Char"/>
    <w:basedOn w:val="1"/>
    <w:uiPriority w:val="0"/>
    <w:pPr>
      <w:adjustRightInd w:val="0"/>
      <w:spacing w:line="360" w:lineRule="auto"/>
    </w:pPr>
    <w:rPr>
      <w:kern w:val="0"/>
      <w:sz w:val="24"/>
      <w:szCs w:val="20"/>
    </w:rPr>
  </w:style>
  <w:style w:type="paragraph" w:customStyle="1" w:styleId="282">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283">
    <w:name w:val="第二级标题"/>
    <w:basedOn w:val="3"/>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bCs/>
      <w:kern w:val="2"/>
      <w:sz w:val="32"/>
      <w:szCs w:val="32"/>
      <w:lang w:val="en-US" w:eastAsia="zh-CN"/>
    </w:rPr>
  </w:style>
  <w:style w:type="paragraph" w:customStyle="1" w:styleId="284">
    <w:name w:val="第三极标题"/>
    <w:basedOn w:val="4"/>
    <w:next w:val="1"/>
    <w:qFormat/>
    <w:uiPriority w:val="0"/>
    <w:pPr>
      <w:spacing w:before="120" w:after="120"/>
      <w:ind w:left="1418" w:hanging="709" w:firstLineChars="0"/>
    </w:pPr>
    <w:rPr>
      <w:rFonts w:ascii="Calibri" w:hAnsi="Calibri" w:eastAsia="仿宋"/>
      <w:szCs w:val="32"/>
      <w:lang w:val="en-US" w:eastAsia="zh-CN"/>
    </w:rPr>
  </w:style>
  <w:style w:type="paragraph" w:customStyle="1" w:styleId="285">
    <w:name w:val="第四级标题"/>
    <w:basedOn w:val="6"/>
    <w:next w:val="1"/>
    <w:qFormat/>
    <w:uiPriority w:val="0"/>
    <w:pPr>
      <w:keepNext/>
      <w:widowControl w:val="0"/>
      <w:spacing w:before="120" w:after="0" w:line="360" w:lineRule="auto"/>
    </w:pPr>
    <w:rPr>
      <w:rFonts w:ascii="Cambria" w:hAnsi="Cambria" w:eastAsia="仿宋"/>
      <w:bCs/>
      <w:color w:val="auto"/>
      <w:sz w:val="24"/>
      <w:szCs w:val="28"/>
      <w:lang w:val="en-US" w:eastAsia="zh-CN"/>
    </w:rPr>
  </w:style>
  <w:style w:type="paragraph" w:customStyle="1" w:styleId="286">
    <w:name w:val="样式 正文首行缩进 2 + 左侧:  1.5 字符 首行缩进:  2 字符2"/>
    <w:basedOn w:val="1"/>
    <w:next w:val="1"/>
    <w:qFormat/>
    <w:uiPriority w:val="0"/>
    <w:pPr>
      <w:spacing w:line="360" w:lineRule="auto"/>
      <w:ind w:firstLine="480" w:firstLineChars="200"/>
    </w:pPr>
    <w:rPr>
      <w:rFonts w:ascii="宋体" w:hAnsi="宋体" w:eastAsia="宋体"/>
      <w:sz w:val="24"/>
    </w:rPr>
  </w:style>
  <w:style w:type="paragraph" w:customStyle="1" w:styleId="287">
    <w:name w:val="样式 左侧:  2 字符"/>
    <w:basedOn w:val="1"/>
    <w:qFormat/>
    <w:uiPriority w:val="0"/>
    <w:pPr>
      <w:spacing w:line="360" w:lineRule="auto"/>
      <w:ind w:left="200" w:leftChars="200" w:firstLine="200" w:firstLineChars="200"/>
    </w:pPr>
    <w:rPr>
      <w:rFonts w:ascii="Calibri" w:hAnsi="Calibri" w:eastAsia="宋体" w:cs="宋体"/>
      <w:szCs w:val="20"/>
    </w:rPr>
  </w:style>
  <w:style w:type="paragraph" w:customStyle="1" w:styleId="28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9">
    <w:name w:val="xl8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1">
    <w:name w:val="xl8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92">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94"/>
    <w:basedOn w:val="1"/>
    <w:uiPriority w:val="0"/>
    <w:pPr>
      <w:widowControl/>
      <w:spacing w:before="100" w:beforeAutospacing="1" w:after="100" w:afterAutospacing="1"/>
      <w:jc w:val="left"/>
    </w:pPr>
    <w:rPr>
      <w:rFonts w:ascii="宋体" w:hAnsi="宋体" w:cs="宋体"/>
      <w:kern w:val="0"/>
      <w:sz w:val="24"/>
    </w:rPr>
  </w:style>
  <w:style w:type="paragraph" w:customStyle="1" w:styleId="29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0">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1">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2">
    <w:name w:val="xl99"/>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03">
    <w:name w:val="xl10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4">
    <w:name w:val="xl101"/>
    <w:basedOn w:val="1"/>
    <w:uiPriority w:val="0"/>
    <w:pPr>
      <w:widowControl/>
      <w:pBdr>
        <w:top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05">
    <w:name w:val="xl10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6">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rPr>
  </w:style>
  <w:style w:type="paragraph" w:customStyle="1" w:styleId="307">
    <w:name w:val="xl10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08">
    <w:name w:val="xl10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xl107"/>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312">
    <w:name w:val="xl10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3">
    <w:name w:val="xl110"/>
    <w:basedOn w:val="1"/>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4">
    <w:name w:val="xl11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5">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16">
    <w:name w:val="xl11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xl11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15"/>
    <w:basedOn w:val="1"/>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9">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xl117"/>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1">
    <w:name w:val="xl118"/>
    <w:basedOn w:val="1"/>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0"/>
      <w:szCs w:val="20"/>
    </w:rPr>
  </w:style>
  <w:style w:type="paragraph" w:customStyle="1" w:styleId="322">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0"/>
      <w:szCs w:val="20"/>
    </w:rPr>
  </w:style>
  <w:style w:type="paragraph" w:customStyle="1" w:styleId="323">
    <w:name w:val="xl12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4">
    <w:name w:val="xl12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5">
    <w:name w:val="xl12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6">
    <w:name w:val="xl12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xl124"/>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8">
    <w:name w:val="xl125"/>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9">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0"/>
      <w:szCs w:val="20"/>
    </w:rPr>
  </w:style>
  <w:style w:type="paragraph" w:customStyle="1" w:styleId="330">
    <w:name w:val="xl127"/>
    <w:basedOn w:val="1"/>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1">
    <w:name w:val="xl12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2">
    <w:name w:val="xl12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3">
    <w:name w:val="xl13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4">
    <w:name w:val="xl131"/>
    <w:basedOn w:val="1"/>
    <w:uiPriority w:val="0"/>
    <w:pPr>
      <w:widowControl/>
      <w:pBdr>
        <w:bottom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35">
    <w:name w:val="xl13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336">
    <w:name w:val="xl13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rPr>
  </w:style>
  <w:style w:type="paragraph" w:customStyle="1" w:styleId="337">
    <w:name w:val="xl13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338">
    <w:name w:val="xl13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0"/>
      <w:szCs w:val="20"/>
    </w:rPr>
  </w:style>
  <w:style w:type="paragraph" w:customStyle="1" w:styleId="339">
    <w:name w:val="xl13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0"/>
      <w:szCs w:val="20"/>
    </w:rPr>
  </w:style>
  <w:style w:type="paragraph" w:customStyle="1" w:styleId="340">
    <w:name w:val="xl13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1">
    <w:name w:val="xl13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2">
    <w:name w:val="xl1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3">
    <w:name w:val="xl1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4">
    <w:name w:val="xl14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5">
    <w:name w:val="xl14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6">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7">
    <w:name w:val="xl14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8">
    <w:name w:val="xl145"/>
    <w:basedOn w:val="1"/>
    <w:uiPriority w:val="0"/>
    <w:pPr>
      <w:widowControl/>
      <w:pBdr>
        <w:left w:val="single" w:color="auto" w:sz="4" w:space="0"/>
      </w:pBdr>
      <w:spacing w:before="100" w:beforeAutospacing="1" w:after="100" w:afterAutospacing="1"/>
      <w:jc w:val="left"/>
    </w:pPr>
    <w:rPr>
      <w:rFonts w:ascii="宋体" w:hAnsi="宋体" w:cs="宋体"/>
      <w:kern w:val="0"/>
      <w:sz w:val="20"/>
      <w:szCs w:val="20"/>
    </w:rPr>
  </w:style>
  <w:style w:type="paragraph" w:customStyle="1" w:styleId="349">
    <w:name w:val="xl146"/>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350">
    <w:name w:val="xl147"/>
    <w:basedOn w:val="1"/>
    <w:uiPriority w:val="0"/>
    <w:pPr>
      <w:widowControl/>
      <w:pBdr>
        <w:left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rPr>
  </w:style>
  <w:style w:type="paragraph" w:customStyle="1" w:styleId="351">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52">
    <w:name w:val="xl14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0"/>
      <w:szCs w:val="20"/>
    </w:rPr>
  </w:style>
  <w:style w:type="paragraph" w:customStyle="1" w:styleId="353">
    <w:name w:val="xl150"/>
    <w:basedOn w:val="1"/>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4">
    <w:name w:val="xl151"/>
    <w:basedOn w:val="1"/>
    <w:uiPriority w:val="0"/>
    <w:pPr>
      <w:widowControl/>
      <w:pBdr>
        <w:lef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152"/>
    <w:basedOn w:val="1"/>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6">
    <w:name w:val="xl15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7">
    <w:name w:val="xl154"/>
    <w:basedOn w:val="1"/>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58">
    <w:name w:val="xl15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9">
    <w:name w:val="xl156"/>
    <w:basedOn w:val="1"/>
    <w:uiPriority w:val="0"/>
    <w:pPr>
      <w:widowControl/>
      <w:shd w:val="clear" w:color="000000" w:fill="BFBFBF"/>
      <w:spacing w:before="100" w:beforeAutospacing="1" w:after="100" w:afterAutospacing="1"/>
      <w:jc w:val="left"/>
    </w:pPr>
    <w:rPr>
      <w:rFonts w:ascii="宋体" w:hAnsi="宋体" w:cs="宋体"/>
      <w:b/>
      <w:bCs/>
      <w:kern w:val="0"/>
      <w:sz w:val="24"/>
    </w:rPr>
  </w:style>
  <w:style w:type="paragraph" w:customStyle="1" w:styleId="360">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1">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2">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3">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4">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5">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6">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7">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8">
    <w:name w:val="xl165"/>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69">
    <w:name w:val="xl166"/>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70">
    <w:name w:val="xl167"/>
    <w:basedOn w:val="1"/>
    <w:uiPriority w:val="0"/>
    <w:pPr>
      <w:widowControl/>
      <w:pBdr>
        <w:top w:val="single" w:color="auto" w:sz="4" w:space="0"/>
        <w:left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71">
    <w:name w:val="xl168"/>
    <w:basedOn w:val="1"/>
    <w:uiPriority w:val="0"/>
    <w:pPr>
      <w:widowControl/>
      <w:pBdr>
        <w:left w:val="single" w:color="auto" w:sz="4" w:space="0"/>
        <w:bottom w:val="single" w:color="auto" w:sz="4" w:space="0"/>
      </w:pBdr>
      <w:shd w:val="clear" w:color="000000" w:fill="BFBFBF"/>
      <w:spacing w:before="100" w:beforeAutospacing="1" w:after="100" w:afterAutospacing="1"/>
      <w:jc w:val="left"/>
    </w:pPr>
    <w:rPr>
      <w:rFonts w:ascii="宋体" w:hAnsi="宋体" w:cs="宋体"/>
      <w:b/>
      <w:bCs/>
      <w:kern w:val="0"/>
      <w:sz w:val="24"/>
    </w:rPr>
  </w:style>
  <w:style w:type="paragraph" w:customStyle="1" w:styleId="372">
    <w:name w:val="xl16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373">
    <w:name w:val="xl170"/>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character" w:customStyle="1" w:styleId="374">
    <w:name w:val="纯文本 Char1_4_4"/>
    <w:link w:val="375"/>
    <w:qFormat/>
    <w:uiPriority w:val="0"/>
    <w:rPr>
      <w:rFonts w:ascii="宋体" w:hAnsi="Courier New"/>
      <w:kern w:val="2"/>
      <w:sz w:val="21"/>
      <w:lang/>
    </w:rPr>
  </w:style>
  <w:style w:type="paragraph" w:customStyle="1" w:styleId="375">
    <w:name w:val="纯文本_4_3"/>
    <w:basedOn w:val="1"/>
    <w:link w:val="374"/>
    <w:qFormat/>
    <w:uiPriority w:val="0"/>
    <w:rPr>
      <w:rFonts w:ascii="宋体" w:hAnsi="Courier New"/>
      <w:szCs w:val="20"/>
      <w:lang/>
    </w:rPr>
  </w:style>
  <w:style w:type="paragraph" w:customStyle="1" w:styleId="376">
    <w:name w:val="正文_13_0"/>
    <w:qFormat/>
    <w:uiPriority w:val="0"/>
    <w:pPr>
      <w:widowControl w:val="0"/>
      <w:jc w:val="both"/>
    </w:pPr>
    <w:rPr>
      <w:kern w:val="2"/>
      <w:sz w:val="21"/>
      <w:szCs w:val="24"/>
      <w:lang w:val="en-US" w:eastAsia="zh-CN" w:bidi="ar-SA"/>
    </w:rPr>
  </w:style>
  <w:style w:type="paragraph" w:customStyle="1" w:styleId="377">
    <w:name w:val="正文_17"/>
    <w:qFormat/>
    <w:uiPriority w:val="0"/>
    <w:pPr>
      <w:widowControl w:val="0"/>
      <w:jc w:val="both"/>
    </w:pPr>
    <w:rPr>
      <w:kern w:val="2"/>
      <w:sz w:val="21"/>
      <w:szCs w:val="24"/>
      <w:lang w:val="en-US" w:eastAsia="zh-CN" w:bidi="ar-SA"/>
    </w:rPr>
  </w:style>
  <w:style w:type="paragraph" w:customStyle="1" w:styleId="378">
    <w:name w:val="正文_18_0"/>
    <w:qFormat/>
    <w:uiPriority w:val="0"/>
    <w:pPr>
      <w:widowControl w:val="0"/>
      <w:jc w:val="both"/>
    </w:pPr>
    <w:rPr>
      <w:kern w:val="2"/>
      <w:sz w:val="21"/>
      <w:szCs w:val="24"/>
      <w:lang w:val="en-US" w:eastAsia="zh-CN" w:bidi="ar-SA"/>
    </w:rPr>
  </w:style>
  <w:style w:type="paragraph" w:customStyle="1" w:styleId="379">
    <w:name w:val="font1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80">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81">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82">
    <w:name w:val="xl1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3">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4">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85">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72</Pages>
  <Words>6713</Words>
  <Characters>38269</Characters>
  <Lines>318</Lines>
  <Paragraphs>89</Paragraphs>
  <TotalTime>0</TotalTime>
  <ScaleCrop>false</ScaleCrop>
  <LinksUpToDate>false</LinksUpToDate>
  <CharactersWithSpaces>44893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2019-01-25T01:54:00Z</dcterms:created>
  <dc:creator>000</dc:creator>
  <cp:lastModifiedBy>WPS_1701756769</cp:lastModifiedBy>
  <cp:lastPrinted>2019-01-25T02:09:00Z</cp:lastPrinted>
  <dcterms:modified xsi:type="dcterms:W3CDTF">2024-02-26T02:50:05Z</dcterms:modified>
  <cp:revision>8</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4FE7E0884B28470F8F9C2268C5E42FCD_13</vt:lpwstr>
  </property>
</Properties>
</file>