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5070"/>
        </w:tabs>
        <w:autoSpaceDE w:val="0"/>
        <w:autoSpaceDN w:val="0"/>
        <w:spacing w:line="360" w:lineRule="auto"/>
        <w:jc w:val="left"/>
        <w:textAlignment w:val="bottom"/>
        <w:rPr>
          <w:rFonts w:hint="eastAsia" w:ascii="宋体" w:hAnsi="宋体"/>
          <w:b/>
          <w:sz w:val="72"/>
        </w:rPr>
      </w:pPr>
      <w:bookmarkStart w:id="177" w:name="_GoBack"/>
      <w:bookmarkEnd w:id="177"/>
      <w:r>
        <w:rPr>
          <w:rFonts w:ascii="宋体" w:hAnsi="宋体"/>
          <w:b/>
          <w:sz w:val="72"/>
        </w:rPr>
        <w:tab/>
      </w:r>
    </w:p>
    <w:p>
      <w:pPr>
        <w:autoSpaceDE w:val="0"/>
        <w:autoSpaceDN w:val="0"/>
        <w:spacing w:line="360" w:lineRule="auto"/>
        <w:jc w:val="center"/>
        <w:textAlignment w:val="bottom"/>
        <w:outlineLvl w:val="0"/>
        <w:rPr>
          <w:rFonts w:ascii="宋体" w:hAnsi="宋体"/>
          <w:sz w:val="72"/>
          <w14:shadow w14:blurRad="50800" w14:dist="38100" w14:dir="2700000" w14:sx="100000" w14:sy="100000" w14:kx="0" w14:ky="0" w14:algn="tl">
            <w14:srgbClr w14:val="000000">
              <w14:alpha w14:val="60000"/>
            </w14:srgbClr>
          </w14:shadow>
        </w:rPr>
      </w:pPr>
      <w:r>
        <w:rPr>
          <w:rFonts w:hint="eastAsia" w:ascii="宋体" w:hAnsi="宋体"/>
          <w:b/>
          <w:sz w:val="84"/>
          <w14:shadow w14:blurRad="50800" w14:dist="38100" w14:dir="2700000" w14:sx="100000" w14:sy="100000" w14:kx="0" w14:ky="0" w14:algn="tl">
            <w14:srgbClr w14:val="000000">
              <w14:alpha w14:val="60000"/>
            </w14:srgbClr>
          </w14:shadow>
        </w:rPr>
        <w:t>招</w:t>
      </w:r>
      <w:r>
        <w:rPr>
          <w:rFonts w:ascii="宋体" w:hAnsi="宋体"/>
          <w:b/>
          <w:sz w:val="84"/>
          <w14:shadow w14:blurRad="50800" w14:dist="38100" w14:dir="2700000" w14:sx="100000" w14:sy="100000" w14:kx="0" w14:ky="0" w14:algn="tl">
            <w14:srgbClr w14:val="000000">
              <w14:alpha w14:val="60000"/>
            </w14:srgbClr>
          </w14:shadow>
        </w:rPr>
        <w:t xml:space="preserve">  </w:t>
      </w:r>
      <w:r>
        <w:rPr>
          <w:rFonts w:hint="eastAsia" w:ascii="宋体" w:hAnsi="宋体"/>
          <w:b/>
          <w:sz w:val="84"/>
          <w14:shadow w14:blurRad="50800" w14:dist="38100" w14:dir="2700000" w14:sx="100000" w14:sy="100000" w14:kx="0" w14:ky="0" w14:algn="tl">
            <w14:srgbClr w14:val="000000">
              <w14:alpha w14:val="60000"/>
            </w14:srgbClr>
          </w14:shadow>
        </w:rPr>
        <w:t>标</w:t>
      </w:r>
      <w:r>
        <w:rPr>
          <w:rFonts w:ascii="宋体" w:hAnsi="宋体"/>
          <w:b/>
          <w:sz w:val="84"/>
          <w14:shadow w14:blurRad="50800" w14:dist="38100" w14:dir="2700000" w14:sx="100000" w14:sy="100000" w14:kx="0" w14:ky="0" w14:algn="tl">
            <w14:srgbClr w14:val="000000">
              <w14:alpha w14:val="60000"/>
            </w14:srgbClr>
          </w14:shadow>
        </w:rPr>
        <w:t xml:space="preserve">  </w:t>
      </w:r>
      <w:r>
        <w:rPr>
          <w:rFonts w:hint="eastAsia" w:ascii="宋体" w:hAnsi="宋体"/>
          <w:b/>
          <w:sz w:val="84"/>
          <w14:shadow w14:blurRad="50800" w14:dist="38100" w14:dir="2700000" w14:sx="100000" w14:sy="100000" w14:kx="0" w14:ky="0" w14:algn="tl">
            <w14:srgbClr w14:val="000000">
              <w14:alpha w14:val="60000"/>
            </w14:srgbClr>
          </w14:shadow>
        </w:rPr>
        <w:t>文</w:t>
      </w:r>
      <w:r>
        <w:rPr>
          <w:rFonts w:ascii="宋体" w:hAnsi="宋体"/>
          <w:b/>
          <w:sz w:val="84"/>
          <w14:shadow w14:blurRad="50800" w14:dist="38100" w14:dir="2700000" w14:sx="100000" w14:sy="100000" w14:kx="0" w14:ky="0" w14:algn="tl">
            <w14:srgbClr w14:val="000000">
              <w14:alpha w14:val="60000"/>
            </w14:srgbClr>
          </w14:shadow>
        </w:rPr>
        <w:t xml:space="preserve">  </w:t>
      </w:r>
      <w:r>
        <w:rPr>
          <w:rFonts w:hint="eastAsia" w:ascii="宋体" w:hAnsi="宋体"/>
          <w:b/>
          <w:sz w:val="84"/>
          <w14:shadow w14:blurRad="50800" w14:dist="38100" w14:dir="2700000" w14:sx="100000" w14:sy="100000" w14:kx="0" w14:ky="0" w14:algn="tl">
            <w14:srgbClr w14:val="000000">
              <w14:alpha w14:val="60000"/>
            </w14:srgbClr>
          </w14:shadow>
        </w:rPr>
        <w:t>件</w:t>
      </w:r>
    </w:p>
    <w:p>
      <w:pPr>
        <w:autoSpaceDE w:val="0"/>
        <w:autoSpaceDN w:val="0"/>
        <w:spacing w:line="360" w:lineRule="auto"/>
        <w:ind w:firstLine="1446" w:firstLineChars="400"/>
        <w:jc w:val="center"/>
        <w:textAlignment w:val="bottom"/>
        <w:outlineLvl w:val="0"/>
        <w:rPr>
          <w:rFonts w:hint="eastAsia" w:ascii="宋体" w:hAnsi="宋体"/>
          <w:b/>
          <w:sz w:val="36"/>
          <w14:shadow w14:blurRad="50800" w14:dist="38100" w14:dir="2700000" w14:sx="100000" w14:sy="100000" w14:kx="0" w14:ky="0" w14:algn="tl">
            <w14:srgbClr w14:val="000000">
              <w14:alpha w14:val="60000"/>
            </w14:srgbClr>
          </w14:shadow>
        </w:rPr>
      </w:pPr>
    </w:p>
    <w:p>
      <w:pPr>
        <w:rPr>
          <w:rFonts w:hint="eastAsia"/>
        </w:rPr>
      </w:pPr>
    </w:p>
    <w:p>
      <w:pPr>
        <w:autoSpaceDE w:val="0"/>
        <w:autoSpaceDN w:val="0"/>
        <w:spacing w:line="360" w:lineRule="auto"/>
        <w:ind w:firstLine="1446" w:firstLineChars="400"/>
        <w:jc w:val="center"/>
        <w:textAlignment w:val="bottom"/>
        <w:outlineLvl w:val="0"/>
        <w:rPr>
          <w:rFonts w:hint="eastAsia" w:ascii="宋体" w:hAnsi="宋体"/>
          <w:b/>
          <w:sz w:val="36"/>
          <w14:shadow w14:blurRad="50800" w14:dist="38100" w14:dir="2700000" w14:sx="100000" w14:sy="100000" w14:kx="0" w14:ky="0" w14:algn="tl">
            <w14:srgbClr w14:val="000000">
              <w14:alpha w14:val="60000"/>
            </w14:srgbClr>
          </w14:shadow>
        </w:rPr>
      </w:pPr>
    </w:p>
    <w:p>
      <w:pPr>
        <w:spacing w:line="360" w:lineRule="auto"/>
        <w:ind w:firstLine="1389" w:firstLineChars="346"/>
        <w:rPr>
          <w:rFonts w:hint="eastAsia"/>
          <w:b/>
          <w:sz w:val="40"/>
        </w:rPr>
      </w:pPr>
      <w:r>
        <w:rPr>
          <w:rFonts w:hint="eastAsia"/>
          <w:b/>
          <w:sz w:val="40"/>
        </w:rPr>
        <w:t>采购编号: 浙建航招2022342号</w:t>
      </w:r>
    </w:p>
    <w:p>
      <w:pPr>
        <w:pStyle w:val="2"/>
        <w:rPr>
          <w:rFonts w:hint="eastAsia"/>
          <w:lang w:val="en-US"/>
        </w:rPr>
      </w:pPr>
    </w:p>
    <w:p>
      <w:pPr>
        <w:pStyle w:val="2"/>
        <w:rPr>
          <w:rFonts w:hint="eastAsia"/>
          <w:lang w:val="en-US"/>
        </w:rPr>
      </w:pPr>
    </w:p>
    <w:p>
      <w:pPr>
        <w:spacing w:line="360" w:lineRule="auto"/>
        <w:ind w:left="3463" w:leftChars="706" w:hanging="1980" w:hangingChars="493"/>
        <w:rPr>
          <w:rFonts w:hint="eastAsia"/>
        </w:rPr>
      </w:pPr>
      <w:r>
        <w:rPr>
          <w:rFonts w:hint="eastAsia"/>
          <w:b/>
          <w:sz w:val="40"/>
        </w:rPr>
        <w:t xml:space="preserve">项目名称: </w:t>
      </w:r>
      <w:r>
        <w:rPr>
          <w:rFonts w:hint="eastAsia"/>
          <w:b/>
          <w:w w:val="90"/>
          <w:sz w:val="40"/>
        </w:rPr>
        <w:t>莲都区公共安全视频监控建设联网应用项目（碧湖改建项目）</w:t>
      </w:r>
    </w:p>
    <w:p>
      <w:pPr>
        <w:pStyle w:val="2"/>
        <w:rPr>
          <w:rFonts w:hint="eastAsia"/>
          <w:lang w:val="en-US"/>
        </w:rPr>
      </w:pPr>
    </w:p>
    <w:p>
      <w:pPr>
        <w:pStyle w:val="2"/>
        <w:rPr>
          <w:rFonts w:hint="eastAsia"/>
          <w:lang w:val="en-US"/>
        </w:rPr>
      </w:pPr>
    </w:p>
    <w:p>
      <w:pPr>
        <w:spacing w:line="360" w:lineRule="auto"/>
        <w:ind w:left="3348" w:leftChars="749" w:hanging="1775" w:hangingChars="442"/>
        <w:rPr>
          <w:rFonts w:hint="eastAsia"/>
          <w:b/>
          <w:sz w:val="40"/>
        </w:rPr>
      </w:pPr>
      <w:r>
        <w:rPr>
          <w:rFonts w:hint="eastAsia"/>
          <w:b/>
          <w:sz w:val="40"/>
        </w:rPr>
        <w:t>采 购 人: 丽水市公安局莲都区分局</w:t>
      </w:r>
    </w:p>
    <w:p>
      <w:pPr>
        <w:rPr>
          <w:b/>
          <w:sz w:val="40"/>
        </w:rPr>
      </w:pPr>
      <w:r>
        <w:rPr>
          <w:rFonts w:hint="eastAsia"/>
          <w:b/>
          <w:sz w:val="40"/>
        </w:rPr>
        <w:t xml:space="preserve"> </w:t>
      </w:r>
    </w:p>
    <w:p>
      <w:pPr>
        <w:rPr>
          <w:rFonts w:hint="eastAsia"/>
        </w:rPr>
      </w:pPr>
      <w:r>
        <w:rPr>
          <w:rFonts w:hint="eastAsia"/>
          <w:b/>
          <w:sz w:val="40"/>
        </w:rPr>
        <w:t xml:space="preserve">   </w:t>
      </w:r>
    </w:p>
    <w:p>
      <w:pPr>
        <w:rPr>
          <w:rFonts w:hint="eastAsia"/>
          <w:b/>
          <w:sz w:val="40"/>
        </w:rPr>
      </w:pPr>
    </w:p>
    <w:p>
      <w:pPr>
        <w:pStyle w:val="2"/>
        <w:rPr>
          <w:rFonts w:hint="eastAsia"/>
          <w:lang w:val="en-US"/>
        </w:rPr>
      </w:pPr>
    </w:p>
    <w:p>
      <w:pPr>
        <w:spacing w:line="360" w:lineRule="auto"/>
        <w:jc w:val="center"/>
        <w:rPr>
          <w:b/>
          <w:sz w:val="40"/>
        </w:rPr>
      </w:pPr>
      <w:r>
        <w:rPr>
          <w:rFonts w:hint="eastAsia"/>
          <w:b/>
          <w:sz w:val="40"/>
        </w:rPr>
        <w:t xml:space="preserve">    采购代理机构:浙江建航工程咨询有限公司</w:t>
      </w:r>
    </w:p>
    <w:p>
      <w:pPr>
        <w:spacing w:line="360" w:lineRule="auto"/>
        <w:jc w:val="center"/>
        <w:rPr>
          <w:rFonts w:hint="eastAsia" w:ascii="宋体" w:hAnsi="宋体"/>
        </w:rPr>
      </w:pPr>
      <w:r>
        <w:rPr>
          <w:b/>
          <w:sz w:val="40"/>
        </w:rPr>
        <w:t>二</w:t>
      </w:r>
      <w:r>
        <w:rPr>
          <w:rFonts w:hint="eastAsia"/>
          <w:b/>
          <w:sz w:val="40"/>
        </w:rPr>
        <w:t>〇</w:t>
      </w:r>
      <w:r>
        <w:rPr>
          <w:b/>
          <w:sz w:val="40"/>
        </w:rPr>
        <w:t>二二年</w:t>
      </w:r>
      <w:r>
        <w:rPr>
          <w:rFonts w:hint="eastAsia"/>
          <w:b/>
          <w:sz w:val="40"/>
        </w:rPr>
        <w:t>八</w:t>
      </w:r>
      <w:r>
        <w:rPr>
          <w:b/>
          <w:sz w:val="40"/>
        </w:rPr>
        <w:t>月</w:t>
      </w:r>
    </w:p>
    <w:p>
      <w:pPr>
        <w:jc w:val="center"/>
        <w:rPr>
          <w:rFonts w:hint="eastAsia" w:ascii="宋体" w:hAnsi="宋体"/>
          <w:b/>
          <w:bCs/>
          <w:sz w:val="44"/>
          <w:szCs w:val="44"/>
        </w:rPr>
      </w:pPr>
      <w:r>
        <w:rPr>
          <w:rFonts w:ascii="宋体" w:hAnsi="宋体"/>
          <w:b/>
          <w:bCs/>
          <w:sz w:val="44"/>
          <w:szCs w:val="44"/>
        </w:rPr>
        <w:br w:type="page"/>
      </w:r>
      <w:r>
        <w:rPr>
          <w:rFonts w:hint="eastAsia" w:ascii="宋体" w:hAnsi="宋体"/>
          <w:b/>
          <w:bCs/>
          <w:sz w:val="44"/>
          <w:szCs w:val="44"/>
        </w:rPr>
        <w:t>目  录</w:t>
      </w:r>
    </w:p>
    <w:p>
      <w:pPr>
        <w:pStyle w:val="38"/>
        <w:rPr>
          <w:rFonts w:ascii="Calibri" w:hAnsi="Calibri" w:eastAsia="宋体"/>
          <w:b w:val="0"/>
          <w:sz w:val="21"/>
          <w:szCs w:val="22"/>
          <w:lang w:val="en-US" w:eastAsia="zh-CN"/>
        </w:rPr>
      </w:pPr>
      <w:r>
        <w:rPr>
          <w:rFonts w:hint="eastAsia" w:eastAsia="宋体"/>
          <w:sz w:val="21"/>
          <w:szCs w:val="21"/>
        </w:rPr>
        <w:fldChar w:fldCharType="begin"/>
      </w:r>
      <w:r>
        <w:rPr>
          <w:rStyle w:val="70"/>
          <w:rFonts w:hint="eastAsia" w:eastAsia="宋体"/>
          <w:color w:val="auto"/>
          <w:sz w:val="21"/>
          <w:szCs w:val="21"/>
        </w:rPr>
        <w:instrText xml:space="preserve"> TOC \o "1-3" \h \z </w:instrText>
      </w:r>
      <w:r>
        <w:rPr>
          <w:rFonts w:hint="eastAsia" w:eastAsia="宋体"/>
          <w:sz w:val="21"/>
          <w:szCs w:val="21"/>
        </w:rPr>
        <w:fldChar w:fldCharType="separate"/>
      </w:r>
      <w:r>
        <w:rPr>
          <w:rStyle w:val="70"/>
          <w:color w:val="auto"/>
        </w:rPr>
        <w:fldChar w:fldCharType="begin"/>
      </w:r>
      <w:r>
        <w:rPr>
          <w:rStyle w:val="70"/>
          <w:color w:val="auto"/>
        </w:rPr>
        <w:instrText xml:space="preserve"> </w:instrText>
      </w:r>
      <w:r>
        <w:instrText xml:space="preserve">HYPERLINK \l "_Toc112414171"</w:instrText>
      </w:r>
      <w:r>
        <w:rPr>
          <w:rStyle w:val="70"/>
          <w:color w:val="auto"/>
        </w:rPr>
        <w:instrText xml:space="preserve"> </w:instrText>
      </w:r>
      <w:r>
        <w:rPr>
          <w:rStyle w:val="70"/>
          <w:color w:val="auto"/>
        </w:rPr>
        <w:fldChar w:fldCharType="separate"/>
      </w:r>
      <w:r>
        <w:rPr>
          <w:rStyle w:val="70"/>
          <w:rFonts w:hint="eastAsia" w:eastAsia="宋体"/>
          <w:color w:val="auto"/>
        </w:rPr>
        <w:t>第一章</w:t>
      </w:r>
      <w:r>
        <w:rPr>
          <w:rStyle w:val="70"/>
          <w:rFonts w:eastAsia="宋体"/>
          <w:color w:val="auto"/>
        </w:rPr>
        <w:t xml:space="preserve"> </w:t>
      </w:r>
      <w:r>
        <w:rPr>
          <w:rStyle w:val="70"/>
          <w:rFonts w:hint="eastAsia" w:eastAsia="宋体"/>
          <w:color w:val="auto"/>
        </w:rPr>
        <w:t>公开招标公告</w:t>
      </w:r>
      <w:r>
        <w:tab/>
      </w:r>
      <w:r>
        <w:fldChar w:fldCharType="begin"/>
      </w:r>
      <w:r>
        <w:instrText xml:space="preserve"> PAGEREF _Toc112414171 \h </w:instrText>
      </w:r>
      <w:r>
        <w:fldChar w:fldCharType="separate"/>
      </w:r>
      <w:r>
        <w:t>3</w:t>
      </w:r>
      <w:r>
        <w:fldChar w:fldCharType="end"/>
      </w:r>
      <w:r>
        <w:rPr>
          <w:rStyle w:val="70"/>
          <w:color w:val="auto"/>
        </w:rPr>
        <w:fldChar w:fldCharType="end"/>
      </w:r>
    </w:p>
    <w:p>
      <w:pPr>
        <w:pStyle w:val="38"/>
        <w:rPr>
          <w:rFonts w:ascii="Calibri" w:hAnsi="Calibri" w:eastAsia="宋体"/>
          <w:b w:val="0"/>
          <w:sz w:val="21"/>
          <w:szCs w:val="22"/>
          <w:lang w:val="en-US" w:eastAsia="zh-CN"/>
        </w:rPr>
      </w:pPr>
      <w:r>
        <w:rPr>
          <w:rStyle w:val="70"/>
          <w:color w:val="auto"/>
        </w:rPr>
        <w:fldChar w:fldCharType="begin"/>
      </w:r>
      <w:r>
        <w:rPr>
          <w:rStyle w:val="70"/>
          <w:color w:val="auto"/>
        </w:rPr>
        <w:instrText xml:space="preserve"> </w:instrText>
      </w:r>
      <w:r>
        <w:instrText xml:space="preserve">HYPERLINK \l "_Toc112414172"</w:instrText>
      </w:r>
      <w:r>
        <w:rPr>
          <w:rStyle w:val="70"/>
          <w:color w:val="auto"/>
        </w:rPr>
        <w:instrText xml:space="preserve"> </w:instrText>
      </w:r>
      <w:r>
        <w:rPr>
          <w:rStyle w:val="70"/>
          <w:color w:val="auto"/>
        </w:rPr>
        <w:fldChar w:fldCharType="separate"/>
      </w:r>
      <w:r>
        <w:rPr>
          <w:rStyle w:val="70"/>
          <w:rFonts w:hint="eastAsia" w:eastAsia="宋体"/>
          <w:color w:val="auto"/>
        </w:rPr>
        <w:t>第二章</w:t>
      </w:r>
      <w:r>
        <w:rPr>
          <w:rStyle w:val="70"/>
          <w:rFonts w:eastAsia="宋体"/>
          <w:color w:val="auto"/>
        </w:rPr>
        <w:t xml:space="preserve">  </w:t>
      </w:r>
      <w:r>
        <w:rPr>
          <w:rStyle w:val="70"/>
          <w:rFonts w:hint="eastAsia" w:eastAsia="宋体"/>
          <w:color w:val="auto"/>
        </w:rPr>
        <w:t>投标人须知</w:t>
      </w:r>
      <w:r>
        <w:tab/>
      </w:r>
      <w:r>
        <w:fldChar w:fldCharType="begin"/>
      </w:r>
      <w:r>
        <w:instrText xml:space="preserve"> PAGEREF _Toc112414172 \h </w:instrText>
      </w:r>
      <w:r>
        <w:fldChar w:fldCharType="separate"/>
      </w:r>
      <w:r>
        <w:t>7</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"_Toc112414173"</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前列表</w:t>
      </w:r>
      <w:r>
        <w:tab/>
      </w:r>
      <w:r>
        <w:fldChar w:fldCharType="begin"/>
      </w:r>
      <w:r>
        <w:instrText xml:space="preserve"> PAGEREF _Toc112414173 \h </w:instrText>
      </w:r>
      <w:r>
        <w:fldChar w:fldCharType="separate"/>
      </w:r>
      <w:r>
        <w:t>7</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"_Toc112414174"</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一</w:t>
      </w:r>
      <w:r>
        <w:rPr>
          <w:rStyle w:val="70"/>
          <w:rFonts w:ascii="宋体" w:hAnsi="宋体" w:eastAsia="宋体"/>
          <w:color w:val="auto"/>
        </w:rPr>
        <w:t xml:space="preserve">   </w:t>
      </w:r>
      <w:r>
        <w:rPr>
          <w:rStyle w:val="70"/>
          <w:rFonts w:hint="eastAsia" w:ascii="宋体" w:hAnsi="宋体" w:eastAsia="宋体"/>
          <w:color w:val="auto"/>
        </w:rPr>
        <w:t>总则</w:t>
      </w:r>
      <w:r>
        <w:tab/>
      </w:r>
      <w:r>
        <w:fldChar w:fldCharType="begin"/>
      </w:r>
      <w:r>
        <w:instrText xml:space="preserve"> PAGEREF _Toc112414174 \h </w:instrText>
      </w:r>
      <w:r>
        <w:fldChar w:fldCharType="separate"/>
      </w:r>
      <w:r>
        <w:t>9</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"_Toc112414175"</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二</w:t>
      </w:r>
      <w:r>
        <w:rPr>
          <w:rStyle w:val="70"/>
          <w:rFonts w:ascii="宋体" w:hAnsi="宋体" w:eastAsia="宋体"/>
          <w:color w:val="auto"/>
        </w:rPr>
        <w:t xml:space="preserve">   </w:t>
      </w:r>
      <w:r>
        <w:rPr>
          <w:rStyle w:val="70"/>
          <w:rFonts w:hint="eastAsia" w:ascii="宋体" w:hAnsi="宋体" w:eastAsia="宋体"/>
          <w:color w:val="auto"/>
        </w:rPr>
        <w:t>招标文件说明</w:t>
      </w:r>
      <w:r>
        <w:tab/>
      </w:r>
      <w:r>
        <w:fldChar w:fldCharType="begin"/>
      </w:r>
      <w:r>
        <w:instrText xml:space="preserve"> PAGEREF _Toc112414175 \h </w:instrText>
      </w:r>
      <w:r>
        <w:fldChar w:fldCharType="separate"/>
      </w:r>
      <w:r>
        <w:t>10</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"_Toc112414176"</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三</w:t>
      </w:r>
      <w:r>
        <w:rPr>
          <w:rStyle w:val="70"/>
          <w:rFonts w:ascii="宋体" w:hAnsi="宋体" w:eastAsia="宋体"/>
          <w:color w:val="auto"/>
        </w:rPr>
        <w:t xml:space="preserve">   </w:t>
      </w:r>
      <w:r>
        <w:rPr>
          <w:rStyle w:val="70"/>
          <w:rFonts w:hint="eastAsia" w:ascii="宋体" w:hAnsi="宋体" w:eastAsia="宋体"/>
          <w:color w:val="auto"/>
        </w:rPr>
        <w:t>投标文件的编写</w:t>
      </w:r>
      <w:r>
        <w:tab/>
      </w:r>
      <w:r>
        <w:fldChar w:fldCharType="begin"/>
      </w:r>
      <w:r>
        <w:instrText xml:space="preserve"> PAGEREF _Toc112414176 \h </w:instrText>
      </w:r>
      <w:r>
        <w:fldChar w:fldCharType="separate"/>
      </w:r>
      <w:r>
        <w:t>11</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"_Toc112414177"</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四</w:t>
      </w:r>
      <w:r>
        <w:rPr>
          <w:rStyle w:val="70"/>
          <w:rFonts w:ascii="宋体" w:hAnsi="宋体" w:eastAsia="宋体"/>
          <w:color w:val="auto"/>
        </w:rPr>
        <w:t xml:space="preserve">   </w:t>
      </w:r>
      <w:r>
        <w:rPr>
          <w:rStyle w:val="70"/>
          <w:rFonts w:hint="eastAsia" w:ascii="宋体" w:hAnsi="宋体" w:eastAsia="宋体"/>
          <w:color w:val="auto"/>
        </w:rPr>
        <w:t>履约保证金</w:t>
      </w:r>
      <w:r>
        <w:tab/>
      </w:r>
      <w:r>
        <w:fldChar w:fldCharType="begin"/>
      </w:r>
      <w:r>
        <w:instrText xml:space="preserve"> PAGEREF _Toc112414177 \h </w:instrText>
      </w:r>
      <w:r>
        <w:fldChar w:fldCharType="separate"/>
      </w:r>
      <w:r>
        <w:t>13</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"_Toc112414178"</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五</w:t>
      </w:r>
      <w:r>
        <w:rPr>
          <w:rStyle w:val="70"/>
          <w:rFonts w:ascii="宋体" w:hAnsi="宋体" w:eastAsia="宋体"/>
          <w:color w:val="auto"/>
        </w:rPr>
        <w:t xml:space="preserve">   </w:t>
      </w:r>
      <w:r>
        <w:rPr>
          <w:rStyle w:val="70"/>
          <w:rFonts w:hint="eastAsia" w:ascii="宋体" w:hAnsi="宋体" w:eastAsia="宋体"/>
          <w:color w:val="auto"/>
        </w:rPr>
        <w:t>投标文件的加密、提交、修改和撤回</w:t>
      </w:r>
      <w:r>
        <w:tab/>
      </w:r>
      <w:r>
        <w:fldChar w:fldCharType="begin"/>
      </w:r>
      <w:r>
        <w:instrText xml:space="preserve"> PAGEREF _Toc112414178 \h </w:instrText>
      </w:r>
      <w:r>
        <w:fldChar w:fldCharType="separate"/>
      </w:r>
      <w:r>
        <w:t>13</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"_Toc112414179"</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六</w:t>
      </w:r>
      <w:r>
        <w:rPr>
          <w:rStyle w:val="70"/>
          <w:rFonts w:ascii="宋体" w:hAnsi="宋体" w:eastAsia="宋体"/>
          <w:color w:val="auto"/>
        </w:rPr>
        <w:t xml:space="preserve">   </w:t>
      </w:r>
      <w:r>
        <w:rPr>
          <w:rStyle w:val="70"/>
          <w:rFonts w:hint="eastAsia" w:ascii="宋体" w:hAnsi="宋体" w:eastAsia="宋体"/>
          <w:color w:val="auto"/>
        </w:rPr>
        <w:t>开标和评审</w:t>
      </w:r>
      <w:r>
        <w:tab/>
      </w:r>
      <w:r>
        <w:fldChar w:fldCharType="begin"/>
      </w:r>
      <w:r>
        <w:instrText xml:space="preserve"> PAGEREF _Toc112414179 \h </w:instrText>
      </w:r>
      <w:r>
        <w:fldChar w:fldCharType="separate"/>
      </w:r>
      <w:r>
        <w:t>14</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"_Toc112414180"</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七</w:t>
      </w:r>
      <w:r>
        <w:rPr>
          <w:rStyle w:val="70"/>
          <w:rFonts w:ascii="宋体" w:hAnsi="宋体" w:eastAsia="宋体"/>
          <w:color w:val="auto"/>
        </w:rPr>
        <w:t xml:space="preserve">   </w:t>
      </w:r>
      <w:r>
        <w:rPr>
          <w:rStyle w:val="70"/>
          <w:rFonts w:hint="eastAsia" w:ascii="宋体" w:hAnsi="宋体" w:eastAsia="宋体"/>
          <w:color w:val="auto"/>
        </w:rPr>
        <w:t>投标无效的情形</w:t>
      </w:r>
      <w:r>
        <w:tab/>
      </w:r>
      <w:r>
        <w:fldChar w:fldCharType="begin"/>
      </w:r>
      <w:r>
        <w:instrText xml:space="preserve"> PAGEREF _Toc112414180 \h </w:instrText>
      </w:r>
      <w:r>
        <w:fldChar w:fldCharType="separate"/>
      </w:r>
      <w:r>
        <w:t>16</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"_Toc112414181"</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八</w:t>
      </w:r>
      <w:r>
        <w:rPr>
          <w:rStyle w:val="70"/>
          <w:rFonts w:ascii="宋体" w:hAnsi="宋体" w:eastAsia="宋体"/>
          <w:color w:val="auto"/>
        </w:rPr>
        <w:t xml:space="preserve">   </w:t>
      </w:r>
      <w:r>
        <w:rPr>
          <w:rStyle w:val="70"/>
          <w:rFonts w:hint="eastAsia" w:ascii="宋体" w:hAnsi="宋体" w:eastAsia="宋体"/>
          <w:color w:val="auto"/>
        </w:rPr>
        <w:t>法律责任</w:t>
      </w:r>
      <w:r>
        <w:tab/>
      </w:r>
      <w:r>
        <w:fldChar w:fldCharType="begin"/>
      </w:r>
      <w:r>
        <w:instrText xml:space="preserve"> PAGEREF _Toc112414181 \h </w:instrText>
      </w:r>
      <w:r>
        <w:fldChar w:fldCharType="separate"/>
      </w:r>
      <w:r>
        <w:t>17</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"_Toc112414182"</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九</w:t>
      </w:r>
      <w:r>
        <w:rPr>
          <w:rStyle w:val="70"/>
          <w:rFonts w:ascii="宋体" w:hAnsi="宋体" w:eastAsia="宋体"/>
          <w:color w:val="auto"/>
        </w:rPr>
        <w:t xml:space="preserve">   </w:t>
      </w:r>
      <w:r>
        <w:rPr>
          <w:rStyle w:val="70"/>
          <w:rFonts w:hint="eastAsia" w:ascii="宋体" w:hAnsi="宋体" w:eastAsia="宋体"/>
          <w:color w:val="auto"/>
        </w:rPr>
        <w:t>澄清、修改发布媒体</w:t>
      </w:r>
      <w:r>
        <w:tab/>
      </w:r>
      <w:r>
        <w:fldChar w:fldCharType="begin"/>
      </w:r>
      <w:r>
        <w:instrText xml:space="preserve"> PAGEREF _Toc112414182 \h </w:instrText>
      </w:r>
      <w:r>
        <w:fldChar w:fldCharType="separate"/>
      </w:r>
      <w:r>
        <w:t>19</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"_Toc112414183"</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十</w:t>
      </w:r>
      <w:r>
        <w:rPr>
          <w:rStyle w:val="70"/>
          <w:rFonts w:ascii="宋体" w:hAnsi="宋体" w:eastAsia="宋体"/>
          <w:color w:val="auto"/>
        </w:rPr>
        <w:t xml:space="preserve">   </w:t>
      </w:r>
      <w:r>
        <w:rPr>
          <w:rStyle w:val="70"/>
          <w:rFonts w:hint="eastAsia" w:ascii="宋体" w:hAnsi="宋体" w:eastAsia="宋体"/>
          <w:color w:val="auto"/>
        </w:rPr>
        <w:t>质疑</w:t>
      </w:r>
      <w:r>
        <w:tab/>
      </w:r>
      <w:r>
        <w:fldChar w:fldCharType="begin"/>
      </w:r>
      <w:r>
        <w:instrText xml:space="preserve"> PAGEREF _Toc112414183 \h </w:instrText>
      </w:r>
      <w:r>
        <w:fldChar w:fldCharType="separate"/>
      </w:r>
      <w:r>
        <w:t>19</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"_Toc112414184"</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十一</w:t>
      </w:r>
      <w:r>
        <w:rPr>
          <w:rStyle w:val="70"/>
          <w:rFonts w:ascii="宋体" w:hAnsi="宋体" w:eastAsia="宋体"/>
          <w:color w:val="auto"/>
        </w:rPr>
        <w:t xml:space="preserve">  </w:t>
      </w:r>
      <w:r>
        <w:rPr>
          <w:rStyle w:val="70"/>
          <w:rFonts w:hint="eastAsia" w:ascii="宋体" w:hAnsi="宋体" w:eastAsia="宋体"/>
          <w:color w:val="auto"/>
        </w:rPr>
        <w:t>投诉</w:t>
      </w:r>
      <w:r>
        <w:tab/>
      </w:r>
      <w:r>
        <w:fldChar w:fldCharType="begin"/>
      </w:r>
      <w:r>
        <w:instrText xml:space="preserve"> PAGEREF _Toc112414184 \h </w:instrText>
      </w:r>
      <w:r>
        <w:fldChar w:fldCharType="separate"/>
      </w:r>
      <w:r>
        <w:t>20</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"_Toc112414185"</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十二</w:t>
      </w:r>
      <w:r>
        <w:rPr>
          <w:rStyle w:val="70"/>
          <w:rFonts w:ascii="宋体" w:hAnsi="宋体" w:eastAsia="宋体"/>
          <w:color w:val="auto"/>
        </w:rPr>
        <w:t xml:space="preserve">  </w:t>
      </w:r>
      <w:r>
        <w:rPr>
          <w:rStyle w:val="70"/>
          <w:rFonts w:hint="eastAsia" w:ascii="宋体" w:hAnsi="宋体" w:eastAsia="宋体"/>
          <w:color w:val="auto"/>
        </w:rPr>
        <w:t>授予合同</w:t>
      </w:r>
      <w:r>
        <w:tab/>
      </w:r>
      <w:r>
        <w:fldChar w:fldCharType="begin"/>
      </w:r>
      <w:r>
        <w:instrText xml:space="preserve"> PAGEREF _Toc112414185 \h </w:instrText>
      </w:r>
      <w:r>
        <w:fldChar w:fldCharType="separate"/>
      </w:r>
      <w:r>
        <w:t>20</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"_Toc112414186"</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十三</w:t>
      </w:r>
      <w:r>
        <w:rPr>
          <w:rStyle w:val="70"/>
          <w:rFonts w:ascii="宋体" w:hAnsi="宋体" w:eastAsia="宋体"/>
          <w:color w:val="auto"/>
        </w:rPr>
        <w:t xml:space="preserve">  </w:t>
      </w:r>
      <w:r>
        <w:rPr>
          <w:rStyle w:val="70"/>
          <w:rFonts w:hint="eastAsia" w:ascii="宋体" w:hAnsi="宋体" w:eastAsia="宋体"/>
          <w:color w:val="auto"/>
        </w:rPr>
        <w:t>验收</w:t>
      </w:r>
      <w:r>
        <w:tab/>
      </w:r>
      <w:r>
        <w:fldChar w:fldCharType="begin"/>
      </w:r>
      <w:r>
        <w:instrText xml:space="preserve"> PAGEREF _Toc112414186 \h </w:instrText>
      </w:r>
      <w:r>
        <w:fldChar w:fldCharType="separate"/>
      </w:r>
      <w:r>
        <w:t>21</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"_Toc112414187"</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十四</w:t>
      </w:r>
      <w:r>
        <w:rPr>
          <w:rStyle w:val="70"/>
          <w:rFonts w:ascii="宋体" w:hAnsi="宋体" w:eastAsia="宋体"/>
          <w:color w:val="auto"/>
        </w:rPr>
        <w:t xml:space="preserve">  </w:t>
      </w:r>
      <w:r>
        <w:rPr>
          <w:rStyle w:val="70"/>
          <w:rFonts w:hint="eastAsia" w:ascii="宋体" w:hAnsi="宋体" w:eastAsia="宋体"/>
          <w:color w:val="auto"/>
        </w:rPr>
        <w:t>政府采购政策</w:t>
      </w:r>
      <w:r>
        <w:tab/>
      </w:r>
      <w:r>
        <w:fldChar w:fldCharType="begin"/>
      </w:r>
      <w:r>
        <w:instrText xml:space="preserve"> PAGEREF _Toc112414187 \h </w:instrText>
      </w:r>
      <w:r>
        <w:fldChar w:fldCharType="separate"/>
      </w:r>
      <w:r>
        <w:t>21</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"_Toc112414188"</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十五</w:t>
      </w:r>
      <w:r>
        <w:rPr>
          <w:rStyle w:val="70"/>
          <w:rFonts w:ascii="宋体" w:hAnsi="宋体" w:eastAsia="宋体"/>
          <w:color w:val="auto"/>
        </w:rPr>
        <w:t xml:space="preserve">  </w:t>
      </w:r>
      <w:r>
        <w:rPr>
          <w:rStyle w:val="70"/>
          <w:rFonts w:hint="eastAsia" w:ascii="宋体" w:hAnsi="宋体" w:eastAsia="宋体"/>
          <w:color w:val="auto"/>
        </w:rPr>
        <w:t>其他事项</w:t>
      </w:r>
      <w:r>
        <w:tab/>
      </w:r>
      <w:r>
        <w:fldChar w:fldCharType="begin"/>
      </w:r>
      <w:r>
        <w:instrText xml:space="preserve"> PAGEREF _Toc112414188 \h </w:instrText>
      </w:r>
      <w:r>
        <w:fldChar w:fldCharType="separate"/>
      </w:r>
      <w:r>
        <w:t>23</w:t>
      </w:r>
      <w:r>
        <w:fldChar w:fldCharType="end"/>
      </w:r>
      <w:r>
        <w:rPr>
          <w:rStyle w:val="70"/>
          <w:color w:val="auto"/>
        </w:rPr>
        <w:fldChar w:fldCharType="end"/>
      </w:r>
    </w:p>
    <w:p>
      <w:pPr>
        <w:pStyle w:val="38"/>
        <w:rPr>
          <w:rFonts w:ascii="Calibri" w:hAnsi="Calibri" w:eastAsia="宋体"/>
          <w:b w:val="0"/>
          <w:sz w:val="21"/>
          <w:szCs w:val="22"/>
          <w:lang w:val="en-US" w:eastAsia="zh-CN"/>
        </w:rPr>
      </w:pPr>
      <w:r>
        <w:rPr>
          <w:rStyle w:val="70"/>
          <w:color w:val="auto"/>
        </w:rPr>
        <w:fldChar w:fldCharType="begin"/>
      </w:r>
      <w:r>
        <w:rPr>
          <w:rStyle w:val="70"/>
          <w:color w:val="auto"/>
        </w:rPr>
        <w:instrText xml:space="preserve"> </w:instrText>
      </w:r>
      <w:r>
        <w:instrText xml:space="preserve">HYPERLINK \l "_Toc112414189"</w:instrText>
      </w:r>
      <w:r>
        <w:rPr>
          <w:rStyle w:val="70"/>
          <w:color w:val="auto"/>
        </w:rPr>
        <w:instrText xml:space="preserve"> </w:instrText>
      </w:r>
      <w:r>
        <w:rPr>
          <w:rStyle w:val="70"/>
          <w:color w:val="auto"/>
        </w:rPr>
        <w:fldChar w:fldCharType="separate"/>
      </w:r>
      <w:r>
        <w:rPr>
          <w:rStyle w:val="70"/>
          <w:rFonts w:hint="eastAsia" w:eastAsia="宋体"/>
          <w:color w:val="auto"/>
        </w:rPr>
        <w:t>第三章</w:t>
      </w:r>
      <w:r>
        <w:rPr>
          <w:rStyle w:val="70"/>
          <w:rFonts w:eastAsia="宋体"/>
          <w:color w:val="auto"/>
        </w:rPr>
        <w:t xml:space="preserve"> </w:t>
      </w:r>
      <w:r>
        <w:rPr>
          <w:rStyle w:val="70"/>
          <w:rFonts w:hint="eastAsia" w:eastAsia="宋体"/>
          <w:color w:val="auto"/>
        </w:rPr>
        <w:t>采购需求</w:t>
      </w:r>
      <w:r>
        <w:tab/>
      </w:r>
      <w:r>
        <w:fldChar w:fldCharType="begin"/>
      </w:r>
      <w:r>
        <w:instrText xml:space="preserve"> PAGEREF _Toc112414189 \h </w:instrText>
      </w:r>
      <w:r>
        <w:fldChar w:fldCharType="separate"/>
      </w:r>
      <w:r>
        <w:t>24</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"_Toc112414190"</w:instrText>
      </w:r>
      <w:r>
        <w:rPr>
          <w:rStyle w:val="70"/>
          <w:color w:val="auto"/>
        </w:rPr>
        <w:instrText xml:space="preserve"> </w:instrText>
      </w:r>
      <w:r>
        <w:rPr>
          <w:rStyle w:val="70"/>
          <w:color w:val="auto"/>
        </w:rPr>
        <w:fldChar w:fldCharType="separate"/>
      </w:r>
      <w:r>
        <w:rPr>
          <w:rStyle w:val="70"/>
          <w:rFonts w:hint="eastAsia" w:ascii="宋体" w:hAnsi="宋体" w:eastAsia="宋体" w:cs="宋体"/>
          <w:color w:val="auto"/>
          <w:lang w:eastAsia="zh-CN"/>
        </w:rPr>
        <w:t>一、项目建设规模及内容</w:t>
      </w:r>
      <w:r>
        <w:tab/>
      </w:r>
      <w:r>
        <w:fldChar w:fldCharType="begin"/>
      </w:r>
      <w:r>
        <w:instrText xml:space="preserve"> PAGEREF _Toc112414190 \h </w:instrText>
      </w:r>
      <w:r>
        <w:fldChar w:fldCharType="separate"/>
      </w:r>
      <w:r>
        <w:t>24</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"_Toc112414191"</w:instrText>
      </w:r>
      <w:r>
        <w:rPr>
          <w:rStyle w:val="70"/>
          <w:color w:val="auto"/>
        </w:rPr>
        <w:instrText xml:space="preserve"> </w:instrText>
      </w:r>
      <w:r>
        <w:rPr>
          <w:rStyle w:val="70"/>
          <w:color w:val="auto"/>
        </w:rPr>
        <w:fldChar w:fldCharType="separate"/>
      </w:r>
      <w:r>
        <w:rPr>
          <w:rStyle w:val="70"/>
          <w:rFonts w:hint="eastAsia" w:ascii="宋体" w:hAnsi="宋体" w:eastAsia="宋体" w:cs="宋体"/>
          <w:color w:val="auto"/>
          <w:lang w:eastAsia="zh-CN"/>
        </w:rPr>
        <w:t>二、工期进度要求</w:t>
      </w:r>
      <w:r>
        <w:tab/>
      </w:r>
      <w:r>
        <w:fldChar w:fldCharType="begin"/>
      </w:r>
      <w:r>
        <w:instrText xml:space="preserve"> PAGEREF _Toc112414191 \h </w:instrText>
      </w:r>
      <w:r>
        <w:fldChar w:fldCharType="separate"/>
      </w:r>
      <w:r>
        <w:t>24</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"_Toc112414192"</w:instrText>
      </w:r>
      <w:r>
        <w:rPr>
          <w:rStyle w:val="70"/>
          <w:color w:val="auto"/>
        </w:rPr>
        <w:instrText xml:space="preserve"> </w:instrText>
      </w:r>
      <w:r>
        <w:rPr>
          <w:rStyle w:val="70"/>
          <w:color w:val="auto"/>
        </w:rPr>
        <w:fldChar w:fldCharType="separate"/>
      </w:r>
      <w:r>
        <w:rPr>
          <w:rStyle w:val="70"/>
          <w:rFonts w:hint="eastAsia" w:ascii="宋体" w:hAnsi="宋体" w:eastAsia="宋体" w:cs="宋体"/>
          <w:color w:val="auto"/>
          <w:lang w:eastAsia="zh-CN"/>
        </w:rPr>
        <w:t>三、服务期限及结算方式</w:t>
      </w:r>
      <w:r>
        <w:tab/>
      </w:r>
      <w:r>
        <w:fldChar w:fldCharType="begin"/>
      </w:r>
      <w:r>
        <w:instrText xml:space="preserve"> PAGEREF _Toc112414192 \h </w:instrText>
      </w:r>
      <w:r>
        <w:fldChar w:fldCharType="separate"/>
      </w:r>
      <w:r>
        <w:t>24</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"_Toc112414193"</w:instrText>
      </w:r>
      <w:r>
        <w:rPr>
          <w:rStyle w:val="70"/>
          <w:color w:val="auto"/>
        </w:rPr>
        <w:instrText xml:space="preserve"> </w:instrText>
      </w:r>
      <w:r>
        <w:rPr>
          <w:rStyle w:val="70"/>
          <w:color w:val="auto"/>
        </w:rPr>
        <w:fldChar w:fldCharType="separate"/>
      </w:r>
      <w:r>
        <w:rPr>
          <w:rStyle w:val="70"/>
          <w:rFonts w:hint="eastAsia" w:ascii="宋体" w:hAnsi="宋体" w:eastAsia="宋体" w:cs="宋体"/>
          <w:color w:val="auto"/>
          <w:lang w:eastAsia="zh-CN"/>
        </w:rPr>
        <w:t>四、付款方式</w:t>
      </w:r>
      <w:r>
        <w:tab/>
      </w:r>
      <w:r>
        <w:fldChar w:fldCharType="begin"/>
      </w:r>
      <w:r>
        <w:instrText xml:space="preserve"> PAGEREF _Toc112414193 \h </w:instrText>
      </w:r>
      <w:r>
        <w:fldChar w:fldCharType="separate"/>
      </w:r>
      <w:r>
        <w:t>25</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"_Toc112414194"</w:instrText>
      </w:r>
      <w:r>
        <w:rPr>
          <w:rStyle w:val="70"/>
          <w:color w:val="auto"/>
        </w:rPr>
        <w:instrText xml:space="preserve"> </w:instrText>
      </w:r>
      <w:r>
        <w:rPr>
          <w:rStyle w:val="70"/>
          <w:color w:val="auto"/>
        </w:rPr>
        <w:fldChar w:fldCharType="separate"/>
      </w:r>
      <w:r>
        <w:rPr>
          <w:rStyle w:val="70"/>
          <w:rFonts w:hint="eastAsia" w:ascii="宋体" w:hAnsi="宋体" w:eastAsia="宋体" w:cs="宋体"/>
          <w:color w:val="auto"/>
          <w:lang w:eastAsia="zh-CN"/>
        </w:rPr>
        <w:t>五、人员要求</w:t>
      </w:r>
      <w:r>
        <w:tab/>
      </w:r>
      <w:r>
        <w:fldChar w:fldCharType="begin"/>
      </w:r>
      <w:r>
        <w:instrText xml:space="preserve"> PAGEREF _Toc112414194 \h </w:instrText>
      </w:r>
      <w:r>
        <w:fldChar w:fldCharType="separate"/>
      </w:r>
      <w:r>
        <w:t>25</w:t>
      </w:r>
      <w:r>
        <w:fldChar w:fldCharType="end"/>
      </w:r>
      <w:r>
        <w:rPr>
          <w:rStyle w:val="70"/>
          <w:color w:val="auto"/>
        </w:rPr>
        <w:fldChar w:fldCharType="end"/>
      </w:r>
    </w:p>
    <w:p>
      <w:pPr>
        <w:pStyle w:val="38"/>
        <w:rPr>
          <w:rFonts w:ascii="Calibri" w:hAnsi="Calibri" w:eastAsia="宋体"/>
          <w:b w:val="0"/>
          <w:sz w:val="21"/>
          <w:szCs w:val="22"/>
          <w:lang w:val="en-US" w:eastAsia="zh-CN"/>
        </w:rPr>
      </w:pPr>
      <w:r>
        <w:rPr>
          <w:rStyle w:val="70"/>
          <w:color w:val="auto"/>
        </w:rPr>
        <w:fldChar w:fldCharType="begin"/>
      </w:r>
      <w:r>
        <w:rPr>
          <w:rStyle w:val="70"/>
          <w:color w:val="auto"/>
        </w:rPr>
        <w:instrText xml:space="preserve"> </w:instrText>
      </w:r>
      <w:r>
        <w:instrText xml:space="preserve">HYPERLINK \l "_Toc112414195"</w:instrText>
      </w:r>
      <w:r>
        <w:rPr>
          <w:rStyle w:val="70"/>
          <w:color w:val="auto"/>
        </w:rPr>
        <w:instrText xml:space="preserve"> </w:instrText>
      </w:r>
      <w:r>
        <w:rPr>
          <w:rStyle w:val="70"/>
          <w:color w:val="auto"/>
        </w:rPr>
        <w:fldChar w:fldCharType="separate"/>
      </w:r>
      <w:r>
        <w:rPr>
          <w:rStyle w:val="70"/>
          <w:rFonts w:hint="eastAsia" w:eastAsia="宋体"/>
          <w:color w:val="auto"/>
        </w:rPr>
        <w:t>第四章　政府采购合同</w:t>
      </w:r>
      <w:r>
        <w:tab/>
      </w:r>
      <w:r>
        <w:fldChar w:fldCharType="begin"/>
      </w:r>
      <w:r>
        <w:instrText xml:space="preserve"> PAGEREF _Toc112414195 \h </w:instrText>
      </w:r>
      <w:r>
        <w:fldChar w:fldCharType="separate"/>
      </w:r>
      <w:r>
        <w:t>26</w:t>
      </w:r>
      <w:r>
        <w:fldChar w:fldCharType="end"/>
      </w:r>
      <w:r>
        <w:rPr>
          <w:rStyle w:val="70"/>
          <w:color w:val="auto"/>
        </w:rPr>
        <w:fldChar w:fldCharType="end"/>
      </w:r>
    </w:p>
    <w:p>
      <w:pPr>
        <w:pStyle w:val="48"/>
        <w:rPr>
          <w:rFonts w:ascii="Calibri" w:hAnsi="Calibri" w:eastAsia="宋体"/>
          <w:b w:val="0"/>
          <w:bCs w:val="0"/>
          <w:sz w:val="21"/>
          <w:szCs w:val="22"/>
          <w:lang w:val="en-US" w:eastAsia="zh-CN"/>
        </w:rPr>
      </w:pPr>
      <w:r>
        <w:rPr>
          <w:rStyle w:val="70"/>
          <w:color w:val="auto"/>
        </w:rPr>
        <w:fldChar w:fldCharType="begin"/>
      </w:r>
      <w:r>
        <w:rPr>
          <w:rStyle w:val="70"/>
          <w:color w:val="auto"/>
        </w:rPr>
        <w:instrText xml:space="preserve"> </w:instrText>
      </w:r>
      <w:r>
        <w:instrText xml:space="preserve">HYPERLINK \l "_Toc112414196"</w:instrText>
      </w:r>
      <w:r>
        <w:rPr>
          <w:rStyle w:val="70"/>
          <w:color w:val="auto"/>
        </w:rPr>
        <w:instrText xml:space="preserve"> </w:instrText>
      </w:r>
      <w:r>
        <w:rPr>
          <w:rStyle w:val="70"/>
          <w:color w:val="auto"/>
        </w:rPr>
        <w:fldChar w:fldCharType="separate"/>
      </w:r>
      <w:r>
        <w:rPr>
          <w:rStyle w:val="70"/>
          <w:rFonts w:hint="eastAsia" w:eastAsia="宋体"/>
          <w:color w:val="auto"/>
        </w:rPr>
        <w:t>第五章　投标相关文件格式</w:t>
      </w:r>
      <w:r>
        <w:tab/>
      </w:r>
      <w:r>
        <w:fldChar w:fldCharType="begin"/>
      </w:r>
      <w:r>
        <w:instrText xml:space="preserve"> PAGEREF _Toc112414196 \h </w:instrText>
      </w:r>
      <w:r>
        <w:fldChar w:fldCharType="separate"/>
      </w:r>
      <w:r>
        <w:t>43</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"_Toc112414197"</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一</w:t>
      </w:r>
      <w:r>
        <w:rPr>
          <w:rStyle w:val="70"/>
          <w:rFonts w:ascii="宋体" w:hAnsi="宋体" w:eastAsia="宋体"/>
          <w:color w:val="auto"/>
        </w:rPr>
        <w:t xml:space="preserve">   </w:t>
      </w:r>
      <w:r>
        <w:rPr>
          <w:rStyle w:val="70"/>
          <w:rFonts w:hint="eastAsia" w:ascii="宋体" w:hAnsi="宋体" w:eastAsia="宋体"/>
          <w:color w:val="auto"/>
        </w:rPr>
        <w:t>资格文件格式</w:t>
      </w:r>
      <w:r>
        <w:tab/>
      </w:r>
      <w:r>
        <w:fldChar w:fldCharType="begin"/>
      </w:r>
      <w:r>
        <w:instrText xml:space="preserve"> PAGEREF _Toc112414197 \h </w:instrText>
      </w:r>
      <w:r>
        <w:fldChar w:fldCharType="separate"/>
      </w:r>
      <w:r>
        <w:t>44</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"_Toc112414198"</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二</w:t>
      </w:r>
      <w:r>
        <w:rPr>
          <w:rStyle w:val="70"/>
          <w:rFonts w:ascii="宋体" w:hAnsi="宋体" w:eastAsia="宋体"/>
          <w:color w:val="auto"/>
        </w:rPr>
        <w:t xml:space="preserve">   </w:t>
      </w:r>
      <w:r>
        <w:rPr>
          <w:rStyle w:val="70"/>
          <w:rFonts w:hint="eastAsia" w:ascii="宋体" w:hAnsi="宋体" w:eastAsia="宋体"/>
          <w:color w:val="auto"/>
        </w:rPr>
        <w:t>资信商务及技术文件格式</w:t>
      </w:r>
      <w:r>
        <w:tab/>
      </w:r>
      <w:r>
        <w:fldChar w:fldCharType="begin"/>
      </w:r>
      <w:r>
        <w:instrText xml:space="preserve"> PAGEREF _Toc112414198 \h </w:instrText>
      </w:r>
      <w:r>
        <w:fldChar w:fldCharType="separate"/>
      </w:r>
      <w:r>
        <w:t>51</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"_Toc112414199"</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三</w:t>
      </w:r>
      <w:r>
        <w:rPr>
          <w:rStyle w:val="70"/>
          <w:rFonts w:ascii="宋体" w:hAnsi="宋体" w:eastAsia="宋体"/>
          <w:color w:val="auto"/>
        </w:rPr>
        <w:t xml:space="preserve">   </w:t>
      </w:r>
      <w:r>
        <w:rPr>
          <w:rStyle w:val="70"/>
          <w:rFonts w:hint="eastAsia" w:ascii="宋体" w:hAnsi="宋体" w:eastAsia="宋体"/>
          <w:color w:val="auto"/>
        </w:rPr>
        <w:t>报价文件格式</w:t>
      </w:r>
      <w:r>
        <w:tab/>
      </w:r>
      <w:r>
        <w:fldChar w:fldCharType="begin"/>
      </w:r>
      <w:r>
        <w:instrText xml:space="preserve"> PAGEREF _Toc112414199 \h </w:instrText>
      </w:r>
      <w:r>
        <w:fldChar w:fldCharType="separate"/>
      </w:r>
      <w:r>
        <w:t>62</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"_Toc112414200"</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五</w:t>
      </w:r>
      <w:r>
        <w:rPr>
          <w:rStyle w:val="70"/>
          <w:rFonts w:ascii="宋体" w:hAnsi="宋体" w:eastAsia="宋体"/>
          <w:color w:val="auto"/>
        </w:rPr>
        <w:t xml:space="preserve">  </w:t>
      </w:r>
      <w:r>
        <w:rPr>
          <w:rStyle w:val="70"/>
          <w:rFonts w:hint="eastAsia" w:ascii="宋体" w:hAnsi="宋体" w:eastAsia="宋体"/>
          <w:color w:val="auto"/>
        </w:rPr>
        <w:t>现场确认声明书</w:t>
      </w:r>
      <w:r>
        <w:tab/>
      </w:r>
      <w:r>
        <w:fldChar w:fldCharType="begin"/>
      </w:r>
      <w:r>
        <w:instrText xml:space="preserve"> PAGEREF _Toc112414200 \h </w:instrText>
      </w:r>
      <w:r>
        <w:fldChar w:fldCharType="separate"/>
      </w:r>
      <w:r>
        <w:t>69</w:t>
      </w:r>
      <w:r>
        <w:fldChar w:fldCharType="end"/>
      </w:r>
      <w:r>
        <w:rPr>
          <w:rStyle w:val="70"/>
          <w:color w:val="auto"/>
        </w:rPr>
        <w:fldChar w:fldCharType="end"/>
      </w:r>
    </w:p>
    <w:p>
      <w:pPr>
        <w:pStyle w:val="48"/>
        <w:rPr>
          <w:rFonts w:ascii="Calibri" w:hAnsi="Calibri" w:eastAsia="宋体"/>
          <w:b w:val="0"/>
          <w:bCs w:val="0"/>
          <w:sz w:val="21"/>
          <w:szCs w:val="22"/>
          <w:lang w:val="en-US" w:eastAsia="zh-CN"/>
        </w:rPr>
      </w:pPr>
      <w:r>
        <w:rPr>
          <w:rStyle w:val="70"/>
          <w:color w:val="auto"/>
        </w:rPr>
        <w:fldChar w:fldCharType="begin"/>
      </w:r>
      <w:r>
        <w:rPr>
          <w:rStyle w:val="70"/>
          <w:color w:val="auto"/>
        </w:rPr>
        <w:instrText xml:space="preserve"> </w:instrText>
      </w:r>
      <w:r>
        <w:instrText xml:space="preserve">HYPERLINK \l "_Toc112414201"</w:instrText>
      </w:r>
      <w:r>
        <w:rPr>
          <w:rStyle w:val="70"/>
          <w:color w:val="auto"/>
        </w:rPr>
        <w:instrText xml:space="preserve"> </w:instrText>
      </w:r>
      <w:r>
        <w:rPr>
          <w:rStyle w:val="70"/>
          <w:color w:val="auto"/>
        </w:rPr>
        <w:fldChar w:fldCharType="separate"/>
      </w:r>
      <w:r>
        <w:rPr>
          <w:rStyle w:val="70"/>
          <w:rFonts w:hint="eastAsia" w:eastAsia="宋体"/>
          <w:color w:val="auto"/>
        </w:rPr>
        <w:t>第六章</w:t>
      </w:r>
      <w:r>
        <w:rPr>
          <w:rStyle w:val="70"/>
          <w:rFonts w:eastAsia="宋体"/>
          <w:color w:val="auto"/>
        </w:rPr>
        <w:t xml:space="preserve">  </w:t>
      </w:r>
      <w:r>
        <w:rPr>
          <w:rStyle w:val="70"/>
          <w:rFonts w:hint="eastAsia" w:eastAsia="宋体"/>
          <w:color w:val="auto"/>
        </w:rPr>
        <w:t>评标办法和细则</w:t>
      </w:r>
      <w:r>
        <w:tab/>
      </w:r>
      <w:r>
        <w:fldChar w:fldCharType="begin"/>
      </w:r>
      <w:r>
        <w:instrText xml:space="preserve"> PAGEREF _Toc112414201 \h </w:instrText>
      </w:r>
      <w:r>
        <w:fldChar w:fldCharType="separate"/>
      </w:r>
      <w:r>
        <w:t>70</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"_Toc112414202"</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一</w:t>
      </w:r>
      <w:r>
        <w:rPr>
          <w:rStyle w:val="70"/>
          <w:rFonts w:ascii="宋体" w:hAnsi="宋体" w:eastAsia="宋体"/>
          <w:color w:val="auto"/>
        </w:rPr>
        <w:t xml:space="preserve">   </w:t>
      </w:r>
      <w:r>
        <w:rPr>
          <w:rStyle w:val="70"/>
          <w:rFonts w:hint="eastAsia" w:ascii="宋体" w:hAnsi="宋体" w:eastAsia="宋体"/>
          <w:color w:val="auto"/>
        </w:rPr>
        <w:t>总则</w:t>
      </w:r>
      <w:r>
        <w:tab/>
      </w:r>
      <w:r>
        <w:fldChar w:fldCharType="begin"/>
      </w:r>
      <w:r>
        <w:instrText xml:space="preserve"> PAGEREF _Toc112414202 \h </w:instrText>
      </w:r>
      <w:r>
        <w:fldChar w:fldCharType="separate"/>
      </w:r>
      <w:r>
        <w:t>70</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"_Toc112414203"</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二</w:t>
      </w:r>
      <w:r>
        <w:rPr>
          <w:rStyle w:val="70"/>
          <w:rFonts w:ascii="宋体" w:hAnsi="宋体" w:eastAsia="宋体"/>
          <w:color w:val="auto"/>
        </w:rPr>
        <w:t xml:space="preserve">   </w:t>
      </w:r>
      <w:r>
        <w:rPr>
          <w:rStyle w:val="70"/>
          <w:rFonts w:hint="eastAsia" w:ascii="宋体" w:hAnsi="宋体" w:eastAsia="宋体"/>
          <w:color w:val="auto"/>
        </w:rPr>
        <w:t>评审委员会</w:t>
      </w:r>
      <w:r>
        <w:tab/>
      </w:r>
      <w:r>
        <w:fldChar w:fldCharType="begin"/>
      </w:r>
      <w:r>
        <w:instrText xml:space="preserve"> PAGEREF _Toc112414203 \h </w:instrText>
      </w:r>
      <w:r>
        <w:fldChar w:fldCharType="separate"/>
      </w:r>
      <w:r>
        <w:t>70</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"_Toc112414204"</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三</w:t>
      </w:r>
      <w:r>
        <w:rPr>
          <w:rStyle w:val="70"/>
          <w:rFonts w:ascii="宋体" w:hAnsi="宋体" w:eastAsia="宋体"/>
          <w:color w:val="auto"/>
        </w:rPr>
        <w:t xml:space="preserve">   </w:t>
      </w:r>
      <w:r>
        <w:rPr>
          <w:rStyle w:val="70"/>
          <w:rFonts w:hint="eastAsia" w:ascii="宋体" w:hAnsi="宋体" w:eastAsia="宋体"/>
          <w:color w:val="auto"/>
        </w:rPr>
        <w:t>评标程序</w:t>
      </w:r>
      <w:r>
        <w:tab/>
      </w:r>
      <w:r>
        <w:fldChar w:fldCharType="begin"/>
      </w:r>
      <w:r>
        <w:instrText xml:space="preserve"> PAGEREF _Toc112414204 \h </w:instrText>
      </w:r>
      <w:r>
        <w:fldChar w:fldCharType="separate"/>
      </w:r>
      <w:r>
        <w:t>71</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"_Toc112414205"</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四</w:t>
      </w:r>
      <w:r>
        <w:rPr>
          <w:rStyle w:val="70"/>
          <w:rFonts w:ascii="宋体" w:hAnsi="宋体" w:eastAsia="宋体"/>
          <w:color w:val="auto"/>
        </w:rPr>
        <w:t xml:space="preserve">   </w:t>
      </w:r>
      <w:r>
        <w:rPr>
          <w:rStyle w:val="70"/>
          <w:rFonts w:hint="eastAsia" w:ascii="宋体" w:hAnsi="宋体" w:eastAsia="宋体"/>
          <w:color w:val="auto"/>
        </w:rPr>
        <w:t>评标一般规定</w:t>
      </w:r>
      <w:r>
        <w:tab/>
      </w:r>
      <w:r>
        <w:fldChar w:fldCharType="begin"/>
      </w:r>
      <w:r>
        <w:instrText xml:space="preserve"> PAGEREF _Toc112414205 \h </w:instrText>
      </w:r>
      <w:r>
        <w:fldChar w:fldCharType="separate"/>
      </w:r>
      <w:r>
        <w:t>72</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"_Toc112414206"</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五</w:t>
      </w:r>
      <w:r>
        <w:rPr>
          <w:rStyle w:val="70"/>
          <w:rFonts w:ascii="宋体" w:hAnsi="宋体" w:eastAsia="宋体"/>
          <w:color w:val="auto"/>
        </w:rPr>
        <w:t xml:space="preserve">   </w:t>
      </w:r>
      <w:r>
        <w:rPr>
          <w:rStyle w:val="70"/>
          <w:rFonts w:hint="eastAsia" w:ascii="宋体" w:hAnsi="宋体" w:eastAsia="宋体"/>
          <w:color w:val="auto"/>
        </w:rPr>
        <w:t>评标办法和细则</w:t>
      </w:r>
      <w:r>
        <w:tab/>
      </w:r>
      <w:r>
        <w:fldChar w:fldCharType="begin"/>
      </w:r>
      <w:r>
        <w:instrText xml:space="preserve"> PAGEREF _Toc112414206 \h </w:instrText>
      </w:r>
      <w:r>
        <w:fldChar w:fldCharType="separate"/>
      </w:r>
      <w:r>
        <w:t>72</w:t>
      </w:r>
      <w:r>
        <w:fldChar w:fldCharType="end"/>
      </w:r>
      <w:r>
        <w:rPr>
          <w:rStyle w:val="70"/>
          <w:color w:val="auto"/>
        </w:rPr>
        <w:fldChar w:fldCharType="end"/>
      </w:r>
    </w:p>
    <w:p>
      <w:pPr>
        <w:pStyle w:val="28"/>
        <w:rPr>
          <w:rFonts w:ascii="Calibri" w:hAnsi="Calibri" w:eastAsia="宋体"/>
          <w:sz w:val="21"/>
          <w:szCs w:val="22"/>
          <w:lang w:val="en-US" w:eastAsia="zh-CN"/>
        </w:rPr>
      </w:pPr>
      <w:r>
        <w:rPr>
          <w:rStyle w:val="70"/>
          <w:color w:val="auto"/>
        </w:rPr>
        <w:fldChar w:fldCharType="begin"/>
      </w:r>
      <w:r>
        <w:rPr>
          <w:rStyle w:val="70"/>
          <w:color w:val="auto"/>
        </w:rPr>
        <w:instrText xml:space="preserve"> </w:instrText>
      </w:r>
      <w:r>
        <w:instrText xml:space="preserve">HYPERLINK \l "_Toc112414207"</w:instrText>
      </w:r>
      <w:r>
        <w:rPr>
          <w:rStyle w:val="70"/>
          <w:color w:val="auto"/>
        </w:rPr>
        <w:instrText xml:space="preserve"> </w:instrText>
      </w:r>
      <w:r>
        <w:rPr>
          <w:rStyle w:val="70"/>
          <w:color w:val="auto"/>
        </w:rPr>
        <w:fldChar w:fldCharType="separate"/>
      </w:r>
      <w:r>
        <w:rPr>
          <w:rStyle w:val="70"/>
          <w:rFonts w:hint="eastAsia" w:ascii="宋体" w:hAnsi="宋体" w:eastAsia="宋体"/>
          <w:color w:val="auto"/>
        </w:rPr>
        <w:t>六</w:t>
      </w:r>
      <w:r>
        <w:rPr>
          <w:rStyle w:val="70"/>
          <w:rFonts w:ascii="宋体" w:hAnsi="宋体" w:eastAsia="宋体"/>
          <w:color w:val="auto"/>
        </w:rPr>
        <w:t xml:space="preserve">   </w:t>
      </w:r>
      <w:r>
        <w:rPr>
          <w:rStyle w:val="70"/>
          <w:rFonts w:hint="eastAsia" w:ascii="宋体" w:hAnsi="宋体" w:eastAsia="宋体"/>
          <w:color w:val="auto"/>
        </w:rPr>
        <w:t>评审纪律和要求</w:t>
      </w:r>
      <w:r>
        <w:tab/>
      </w:r>
      <w:r>
        <w:fldChar w:fldCharType="begin"/>
      </w:r>
      <w:r>
        <w:instrText xml:space="preserve"> PAGEREF _Toc112414207 \h </w:instrText>
      </w:r>
      <w:r>
        <w:fldChar w:fldCharType="separate"/>
      </w:r>
      <w:r>
        <w:t>75</w:t>
      </w:r>
      <w:r>
        <w:fldChar w:fldCharType="end"/>
      </w:r>
      <w:r>
        <w:rPr>
          <w:rStyle w:val="70"/>
          <w:color w:val="auto"/>
        </w:rPr>
        <w:fldChar w:fldCharType="end"/>
      </w:r>
    </w:p>
    <w:p>
      <w:pPr>
        <w:pStyle w:val="28"/>
        <w:ind w:left="735" w:hanging="105"/>
        <w:jc w:val="left"/>
        <w:rPr>
          <w:rFonts w:hint="eastAsia"/>
        </w:rPr>
      </w:pPr>
      <w:r>
        <w:rPr>
          <w:rFonts w:hint="eastAsia" w:ascii="宋体" w:hAnsi="宋体" w:eastAsia="宋体"/>
          <w:sz w:val="21"/>
          <w:szCs w:val="21"/>
        </w:rPr>
        <w:fldChar w:fldCharType="end"/>
      </w:r>
      <w:bookmarkStart w:id="0" w:name="_Toc69635410"/>
    </w:p>
    <w:p>
      <w:pPr>
        <w:rPr>
          <w:rFonts w:hint="eastAsia"/>
          <w:lang/>
        </w:rPr>
      </w:pPr>
      <w:r>
        <w:rPr>
          <w:lang/>
        </w:rPr>
        <w:br w:type="page"/>
      </w:r>
    </w:p>
    <w:p>
      <w:pPr>
        <w:pStyle w:val="4"/>
        <w:rPr>
          <w:rFonts w:ascii="宋体" w:hAnsi="宋体" w:eastAsia="宋体"/>
          <w:b w:val="0"/>
        </w:rPr>
      </w:pPr>
      <w:bookmarkStart w:id="1" w:name="_Toc112414171"/>
      <w:r>
        <w:rPr>
          <w:rFonts w:hint="eastAsia" w:ascii="宋体" w:hAnsi="宋体" w:eastAsia="宋体"/>
          <w:sz w:val="32"/>
        </w:rPr>
        <w:t>第一章</w:t>
      </w:r>
      <w:r>
        <w:rPr>
          <w:rFonts w:ascii="宋体" w:hAnsi="宋体" w:eastAsia="宋体"/>
          <w:sz w:val="32"/>
        </w:rPr>
        <w:t xml:space="preserve"> </w:t>
      </w:r>
      <w:bookmarkEnd w:id="0"/>
      <w:r>
        <w:rPr>
          <w:rFonts w:hint="eastAsia" w:ascii="宋体" w:hAnsi="宋体" w:eastAsia="宋体"/>
          <w:sz w:val="32"/>
        </w:rPr>
        <w:t>公开招标公告</w:t>
      </w:r>
      <w:bookmarkEnd w:id="1"/>
    </w:p>
    <w:p>
      <w:pPr>
        <w:pBdr>
          <w:top w:val="single" w:color="auto" w:sz="4" w:space="1"/>
          <w:left w:val="single" w:color="auto" w:sz="4" w:space="4"/>
          <w:bottom w:val="single" w:color="auto" w:sz="4" w:space="1"/>
          <w:right w:val="single" w:color="auto" w:sz="4" w:space="2"/>
        </w:pBdr>
        <w:spacing w:line="360" w:lineRule="auto"/>
        <w:rPr>
          <w:rFonts w:hint="eastAsia" w:ascii="宋体" w:hAnsi="宋体" w:cs="仿宋_GB2312"/>
          <w:sz w:val="24"/>
        </w:rPr>
      </w:pPr>
      <w:bookmarkStart w:id="2" w:name="_Toc35393790"/>
      <w:bookmarkStart w:id="3" w:name="_Toc28359079"/>
      <w:bookmarkStart w:id="4" w:name="_Toc28359002"/>
      <w:bookmarkStart w:id="5" w:name="_Toc35393621"/>
      <w:bookmarkStart w:id="6" w:name="_Hlk24379207"/>
      <w:bookmarkStart w:id="7" w:name="EBf1e27c6183244f4a8f3fc355defd653e"/>
      <w:bookmarkStart w:id="8" w:name="OLE_LINK4"/>
      <w:r>
        <w:rPr>
          <w:rFonts w:hint="eastAsia" w:ascii="宋体" w:hAnsi="宋体" w:cs="仿宋_GB2312"/>
          <w:sz w:val="24"/>
        </w:rPr>
        <w:t>项目概况：</w:t>
      </w:r>
    </w:p>
    <w:p>
      <w:pPr>
        <w:pBdr>
          <w:top w:val="single" w:color="auto" w:sz="4" w:space="1"/>
          <w:left w:val="single" w:color="auto" w:sz="4" w:space="4"/>
          <w:bottom w:val="single" w:color="auto" w:sz="4" w:space="1"/>
          <w:right w:val="single" w:color="auto" w:sz="4" w:space="2"/>
        </w:pBdr>
        <w:spacing w:line="360" w:lineRule="auto"/>
        <w:ind w:firstLine="482" w:firstLineChars="200"/>
        <w:rPr>
          <w:rFonts w:ascii="宋体" w:hAnsi="宋体" w:cs="仿宋_GB2312"/>
          <w:sz w:val="24"/>
        </w:rPr>
      </w:pPr>
      <w:r>
        <w:rPr>
          <w:rFonts w:hint="eastAsia" w:ascii="宋体" w:hAnsi="宋体"/>
          <w:b/>
          <w:sz w:val="24"/>
          <w:u w:val="single"/>
        </w:rPr>
        <w:t>莲都区公共安全视频监控建设联网应用项目（碧湖改建项目）</w:t>
      </w:r>
      <w:r>
        <w:rPr>
          <w:rFonts w:hint="eastAsia" w:ascii="宋体" w:hAnsi="宋体" w:cs="仿宋_GB2312"/>
          <w:sz w:val="24"/>
        </w:rPr>
        <w:t>的潜在投标人应在浙江政府采购网（</w:t>
      </w:r>
      <w:r>
        <w:rPr>
          <w:rFonts w:hint="eastAsia" w:ascii="宋体" w:hAnsi="宋体"/>
          <w:sz w:val="24"/>
        </w:rPr>
        <w:t>http://zfcg.czt.zj.gov.cn/</w:t>
      </w:r>
      <w:r>
        <w:rPr>
          <w:rFonts w:hint="eastAsia" w:ascii="宋体" w:hAnsi="宋体" w:cs="仿宋_GB2312"/>
          <w:sz w:val="24"/>
        </w:rPr>
        <w:t>）、</w:t>
      </w:r>
      <w:r>
        <w:rPr>
          <w:rFonts w:hint="eastAsia" w:ascii="宋体" w:hAnsi="宋体"/>
          <w:bCs/>
          <w:kern w:val="0"/>
          <w:sz w:val="24"/>
        </w:rPr>
        <w:t>丽水市公共资源交易网（莲都）</w:t>
      </w:r>
      <w:r>
        <w:rPr>
          <w:rFonts w:ascii="宋体" w:hAnsi="宋体"/>
          <w:bCs/>
          <w:kern w:val="0"/>
          <w:sz w:val="24"/>
        </w:rPr>
        <w:t>http://lssggzy.lishui.gov.cn/ldweb/</w:t>
      </w:r>
      <w:r>
        <w:rPr>
          <w:rFonts w:hint="eastAsia" w:ascii="宋体" w:hAnsi="宋体" w:cs="仿宋_GB2312"/>
          <w:sz w:val="24"/>
        </w:rPr>
        <w:t>采购</w:t>
      </w:r>
      <w:r>
        <w:rPr>
          <w:rFonts w:ascii="宋体" w:hAnsi="宋体" w:cs="仿宋_GB2312"/>
          <w:sz w:val="24"/>
        </w:rPr>
        <w:t>公告附件中</w:t>
      </w:r>
      <w:r>
        <w:rPr>
          <w:rFonts w:hint="eastAsia" w:ascii="宋体" w:hAnsi="宋体" w:cs="仿宋_GB2312"/>
          <w:sz w:val="24"/>
        </w:rPr>
        <w:t>自行获取采购文件，并于</w:t>
      </w:r>
      <w:r>
        <w:rPr>
          <w:rFonts w:hint="eastAsia" w:ascii="宋体" w:hAnsi="宋体" w:cs="仿宋_GB2312"/>
          <w:sz w:val="24"/>
          <w:u w:val="single"/>
        </w:rPr>
        <w:t xml:space="preserve"> </w:t>
      </w:r>
      <w:r>
        <w:rPr>
          <w:rFonts w:ascii="宋体" w:hAnsi="宋体"/>
          <w:b/>
          <w:bCs/>
          <w:snapToGrid w:val="0"/>
          <w:sz w:val="24"/>
          <w:u w:val="single"/>
        </w:rPr>
        <w:t>202</w:t>
      </w:r>
      <w:r>
        <w:rPr>
          <w:rFonts w:hint="eastAsia" w:ascii="宋体" w:hAnsi="宋体"/>
          <w:b/>
          <w:bCs/>
          <w:snapToGrid w:val="0"/>
          <w:sz w:val="24"/>
          <w:u w:val="single"/>
        </w:rPr>
        <w:t>2</w:t>
      </w:r>
      <w:r>
        <w:rPr>
          <w:rFonts w:hint="eastAsia" w:ascii="宋体" w:hAnsi="宋体" w:cs="仿宋_GB2312"/>
          <w:b/>
          <w:bCs/>
          <w:sz w:val="24"/>
        </w:rPr>
        <w:t>年</w:t>
      </w:r>
      <w:r>
        <w:rPr>
          <w:rFonts w:hint="eastAsia" w:ascii="宋体" w:hAnsi="宋体"/>
          <w:b/>
          <w:bCs/>
          <w:snapToGrid w:val="0"/>
          <w:sz w:val="24"/>
          <w:u w:val="single"/>
        </w:rPr>
        <w:t xml:space="preserve"> 9 </w:t>
      </w:r>
      <w:r>
        <w:rPr>
          <w:rFonts w:hint="eastAsia" w:ascii="宋体" w:hAnsi="宋体" w:cs="仿宋_GB2312"/>
          <w:b/>
          <w:bCs/>
          <w:sz w:val="24"/>
        </w:rPr>
        <w:t>月</w:t>
      </w:r>
      <w:r>
        <w:rPr>
          <w:rFonts w:hint="eastAsia" w:ascii="宋体" w:hAnsi="宋体"/>
          <w:b/>
          <w:bCs/>
          <w:snapToGrid w:val="0"/>
          <w:sz w:val="24"/>
          <w:u w:val="single"/>
        </w:rPr>
        <w:t xml:space="preserve"> 19 </w:t>
      </w:r>
      <w:r>
        <w:rPr>
          <w:rFonts w:hint="eastAsia" w:ascii="宋体" w:hAnsi="宋体" w:cs="仿宋_GB2312"/>
          <w:b/>
          <w:bCs/>
          <w:sz w:val="24"/>
        </w:rPr>
        <w:t>日</w:t>
      </w:r>
      <w:r>
        <w:rPr>
          <w:rFonts w:hint="eastAsia" w:ascii="宋体" w:hAnsi="宋体"/>
          <w:b/>
          <w:bCs/>
          <w:snapToGrid w:val="0"/>
          <w:sz w:val="24"/>
          <w:u w:val="single"/>
        </w:rPr>
        <w:t>9:</w:t>
      </w:r>
      <w:r>
        <w:rPr>
          <w:rFonts w:ascii="宋体" w:hAnsi="宋体"/>
          <w:b/>
          <w:bCs/>
          <w:snapToGrid w:val="0"/>
          <w:sz w:val="24"/>
          <w:u w:val="single"/>
        </w:rPr>
        <w:t>00</w:t>
      </w:r>
      <w:r>
        <w:rPr>
          <w:rFonts w:hint="eastAsia" w:ascii="宋体" w:hAnsi="宋体" w:cs="仿宋_GB2312"/>
          <w:bCs/>
          <w:sz w:val="24"/>
        </w:rPr>
        <w:t>（北京时间）前提交（上传）</w:t>
      </w:r>
      <w:r>
        <w:rPr>
          <w:rFonts w:ascii="宋体" w:hAnsi="宋体" w:cs="仿宋_GB2312"/>
          <w:bCs/>
          <w:sz w:val="24"/>
        </w:rPr>
        <w:t>响应</w:t>
      </w:r>
      <w:r>
        <w:rPr>
          <w:rFonts w:hint="eastAsia" w:ascii="宋体" w:hAnsi="宋体" w:cs="仿宋_GB2312"/>
          <w:bCs/>
          <w:sz w:val="24"/>
        </w:rPr>
        <w:t>文件。</w:t>
      </w:r>
    </w:p>
    <w:p>
      <w:pPr>
        <w:spacing w:line="360" w:lineRule="auto"/>
        <w:jc w:val="left"/>
        <w:rPr>
          <w:rFonts w:hint="eastAsia" w:ascii="宋体" w:hAnsi="宋体" w:cs="仿宋_GB2312"/>
          <w:b/>
          <w:sz w:val="24"/>
        </w:rPr>
      </w:pPr>
      <w:r>
        <w:rPr>
          <w:rFonts w:hint="eastAsia" w:ascii="宋体" w:hAnsi="宋体" w:cs="仿宋_GB2312"/>
          <w:b/>
          <w:sz w:val="24"/>
        </w:rPr>
        <w:t>一、项目基本情况</w:t>
      </w:r>
      <w:bookmarkEnd w:id="2"/>
      <w:bookmarkEnd w:id="3"/>
      <w:bookmarkEnd w:id="4"/>
      <w:bookmarkEnd w:id="5"/>
    </w:p>
    <w:bookmarkEnd w:id="6"/>
    <w:p>
      <w:pPr>
        <w:spacing w:line="360" w:lineRule="auto"/>
        <w:ind w:firstLine="480" w:firstLineChars="200"/>
        <w:rPr>
          <w:rFonts w:ascii="宋体" w:hAnsi="宋体" w:cs="仿宋_GB2312"/>
          <w:sz w:val="24"/>
        </w:rPr>
      </w:pPr>
      <w:r>
        <w:rPr>
          <w:rFonts w:hint="eastAsia" w:ascii="宋体" w:hAnsi="宋体" w:cs="仿宋_GB2312"/>
          <w:sz w:val="24"/>
        </w:rPr>
        <w:t>项目编号：</w:t>
      </w:r>
      <w:r>
        <w:rPr>
          <w:rFonts w:hint="eastAsia" w:ascii="宋体" w:hAnsi="宋体"/>
          <w:sz w:val="24"/>
        </w:rPr>
        <w:t>浙建航招2022342号</w:t>
      </w:r>
    </w:p>
    <w:p>
      <w:pPr>
        <w:spacing w:line="360" w:lineRule="auto"/>
        <w:ind w:firstLine="480" w:firstLineChars="200"/>
        <w:rPr>
          <w:rFonts w:hint="eastAsia" w:ascii="宋体" w:hAnsi="宋体"/>
          <w:sz w:val="24"/>
        </w:rPr>
      </w:pPr>
      <w:r>
        <w:rPr>
          <w:rFonts w:hint="eastAsia" w:ascii="宋体" w:hAnsi="宋体" w:cs="仿宋_GB2312"/>
          <w:sz w:val="24"/>
        </w:rPr>
        <w:t>项目名称：莲都区公共安全视频监控建设联网应用项目（碧湖改建项目）</w:t>
      </w:r>
    </w:p>
    <w:p>
      <w:pPr>
        <w:spacing w:line="360" w:lineRule="auto"/>
        <w:ind w:firstLine="480" w:firstLineChars="200"/>
        <w:rPr>
          <w:rFonts w:ascii="宋体" w:hAnsi="宋体" w:cs="仿宋_GB2312"/>
          <w:sz w:val="24"/>
        </w:rPr>
      </w:pPr>
      <w:r>
        <w:rPr>
          <w:rFonts w:ascii="宋体" w:hAnsi="宋体" w:cs="仿宋_GB2312"/>
          <w:sz w:val="24"/>
        </w:rPr>
        <w:t>预算金额（元）：</w:t>
      </w:r>
      <w:r>
        <w:rPr>
          <w:rFonts w:hint="eastAsia" w:ascii="宋体" w:hAnsi="宋体"/>
          <w:sz w:val="24"/>
        </w:rPr>
        <w:t>5000000</w:t>
      </w:r>
    </w:p>
    <w:p>
      <w:pPr>
        <w:spacing w:line="360" w:lineRule="auto"/>
        <w:ind w:firstLine="480" w:firstLineChars="200"/>
        <w:rPr>
          <w:rFonts w:ascii="宋体" w:hAnsi="宋体" w:cs="仿宋_GB2312"/>
          <w:sz w:val="24"/>
        </w:rPr>
      </w:pPr>
      <w:r>
        <w:rPr>
          <w:rFonts w:ascii="宋体" w:hAnsi="宋体" w:cs="仿宋_GB2312"/>
          <w:sz w:val="24"/>
        </w:rPr>
        <w:t>最高限价（元）：</w:t>
      </w:r>
      <w:r>
        <w:rPr>
          <w:rFonts w:hint="eastAsia" w:ascii="宋体" w:hAnsi="宋体"/>
          <w:sz w:val="24"/>
        </w:rPr>
        <w:t>4183481</w:t>
      </w:r>
    </w:p>
    <w:p>
      <w:pPr>
        <w:spacing w:line="360" w:lineRule="auto"/>
        <w:ind w:firstLine="480" w:firstLineChars="200"/>
        <w:rPr>
          <w:rFonts w:hint="eastAsia" w:ascii="宋体" w:hAnsi="宋体" w:cs="仿宋_GB2312"/>
          <w:sz w:val="24"/>
        </w:rPr>
      </w:pPr>
      <w:r>
        <w:rPr>
          <w:rFonts w:hint="eastAsia" w:ascii="宋体" w:hAnsi="宋体" w:cs="仿宋_GB2312"/>
          <w:sz w:val="24"/>
        </w:rPr>
        <w:t>采购</w:t>
      </w:r>
      <w:r>
        <w:rPr>
          <w:rFonts w:ascii="宋体" w:hAnsi="宋体" w:cs="仿宋_GB2312"/>
          <w:sz w:val="24"/>
        </w:rPr>
        <w:t>需求：</w:t>
      </w:r>
      <w:r>
        <w:rPr>
          <w:rFonts w:hint="eastAsia" w:ascii="宋体" w:hAnsi="宋体" w:cs="仿宋_GB2312"/>
          <w:sz w:val="24"/>
        </w:rPr>
        <w:t>见招标</w:t>
      </w:r>
      <w:r>
        <w:rPr>
          <w:rFonts w:ascii="宋体" w:hAnsi="宋体" w:cs="仿宋_GB2312"/>
          <w:sz w:val="24"/>
        </w:rPr>
        <w:t>文件</w:t>
      </w:r>
      <w:r>
        <w:rPr>
          <w:rFonts w:hint="eastAsia" w:ascii="宋体" w:hAnsi="宋体" w:cs="仿宋_GB2312"/>
          <w:sz w:val="24"/>
        </w:rPr>
        <w:t xml:space="preserve"> </w:t>
      </w:r>
      <w:r>
        <w:rPr>
          <w:rFonts w:ascii="宋体" w:hAnsi="宋体" w:cs="仿宋_GB2312"/>
          <w:sz w:val="24"/>
        </w:rPr>
        <w:t>第</w:t>
      </w:r>
      <w:r>
        <w:rPr>
          <w:rFonts w:hint="eastAsia" w:ascii="宋体" w:hAnsi="宋体" w:cs="仿宋_GB2312"/>
          <w:sz w:val="24"/>
        </w:rPr>
        <w:t>三</w:t>
      </w:r>
      <w:r>
        <w:rPr>
          <w:rFonts w:ascii="宋体" w:hAnsi="宋体" w:cs="仿宋_GB2312"/>
          <w:sz w:val="24"/>
        </w:rPr>
        <w:t>章</w:t>
      </w:r>
      <w:r>
        <w:rPr>
          <w:rFonts w:hint="eastAsia" w:ascii="宋体" w:hAnsi="宋体" w:cs="仿宋_GB2312"/>
          <w:sz w:val="24"/>
        </w:rPr>
        <w:t xml:space="preserve"> 采购需求</w:t>
      </w:r>
    </w:p>
    <w:p>
      <w:pPr>
        <w:spacing w:line="360" w:lineRule="auto"/>
        <w:ind w:firstLine="480" w:firstLineChars="200"/>
        <w:rPr>
          <w:rFonts w:hint="eastAsia" w:ascii="宋体" w:hAnsi="宋体" w:cs="仿宋_GB2312"/>
          <w:sz w:val="24"/>
        </w:rPr>
      </w:pPr>
      <w:r>
        <w:rPr>
          <w:rFonts w:hint="eastAsia" w:ascii="宋体" w:hAnsi="宋体" w:cs="仿宋_GB2312"/>
          <w:sz w:val="24"/>
        </w:rPr>
        <w:t>标项名称</w:t>
      </w:r>
      <w:r>
        <w:rPr>
          <w:rFonts w:ascii="宋体" w:hAnsi="宋体" w:cs="仿宋_GB2312"/>
          <w:sz w:val="24"/>
        </w:rPr>
        <w:t>：</w:t>
      </w:r>
      <w:r>
        <w:rPr>
          <w:rFonts w:hint="eastAsia" w:ascii="宋体" w:hAnsi="宋体" w:cs="仿宋_GB2312"/>
          <w:sz w:val="24"/>
        </w:rPr>
        <w:t>莲都区公共安全视频监控建设联网应用项目（碧湖改建项目）</w:t>
      </w:r>
    </w:p>
    <w:p>
      <w:pPr>
        <w:spacing w:line="360" w:lineRule="auto"/>
        <w:ind w:firstLine="480" w:firstLineChars="200"/>
        <w:rPr>
          <w:rFonts w:hint="eastAsia" w:ascii="宋体" w:hAnsi="宋体" w:cs="仿宋_GB2312"/>
          <w:sz w:val="24"/>
        </w:rPr>
      </w:pPr>
      <w:r>
        <w:rPr>
          <w:rFonts w:ascii="宋体" w:hAnsi="宋体" w:cs="仿宋_GB2312"/>
          <w:sz w:val="24"/>
        </w:rPr>
        <w:t>数量：</w:t>
      </w:r>
      <w:r>
        <w:rPr>
          <w:rFonts w:hint="eastAsia" w:ascii="宋体" w:hAnsi="宋体" w:cs="仿宋_GB2312"/>
          <w:sz w:val="24"/>
        </w:rPr>
        <w:t>1项</w:t>
      </w:r>
    </w:p>
    <w:p>
      <w:pPr>
        <w:spacing w:line="360" w:lineRule="auto"/>
        <w:ind w:firstLine="480" w:firstLineChars="200"/>
        <w:rPr>
          <w:rFonts w:hint="eastAsia" w:ascii="宋体" w:hAnsi="宋体" w:cs="仿宋_GB2312"/>
          <w:sz w:val="24"/>
        </w:rPr>
      </w:pPr>
      <w:r>
        <w:rPr>
          <w:rFonts w:ascii="宋体" w:hAnsi="宋体" w:cs="仿宋_GB2312"/>
          <w:sz w:val="24"/>
        </w:rPr>
        <w:t>预算金额（元）：</w:t>
      </w:r>
      <w:r>
        <w:rPr>
          <w:rFonts w:hint="eastAsia" w:ascii="宋体" w:hAnsi="宋体"/>
          <w:sz w:val="24"/>
        </w:rPr>
        <w:t>5000000</w:t>
      </w:r>
    </w:p>
    <w:p>
      <w:pPr>
        <w:spacing w:line="360" w:lineRule="auto"/>
        <w:ind w:firstLine="480" w:firstLineChars="200"/>
        <w:rPr>
          <w:rFonts w:hint="eastAsia" w:ascii="宋体" w:hAnsi="宋体" w:cs="仿宋_GB2312"/>
          <w:sz w:val="24"/>
        </w:rPr>
      </w:pPr>
      <w:r>
        <w:rPr>
          <w:rFonts w:ascii="宋体" w:hAnsi="宋体" w:cs="仿宋_GB2312"/>
          <w:sz w:val="24"/>
        </w:rPr>
        <w:t>简要规格描述或项目基本概况介绍、用途：</w:t>
      </w:r>
      <w:r>
        <w:rPr>
          <w:rFonts w:hint="eastAsia" w:ascii="宋体" w:hAnsi="宋体" w:cs="仿宋_GB2312"/>
          <w:sz w:val="24"/>
        </w:rPr>
        <w:t>见招标</w:t>
      </w:r>
      <w:r>
        <w:rPr>
          <w:rFonts w:ascii="宋体" w:hAnsi="宋体" w:cs="仿宋_GB2312"/>
          <w:sz w:val="24"/>
        </w:rPr>
        <w:t>文件</w:t>
      </w:r>
      <w:r>
        <w:rPr>
          <w:rFonts w:hint="eastAsia" w:ascii="宋体" w:hAnsi="宋体" w:cs="仿宋_GB2312"/>
          <w:sz w:val="24"/>
        </w:rPr>
        <w:t xml:space="preserve"> </w:t>
      </w:r>
      <w:r>
        <w:rPr>
          <w:rFonts w:ascii="宋体" w:hAnsi="宋体" w:cs="仿宋_GB2312"/>
          <w:sz w:val="24"/>
        </w:rPr>
        <w:t>第</w:t>
      </w:r>
      <w:r>
        <w:rPr>
          <w:rFonts w:hint="eastAsia" w:ascii="宋体" w:hAnsi="宋体" w:cs="仿宋_GB2312"/>
          <w:sz w:val="24"/>
        </w:rPr>
        <w:t>三</w:t>
      </w:r>
      <w:r>
        <w:rPr>
          <w:rFonts w:ascii="宋体" w:hAnsi="宋体" w:cs="仿宋_GB2312"/>
          <w:sz w:val="24"/>
        </w:rPr>
        <w:t>章</w:t>
      </w:r>
      <w:r>
        <w:rPr>
          <w:rFonts w:hint="eastAsia" w:ascii="宋体" w:hAnsi="宋体" w:cs="仿宋_GB2312"/>
          <w:sz w:val="24"/>
        </w:rPr>
        <w:t xml:space="preserve"> 采购需求</w:t>
      </w:r>
    </w:p>
    <w:p>
      <w:pPr>
        <w:spacing w:line="360" w:lineRule="auto"/>
        <w:ind w:firstLine="480" w:firstLineChars="200"/>
        <w:rPr>
          <w:rFonts w:hint="eastAsia" w:ascii="宋体" w:hAnsi="宋体" w:cs="仿宋_GB2312"/>
          <w:sz w:val="24"/>
        </w:rPr>
      </w:pPr>
      <w:r>
        <w:rPr>
          <w:rFonts w:ascii="宋体" w:hAnsi="宋体" w:cs="仿宋_GB2312"/>
          <w:sz w:val="24"/>
        </w:rPr>
        <w:t>备注：</w:t>
      </w:r>
      <w:r>
        <w:rPr>
          <w:rFonts w:hint="eastAsia" w:ascii="宋体" w:hAnsi="宋体" w:cs="仿宋_GB2312"/>
          <w:sz w:val="24"/>
        </w:rPr>
        <w:t>无</w:t>
      </w:r>
    </w:p>
    <w:p>
      <w:pPr>
        <w:spacing w:line="360" w:lineRule="auto"/>
        <w:ind w:firstLine="480" w:firstLineChars="200"/>
        <w:rPr>
          <w:rFonts w:ascii="宋体" w:hAnsi="宋体" w:cs="仿宋_GB2312"/>
          <w:sz w:val="24"/>
        </w:rPr>
      </w:pPr>
      <w:r>
        <w:rPr>
          <w:rFonts w:ascii="宋体" w:hAnsi="宋体" w:cs="仿宋_GB2312"/>
          <w:sz w:val="24"/>
        </w:rPr>
        <w:t>合同履约期限：</w:t>
      </w:r>
      <w:r>
        <w:rPr>
          <w:rFonts w:hint="eastAsia" w:ascii="宋体" w:hAnsi="宋体" w:cs="仿宋_GB2312"/>
          <w:sz w:val="24"/>
        </w:rPr>
        <w:t>见招标</w:t>
      </w:r>
      <w:r>
        <w:rPr>
          <w:rFonts w:ascii="宋体" w:hAnsi="宋体" w:cs="仿宋_GB2312"/>
          <w:sz w:val="24"/>
        </w:rPr>
        <w:t>文件</w:t>
      </w:r>
      <w:r>
        <w:rPr>
          <w:rFonts w:hint="eastAsia" w:ascii="宋体" w:hAnsi="宋体" w:cs="仿宋_GB2312"/>
          <w:sz w:val="24"/>
        </w:rPr>
        <w:t xml:space="preserve"> </w:t>
      </w:r>
      <w:r>
        <w:rPr>
          <w:rFonts w:ascii="宋体" w:hAnsi="宋体" w:cs="仿宋_GB2312"/>
          <w:sz w:val="24"/>
        </w:rPr>
        <w:t>第</w:t>
      </w:r>
      <w:r>
        <w:rPr>
          <w:rFonts w:hint="eastAsia" w:ascii="宋体" w:hAnsi="宋体" w:cs="仿宋_GB2312"/>
          <w:sz w:val="24"/>
        </w:rPr>
        <w:t>三</w:t>
      </w:r>
      <w:r>
        <w:rPr>
          <w:rFonts w:ascii="宋体" w:hAnsi="宋体" w:cs="仿宋_GB2312"/>
          <w:sz w:val="24"/>
        </w:rPr>
        <w:t>章</w:t>
      </w:r>
      <w:r>
        <w:rPr>
          <w:rFonts w:hint="eastAsia" w:ascii="宋体" w:hAnsi="宋体" w:cs="仿宋_GB2312"/>
          <w:sz w:val="24"/>
        </w:rPr>
        <w:t xml:space="preserve"> 采购需求</w:t>
      </w:r>
    </w:p>
    <w:p>
      <w:pPr>
        <w:spacing w:line="360" w:lineRule="auto"/>
        <w:ind w:firstLine="480" w:firstLineChars="200"/>
        <w:rPr>
          <w:rFonts w:ascii="宋体" w:hAnsi="宋体" w:cs="仿宋_GB2312"/>
          <w:sz w:val="24"/>
        </w:rPr>
      </w:pPr>
      <w:r>
        <w:rPr>
          <w:rFonts w:ascii="宋体" w:hAnsi="宋体" w:cs="仿宋_GB2312"/>
          <w:sz w:val="24"/>
        </w:rPr>
        <w:t>本项目</w:t>
      </w:r>
      <w:r>
        <w:rPr>
          <w:rFonts w:hint="eastAsia" w:ascii="宋体" w:hAnsi="宋体" w:cs="仿宋_GB2312"/>
          <w:sz w:val="24"/>
        </w:rPr>
        <w:t>不</w:t>
      </w:r>
      <w:r>
        <w:rPr>
          <w:rFonts w:ascii="宋体" w:hAnsi="宋体" w:cs="仿宋_GB2312"/>
          <w:sz w:val="24"/>
        </w:rPr>
        <w:t>允许联合体投标。</w:t>
      </w:r>
    </w:p>
    <w:p>
      <w:pPr>
        <w:spacing w:line="360" w:lineRule="auto"/>
        <w:jc w:val="left"/>
        <w:rPr>
          <w:rFonts w:hint="eastAsia" w:ascii="宋体" w:hAnsi="宋体" w:cs="仿宋_GB2312"/>
          <w:b/>
          <w:sz w:val="24"/>
        </w:rPr>
      </w:pPr>
      <w:bookmarkStart w:id="9" w:name="_Toc35393791"/>
      <w:bookmarkStart w:id="10" w:name="_Toc28359003"/>
      <w:bookmarkStart w:id="11" w:name="_Toc35393622"/>
      <w:bookmarkStart w:id="12" w:name="_Toc28359080"/>
      <w:r>
        <w:rPr>
          <w:rFonts w:hint="eastAsia" w:ascii="宋体" w:hAnsi="宋体" w:cs="仿宋_GB2312"/>
          <w:b/>
          <w:sz w:val="24"/>
        </w:rPr>
        <w:t>二、申请人的资格要求</w:t>
      </w:r>
      <w:bookmarkEnd w:id="9"/>
      <w:bookmarkEnd w:id="10"/>
      <w:bookmarkEnd w:id="11"/>
      <w:bookmarkEnd w:id="12"/>
    </w:p>
    <w:p>
      <w:pPr>
        <w:spacing w:line="360" w:lineRule="auto"/>
        <w:ind w:firstLine="480" w:firstLineChars="200"/>
        <w:rPr>
          <w:rFonts w:hint="eastAsia" w:ascii="宋体" w:hAnsi="宋体" w:cs="仿宋_GB2312"/>
          <w:sz w:val="24"/>
        </w:rPr>
      </w:pPr>
      <w:bookmarkStart w:id="13" w:name="_Toc28359004"/>
      <w:bookmarkStart w:id="14" w:name="_Toc28359081"/>
      <w:bookmarkStart w:id="15" w:name="_Toc35393623"/>
      <w:bookmarkStart w:id="16" w:name="_Toc35393792"/>
      <w:r>
        <w:rPr>
          <w:rFonts w:hint="eastAsia" w:ascii="宋体" w:hAnsi="宋体" w:cs="仿宋_GB2312"/>
          <w:sz w:val="24"/>
        </w:rPr>
        <w:t>1.满足《中华人民共和国政府采购法》第二十二条规定；</w:t>
      </w:r>
    </w:p>
    <w:p>
      <w:pPr>
        <w:spacing w:line="360" w:lineRule="auto"/>
        <w:ind w:firstLine="480" w:firstLineChars="200"/>
        <w:rPr>
          <w:rFonts w:ascii="宋体" w:hAnsi="宋体"/>
          <w:sz w:val="24"/>
        </w:rPr>
      </w:pPr>
      <w:r>
        <w:rPr>
          <w:rFonts w:hint="eastAsia" w:ascii="宋体" w:hAnsi="宋体" w:cs="仿宋_GB2312"/>
          <w:sz w:val="24"/>
        </w:rPr>
        <w:t>2.未被“信用中国”网站（</w:t>
      </w:r>
      <w:r>
        <w:rPr>
          <w:rFonts w:hint="eastAsia" w:ascii="宋体" w:hAnsi="宋体"/>
          <w:sz w:val="24"/>
          <w:u w:val="single"/>
        </w:rPr>
        <w:t>www.creditchina.gov.cn</w:t>
      </w:r>
      <w:r>
        <w:rPr>
          <w:rFonts w:hint="eastAsia" w:ascii="宋体" w:hAnsi="宋体" w:cs="仿宋_GB2312"/>
          <w:sz w:val="24"/>
        </w:rPr>
        <w:t>）、中国政府采购网（</w:t>
      </w:r>
      <w:r>
        <w:rPr>
          <w:rFonts w:hint="eastAsia" w:ascii="宋体" w:hAnsi="宋体"/>
          <w:sz w:val="24"/>
          <w:u w:val="single"/>
        </w:rPr>
        <w:t>www.ccgp.gov.cn</w:t>
      </w:r>
      <w:r>
        <w:rPr>
          <w:rFonts w:hint="eastAsia" w:ascii="宋体" w:hAnsi="宋体" w:cs="仿宋_GB2312"/>
          <w:sz w:val="24"/>
        </w:rPr>
        <w:t>）列入失信被执行人、重大税收违法当事人名单、政府采购严重违法失信行为记录名单</w:t>
      </w:r>
      <w:r>
        <w:rPr>
          <w:rFonts w:hint="eastAsia" w:ascii="宋体" w:hAnsi="宋体"/>
          <w:b/>
          <w:sz w:val="24"/>
        </w:rPr>
        <w:t>（注：本项内容由代理机构在资格审查现场完成查询）</w:t>
      </w:r>
      <w:r>
        <w:rPr>
          <w:rFonts w:hint="eastAsia" w:ascii="宋体" w:hAnsi="宋体"/>
          <w:sz w:val="24"/>
        </w:rPr>
        <w:t>。</w:t>
      </w:r>
    </w:p>
    <w:p>
      <w:pPr>
        <w:spacing w:line="360" w:lineRule="auto"/>
        <w:ind w:firstLine="482" w:firstLineChars="200"/>
        <w:rPr>
          <w:rFonts w:hint="eastAsia" w:ascii="宋体" w:hAnsi="宋体" w:cs="仿宋_GB2312"/>
          <w:b/>
          <w:sz w:val="24"/>
        </w:rPr>
      </w:pPr>
      <w:r>
        <w:rPr>
          <w:rFonts w:hint="eastAsia" w:ascii="宋体" w:hAnsi="宋体" w:cs="仿宋_GB2312"/>
          <w:b/>
          <w:sz w:val="24"/>
        </w:rPr>
        <w:t>3.落实政府采购政策需满足的资格要求：</w:t>
      </w:r>
      <w:r>
        <w:rPr>
          <w:rFonts w:hint="eastAsia" w:ascii="宋体" w:hAnsi="宋体"/>
          <w:b/>
          <w:sz w:val="24"/>
        </w:rPr>
        <w:t>无</w:t>
      </w:r>
    </w:p>
    <w:p>
      <w:pPr>
        <w:spacing w:line="360" w:lineRule="auto"/>
        <w:ind w:firstLine="482" w:firstLineChars="200"/>
        <w:rPr>
          <w:rFonts w:hint="eastAsia" w:ascii="宋体" w:hAnsi="宋体" w:cs="仿宋_GB2312"/>
          <w:b/>
          <w:sz w:val="24"/>
        </w:rPr>
      </w:pPr>
      <w:r>
        <w:rPr>
          <w:rFonts w:hint="eastAsia" w:ascii="宋体" w:hAnsi="宋体" w:cs="仿宋_GB2312"/>
          <w:b/>
          <w:sz w:val="24"/>
        </w:rPr>
        <w:t>4.本项目的特定资格要求：</w:t>
      </w:r>
      <w:r>
        <w:rPr>
          <w:rFonts w:hint="eastAsia" w:ascii="宋体" w:hAnsi="宋体"/>
          <w:b/>
          <w:sz w:val="24"/>
        </w:rPr>
        <w:t>具有中华人民共和国基础电信业务经营许可证或有广播电视网络建设开发、经营管理和维护能力的供应商。</w:t>
      </w:r>
    </w:p>
    <w:bookmarkEnd w:id="13"/>
    <w:bookmarkEnd w:id="14"/>
    <w:bookmarkEnd w:id="15"/>
    <w:bookmarkEnd w:id="16"/>
    <w:p>
      <w:pPr>
        <w:spacing w:line="360" w:lineRule="auto"/>
        <w:jc w:val="left"/>
        <w:rPr>
          <w:rFonts w:hint="eastAsia" w:ascii="宋体" w:hAnsi="宋体" w:cs="仿宋_GB2312"/>
          <w:b/>
          <w:sz w:val="24"/>
        </w:rPr>
      </w:pPr>
      <w:r>
        <w:rPr>
          <w:rFonts w:hint="eastAsia" w:ascii="宋体" w:hAnsi="宋体" w:cs="仿宋_GB2312"/>
          <w:b/>
          <w:sz w:val="24"/>
        </w:rPr>
        <w:t>三、获取招标文件</w:t>
      </w:r>
    </w:p>
    <w:p>
      <w:pPr>
        <w:spacing w:line="360" w:lineRule="auto"/>
        <w:ind w:firstLine="480" w:firstLineChars="200"/>
        <w:rPr>
          <w:rFonts w:ascii="宋体" w:hAnsi="宋体" w:cs="仿宋_GB2312"/>
          <w:sz w:val="24"/>
        </w:rPr>
      </w:pPr>
      <w:r>
        <w:rPr>
          <w:rFonts w:hint="eastAsia" w:ascii="宋体" w:hAnsi="宋体" w:cs="仿宋_GB2312"/>
          <w:sz w:val="24"/>
        </w:rPr>
        <w:t>1</w:t>
      </w:r>
      <w:r>
        <w:rPr>
          <w:rFonts w:hint="eastAsia" w:ascii="宋体" w:hAnsi="宋体"/>
          <w:sz w:val="24"/>
        </w:rPr>
        <w:t>.</w:t>
      </w:r>
      <w:r>
        <w:rPr>
          <w:rFonts w:hint="eastAsia" w:ascii="宋体" w:hAnsi="宋体" w:cs="仿宋_GB2312"/>
          <w:sz w:val="24"/>
        </w:rPr>
        <w:t xml:space="preserve"> 时间：发布</w:t>
      </w:r>
      <w:r>
        <w:rPr>
          <w:rFonts w:ascii="宋体" w:hAnsi="宋体" w:cs="仿宋_GB2312"/>
          <w:sz w:val="24"/>
        </w:rPr>
        <w:t>公告</w:t>
      </w:r>
      <w:r>
        <w:rPr>
          <w:rFonts w:hint="eastAsia" w:ascii="宋体" w:hAnsi="宋体" w:cs="仿宋_GB2312"/>
          <w:sz w:val="24"/>
        </w:rPr>
        <w:t>之日至</w:t>
      </w:r>
      <w:r>
        <w:rPr>
          <w:rFonts w:hint="eastAsia" w:ascii="宋体" w:hAnsi="宋体" w:cs="仿宋_GB2312"/>
          <w:sz w:val="24"/>
          <w:u w:val="single"/>
        </w:rPr>
        <w:t xml:space="preserve"> </w:t>
      </w:r>
      <w:r>
        <w:rPr>
          <w:rFonts w:ascii="宋体" w:hAnsi="宋体"/>
          <w:bCs/>
          <w:snapToGrid w:val="0"/>
          <w:sz w:val="24"/>
          <w:u w:val="single"/>
        </w:rPr>
        <w:t>202</w:t>
      </w:r>
      <w:r>
        <w:rPr>
          <w:rFonts w:hint="eastAsia" w:ascii="宋体" w:hAnsi="宋体"/>
          <w:bCs/>
          <w:snapToGrid w:val="0"/>
          <w:sz w:val="24"/>
          <w:u w:val="single"/>
        </w:rPr>
        <w:t>2</w:t>
      </w:r>
      <w:r>
        <w:rPr>
          <w:rFonts w:hint="eastAsia" w:ascii="宋体" w:hAnsi="宋体" w:cs="仿宋_GB2312"/>
          <w:bCs/>
          <w:sz w:val="24"/>
        </w:rPr>
        <w:t>年</w:t>
      </w:r>
      <w:r>
        <w:rPr>
          <w:rFonts w:hint="eastAsia" w:ascii="宋体" w:hAnsi="宋体"/>
          <w:bCs/>
          <w:snapToGrid w:val="0"/>
          <w:sz w:val="24"/>
          <w:u w:val="single"/>
        </w:rPr>
        <w:t xml:space="preserve"> 9 </w:t>
      </w:r>
      <w:r>
        <w:rPr>
          <w:rFonts w:hint="eastAsia" w:ascii="宋体" w:hAnsi="宋体" w:cs="仿宋_GB2312"/>
          <w:bCs/>
          <w:sz w:val="24"/>
        </w:rPr>
        <w:t>月</w:t>
      </w:r>
      <w:r>
        <w:rPr>
          <w:rFonts w:hint="eastAsia" w:ascii="宋体" w:hAnsi="宋体"/>
          <w:bCs/>
          <w:snapToGrid w:val="0"/>
          <w:sz w:val="24"/>
          <w:u w:val="single"/>
        </w:rPr>
        <w:t xml:space="preserve"> 19 </w:t>
      </w:r>
      <w:r>
        <w:rPr>
          <w:rFonts w:hint="eastAsia" w:ascii="宋体" w:hAnsi="宋体" w:cs="仿宋_GB2312"/>
          <w:bCs/>
          <w:sz w:val="24"/>
        </w:rPr>
        <w:t>日</w:t>
      </w:r>
      <w:r>
        <w:rPr>
          <w:rFonts w:hint="eastAsia" w:ascii="宋体" w:hAnsi="宋体"/>
          <w:bCs/>
          <w:snapToGrid w:val="0"/>
          <w:sz w:val="24"/>
          <w:u w:val="single"/>
        </w:rPr>
        <w:t>9:00</w:t>
      </w:r>
      <w:r>
        <w:rPr>
          <w:rFonts w:hint="eastAsia" w:ascii="宋体" w:hAnsi="宋体" w:cs="仿宋_GB2312"/>
          <w:sz w:val="24"/>
        </w:rPr>
        <w:t>，每天上午00:00至12:00，下午12:00至23:59（北京时间，线上获取法定节假日均可，线下获取文件法定节假日除外）</w:t>
      </w:r>
    </w:p>
    <w:p>
      <w:pPr>
        <w:spacing w:line="360" w:lineRule="auto"/>
        <w:ind w:firstLine="480" w:firstLineChars="200"/>
        <w:rPr>
          <w:rFonts w:ascii="宋体" w:hAnsi="宋体" w:cs="仿宋_GB2312"/>
          <w:sz w:val="24"/>
        </w:rPr>
      </w:pPr>
      <w:r>
        <w:rPr>
          <w:rFonts w:hint="eastAsia" w:ascii="宋体" w:hAnsi="宋体" w:cs="仿宋_GB2312"/>
          <w:sz w:val="24"/>
        </w:rPr>
        <w:t>2</w:t>
      </w:r>
      <w:r>
        <w:rPr>
          <w:rFonts w:hint="eastAsia" w:ascii="宋体" w:hAnsi="宋体"/>
          <w:sz w:val="24"/>
        </w:rPr>
        <w:t>.</w:t>
      </w:r>
      <w:r>
        <w:rPr>
          <w:rFonts w:hint="eastAsia" w:ascii="宋体" w:hAnsi="宋体" w:cs="仿宋_GB2312"/>
          <w:sz w:val="24"/>
        </w:rPr>
        <w:t>地点（网址）：浙江政府采购网</w:t>
      </w:r>
      <w:r>
        <w:rPr>
          <w:rFonts w:hint="eastAsia" w:ascii="宋体" w:hAnsi="宋体" w:cs="仿宋_GB2312"/>
          <w:sz w:val="22"/>
        </w:rPr>
        <w:t>（</w:t>
      </w:r>
      <w:r>
        <w:rPr>
          <w:rFonts w:ascii="宋体" w:hAnsi="宋体"/>
          <w:sz w:val="22"/>
          <w:u w:val="single"/>
        </w:rPr>
        <w:t>http://</w:t>
      </w:r>
      <w:r>
        <w:rPr>
          <w:rFonts w:hint="eastAsia" w:ascii="宋体" w:hAnsi="宋体"/>
          <w:sz w:val="22"/>
          <w:u w:val="single"/>
        </w:rPr>
        <w:t>zfcg.czt.zj.gov.cn</w:t>
      </w:r>
      <w:r>
        <w:rPr>
          <w:rFonts w:hint="eastAsia" w:ascii="宋体" w:hAnsi="宋体" w:cs="仿宋_GB2312"/>
          <w:sz w:val="22"/>
        </w:rPr>
        <w:t>）、</w:t>
      </w:r>
      <w:r>
        <w:rPr>
          <w:rFonts w:hint="eastAsia" w:ascii="宋体" w:hAnsi="宋体"/>
          <w:bCs/>
          <w:kern w:val="0"/>
          <w:sz w:val="24"/>
        </w:rPr>
        <w:t>丽水市公共资源交易网（莲都）</w:t>
      </w:r>
      <w:r>
        <w:rPr>
          <w:rFonts w:ascii="宋体" w:hAnsi="宋体"/>
          <w:bCs/>
          <w:kern w:val="0"/>
          <w:sz w:val="24"/>
        </w:rPr>
        <w:t>http://lssggzy.lishui.gov.cn/ldweb/</w:t>
      </w:r>
      <w:r>
        <w:rPr>
          <w:rFonts w:hint="eastAsia" w:ascii="宋体" w:hAnsi="宋体" w:cs="仿宋_GB2312"/>
          <w:sz w:val="24"/>
        </w:rPr>
        <w:t>公告附件；</w:t>
      </w:r>
    </w:p>
    <w:p>
      <w:pPr>
        <w:spacing w:line="360" w:lineRule="auto"/>
        <w:ind w:firstLine="480" w:firstLineChars="200"/>
        <w:rPr>
          <w:rFonts w:hint="eastAsia" w:ascii="宋体" w:hAnsi="宋体" w:cs="仿宋_GB2312"/>
          <w:sz w:val="24"/>
        </w:rPr>
      </w:pPr>
      <w:r>
        <w:rPr>
          <w:rFonts w:hint="eastAsia" w:ascii="宋体" w:hAnsi="宋体" w:cs="仿宋_GB2312"/>
          <w:sz w:val="24"/>
        </w:rPr>
        <w:t>3</w:t>
      </w:r>
      <w:r>
        <w:rPr>
          <w:rFonts w:hint="eastAsia" w:ascii="宋体" w:hAnsi="宋体"/>
          <w:sz w:val="24"/>
        </w:rPr>
        <w:t>.</w:t>
      </w:r>
      <w:r>
        <w:rPr>
          <w:rFonts w:hint="eastAsia" w:ascii="宋体" w:hAnsi="宋体" w:cs="仿宋_GB2312"/>
          <w:sz w:val="24"/>
        </w:rPr>
        <w:t>方式：自行下载获取。</w:t>
      </w:r>
      <w:r>
        <w:rPr>
          <w:rFonts w:hint="eastAsia" w:ascii="宋体" w:hAnsi="宋体" w:cs="仿宋_GB2312"/>
          <w:sz w:val="24"/>
        </w:rPr>
        <w:fldChar w:fldCharType="begin"/>
      </w:r>
      <w:r>
        <w:rPr>
          <w:rFonts w:hint="eastAsia" w:ascii="宋体" w:hAnsi="宋体" w:cs="仿宋_GB2312"/>
          <w:sz w:val="24"/>
        </w:rPr>
        <w:instrText xml:space="preserve"> = 1 \* GB2 </w:instrText>
      </w:r>
      <w:r>
        <w:rPr>
          <w:rFonts w:hint="eastAsia" w:ascii="宋体" w:hAnsi="宋体" w:cs="仿宋_GB2312"/>
          <w:sz w:val="24"/>
        </w:rPr>
        <w:fldChar w:fldCharType="separate"/>
      </w:r>
      <w:r>
        <w:rPr>
          <w:rFonts w:hint="eastAsia" w:ascii="宋体" w:hAnsi="宋体" w:cs="仿宋_GB2312"/>
          <w:sz w:val="24"/>
        </w:rPr>
        <w:t>⑴</w:t>
      </w:r>
      <w:r>
        <w:rPr>
          <w:rFonts w:hint="eastAsia" w:ascii="宋体" w:hAnsi="宋体" w:cs="仿宋_GB2312"/>
          <w:sz w:val="24"/>
        </w:rPr>
        <w:fldChar w:fldCharType="end"/>
      </w:r>
      <w:r>
        <w:rPr>
          <w:rFonts w:hint="eastAsia" w:ascii="宋体" w:hAnsi="宋体" w:cs="仿宋_GB2312"/>
          <w:sz w:val="24"/>
        </w:rPr>
        <w:t>获取流程：浙江政府采购网</w:t>
      </w:r>
      <w:r>
        <w:rPr>
          <w:rFonts w:hint="eastAsia" w:ascii="宋体" w:hAnsi="宋体" w:cs="仿宋_GB2312"/>
          <w:b/>
          <w:sz w:val="24"/>
        </w:rPr>
        <w:t>→</w:t>
      </w:r>
      <w:r>
        <w:rPr>
          <w:rFonts w:hint="eastAsia" w:ascii="宋体" w:hAnsi="宋体" w:cs="仿宋_GB2312"/>
          <w:sz w:val="24"/>
        </w:rPr>
        <w:t>用户入驻/登录—用户登录</w:t>
      </w:r>
      <w:r>
        <w:rPr>
          <w:rFonts w:hint="eastAsia" w:ascii="宋体" w:hAnsi="宋体" w:cs="仿宋_GB2312"/>
          <w:b/>
          <w:sz w:val="24"/>
        </w:rPr>
        <w:t>→</w:t>
      </w:r>
      <w:r>
        <w:rPr>
          <w:rFonts w:hint="eastAsia" w:ascii="宋体" w:hAnsi="宋体" w:cs="仿宋_GB2312"/>
          <w:sz w:val="24"/>
        </w:rPr>
        <w:t>项目采购</w:t>
      </w:r>
      <w:r>
        <w:rPr>
          <w:rFonts w:hint="eastAsia" w:ascii="宋体" w:hAnsi="宋体" w:cs="仿宋_GB2312"/>
          <w:b/>
          <w:sz w:val="24"/>
        </w:rPr>
        <w:t>→</w:t>
      </w:r>
      <w:r>
        <w:rPr>
          <w:rFonts w:hint="eastAsia" w:ascii="宋体" w:hAnsi="宋体" w:cs="仿宋_GB2312"/>
          <w:sz w:val="24"/>
        </w:rPr>
        <w:t>获取招标文件管理；</w:t>
      </w:r>
      <w:r>
        <w:rPr>
          <w:rFonts w:hint="eastAsia" w:ascii="宋体" w:hAnsi="宋体" w:cs="仿宋_GB2312"/>
          <w:sz w:val="24"/>
        </w:rPr>
        <w:fldChar w:fldCharType="begin"/>
      </w:r>
      <w:r>
        <w:rPr>
          <w:rFonts w:hint="eastAsia" w:ascii="宋体" w:hAnsi="宋体" w:cs="仿宋_GB2312"/>
          <w:sz w:val="24"/>
        </w:rPr>
        <w:instrText xml:space="preserve"> = 2 \* GB2 </w:instrText>
      </w:r>
      <w:r>
        <w:rPr>
          <w:rFonts w:hint="eastAsia" w:ascii="宋体" w:hAnsi="宋体" w:cs="仿宋_GB2312"/>
          <w:sz w:val="24"/>
        </w:rPr>
        <w:fldChar w:fldCharType="separate"/>
      </w:r>
      <w:r>
        <w:rPr>
          <w:rFonts w:hint="eastAsia" w:ascii="宋体" w:hAnsi="宋体" w:cs="仿宋_GB2312"/>
          <w:sz w:val="24"/>
        </w:rPr>
        <w:t>⑵</w:t>
      </w:r>
      <w:r>
        <w:rPr>
          <w:rFonts w:hint="eastAsia" w:ascii="宋体" w:hAnsi="宋体" w:cs="仿宋_GB2312"/>
          <w:sz w:val="24"/>
        </w:rPr>
        <w:fldChar w:fldCharType="end"/>
      </w:r>
      <w:r>
        <w:rPr>
          <w:rFonts w:hint="eastAsia" w:ascii="宋体" w:hAnsi="宋体" w:cs="仿宋_GB2312"/>
          <w:sz w:val="24"/>
        </w:rPr>
        <w:t>未在浙江省政府采购网注册成为正式供应商的，请注册完成审核成功后登录获取；</w:t>
      </w:r>
      <w:r>
        <w:rPr>
          <w:rFonts w:hint="eastAsia" w:ascii="宋体" w:hAnsi="宋体" w:cs="仿宋_GB2312"/>
          <w:sz w:val="24"/>
        </w:rPr>
        <w:fldChar w:fldCharType="begin"/>
      </w:r>
      <w:r>
        <w:rPr>
          <w:rFonts w:hint="eastAsia" w:ascii="宋体" w:hAnsi="宋体" w:cs="仿宋_GB2312"/>
          <w:sz w:val="24"/>
        </w:rPr>
        <w:instrText xml:space="preserve"> = 3 \* GB2 </w:instrText>
      </w:r>
      <w:r>
        <w:rPr>
          <w:rFonts w:hint="eastAsia" w:ascii="宋体" w:hAnsi="宋体" w:cs="仿宋_GB2312"/>
          <w:sz w:val="24"/>
        </w:rPr>
        <w:fldChar w:fldCharType="separate"/>
      </w:r>
      <w:r>
        <w:rPr>
          <w:rFonts w:hint="eastAsia" w:ascii="宋体" w:hAnsi="宋体" w:cs="仿宋_GB2312"/>
          <w:sz w:val="24"/>
        </w:rPr>
        <w:t>⑶</w:t>
      </w:r>
      <w:r>
        <w:rPr>
          <w:rFonts w:hint="eastAsia" w:ascii="宋体" w:hAnsi="宋体" w:cs="仿宋_GB2312"/>
          <w:sz w:val="24"/>
        </w:rPr>
        <w:fldChar w:fldCharType="end"/>
      </w:r>
      <w:r>
        <w:rPr>
          <w:rFonts w:hint="eastAsia" w:ascii="宋体" w:hAnsi="宋体" w:cs="仿宋_GB2312"/>
          <w:sz w:val="24"/>
        </w:rPr>
        <w:t>在浙江政府采购网采购</w:t>
      </w:r>
      <w:r>
        <w:rPr>
          <w:rFonts w:ascii="宋体" w:hAnsi="宋体" w:cs="仿宋_GB2312"/>
          <w:sz w:val="24"/>
        </w:rPr>
        <w:t>公告</w:t>
      </w:r>
      <w:r>
        <w:rPr>
          <w:rFonts w:hint="eastAsia" w:ascii="宋体" w:hAnsi="宋体" w:cs="仿宋_GB2312"/>
          <w:sz w:val="24"/>
        </w:rPr>
        <w:t>附件中以“游客”身份（或丽水市公共资源交易网）获取的招标文件</w:t>
      </w:r>
      <w:r>
        <w:rPr>
          <w:rFonts w:ascii="宋体" w:hAnsi="宋体" w:cs="仿宋_GB2312"/>
          <w:sz w:val="24"/>
        </w:rPr>
        <w:t>在</w:t>
      </w:r>
      <w:r>
        <w:rPr>
          <w:rFonts w:hint="eastAsia" w:ascii="宋体" w:hAnsi="宋体" w:cs="仿宋_GB2312"/>
          <w:sz w:val="24"/>
        </w:rPr>
        <w:t>仅供阅览；潜在供应商未按上述第</w:t>
      </w:r>
      <w:r>
        <w:rPr>
          <w:rFonts w:ascii="宋体" w:hAnsi="宋体" w:cs="仿宋_GB2312"/>
          <w:sz w:val="24"/>
        </w:rPr>
        <w:fldChar w:fldCharType="begin"/>
      </w:r>
      <w:r>
        <w:rPr>
          <w:rFonts w:ascii="宋体" w:hAnsi="宋体" w:cs="仿宋_GB2312"/>
          <w:sz w:val="24"/>
        </w:rPr>
        <w:instrText xml:space="preserve"> </w:instrText>
      </w:r>
      <w:r>
        <w:rPr>
          <w:rFonts w:hint="eastAsia" w:ascii="宋体" w:hAnsi="宋体" w:cs="仿宋_GB2312"/>
          <w:sz w:val="24"/>
        </w:rPr>
        <w:instrText xml:space="preserve">= 1 \* GB2</w:instrText>
      </w:r>
      <w:r>
        <w:rPr>
          <w:rFonts w:ascii="宋体" w:hAnsi="宋体" w:cs="仿宋_GB2312"/>
          <w:sz w:val="24"/>
        </w:rPr>
        <w:instrText xml:space="preserve"> </w:instrText>
      </w:r>
      <w:r>
        <w:rPr>
          <w:rFonts w:ascii="宋体" w:hAnsi="宋体" w:cs="仿宋_GB2312"/>
          <w:sz w:val="24"/>
        </w:rPr>
        <w:fldChar w:fldCharType="separate"/>
      </w:r>
      <w:r>
        <w:rPr>
          <w:rFonts w:hint="eastAsia" w:ascii="宋体" w:hAnsi="宋体" w:cs="仿宋_GB2312"/>
          <w:sz w:val="24"/>
          <w:lang/>
        </w:rPr>
        <w:t>⑴</w:t>
      </w:r>
      <w:r>
        <w:rPr>
          <w:rFonts w:ascii="宋体" w:hAnsi="宋体" w:cs="仿宋_GB2312"/>
          <w:sz w:val="24"/>
        </w:rPr>
        <w:fldChar w:fldCharType="end"/>
      </w:r>
      <w:r>
        <w:rPr>
          <w:rFonts w:hint="eastAsia" w:ascii="宋体" w:hAnsi="宋体" w:cs="仿宋_GB2312"/>
          <w:sz w:val="24"/>
        </w:rPr>
        <w:t>条方式获取招标文件的不得对招标文件提起质疑投诉；</w:t>
      </w:r>
    </w:p>
    <w:p>
      <w:pPr>
        <w:spacing w:line="360" w:lineRule="auto"/>
        <w:ind w:firstLine="480" w:firstLineChars="200"/>
        <w:rPr>
          <w:rFonts w:hint="eastAsia" w:ascii="宋体" w:hAnsi="宋体" w:cs="仿宋_GB2312"/>
          <w:sz w:val="24"/>
        </w:rPr>
      </w:pPr>
      <w:r>
        <w:rPr>
          <w:rFonts w:hint="eastAsia" w:ascii="宋体" w:hAnsi="宋体" w:cs="仿宋_GB2312"/>
          <w:sz w:val="24"/>
        </w:rPr>
        <w:t>4</w:t>
      </w:r>
      <w:r>
        <w:rPr>
          <w:rFonts w:hint="eastAsia" w:ascii="宋体" w:hAnsi="宋体"/>
          <w:sz w:val="24"/>
        </w:rPr>
        <w:t>.</w:t>
      </w:r>
      <w:r>
        <w:rPr>
          <w:rFonts w:hint="eastAsia" w:ascii="宋体" w:hAnsi="宋体" w:cs="仿宋_GB2312"/>
          <w:sz w:val="24"/>
        </w:rPr>
        <w:t xml:space="preserve"> 售价：0元</w:t>
      </w:r>
    </w:p>
    <w:p>
      <w:pPr>
        <w:spacing w:line="360" w:lineRule="auto"/>
        <w:rPr>
          <w:rFonts w:hint="eastAsia" w:ascii="宋体" w:hAnsi="宋体" w:cs="仿宋_GB2312"/>
          <w:b/>
          <w:sz w:val="24"/>
        </w:rPr>
      </w:pPr>
      <w:bookmarkStart w:id="17" w:name="_Toc35393794"/>
      <w:bookmarkStart w:id="18" w:name="_Toc28359084"/>
      <w:bookmarkStart w:id="19" w:name="_Toc28359007"/>
      <w:bookmarkStart w:id="20" w:name="_Toc35393625"/>
      <w:r>
        <w:rPr>
          <w:rFonts w:hint="eastAsia" w:ascii="宋体" w:hAnsi="宋体" w:cs="仿宋_GB2312"/>
          <w:b/>
          <w:sz w:val="24"/>
        </w:rPr>
        <w:t>四、提交投标文件截止时间、开标时间和地点</w:t>
      </w:r>
    </w:p>
    <w:p>
      <w:pPr>
        <w:spacing w:line="360" w:lineRule="auto"/>
        <w:ind w:firstLine="482" w:firstLineChars="200"/>
        <w:rPr>
          <w:rFonts w:hint="eastAsia" w:ascii="宋体" w:hAnsi="宋体" w:cs="仿宋_GB2312"/>
          <w:b/>
          <w:bCs/>
          <w:sz w:val="24"/>
          <w:u w:val="single"/>
        </w:rPr>
      </w:pPr>
      <w:r>
        <w:rPr>
          <w:rFonts w:hint="eastAsia" w:ascii="宋体" w:hAnsi="宋体" w:cs="仿宋_GB2312"/>
          <w:b/>
          <w:bCs/>
          <w:sz w:val="24"/>
        </w:rPr>
        <w:t>1</w:t>
      </w:r>
      <w:r>
        <w:rPr>
          <w:rFonts w:hint="eastAsia" w:ascii="宋体" w:hAnsi="宋体"/>
          <w:b/>
          <w:sz w:val="24"/>
        </w:rPr>
        <w:t>.</w:t>
      </w:r>
      <w:r>
        <w:rPr>
          <w:rFonts w:ascii="宋体" w:hAnsi="宋体"/>
          <w:b/>
          <w:sz w:val="24"/>
        </w:rPr>
        <w:t xml:space="preserve"> </w:t>
      </w:r>
      <w:r>
        <w:rPr>
          <w:rFonts w:hint="eastAsia" w:ascii="宋体" w:hAnsi="宋体" w:cs="仿宋_GB2312"/>
          <w:b/>
          <w:bCs/>
          <w:sz w:val="24"/>
        </w:rPr>
        <w:t>提交投标文件截止时间：</w:t>
      </w:r>
      <w:r>
        <w:rPr>
          <w:rFonts w:hint="eastAsia" w:ascii="宋体" w:hAnsi="宋体" w:cs="仿宋_GB2312"/>
          <w:b/>
          <w:bCs/>
          <w:sz w:val="24"/>
          <w:u w:val="single"/>
        </w:rPr>
        <w:t xml:space="preserve"> </w:t>
      </w:r>
      <w:r>
        <w:rPr>
          <w:rFonts w:ascii="宋体" w:hAnsi="宋体"/>
          <w:b/>
          <w:bCs/>
          <w:snapToGrid w:val="0"/>
          <w:sz w:val="24"/>
          <w:u w:val="single"/>
        </w:rPr>
        <w:t>202</w:t>
      </w:r>
      <w:r>
        <w:rPr>
          <w:rFonts w:hint="eastAsia" w:ascii="宋体" w:hAnsi="宋体"/>
          <w:b/>
          <w:bCs/>
          <w:snapToGrid w:val="0"/>
          <w:sz w:val="24"/>
          <w:u w:val="single"/>
        </w:rPr>
        <w:t>2</w:t>
      </w:r>
      <w:r>
        <w:rPr>
          <w:rFonts w:hint="eastAsia" w:ascii="宋体" w:hAnsi="宋体" w:cs="仿宋_GB2312"/>
          <w:b/>
          <w:bCs/>
          <w:sz w:val="24"/>
        </w:rPr>
        <w:t>年</w:t>
      </w:r>
      <w:r>
        <w:rPr>
          <w:rFonts w:hint="eastAsia" w:ascii="宋体" w:hAnsi="宋体"/>
          <w:b/>
          <w:bCs/>
          <w:snapToGrid w:val="0"/>
          <w:sz w:val="24"/>
          <w:u w:val="single"/>
        </w:rPr>
        <w:t xml:space="preserve"> 9 </w:t>
      </w:r>
      <w:r>
        <w:rPr>
          <w:rFonts w:hint="eastAsia" w:ascii="宋体" w:hAnsi="宋体" w:cs="仿宋_GB2312"/>
          <w:b/>
          <w:bCs/>
          <w:sz w:val="24"/>
        </w:rPr>
        <w:t>月</w:t>
      </w:r>
      <w:r>
        <w:rPr>
          <w:rFonts w:hint="eastAsia" w:ascii="宋体" w:hAnsi="宋体"/>
          <w:b/>
          <w:bCs/>
          <w:snapToGrid w:val="0"/>
          <w:sz w:val="24"/>
          <w:u w:val="single"/>
        </w:rPr>
        <w:t xml:space="preserve"> 19 </w:t>
      </w:r>
      <w:r>
        <w:rPr>
          <w:rFonts w:hint="eastAsia" w:ascii="宋体" w:hAnsi="宋体" w:cs="仿宋_GB2312"/>
          <w:b/>
          <w:bCs/>
          <w:sz w:val="24"/>
        </w:rPr>
        <w:t xml:space="preserve">日 </w:t>
      </w:r>
      <w:r>
        <w:rPr>
          <w:rFonts w:hint="eastAsia" w:ascii="宋体" w:hAnsi="宋体"/>
          <w:b/>
          <w:bCs/>
          <w:snapToGrid w:val="0"/>
          <w:sz w:val="24"/>
          <w:u w:val="single"/>
        </w:rPr>
        <w:t>9</w:t>
      </w:r>
      <w:r>
        <w:rPr>
          <w:rFonts w:hint="eastAsia" w:ascii="宋体" w:hAnsi="宋体" w:cs="仿宋_GB2312"/>
          <w:b/>
          <w:bCs/>
          <w:sz w:val="24"/>
        </w:rPr>
        <w:t>:</w:t>
      </w:r>
      <w:r>
        <w:rPr>
          <w:rFonts w:ascii="宋体" w:hAnsi="宋体"/>
          <w:b/>
          <w:bCs/>
          <w:snapToGrid w:val="0"/>
          <w:sz w:val="24"/>
          <w:u w:val="single"/>
        </w:rPr>
        <w:t>00</w:t>
      </w:r>
      <w:r>
        <w:rPr>
          <w:rFonts w:hint="eastAsia" w:ascii="宋体" w:hAnsi="宋体" w:cs="仿宋_GB2312"/>
          <w:b/>
          <w:bCs/>
          <w:sz w:val="24"/>
        </w:rPr>
        <w:t>（北京时间）</w:t>
      </w:r>
    </w:p>
    <w:p>
      <w:pPr>
        <w:spacing w:line="360" w:lineRule="auto"/>
        <w:ind w:firstLine="480" w:firstLineChars="200"/>
        <w:rPr>
          <w:rFonts w:hint="eastAsia" w:ascii="宋体" w:hAnsi="宋体" w:cs="仿宋_GB2312"/>
          <w:sz w:val="24"/>
        </w:rPr>
      </w:pPr>
      <w:r>
        <w:rPr>
          <w:rFonts w:hint="eastAsia" w:ascii="宋体" w:hAnsi="宋体" w:cs="仿宋_GB2312"/>
          <w:sz w:val="24"/>
        </w:rPr>
        <w:t>2</w:t>
      </w:r>
      <w:r>
        <w:rPr>
          <w:rFonts w:hint="eastAsia" w:ascii="宋体" w:hAnsi="宋体"/>
          <w:sz w:val="24"/>
        </w:rPr>
        <w:t>.</w:t>
      </w:r>
      <w:r>
        <w:rPr>
          <w:rFonts w:ascii="宋体" w:hAnsi="宋体"/>
          <w:sz w:val="24"/>
        </w:rPr>
        <w:t xml:space="preserve"> 投标</w:t>
      </w:r>
      <w:r>
        <w:rPr>
          <w:rFonts w:hint="eastAsia" w:ascii="宋体" w:hAnsi="宋体" w:cs="仿宋_GB2312"/>
          <w:sz w:val="24"/>
        </w:rPr>
        <w:t>地点（网址）：</w:t>
      </w:r>
    </w:p>
    <w:p>
      <w:pPr>
        <w:spacing w:line="360" w:lineRule="auto"/>
        <w:ind w:firstLine="480" w:firstLineChars="200"/>
        <w:rPr>
          <w:rFonts w:ascii="宋体" w:hAnsi="宋体" w:cs="仿宋_GB2312"/>
          <w:sz w:val="24"/>
        </w:rPr>
      </w:pPr>
      <w:r>
        <w:rPr>
          <w:rFonts w:hint="eastAsia" w:ascii="宋体" w:hAnsi="宋体" w:cs="仿宋_GB2312"/>
          <w:sz w:val="24"/>
        </w:rPr>
        <w:fldChar w:fldCharType="begin"/>
      </w:r>
      <w:r>
        <w:rPr>
          <w:rFonts w:hint="eastAsia" w:ascii="宋体" w:hAnsi="宋体" w:cs="仿宋_GB2312"/>
          <w:sz w:val="24"/>
        </w:rPr>
        <w:instrText xml:space="preserve"> = 1 \* GB2 </w:instrText>
      </w:r>
      <w:r>
        <w:rPr>
          <w:rFonts w:hint="eastAsia" w:ascii="宋体" w:hAnsi="宋体" w:cs="仿宋_GB2312"/>
          <w:sz w:val="24"/>
        </w:rPr>
        <w:fldChar w:fldCharType="separate"/>
      </w:r>
      <w:r>
        <w:rPr>
          <w:rFonts w:hint="eastAsia" w:ascii="宋体" w:hAnsi="宋体" w:cs="仿宋_GB2312"/>
          <w:sz w:val="24"/>
        </w:rPr>
        <w:t>⑴</w:t>
      </w:r>
      <w:r>
        <w:rPr>
          <w:rFonts w:hint="eastAsia" w:ascii="宋体" w:hAnsi="宋体" w:cs="仿宋_GB2312"/>
          <w:sz w:val="24"/>
        </w:rPr>
        <w:fldChar w:fldCharType="end"/>
      </w:r>
      <w:r>
        <w:rPr>
          <w:rFonts w:hint="eastAsia" w:ascii="宋体" w:hAnsi="宋体" w:cs="仿宋_GB2312"/>
          <w:sz w:val="24"/>
        </w:rPr>
        <w:t xml:space="preserve"> 电子加密投标文件：在“政府采购云平台”上传提交，“电子加密投标文件”成功上传提交后，投标人自行打印投标文件接收回执；</w:t>
      </w:r>
    </w:p>
    <w:p>
      <w:pPr>
        <w:pStyle w:val="29"/>
        <w:adjustRightInd w:val="0"/>
        <w:snapToGrid w:val="0"/>
        <w:spacing w:line="360" w:lineRule="auto"/>
        <w:ind w:firstLine="480" w:firstLineChars="200"/>
        <w:rPr>
          <w:rFonts w:hint="eastAsia" w:hAnsi="宋体" w:cs="仿宋_GB2312"/>
          <w:sz w:val="24"/>
          <w:szCs w:val="24"/>
        </w:rPr>
      </w:pPr>
      <w:r>
        <w:rPr>
          <w:rFonts w:hint="eastAsia" w:hAnsi="宋体" w:cs="仿宋_GB2312"/>
          <w:sz w:val="24"/>
          <w:szCs w:val="24"/>
        </w:rPr>
        <w:fldChar w:fldCharType="begin"/>
      </w:r>
      <w:r>
        <w:rPr>
          <w:rFonts w:hint="eastAsia" w:hAnsi="宋体" w:cs="仿宋_GB2312"/>
          <w:sz w:val="24"/>
          <w:szCs w:val="24"/>
        </w:rPr>
        <w:instrText xml:space="preserve"> = 2 \* GB2 </w:instrText>
      </w:r>
      <w:r>
        <w:rPr>
          <w:rFonts w:hint="eastAsia" w:hAnsi="宋体" w:cs="仿宋_GB2312"/>
          <w:sz w:val="24"/>
          <w:szCs w:val="24"/>
        </w:rPr>
        <w:fldChar w:fldCharType="separate"/>
      </w:r>
      <w:r>
        <w:rPr>
          <w:rFonts w:hint="eastAsia" w:hAnsi="宋体" w:cs="仿宋_GB2312"/>
          <w:sz w:val="24"/>
          <w:szCs w:val="24"/>
        </w:rPr>
        <w:t>⑵</w:t>
      </w:r>
      <w:r>
        <w:rPr>
          <w:rFonts w:hint="eastAsia" w:hAnsi="宋体" w:cs="仿宋_GB2312"/>
          <w:sz w:val="24"/>
          <w:szCs w:val="24"/>
        </w:rPr>
        <w:fldChar w:fldCharType="end"/>
      </w:r>
      <w:r>
        <w:rPr>
          <w:rFonts w:hint="eastAsia" w:hAnsi="宋体" w:cs="仿宋_GB2312"/>
          <w:sz w:val="24"/>
          <w:szCs w:val="24"/>
        </w:rPr>
        <w:t xml:space="preserve"> 备份投标文件：</w:t>
      </w:r>
    </w:p>
    <w:p>
      <w:pPr>
        <w:pStyle w:val="29"/>
        <w:adjustRightInd w:val="0"/>
        <w:snapToGrid w:val="0"/>
        <w:spacing w:line="360" w:lineRule="auto"/>
        <w:ind w:firstLine="480" w:firstLineChars="200"/>
        <w:rPr>
          <w:rFonts w:hint="eastAsia" w:hAnsi="宋体"/>
          <w:bCs/>
          <w:sz w:val="24"/>
          <w:szCs w:val="24"/>
        </w:rPr>
      </w:pPr>
      <w:r>
        <w:rPr>
          <w:rFonts w:hint="eastAsia" w:hAnsi="宋体"/>
          <w:bCs/>
          <w:sz w:val="24"/>
        </w:rPr>
        <w:t>备份投标文件是否提交由投标人自行决定，如不提交的，当电子投标文件无法解密时，将导致无备份投标文件而失去投标资格。</w:t>
      </w:r>
    </w:p>
    <w:p>
      <w:pPr>
        <w:pStyle w:val="29"/>
        <w:adjustRightInd w:val="0"/>
        <w:snapToGrid w:val="0"/>
        <w:spacing w:line="360" w:lineRule="auto"/>
        <w:ind w:firstLine="480" w:firstLineChars="200"/>
        <w:rPr>
          <w:rFonts w:hint="eastAsia" w:ascii="新宋体" w:hAnsi="新宋体" w:eastAsia="新宋体"/>
          <w:bCs/>
          <w:sz w:val="24"/>
          <w:szCs w:val="24"/>
        </w:rPr>
      </w:pPr>
      <w:r>
        <w:rPr>
          <w:rFonts w:hint="eastAsia" w:ascii="新宋体" w:hAnsi="新宋体" w:eastAsia="新宋体"/>
          <w:bCs/>
          <w:sz w:val="24"/>
          <w:szCs w:val="24"/>
        </w:rPr>
        <w:t>如提交备份</w:t>
      </w:r>
      <w:r>
        <w:rPr>
          <w:rFonts w:hint="eastAsia" w:hAnsi="宋体"/>
          <w:bCs/>
          <w:sz w:val="24"/>
        </w:rPr>
        <w:t>投标</w:t>
      </w:r>
      <w:r>
        <w:rPr>
          <w:rFonts w:hint="eastAsia" w:ascii="新宋体" w:hAnsi="新宋体" w:eastAsia="新宋体"/>
          <w:bCs/>
          <w:sz w:val="24"/>
          <w:szCs w:val="24"/>
        </w:rPr>
        <w:t>文件的，应在</w:t>
      </w:r>
      <w:r>
        <w:rPr>
          <w:rFonts w:hint="eastAsia" w:hAnsi="宋体"/>
          <w:bCs/>
          <w:sz w:val="24"/>
        </w:rPr>
        <w:t>投标</w:t>
      </w:r>
      <w:r>
        <w:rPr>
          <w:rFonts w:hint="eastAsia" w:ascii="新宋体" w:hAnsi="新宋体" w:eastAsia="新宋体"/>
          <w:bCs/>
          <w:sz w:val="24"/>
          <w:szCs w:val="24"/>
        </w:rPr>
        <w:t>截止时间前将系统最后生成的具有电子签章的备份</w:t>
      </w:r>
      <w:r>
        <w:rPr>
          <w:rFonts w:hint="eastAsia" w:hAnsi="宋体"/>
          <w:bCs/>
          <w:sz w:val="24"/>
        </w:rPr>
        <w:t>投标</w:t>
      </w:r>
      <w:r>
        <w:rPr>
          <w:rFonts w:hint="eastAsia" w:ascii="新宋体" w:hAnsi="新宋体" w:eastAsia="新宋体"/>
          <w:bCs/>
          <w:sz w:val="24"/>
          <w:szCs w:val="24"/>
        </w:rPr>
        <w:t>文件通过电子邮件方式传送至代理机构邮箱（331345505@qq.com），</w:t>
      </w:r>
      <w:r>
        <w:rPr>
          <w:rFonts w:hint="eastAsia" w:ascii="新宋体" w:hAnsi="新宋体" w:eastAsia="新宋体"/>
          <w:sz w:val="24"/>
          <w:szCs w:val="24"/>
        </w:rPr>
        <w:t>并在邮件中注明项目名称及投标人名称。</w:t>
      </w:r>
    </w:p>
    <w:p>
      <w:pPr>
        <w:spacing w:line="360" w:lineRule="auto"/>
        <w:ind w:firstLine="482" w:firstLineChars="200"/>
        <w:rPr>
          <w:rFonts w:ascii="宋体" w:hAnsi="宋体" w:cs="仿宋_GB2312"/>
          <w:b/>
          <w:bCs/>
          <w:sz w:val="24"/>
        </w:rPr>
      </w:pPr>
      <w:r>
        <w:rPr>
          <w:rFonts w:hint="eastAsia" w:ascii="宋体" w:hAnsi="宋体" w:cs="仿宋_GB2312"/>
          <w:b/>
          <w:sz w:val="24"/>
        </w:rPr>
        <w:t>3. 开标</w:t>
      </w:r>
      <w:r>
        <w:rPr>
          <w:rFonts w:ascii="宋体" w:hAnsi="宋体" w:cs="仿宋_GB2312"/>
          <w:b/>
          <w:sz w:val="24"/>
        </w:rPr>
        <w:t>时间：</w:t>
      </w:r>
      <w:r>
        <w:rPr>
          <w:rFonts w:hint="eastAsia" w:ascii="宋体" w:hAnsi="宋体" w:cs="仿宋_GB2312"/>
          <w:b/>
          <w:sz w:val="24"/>
          <w:u w:val="single"/>
        </w:rPr>
        <w:t xml:space="preserve"> </w:t>
      </w:r>
      <w:r>
        <w:rPr>
          <w:rFonts w:ascii="宋体" w:hAnsi="宋体"/>
          <w:b/>
          <w:bCs/>
          <w:snapToGrid w:val="0"/>
          <w:sz w:val="24"/>
          <w:u w:val="single"/>
        </w:rPr>
        <w:t>202</w:t>
      </w:r>
      <w:r>
        <w:rPr>
          <w:rFonts w:hint="eastAsia" w:ascii="宋体" w:hAnsi="宋体"/>
          <w:b/>
          <w:bCs/>
          <w:snapToGrid w:val="0"/>
          <w:sz w:val="24"/>
          <w:u w:val="single"/>
        </w:rPr>
        <w:t>2</w:t>
      </w:r>
      <w:r>
        <w:rPr>
          <w:rFonts w:hint="eastAsia" w:ascii="宋体" w:hAnsi="宋体" w:cs="仿宋_GB2312"/>
          <w:b/>
          <w:bCs/>
          <w:sz w:val="24"/>
        </w:rPr>
        <w:t>年</w:t>
      </w:r>
      <w:r>
        <w:rPr>
          <w:rFonts w:hint="eastAsia" w:ascii="宋体" w:hAnsi="宋体"/>
          <w:b/>
          <w:bCs/>
          <w:snapToGrid w:val="0"/>
          <w:sz w:val="24"/>
          <w:u w:val="single"/>
        </w:rPr>
        <w:t xml:space="preserve"> 9 </w:t>
      </w:r>
      <w:r>
        <w:rPr>
          <w:rFonts w:hint="eastAsia" w:ascii="宋体" w:hAnsi="宋体" w:cs="仿宋_GB2312"/>
          <w:b/>
          <w:bCs/>
          <w:sz w:val="24"/>
        </w:rPr>
        <w:t>月</w:t>
      </w:r>
      <w:r>
        <w:rPr>
          <w:rFonts w:hint="eastAsia" w:ascii="宋体" w:hAnsi="宋体"/>
          <w:b/>
          <w:bCs/>
          <w:snapToGrid w:val="0"/>
          <w:sz w:val="24"/>
          <w:u w:val="single"/>
        </w:rPr>
        <w:t xml:space="preserve"> 19 </w:t>
      </w:r>
      <w:r>
        <w:rPr>
          <w:rFonts w:hint="eastAsia" w:ascii="宋体" w:hAnsi="宋体" w:cs="仿宋_GB2312"/>
          <w:b/>
          <w:bCs/>
          <w:sz w:val="24"/>
        </w:rPr>
        <w:t>日</w:t>
      </w:r>
      <w:r>
        <w:rPr>
          <w:rFonts w:hint="eastAsia" w:ascii="宋体" w:hAnsi="宋体"/>
          <w:b/>
          <w:bCs/>
          <w:snapToGrid w:val="0"/>
          <w:sz w:val="24"/>
          <w:u w:val="single"/>
        </w:rPr>
        <w:t>9</w:t>
      </w:r>
      <w:r>
        <w:rPr>
          <w:rFonts w:hint="eastAsia" w:ascii="宋体" w:hAnsi="宋体" w:cs="仿宋_GB2312"/>
          <w:b/>
          <w:bCs/>
          <w:sz w:val="24"/>
        </w:rPr>
        <w:t>:</w:t>
      </w:r>
      <w:r>
        <w:rPr>
          <w:rFonts w:ascii="宋体" w:hAnsi="宋体"/>
          <w:b/>
          <w:bCs/>
          <w:snapToGrid w:val="0"/>
          <w:sz w:val="24"/>
          <w:u w:val="single"/>
        </w:rPr>
        <w:t>00</w:t>
      </w:r>
      <w:r>
        <w:rPr>
          <w:rFonts w:hint="eastAsia" w:ascii="宋体" w:hAnsi="宋体" w:cs="仿宋_GB2312"/>
          <w:b/>
          <w:bCs/>
          <w:sz w:val="24"/>
        </w:rPr>
        <w:t>（北京时间）</w:t>
      </w:r>
    </w:p>
    <w:p>
      <w:pPr>
        <w:spacing w:line="360" w:lineRule="auto"/>
        <w:ind w:firstLine="480" w:firstLineChars="200"/>
        <w:rPr>
          <w:rFonts w:hint="eastAsia" w:ascii="宋体" w:hAnsi="宋体" w:cs="仿宋_GB2312"/>
          <w:sz w:val="24"/>
        </w:rPr>
      </w:pPr>
      <w:r>
        <w:rPr>
          <w:rFonts w:hint="eastAsia" w:ascii="宋体" w:hAnsi="宋体" w:cs="仿宋_GB2312"/>
          <w:bCs/>
          <w:sz w:val="24"/>
        </w:rPr>
        <w:t>4. 开标</w:t>
      </w:r>
      <w:r>
        <w:rPr>
          <w:rFonts w:ascii="宋体" w:hAnsi="宋体" w:cs="仿宋_GB2312"/>
          <w:bCs/>
          <w:sz w:val="24"/>
        </w:rPr>
        <w:t>地点：</w:t>
      </w:r>
      <w:r>
        <w:rPr>
          <w:rFonts w:hint="eastAsia" w:ascii="宋体" w:hAnsi="宋体" w:cs="仿宋_GB2312"/>
          <w:sz w:val="24"/>
        </w:rPr>
        <w:t>浙江政府采购网—用户入驻/登录—用户登录—项目采购—开标评标—进入开标大厅。</w:t>
      </w:r>
    </w:p>
    <w:p>
      <w:pPr>
        <w:spacing w:line="360" w:lineRule="auto"/>
        <w:jc w:val="left"/>
        <w:rPr>
          <w:rFonts w:hint="eastAsia" w:ascii="宋体" w:hAnsi="宋体" w:cs="仿宋_GB2312"/>
          <w:b/>
          <w:sz w:val="24"/>
        </w:rPr>
      </w:pPr>
      <w:r>
        <w:rPr>
          <w:rFonts w:hint="eastAsia" w:ascii="宋体" w:hAnsi="宋体" w:cs="仿宋_GB2312"/>
          <w:b/>
          <w:sz w:val="24"/>
        </w:rPr>
        <w:t>五、公告期限</w:t>
      </w:r>
      <w:bookmarkEnd w:id="17"/>
      <w:bookmarkEnd w:id="18"/>
      <w:bookmarkEnd w:id="19"/>
      <w:bookmarkEnd w:id="20"/>
    </w:p>
    <w:p>
      <w:pPr>
        <w:spacing w:line="360" w:lineRule="auto"/>
        <w:ind w:firstLine="480" w:firstLineChars="200"/>
        <w:rPr>
          <w:rFonts w:hint="eastAsia" w:ascii="宋体" w:hAnsi="宋体" w:cs="仿宋_GB2312"/>
          <w:kern w:val="0"/>
          <w:sz w:val="24"/>
        </w:rPr>
      </w:pPr>
      <w:r>
        <w:rPr>
          <w:rFonts w:hint="eastAsia" w:ascii="宋体" w:hAnsi="宋体" w:cs="仿宋_GB2312"/>
          <w:kern w:val="0"/>
          <w:sz w:val="24"/>
        </w:rPr>
        <w:t>自本公告发布之日起5个工作日。</w:t>
      </w:r>
    </w:p>
    <w:p>
      <w:pPr>
        <w:spacing w:line="360" w:lineRule="auto"/>
        <w:jc w:val="left"/>
        <w:rPr>
          <w:rFonts w:hint="eastAsia" w:ascii="宋体" w:hAnsi="宋体" w:cs="仿宋_GB2312"/>
          <w:b/>
          <w:sz w:val="24"/>
        </w:rPr>
      </w:pPr>
      <w:bookmarkStart w:id="21" w:name="_Toc35393626"/>
      <w:bookmarkStart w:id="22" w:name="_Toc35393795"/>
      <w:r>
        <w:rPr>
          <w:rFonts w:hint="eastAsia" w:ascii="宋体" w:hAnsi="宋体" w:cs="仿宋_GB2312"/>
          <w:b/>
          <w:sz w:val="24"/>
        </w:rPr>
        <w:t>六、其他补充事宜</w:t>
      </w:r>
      <w:bookmarkEnd w:id="21"/>
      <w:bookmarkEnd w:id="22"/>
    </w:p>
    <w:p>
      <w:pPr>
        <w:snapToGrid w:val="0"/>
        <w:spacing w:line="360" w:lineRule="auto"/>
        <w:ind w:firstLine="510"/>
        <w:rPr>
          <w:rFonts w:hint="eastAsia" w:ascii="宋体" w:hAnsi="宋体" w:cs="仿宋_GB2312"/>
          <w:kern w:val="0"/>
          <w:sz w:val="24"/>
        </w:rPr>
      </w:pPr>
      <w:r>
        <w:rPr>
          <w:rFonts w:hint="eastAsia" w:ascii="宋体" w:hAnsi="宋体" w:cs="仿宋_GB2312"/>
          <w:kern w:val="0"/>
          <w:sz w:val="24"/>
        </w:rPr>
        <w:t>1</w:t>
      </w:r>
      <w:r>
        <w:rPr>
          <w:rFonts w:ascii="宋体" w:hAnsi="宋体" w:cs="仿宋_GB2312"/>
          <w:kern w:val="0"/>
          <w:sz w:val="24"/>
        </w:rPr>
        <w:t>. 投标人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投标人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hint="eastAsia" w:ascii="宋体" w:hAnsi="宋体" w:cs="仿宋_GB2312"/>
          <w:b/>
          <w:kern w:val="0"/>
          <w:sz w:val="24"/>
        </w:rPr>
      </w:pPr>
      <w:r>
        <w:rPr>
          <w:rFonts w:hint="eastAsia" w:ascii="宋体" w:hAnsi="宋体" w:cs="仿宋_GB2312"/>
          <w:b/>
          <w:kern w:val="0"/>
          <w:sz w:val="24"/>
        </w:rPr>
        <w:t>2.其他注意事项：</w:t>
      </w:r>
    </w:p>
    <w:p>
      <w:pPr>
        <w:spacing w:line="360" w:lineRule="auto"/>
        <w:ind w:firstLine="482" w:firstLineChars="200"/>
        <w:rPr>
          <w:rFonts w:ascii="宋体" w:hAnsi="宋体"/>
          <w:b/>
          <w:sz w:val="24"/>
        </w:rPr>
      </w:pPr>
      <w:r>
        <w:rPr>
          <w:rFonts w:hint="eastAsia" w:ascii="宋体" w:hAnsi="宋体"/>
          <w:b/>
          <w:sz w:val="24"/>
        </w:rPr>
        <w:t>2.1本项目采用电子招标，投标人自行决定是否安排人员赴现场参与开标。</w:t>
      </w:r>
    </w:p>
    <w:p>
      <w:pPr>
        <w:spacing w:line="360" w:lineRule="auto"/>
        <w:ind w:firstLine="480" w:firstLineChars="200"/>
        <w:rPr>
          <w:rFonts w:hint="eastAsia" w:ascii="宋体" w:hAnsi="宋体"/>
          <w:sz w:val="24"/>
        </w:rPr>
      </w:pPr>
      <w:r>
        <w:rPr>
          <w:rFonts w:hint="eastAsia" w:ascii="宋体" w:hAnsi="宋体"/>
          <w:sz w:val="24"/>
        </w:rPr>
        <w:t>新冠病毒疫情防控期间，请投标人严格遵守丽水市新冠肺炎疫情防控指挥部关于疫情防控的规定，并服从现场管理且按以下要求执行：</w:t>
      </w:r>
    </w:p>
    <w:p>
      <w:pPr>
        <w:spacing w:line="360" w:lineRule="auto"/>
        <w:ind w:firstLine="480" w:firstLineChars="200"/>
        <w:rPr>
          <w:rFonts w:hint="eastAsia" w:ascii="宋体" w:hAnsi="宋体"/>
          <w:sz w:val="24"/>
        </w:rPr>
      </w:pPr>
      <w:r>
        <w:rPr>
          <w:rFonts w:hint="eastAsia" w:ascii="宋体" w:hAnsi="宋体"/>
          <w:sz w:val="24"/>
        </w:rPr>
        <w:t>1）参与人员应当领取“丽水健康码”，红、黄码人员不得参与现场开标活动。健康码获取方式：支付宝→城市服务→丽水健康码。</w:t>
      </w:r>
    </w:p>
    <w:p>
      <w:pPr>
        <w:spacing w:line="360" w:lineRule="auto"/>
        <w:ind w:firstLine="480" w:firstLineChars="200"/>
        <w:rPr>
          <w:rFonts w:hint="eastAsia" w:ascii="宋体" w:hAnsi="宋体"/>
          <w:sz w:val="24"/>
        </w:rPr>
      </w:pPr>
      <w:r>
        <w:rPr>
          <w:rFonts w:hint="eastAsia" w:ascii="宋体" w:hAnsi="宋体"/>
          <w:sz w:val="24"/>
        </w:rPr>
        <w:t>2）参与人员应携带身份证或户籍证明原件，全程佩戴口罩，进入商会大厦自觉接受大楼物业人员体温检测及防疫询问，并如实报告情况。适当保持人员间隔距离(1.5米），不扎堆聚集，不喧哗闲聊，做好健康防护。</w:t>
      </w:r>
    </w:p>
    <w:p>
      <w:pPr>
        <w:spacing w:line="360" w:lineRule="auto"/>
        <w:ind w:firstLine="480" w:firstLineChars="200"/>
        <w:rPr>
          <w:rFonts w:hint="eastAsia" w:ascii="宋体" w:hAnsi="宋体"/>
          <w:sz w:val="24"/>
        </w:rPr>
      </w:pPr>
      <w:r>
        <w:rPr>
          <w:rFonts w:hint="eastAsia" w:ascii="宋体" w:hAnsi="宋体"/>
          <w:sz w:val="24"/>
        </w:rPr>
        <w:t>3）进出路线：投标人从大楼一楼正大门进入，登记、扫手机健康码、填写体温表格，电梯上5楼开标厅，按先后顺序固定分散就座，开标结束后原路返回。</w:t>
      </w:r>
    </w:p>
    <w:p>
      <w:pPr>
        <w:spacing w:line="360" w:lineRule="auto"/>
        <w:ind w:firstLine="480" w:firstLineChars="200"/>
        <w:rPr>
          <w:rFonts w:hint="eastAsia" w:ascii="宋体" w:hAnsi="宋体"/>
          <w:sz w:val="24"/>
        </w:rPr>
      </w:pPr>
      <w:r>
        <w:rPr>
          <w:rFonts w:hint="eastAsia" w:ascii="宋体" w:hAnsi="宋体"/>
          <w:sz w:val="24"/>
        </w:rPr>
        <w:t>4）如遇突发状况，按照“</w:t>
      </w:r>
      <w:r>
        <w:rPr>
          <w:rFonts w:hint="eastAsia" w:hAnsi="宋体"/>
          <w:bCs/>
          <w:sz w:val="24"/>
        </w:rPr>
        <w:t>丽水市公共资源交易中心</w:t>
      </w:r>
      <w:r>
        <w:rPr>
          <w:rFonts w:hint="eastAsia" w:ascii="宋体" w:hAnsi="宋体"/>
          <w:sz w:val="24"/>
        </w:rPr>
        <w:t>应急处置方案”执行。</w:t>
      </w:r>
    </w:p>
    <w:p>
      <w:pPr>
        <w:spacing w:line="360" w:lineRule="auto"/>
        <w:ind w:firstLine="472" w:firstLineChars="196"/>
        <w:rPr>
          <w:rFonts w:hint="eastAsia" w:ascii="宋体" w:hAnsi="宋体"/>
          <w:b/>
          <w:sz w:val="24"/>
        </w:rPr>
      </w:pPr>
      <w:r>
        <w:rPr>
          <w:rFonts w:hint="eastAsia" w:ascii="宋体" w:hAnsi="宋体"/>
          <w:b/>
          <w:sz w:val="24"/>
        </w:rPr>
        <w:t>2.2政采云平台注册注意事项：</w:t>
      </w:r>
    </w:p>
    <w:p>
      <w:pPr>
        <w:spacing w:line="360" w:lineRule="auto"/>
        <w:ind w:firstLine="480" w:firstLineChars="200"/>
        <w:rPr>
          <w:rFonts w:hint="eastAsia" w:ascii="宋体" w:hAnsi="宋体"/>
          <w:sz w:val="24"/>
        </w:rPr>
      </w:pPr>
      <w:r>
        <w:rPr>
          <w:rFonts w:hint="eastAsia" w:ascii="宋体" w:hAnsi="宋体"/>
          <w:sz w:val="24"/>
        </w:rPr>
        <w:t>2.2.1供应商未在浙江政府采购网（http://zfcg.czt.zj.gov.cn/）注册成为正式供应商，需前往注册；</w:t>
      </w:r>
    </w:p>
    <w:p>
      <w:pPr>
        <w:spacing w:line="360" w:lineRule="auto"/>
        <w:ind w:firstLine="480" w:firstLineChars="200"/>
        <w:rPr>
          <w:rFonts w:hint="eastAsia" w:ascii="宋体" w:hAnsi="宋体"/>
          <w:sz w:val="24"/>
        </w:rPr>
      </w:pPr>
      <w:r>
        <w:rPr>
          <w:rFonts w:hint="eastAsia" w:ascii="宋体" w:hAnsi="宋体"/>
          <w:sz w:val="24"/>
        </w:rPr>
        <w:t xml:space="preserve">2.2.2本项目成交供应商未注册成为浙江政府采购网“正式供应商”的，将无法实现该项目合同备案及付款，由此造成的不利影响由供应商自行承担； </w:t>
      </w:r>
    </w:p>
    <w:p>
      <w:pPr>
        <w:snapToGrid w:val="0"/>
        <w:spacing w:line="360" w:lineRule="auto"/>
        <w:ind w:firstLine="510"/>
        <w:rPr>
          <w:rFonts w:hint="eastAsia" w:ascii="宋体" w:hAnsi="宋体" w:cs="仿宋_GB2312"/>
          <w:sz w:val="24"/>
        </w:rPr>
      </w:pPr>
      <w:r>
        <w:rPr>
          <w:rFonts w:hint="eastAsia" w:ascii="宋体" w:hAnsi="宋体"/>
          <w:sz w:val="24"/>
        </w:rPr>
        <w:t>2.2.3营业执照注册地为浙江省内的供应商请咨询注册地公共资源交易中心（或采购中心），营业执照注册地为浙江省外的供应商请咨询浙江省政府采购中心。</w:t>
      </w:r>
    </w:p>
    <w:p>
      <w:pPr>
        <w:spacing w:line="360" w:lineRule="auto"/>
        <w:jc w:val="left"/>
        <w:rPr>
          <w:rFonts w:hint="eastAsia" w:ascii="宋体" w:hAnsi="宋体" w:cs="仿宋_GB2312"/>
          <w:b/>
          <w:sz w:val="24"/>
        </w:rPr>
      </w:pPr>
      <w:bookmarkStart w:id="23" w:name="_Toc35393796"/>
      <w:bookmarkStart w:id="24" w:name="_Toc35393627"/>
      <w:bookmarkStart w:id="25" w:name="_Toc28359008"/>
      <w:bookmarkStart w:id="26" w:name="_Toc28359085"/>
      <w:r>
        <w:rPr>
          <w:rFonts w:hint="eastAsia" w:ascii="宋体" w:hAnsi="宋体" w:cs="仿宋_GB2312"/>
          <w:b/>
          <w:sz w:val="24"/>
        </w:rPr>
        <w:t>七、</w:t>
      </w:r>
      <w:bookmarkEnd w:id="23"/>
      <w:bookmarkEnd w:id="24"/>
      <w:bookmarkEnd w:id="25"/>
      <w:bookmarkEnd w:id="26"/>
      <w:r>
        <w:rPr>
          <w:rFonts w:hint="eastAsia" w:ascii="宋体" w:hAnsi="宋体" w:cs="仿宋_GB2312"/>
          <w:b/>
          <w:bCs/>
          <w:sz w:val="24"/>
        </w:rPr>
        <w:t>凡对本次招标提出询问、质疑、投诉，请按以下方式联系</w:t>
      </w:r>
    </w:p>
    <w:p>
      <w:pPr>
        <w:pStyle w:val="29"/>
        <w:adjustRightInd w:val="0"/>
        <w:snapToGrid w:val="0"/>
        <w:spacing w:line="360" w:lineRule="auto"/>
        <w:ind w:firstLine="480" w:firstLineChars="200"/>
        <w:rPr>
          <w:rFonts w:hAnsi="宋体"/>
          <w:bCs/>
          <w:sz w:val="24"/>
        </w:rPr>
      </w:pPr>
      <w:r>
        <w:rPr>
          <w:rFonts w:hAnsi="宋体"/>
          <w:bCs/>
          <w:sz w:val="24"/>
        </w:rPr>
        <w:t>1. 采购人信息</w:t>
      </w:r>
    </w:p>
    <w:p>
      <w:pPr>
        <w:pStyle w:val="29"/>
        <w:adjustRightInd w:val="0"/>
        <w:snapToGrid w:val="0"/>
        <w:spacing w:line="360" w:lineRule="auto"/>
        <w:ind w:firstLine="840" w:firstLineChars="350"/>
        <w:rPr>
          <w:rFonts w:hint="eastAsia" w:hAnsi="宋体"/>
          <w:bCs/>
          <w:sz w:val="24"/>
        </w:rPr>
      </w:pPr>
      <w:r>
        <w:rPr>
          <w:rFonts w:hint="eastAsia" w:hAnsi="宋体"/>
          <w:bCs/>
          <w:sz w:val="24"/>
        </w:rPr>
        <w:t>采购人名称：丽水市公安局莲都区分局</w:t>
      </w:r>
    </w:p>
    <w:p>
      <w:pPr>
        <w:spacing w:line="360" w:lineRule="auto"/>
        <w:ind w:firstLine="840" w:firstLineChars="350"/>
        <w:rPr>
          <w:rFonts w:hint="eastAsia" w:ascii="宋体" w:hAnsi="宋体"/>
          <w:bCs/>
          <w:sz w:val="24"/>
          <w:szCs w:val="20"/>
        </w:rPr>
      </w:pPr>
      <w:r>
        <w:rPr>
          <w:rFonts w:hint="eastAsia" w:ascii="宋体" w:hAnsi="宋体"/>
          <w:bCs/>
          <w:sz w:val="24"/>
          <w:szCs w:val="20"/>
        </w:rPr>
        <w:t>项目联系人：汤雄剑       联系电话：</w:t>
      </w:r>
      <w:r>
        <w:rPr>
          <w:rFonts w:hint="eastAsia" w:ascii="宋体" w:hAnsi="宋体"/>
          <w:sz w:val="24"/>
        </w:rPr>
        <w:t>0578-2787266</w:t>
      </w:r>
    </w:p>
    <w:p>
      <w:pPr>
        <w:spacing w:line="360" w:lineRule="auto"/>
        <w:ind w:firstLine="840" w:firstLineChars="350"/>
        <w:rPr>
          <w:rFonts w:ascii="宋体" w:hAnsi="宋体"/>
          <w:bCs/>
          <w:sz w:val="24"/>
          <w:szCs w:val="20"/>
        </w:rPr>
      </w:pPr>
      <w:r>
        <w:rPr>
          <w:rFonts w:hint="eastAsia" w:ascii="宋体" w:hAnsi="宋体"/>
          <w:bCs/>
          <w:sz w:val="24"/>
          <w:szCs w:val="20"/>
        </w:rPr>
        <w:t xml:space="preserve">质疑联系人：吴进勇    </w:t>
      </w:r>
      <w:r>
        <w:rPr>
          <w:rFonts w:ascii="宋体" w:hAnsi="宋体"/>
          <w:bCs/>
          <w:sz w:val="24"/>
          <w:szCs w:val="20"/>
        </w:rPr>
        <w:t> </w:t>
      </w:r>
      <w:r>
        <w:rPr>
          <w:rFonts w:hint="eastAsia" w:ascii="宋体" w:hAnsi="宋体"/>
          <w:bCs/>
          <w:sz w:val="24"/>
          <w:szCs w:val="20"/>
        </w:rPr>
        <w:t xml:space="preserve"> 联系电话：0578-2787259 </w:t>
      </w:r>
    </w:p>
    <w:p>
      <w:pPr>
        <w:pStyle w:val="29"/>
        <w:adjustRightInd w:val="0"/>
        <w:snapToGrid w:val="0"/>
        <w:spacing w:line="360" w:lineRule="auto"/>
        <w:ind w:firstLine="960" w:firstLineChars="400"/>
        <w:rPr>
          <w:rFonts w:hint="eastAsia" w:hAnsi="宋体"/>
          <w:bCs/>
          <w:sz w:val="24"/>
        </w:rPr>
      </w:pPr>
      <w:r>
        <w:rPr>
          <w:rFonts w:hint="eastAsia" w:hAnsi="宋体"/>
          <w:bCs/>
          <w:sz w:val="24"/>
        </w:rPr>
        <w:t>地址：丽水市莲都区紫金路36号</w:t>
      </w:r>
    </w:p>
    <w:p>
      <w:pPr>
        <w:pStyle w:val="29"/>
        <w:adjustRightInd w:val="0"/>
        <w:snapToGrid w:val="0"/>
        <w:spacing w:line="360" w:lineRule="auto"/>
        <w:ind w:firstLine="480" w:firstLineChars="200"/>
        <w:rPr>
          <w:rFonts w:hAnsi="宋体"/>
          <w:bCs/>
          <w:sz w:val="24"/>
        </w:rPr>
      </w:pPr>
      <w:r>
        <w:rPr>
          <w:rFonts w:hAnsi="宋体"/>
          <w:bCs/>
          <w:sz w:val="24"/>
        </w:rPr>
        <w:t>2. 采购代理机构信息</w:t>
      </w:r>
    </w:p>
    <w:p>
      <w:pPr>
        <w:pStyle w:val="29"/>
        <w:adjustRightInd w:val="0"/>
        <w:snapToGrid w:val="0"/>
        <w:spacing w:line="360" w:lineRule="auto"/>
        <w:ind w:firstLine="840" w:firstLineChars="350"/>
        <w:rPr>
          <w:rFonts w:hint="eastAsia" w:hAnsi="宋体"/>
          <w:bCs/>
          <w:sz w:val="24"/>
        </w:rPr>
      </w:pPr>
      <w:r>
        <w:rPr>
          <w:rFonts w:hint="eastAsia" w:hAnsi="宋体"/>
          <w:bCs/>
          <w:sz w:val="24"/>
        </w:rPr>
        <w:t>采购代理机构名称：浙江建航工程咨询有限公司</w:t>
      </w:r>
    </w:p>
    <w:p>
      <w:pPr>
        <w:pStyle w:val="29"/>
        <w:adjustRightInd w:val="0"/>
        <w:snapToGrid w:val="0"/>
        <w:spacing w:line="360" w:lineRule="auto"/>
        <w:ind w:firstLine="840" w:firstLineChars="350"/>
        <w:rPr>
          <w:rFonts w:hAnsi="宋体"/>
          <w:bCs/>
          <w:sz w:val="24"/>
        </w:rPr>
      </w:pPr>
      <w:r>
        <w:rPr>
          <w:rFonts w:hint="eastAsia" w:hAnsi="宋体"/>
          <w:bCs/>
          <w:sz w:val="24"/>
        </w:rPr>
        <w:t>项目负责人：周美恒    联系电话：0578-2139203   传真：0578-2303501</w:t>
      </w:r>
    </w:p>
    <w:p>
      <w:pPr>
        <w:pStyle w:val="29"/>
        <w:adjustRightInd w:val="0"/>
        <w:snapToGrid w:val="0"/>
        <w:spacing w:line="360" w:lineRule="auto"/>
        <w:ind w:firstLine="840" w:firstLineChars="350"/>
        <w:rPr>
          <w:rFonts w:hint="eastAsia" w:hAnsi="宋体"/>
          <w:bCs/>
          <w:sz w:val="24"/>
        </w:rPr>
      </w:pPr>
      <w:r>
        <w:rPr>
          <w:rFonts w:hint="eastAsia" w:hAnsi="宋体"/>
          <w:bCs/>
          <w:sz w:val="24"/>
        </w:rPr>
        <w:t>质疑联系人：李  红    联系电话：0578-2139203   传真：0578-2303501</w:t>
      </w:r>
    </w:p>
    <w:p>
      <w:pPr>
        <w:pStyle w:val="29"/>
        <w:adjustRightInd w:val="0"/>
        <w:snapToGrid w:val="0"/>
        <w:spacing w:line="360" w:lineRule="auto"/>
        <w:ind w:firstLine="840" w:firstLineChars="350"/>
        <w:rPr>
          <w:rFonts w:hint="eastAsia" w:hAnsi="宋体"/>
          <w:bCs/>
          <w:sz w:val="24"/>
        </w:rPr>
      </w:pPr>
      <w:r>
        <w:rPr>
          <w:rFonts w:hint="eastAsia" w:hAnsi="宋体"/>
          <w:bCs/>
          <w:sz w:val="24"/>
        </w:rPr>
        <w:t>地址：丽水市万丰北路72号金贸国际大厦12楼1207室</w:t>
      </w:r>
    </w:p>
    <w:p>
      <w:pPr>
        <w:pStyle w:val="29"/>
        <w:adjustRightInd w:val="0"/>
        <w:snapToGrid w:val="0"/>
        <w:spacing w:line="360" w:lineRule="auto"/>
        <w:ind w:firstLine="480" w:firstLineChars="200"/>
        <w:rPr>
          <w:rFonts w:hAnsi="宋体"/>
          <w:bCs/>
          <w:sz w:val="24"/>
        </w:rPr>
      </w:pPr>
      <w:r>
        <w:rPr>
          <w:rFonts w:hAnsi="宋体"/>
          <w:bCs/>
          <w:sz w:val="24"/>
        </w:rPr>
        <w:t>3. 同级政府采购监督管理部门</w:t>
      </w:r>
    </w:p>
    <w:p>
      <w:pPr>
        <w:pStyle w:val="29"/>
        <w:adjustRightInd w:val="0"/>
        <w:snapToGrid w:val="0"/>
        <w:spacing w:line="360" w:lineRule="auto"/>
        <w:ind w:firstLine="840" w:firstLineChars="350"/>
        <w:rPr>
          <w:rFonts w:hAnsi="宋体"/>
          <w:bCs/>
          <w:sz w:val="24"/>
        </w:rPr>
      </w:pPr>
      <w:r>
        <w:rPr>
          <w:rFonts w:hint="eastAsia" w:hAnsi="宋体"/>
          <w:bCs/>
          <w:sz w:val="24"/>
        </w:rPr>
        <w:t>名称：丽水市莲都区财政局</w:t>
      </w:r>
    </w:p>
    <w:p>
      <w:pPr>
        <w:pStyle w:val="29"/>
        <w:adjustRightInd w:val="0"/>
        <w:snapToGrid w:val="0"/>
        <w:spacing w:line="360" w:lineRule="auto"/>
        <w:ind w:firstLine="840" w:firstLineChars="350"/>
        <w:rPr>
          <w:rFonts w:hint="eastAsia" w:hAnsi="宋体"/>
          <w:bCs/>
          <w:sz w:val="24"/>
        </w:rPr>
      </w:pPr>
      <w:r>
        <w:rPr>
          <w:rFonts w:hint="eastAsia" w:hAnsi="宋体"/>
          <w:bCs/>
          <w:sz w:val="24"/>
        </w:rPr>
        <w:t>联系人：刘腾</w:t>
      </w:r>
    </w:p>
    <w:p>
      <w:pPr>
        <w:pStyle w:val="29"/>
        <w:adjustRightInd w:val="0"/>
        <w:snapToGrid w:val="0"/>
        <w:spacing w:line="360" w:lineRule="auto"/>
        <w:ind w:firstLine="840" w:firstLineChars="350"/>
        <w:rPr>
          <w:rFonts w:hAnsi="宋体"/>
          <w:bCs/>
          <w:sz w:val="24"/>
        </w:rPr>
      </w:pPr>
      <w:r>
        <w:rPr>
          <w:rFonts w:hint="eastAsia" w:hAnsi="宋体"/>
          <w:bCs/>
          <w:sz w:val="24"/>
        </w:rPr>
        <w:t xml:space="preserve">监督投诉电话：0578-2131236  </w:t>
      </w:r>
    </w:p>
    <w:p>
      <w:pPr>
        <w:pStyle w:val="29"/>
        <w:adjustRightInd w:val="0"/>
        <w:snapToGrid w:val="0"/>
        <w:spacing w:line="360" w:lineRule="auto"/>
        <w:ind w:firstLine="840" w:firstLineChars="350"/>
        <w:rPr>
          <w:rFonts w:hint="eastAsia" w:hAnsi="宋体"/>
          <w:bCs/>
          <w:sz w:val="24"/>
        </w:rPr>
      </w:pPr>
      <w:r>
        <w:rPr>
          <w:rFonts w:hint="eastAsia" w:hAnsi="宋体"/>
          <w:bCs/>
          <w:sz w:val="24"/>
        </w:rPr>
        <w:t>地 址：丽水市解放街71号</w:t>
      </w:r>
    </w:p>
    <w:bookmarkEnd w:id="7"/>
    <w:p>
      <w:pPr>
        <w:snapToGrid w:val="0"/>
        <w:spacing w:line="360" w:lineRule="auto"/>
        <w:ind w:firstLine="480" w:firstLineChars="200"/>
        <w:rPr>
          <w:rFonts w:hint="eastAsia" w:ascii="宋体" w:hAnsi="宋体"/>
          <w:sz w:val="24"/>
        </w:rPr>
      </w:pPr>
      <w:r>
        <w:rPr>
          <w:rFonts w:hint="eastAsia" w:ascii="宋体" w:hAnsi="宋体"/>
          <w:sz w:val="24"/>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2" w:firstLineChars="200"/>
        <w:rPr>
          <w:rFonts w:hint="eastAsia" w:ascii="宋体" w:hAnsi="宋体"/>
          <w:sz w:val="24"/>
        </w:rPr>
      </w:pPr>
      <w:r>
        <w:rPr>
          <w:rFonts w:hint="eastAsia" w:ascii="宋体" w:hAnsi="宋体"/>
          <w:b/>
          <w:sz w:val="24"/>
        </w:rPr>
        <w:t>CA问题联系电话（人工）：汇信CA 400-888-4636；天谷CA 400-087-8198。</w:t>
      </w:r>
    </w:p>
    <w:p>
      <w:pPr>
        <w:spacing w:line="360" w:lineRule="auto"/>
        <w:ind w:firstLine="482" w:firstLineChars="200"/>
        <w:rPr>
          <w:rFonts w:hint="eastAsia" w:hAnsi="宋体"/>
          <w:b/>
          <w:sz w:val="24"/>
        </w:rPr>
      </w:pPr>
    </w:p>
    <w:p>
      <w:pPr>
        <w:spacing w:line="276" w:lineRule="auto"/>
        <w:rPr>
          <w:rFonts w:hint="eastAsia" w:ascii="宋体" w:hAnsi="宋体"/>
          <w:sz w:val="24"/>
        </w:rPr>
      </w:pPr>
      <w:r>
        <w:rPr>
          <w:rFonts w:hint="eastAsia" w:ascii="宋体" w:hAnsi="宋体"/>
          <w:sz w:val="24"/>
        </w:rPr>
        <w:t xml:space="preserve"> </w:t>
      </w:r>
    </w:p>
    <w:p>
      <w:pPr>
        <w:pStyle w:val="2"/>
        <w:rPr>
          <w:rFonts w:hint="eastAsia"/>
          <w:lang w:val="en-US"/>
        </w:rPr>
      </w:pPr>
    </w:p>
    <w:p>
      <w:pPr>
        <w:spacing w:line="480" w:lineRule="auto"/>
        <w:ind w:firstLine="470" w:firstLineChars="196"/>
        <w:jc w:val="right"/>
        <w:rPr>
          <w:rFonts w:hint="eastAsia" w:ascii="宋体" w:hAnsi="宋体"/>
          <w:sz w:val="24"/>
        </w:rPr>
      </w:pPr>
      <w:r>
        <w:rPr>
          <w:rFonts w:hint="eastAsia" w:ascii="宋体" w:hAnsi="宋体"/>
          <w:sz w:val="24"/>
        </w:rPr>
        <w:t>采购人：</w:t>
      </w:r>
      <w:r>
        <w:rPr>
          <w:rFonts w:hint="eastAsia" w:ascii="宋体" w:hAnsi="宋体" w:cs="宋体"/>
          <w:sz w:val="24"/>
        </w:rPr>
        <w:t>丽水市公安局莲都区分局</w:t>
      </w:r>
    </w:p>
    <w:p>
      <w:pPr>
        <w:spacing w:line="480" w:lineRule="auto"/>
        <w:ind w:firstLine="470" w:firstLineChars="196"/>
        <w:jc w:val="right"/>
        <w:rPr>
          <w:rFonts w:hint="eastAsia" w:ascii="宋体" w:hAnsi="宋体"/>
          <w:sz w:val="24"/>
        </w:rPr>
      </w:pPr>
      <w:r>
        <w:rPr>
          <w:rFonts w:hint="eastAsia" w:ascii="宋体" w:hAnsi="宋体"/>
          <w:sz w:val="24"/>
        </w:rPr>
        <w:t>采购代理机构：浙江建航工程咨询有限公司</w:t>
      </w:r>
    </w:p>
    <w:p>
      <w:pPr>
        <w:spacing w:line="480" w:lineRule="auto"/>
        <w:ind w:firstLine="480" w:firstLineChars="200"/>
        <w:jc w:val="right"/>
        <w:rPr>
          <w:rFonts w:hint="eastAsia" w:ascii="宋体" w:hAnsi="宋体"/>
          <w:sz w:val="24"/>
        </w:rPr>
      </w:pPr>
      <w:r>
        <w:rPr>
          <w:rFonts w:hint="eastAsia" w:ascii="宋体" w:hAnsi="宋体"/>
          <w:sz w:val="24"/>
        </w:rPr>
        <w:t xml:space="preserve">                                           日期：2022年8</w:t>
      </w:r>
      <w:r>
        <w:rPr>
          <w:rFonts w:ascii="宋体" w:hAnsi="宋体"/>
          <w:sz w:val="24"/>
        </w:rPr>
        <w:t>月</w:t>
      </w:r>
      <w:r>
        <w:rPr>
          <w:rFonts w:hint="eastAsia" w:ascii="宋体" w:hAnsi="宋体"/>
          <w:sz w:val="24"/>
        </w:rPr>
        <w:t>29日</w:t>
      </w:r>
    </w:p>
    <w:p>
      <w:pPr>
        <w:spacing w:line="360" w:lineRule="auto"/>
        <w:ind w:firstLine="480" w:firstLineChars="200"/>
        <w:rPr>
          <w:rFonts w:hint="eastAsia" w:ascii="宋体" w:hAnsi="宋体"/>
          <w:sz w:val="24"/>
        </w:rPr>
      </w:pPr>
    </w:p>
    <w:p>
      <w:pPr>
        <w:spacing w:line="360" w:lineRule="auto"/>
        <w:ind w:firstLine="480" w:firstLineChars="200"/>
        <w:rPr>
          <w:rFonts w:hint="eastAsia" w:ascii="宋体" w:hAnsi="宋体"/>
          <w:sz w:val="24"/>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bookmarkEnd w:id="8"/>
    <w:p>
      <w:pPr>
        <w:pStyle w:val="4"/>
        <w:spacing w:line="560" w:lineRule="exact"/>
        <w:rPr>
          <w:rFonts w:hint="eastAsia" w:ascii="宋体" w:hAnsi="宋体" w:eastAsia="宋体"/>
        </w:rPr>
      </w:pPr>
      <w:bookmarkStart w:id="27" w:name="_Toc112414172"/>
      <w:bookmarkStart w:id="28" w:name="_Toc41577864"/>
      <w:r>
        <w:rPr>
          <w:rFonts w:hint="eastAsia" w:ascii="宋体" w:hAnsi="宋体" w:eastAsia="宋体"/>
          <w:sz w:val="32"/>
        </w:rPr>
        <w:t>第二章</w:t>
      </w:r>
      <w:r>
        <w:rPr>
          <w:rFonts w:ascii="宋体" w:hAnsi="宋体" w:eastAsia="宋体"/>
          <w:sz w:val="32"/>
        </w:rPr>
        <w:t xml:space="preserve">  </w:t>
      </w:r>
      <w:r>
        <w:rPr>
          <w:rFonts w:hint="eastAsia" w:ascii="宋体" w:hAnsi="宋体" w:eastAsia="宋体"/>
          <w:sz w:val="32"/>
        </w:rPr>
        <w:t>投标人须知</w:t>
      </w:r>
      <w:bookmarkEnd w:id="27"/>
      <w:bookmarkEnd w:id="28"/>
    </w:p>
    <w:p>
      <w:pPr>
        <w:pStyle w:val="6"/>
        <w:spacing w:before="240" w:after="240"/>
        <w:jc w:val="center"/>
        <w:rPr>
          <w:rFonts w:hint="eastAsia" w:ascii="宋体" w:hAnsi="宋体" w:eastAsia="宋体"/>
        </w:rPr>
      </w:pPr>
      <w:bookmarkStart w:id="29" w:name="_Toc112414173"/>
      <w:bookmarkStart w:id="30" w:name="_Toc41577865"/>
      <w:r>
        <w:rPr>
          <w:rFonts w:hint="eastAsia" w:ascii="宋体" w:hAnsi="宋体" w:eastAsia="宋体"/>
        </w:rPr>
        <w:t>前列表</w:t>
      </w:r>
      <w:bookmarkEnd w:id="29"/>
      <w:bookmarkEnd w:id="30"/>
    </w:p>
    <w:tbl>
      <w:tblPr>
        <w:tblStyle w:val="56"/>
        <w:tblW w:w="9978"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552"/>
        <w:gridCol w:w="1699"/>
        <w:gridCol w:w="2544"/>
        <w:gridCol w:w="1262"/>
        <w:gridCol w:w="392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723" w:hRule="exact"/>
          <w:jc w:val="center"/>
        </w:trPr>
        <w:tc>
          <w:tcPr>
            <w:tcW w:w="552" w:type="dxa"/>
            <w:tcBorders>
              <w:top w:val="double" w:color="auto" w:sz="4" w:space="0"/>
              <w:left w:val="double" w:color="auto" w:sz="4" w:space="0"/>
              <w:bottom w:val="single" w:color="auto" w:sz="4" w:space="0"/>
              <w:right w:val="single" w:color="auto" w:sz="4" w:space="0"/>
            </w:tcBorders>
            <w:noWrap w:val="0"/>
            <w:vAlign w:val="center"/>
          </w:tcPr>
          <w:p>
            <w:pPr>
              <w:jc w:val="center"/>
              <w:rPr>
                <w:rFonts w:hint="eastAsia" w:ascii="宋体" w:hAnsi="宋体"/>
                <w:b/>
                <w:bCs/>
                <w:snapToGrid w:val="0"/>
                <w:sz w:val="24"/>
              </w:rPr>
            </w:pPr>
            <w:r>
              <w:rPr>
                <w:rFonts w:hint="eastAsia" w:ascii="宋体" w:hAnsi="宋体"/>
                <w:b/>
                <w:bCs/>
                <w:snapToGrid w:val="0"/>
                <w:sz w:val="24"/>
              </w:rPr>
              <w:t>序号</w:t>
            </w:r>
          </w:p>
        </w:tc>
        <w:tc>
          <w:tcPr>
            <w:tcW w:w="1699" w:type="dxa"/>
            <w:tcBorders>
              <w:top w:val="double" w:color="auto" w:sz="4" w:space="0"/>
              <w:left w:val="single" w:color="auto" w:sz="4" w:space="0"/>
              <w:bottom w:val="single" w:color="auto" w:sz="4" w:space="0"/>
            </w:tcBorders>
            <w:noWrap w:val="0"/>
            <w:vAlign w:val="center"/>
          </w:tcPr>
          <w:p>
            <w:pPr>
              <w:jc w:val="center"/>
              <w:rPr>
                <w:rFonts w:hint="eastAsia" w:ascii="宋体" w:hAnsi="宋体"/>
                <w:b/>
                <w:bCs/>
                <w:sz w:val="24"/>
              </w:rPr>
            </w:pPr>
            <w:r>
              <w:rPr>
                <w:rFonts w:hint="eastAsia" w:ascii="宋体" w:hAnsi="宋体"/>
                <w:b/>
                <w:bCs/>
                <w:sz w:val="24"/>
              </w:rPr>
              <w:t>须知项目</w:t>
            </w:r>
          </w:p>
        </w:tc>
        <w:tc>
          <w:tcPr>
            <w:tcW w:w="7727" w:type="dxa"/>
            <w:gridSpan w:val="3"/>
            <w:tcBorders>
              <w:top w:val="double" w:color="auto" w:sz="4" w:space="0"/>
              <w:bottom w:val="single" w:color="auto" w:sz="4" w:space="0"/>
              <w:right w:val="double" w:color="auto" w:sz="4" w:space="0"/>
            </w:tcBorders>
            <w:noWrap w:val="0"/>
            <w:vAlign w:val="center"/>
          </w:tcPr>
          <w:p>
            <w:pPr>
              <w:jc w:val="center"/>
              <w:rPr>
                <w:rFonts w:hint="eastAsia" w:ascii="宋体" w:hAnsi="宋体"/>
                <w:b/>
                <w:bCs/>
                <w:sz w:val="24"/>
              </w:rPr>
            </w:pPr>
            <w:r>
              <w:rPr>
                <w:rFonts w:hint="eastAsia" w:ascii="宋体" w:hAnsi="宋体"/>
                <w:b/>
                <w:bCs/>
                <w:sz w:val="24"/>
              </w:rPr>
              <w:t>内容、要求和时间</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10" w:hRule="exact"/>
          <w:jc w:val="center"/>
        </w:trPr>
        <w:tc>
          <w:tcPr>
            <w:tcW w:w="552" w:type="dxa"/>
            <w:tcBorders>
              <w:top w:val="single" w:color="auto" w:sz="4" w:space="0"/>
              <w:left w:val="double" w:color="auto" w:sz="4" w:space="0"/>
              <w:right w:val="single" w:color="auto" w:sz="4" w:space="0"/>
            </w:tcBorders>
            <w:noWrap w:val="0"/>
            <w:vAlign w:val="center"/>
          </w:tcPr>
          <w:p>
            <w:pPr>
              <w:jc w:val="center"/>
              <w:rPr>
                <w:rFonts w:hint="eastAsia" w:ascii="宋体" w:hAnsi="宋体"/>
                <w:bCs/>
                <w:snapToGrid w:val="0"/>
                <w:sz w:val="24"/>
              </w:rPr>
            </w:pPr>
            <w:r>
              <w:rPr>
                <w:rFonts w:hint="eastAsia" w:ascii="宋体" w:hAnsi="宋体"/>
                <w:bCs/>
                <w:snapToGrid w:val="0"/>
                <w:sz w:val="24"/>
              </w:rPr>
              <w:t>1</w:t>
            </w:r>
          </w:p>
        </w:tc>
        <w:tc>
          <w:tcPr>
            <w:tcW w:w="1699" w:type="dxa"/>
            <w:tcBorders>
              <w:top w:val="single" w:color="auto" w:sz="4" w:space="0"/>
              <w:left w:val="single" w:color="auto" w:sz="4" w:space="0"/>
            </w:tcBorders>
            <w:noWrap w:val="0"/>
            <w:vAlign w:val="center"/>
          </w:tcPr>
          <w:p>
            <w:pPr>
              <w:jc w:val="left"/>
              <w:rPr>
                <w:rFonts w:hint="eastAsia" w:ascii="宋体" w:hAnsi="宋体"/>
                <w:bCs/>
                <w:snapToGrid w:val="0"/>
                <w:sz w:val="24"/>
              </w:rPr>
            </w:pPr>
            <w:r>
              <w:rPr>
                <w:rFonts w:hint="eastAsia" w:ascii="宋体" w:hAnsi="宋体"/>
                <w:bCs/>
                <w:snapToGrid w:val="0"/>
                <w:sz w:val="24"/>
              </w:rPr>
              <w:t>项目名称</w:t>
            </w:r>
          </w:p>
        </w:tc>
        <w:tc>
          <w:tcPr>
            <w:tcW w:w="7727" w:type="dxa"/>
            <w:gridSpan w:val="3"/>
            <w:tcBorders>
              <w:top w:val="single" w:color="auto" w:sz="4" w:space="0"/>
              <w:right w:val="double" w:color="auto" w:sz="4" w:space="0"/>
            </w:tcBorders>
            <w:noWrap w:val="0"/>
            <w:vAlign w:val="center"/>
          </w:tcPr>
          <w:p>
            <w:pPr>
              <w:rPr>
                <w:rFonts w:hint="eastAsia" w:ascii="宋体" w:hAnsi="宋体"/>
                <w:sz w:val="24"/>
                <w:szCs w:val="21"/>
              </w:rPr>
            </w:pPr>
            <w:r>
              <w:rPr>
                <w:rFonts w:hint="eastAsia" w:ascii="宋体" w:hAnsi="宋体"/>
                <w:sz w:val="24"/>
              </w:rPr>
              <w:t>莲都区公共安全视频监控建设联网应用项目（碧湖改建项目）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48" w:hRule="exact"/>
          <w:jc w:val="center"/>
        </w:trPr>
        <w:tc>
          <w:tcPr>
            <w:tcW w:w="552" w:type="dxa"/>
            <w:tcBorders>
              <w:left w:val="double" w:color="auto" w:sz="4" w:space="0"/>
              <w:right w:val="single" w:color="auto" w:sz="4" w:space="0"/>
            </w:tcBorders>
            <w:noWrap w:val="0"/>
            <w:vAlign w:val="center"/>
          </w:tcPr>
          <w:p>
            <w:pPr>
              <w:jc w:val="center"/>
              <w:rPr>
                <w:rFonts w:hint="eastAsia" w:ascii="宋体" w:hAnsi="宋体"/>
                <w:bCs/>
                <w:snapToGrid w:val="0"/>
                <w:sz w:val="24"/>
              </w:rPr>
            </w:pPr>
            <w:r>
              <w:rPr>
                <w:rFonts w:hint="eastAsia" w:ascii="宋体" w:hAnsi="宋体"/>
                <w:bCs/>
                <w:snapToGrid w:val="0"/>
                <w:sz w:val="24"/>
              </w:rPr>
              <w:t>2</w:t>
            </w:r>
          </w:p>
        </w:tc>
        <w:tc>
          <w:tcPr>
            <w:tcW w:w="1699" w:type="dxa"/>
            <w:tcBorders>
              <w:left w:val="single" w:color="auto" w:sz="4" w:space="0"/>
            </w:tcBorders>
            <w:noWrap w:val="0"/>
            <w:vAlign w:val="center"/>
          </w:tcPr>
          <w:p>
            <w:pPr>
              <w:jc w:val="left"/>
              <w:rPr>
                <w:rFonts w:hint="eastAsia" w:ascii="宋体" w:hAnsi="宋体"/>
                <w:bCs/>
                <w:snapToGrid w:val="0"/>
                <w:sz w:val="24"/>
              </w:rPr>
            </w:pPr>
            <w:r>
              <w:rPr>
                <w:rFonts w:hint="eastAsia" w:ascii="宋体" w:hAnsi="宋体"/>
                <w:bCs/>
                <w:snapToGrid w:val="0"/>
                <w:sz w:val="24"/>
              </w:rPr>
              <w:t>采购人</w:t>
            </w:r>
          </w:p>
        </w:tc>
        <w:tc>
          <w:tcPr>
            <w:tcW w:w="7727" w:type="dxa"/>
            <w:gridSpan w:val="3"/>
            <w:tcBorders>
              <w:right w:val="double" w:color="auto" w:sz="4" w:space="0"/>
            </w:tcBorders>
            <w:noWrap w:val="0"/>
            <w:vAlign w:val="center"/>
          </w:tcPr>
          <w:p>
            <w:pPr>
              <w:rPr>
                <w:rFonts w:ascii="宋体" w:hAnsi="宋体"/>
                <w:bCs/>
                <w:sz w:val="24"/>
              </w:rPr>
            </w:pPr>
            <w:r>
              <w:rPr>
                <w:rFonts w:hint="eastAsia" w:ascii="宋体" w:hAnsi="宋体"/>
                <w:sz w:val="24"/>
              </w:rPr>
              <w:t>丽水市公安局莲都区分局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9" w:hRule="exact"/>
          <w:jc w:val="center"/>
        </w:trPr>
        <w:tc>
          <w:tcPr>
            <w:tcW w:w="552" w:type="dxa"/>
            <w:tcBorders>
              <w:left w:val="double" w:color="auto" w:sz="4" w:space="0"/>
              <w:right w:val="single" w:color="auto" w:sz="4" w:space="0"/>
            </w:tcBorders>
            <w:noWrap w:val="0"/>
            <w:vAlign w:val="center"/>
          </w:tcPr>
          <w:p>
            <w:pPr>
              <w:jc w:val="center"/>
              <w:rPr>
                <w:rFonts w:hint="eastAsia" w:ascii="宋体" w:hAnsi="宋体"/>
                <w:bCs/>
                <w:snapToGrid w:val="0"/>
                <w:sz w:val="24"/>
              </w:rPr>
            </w:pPr>
            <w:r>
              <w:rPr>
                <w:rFonts w:hint="eastAsia" w:ascii="宋体" w:hAnsi="宋体"/>
                <w:bCs/>
                <w:snapToGrid w:val="0"/>
                <w:sz w:val="24"/>
              </w:rPr>
              <w:t>3</w:t>
            </w:r>
          </w:p>
        </w:tc>
        <w:tc>
          <w:tcPr>
            <w:tcW w:w="1699" w:type="dxa"/>
            <w:tcBorders>
              <w:left w:val="single" w:color="auto" w:sz="4" w:space="0"/>
            </w:tcBorders>
            <w:noWrap w:val="0"/>
            <w:vAlign w:val="center"/>
          </w:tcPr>
          <w:p>
            <w:pPr>
              <w:jc w:val="left"/>
              <w:rPr>
                <w:rFonts w:hint="eastAsia" w:ascii="宋体" w:hAnsi="宋体"/>
                <w:bCs/>
                <w:snapToGrid w:val="0"/>
                <w:sz w:val="24"/>
              </w:rPr>
            </w:pPr>
            <w:r>
              <w:rPr>
                <w:rFonts w:hint="eastAsia" w:ascii="宋体" w:hAnsi="宋体"/>
                <w:bCs/>
                <w:snapToGrid w:val="0"/>
                <w:sz w:val="24"/>
              </w:rPr>
              <w:t>采购代理机构</w:t>
            </w:r>
          </w:p>
        </w:tc>
        <w:tc>
          <w:tcPr>
            <w:tcW w:w="7727" w:type="dxa"/>
            <w:gridSpan w:val="3"/>
            <w:tcBorders>
              <w:right w:val="double" w:color="auto" w:sz="4" w:space="0"/>
            </w:tcBorders>
            <w:noWrap w:val="0"/>
            <w:vAlign w:val="center"/>
          </w:tcPr>
          <w:p>
            <w:pPr>
              <w:rPr>
                <w:rFonts w:hint="eastAsia" w:ascii="宋体" w:hAnsi="宋体"/>
                <w:bCs/>
                <w:sz w:val="24"/>
              </w:rPr>
            </w:pPr>
            <w:r>
              <w:rPr>
                <w:rFonts w:hint="eastAsia" w:ascii="宋体" w:hAnsi="宋体"/>
                <w:bCs/>
                <w:sz w:val="24"/>
              </w:rPr>
              <w:t>浙江建航工程咨询有限公司</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77" w:hRule="exact"/>
          <w:jc w:val="center"/>
        </w:trPr>
        <w:tc>
          <w:tcPr>
            <w:tcW w:w="552" w:type="dxa"/>
            <w:tcBorders>
              <w:left w:val="double" w:color="auto" w:sz="4" w:space="0"/>
              <w:right w:val="single" w:color="auto" w:sz="4" w:space="0"/>
            </w:tcBorders>
            <w:noWrap w:val="0"/>
            <w:vAlign w:val="center"/>
          </w:tcPr>
          <w:p>
            <w:pPr>
              <w:jc w:val="center"/>
              <w:rPr>
                <w:rFonts w:hint="eastAsia" w:ascii="宋体" w:hAnsi="宋体"/>
                <w:bCs/>
                <w:snapToGrid w:val="0"/>
                <w:sz w:val="24"/>
              </w:rPr>
            </w:pPr>
            <w:r>
              <w:rPr>
                <w:rFonts w:hint="eastAsia" w:ascii="宋体" w:hAnsi="宋体"/>
                <w:bCs/>
                <w:snapToGrid w:val="0"/>
                <w:sz w:val="24"/>
              </w:rPr>
              <w:t>4</w:t>
            </w:r>
          </w:p>
        </w:tc>
        <w:tc>
          <w:tcPr>
            <w:tcW w:w="1699" w:type="dxa"/>
            <w:tcBorders>
              <w:left w:val="single" w:color="auto" w:sz="4" w:space="0"/>
            </w:tcBorders>
            <w:noWrap w:val="0"/>
            <w:vAlign w:val="center"/>
          </w:tcPr>
          <w:p>
            <w:pPr>
              <w:jc w:val="left"/>
              <w:rPr>
                <w:rFonts w:hint="eastAsia" w:ascii="宋体" w:hAnsi="宋体"/>
                <w:bCs/>
                <w:snapToGrid w:val="0"/>
                <w:sz w:val="24"/>
              </w:rPr>
            </w:pPr>
            <w:r>
              <w:rPr>
                <w:rFonts w:hint="eastAsia" w:ascii="宋体" w:hAnsi="宋体"/>
                <w:bCs/>
                <w:snapToGrid w:val="0"/>
                <w:sz w:val="24"/>
              </w:rPr>
              <w:t>采购方式</w:t>
            </w:r>
          </w:p>
        </w:tc>
        <w:tc>
          <w:tcPr>
            <w:tcW w:w="2544" w:type="dxa"/>
            <w:noWrap w:val="0"/>
            <w:vAlign w:val="center"/>
          </w:tcPr>
          <w:p>
            <w:pPr>
              <w:rPr>
                <w:rFonts w:hint="eastAsia" w:ascii="宋体" w:hAnsi="宋体"/>
                <w:bCs/>
                <w:sz w:val="24"/>
              </w:rPr>
            </w:pPr>
            <w:r>
              <w:rPr>
                <w:rFonts w:hint="eastAsia" w:ascii="宋体" w:hAnsi="宋体"/>
                <w:bCs/>
                <w:sz w:val="24"/>
              </w:rPr>
              <w:t>公开招标</w:t>
            </w:r>
          </w:p>
        </w:tc>
        <w:tc>
          <w:tcPr>
            <w:tcW w:w="1262" w:type="dxa"/>
            <w:noWrap w:val="0"/>
            <w:vAlign w:val="center"/>
          </w:tcPr>
          <w:p>
            <w:pPr>
              <w:rPr>
                <w:rFonts w:hint="eastAsia" w:ascii="宋体" w:hAnsi="宋体"/>
                <w:bCs/>
                <w:sz w:val="24"/>
              </w:rPr>
            </w:pPr>
            <w:r>
              <w:rPr>
                <w:rFonts w:hint="eastAsia" w:ascii="宋体" w:hAnsi="宋体"/>
                <w:bCs/>
                <w:sz w:val="24"/>
              </w:rPr>
              <w:t>组织方式</w:t>
            </w:r>
          </w:p>
        </w:tc>
        <w:tc>
          <w:tcPr>
            <w:tcW w:w="3921" w:type="dxa"/>
            <w:tcBorders>
              <w:right w:val="double" w:color="auto" w:sz="4" w:space="0"/>
            </w:tcBorders>
            <w:noWrap w:val="0"/>
            <w:vAlign w:val="center"/>
          </w:tcPr>
          <w:p>
            <w:pPr>
              <w:rPr>
                <w:rFonts w:hint="eastAsia" w:ascii="宋体" w:hAnsi="宋体"/>
                <w:bCs/>
                <w:sz w:val="24"/>
              </w:rPr>
            </w:pPr>
            <w:r>
              <w:rPr>
                <w:rFonts w:hint="eastAsia" w:ascii="宋体" w:hAnsi="宋体"/>
                <w:bCs/>
                <w:sz w:val="24"/>
              </w:rPr>
              <w:t>分散采购</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854" w:hRule="exact"/>
          <w:jc w:val="center"/>
        </w:trPr>
        <w:tc>
          <w:tcPr>
            <w:tcW w:w="552" w:type="dxa"/>
            <w:tcBorders>
              <w:left w:val="double" w:color="auto" w:sz="4" w:space="0"/>
              <w:right w:val="single" w:color="auto" w:sz="4" w:space="0"/>
            </w:tcBorders>
            <w:noWrap w:val="0"/>
            <w:vAlign w:val="center"/>
          </w:tcPr>
          <w:p>
            <w:pPr>
              <w:spacing w:line="360" w:lineRule="auto"/>
              <w:jc w:val="center"/>
              <w:rPr>
                <w:rFonts w:hint="eastAsia" w:ascii="宋体" w:hAnsi="宋体"/>
                <w:bCs/>
                <w:snapToGrid w:val="0"/>
                <w:sz w:val="24"/>
              </w:rPr>
            </w:pPr>
            <w:r>
              <w:rPr>
                <w:rFonts w:hint="eastAsia" w:ascii="宋体" w:hAnsi="宋体"/>
                <w:bCs/>
                <w:snapToGrid w:val="0"/>
                <w:sz w:val="24"/>
              </w:rPr>
              <w:t>5</w:t>
            </w:r>
          </w:p>
        </w:tc>
        <w:tc>
          <w:tcPr>
            <w:tcW w:w="1699" w:type="dxa"/>
            <w:tcBorders>
              <w:left w:val="single" w:color="auto" w:sz="4" w:space="0"/>
            </w:tcBorders>
            <w:noWrap w:val="0"/>
            <w:vAlign w:val="center"/>
          </w:tcPr>
          <w:p>
            <w:pPr>
              <w:spacing w:line="360" w:lineRule="auto"/>
              <w:jc w:val="left"/>
              <w:rPr>
                <w:rFonts w:hint="eastAsia" w:ascii="宋体" w:hAnsi="宋体"/>
                <w:bCs/>
                <w:snapToGrid w:val="0"/>
                <w:sz w:val="24"/>
              </w:rPr>
            </w:pPr>
            <w:r>
              <w:rPr>
                <w:rFonts w:hint="eastAsia" w:ascii="宋体" w:hAnsi="宋体"/>
                <w:bCs/>
                <w:snapToGrid w:val="0"/>
                <w:sz w:val="24"/>
              </w:rPr>
              <w:t>资格审查方式</w:t>
            </w:r>
          </w:p>
        </w:tc>
        <w:tc>
          <w:tcPr>
            <w:tcW w:w="7727" w:type="dxa"/>
            <w:gridSpan w:val="3"/>
            <w:tcBorders>
              <w:right w:val="double" w:color="auto" w:sz="4" w:space="0"/>
            </w:tcBorders>
            <w:noWrap w:val="0"/>
            <w:vAlign w:val="center"/>
          </w:tcPr>
          <w:p>
            <w:pPr>
              <w:spacing w:line="276" w:lineRule="auto"/>
              <w:rPr>
                <w:rFonts w:hint="eastAsia" w:ascii="宋体" w:hAnsi="宋体"/>
                <w:bCs/>
                <w:snapToGrid w:val="0"/>
                <w:sz w:val="24"/>
              </w:rPr>
            </w:pPr>
            <w:r>
              <w:rPr>
                <w:rFonts w:hint="eastAsia" w:ascii="宋体" w:hAnsi="宋体"/>
                <w:bCs/>
                <w:snapToGrid w:val="0"/>
                <w:sz w:val="24"/>
              </w:rPr>
              <w:t>采用资格后审。</w:t>
            </w:r>
            <w:r>
              <w:rPr>
                <w:rFonts w:hint="eastAsia" w:ascii="宋体" w:hAnsi="宋体"/>
                <w:sz w:val="24"/>
              </w:rPr>
              <w:t>投标人获取招标文件或提交投标文件不表明已获取投标资格。开标会上通过资格审查的投标人才具有投标资格。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67" w:hRule="exact"/>
          <w:jc w:val="center"/>
        </w:trPr>
        <w:tc>
          <w:tcPr>
            <w:tcW w:w="552" w:type="dxa"/>
            <w:tcBorders>
              <w:left w:val="double" w:color="auto" w:sz="4" w:space="0"/>
              <w:right w:val="single" w:color="auto" w:sz="4" w:space="0"/>
            </w:tcBorders>
            <w:noWrap w:val="0"/>
            <w:vAlign w:val="center"/>
          </w:tcPr>
          <w:p>
            <w:pPr>
              <w:spacing w:line="360" w:lineRule="auto"/>
              <w:jc w:val="center"/>
              <w:rPr>
                <w:rFonts w:hint="eastAsia" w:ascii="宋体" w:hAnsi="宋体"/>
                <w:bCs/>
                <w:snapToGrid w:val="0"/>
                <w:sz w:val="24"/>
              </w:rPr>
            </w:pPr>
            <w:r>
              <w:rPr>
                <w:rFonts w:hint="eastAsia" w:ascii="宋体" w:hAnsi="宋体"/>
                <w:bCs/>
                <w:snapToGrid w:val="0"/>
                <w:sz w:val="24"/>
              </w:rPr>
              <w:t>6</w:t>
            </w:r>
          </w:p>
        </w:tc>
        <w:tc>
          <w:tcPr>
            <w:tcW w:w="1699" w:type="dxa"/>
            <w:tcBorders>
              <w:left w:val="single" w:color="auto" w:sz="4" w:space="0"/>
            </w:tcBorders>
            <w:noWrap w:val="0"/>
            <w:vAlign w:val="center"/>
          </w:tcPr>
          <w:p>
            <w:pPr>
              <w:spacing w:line="360" w:lineRule="auto"/>
              <w:jc w:val="left"/>
              <w:rPr>
                <w:rFonts w:hint="eastAsia" w:ascii="宋体" w:hAnsi="宋体"/>
                <w:bCs/>
                <w:snapToGrid w:val="0"/>
                <w:sz w:val="24"/>
              </w:rPr>
            </w:pPr>
            <w:r>
              <w:rPr>
                <w:rFonts w:hint="eastAsia" w:ascii="宋体" w:hAnsi="宋体"/>
                <w:bCs/>
                <w:snapToGrid w:val="0"/>
                <w:sz w:val="24"/>
              </w:rPr>
              <w:t>投标有效期</w:t>
            </w:r>
          </w:p>
        </w:tc>
        <w:tc>
          <w:tcPr>
            <w:tcW w:w="7727" w:type="dxa"/>
            <w:gridSpan w:val="3"/>
            <w:tcBorders>
              <w:right w:val="double" w:color="auto" w:sz="4" w:space="0"/>
            </w:tcBorders>
            <w:noWrap w:val="0"/>
            <w:vAlign w:val="center"/>
          </w:tcPr>
          <w:p>
            <w:pPr>
              <w:spacing w:line="360" w:lineRule="auto"/>
              <w:rPr>
                <w:rFonts w:hint="eastAsia" w:ascii="宋体" w:hAnsi="宋体"/>
                <w:bCs/>
                <w:snapToGrid w:val="0"/>
                <w:sz w:val="24"/>
              </w:rPr>
            </w:pPr>
            <w:r>
              <w:rPr>
                <w:rFonts w:hint="eastAsia" w:ascii="宋体" w:hAnsi="宋体"/>
                <w:bCs/>
                <w:snapToGrid w:val="0"/>
                <w:sz w:val="24"/>
              </w:rPr>
              <w:t>提交投标文件的截止之日起90天内有效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1838" w:hRule="exact"/>
          <w:jc w:val="center"/>
        </w:trPr>
        <w:tc>
          <w:tcPr>
            <w:tcW w:w="552" w:type="dxa"/>
            <w:tcBorders>
              <w:left w:val="double" w:color="auto" w:sz="4" w:space="0"/>
              <w:right w:val="single" w:color="auto" w:sz="4" w:space="0"/>
            </w:tcBorders>
            <w:noWrap w:val="0"/>
            <w:vAlign w:val="center"/>
          </w:tcPr>
          <w:p>
            <w:pPr>
              <w:spacing w:line="360" w:lineRule="auto"/>
              <w:jc w:val="center"/>
              <w:rPr>
                <w:rFonts w:hint="eastAsia" w:ascii="宋体" w:hAnsi="宋体"/>
                <w:bCs/>
                <w:snapToGrid w:val="0"/>
                <w:sz w:val="24"/>
              </w:rPr>
            </w:pPr>
            <w:r>
              <w:rPr>
                <w:rFonts w:hint="eastAsia" w:ascii="宋体" w:hAnsi="宋体"/>
                <w:bCs/>
                <w:snapToGrid w:val="0"/>
                <w:sz w:val="24"/>
              </w:rPr>
              <w:t>7</w:t>
            </w:r>
          </w:p>
        </w:tc>
        <w:tc>
          <w:tcPr>
            <w:tcW w:w="1699" w:type="dxa"/>
            <w:tcBorders>
              <w:left w:val="single" w:color="auto" w:sz="4" w:space="0"/>
            </w:tcBorders>
            <w:noWrap w:val="0"/>
            <w:vAlign w:val="center"/>
          </w:tcPr>
          <w:p>
            <w:pPr>
              <w:spacing w:line="360" w:lineRule="auto"/>
              <w:rPr>
                <w:rFonts w:hint="eastAsia" w:ascii="宋体" w:hAnsi="宋体"/>
                <w:bCs/>
                <w:sz w:val="24"/>
              </w:rPr>
            </w:pPr>
            <w:r>
              <w:rPr>
                <w:rFonts w:hint="eastAsia" w:ascii="宋体" w:hAnsi="宋体"/>
                <w:bCs/>
                <w:sz w:val="24"/>
              </w:rPr>
              <w:t>招标文件质疑</w:t>
            </w:r>
          </w:p>
        </w:tc>
        <w:tc>
          <w:tcPr>
            <w:tcW w:w="7727" w:type="dxa"/>
            <w:gridSpan w:val="3"/>
            <w:tcBorders>
              <w:right w:val="double" w:color="auto" w:sz="4" w:space="0"/>
            </w:tcBorders>
            <w:noWrap w:val="0"/>
            <w:vAlign w:val="center"/>
          </w:tcPr>
          <w:p>
            <w:pPr>
              <w:spacing w:line="276" w:lineRule="auto"/>
              <w:rPr>
                <w:rFonts w:hint="eastAsia" w:ascii="宋体" w:hAnsi="宋体"/>
                <w:sz w:val="24"/>
              </w:rPr>
            </w:pPr>
            <w:r>
              <w:rPr>
                <w:rFonts w:hint="eastAsia" w:ascii="宋体" w:hAnsi="宋体"/>
                <w:sz w:val="24"/>
              </w:rPr>
              <w:t>1、只有通过电子交易平台</w:t>
            </w:r>
            <w:r>
              <w:rPr>
                <w:rFonts w:hint="eastAsia" w:ascii="宋体" w:hAnsi="宋体"/>
                <w:b/>
                <w:sz w:val="24"/>
              </w:rPr>
              <w:t>“潜在供应商”</w:t>
            </w:r>
            <w:r>
              <w:rPr>
                <w:rFonts w:hint="eastAsia" w:ascii="宋体" w:hAnsi="宋体"/>
                <w:sz w:val="24"/>
              </w:rPr>
              <w:t>栏获取招标文件的投标人才能对招标文件提出质疑（质疑时间详见前附表），否则不予受理。</w:t>
            </w:r>
          </w:p>
          <w:p>
            <w:pPr>
              <w:spacing w:line="276" w:lineRule="auto"/>
              <w:rPr>
                <w:rFonts w:hint="eastAsia" w:ascii="宋体" w:hAnsi="宋体"/>
                <w:bCs/>
                <w:sz w:val="24"/>
              </w:rPr>
            </w:pPr>
            <w:r>
              <w:rPr>
                <w:rFonts w:hint="eastAsia" w:ascii="宋体" w:hAnsi="宋体"/>
                <w:sz w:val="24"/>
              </w:rPr>
              <w:t>2、质疑期限为招标公告期限届满之日（招标公告届满日为公告发布后的第6个工作日）起7个工作日内，以书面形式向采购人和采购代理机构一次性提出质疑。</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1186" w:hRule="exact"/>
          <w:jc w:val="center"/>
        </w:trPr>
        <w:tc>
          <w:tcPr>
            <w:tcW w:w="552" w:type="dxa"/>
            <w:tcBorders>
              <w:left w:val="double" w:color="auto" w:sz="4" w:space="0"/>
              <w:right w:val="single" w:color="auto" w:sz="4" w:space="0"/>
            </w:tcBorders>
            <w:noWrap w:val="0"/>
            <w:vAlign w:val="center"/>
          </w:tcPr>
          <w:p>
            <w:pPr>
              <w:spacing w:line="360" w:lineRule="auto"/>
              <w:jc w:val="center"/>
              <w:rPr>
                <w:rFonts w:hint="eastAsia" w:ascii="宋体" w:hAnsi="宋体"/>
                <w:bCs/>
                <w:snapToGrid w:val="0"/>
                <w:sz w:val="24"/>
              </w:rPr>
            </w:pPr>
            <w:r>
              <w:rPr>
                <w:rFonts w:hint="eastAsia" w:ascii="宋体" w:hAnsi="宋体"/>
                <w:bCs/>
                <w:snapToGrid w:val="0"/>
                <w:sz w:val="24"/>
              </w:rPr>
              <w:t>8</w:t>
            </w:r>
          </w:p>
        </w:tc>
        <w:tc>
          <w:tcPr>
            <w:tcW w:w="1699" w:type="dxa"/>
            <w:tcBorders>
              <w:left w:val="single" w:color="auto" w:sz="4" w:space="0"/>
            </w:tcBorders>
            <w:noWrap w:val="0"/>
            <w:vAlign w:val="center"/>
          </w:tcPr>
          <w:p>
            <w:pPr>
              <w:spacing w:line="360" w:lineRule="auto"/>
              <w:rPr>
                <w:rFonts w:hint="eastAsia" w:ascii="宋体" w:hAnsi="宋体"/>
                <w:bCs/>
                <w:sz w:val="24"/>
              </w:rPr>
            </w:pPr>
            <w:r>
              <w:rPr>
                <w:rFonts w:hint="eastAsia" w:ascii="宋体" w:hAnsi="宋体"/>
                <w:bCs/>
                <w:sz w:val="24"/>
              </w:rPr>
              <w:t>中标结果质疑</w:t>
            </w:r>
          </w:p>
        </w:tc>
        <w:tc>
          <w:tcPr>
            <w:tcW w:w="7727" w:type="dxa"/>
            <w:gridSpan w:val="3"/>
            <w:tcBorders>
              <w:right w:val="double" w:color="auto" w:sz="4" w:space="0"/>
            </w:tcBorders>
            <w:noWrap w:val="0"/>
            <w:vAlign w:val="center"/>
          </w:tcPr>
          <w:p>
            <w:pPr>
              <w:spacing w:line="276" w:lineRule="auto"/>
              <w:rPr>
                <w:rFonts w:hint="eastAsia" w:ascii="宋体" w:hAnsi="宋体"/>
                <w:sz w:val="24"/>
              </w:rPr>
            </w:pPr>
            <w:r>
              <w:rPr>
                <w:rFonts w:hint="eastAsia" w:ascii="宋体" w:hAnsi="宋体"/>
                <w:sz w:val="24"/>
              </w:rPr>
              <w:t>质疑期限为中标公告期限届满之日（中标公告届满日为公告发布后的第2个工作日）起7个工作日内，以书面形式向采购人和采购代理机构一次性提出质疑。</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648" w:hRule="exact"/>
          <w:jc w:val="center"/>
        </w:trPr>
        <w:tc>
          <w:tcPr>
            <w:tcW w:w="552" w:type="dxa"/>
            <w:tcBorders>
              <w:left w:val="double" w:color="auto" w:sz="4" w:space="0"/>
              <w:right w:val="single" w:color="auto" w:sz="4" w:space="0"/>
            </w:tcBorders>
            <w:noWrap w:val="0"/>
            <w:vAlign w:val="center"/>
          </w:tcPr>
          <w:p>
            <w:pPr>
              <w:spacing w:line="360" w:lineRule="auto"/>
              <w:jc w:val="center"/>
              <w:rPr>
                <w:rFonts w:hint="eastAsia" w:ascii="宋体" w:hAnsi="宋体"/>
                <w:bCs/>
                <w:snapToGrid w:val="0"/>
                <w:sz w:val="24"/>
              </w:rPr>
            </w:pPr>
            <w:r>
              <w:rPr>
                <w:rFonts w:hint="eastAsia" w:ascii="宋体" w:hAnsi="宋体"/>
                <w:bCs/>
                <w:snapToGrid w:val="0"/>
                <w:sz w:val="24"/>
              </w:rPr>
              <w:t>9</w:t>
            </w:r>
          </w:p>
        </w:tc>
        <w:tc>
          <w:tcPr>
            <w:tcW w:w="1699" w:type="dxa"/>
            <w:tcBorders>
              <w:left w:val="single" w:color="auto" w:sz="4" w:space="0"/>
            </w:tcBorders>
            <w:noWrap w:val="0"/>
            <w:vAlign w:val="center"/>
          </w:tcPr>
          <w:p>
            <w:pPr>
              <w:jc w:val="left"/>
              <w:rPr>
                <w:rFonts w:hint="eastAsia" w:ascii="宋体" w:hAnsi="宋体"/>
                <w:bCs/>
                <w:snapToGrid w:val="0"/>
                <w:sz w:val="24"/>
              </w:rPr>
            </w:pPr>
            <w:r>
              <w:rPr>
                <w:rFonts w:hint="eastAsia" w:ascii="宋体" w:hAnsi="宋体"/>
                <w:sz w:val="24"/>
              </w:rPr>
              <w:t>招标文件澄清或修改时间</w:t>
            </w:r>
          </w:p>
        </w:tc>
        <w:tc>
          <w:tcPr>
            <w:tcW w:w="7727" w:type="dxa"/>
            <w:gridSpan w:val="3"/>
            <w:tcBorders>
              <w:right w:val="double" w:color="auto" w:sz="4" w:space="0"/>
            </w:tcBorders>
            <w:noWrap w:val="0"/>
            <w:vAlign w:val="center"/>
          </w:tcPr>
          <w:p>
            <w:pPr>
              <w:spacing w:line="360" w:lineRule="auto"/>
              <w:rPr>
                <w:rFonts w:hint="eastAsia" w:ascii="宋体" w:hAnsi="宋体"/>
                <w:bCs/>
                <w:snapToGrid w:val="0"/>
                <w:sz w:val="24"/>
              </w:rPr>
            </w:pPr>
            <w:r>
              <w:rPr>
                <w:rFonts w:hint="eastAsia" w:ascii="宋体" w:hAnsi="宋体"/>
                <w:sz w:val="24"/>
              </w:rPr>
              <w:t>投标截止时间15天前，发布网址同招标公告发布网址。</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4198" w:hRule="atLeast"/>
          <w:jc w:val="center"/>
        </w:trPr>
        <w:tc>
          <w:tcPr>
            <w:tcW w:w="552" w:type="dxa"/>
            <w:tcBorders>
              <w:left w:val="double" w:color="auto" w:sz="4" w:space="0"/>
              <w:right w:val="single" w:color="auto" w:sz="4" w:space="0"/>
            </w:tcBorders>
            <w:noWrap w:val="0"/>
            <w:vAlign w:val="center"/>
          </w:tcPr>
          <w:p>
            <w:pPr>
              <w:spacing w:line="360" w:lineRule="auto"/>
              <w:jc w:val="center"/>
              <w:rPr>
                <w:rFonts w:hint="eastAsia" w:ascii="宋体" w:hAnsi="宋体"/>
                <w:bCs/>
                <w:snapToGrid w:val="0"/>
                <w:sz w:val="24"/>
              </w:rPr>
            </w:pPr>
            <w:r>
              <w:rPr>
                <w:rFonts w:hint="eastAsia" w:ascii="宋体" w:hAnsi="宋体"/>
                <w:bCs/>
                <w:snapToGrid w:val="0"/>
                <w:sz w:val="24"/>
              </w:rPr>
              <w:t>10</w:t>
            </w:r>
          </w:p>
        </w:tc>
        <w:tc>
          <w:tcPr>
            <w:tcW w:w="1699" w:type="dxa"/>
            <w:tcBorders>
              <w:left w:val="single" w:color="auto" w:sz="4" w:space="0"/>
            </w:tcBorders>
            <w:noWrap w:val="0"/>
            <w:vAlign w:val="center"/>
          </w:tcPr>
          <w:p>
            <w:pPr>
              <w:spacing w:line="360" w:lineRule="auto"/>
              <w:jc w:val="left"/>
              <w:rPr>
                <w:rFonts w:hint="eastAsia" w:ascii="宋体" w:hAnsi="宋体"/>
                <w:b/>
                <w:bCs/>
                <w:snapToGrid w:val="0"/>
                <w:szCs w:val="21"/>
              </w:rPr>
            </w:pPr>
            <w:r>
              <w:rPr>
                <w:rFonts w:hint="eastAsia" w:ascii="宋体" w:hAnsi="宋体"/>
                <w:bCs/>
                <w:snapToGrid w:val="0"/>
                <w:sz w:val="24"/>
              </w:rPr>
              <w:t>投标文件提交</w:t>
            </w:r>
          </w:p>
        </w:tc>
        <w:tc>
          <w:tcPr>
            <w:tcW w:w="7727" w:type="dxa"/>
            <w:gridSpan w:val="3"/>
            <w:tcBorders>
              <w:right w:val="double" w:color="auto" w:sz="4" w:space="0"/>
            </w:tcBorders>
            <w:noWrap w:val="0"/>
            <w:vAlign w:val="center"/>
          </w:tcPr>
          <w:p>
            <w:pPr>
              <w:pStyle w:val="382"/>
              <w:spacing w:line="276" w:lineRule="auto"/>
              <w:rPr>
                <w:rFonts w:hint="eastAsia" w:hAnsi="宋体"/>
                <w:szCs w:val="24"/>
              </w:rPr>
            </w:pPr>
            <w:r>
              <w:rPr>
                <w:rFonts w:hint="eastAsia" w:hAnsi="宋体"/>
                <w:szCs w:val="24"/>
              </w:rPr>
              <w:t xml:space="preserve">接收人：浙江建航工程咨询有限公司 </w:t>
            </w:r>
          </w:p>
          <w:p>
            <w:pPr>
              <w:spacing w:line="276" w:lineRule="auto"/>
              <w:ind w:left="118" w:hanging="117" w:hangingChars="49"/>
              <w:rPr>
                <w:rFonts w:hint="eastAsia" w:ascii="宋体" w:hAnsi="宋体"/>
                <w:sz w:val="24"/>
              </w:rPr>
            </w:pPr>
            <w:r>
              <w:rPr>
                <w:rFonts w:hint="eastAsia" w:ascii="宋体" w:hAnsi="宋体" w:cs="仿宋_GB2312"/>
                <w:sz w:val="24"/>
              </w:rPr>
              <w:t>提交投标文件截止时间（即投标截止时间）</w:t>
            </w:r>
            <w:r>
              <w:rPr>
                <w:rFonts w:hint="eastAsia" w:ascii="宋体" w:hAnsi="宋体"/>
                <w:sz w:val="24"/>
              </w:rPr>
              <w:t>：</w:t>
            </w:r>
            <w:r>
              <w:rPr>
                <w:rFonts w:ascii="宋体" w:hAnsi="宋体"/>
                <w:b/>
                <w:sz w:val="24"/>
                <w:u w:val="single"/>
              </w:rPr>
              <w:t>202</w:t>
            </w:r>
            <w:r>
              <w:rPr>
                <w:rFonts w:hint="eastAsia" w:ascii="宋体" w:hAnsi="宋体"/>
                <w:b/>
                <w:sz w:val="24"/>
                <w:u w:val="single"/>
              </w:rPr>
              <w:t>2年9月19日9时00分</w:t>
            </w:r>
          </w:p>
          <w:p>
            <w:pPr>
              <w:tabs>
                <w:tab w:val="left" w:pos="0"/>
                <w:tab w:val="left" w:pos="1134"/>
              </w:tabs>
              <w:adjustRightInd w:val="0"/>
              <w:snapToGrid w:val="0"/>
              <w:spacing w:line="276" w:lineRule="auto"/>
              <w:rPr>
                <w:rFonts w:hint="eastAsia" w:ascii="宋体" w:hAnsi="宋体"/>
                <w:bCs/>
                <w:sz w:val="24"/>
              </w:rPr>
            </w:pPr>
            <w:r>
              <w:rPr>
                <w:rFonts w:hint="eastAsia" w:ascii="宋体" w:hAnsi="宋体"/>
                <w:bCs/>
                <w:sz w:val="24"/>
              </w:rPr>
              <w:t>提交投标文件地点：</w:t>
            </w:r>
          </w:p>
          <w:p>
            <w:pPr>
              <w:adjustRightInd w:val="0"/>
              <w:snapToGrid w:val="0"/>
              <w:spacing w:line="276" w:lineRule="auto"/>
              <w:ind w:firstLine="480" w:firstLineChars="200"/>
              <w:rPr>
                <w:rFonts w:hAnsi="宋体"/>
                <w:sz w:val="24"/>
              </w:rPr>
            </w:pPr>
            <w:r>
              <w:rPr>
                <w:rFonts w:hint="eastAsia" w:hAnsi="宋体"/>
                <w:sz w:val="24"/>
              </w:rPr>
              <w:t>（1）电子</w:t>
            </w:r>
            <w:r>
              <w:rPr>
                <w:rFonts w:hAnsi="宋体"/>
                <w:sz w:val="24"/>
              </w:rPr>
              <w:t>投标文件</w:t>
            </w:r>
            <w:r>
              <w:rPr>
                <w:rFonts w:hint="eastAsia" w:hAnsi="宋体"/>
                <w:sz w:val="24"/>
              </w:rPr>
              <w:t>：投标截止时间前在</w:t>
            </w:r>
            <w:r>
              <w:rPr>
                <w:rFonts w:hAnsi="宋体"/>
                <w:sz w:val="24"/>
              </w:rPr>
              <w:t>政采云平台</w:t>
            </w:r>
            <w:r>
              <w:rPr>
                <w:rFonts w:hint="eastAsia" w:hAnsi="宋体"/>
                <w:sz w:val="24"/>
              </w:rPr>
              <w:t>完成电子投标文件的传输提交；</w:t>
            </w:r>
          </w:p>
          <w:p>
            <w:pPr>
              <w:adjustRightInd w:val="0"/>
              <w:snapToGrid w:val="0"/>
              <w:spacing w:line="276" w:lineRule="auto"/>
              <w:ind w:firstLine="480" w:firstLineChars="200"/>
              <w:rPr>
                <w:rFonts w:hint="eastAsia" w:hAnsi="宋体"/>
                <w:sz w:val="24"/>
              </w:rPr>
            </w:pPr>
            <w:r>
              <w:rPr>
                <w:rFonts w:hint="eastAsia" w:hAnsi="宋体"/>
                <w:sz w:val="24"/>
              </w:rPr>
              <w:t>（2）备份投标文件：</w:t>
            </w:r>
          </w:p>
          <w:p>
            <w:pPr>
              <w:adjustRightInd w:val="0"/>
              <w:snapToGrid w:val="0"/>
              <w:spacing w:line="276" w:lineRule="auto"/>
              <w:ind w:firstLine="480" w:firstLineChars="200"/>
              <w:rPr>
                <w:rFonts w:hint="eastAsia" w:ascii="新宋体" w:hAnsi="新宋体" w:eastAsia="新宋体"/>
                <w:sz w:val="24"/>
              </w:rPr>
            </w:pPr>
            <w:r>
              <w:rPr>
                <w:rFonts w:hint="eastAsia" w:ascii="新宋体" w:hAnsi="新宋体" w:eastAsia="新宋体"/>
                <w:bCs/>
                <w:sz w:val="24"/>
              </w:rPr>
              <w:t>如提交备份</w:t>
            </w:r>
            <w:r>
              <w:rPr>
                <w:rFonts w:hint="eastAsia" w:hAnsi="宋体"/>
                <w:bCs/>
                <w:sz w:val="24"/>
              </w:rPr>
              <w:t>投标</w:t>
            </w:r>
            <w:r>
              <w:rPr>
                <w:rFonts w:hint="eastAsia" w:ascii="新宋体" w:hAnsi="新宋体" w:eastAsia="新宋体"/>
                <w:bCs/>
                <w:sz w:val="24"/>
              </w:rPr>
              <w:t>文件的，应在</w:t>
            </w:r>
            <w:r>
              <w:rPr>
                <w:rFonts w:hint="eastAsia" w:hAnsi="宋体"/>
                <w:bCs/>
                <w:sz w:val="24"/>
              </w:rPr>
              <w:t>投标</w:t>
            </w:r>
            <w:r>
              <w:rPr>
                <w:rFonts w:hint="eastAsia" w:ascii="新宋体" w:hAnsi="新宋体" w:eastAsia="新宋体"/>
                <w:bCs/>
                <w:sz w:val="24"/>
              </w:rPr>
              <w:t>截止时间前将系统最后生成的具有电子签章的备份</w:t>
            </w:r>
            <w:r>
              <w:rPr>
                <w:rFonts w:hint="eastAsia" w:hAnsi="宋体"/>
                <w:bCs/>
                <w:sz w:val="24"/>
              </w:rPr>
              <w:t>投标</w:t>
            </w:r>
            <w:r>
              <w:rPr>
                <w:rFonts w:hint="eastAsia" w:ascii="新宋体" w:hAnsi="新宋体" w:eastAsia="新宋体"/>
                <w:bCs/>
                <w:sz w:val="24"/>
              </w:rPr>
              <w:t>文件通过电子邮件方式传送至代理机构邮箱（331345505@qq.com），</w:t>
            </w:r>
            <w:r>
              <w:rPr>
                <w:rFonts w:hint="eastAsia" w:ascii="新宋体" w:hAnsi="新宋体" w:eastAsia="新宋体"/>
                <w:sz w:val="24"/>
              </w:rPr>
              <w:t xml:space="preserve">并在邮件中注明项目名称及投标人名称。 </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1141" w:hRule="exact"/>
          <w:jc w:val="center"/>
        </w:trPr>
        <w:tc>
          <w:tcPr>
            <w:tcW w:w="552" w:type="dxa"/>
            <w:tcBorders>
              <w:left w:val="double" w:color="auto" w:sz="4" w:space="0"/>
              <w:right w:val="single" w:color="auto" w:sz="4" w:space="0"/>
            </w:tcBorders>
            <w:noWrap w:val="0"/>
            <w:vAlign w:val="center"/>
          </w:tcPr>
          <w:p>
            <w:pPr>
              <w:spacing w:line="360" w:lineRule="auto"/>
              <w:jc w:val="center"/>
              <w:rPr>
                <w:rFonts w:hint="eastAsia" w:ascii="宋体" w:hAnsi="宋体"/>
                <w:bCs/>
                <w:snapToGrid w:val="0"/>
                <w:sz w:val="24"/>
              </w:rPr>
            </w:pPr>
            <w:r>
              <w:rPr>
                <w:rFonts w:hint="eastAsia" w:ascii="宋体" w:hAnsi="宋体"/>
                <w:bCs/>
                <w:snapToGrid w:val="0"/>
                <w:sz w:val="24"/>
              </w:rPr>
              <w:t>11</w:t>
            </w:r>
          </w:p>
        </w:tc>
        <w:tc>
          <w:tcPr>
            <w:tcW w:w="1699" w:type="dxa"/>
            <w:tcBorders>
              <w:left w:val="single" w:color="auto" w:sz="4" w:space="0"/>
            </w:tcBorders>
            <w:noWrap w:val="0"/>
            <w:vAlign w:val="center"/>
          </w:tcPr>
          <w:p>
            <w:pPr>
              <w:spacing w:line="360" w:lineRule="auto"/>
              <w:jc w:val="left"/>
              <w:rPr>
                <w:rFonts w:hint="eastAsia" w:ascii="宋体" w:hAnsi="宋体"/>
                <w:bCs/>
                <w:snapToGrid w:val="0"/>
                <w:sz w:val="24"/>
              </w:rPr>
            </w:pPr>
            <w:r>
              <w:rPr>
                <w:rFonts w:hint="eastAsia" w:ascii="宋体" w:hAnsi="宋体"/>
                <w:bCs/>
                <w:snapToGrid w:val="0"/>
                <w:sz w:val="24"/>
              </w:rPr>
              <w:t>开标时间及地点</w:t>
            </w:r>
          </w:p>
        </w:tc>
        <w:tc>
          <w:tcPr>
            <w:tcW w:w="7727" w:type="dxa"/>
            <w:gridSpan w:val="3"/>
            <w:tcBorders>
              <w:right w:val="double" w:color="auto" w:sz="4" w:space="0"/>
            </w:tcBorders>
            <w:noWrap w:val="0"/>
            <w:vAlign w:val="center"/>
          </w:tcPr>
          <w:p>
            <w:pPr>
              <w:spacing w:line="360" w:lineRule="auto"/>
              <w:rPr>
                <w:rFonts w:hint="eastAsia" w:ascii="宋体" w:hAnsi="宋体"/>
                <w:b/>
                <w:sz w:val="24"/>
                <w:u w:val="single"/>
              </w:rPr>
            </w:pPr>
            <w:r>
              <w:rPr>
                <w:rFonts w:hint="eastAsia" w:ascii="宋体" w:hAnsi="宋体"/>
                <w:b/>
                <w:sz w:val="24"/>
                <w:u w:val="single"/>
              </w:rPr>
              <w:t>开标时间：</w:t>
            </w:r>
            <w:r>
              <w:rPr>
                <w:rFonts w:ascii="宋体" w:hAnsi="宋体"/>
                <w:b/>
                <w:sz w:val="24"/>
                <w:u w:val="single"/>
              </w:rPr>
              <w:t>202</w:t>
            </w:r>
            <w:r>
              <w:rPr>
                <w:rFonts w:hint="eastAsia" w:ascii="宋体" w:hAnsi="宋体"/>
                <w:b/>
                <w:sz w:val="24"/>
                <w:u w:val="single"/>
              </w:rPr>
              <w:t>2年9月19日9时00分。</w:t>
            </w:r>
          </w:p>
          <w:p>
            <w:pPr>
              <w:spacing w:line="360" w:lineRule="auto"/>
              <w:rPr>
                <w:rFonts w:hint="eastAsia" w:ascii="宋体" w:hAnsi="宋体"/>
                <w:sz w:val="24"/>
              </w:rPr>
            </w:pPr>
            <w:r>
              <w:rPr>
                <w:rFonts w:hint="eastAsia" w:ascii="宋体" w:hAnsi="宋体"/>
                <w:bCs/>
                <w:sz w:val="24"/>
              </w:rPr>
              <w:t>地点：</w:t>
            </w:r>
            <w:r>
              <w:rPr>
                <w:rFonts w:hint="eastAsia" w:ascii="宋体" w:hAnsi="宋体"/>
                <w:sz w:val="24"/>
              </w:rPr>
              <w:t>丽水市莲都区公共资源交易中心（丽水市大洋路122号五楼）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1558" w:hRule="exact"/>
          <w:jc w:val="center"/>
        </w:trPr>
        <w:tc>
          <w:tcPr>
            <w:tcW w:w="552" w:type="dxa"/>
            <w:tcBorders>
              <w:left w:val="double" w:color="auto" w:sz="4" w:space="0"/>
              <w:right w:val="single" w:color="auto" w:sz="4" w:space="0"/>
            </w:tcBorders>
            <w:noWrap w:val="0"/>
            <w:vAlign w:val="center"/>
          </w:tcPr>
          <w:p>
            <w:pPr>
              <w:spacing w:line="360" w:lineRule="auto"/>
              <w:jc w:val="center"/>
              <w:rPr>
                <w:rFonts w:hint="eastAsia" w:ascii="宋体" w:hAnsi="宋体"/>
                <w:bCs/>
                <w:snapToGrid w:val="0"/>
                <w:sz w:val="24"/>
              </w:rPr>
            </w:pPr>
            <w:r>
              <w:rPr>
                <w:rFonts w:hint="eastAsia" w:ascii="宋体" w:hAnsi="宋体"/>
                <w:bCs/>
                <w:snapToGrid w:val="0"/>
                <w:sz w:val="24"/>
              </w:rPr>
              <w:t>12</w:t>
            </w:r>
          </w:p>
        </w:tc>
        <w:tc>
          <w:tcPr>
            <w:tcW w:w="1699" w:type="dxa"/>
            <w:tcBorders>
              <w:left w:val="single" w:color="auto" w:sz="4" w:space="0"/>
            </w:tcBorders>
            <w:noWrap w:val="0"/>
            <w:vAlign w:val="center"/>
          </w:tcPr>
          <w:p>
            <w:pPr>
              <w:spacing w:line="360" w:lineRule="auto"/>
              <w:rPr>
                <w:rFonts w:hint="eastAsia" w:ascii="宋体" w:hAnsi="宋体"/>
                <w:bCs/>
                <w:sz w:val="24"/>
              </w:rPr>
            </w:pPr>
            <w:r>
              <w:rPr>
                <w:rFonts w:hint="eastAsia" w:ascii="宋体" w:hAnsi="宋体"/>
                <w:bCs/>
                <w:sz w:val="24"/>
              </w:rPr>
              <w:t>中标结果公告及中标通知书</w:t>
            </w:r>
          </w:p>
        </w:tc>
        <w:tc>
          <w:tcPr>
            <w:tcW w:w="7727" w:type="dxa"/>
            <w:gridSpan w:val="3"/>
            <w:tcBorders>
              <w:right w:val="double" w:color="auto" w:sz="4" w:space="0"/>
            </w:tcBorders>
            <w:noWrap w:val="0"/>
            <w:vAlign w:val="center"/>
          </w:tcPr>
          <w:p>
            <w:pPr>
              <w:snapToGrid w:val="0"/>
              <w:spacing w:line="276" w:lineRule="auto"/>
              <w:rPr>
                <w:rFonts w:hint="eastAsia" w:ascii="宋体" w:hAnsi="宋体"/>
                <w:bCs/>
                <w:sz w:val="24"/>
              </w:rPr>
            </w:pPr>
            <w:r>
              <w:rPr>
                <w:rFonts w:hint="eastAsia" w:ascii="宋体" w:hAnsi="宋体"/>
                <w:bCs/>
                <w:kern w:val="0"/>
                <w:sz w:val="24"/>
              </w:rPr>
              <w:t>评标报告经采购人确认后2个工作日内，中标公告在</w:t>
            </w:r>
            <w:r>
              <w:rPr>
                <w:rFonts w:hint="eastAsia" w:ascii="宋体" w:hAnsi="宋体"/>
                <w:sz w:val="24"/>
              </w:rPr>
              <w:t>浙江政府采购网</w:t>
            </w:r>
            <w:r>
              <w:rPr>
                <w:rFonts w:ascii="宋体" w:hAnsi="宋体"/>
                <w:sz w:val="24"/>
              </w:rPr>
              <w:fldChar w:fldCharType="begin"/>
            </w:r>
            <w:r>
              <w:rPr>
                <w:rFonts w:ascii="宋体" w:hAnsi="宋体"/>
                <w:sz w:val="24"/>
              </w:rPr>
              <w:instrText xml:space="preserve"> HYPERLINK "http://60.190.126.3:8080/wcm/WCMV6/editor/editor/招标文件（新版）.doc" </w:instrText>
            </w:r>
            <w:r>
              <w:rPr>
                <w:rFonts w:ascii="宋体" w:hAnsi="宋体"/>
                <w:sz w:val="24"/>
              </w:rPr>
              <w:fldChar w:fldCharType="separate"/>
            </w:r>
            <w:r>
              <w:rPr>
                <w:rStyle w:val="352"/>
                <w:rFonts w:hint="default"/>
                <w:color w:val="auto"/>
              </w:rPr>
              <w:t>http://zfcg.czt.zj.gov.cn/</w:t>
            </w:r>
            <w:r>
              <w:rPr>
                <w:rFonts w:ascii="宋体" w:hAnsi="宋体"/>
                <w:sz w:val="24"/>
              </w:rPr>
              <w:fldChar w:fldCharType="end"/>
            </w:r>
            <w:r>
              <w:rPr>
                <w:rFonts w:hint="eastAsia" w:ascii="宋体" w:hAnsi="宋体"/>
                <w:sz w:val="24"/>
              </w:rPr>
              <w:t>、</w:t>
            </w:r>
            <w:r>
              <w:rPr>
                <w:rFonts w:hint="eastAsia" w:ascii="宋体" w:hAnsi="宋体"/>
                <w:bCs/>
                <w:kern w:val="0"/>
                <w:sz w:val="24"/>
              </w:rPr>
              <w:t>丽水市公共资源交易网（莲都）</w:t>
            </w:r>
            <w:r>
              <w:rPr>
                <w:rFonts w:ascii="宋体" w:hAnsi="宋体"/>
                <w:bCs/>
                <w:kern w:val="0"/>
                <w:sz w:val="24"/>
              </w:rPr>
              <w:t>http://lssggzy.lishui.gov.cn/ldweb/</w:t>
            </w:r>
            <w:r>
              <w:rPr>
                <w:rFonts w:hint="eastAsia" w:ascii="宋体" w:hAnsi="宋体"/>
                <w:bCs/>
                <w:kern w:val="0"/>
                <w:sz w:val="24"/>
              </w:rPr>
              <w:t>上发布，并同时发出中标通知书。</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865" w:hRule="exact"/>
          <w:jc w:val="center"/>
        </w:trPr>
        <w:tc>
          <w:tcPr>
            <w:tcW w:w="552" w:type="dxa"/>
            <w:tcBorders>
              <w:left w:val="double" w:color="auto" w:sz="4" w:space="0"/>
              <w:right w:val="single" w:color="auto" w:sz="4" w:space="0"/>
            </w:tcBorders>
            <w:noWrap w:val="0"/>
            <w:vAlign w:val="center"/>
          </w:tcPr>
          <w:p>
            <w:pPr>
              <w:spacing w:line="360" w:lineRule="auto"/>
              <w:jc w:val="center"/>
              <w:rPr>
                <w:rFonts w:hint="eastAsia" w:ascii="宋体" w:hAnsi="宋体"/>
                <w:bCs/>
                <w:snapToGrid w:val="0"/>
                <w:sz w:val="24"/>
              </w:rPr>
            </w:pPr>
            <w:r>
              <w:rPr>
                <w:rFonts w:hint="eastAsia" w:ascii="宋体" w:hAnsi="宋体"/>
                <w:bCs/>
                <w:snapToGrid w:val="0"/>
                <w:sz w:val="24"/>
              </w:rPr>
              <w:t>13</w:t>
            </w:r>
          </w:p>
        </w:tc>
        <w:tc>
          <w:tcPr>
            <w:tcW w:w="1699" w:type="dxa"/>
            <w:tcBorders>
              <w:left w:val="single" w:color="auto" w:sz="4" w:space="0"/>
            </w:tcBorders>
            <w:noWrap w:val="0"/>
            <w:vAlign w:val="center"/>
          </w:tcPr>
          <w:p>
            <w:pPr>
              <w:spacing w:line="360" w:lineRule="auto"/>
              <w:rPr>
                <w:rFonts w:hint="eastAsia" w:ascii="宋体" w:hAnsi="宋体"/>
                <w:bCs/>
                <w:snapToGrid w:val="0"/>
                <w:sz w:val="24"/>
              </w:rPr>
            </w:pPr>
            <w:r>
              <w:rPr>
                <w:rFonts w:hint="eastAsia" w:ascii="宋体" w:hAnsi="宋体"/>
                <w:bCs/>
                <w:snapToGrid w:val="0"/>
                <w:sz w:val="24"/>
              </w:rPr>
              <w:t>评标办法和细则</w:t>
            </w:r>
          </w:p>
        </w:tc>
        <w:tc>
          <w:tcPr>
            <w:tcW w:w="7727" w:type="dxa"/>
            <w:gridSpan w:val="3"/>
            <w:tcBorders>
              <w:right w:val="double" w:color="auto" w:sz="4" w:space="0"/>
            </w:tcBorders>
            <w:noWrap w:val="0"/>
            <w:vAlign w:val="center"/>
          </w:tcPr>
          <w:p>
            <w:pPr>
              <w:spacing w:line="360" w:lineRule="auto"/>
              <w:rPr>
                <w:rFonts w:hint="eastAsia" w:ascii="宋体" w:hAnsi="宋体"/>
                <w:bCs/>
                <w:sz w:val="24"/>
              </w:rPr>
            </w:pPr>
            <w:r>
              <w:rPr>
                <w:rFonts w:hint="eastAsia" w:ascii="宋体" w:hAnsi="宋体"/>
                <w:bCs/>
                <w:sz w:val="24"/>
              </w:rPr>
              <w:t>详见本招标文件第六章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902" w:hRule="exact"/>
          <w:jc w:val="center"/>
        </w:trPr>
        <w:tc>
          <w:tcPr>
            <w:tcW w:w="552" w:type="dxa"/>
            <w:tcBorders>
              <w:left w:val="double" w:color="auto" w:sz="4" w:space="0"/>
              <w:right w:val="single" w:color="auto" w:sz="4" w:space="0"/>
            </w:tcBorders>
            <w:noWrap w:val="0"/>
            <w:vAlign w:val="center"/>
          </w:tcPr>
          <w:p>
            <w:pPr>
              <w:spacing w:line="360" w:lineRule="auto"/>
              <w:jc w:val="center"/>
              <w:rPr>
                <w:rFonts w:hint="eastAsia" w:ascii="宋体" w:hAnsi="宋体"/>
                <w:bCs/>
                <w:snapToGrid w:val="0"/>
                <w:sz w:val="24"/>
              </w:rPr>
            </w:pPr>
            <w:r>
              <w:rPr>
                <w:rFonts w:hint="eastAsia" w:ascii="宋体" w:hAnsi="宋体"/>
                <w:bCs/>
                <w:snapToGrid w:val="0"/>
                <w:sz w:val="24"/>
              </w:rPr>
              <w:t>14</w:t>
            </w:r>
          </w:p>
        </w:tc>
        <w:tc>
          <w:tcPr>
            <w:tcW w:w="1699" w:type="dxa"/>
            <w:tcBorders>
              <w:left w:val="single" w:color="auto" w:sz="4" w:space="0"/>
            </w:tcBorders>
            <w:noWrap w:val="0"/>
            <w:vAlign w:val="center"/>
          </w:tcPr>
          <w:p>
            <w:pPr>
              <w:spacing w:line="360" w:lineRule="auto"/>
              <w:rPr>
                <w:rFonts w:hint="eastAsia" w:ascii="宋体" w:hAnsi="宋体"/>
                <w:bCs/>
                <w:sz w:val="24"/>
              </w:rPr>
            </w:pPr>
            <w:r>
              <w:rPr>
                <w:rFonts w:hint="eastAsia" w:ascii="宋体" w:hAnsi="宋体"/>
                <w:bCs/>
                <w:sz w:val="24"/>
              </w:rPr>
              <w:t>签订合同</w:t>
            </w:r>
          </w:p>
        </w:tc>
        <w:tc>
          <w:tcPr>
            <w:tcW w:w="7727" w:type="dxa"/>
            <w:gridSpan w:val="3"/>
            <w:tcBorders>
              <w:right w:val="double" w:color="auto" w:sz="4" w:space="0"/>
            </w:tcBorders>
            <w:noWrap w:val="0"/>
            <w:vAlign w:val="center"/>
          </w:tcPr>
          <w:p>
            <w:pPr>
              <w:pStyle w:val="382"/>
              <w:spacing w:line="360" w:lineRule="auto"/>
              <w:rPr>
                <w:rFonts w:hint="eastAsia" w:hAnsi="宋体"/>
                <w:bCs/>
              </w:rPr>
            </w:pPr>
            <w:r>
              <w:rPr>
                <w:rFonts w:hint="eastAsia" w:hAnsi="宋体"/>
                <w:szCs w:val="24"/>
              </w:rPr>
              <w:t>中标通知书发出之日起30日内，按照采购文件确定的事项签订政府采购合同。</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924" w:hRule="exact"/>
          <w:jc w:val="center"/>
        </w:trPr>
        <w:tc>
          <w:tcPr>
            <w:tcW w:w="552" w:type="dxa"/>
            <w:tcBorders>
              <w:left w:val="double" w:color="auto" w:sz="4" w:space="0"/>
              <w:right w:val="single" w:color="auto" w:sz="4" w:space="0"/>
            </w:tcBorders>
            <w:noWrap w:val="0"/>
            <w:vAlign w:val="center"/>
          </w:tcPr>
          <w:p>
            <w:pPr>
              <w:spacing w:line="360" w:lineRule="auto"/>
              <w:jc w:val="center"/>
              <w:rPr>
                <w:rFonts w:hint="eastAsia" w:ascii="宋体" w:hAnsi="宋体"/>
                <w:bCs/>
                <w:snapToGrid w:val="0"/>
                <w:sz w:val="24"/>
              </w:rPr>
            </w:pPr>
            <w:r>
              <w:rPr>
                <w:rFonts w:hint="eastAsia" w:ascii="宋体" w:hAnsi="宋体"/>
                <w:bCs/>
                <w:snapToGrid w:val="0"/>
                <w:sz w:val="24"/>
              </w:rPr>
              <w:t>15</w:t>
            </w:r>
          </w:p>
        </w:tc>
        <w:tc>
          <w:tcPr>
            <w:tcW w:w="1699" w:type="dxa"/>
            <w:tcBorders>
              <w:left w:val="single" w:color="auto" w:sz="4" w:space="0"/>
            </w:tcBorders>
            <w:noWrap w:val="0"/>
            <w:vAlign w:val="center"/>
          </w:tcPr>
          <w:p>
            <w:pPr>
              <w:spacing w:line="360" w:lineRule="auto"/>
              <w:rPr>
                <w:rFonts w:hint="eastAsia" w:ascii="宋体" w:hAnsi="宋体"/>
                <w:bCs/>
                <w:snapToGrid w:val="0"/>
                <w:sz w:val="24"/>
              </w:rPr>
            </w:pPr>
            <w:r>
              <w:rPr>
                <w:rFonts w:hint="eastAsia" w:ascii="宋体" w:hAnsi="宋体"/>
                <w:bCs/>
                <w:snapToGrid w:val="0"/>
                <w:sz w:val="24"/>
              </w:rPr>
              <w:t>发布媒体</w:t>
            </w:r>
          </w:p>
        </w:tc>
        <w:tc>
          <w:tcPr>
            <w:tcW w:w="7727" w:type="dxa"/>
            <w:gridSpan w:val="3"/>
            <w:tcBorders>
              <w:right w:val="double" w:color="auto" w:sz="4" w:space="0"/>
            </w:tcBorders>
            <w:noWrap w:val="0"/>
            <w:vAlign w:val="center"/>
          </w:tcPr>
          <w:p>
            <w:pPr>
              <w:snapToGrid w:val="0"/>
              <w:spacing w:line="360" w:lineRule="auto"/>
              <w:rPr>
                <w:rFonts w:hint="eastAsia" w:ascii="宋体" w:hAnsi="宋体"/>
                <w:sz w:val="24"/>
              </w:rPr>
            </w:pPr>
            <w:r>
              <w:rPr>
                <w:rFonts w:hint="eastAsia" w:ascii="宋体" w:hAnsi="宋体"/>
                <w:sz w:val="24"/>
              </w:rPr>
              <w:t>浙江政府采购网</w:t>
            </w:r>
            <w:r>
              <w:rPr>
                <w:rFonts w:ascii="宋体" w:hAnsi="宋体"/>
                <w:sz w:val="24"/>
              </w:rPr>
              <w:fldChar w:fldCharType="begin"/>
            </w:r>
            <w:r>
              <w:rPr>
                <w:rFonts w:ascii="宋体" w:hAnsi="宋体"/>
                <w:sz w:val="24"/>
              </w:rPr>
              <w:instrText xml:space="preserve"> HYPERLINK "http://60.190.126.3:8080/wcm/WCMV6/editor/editor/招标文件（新版）.doc" </w:instrText>
            </w:r>
            <w:r>
              <w:rPr>
                <w:rFonts w:ascii="宋体" w:hAnsi="宋体"/>
                <w:sz w:val="24"/>
              </w:rPr>
              <w:fldChar w:fldCharType="separate"/>
            </w:r>
            <w:r>
              <w:rPr>
                <w:rFonts w:hint="eastAsia" w:ascii="宋体" w:hAnsi="宋体"/>
                <w:sz w:val="24"/>
              </w:rPr>
              <w:t>http://zfcg.czt.zj.gov.cn/</w:t>
            </w:r>
            <w:r>
              <w:rPr>
                <w:rFonts w:ascii="宋体" w:hAnsi="宋体"/>
                <w:sz w:val="24"/>
              </w:rPr>
              <w:fldChar w:fldCharType="end"/>
            </w:r>
            <w:r>
              <w:rPr>
                <w:rFonts w:ascii="宋体" w:hAnsi="宋体"/>
                <w:sz w:val="24"/>
              </w:rPr>
              <w:t xml:space="preserve"> </w:t>
            </w:r>
          </w:p>
          <w:p>
            <w:pPr>
              <w:pStyle w:val="2"/>
              <w:ind w:firstLine="0"/>
              <w:rPr>
                <w:rFonts w:hint="eastAsia" w:ascii="宋体" w:hAnsi="宋体" w:eastAsia="宋体"/>
                <w:sz w:val="24"/>
                <w:lang w:val="en-US"/>
              </w:rPr>
            </w:pPr>
            <w:r>
              <w:rPr>
                <w:rFonts w:hint="eastAsia" w:ascii="宋体" w:hAnsi="宋体" w:eastAsia="宋体"/>
                <w:sz w:val="24"/>
                <w:lang w:val="en-US"/>
              </w:rPr>
              <w:t>丽水市公共资源交易网（莲都）</w:t>
            </w:r>
            <w:r>
              <w:rPr>
                <w:rFonts w:ascii="宋体" w:hAnsi="宋体" w:eastAsia="宋体"/>
                <w:sz w:val="24"/>
                <w:lang w:val="en-US"/>
              </w:rPr>
              <w:t>http://lssggzy.lishui.gov.cn/ldweb/</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794" w:hRule="exact"/>
          <w:jc w:val="center"/>
        </w:trPr>
        <w:tc>
          <w:tcPr>
            <w:tcW w:w="552" w:type="dxa"/>
            <w:tcBorders>
              <w:left w:val="double" w:color="auto" w:sz="4" w:space="0"/>
              <w:right w:val="single" w:color="auto" w:sz="4" w:space="0"/>
            </w:tcBorders>
            <w:noWrap w:val="0"/>
            <w:vAlign w:val="center"/>
          </w:tcPr>
          <w:p>
            <w:pPr>
              <w:spacing w:line="360" w:lineRule="auto"/>
              <w:jc w:val="center"/>
              <w:rPr>
                <w:rFonts w:hint="eastAsia" w:ascii="宋体" w:hAnsi="宋体"/>
                <w:bCs/>
                <w:snapToGrid w:val="0"/>
                <w:sz w:val="24"/>
              </w:rPr>
            </w:pPr>
            <w:r>
              <w:rPr>
                <w:rFonts w:hint="eastAsia" w:ascii="宋体" w:hAnsi="宋体"/>
                <w:bCs/>
                <w:snapToGrid w:val="0"/>
                <w:sz w:val="24"/>
              </w:rPr>
              <w:t>16</w:t>
            </w:r>
          </w:p>
        </w:tc>
        <w:tc>
          <w:tcPr>
            <w:tcW w:w="1699" w:type="dxa"/>
            <w:tcBorders>
              <w:left w:val="single" w:color="auto" w:sz="4" w:space="0"/>
            </w:tcBorders>
            <w:noWrap w:val="0"/>
            <w:vAlign w:val="center"/>
          </w:tcPr>
          <w:p>
            <w:pPr>
              <w:spacing w:line="360" w:lineRule="auto"/>
              <w:rPr>
                <w:rFonts w:hint="eastAsia" w:ascii="宋体" w:hAnsi="宋体"/>
                <w:bCs/>
                <w:snapToGrid w:val="0"/>
                <w:sz w:val="24"/>
              </w:rPr>
            </w:pPr>
            <w:r>
              <w:rPr>
                <w:rFonts w:hint="eastAsia" w:ascii="宋体" w:hAnsi="宋体"/>
                <w:bCs/>
                <w:sz w:val="24"/>
              </w:rPr>
              <w:t>采购文件</w:t>
            </w:r>
            <w:r>
              <w:rPr>
                <w:rFonts w:hint="eastAsia" w:ascii="宋体" w:hAnsi="宋体"/>
                <w:bCs/>
                <w:snapToGrid w:val="0"/>
                <w:sz w:val="24"/>
              </w:rPr>
              <w:t>解释</w:t>
            </w:r>
          </w:p>
        </w:tc>
        <w:tc>
          <w:tcPr>
            <w:tcW w:w="7727" w:type="dxa"/>
            <w:gridSpan w:val="3"/>
            <w:tcBorders>
              <w:right w:val="double" w:color="auto" w:sz="4" w:space="0"/>
            </w:tcBorders>
            <w:noWrap w:val="0"/>
            <w:vAlign w:val="center"/>
          </w:tcPr>
          <w:p>
            <w:pPr>
              <w:spacing w:line="360" w:lineRule="auto"/>
              <w:rPr>
                <w:rFonts w:hint="eastAsia" w:ascii="宋体" w:hAnsi="宋体"/>
                <w:bCs/>
                <w:sz w:val="24"/>
              </w:rPr>
            </w:pPr>
            <w:r>
              <w:rPr>
                <w:rFonts w:hint="eastAsia" w:ascii="宋体" w:hAnsi="宋体"/>
                <w:bCs/>
                <w:sz w:val="24"/>
              </w:rPr>
              <w:t>本项目采购文件的解释权属于浙江建航工程咨询有限公司</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1428" w:hRule="exact"/>
          <w:jc w:val="center"/>
        </w:trPr>
        <w:tc>
          <w:tcPr>
            <w:tcW w:w="552" w:type="dxa"/>
            <w:tcBorders>
              <w:left w:val="double" w:color="auto" w:sz="4" w:space="0"/>
              <w:right w:val="single" w:color="auto" w:sz="4" w:space="0"/>
            </w:tcBorders>
            <w:noWrap w:val="0"/>
            <w:vAlign w:val="center"/>
          </w:tcPr>
          <w:p>
            <w:pPr>
              <w:spacing w:line="360" w:lineRule="auto"/>
              <w:jc w:val="center"/>
              <w:rPr>
                <w:rFonts w:hint="eastAsia" w:ascii="宋体" w:hAnsi="宋体"/>
                <w:bCs/>
                <w:snapToGrid w:val="0"/>
                <w:sz w:val="24"/>
              </w:rPr>
            </w:pPr>
            <w:r>
              <w:rPr>
                <w:rFonts w:hint="eastAsia" w:ascii="宋体" w:hAnsi="宋体"/>
                <w:bCs/>
                <w:snapToGrid w:val="0"/>
                <w:sz w:val="24"/>
              </w:rPr>
              <w:t>17</w:t>
            </w:r>
          </w:p>
        </w:tc>
        <w:tc>
          <w:tcPr>
            <w:tcW w:w="1699" w:type="dxa"/>
            <w:tcBorders>
              <w:left w:val="single" w:color="auto" w:sz="4" w:space="0"/>
            </w:tcBorders>
            <w:noWrap w:val="0"/>
            <w:vAlign w:val="center"/>
          </w:tcPr>
          <w:p>
            <w:pPr>
              <w:spacing w:line="360" w:lineRule="auto"/>
              <w:rPr>
                <w:rFonts w:hint="eastAsia" w:ascii="宋体" w:hAnsi="宋体"/>
                <w:bCs/>
                <w:sz w:val="24"/>
              </w:rPr>
            </w:pPr>
            <w:r>
              <w:rPr>
                <w:rFonts w:hint="eastAsia" w:ascii="宋体" w:hAnsi="宋体"/>
                <w:bCs/>
                <w:sz w:val="24"/>
              </w:rPr>
              <w:t>投标人解密硬件准备</w:t>
            </w:r>
          </w:p>
        </w:tc>
        <w:tc>
          <w:tcPr>
            <w:tcW w:w="7727" w:type="dxa"/>
            <w:gridSpan w:val="3"/>
            <w:tcBorders>
              <w:right w:val="double" w:color="auto" w:sz="4" w:space="0"/>
            </w:tcBorders>
            <w:noWrap w:val="0"/>
            <w:vAlign w:val="center"/>
          </w:tcPr>
          <w:p>
            <w:pPr>
              <w:spacing w:line="360" w:lineRule="auto"/>
              <w:rPr>
                <w:rFonts w:hint="eastAsia" w:ascii="宋体" w:hAnsi="宋体"/>
                <w:bCs/>
                <w:sz w:val="24"/>
              </w:rPr>
            </w:pPr>
            <w:r>
              <w:rPr>
                <w:rFonts w:hint="eastAsia" w:ascii="宋体" w:hAnsi="宋体"/>
                <w:bCs/>
                <w:sz w:val="24"/>
              </w:rPr>
              <w:t>1.电脑、网络（供电子投标文件解密和澄清答疑使用）；</w:t>
            </w:r>
          </w:p>
          <w:p>
            <w:pPr>
              <w:spacing w:line="360" w:lineRule="auto"/>
              <w:rPr>
                <w:rFonts w:hint="eastAsia" w:eastAsia="仿宋_GB2312"/>
              </w:rPr>
            </w:pPr>
            <w:r>
              <w:rPr>
                <w:rFonts w:hint="eastAsia" w:ascii="宋体" w:hAnsi="宋体"/>
                <w:bCs/>
                <w:sz w:val="24"/>
              </w:rPr>
              <w:t>2.电子投标文件解密CA锁</w:t>
            </w:r>
            <w:r>
              <w:rPr>
                <w:rFonts w:hint="eastAsia" w:ascii="宋体" w:hAnsi="宋体"/>
                <w:b/>
                <w:bCs/>
                <w:sz w:val="24"/>
              </w:rPr>
              <w:t>(即原编制电子投标文件加密的CA锁)</w:t>
            </w:r>
            <w:r>
              <w:rPr>
                <w:rFonts w:hint="eastAsia" w:ascii="宋体" w:hAnsi="宋体"/>
                <w:bCs/>
                <w:sz w:val="24"/>
              </w:rPr>
              <w:t>；</w:t>
            </w:r>
          </w:p>
        </w:tc>
      </w:tr>
    </w:tbl>
    <w:p>
      <w:pPr>
        <w:spacing w:line="360" w:lineRule="auto"/>
        <w:ind w:firstLine="420" w:firstLineChars="200"/>
        <w:rPr>
          <w:rFonts w:hint="eastAsia" w:ascii="宋体" w:hAnsi="宋体"/>
        </w:rPr>
      </w:pPr>
    </w:p>
    <w:p>
      <w:pPr>
        <w:spacing w:line="360" w:lineRule="auto"/>
        <w:ind w:firstLine="420" w:firstLineChars="200"/>
        <w:rPr>
          <w:rFonts w:hint="eastAsia" w:ascii="宋体" w:hAnsi="宋体"/>
        </w:rPr>
      </w:pPr>
    </w:p>
    <w:p>
      <w:pPr>
        <w:spacing w:line="360" w:lineRule="auto"/>
        <w:ind w:firstLine="420" w:firstLineChars="200"/>
        <w:rPr>
          <w:rFonts w:hint="eastAsia" w:ascii="宋体" w:hAnsi="宋体"/>
        </w:rPr>
      </w:pPr>
    </w:p>
    <w:p>
      <w:pPr>
        <w:spacing w:line="360" w:lineRule="auto"/>
        <w:ind w:firstLine="420" w:firstLineChars="200"/>
        <w:rPr>
          <w:rFonts w:hint="eastAsia" w:ascii="宋体" w:hAnsi="宋体"/>
        </w:rPr>
      </w:pPr>
    </w:p>
    <w:p>
      <w:pPr>
        <w:spacing w:line="360" w:lineRule="auto"/>
        <w:ind w:firstLine="420" w:firstLineChars="200"/>
        <w:rPr>
          <w:rFonts w:hint="eastAsia" w:ascii="宋体" w:hAnsi="宋体"/>
        </w:rPr>
      </w:pPr>
    </w:p>
    <w:p>
      <w:pPr>
        <w:spacing w:line="360" w:lineRule="auto"/>
        <w:ind w:firstLine="420" w:firstLineChars="200"/>
        <w:rPr>
          <w:rFonts w:hint="eastAsia" w:ascii="宋体" w:hAnsi="宋体"/>
        </w:rPr>
      </w:pPr>
    </w:p>
    <w:p>
      <w:pPr>
        <w:pStyle w:val="2"/>
        <w:rPr>
          <w:rFonts w:hint="eastAsia"/>
          <w:lang w:val="en-US"/>
        </w:rPr>
      </w:pPr>
    </w:p>
    <w:p>
      <w:pPr>
        <w:rPr>
          <w:rFonts w:hint="eastAsia"/>
        </w:rPr>
      </w:pPr>
      <w:r>
        <w:br w:type="page"/>
      </w:r>
    </w:p>
    <w:p>
      <w:pPr>
        <w:pStyle w:val="6"/>
        <w:spacing w:line="240" w:lineRule="auto"/>
        <w:ind w:firstLine="0" w:firstLineChars="0"/>
        <w:rPr>
          <w:rFonts w:hint="eastAsia" w:ascii="宋体" w:hAnsi="宋体" w:eastAsia="宋体"/>
        </w:rPr>
      </w:pPr>
      <w:bookmarkStart w:id="31" w:name="_Toc112414174"/>
      <w:bookmarkStart w:id="32" w:name="_Toc41577866"/>
      <w:r>
        <w:rPr>
          <w:rFonts w:hint="eastAsia" w:ascii="宋体" w:hAnsi="宋体" w:eastAsia="宋体"/>
        </w:rPr>
        <w:t>一   总则</w:t>
      </w:r>
      <w:bookmarkEnd w:id="31"/>
      <w:bookmarkEnd w:id="32"/>
    </w:p>
    <w:p>
      <w:pPr>
        <w:spacing w:line="360" w:lineRule="auto"/>
        <w:ind w:firstLine="482" w:firstLineChars="200"/>
        <w:rPr>
          <w:rFonts w:ascii="宋体" w:hAnsi="宋体"/>
          <w:b/>
          <w:sz w:val="24"/>
        </w:rPr>
      </w:pPr>
      <w:r>
        <w:rPr>
          <w:rFonts w:ascii="宋体" w:hAnsi="宋体"/>
          <w:b/>
          <w:sz w:val="24"/>
        </w:rPr>
        <w:t>1.</w:t>
      </w:r>
      <w:r>
        <w:rPr>
          <w:rFonts w:hint="eastAsia" w:ascii="宋体" w:hAnsi="宋体"/>
          <w:b/>
          <w:sz w:val="24"/>
        </w:rPr>
        <w:t>适用范围</w:t>
      </w:r>
    </w:p>
    <w:p>
      <w:pPr>
        <w:spacing w:line="360" w:lineRule="auto"/>
        <w:ind w:firstLine="480" w:firstLineChars="200"/>
        <w:rPr>
          <w:rFonts w:hint="eastAsia" w:ascii="宋体" w:hAnsi="宋体"/>
          <w:sz w:val="24"/>
        </w:rPr>
      </w:pPr>
      <w:r>
        <w:rPr>
          <w:rFonts w:ascii="宋体" w:hAnsi="宋体"/>
          <w:sz w:val="24"/>
        </w:rPr>
        <w:t>1</w:t>
      </w:r>
      <w:r>
        <w:rPr>
          <w:rFonts w:hint="eastAsia" w:ascii="宋体" w:hAnsi="宋体"/>
          <w:sz w:val="24"/>
        </w:rPr>
        <w:t>.1招标文件适用于本次所述项目的采购行为（法律、法规另有规定的，从其规定）。</w:t>
      </w:r>
    </w:p>
    <w:p>
      <w:pPr>
        <w:spacing w:line="360" w:lineRule="auto"/>
        <w:ind w:firstLine="482" w:firstLineChars="200"/>
        <w:rPr>
          <w:rFonts w:ascii="宋体" w:hAnsi="宋体"/>
          <w:b/>
          <w:sz w:val="24"/>
        </w:rPr>
      </w:pPr>
      <w:r>
        <w:rPr>
          <w:rFonts w:ascii="宋体" w:hAnsi="宋体"/>
          <w:b/>
          <w:sz w:val="24"/>
        </w:rPr>
        <w:t>2.</w:t>
      </w:r>
      <w:r>
        <w:rPr>
          <w:rFonts w:hint="eastAsia" w:ascii="宋体" w:hAnsi="宋体"/>
          <w:b/>
          <w:sz w:val="24"/>
        </w:rPr>
        <w:t>定义</w:t>
      </w:r>
    </w:p>
    <w:p>
      <w:pPr>
        <w:spacing w:line="360" w:lineRule="auto"/>
        <w:ind w:firstLine="480" w:firstLineChars="200"/>
        <w:rPr>
          <w:rFonts w:hint="eastAsia" w:ascii="宋体" w:hAnsi="宋体"/>
          <w:sz w:val="24"/>
        </w:rPr>
      </w:pPr>
      <w:r>
        <w:rPr>
          <w:rFonts w:ascii="宋体" w:hAnsi="宋体"/>
          <w:sz w:val="24"/>
        </w:rPr>
        <w:t>2.1</w:t>
      </w:r>
      <w:r>
        <w:rPr>
          <w:rFonts w:hint="eastAsia" w:ascii="宋体" w:hAnsi="宋体"/>
          <w:sz w:val="24"/>
        </w:rPr>
        <w:t>“采购人”系丽水市公安局莲都区分局。</w:t>
      </w:r>
    </w:p>
    <w:p>
      <w:pPr>
        <w:spacing w:line="360" w:lineRule="auto"/>
        <w:ind w:firstLine="480" w:firstLineChars="200"/>
        <w:rPr>
          <w:rFonts w:hint="eastAsia" w:ascii="宋体" w:hAnsi="宋体"/>
          <w:sz w:val="24"/>
        </w:rPr>
      </w:pPr>
      <w:r>
        <w:rPr>
          <w:rFonts w:ascii="宋体" w:hAnsi="宋体"/>
          <w:sz w:val="24"/>
        </w:rPr>
        <w:t>2.</w:t>
      </w:r>
      <w:r>
        <w:rPr>
          <w:rFonts w:hint="eastAsia" w:ascii="宋体" w:hAnsi="宋体"/>
          <w:sz w:val="24"/>
        </w:rPr>
        <w:t>2“投标人”系指符合本项目投标人应具备的资格要求，依法获取招标文件并参与项目投标的供应商。</w:t>
      </w:r>
    </w:p>
    <w:p>
      <w:pPr>
        <w:spacing w:line="360" w:lineRule="auto"/>
        <w:ind w:firstLine="480" w:firstLineChars="200"/>
        <w:rPr>
          <w:rFonts w:hint="eastAsia" w:ascii="宋体" w:hAnsi="宋体"/>
          <w:sz w:val="24"/>
        </w:rPr>
      </w:pPr>
      <w:r>
        <w:rPr>
          <w:rFonts w:ascii="宋体" w:hAnsi="宋体"/>
          <w:sz w:val="24"/>
        </w:rPr>
        <w:t>2.</w:t>
      </w:r>
      <w:r>
        <w:rPr>
          <w:rFonts w:hint="eastAsia" w:ascii="宋体" w:hAnsi="宋体"/>
          <w:sz w:val="24"/>
        </w:rPr>
        <w:t>3 “采购代理机构”系指浙江建航工程咨询有限公司。</w:t>
      </w:r>
    </w:p>
    <w:p>
      <w:pPr>
        <w:spacing w:line="360" w:lineRule="auto"/>
        <w:ind w:firstLine="480" w:firstLineChars="200"/>
        <w:rPr>
          <w:rFonts w:hint="eastAsia" w:ascii="宋体" w:hAnsi="宋体"/>
          <w:sz w:val="24"/>
        </w:rPr>
      </w:pPr>
      <w:r>
        <w:rPr>
          <w:rFonts w:ascii="宋体" w:hAnsi="宋体"/>
          <w:sz w:val="24"/>
        </w:rPr>
        <w:t>2.</w:t>
      </w:r>
      <w:r>
        <w:rPr>
          <w:rFonts w:hint="eastAsia" w:ascii="宋体" w:hAnsi="宋体"/>
          <w:sz w:val="24"/>
        </w:rPr>
        <w:t>4“负责人”系指法人企业的法定代表人，或其他组织为法律、行政法规规定代表单位行使职权的主要负责人。</w:t>
      </w:r>
    </w:p>
    <w:p>
      <w:pPr>
        <w:spacing w:line="360" w:lineRule="auto"/>
        <w:ind w:firstLine="480" w:firstLineChars="200"/>
        <w:rPr>
          <w:rFonts w:hint="eastAsia" w:ascii="宋体" w:hAnsi="宋体"/>
          <w:sz w:val="24"/>
        </w:rPr>
      </w:pPr>
      <w:r>
        <w:rPr>
          <w:rFonts w:ascii="宋体" w:hAnsi="宋体"/>
          <w:sz w:val="24"/>
        </w:rPr>
        <w:t>2.</w:t>
      </w:r>
      <w:r>
        <w:rPr>
          <w:rFonts w:hint="eastAsia" w:ascii="宋体" w:hAnsi="宋体"/>
          <w:sz w:val="24"/>
        </w:rPr>
        <w:t>5“投标人代表”系指投标人委派的负责项目投标、开标、评审、签约等具体事务和签署相关文件的人员。</w:t>
      </w:r>
    </w:p>
    <w:p>
      <w:pPr>
        <w:spacing w:line="360" w:lineRule="auto"/>
        <w:ind w:firstLine="480" w:firstLineChars="200"/>
        <w:rPr>
          <w:rFonts w:hint="eastAsia" w:ascii="宋体" w:hAnsi="宋体"/>
          <w:sz w:val="24"/>
        </w:rPr>
      </w:pPr>
      <w:r>
        <w:rPr>
          <w:rFonts w:hint="eastAsia" w:ascii="宋体" w:hAnsi="宋体"/>
          <w:sz w:val="24"/>
        </w:rPr>
        <w:t>2.6“合同”系指甲乙双方签署的规定甲乙双方权利与义务的协议，以及所有的附件、附录和招标文件所提到的构成合同的所有文件。</w:t>
      </w:r>
    </w:p>
    <w:p>
      <w:pPr>
        <w:spacing w:line="360" w:lineRule="auto"/>
        <w:ind w:firstLine="480" w:firstLineChars="200"/>
        <w:rPr>
          <w:rFonts w:ascii="宋体" w:hAnsi="宋体"/>
          <w:sz w:val="24"/>
        </w:rPr>
      </w:pPr>
      <w:r>
        <w:rPr>
          <w:rFonts w:ascii="宋体" w:hAnsi="宋体"/>
          <w:sz w:val="24"/>
        </w:rPr>
        <w:t>2</w:t>
      </w:r>
      <w:r>
        <w:rPr>
          <w:rFonts w:hint="eastAsia" w:ascii="宋体" w:hAnsi="宋体"/>
          <w:sz w:val="24"/>
        </w:rPr>
        <w:t>.7</w:t>
      </w:r>
      <w:r>
        <w:rPr>
          <w:rFonts w:ascii="宋体" w:hAnsi="宋体"/>
          <w:sz w:val="24"/>
        </w:rPr>
        <w:t xml:space="preserve"> </w:t>
      </w:r>
      <w:r>
        <w:rPr>
          <w:rFonts w:hint="eastAsia" w:ascii="宋体" w:hAnsi="宋体"/>
          <w:sz w:val="24"/>
        </w:rPr>
        <w:t>“产品”系指投标人按招标文件规定，须向采购人提供的一切产品（包括：虚拟产品），以及产品相关的保险、税金、备品备件、附件、耗材、工具、手册及其它有关技术资料和材料等。</w:t>
      </w:r>
    </w:p>
    <w:p>
      <w:pPr>
        <w:spacing w:line="360" w:lineRule="auto"/>
        <w:ind w:firstLine="480" w:firstLineChars="200"/>
        <w:rPr>
          <w:rFonts w:hint="eastAsia" w:ascii="宋体" w:hAnsi="宋体"/>
          <w:sz w:val="24"/>
        </w:rPr>
      </w:pPr>
      <w:r>
        <w:rPr>
          <w:rFonts w:ascii="宋体" w:hAnsi="宋体"/>
          <w:sz w:val="24"/>
        </w:rPr>
        <w:t>2</w:t>
      </w:r>
      <w:r>
        <w:rPr>
          <w:rFonts w:hint="eastAsia" w:ascii="宋体" w:hAnsi="宋体"/>
          <w:sz w:val="24"/>
        </w:rPr>
        <w:t>.8</w:t>
      </w:r>
      <w:r>
        <w:rPr>
          <w:rFonts w:ascii="宋体" w:hAnsi="宋体"/>
          <w:sz w:val="24"/>
        </w:rPr>
        <w:t xml:space="preserve"> </w:t>
      </w:r>
      <w:r>
        <w:rPr>
          <w:rFonts w:hint="eastAsia" w:ascii="宋体" w:hAnsi="宋体"/>
          <w:sz w:val="24"/>
        </w:rPr>
        <w:t>“服务”系指投标人按招标文件规定应承担的送货上门、安装、调试、技术协助、校准、培训、技术指导以及其他类似的附随义务。</w:t>
      </w:r>
    </w:p>
    <w:p>
      <w:pPr>
        <w:spacing w:line="360" w:lineRule="auto"/>
        <w:ind w:firstLine="482" w:firstLineChars="200"/>
        <w:rPr>
          <w:rFonts w:hint="eastAsia" w:ascii="宋体" w:hAnsi="宋体"/>
          <w:b/>
          <w:bCs/>
          <w:sz w:val="24"/>
        </w:rPr>
      </w:pPr>
      <w:r>
        <w:rPr>
          <w:rFonts w:hint="eastAsia" w:ascii="宋体" w:hAnsi="宋体"/>
          <w:b/>
          <w:bCs/>
          <w:sz w:val="24"/>
        </w:rPr>
        <w:t>2.9本文件所指的公章均指投标人的CA电子章。</w:t>
      </w:r>
    </w:p>
    <w:p>
      <w:pPr>
        <w:spacing w:line="360" w:lineRule="auto"/>
        <w:ind w:firstLine="480" w:firstLineChars="200"/>
        <w:rPr>
          <w:rFonts w:hint="eastAsia" w:ascii="宋体" w:hAnsi="宋体"/>
          <w:b/>
          <w:bCs/>
          <w:sz w:val="24"/>
        </w:rPr>
      </w:pPr>
      <w:r>
        <w:rPr>
          <w:rFonts w:hint="eastAsia" w:ascii="宋体" w:hAnsi="宋体"/>
          <w:bCs/>
          <w:sz w:val="24"/>
        </w:rPr>
        <w:t>2.10“▲” 系指实质性要求条款。</w:t>
      </w:r>
    </w:p>
    <w:p>
      <w:pPr>
        <w:spacing w:line="360" w:lineRule="auto"/>
        <w:ind w:firstLine="482" w:firstLineChars="200"/>
        <w:rPr>
          <w:rFonts w:ascii="宋体" w:hAnsi="宋体"/>
          <w:b/>
          <w:sz w:val="24"/>
        </w:rPr>
      </w:pPr>
      <w:r>
        <w:rPr>
          <w:rFonts w:ascii="宋体" w:hAnsi="宋体"/>
          <w:b/>
          <w:sz w:val="24"/>
        </w:rPr>
        <w:t>3.</w:t>
      </w:r>
      <w:r>
        <w:rPr>
          <w:rFonts w:hint="eastAsia" w:ascii="宋体" w:hAnsi="宋体"/>
          <w:b/>
          <w:sz w:val="24"/>
        </w:rPr>
        <w:t>投标人基本要求</w:t>
      </w:r>
    </w:p>
    <w:p>
      <w:pPr>
        <w:spacing w:line="360" w:lineRule="auto"/>
        <w:ind w:firstLine="480" w:firstLineChars="200"/>
        <w:rPr>
          <w:rFonts w:hint="eastAsia" w:ascii="宋体" w:hAnsi="宋体"/>
          <w:sz w:val="24"/>
        </w:rPr>
      </w:pPr>
      <w:r>
        <w:rPr>
          <w:rFonts w:ascii="宋体" w:hAnsi="宋体"/>
          <w:sz w:val="24"/>
        </w:rPr>
        <w:t>3.1</w:t>
      </w:r>
      <w:r>
        <w:rPr>
          <w:rFonts w:hint="eastAsia" w:ascii="宋体" w:hAnsi="宋体"/>
          <w:sz w:val="24"/>
        </w:rPr>
        <w:t>符合第一章公告第“二”条规定；</w:t>
      </w:r>
    </w:p>
    <w:p>
      <w:pPr>
        <w:spacing w:line="360" w:lineRule="auto"/>
        <w:ind w:firstLine="480" w:firstLineChars="200"/>
        <w:rPr>
          <w:rFonts w:hint="eastAsia" w:ascii="宋体" w:hAnsi="宋体"/>
          <w:sz w:val="24"/>
        </w:rPr>
      </w:pPr>
      <w:r>
        <w:rPr>
          <w:rFonts w:ascii="宋体" w:hAnsi="宋体"/>
          <w:sz w:val="24"/>
        </w:rPr>
        <w:t>3.</w:t>
      </w:r>
      <w:r>
        <w:rPr>
          <w:rFonts w:hint="eastAsia" w:ascii="宋体" w:hAnsi="宋体"/>
          <w:sz w:val="24"/>
        </w:rPr>
        <w:t>2投标人应遵守有关的法律、法规和规章条例。</w:t>
      </w:r>
    </w:p>
    <w:p>
      <w:pPr>
        <w:spacing w:line="360" w:lineRule="auto"/>
        <w:ind w:firstLine="482" w:firstLineChars="200"/>
        <w:rPr>
          <w:rFonts w:hint="eastAsia" w:ascii="宋体" w:hAnsi="宋体"/>
          <w:b/>
          <w:sz w:val="24"/>
        </w:rPr>
      </w:pPr>
      <w:r>
        <w:rPr>
          <w:rFonts w:hint="eastAsia" w:ascii="宋体" w:hAnsi="宋体"/>
          <w:b/>
          <w:sz w:val="24"/>
        </w:rPr>
        <w:t>4</w:t>
      </w:r>
      <w:r>
        <w:rPr>
          <w:rFonts w:ascii="宋体" w:hAnsi="宋体"/>
          <w:b/>
          <w:sz w:val="24"/>
        </w:rPr>
        <w:t>.</w:t>
      </w:r>
      <w:r>
        <w:rPr>
          <w:rFonts w:hint="eastAsia" w:ascii="宋体" w:hAnsi="宋体"/>
          <w:b/>
          <w:sz w:val="24"/>
        </w:rPr>
        <w:t>联合体说明</w:t>
      </w:r>
    </w:p>
    <w:p>
      <w:pPr>
        <w:spacing w:line="360" w:lineRule="auto"/>
        <w:ind w:firstLine="480" w:firstLineChars="200"/>
        <w:rPr>
          <w:rFonts w:hint="eastAsia" w:ascii="宋体" w:hAnsi="宋体"/>
          <w:sz w:val="24"/>
        </w:rPr>
      </w:pPr>
      <w:r>
        <w:rPr>
          <w:rFonts w:hint="eastAsia" w:ascii="宋体" w:hAnsi="宋体"/>
          <w:sz w:val="24"/>
        </w:rPr>
        <w:t>本项目不接受联合体投标</w:t>
      </w:r>
    </w:p>
    <w:p>
      <w:pPr>
        <w:spacing w:line="360" w:lineRule="auto"/>
        <w:ind w:firstLine="482" w:firstLineChars="200"/>
        <w:rPr>
          <w:rFonts w:hint="eastAsia" w:ascii="宋体" w:hAnsi="宋体"/>
          <w:b/>
          <w:sz w:val="24"/>
        </w:rPr>
      </w:pPr>
      <w:r>
        <w:rPr>
          <w:rFonts w:hint="eastAsia" w:ascii="宋体" w:hAnsi="宋体"/>
          <w:b/>
          <w:sz w:val="24"/>
        </w:rPr>
        <w:t>5.特别说明</w:t>
      </w:r>
    </w:p>
    <w:p>
      <w:pPr>
        <w:spacing w:line="360" w:lineRule="auto"/>
        <w:ind w:firstLine="480" w:firstLineChars="200"/>
        <w:rPr>
          <w:rFonts w:hint="eastAsia" w:ascii="宋体" w:hAnsi="宋体"/>
          <w:bCs/>
          <w:sz w:val="24"/>
        </w:rPr>
      </w:pPr>
      <w:r>
        <w:rPr>
          <w:rFonts w:hint="eastAsia" w:ascii="宋体" w:hAnsi="宋体"/>
          <w:bCs/>
          <w:sz w:val="24"/>
        </w:rPr>
        <w:t>▲5.1</w:t>
      </w:r>
      <w:r>
        <w:rPr>
          <w:rFonts w:hint="eastAsia" w:ascii="宋体" w:hAnsi="宋体"/>
          <w:sz w:val="24"/>
        </w:rPr>
        <w:t>单位负责人为同一人或者存在直接控股、管理关系的不同投标人，不得参加同一合同项下的政府采购活动。</w:t>
      </w:r>
    </w:p>
    <w:p>
      <w:pPr>
        <w:spacing w:line="360" w:lineRule="auto"/>
        <w:ind w:firstLine="482" w:firstLineChars="200"/>
        <w:rPr>
          <w:rFonts w:hint="eastAsia" w:ascii="宋体" w:hAnsi="宋体"/>
          <w:sz w:val="24"/>
        </w:rPr>
      </w:pPr>
      <w:r>
        <w:rPr>
          <w:rFonts w:hint="eastAsia" w:ascii="宋体" w:hAnsi="宋体"/>
          <w:b/>
          <w:bCs/>
          <w:sz w:val="24"/>
        </w:rPr>
        <w:t>▲</w:t>
      </w:r>
      <w:r>
        <w:rPr>
          <w:rFonts w:hint="eastAsia" w:ascii="宋体" w:hAnsi="宋体"/>
          <w:sz w:val="24"/>
        </w:rPr>
        <w:t>5.2</w:t>
      </w:r>
      <w:r>
        <w:rPr>
          <w:rFonts w:ascii="宋体" w:hAnsi="宋体"/>
          <w:sz w:val="24"/>
        </w:rPr>
        <w:t xml:space="preserve"> </w:t>
      </w:r>
      <w:r>
        <w:rPr>
          <w:rFonts w:hint="eastAsia" w:ascii="宋体" w:hAnsi="宋体"/>
          <w:sz w:val="24"/>
        </w:rPr>
        <w:t>为采购项目提供整体设计、规范编制或者项目管理、监理、检测等服务的投标人，不得再参加该采购项目的其他采购活动。</w:t>
      </w:r>
    </w:p>
    <w:p>
      <w:pPr>
        <w:spacing w:line="360" w:lineRule="auto"/>
        <w:ind w:firstLine="600" w:firstLineChars="250"/>
        <w:rPr>
          <w:rFonts w:hint="eastAsia" w:ascii="宋体" w:hAnsi="宋体"/>
        </w:rPr>
      </w:pPr>
      <w:r>
        <w:rPr>
          <w:rFonts w:hint="eastAsia" w:ascii="宋体" w:hAnsi="宋体"/>
          <w:sz w:val="24"/>
        </w:rPr>
        <w:t>5.3投标人自行承担所有与投标有关的全部费用。</w:t>
      </w:r>
    </w:p>
    <w:p>
      <w:pPr>
        <w:pStyle w:val="6"/>
        <w:spacing w:line="240" w:lineRule="auto"/>
        <w:rPr>
          <w:rFonts w:ascii="宋体" w:hAnsi="宋体" w:eastAsia="宋体"/>
        </w:rPr>
      </w:pPr>
      <w:bookmarkStart w:id="33" w:name="_Toc112414175"/>
      <w:bookmarkStart w:id="34" w:name="_Toc41577867"/>
      <w:r>
        <w:rPr>
          <w:rFonts w:hint="eastAsia" w:ascii="宋体" w:hAnsi="宋体" w:eastAsia="宋体"/>
        </w:rPr>
        <w:t>二</w:t>
      </w:r>
      <w:r>
        <w:rPr>
          <w:rFonts w:ascii="宋体" w:hAnsi="宋体" w:eastAsia="宋体"/>
        </w:rPr>
        <w:t xml:space="preserve">  </w:t>
      </w:r>
      <w:r>
        <w:rPr>
          <w:rFonts w:hint="eastAsia" w:ascii="宋体" w:hAnsi="宋体" w:eastAsia="宋体"/>
        </w:rPr>
        <w:t xml:space="preserve"> 招标文件说明</w:t>
      </w:r>
      <w:bookmarkEnd w:id="33"/>
      <w:bookmarkEnd w:id="34"/>
    </w:p>
    <w:p>
      <w:pPr>
        <w:spacing w:line="360" w:lineRule="auto"/>
        <w:ind w:firstLine="482" w:firstLineChars="200"/>
        <w:rPr>
          <w:rFonts w:ascii="宋体" w:hAnsi="宋体"/>
          <w:b/>
          <w:sz w:val="24"/>
        </w:rPr>
      </w:pPr>
      <w:r>
        <w:rPr>
          <w:rFonts w:hint="eastAsia" w:ascii="宋体" w:hAnsi="宋体"/>
          <w:b/>
          <w:sz w:val="24"/>
        </w:rPr>
        <w:t>6</w:t>
      </w:r>
      <w:r>
        <w:rPr>
          <w:rFonts w:ascii="宋体" w:hAnsi="宋体"/>
          <w:b/>
          <w:sz w:val="24"/>
        </w:rPr>
        <w:t>.</w:t>
      </w:r>
      <w:r>
        <w:rPr>
          <w:rFonts w:hint="eastAsia" w:ascii="宋体" w:hAnsi="宋体"/>
          <w:b/>
          <w:sz w:val="24"/>
        </w:rPr>
        <w:t>招标文件的构成</w:t>
      </w:r>
    </w:p>
    <w:p>
      <w:pPr>
        <w:spacing w:line="360" w:lineRule="auto"/>
        <w:ind w:firstLine="480" w:firstLineChars="200"/>
        <w:rPr>
          <w:rFonts w:ascii="宋体" w:hAnsi="宋体"/>
          <w:sz w:val="24"/>
        </w:rPr>
      </w:pPr>
      <w:r>
        <w:rPr>
          <w:rFonts w:hint="eastAsia" w:ascii="宋体" w:hAnsi="宋体"/>
          <w:sz w:val="24"/>
        </w:rPr>
        <w:t>6</w:t>
      </w:r>
      <w:r>
        <w:rPr>
          <w:rFonts w:ascii="宋体" w:hAnsi="宋体"/>
          <w:sz w:val="24"/>
        </w:rPr>
        <w:t>.1</w:t>
      </w:r>
      <w:r>
        <w:rPr>
          <w:rFonts w:hint="eastAsia" w:ascii="宋体" w:hAnsi="宋体"/>
          <w:sz w:val="24"/>
        </w:rPr>
        <w:t>招标文件用以阐明所需货物及服务、招标、投标程序和合同条款。招标文件由下述部分组成：</w:t>
      </w:r>
    </w:p>
    <w:p>
      <w:pPr>
        <w:spacing w:line="360" w:lineRule="auto"/>
        <w:ind w:firstLine="480" w:firstLineChars="200"/>
        <w:rPr>
          <w:rFonts w:ascii="宋体" w:hAnsi="宋体"/>
          <w:sz w:val="24"/>
        </w:rPr>
      </w:pPr>
      <w:r>
        <w:rPr>
          <w:rFonts w:hint="eastAsia" w:ascii="宋体" w:hAnsi="宋体"/>
          <w:sz w:val="24"/>
        </w:rPr>
        <w:t>6.1.1招标公告</w:t>
      </w:r>
    </w:p>
    <w:p>
      <w:pPr>
        <w:spacing w:line="360" w:lineRule="auto"/>
        <w:ind w:firstLine="480" w:firstLineChars="200"/>
        <w:rPr>
          <w:rFonts w:hint="eastAsia" w:ascii="宋体" w:hAnsi="宋体"/>
          <w:sz w:val="24"/>
        </w:rPr>
      </w:pPr>
      <w:r>
        <w:rPr>
          <w:rFonts w:hint="eastAsia" w:ascii="宋体" w:hAnsi="宋体"/>
          <w:sz w:val="24"/>
        </w:rPr>
        <w:t>6.1.2投标人须知</w:t>
      </w:r>
    </w:p>
    <w:p>
      <w:pPr>
        <w:spacing w:line="360" w:lineRule="auto"/>
        <w:ind w:firstLine="480" w:firstLineChars="200"/>
        <w:rPr>
          <w:rFonts w:ascii="宋体" w:hAnsi="宋体"/>
          <w:sz w:val="24"/>
        </w:rPr>
      </w:pPr>
      <w:r>
        <w:rPr>
          <w:rFonts w:hint="eastAsia" w:ascii="宋体" w:hAnsi="宋体"/>
          <w:sz w:val="24"/>
        </w:rPr>
        <w:t>6.1.3采购需求</w:t>
      </w:r>
    </w:p>
    <w:p>
      <w:pPr>
        <w:spacing w:line="360" w:lineRule="auto"/>
        <w:ind w:firstLine="480" w:firstLineChars="200"/>
        <w:rPr>
          <w:rFonts w:ascii="宋体" w:hAnsi="宋体"/>
          <w:sz w:val="24"/>
        </w:rPr>
      </w:pPr>
      <w:r>
        <w:rPr>
          <w:rFonts w:hint="eastAsia" w:ascii="宋体" w:hAnsi="宋体"/>
          <w:sz w:val="24"/>
        </w:rPr>
        <w:t>6.1.4政府采购合同格式</w:t>
      </w:r>
    </w:p>
    <w:p>
      <w:pPr>
        <w:spacing w:line="360" w:lineRule="auto"/>
        <w:ind w:firstLine="480" w:firstLineChars="200"/>
        <w:rPr>
          <w:rFonts w:hint="eastAsia" w:ascii="宋体" w:hAnsi="宋体"/>
          <w:sz w:val="24"/>
        </w:rPr>
      </w:pPr>
      <w:r>
        <w:rPr>
          <w:rFonts w:hint="eastAsia" w:ascii="宋体" w:hAnsi="宋体"/>
          <w:sz w:val="24"/>
        </w:rPr>
        <w:t>6.1.5投标相关文件格式</w:t>
      </w:r>
    </w:p>
    <w:p>
      <w:pPr>
        <w:spacing w:line="360" w:lineRule="auto"/>
        <w:ind w:firstLine="480" w:firstLineChars="200"/>
        <w:rPr>
          <w:rFonts w:hint="eastAsia" w:ascii="宋体" w:hAnsi="宋体"/>
          <w:sz w:val="24"/>
        </w:rPr>
      </w:pPr>
      <w:r>
        <w:rPr>
          <w:rFonts w:hint="eastAsia" w:ascii="宋体" w:hAnsi="宋体"/>
          <w:sz w:val="24"/>
        </w:rPr>
        <w:t>6.1.6评标办法和细则</w:t>
      </w:r>
    </w:p>
    <w:p>
      <w:pPr>
        <w:spacing w:line="360" w:lineRule="auto"/>
        <w:ind w:firstLine="480" w:firstLineChars="200"/>
        <w:rPr>
          <w:rFonts w:hint="eastAsia" w:ascii="宋体" w:hAnsi="宋体"/>
          <w:sz w:val="24"/>
        </w:rPr>
      </w:pPr>
      <w:r>
        <w:rPr>
          <w:rFonts w:hint="eastAsia" w:ascii="宋体" w:hAnsi="宋体"/>
          <w:sz w:val="24"/>
        </w:rPr>
        <w:t>6.1.7与本项目有关的招标文件澄清、答复、修改、补充的内容。</w:t>
      </w:r>
    </w:p>
    <w:p>
      <w:pPr>
        <w:spacing w:line="360" w:lineRule="auto"/>
        <w:ind w:firstLine="482" w:firstLineChars="200"/>
        <w:rPr>
          <w:rFonts w:hint="eastAsia" w:ascii="宋体" w:hAnsi="宋体"/>
          <w:b/>
          <w:sz w:val="24"/>
        </w:rPr>
      </w:pPr>
      <w:r>
        <w:rPr>
          <w:rFonts w:hint="eastAsia" w:ascii="宋体" w:hAnsi="宋体"/>
          <w:b/>
          <w:sz w:val="24"/>
        </w:rPr>
        <w:t>7.投标人的风险</w:t>
      </w:r>
    </w:p>
    <w:p>
      <w:pPr>
        <w:spacing w:line="360" w:lineRule="auto"/>
        <w:ind w:firstLine="480" w:firstLineChars="200"/>
        <w:rPr>
          <w:rFonts w:hint="eastAsia" w:ascii="宋体" w:hAnsi="宋体"/>
          <w:sz w:val="24"/>
        </w:rPr>
      </w:pPr>
      <w:r>
        <w:rPr>
          <w:rFonts w:hint="eastAsia" w:ascii="宋体" w:hAnsi="宋体"/>
          <w:sz w:val="24"/>
        </w:rPr>
        <w:t>7.1投标人应认真阅读招标文件中的所有条款。投标人没有按照招标文件的要求提供全部资料，或者投标人没有对招标文件在各方面作出实质性响应是投标人的风险，并可能导致其投标被拒绝。</w:t>
      </w:r>
    </w:p>
    <w:p>
      <w:pPr>
        <w:spacing w:line="360" w:lineRule="auto"/>
        <w:ind w:firstLine="482" w:firstLineChars="200"/>
        <w:rPr>
          <w:rFonts w:hint="eastAsia" w:ascii="宋体" w:hAnsi="宋体"/>
          <w:b/>
          <w:sz w:val="24"/>
        </w:rPr>
      </w:pPr>
      <w:r>
        <w:rPr>
          <w:rFonts w:hint="eastAsia" w:ascii="宋体" w:hAnsi="宋体"/>
          <w:b/>
          <w:sz w:val="24"/>
        </w:rPr>
        <w:t>8</w:t>
      </w:r>
      <w:r>
        <w:rPr>
          <w:rFonts w:ascii="宋体" w:hAnsi="宋体"/>
          <w:b/>
          <w:sz w:val="24"/>
        </w:rPr>
        <w:t>.</w:t>
      </w:r>
      <w:r>
        <w:rPr>
          <w:rFonts w:hint="eastAsia" w:ascii="宋体" w:hAnsi="宋体"/>
          <w:b/>
          <w:sz w:val="24"/>
        </w:rPr>
        <w:t>招标文件的澄清和修改</w:t>
      </w:r>
    </w:p>
    <w:p>
      <w:pPr>
        <w:spacing w:line="360" w:lineRule="auto"/>
        <w:ind w:firstLine="480" w:firstLineChars="200"/>
        <w:rPr>
          <w:rFonts w:hint="eastAsia" w:ascii="宋体" w:hAnsi="宋体"/>
          <w:sz w:val="24"/>
        </w:rPr>
      </w:pPr>
      <w:r>
        <w:rPr>
          <w:rFonts w:hint="eastAsia" w:ascii="宋体" w:hAnsi="宋体"/>
          <w:sz w:val="24"/>
        </w:rPr>
        <w:t>8.</w:t>
      </w:r>
      <w:r>
        <w:rPr>
          <w:rFonts w:ascii="宋体" w:hAnsi="宋体"/>
          <w:sz w:val="24"/>
        </w:rPr>
        <w:t>1</w:t>
      </w:r>
      <w:r>
        <w:rPr>
          <w:rFonts w:hint="eastAsia" w:ascii="宋体" w:hAnsi="宋体"/>
          <w:sz w:val="24"/>
        </w:rPr>
        <w:t>招标文件澄清、答复、修改、补充的内容为招标文件的组成部分。</w:t>
      </w:r>
    </w:p>
    <w:p>
      <w:pPr>
        <w:snapToGrid w:val="0"/>
        <w:spacing w:line="360" w:lineRule="auto"/>
        <w:ind w:firstLine="480" w:firstLineChars="200"/>
        <w:rPr>
          <w:rFonts w:hint="eastAsia" w:ascii="宋体" w:hAnsi="宋体"/>
          <w:sz w:val="24"/>
        </w:rPr>
      </w:pPr>
      <w:r>
        <w:rPr>
          <w:rFonts w:hint="eastAsia" w:ascii="宋体" w:hAnsi="宋体"/>
          <w:sz w:val="24"/>
        </w:rPr>
        <w:t>8.2依法获取招标文件的投标人应认真阅读招标文件，如有疑问应于招标文件规定的时间前向采购代理机构（可传真）提出澄清申请。采购代理机构对已发出的招标文件进行必要的澄清或者修改，澄清或者修改内容可能影响投标文件编制的，采购代理机构在投标截止时间15日前,在“浙江政府采购网</w:t>
      </w:r>
      <w:r>
        <w:rPr>
          <w:rFonts w:ascii="宋体" w:hAnsi="宋体"/>
          <w:sz w:val="24"/>
        </w:rPr>
        <w:fldChar w:fldCharType="begin"/>
      </w:r>
      <w:r>
        <w:rPr>
          <w:rFonts w:ascii="宋体" w:hAnsi="宋体"/>
          <w:sz w:val="24"/>
        </w:rPr>
        <w:instrText xml:space="preserve"> HYPERLINK "http://60.190.126.3:8080/wcm/WCMV6/editor/editor/招标文件（新版）.doc" </w:instrText>
      </w:r>
      <w:r>
        <w:rPr>
          <w:rFonts w:ascii="宋体" w:hAnsi="宋体"/>
          <w:sz w:val="24"/>
        </w:rPr>
        <w:fldChar w:fldCharType="separate"/>
      </w:r>
      <w:r>
        <w:rPr>
          <w:rStyle w:val="352"/>
          <w:rFonts w:hint="default"/>
          <w:color w:val="auto"/>
        </w:rPr>
        <w:t>http://zfcg.czt.zj.gov.cn/</w:t>
      </w:r>
      <w:r>
        <w:rPr>
          <w:rFonts w:ascii="宋体" w:hAnsi="宋体"/>
          <w:sz w:val="24"/>
        </w:rPr>
        <w:fldChar w:fldCharType="end"/>
      </w:r>
      <w:r>
        <w:rPr>
          <w:rFonts w:hint="eastAsia" w:ascii="宋体" w:hAnsi="宋体"/>
          <w:sz w:val="24"/>
        </w:rPr>
        <w:t>、丽水市公共资源交易网（莲都）</w:t>
      </w:r>
      <w:r>
        <w:rPr>
          <w:rFonts w:ascii="宋体" w:hAnsi="宋体"/>
          <w:sz w:val="24"/>
        </w:rPr>
        <w:t>http://lssggzy.lishui.gov.cn/ldweb/</w:t>
      </w:r>
      <w:r>
        <w:rPr>
          <w:rStyle w:val="352"/>
          <w:rFonts w:hint="default"/>
          <w:color w:val="auto"/>
        </w:rPr>
        <w:t>”</w:t>
      </w:r>
      <w:r>
        <w:rPr>
          <w:rFonts w:hint="eastAsia" w:ascii="宋体" w:hAnsi="宋体"/>
          <w:sz w:val="24"/>
        </w:rPr>
        <w:t>发布更正公告，并对其具有约束力。不足15日的，采购代理机构有权顺延提交投标文件的截止时间。</w:t>
      </w:r>
    </w:p>
    <w:p>
      <w:pPr>
        <w:pStyle w:val="6"/>
        <w:spacing w:line="240" w:lineRule="auto"/>
        <w:ind w:firstLine="200" w:firstLineChars="0"/>
        <w:rPr>
          <w:rFonts w:ascii="宋体" w:hAnsi="宋体" w:eastAsia="宋体"/>
          <w:sz w:val="32"/>
        </w:rPr>
      </w:pPr>
      <w:bookmarkStart w:id="35" w:name="_Toc112414176"/>
      <w:bookmarkStart w:id="36" w:name="_Toc41577868"/>
      <w:r>
        <w:rPr>
          <w:rFonts w:hint="eastAsia" w:ascii="宋体" w:hAnsi="宋体" w:eastAsia="宋体"/>
          <w:sz w:val="32"/>
        </w:rPr>
        <w:t>三</w:t>
      </w:r>
      <w:r>
        <w:rPr>
          <w:rFonts w:ascii="宋体" w:hAnsi="宋体" w:eastAsia="宋体"/>
          <w:sz w:val="32"/>
        </w:rPr>
        <w:t xml:space="preserve">   </w:t>
      </w:r>
      <w:r>
        <w:rPr>
          <w:rFonts w:hint="eastAsia" w:ascii="宋体" w:hAnsi="宋体" w:eastAsia="宋体"/>
          <w:sz w:val="32"/>
        </w:rPr>
        <w:t>投标文件的编写</w:t>
      </w:r>
      <w:bookmarkEnd w:id="35"/>
      <w:bookmarkEnd w:id="36"/>
    </w:p>
    <w:p>
      <w:pPr>
        <w:spacing w:line="360" w:lineRule="auto"/>
        <w:ind w:firstLine="482" w:firstLineChars="200"/>
        <w:rPr>
          <w:rFonts w:ascii="宋体" w:hAnsi="宋体"/>
          <w:b/>
          <w:sz w:val="24"/>
        </w:rPr>
      </w:pPr>
      <w:r>
        <w:rPr>
          <w:rFonts w:hint="eastAsia" w:ascii="宋体" w:hAnsi="宋体"/>
          <w:b/>
          <w:sz w:val="24"/>
        </w:rPr>
        <w:t>9</w:t>
      </w:r>
      <w:r>
        <w:rPr>
          <w:rFonts w:ascii="宋体" w:hAnsi="宋体"/>
          <w:b/>
          <w:sz w:val="24"/>
        </w:rPr>
        <w:t>.</w:t>
      </w:r>
      <w:r>
        <w:rPr>
          <w:rFonts w:hint="eastAsia" w:ascii="宋体" w:hAnsi="宋体"/>
          <w:b/>
          <w:sz w:val="24"/>
        </w:rPr>
        <w:t>要求</w:t>
      </w:r>
    </w:p>
    <w:p>
      <w:pPr>
        <w:spacing w:line="360" w:lineRule="auto"/>
        <w:ind w:firstLine="480" w:firstLineChars="200"/>
        <w:rPr>
          <w:rFonts w:ascii="宋体" w:hAnsi="宋体"/>
          <w:sz w:val="24"/>
        </w:rPr>
      </w:pPr>
      <w:r>
        <w:rPr>
          <w:rFonts w:hint="eastAsia" w:ascii="宋体" w:hAnsi="宋体"/>
          <w:sz w:val="24"/>
        </w:rPr>
        <w:t>9</w:t>
      </w:r>
      <w:r>
        <w:rPr>
          <w:rFonts w:ascii="宋体" w:hAnsi="宋体"/>
          <w:sz w:val="24"/>
        </w:rPr>
        <w:t>.1</w:t>
      </w:r>
      <w:r>
        <w:rPr>
          <w:rFonts w:hint="eastAsia" w:ascii="宋体" w:hAnsi="宋体"/>
          <w:sz w:val="24"/>
        </w:rPr>
        <w:t>投标人应仔细阅读招标文件的所有内容，按照招标文件的要求提交投标文件，并对所提供的全部资料的真实性承担法律责任。</w:t>
      </w:r>
    </w:p>
    <w:p>
      <w:pPr>
        <w:spacing w:line="360" w:lineRule="auto"/>
        <w:ind w:firstLine="480" w:firstLineChars="200"/>
        <w:rPr>
          <w:rFonts w:hint="eastAsia" w:ascii="宋体" w:hAnsi="宋体"/>
          <w:sz w:val="24"/>
        </w:rPr>
      </w:pPr>
      <w:r>
        <w:rPr>
          <w:rFonts w:hint="eastAsia" w:ascii="宋体" w:hAnsi="宋体"/>
          <w:sz w:val="24"/>
        </w:rPr>
        <w:t>9.2投标文件、投标人与采购有关的往来通知、函件和文件均应使用中文。如涉及非中文内容的，投标人有义务将其内容翻译成中文，一切对非中文内容的误解，都将由投标人承担。</w:t>
      </w:r>
    </w:p>
    <w:p>
      <w:pPr>
        <w:spacing w:line="360" w:lineRule="auto"/>
        <w:ind w:firstLine="480" w:firstLineChars="200"/>
        <w:rPr>
          <w:rFonts w:hint="eastAsia" w:ascii="宋体" w:hAnsi="宋体"/>
          <w:sz w:val="24"/>
        </w:rPr>
      </w:pPr>
      <w:r>
        <w:rPr>
          <w:rFonts w:hint="eastAsia" w:ascii="宋体" w:hAnsi="宋体"/>
          <w:sz w:val="24"/>
        </w:rPr>
        <w:t>9.3投标文件的形式和效力</w:t>
      </w:r>
    </w:p>
    <w:p>
      <w:pPr>
        <w:snapToGrid w:val="0"/>
        <w:spacing w:line="360" w:lineRule="auto"/>
        <w:ind w:firstLine="482" w:firstLineChars="200"/>
        <w:rPr>
          <w:rFonts w:hint="eastAsia" w:ascii="宋体" w:hAnsi="宋体"/>
          <w:b/>
          <w:sz w:val="24"/>
        </w:rPr>
      </w:pPr>
      <w:r>
        <w:rPr>
          <w:rFonts w:hint="eastAsia" w:ascii="宋体" w:hAnsi="宋体"/>
          <w:b/>
          <w:sz w:val="24"/>
        </w:rPr>
        <w:t>9.3.1 投标文件的形式：投标文件分为电子投标文件、备份投标文件。</w:t>
      </w:r>
    </w:p>
    <w:p>
      <w:pPr>
        <w:snapToGrid w:val="0"/>
        <w:spacing w:line="360" w:lineRule="auto"/>
        <w:ind w:firstLine="482" w:firstLineChars="200"/>
        <w:rPr>
          <w:rFonts w:hint="eastAsia" w:ascii="宋体" w:hAnsi="宋体"/>
          <w:b/>
          <w:sz w:val="24"/>
        </w:rPr>
      </w:pPr>
      <w:r>
        <w:rPr>
          <w:rFonts w:hint="eastAsia" w:ascii="宋体" w:hAnsi="宋体"/>
          <w:b/>
          <w:sz w:val="24"/>
        </w:rPr>
        <w:t>9.3.2 投标文件的效力</w:t>
      </w:r>
    </w:p>
    <w:p>
      <w:pPr>
        <w:snapToGrid w:val="0"/>
        <w:spacing w:line="360" w:lineRule="auto"/>
        <w:ind w:firstLine="480" w:firstLineChars="200"/>
        <w:rPr>
          <w:rFonts w:hint="eastAsia" w:ascii="宋体" w:hAnsi="宋体"/>
          <w:sz w:val="24"/>
        </w:rPr>
      </w:pPr>
      <w:r>
        <w:rPr>
          <w:rFonts w:hint="eastAsia" w:ascii="宋体" w:hAnsi="宋体"/>
          <w:sz w:val="24"/>
        </w:rPr>
        <w:t>投标文件的启用，按先后顺位分别为电子投标文件、备份投标文件。</w:t>
      </w:r>
    </w:p>
    <w:p>
      <w:pPr>
        <w:snapToGrid w:val="0"/>
        <w:spacing w:line="360" w:lineRule="auto"/>
        <w:ind w:firstLine="480" w:firstLineChars="200"/>
        <w:rPr>
          <w:rFonts w:ascii="宋体" w:hAnsi="宋体"/>
          <w:sz w:val="24"/>
        </w:rPr>
      </w:pPr>
      <w:r>
        <w:rPr>
          <w:rFonts w:hint="eastAsia" w:ascii="宋体" w:hAnsi="宋体"/>
          <w:sz w:val="24"/>
        </w:rPr>
        <w:t>电子投标文件未按时解密，投标人已在规定时间内按规定方式提交了备份投标文件的，以备份投标文件为依据，否则视为投标文件撤回；电子投标文件已按时解密的，备份投标文件自动失效。</w:t>
      </w:r>
    </w:p>
    <w:p>
      <w:pPr>
        <w:spacing w:line="360" w:lineRule="auto"/>
        <w:ind w:firstLine="482" w:firstLineChars="200"/>
        <w:rPr>
          <w:rFonts w:hint="eastAsia" w:ascii="宋体" w:hAnsi="宋体"/>
          <w:b/>
          <w:sz w:val="24"/>
        </w:rPr>
      </w:pPr>
      <w:r>
        <w:rPr>
          <w:rFonts w:hint="eastAsia" w:ascii="宋体" w:hAnsi="宋体"/>
          <w:b/>
          <w:sz w:val="24"/>
        </w:rPr>
        <w:t>10</w:t>
      </w:r>
      <w:r>
        <w:rPr>
          <w:rFonts w:ascii="宋体" w:hAnsi="宋体"/>
          <w:b/>
          <w:sz w:val="24"/>
        </w:rPr>
        <w:t xml:space="preserve">. </w:t>
      </w:r>
      <w:r>
        <w:rPr>
          <w:rFonts w:hint="eastAsia" w:ascii="宋体" w:hAnsi="宋体"/>
          <w:b/>
          <w:sz w:val="24"/>
        </w:rPr>
        <w:t>投标文件的组成</w:t>
      </w:r>
    </w:p>
    <w:p>
      <w:pPr>
        <w:spacing w:line="360" w:lineRule="auto"/>
        <w:ind w:firstLine="480" w:firstLineChars="200"/>
        <w:rPr>
          <w:rFonts w:hint="eastAsia" w:ascii="宋体" w:hAnsi="宋体"/>
          <w:b/>
          <w:sz w:val="24"/>
        </w:rPr>
      </w:pPr>
      <w:r>
        <w:rPr>
          <w:rFonts w:hint="eastAsia" w:ascii="宋体" w:hAnsi="宋体"/>
          <w:sz w:val="24"/>
        </w:rPr>
        <w:t>▲</w:t>
      </w:r>
      <w:r>
        <w:rPr>
          <w:rFonts w:hint="eastAsia" w:ascii="宋体" w:hAnsi="宋体"/>
          <w:b/>
          <w:sz w:val="24"/>
        </w:rPr>
        <w:t>10</w:t>
      </w:r>
      <w:r>
        <w:rPr>
          <w:rFonts w:ascii="宋体" w:hAnsi="宋体"/>
          <w:b/>
          <w:sz w:val="24"/>
        </w:rPr>
        <w:t>.</w:t>
      </w:r>
      <w:r>
        <w:rPr>
          <w:rFonts w:hint="eastAsia" w:ascii="宋体" w:hAnsi="宋体"/>
          <w:b/>
          <w:sz w:val="24"/>
        </w:rPr>
        <w:t>1提交的投标文件应分为</w:t>
      </w:r>
      <w:r>
        <w:rPr>
          <w:rFonts w:hint="eastAsia" w:ascii="宋体" w:hAnsi="宋体"/>
          <w:b/>
          <w:kern w:val="0"/>
          <w:sz w:val="24"/>
        </w:rPr>
        <w:t>资格</w:t>
      </w:r>
      <w:r>
        <w:rPr>
          <w:rFonts w:ascii="宋体" w:hAnsi="宋体"/>
          <w:b/>
          <w:kern w:val="0"/>
          <w:sz w:val="24"/>
        </w:rPr>
        <w:t>文件</w:t>
      </w:r>
      <w:r>
        <w:rPr>
          <w:rFonts w:hint="eastAsia" w:ascii="宋体" w:hAnsi="宋体"/>
          <w:b/>
          <w:kern w:val="0"/>
          <w:sz w:val="24"/>
        </w:rPr>
        <w:t>、</w:t>
      </w:r>
      <w:r>
        <w:rPr>
          <w:rFonts w:hint="eastAsia" w:ascii="宋体" w:hAnsi="宋体"/>
          <w:b/>
          <w:sz w:val="24"/>
        </w:rPr>
        <w:t>资信商务及技术文件、报价文件三部分</w:t>
      </w:r>
      <w:r>
        <w:rPr>
          <w:rFonts w:hint="eastAsia" w:ascii="宋体" w:hAnsi="宋体"/>
          <w:sz w:val="24"/>
        </w:rPr>
        <w:t>。</w:t>
      </w:r>
      <w:r>
        <w:rPr>
          <w:rFonts w:hint="eastAsia" w:ascii="宋体" w:hAnsi="宋体"/>
          <w:b/>
          <w:sz w:val="24"/>
        </w:rPr>
        <w:t>资格文件、资信商务及技术文件如有报价的内容, 其投标文件无效；</w:t>
      </w:r>
    </w:p>
    <w:p>
      <w:pPr>
        <w:spacing w:line="360" w:lineRule="auto"/>
        <w:ind w:firstLine="482" w:firstLineChars="200"/>
        <w:rPr>
          <w:rFonts w:hint="eastAsia" w:ascii="宋体" w:hAnsi="宋体"/>
          <w:sz w:val="24"/>
        </w:rPr>
      </w:pPr>
      <w:r>
        <w:rPr>
          <w:rFonts w:hint="eastAsia" w:ascii="宋体" w:hAnsi="宋体"/>
          <w:b/>
          <w:sz w:val="24"/>
        </w:rPr>
        <w:t>10.2报价文件如有资信商务及技术文件内容, 其资信商务及技术文件内容评标时将作为无效内容。</w:t>
      </w:r>
    </w:p>
    <w:p>
      <w:pPr>
        <w:spacing w:line="360" w:lineRule="auto"/>
        <w:ind w:firstLine="482" w:firstLineChars="200"/>
        <w:rPr>
          <w:rFonts w:hint="eastAsia" w:ascii="宋体" w:hAnsi="宋体"/>
          <w:b/>
          <w:sz w:val="24"/>
        </w:rPr>
      </w:pPr>
      <w:r>
        <w:rPr>
          <w:rFonts w:hint="eastAsia" w:ascii="宋体" w:hAnsi="宋体"/>
          <w:b/>
          <w:sz w:val="24"/>
        </w:rPr>
        <w:t>11. 投标文件编制内容和要求</w:t>
      </w:r>
    </w:p>
    <w:p>
      <w:pPr>
        <w:spacing w:line="360" w:lineRule="auto"/>
        <w:ind w:firstLine="482" w:firstLineChars="200"/>
        <w:rPr>
          <w:rFonts w:hint="eastAsia" w:ascii="宋体" w:hAnsi="宋体"/>
          <w:b/>
          <w:sz w:val="24"/>
        </w:rPr>
      </w:pPr>
      <w:r>
        <w:rPr>
          <w:rFonts w:hint="eastAsia" w:ascii="宋体" w:hAnsi="宋体"/>
          <w:b/>
          <w:sz w:val="24"/>
        </w:rPr>
        <w:t>11.1</w:t>
      </w:r>
      <w:r>
        <w:rPr>
          <w:rFonts w:ascii="宋体" w:hAnsi="宋体"/>
          <w:b/>
          <w:sz w:val="24"/>
        </w:rPr>
        <w:t xml:space="preserve"> </w:t>
      </w:r>
      <w:r>
        <w:rPr>
          <w:rFonts w:hint="eastAsia" w:ascii="宋体" w:hAnsi="宋体"/>
          <w:b/>
          <w:sz w:val="24"/>
        </w:rPr>
        <w:t>资格</w:t>
      </w:r>
      <w:r>
        <w:rPr>
          <w:rFonts w:ascii="宋体" w:hAnsi="宋体"/>
          <w:b/>
          <w:sz w:val="24"/>
        </w:rPr>
        <w:t>文件</w:t>
      </w:r>
      <w:r>
        <w:rPr>
          <w:rFonts w:hint="eastAsia" w:ascii="宋体" w:hAnsi="宋体"/>
          <w:b/>
          <w:sz w:val="24"/>
        </w:rPr>
        <w:t>编制内容</w:t>
      </w:r>
      <w:r>
        <w:rPr>
          <w:rFonts w:ascii="宋体" w:hAnsi="宋体"/>
          <w:b/>
          <w:sz w:val="24"/>
        </w:rPr>
        <w:t>和要求</w:t>
      </w:r>
      <w:r>
        <w:rPr>
          <w:rFonts w:hint="eastAsia" w:ascii="宋体" w:hAnsi="宋体"/>
          <w:b/>
          <w:sz w:val="24"/>
        </w:rPr>
        <w:t>：</w:t>
      </w:r>
      <w:r>
        <w:rPr>
          <w:rFonts w:hint="eastAsia" w:ascii="宋体" w:hAnsi="宋体"/>
          <w:sz w:val="24"/>
        </w:rPr>
        <w:t>格式见</w:t>
      </w:r>
      <w:r>
        <w:rPr>
          <w:rFonts w:ascii="宋体" w:hAnsi="宋体"/>
          <w:sz w:val="24"/>
        </w:rPr>
        <w:t>第五章资格文件格式</w:t>
      </w:r>
    </w:p>
    <w:p>
      <w:pPr>
        <w:spacing w:line="360" w:lineRule="auto"/>
        <w:ind w:firstLine="480" w:firstLineChars="200"/>
        <w:rPr>
          <w:rFonts w:hint="eastAsia" w:ascii="宋体" w:hAnsi="宋体"/>
          <w:sz w:val="24"/>
        </w:rPr>
      </w:pPr>
      <w:r>
        <w:rPr>
          <w:rFonts w:hint="eastAsia" w:ascii="宋体" w:hAnsi="宋体"/>
          <w:sz w:val="24"/>
        </w:rPr>
        <w:t>▲</w:t>
      </w:r>
      <w:r>
        <w:rPr>
          <w:rFonts w:ascii="宋体" w:hAnsi="宋体"/>
          <w:sz w:val="24"/>
        </w:rPr>
        <w:t>11.1.1</w:t>
      </w:r>
      <w:r>
        <w:rPr>
          <w:rFonts w:hint="eastAsia" w:ascii="宋体" w:hAnsi="宋体"/>
          <w:sz w:val="24"/>
        </w:rPr>
        <w:t>公司有效的营业执照</w:t>
      </w:r>
      <w:r>
        <w:rPr>
          <w:rFonts w:hint="eastAsia" w:ascii="宋体" w:hAnsi="宋体"/>
          <w:b/>
          <w:sz w:val="24"/>
        </w:rPr>
        <w:t>扫描件</w:t>
      </w:r>
      <w:r>
        <w:rPr>
          <w:rFonts w:hint="eastAsia" w:ascii="宋体" w:hAnsi="宋体"/>
          <w:sz w:val="24"/>
        </w:rPr>
        <w:t>；</w:t>
      </w:r>
    </w:p>
    <w:p>
      <w:pPr>
        <w:pStyle w:val="2"/>
        <w:spacing w:line="360" w:lineRule="auto"/>
        <w:rPr>
          <w:rFonts w:hint="eastAsia" w:ascii="宋体" w:hAnsi="宋体" w:eastAsia="宋体"/>
          <w:b/>
          <w:sz w:val="24"/>
          <w:lang w:val="en-US"/>
        </w:rPr>
      </w:pPr>
      <w:r>
        <w:rPr>
          <w:rFonts w:hint="eastAsia" w:ascii="宋体" w:hAnsi="宋体"/>
          <w:sz w:val="24"/>
        </w:rPr>
        <w:t>▲11.1.2</w:t>
      </w:r>
      <w:r>
        <w:rPr>
          <w:rFonts w:hint="eastAsia" w:ascii="宋体" w:hAnsi="宋体" w:eastAsia="宋体"/>
          <w:b/>
          <w:sz w:val="24"/>
          <w:lang w:val="en-US"/>
        </w:rPr>
        <w:t>中华人民共和国基础电信业务经营许可证扫描件或具有广播电视网络建设开发、经营管理和维护能力的证明材料原件扫描件；</w:t>
      </w:r>
    </w:p>
    <w:p>
      <w:pPr>
        <w:spacing w:line="360" w:lineRule="auto"/>
        <w:ind w:firstLine="480" w:firstLineChars="200"/>
        <w:rPr>
          <w:rFonts w:hint="eastAsia" w:ascii="宋体" w:hAnsi="宋体"/>
          <w:sz w:val="24"/>
        </w:rPr>
      </w:pPr>
      <w:r>
        <w:rPr>
          <w:rFonts w:hint="eastAsia" w:ascii="宋体" w:hAnsi="宋体"/>
          <w:sz w:val="24"/>
        </w:rPr>
        <w:t xml:space="preserve">▲11.1.3投标人代表委派书（同时提供投标人代表的身份证扫描件）； </w:t>
      </w:r>
    </w:p>
    <w:p>
      <w:pPr>
        <w:spacing w:line="360" w:lineRule="auto"/>
        <w:ind w:firstLine="480" w:firstLineChars="200"/>
        <w:rPr>
          <w:rFonts w:hint="eastAsia" w:ascii="宋体" w:hAnsi="宋体"/>
          <w:sz w:val="24"/>
        </w:rPr>
      </w:pPr>
      <w:r>
        <w:rPr>
          <w:rFonts w:hint="eastAsia" w:ascii="宋体" w:hAnsi="宋体"/>
          <w:sz w:val="24"/>
        </w:rPr>
        <w:t>▲</w:t>
      </w:r>
      <w:r>
        <w:rPr>
          <w:rFonts w:ascii="宋体" w:hAnsi="宋体"/>
          <w:sz w:val="24"/>
        </w:rPr>
        <w:t>11.1.</w:t>
      </w:r>
      <w:r>
        <w:rPr>
          <w:rFonts w:hint="eastAsia" w:ascii="宋体" w:hAnsi="宋体"/>
          <w:sz w:val="24"/>
        </w:rPr>
        <w:t>4政府采购资格承诺函；</w:t>
      </w:r>
    </w:p>
    <w:p>
      <w:pPr>
        <w:spacing w:line="360" w:lineRule="auto"/>
        <w:ind w:firstLine="480" w:firstLineChars="200"/>
        <w:rPr>
          <w:rFonts w:hint="eastAsia" w:ascii="宋体" w:hAnsi="宋体"/>
          <w:sz w:val="24"/>
        </w:rPr>
      </w:pPr>
      <w:r>
        <w:rPr>
          <w:rFonts w:hint="eastAsia" w:ascii="宋体" w:hAnsi="宋体"/>
          <w:sz w:val="24"/>
        </w:rPr>
        <w:t>▲11.1.5资格声明</w:t>
      </w:r>
      <w:r>
        <w:rPr>
          <w:rFonts w:ascii="宋体" w:hAnsi="宋体"/>
          <w:sz w:val="24"/>
        </w:rPr>
        <w:t>；</w:t>
      </w:r>
    </w:p>
    <w:p>
      <w:pPr>
        <w:spacing w:line="360" w:lineRule="auto"/>
        <w:ind w:firstLine="480" w:firstLineChars="200"/>
        <w:rPr>
          <w:rFonts w:hint="eastAsia" w:ascii="宋体" w:hAnsi="宋体"/>
          <w:sz w:val="24"/>
        </w:rPr>
      </w:pPr>
      <w:r>
        <w:rPr>
          <w:rFonts w:hint="eastAsia" w:ascii="宋体" w:hAnsi="宋体"/>
          <w:sz w:val="24"/>
        </w:rPr>
        <w:t>▲11.1.6无重大违法记录声明书；</w:t>
      </w:r>
    </w:p>
    <w:p>
      <w:pPr>
        <w:spacing w:line="360" w:lineRule="auto"/>
        <w:ind w:firstLine="480" w:firstLineChars="200"/>
        <w:rPr>
          <w:rFonts w:ascii="宋体" w:hAnsi="宋体"/>
          <w:sz w:val="24"/>
        </w:rPr>
      </w:pPr>
      <w:r>
        <w:rPr>
          <w:rFonts w:hint="eastAsia" w:ascii="宋体" w:hAnsi="宋体"/>
          <w:sz w:val="24"/>
        </w:rPr>
        <w:t>▲11.1.7信用信息记录查询（注：本项内容由代理机构在资格审查现场完成查询，故不作装入资格文件要求。）</w:t>
      </w:r>
    </w:p>
    <w:p>
      <w:pPr>
        <w:spacing w:line="360" w:lineRule="auto"/>
        <w:ind w:firstLine="482" w:firstLineChars="200"/>
        <w:rPr>
          <w:rFonts w:hint="eastAsia" w:ascii="宋体" w:hAnsi="宋体"/>
          <w:b/>
          <w:sz w:val="24"/>
        </w:rPr>
      </w:pPr>
      <w:r>
        <w:rPr>
          <w:rFonts w:hint="eastAsia" w:ascii="宋体" w:hAnsi="宋体"/>
          <w:b/>
          <w:sz w:val="24"/>
        </w:rPr>
        <w:t>注：</w:t>
      </w:r>
    </w:p>
    <w:p>
      <w:pPr>
        <w:spacing w:line="360" w:lineRule="auto"/>
        <w:ind w:firstLine="482" w:firstLineChars="200"/>
        <w:rPr>
          <w:rFonts w:hint="eastAsia" w:ascii="宋体" w:hAnsi="宋体"/>
          <w:b/>
          <w:sz w:val="24"/>
        </w:rPr>
      </w:pPr>
      <w:r>
        <w:rPr>
          <w:rFonts w:hint="eastAsia" w:ascii="宋体" w:hAnsi="宋体"/>
          <w:b/>
          <w:sz w:val="24"/>
        </w:rPr>
        <w:t>①资格审查不通过的，不进入下一阶段评标。</w:t>
      </w:r>
    </w:p>
    <w:p>
      <w:pPr>
        <w:spacing w:line="360" w:lineRule="auto"/>
        <w:ind w:firstLine="482" w:firstLineChars="200"/>
        <w:rPr>
          <w:rFonts w:hint="eastAsia" w:ascii="宋体" w:hAnsi="宋体"/>
          <w:b/>
          <w:sz w:val="24"/>
        </w:rPr>
      </w:pPr>
      <w:r>
        <w:rPr>
          <w:rFonts w:hint="eastAsia" w:ascii="宋体" w:hAnsi="宋体"/>
          <w:b/>
          <w:sz w:val="24"/>
        </w:rPr>
        <w:t>②资格审查顺序为电子交易平台解密后自动生成的“</w:t>
      </w:r>
      <w:r>
        <w:rPr>
          <w:rFonts w:ascii="宋体" w:hAnsi="宋体"/>
          <w:b/>
          <w:sz w:val="24"/>
        </w:rPr>
        <w:t>投标（响应）文件签收登记表”</w:t>
      </w:r>
      <w:r>
        <w:rPr>
          <w:rFonts w:hint="eastAsia" w:ascii="宋体" w:hAnsi="宋体"/>
          <w:b/>
          <w:sz w:val="24"/>
        </w:rPr>
        <w:t xml:space="preserve">名单顺序。 </w:t>
      </w:r>
    </w:p>
    <w:p>
      <w:pPr>
        <w:spacing w:line="360" w:lineRule="auto"/>
        <w:ind w:firstLine="480" w:firstLineChars="200"/>
        <w:rPr>
          <w:rFonts w:hint="eastAsia" w:ascii="宋体" w:hAnsi="宋体"/>
          <w:sz w:val="24"/>
        </w:rPr>
      </w:pPr>
      <w:r>
        <w:rPr>
          <w:rFonts w:hint="eastAsia" w:ascii="宋体" w:hAnsi="宋体"/>
          <w:sz w:val="24"/>
        </w:rPr>
        <w:t>11.2资信商务及技术文件编制内容和要求：</w:t>
      </w:r>
    </w:p>
    <w:p>
      <w:pPr>
        <w:spacing w:line="360" w:lineRule="auto"/>
        <w:ind w:firstLine="480" w:firstLineChars="200"/>
        <w:rPr>
          <w:rFonts w:hint="eastAsia" w:ascii="宋体" w:hAnsi="宋体"/>
          <w:sz w:val="24"/>
        </w:rPr>
      </w:pPr>
      <w:r>
        <w:rPr>
          <w:rFonts w:hint="eastAsia" w:ascii="宋体" w:hAnsi="宋体"/>
          <w:sz w:val="24"/>
        </w:rPr>
        <w:t>11.2.1资信及商务部分详见第五章格式。</w:t>
      </w:r>
    </w:p>
    <w:p>
      <w:pPr>
        <w:spacing w:line="360" w:lineRule="auto"/>
        <w:ind w:firstLine="480" w:firstLineChars="200"/>
        <w:rPr>
          <w:rFonts w:hint="eastAsia" w:ascii="宋体" w:hAnsi="宋体"/>
          <w:sz w:val="24"/>
        </w:rPr>
      </w:pPr>
      <w:r>
        <w:rPr>
          <w:rFonts w:hint="eastAsia" w:ascii="宋体" w:hAnsi="宋体"/>
          <w:sz w:val="24"/>
        </w:rPr>
        <w:t>11.2.2技术部分（包含但不限于）:</w:t>
      </w:r>
    </w:p>
    <w:p>
      <w:pPr>
        <w:spacing w:line="360" w:lineRule="auto"/>
        <w:ind w:firstLine="480" w:firstLineChars="200"/>
        <w:rPr>
          <w:rFonts w:hint="eastAsia" w:ascii="宋体" w:hAnsi="宋体"/>
          <w:sz w:val="24"/>
        </w:rPr>
      </w:pPr>
      <w:r>
        <w:rPr>
          <w:rFonts w:hint="eastAsia" w:ascii="宋体" w:hAnsi="宋体"/>
          <w:sz w:val="24"/>
        </w:rPr>
        <w:t>11.2.2.1按招标文件第五章投标相关文件格式所列的内容、格式的要求,及投标人认为有必要提供的其它文件；</w:t>
      </w:r>
    </w:p>
    <w:p>
      <w:pPr>
        <w:spacing w:line="360" w:lineRule="auto"/>
        <w:ind w:firstLine="480" w:firstLineChars="200"/>
        <w:rPr>
          <w:rFonts w:hint="eastAsia" w:ascii="宋体" w:hAnsi="宋体"/>
          <w:sz w:val="24"/>
        </w:rPr>
      </w:pPr>
      <w:r>
        <w:rPr>
          <w:rFonts w:hint="eastAsia" w:ascii="宋体" w:hAnsi="宋体"/>
          <w:sz w:val="24"/>
        </w:rPr>
        <w:t>11.2.2.2投标人需对照招标文件第三章招标要求所列的内容进行承诺；</w:t>
      </w:r>
    </w:p>
    <w:p>
      <w:pPr>
        <w:spacing w:line="360" w:lineRule="auto"/>
        <w:ind w:firstLine="480" w:firstLineChars="200"/>
        <w:rPr>
          <w:rFonts w:hint="eastAsia" w:ascii="宋体" w:hAnsi="宋体"/>
          <w:sz w:val="24"/>
        </w:rPr>
      </w:pPr>
      <w:r>
        <w:rPr>
          <w:rFonts w:hint="eastAsia" w:ascii="宋体" w:hAnsi="宋体"/>
          <w:sz w:val="24"/>
        </w:rPr>
        <w:t>11.2.2.3投标人认为有必要提交的其他资料文件；</w:t>
      </w:r>
    </w:p>
    <w:p>
      <w:pPr>
        <w:spacing w:line="360" w:lineRule="auto"/>
        <w:ind w:firstLine="480" w:firstLineChars="200"/>
        <w:rPr>
          <w:rFonts w:hint="eastAsia" w:ascii="宋体" w:hAnsi="宋体"/>
          <w:sz w:val="24"/>
        </w:rPr>
      </w:pPr>
      <w:r>
        <w:rPr>
          <w:rFonts w:hint="eastAsia" w:ascii="宋体" w:hAnsi="宋体"/>
          <w:sz w:val="24"/>
        </w:rPr>
        <w:t>11.3报价文件内容: 详见第五章格式。</w:t>
      </w:r>
    </w:p>
    <w:p>
      <w:pPr>
        <w:spacing w:line="360" w:lineRule="auto"/>
        <w:ind w:firstLine="480" w:firstLineChars="200"/>
        <w:rPr>
          <w:rFonts w:ascii="宋体" w:hAnsi="宋体"/>
          <w:b/>
          <w:sz w:val="24"/>
        </w:rPr>
      </w:pPr>
      <w:r>
        <w:rPr>
          <w:rFonts w:hint="eastAsia" w:ascii="宋体" w:hAnsi="宋体"/>
          <w:sz w:val="24"/>
        </w:rPr>
        <w:t>11.3</w:t>
      </w:r>
      <w:r>
        <w:rPr>
          <w:rFonts w:hint="eastAsia" w:ascii="宋体" w:hAnsi="宋体"/>
          <w:b/>
          <w:sz w:val="24"/>
        </w:rPr>
        <w:t>.</w:t>
      </w:r>
      <w:r>
        <w:rPr>
          <w:rFonts w:hint="eastAsia" w:ascii="宋体" w:hAnsi="宋体"/>
          <w:sz w:val="24"/>
        </w:rPr>
        <w:t>1投标报价要求</w:t>
      </w:r>
    </w:p>
    <w:p>
      <w:pPr>
        <w:spacing w:line="360" w:lineRule="auto"/>
        <w:ind w:firstLine="482" w:firstLineChars="200"/>
        <w:rPr>
          <w:rFonts w:hint="eastAsia" w:ascii="宋体" w:hAnsi="宋体"/>
          <w:b/>
          <w:bCs/>
          <w:sz w:val="24"/>
        </w:rPr>
      </w:pPr>
      <w:r>
        <w:rPr>
          <w:rFonts w:hint="eastAsia" w:ascii="宋体" w:hAnsi="宋体"/>
          <w:b/>
          <w:bCs/>
          <w:sz w:val="24"/>
        </w:rPr>
        <w:t>▲投标人应在招标文件所附的投标报价表上写明投标报价。投标人只允许有一个报价,采购人不接受有任何选择性的报价。投标报价高于最高限价的作投标文件无效处理。</w:t>
      </w:r>
    </w:p>
    <w:p>
      <w:pPr>
        <w:spacing w:line="360" w:lineRule="auto"/>
        <w:ind w:firstLine="480" w:firstLineChars="200"/>
        <w:rPr>
          <w:rFonts w:hint="eastAsia" w:ascii="宋体" w:hAnsi="宋体"/>
          <w:sz w:val="24"/>
        </w:rPr>
      </w:pPr>
      <w:r>
        <w:rPr>
          <w:rFonts w:hint="eastAsia" w:ascii="宋体" w:hAnsi="宋体"/>
          <w:sz w:val="24"/>
        </w:rPr>
        <w:t>11.3</w:t>
      </w:r>
      <w:r>
        <w:rPr>
          <w:rFonts w:hint="eastAsia" w:ascii="宋体" w:hAnsi="宋体"/>
          <w:b/>
          <w:sz w:val="24"/>
        </w:rPr>
        <w:t>.</w:t>
      </w:r>
      <w:r>
        <w:rPr>
          <w:rFonts w:hint="eastAsia" w:ascii="宋体" w:hAnsi="宋体"/>
          <w:sz w:val="24"/>
        </w:rPr>
        <w:t>2投标相关报价明细表填写时应详细注明该表列举的费用及分项清单。</w:t>
      </w:r>
    </w:p>
    <w:p>
      <w:pPr>
        <w:spacing w:line="360" w:lineRule="auto"/>
        <w:ind w:firstLine="482" w:firstLineChars="200"/>
        <w:rPr>
          <w:rFonts w:ascii="宋体" w:hAnsi="宋体"/>
          <w:b/>
          <w:sz w:val="24"/>
        </w:rPr>
      </w:pPr>
      <w:r>
        <w:rPr>
          <w:rFonts w:hint="eastAsia" w:ascii="宋体" w:hAnsi="宋体"/>
          <w:b/>
          <w:sz w:val="24"/>
        </w:rPr>
        <w:t>12</w:t>
      </w:r>
      <w:r>
        <w:rPr>
          <w:rFonts w:ascii="宋体" w:hAnsi="宋体"/>
          <w:b/>
          <w:sz w:val="24"/>
        </w:rPr>
        <w:t>.</w:t>
      </w:r>
      <w:r>
        <w:rPr>
          <w:rFonts w:hint="eastAsia" w:ascii="宋体" w:hAnsi="宋体"/>
          <w:b/>
          <w:sz w:val="24"/>
        </w:rPr>
        <w:t>投标文件排版、封面</w:t>
      </w:r>
    </w:p>
    <w:p>
      <w:pPr>
        <w:spacing w:line="360" w:lineRule="auto"/>
        <w:ind w:firstLine="480" w:firstLineChars="200"/>
        <w:rPr>
          <w:rFonts w:hint="eastAsia" w:ascii="宋体" w:hAnsi="宋体"/>
          <w:sz w:val="24"/>
        </w:rPr>
      </w:pPr>
      <w:r>
        <w:rPr>
          <w:rFonts w:hint="eastAsia" w:ascii="宋体" w:hAnsi="宋体"/>
          <w:sz w:val="24"/>
        </w:rPr>
        <w:t>12</w:t>
      </w:r>
      <w:r>
        <w:rPr>
          <w:rFonts w:ascii="宋体" w:hAnsi="宋体"/>
          <w:sz w:val="24"/>
        </w:rPr>
        <w:t>.</w:t>
      </w:r>
      <w:r>
        <w:rPr>
          <w:rFonts w:hint="eastAsia" w:ascii="宋体" w:hAnsi="宋体"/>
          <w:sz w:val="24"/>
        </w:rPr>
        <w:t>1</w:t>
      </w:r>
      <w:r>
        <w:rPr>
          <w:rFonts w:ascii="宋体" w:hAnsi="宋体"/>
          <w:sz w:val="24"/>
        </w:rPr>
        <w:t>排版：</w:t>
      </w:r>
      <w:r>
        <w:rPr>
          <w:rFonts w:hint="eastAsia" w:ascii="宋体" w:hAnsi="宋体"/>
          <w:kern w:val="0"/>
          <w:sz w:val="24"/>
        </w:rPr>
        <w:t>所有文字及表格建议采用黑色，正文字体采用宋体小四号字体，标题字体采用宋体小二号字体，页码应逐页连续编注。</w:t>
      </w:r>
    </w:p>
    <w:p>
      <w:pPr>
        <w:spacing w:line="360" w:lineRule="auto"/>
        <w:ind w:firstLine="480" w:firstLineChars="200"/>
        <w:rPr>
          <w:rFonts w:hint="eastAsia" w:ascii="宋体" w:hAnsi="宋体"/>
          <w:sz w:val="24"/>
        </w:rPr>
      </w:pPr>
      <w:r>
        <w:rPr>
          <w:rFonts w:hint="eastAsia" w:ascii="宋体" w:hAnsi="宋体"/>
          <w:sz w:val="24"/>
        </w:rPr>
        <w:t>12.2封面：按照招标</w:t>
      </w:r>
      <w:r>
        <w:rPr>
          <w:rFonts w:ascii="宋体" w:hAnsi="宋体"/>
          <w:sz w:val="24"/>
        </w:rPr>
        <w:t>文件</w:t>
      </w:r>
      <w:r>
        <w:rPr>
          <w:rFonts w:hint="eastAsia" w:ascii="宋体" w:hAnsi="宋体"/>
          <w:sz w:val="24"/>
        </w:rPr>
        <w:t>第五章提供的格式制作</w:t>
      </w:r>
      <w:r>
        <w:rPr>
          <w:rFonts w:ascii="宋体" w:hAnsi="宋体"/>
          <w:sz w:val="24"/>
        </w:rPr>
        <w:t>封面</w:t>
      </w:r>
      <w:r>
        <w:rPr>
          <w:rFonts w:hint="eastAsia" w:ascii="宋体" w:hAnsi="宋体"/>
          <w:sz w:val="24"/>
        </w:rPr>
        <w:t>。</w:t>
      </w:r>
    </w:p>
    <w:p>
      <w:pPr>
        <w:spacing w:line="360" w:lineRule="auto"/>
        <w:ind w:firstLine="482" w:firstLineChars="200"/>
        <w:rPr>
          <w:rFonts w:ascii="宋体" w:hAnsi="宋体"/>
          <w:b/>
          <w:sz w:val="24"/>
        </w:rPr>
      </w:pPr>
      <w:r>
        <w:rPr>
          <w:rFonts w:ascii="宋体" w:hAnsi="宋体"/>
          <w:b/>
          <w:sz w:val="24"/>
        </w:rPr>
        <w:t>1</w:t>
      </w:r>
      <w:r>
        <w:rPr>
          <w:rFonts w:hint="eastAsia" w:ascii="宋体" w:hAnsi="宋体"/>
          <w:b/>
          <w:sz w:val="24"/>
        </w:rPr>
        <w:t>3</w:t>
      </w:r>
      <w:r>
        <w:rPr>
          <w:rFonts w:ascii="宋体" w:hAnsi="宋体"/>
          <w:b/>
          <w:sz w:val="24"/>
        </w:rPr>
        <w:t>.</w:t>
      </w:r>
      <w:r>
        <w:rPr>
          <w:rFonts w:hint="eastAsia" w:ascii="宋体" w:hAnsi="宋体"/>
          <w:b/>
          <w:sz w:val="24"/>
        </w:rPr>
        <w:t>投标有效期</w:t>
      </w:r>
    </w:p>
    <w:p>
      <w:pPr>
        <w:spacing w:line="360" w:lineRule="auto"/>
        <w:ind w:firstLine="480" w:firstLineChars="200"/>
        <w:rPr>
          <w:rFonts w:ascii="宋体" w:hAnsi="宋体"/>
          <w:sz w:val="24"/>
        </w:rPr>
      </w:pPr>
      <w:r>
        <w:rPr>
          <w:rFonts w:hint="eastAsia" w:ascii="宋体" w:hAnsi="宋体"/>
          <w:sz w:val="24"/>
        </w:rPr>
        <w:t>▲</w:t>
      </w:r>
      <w:r>
        <w:rPr>
          <w:rFonts w:ascii="宋体" w:hAnsi="宋体"/>
          <w:sz w:val="24"/>
        </w:rPr>
        <w:t>1</w:t>
      </w:r>
      <w:r>
        <w:rPr>
          <w:rFonts w:hint="eastAsia" w:ascii="宋体" w:hAnsi="宋体"/>
          <w:sz w:val="24"/>
        </w:rPr>
        <w:t>3</w:t>
      </w:r>
      <w:r>
        <w:rPr>
          <w:rFonts w:ascii="宋体" w:hAnsi="宋体"/>
          <w:sz w:val="24"/>
        </w:rPr>
        <w:t>.1</w:t>
      </w:r>
      <w:r>
        <w:rPr>
          <w:rFonts w:hint="eastAsia" w:ascii="宋体" w:hAnsi="宋体"/>
          <w:bCs/>
          <w:snapToGrid w:val="0"/>
          <w:sz w:val="24"/>
        </w:rPr>
        <w:t>提交投标文件的截止之日起90天内有效。</w:t>
      </w:r>
    </w:p>
    <w:p>
      <w:pPr>
        <w:spacing w:line="360" w:lineRule="auto"/>
        <w:ind w:firstLine="482" w:firstLineChars="200"/>
        <w:rPr>
          <w:rFonts w:ascii="宋体" w:hAnsi="宋体"/>
          <w:b/>
          <w:sz w:val="24"/>
        </w:rPr>
      </w:pPr>
      <w:r>
        <w:rPr>
          <w:rFonts w:ascii="宋体" w:hAnsi="宋体"/>
          <w:b/>
          <w:sz w:val="24"/>
        </w:rPr>
        <w:t>1</w:t>
      </w:r>
      <w:r>
        <w:rPr>
          <w:rFonts w:hint="eastAsia" w:ascii="宋体" w:hAnsi="宋体"/>
          <w:b/>
          <w:sz w:val="24"/>
        </w:rPr>
        <w:t>4</w:t>
      </w:r>
      <w:r>
        <w:rPr>
          <w:rFonts w:ascii="宋体" w:hAnsi="宋体"/>
          <w:b/>
          <w:sz w:val="24"/>
        </w:rPr>
        <w:t>.</w:t>
      </w:r>
      <w:r>
        <w:rPr>
          <w:rFonts w:hint="eastAsia" w:ascii="宋体" w:hAnsi="宋体"/>
          <w:b/>
          <w:sz w:val="24"/>
        </w:rPr>
        <w:t>投标文件的签署及规定</w:t>
      </w:r>
    </w:p>
    <w:p>
      <w:pPr>
        <w:spacing w:line="360" w:lineRule="auto"/>
        <w:ind w:firstLine="480" w:firstLineChars="200"/>
        <w:rPr>
          <w:rFonts w:hint="eastAsia" w:ascii="宋体" w:hAnsi="宋体"/>
          <w:kern w:val="0"/>
          <w:sz w:val="24"/>
        </w:rPr>
      </w:pPr>
      <w:r>
        <w:rPr>
          <w:rFonts w:ascii="宋体" w:hAnsi="宋体"/>
          <w:sz w:val="24"/>
        </w:rPr>
        <w:t>1</w:t>
      </w:r>
      <w:r>
        <w:rPr>
          <w:rFonts w:hint="eastAsia" w:ascii="宋体" w:hAnsi="宋体"/>
          <w:sz w:val="24"/>
        </w:rPr>
        <w:t>4</w:t>
      </w:r>
      <w:r>
        <w:rPr>
          <w:rFonts w:ascii="宋体" w:hAnsi="宋体"/>
          <w:sz w:val="24"/>
        </w:rPr>
        <w:t>.1</w:t>
      </w:r>
      <w:r>
        <w:rPr>
          <w:rFonts w:hint="eastAsia" w:ascii="宋体" w:hAnsi="宋体"/>
          <w:kern w:val="0"/>
          <w:sz w:val="24"/>
        </w:rPr>
        <w:t>投标人应按招标文件规定的内容和要求编制投标文件，</w:t>
      </w:r>
      <w:r>
        <w:rPr>
          <w:rFonts w:hint="eastAsia" w:ascii="宋体" w:hAnsi="宋体"/>
          <w:bCs/>
          <w:sz w:val="24"/>
        </w:rPr>
        <w:t>投标文件</w:t>
      </w:r>
      <w:r>
        <w:rPr>
          <w:rFonts w:hint="eastAsia" w:ascii="宋体" w:hAnsi="宋体"/>
          <w:kern w:val="0"/>
          <w:sz w:val="24"/>
        </w:rPr>
        <w:t>须清楚的标明“资格文件”</w:t>
      </w:r>
      <w:r>
        <w:rPr>
          <w:rFonts w:ascii="宋体" w:hAnsi="宋体"/>
          <w:kern w:val="0"/>
          <w:sz w:val="24"/>
        </w:rPr>
        <w:t>、</w:t>
      </w:r>
      <w:r>
        <w:rPr>
          <w:rFonts w:hint="eastAsia" w:ascii="宋体" w:hAnsi="宋体"/>
          <w:kern w:val="0"/>
          <w:sz w:val="24"/>
        </w:rPr>
        <w:t>“资信商务及技术文件”、“报价文件”。</w:t>
      </w:r>
    </w:p>
    <w:p>
      <w:pPr>
        <w:spacing w:line="360" w:lineRule="auto"/>
        <w:ind w:firstLine="480" w:firstLineChars="200"/>
        <w:rPr>
          <w:rFonts w:hint="eastAsia" w:ascii="宋体" w:hAnsi="宋体"/>
          <w:kern w:val="0"/>
          <w:sz w:val="24"/>
        </w:rPr>
      </w:pPr>
      <w:r>
        <w:rPr>
          <w:rFonts w:ascii="宋体" w:hAnsi="宋体"/>
          <w:kern w:val="0"/>
          <w:sz w:val="24"/>
        </w:rPr>
        <w:t>1</w:t>
      </w:r>
      <w:r>
        <w:rPr>
          <w:rFonts w:hint="eastAsia" w:ascii="宋体" w:hAnsi="宋体"/>
          <w:kern w:val="0"/>
          <w:sz w:val="24"/>
        </w:rPr>
        <w:t>4</w:t>
      </w:r>
      <w:r>
        <w:rPr>
          <w:rFonts w:ascii="宋体" w:hAnsi="宋体"/>
          <w:kern w:val="0"/>
          <w:sz w:val="24"/>
        </w:rPr>
        <w:t>.</w:t>
      </w:r>
      <w:r>
        <w:rPr>
          <w:rFonts w:hint="eastAsia" w:ascii="宋体" w:hAnsi="宋体"/>
          <w:kern w:val="0"/>
          <w:sz w:val="24"/>
        </w:rPr>
        <w:t>2电子投标文件及备份投标文件中须加盖公章部分均采用</w:t>
      </w:r>
      <w:r>
        <w:rPr>
          <w:rFonts w:hint="eastAsia" w:ascii="宋体" w:hAnsi="宋体"/>
          <w:b/>
          <w:kern w:val="0"/>
          <w:sz w:val="24"/>
        </w:rPr>
        <w:t>CA</w:t>
      </w:r>
      <w:r>
        <w:rPr>
          <w:rFonts w:hint="eastAsia" w:ascii="宋体" w:hAnsi="宋体"/>
          <w:kern w:val="0"/>
          <w:sz w:val="24"/>
        </w:rPr>
        <w:t>签章（投标文件格式有特殊要求的除外）。</w:t>
      </w:r>
    </w:p>
    <w:p>
      <w:pPr>
        <w:spacing w:line="360" w:lineRule="auto"/>
        <w:ind w:firstLine="480" w:firstLineChars="200"/>
        <w:rPr>
          <w:rFonts w:hint="eastAsia" w:ascii="宋体" w:hAnsi="宋体"/>
          <w:sz w:val="24"/>
        </w:rPr>
      </w:pPr>
      <w:r>
        <w:rPr>
          <w:rFonts w:ascii="宋体" w:hAnsi="宋体"/>
          <w:sz w:val="24"/>
        </w:rPr>
        <w:t>1</w:t>
      </w:r>
      <w:r>
        <w:rPr>
          <w:rFonts w:hint="eastAsia" w:ascii="宋体" w:hAnsi="宋体"/>
          <w:sz w:val="24"/>
        </w:rPr>
        <w:t>4</w:t>
      </w:r>
      <w:r>
        <w:rPr>
          <w:rFonts w:ascii="宋体" w:hAnsi="宋体"/>
          <w:sz w:val="24"/>
        </w:rPr>
        <w:t>.</w:t>
      </w:r>
      <w:r>
        <w:rPr>
          <w:rFonts w:hint="eastAsia" w:ascii="宋体" w:hAnsi="宋体"/>
          <w:sz w:val="24"/>
        </w:rPr>
        <w:t>3电报、电话、传真形式的投标概不接受。</w:t>
      </w:r>
      <w:bookmarkStart w:id="37" w:name="_Toc107820049"/>
      <w:bookmarkStart w:id="38" w:name="_Toc56928685"/>
    </w:p>
    <w:p>
      <w:pPr>
        <w:pStyle w:val="6"/>
        <w:spacing w:line="240" w:lineRule="auto"/>
        <w:ind w:firstLine="200" w:firstLineChars="0"/>
        <w:rPr>
          <w:rFonts w:hint="eastAsia" w:ascii="宋体" w:hAnsi="宋体" w:eastAsia="宋体"/>
          <w:sz w:val="32"/>
        </w:rPr>
      </w:pPr>
      <w:bookmarkStart w:id="39" w:name="_Toc112414177"/>
      <w:bookmarkStart w:id="40" w:name="_Toc17793765"/>
      <w:bookmarkStart w:id="41" w:name="_Toc41577869"/>
      <w:r>
        <w:rPr>
          <w:rFonts w:hint="eastAsia" w:ascii="宋体" w:hAnsi="宋体" w:eastAsia="宋体"/>
          <w:sz w:val="32"/>
        </w:rPr>
        <w:t>四   履约保证金</w:t>
      </w:r>
      <w:bookmarkEnd w:id="39"/>
      <w:bookmarkEnd w:id="40"/>
      <w:bookmarkEnd w:id="41"/>
    </w:p>
    <w:p>
      <w:pPr>
        <w:spacing w:line="360" w:lineRule="auto"/>
        <w:ind w:firstLine="482" w:firstLineChars="200"/>
        <w:rPr>
          <w:rFonts w:hint="eastAsia" w:ascii="宋体" w:hAnsi="宋体"/>
          <w:b/>
          <w:sz w:val="24"/>
        </w:rPr>
      </w:pPr>
      <w:r>
        <w:rPr>
          <w:rFonts w:hint="eastAsia" w:ascii="宋体" w:hAnsi="宋体"/>
          <w:b/>
          <w:sz w:val="24"/>
        </w:rPr>
        <w:t>15.履约保证金</w:t>
      </w:r>
    </w:p>
    <w:p>
      <w:pPr>
        <w:spacing w:line="360" w:lineRule="auto"/>
        <w:ind w:firstLine="480" w:firstLineChars="200"/>
        <w:rPr>
          <w:rFonts w:hint="eastAsia" w:ascii="宋体" w:hAnsi="宋体"/>
          <w:sz w:val="24"/>
        </w:rPr>
      </w:pPr>
      <w:r>
        <w:rPr>
          <w:rFonts w:hint="eastAsia" w:ascii="宋体" w:hAnsi="宋体"/>
          <w:sz w:val="24"/>
        </w:rPr>
        <w:t>15.1履约保证金金额：人民币叁万元整。</w:t>
      </w:r>
    </w:p>
    <w:p>
      <w:pPr>
        <w:spacing w:line="360" w:lineRule="auto"/>
        <w:ind w:firstLine="480" w:firstLineChars="200"/>
        <w:rPr>
          <w:rFonts w:hint="eastAsia" w:ascii="宋体" w:hAnsi="宋体"/>
          <w:sz w:val="24"/>
        </w:rPr>
      </w:pPr>
      <w:r>
        <w:rPr>
          <w:rFonts w:hint="eastAsia" w:ascii="宋体" w:hAnsi="宋体"/>
          <w:sz w:val="24"/>
        </w:rPr>
        <w:t>15.2交纳时间及方式：合同签订后7个工作日内，以电汇、转账、银行或保险公司或担保公司出具履约保函。</w:t>
      </w:r>
    </w:p>
    <w:p>
      <w:pPr>
        <w:spacing w:line="360" w:lineRule="auto"/>
        <w:ind w:firstLine="480" w:firstLineChars="200"/>
        <w:rPr>
          <w:rFonts w:hint="eastAsia" w:ascii="宋体" w:hAnsi="宋体"/>
          <w:sz w:val="24"/>
        </w:rPr>
      </w:pPr>
      <w:r>
        <w:rPr>
          <w:rFonts w:hint="eastAsia" w:ascii="宋体" w:hAnsi="宋体"/>
          <w:sz w:val="24"/>
        </w:rPr>
        <w:t>15.3履约保证金的退还：项目建设完成整体交付并进入运维期后7个工作日内一次性无息退还。</w:t>
      </w:r>
    </w:p>
    <w:p>
      <w:pPr>
        <w:pStyle w:val="6"/>
        <w:spacing w:line="240" w:lineRule="auto"/>
        <w:ind w:firstLine="200" w:firstLineChars="0"/>
        <w:rPr>
          <w:rFonts w:ascii="宋体" w:hAnsi="宋体" w:eastAsia="宋体"/>
          <w:sz w:val="32"/>
        </w:rPr>
      </w:pPr>
      <w:bookmarkStart w:id="42" w:name="_Toc41577870"/>
      <w:bookmarkStart w:id="43" w:name="_Toc112414178"/>
      <w:r>
        <w:rPr>
          <w:rFonts w:hint="eastAsia" w:ascii="宋体" w:hAnsi="宋体" w:eastAsia="宋体"/>
          <w:sz w:val="32"/>
        </w:rPr>
        <w:t>五</w:t>
      </w:r>
      <w:r>
        <w:rPr>
          <w:rFonts w:ascii="宋体" w:hAnsi="宋体" w:eastAsia="宋体"/>
          <w:sz w:val="32"/>
        </w:rPr>
        <w:t xml:space="preserve">  </w:t>
      </w:r>
      <w:r>
        <w:rPr>
          <w:rFonts w:hint="eastAsia" w:ascii="宋体" w:hAnsi="宋体" w:eastAsia="宋体"/>
          <w:sz w:val="32"/>
        </w:rPr>
        <w:t xml:space="preserve"> 投标文件的</w:t>
      </w:r>
      <w:bookmarkEnd w:id="37"/>
      <w:bookmarkEnd w:id="38"/>
      <w:r>
        <w:rPr>
          <w:rFonts w:hint="eastAsia" w:ascii="宋体" w:hAnsi="宋体" w:eastAsia="宋体"/>
          <w:sz w:val="32"/>
        </w:rPr>
        <w:t>加密、提交、修改和撤回</w:t>
      </w:r>
      <w:bookmarkEnd w:id="42"/>
      <w:bookmarkEnd w:id="43"/>
    </w:p>
    <w:p>
      <w:pPr>
        <w:spacing w:line="360" w:lineRule="auto"/>
        <w:ind w:firstLine="482" w:firstLineChars="200"/>
        <w:rPr>
          <w:rFonts w:hint="eastAsia" w:ascii="宋体" w:hAnsi="宋体"/>
          <w:b/>
          <w:sz w:val="24"/>
        </w:rPr>
      </w:pPr>
      <w:r>
        <w:rPr>
          <w:rFonts w:ascii="宋体" w:hAnsi="宋体"/>
          <w:b/>
          <w:sz w:val="24"/>
        </w:rPr>
        <w:t>1</w:t>
      </w:r>
      <w:r>
        <w:rPr>
          <w:rFonts w:hint="eastAsia" w:ascii="宋体" w:hAnsi="宋体"/>
          <w:b/>
          <w:sz w:val="24"/>
        </w:rPr>
        <w:t>6</w:t>
      </w:r>
      <w:r>
        <w:rPr>
          <w:rFonts w:ascii="宋体" w:hAnsi="宋体"/>
          <w:b/>
          <w:sz w:val="24"/>
        </w:rPr>
        <w:t>.</w:t>
      </w:r>
      <w:r>
        <w:rPr>
          <w:rFonts w:hint="eastAsia" w:ascii="宋体" w:hAnsi="宋体"/>
          <w:b/>
          <w:sz w:val="24"/>
        </w:rPr>
        <w:t>投标文件的加密</w:t>
      </w:r>
    </w:p>
    <w:p>
      <w:pPr>
        <w:spacing w:line="360" w:lineRule="auto"/>
        <w:ind w:firstLine="480" w:firstLineChars="200"/>
        <w:rPr>
          <w:rFonts w:ascii="宋体" w:hAnsi="宋体"/>
          <w:sz w:val="24"/>
        </w:rPr>
      </w:pPr>
      <w:r>
        <w:rPr>
          <w:rFonts w:hint="eastAsia" w:ascii="宋体" w:hAnsi="宋体"/>
          <w:sz w:val="24"/>
        </w:rPr>
        <w:t>16.1投标人应当将资格文件、资信</w:t>
      </w:r>
      <w:r>
        <w:rPr>
          <w:rFonts w:ascii="宋体" w:hAnsi="宋体"/>
          <w:sz w:val="24"/>
        </w:rPr>
        <w:t>商务</w:t>
      </w:r>
      <w:r>
        <w:rPr>
          <w:rFonts w:hint="eastAsia" w:ascii="宋体" w:hAnsi="宋体"/>
          <w:sz w:val="24"/>
        </w:rPr>
        <w:t>及</w:t>
      </w:r>
      <w:r>
        <w:rPr>
          <w:rFonts w:ascii="宋体" w:hAnsi="宋体"/>
          <w:sz w:val="24"/>
        </w:rPr>
        <w:t>技术文件</w:t>
      </w:r>
      <w:r>
        <w:rPr>
          <w:rFonts w:hint="eastAsia" w:ascii="宋体" w:hAnsi="宋体"/>
          <w:sz w:val="24"/>
        </w:rPr>
        <w:t>和报价文件三部分分别导入相应位置，各文件之间不得混装；</w:t>
      </w:r>
    </w:p>
    <w:p>
      <w:pPr>
        <w:spacing w:line="360" w:lineRule="auto"/>
        <w:ind w:firstLine="480" w:firstLineChars="200"/>
        <w:rPr>
          <w:rFonts w:ascii="宋体" w:hAnsi="宋体"/>
          <w:b/>
          <w:sz w:val="24"/>
        </w:rPr>
      </w:pPr>
      <w:r>
        <w:rPr>
          <w:rFonts w:ascii="宋体" w:hAnsi="宋体"/>
          <w:sz w:val="24"/>
        </w:rPr>
        <w:t>1</w:t>
      </w:r>
      <w:r>
        <w:rPr>
          <w:rFonts w:hint="eastAsia" w:ascii="宋体" w:hAnsi="宋体"/>
          <w:sz w:val="24"/>
        </w:rPr>
        <w:t>6</w:t>
      </w:r>
      <w:r>
        <w:rPr>
          <w:rFonts w:ascii="宋体" w:hAnsi="宋体"/>
          <w:sz w:val="24"/>
        </w:rPr>
        <w:t>.</w:t>
      </w:r>
      <w:r>
        <w:rPr>
          <w:rFonts w:hint="eastAsia" w:ascii="宋体" w:hAnsi="宋体"/>
          <w:sz w:val="24"/>
        </w:rPr>
        <w:t>2</w:t>
      </w:r>
      <w:r>
        <w:rPr>
          <w:rFonts w:hint="eastAsia" w:ascii="宋体" w:hAnsi="宋体"/>
          <w:b/>
          <w:sz w:val="24"/>
        </w:rPr>
        <w:t>电子投标文件按政采云平台供应商项目采购-电子招投标操作指南进行加密。</w:t>
      </w:r>
    </w:p>
    <w:p>
      <w:pPr>
        <w:spacing w:line="360" w:lineRule="auto"/>
        <w:ind w:firstLine="482" w:firstLineChars="200"/>
        <w:rPr>
          <w:rFonts w:ascii="宋体" w:hAnsi="宋体"/>
          <w:b/>
          <w:sz w:val="24"/>
        </w:rPr>
      </w:pPr>
      <w:bookmarkStart w:id="44" w:name="_Toc107820050"/>
      <w:r>
        <w:rPr>
          <w:rFonts w:hint="eastAsia" w:ascii="宋体" w:hAnsi="宋体"/>
          <w:b/>
          <w:sz w:val="24"/>
        </w:rPr>
        <w:t>17.投标文件的提交</w:t>
      </w:r>
    </w:p>
    <w:p>
      <w:pPr>
        <w:spacing w:line="360" w:lineRule="auto"/>
        <w:ind w:firstLine="240" w:firstLineChars="100"/>
        <w:rPr>
          <w:rFonts w:hint="eastAsia" w:ascii="宋体" w:hAnsi="宋体"/>
          <w:sz w:val="24"/>
        </w:rPr>
      </w:pPr>
      <w:r>
        <w:rPr>
          <w:rFonts w:hint="eastAsia" w:ascii="宋体" w:hAnsi="宋体"/>
          <w:bCs/>
          <w:sz w:val="24"/>
        </w:rPr>
        <w:t>▲</w:t>
      </w:r>
      <w:r>
        <w:rPr>
          <w:rFonts w:hint="eastAsia" w:ascii="宋体" w:hAnsi="宋体"/>
          <w:sz w:val="24"/>
        </w:rPr>
        <w:t>17.1投标文件上传截止时间和地点详见本章前附表和公告。</w:t>
      </w:r>
    </w:p>
    <w:p>
      <w:pPr>
        <w:spacing w:line="360" w:lineRule="auto"/>
        <w:ind w:firstLine="480" w:firstLineChars="200"/>
        <w:rPr>
          <w:rFonts w:ascii="宋体" w:hAnsi="宋体"/>
          <w:sz w:val="24"/>
        </w:rPr>
      </w:pPr>
      <w:r>
        <w:rPr>
          <w:rFonts w:hint="eastAsia" w:ascii="宋体" w:hAnsi="宋体"/>
          <w:sz w:val="24"/>
        </w:rPr>
        <w:t>17.2不予</w:t>
      </w:r>
      <w:r>
        <w:rPr>
          <w:rFonts w:ascii="宋体" w:hAnsi="宋体"/>
          <w:sz w:val="24"/>
        </w:rPr>
        <w:t>接收</w:t>
      </w:r>
      <w:r>
        <w:rPr>
          <w:rFonts w:hint="eastAsia" w:ascii="宋体" w:hAnsi="宋体"/>
          <w:sz w:val="24"/>
        </w:rPr>
        <w:t>的电子投标</w:t>
      </w:r>
      <w:r>
        <w:rPr>
          <w:rFonts w:ascii="宋体" w:hAnsi="宋体"/>
          <w:sz w:val="24"/>
        </w:rPr>
        <w:t>文件</w:t>
      </w:r>
      <w:r>
        <w:rPr>
          <w:rFonts w:hint="eastAsia" w:ascii="宋体" w:hAnsi="宋体"/>
          <w:sz w:val="24"/>
        </w:rPr>
        <w:t>情形</w:t>
      </w:r>
    </w:p>
    <w:p>
      <w:pPr>
        <w:spacing w:line="360" w:lineRule="auto"/>
        <w:ind w:firstLine="480" w:firstLineChars="200"/>
        <w:rPr>
          <w:rFonts w:ascii="宋体" w:hAnsi="宋体"/>
          <w:sz w:val="24"/>
        </w:rPr>
      </w:pPr>
      <w:r>
        <w:rPr>
          <w:rFonts w:ascii="宋体" w:hAnsi="宋体"/>
          <w:sz w:val="24"/>
        </w:rPr>
        <w:fldChar w:fldCharType="begin"/>
      </w:r>
      <w:r>
        <w:rPr>
          <w:rFonts w:ascii="宋体" w:hAnsi="宋体"/>
          <w:sz w:val="24"/>
        </w:rPr>
        <w:instrText xml:space="preserve"> </w:instrText>
      </w:r>
      <w:r>
        <w:rPr>
          <w:rFonts w:hint="eastAsia" w:ascii="宋体" w:hAnsi="宋体"/>
          <w:sz w:val="24"/>
        </w:rPr>
        <w:instrText xml:space="preserve">= 1 \* GB2</w:instrText>
      </w:r>
      <w:r>
        <w:rPr>
          <w:rFonts w:ascii="宋体" w:hAnsi="宋体"/>
          <w:sz w:val="24"/>
        </w:rPr>
        <w:instrText xml:space="preserve"> </w:instrText>
      </w:r>
      <w:r>
        <w:rPr>
          <w:rFonts w:ascii="宋体" w:hAnsi="宋体"/>
          <w:sz w:val="24"/>
        </w:rPr>
        <w:fldChar w:fldCharType="separate"/>
      </w:r>
      <w:r>
        <w:rPr>
          <w:rFonts w:hint="eastAsia" w:ascii="宋体" w:hAnsi="宋体"/>
          <w:sz w:val="24"/>
        </w:rPr>
        <w:t>⑴</w:t>
      </w:r>
      <w:r>
        <w:rPr>
          <w:rFonts w:ascii="宋体" w:hAnsi="宋体"/>
          <w:sz w:val="24"/>
        </w:rPr>
        <w:fldChar w:fldCharType="end"/>
      </w:r>
      <w:r>
        <w:rPr>
          <w:rFonts w:hint="eastAsia" w:ascii="宋体" w:hAnsi="宋体"/>
          <w:sz w:val="24"/>
        </w:rPr>
        <w:t>投标截止时间前未完成传输的电子投标文件；</w:t>
      </w:r>
    </w:p>
    <w:p>
      <w:pPr>
        <w:spacing w:line="360" w:lineRule="auto"/>
        <w:ind w:firstLine="480" w:firstLineChars="200"/>
        <w:rPr>
          <w:rFonts w:ascii="宋体" w:hAnsi="宋体"/>
          <w:sz w:val="24"/>
        </w:rPr>
      </w:pPr>
      <w:r>
        <w:rPr>
          <w:rFonts w:ascii="宋体" w:hAnsi="宋体"/>
          <w:sz w:val="24"/>
        </w:rPr>
        <w:fldChar w:fldCharType="begin"/>
      </w:r>
      <w:r>
        <w:rPr>
          <w:rFonts w:ascii="宋体" w:hAnsi="宋体"/>
          <w:sz w:val="24"/>
        </w:rPr>
        <w:instrText xml:space="preserve"> </w:instrText>
      </w:r>
      <w:r>
        <w:rPr>
          <w:rFonts w:hint="eastAsia" w:ascii="宋体" w:hAnsi="宋体"/>
          <w:sz w:val="24"/>
        </w:rPr>
        <w:instrText xml:space="preserve">= 2 \* GB2</w:instrText>
      </w:r>
      <w:r>
        <w:rPr>
          <w:rFonts w:ascii="宋体" w:hAnsi="宋体"/>
          <w:sz w:val="24"/>
        </w:rPr>
        <w:instrText xml:space="preserve"> </w:instrText>
      </w:r>
      <w:r>
        <w:rPr>
          <w:rFonts w:ascii="宋体" w:hAnsi="宋体"/>
          <w:sz w:val="24"/>
        </w:rPr>
        <w:fldChar w:fldCharType="separate"/>
      </w:r>
      <w:r>
        <w:rPr>
          <w:rFonts w:hint="eastAsia" w:ascii="宋体" w:hAnsi="宋体"/>
          <w:sz w:val="24"/>
        </w:rPr>
        <w:t>⑵</w:t>
      </w:r>
      <w:r>
        <w:rPr>
          <w:rFonts w:ascii="宋体" w:hAnsi="宋体"/>
          <w:sz w:val="24"/>
        </w:rPr>
        <w:fldChar w:fldCharType="end"/>
      </w:r>
      <w:r>
        <w:rPr>
          <w:rFonts w:hint="eastAsia" w:ascii="宋体" w:hAnsi="宋体"/>
          <w:sz w:val="24"/>
        </w:rPr>
        <w:t>未生成加密的电子投标文件；</w:t>
      </w:r>
    </w:p>
    <w:p>
      <w:pPr>
        <w:spacing w:line="360" w:lineRule="auto"/>
        <w:ind w:firstLine="480" w:firstLineChars="200"/>
        <w:rPr>
          <w:rFonts w:ascii="宋体" w:hAnsi="宋体"/>
          <w:sz w:val="24"/>
        </w:rPr>
      </w:pPr>
      <w:r>
        <w:rPr>
          <w:rFonts w:hint="eastAsia" w:ascii="宋体" w:hAnsi="宋体"/>
          <w:sz w:val="24"/>
        </w:rPr>
        <w:t>⑶在规定时间内未解密的电子投标文件或者解密不成功又未在规定时间内提交备份投标文件的。</w:t>
      </w:r>
    </w:p>
    <w:p>
      <w:pPr>
        <w:spacing w:line="360" w:lineRule="auto"/>
        <w:ind w:firstLine="482" w:firstLineChars="200"/>
        <w:rPr>
          <w:rFonts w:ascii="宋体" w:hAnsi="宋体"/>
          <w:b/>
          <w:sz w:val="24"/>
        </w:rPr>
      </w:pPr>
      <w:r>
        <w:rPr>
          <w:rFonts w:hint="eastAsia" w:ascii="宋体" w:hAnsi="宋体"/>
          <w:b/>
          <w:sz w:val="24"/>
        </w:rPr>
        <w:t>18.投标文件的修改和撤回</w:t>
      </w:r>
    </w:p>
    <w:p>
      <w:pPr>
        <w:spacing w:line="360" w:lineRule="auto"/>
        <w:ind w:firstLine="480" w:firstLineChars="200"/>
        <w:rPr>
          <w:rFonts w:hint="eastAsia" w:ascii="宋体" w:hAnsi="宋体"/>
          <w:b/>
          <w:sz w:val="24"/>
        </w:rPr>
      </w:pPr>
      <w:r>
        <w:rPr>
          <w:rFonts w:hint="eastAsia" w:ascii="宋体" w:hAnsi="宋体"/>
          <w:sz w:val="24"/>
        </w:rPr>
        <w:t>18.</w:t>
      </w:r>
      <w:r>
        <w:rPr>
          <w:rFonts w:ascii="宋体" w:hAnsi="宋体"/>
          <w:sz w:val="24"/>
        </w:rPr>
        <w:t>1</w:t>
      </w:r>
      <w:r>
        <w:rPr>
          <w:rFonts w:hint="eastAsia" w:ascii="宋体" w:hAnsi="宋体"/>
          <w:sz w:val="24"/>
        </w:rPr>
        <w:t>在投标截止时间前，可以修改或撤回其投标文件：</w:t>
      </w:r>
      <w:r>
        <w:rPr>
          <w:rFonts w:hint="eastAsia" w:ascii="宋体" w:hAnsi="宋体"/>
          <w:b/>
          <w:sz w:val="24"/>
        </w:rPr>
        <w:t>（1）电子投标文件补充</w:t>
      </w:r>
      <w:r>
        <w:rPr>
          <w:rFonts w:ascii="宋体" w:hAnsi="宋体"/>
          <w:b/>
          <w:sz w:val="24"/>
        </w:rPr>
        <w:t>、修改或</w:t>
      </w:r>
      <w:r>
        <w:rPr>
          <w:rFonts w:hint="eastAsia" w:ascii="宋体" w:hAnsi="宋体"/>
          <w:b/>
          <w:sz w:val="24"/>
        </w:rPr>
        <w:t>撤回</w:t>
      </w:r>
      <w:r>
        <w:rPr>
          <w:rFonts w:ascii="宋体" w:hAnsi="宋体"/>
          <w:b/>
          <w:sz w:val="24"/>
        </w:rPr>
        <w:t>的</w:t>
      </w:r>
      <w:r>
        <w:rPr>
          <w:rFonts w:hint="eastAsia" w:ascii="宋体" w:hAnsi="宋体"/>
          <w:b/>
          <w:sz w:val="24"/>
        </w:rPr>
        <w:t>，应当先行撤回原文件，补充、修改后重新传输提交；（2）备份投标文件</w:t>
      </w:r>
      <w:r>
        <w:rPr>
          <w:rFonts w:ascii="宋体" w:hAnsi="宋体"/>
          <w:b/>
          <w:sz w:val="24"/>
        </w:rPr>
        <w:t>补充、修改或</w:t>
      </w:r>
      <w:r>
        <w:rPr>
          <w:rFonts w:hint="eastAsia" w:ascii="宋体" w:hAnsi="宋体"/>
          <w:b/>
          <w:sz w:val="24"/>
        </w:rPr>
        <w:t>撤回</w:t>
      </w:r>
      <w:r>
        <w:rPr>
          <w:rFonts w:ascii="宋体" w:hAnsi="宋体"/>
          <w:b/>
          <w:sz w:val="24"/>
        </w:rPr>
        <w:t>的</w:t>
      </w:r>
      <w:r>
        <w:rPr>
          <w:rFonts w:hint="eastAsia" w:ascii="宋体" w:hAnsi="宋体"/>
          <w:b/>
          <w:sz w:val="24"/>
        </w:rPr>
        <w:t>，代理机构以投标人在投标截止时间前提交的最后一份备份投标文件为准。</w:t>
      </w:r>
    </w:p>
    <w:p>
      <w:pPr>
        <w:spacing w:line="360" w:lineRule="auto"/>
        <w:ind w:firstLine="480" w:firstLineChars="200"/>
        <w:rPr>
          <w:rFonts w:ascii="宋体" w:hAnsi="宋体"/>
          <w:sz w:val="24"/>
        </w:rPr>
      </w:pPr>
      <w:r>
        <w:rPr>
          <w:rFonts w:hint="eastAsia" w:ascii="宋体" w:hAnsi="宋体"/>
          <w:sz w:val="24"/>
        </w:rPr>
        <w:t>18.</w:t>
      </w:r>
      <w:r>
        <w:rPr>
          <w:rFonts w:ascii="宋体" w:hAnsi="宋体"/>
          <w:sz w:val="24"/>
        </w:rPr>
        <w:t>2</w:t>
      </w:r>
      <w:r>
        <w:rPr>
          <w:rFonts w:hint="eastAsia" w:ascii="宋体" w:hAnsi="宋体"/>
          <w:sz w:val="24"/>
        </w:rPr>
        <w:t>修改后重新提交的投标文件应按招标文件的规定编制、标记和提交。</w:t>
      </w:r>
    </w:p>
    <w:p>
      <w:pPr>
        <w:spacing w:line="360" w:lineRule="auto"/>
        <w:ind w:firstLine="236" w:firstLineChars="98"/>
        <w:rPr>
          <w:rFonts w:hint="eastAsia" w:ascii="宋体" w:hAnsi="宋体"/>
          <w:sz w:val="24"/>
        </w:rPr>
      </w:pPr>
      <w:r>
        <w:rPr>
          <w:rFonts w:hint="eastAsia" w:ascii="宋体" w:hAnsi="宋体"/>
          <w:b/>
          <w:bCs/>
          <w:sz w:val="24"/>
        </w:rPr>
        <w:t>▲</w:t>
      </w:r>
      <w:r>
        <w:rPr>
          <w:rFonts w:hint="eastAsia" w:ascii="宋体" w:hAnsi="宋体"/>
          <w:sz w:val="24"/>
        </w:rPr>
        <w:t>18.</w:t>
      </w:r>
      <w:r>
        <w:rPr>
          <w:rFonts w:ascii="宋体" w:hAnsi="宋体"/>
          <w:sz w:val="24"/>
        </w:rPr>
        <w:t>3</w:t>
      </w:r>
      <w:r>
        <w:rPr>
          <w:rFonts w:hint="eastAsia" w:ascii="宋体" w:hAnsi="宋体"/>
          <w:sz w:val="24"/>
        </w:rPr>
        <w:t>在投标截止时间后,投标人不得修改、撤回已提交的投标文件。</w:t>
      </w:r>
    </w:p>
    <w:p>
      <w:pPr>
        <w:spacing w:line="360" w:lineRule="auto"/>
        <w:ind w:firstLine="236" w:firstLineChars="98"/>
        <w:rPr>
          <w:rFonts w:hint="eastAsia" w:ascii="宋体" w:hAnsi="宋体"/>
        </w:rPr>
      </w:pPr>
      <w:r>
        <w:rPr>
          <w:rFonts w:hint="eastAsia" w:ascii="宋体" w:hAnsi="宋体"/>
          <w:b/>
          <w:sz w:val="24"/>
        </w:rPr>
        <w:t>▲18.4补充、修改后的电子投标文件、备份投标文件内容均应相同。</w:t>
      </w:r>
    </w:p>
    <w:p>
      <w:pPr>
        <w:pStyle w:val="6"/>
        <w:spacing w:line="240" w:lineRule="auto"/>
        <w:ind w:firstLine="200" w:firstLineChars="0"/>
        <w:rPr>
          <w:rFonts w:hint="eastAsia" w:ascii="宋体" w:hAnsi="宋体" w:eastAsia="宋体"/>
          <w:sz w:val="32"/>
        </w:rPr>
      </w:pPr>
      <w:bookmarkStart w:id="45" w:name="_Toc41577871"/>
      <w:bookmarkStart w:id="46" w:name="_Toc112414179"/>
      <w:r>
        <w:rPr>
          <w:rFonts w:hint="eastAsia" w:ascii="宋体" w:hAnsi="宋体" w:eastAsia="宋体"/>
          <w:sz w:val="32"/>
        </w:rPr>
        <w:t>六</w:t>
      </w:r>
      <w:r>
        <w:rPr>
          <w:rFonts w:ascii="宋体" w:hAnsi="宋体" w:eastAsia="宋体"/>
          <w:sz w:val="32"/>
        </w:rPr>
        <w:t xml:space="preserve">  </w:t>
      </w:r>
      <w:r>
        <w:rPr>
          <w:rFonts w:hint="eastAsia" w:ascii="宋体" w:hAnsi="宋体" w:eastAsia="宋体"/>
          <w:sz w:val="32"/>
        </w:rPr>
        <w:t xml:space="preserve"> 开标和评</w:t>
      </w:r>
      <w:bookmarkEnd w:id="44"/>
      <w:r>
        <w:rPr>
          <w:rFonts w:hint="eastAsia" w:ascii="宋体" w:hAnsi="宋体" w:eastAsia="宋体"/>
          <w:sz w:val="32"/>
        </w:rPr>
        <w:t>审</w:t>
      </w:r>
      <w:bookmarkEnd w:id="45"/>
      <w:bookmarkEnd w:id="46"/>
    </w:p>
    <w:p>
      <w:pPr>
        <w:spacing w:line="360" w:lineRule="auto"/>
        <w:ind w:firstLine="482" w:firstLineChars="200"/>
        <w:rPr>
          <w:rFonts w:hint="eastAsia" w:ascii="宋体" w:hAnsi="宋体"/>
          <w:b/>
          <w:sz w:val="24"/>
        </w:rPr>
      </w:pPr>
      <w:r>
        <w:rPr>
          <w:rFonts w:hint="eastAsia" w:ascii="宋体" w:hAnsi="宋体"/>
          <w:b/>
          <w:sz w:val="24"/>
        </w:rPr>
        <w:t>19.开标</w:t>
      </w:r>
    </w:p>
    <w:p>
      <w:pPr>
        <w:spacing w:line="360" w:lineRule="auto"/>
        <w:ind w:firstLine="482" w:firstLineChars="200"/>
        <w:rPr>
          <w:rFonts w:hint="eastAsia" w:ascii="宋体" w:hAnsi="宋体"/>
          <w:b/>
          <w:sz w:val="24"/>
        </w:rPr>
      </w:pPr>
      <w:r>
        <w:rPr>
          <w:rFonts w:hint="eastAsia" w:ascii="宋体" w:hAnsi="宋体"/>
          <w:b/>
          <w:sz w:val="24"/>
        </w:rPr>
        <w:t>19.1优先采用电子投标文件进行</w:t>
      </w:r>
      <w:r>
        <w:rPr>
          <w:rFonts w:ascii="宋体" w:hAnsi="宋体"/>
          <w:b/>
          <w:sz w:val="24"/>
        </w:rPr>
        <w:t>开标</w:t>
      </w:r>
      <w:r>
        <w:rPr>
          <w:rFonts w:hint="eastAsia" w:ascii="宋体" w:hAnsi="宋体"/>
          <w:b/>
          <w:sz w:val="24"/>
        </w:rPr>
        <w:t>，电子投标文件未按时解密的，采用备份投标文件开标。</w:t>
      </w:r>
    </w:p>
    <w:p>
      <w:pPr>
        <w:spacing w:line="360" w:lineRule="auto"/>
        <w:ind w:firstLine="480" w:firstLineChars="200"/>
        <w:rPr>
          <w:rFonts w:hint="eastAsia" w:ascii="宋体" w:hAnsi="宋体"/>
          <w:sz w:val="24"/>
        </w:rPr>
      </w:pPr>
      <w:bookmarkStart w:id="47" w:name="_Toc415648536"/>
      <w:bookmarkStart w:id="48" w:name="_Toc396838136"/>
      <w:bookmarkStart w:id="49" w:name="_Toc393869892"/>
      <w:bookmarkStart w:id="50" w:name="_Toc394928032"/>
      <w:bookmarkStart w:id="51" w:name="_Toc335664280"/>
      <w:bookmarkStart w:id="52" w:name="_Toc393869894"/>
      <w:bookmarkStart w:id="53" w:name="_Toc334087238"/>
      <w:bookmarkStart w:id="54" w:name="_Toc107820051"/>
      <w:r>
        <w:rPr>
          <w:rFonts w:hint="eastAsia" w:ascii="宋体" w:hAnsi="宋体"/>
          <w:sz w:val="24"/>
        </w:rPr>
        <w:t>19.2采购代理机构在招标文件规定的时间和地点组织开标会，投标人应安排人员准时在线参加，否则产生的风险由投标人自行承担。</w:t>
      </w:r>
    </w:p>
    <w:p>
      <w:pPr>
        <w:spacing w:line="360" w:lineRule="auto"/>
        <w:ind w:firstLine="480" w:firstLineChars="200"/>
        <w:rPr>
          <w:rFonts w:hint="eastAsia" w:ascii="宋体" w:hAnsi="宋体"/>
          <w:sz w:val="24"/>
        </w:rPr>
      </w:pPr>
      <w:r>
        <w:rPr>
          <w:rFonts w:hint="eastAsia" w:ascii="宋体" w:hAnsi="宋体" w:cs="仿宋_GB2312"/>
          <w:sz w:val="24"/>
        </w:rPr>
        <w:t>19.3</w:t>
      </w:r>
      <w:r>
        <w:rPr>
          <w:rFonts w:hint="eastAsia" w:ascii="宋体" w:hAnsi="宋体"/>
          <w:bCs/>
          <w:sz w:val="24"/>
        </w:rPr>
        <w:t>电子投标</w:t>
      </w:r>
      <w:r>
        <w:rPr>
          <w:rFonts w:ascii="宋体" w:hAnsi="宋体"/>
          <w:bCs/>
          <w:sz w:val="24"/>
        </w:rPr>
        <w:t>文件解密</w:t>
      </w:r>
      <w:r>
        <w:rPr>
          <w:rFonts w:hint="eastAsia" w:ascii="宋体" w:hAnsi="宋体"/>
          <w:bCs/>
          <w:sz w:val="24"/>
        </w:rPr>
        <w:t>：</w:t>
      </w:r>
      <w:r>
        <w:rPr>
          <w:rFonts w:hint="eastAsia" w:ascii="宋体" w:hAnsi="宋体" w:cs="仿宋_GB2312"/>
          <w:bCs/>
          <w:sz w:val="24"/>
        </w:rPr>
        <w:t>由代理机构工作人员开启</w:t>
      </w:r>
      <w:r>
        <w:rPr>
          <w:rFonts w:hint="eastAsia" w:ascii="宋体" w:hAnsi="宋体"/>
          <w:bCs/>
          <w:sz w:val="24"/>
        </w:rPr>
        <w:t>电子投标文件解密通道，解密时限以政采云电子交易平台为准。</w:t>
      </w:r>
    </w:p>
    <w:p>
      <w:pPr>
        <w:spacing w:line="360" w:lineRule="auto"/>
        <w:ind w:firstLine="480" w:firstLineChars="200"/>
        <w:rPr>
          <w:rFonts w:hint="eastAsia" w:ascii="宋体" w:hAnsi="宋体"/>
          <w:sz w:val="24"/>
        </w:rPr>
      </w:pPr>
      <w:r>
        <w:rPr>
          <w:rFonts w:hint="eastAsia" w:ascii="宋体" w:hAnsi="宋体"/>
          <w:sz w:val="24"/>
        </w:rPr>
        <w:t>19.4</w:t>
      </w:r>
      <w:r>
        <w:rPr>
          <w:rFonts w:hint="eastAsia" w:ascii="宋体" w:hAnsi="宋体" w:cs="仿宋_GB2312"/>
          <w:bCs/>
          <w:sz w:val="24"/>
        </w:rPr>
        <w:t>电子投标文件无法解密的，代理机构</w:t>
      </w:r>
      <w:r>
        <w:rPr>
          <w:rFonts w:hint="eastAsia" w:ascii="宋体" w:hAnsi="宋体"/>
          <w:bCs/>
          <w:sz w:val="24"/>
        </w:rPr>
        <w:t>通过电子交易平台“异常处理”通道上传备份投标文件。</w:t>
      </w:r>
    </w:p>
    <w:p>
      <w:pPr>
        <w:spacing w:line="360" w:lineRule="auto"/>
        <w:ind w:firstLine="480" w:firstLineChars="200"/>
        <w:rPr>
          <w:rFonts w:hint="eastAsia" w:ascii="宋体" w:hAnsi="宋体"/>
          <w:bCs/>
          <w:sz w:val="24"/>
        </w:rPr>
      </w:pPr>
      <w:r>
        <w:rPr>
          <w:rFonts w:hint="eastAsia" w:ascii="宋体" w:hAnsi="宋体" w:cs="仿宋_GB2312"/>
          <w:bCs/>
          <w:sz w:val="24"/>
        </w:rPr>
        <w:t>19.5通过异常处理后</w:t>
      </w:r>
      <w:r>
        <w:rPr>
          <w:rFonts w:hint="eastAsia" w:ascii="宋体" w:hAnsi="宋体" w:cs="仿宋_GB2312"/>
          <w:kern w:val="0"/>
          <w:sz w:val="24"/>
        </w:rPr>
        <w:t>解密成功的投标人不足三家的，按相关规定重新组织采购。</w:t>
      </w:r>
    </w:p>
    <w:p>
      <w:pPr>
        <w:spacing w:line="360" w:lineRule="auto"/>
        <w:ind w:firstLine="480" w:firstLineChars="200"/>
        <w:rPr>
          <w:rFonts w:hint="eastAsia" w:ascii="宋体" w:hAnsi="宋体"/>
          <w:kern w:val="0"/>
          <w:sz w:val="24"/>
        </w:rPr>
      </w:pPr>
      <w:r>
        <w:rPr>
          <w:rFonts w:hint="eastAsia" w:ascii="宋体" w:hAnsi="宋体"/>
          <w:kern w:val="0"/>
          <w:sz w:val="24"/>
        </w:rPr>
        <w:t>19</w:t>
      </w:r>
      <w:r>
        <w:rPr>
          <w:rFonts w:ascii="宋体" w:hAnsi="宋体"/>
          <w:kern w:val="0"/>
          <w:sz w:val="24"/>
        </w:rPr>
        <w:t>.</w:t>
      </w:r>
      <w:r>
        <w:rPr>
          <w:rFonts w:hint="eastAsia" w:ascii="宋体" w:hAnsi="宋体"/>
          <w:kern w:val="0"/>
          <w:sz w:val="24"/>
        </w:rPr>
        <w:t>6开启标书文件后，投标人可通过系统平台查看投标人名单。</w:t>
      </w:r>
    </w:p>
    <w:p>
      <w:pPr>
        <w:spacing w:line="360" w:lineRule="auto"/>
        <w:ind w:firstLine="480" w:firstLineChars="200"/>
        <w:rPr>
          <w:rFonts w:hint="eastAsia" w:ascii="宋体" w:hAnsi="宋体" w:cs="仿宋_GB2312"/>
          <w:bCs/>
          <w:sz w:val="24"/>
        </w:rPr>
      </w:pPr>
      <w:r>
        <w:rPr>
          <w:rFonts w:hint="eastAsia" w:ascii="宋体" w:hAnsi="宋体" w:cs="仿宋_GB2312"/>
          <w:bCs/>
          <w:sz w:val="24"/>
        </w:rPr>
        <w:t>19.7投标人认为采购人员及相关人员与其他投标人有利害关系的，可向采购代理机构提出回避申请，并说明理由，申请须由投标人代表签字或盖章。</w:t>
      </w:r>
    </w:p>
    <w:p>
      <w:pPr>
        <w:spacing w:line="360" w:lineRule="auto"/>
        <w:ind w:firstLine="480" w:firstLineChars="200"/>
        <w:rPr>
          <w:rFonts w:hint="eastAsia" w:ascii="宋体" w:hAnsi="宋体" w:cs="仿宋_GB2312"/>
          <w:bCs/>
          <w:sz w:val="24"/>
        </w:rPr>
      </w:pPr>
      <w:r>
        <w:rPr>
          <w:rFonts w:hint="eastAsia" w:ascii="宋体" w:hAnsi="宋体" w:cs="仿宋_GB2312"/>
          <w:bCs/>
          <w:sz w:val="24"/>
        </w:rPr>
        <w:t>19.8按规定提交《政府采购活动现场确认声明书》（详见第五章格式）。</w:t>
      </w:r>
    </w:p>
    <w:p>
      <w:pPr>
        <w:spacing w:line="360" w:lineRule="auto"/>
        <w:ind w:firstLine="480" w:firstLineChars="200"/>
        <w:rPr>
          <w:rFonts w:hint="eastAsia" w:ascii="宋体" w:hAnsi="宋体"/>
          <w:sz w:val="24"/>
        </w:rPr>
      </w:pPr>
      <w:r>
        <w:rPr>
          <w:rFonts w:hint="eastAsia" w:ascii="宋体" w:hAnsi="宋体"/>
          <w:kern w:val="0"/>
          <w:sz w:val="24"/>
        </w:rPr>
        <w:t>19.9投标人对记录表有疑义的，</w:t>
      </w:r>
      <w:r>
        <w:rPr>
          <w:rFonts w:hint="eastAsia" w:ascii="宋体" w:hAnsi="宋体"/>
          <w:sz w:val="24"/>
        </w:rPr>
        <w:t>投标人代表在开标会议结束前可以向采购代理机构通过现场或电子邮件的方式（331345505@qq.com）提出申请，并说明理由，申请须由投标人代表签字或盖章。</w:t>
      </w:r>
    </w:p>
    <w:p>
      <w:pPr>
        <w:spacing w:line="360" w:lineRule="auto"/>
        <w:ind w:firstLine="480" w:firstLineChars="200"/>
        <w:rPr>
          <w:rFonts w:hint="eastAsia" w:ascii="宋体" w:hAnsi="宋体"/>
          <w:kern w:val="0"/>
          <w:sz w:val="24"/>
        </w:rPr>
      </w:pPr>
      <w:r>
        <w:rPr>
          <w:rFonts w:hint="eastAsia" w:ascii="宋体" w:hAnsi="宋体"/>
          <w:kern w:val="0"/>
          <w:sz w:val="24"/>
        </w:rPr>
        <w:t>19.10开标</w:t>
      </w:r>
      <w:r>
        <w:rPr>
          <w:rFonts w:ascii="宋体" w:hAnsi="宋体"/>
          <w:kern w:val="0"/>
          <w:sz w:val="24"/>
        </w:rPr>
        <w:t>会议结束。</w:t>
      </w:r>
    </w:p>
    <w:p>
      <w:pPr>
        <w:spacing w:line="360" w:lineRule="auto"/>
        <w:ind w:firstLine="482" w:firstLineChars="200"/>
        <w:rPr>
          <w:rFonts w:ascii="宋体" w:hAnsi="宋体"/>
          <w:b/>
          <w:sz w:val="24"/>
        </w:rPr>
      </w:pPr>
      <w:r>
        <w:rPr>
          <w:rFonts w:hint="eastAsia" w:ascii="宋体" w:hAnsi="宋体"/>
          <w:b/>
          <w:sz w:val="24"/>
        </w:rPr>
        <w:t>20</w:t>
      </w:r>
      <w:r>
        <w:rPr>
          <w:rFonts w:ascii="宋体" w:hAnsi="宋体"/>
          <w:b/>
          <w:sz w:val="24"/>
        </w:rPr>
        <w:t xml:space="preserve">. </w:t>
      </w:r>
      <w:r>
        <w:rPr>
          <w:rFonts w:hint="eastAsia" w:ascii="宋体" w:hAnsi="宋体"/>
          <w:b/>
          <w:sz w:val="24"/>
        </w:rPr>
        <w:t>资格审查</w:t>
      </w:r>
    </w:p>
    <w:p>
      <w:pPr>
        <w:spacing w:line="360" w:lineRule="auto"/>
        <w:ind w:firstLine="480" w:firstLineChars="200"/>
        <w:rPr>
          <w:rFonts w:hint="eastAsia" w:ascii="宋体" w:hAnsi="宋体"/>
          <w:sz w:val="24"/>
        </w:rPr>
      </w:pPr>
      <w:r>
        <w:rPr>
          <w:rFonts w:hint="eastAsia" w:ascii="宋体" w:hAnsi="宋体"/>
          <w:sz w:val="24"/>
        </w:rPr>
        <w:t>20</w:t>
      </w:r>
      <w:r>
        <w:rPr>
          <w:rFonts w:ascii="宋体" w:hAnsi="宋体"/>
          <w:sz w:val="24"/>
        </w:rPr>
        <w:t xml:space="preserve">.1 </w:t>
      </w:r>
      <w:r>
        <w:rPr>
          <w:rFonts w:hint="eastAsia" w:ascii="宋体" w:hAnsi="宋体"/>
          <w:sz w:val="24"/>
        </w:rPr>
        <w:t>采购人</w:t>
      </w:r>
      <w:r>
        <w:rPr>
          <w:rFonts w:ascii="宋体" w:hAnsi="宋体"/>
          <w:sz w:val="24"/>
        </w:rPr>
        <w:t>或采购代理</w:t>
      </w:r>
      <w:r>
        <w:rPr>
          <w:rFonts w:hint="eastAsia" w:ascii="宋体" w:hAnsi="宋体"/>
          <w:sz w:val="24"/>
        </w:rPr>
        <w:t>机构按资格</w:t>
      </w:r>
      <w:r>
        <w:rPr>
          <w:rFonts w:ascii="宋体" w:hAnsi="宋体"/>
          <w:sz w:val="24"/>
        </w:rPr>
        <w:t>要求和</w:t>
      </w:r>
      <w:r>
        <w:rPr>
          <w:rFonts w:hint="eastAsia" w:ascii="宋体" w:hAnsi="宋体"/>
          <w:sz w:val="24"/>
        </w:rPr>
        <w:t>资格文件</w:t>
      </w:r>
      <w:r>
        <w:rPr>
          <w:rFonts w:ascii="宋体" w:hAnsi="宋体"/>
          <w:sz w:val="24"/>
        </w:rPr>
        <w:t>要求对</w:t>
      </w:r>
      <w:r>
        <w:rPr>
          <w:rFonts w:hint="eastAsia" w:ascii="宋体" w:hAnsi="宋体"/>
          <w:sz w:val="24"/>
        </w:rPr>
        <w:t>投标</w:t>
      </w:r>
      <w:r>
        <w:rPr>
          <w:rFonts w:ascii="宋体" w:hAnsi="宋体"/>
          <w:sz w:val="24"/>
        </w:rPr>
        <w:t>人进行资格</w:t>
      </w:r>
      <w:r>
        <w:rPr>
          <w:rFonts w:hint="eastAsia" w:ascii="宋体" w:hAnsi="宋体"/>
          <w:sz w:val="24"/>
        </w:rPr>
        <w:t>审查及记录。并通过政采云平台公布</w:t>
      </w:r>
      <w:r>
        <w:rPr>
          <w:rFonts w:ascii="宋体" w:hAnsi="宋体"/>
          <w:sz w:val="24"/>
        </w:rPr>
        <w:t>审查结果。</w:t>
      </w:r>
    </w:p>
    <w:p>
      <w:pPr>
        <w:spacing w:line="360" w:lineRule="auto"/>
        <w:ind w:firstLine="482" w:firstLineChars="200"/>
        <w:rPr>
          <w:rFonts w:ascii="宋体" w:hAnsi="宋体"/>
          <w:b/>
          <w:sz w:val="24"/>
        </w:rPr>
      </w:pPr>
      <w:r>
        <w:rPr>
          <w:rFonts w:hint="eastAsia" w:ascii="宋体" w:hAnsi="宋体"/>
          <w:b/>
          <w:sz w:val="24"/>
        </w:rPr>
        <w:t>20</w:t>
      </w:r>
      <w:r>
        <w:rPr>
          <w:rFonts w:ascii="宋体" w:hAnsi="宋体"/>
          <w:b/>
          <w:sz w:val="24"/>
        </w:rPr>
        <w:t xml:space="preserve">.2 </w:t>
      </w:r>
      <w:r>
        <w:rPr>
          <w:rFonts w:hint="eastAsia" w:ascii="宋体" w:hAnsi="宋体"/>
          <w:b/>
          <w:sz w:val="24"/>
        </w:rPr>
        <w:t>经资格</w:t>
      </w:r>
      <w:r>
        <w:rPr>
          <w:rFonts w:ascii="宋体" w:hAnsi="宋体"/>
          <w:b/>
          <w:sz w:val="24"/>
        </w:rPr>
        <w:t>审查后</w:t>
      </w:r>
      <w:r>
        <w:rPr>
          <w:rFonts w:hint="eastAsia" w:ascii="宋体" w:hAnsi="宋体"/>
          <w:b/>
          <w:sz w:val="24"/>
        </w:rPr>
        <w:t>合格</w:t>
      </w:r>
      <w:r>
        <w:rPr>
          <w:rFonts w:ascii="宋体" w:hAnsi="宋体"/>
          <w:b/>
          <w:sz w:val="24"/>
        </w:rPr>
        <w:t>的投标人不足</w:t>
      </w:r>
      <w:r>
        <w:rPr>
          <w:rFonts w:hint="eastAsia" w:ascii="宋体" w:hAnsi="宋体"/>
          <w:b/>
          <w:sz w:val="24"/>
        </w:rPr>
        <w:t>三家</w:t>
      </w:r>
      <w:r>
        <w:rPr>
          <w:rFonts w:ascii="宋体" w:hAnsi="宋体"/>
          <w:b/>
          <w:sz w:val="24"/>
        </w:rPr>
        <w:t>的，按</w:t>
      </w:r>
      <w:r>
        <w:rPr>
          <w:rFonts w:hint="eastAsia" w:ascii="宋体" w:hAnsi="宋体"/>
          <w:b/>
          <w:sz w:val="24"/>
        </w:rPr>
        <w:t>相关</w:t>
      </w:r>
      <w:r>
        <w:rPr>
          <w:rFonts w:ascii="宋体" w:hAnsi="宋体"/>
          <w:b/>
          <w:sz w:val="24"/>
        </w:rPr>
        <w:t>规定</w:t>
      </w:r>
      <w:r>
        <w:rPr>
          <w:rFonts w:hint="eastAsia" w:ascii="宋体" w:hAnsi="宋体"/>
          <w:b/>
          <w:sz w:val="24"/>
        </w:rPr>
        <w:t>重新组织招标。</w:t>
      </w:r>
    </w:p>
    <w:p>
      <w:pPr>
        <w:spacing w:line="360" w:lineRule="auto"/>
        <w:ind w:firstLine="482" w:firstLineChars="200"/>
        <w:rPr>
          <w:rFonts w:ascii="宋体" w:hAnsi="宋体"/>
          <w:b/>
          <w:sz w:val="24"/>
        </w:rPr>
      </w:pPr>
      <w:r>
        <w:rPr>
          <w:rFonts w:hint="eastAsia" w:ascii="宋体" w:hAnsi="宋体"/>
          <w:b/>
          <w:sz w:val="24"/>
        </w:rPr>
        <w:t>21. 评审流程：详见第六章。</w:t>
      </w:r>
    </w:p>
    <w:p>
      <w:pPr>
        <w:spacing w:line="360" w:lineRule="auto"/>
        <w:ind w:firstLine="482" w:firstLineChars="200"/>
        <w:rPr>
          <w:rFonts w:ascii="宋体" w:hAnsi="宋体"/>
          <w:b/>
          <w:sz w:val="24"/>
        </w:rPr>
      </w:pPr>
      <w:r>
        <w:rPr>
          <w:rFonts w:ascii="宋体" w:hAnsi="宋体"/>
          <w:b/>
          <w:sz w:val="24"/>
        </w:rPr>
        <w:t>2</w:t>
      </w:r>
      <w:r>
        <w:rPr>
          <w:rFonts w:hint="eastAsia" w:ascii="宋体" w:hAnsi="宋体"/>
          <w:b/>
          <w:sz w:val="24"/>
        </w:rPr>
        <w:t>2</w:t>
      </w:r>
      <w:r>
        <w:rPr>
          <w:rFonts w:ascii="宋体" w:hAnsi="宋体"/>
          <w:b/>
          <w:sz w:val="24"/>
        </w:rPr>
        <w:t xml:space="preserve">. </w:t>
      </w:r>
      <w:r>
        <w:rPr>
          <w:rFonts w:hint="eastAsia" w:ascii="宋体" w:hAnsi="宋体"/>
          <w:b/>
          <w:sz w:val="24"/>
        </w:rPr>
        <w:t>投标文件的澄清</w:t>
      </w:r>
    </w:p>
    <w:p>
      <w:pPr>
        <w:spacing w:line="360" w:lineRule="auto"/>
        <w:ind w:firstLine="436" w:firstLineChars="182"/>
        <w:rPr>
          <w:rFonts w:hint="eastAsia" w:ascii="宋体" w:hAnsi="宋体"/>
          <w:sz w:val="24"/>
        </w:rPr>
      </w:pPr>
      <w:r>
        <w:rPr>
          <w:rFonts w:hint="eastAsia" w:ascii="宋体" w:hAnsi="宋体"/>
          <w:sz w:val="24"/>
        </w:rPr>
        <w:t>22.1</w:t>
      </w:r>
      <w:r>
        <w:rPr>
          <w:rFonts w:ascii="宋体" w:hAnsi="宋体"/>
          <w:sz w:val="24"/>
        </w:rPr>
        <w:t xml:space="preserve"> </w:t>
      </w:r>
      <w:r>
        <w:rPr>
          <w:rFonts w:hint="eastAsia" w:ascii="宋体" w:hAnsi="宋体"/>
          <w:sz w:val="24"/>
        </w:rPr>
        <w:t>对</w:t>
      </w:r>
      <w:r>
        <w:rPr>
          <w:rFonts w:hint="eastAsia" w:ascii="宋体" w:hAnsi="宋体"/>
          <w:kern w:val="0"/>
          <w:sz w:val="24"/>
        </w:rPr>
        <w:t>投标文件</w:t>
      </w:r>
      <w:r>
        <w:rPr>
          <w:rFonts w:hint="eastAsia" w:ascii="宋体" w:hAnsi="宋体"/>
          <w:sz w:val="24"/>
        </w:rPr>
        <w:t>中含义不明确、同类问题表述不一致或者有明显文字和计算错误的内容，评审委员会应当通过电子交易平台交换数据电文的形式要求投标人作出必要的澄清、说明或者补正。投标人的澄清、说明或者补正也应当采用电子交易平台交换数据电文的形式，投标人的澄清、说明或者补正不得超出投标文件的范围或者改变投标文件的实质性内容。</w:t>
      </w:r>
    </w:p>
    <w:p>
      <w:pPr>
        <w:spacing w:line="360" w:lineRule="auto"/>
        <w:ind w:firstLine="436" w:firstLineChars="182"/>
        <w:rPr>
          <w:rFonts w:ascii="宋体" w:hAnsi="宋体"/>
          <w:sz w:val="24"/>
        </w:rPr>
      </w:pPr>
      <w:r>
        <w:rPr>
          <w:rFonts w:hint="eastAsia" w:ascii="宋体" w:hAnsi="宋体"/>
          <w:sz w:val="24"/>
        </w:rPr>
        <w:t>22.2</w:t>
      </w:r>
      <w:r>
        <w:rPr>
          <w:rFonts w:ascii="宋体" w:hAnsi="宋体"/>
          <w:sz w:val="24"/>
        </w:rPr>
        <w:t xml:space="preserve"> </w:t>
      </w:r>
      <w:r>
        <w:rPr>
          <w:rFonts w:hint="eastAsia" w:ascii="宋体" w:hAnsi="宋体"/>
          <w:sz w:val="24"/>
        </w:rPr>
        <w:t>报价算术错误将按以下方法修正：</w:t>
      </w:r>
    </w:p>
    <w:p>
      <w:pPr>
        <w:spacing w:line="360" w:lineRule="auto"/>
        <w:ind w:firstLine="436" w:firstLineChars="182"/>
        <w:rPr>
          <w:rFonts w:ascii="宋体" w:hAnsi="宋体"/>
          <w:bCs/>
          <w:sz w:val="24"/>
        </w:rPr>
      </w:pPr>
      <w:r>
        <w:rPr>
          <w:rFonts w:hint="eastAsia" w:ascii="宋体" w:hAnsi="宋体"/>
          <w:bCs/>
          <w:sz w:val="24"/>
        </w:rPr>
        <w:t>（1）政采云系统填写的报价和上传的报价文件报价不一致的，以上传的报价文件为准。</w:t>
      </w:r>
    </w:p>
    <w:p>
      <w:pPr>
        <w:spacing w:line="360" w:lineRule="auto"/>
        <w:ind w:firstLine="436" w:firstLineChars="182"/>
        <w:rPr>
          <w:rFonts w:ascii="宋体" w:hAnsi="宋体"/>
          <w:bCs/>
          <w:sz w:val="24"/>
        </w:rPr>
      </w:pPr>
      <w:r>
        <w:rPr>
          <w:rFonts w:hint="eastAsia" w:ascii="宋体" w:hAnsi="宋体"/>
          <w:sz w:val="24"/>
        </w:rPr>
        <w:t>（2）</w:t>
      </w:r>
      <w:r>
        <w:rPr>
          <w:rFonts w:hint="eastAsia" w:ascii="宋体" w:hAnsi="宋体"/>
          <w:kern w:val="0"/>
          <w:sz w:val="24"/>
        </w:rPr>
        <w:t>报价文件</w:t>
      </w:r>
      <w:r>
        <w:rPr>
          <w:rFonts w:hint="eastAsia" w:ascii="宋体" w:hAnsi="宋体"/>
          <w:bCs/>
          <w:sz w:val="24"/>
        </w:rPr>
        <w:t>中开标一览表（报价表）内容与</w:t>
      </w:r>
      <w:r>
        <w:rPr>
          <w:rFonts w:hint="eastAsia" w:ascii="宋体" w:hAnsi="宋体"/>
          <w:kern w:val="0"/>
          <w:sz w:val="24"/>
        </w:rPr>
        <w:t>报价</w:t>
      </w:r>
      <w:r>
        <w:rPr>
          <w:rFonts w:hint="eastAsia" w:ascii="宋体" w:hAnsi="宋体"/>
          <w:bCs/>
          <w:sz w:val="24"/>
        </w:rPr>
        <w:t>明细表相应内容不一致的，以开标一览表（报价表）为准；</w:t>
      </w:r>
    </w:p>
    <w:p>
      <w:pPr>
        <w:spacing w:line="360" w:lineRule="auto"/>
        <w:ind w:firstLine="436" w:firstLineChars="182"/>
        <w:rPr>
          <w:rFonts w:hint="eastAsia" w:ascii="宋体" w:hAnsi="宋体"/>
          <w:bCs/>
          <w:sz w:val="24"/>
        </w:rPr>
      </w:pPr>
      <w:r>
        <w:rPr>
          <w:rFonts w:hint="eastAsia" w:ascii="宋体" w:hAnsi="宋体"/>
          <w:bCs/>
          <w:sz w:val="24"/>
        </w:rPr>
        <w:t>（3）报价文件的大写金额和小写金额不一致的，以大写金额为准；</w:t>
      </w:r>
    </w:p>
    <w:p>
      <w:pPr>
        <w:spacing w:line="360" w:lineRule="auto"/>
        <w:ind w:firstLine="436" w:firstLineChars="182"/>
        <w:rPr>
          <w:rFonts w:ascii="宋体" w:hAnsi="宋体"/>
          <w:bCs/>
          <w:sz w:val="24"/>
        </w:rPr>
      </w:pPr>
      <w:r>
        <w:rPr>
          <w:rFonts w:hint="eastAsia" w:ascii="宋体" w:hAnsi="宋体"/>
          <w:bCs/>
          <w:sz w:val="24"/>
        </w:rPr>
        <w:t>（4）单价金额</w:t>
      </w:r>
      <w:r>
        <w:rPr>
          <w:rFonts w:ascii="宋体" w:hAnsi="宋体"/>
          <w:bCs/>
          <w:sz w:val="24"/>
        </w:rPr>
        <w:t>小数点或者百分</w:t>
      </w:r>
      <w:r>
        <w:rPr>
          <w:rFonts w:hint="eastAsia" w:ascii="宋体" w:hAnsi="宋体"/>
          <w:bCs/>
          <w:sz w:val="24"/>
        </w:rPr>
        <w:t>比</w:t>
      </w:r>
      <w:r>
        <w:rPr>
          <w:rFonts w:ascii="宋体" w:hAnsi="宋体"/>
          <w:bCs/>
          <w:sz w:val="24"/>
        </w:rPr>
        <w:t>有明显错位的，以开标</w:t>
      </w:r>
      <w:r>
        <w:rPr>
          <w:rFonts w:hint="eastAsia" w:ascii="宋体" w:hAnsi="宋体"/>
          <w:bCs/>
          <w:sz w:val="24"/>
        </w:rPr>
        <w:t>一览表（报价</w:t>
      </w:r>
      <w:r>
        <w:rPr>
          <w:rFonts w:ascii="宋体" w:hAnsi="宋体"/>
          <w:bCs/>
          <w:sz w:val="24"/>
        </w:rPr>
        <w:t>表</w:t>
      </w:r>
      <w:r>
        <w:rPr>
          <w:rFonts w:hint="eastAsia" w:ascii="宋体" w:hAnsi="宋体"/>
          <w:bCs/>
          <w:sz w:val="24"/>
        </w:rPr>
        <w:t>）</w:t>
      </w:r>
      <w:r>
        <w:rPr>
          <w:rFonts w:ascii="宋体" w:hAnsi="宋体"/>
          <w:bCs/>
          <w:sz w:val="24"/>
        </w:rPr>
        <w:t>的总价</w:t>
      </w:r>
      <w:r>
        <w:rPr>
          <w:rFonts w:hint="eastAsia" w:ascii="宋体" w:hAnsi="宋体"/>
          <w:bCs/>
          <w:sz w:val="24"/>
        </w:rPr>
        <w:t>为准</w:t>
      </w:r>
      <w:r>
        <w:rPr>
          <w:rFonts w:ascii="宋体" w:hAnsi="宋体"/>
          <w:bCs/>
          <w:sz w:val="24"/>
        </w:rPr>
        <w:t>，并修改单价；</w:t>
      </w:r>
    </w:p>
    <w:p>
      <w:pPr>
        <w:spacing w:line="360" w:lineRule="auto"/>
        <w:ind w:firstLine="436" w:firstLineChars="182"/>
        <w:rPr>
          <w:rFonts w:ascii="宋体" w:hAnsi="宋体"/>
          <w:bCs/>
          <w:sz w:val="24"/>
        </w:rPr>
      </w:pPr>
      <w:r>
        <w:rPr>
          <w:rFonts w:hint="eastAsia" w:ascii="宋体" w:hAnsi="宋体"/>
          <w:bCs/>
          <w:sz w:val="24"/>
        </w:rPr>
        <w:t>（5）总价</w:t>
      </w:r>
      <w:r>
        <w:rPr>
          <w:rFonts w:ascii="宋体" w:hAnsi="宋体"/>
          <w:bCs/>
          <w:sz w:val="24"/>
        </w:rPr>
        <w:t>金额与</w:t>
      </w:r>
      <w:r>
        <w:rPr>
          <w:rFonts w:hint="eastAsia" w:ascii="宋体" w:hAnsi="宋体"/>
          <w:bCs/>
          <w:sz w:val="24"/>
        </w:rPr>
        <w:t>按</w:t>
      </w:r>
      <w:r>
        <w:rPr>
          <w:rFonts w:ascii="宋体" w:hAnsi="宋体"/>
          <w:bCs/>
          <w:sz w:val="24"/>
        </w:rPr>
        <w:t>单价</w:t>
      </w:r>
      <w:r>
        <w:rPr>
          <w:rFonts w:hint="eastAsia" w:ascii="宋体" w:hAnsi="宋体"/>
          <w:bCs/>
          <w:sz w:val="24"/>
        </w:rPr>
        <w:t>汇总</w:t>
      </w:r>
      <w:r>
        <w:rPr>
          <w:rFonts w:ascii="宋体" w:hAnsi="宋体"/>
          <w:bCs/>
          <w:sz w:val="24"/>
        </w:rPr>
        <w:t>金额不一致的，以单价金额计算</w:t>
      </w:r>
      <w:r>
        <w:rPr>
          <w:rFonts w:hint="eastAsia" w:ascii="宋体" w:hAnsi="宋体"/>
          <w:bCs/>
          <w:sz w:val="24"/>
        </w:rPr>
        <w:t>结果</w:t>
      </w:r>
      <w:r>
        <w:rPr>
          <w:rFonts w:ascii="宋体" w:hAnsi="宋体"/>
          <w:bCs/>
          <w:sz w:val="24"/>
        </w:rPr>
        <w:t>为准</w:t>
      </w:r>
      <w:r>
        <w:rPr>
          <w:rFonts w:hint="eastAsia" w:ascii="宋体" w:hAnsi="宋体"/>
          <w:bCs/>
          <w:sz w:val="24"/>
        </w:rPr>
        <w:t>；</w:t>
      </w:r>
    </w:p>
    <w:p>
      <w:pPr>
        <w:spacing w:line="360" w:lineRule="auto"/>
        <w:ind w:firstLine="436" w:firstLineChars="182"/>
        <w:rPr>
          <w:rFonts w:ascii="宋体" w:hAnsi="宋体"/>
          <w:bCs/>
          <w:sz w:val="24"/>
        </w:rPr>
      </w:pPr>
      <w:r>
        <w:rPr>
          <w:rFonts w:hint="eastAsia" w:ascii="宋体" w:hAnsi="宋体"/>
          <w:bCs/>
          <w:sz w:val="24"/>
        </w:rPr>
        <w:t>（6）同时</w:t>
      </w:r>
      <w:r>
        <w:rPr>
          <w:rFonts w:ascii="宋体" w:hAnsi="宋体"/>
          <w:bCs/>
          <w:sz w:val="24"/>
        </w:rPr>
        <w:t>出现</w:t>
      </w:r>
      <w:r>
        <w:rPr>
          <w:rFonts w:hint="eastAsia" w:ascii="宋体" w:hAnsi="宋体"/>
          <w:bCs/>
          <w:sz w:val="24"/>
        </w:rPr>
        <w:t>两种</w:t>
      </w:r>
      <w:r>
        <w:rPr>
          <w:rFonts w:ascii="宋体" w:hAnsi="宋体"/>
          <w:bCs/>
          <w:sz w:val="24"/>
        </w:rPr>
        <w:t>以上</w:t>
      </w:r>
      <w:r>
        <w:rPr>
          <w:rFonts w:hint="eastAsia" w:ascii="宋体" w:hAnsi="宋体"/>
          <w:bCs/>
          <w:sz w:val="24"/>
        </w:rPr>
        <w:t>不一致</w:t>
      </w:r>
      <w:r>
        <w:rPr>
          <w:rFonts w:ascii="宋体" w:hAnsi="宋体"/>
          <w:bCs/>
          <w:sz w:val="24"/>
        </w:rPr>
        <w:t>的，按</w:t>
      </w:r>
      <w:r>
        <w:rPr>
          <w:rFonts w:hint="eastAsia" w:ascii="宋体" w:hAnsi="宋体"/>
          <w:bCs/>
          <w:sz w:val="24"/>
        </w:rPr>
        <w:t>上述顺序</w:t>
      </w:r>
      <w:r>
        <w:rPr>
          <w:rFonts w:ascii="宋体" w:hAnsi="宋体"/>
          <w:bCs/>
          <w:sz w:val="24"/>
        </w:rPr>
        <w:t>修正</w:t>
      </w:r>
      <w:r>
        <w:rPr>
          <w:rFonts w:hint="eastAsia" w:ascii="宋体" w:hAnsi="宋体"/>
          <w:bCs/>
          <w:sz w:val="24"/>
        </w:rPr>
        <w:t>；</w:t>
      </w:r>
    </w:p>
    <w:p>
      <w:pPr>
        <w:spacing w:line="360" w:lineRule="auto"/>
        <w:ind w:firstLine="436" w:firstLineChars="182"/>
        <w:rPr>
          <w:rFonts w:hint="eastAsia" w:ascii="宋体" w:hAnsi="宋体"/>
          <w:sz w:val="24"/>
        </w:rPr>
      </w:pPr>
      <w:r>
        <w:rPr>
          <w:rFonts w:hint="eastAsia" w:ascii="宋体" w:hAnsi="宋体"/>
          <w:bCs/>
          <w:sz w:val="24"/>
        </w:rPr>
        <w:t>（7）对不同文字文本</w:t>
      </w:r>
      <w:r>
        <w:rPr>
          <w:rFonts w:hint="eastAsia" w:ascii="宋体" w:hAnsi="宋体"/>
          <w:kern w:val="0"/>
          <w:sz w:val="24"/>
        </w:rPr>
        <w:t>投标文件</w:t>
      </w:r>
      <w:r>
        <w:rPr>
          <w:rFonts w:hint="eastAsia" w:ascii="宋体" w:hAnsi="宋体"/>
          <w:bCs/>
          <w:sz w:val="24"/>
        </w:rPr>
        <w:t>的解释发生异议的，以中文文本为准；</w:t>
      </w:r>
    </w:p>
    <w:p>
      <w:pPr>
        <w:spacing w:line="360" w:lineRule="auto"/>
        <w:ind w:firstLine="436" w:firstLineChars="182"/>
        <w:rPr>
          <w:rFonts w:ascii="宋体" w:hAnsi="宋体"/>
          <w:sz w:val="24"/>
        </w:rPr>
      </w:pPr>
      <w:r>
        <w:rPr>
          <w:rFonts w:hint="eastAsia" w:ascii="宋体" w:hAnsi="宋体"/>
          <w:sz w:val="24"/>
        </w:rPr>
        <w:t>（8）修正错误的投标报价，投标人应当通过电子交易平台交换数据电文的形式提交，调整后的投标报价对投标人具有约束作用。若投标人不接受修正后的投标报价，则其投标将作为无效投标处理。</w:t>
      </w:r>
    </w:p>
    <w:p>
      <w:pPr>
        <w:spacing w:line="360" w:lineRule="auto"/>
        <w:ind w:firstLine="482" w:firstLineChars="200"/>
        <w:rPr>
          <w:rFonts w:ascii="宋体" w:hAnsi="宋体"/>
          <w:b/>
          <w:sz w:val="24"/>
        </w:rPr>
      </w:pPr>
      <w:r>
        <w:rPr>
          <w:rFonts w:ascii="宋体" w:hAnsi="宋体"/>
          <w:b/>
          <w:sz w:val="24"/>
        </w:rPr>
        <w:t>2</w:t>
      </w:r>
      <w:r>
        <w:rPr>
          <w:rFonts w:hint="eastAsia" w:ascii="宋体" w:hAnsi="宋体"/>
          <w:b/>
          <w:sz w:val="24"/>
        </w:rPr>
        <w:t>3</w:t>
      </w:r>
      <w:r>
        <w:rPr>
          <w:rFonts w:ascii="宋体" w:hAnsi="宋体"/>
          <w:b/>
          <w:sz w:val="24"/>
        </w:rPr>
        <w:t xml:space="preserve">. </w:t>
      </w:r>
      <w:r>
        <w:rPr>
          <w:rFonts w:hint="eastAsia" w:ascii="宋体" w:hAnsi="宋体"/>
          <w:b/>
          <w:sz w:val="24"/>
        </w:rPr>
        <w:t>对投标文件的比较和评估</w:t>
      </w:r>
    </w:p>
    <w:p>
      <w:pPr>
        <w:spacing w:line="360" w:lineRule="auto"/>
        <w:ind w:firstLine="480" w:firstLineChars="200"/>
        <w:rPr>
          <w:rFonts w:hint="eastAsia" w:ascii="宋体" w:hAnsi="宋体"/>
          <w:sz w:val="24"/>
        </w:rPr>
      </w:pPr>
      <w:r>
        <w:rPr>
          <w:rFonts w:hint="eastAsia" w:ascii="宋体" w:hAnsi="宋体"/>
          <w:sz w:val="24"/>
        </w:rPr>
        <w:t>23.1评审委员会根据招标</w:t>
      </w:r>
      <w:r>
        <w:rPr>
          <w:rFonts w:ascii="宋体" w:hAnsi="宋体"/>
          <w:sz w:val="24"/>
        </w:rPr>
        <w:t>文件规定的评审办法和标准、对符合性审查</w:t>
      </w:r>
      <w:r>
        <w:rPr>
          <w:rFonts w:hint="eastAsia" w:ascii="宋体" w:hAnsi="宋体"/>
          <w:sz w:val="24"/>
        </w:rPr>
        <w:t>合格投标</w:t>
      </w:r>
      <w:r>
        <w:rPr>
          <w:rFonts w:ascii="宋体" w:hAnsi="宋体"/>
          <w:sz w:val="24"/>
        </w:rPr>
        <w:t>人的投标文件</w:t>
      </w:r>
      <w:r>
        <w:rPr>
          <w:rFonts w:hint="eastAsia" w:ascii="宋体" w:hAnsi="宋体"/>
          <w:sz w:val="24"/>
        </w:rPr>
        <w:t>及澄清</w:t>
      </w:r>
      <w:r>
        <w:rPr>
          <w:rFonts w:ascii="宋体" w:hAnsi="宋体"/>
          <w:sz w:val="24"/>
        </w:rPr>
        <w:t>答复</w:t>
      </w:r>
      <w:r>
        <w:rPr>
          <w:rFonts w:hint="eastAsia" w:ascii="宋体" w:hAnsi="宋体"/>
          <w:sz w:val="24"/>
        </w:rPr>
        <w:t>内容</w:t>
      </w:r>
      <w:r>
        <w:rPr>
          <w:rFonts w:ascii="宋体" w:hAnsi="宋体"/>
          <w:sz w:val="24"/>
        </w:rPr>
        <w:t>进行商务和技术评估，综合比较与评价</w:t>
      </w:r>
      <w:r>
        <w:rPr>
          <w:rFonts w:hint="eastAsia" w:ascii="宋体" w:hAnsi="宋体"/>
          <w:sz w:val="24"/>
        </w:rPr>
        <w:t>，并</w:t>
      </w:r>
      <w:r>
        <w:rPr>
          <w:rFonts w:ascii="宋体" w:hAnsi="宋体"/>
          <w:sz w:val="24"/>
        </w:rPr>
        <w:t>按照平等</w:t>
      </w:r>
      <w:r>
        <w:rPr>
          <w:rFonts w:hint="eastAsia" w:ascii="宋体" w:hAnsi="宋体"/>
          <w:sz w:val="24"/>
        </w:rPr>
        <w:t>、</w:t>
      </w:r>
      <w:r>
        <w:rPr>
          <w:rFonts w:ascii="宋体" w:hAnsi="宋体"/>
          <w:sz w:val="24"/>
        </w:rPr>
        <w:t>客观</w:t>
      </w:r>
      <w:r>
        <w:rPr>
          <w:rFonts w:hint="eastAsia" w:ascii="宋体" w:hAnsi="宋体"/>
          <w:sz w:val="24"/>
        </w:rPr>
        <w:t>、</w:t>
      </w:r>
      <w:r>
        <w:rPr>
          <w:rFonts w:ascii="宋体" w:hAnsi="宋体"/>
          <w:sz w:val="24"/>
        </w:rPr>
        <w:t>公正的原则对投标文件</w:t>
      </w:r>
      <w:r>
        <w:rPr>
          <w:rFonts w:hint="eastAsia" w:ascii="宋体" w:hAnsi="宋体"/>
          <w:sz w:val="24"/>
        </w:rPr>
        <w:t>进行</w:t>
      </w:r>
      <w:r>
        <w:rPr>
          <w:rFonts w:ascii="宋体" w:hAnsi="宋体"/>
          <w:sz w:val="24"/>
        </w:rPr>
        <w:t>综合评审</w:t>
      </w:r>
      <w:r>
        <w:rPr>
          <w:rFonts w:hint="eastAsia" w:ascii="宋体" w:hAnsi="宋体"/>
          <w:sz w:val="24"/>
        </w:rPr>
        <w:t>和</w:t>
      </w:r>
      <w:r>
        <w:rPr>
          <w:rFonts w:ascii="宋体" w:hAnsi="宋体"/>
          <w:sz w:val="24"/>
        </w:rPr>
        <w:t>评分。</w:t>
      </w:r>
    </w:p>
    <w:p>
      <w:pPr>
        <w:spacing w:line="360" w:lineRule="auto"/>
        <w:ind w:firstLine="482" w:firstLineChars="200"/>
        <w:rPr>
          <w:rFonts w:ascii="宋体" w:hAnsi="宋体"/>
          <w:b/>
          <w:sz w:val="24"/>
        </w:rPr>
      </w:pPr>
      <w:r>
        <w:rPr>
          <w:rFonts w:ascii="宋体" w:hAnsi="宋体"/>
          <w:b/>
          <w:sz w:val="24"/>
        </w:rPr>
        <w:t>2</w:t>
      </w:r>
      <w:r>
        <w:rPr>
          <w:rFonts w:hint="eastAsia" w:ascii="宋体" w:hAnsi="宋体"/>
          <w:b/>
          <w:sz w:val="24"/>
        </w:rPr>
        <w:t>4</w:t>
      </w:r>
      <w:r>
        <w:rPr>
          <w:rFonts w:ascii="宋体" w:hAnsi="宋体"/>
          <w:b/>
          <w:sz w:val="24"/>
        </w:rPr>
        <w:t xml:space="preserve">. </w:t>
      </w:r>
      <w:r>
        <w:rPr>
          <w:rFonts w:hint="eastAsia" w:ascii="宋体" w:hAnsi="宋体"/>
          <w:b/>
          <w:sz w:val="24"/>
        </w:rPr>
        <w:t>评标报告</w:t>
      </w:r>
    </w:p>
    <w:p>
      <w:pPr>
        <w:spacing w:line="360" w:lineRule="auto"/>
        <w:ind w:firstLine="480" w:firstLineChars="200"/>
        <w:rPr>
          <w:rFonts w:hint="eastAsia" w:ascii="宋体" w:hAnsi="宋体"/>
          <w:sz w:val="24"/>
        </w:rPr>
      </w:pPr>
      <w:r>
        <w:rPr>
          <w:rFonts w:hint="eastAsia" w:ascii="宋体" w:hAnsi="宋体"/>
          <w:sz w:val="24"/>
        </w:rPr>
        <w:t>评审委员会</w:t>
      </w:r>
      <w:r>
        <w:rPr>
          <w:rFonts w:ascii="宋体" w:hAnsi="宋体"/>
          <w:sz w:val="24"/>
        </w:rPr>
        <w:t>根据全体评</w:t>
      </w:r>
      <w:r>
        <w:rPr>
          <w:rFonts w:hint="eastAsia" w:ascii="宋体" w:hAnsi="宋体"/>
          <w:sz w:val="24"/>
        </w:rPr>
        <w:t>审</w:t>
      </w:r>
      <w:r>
        <w:rPr>
          <w:rFonts w:ascii="宋体" w:hAnsi="宋体"/>
          <w:sz w:val="24"/>
        </w:rPr>
        <w:t>成员签字的原始</w:t>
      </w:r>
      <w:r>
        <w:rPr>
          <w:rFonts w:hint="eastAsia" w:ascii="宋体" w:hAnsi="宋体"/>
          <w:sz w:val="24"/>
        </w:rPr>
        <w:t>评审</w:t>
      </w:r>
      <w:r>
        <w:rPr>
          <w:rFonts w:ascii="宋体" w:hAnsi="宋体"/>
          <w:sz w:val="24"/>
        </w:rPr>
        <w:t>记录和评</w:t>
      </w:r>
      <w:r>
        <w:rPr>
          <w:rFonts w:hint="eastAsia" w:ascii="宋体" w:hAnsi="宋体"/>
          <w:sz w:val="24"/>
        </w:rPr>
        <w:t>审</w:t>
      </w:r>
      <w:r>
        <w:rPr>
          <w:rFonts w:ascii="宋体" w:hAnsi="宋体"/>
          <w:sz w:val="24"/>
        </w:rPr>
        <w:t>结果</w:t>
      </w:r>
      <w:r>
        <w:rPr>
          <w:rFonts w:hint="eastAsia" w:ascii="宋体" w:hAnsi="宋体"/>
          <w:sz w:val="24"/>
        </w:rPr>
        <w:t>编写</w:t>
      </w:r>
      <w:r>
        <w:rPr>
          <w:rFonts w:ascii="宋体" w:hAnsi="宋体"/>
          <w:sz w:val="24"/>
        </w:rPr>
        <w:t>评标报告</w:t>
      </w:r>
      <w:r>
        <w:rPr>
          <w:rFonts w:hint="eastAsia" w:ascii="宋体" w:hAnsi="宋体"/>
          <w:sz w:val="24"/>
        </w:rPr>
        <w:t>，</w:t>
      </w:r>
      <w:r>
        <w:rPr>
          <w:rFonts w:ascii="宋体" w:hAnsi="宋体"/>
          <w:sz w:val="24"/>
        </w:rPr>
        <w:t>并</w:t>
      </w:r>
      <w:r>
        <w:rPr>
          <w:rFonts w:hint="eastAsia" w:ascii="宋体" w:hAnsi="宋体"/>
          <w:sz w:val="24"/>
        </w:rPr>
        <w:t>推荐</w:t>
      </w:r>
      <w:r>
        <w:rPr>
          <w:rFonts w:ascii="宋体" w:hAnsi="宋体"/>
          <w:sz w:val="24"/>
        </w:rPr>
        <w:t>中标候选人</w:t>
      </w:r>
      <w:r>
        <w:rPr>
          <w:rFonts w:hint="eastAsia" w:ascii="宋体" w:hAnsi="宋体"/>
          <w:sz w:val="24"/>
        </w:rPr>
        <w:t>，评审</w:t>
      </w:r>
      <w:r>
        <w:rPr>
          <w:rFonts w:ascii="宋体" w:hAnsi="宋体"/>
          <w:sz w:val="24"/>
        </w:rPr>
        <w:t>报告由</w:t>
      </w:r>
      <w:r>
        <w:rPr>
          <w:rFonts w:hint="eastAsia" w:ascii="宋体" w:hAnsi="宋体"/>
          <w:sz w:val="24"/>
        </w:rPr>
        <w:t>评审委员会</w:t>
      </w:r>
      <w:r>
        <w:rPr>
          <w:rFonts w:ascii="宋体" w:hAnsi="宋体"/>
          <w:sz w:val="24"/>
        </w:rPr>
        <w:t>成员签字</w:t>
      </w:r>
      <w:r>
        <w:rPr>
          <w:rFonts w:hint="eastAsia" w:ascii="宋体" w:hAnsi="宋体"/>
          <w:sz w:val="24"/>
        </w:rPr>
        <w:t>确认提交</w:t>
      </w:r>
      <w:r>
        <w:rPr>
          <w:rFonts w:ascii="宋体" w:hAnsi="宋体"/>
          <w:sz w:val="24"/>
        </w:rPr>
        <w:t>。</w:t>
      </w:r>
    </w:p>
    <w:p>
      <w:pPr>
        <w:spacing w:line="360" w:lineRule="auto"/>
        <w:ind w:firstLine="482" w:firstLineChars="200"/>
        <w:rPr>
          <w:rFonts w:ascii="宋体" w:hAnsi="宋体"/>
          <w:b/>
          <w:sz w:val="24"/>
        </w:rPr>
      </w:pPr>
      <w:r>
        <w:rPr>
          <w:rFonts w:hint="eastAsia" w:ascii="宋体" w:hAnsi="宋体"/>
          <w:b/>
          <w:sz w:val="24"/>
        </w:rPr>
        <w:t>25.采购过程中出现以下情形，导致电子交易平台无法正常运行，或者无法保证电子交易的公平、公正和安全时，可中止电子交易活动：</w:t>
      </w:r>
    </w:p>
    <w:p>
      <w:pPr>
        <w:spacing w:line="360" w:lineRule="auto"/>
        <w:ind w:firstLine="240" w:firstLineChars="100"/>
        <w:rPr>
          <w:sz w:val="24"/>
        </w:rPr>
      </w:pPr>
      <w:r>
        <w:rPr>
          <w:rFonts w:hint="eastAsia"/>
          <w:sz w:val="24"/>
        </w:rPr>
        <w:t>（一）电子交易平台发生故障而无法登录访问的； </w:t>
      </w:r>
    </w:p>
    <w:p>
      <w:pPr>
        <w:spacing w:line="360" w:lineRule="auto"/>
        <w:ind w:firstLine="240" w:firstLineChars="100"/>
        <w:rPr>
          <w:sz w:val="24"/>
        </w:rPr>
      </w:pPr>
      <w:r>
        <w:rPr>
          <w:rFonts w:hint="eastAsia"/>
          <w:sz w:val="24"/>
        </w:rPr>
        <w:t>（二）电子交易平台应用或数据库出现错误，不能进行正常操作的；</w:t>
      </w:r>
    </w:p>
    <w:p>
      <w:pPr>
        <w:spacing w:line="360" w:lineRule="auto"/>
        <w:ind w:firstLine="240" w:firstLineChars="100"/>
        <w:rPr>
          <w:sz w:val="24"/>
        </w:rPr>
      </w:pPr>
      <w:r>
        <w:rPr>
          <w:rFonts w:hint="eastAsia"/>
          <w:sz w:val="24"/>
        </w:rPr>
        <w:t>（三）电子交易平台发现严重安全漏洞，有潜在泄密危险的；</w:t>
      </w:r>
    </w:p>
    <w:p>
      <w:pPr>
        <w:spacing w:line="360" w:lineRule="auto"/>
        <w:ind w:firstLine="240" w:firstLineChars="100"/>
        <w:rPr>
          <w:sz w:val="24"/>
        </w:rPr>
      </w:pPr>
      <w:r>
        <w:rPr>
          <w:rFonts w:hint="eastAsia"/>
          <w:sz w:val="24"/>
        </w:rPr>
        <w:t>（四）病毒发作导致不能进行正常操作的； </w:t>
      </w:r>
    </w:p>
    <w:p>
      <w:pPr>
        <w:spacing w:line="360" w:lineRule="auto"/>
        <w:ind w:firstLine="240" w:firstLineChars="100"/>
        <w:rPr>
          <w:sz w:val="24"/>
        </w:rPr>
      </w:pPr>
      <w:r>
        <w:rPr>
          <w:rFonts w:hint="eastAsia"/>
          <w:sz w:val="24"/>
        </w:rPr>
        <w:t>（五）其他无法保证电子交易的公平、公正和安全的情况。</w:t>
      </w:r>
    </w:p>
    <w:p>
      <w:pPr>
        <w:spacing w:line="360" w:lineRule="auto"/>
        <w:rPr>
          <w:rFonts w:hint="eastAsia"/>
          <w:sz w:val="24"/>
        </w:rPr>
      </w:pPr>
      <w:r>
        <w:rPr>
          <w:rFonts w:hint="eastAsia"/>
          <w:sz w:val="24"/>
        </w:rPr>
        <w:t>    出现前款规定情形，不影响采购公平、公正性的，采购代理机构可以待上述情形消除后继续组织电子交易活动；影响或可能影响采购公平、公正性的，重新组织采购。</w:t>
      </w:r>
    </w:p>
    <w:p>
      <w:pPr>
        <w:spacing w:line="360" w:lineRule="auto"/>
        <w:ind w:firstLine="480" w:firstLineChars="200"/>
        <w:rPr>
          <w:rFonts w:ascii="宋体" w:hAnsi="宋体"/>
          <w:sz w:val="24"/>
        </w:rPr>
      </w:pPr>
      <w:r>
        <w:rPr>
          <w:rFonts w:hint="eastAsia" w:ascii="宋体" w:hAnsi="宋体"/>
          <w:sz w:val="24"/>
        </w:rPr>
        <w:t>26.</w:t>
      </w:r>
      <w:r>
        <w:rPr>
          <w:rFonts w:ascii="宋体" w:hAnsi="宋体"/>
          <w:sz w:val="24"/>
        </w:rPr>
        <w:t xml:space="preserve"> </w:t>
      </w:r>
      <w:r>
        <w:rPr>
          <w:rFonts w:hint="eastAsia" w:ascii="宋体" w:hAnsi="宋体"/>
          <w:sz w:val="24"/>
        </w:rPr>
        <w:t>采购代理机构或评审委员会因不可抗力（不可抗力包括但不限于自然灾害、断电、传播疫病等）原因造成电子交易活动无法正常运行的，将采取以下措施：</w:t>
      </w:r>
    </w:p>
    <w:p>
      <w:pPr>
        <w:spacing w:line="360" w:lineRule="auto"/>
        <w:ind w:firstLine="480" w:firstLineChars="200"/>
        <w:rPr>
          <w:rFonts w:ascii="宋体" w:hAnsi="宋体"/>
          <w:sz w:val="24"/>
        </w:rPr>
      </w:pPr>
      <w:r>
        <w:rPr>
          <w:rFonts w:hint="eastAsia" w:ascii="宋体" w:hAnsi="宋体"/>
          <w:sz w:val="24"/>
        </w:rPr>
        <w:t>⑴短时间内能消除不可抗力因素的，采购代理机构或评审委员会在消除不可抗力因素后继续组织电子交易活动。</w:t>
      </w:r>
    </w:p>
    <w:p>
      <w:pPr>
        <w:spacing w:line="360" w:lineRule="auto"/>
        <w:ind w:firstLine="480" w:firstLineChars="200"/>
        <w:rPr>
          <w:rFonts w:hint="eastAsia" w:ascii="宋体" w:hAnsi="宋体"/>
          <w:sz w:val="24"/>
        </w:rPr>
      </w:pPr>
      <w:r>
        <w:rPr>
          <w:rFonts w:hint="eastAsia" w:ascii="宋体" w:hAnsi="宋体"/>
          <w:sz w:val="24"/>
        </w:rPr>
        <w:t>⑵长时间内无法消除不可抗力因素的，采购代理机构或评审委员会将中止电子交易活动。中止电子交易活动的，采购人应当重新组织政府采购活动。</w:t>
      </w:r>
    </w:p>
    <w:p>
      <w:pPr>
        <w:spacing w:line="360" w:lineRule="auto"/>
        <w:ind w:firstLine="482" w:firstLineChars="200"/>
        <w:rPr>
          <w:rFonts w:ascii="宋体" w:hAnsi="宋体"/>
          <w:b/>
          <w:sz w:val="24"/>
        </w:rPr>
      </w:pPr>
      <w:r>
        <w:rPr>
          <w:rFonts w:ascii="宋体" w:hAnsi="宋体"/>
          <w:b/>
          <w:sz w:val="24"/>
        </w:rPr>
        <w:t>2</w:t>
      </w:r>
      <w:r>
        <w:rPr>
          <w:rFonts w:hint="eastAsia" w:ascii="宋体" w:hAnsi="宋体"/>
          <w:b/>
          <w:sz w:val="24"/>
        </w:rPr>
        <w:t>7</w:t>
      </w:r>
      <w:r>
        <w:rPr>
          <w:rFonts w:ascii="宋体" w:hAnsi="宋体"/>
          <w:b/>
          <w:sz w:val="24"/>
        </w:rPr>
        <w:t xml:space="preserve">. </w:t>
      </w:r>
      <w:r>
        <w:rPr>
          <w:rFonts w:hint="eastAsia" w:ascii="宋体" w:hAnsi="宋体"/>
          <w:b/>
          <w:sz w:val="24"/>
        </w:rPr>
        <w:t>保密和评审过程的监控</w:t>
      </w:r>
    </w:p>
    <w:p>
      <w:pPr>
        <w:spacing w:line="360" w:lineRule="auto"/>
        <w:ind w:firstLine="480" w:firstLineChars="200"/>
        <w:rPr>
          <w:rFonts w:ascii="宋体" w:hAnsi="宋体"/>
          <w:bCs/>
          <w:sz w:val="24"/>
        </w:rPr>
      </w:pPr>
      <w:r>
        <w:rPr>
          <w:rFonts w:ascii="宋体" w:hAnsi="宋体"/>
          <w:bCs/>
          <w:sz w:val="24"/>
        </w:rPr>
        <w:t>2</w:t>
      </w:r>
      <w:r>
        <w:rPr>
          <w:rFonts w:hint="eastAsia" w:ascii="宋体" w:hAnsi="宋体"/>
          <w:bCs/>
          <w:sz w:val="24"/>
        </w:rPr>
        <w:t>7</w:t>
      </w:r>
      <w:r>
        <w:rPr>
          <w:rFonts w:ascii="宋体" w:hAnsi="宋体"/>
          <w:bCs/>
          <w:sz w:val="24"/>
        </w:rPr>
        <w:t xml:space="preserve">.1 </w:t>
      </w:r>
      <w:r>
        <w:rPr>
          <w:rFonts w:hint="eastAsia" w:ascii="宋体" w:hAnsi="宋体"/>
          <w:bCs/>
          <w:sz w:val="24"/>
        </w:rPr>
        <w:t>自开标时间起至中标结果公告发布时间止，凡属于审查、澄清、评估和比较投标的有关资料，且与授予合同有关的信息都不得向任何投标人或与上述评审过程无关的人员透露。</w:t>
      </w:r>
    </w:p>
    <w:p>
      <w:pPr>
        <w:spacing w:line="360" w:lineRule="auto"/>
        <w:ind w:firstLine="480" w:firstLineChars="200"/>
        <w:rPr>
          <w:rFonts w:ascii="宋体" w:hAnsi="宋体"/>
          <w:sz w:val="20"/>
        </w:rPr>
      </w:pPr>
      <w:r>
        <w:rPr>
          <w:rFonts w:ascii="宋体" w:hAnsi="宋体"/>
          <w:sz w:val="24"/>
        </w:rPr>
        <w:t>2</w:t>
      </w:r>
      <w:r>
        <w:rPr>
          <w:rFonts w:hint="eastAsia" w:ascii="宋体" w:hAnsi="宋体"/>
          <w:sz w:val="24"/>
        </w:rPr>
        <w:t>7</w:t>
      </w:r>
      <w:r>
        <w:rPr>
          <w:rFonts w:ascii="宋体" w:hAnsi="宋体"/>
          <w:sz w:val="24"/>
        </w:rPr>
        <w:t xml:space="preserve">.2 </w:t>
      </w:r>
      <w:r>
        <w:rPr>
          <w:rFonts w:hint="eastAsia" w:ascii="宋体" w:hAnsi="宋体"/>
          <w:sz w:val="24"/>
        </w:rPr>
        <w:t>本项目开标、评审过程实行全程录音、录像监控，投标人在开标、评审过程中所进行的试图影响评审结果的不公正行为或授予合同决定的过程施加影响的企图和行为，可能导致和其投标被拒绝。</w:t>
      </w:r>
    </w:p>
    <w:p>
      <w:pPr>
        <w:pStyle w:val="6"/>
        <w:spacing w:line="240" w:lineRule="auto"/>
        <w:ind w:firstLine="200" w:firstLineChars="0"/>
        <w:rPr>
          <w:rFonts w:hint="eastAsia" w:ascii="宋体" w:hAnsi="宋体" w:eastAsia="宋体"/>
          <w:sz w:val="32"/>
        </w:rPr>
      </w:pPr>
      <w:bookmarkStart w:id="55" w:name="_Toc41577872"/>
      <w:bookmarkStart w:id="56" w:name="_Toc494555855"/>
      <w:bookmarkStart w:id="57" w:name="_Toc493956039"/>
      <w:bookmarkStart w:id="58" w:name="_Toc112414180"/>
      <w:r>
        <w:rPr>
          <w:rFonts w:hint="eastAsia" w:ascii="宋体" w:hAnsi="宋体" w:eastAsia="宋体"/>
          <w:sz w:val="32"/>
        </w:rPr>
        <w:t>七   投标无效的情形</w:t>
      </w:r>
      <w:bookmarkEnd w:id="55"/>
      <w:bookmarkEnd w:id="56"/>
      <w:bookmarkEnd w:id="57"/>
      <w:bookmarkEnd w:id="58"/>
    </w:p>
    <w:p>
      <w:pPr>
        <w:spacing w:line="360" w:lineRule="auto"/>
        <w:ind w:firstLine="482" w:firstLineChars="200"/>
        <w:rPr>
          <w:rFonts w:hint="eastAsia" w:ascii="宋体" w:hAnsi="宋体"/>
          <w:b/>
          <w:sz w:val="24"/>
        </w:rPr>
      </w:pPr>
      <w:r>
        <w:rPr>
          <w:rFonts w:hint="eastAsia" w:ascii="宋体" w:hAnsi="宋体"/>
          <w:b/>
          <w:sz w:val="24"/>
        </w:rPr>
        <w:t>28.</w:t>
      </w:r>
      <w:r>
        <w:rPr>
          <w:rFonts w:ascii="宋体" w:hAnsi="宋体"/>
          <w:b/>
          <w:sz w:val="24"/>
        </w:rPr>
        <w:t xml:space="preserve"> </w:t>
      </w:r>
      <w:r>
        <w:rPr>
          <w:rFonts w:hint="eastAsia" w:ascii="宋体" w:hAnsi="宋体"/>
          <w:b/>
          <w:sz w:val="24"/>
        </w:rPr>
        <w:t>实质上没有响应招标文件要求的投标将被视为无效投标。投标人不得通过修正或撤消不合要求的偏离或保留从而使其投标成为实质上响应的投标。投标人如有下列情形之一的，其投标将被拒绝，</w:t>
      </w:r>
      <w:r>
        <w:rPr>
          <w:rFonts w:hint="eastAsia" w:ascii="宋体" w:hAnsi="宋体"/>
          <w:b/>
          <w:kern w:val="0"/>
          <w:sz w:val="24"/>
        </w:rPr>
        <w:t>投标文件</w:t>
      </w:r>
      <w:r>
        <w:rPr>
          <w:rFonts w:hint="eastAsia" w:ascii="宋体" w:hAnsi="宋体"/>
          <w:b/>
          <w:sz w:val="24"/>
        </w:rPr>
        <w:t>无效：</w:t>
      </w:r>
    </w:p>
    <w:p>
      <w:pPr>
        <w:spacing w:line="360" w:lineRule="auto"/>
        <w:ind w:firstLine="482" w:firstLineChars="200"/>
        <w:rPr>
          <w:rFonts w:hint="eastAsia" w:ascii="宋体" w:hAnsi="宋体"/>
          <w:b/>
          <w:sz w:val="24"/>
        </w:rPr>
      </w:pPr>
      <w:r>
        <w:rPr>
          <w:rFonts w:hint="eastAsia" w:ascii="宋体" w:hAnsi="宋体"/>
          <w:b/>
          <w:sz w:val="24"/>
        </w:rPr>
        <w:t>28.1电报、电话、传真形式提交投标文件的；</w:t>
      </w:r>
    </w:p>
    <w:p>
      <w:pPr>
        <w:spacing w:line="360" w:lineRule="auto"/>
        <w:ind w:firstLine="482" w:firstLineChars="200"/>
        <w:rPr>
          <w:rFonts w:ascii="宋体" w:hAnsi="宋体"/>
          <w:b/>
          <w:sz w:val="24"/>
        </w:rPr>
      </w:pPr>
      <w:r>
        <w:rPr>
          <w:rFonts w:hint="eastAsia" w:ascii="宋体" w:hAnsi="宋体"/>
          <w:b/>
          <w:sz w:val="24"/>
        </w:rPr>
        <w:t>28.2投标人未按招标文件规定的时间和地点提交电子投标文件的</w:t>
      </w:r>
      <w:r>
        <w:rPr>
          <w:rFonts w:ascii="宋体" w:hAnsi="宋体"/>
          <w:b/>
          <w:sz w:val="24"/>
        </w:rPr>
        <w:t>；</w:t>
      </w:r>
    </w:p>
    <w:p>
      <w:pPr>
        <w:spacing w:line="360" w:lineRule="auto"/>
        <w:ind w:firstLine="482" w:firstLineChars="200"/>
        <w:rPr>
          <w:rFonts w:hint="eastAsia" w:ascii="宋体" w:hAnsi="宋体"/>
          <w:b/>
          <w:sz w:val="24"/>
        </w:rPr>
      </w:pPr>
      <w:r>
        <w:rPr>
          <w:rFonts w:hint="eastAsia" w:ascii="宋体" w:hAnsi="宋体"/>
          <w:b/>
          <w:sz w:val="24"/>
        </w:rPr>
        <w:t>28.3未按招标文件规定要求签署、盖章的；</w:t>
      </w:r>
    </w:p>
    <w:p>
      <w:pPr>
        <w:spacing w:line="360" w:lineRule="auto"/>
        <w:ind w:firstLine="482" w:firstLineChars="200"/>
        <w:rPr>
          <w:rFonts w:ascii="宋体" w:hAnsi="宋体"/>
          <w:b/>
          <w:sz w:val="24"/>
        </w:rPr>
      </w:pPr>
      <w:r>
        <w:rPr>
          <w:rFonts w:ascii="宋体" w:hAnsi="宋体"/>
          <w:b/>
          <w:sz w:val="24"/>
        </w:rPr>
        <w:t>2</w:t>
      </w:r>
      <w:r>
        <w:rPr>
          <w:rFonts w:hint="eastAsia" w:ascii="宋体" w:hAnsi="宋体"/>
          <w:b/>
          <w:sz w:val="24"/>
        </w:rPr>
        <w:t>8</w:t>
      </w:r>
      <w:r>
        <w:rPr>
          <w:rFonts w:ascii="宋体" w:hAnsi="宋体"/>
          <w:b/>
          <w:sz w:val="24"/>
        </w:rPr>
        <w:t>.</w:t>
      </w:r>
      <w:r>
        <w:rPr>
          <w:rFonts w:hint="eastAsia" w:ascii="宋体" w:hAnsi="宋体"/>
          <w:b/>
          <w:sz w:val="24"/>
        </w:rPr>
        <w:t>4不具备投标文件规定资格要求的；</w:t>
      </w:r>
    </w:p>
    <w:p>
      <w:pPr>
        <w:spacing w:line="360" w:lineRule="auto"/>
        <w:ind w:firstLine="480" w:firstLineChars="200"/>
        <w:rPr>
          <w:rFonts w:ascii="宋体" w:hAnsi="宋体"/>
          <w:sz w:val="24"/>
        </w:rPr>
      </w:pPr>
      <w:r>
        <w:rPr>
          <w:rFonts w:hint="eastAsia" w:ascii="宋体" w:hAnsi="宋体"/>
          <w:sz w:val="24"/>
        </w:rPr>
        <w:t>28.5 投标有效期不足的。</w:t>
      </w:r>
    </w:p>
    <w:p>
      <w:pPr>
        <w:spacing w:line="360" w:lineRule="auto"/>
        <w:ind w:firstLine="480" w:firstLineChars="200"/>
        <w:rPr>
          <w:rFonts w:ascii="宋体" w:hAnsi="宋体"/>
          <w:sz w:val="24"/>
        </w:rPr>
      </w:pPr>
      <w:r>
        <w:rPr>
          <w:rFonts w:ascii="宋体" w:hAnsi="宋体"/>
          <w:sz w:val="24"/>
        </w:rPr>
        <w:t>2</w:t>
      </w:r>
      <w:r>
        <w:rPr>
          <w:rFonts w:hint="eastAsia" w:ascii="宋体" w:hAnsi="宋体"/>
          <w:sz w:val="24"/>
        </w:rPr>
        <w:t>8</w:t>
      </w:r>
      <w:r>
        <w:rPr>
          <w:rFonts w:ascii="宋体" w:hAnsi="宋体"/>
          <w:sz w:val="24"/>
        </w:rPr>
        <w:t>.</w:t>
      </w:r>
      <w:r>
        <w:rPr>
          <w:rFonts w:hint="eastAsia" w:ascii="宋体" w:hAnsi="宋体"/>
          <w:sz w:val="24"/>
        </w:rPr>
        <w:t>6评审委员会在符合性审查中，有实质上“▲”条款的负偏离的。</w:t>
      </w:r>
    </w:p>
    <w:p>
      <w:pPr>
        <w:spacing w:line="360" w:lineRule="auto"/>
        <w:ind w:firstLine="480" w:firstLineChars="200"/>
        <w:rPr>
          <w:rFonts w:ascii="宋体" w:hAnsi="宋体"/>
          <w:sz w:val="24"/>
        </w:rPr>
      </w:pPr>
      <w:r>
        <w:rPr>
          <w:rFonts w:hint="eastAsia" w:ascii="宋体" w:hAnsi="宋体"/>
          <w:sz w:val="24"/>
        </w:rPr>
        <w:t>28.7投标</w:t>
      </w:r>
      <w:r>
        <w:rPr>
          <w:rFonts w:ascii="宋体" w:hAnsi="宋体"/>
          <w:sz w:val="24"/>
        </w:rPr>
        <w:t>文件含有采购人不能接受的附加</w:t>
      </w:r>
      <w:r>
        <w:rPr>
          <w:rFonts w:hint="eastAsia" w:ascii="宋体" w:hAnsi="宋体"/>
          <w:sz w:val="24"/>
        </w:rPr>
        <w:t>条款</w:t>
      </w:r>
      <w:r>
        <w:rPr>
          <w:rFonts w:ascii="宋体" w:hAnsi="宋体"/>
          <w:sz w:val="24"/>
        </w:rPr>
        <w:t>的</w:t>
      </w:r>
      <w:r>
        <w:rPr>
          <w:rFonts w:hint="eastAsia" w:ascii="宋体" w:hAnsi="宋体"/>
          <w:sz w:val="24"/>
        </w:rPr>
        <w:t>。</w:t>
      </w:r>
    </w:p>
    <w:p>
      <w:pPr>
        <w:spacing w:line="360" w:lineRule="auto"/>
        <w:ind w:firstLine="480" w:firstLineChars="200"/>
        <w:rPr>
          <w:rFonts w:hint="eastAsia" w:ascii="宋体" w:hAnsi="宋体"/>
          <w:sz w:val="24"/>
        </w:rPr>
      </w:pPr>
      <w:r>
        <w:rPr>
          <w:rFonts w:ascii="宋体" w:hAnsi="宋体"/>
          <w:sz w:val="24"/>
        </w:rPr>
        <w:t>2</w:t>
      </w:r>
      <w:r>
        <w:rPr>
          <w:rFonts w:hint="eastAsia" w:ascii="宋体" w:hAnsi="宋体"/>
          <w:sz w:val="24"/>
        </w:rPr>
        <w:t>8</w:t>
      </w:r>
      <w:r>
        <w:rPr>
          <w:rFonts w:ascii="宋体" w:hAnsi="宋体"/>
          <w:sz w:val="24"/>
        </w:rPr>
        <w:t>.</w:t>
      </w:r>
      <w:r>
        <w:rPr>
          <w:rFonts w:hint="eastAsia" w:ascii="宋体" w:hAnsi="宋体"/>
          <w:sz w:val="24"/>
        </w:rPr>
        <w:t>8投标报价高于招标文件中规定的预算金额或者最高限价的。</w:t>
      </w:r>
    </w:p>
    <w:p>
      <w:pPr>
        <w:spacing w:line="360" w:lineRule="auto"/>
        <w:ind w:firstLine="482" w:firstLineChars="200"/>
        <w:rPr>
          <w:rFonts w:ascii="宋体" w:hAnsi="宋体"/>
          <w:b/>
          <w:sz w:val="24"/>
        </w:rPr>
      </w:pPr>
      <w:r>
        <w:rPr>
          <w:rFonts w:ascii="宋体" w:hAnsi="宋体"/>
          <w:b/>
          <w:kern w:val="0"/>
          <w:sz w:val="24"/>
        </w:rPr>
        <w:t>2</w:t>
      </w:r>
      <w:r>
        <w:rPr>
          <w:rFonts w:hint="eastAsia" w:ascii="宋体" w:hAnsi="宋体"/>
          <w:b/>
          <w:sz w:val="24"/>
        </w:rPr>
        <w:t>8</w:t>
      </w:r>
      <w:r>
        <w:rPr>
          <w:rFonts w:ascii="宋体" w:hAnsi="宋体"/>
          <w:b/>
          <w:sz w:val="24"/>
        </w:rPr>
        <w:t>.</w:t>
      </w:r>
      <w:r>
        <w:rPr>
          <w:rFonts w:hint="eastAsia" w:ascii="宋体" w:hAnsi="宋体"/>
          <w:b/>
          <w:sz w:val="24"/>
        </w:rPr>
        <w:t>9招标文件中未要求，但投标人给予赠品、回扣或与采购无关的其他商品、服务的。</w:t>
      </w:r>
    </w:p>
    <w:p>
      <w:pPr>
        <w:spacing w:line="360" w:lineRule="auto"/>
        <w:ind w:firstLine="480" w:firstLineChars="200"/>
        <w:rPr>
          <w:rFonts w:ascii="宋体" w:hAnsi="宋体"/>
          <w:sz w:val="24"/>
        </w:rPr>
      </w:pPr>
      <w:r>
        <w:rPr>
          <w:rFonts w:hint="eastAsia" w:ascii="宋体" w:hAnsi="宋体"/>
          <w:sz w:val="24"/>
        </w:rPr>
        <w:t>28.10投标报价存在漏项或报价数量少于采购要求的。</w:t>
      </w:r>
    </w:p>
    <w:p>
      <w:pPr>
        <w:spacing w:line="360" w:lineRule="auto"/>
        <w:ind w:firstLine="480" w:firstLineChars="200"/>
        <w:rPr>
          <w:rFonts w:hint="eastAsia" w:ascii="宋体" w:hAnsi="宋体"/>
          <w:sz w:val="24"/>
        </w:rPr>
      </w:pPr>
      <w:r>
        <w:rPr>
          <w:rFonts w:hint="eastAsia" w:ascii="宋体" w:hAnsi="宋体"/>
          <w:sz w:val="24"/>
        </w:rPr>
        <w:t>28.11评审委员会认为投标人的报价明显低于其他通过符合性审查投标人的报价，有可能影响产品质量或者不能诚信履约的，投标人代表应在评审委员会规定的时间内通过电子交易平台提交说明，必要时提交相关证明材料；投标人不能证明其报价合理性的，评审委员会应当将其作为无效投标处理。</w:t>
      </w:r>
    </w:p>
    <w:p>
      <w:pPr>
        <w:spacing w:line="360" w:lineRule="auto"/>
        <w:ind w:firstLine="480" w:firstLineChars="200"/>
        <w:rPr>
          <w:rFonts w:hint="eastAsia" w:ascii="宋体" w:hAnsi="宋体"/>
          <w:sz w:val="24"/>
        </w:rPr>
      </w:pPr>
      <w:r>
        <w:rPr>
          <w:rFonts w:hint="eastAsia" w:ascii="宋体" w:hAnsi="宋体"/>
          <w:sz w:val="24"/>
        </w:rPr>
        <w:t>28.12投标人已明知采购期间或之后企业将发生兼并改制，或提供的产品将停产、淘汰，或必须有偿使用专供的备品备件和试剂耗材的，及其他应当告知采购人可能影响采购项目实施或损害采购人利益的信息，不在</w:t>
      </w:r>
      <w:r>
        <w:rPr>
          <w:rFonts w:hint="eastAsia" w:ascii="宋体" w:hAnsi="宋体"/>
          <w:kern w:val="0"/>
          <w:sz w:val="24"/>
        </w:rPr>
        <w:t>投标文件</w:t>
      </w:r>
      <w:r>
        <w:rPr>
          <w:rFonts w:hint="eastAsia" w:ascii="宋体" w:hAnsi="宋体"/>
          <w:sz w:val="24"/>
        </w:rPr>
        <w:t>中予以特别说明的。</w:t>
      </w:r>
    </w:p>
    <w:p>
      <w:pPr>
        <w:spacing w:line="360" w:lineRule="auto"/>
        <w:ind w:firstLine="480" w:firstLineChars="200"/>
        <w:rPr>
          <w:rFonts w:hint="eastAsia" w:ascii="宋体" w:hAnsi="宋体"/>
          <w:sz w:val="24"/>
        </w:rPr>
      </w:pPr>
      <w:r>
        <w:rPr>
          <w:rFonts w:hint="eastAsia" w:ascii="宋体" w:hAnsi="宋体"/>
          <w:sz w:val="24"/>
        </w:rPr>
        <w:t>28.13提供虚假材料谋取中标的。</w:t>
      </w:r>
    </w:p>
    <w:p>
      <w:pPr>
        <w:spacing w:line="360" w:lineRule="auto"/>
        <w:ind w:firstLine="480" w:firstLineChars="200"/>
        <w:rPr>
          <w:rFonts w:hint="eastAsia" w:ascii="宋体" w:hAnsi="宋体"/>
          <w:sz w:val="24"/>
        </w:rPr>
      </w:pPr>
      <w:r>
        <w:rPr>
          <w:rFonts w:hint="eastAsia" w:ascii="宋体" w:hAnsi="宋体"/>
          <w:sz w:val="24"/>
        </w:rPr>
        <w:t>28.14在招标过程中与采购人进行协商谈判、不按招标文件和中标人的</w:t>
      </w:r>
      <w:r>
        <w:rPr>
          <w:rFonts w:hint="eastAsia" w:ascii="宋体" w:hAnsi="宋体"/>
          <w:kern w:val="0"/>
          <w:sz w:val="24"/>
        </w:rPr>
        <w:t>投标文件</w:t>
      </w:r>
      <w:r>
        <w:rPr>
          <w:rFonts w:hint="eastAsia" w:ascii="宋体" w:hAnsi="宋体"/>
          <w:sz w:val="24"/>
        </w:rPr>
        <w:t>订立合同，或者与采购人另行订立背离合同实质性内容的协议的。</w:t>
      </w:r>
    </w:p>
    <w:p>
      <w:pPr>
        <w:spacing w:line="360" w:lineRule="auto"/>
        <w:ind w:firstLine="480" w:firstLineChars="200"/>
        <w:rPr>
          <w:rFonts w:hint="eastAsia" w:ascii="宋体" w:hAnsi="宋体"/>
        </w:rPr>
      </w:pPr>
      <w:r>
        <w:rPr>
          <w:rFonts w:hint="eastAsia" w:ascii="宋体" w:hAnsi="宋体"/>
          <w:sz w:val="24"/>
        </w:rPr>
        <w:t>28.15招标文件规定的其他</w:t>
      </w:r>
      <w:r>
        <w:rPr>
          <w:rFonts w:hint="eastAsia" w:ascii="宋体" w:hAnsi="宋体"/>
          <w:kern w:val="0"/>
          <w:sz w:val="24"/>
        </w:rPr>
        <w:t>投标文件</w:t>
      </w:r>
      <w:r>
        <w:rPr>
          <w:rFonts w:hint="eastAsia" w:ascii="宋体" w:hAnsi="宋体"/>
          <w:sz w:val="24"/>
        </w:rPr>
        <w:t>无效情形。</w:t>
      </w:r>
      <w:bookmarkStart w:id="59" w:name="EBdafef940fa674575a283c03dcfd15197"/>
      <w:r>
        <w:rPr>
          <w:rFonts w:hint="eastAsia" w:ascii="宋体" w:hAnsi="宋体"/>
          <w:sz w:val="20"/>
        </w:rPr>
        <w:t xml:space="preserve"> </w:t>
      </w:r>
      <w:bookmarkEnd w:id="59"/>
      <w:bookmarkStart w:id="60" w:name="EB09b84f7f941446eb81ae304223ba6dc4"/>
      <w:r>
        <w:rPr>
          <w:rFonts w:hint="eastAsia" w:ascii="宋体" w:hAnsi="宋体"/>
          <w:sz w:val="20"/>
        </w:rPr>
        <w:t xml:space="preserve"> </w:t>
      </w:r>
      <w:bookmarkEnd w:id="60"/>
    </w:p>
    <w:p>
      <w:pPr>
        <w:pStyle w:val="6"/>
        <w:ind w:firstLine="200" w:firstLineChars="0"/>
        <w:rPr>
          <w:rFonts w:hint="eastAsia" w:ascii="宋体" w:hAnsi="宋体" w:eastAsia="宋体"/>
          <w:sz w:val="32"/>
        </w:rPr>
      </w:pPr>
      <w:bookmarkStart w:id="61" w:name="_Toc112414181"/>
      <w:bookmarkStart w:id="62" w:name="_Toc493956040"/>
      <w:bookmarkStart w:id="63" w:name="_Toc41577873"/>
      <w:bookmarkStart w:id="64" w:name="_Toc494555856"/>
      <w:r>
        <w:rPr>
          <w:rFonts w:hint="eastAsia" w:ascii="宋体" w:hAnsi="宋体" w:eastAsia="宋体"/>
          <w:sz w:val="32"/>
        </w:rPr>
        <w:t>八   法律责任</w:t>
      </w:r>
      <w:bookmarkEnd w:id="61"/>
      <w:bookmarkEnd w:id="62"/>
      <w:bookmarkEnd w:id="63"/>
      <w:bookmarkEnd w:id="64"/>
    </w:p>
    <w:p>
      <w:pPr>
        <w:spacing w:line="360" w:lineRule="auto"/>
        <w:ind w:firstLine="482" w:firstLineChars="200"/>
        <w:rPr>
          <w:rFonts w:hint="eastAsia" w:ascii="宋体" w:hAnsi="宋体"/>
          <w:b/>
          <w:sz w:val="24"/>
        </w:rPr>
      </w:pPr>
      <w:r>
        <w:rPr>
          <w:rFonts w:hint="eastAsia" w:ascii="宋体" w:hAnsi="宋体"/>
          <w:b/>
          <w:sz w:val="24"/>
        </w:rPr>
        <w:t>29.</w:t>
      </w:r>
      <w:r>
        <w:rPr>
          <w:rFonts w:ascii="宋体" w:hAnsi="宋体"/>
          <w:b/>
          <w:sz w:val="24"/>
        </w:rPr>
        <w:t xml:space="preserve"> </w:t>
      </w:r>
      <w:r>
        <w:rPr>
          <w:rFonts w:hint="eastAsia" w:ascii="宋体" w:hAnsi="宋体"/>
          <w:b/>
          <w:sz w:val="24"/>
        </w:rPr>
        <w:t>投标人有下列情形之一的，处以政府采购项目中标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pPr>
        <w:spacing w:line="360" w:lineRule="auto"/>
        <w:ind w:firstLine="480" w:firstLineChars="200"/>
        <w:rPr>
          <w:rFonts w:hint="eastAsia" w:ascii="宋体" w:hAnsi="宋体"/>
          <w:sz w:val="24"/>
        </w:rPr>
      </w:pPr>
      <w:r>
        <w:rPr>
          <w:rFonts w:hint="eastAsia" w:ascii="宋体" w:hAnsi="宋体"/>
          <w:sz w:val="24"/>
        </w:rPr>
        <w:t>29.1</w:t>
      </w:r>
      <w:r>
        <w:rPr>
          <w:rFonts w:ascii="宋体" w:hAnsi="宋体"/>
          <w:sz w:val="24"/>
        </w:rPr>
        <w:t xml:space="preserve"> </w:t>
      </w:r>
      <w:r>
        <w:rPr>
          <w:rFonts w:hint="eastAsia" w:ascii="宋体" w:hAnsi="宋体"/>
          <w:sz w:val="24"/>
        </w:rPr>
        <w:t>提供虚假材料谋取中标的；</w:t>
      </w:r>
    </w:p>
    <w:p>
      <w:pPr>
        <w:spacing w:line="360" w:lineRule="auto"/>
        <w:ind w:firstLine="480" w:firstLineChars="200"/>
        <w:rPr>
          <w:rFonts w:hint="eastAsia" w:ascii="宋体" w:hAnsi="宋体"/>
          <w:sz w:val="24"/>
        </w:rPr>
      </w:pPr>
      <w:r>
        <w:rPr>
          <w:rFonts w:hint="eastAsia" w:ascii="宋体" w:hAnsi="宋体"/>
          <w:sz w:val="24"/>
        </w:rPr>
        <w:t>29.2</w:t>
      </w:r>
      <w:r>
        <w:rPr>
          <w:rFonts w:ascii="宋体" w:hAnsi="宋体"/>
          <w:sz w:val="24"/>
        </w:rPr>
        <w:t xml:space="preserve"> </w:t>
      </w:r>
      <w:r>
        <w:rPr>
          <w:rFonts w:hint="eastAsia" w:ascii="宋体" w:hAnsi="宋体"/>
          <w:sz w:val="24"/>
        </w:rPr>
        <w:t>采取不正当手段诋毁、排挤其他投标人的；</w:t>
      </w:r>
    </w:p>
    <w:p>
      <w:pPr>
        <w:spacing w:line="360" w:lineRule="auto"/>
        <w:ind w:firstLine="480" w:firstLineChars="200"/>
        <w:rPr>
          <w:rFonts w:hint="eastAsia" w:ascii="宋体" w:hAnsi="宋体"/>
          <w:sz w:val="24"/>
        </w:rPr>
      </w:pPr>
      <w:r>
        <w:rPr>
          <w:rFonts w:hint="eastAsia" w:ascii="宋体" w:hAnsi="宋体"/>
          <w:sz w:val="24"/>
        </w:rPr>
        <w:t>29.3</w:t>
      </w:r>
      <w:r>
        <w:rPr>
          <w:rFonts w:ascii="宋体" w:hAnsi="宋体"/>
          <w:sz w:val="24"/>
        </w:rPr>
        <w:t xml:space="preserve"> </w:t>
      </w:r>
      <w:r>
        <w:rPr>
          <w:rFonts w:hint="eastAsia" w:ascii="宋体" w:hAnsi="宋体"/>
          <w:sz w:val="24"/>
        </w:rPr>
        <w:t>与采购人、其他投标人或者采购代理机构恶意串通的；</w:t>
      </w:r>
    </w:p>
    <w:p>
      <w:pPr>
        <w:spacing w:line="360" w:lineRule="auto"/>
        <w:ind w:firstLine="480" w:firstLineChars="200"/>
        <w:rPr>
          <w:rFonts w:hint="eastAsia" w:ascii="宋体" w:hAnsi="宋体"/>
          <w:sz w:val="24"/>
        </w:rPr>
      </w:pPr>
      <w:r>
        <w:rPr>
          <w:rFonts w:hint="eastAsia" w:ascii="宋体" w:hAnsi="宋体"/>
          <w:sz w:val="24"/>
        </w:rPr>
        <w:t>29.4</w:t>
      </w:r>
      <w:r>
        <w:rPr>
          <w:rFonts w:ascii="宋体" w:hAnsi="宋体"/>
          <w:sz w:val="24"/>
        </w:rPr>
        <w:t xml:space="preserve"> </w:t>
      </w:r>
      <w:r>
        <w:rPr>
          <w:rFonts w:hint="eastAsia" w:ascii="宋体" w:hAnsi="宋体"/>
          <w:sz w:val="24"/>
        </w:rPr>
        <w:t>向采购人、采购代理机构行贿或者提供其他不正当利益的；</w:t>
      </w:r>
    </w:p>
    <w:p>
      <w:pPr>
        <w:spacing w:line="360" w:lineRule="auto"/>
        <w:ind w:firstLine="480" w:firstLineChars="200"/>
        <w:rPr>
          <w:rFonts w:hint="eastAsia" w:ascii="宋体" w:hAnsi="宋体"/>
          <w:sz w:val="24"/>
        </w:rPr>
      </w:pPr>
      <w:r>
        <w:rPr>
          <w:rFonts w:hint="eastAsia" w:ascii="宋体" w:hAnsi="宋体"/>
          <w:sz w:val="24"/>
        </w:rPr>
        <w:t>29.5</w:t>
      </w:r>
      <w:r>
        <w:rPr>
          <w:rFonts w:ascii="宋体" w:hAnsi="宋体"/>
          <w:sz w:val="24"/>
        </w:rPr>
        <w:t xml:space="preserve"> </w:t>
      </w:r>
      <w:r>
        <w:rPr>
          <w:rFonts w:hint="eastAsia" w:ascii="宋体" w:hAnsi="宋体"/>
          <w:sz w:val="24"/>
        </w:rPr>
        <w:t>在招标采购过程中与采购人进行协商谈判的；</w:t>
      </w:r>
    </w:p>
    <w:p>
      <w:pPr>
        <w:spacing w:line="360" w:lineRule="auto"/>
        <w:ind w:firstLine="480" w:firstLineChars="200"/>
        <w:rPr>
          <w:rFonts w:hint="eastAsia" w:ascii="宋体" w:hAnsi="宋体"/>
          <w:sz w:val="24"/>
        </w:rPr>
      </w:pPr>
      <w:r>
        <w:rPr>
          <w:rFonts w:hint="eastAsia" w:ascii="宋体" w:hAnsi="宋体"/>
          <w:sz w:val="24"/>
        </w:rPr>
        <w:t>29.6</w:t>
      </w:r>
      <w:r>
        <w:rPr>
          <w:rFonts w:ascii="宋体" w:hAnsi="宋体"/>
          <w:sz w:val="24"/>
        </w:rPr>
        <w:t xml:space="preserve"> </w:t>
      </w:r>
      <w:r>
        <w:rPr>
          <w:rFonts w:hint="eastAsia" w:ascii="宋体" w:hAnsi="宋体"/>
          <w:sz w:val="24"/>
        </w:rPr>
        <w:t>拒绝有关部门监督检查或者提供虚假情况的；</w:t>
      </w:r>
    </w:p>
    <w:p>
      <w:pPr>
        <w:spacing w:line="360" w:lineRule="auto"/>
        <w:ind w:firstLine="480" w:firstLineChars="200"/>
        <w:rPr>
          <w:rFonts w:hint="eastAsia" w:ascii="宋体" w:hAnsi="宋体"/>
          <w:sz w:val="24"/>
        </w:rPr>
      </w:pPr>
      <w:r>
        <w:rPr>
          <w:rFonts w:hint="eastAsia" w:ascii="宋体" w:hAnsi="宋体"/>
          <w:sz w:val="24"/>
        </w:rPr>
        <w:t>投标人有前款29.1至29.5项情形之一的，中标无效。</w:t>
      </w:r>
    </w:p>
    <w:p>
      <w:pPr>
        <w:spacing w:line="360" w:lineRule="auto"/>
        <w:ind w:firstLine="482" w:firstLineChars="200"/>
        <w:rPr>
          <w:rFonts w:hint="eastAsia" w:ascii="宋体" w:hAnsi="宋体"/>
          <w:b/>
          <w:sz w:val="24"/>
        </w:rPr>
      </w:pPr>
      <w:r>
        <w:rPr>
          <w:rFonts w:hint="eastAsia" w:ascii="宋体" w:hAnsi="宋体"/>
          <w:b/>
          <w:sz w:val="24"/>
        </w:rPr>
        <w:t>30.</w:t>
      </w:r>
      <w:r>
        <w:rPr>
          <w:rFonts w:ascii="宋体" w:hAnsi="宋体"/>
          <w:b/>
          <w:sz w:val="24"/>
        </w:rPr>
        <w:t xml:space="preserve"> </w:t>
      </w:r>
      <w:r>
        <w:rPr>
          <w:rFonts w:hint="eastAsia" w:ascii="宋体" w:hAnsi="宋体"/>
          <w:b/>
          <w:sz w:val="24"/>
        </w:rPr>
        <w:t>投标人有下列情形之一的，依照政府采购法第七十七条第一款的规定追究法律责任：</w:t>
      </w:r>
    </w:p>
    <w:p>
      <w:pPr>
        <w:spacing w:line="360" w:lineRule="auto"/>
        <w:ind w:firstLine="480" w:firstLineChars="200"/>
        <w:rPr>
          <w:rFonts w:hint="eastAsia" w:ascii="宋体" w:hAnsi="宋体"/>
          <w:sz w:val="24"/>
        </w:rPr>
      </w:pPr>
      <w:r>
        <w:rPr>
          <w:rFonts w:hint="eastAsia" w:ascii="宋体" w:hAnsi="宋体"/>
          <w:sz w:val="24"/>
        </w:rPr>
        <w:t>30.1</w:t>
      </w:r>
      <w:r>
        <w:rPr>
          <w:rFonts w:ascii="宋体" w:hAnsi="宋体"/>
          <w:sz w:val="24"/>
        </w:rPr>
        <w:t xml:space="preserve"> </w:t>
      </w:r>
      <w:r>
        <w:rPr>
          <w:rFonts w:hint="eastAsia" w:ascii="宋体" w:hAnsi="宋体"/>
          <w:sz w:val="24"/>
        </w:rPr>
        <w:t>向评审委员会或者</w:t>
      </w:r>
      <w:r>
        <w:rPr>
          <w:rFonts w:ascii="宋体" w:hAnsi="宋体"/>
          <w:sz w:val="24"/>
        </w:rPr>
        <w:t>评审委员会</w:t>
      </w:r>
      <w:r>
        <w:rPr>
          <w:rFonts w:hint="eastAsia" w:ascii="宋体" w:hAnsi="宋体"/>
          <w:sz w:val="24"/>
        </w:rPr>
        <w:t>成员行贿或者提供其他不正当利益；</w:t>
      </w:r>
    </w:p>
    <w:p>
      <w:pPr>
        <w:spacing w:line="360" w:lineRule="auto"/>
        <w:ind w:firstLine="480" w:firstLineChars="200"/>
        <w:rPr>
          <w:rFonts w:hint="eastAsia" w:ascii="宋体" w:hAnsi="宋体"/>
          <w:sz w:val="24"/>
        </w:rPr>
      </w:pPr>
      <w:r>
        <w:rPr>
          <w:rFonts w:hint="eastAsia" w:ascii="宋体" w:hAnsi="宋体"/>
          <w:sz w:val="24"/>
        </w:rPr>
        <w:t>30.2</w:t>
      </w:r>
      <w:r>
        <w:rPr>
          <w:rFonts w:ascii="宋体" w:hAnsi="宋体"/>
          <w:sz w:val="24"/>
        </w:rPr>
        <w:t xml:space="preserve"> </w:t>
      </w:r>
      <w:r>
        <w:rPr>
          <w:rFonts w:hint="eastAsia" w:ascii="宋体" w:hAnsi="宋体"/>
          <w:sz w:val="24"/>
        </w:rPr>
        <w:t>中标或者成交后无正当理由拒不与采购人签订政府采购合同；</w:t>
      </w:r>
    </w:p>
    <w:p>
      <w:pPr>
        <w:spacing w:line="360" w:lineRule="auto"/>
        <w:ind w:firstLine="480" w:firstLineChars="200"/>
        <w:rPr>
          <w:rFonts w:hint="eastAsia" w:ascii="宋体" w:hAnsi="宋体"/>
          <w:sz w:val="24"/>
        </w:rPr>
      </w:pPr>
      <w:r>
        <w:rPr>
          <w:rFonts w:hint="eastAsia" w:ascii="宋体" w:hAnsi="宋体"/>
          <w:sz w:val="24"/>
        </w:rPr>
        <w:t>30.3</w:t>
      </w:r>
      <w:r>
        <w:rPr>
          <w:rFonts w:ascii="宋体" w:hAnsi="宋体"/>
          <w:sz w:val="24"/>
        </w:rPr>
        <w:t xml:space="preserve"> </w:t>
      </w:r>
      <w:r>
        <w:rPr>
          <w:rFonts w:hint="eastAsia" w:ascii="宋体" w:hAnsi="宋体"/>
          <w:sz w:val="24"/>
        </w:rPr>
        <w:t>未按照招标文件确定的事项签订政府采购合同；</w:t>
      </w:r>
    </w:p>
    <w:p>
      <w:pPr>
        <w:spacing w:line="360" w:lineRule="auto"/>
        <w:ind w:firstLine="480" w:firstLineChars="200"/>
        <w:rPr>
          <w:rFonts w:hint="eastAsia" w:ascii="宋体" w:hAnsi="宋体"/>
          <w:sz w:val="24"/>
        </w:rPr>
      </w:pPr>
      <w:r>
        <w:rPr>
          <w:rFonts w:hint="eastAsia" w:ascii="宋体" w:hAnsi="宋体"/>
          <w:sz w:val="24"/>
        </w:rPr>
        <w:t>30.4</w:t>
      </w:r>
      <w:r>
        <w:rPr>
          <w:rFonts w:ascii="宋体" w:hAnsi="宋体"/>
          <w:sz w:val="24"/>
        </w:rPr>
        <w:t xml:space="preserve"> </w:t>
      </w:r>
      <w:r>
        <w:rPr>
          <w:rFonts w:hint="eastAsia" w:ascii="宋体" w:hAnsi="宋体"/>
          <w:sz w:val="24"/>
        </w:rPr>
        <w:t>将政府采购合同转包；</w:t>
      </w:r>
    </w:p>
    <w:p>
      <w:pPr>
        <w:spacing w:line="360" w:lineRule="auto"/>
        <w:ind w:firstLine="480" w:firstLineChars="200"/>
        <w:rPr>
          <w:rFonts w:hint="eastAsia" w:ascii="宋体" w:hAnsi="宋体"/>
          <w:sz w:val="24"/>
        </w:rPr>
      </w:pPr>
      <w:r>
        <w:rPr>
          <w:rFonts w:hint="eastAsia" w:ascii="宋体" w:hAnsi="宋体"/>
          <w:sz w:val="24"/>
        </w:rPr>
        <w:t>30.5</w:t>
      </w:r>
      <w:r>
        <w:rPr>
          <w:rFonts w:ascii="宋体" w:hAnsi="宋体"/>
          <w:sz w:val="24"/>
        </w:rPr>
        <w:t xml:space="preserve"> </w:t>
      </w:r>
      <w:r>
        <w:rPr>
          <w:rFonts w:hint="eastAsia" w:ascii="宋体" w:hAnsi="宋体"/>
          <w:sz w:val="24"/>
        </w:rPr>
        <w:t>提供假冒伪劣产品；</w:t>
      </w:r>
    </w:p>
    <w:p>
      <w:pPr>
        <w:spacing w:line="360" w:lineRule="auto"/>
        <w:ind w:firstLine="480" w:firstLineChars="200"/>
        <w:rPr>
          <w:rFonts w:hint="eastAsia" w:ascii="宋体" w:hAnsi="宋体"/>
          <w:sz w:val="24"/>
        </w:rPr>
      </w:pPr>
      <w:r>
        <w:rPr>
          <w:rFonts w:hint="eastAsia" w:ascii="宋体" w:hAnsi="宋体"/>
          <w:sz w:val="24"/>
        </w:rPr>
        <w:t>30.6</w:t>
      </w:r>
      <w:r>
        <w:rPr>
          <w:rFonts w:ascii="宋体" w:hAnsi="宋体"/>
          <w:sz w:val="24"/>
        </w:rPr>
        <w:t xml:space="preserve"> </w:t>
      </w:r>
      <w:r>
        <w:rPr>
          <w:rFonts w:hint="eastAsia" w:ascii="宋体" w:hAnsi="宋体"/>
          <w:sz w:val="24"/>
        </w:rPr>
        <w:t>擅自变更、中止或者终止政府采购合同。</w:t>
      </w:r>
    </w:p>
    <w:p>
      <w:pPr>
        <w:spacing w:line="360" w:lineRule="auto"/>
        <w:ind w:firstLine="480" w:firstLineChars="200"/>
        <w:rPr>
          <w:rFonts w:hint="eastAsia" w:ascii="宋体" w:hAnsi="宋体"/>
          <w:sz w:val="24"/>
        </w:rPr>
      </w:pPr>
      <w:r>
        <w:rPr>
          <w:rFonts w:hint="eastAsia" w:ascii="宋体" w:hAnsi="宋体"/>
          <w:sz w:val="24"/>
        </w:rPr>
        <w:t>投标人有前款第一项规定情形的，中标无效。评审阶段资格发生变化，投标人未依照《中华人民共和国政府采购法实施条例》第二十一条的规定通知采购人和采购代理机构的，处以采购金额5‰的罚款，列入不良行为记录名单，中标无效。</w:t>
      </w:r>
    </w:p>
    <w:p>
      <w:pPr>
        <w:spacing w:line="360" w:lineRule="auto"/>
        <w:ind w:firstLine="482" w:firstLineChars="200"/>
        <w:rPr>
          <w:rFonts w:hint="eastAsia" w:ascii="宋体" w:hAnsi="宋体"/>
          <w:b/>
          <w:sz w:val="24"/>
        </w:rPr>
      </w:pPr>
      <w:r>
        <w:rPr>
          <w:rFonts w:hint="eastAsia" w:ascii="宋体" w:hAnsi="宋体"/>
          <w:b/>
          <w:sz w:val="24"/>
        </w:rPr>
        <w:t>31.投标人捏造事实、提供虚假材料或者以非法手段取得证明材料进行投诉的，由财政部门列入不良行为记录名单，禁止其1至3年内参加政府采购活动。</w:t>
      </w:r>
    </w:p>
    <w:p>
      <w:pPr>
        <w:spacing w:line="360" w:lineRule="auto"/>
        <w:ind w:firstLine="482" w:firstLineChars="200"/>
        <w:rPr>
          <w:rFonts w:hint="eastAsia" w:ascii="宋体" w:hAnsi="宋体"/>
          <w:b/>
          <w:sz w:val="24"/>
        </w:rPr>
      </w:pPr>
      <w:r>
        <w:rPr>
          <w:rFonts w:hint="eastAsia" w:ascii="宋体" w:hAnsi="宋体"/>
          <w:b/>
          <w:sz w:val="24"/>
        </w:rPr>
        <w:t>32.有下列情形之一的，属于恶意串通，对投标人依照政府采购法第七十七条第一款的规定追究法律责任，对采购人、采购代理机构及其工作人员依照政府采购法第七十二条的规定追究法律责任：</w:t>
      </w:r>
    </w:p>
    <w:p>
      <w:pPr>
        <w:spacing w:line="360" w:lineRule="auto"/>
        <w:ind w:firstLine="480" w:firstLineChars="200"/>
        <w:rPr>
          <w:rFonts w:hint="eastAsia" w:ascii="宋体" w:hAnsi="宋体"/>
          <w:sz w:val="24"/>
        </w:rPr>
      </w:pPr>
      <w:r>
        <w:rPr>
          <w:rFonts w:hint="eastAsia" w:ascii="宋体" w:hAnsi="宋体"/>
          <w:sz w:val="24"/>
        </w:rPr>
        <w:t>32.1投标人直接或者间接从采购人或者采购代理机构处获得其他投标人的相关情况并修改其</w:t>
      </w:r>
      <w:r>
        <w:rPr>
          <w:rFonts w:hint="eastAsia" w:ascii="宋体" w:hAnsi="宋体"/>
          <w:kern w:val="0"/>
          <w:sz w:val="24"/>
        </w:rPr>
        <w:t>投标文件</w:t>
      </w:r>
      <w:r>
        <w:rPr>
          <w:rFonts w:hint="eastAsia" w:ascii="宋体" w:hAnsi="宋体"/>
          <w:sz w:val="24"/>
        </w:rPr>
        <w:t>；</w:t>
      </w:r>
    </w:p>
    <w:p>
      <w:pPr>
        <w:spacing w:line="360" w:lineRule="auto"/>
        <w:ind w:firstLine="480" w:firstLineChars="200"/>
        <w:rPr>
          <w:rFonts w:hint="eastAsia" w:ascii="宋体" w:hAnsi="宋体"/>
          <w:sz w:val="24"/>
        </w:rPr>
      </w:pPr>
      <w:r>
        <w:rPr>
          <w:rFonts w:hint="eastAsia" w:ascii="宋体" w:hAnsi="宋体"/>
          <w:sz w:val="24"/>
        </w:rPr>
        <w:t>32.2</w:t>
      </w:r>
      <w:r>
        <w:rPr>
          <w:rFonts w:ascii="宋体" w:hAnsi="宋体"/>
          <w:sz w:val="24"/>
        </w:rPr>
        <w:t xml:space="preserve"> </w:t>
      </w:r>
      <w:r>
        <w:rPr>
          <w:rFonts w:hint="eastAsia" w:ascii="宋体" w:hAnsi="宋体"/>
          <w:sz w:val="24"/>
        </w:rPr>
        <w:t>投标人按照采购人或者采购代理机构的授意撤换、修改</w:t>
      </w:r>
      <w:r>
        <w:rPr>
          <w:rFonts w:hint="eastAsia" w:ascii="宋体" w:hAnsi="宋体"/>
          <w:kern w:val="0"/>
          <w:sz w:val="24"/>
        </w:rPr>
        <w:t>投标文件</w:t>
      </w:r>
      <w:r>
        <w:rPr>
          <w:rFonts w:hint="eastAsia" w:ascii="宋体" w:hAnsi="宋体"/>
          <w:sz w:val="24"/>
        </w:rPr>
        <w:t>；</w:t>
      </w:r>
    </w:p>
    <w:p>
      <w:pPr>
        <w:spacing w:line="360" w:lineRule="auto"/>
        <w:ind w:firstLine="480" w:firstLineChars="200"/>
        <w:rPr>
          <w:rFonts w:hint="eastAsia" w:ascii="宋体" w:hAnsi="宋体"/>
          <w:sz w:val="24"/>
        </w:rPr>
      </w:pPr>
      <w:r>
        <w:rPr>
          <w:rFonts w:hint="eastAsia" w:ascii="宋体" w:hAnsi="宋体"/>
          <w:sz w:val="24"/>
        </w:rPr>
        <w:t>32.3</w:t>
      </w:r>
      <w:r>
        <w:rPr>
          <w:rFonts w:ascii="宋体" w:hAnsi="宋体"/>
          <w:sz w:val="24"/>
        </w:rPr>
        <w:t xml:space="preserve"> </w:t>
      </w:r>
      <w:r>
        <w:rPr>
          <w:rFonts w:hint="eastAsia" w:ascii="宋体" w:hAnsi="宋体"/>
          <w:sz w:val="24"/>
        </w:rPr>
        <w:t>投标人之间协商报价、技术方案等</w:t>
      </w:r>
      <w:r>
        <w:rPr>
          <w:rFonts w:hint="eastAsia" w:ascii="宋体" w:hAnsi="宋体"/>
          <w:kern w:val="0"/>
          <w:sz w:val="24"/>
        </w:rPr>
        <w:t>投标文件</w:t>
      </w:r>
      <w:r>
        <w:rPr>
          <w:rFonts w:hint="eastAsia" w:ascii="宋体" w:hAnsi="宋体"/>
          <w:sz w:val="24"/>
        </w:rPr>
        <w:t>的实质性内容；</w:t>
      </w:r>
    </w:p>
    <w:p>
      <w:pPr>
        <w:spacing w:line="360" w:lineRule="auto"/>
        <w:ind w:firstLine="480" w:firstLineChars="200"/>
        <w:rPr>
          <w:rFonts w:hint="eastAsia" w:ascii="宋体" w:hAnsi="宋体"/>
          <w:sz w:val="24"/>
        </w:rPr>
      </w:pPr>
      <w:r>
        <w:rPr>
          <w:rFonts w:hint="eastAsia" w:ascii="宋体" w:hAnsi="宋体"/>
          <w:sz w:val="24"/>
        </w:rPr>
        <w:t>32.4属于同一集团、协会、商会等组织成员的投标人按照该组织要求协同参加政府采购活动；</w:t>
      </w:r>
    </w:p>
    <w:p>
      <w:pPr>
        <w:spacing w:line="360" w:lineRule="auto"/>
        <w:ind w:firstLine="480" w:firstLineChars="200"/>
        <w:rPr>
          <w:rFonts w:ascii="宋体" w:hAnsi="宋体"/>
          <w:sz w:val="24"/>
        </w:rPr>
      </w:pPr>
      <w:r>
        <w:rPr>
          <w:rFonts w:hint="eastAsia" w:ascii="宋体" w:hAnsi="宋体"/>
          <w:sz w:val="24"/>
        </w:rPr>
        <w:t>32.5</w:t>
      </w:r>
      <w:r>
        <w:rPr>
          <w:rFonts w:ascii="宋体" w:hAnsi="宋体"/>
          <w:sz w:val="24"/>
        </w:rPr>
        <w:t xml:space="preserve"> </w:t>
      </w:r>
      <w:r>
        <w:rPr>
          <w:rFonts w:hint="eastAsia" w:ascii="宋体" w:hAnsi="宋体"/>
          <w:sz w:val="24"/>
        </w:rPr>
        <w:t>投标人之间事先约定由某一特定投标人中标、成交；</w:t>
      </w:r>
    </w:p>
    <w:p>
      <w:pPr>
        <w:spacing w:line="360" w:lineRule="auto"/>
        <w:ind w:firstLine="480" w:firstLineChars="200"/>
        <w:rPr>
          <w:rFonts w:ascii="宋体" w:hAnsi="宋体"/>
          <w:sz w:val="24"/>
        </w:rPr>
      </w:pPr>
      <w:r>
        <w:rPr>
          <w:rFonts w:hint="eastAsia" w:ascii="宋体" w:hAnsi="宋体"/>
          <w:sz w:val="24"/>
        </w:rPr>
        <w:t>32.6</w:t>
      </w:r>
      <w:r>
        <w:rPr>
          <w:rFonts w:ascii="宋体" w:hAnsi="宋体"/>
          <w:sz w:val="24"/>
        </w:rPr>
        <w:t xml:space="preserve"> </w:t>
      </w:r>
      <w:r>
        <w:rPr>
          <w:rFonts w:hint="eastAsia" w:ascii="宋体" w:hAnsi="宋体"/>
          <w:sz w:val="24"/>
        </w:rPr>
        <w:t>投标人之间商定部分投标人放弃参加政府采购活动或者放弃中标、成交；</w:t>
      </w:r>
    </w:p>
    <w:p>
      <w:pPr>
        <w:spacing w:line="360" w:lineRule="auto"/>
        <w:ind w:firstLine="480" w:firstLineChars="200"/>
        <w:rPr>
          <w:rFonts w:ascii="宋体" w:hAnsi="宋体"/>
          <w:sz w:val="20"/>
        </w:rPr>
      </w:pPr>
      <w:r>
        <w:rPr>
          <w:rFonts w:hint="eastAsia" w:ascii="宋体" w:hAnsi="宋体"/>
          <w:sz w:val="24"/>
        </w:rPr>
        <w:t>32.7投标人与采购人或者采购代理机构之间、投标人相互之间，为谋求特定投标人中标、成交或者排斥其他投标人的其他串通行为；</w:t>
      </w:r>
    </w:p>
    <w:p>
      <w:pPr>
        <w:spacing w:line="360" w:lineRule="auto"/>
        <w:ind w:firstLine="480" w:firstLineChars="200"/>
        <w:rPr>
          <w:rFonts w:hint="eastAsia" w:ascii="宋体" w:hAnsi="宋体"/>
          <w:sz w:val="24"/>
        </w:rPr>
      </w:pPr>
      <w:r>
        <w:rPr>
          <w:rFonts w:hint="eastAsia" w:ascii="宋体" w:hAnsi="宋体"/>
          <w:sz w:val="24"/>
        </w:rPr>
        <w:t>32.</w:t>
      </w:r>
      <w:r>
        <w:rPr>
          <w:rFonts w:ascii="宋体" w:hAnsi="宋体"/>
          <w:sz w:val="24"/>
        </w:rPr>
        <w:t xml:space="preserve">8 </w:t>
      </w:r>
      <w:r>
        <w:rPr>
          <w:rFonts w:hint="eastAsia" w:ascii="宋体" w:hAnsi="宋体"/>
          <w:sz w:val="24"/>
        </w:rPr>
        <w:t>不同投标人的投标文件由同一单位或者个人编制；</w:t>
      </w:r>
    </w:p>
    <w:p>
      <w:pPr>
        <w:spacing w:line="360" w:lineRule="auto"/>
        <w:ind w:firstLine="480" w:firstLineChars="200"/>
        <w:rPr>
          <w:rFonts w:hint="eastAsia" w:ascii="宋体" w:hAnsi="宋体"/>
          <w:sz w:val="24"/>
        </w:rPr>
      </w:pPr>
      <w:r>
        <w:rPr>
          <w:rFonts w:hint="eastAsia" w:ascii="宋体" w:hAnsi="宋体"/>
          <w:sz w:val="24"/>
        </w:rPr>
        <w:t>32.</w:t>
      </w:r>
      <w:r>
        <w:rPr>
          <w:rFonts w:ascii="宋体" w:hAnsi="宋体"/>
          <w:sz w:val="24"/>
        </w:rPr>
        <w:t xml:space="preserve">9 </w:t>
      </w:r>
      <w:r>
        <w:rPr>
          <w:rFonts w:hint="eastAsia" w:ascii="宋体" w:hAnsi="宋体"/>
          <w:sz w:val="24"/>
        </w:rPr>
        <w:t>不同投标人委托同一单位或者个人办理投标事宜；</w:t>
      </w:r>
    </w:p>
    <w:p>
      <w:pPr>
        <w:spacing w:line="360" w:lineRule="auto"/>
        <w:ind w:firstLine="480" w:firstLineChars="200"/>
        <w:rPr>
          <w:rFonts w:hint="eastAsia" w:ascii="宋体" w:hAnsi="宋体"/>
          <w:sz w:val="24"/>
        </w:rPr>
      </w:pPr>
      <w:r>
        <w:rPr>
          <w:rFonts w:hint="eastAsia" w:ascii="宋体" w:hAnsi="宋体"/>
          <w:sz w:val="24"/>
        </w:rPr>
        <w:t>32.</w:t>
      </w:r>
      <w:r>
        <w:rPr>
          <w:rFonts w:ascii="宋体" w:hAnsi="宋体"/>
          <w:sz w:val="24"/>
        </w:rPr>
        <w:t xml:space="preserve">10 </w:t>
      </w:r>
      <w:r>
        <w:rPr>
          <w:rFonts w:hint="eastAsia" w:ascii="宋体" w:hAnsi="宋体"/>
          <w:sz w:val="24"/>
        </w:rPr>
        <w:t>不同投标人的投标文件载明的项目管理成员或者联系人员为同一人；</w:t>
      </w:r>
    </w:p>
    <w:p>
      <w:pPr>
        <w:spacing w:line="360" w:lineRule="auto"/>
        <w:ind w:firstLine="480" w:firstLineChars="200"/>
        <w:rPr>
          <w:rFonts w:hint="eastAsia" w:ascii="宋体" w:hAnsi="宋体"/>
          <w:sz w:val="24"/>
        </w:rPr>
      </w:pPr>
      <w:r>
        <w:rPr>
          <w:rFonts w:hint="eastAsia" w:ascii="宋体" w:hAnsi="宋体"/>
          <w:sz w:val="24"/>
        </w:rPr>
        <w:t>32.</w:t>
      </w:r>
      <w:r>
        <w:rPr>
          <w:rFonts w:ascii="宋体" w:hAnsi="宋体"/>
          <w:sz w:val="24"/>
        </w:rPr>
        <w:t xml:space="preserve">11 </w:t>
      </w:r>
      <w:r>
        <w:rPr>
          <w:rFonts w:hint="eastAsia" w:ascii="宋体" w:hAnsi="宋体"/>
          <w:sz w:val="24"/>
        </w:rPr>
        <w:t>不同投标人的投标文件异常一致或者投标报价呈规律性差异；</w:t>
      </w:r>
    </w:p>
    <w:p>
      <w:pPr>
        <w:spacing w:line="360" w:lineRule="auto"/>
        <w:ind w:firstLine="480" w:firstLineChars="200"/>
        <w:rPr>
          <w:rFonts w:hint="eastAsia" w:ascii="宋体" w:hAnsi="宋体"/>
          <w:sz w:val="24"/>
        </w:rPr>
      </w:pPr>
      <w:r>
        <w:rPr>
          <w:rFonts w:hint="eastAsia" w:ascii="宋体" w:hAnsi="宋体"/>
          <w:sz w:val="24"/>
        </w:rPr>
        <w:t>32.</w:t>
      </w:r>
      <w:r>
        <w:rPr>
          <w:rFonts w:ascii="宋体" w:hAnsi="宋体"/>
          <w:sz w:val="24"/>
        </w:rPr>
        <w:t xml:space="preserve">12 </w:t>
      </w:r>
      <w:r>
        <w:rPr>
          <w:rFonts w:hint="eastAsia" w:ascii="宋体" w:hAnsi="宋体"/>
          <w:sz w:val="24"/>
        </w:rPr>
        <w:t>不同投标人的投标文件相互混装。</w:t>
      </w:r>
    </w:p>
    <w:bookmarkEnd w:id="47"/>
    <w:bookmarkEnd w:id="48"/>
    <w:bookmarkEnd w:id="49"/>
    <w:p>
      <w:pPr>
        <w:pStyle w:val="6"/>
        <w:ind w:firstLine="157" w:firstLineChars="49"/>
        <w:rPr>
          <w:rFonts w:hint="eastAsia" w:ascii="宋体" w:hAnsi="宋体" w:eastAsia="宋体"/>
          <w:sz w:val="32"/>
        </w:rPr>
      </w:pPr>
      <w:bookmarkStart w:id="65" w:name="_Toc112414182"/>
      <w:bookmarkStart w:id="66" w:name="_Toc41577874"/>
      <w:bookmarkStart w:id="67" w:name="_Toc17793770"/>
      <w:bookmarkStart w:id="68" w:name="_Toc176659672"/>
      <w:bookmarkStart w:id="69" w:name="_Toc415648537"/>
      <w:bookmarkStart w:id="70" w:name="_Toc335664279"/>
      <w:bookmarkStart w:id="71" w:name="_Toc334087237"/>
      <w:bookmarkStart w:id="72" w:name="_Toc396838137"/>
      <w:bookmarkStart w:id="73" w:name="_Toc393869893"/>
      <w:r>
        <w:rPr>
          <w:rFonts w:hint="eastAsia" w:ascii="宋体" w:hAnsi="宋体" w:eastAsia="宋体"/>
          <w:sz w:val="32"/>
        </w:rPr>
        <w:t>九   澄清、修改发布媒体</w:t>
      </w:r>
      <w:bookmarkEnd w:id="65"/>
      <w:bookmarkEnd w:id="66"/>
      <w:bookmarkEnd w:id="67"/>
    </w:p>
    <w:p>
      <w:pPr>
        <w:snapToGrid w:val="0"/>
        <w:spacing w:line="360" w:lineRule="auto"/>
        <w:ind w:firstLine="480" w:firstLineChars="200"/>
        <w:rPr>
          <w:rFonts w:hint="eastAsia" w:ascii="仿宋_GB2312" w:eastAsia="仿宋_GB2312"/>
          <w:kern w:val="0"/>
          <w:sz w:val="24"/>
        </w:rPr>
      </w:pPr>
      <w:r>
        <w:rPr>
          <w:rFonts w:hint="eastAsia" w:ascii="宋体" w:hAnsi="宋体"/>
          <w:sz w:val="24"/>
        </w:rPr>
        <w:t>33.1针对潜在投标人提出的询问，采购代理机构一般在3个工作日内作出答复，如需澄清或</w:t>
      </w:r>
      <w:r>
        <w:rPr>
          <w:rFonts w:hint="eastAsia" w:ascii="宋体" w:hAnsi="宋体"/>
          <w:bCs/>
          <w:kern w:val="0"/>
          <w:sz w:val="24"/>
        </w:rPr>
        <w:t>修改的，采购代理机构将在投标截止时间十五日前将澄清或修改内容在浙江政府采购网</w:t>
      </w:r>
      <w:r>
        <w:rPr>
          <w:rFonts w:ascii="宋体" w:hAnsi="宋体"/>
          <w:bCs/>
          <w:kern w:val="0"/>
          <w:sz w:val="24"/>
        </w:rPr>
        <w:fldChar w:fldCharType="begin"/>
      </w:r>
      <w:r>
        <w:rPr>
          <w:rFonts w:ascii="宋体" w:hAnsi="宋体"/>
          <w:bCs/>
          <w:kern w:val="0"/>
          <w:sz w:val="24"/>
        </w:rPr>
        <w:instrText xml:space="preserve"> HYPERLINK "http://60.190.126.3:8080/wcm/WCMV6/editor/editor/招标文件（新版）.doc" </w:instrText>
      </w:r>
      <w:r>
        <w:rPr>
          <w:rFonts w:ascii="宋体" w:hAnsi="宋体"/>
          <w:bCs/>
          <w:kern w:val="0"/>
          <w:sz w:val="24"/>
        </w:rPr>
        <w:fldChar w:fldCharType="separate"/>
      </w:r>
      <w:r>
        <w:rPr>
          <w:rFonts w:hint="eastAsia" w:ascii="宋体" w:hAnsi="宋体"/>
          <w:bCs/>
          <w:kern w:val="0"/>
          <w:sz w:val="24"/>
        </w:rPr>
        <w:t>http://zfcg.czt.zj.gov.cn/</w:t>
      </w:r>
      <w:r>
        <w:rPr>
          <w:rFonts w:ascii="宋体" w:hAnsi="宋体"/>
          <w:bCs/>
          <w:kern w:val="0"/>
          <w:sz w:val="24"/>
        </w:rPr>
        <w:fldChar w:fldCharType="end"/>
      </w:r>
      <w:r>
        <w:rPr>
          <w:rFonts w:hint="eastAsia" w:ascii="宋体" w:hAnsi="宋体"/>
          <w:bCs/>
          <w:kern w:val="0"/>
          <w:sz w:val="24"/>
        </w:rPr>
        <w:t>、</w:t>
      </w:r>
      <w:r>
        <w:rPr>
          <w:rFonts w:hint="eastAsia" w:ascii="宋体" w:hAnsi="宋体"/>
          <w:sz w:val="24"/>
        </w:rPr>
        <w:t>丽水市公共资源交易网（莲都）</w:t>
      </w:r>
      <w:r>
        <w:rPr>
          <w:rFonts w:ascii="宋体" w:hAnsi="宋体"/>
          <w:sz w:val="24"/>
        </w:rPr>
        <w:t>http://lssggzy.lishui.gov.cn/ldweb/</w:t>
      </w:r>
      <w:r>
        <w:rPr>
          <w:rFonts w:hint="eastAsia" w:ascii="宋体" w:hAnsi="宋体"/>
          <w:bCs/>
          <w:kern w:val="0"/>
          <w:sz w:val="24"/>
        </w:rPr>
        <w:t>上予以公布，潜在投标人应自行关注网站更正公告等内容，采购代理机构不再一一通知。</w:t>
      </w:r>
    </w:p>
    <w:p>
      <w:pPr>
        <w:snapToGrid w:val="0"/>
        <w:spacing w:line="360" w:lineRule="auto"/>
        <w:ind w:firstLine="480" w:firstLineChars="200"/>
        <w:rPr>
          <w:rFonts w:hint="eastAsia" w:ascii="宋体" w:hAnsi="宋体"/>
          <w:sz w:val="24"/>
        </w:rPr>
      </w:pPr>
      <w:r>
        <w:rPr>
          <w:rFonts w:hint="eastAsia" w:ascii="宋体" w:hAnsi="宋体"/>
          <w:sz w:val="24"/>
        </w:rPr>
        <w:t>33.2潜在投标人提出的询问超出采购人对采购代理机构委托授权范围的，投标人应向采购人提出。</w:t>
      </w:r>
    </w:p>
    <w:p>
      <w:pPr>
        <w:pStyle w:val="6"/>
        <w:ind w:firstLine="200" w:firstLineChars="0"/>
        <w:rPr>
          <w:rFonts w:hint="eastAsia" w:ascii="宋体" w:hAnsi="宋体" w:eastAsia="宋体"/>
          <w:sz w:val="32"/>
        </w:rPr>
      </w:pPr>
      <w:bookmarkStart w:id="74" w:name="_Toc112414183"/>
      <w:bookmarkStart w:id="75" w:name="_Toc41577875"/>
      <w:r>
        <w:rPr>
          <w:rFonts w:hint="eastAsia" w:ascii="宋体" w:hAnsi="宋体" w:eastAsia="宋体"/>
          <w:sz w:val="32"/>
        </w:rPr>
        <w:t>十   质疑</w:t>
      </w:r>
      <w:bookmarkEnd w:id="68"/>
      <w:bookmarkEnd w:id="69"/>
      <w:bookmarkEnd w:id="70"/>
      <w:bookmarkEnd w:id="71"/>
      <w:bookmarkEnd w:id="72"/>
      <w:bookmarkEnd w:id="73"/>
      <w:bookmarkEnd w:id="74"/>
      <w:bookmarkEnd w:id="75"/>
    </w:p>
    <w:p>
      <w:pPr>
        <w:spacing w:line="360" w:lineRule="auto"/>
        <w:ind w:firstLine="480" w:firstLineChars="200"/>
        <w:rPr>
          <w:rFonts w:hint="eastAsia" w:ascii="宋体" w:hAnsi="宋体"/>
          <w:sz w:val="24"/>
          <w:szCs w:val="21"/>
        </w:rPr>
      </w:pPr>
      <w:r>
        <w:rPr>
          <w:rFonts w:hint="eastAsia" w:ascii="宋体" w:hAnsi="宋体"/>
          <w:sz w:val="24"/>
          <w:szCs w:val="21"/>
        </w:rPr>
        <w:t>34</w:t>
      </w:r>
      <w:r>
        <w:rPr>
          <w:rFonts w:ascii="宋体" w:hAnsi="宋体"/>
          <w:sz w:val="24"/>
          <w:szCs w:val="21"/>
        </w:rPr>
        <w:t>.</w:t>
      </w:r>
      <w:r>
        <w:rPr>
          <w:rFonts w:hint="eastAsia" w:ascii="宋体" w:hAnsi="宋体"/>
          <w:sz w:val="24"/>
          <w:szCs w:val="21"/>
        </w:rPr>
        <w:t>1</w:t>
      </w:r>
      <w:r>
        <w:rPr>
          <w:rFonts w:hint="eastAsia" w:ascii="宋体" w:hAnsi="宋体" w:cs="宋体"/>
          <w:kern w:val="0"/>
          <w:sz w:val="24"/>
        </w:rPr>
        <w:t>投标人认为采购文件、采购过程、中标或者成交结果使自己的权益受到损害的，可以在知道或者应知其权益受到损害之日起7个工作日内，以书面形式向采购人、采购代理机构一次性提出各采购程序环节的质疑。</w:t>
      </w:r>
    </w:p>
    <w:p>
      <w:pPr>
        <w:spacing w:line="360" w:lineRule="auto"/>
        <w:ind w:firstLine="480" w:firstLineChars="200"/>
        <w:rPr>
          <w:rFonts w:hint="eastAsia" w:ascii="宋体" w:hAnsi="宋体"/>
          <w:sz w:val="24"/>
          <w:szCs w:val="21"/>
        </w:rPr>
      </w:pPr>
      <w:r>
        <w:rPr>
          <w:rFonts w:hint="eastAsia" w:ascii="宋体" w:hAnsi="宋体"/>
          <w:sz w:val="24"/>
          <w:szCs w:val="21"/>
        </w:rPr>
        <w:t>34.2质疑的主要内容应符合</w:t>
      </w:r>
      <w:r>
        <w:rPr>
          <w:rFonts w:hint="eastAsia" w:ascii="宋体" w:hAnsi="宋体" w:cs="Calibri"/>
          <w:kern w:val="0"/>
          <w:sz w:val="24"/>
        </w:rPr>
        <w:t>《政府采购质疑和投诉办法》（94号令）规定</w:t>
      </w:r>
      <w:r>
        <w:rPr>
          <w:rFonts w:hint="eastAsia" w:ascii="宋体" w:hAnsi="宋体"/>
          <w:sz w:val="24"/>
          <w:szCs w:val="21"/>
        </w:rPr>
        <w:t>以及浙江省和丽水市相关文件的规定。质疑内容涉及保密事项，质疑投标人应提供有效的信息来源或有效证据。</w:t>
      </w:r>
    </w:p>
    <w:p>
      <w:pPr>
        <w:spacing w:line="360" w:lineRule="auto"/>
        <w:ind w:firstLine="480" w:firstLineChars="200"/>
        <w:rPr>
          <w:rFonts w:hint="eastAsia" w:ascii="宋体" w:hAnsi="宋体"/>
          <w:sz w:val="24"/>
          <w:szCs w:val="21"/>
        </w:rPr>
      </w:pPr>
      <w:r>
        <w:rPr>
          <w:rFonts w:hint="eastAsia" w:ascii="宋体" w:hAnsi="宋体"/>
          <w:sz w:val="24"/>
          <w:szCs w:val="21"/>
        </w:rPr>
        <w:t>34.3质疑投标人可直接提交、传真或邮寄方式提交质疑书（一式三份以上）。以其他方式提出的质疑，采购代理机构</w:t>
      </w:r>
      <w:r>
        <w:rPr>
          <w:rFonts w:ascii="宋体" w:hAnsi="宋体"/>
          <w:sz w:val="24"/>
          <w:szCs w:val="21"/>
        </w:rPr>
        <w:t>可不予接受、答复。</w:t>
      </w:r>
    </w:p>
    <w:p>
      <w:pPr>
        <w:spacing w:line="360" w:lineRule="auto"/>
        <w:ind w:firstLine="480" w:firstLineChars="200"/>
        <w:rPr>
          <w:rFonts w:hint="eastAsia" w:ascii="宋体" w:hAnsi="宋体"/>
          <w:sz w:val="24"/>
          <w:szCs w:val="21"/>
        </w:rPr>
      </w:pPr>
      <w:r>
        <w:rPr>
          <w:rFonts w:hint="eastAsia" w:ascii="宋体" w:hAnsi="宋体"/>
          <w:sz w:val="24"/>
          <w:szCs w:val="21"/>
        </w:rPr>
        <w:t>34.3.1</w:t>
      </w:r>
      <w:r>
        <w:rPr>
          <w:rFonts w:ascii="宋体" w:hAnsi="宋体"/>
          <w:sz w:val="24"/>
          <w:szCs w:val="21"/>
        </w:rPr>
        <w:t>邮寄方式送达质疑书的，以</w:t>
      </w:r>
      <w:r>
        <w:rPr>
          <w:rFonts w:hint="eastAsia" w:ascii="宋体" w:hAnsi="宋体"/>
          <w:sz w:val="24"/>
          <w:szCs w:val="21"/>
        </w:rPr>
        <w:t>采购代理机构</w:t>
      </w:r>
      <w:r>
        <w:rPr>
          <w:rFonts w:ascii="宋体" w:hAnsi="宋体"/>
          <w:sz w:val="24"/>
          <w:szCs w:val="21"/>
        </w:rPr>
        <w:t>实际收到邮件之日作为收到质疑的日期。</w:t>
      </w:r>
    </w:p>
    <w:p>
      <w:pPr>
        <w:spacing w:line="360" w:lineRule="auto"/>
        <w:ind w:firstLine="480" w:firstLineChars="200"/>
        <w:rPr>
          <w:rFonts w:hint="eastAsia" w:ascii="宋体" w:hAnsi="宋体"/>
          <w:sz w:val="24"/>
          <w:szCs w:val="21"/>
        </w:rPr>
      </w:pPr>
      <w:r>
        <w:rPr>
          <w:rFonts w:hint="eastAsia" w:ascii="宋体" w:hAnsi="宋体"/>
          <w:sz w:val="24"/>
          <w:szCs w:val="21"/>
        </w:rPr>
        <w:t>34.3.2</w:t>
      </w:r>
      <w:r>
        <w:rPr>
          <w:rFonts w:ascii="宋体" w:hAnsi="宋体"/>
          <w:sz w:val="24"/>
          <w:szCs w:val="21"/>
        </w:rPr>
        <w:t>传真方式送达质疑书的，质疑</w:t>
      </w:r>
      <w:r>
        <w:rPr>
          <w:rFonts w:hint="eastAsia" w:ascii="宋体" w:hAnsi="宋体"/>
          <w:sz w:val="24"/>
          <w:szCs w:val="21"/>
        </w:rPr>
        <w:t>投标人</w:t>
      </w:r>
      <w:r>
        <w:rPr>
          <w:rFonts w:ascii="宋体" w:hAnsi="宋体"/>
          <w:sz w:val="24"/>
          <w:szCs w:val="21"/>
        </w:rPr>
        <w:t>应当取得</w:t>
      </w:r>
      <w:r>
        <w:rPr>
          <w:rFonts w:hint="eastAsia" w:ascii="宋体" w:hAnsi="宋体"/>
          <w:sz w:val="24"/>
          <w:szCs w:val="21"/>
        </w:rPr>
        <w:t>采购代理机构</w:t>
      </w:r>
      <w:r>
        <w:rPr>
          <w:rFonts w:ascii="宋体" w:hAnsi="宋体"/>
          <w:sz w:val="24"/>
          <w:szCs w:val="21"/>
        </w:rPr>
        <w:t>确认收到传真的意见，并及时将质疑书原件送达</w:t>
      </w:r>
      <w:r>
        <w:rPr>
          <w:rFonts w:hint="eastAsia" w:ascii="宋体" w:hAnsi="宋体"/>
          <w:sz w:val="24"/>
          <w:szCs w:val="21"/>
        </w:rPr>
        <w:t>采购代理机构</w:t>
      </w:r>
      <w:r>
        <w:rPr>
          <w:rFonts w:ascii="宋体" w:hAnsi="宋体"/>
          <w:sz w:val="24"/>
          <w:szCs w:val="21"/>
        </w:rPr>
        <w:t>。</w:t>
      </w:r>
      <w:r>
        <w:rPr>
          <w:rFonts w:hint="eastAsia" w:ascii="宋体" w:hAnsi="宋体"/>
          <w:sz w:val="24"/>
          <w:szCs w:val="21"/>
        </w:rPr>
        <w:t>采购代理机构</w:t>
      </w:r>
      <w:r>
        <w:rPr>
          <w:rFonts w:ascii="宋体" w:hAnsi="宋体"/>
          <w:sz w:val="24"/>
          <w:szCs w:val="21"/>
        </w:rPr>
        <w:t>以实际收到原件之日作为收到质疑的日期。</w:t>
      </w:r>
    </w:p>
    <w:p>
      <w:pPr>
        <w:spacing w:line="360" w:lineRule="auto"/>
        <w:ind w:firstLine="480" w:firstLineChars="200"/>
        <w:rPr>
          <w:rFonts w:hint="eastAsia" w:ascii="宋体" w:hAnsi="宋体"/>
          <w:sz w:val="24"/>
          <w:szCs w:val="21"/>
        </w:rPr>
      </w:pPr>
      <w:r>
        <w:rPr>
          <w:rFonts w:hint="eastAsia" w:ascii="宋体" w:hAnsi="宋体"/>
          <w:sz w:val="24"/>
          <w:szCs w:val="21"/>
        </w:rPr>
        <w:t>34.3.3</w:t>
      </w:r>
      <w:r>
        <w:rPr>
          <w:rFonts w:ascii="宋体" w:hAnsi="宋体"/>
          <w:sz w:val="24"/>
          <w:szCs w:val="21"/>
        </w:rPr>
        <w:t>在质疑期限届满前，质疑书已经邮寄或传真成功的，质疑不视为过期。</w:t>
      </w:r>
    </w:p>
    <w:p>
      <w:pPr>
        <w:spacing w:line="360" w:lineRule="auto"/>
        <w:ind w:firstLine="480" w:firstLineChars="200"/>
        <w:rPr>
          <w:rFonts w:hint="eastAsia" w:ascii="宋体" w:hAnsi="宋体"/>
          <w:sz w:val="24"/>
          <w:szCs w:val="21"/>
        </w:rPr>
      </w:pPr>
      <w:r>
        <w:rPr>
          <w:rFonts w:hint="eastAsia" w:ascii="宋体" w:hAnsi="宋体"/>
          <w:sz w:val="24"/>
          <w:szCs w:val="21"/>
        </w:rPr>
        <w:t>34.4质疑投标人提供的相关材料中有外文资料的，应将与质疑相关的外文资料完整、客观、真实地翻译为中文，并注明翻译人员姓名、工作单位、联系方式等信息。</w:t>
      </w:r>
    </w:p>
    <w:p>
      <w:pPr>
        <w:spacing w:line="360" w:lineRule="auto"/>
        <w:ind w:firstLine="480" w:firstLineChars="200"/>
        <w:rPr>
          <w:rFonts w:ascii="宋体" w:hAnsi="宋体"/>
          <w:sz w:val="24"/>
          <w:szCs w:val="21"/>
        </w:rPr>
      </w:pPr>
      <w:r>
        <w:rPr>
          <w:rFonts w:hint="eastAsia" w:ascii="宋体" w:hAnsi="宋体"/>
          <w:sz w:val="24"/>
          <w:szCs w:val="21"/>
        </w:rPr>
        <w:t>34</w:t>
      </w:r>
      <w:r>
        <w:rPr>
          <w:rFonts w:ascii="宋体" w:hAnsi="宋体"/>
          <w:sz w:val="24"/>
          <w:szCs w:val="21"/>
        </w:rPr>
        <w:t>.</w:t>
      </w:r>
      <w:r>
        <w:rPr>
          <w:rFonts w:hint="eastAsia" w:ascii="宋体" w:hAnsi="宋体"/>
          <w:sz w:val="24"/>
          <w:szCs w:val="21"/>
        </w:rPr>
        <w:t>5采购代理机构在收到质疑投标人的书面质疑后7个工作日内作出答复，并以书面形式答复质疑投标人</w:t>
      </w:r>
      <w:r>
        <w:rPr>
          <w:rFonts w:ascii="宋体" w:hAnsi="宋体"/>
          <w:sz w:val="24"/>
          <w:szCs w:val="21"/>
        </w:rPr>
        <w:t>。</w:t>
      </w:r>
    </w:p>
    <w:p>
      <w:pPr>
        <w:spacing w:line="360" w:lineRule="auto"/>
        <w:ind w:firstLine="480" w:firstLineChars="200"/>
        <w:rPr>
          <w:rFonts w:hint="eastAsia" w:ascii="宋体" w:hAnsi="宋体"/>
          <w:sz w:val="24"/>
          <w:szCs w:val="21"/>
        </w:rPr>
      </w:pPr>
      <w:r>
        <w:rPr>
          <w:rFonts w:hint="eastAsia" w:ascii="宋体" w:hAnsi="宋体"/>
          <w:sz w:val="24"/>
          <w:szCs w:val="21"/>
        </w:rPr>
        <w:t>34.6质疑投标人捏造事实、提供虚假材料进行质疑的，采购代理机构报告同级财政部门，由同级财政部门审查，情况属实的，应列入不良行为记录，并在指定的媒体上公告。</w:t>
      </w:r>
    </w:p>
    <w:p>
      <w:pPr>
        <w:pStyle w:val="6"/>
        <w:ind w:firstLine="200" w:firstLineChars="0"/>
        <w:rPr>
          <w:rFonts w:hint="eastAsia" w:ascii="宋体" w:hAnsi="宋体" w:eastAsia="宋体"/>
          <w:sz w:val="32"/>
        </w:rPr>
      </w:pPr>
      <w:bookmarkStart w:id="76" w:name="_Toc41577876"/>
      <w:bookmarkStart w:id="77" w:name="_Toc112414184"/>
      <w:r>
        <w:rPr>
          <w:rFonts w:hint="eastAsia" w:ascii="宋体" w:hAnsi="宋体" w:eastAsia="宋体"/>
          <w:sz w:val="32"/>
        </w:rPr>
        <w:t>十一  投诉</w:t>
      </w:r>
      <w:bookmarkEnd w:id="50"/>
      <w:bookmarkEnd w:id="51"/>
      <w:bookmarkEnd w:id="52"/>
      <w:bookmarkEnd w:id="53"/>
      <w:bookmarkEnd w:id="76"/>
      <w:bookmarkEnd w:id="77"/>
    </w:p>
    <w:p>
      <w:pPr>
        <w:spacing w:line="360" w:lineRule="auto"/>
        <w:ind w:firstLine="480" w:firstLineChars="200"/>
        <w:rPr>
          <w:rFonts w:hint="eastAsia" w:ascii="宋体" w:hAnsi="宋体"/>
          <w:sz w:val="24"/>
        </w:rPr>
      </w:pPr>
      <w:r>
        <w:rPr>
          <w:rFonts w:hint="eastAsia" w:ascii="宋体" w:hAnsi="宋体"/>
          <w:sz w:val="24"/>
        </w:rPr>
        <w:t>35.1质疑投标人对采购代理机构的答复不满意或者采购代理机构未在规定时间内答复的，可以在答复期满后十五个工作日内按有关规定，书面向同级政府采购管理办公室投诉。</w:t>
      </w:r>
    </w:p>
    <w:p>
      <w:pPr>
        <w:pStyle w:val="2"/>
        <w:spacing w:line="360" w:lineRule="auto"/>
        <w:rPr>
          <w:rFonts w:hint="eastAsia" w:ascii="宋体" w:hAnsi="宋体" w:eastAsia="宋体"/>
          <w:sz w:val="24"/>
          <w:lang w:val="en-US"/>
        </w:rPr>
      </w:pPr>
      <w:r>
        <w:rPr>
          <w:rFonts w:hint="eastAsia" w:ascii="宋体" w:hAnsi="宋体" w:eastAsia="宋体"/>
          <w:sz w:val="24"/>
          <w:lang w:val="en-US"/>
        </w:rPr>
        <w:t>35.2本项目采购人可根据实际需要邀请第三方专业机构及专家或参加本项目的其他投标人参与验收。其他</w:t>
      </w:r>
      <w:r>
        <w:rPr>
          <w:rFonts w:ascii="宋体" w:hAnsi="宋体" w:eastAsia="宋体"/>
          <w:sz w:val="24"/>
          <w:lang w:val="en-US"/>
        </w:rPr>
        <w:t>投标人</w:t>
      </w:r>
      <w:r>
        <w:rPr>
          <w:rFonts w:hint="eastAsia" w:ascii="宋体" w:hAnsi="宋体" w:eastAsia="宋体"/>
          <w:sz w:val="24"/>
          <w:lang w:val="en-US"/>
        </w:rPr>
        <w:t>应遵守诚实信用、实事求是的原则，在验收期间积极配合采购人组织的验收工作，不得影响或阻扰验收工作的正常进行。参与验收的一切费用，原则上由投标人自行承担。</w:t>
      </w:r>
    </w:p>
    <w:p>
      <w:pPr>
        <w:pStyle w:val="6"/>
        <w:ind w:firstLine="200" w:firstLineChars="0"/>
        <w:rPr>
          <w:rFonts w:ascii="宋体" w:hAnsi="宋体" w:eastAsia="宋体"/>
          <w:sz w:val="32"/>
        </w:rPr>
      </w:pPr>
      <w:bookmarkStart w:id="78" w:name="_Toc41577877"/>
      <w:bookmarkStart w:id="79" w:name="_Toc112414185"/>
      <w:r>
        <w:rPr>
          <w:rFonts w:hint="eastAsia" w:ascii="宋体" w:hAnsi="宋体" w:eastAsia="宋体"/>
          <w:sz w:val="32"/>
        </w:rPr>
        <w:t>十二  授予合同</w:t>
      </w:r>
      <w:bookmarkEnd w:id="54"/>
      <w:bookmarkEnd w:id="78"/>
      <w:bookmarkEnd w:id="79"/>
    </w:p>
    <w:p>
      <w:pPr>
        <w:spacing w:line="360" w:lineRule="auto"/>
        <w:ind w:firstLine="480" w:firstLineChars="200"/>
        <w:rPr>
          <w:rFonts w:ascii="宋体" w:hAnsi="宋体"/>
          <w:sz w:val="24"/>
        </w:rPr>
      </w:pPr>
      <w:r>
        <w:rPr>
          <w:rFonts w:hint="eastAsia" w:ascii="宋体" w:hAnsi="宋体"/>
          <w:sz w:val="24"/>
        </w:rPr>
        <w:t>36</w:t>
      </w:r>
      <w:r>
        <w:rPr>
          <w:rFonts w:ascii="宋体" w:hAnsi="宋体"/>
          <w:sz w:val="24"/>
        </w:rPr>
        <w:t xml:space="preserve">. </w:t>
      </w:r>
      <w:r>
        <w:rPr>
          <w:rFonts w:hint="eastAsia" w:ascii="宋体" w:hAnsi="宋体"/>
          <w:sz w:val="24"/>
        </w:rPr>
        <w:t>中标结果公告及中标通知书</w:t>
      </w:r>
    </w:p>
    <w:p>
      <w:pPr>
        <w:spacing w:line="360" w:lineRule="auto"/>
        <w:ind w:firstLine="480" w:firstLineChars="200"/>
        <w:rPr>
          <w:rFonts w:ascii="宋体" w:hAnsi="宋体"/>
          <w:sz w:val="24"/>
        </w:rPr>
      </w:pPr>
      <w:r>
        <w:rPr>
          <w:rFonts w:hint="eastAsia" w:ascii="宋体" w:hAnsi="宋体"/>
          <w:sz w:val="24"/>
        </w:rPr>
        <w:t>36.1</w:t>
      </w:r>
      <w:r>
        <w:rPr>
          <w:rFonts w:ascii="宋体" w:hAnsi="宋体"/>
          <w:sz w:val="24"/>
        </w:rPr>
        <w:t xml:space="preserve"> </w:t>
      </w:r>
      <w:r>
        <w:rPr>
          <w:rFonts w:hint="eastAsia" w:ascii="宋体" w:hAnsi="宋体"/>
          <w:sz w:val="24"/>
        </w:rPr>
        <w:t>采购代理机构将在浙江政府采购网</w:t>
      </w:r>
      <w:r>
        <w:rPr>
          <w:rFonts w:ascii="宋体" w:hAnsi="宋体"/>
          <w:sz w:val="24"/>
        </w:rPr>
        <w:fldChar w:fldCharType="begin"/>
      </w:r>
      <w:r>
        <w:rPr>
          <w:rFonts w:ascii="宋体" w:hAnsi="宋体"/>
          <w:sz w:val="24"/>
        </w:rPr>
        <w:instrText xml:space="preserve"> HYPERLINK "http://60.190.126.3:8080/wcm/WCMV6/editor/editor/招标文件（新版）.doc" </w:instrText>
      </w:r>
      <w:r>
        <w:rPr>
          <w:rFonts w:ascii="宋体" w:hAnsi="宋体"/>
          <w:sz w:val="24"/>
        </w:rPr>
        <w:fldChar w:fldCharType="separate"/>
      </w:r>
      <w:r>
        <w:rPr>
          <w:rFonts w:hint="eastAsia" w:ascii="宋体" w:hAnsi="宋体"/>
          <w:sz w:val="24"/>
        </w:rPr>
        <w:t>http://zfcg.czt.zj.gov.cn/</w:t>
      </w:r>
      <w:r>
        <w:rPr>
          <w:rFonts w:ascii="宋体" w:hAnsi="宋体"/>
          <w:sz w:val="24"/>
        </w:rPr>
        <w:fldChar w:fldCharType="end"/>
      </w:r>
      <w:r>
        <w:rPr>
          <w:rFonts w:ascii="宋体" w:hAnsi="宋体"/>
          <w:sz w:val="24"/>
        </w:rPr>
        <w:t xml:space="preserve"> </w:t>
      </w:r>
      <w:r>
        <w:rPr>
          <w:rFonts w:hint="eastAsia" w:ascii="宋体" w:hAnsi="宋体"/>
          <w:sz w:val="24"/>
        </w:rPr>
        <w:t>、丽水市公共资源交易网（莲都）</w:t>
      </w:r>
      <w:r>
        <w:rPr>
          <w:rFonts w:ascii="宋体" w:hAnsi="宋体"/>
          <w:sz w:val="24"/>
        </w:rPr>
        <w:t>http://lssggzy.lishui.gov.cn/ldweb/</w:t>
      </w:r>
      <w:r>
        <w:rPr>
          <w:rFonts w:hint="eastAsia" w:ascii="宋体" w:hAnsi="宋体"/>
          <w:sz w:val="24"/>
        </w:rPr>
        <w:t>上发布中标结果公告。中标结果公告内容不包括国家秘密、商业秘密。</w:t>
      </w:r>
    </w:p>
    <w:p>
      <w:pPr>
        <w:spacing w:line="360" w:lineRule="auto"/>
        <w:ind w:firstLine="480" w:firstLineChars="200"/>
        <w:rPr>
          <w:rFonts w:hint="eastAsia" w:ascii="宋体" w:hAnsi="宋体"/>
          <w:sz w:val="24"/>
        </w:rPr>
      </w:pPr>
      <w:r>
        <w:rPr>
          <w:rFonts w:hint="eastAsia" w:ascii="宋体" w:hAnsi="宋体"/>
          <w:kern w:val="0"/>
          <w:sz w:val="24"/>
        </w:rPr>
        <w:t>36.2发布中标公告的同时，采购代理机构向中标人发出中标通知书。</w:t>
      </w:r>
    </w:p>
    <w:p>
      <w:pPr>
        <w:spacing w:line="360" w:lineRule="auto"/>
        <w:ind w:firstLine="480" w:firstLineChars="200"/>
        <w:rPr>
          <w:rFonts w:ascii="宋体" w:hAnsi="宋体"/>
          <w:sz w:val="24"/>
        </w:rPr>
      </w:pPr>
      <w:r>
        <w:rPr>
          <w:rFonts w:ascii="宋体" w:hAnsi="宋体"/>
          <w:sz w:val="24"/>
        </w:rPr>
        <w:t>3</w:t>
      </w:r>
      <w:r>
        <w:rPr>
          <w:rFonts w:hint="eastAsia" w:ascii="宋体" w:hAnsi="宋体"/>
          <w:sz w:val="24"/>
        </w:rPr>
        <w:t>7</w:t>
      </w:r>
      <w:r>
        <w:rPr>
          <w:rFonts w:ascii="宋体" w:hAnsi="宋体"/>
          <w:sz w:val="24"/>
        </w:rPr>
        <w:t>.</w:t>
      </w:r>
      <w:r>
        <w:rPr>
          <w:rFonts w:hint="eastAsia" w:ascii="宋体" w:hAnsi="宋体"/>
          <w:sz w:val="24"/>
        </w:rPr>
        <w:t>授予合同时变更数量的权利</w:t>
      </w:r>
    </w:p>
    <w:p>
      <w:pPr>
        <w:spacing w:line="360" w:lineRule="auto"/>
        <w:ind w:firstLine="480" w:firstLineChars="200"/>
        <w:rPr>
          <w:rFonts w:hint="eastAsia" w:ascii="宋体" w:hAnsi="宋体"/>
          <w:sz w:val="24"/>
        </w:rPr>
      </w:pPr>
      <w:r>
        <w:rPr>
          <w:rFonts w:ascii="宋体" w:hAnsi="宋体"/>
          <w:sz w:val="24"/>
        </w:rPr>
        <w:t>3</w:t>
      </w:r>
      <w:r>
        <w:rPr>
          <w:rFonts w:hint="eastAsia" w:ascii="宋体" w:hAnsi="宋体"/>
          <w:sz w:val="24"/>
        </w:rPr>
        <w:t>7</w:t>
      </w:r>
      <w:r>
        <w:rPr>
          <w:rFonts w:ascii="宋体" w:hAnsi="宋体"/>
          <w:sz w:val="24"/>
        </w:rPr>
        <w:t>.1</w:t>
      </w:r>
      <w:r>
        <w:rPr>
          <w:rFonts w:hint="eastAsia" w:ascii="宋体" w:hAnsi="宋体"/>
          <w:sz w:val="24"/>
        </w:rPr>
        <w:t>采购人需追加与合同标的相同的货物、工程或者服务的，在不改变合同其他条款的前提下，可经同级政府采购管理办公室批准直接与中标人签订补充合同，补充合同需交由同级政府采购管理办公室备案，但所补充合同的采购金额不得超过原合同采购金额的10%。</w:t>
      </w:r>
    </w:p>
    <w:p>
      <w:pPr>
        <w:spacing w:line="360" w:lineRule="auto"/>
        <w:ind w:firstLine="480" w:firstLineChars="200"/>
        <w:rPr>
          <w:rFonts w:hint="eastAsia" w:ascii="宋体" w:hAnsi="宋体"/>
          <w:sz w:val="24"/>
        </w:rPr>
      </w:pPr>
      <w:r>
        <w:rPr>
          <w:rFonts w:ascii="宋体" w:hAnsi="宋体"/>
          <w:sz w:val="24"/>
        </w:rPr>
        <w:t>3</w:t>
      </w:r>
      <w:r>
        <w:rPr>
          <w:rFonts w:hint="eastAsia" w:ascii="宋体" w:hAnsi="宋体"/>
          <w:sz w:val="24"/>
        </w:rPr>
        <w:t>8</w:t>
      </w:r>
      <w:r>
        <w:rPr>
          <w:rFonts w:ascii="宋体" w:hAnsi="宋体"/>
          <w:sz w:val="24"/>
        </w:rPr>
        <w:t>.</w:t>
      </w:r>
      <w:r>
        <w:rPr>
          <w:rFonts w:hint="eastAsia" w:ascii="宋体" w:hAnsi="宋体"/>
          <w:sz w:val="24"/>
        </w:rPr>
        <w:t>签订合同</w:t>
      </w:r>
    </w:p>
    <w:p>
      <w:pPr>
        <w:spacing w:line="360" w:lineRule="auto"/>
        <w:ind w:firstLine="480" w:firstLineChars="200"/>
        <w:rPr>
          <w:rFonts w:hint="eastAsia" w:ascii="宋体" w:hAnsi="宋体"/>
          <w:sz w:val="24"/>
        </w:rPr>
      </w:pPr>
      <w:r>
        <w:rPr>
          <w:rFonts w:ascii="宋体" w:hAnsi="宋体"/>
          <w:sz w:val="24"/>
        </w:rPr>
        <w:t>3</w:t>
      </w:r>
      <w:r>
        <w:rPr>
          <w:rFonts w:hint="eastAsia" w:ascii="宋体" w:hAnsi="宋体"/>
          <w:sz w:val="24"/>
        </w:rPr>
        <w:t>8</w:t>
      </w:r>
      <w:r>
        <w:rPr>
          <w:rFonts w:ascii="宋体" w:hAnsi="宋体"/>
          <w:sz w:val="24"/>
        </w:rPr>
        <w:t>.1</w:t>
      </w:r>
      <w:r>
        <w:rPr>
          <w:rFonts w:hint="eastAsia" w:ascii="宋体" w:hAnsi="宋体"/>
          <w:sz w:val="24"/>
        </w:rPr>
        <w:t>中标人自中标通知书发出之日起30日内与采购人签定合同。</w:t>
      </w:r>
    </w:p>
    <w:p>
      <w:pPr>
        <w:spacing w:line="360" w:lineRule="auto"/>
        <w:ind w:firstLine="480" w:firstLineChars="200"/>
        <w:rPr>
          <w:rFonts w:hint="eastAsia" w:ascii="宋体" w:hAnsi="宋体"/>
          <w:sz w:val="24"/>
        </w:rPr>
      </w:pPr>
      <w:r>
        <w:rPr>
          <w:rFonts w:ascii="宋体" w:hAnsi="宋体"/>
          <w:sz w:val="24"/>
        </w:rPr>
        <w:t>3</w:t>
      </w:r>
      <w:r>
        <w:rPr>
          <w:rFonts w:hint="eastAsia" w:ascii="宋体" w:hAnsi="宋体"/>
          <w:sz w:val="24"/>
        </w:rPr>
        <w:t>8</w:t>
      </w:r>
      <w:r>
        <w:rPr>
          <w:rFonts w:ascii="宋体" w:hAnsi="宋体"/>
          <w:sz w:val="24"/>
        </w:rPr>
        <w:t>.2</w:t>
      </w:r>
      <w:r>
        <w:rPr>
          <w:rFonts w:hint="eastAsia" w:ascii="宋体" w:hAnsi="宋体"/>
          <w:sz w:val="24"/>
        </w:rPr>
        <w:t>招标文件、中标人的投标文件及其澄清文件等,均为签订合同的依据。</w:t>
      </w:r>
    </w:p>
    <w:p>
      <w:pPr>
        <w:spacing w:line="360" w:lineRule="auto"/>
        <w:ind w:firstLine="480" w:firstLineChars="200"/>
        <w:rPr>
          <w:rFonts w:hint="eastAsia" w:ascii="宋体" w:hAnsi="宋体"/>
          <w:sz w:val="24"/>
        </w:rPr>
      </w:pPr>
      <w:r>
        <w:rPr>
          <w:rFonts w:ascii="宋体" w:hAnsi="宋体"/>
          <w:sz w:val="24"/>
        </w:rPr>
        <w:t>3</w:t>
      </w:r>
      <w:r>
        <w:rPr>
          <w:rFonts w:hint="eastAsia" w:ascii="宋体" w:hAnsi="宋体"/>
          <w:sz w:val="24"/>
        </w:rPr>
        <w:t>8</w:t>
      </w:r>
      <w:r>
        <w:rPr>
          <w:rFonts w:ascii="宋体" w:hAnsi="宋体"/>
          <w:sz w:val="24"/>
        </w:rPr>
        <w:t>.3</w:t>
      </w:r>
      <w:r>
        <w:rPr>
          <w:rFonts w:hint="eastAsia" w:ascii="宋体" w:hAnsi="宋体"/>
          <w:sz w:val="24"/>
        </w:rPr>
        <w:t>中标人不遵守招标文件和投标文件的要约条款及所作的承诺,擅自修改报价或在中标通知书发出之日起30日内,借故拖延、拒签合同者,采购人有权取消该投标人的中标资格。</w:t>
      </w:r>
    </w:p>
    <w:p>
      <w:pPr>
        <w:spacing w:line="360" w:lineRule="auto"/>
        <w:ind w:firstLine="480" w:firstLineChars="200"/>
        <w:rPr>
          <w:rFonts w:hint="eastAsia" w:ascii="宋体" w:hAnsi="宋体"/>
          <w:sz w:val="24"/>
        </w:rPr>
      </w:pPr>
      <w:r>
        <w:rPr>
          <w:rFonts w:hint="eastAsia" w:ascii="宋体" w:hAnsi="宋体"/>
          <w:sz w:val="24"/>
        </w:rPr>
        <w:t>按有关法律法规中标人拒绝与采购人签订合同的，采购人可以按照评审报告推荐的中标候选人名单排序，确定下一候选人为中标人，也可以重新开展政府采购活动。</w:t>
      </w:r>
    </w:p>
    <w:p>
      <w:pPr>
        <w:spacing w:line="360" w:lineRule="auto"/>
        <w:ind w:firstLine="480" w:firstLineChars="200"/>
        <w:rPr>
          <w:rFonts w:hint="eastAsia" w:ascii="宋体" w:hAnsi="宋体"/>
          <w:sz w:val="24"/>
        </w:rPr>
      </w:pPr>
      <w:r>
        <w:rPr>
          <w:rFonts w:hint="eastAsia" w:ascii="宋体" w:hAnsi="宋体"/>
          <w:sz w:val="24"/>
        </w:rPr>
        <w:t>38.4质疑事项可能影响中标结果的，采购人应当暂停签订合同，已经签订合同的，应当中止履行合同。（中标结果的质疑期为中标结果公告期限届满之日起七个工作日）。</w:t>
      </w:r>
    </w:p>
    <w:p>
      <w:pPr>
        <w:spacing w:line="360" w:lineRule="auto"/>
        <w:ind w:firstLine="480" w:firstLineChars="200"/>
        <w:rPr>
          <w:rFonts w:hint="eastAsia" w:ascii="宋体" w:hAnsi="宋体"/>
          <w:sz w:val="24"/>
        </w:rPr>
      </w:pPr>
      <w:r>
        <w:rPr>
          <w:rFonts w:hint="eastAsia" w:ascii="宋体" w:hAnsi="宋体"/>
          <w:sz w:val="24"/>
        </w:rPr>
        <w:t>38</w:t>
      </w:r>
      <w:r>
        <w:rPr>
          <w:rFonts w:ascii="宋体" w:hAnsi="宋体"/>
          <w:sz w:val="24"/>
        </w:rPr>
        <w:t>.</w:t>
      </w:r>
      <w:r>
        <w:rPr>
          <w:rFonts w:hint="eastAsia" w:ascii="宋体" w:hAnsi="宋体"/>
          <w:sz w:val="24"/>
        </w:rPr>
        <w:t>5采购人应当自政府采购合同签订之日起2个工作日内，将政府采购合同在省级以上人民政府财政部门指定的媒体上公告，但政府采购合同中涉及国家秘密、商业秘密的内容除外。</w:t>
      </w:r>
    </w:p>
    <w:p>
      <w:pPr>
        <w:pStyle w:val="6"/>
        <w:ind w:firstLine="200" w:firstLineChars="0"/>
        <w:rPr>
          <w:rFonts w:hint="eastAsia" w:ascii="宋体" w:hAnsi="宋体" w:eastAsia="宋体"/>
          <w:sz w:val="32"/>
        </w:rPr>
      </w:pPr>
      <w:bookmarkStart w:id="80" w:name="_Toc112414186"/>
      <w:bookmarkStart w:id="81" w:name="_Toc41577878"/>
      <w:r>
        <w:rPr>
          <w:rFonts w:hint="eastAsia" w:ascii="宋体" w:hAnsi="宋体" w:eastAsia="宋体"/>
          <w:sz w:val="32"/>
        </w:rPr>
        <w:t>十三  验收</w:t>
      </w:r>
      <w:bookmarkEnd w:id="80"/>
      <w:bookmarkEnd w:id="81"/>
    </w:p>
    <w:p>
      <w:pPr>
        <w:spacing w:line="360" w:lineRule="auto"/>
        <w:ind w:firstLine="480" w:firstLineChars="200"/>
        <w:rPr>
          <w:rFonts w:hint="eastAsia" w:ascii="宋体" w:hAnsi="宋体"/>
          <w:sz w:val="24"/>
        </w:rPr>
      </w:pPr>
      <w:bookmarkStart w:id="82" w:name="_Toc47756031"/>
      <w:bookmarkStart w:id="83" w:name="_Toc45506731"/>
      <w:bookmarkStart w:id="84" w:name="_Toc15813254"/>
      <w:bookmarkStart w:id="85" w:name="_Toc15805937"/>
      <w:bookmarkStart w:id="86" w:name="_Toc107820052"/>
      <w:r>
        <w:rPr>
          <w:rFonts w:hint="eastAsia" w:ascii="宋体" w:hAnsi="宋体"/>
          <w:sz w:val="24"/>
        </w:rPr>
        <w:t>39.</w:t>
      </w:r>
      <w:r>
        <w:rPr>
          <w:rFonts w:ascii="宋体" w:hAnsi="宋体"/>
          <w:sz w:val="24"/>
        </w:rPr>
        <w:t xml:space="preserve"> </w:t>
      </w:r>
      <w:r>
        <w:rPr>
          <w:rFonts w:hint="eastAsia" w:ascii="宋体" w:hAnsi="宋体"/>
          <w:sz w:val="24"/>
        </w:rPr>
        <w:t>采购人应当按照政府采购合同规定的技术、服务、安全标准组织对投标人履约情况进行验收，并出具验收书。验收书应当包括每一项技术、服务、安全标准的履约情况。</w:t>
      </w:r>
    </w:p>
    <w:p>
      <w:pPr>
        <w:pStyle w:val="2"/>
        <w:spacing w:line="360" w:lineRule="auto"/>
        <w:rPr>
          <w:rFonts w:hint="eastAsia" w:ascii="宋体" w:hAnsi="宋体" w:eastAsia="宋体"/>
          <w:sz w:val="24"/>
          <w:lang w:val="en-US"/>
        </w:rPr>
      </w:pPr>
      <w:r>
        <w:rPr>
          <w:rFonts w:hint="eastAsia" w:ascii="宋体" w:hAnsi="宋体" w:eastAsia="宋体"/>
          <w:sz w:val="24"/>
          <w:lang w:val="en-US"/>
        </w:rPr>
        <w:t>40.本项目采购人可根据实际需要邀请第三方专业机构及专家或参加本项目的其他投标人参与验收。其他</w:t>
      </w:r>
      <w:r>
        <w:rPr>
          <w:rFonts w:ascii="宋体" w:hAnsi="宋体" w:eastAsia="宋体"/>
          <w:sz w:val="24"/>
          <w:lang w:val="en-US"/>
        </w:rPr>
        <w:t>投标人</w:t>
      </w:r>
      <w:r>
        <w:rPr>
          <w:rFonts w:hint="eastAsia" w:ascii="宋体" w:hAnsi="宋体" w:eastAsia="宋体"/>
          <w:sz w:val="24"/>
          <w:lang w:val="en-US"/>
        </w:rPr>
        <w:t>应遵守诚实信用、实事求是的原则，在验收期间积极配合采购人组织的验收工作，不得影响或阻扰验收工作的正常进行。参与验收的一切费用，原则上由投标人自行承担。</w:t>
      </w:r>
    </w:p>
    <w:p>
      <w:pPr>
        <w:pStyle w:val="6"/>
        <w:ind w:firstLine="200" w:firstLineChars="0"/>
        <w:rPr>
          <w:rFonts w:hint="eastAsia" w:ascii="宋体" w:hAnsi="宋体" w:eastAsia="宋体"/>
          <w:sz w:val="32"/>
        </w:rPr>
      </w:pPr>
      <w:bookmarkStart w:id="87" w:name="_Toc41577879"/>
      <w:bookmarkStart w:id="88" w:name="_Toc530987054"/>
      <w:bookmarkStart w:id="89" w:name="_Toc493956047"/>
      <w:bookmarkStart w:id="90" w:name="_Toc112414187"/>
      <w:r>
        <w:rPr>
          <w:rFonts w:hint="eastAsia" w:ascii="宋体" w:hAnsi="宋体" w:eastAsia="宋体"/>
          <w:sz w:val="32"/>
        </w:rPr>
        <w:t>十四  政府</w:t>
      </w:r>
      <w:r>
        <w:rPr>
          <w:rFonts w:ascii="宋体" w:hAnsi="宋体" w:eastAsia="宋体"/>
          <w:sz w:val="32"/>
        </w:rPr>
        <w:t>采购政策</w:t>
      </w:r>
      <w:bookmarkEnd w:id="87"/>
      <w:bookmarkEnd w:id="88"/>
      <w:bookmarkEnd w:id="89"/>
      <w:bookmarkEnd w:id="90"/>
    </w:p>
    <w:p>
      <w:pPr>
        <w:spacing w:line="360" w:lineRule="auto"/>
        <w:ind w:firstLine="480" w:firstLineChars="200"/>
        <w:rPr>
          <w:rFonts w:hint="eastAsia" w:ascii="宋体" w:hAnsi="宋体"/>
          <w:sz w:val="24"/>
        </w:rPr>
      </w:pPr>
      <w:r>
        <w:rPr>
          <w:rFonts w:hint="eastAsia" w:ascii="宋体" w:hAnsi="宋体"/>
          <w:sz w:val="24"/>
        </w:rPr>
        <w:t>41. 关于中小企业参与政府采购活动的规定</w:t>
      </w:r>
    </w:p>
    <w:p>
      <w:pPr>
        <w:spacing w:line="360" w:lineRule="auto"/>
        <w:ind w:firstLine="480" w:firstLineChars="200"/>
        <w:rPr>
          <w:rFonts w:hint="eastAsia" w:ascii="宋体" w:hAnsi="宋体"/>
          <w:sz w:val="24"/>
        </w:rPr>
      </w:pPr>
      <w:r>
        <w:rPr>
          <w:rFonts w:hint="eastAsia" w:ascii="宋体" w:hAnsi="宋体"/>
          <w:sz w:val="24"/>
        </w:rPr>
        <w:t>41.1本项目</w:t>
      </w:r>
      <w:r>
        <w:rPr>
          <w:rFonts w:hint="eastAsia" w:ascii="宋体" w:hAnsi="宋体"/>
          <w:sz w:val="24"/>
          <w:u w:val="single"/>
        </w:rPr>
        <w:t xml:space="preserve"> </w:t>
      </w:r>
      <w:r>
        <w:rPr>
          <w:rFonts w:hint="eastAsia" w:ascii="宋体" w:hAnsi="宋体"/>
          <w:b/>
          <w:bCs/>
          <w:sz w:val="24"/>
          <w:u w:val="single"/>
        </w:rPr>
        <w:t>非</w:t>
      </w:r>
      <w:r>
        <w:rPr>
          <w:rFonts w:hint="eastAsia" w:ascii="宋体" w:hAnsi="宋体"/>
          <w:sz w:val="24"/>
          <w:u w:val="single"/>
        </w:rPr>
        <w:t xml:space="preserve"> </w:t>
      </w:r>
      <w:r>
        <w:rPr>
          <w:rFonts w:hint="eastAsia" w:ascii="宋体" w:hAnsi="宋体"/>
          <w:sz w:val="24"/>
        </w:rPr>
        <w:t>专门面向中小企业采购。</w:t>
      </w:r>
    </w:p>
    <w:p>
      <w:pPr>
        <w:adjustRightInd w:val="0"/>
        <w:snapToGrid w:val="0"/>
        <w:spacing w:line="360" w:lineRule="auto"/>
        <w:ind w:firstLine="480" w:firstLineChars="200"/>
        <w:rPr>
          <w:rFonts w:ascii="宋体" w:hAnsi="宋体"/>
          <w:sz w:val="24"/>
        </w:rPr>
      </w:pPr>
      <w:r>
        <w:rPr>
          <w:rFonts w:hint="eastAsia" w:ascii="宋体" w:hAnsi="宋体"/>
          <w:sz w:val="24"/>
        </w:rPr>
        <w:t>41.2本项目对应的中小企业划分标准所属行业：</w:t>
      </w:r>
      <w:r>
        <w:rPr>
          <w:rFonts w:hint="eastAsia" w:ascii="宋体" w:hAnsi="宋体"/>
          <w:b/>
          <w:sz w:val="24"/>
          <w:u w:val="single"/>
        </w:rPr>
        <w:t>信息传输业。</w:t>
      </w:r>
      <w:r>
        <w:rPr>
          <w:rFonts w:hint="eastAsia" w:ascii="宋体" w:hAnsi="宋体"/>
          <w:sz w:val="24"/>
        </w:rPr>
        <w:t xml:space="preserve"> </w:t>
      </w:r>
    </w:p>
    <w:p>
      <w:pPr>
        <w:adjustRightInd w:val="0"/>
        <w:snapToGrid w:val="0"/>
        <w:spacing w:line="360" w:lineRule="auto"/>
        <w:ind w:firstLine="480" w:firstLineChars="200"/>
        <w:rPr>
          <w:rFonts w:ascii="宋体" w:hAnsi="宋体"/>
          <w:sz w:val="24"/>
        </w:rPr>
      </w:pPr>
      <w:r>
        <w:rPr>
          <w:rFonts w:hint="eastAsia" w:ascii="宋体" w:hAnsi="宋体"/>
          <w:sz w:val="24"/>
        </w:rPr>
        <w:t>41.3中小企业是指在中华人民共和国境内依法设立，依据国务院批准的中小企业划分标准确定的中型企业、小型企业和微型企业，但与大企业的负责人为同一人，或者与大企业存在直接控股、管理关系的除外。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360" w:lineRule="auto"/>
        <w:ind w:firstLine="480" w:firstLineChars="200"/>
        <w:rPr>
          <w:rFonts w:hint="eastAsia" w:ascii="宋体" w:hAnsi="宋体"/>
          <w:sz w:val="24"/>
        </w:rPr>
      </w:pPr>
      <w:r>
        <w:rPr>
          <w:rFonts w:hint="eastAsia" w:ascii="宋体" w:hAnsi="宋体"/>
          <w:sz w:val="24"/>
        </w:rPr>
        <w:t>符合中小企业划分标准的个体工商户，在政府采购活动中视同中小企业。</w:t>
      </w:r>
    </w:p>
    <w:p>
      <w:pPr>
        <w:adjustRightInd w:val="0"/>
        <w:snapToGrid w:val="0"/>
        <w:spacing w:line="360" w:lineRule="auto"/>
        <w:ind w:firstLine="480" w:firstLineChars="200"/>
        <w:rPr>
          <w:rFonts w:hint="eastAsia" w:ascii="宋体" w:hAnsi="宋体"/>
          <w:sz w:val="24"/>
        </w:rPr>
      </w:pPr>
      <w:r>
        <w:rPr>
          <w:rFonts w:hint="eastAsia" w:ascii="宋体" w:hAnsi="宋体"/>
          <w:sz w:val="24"/>
        </w:rPr>
        <w:t>41.4在政府采购活动中，供应商提供的货物、工程或者服务符合下列情形的，可</w:t>
      </w:r>
      <w:r>
        <w:rPr>
          <w:rFonts w:ascii="宋体" w:hAnsi="宋体"/>
          <w:sz w:val="24"/>
        </w:rPr>
        <w:t>享受</w:t>
      </w:r>
      <w:r>
        <w:rPr>
          <w:rFonts w:hint="eastAsia" w:ascii="宋体" w:hAnsi="宋体"/>
          <w:sz w:val="24"/>
        </w:rPr>
        <w:t>小型、微型</w:t>
      </w:r>
      <w:r>
        <w:rPr>
          <w:rFonts w:ascii="宋体" w:hAnsi="宋体"/>
          <w:sz w:val="24"/>
        </w:rPr>
        <w:t>企业</w:t>
      </w:r>
      <w:r>
        <w:rPr>
          <w:rFonts w:hint="eastAsia" w:ascii="宋体" w:hAnsi="宋体"/>
          <w:sz w:val="24"/>
        </w:rPr>
        <w:t>（以下简称小微企业）</w:t>
      </w:r>
      <w:r>
        <w:rPr>
          <w:rFonts w:ascii="宋体" w:hAnsi="宋体"/>
          <w:sz w:val="24"/>
        </w:rPr>
        <w:t>的价格</w:t>
      </w:r>
      <w:r>
        <w:rPr>
          <w:rFonts w:hint="eastAsia" w:ascii="宋体" w:hAnsi="宋体"/>
          <w:sz w:val="24"/>
        </w:rPr>
        <w:t>扣除：</w:t>
      </w:r>
    </w:p>
    <w:p>
      <w:pPr>
        <w:adjustRightInd w:val="0"/>
        <w:snapToGrid w:val="0"/>
        <w:spacing w:line="360" w:lineRule="auto"/>
        <w:ind w:firstLine="480" w:firstLineChars="200"/>
        <w:rPr>
          <w:rFonts w:hint="eastAsia" w:ascii="宋体" w:hAnsi="宋体"/>
          <w:sz w:val="24"/>
        </w:rPr>
      </w:pPr>
      <w:r>
        <w:rPr>
          <w:rFonts w:hint="eastAsia" w:ascii="宋体" w:hAnsi="宋体"/>
          <w:sz w:val="24"/>
        </w:rPr>
        <w:t>（1）在货物采购项目中，货物由小微企业制造，即货物由小微企业生产且使用该小微企业商号或者注册商标；</w:t>
      </w:r>
    </w:p>
    <w:p>
      <w:pPr>
        <w:adjustRightInd w:val="0"/>
        <w:snapToGrid w:val="0"/>
        <w:spacing w:line="360" w:lineRule="auto"/>
        <w:ind w:firstLine="480" w:firstLineChars="200"/>
        <w:rPr>
          <w:rFonts w:hint="eastAsia" w:ascii="宋体" w:hAnsi="宋体"/>
          <w:sz w:val="24"/>
        </w:rPr>
      </w:pPr>
      <w:r>
        <w:rPr>
          <w:rFonts w:hint="eastAsia" w:ascii="宋体" w:hAnsi="宋体"/>
          <w:sz w:val="24"/>
        </w:rPr>
        <w:t>（2）在工程采购项目中，工程由小微企业承建，即工程施工单位为小微企业；</w:t>
      </w:r>
    </w:p>
    <w:p>
      <w:pPr>
        <w:adjustRightInd w:val="0"/>
        <w:snapToGrid w:val="0"/>
        <w:spacing w:line="360" w:lineRule="auto"/>
        <w:ind w:firstLine="480" w:firstLineChars="200"/>
        <w:rPr>
          <w:rFonts w:hint="eastAsia" w:ascii="宋体" w:hAnsi="宋体"/>
          <w:sz w:val="24"/>
        </w:rPr>
      </w:pPr>
      <w:r>
        <w:rPr>
          <w:rFonts w:hint="eastAsia" w:ascii="宋体" w:hAnsi="宋体"/>
          <w:sz w:val="24"/>
        </w:rPr>
        <w:t>（3）在服务采购项目中，服务由小微企业承接，即提供服务的人员为小微企业依照《中华人民共和国劳动合同法》订立劳动合同的从业人员。</w:t>
      </w:r>
    </w:p>
    <w:p>
      <w:pPr>
        <w:adjustRightInd w:val="0"/>
        <w:snapToGrid w:val="0"/>
        <w:spacing w:line="360" w:lineRule="auto"/>
        <w:ind w:firstLine="480" w:firstLineChars="200"/>
        <w:rPr>
          <w:rFonts w:hint="eastAsia" w:ascii="宋体" w:hAnsi="宋体"/>
          <w:sz w:val="24"/>
        </w:rPr>
      </w:pPr>
      <w:r>
        <w:rPr>
          <w:rFonts w:hint="eastAsia" w:ascii="宋体" w:hAnsi="宋体"/>
          <w:sz w:val="24"/>
        </w:rPr>
        <w:t>41.5在货物采购项目中，供应商提供的货物既有中小企业制造货物，也有大型企业制造货物的，不享受的小微企业价格扣除</w:t>
      </w:r>
      <w:r>
        <w:rPr>
          <w:rFonts w:ascii="宋体" w:hAnsi="宋体"/>
          <w:sz w:val="24"/>
        </w:rPr>
        <w:t>。</w:t>
      </w:r>
    </w:p>
    <w:p>
      <w:pPr>
        <w:adjustRightInd w:val="0"/>
        <w:snapToGrid w:val="0"/>
        <w:spacing w:line="360" w:lineRule="auto"/>
        <w:ind w:firstLine="480" w:firstLineChars="200"/>
        <w:rPr>
          <w:rFonts w:hint="eastAsia" w:ascii="宋体" w:hAnsi="宋体"/>
          <w:sz w:val="24"/>
        </w:rPr>
      </w:pPr>
      <w:r>
        <w:rPr>
          <w:rFonts w:hint="eastAsia" w:ascii="宋体" w:hAnsi="宋体"/>
          <w:sz w:val="24"/>
        </w:rPr>
        <w:t>41.6本项目对符合《政府采购促进中小企业发展管理办法》（财库﹝2020﹞46号）规定的小微企业报价给予</w:t>
      </w:r>
      <w:r>
        <w:rPr>
          <w:rFonts w:hint="eastAsia" w:ascii="宋体" w:hAnsi="宋体"/>
          <w:b/>
          <w:sz w:val="24"/>
          <w:u w:val="single"/>
        </w:rPr>
        <w:t xml:space="preserve"> 20% </w:t>
      </w:r>
      <w:r>
        <w:rPr>
          <w:rFonts w:hint="eastAsia" w:ascii="宋体" w:hAnsi="宋体"/>
          <w:sz w:val="24"/>
        </w:rPr>
        <w:t>（工程项目为 5%）的扣除，用扣除后的价格参加评审。</w:t>
      </w:r>
    </w:p>
    <w:p>
      <w:pPr>
        <w:adjustRightInd w:val="0"/>
        <w:snapToGrid w:val="0"/>
        <w:spacing w:line="360" w:lineRule="auto"/>
        <w:ind w:firstLine="480" w:firstLineChars="200"/>
        <w:rPr>
          <w:rFonts w:hint="eastAsia" w:ascii="宋体" w:hAnsi="宋体"/>
          <w:sz w:val="24"/>
        </w:rPr>
      </w:pPr>
      <w:r>
        <w:rPr>
          <w:rFonts w:hint="eastAsia" w:ascii="宋体" w:hAnsi="宋体"/>
          <w:sz w:val="24"/>
        </w:rPr>
        <w:t>41.7中小企业应按照采购文件格式要求提供《中小企业声明函》，否则视为非中小企业。</w:t>
      </w:r>
    </w:p>
    <w:p>
      <w:pPr>
        <w:adjustRightInd w:val="0"/>
        <w:snapToGrid w:val="0"/>
        <w:spacing w:line="360" w:lineRule="auto"/>
        <w:ind w:firstLine="480" w:firstLineChars="200"/>
        <w:rPr>
          <w:rFonts w:ascii="宋体" w:hAnsi="宋体"/>
          <w:sz w:val="24"/>
        </w:rPr>
      </w:pPr>
      <w:r>
        <w:rPr>
          <w:rFonts w:hint="eastAsia" w:ascii="宋体" w:hAnsi="宋体"/>
          <w:sz w:val="24"/>
        </w:rPr>
        <w:t>41.8</w:t>
      </w:r>
      <w:r>
        <w:rPr>
          <w:rFonts w:ascii="宋体" w:hAnsi="宋体"/>
          <w:sz w:val="24"/>
        </w:rPr>
        <w:t>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pPr>
        <w:adjustRightInd w:val="0"/>
        <w:snapToGrid w:val="0"/>
        <w:spacing w:line="360" w:lineRule="auto"/>
        <w:ind w:firstLine="480" w:firstLineChars="200"/>
        <w:rPr>
          <w:rFonts w:ascii="宋体" w:hAnsi="宋体"/>
          <w:sz w:val="24"/>
        </w:rPr>
      </w:pPr>
      <w:r>
        <w:rPr>
          <w:rFonts w:hint="eastAsia" w:ascii="宋体" w:hAnsi="宋体"/>
          <w:sz w:val="24"/>
        </w:rPr>
        <w:t>41.9</w:t>
      </w:r>
      <w:r>
        <w:rPr>
          <w:rFonts w:ascii="宋体" w:hAnsi="宋体"/>
          <w:sz w:val="24"/>
        </w:rPr>
        <w:t>根据《关于促进残疾人就业政府采购政策的通知》（财库[201</w:t>
      </w:r>
      <w:r>
        <w:rPr>
          <w:rFonts w:hint="eastAsia" w:ascii="宋体" w:hAnsi="宋体"/>
          <w:sz w:val="24"/>
        </w:rPr>
        <w:t>7</w:t>
      </w:r>
      <w:r>
        <w:rPr>
          <w:rFonts w:ascii="宋体" w:hAnsi="宋体"/>
          <w:sz w:val="24"/>
        </w:rPr>
        <w:t>]141号）规定，在政府采购活动中，残疾人福利性单位视同小型、微型企业。残疾人福利性单位参加政府采购活动时，提供《残疾人福利性单位声明函》。</w:t>
      </w:r>
    </w:p>
    <w:p>
      <w:pPr>
        <w:adjustRightInd w:val="0"/>
        <w:snapToGrid w:val="0"/>
        <w:spacing w:line="360" w:lineRule="auto"/>
        <w:ind w:firstLine="480" w:firstLineChars="200"/>
        <w:rPr>
          <w:rFonts w:hint="eastAsia" w:ascii="宋体" w:hAnsi="宋体"/>
          <w:sz w:val="24"/>
        </w:rPr>
      </w:pPr>
      <w:r>
        <w:rPr>
          <w:rFonts w:hint="eastAsia" w:ascii="宋体" w:hAnsi="宋体"/>
          <w:sz w:val="24"/>
        </w:rPr>
        <w:t>41.10按规定享受扶持政策获得政府采购合同的，小微企业不得将合同分包给大中型企业，中型企业不得将合同分包给大型企业。</w:t>
      </w:r>
    </w:p>
    <w:p>
      <w:pPr>
        <w:adjustRightInd w:val="0"/>
        <w:snapToGrid w:val="0"/>
        <w:spacing w:line="360" w:lineRule="auto"/>
        <w:ind w:firstLine="480" w:firstLineChars="200"/>
        <w:rPr>
          <w:rFonts w:hint="eastAsia" w:ascii="宋体" w:hAnsi="宋体"/>
          <w:bCs/>
          <w:sz w:val="24"/>
        </w:rPr>
      </w:pPr>
      <w:r>
        <w:rPr>
          <w:rFonts w:hint="eastAsia" w:ascii="宋体" w:hAnsi="宋体"/>
          <w:sz w:val="24"/>
        </w:rPr>
        <w:t>41.11供应商按照《政府采购促进中小企业发展管理办法》（财库﹝2020﹞46号）规定提供声明函内容不实的，属于提供虚假材料谋取中标、成交，依照《中华人民共和国政府采购法》等国家有关规定追究相应责任。</w:t>
      </w:r>
    </w:p>
    <w:p>
      <w:pPr>
        <w:pStyle w:val="6"/>
        <w:ind w:firstLine="200" w:firstLineChars="0"/>
        <w:rPr>
          <w:rFonts w:hint="eastAsia" w:ascii="宋体" w:hAnsi="宋体" w:eastAsia="宋体"/>
          <w:sz w:val="32"/>
        </w:rPr>
      </w:pPr>
      <w:bookmarkStart w:id="91" w:name="_Toc112414188"/>
      <w:bookmarkStart w:id="92" w:name="_Toc41577880"/>
      <w:r>
        <w:rPr>
          <w:rFonts w:hint="eastAsia" w:ascii="宋体" w:hAnsi="宋体" w:eastAsia="宋体"/>
          <w:sz w:val="32"/>
        </w:rPr>
        <w:t>十五  其他事项</w:t>
      </w:r>
      <w:bookmarkEnd w:id="82"/>
      <w:bookmarkEnd w:id="83"/>
      <w:bookmarkEnd w:id="84"/>
      <w:bookmarkEnd w:id="85"/>
      <w:bookmarkEnd w:id="86"/>
      <w:bookmarkEnd w:id="91"/>
      <w:bookmarkEnd w:id="92"/>
    </w:p>
    <w:p>
      <w:pPr>
        <w:spacing w:line="360" w:lineRule="auto"/>
        <w:ind w:firstLine="480" w:firstLineChars="200"/>
        <w:rPr>
          <w:rFonts w:hint="eastAsia" w:ascii="宋体" w:hAnsi="宋体"/>
          <w:sz w:val="24"/>
        </w:rPr>
      </w:pPr>
      <w:r>
        <w:rPr>
          <w:rFonts w:hint="eastAsia" w:ascii="宋体" w:hAnsi="宋体"/>
          <w:bCs/>
          <w:sz w:val="24"/>
        </w:rPr>
        <w:t>42.</w:t>
      </w:r>
      <w:r>
        <w:rPr>
          <w:rFonts w:hint="eastAsia" w:ascii="宋体" w:hAnsi="宋体"/>
          <w:sz w:val="24"/>
        </w:rPr>
        <w:t xml:space="preserve"> 解释权 </w:t>
      </w:r>
    </w:p>
    <w:p>
      <w:pPr>
        <w:spacing w:line="360" w:lineRule="auto"/>
        <w:ind w:firstLine="480" w:firstLineChars="200"/>
        <w:rPr>
          <w:rFonts w:hint="eastAsia" w:ascii="宋体" w:hAnsi="宋体"/>
          <w:bCs/>
          <w:sz w:val="24"/>
        </w:rPr>
      </w:pPr>
      <w:r>
        <w:rPr>
          <w:rFonts w:hint="eastAsia" w:ascii="宋体" w:hAnsi="宋体"/>
          <w:bCs/>
          <w:sz w:val="24"/>
        </w:rPr>
        <w:t>42.1本招标文件是根据国家有关法律、法规、规章和有关规定编制的,解释权属采购代理机构。</w:t>
      </w:r>
    </w:p>
    <w:p>
      <w:pPr>
        <w:spacing w:line="360" w:lineRule="auto"/>
        <w:ind w:firstLine="480" w:firstLineChars="200"/>
        <w:rPr>
          <w:rFonts w:hint="eastAsia" w:ascii="宋体" w:hAnsi="宋体"/>
          <w:sz w:val="24"/>
        </w:rPr>
      </w:pPr>
      <w:r>
        <w:rPr>
          <w:rFonts w:hint="eastAsia" w:ascii="宋体" w:hAnsi="宋体"/>
          <w:bCs/>
          <w:sz w:val="24"/>
        </w:rPr>
        <w:t>42.2 采购代理机构</w:t>
      </w:r>
      <w:r>
        <w:rPr>
          <w:rFonts w:hint="eastAsia" w:ascii="宋体" w:hAnsi="宋体"/>
          <w:sz w:val="24"/>
        </w:rPr>
        <w:t>对决标结果不负责解释。</w:t>
      </w:r>
    </w:p>
    <w:p>
      <w:pPr>
        <w:spacing w:line="360" w:lineRule="auto"/>
        <w:ind w:firstLine="482" w:firstLineChars="200"/>
        <w:rPr>
          <w:rFonts w:hint="eastAsia" w:ascii="宋体" w:hAnsi="宋体"/>
          <w:b/>
          <w:sz w:val="24"/>
        </w:rPr>
      </w:pPr>
      <w:r>
        <w:rPr>
          <w:rFonts w:hint="eastAsia" w:ascii="宋体" w:hAnsi="宋体"/>
          <w:b/>
          <w:bCs/>
          <w:sz w:val="24"/>
        </w:rPr>
        <w:t>43.</w:t>
      </w:r>
      <w:r>
        <w:rPr>
          <w:rFonts w:hint="eastAsia" w:ascii="宋体" w:hAnsi="宋体"/>
          <w:b/>
          <w:sz w:val="24"/>
        </w:rPr>
        <w:t xml:space="preserve"> 采购代理服务费</w:t>
      </w:r>
    </w:p>
    <w:p>
      <w:pPr>
        <w:spacing w:line="360" w:lineRule="auto"/>
        <w:ind w:firstLine="482" w:firstLineChars="200"/>
        <w:rPr>
          <w:rFonts w:hint="eastAsia" w:ascii="宋体" w:hAnsi="宋体"/>
          <w:b/>
          <w:bCs/>
          <w:sz w:val="24"/>
        </w:rPr>
      </w:pPr>
      <w:r>
        <w:rPr>
          <w:rFonts w:hint="eastAsia" w:ascii="宋体" w:hAnsi="宋体"/>
          <w:b/>
          <w:bCs/>
          <w:sz w:val="24"/>
        </w:rPr>
        <w:t>由中标人支付代理服务费，</w:t>
      </w:r>
      <w:r>
        <w:rPr>
          <w:rFonts w:ascii="宋体" w:hAnsi="宋体"/>
          <w:b/>
          <w:bCs/>
          <w:sz w:val="24"/>
        </w:rPr>
        <w:t>费用</w:t>
      </w:r>
      <w:r>
        <w:rPr>
          <w:rFonts w:hint="eastAsia" w:ascii="宋体" w:hAnsi="宋体"/>
          <w:b/>
          <w:bCs/>
          <w:sz w:val="24"/>
        </w:rPr>
        <w:t>为壹万玖仟伍佰元整，中标人在中标公告发布之日起5个工作日内向采购代理机构一次性付清。</w:t>
      </w:r>
    </w:p>
    <w:p>
      <w:pPr>
        <w:pStyle w:val="4"/>
        <w:keepNext w:val="0"/>
        <w:rPr>
          <w:rFonts w:ascii="宋体" w:hAnsi="宋体" w:eastAsia="宋体"/>
          <w:sz w:val="36"/>
        </w:rPr>
      </w:pPr>
    </w:p>
    <w:p>
      <w:pPr>
        <w:pStyle w:val="4"/>
        <w:keepNext w:val="0"/>
        <w:rPr>
          <w:rFonts w:hint="eastAsia" w:ascii="宋体" w:hAnsi="宋体" w:eastAsia="宋体"/>
          <w:sz w:val="36"/>
        </w:rPr>
      </w:pPr>
      <w:r>
        <w:br w:type="page"/>
      </w:r>
      <w:bookmarkStart w:id="93" w:name="_Toc47991614"/>
      <w:bookmarkStart w:id="94" w:name="_Toc112414189"/>
      <w:r>
        <w:rPr>
          <w:rFonts w:hint="eastAsia" w:ascii="宋体" w:hAnsi="宋体" w:eastAsia="宋体"/>
          <w:sz w:val="36"/>
        </w:rPr>
        <w:t>第三章 采购需求</w:t>
      </w:r>
      <w:bookmarkEnd w:id="93"/>
      <w:bookmarkEnd w:id="94"/>
    </w:p>
    <w:p>
      <w:pPr>
        <w:pStyle w:val="6"/>
        <w:spacing w:before="0" w:after="0"/>
        <w:ind w:firstLine="0" w:firstLineChars="0"/>
        <w:jc w:val="left"/>
        <w:rPr>
          <w:rFonts w:hint="eastAsia" w:ascii="宋体" w:hAnsi="宋体" w:eastAsia="宋体" w:cs="宋体"/>
          <w:sz w:val="32"/>
          <w:szCs w:val="28"/>
        </w:rPr>
      </w:pPr>
      <w:bookmarkStart w:id="95" w:name="_Toc112414190"/>
      <w:r>
        <w:rPr>
          <w:rFonts w:hint="eastAsia" w:ascii="宋体" w:hAnsi="宋体" w:eastAsia="宋体" w:cs="宋体"/>
          <w:sz w:val="32"/>
          <w:szCs w:val="28"/>
        </w:rPr>
        <w:t>一、</w:t>
      </w:r>
      <w:bookmarkStart w:id="96" w:name="_Toc110931958"/>
      <w:r>
        <w:rPr>
          <w:rFonts w:hint="eastAsia" w:ascii="宋体" w:hAnsi="宋体" w:eastAsia="宋体" w:cs="宋体"/>
          <w:sz w:val="32"/>
          <w:szCs w:val="28"/>
        </w:rPr>
        <w:t>项目建设规模及内容</w:t>
      </w:r>
      <w:bookmarkEnd w:id="95"/>
      <w:bookmarkEnd w:id="96"/>
    </w:p>
    <w:p>
      <w:pPr>
        <w:spacing w:line="360" w:lineRule="auto"/>
        <w:ind w:firstLine="480" w:firstLineChars="200"/>
        <w:rPr>
          <w:rFonts w:ascii="宋体" w:hAnsi="宋体"/>
          <w:sz w:val="24"/>
        </w:rPr>
      </w:pPr>
      <w:r>
        <w:rPr>
          <w:rFonts w:hint="eastAsia" w:ascii="宋体" w:hAnsi="宋体"/>
          <w:sz w:val="24"/>
        </w:rPr>
        <w:t>1.围绕国家九部委总体目标全域覆盖的任务，重点公共区域视频监控覆盖率达到100%，新建、改建高清摄像机比例达到100%；重点行业、领域的重要部位视频监控覆盖率达到100%，逐步增加高清摄像机的新建、改建数量。</w:t>
      </w:r>
    </w:p>
    <w:p>
      <w:pPr>
        <w:spacing w:line="360" w:lineRule="auto"/>
        <w:ind w:firstLine="480" w:firstLineChars="200"/>
        <w:rPr>
          <w:rFonts w:ascii="宋体" w:hAnsi="宋体"/>
          <w:sz w:val="24"/>
        </w:rPr>
      </w:pPr>
      <w:r>
        <w:rPr>
          <w:rFonts w:hint="eastAsia" w:ascii="宋体" w:hAnsi="宋体"/>
          <w:sz w:val="24"/>
        </w:rPr>
        <w:t>2.本项目基于莲都区地理特点和信息化发展现状及需求，充分考虑案事件行为、空间和区域结构特征，建立治安防控理论体系。在此基础上，全面开展点位布局、勘查设计、技术选型、系统功能等工作，确保规划设计方案合理性、先进性和经济性，从而形成全区“一张网”式的立体化、多感知的视频防控体系，实现视频监控系统提档升级，满足不同行业应用的工作目标。</w:t>
      </w:r>
    </w:p>
    <w:p>
      <w:pPr>
        <w:spacing w:line="360" w:lineRule="auto"/>
        <w:ind w:firstLine="480" w:firstLineChars="200"/>
        <w:rPr>
          <w:rFonts w:ascii="宋体" w:hAnsi="宋体"/>
          <w:sz w:val="24"/>
        </w:rPr>
      </w:pPr>
      <w:r>
        <w:rPr>
          <w:rFonts w:hint="eastAsia" w:ascii="宋体" w:hAnsi="宋体"/>
          <w:sz w:val="24"/>
        </w:rPr>
        <w:t>3.为实现“全域覆盖、全网共享、全时可用、全程可控”的目标，建成多层防护圈，消除安全盲区盲点，构建立体化的防控网格。</w:t>
      </w:r>
    </w:p>
    <w:p>
      <w:pPr>
        <w:spacing w:line="360" w:lineRule="auto"/>
        <w:ind w:firstLine="480" w:firstLineChars="200"/>
        <w:rPr>
          <w:rFonts w:ascii="宋体" w:hAnsi="宋体"/>
          <w:sz w:val="24"/>
        </w:rPr>
      </w:pPr>
      <w:r>
        <w:rPr>
          <w:rFonts w:hint="eastAsia" w:ascii="宋体" w:hAnsi="宋体"/>
          <w:sz w:val="24"/>
        </w:rPr>
        <w:t>（1）前端建设：400万高清枪机</w:t>
      </w:r>
      <w:r>
        <w:rPr>
          <w:rFonts w:ascii="宋体" w:hAnsi="宋体"/>
          <w:sz w:val="24"/>
        </w:rPr>
        <w:t>171</w:t>
      </w:r>
      <w:r>
        <w:rPr>
          <w:rFonts w:hint="eastAsia" w:ascii="宋体" w:hAnsi="宋体"/>
          <w:sz w:val="24"/>
        </w:rPr>
        <w:t>路；400万低照度球机</w:t>
      </w:r>
      <w:r>
        <w:rPr>
          <w:rFonts w:ascii="宋体" w:hAnsi="宋体"/>
          <w:sz w:val="24"/>
        </w:rPr>
        <w:t>27</w:t>
      </w:r>
      <w:r>
        <w:rPr>
          <w:rFonts w:hint="eastAsia" w:ascii="宋体" w:hAnsi="宋体"/>
          <w:sz w:val="24"/>
        </w:rPr>
        <w:t>台；900万环保车辆人脸卡口3</w:t>
      </w:r>
      <w:r>
        <w:rPr>
          <w:rFonts w:ascii="宋体" w:hAnsi="宋体"/>
          <w:sz w:val="24"/>
        </w:rPr>
        <w:t>3</w:t>
      </w:r>
      <w:r>
        <w:rPr>
          <w:rFonts w:hint="eastAsia" w:ascii="宋体" w:hAnsi="宋体"/>
          <w:sz w:val="24"/>
        </w:rPr>
        <w:t>台；全景摄像机</w:t>
      </w:r>
      <w:r>
        <w:rPr>
          <w:rFonts w:ascii="宋体" w:hAnsi="宋体"/>
          <w:sz w:val="24"/>
        </w:rPr>
        <w:t>22</w:t>
      </w:r>
      <w:r>
        <w:rPr>
          <w:rFonts w:hint="eastAsia" w:ascii="宋体" w:hAnsi="宋体"/>
          <w:sz w:val="24"/>
        </w:rPr>
        <w:t>台，A</w:t>
      </w:r>
      <w:r>
        <w:rPr>
          <w:rFonts w:ascii="宋体" w:hAnsi="宋体"/>
          <w:sz w:val="24"/>
        </w:rPr>
        <w:t>R</w:t>
      </w:r>
      <w:r>
        <w:rPr>
          <w:rFonts w:hint="eastAsia" w:ascii="宋体" w:hAnsi="宋体"/>
          <w:sz w:val="24"/>
        </w:rPr>
        <w:t>全景4台。</w:t>
      </w:r>
    </w:p>
    <w:p>
      <w:pPr>
        <w:spacing w:line="360" w:lineRule="auto"/>
        <w:ind w:firstLine="480" w:firstLineChars="200"/>
        <w:rPr>
          <w:rFonts w:ascii="宋体" w:hAnsi="宋体"/>
          <w:sz w:val="24"/>
        </w:rPr>
      </w:pPr>
      <w:r>
        <w:rPr>
          <w:rFonts w:hint="eastAsia" w:ascii="宋体" w:hAnsi="宋体"/>
          <w:sz w:val="24"/>
        </w:rPr>
        <w:t>（2）存储系统建设：本期需要支持</w:t>
      </w:r>
      <w:r>
        <w:rPr>
          <w:rFonts w:ascii="宋体" w:hAnsi="宋体"/>
          <w:sz w:val="24"/>
        </w:rPr>
        <w:t>257</w:t>
      </w:r>
      <w:r>
        <w:rPr>
          <w:rFonts w:hint="eastAsia" w:ascii="宋体" w:hAnsi="宋体"/>
          <w:sz w:val="24"/>
        </w:rPr>
        <w:t>路视频存储及解析产生的大小图和结构化信息存储，新增云存储系统纳入市局云存储平台统一管理。</w:t>
      </w:r>
    </w:p>
    <w:p>
      <w:pPr>
        <w:spacing w:line="360" w:lineRule="auto"/>
        <w:ind w:firstLine="480" w:firstLineChars="200"/>
        <w:rPr>
          <w:rFonts w:hint="eastAsia" w:ascii="宋体" w:hAnsi="宋体"/>
          <w:sz w:val="24"/>
        </w:rPr>
      </w:pPr>
      <w:r>
        <w:rPr>
          <w:rFonts w:hint="eastAsia" w:ascii="宋体" w:hAnsi="宋体"/>
          <w:sz w:val="24"/>
        </w:rPr>
        <w:t>（3）碧湖机房搬迁改造等建设。</w:t>
      </w:r>
    </w:p>
    <w:p>
      <w:pPr>
        <w:pStyle w:val="2"/>
        <w:rPr>
          <w:rFonts w:hint="eastAsia" w:ascii="宋体" w:hAnsi="宋体" w:eastAsia="宋体"/>
          <w:b/>
          <w:sz w:val="24"/>
          <w:lang w:val="en-US"/>
        </w:rPr>
      </w:pPr>
      <w:r>
        <w:rPr>
          <w:rFonts w:hint="eastAsia" w:ascii="宋体" w:hAnsi="宋体" w:eastAsia="宋体"/>
          <w:b/>
          <w:sz w:val="24"/>
          <w:lang w:val="en-US"/>
        </w:rPr>
        <w:t>4.详细建设方案见公告附件。</w:t>
      </w:r>
    </w:p>
    <w:p>
      <w:pPr>
        <w:pStyle w:val="6"/>
        <w:spacing w:before="0" w:after="0"/>
        <w:ind w:firstLine="0" w:firstLineChars="0"/>
        <w:jc w:val="left"/>
        <w:rPr>
          <w:rFonts w:hint="eastAsia" w:ascii="宋体" w:hAnsi="宋体" w:eastAsia="宋体" w:cs="宋体"/>
          <w:sz w:val="28"/>
          <w:szCs w:val="28"/>
        </w:rPr>
      </w:pPr>
      <w:bookmarkStart w:id="97" w:name="_Toc14964"/>
      <w:bookmarkStart w:id="98" w:name="_Toc103852239"/>
      <w:bookmarkStart w:id="99" w:name="_Toc111446754"/>
      <w:bookmarkStart w:id="100" w:name="_Toc30311"/>
      <w:bookmarkStart w:id="101" w:name="_Toc112414191"/>
      <w:r>
        <w:rPr>
          <w:rFonts w:hint="eastAsia" w:ascii="宋体" w:hAnsi="宋体" w:eastAsia="宋体" w:cs="宋体"/>
          <w:sz w:val="32"/>
          <w:szCs w:val="28"/>
        </w:rPr>
        <w:t>二、</w:t>
      </w:r>
      <w:bookmarkEnd w:id="97"/>
      <w:bookmarkEnd w:id="98"/>
      <w:bookmarkEnd w:id="99"/>
      <w:bookmarkEnd w:id="100"/>
      <w:r>
        <w:rPr>
          <w:rFonts w:hint="eastAsia" w:ascii="宋体" w:hAnsi="宋体" w:eastAsia="宋体" w:cs="宋体"/>
          <w:sz w:val="32"/>
          <w:szCs w:val="28"/>
        </w:rPr>
        <w:t>工期进度要求</w:t>
      </w:r>
      <w:bookmarkEnd w:id="101"/>
      <w:r>
        <w:rPr>
          <w:rFonts w:hint="eastAsia" w:ascii="宋体" w:hAnsi="宋体" w:eastAsia="宋体" w:cs="宋体"/>
          <w:sz w:val="28"/>
          <w:szCs w:val="28"/>
        </w:rPr>
        <w:tab/>
      </w:r>
    </w:p>
    <w:p>
      <w:pPr>
        <w:spacing w:line="360" w:lineRule="auto"/>
        <w:ind w:firstLine="480"/>
        <w:rPr>
          <w:rFonts w:hint="eastAsia" w:ascii="宋体" w:hAnsi="宋体" w:cs="宋体"/>
          <w:sz w:val="24"/>
        </w:rPr>
      </w:pPr>
      <w:r>
        <w:rPr>
          <w:rFonts w:hint="eastAsia" w:ascii="宋体" w:hAnsi="宋体" w:cs="宋体"/>
          <w:sz w:val="24"/>
        </w:rPr>
        <w:t>项目于合同签订后</w:t>
      </w:r>
      <w:r>
        <w:rPr>
          <w:rFonts w:ascii="宋体" w:hAnsi="宋体" w:cs="宋体"/>
          <w:sz w:val="24"/>
        </w:rPr>
        <w:t>6</w:t>
      </w:r>
      <w:r>
        <w:rPr>
          <w:rFonts w:hint="eastAsia" w:ascii="宋体" w:hAnsi="宋体" w:cs="宋体"/>
          <w:sz w:val="24"/>
        </w:rPr>
        <w:t>个月内完成项目建设并通过终验，整体交付使用之日起进入服务期。其中</w:t>
      </w:r>
      <w:r>
        <w:rPr>
          <w:rFonts w:hint="eastAsia"/>
          <w:sz w:val="24"/>
        </w:rPr>
        <w:t>碧湖机房搬迁须配合碧湖所新大楼主体施工建设进度，碧湖机房搬迁</w:t>
      </w:r>
      <w:r>
        <w:rPr>
          <w:rFonts w:hint="eastAsia" w:ascii="宋体" w:hAnsi="宋体" w:cs="宋体"/>
          <w:sz w:val="24"/>
        </w:rPr>
        <w:t>的验收根据施工建设进度和实际需求由采购人确定。</w:t>
      </w:r>
    </w:p>
    <w:p>
      <w:pPr>
        <w:pStyle w:val="6"/>
        <w:spacing w:before="0" w:after="0"/>
        <w:ind w:firstLine="0" w:firstLineChars="0"/>
        <w:jc w:val="left"/>
        <w:rPr>
          <w:rFonts w:hint="eastAsia" w:ascii="宋体" w:hAnsi="宋体" w:eastAsia="宋体" w:cs="宋体"/>
          <w:sz w:val="32"/>
          <w:szCs w:val="28"/>
        </w:rPr>
      </w:pPr>
      <w:bookmarkStart w:id="102" w:name="_Toc112414192"/>
      <w:r>
        <w:rPr>
          <w:rFonts w:hint="eastAsia" w:ascii="宋体" w:hAnsi="宋体" w:eastAsia="宋体" w:cs="宋体"/>
          <w:sz w:val="32"/>
          <w:szCs w:val="28"/>
        </w:rPr>
        <w:t>三、服务期限及结算方式</w:t>
      </w:r>
      <w:bookmarkEnd w:id="102"/>
    </w:p>
    <w:p>
      <w:pPr>
        <w:spacing w:line="360" w:lineRule="auto"/>
        <w:ind w:firstLine="480" w:firstLineChars="200"/>
        <w:rPr>
          <w:rFonts w:hint="eastAsia" w:ascii="宋体" w:hAnsi="宋体" w:cs="宋体"/>
          <w:sz w:val="24"/>
        </w:rPr>
      </w:pPr>
      <w:r>
        <w:rPr>
          <w:rFonts w:hint="eastAsia" w:ascii="宋体" w:hAnsi="宋体" w:cs="宋体"/>
          <w:sz w:val="24"/>
        </w:rPr>
        <w:t>1.本项目运维服务期为36个月，自项目建设完成验收合格并整体交付使用之日开始计算。</w:t>
      </w:r>
    </w:p>
    <w:p>
      <w:pPr>
        <w:spacing w:line="360" w:lineRule="auto"/>
        <w:ind w:firstLine="480" w:firstLineChars="200"/>
        <w:rPr>
          <w:rFonts w:hint="eastAsia"/>
        </w:rPr>
      </w:pPr>
      <w:r>
        <w:rPr>
          <w:rFonts w:hint="eastAsia" w:ascii="宋体" w:hAnsi="宋体" w:cs="宋体"/>
          <w:sz w:val="24"/>
        </w:rPr>
        <w:t>2.以每路摄像机每月服务费为结算单价，根据考核后的实际路数计算实际服务费用。</w:t>
      </w:r>
    </w:p>
    <w:p>
      <w:pPr>
        <w:pStyle w:val="6"/>
        <w:spacing w:before="0" w:after="0"/>
        <w:ind w:firstLine="0" w:firstLineChars="0"/>
        <w:jc w:val="left"/>
        <w:rPr>
          <w:rFonts w:hint="eastAsia" w:ascii="宋体" w:hAnsi="宋体" w:eastAsia="宋体" w:cs="宋体"/>
          <w:sz w:val="32"/>
          <w:szCs w:val="28"/>
        </w:rPr>
      </w:pPr>
      <w:bookmarkStart w:id="103" w:name="_Toc112414193"/>
      <w:r>
        <w:rPr>
          <w:rFonts w:hint="eastAsia" w:ascii="宋体" w:hAnsi="宋体" w:eastAsia="宋体" w:cs="宋体"/>
          <w:sz w:val="32"/>
          <w:szCs w:val="28"/>
        </w:rPr>
        <w:t>四、付款方式</w:t>
      </w:r>
      <w:bookmarkEnd w:id="103"/>
    </w:p>
    <w:p>
      <w:pPr>
        <w:tabs>
          <w:tab w:val="left" w:pos="864"/>
        </w:tabs>
        <w:spacing w:line="360" w:lineRule="auto"/>
        <w:ind w:firstLine="480" w:firstLineChars="200"/>
        <w:rPr>
          <w:rFonts w:hint="eastAsia" w:ascii="宋体" w:hAnsi="宋体"/>
          <w:sz w:val="24"/>
        </w:rPr>
      </w:pPr>
      <w:r>
        <w:rPr>
          <w:rFonts w:hint="eastAsia" w:ascii="宋体" w:hAnsi="宋体"/>
          <w:sz w:val="24"/>
        </w:rPr>
        <w:t>本项目采用先服务后付款的方式按季度平均支付，根据每季度考核结果计算服务费，采购人在收到投标人开具的发票后7个工作日内进行支付。</w:t>
      </w:r>
    </w:p>
    <w:p>
      <w:pPr>
        <w:pStyle w:val="6"/>
        <w:spacing w:before="0" w:after="0"/>
        <w:ind w:firstLine="0" w:firstLineChars="0"/>
        <w:jc w:val="left"/>
        <w:rPr>
          <w:rFonts w:hint="eastAsia" w:ascii="宋体" w:hAnsi="宋体" w:eastAsia="宋体" w:cs="宋体"/>
          <w:sz w:val="32"/>
          <w:szCs w:val="28"/>
        </w:rPr>
      </w:pPr>
      <w:bookmarkStart w:id="104" w:name="_Toc112414194"/>
      <w:r>
        <w:rPr>
          <w:rFonts w:hint="eastAsia" w:ascii="宋体" w:hAnsi="宋体" w:eastAsia="宋体" w:cs="宋体"/>
          <w:sz w:val="32"/>
          <w:szCs w:val="28"/>
        </w:rPr>
        <w:t>五、人员要求</w:t>
      </w:r>
      <w:bookmarkEnd w:id="104"/>
    </w:p>
    <w:p>
      <w:pPr>
        <w:tabs>
          <w:tab w:val="center" w:pos="4775"/>
        </w:tabs>
        <w:spacing w:line="360" w:lineRule="auto"/>
        <w:ind w:firstLine="480" w:firstLineChars="200"/>
        <w:rPr>
          <w:rFonts w:ascii="宋体" w:hAnsi="宋体"/>
          <w:kern w:val="0"/>
          <w:sz w:val="24"/>
        </w:rPr>
      </w:pPr>
      <w:r>
        <w:rPr>
          <w:rFonts w:hint="eastAsia" w:ascii="宋体" w:hAnsi="宋体"/>
          <w:kern w:val="0"/>
          <w:sz w:val="24"/>
        </w:rPr>
        <w:t>1.项目负责人：指定固定的项目负责人，必须熟悉项目整体情况，负责跟进整体项目进度，联系解决相关问题。项目负责人在项目服务期间未经采购人同意不得更换。</w:t>
      </w:r>
    </w:p>
    <w:p>
      <w:pPr>
        <w:spacing w:line="360" w:lineRule="auto"/>
        <w:rPr>
          <w:rFonts w:hint="eastAsia"/>
          <w:sz w:val="24"/>
        </w:rPr>
      </w:pPr>
      <w:r>
        <w:rPr>
          <w:rFonts w:hint="eastAsia" w:ascii="宋体" w:hAnsi="宋体"/>
          <w:kern w:val="0"/>
          <w:sz w:val="24"/>
        </w:rPr>
        <w:t xml:space="preserve">   2.</w:t>
      </w:r>
      <w:r>
        <w:rPr>
          <w:rFonts w:hint="eastAsia" w:ascii="宋体" w:hAnsi="宋体"/>
          <w:sz w:val="24"/>
        </w:rPr>
        <w:t>驻场维护人员配备基本要求：各专业维护人员在采购人指定的工作场所开展本项目的维护相关工作，其中负责前端维护工作人员不少于</w:t>
      </w:r>
      <w:r>
        <w:rPr>
          <w:rFonts w:hint="eastAsia" w:ascii="宋体" w:hAnsi="宋体"/>
          <w:sz w:val="24"/>
          <w:u w:val="single"/>
        </w:rPr>
        <w:t xml:space="preserve"> 1 </w:t>
      </w:r>
      <w:r>
        <w:rPr>
          <w:rFonts w:hint="eastAsia" w:ascii="宋体" w:hAnsi="宋体"/>
          <w:sz w:val="24"/>
        </w:rPr>
        <w:t>名，网络专业人员不少于</w:t>
      </w:r>
      <w:r>
        <w:rPr>
          <w:rFonts w:hint="eastAsia" w:ascii="宋体" w:hAnsi="宋体"/>
          <w:sz w:val="24"/>
          <w:u w:val="single"/>
        </w:rPr>
        <w:t xml:space="preserve"> 1 </w:t>
      </w:r>
      <w:r>
        <w:rPr>
          <w:rFonts w:hint="eastAsia" w:ascii="宋体" w:hAnsi="宋体"/>
          <w:sz w:val="24"/>
        </w:rPr>
        <w:t>名，专业技术人员不少于</w:t>
      </w:r>
      <w:r>
        <w:rPr>
          <w:rFonts w:hint="eastAsia" w:ascii="宋体" w:hAnsi="宋体"/>
          <w:sz w:val="24"/>
          <w:u w:val="single"/>
        </w:rPr>
        <w:t xml:space="preserve">  1 </w:t>
      </w:r>
      <w:r>
        <w:rPr>
          <w:rFonts w:hint="eastAsia" w:ascii="宋体" w:hAnsi="宋体"/>
          <w:sz w:val="24"/>
        </w:rPr>
        <w:t>名，协调专员不少于</w:t>
      </w:r>
      <w:r>
        <w:rPr>
          <w:rFonts w:hint="eastAsia" w:ascii="宋体" w:hAnsi="宋体"/>
          <w:sz w:val="24"/>
          <w:u w:val="single"/>
        </w:rPr>
        <w:t xml:space="preserve"> 1 </w:t>
      </w:r>
      <w:r>
        <w:rPr>
          <w:rFonts w:hint="eastAsia" w:ascii="宋体" w:hAnsi="宋体"/>
          <w:sz w:val="24"/>
        </w:rPr>
        <w:t>名。驻场人员原则上不予更换，若更换必须派驻同等资质人员且经甲方书面同意后方可执行</w:t>
      </w:r>
      <w:r>
        <w:rPr>
          <w:rFonts w:hint="eastAsia" w:ascii="宋体" w:hAnsi="宋体"/>
          <w:kern w:val="0"/>
          <w:sz w:val="24"/>
        </w:rPr>
        <w:t>。</w:t>
      </w:r>
    </w:p>
    <w:p>
      <w:pPr>
        <w:rPr>
          <w:rFonts w:hint="eastAsia"/>
        </w:rPr>
      </w:pPr>
    </w:p>
    <w:p>
      <w:pPr>
        <w:rPr>
          <w:rFonts w:hint="eastAsia"/>
        </w:rPr>
      </w:pPr>
    </w:p>
    <w:p>
      <w:pPr>
        <w:rPr>
          <w:rFonts w:hint="eastAsia"/>
        </w:rPr>
      </w:pPr>
    </w:p>
    <w:p>
      <w:pPr>
        <w:rPr>
          <w:rFonts w:hint="eastAsia"/>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4"/>
        <w:spacing w:line="560" w:lineRule="exact"/>
        <w:rPr>
          <w:rFonts w:hint="eastAsia"/>
          <w:kern w:val="0"/>
          <w:sz w:val="24"/>
          <w:szCs w:val="22"/>
        </w:rPr>
      </w:pPr>
      <w:bookmarkStart w:id="105" w:name="_Toc112414195"/>
      <w:r>
        <w:rPr>
          <w:rFonts w:hint="eastAsia" w:ascii="宋体" w:hAnsi="宋体" w:eastAsia="宋体"/>
          <w:sz w:val="32"/>
        </w:rPr>
        <w:t>第四章　政府采购合同</w:t>
      </w:r>
      <w:bookmarkEnd w:id="105"/>
    </w:p>
    <w:p>
      <w:pPr>
        <w:ind w:firstLine="5640" w:firstLineChars="2350"/>
        <w:rPr>
          <w:rFonts w:hint="eastAsia" w:ascii="宋体" w:hAnsi="宋体"/>
          <w:sz w:val="24"/>
        </w:rPr>
      </w:pPr>
    </w:p>
    <w:p>
      <w:pPr>
        <w:ind w:firstLine="6115" w:firstLineChars="2548"/>
        <w:rPr>
          <w:rFonts w:hint="eastAsia" w:ascii="宋体" w:hAnsi="宋体"/>
          <w:sz w:val="24"/>
          <w:szCs w:val="21"/>
        </w:rPr>
      </w:pPr>
    </w:p>
    <w:p>
      <w:pPr>
        <w:pStyle w:val="52"/>
        <w:spacing w:line="360" w:lineRule="atLeast"/>
        <w:ind w:firstLine="480"/>
        <w:rPr>
          <w:rFonts w:hint="eastAsia"/>
        </w:rPr>
      </w:pPr>
      <w:r>
        <w:rPr>
          <w:rFonts w:hint="eastAsia"/>
        </w:rPr>
        <w:t>采购人：（以下称甲方）__</w:t>
      </w:r>
      <w:r>
        <w:rPr>
          <w:rFonts w:hint="eastAsia"/>
          <w:u w:val="single"/>
        </w:rPr>
        <w:t>_              _</w:t>
      </w:r>
      <w:r>
        <w:rPr>
          <w:rFonts w:hint="eastAsia"/>
        </w:rPr>
        <w:t>_</w:t>
      </w:r>
    </w:p>
    <w:p>
      <w:pPr>
        <w:pStyle w:val="52"/>
        <w:spacing w:line="360" w:lineRule="atLeast"/>
        <w:ind w:firstLine="480"/>
        <w:rPr>
          <w:rFonts w:hint="eastAsia"/>
        </w:rPr>
      </w:pPr>
    </w:p>
    <w:p>
      <w:pPr>
        <w:pStyle w:val="52"/>
        <w:spacing w:line="360" w:lineRule="atLeast"/>
        <w:ind w:firstLine="480"/>
        <w:rPr>
          <w:rFonts w:hint="eastAsia"/>
        </w:rPr>
      </w:pPr>
      <w:r>
        <w:rPr>
          <w:rFonts w:hint="eastAsia"/>
        </w:rPr>
        <w:t>中标人：（以下称乙方）___________________</w:t>
      </w:r>
    </w:p>
    <w:p>
      <w:pPr>
        <w:pStyle w:val="52"/>
        <w:spacing w:line="360" w:lineRule="auto"/>
        <w:ind w:firstLine="480" w:firstLineChars="200"/>
        <w:rPr>
          <w:rFonts w:hint="eastAsia"/>
        </w:rPr>
      </w:pPr>
    </w:p>
    <w:p>
      <w:pPr>
        <w:pStyle w:val="52"/>
        <w:spacing w:line="360" w:lineRule="auto"/>
        <w:ind w:firstLine="480" w:firstLineChars="200"/>
        <w:rPr>
          <w:rFonts w:hint="eastAsia"/>
        </w:rPr>
      </w:pPr>
      <w:r>
        <w:rPr>
          <w:rFonts w:hint="eastAsia"/>
        </w:rPr>
        <w:t>根据</w:t>
      </w:r>
      <w:r>
        <w:rPr>
          <w:rFonts w:hint="eastAsia"/>
          <w:u w:val="single"/>
        </w:rPr>
        <w:t xml:space="preserve">           （项目名称） </w:t>
      </w:r>
      <w:r>
        <w:rPr>
          <w:rFonts w:hint="eastAsia"/>
        </w:rPr>
        <w:t>招标文件（项目编号：</w:t>
      </w:r>
      <w:r>
        <w:rPr>
          <w:rFonts w:hint="eastAsia"/>
          <w:u w:val="single"/>
        </w:rPr>
        <w:t xml:space="preserve">      </w:t>
      </w:r>
      <w:r>
        <w:rPr>
          <w:rFonts w:hint="eastAsia"/>
        </w:rPr>
        <w:t>），在</w:t>
      </w:r>
      <w:r>
        <w:rPr>
          <w:rFonts w:hint="eastAsia"/>
          <w:u w:val="single"/>
          <w:lang w:val="zh-CN"/>
        </w:rPr>
        <w:t xml:space="preserve">       </w:t>
      </w:r>
      <w:r>
        <w:rPr>
          <w:rFonts w:hint="eastAsia"/>
          <w:lang w:val="zh-CN"/>
        </w:rPr>
        <w:t>年</w:t>
      </w:r>
      <w:r>
        <w:rPr>
          <w:rFonts w:hint="eastAsia"/>
          <w:u w:val="single"/>
          <w:lang w:val="zh-CN"/>
        </w:rPr>
        <w:t xml:space="preserve">    </w:t>
      </w:r>
      <w:r>
        <w:rPr>
          <w:rFonts w:hint="eastAsia"/>
          <w:lang w:val="zh-CN"/>
        </w:rPr>
        <w:t>月</w:t>
      </w:r>
      <w:r>
        <w:rPr>
          <w:rFonts w:hint="eastAsia"/>
          <w:u w:val="single"/>
          <w:lang w:val="zh-CN"/>
        </w:rPr>
        <w:t xml:space="preserve">    </w:t>
      </w:r>
      <w:r>
        <w:rPr>
          <w:rFonts w:hint="eastAsia"/>
          <w:lang w:val="zh-CN"/>
        </w:rPr>
        <w:t>日</w:t>
      </w:r>
      <w:r>
        <w:rPr>
          <w:rFonts w:hint="eastAsia"/>
        </w:rPr>
        <w:t>，</w:t>
      </w:r>
      <w:r>
        <w:rPr>
          <w:rFonts w:hint="eastAsia"/>
          <w:u w:val="single"/>
        </w:rPr>
        <w:t xml:space="preserve">  （采购人名称）</w:t>
      </w:r>
      <w:r>
        <w:rPr>
          <w:rFonts w:hint="eastAsia"/>
        </w:rPr>
        <w:t>对该项目进行了公开招标采购，确定</w:t>
      </w:r>
      <w:r>
        <w:rPr>
          <w:rFonts w:hint="eastAsia"/>
          <w:u w:val="single"/>
        </w:rPr>
        <w:t xml:space="preserve">  （中标人名称）  </w:t>
      </w:r>
      <w:r>
        <w:rPr>
          <w:rFonts w:hint="eastAsia"/>
        </w:rPr>
        <w:t>为该项目中标人。甲乙双方依据《中华人民共和国政府采购法》、《中华人民共和国民法典》等相关法律法规和招标文件的要求，在平等自愿的基础上，同意按照下面的条款和条件，签署本合同。</w:t>
      </w:r>
    </w:p>
    <w:p>
      <w:pPr>
        <w:pStyle w:val="52"/>
        <w:spacing w:line="360" w:lineRule="auto"/>
        <w:ind w:firstLine="482" w:firstLineChars="200"/>
        <w:rPr>
          <w:rFonts w:hint="eastAsia"/>
          <w:b/>
        </w:rPr>
      </w:pPr>
      <w:r>
        <w:rPr>
          <w:rFonts w:hint="eastAsia"/>
          <w:b/>
        </w:rPr>
        <w:t>第一条　服务内容</w:t>
      </w:r>
    </w:p>
    <w:p>
      <w:pPr>
        <w:pStyle w:val="52"/>
        <w:spacing w:line="360" w:lineRule="auto"/>
        <w:ind w:firstLine="480" w:firstLineChars="200"/>
        <w:rPr>
          <w:rFonts w:hint="eastAsia"/>
          <w:u w:val="single"/>
        </w:rPr>
      </w:pPr>
      <w:r>
        <w:rPr>
          <w:rFonts w:hint="eastAsia"/>
        </w:rPr>
        <w:t>1.1内容：</w:t>
      </w:r>
      <w:r>
        <w:rPr>
          <w:rFonts w:hint="eastAsia"/>
          <w:u w:val="single"/>
        </w:rPr>
        <w:t>257路前端监控摄像机的优化设计和配套建设，以及与之相关运维服务。</w:t>
      </w:r>
    </w:p>
    <w:p>
      <w:pPr>
        <w:pStyle w:val="52"/>
        <w:spacing w:line="360" w:lineRule="auto"/>
        <w:ind w:firstLine="480" w:firstLineChars="200"/>
        <w:rPr>
          <w:rFonts w:hint="eastAsia"/>
        </w:rPr>
      </w:pPr>
      <w:r>
        <w:rPr>
          <w:rFonts w:hint="eastAsia"/>
        </w:rPr>
        <w:t>1.2地点：</w:t>
      </w:r>
      <w:r>
        <w:rPr>
          <w:rFonts w:hint="eastAsia"/>
          <w:u w:val="single"/>
        </w:rPr>
        <w:t>甲方指定地点。</w:t>
      </w:r>
    </w:p>
    <w:p>
      <w:pPr>
        <w:pStyle w:val="52"/>
        <w:spacing w:line="360" w:lineRule="auto"/>
        <w:ind w:firstLine="482" w:firstLineChars="200"/>
        <w:rPr>
          <w:rFonts w:hint="eastAsia"/>
          <w:b/>
        </w:rPr>
      </w:pPr>
      <w:r>
        <w:rPr>
          <w:rFonts w:hint="eastAsia"/>
          <w:b/>
        </w:rPr>
        <w:t>第二条　合同价款</w:t>
      </w:r>
    </w:p>
    <w:p>
      <w:pPr>
        <w:pStyle w:val="52"/>
        <w:spacing w:line="360" w:lineRule="auto"/>
        <w:ind w:firstLine="480" w:firstLineChars="200"/>
        <w:rPr>
          <w:rFonts w:hint="eastAsia"/>
        </w:rPr>
      </w:pPr>
      <w:r>
        <w:rPr>
          <w:rFonts w:hint="eastAsia"/>
        </w:rPr>
        <w:t>中标单价：</w:t>
      </w:r>
      <w:r>
        <w:rPr>
          <w:rFonts w:hint="eastAsia"/>
          <w:u w:val="single"/>
        </w:rPr>
        <w:t xml:space="preserve">        </w:t>
      </w:r>
      <w:r>
        <w:rPr>
          <w:rFonts w:hint="eastAsia"/>
        </w:rPr>
        <w:t>元/路/月。</w:t>
      </w:r>
    </w:p>
    <w:p>
      <w:pPr>
        <w:pStyle w:val="52"/>
        <w:spacing w:line="360" w:lineRule="auto"/>
        <w:ind w:firstLine="482" w:firstLineChars="200"/>
        <w:rPr>
          <w:rFonts w:hint="eastAsia"/>
          <w:b/>
        </w:rPr>
      </w:pPr>
      <w:r>
        <w:rPr>
          <w:rFonts w:hint="eastAsia"/>
          <w:b/>
        </w:rPr>
        <w:t>第三条　组成本合同的有关文件</w:t>
      </w:r>
    </w:p>
    <w:p>
      <w:pPr>
        <w:pStyle w:val="52"/>
        <w:spacing w:line="360" w:lineRule="auto"/>
        <w:ind w:firstLine="480" w:firstLineChars="200"/>
        <w:rPr>
          <w:rFonts w:hint="eastAsia"/>
        </w:rPr>
      </w:pPr>
      <w:r>
        <w:rPr>
          <w:rFonts w:hint="eastAsia"/>
        </w:rPr>
        <w:t>3.1 下列文件构成本合同的组成部分，应该认为是一个整体，彼此相互解释，相互补充。组成合同的多个文件的优先支配地位的次序如下：</w:t>
      </w:r>
    </w:p>
    <w:p>
      <w:pPr>
        <w:pStyle w:val="52"/>
        <w:spacing w:line="360" w:lineRule="auto"/>
        <w:ind w:firstLine="480" w:firstLineChars="200"/>
        <w:rPr>
          <w:rFonts w:hint="eastAsia"/>
        </w:rPr>
      </w:pPr>
      <w:r>
        <w:rPr>
          <w:rFonts w:hint="eastAsia"/>
        </w:rPr>
        <w:t>3.1.1 本合同书　</w:t>
      </w:r>
    </w:p>
    <w:p>
      <w:pPr>
        <w:pStyle w:val="52"/>
        <w:spacing w:line="360" w:lineRule="auto"/>
        <w:ind w:firstLine="480" w:firstLineChars="200"/>
        <w:rPr>
          <w:rFonts w:hint="eastAsia"/>
        </w:rPr>
      </w:pPr>
      <w:r>
        <w:rPr>
          <w:rFonts w:hint="eastAsia"/>
        </w:rPr>
        <w:t>3.1.2 中标通知书</w:t>
      </w:r>
      <w:r>
        <w:rPr>
          <w:rFonts w:hint="eastAsia"/>
        </w:rPr>
        <w:tab/>
      </w:r>
    </w:p>
    <w:p>
      <w:pPr>
        <w:pStyle w:val="52"/>
        <w:spacing w:line="360" w:lineRule="auto"/>
        <w:ind w:firstLine="480" w:firstLineChars="200"/>
        <w:rPr>
          <w:rFonts w:hint="eastAsia"/>
        </w:rPr>
      </w:pPr>
      <w:r>
        <w:rPr>
          <w:rFonts w:hint="eastAsia"/>
        </w:rPr>
        <w:t>3.1.3 乙方投标文件（含现场演示资料）</w:t>
      </w:r>
    </w:p>
    <w:p>
      <w:pPr>
        <w:pStyle w:val="52"/>
        <w:spacing w:line="360" w:lineRule="auto"/>
        <w:ind w:firstLine="480" w:firstLineChars="200"/>
        <w:rPr>
          <w:rFonts w:hint="eastAsia"/>
        </w:rPr>
      </w:pPr>
      <w:r>
        <w:rPr>
          <w:rFonts w:hint="eastAsia"/>
        </w:rPr>
        <w:t>3.1.4 招标文件澄清修改文件</w:t>
      </w:r>
    </w:p>
    <w:p>
      <w:pPr>
        <w:pStyle w:val="52"/>
        <w:spacing w:line="360" w:lineRule="auto"/>
        <w:ind w:firstLine="480" w:firstLineChars="200"/>
        <w:rPr>
          <w:rFonts w:hint="eastAsia"/>
        </w:rPr>
      </w:pPr>
      <w:r>
        <w:rPr>
          <w:rFonts w:hint="eastAsia"/>
        </w:rPr>
        <w:t>3.1.5 招标文件（含项目技术文件、图纸及标准、规范）</w:t>
      </w:r>
    </w:p>
    <w:p>
      <w:pPr>
        <w:pStyle w:val="52"/>
        <w:spacing w:line="360" w:lineRule="auto"/>
        <w:ind w:firstLine="480" w:firstLineChars="200"/>
        <w:rPr>
          <w:rFonts w:hint="eastAsia"/>
        </w:rPr>
      </w:pPr>
      <w:r>
        <w:rPr>
          <w:rFonts w:hint="eastAsia"/>
        </w:rPr>
        <w:t>3.1.6双方有关项目洽商、变更等书面协议或文件亦为本合同组成部分</w:t>
      </w:r>
    </w:p>
    <w:p>
      <w:pPr>
        <w:pStyle w:val="52"/>
        <w:spacing w:line="360" w:lineRule="auto"/>
        <w:ind w:firstLine="472" w:firstLineChars="196"/>
        <w:rPr>
          <w:rFonts w:hint="eastAsia"/>
        </w:rPr>
      </w:pPr>
      <w:r>
        <w:rPr>
          <w:rFonts w:hint="eastAsia"/>
          <w:b/>
        </w:rPr>
        <w:t>以上文件中若服务要求和内容出现不一致的，以最优于采购人的条款执行</w:t>
      </w:r>
      <w:r>
        <w:rPr>
          <w:rFonts w:hint="eastAsia"/>
        </w:rPr>
        <w:t>。</w:t>
      </w:r>
    </w:p>
    <w:p>
      <w:pPr>
        <w:pStyle w:val="52"/>
        <w:spacing w:line="360" w:lineRule="auto"/>
        <w:ind w:firstLine="482" w:firstLineChars="200"/>
        <w:rPr>
          <w:rFonts w:hint="eastAsia"/>
          <w:b/>
        </w:rPr>
      </w:pPr>
      <w:r>
        <w:rPr>
          <w:rFonts w:hint="eastAsia"/>
          <w:b/>
        </w:rPr>
        <w:t>第四条　权利保证</w:t>
      </w:r>
    </w:p>
    <w:p>
      <w:pPr>
        <w:pStyle w:val="52"/>
        <w:spacing w:line="360" w:lineRule="auto"/>
        <w:ind w:firstLine="480" w:firstLineChars="200"/>
        <w:rPr>
          <w:rFonts w:hint="eastAsia"/>
        </w:rPr>
      </w:pPr>
      <w:r>
        <w:rPr>
          <w:rFonts w:hint="eastAsia"/>
        </w:rPr>
        <w:t>乙方保证提供的货物不存在对任何第三方侵权行为（包括商标、专利、版权、知识产权等）。若发生侵权行为，由乙方负全责，应承担由此发生的一切经济和法律责任，并赔偿甲方</w:t>
      </w:r>
      <w:r>
        <w:rPr>
          <w:rFonts w:hint="eastAsia"/>
          <w:u w:val="single"/>
        </w:rPr>
        <w:t xml:space="preserve"> 10%</w:t>
      </w:r>
      <w:r>
        <w:rPr>
          <w:rFonts w:hint="eastAsia"/>
        </w:rPr>
        <w:t>的合同款。</w:t>
      </w:r>
    </w:p>
    <w:p>
      <w:pPr>
        <w:pStyle w:val="52"/>
        <w:spacing w:line="360" w:lineRule="auto"/>
        <w:ind w:firstLine="482" w:firstLineChars="200"/>
        <w:rPr>
          <w:rFonts w:hint="eastAsia"/>
          <w:b/>
        </w:rPr>
      </w:pPr>
      <w:r>
        <w:rPr>
          <w:rFonts w:hint="eastAsia"/>
          <w:b/>
        </w:rPr>
        <w:t>第五条  服务期限</w:t>
      </w:r>
    </w:p>
    <w:p>
      <w:pPr>
        <w:spacing w:line="360" w:lineRule="auto"/>
        <w:ind w:firstLine="480" w:firstLineChars="200"/>
        <w:rPr>
          <w:rFonts w:hint="eastAsia" w:ascii="宋体" w:hAnsi="宋体"/>
          <w:sz w:val="24"/>
        </w:rPr>
      </w:pPr>
      <w:r>
        <w:rPr>
          <w:rFonts w:hint="eastAsia" w:ascii="宋体" w:hAnsi="宋体"/>
          <w:sz w:val="24"/>
        </w:rPr>
        <w:t>5.1</w:t>
      </w:r>
      <w:r>
        <w:rPr>
          <w:rFonts w:hint="eastAsia" w:ascii="宋体" w:hAnsi="宋体" w:cs="宋体"/>
          <w:sz w:val="24"/>
        </w:rPr>
        <w:t>项目于合同签订后6个月内完成项目建设并通过终验，</w:t>
      </w:r>
    </w:p>
    <w:p>
      <w:pPr>
        <w:spacing w:line="360" w:lineRule="auto"/>
        <w:ind w:firstLine="480" w:firstLineChars="200"/>
        <w:rPr>
          <w:rFonts w:hint="eastAsia" w:ascii="宋体" w:hAnsi="宋体"/>
          <w:sz w:val="24"/>
        </w:rPr>
      </w:pPr>
      <w:r>
        <w:rPr>
          <w:rFonts w:hint="eastAsia" w:ascii="宋体" w:hAnsi="宋体"/>
          <w:sz w:val="24"/>
        </w:rPr>
        <w:t>5.2整体交付使用之日起进入三年的服务期，项目资料全部移交并经甲方确认后开始计算服务费用。</w:t>
      </w:r>
    </w:p>
    <w:p>
      <w:pPr>
        <w:pStyle w:val="52"/>
        <w:spacing w:line="360" w:lineRule="auto"/>
        <w:ind w:firstLine="482" w:firstLineChars="200"/>
        <w:rPr>
          <w:rFonts w:hint="eastAsia"/>
          <w:b/>
        </w:rPr>
      </w:pPr>
      <w:r>
        <w:rPr>
          <w:rFonts w:hint="eastAsia"/>
          <w:b/>
        </w:rPr>
        <w:t>第六条  检测和验收</w:t>
      </w:r>
    </w:p>
    <w:p>
      <w:pPr>
        <w:spacing w:line="360" w:lineRule="auto"/>
        <w:rPr>
          <w:rFonts w:hint="eastAsia" w:ascii="宋体" w:hAnsi="宋体"/>
          <w:sz w:val="24"/>
        </w:rPr>
      </w:pPr>
      <w:r>
        <w:rPr>
          <w:rFonts w:hint="eastAsia" w:ascii="宋体" w:hAnsi="宋体"/>
          <w:sz w:val="24"/>
        </w:rPr>
        <w:t xml:space="preserve">    6.1检测：乙方应按甲方要求提供设备的有效检验文件及设备出厂材料（如装箱清单、检测报告、产品合格证、用户手册、原厂保修卡、随机资料及配件、随机工具等），经甲方认可后，与合同的性能指标一起作为设备验收标准，由甲方聘请具有国家认证资质的第三方检测机构对项目进行复检和性能测试（主要设备送检，工程前端抽检，</w:t>
      </w:r>
      <w:r>
        <w:rPr>
          <w:rFonts w:hint="eastAsia" w:ascii="宋体" w:hAnsi="宋体"/>
          <w:b/>
          <w:sz w:val="24"/>
        </w:rPr>
        <w:t>不低于3</w:t>
      </w:r>
      <w:r>
        <w:rPr>
          <w:rFonts w:ascii="宋体" w:hAnsi="宋体"/>
          <w:b/>
          <w:sz w:val="24"/>
        </w:rPr>
        <w:t>0</w:t>
      </w:r>
      <w:r>
        <w:rPr>
          <w:rFonts w:hint="eastAsia" w:ascii="宋体" w:hAnsi="宋体"/>
          <w:b/>
          <w:sz w:val="24"/>
        </w:rPr>
        <w:t>%）</w:t>
      </w:r>
      <w:r>
        <w:rPr>
          <w:rFonts w:hint="eastAsia" w:ascii="宋体" w:hAnsi="宋体"/>
          <w:sz w:val="24"/>
        </w:rPr>
        <w:t>，检测费用由乙方支付。与此同时乙方应派出本项目主要技术负责人（有经验、技术能力强）协助以上工作。</w:t>
      </w:r>
    </w:p>
    <w:p>
      <w:pPr>
        <w:pStyle w:val="52"/>
        <w:spacing w:line="360" w:lineRule="auto"/>
        <w:ind w:firstLine="480" w:firstLineChars="200"/>
        <w:rPr>
          <w:rFonts w:hint="eastAsia"/>
        </w:rPr>
      </w:pPr>
      <w:r>
        <w:rPr>
          <w:rFonts w:hint="eastAsia"/>
        </w:rPr>
        <w:t>6.2 验收：</w:t>
      </w:r>
    </w:p>
    <w:p>
      <w:pPr>
        <w:pStyle w:val="52"/>
        <w:spacing w:line="360" w:lineRule="auto"/>
        <w:ind w:firstLine="480" w:firstLineChars="200"/>
        <w:rPr>
          <w:rFonts w:hint="eastAsia"/>
        </w:rPr>
      </w:pPr>
      <w:r>
        <w:rPr>
          <w:rFonts w:hint="eastAsia"/>
        </w:rPr>
        <w:t>6.2.1材料、设备到货检查及报验： 材料、设备到货后必须先由技术负责人进行自检，签证自检确认书后报甲方及监理单位验收，在甲方及监理验收时必须提供设备清单、自检确认书及原厂出具的相关质量证明文件（如合格证、检测报告、入网许可证等），否则甲方及监理有权拒绝验收，相关材料、设备不得进场，造成的后果由乙方承担。</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6.2.2甲方在乙方送货、安装、调试后对工程进行初验，如果发现数量不足或有质量、技术等问题，乙方应负责根据合同及甲方的要求采取补足或更换等处理措施，并承担由此发生的一切损失和费用。</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6.2.3项目试运行结束后，甲方组织项目终验，验收除应满足甲方要求外，还应满足以下要求：</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①工程终验资料应齐全，应包括招标文件、投标文件、合同、设计资料、初步设计论证意见、系统竣工报告、验收图纸、隐蔽工程验收记录、子/分项系统试运行报告、系统自检报告、材料进场报验资料、设备检验合格证书、工程变更记录、第三方检测报告、培训计划方案和记录、系统使用说明书、售后服务和维护制度、初验报告、安防验收申请表、系统网络架构图纸和系统连接图表等；</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②配合监理单位完成相关资料，应包括监理报告、工程变更单、工程联系单、设备验收资料、会议纪要、隐蔽工程随工验收单、巡查记录等；</w:t>
      </w:r>
    </w:p>
    <w:p>
      <w:pPr>
        <w:tabs>
          <w:tab w:val="center" w:pos="4775"/>
        </w:tabs>
        <w:spacing w:line="360" w:lineRule="auto"/>
        <w:ind w:firstLine="480" w:firstLineChars="200"/>
        <w:rPr>
          <w:rFonts w:hint="eastAsia" w:ascii="宋体" w:hAnsi="宋体"/>
          <w:kern w:val="0"/>
          <w:sz w:val="24"/>
        </w:rPr>
      </w:pPr>
      <w:r>
        <w:rPr>
          <w:rFonts w:hint="eastAsia" w:ascii="宋体" w:hAnsi="宋体"/>
          <w:kern w:val="0"/>
          <w:sz w:val="24"/>
        </w:rPr>
        <w:t>③验收应形成完整记录，验收报告结论应明确，需要时应提出整改意见。</w:t>
      </w:r>
    </w:p>
    <w:p>
      <w:pPr>
        <w:pStyle w:val="52"/>
        <w:spacing w:line="360" w:lineRule="auto"/>
        <w:ind w:firstLine="482" w:firstLineChars="200"/>
        <w:rPr>
          <w:rFonts w:hint="eastAsia"/>
          <w:b/>
        </w:rPr>
      </w:pPr>
      <w:r>
        <w:rPr>
          <w:rFonts w:hint="eastAsia"/>
          <w:b/>
        </w:rPr>
        <w:t>第七条　货款支付</w:t>
      </w:r>
    </w:p>
    <w:p>
      <w:pPr>
        <w:pStyle w:val="52"/>
        <w:spacing w:line="360" w:lineRule="auto"/>
        <w:ind w:firstLine="480" w:firstLineChars="200"/>
        <w:rPr>
          <w:rFonts w:hint="eastAsia"/>
        </w:rPr>
      </w:pPr>
      <w:r>
        <w:rPr>
          <w:rFonts w:hint="eastAsia"/>
        </w:rPr>
        <w:t>7.1本合同项下所有款项均以人民币支付；</w:t>
      </w:r>
    </w:p>
    <w:p>
      <w:pPr>
        <w:pStyle w:val="29"/>
        <w:spacing w:line="360" w:lineRule="auto"/>
        <w:ind w:firstLine="482" w:firstLineChars="200"/>
        <w:rPr>
          <w:rFonts w:hint="eastAsia" w:hAnsi="宋体"/>
          <w:sz w:val="24"/>
          <w:szCs w:val="24"/>
          <w:u w:val="single"/>
        </w:rPr>
      </w:pPr>
      <w:r>
        <w:rPr>
          <w:rFonts w:hint="eastAsia" w:hAnsi="宋体"/>
          <w:b/>
          <w:sz w:val="24"/>
        </w:rPr>
        <w:t>7.2支付方法</w:t>
      </w:r>
      <w:r>
        <w:rPr>
          <w:rFonts w:hint="eastAsia" w:hAnsi="宋体"/>
          <w:sz w:val="24"/>
        </w:rPr>
        <w:t>：</w:t>
      </w:r>
    </w:p>
    <w:p>
      <w:pPr>
        <w:pStyle w:val="29"/>
        <w:spacing w:line="360" w:lineRule="auto"/>
        <w:ind w:firstLine="480" w:firstLineChars="200"/>
        <w:rPr>
          <w:rFonts w:hint="eastAsia" w:hAnsi="宋体"/>
          <w:sz w:val="24"/>
          <w:szCs w:val="24"/>
        </w:rPr>
      </w:pPr>
      <w:r>
        <w:rPr>
          <w:rFonts w:hint="eastAsia" w:hAnsi="宋体"/>
          <w:sz w:val="24"/>
        </w:rPr>
        <w:t>本项目采用先服务后付款的方式按季度平均支付，根据每季度考核结果计算服务费，甲方在收到乙方开具的发票后7个工作日内进行支付。</w:t>
      </w:r>
    </w:p>
    <w:p>
      <w:pPr>
        <w:spacing w:line="360" w:lineRule="auto"/>
        <w:rPr>
          <w:rFonts w:hint="eastAsia" w:ascii="宋体" w:hAnsi="宋体"/>
          <w:kern w:val="0"/>
          <w:sz w:val="24"/>
        </w:rPr>
      </w:pPr>
      <w:r>
        <w:rPr>
          <w:rFonts w:hint="eastAsia" w:ascii="宋体" w:hAnsi="宋体"/>
          <w:sz w:val="24"/>
        </w:rPr>
        <w:t xml:space="preserve"> </w:t>
      </w:r>
      <w:r>
        <w:rPr>
          <w:rFonts w:hint="eastAsia" w:ascii="宋体" w:hAnsi="宋体"/>
          <w:kern w:val="0"/>
          <w:sz w:val="24"/>
        </w:rPr>
        <w:t xml:space="preserve">   7.3</w:t>
      </w:r>
      <w:r>
        <w:rPr>
          <w:rFonts w:ascii="宋体" w:hAnsi="宋体"/>
          <w:kern w:val="0"/>
          <w:sz w:val="24"/>
        </w:rPr>
        <w:t>如果未能按照规定进度完成</w:t>
      </w:r>
      <w:r>
        <w:rPr>
          <w:rFonts w:hint="eastAsia" w:ascii="宋体" w:hAnsi="宋体"/>
          <w:kern w:val="0"/>
          <w:sz w:val="24"/>
        </w:rPr>
        <w:t>建设</w:t>
      </w:r>
      <w:r>
        <w:rPr>
          <w:rFonts w:ascii="宋体" w:hAnsi="宋体"/>
          <w:kern w:val="0"/>
          <w:sz w:val="24"/>
        </w:rPr>
        <w:t>，政府付费的支付时间将相应顺延</w:t>
      </w:r>
      <w:r>
        <w:rPr>
          <w:rFonts w:hint="eastAsia" w:ascii="宋体" w:hAnsi="宋体"/>
          <w:kern w:val="0"/>
          <w:sz w:val="24"/>
        </w:rPr>
        <w:t>，并按要求进行相应扣款。</w:t>
      </w:r>
    </w:p>
    <w:p>
      <w:pPr>
        <w:spacing w:line="360" w:lineRule="auto"/>
        <w:rPr>
          <w:rFonts w:hint="eastAsia" w:ascii="宋体" w:hAnsi="宋体"/>
          <w:kern w:val="0"/>
          <w:sz w:val="24"/>
        </w:rPr>
      </w:pPr>
      <w:r>
        <w:rPr>
          <w:rFonts w:hint="eastAsia" w:ascii="宋体" w:hAnsi="宋体"/>
          <w:kern w:val="0"/>
          <w:sz w:val="24"/>
        </w:rPr>
        <w:t xml:space="preserve">    7.4乙方要考虑实现招标文件需求的所有费用，对招标文件中未体现，但又是提供服务所必须的设备，乙方必须自行增加设备，同时，乙方需对服务项目建设及服务期间的安全责任问题全权负责，报价包含实现招标文件的所有功能及安全保障工作，甲方不再另外增加费用。其应包括施工设备、劳务、管理、材料、系统集成、安装调试、试运行、质保、保险、利润、税金、培训费、开办费、措施费、大型机械进退场费、人身意外伤害保险费、第三方检测费用、备品备件费用、建设期财务费用、光纤线路服务费用、绿化和道路复原费用、青苗赔偿费用、安全文明施工设施费用、机房和网络建设费用、杆件和基础设计费用、维修维护服务、电费、相关审批费用、竣工图编制费用、政策性文件规定费用及合同包含的所有风险、责任等所有费用。</w:t>
      </w:r>
    </w:p>
    <w:p>
      <w:pPr>
        <w:tabs>
          <w:tab w:val="left" w:pos="7753"/>
        </w:tabs>
        <w:spacing w:line="360" w:lineRule="auto"/>
        <w:ind w:firstLine="480" w:firstLineChars="200"/>
        <w:rPr>
          <w:rFonts w:hint="eastAsia" w:ascii="宋体" w:hAnsi="宋体"/>
          <w:kern w:val="0"/>
          <w:sz w:val="24"/>
        </w:rPr>
      </w:pPr>
      <w:r>
        <w:rPr>
          <w:rFonts w:hint="eastAsia" w:ascii="宋体" w:hAnsi="宋体"/>
          <w:kern w:val="0"/>
          <w:sz w:val="24"/>
        </w:rPr>
        <w:t>7.5结算方式：以每路摄像机每月服务费为结算单价，根据考核后的实际路数计算实际支付费用。</w:t>
      </w:r>
    </w:p>
    <w:p>
      <w:pPr>
        <w:pStyle w:val="52"/>
        <w:spacing w:line="360" w:lineRule="auto"/>
        <w:ind w:firstLine="482" w:firstLineChars="200"/>
        <w:rPr>
          <w:rFonts w:hint="eastAsia"/>
          <w:b/>
        </w:rPr>
      </w:pPr>
      <w:r>
        <w:rPr>
          <w:rFonts w:hint="eastAsia"/>
          <w:b/>
        </w:rPr>
        <w:t>第八条　服务中断与未中断</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8.1 关于服务中断</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由于甲方或经甲方同意导致的点位服务无法正常进行，由双方协商选择以下方式履行合同：</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（1）服务延期：因临时停用导致该点位服务暂时中断，考核指标不计入评价，等到该点位具备正常运行条件了，服务继续。</w:t>
      </w:r>
    </w:p>
    <w:p>
      <w:pPr>
        <w:tabs>
          <w:tab w:val="center" w:pos="4775"/>
        </w:tabs>
        <w:spacing w:line="360" w:lineRule="auto"/>
        <w:ind w:firstLine="480" w:firstLineChars="200"/>
        <w:rPr>
          <w:rFonts w:hint="eastAsia" w:ascii="宋体" w:hAnsi="宋体"/>
          <w:kern w:val="0"/>
          <w:sz w:val="24"/>
        </w:rPr>
      </w:pPr>
      <w:r>
        <w:rPr>
          <w:rFonts w:hint="eastAsia" w:ascii="宋体" w:hAnsi="宋体"/>
          <w:kern w:val="0"/>
          <w:sz w:val="24"/>
        </w:rPr>
        <w:t>（2）另行选址：长期停用的甲方同意另外选择点位，将该点位设备纳入考核体系，因此产生的费用甲方不另行支付。</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8.2 关于服务未中断</w:t>
      </w:r>
    </w:p>
    <w:p>
      <w:pPr>
        <w:pStyle w:val="52"/>
        <w:spacing w:line="360" w:lineRule="auto"/>
        <w:ind w:firstLine="480" w:firstLineChars="200"/>
        <w:rPr>
          <w:rFonts w:hint="eastAsia"/>
        </w:rPr>
      </w:pPr>
      <w:r>
        <w:rPr>
          <w:rFonts w:hint="eastAsia"/>
        </w:rPr>
        <w:t xml:space="preserve">服务未中断设备的在线率应达到98%，在线率指标按考核办法执行。 </w:t>
      </w:r>
    </w:p>
    <w:p>
      <w:pPr>
        <w:pStyle w:val="52"/>
        <w:spacing w:line="360" w:lineRule="auto"/>
        <w:ind w:firstLine="482" w:firstLineChars="200"/>
        <w:rPr>
          <w:rFonts w:hint="eastAsia"/>
          <w:b/>
        </w:rPr>
      </w:pPr>
      <w:r>
        <w:rPr>
          <w:rFonts w:hint="eastAsia"/>
          <w:b/>
        </w:rPr>
        <w:t>第九条　服务期满产权归属及持续服务问题</w:t>
      </w:r>
    </w:p>
    <w:p>
      <w:pPr>
        <w:pStyle w:val="52"/>
        <w:spacing w:line="360" w:lineRule="auto"/>
        <w:ind w:firstLine="480" w:firstLineChars="200"/>
        <w:rPr>
          <w:rFonts w:hint="eastAsia"/>
        </w:rPr>
      </w:pPr>
      <w:r>
        <w:rPr>
          <w:rFonts w:hint="eastAsia"/>
        </w:rPr>
        <w:t>服务期满后，项目产权归甲方所有，未经甲方同意，乙方不得使用或转让。关于设备报废和拆除，甲方提出报废和拆除要求的，乙方应在要求的时间内完成，前后端存储、服务器等报废时需有甲方派人参加，防止数据泄漏。</w:t>
      </w:r>
    </w:p>
    <w:p>
      <w:pPr>
        <w:pStyle w:val="52"/>
        <w:spacing w:line="360" w:lineRule="auto"/>
        <w:ind w:firstLine="482" w:firstLineChars="200"/>
        <w:rPr>
          <w:rFonts w:hint="eastAsia"/>
          <w:b/>
        </w:rPr>
      </w:pPr>
      <w:r>
        <w:rPr>
          <w:rFonts w:hint="eastAsia"/>
          <w:b/>
        </w:rPr>
        <w:t>第十条　</w:t>
      </w:r>
      <w:r>
        <w:rPr>
          <w:b/>
        </w:rPr>
        <w:t>项目的移交</w:t>
      </w:r>
    </w:p>
    <w:p>
      <w:pPr>
        <w:tabs>
          <w:tab w:val="center" w:pos="4775"/>
        </w:tabs>
        <w:spacing w:line="360" w:lineRule="auto"/>
        <w:ind w:firstLine="480" w:firstLineChars="200"/>
        <w:rPr>
          <w:rFonts w:hint="eastAsia" w:ascii="宋体" w:hAnsi="宋体"/>
          <w:kern w:val="0"/>
          <w:sz w:val="24"/>
        </w:rPr>
      </w:pPr>
      <w:r>
        <w:rPr>
          <w:rFonts w:hint="eastAsia" w:ascii="宋体" w:hAnsi="宋体"/>
          <w:kern w:val="0"/>
          <w:sz w:val="24"/>
        </w:rPr>
        <w:t>10.1 移交前大修</w:t>
      </w:r>
    </w:p>
    <w:p>
      <w:pPr>
        <w:tabs>
          <w:tab w:val="center" w:pos="4775"/>
        </w:tabs>
        <w:spacing w:line="360" w:lineRule="auto"/>
        <w:ind w:firstLine="480" w:firstLineChars="200"/>
        <w:rPr>
          <w:rFonts w:hint="eastAsia" w:ascii="宋体" w:hAnsi="宋体"/>
          <w:kern w:val="0"/>
          <w:sz w:val="24"/>
        </w:rPr>
      </w:pPr>
      <w:r>
        <w:rPr>
          <w:rFonts w:hint="eastAsia" w:ascii="宋体" w:hAnsi="宋体"/>
          <w:kern w:val="0"/>
          <w:sz w:val="24"/>
        </w:rPr>
        <w:t>由甲乙双方共同确定项目移交日。</w:t>
      </w:r>
    </w:p>
    <w:p>
      <w:pPr>
        <w:tabs>
          <w:tab w:val="center" w:pos="4775"/>
        </w:tabs>
        <w:spacing w:line="360" w:lineRule="auto"/>
        <w:ind w:firstLine="480" w:firstLineChars="200"/>
        <w:rPr>
          <w:rFonts w:hint="eastAsia" w:ascii="宋体" w:hAnsi="宋体"/>
          <w:kern w:val="0"/>
          <w:sz w:val="24"/>
        </w:rPr>
      </w:pPr>
      <w:r>
        <w:rPr>
          <w:rFonts w:hint="eastAsia" w:ascii="宋体" w:hAnsi="宋体"/>
          <w:kern w:val="0"/>
          <w:sz w:val="24"/>
        </w:rPr>
        <w:t>乙方应在三年服务期满</w:t>
      </w:r>
      <w:r>
        <w:rPr>
          <w:rFonts w:ascii="宋体" w:hAnsi="宋体"/>
          <w:kern w:val="0"/>
          <w:sz w:val="24"/>
        </w:rPr>
        <w:t>前12个月</w:t>
      </w:r>
      <w:r>
        <w:rPr>
          <w:rFonts w:hint="eastAsia" w:ascii="宋体" w:hAnsi="宋体"/>
          <w:kern w:val="0"/>
          <w:sz w:val="24"/>
        </w:rPr>
        <w:t>进行大修，大修前乙方应向甲方提交</w:t>
      </w:r>
      <w:r>
        <w:rPr>
          <w:rFonts w:ascii="宋体" w:hAnsi="宋体"/>
          <w:kern w:val="0"/>
          <w:sz w:val="24"/>
        </w:rPr>
        <w:t>项目设施移交的详尽程序和移交前大修的具体时间与内容</w:t>
      </w:r>
      <w:r>
        <w:rPr>
          <w:rFonts w:hint="eastAsia" w:ascii="宋体" w:hAnsi="宋体"/>
          <w:kern w:val="0"/>
          <w:sz w:val="24"/>
        </w:rPr>
        <w:t>，经得甲方同意后立即实施大修。</w:t>
      </w:r>
    </w:p>
    <w:p>
      <w:pPr>
        <w:tabs>
          <w:tab w:val="center" w:pos="4775"/>
        </w:tabs>
        <w:spacing w:line="360" w:lineRule="auto"/>
        <w:ind w:firstLine="480" w:firstLineChars="200"/>
        <w:rPr>
          <w:rFonts w:hint="eastAsia" w:ascii="宋体" w:hAnsi="宋体"/>
          <w:kern w:val="0"/>
          <w:sz w:val="24"/>
        </w:rPr>
      </w:pPr>
      <w:r>
        <w:rPr>
          <w:rFonts w:hint="eastAsia" w:ascii="宋体" w:hAnsi="宋体"/>
          <w:kern w:val="0"/>
          <w:sz w:val="24"/>
        </w:rPr>
        <w:t xml:space="preserve">10.2 </w:t>
      </w:r>
      <w:r>
        <w:rPr>
          <w:rFonts w:ascii="宋体" w:hAnsi="宋体"/>
          <w:kern w:val="0"/>
          <w:sz w:val="24"/>
        </w:rPr>
        <w:t>移交前的</w:t>
      </w:r>
      <w:r>
        <w:rPr>
          <w:rFonts w:hint="eastAsia" w:ascii="宋体" w:hAnsi="宋体"/>
          <w:kern w:val="0"/>
          <w:sz w:val="24"/>
        </w:rPr>
        <w:t>验收</w:t>
      </w:r>
    </w:p>
    <w:p>
      <w:pPr>
        <w:tabs>
          <w:tab w:val="center" w:pos="4775"/>
        </w:tabs>
        <w:spacing w:line="360" w:lineRule="auto"/>
        <w:ind w:firstLine="480" w:firstLineChars="200"/>
        <w:rPr>
          <w:rFonts w:hint="eastAsia" w:ascii="宋体" w:hAnsi="宋体"/>
          <w:kern w:val="0"/>
          <w:sz w:val="24"/>
        </w:rPr>
      </w:pPr>
      <w:r>
        <w:rPr>
          <w:rFonts w:ascii="宋体" w:hAnsi="宋体"/>
          <w:kern w:val="0"/>
          <w:sz w:val="24"/>
        </w:rPr>
        <w:t>不迟于移交日前六个月，</w:t>
      </w:r>
      <w:r>
        <w:rPr>
          <w:rFonts w:hint="eastAsia" w:ascii="宋体" w:hAnsi="宋体"/>
          <w:kern w:val="0"/>
          <w:sz w:val="24"/>
        </w:rPr>
        <w:t>乙方应将项目所有资料准备齐全，并向甲方书面提出验收申请，</w:t>
      </w:r>
      <w:r>
        <w:rPr>
          <w:rFonts w:ascii="宋体" w:hAnsi="宋体"/>
          <w:kern w:val="0"/>
          <w:sz w:val="24"/>
        </w:rPr>
        <w:t>甲</w:t>
      </w:r>
      <w:r>
        <w:rPr>
          <w:rFonts w:hint="eastAsia" w:ascii="宋体" w:hAnsi="宋体"/>
          <w:kern w:val="0"/>
          <w:sz w:val="24"/>
        </w:rPr>
        <w:t>方根据申请内容</w:t>
      </w:r>
      <w:r>
        <w:rPr>
          <w:rFonts w:ascii="宋体" w:hAnsi="宋体"/>
          <w:kern w:val="0"/>
          <w:sz w:val="24"/>
        </w:rPr>
        <w:t>对项目进行移交前</w:t>
      </w:r>
      <w:r>
        <w:rPr>
          <w:rFonts w:hint="eastAsia" w:ascii="宋体" w:hAnsi="宋体"/>
          <w:kern w:val="0"/>
          <w:sz w:val="24"/>
        </w:rPr>
        <w:t>验收</w:t>
      </w:r>
      <w:r>
        <w:rPr>
          <w:rFonts w:ascii="宋体" w:hAnsi="宋体"/>
          <w:kern w:val="0"/>
          <w:sz w:val="24"/>
        </w:rPr>
        <w:t>，如发现项目设施</w:t>
      </w:r>
      <w:r>
        <w:rPr>
          <w:rFonts w:hint="eastAsia" w:ascii="宋体" w:hAnsi="宋体"/>
          <w:kern w:val="0"/>
          <w:sz w:val="24"/>
        </w:rPr>
        <w:t>、材料</w:t>
      </w:r>
      <w:r>
        <w:rPr>
          <w:rFonts w:ascii="宋体" w:hAnsi="宋体"/>
          <w:kern w:val="0"/>
          <w:sz w:val="24"/>
        </w:rPr>
        <w:t>有瑕疵，甲方立即通知乙方，乙方应在收到</w:t>
      </w:r>
      <w:r>
        <w:rPr>
          <w:rFonts w:hint="eastAsia" w:ascii="宋体" w:hAnsi="宋体"/>
          <w:kern w:val="0"/>
          <w:sz w:val="24"/>
        </w:rPr>
        <w:t>通知</w:t>
      </w:r>
      <w:r>
        <w:rPr>
          <w:rFonts w:ascii="宋体" w:hAnsi="宋体"/>
          <w:kern w:val="0"/>
          <w:sz w:val="24"/>
        </w:rPr>
        <w:t>后的一个月内完成补救措施。如乙方未能按时进行补救措施，甲方有权</w:t>
      </w:r>
      <w:r>
        <w:rPr>
          <w:rFonts w:hint="eastAsia" w:ascii="宋体" w:hAnsi="宋体"/>
          <w:kern w:val="0"/>
          <w:sz w:val="24"/>
        </w:rPr>
        <w:t>扣除当月服务费</w:t>
      </w:r>
      <w:r>
        <w:rPr>
          <w:rFonts w:ascii="宋体" w:hAnsi="宋体"/>
          <w:kern w:val="0"/>
          <w:sz w:val="24"/>
        </w:rPr>
        <w:t>，并有权自行或委托第三方修复上述瑕疵</w:t>
      </w:r>
      <w:r>
        <w:rPr>
          <w:rFonts w:hint="eastAsia" w:ascii="宋体" w:hAnsi="宋体"/>
          <w:kern w:val="0"/>
          <w:sz w:val="24"/>
        </w:rPr>
        <w:t>，费用从服务费中扣除。</w:t>
      </w:r>
    </w:p>
    <w:p>
      <w:pPr>
        <w:tabs>
          <w:tab w:val="center" w:pos="4775"/>
        </w:tabs>
        <w:spacing w:line="360" w:lineRule="auto"/>
        <w:ind w:firstLine="480" w:firstLineChars="200"/>
        <w:rPr>
          <w:rFonts w:hint="eastAsia" w:ascii="宋体" w:hAnsi="宋体"/>
          <w:kern w:val="0"/>
          <w:sz w:val="24"/>
        </w:rPr>
      </w:pPr>
      <w:r>
        <w:rPr>
          <w:rFonts w:hint="eastAsia" w:ascii="宋体" w:hAnsi="宋体"/>
          <w:kern w:val="0"/>
          <w:sz w:val="24"/>
        </w:rPr>
        <w:t>10.3 移交日应完成以下资料</w:t>
      </w:r>
      <w:r>
        <w:rPr>
          <w:rFonts w:ascii="宋体" w:hAnsi="宋体"/>
          <w:kern w:val="0"/>
          <w:sz w:val="24"/>
        </w:rPr>
        <w:t>移交</w:t>
      </w:r>
      <w:r>
        <w:rPr>
          <w:rFonts w:hint="eastAsia" w:ascii="宋体" w:hAnsi="宋体"/>
          <w:kern w:val="0"/>
          <w:sz w:val="24"/>
        </w:rPr>
        <w:t>：</w:t>
      </w:r>
    </w:p>
    <w:p>
      <w:pPr>
        <w:tabs>
          <w:tab w:val="center" w:pos="4775"/>
        </w:tabs>
        <w:spacing w:line="360" w:lineRule="auto"/>
        <w:ind w:firstLine="960" w:firstLineChars="400"/>
        <w:rPr>
          <w:rFonts w:ascii="宋体" w:hAnsi="宋体"/>
          <w:kern w:val="0"/>
          <w:sz w:val="24"/>
        </w:rPr>
      </w:pPr>
      <w:r>
        <w:rPr>
          <w:rFonts w:ascii="宋体" w:hAnsi="宋体"/>
          <w:kern w:val="0"/>
          <w:sz w:val="24"/>
        </w:rPr>
        <w:t>A</w:t>
      </w:r>
      <w:r>
        <w:rPr>
          <w:rFonts w:hint="eastAsia" w:ascii="宋体" w:hAnsi="宋体"/>
          <w:kern w:val="0"/>
          <w:sz w:val="24"/>
        </w:rPr>
        <w:t>、</w:t>
      </w:r>
      <w:r>
        <w:rPr>
          <w:rFonts w:ascii="宋体" w:hAnsi="宋体"/>
          <w:kern w:val="0"/>
          <w:sz w:val="24"/>
        </w:rPr>
        <w:t>全部固定资产和无形资产的清单；</w:t>
      </w:r>
    </w:p>
    <w:p>
      <w:pPr>
        <w:tabs>
          <w:tab w:val="center" w:pos="4775"/>
        </w:tabs>
        <w:spacing w:line="360" w:lineRule="auto"/>
        <w:ind w:firstLine="960" w:firstLineChars="400"/>
        <w:rPr>
          <w:rFonts w:ascii="宋体" w:hAnsi="宋体"/>
          <w:kern w:val="0"/>
          <w:sz w:val="24"/>
        </w:rPr>
      </w:pPr>
      <w:r>
        <w:rPr>
          <w:rFonts w:ascii="宋体" w:hAnsi="宋体"/>
          <w:kern w:val="0"/>
          <w:sz w:val="24"/>
        </w:rPr>
        <w:t>B</w:t>
      </w:r>
      <w:r>
        <w:rPr>
          <w:rFonts w:hint="eastAsia" w:ascii="宋体" w:hAnsi="宋体"/>
          <w:kern w:val="0"/>
          <w:sz w:val="24"/>
        </w:rPr>
        <w:t>、</w:t>
      </w:r>
      <w:r>
        <w:rPr>
          <w:rFonts w:ascii="宋体" w:hAnsi="宋体"/>
          <w:kern w:val="0"/>
          <w:sz w:val="24"/>
        </w:rPr>
        <w:t>各类设施、设备的技术资料；</w:t>
      </w:r>
    </w:p>
    <w:p>
      <w:pPr>
        <w:tabs>
          <w:tab w:val="center" w:pos="4775"/>
        </w:tabs>
        <w:spacing w:line="360" w:lineRule="auto"/>
        <w:ind w:firstLine="960" w:firstLineChars="400"/>
        <w:rPr>
          <w:rFonts w:ascii="宋体" w:hAnsi="宋体"/>
          <w:kern w:val="0"/>
          <w:sz w:val="24"/>
        </w:rPr>
      </w:pPr>
      <w:r>
        <w:rPr>
          <w:rFonts w:ascii="宋体" w:hAnsi="宋体"/>
          <w:kern w:val="0"/>
          <w:sz w:val="24"/>
        </w:rPr>
        <w:t>C</w:t>
      </w:r>
      <w:r>
        <w:rPr>
          <w:rFonts w:hint="eastAsia" w:ascii="宋体" w:hAnsi="宋体"/>
          <w:kern w:val="0"/>
          <w:sz w:val="24"/>
        </w:rPr>
        <w:t>、</w:t>
      </w:r>
      <w:r>
        <w:rPr>
          <w:rFonts w:ascii="宋体" w:hAnsi="宋体"/>
          <w:kern w:val="0"/>
          <w:sz w:val="24"/>
        </w:rPr>
        <w:t>各类</w:t>
      </w:r>
      <w:r>
        <w:rPr>
          <w:rFonts w:hint="eastAsia" w:ascii="宋体" w:hAnsi="宋体"/>
          <w:kern w:val="0"/>
          <w:sz w:val="24"/>
        </w:rPr>
        <w:t>档案资料、报表、工作台帐等</w:t>
      </w:r>
      <w:r>
        <w:rPr>
          <w:rFonts w:ascii="宋体" w:hAnsi="宋体"/>
          <w:kern w:val="0"/>
          <w:sz w:val="24"/>
        </w:rPr>
        <w:t>；</w:t>
      </w:r>
    </w:p>
    <w:p>
      <w:pPr>
        <w:tabs>
          <w:tab w:val="center" w:pos="4775"/>
        </w:tabs>
        <w:spacing w:line="360" w:lineRule="auto"/>
        <w:ind w:firstLine="960" w:firstLineChars="400"/>
        <w:rPr>
          <w:rFonts w:ascii="宋体" w:hAnsi="宋体" w:cs="宋体"/>
          <w:sz w:val="24"/>
        </w:rPr>
      </w:pPr>
      <w:bookmarkStart w:id="106" w:name="_9.6备品备件"/>
      <w:bookmarkEnd w:id="106"/>
      <w:bookmarkStart w:id="107" w:name="_9.7保险和承包商保证的转让"/>
      <w:bookmarkEnd w:id="107"/>
      <w:bookmarkStart w:id="108" w:name="_6.5保险和承包商保证的转让"/>
      <w:bookmarkEnd w:id="108"/>
      <w:r>
        <w:rPr>
          <w:rFonts w:ascii="宋体" w:hAnsi="宋体"/>
          <w:kern w:val="0"/>
          <w:sz w:val="24"/>
        </w:rPr>
        <w:t>D</w:t>
      </w:r>
      <w:r>
        <w:rPr>
          <w:rFonts w:hint="eastAsia" w:ascii="宋体" w:hAnsi="宋体"/>
          <w:kern w:val="0"/>
          <w:sz w:val="24"/>
        </w:rPr>
        <w:t>、</w:t>
      </w:r>
      <w:r>
        <w:rPr>
          <w:rFonts w:ascii="宋体" w:hAnsi="宋体"/>
          <w:kern w:val="0"/>
          <w:sz w:val="24"/>
        </w:rPr>
        <w:t>完成移交所需的其他资料。</w:t>
      </w:r>
      <w:r>
        <w:rPr>
          <w:rFonts w:hint="eastAsia" w:ascii="宋体" w:hAnsi="宋体" w:cs="宋体"/>
          <w:sz w:val="24"/>
        </w:rPr>
        <w:t xml:space="preserve">                                                           </w:t>
      </w:r>
    </w:p>
    <w:p>
      <w:pPr>
        <w:tabs>
          <w:tab w:val="center" w:pos="4775"/>
        </w:tabs>
        <w:spacing w:line="360" w:lineRule="auto"/>
        <w:ind w:firstLine="480" w:firstLineChars="200"/>
        <w:rPr>
          <w:rFonts w:hint="eastAsia" w:ascii="宋体" w:hAnsi="宋体"/>
          <w:kern w:val="0"/>
          <w:sz w:val="24"/>
        </w:rPr>
      </w:pPr>
      <w:bookmarkStart w:id="109" w:name="_9.8技术的移交"/>
      <w:bookmarkEnd w:id="109"/>
      <w:bookmarkStart w:id="110" w:name="_6.6技术的移交"/>
      <w:bookmarkEnd w:id="110"/>
      <w:bookmarkStart w:id="111" w:name="_Toc427824478"/>
      <w:bookmarkStart w:id="112" w:name="_Toc427823071"/>
      <w:bookmarkStart w:id="113" w:name="_Toc58060709"/>
      <w:bookmarkStart w:id="114" w:name="_Toc428273444"/>
      <w:r>
        <w:rPr>
          <w:rFonts w:hint="eastAsia" w:ascii="宋体" w:hAnsi="宋体"/>
          <w:kern w:val="0"/>
          <w:sz w:val="24"/>
        </w:rPr>
        <w:t xml:space="preserve">10.4 </w:t>
      </w:r>
      <w:r>
        <w:rPr>
          <w:rFonts w:ascii="宋体" w:hAnsi="宋体"/>
          <w:kern w:val="0"/>
          <w:sz w:val="24"/>
        </w:rPr>
        <w:t>技术的移交</w:t>
      </w:r>
      <w:bookmarkEnd w:id="111"/>
      <w:bookmarkEnd w:id="112"/>
      <w:bookmarkEnd w:id="113"/>
      <w:bookmarkEnd w:id="114"/>
    </w:p>
    <w:p>
      <w:pPr>
        <w:tabs>
          <w:tab w:val="center" w:pos="4775"/>
        </w:tabs>
        <w:spacing w:line="360" w:lineRule="auto"/>
        <w:ind w:firstLine="480" w:firstLineChars="200"/>
        <w:rPr>
          <w:rFonts w:ascii="宋体" w:hAnsi="宋体"/>
          <w:kern w:val="0"/>
          <w:sz w:val="24"/>
        </w:rPr>
      </w:pPr>
      <w:r>
        <w:rPr>
          <w:rFonts w:ascii="宋体" w:hAnsi="宋体"/>
          <w:kern w:val="0"/>
          <w:sz w:val="24"/>
        </w:rPr>
        <w:t>在移交日，乙方应将其有权移交的与项目设施</w:t>
      </w:r>
      <w:r>
        <w:rPr>
          <w:rFonts w:hint="eastAsia" w:ascii="宋体" w:hAnsi="宋体"/>
          <w:kern w:val="0"/>
          <w:sz w:val="24"/>
        </w:rPr>
        <w:t>服务</w:t>
      </w:r>
      <w:r>
        <w:rPr>
          <w:rFonts w:ascii="宋体" w:hAnsi="宋体"/>
          <w:kern w:val="0"/>
          <w:sz w:val="24"/>
        </w:rPr>
        <w:t>有关的所有技术(无论以许可还是分许可或其他方式取得的)，全部无偿移交给甲方，并确保甲方不会因使用这些技术而承担任何侵权责任。</w:t>
      </w:r>
    </w:p>
    <w:p>
      <w:pPr>
        <w:tabs>
          <w:tab w:val="center" w:pos="4775"/>
        </w:tabs>
        <w:spacing w:line="360" w:lineRule="auto"/>
        <w:ind w:firstLine="480" w:firstLineChars="200"/>
        <w:rPr>
          <w:rFonts w:ascii="宋体" w:hAnsi="宋体"/>
          <w:kern w:val="0"/>
          <w:sz w:val="24"/>
        </w:rPr>
      </w:pPr>
      <w:bookmarkStart w:id="115" w:name="_9.10合同的转移"/>
      <w:bookmarkEnd w:id="115"/>
      <w:bookmarkStart w:id="116" w:name="_9.11移走项目公司所有的物品"/>
      <w:bookmarkEnd w:id="116"/>
      <w:bookmarkStart w:id="117" w:name="_9.8合同的转移"/>
      <w:bookmarkEnd w:id="117"/>
      <w:bookmarkStart w:id="118" w:name="_Toc427823073"/>
      <w:bookmarkStart w:id="119" w:name="_Toc427824480"/>
      <w:bookmarkStart w:id="120" w:name="_Toc428273446"/>
      <w:bookmarkStart w:id="121" w:name="_Toc58060712"/>
      <w:r>
        <w:rPr>
          <w:rFonts w:hint="eastAsia" w:ascii="宋体" w:hAnsi="宋体"/>
          <w:kern w:val="0"/>
          <w:sz w:val="24"/>
        </w:rPr>
        <w:t xml:space="preserve">10.5 </w:t>
      </w:r>
      <w:r>
        <w:rPr>
          <w:rFonts w:ascii="宋体" w:hAnsi="宋体"/>
          <w:kern w:val="0"/>
          <w:sz w:val="24"/>
        </w:rPr>
        <w:t>移走乙方所有的物品</w:t>
      </w:r>
      <w:bookmarkEnd w:id="118"/>
      <w:bookmarkEnd w:id="119"/>
      <w:bookmarkEnd w:id="120"/>
      <w:bookmarkEnd w:id="121"/>
    </w:p>
    <w:p>
      <w:pPr>
        <w:tabs>
          <w:tab w:val="center" w:pos="4775"/>
        </w:tabs>
        <w:spacing w:line="360" w:lineRule="auto"/>
        <w:ind w:firstLine="480" w:firstLineChars="200"/>
        <w:rPr>
          <w:rFonts w:ascii="宋体" w:hAnsi="宋体"/>
          <w:kern w:val="0"/>
          <w:sz w:val="24"/>
        </w:rPr>
      </w:pPr>
      <w:r>
        <w:rPr>
          <w:rFonts w:ascii="宋体" w:hAnsi="宋体"/>
          <w:kern w:val="0"/>
          <w:sz w:val="24"/>
        </w:rPr>
        <w:t>除非双方另有协议，乙方将于移交日之后</w:t>
      </w:r>
      <w:r>
        <w:rPr>
          <w:rFonts w:hint="eastAsia" w:ascii="宋体" w:hAnsi="宋体"/>
          <w:kern w:val="0"/>
          <w:sz w:val="24"/>
        </w:rPr>
        <w:t>十五</w:t>
      </w:r>
      <w:r>
        <w:rPr>
          <w:rFonts w:ascii="宋体" w:hAnsi="宋体"/>
          <w:kern w:val="0"/>
          <w:sz w:val="24"/>
        </w:rPr>
        <w:t>日内，自费从项目工程</w:t>
      </w:r>
      <w:r>
        <w:rPr>
          <w:rFonts w:hint="eastAsia" w:ascii="宋体" w:hAnsi="宋体"/>
          <w:kern w:val="0"/>
          <w:sz w:val="24"/>
        </w:rPr>
        <w:t>服务</w:t>
      </w:r>
      <w:r>
        <w:rPr>
          <w:rFonts w:ascii="宋体" w:hAnsi="宋体"/>
          <w:kern w:val="0"/>
          <w:sz w:val="24"/>
        </w:rPr>
        <w:t>场地移走乙方雇员的个人用品以及与项目设施的</w:t>
      </w:r>
      <w:r>
        <w:rPr>
          <w:rFonts w:hint="eastAsia" w:ascii="宋体" w:hAnsi="宋体"/>
          <w:kern w:val="0"/>
          <w:sz w:val="24"/>
        </w:rPr>
        <w:t>服务</w:t>
      </w:r>
      <w:r>
        <w:rPr>
          <w:rFonts w:ascii="宋体" w:hAnsi="宋体"/>
          <w:kern w:val="0"/>
          <w:sz w:val="24"/>
        </w:rPr>
        <w:t>和管理无关的物品。若乙方在上述时间内未能移走这些物品，甲方在通知乙方后，有权将该物品予以提存，乙方承担搬移、运输和保管的合理费用和风险。</w:t>
      </w:r>
    </w:p>
    <w:p>
      <w:pPr>
        <w:tabs>
          <w:tab w:val="center" w:pos="4775"/>
        </w:tabs>
        <w:spacing w:line="360" w:lineRule="auto"/>
        <w:ind w:firstLine="480" w:firstLineChars="200"/>
        <w:rPr>
          <w:rFonts w:ascii="宋体" w:hAnsi="宋体"/>
          <w:kern w:val="0"/>
          <w:sz w:val="24"/>
        </w:rPr>
      </w:pPr>
      <w:bookmarkStart w:id="122" w:name="_9.13移交费用"/>
      <w:bookmarkEnd w:id="122"/>
      <w:bookmarkStart w:id="123" w:name="_9.12风险转移"/>
      <w:bookmarkEnd w:id="123"/>
      <w:bookmarkStart w:id="124" w:name="_Toc428273448"/>
      <w:bookmarkStart w:id="125" w:name="_Toc427823075"/>
      <w:bookmarkStart w:id="126" w:name="_Toc58060714"/>
      <w:bookmarkStart w:id="127" w:name="_Toc427824482"/>
      <w:r>
        <w:rPr>
          <w:rFonts w:hint="eastAsia" w:ascii="宋体" w:hAnsi="宋体"/>
          <w:kern w:val="0"/>
          <w:sz w:val="24"/>
        </w:rPr>
        <w:t xml:space="preserve">10.6 </w:t>
      </w:r>
      <w:r>
        <w:rPr>
          <w:rFonts w:ascii="宋体" w:hAnsi="宋体"/>
          <w:kern w:val="0"/>
          <w:sz w:val="24"/>
        </w:rPr>
        <w:t>移交费用</w:t>
      </w:r>
      <w:bookmarkEnd w:id="124"/>
      <w:bookmarkEnd w:id="125"/>
      <w:bookmarkEnd w:id="126"/>
      <w:bookmarkEnd w:id="127"/>
    </w:p>
    <w:p>
      <w:pPr>
        <w:tabs>
          <w:tab w:val="center" w:pos="4775"/>
        </w:tabs>
        <w:spacing w:line="360" w:lineRule="auto"/>
        <w:ind w:firstLine="480" w:firstLineChars="200"/>
        <w:rPr>
          <w:rFonts w:ascii="宋体" w:hAnsi="宋体"/>
          <w:kern w:val="0"/>
          <w:sz w:val="24"/>
        </w:rPr>
      </w:pPr>
      <w:r>
        <w:rPr>
          <w:rFonts w:ascii="宋体" w:hAnsi="宋体"/>
          <w:kern w:val="0"/>
          <w:sz w:val="24"/>
        </w:rPr>
        <w:t>甲乙双方负责各自的因为移交发生的费用和支出。</w:t>
      </w:r>
    </w:p>
    <w:p>
      <w:pPr>
        <w:tabs>
          <w:tab w:val="center" w:pos="4775"/>
        </w:tabs>
        <w:spacing w:line="360" w:lineRule="auto"/>
        <w:ind w:firstLine="480" w:firstLineChars="200"/>
        <w:rPr>
          <w:rFonts w:ascii="宋体" w:hAnsi="宋体"/>
          <w:kern w:val="0"/>
          <w:sz w:val="24"/>
        </w:rPr>
      </w:pPr>
      <w:bookmarkStart w:id="128" w:name="_9.14缺陷责任保证"/>
      <w:bookmarkEnd w:id="128"/>
      <w:bookmarkStart w:id="129" w:name="_缺陷责任保证"/>
      <w:bookmarkEnd w:id="129"/>
      <w:bookmarkStart w:id="130" w:name="_Toc58060716"/>
      <w:bookmarkStart w:id="131" w:name="_Toc428273449"/>
      <w:bookmarkStart w:id="132" w:name="_Toc427824483"/>
      <w:bookmarkStart w:id="133" w:name="_Toc427823076"/>
      <w:r>
        <w:rPr>
          <w:rFonts w:hint="eastAsia" w:ascii="宋体" w:hAnsi="宋体"/>
          <w:kern w:val="0"/>
          <w:sz w:val="24"/>
        </w:rPr>
        <w:t xml:space="preserve">10.7 </w:t>
      </w:r>
      <w:r>
        <w:rPr>
          <w:rFonts w:ascii="宋体" w:hAnsi="宋体"/>
          <w:kern w:val="0"/>
          <w:sz w:val="24"/>
        </w:rPr>
        <w:t>移交效力</w:t>
      </w:r>
      <w:bookmarkEnd w:id="130"/>
      <w:bookmarkEnd w:id="131"/>
      <w:bookmarkEnd w:id="132"/>
      <w:bookmarkEnd w:id="133"/>
    </w:p>
    <w:p>
      <w:pPr>
        <w:tabs>
          <w:tab w:val="center" w:pos="4775"/>
        </w:tabs>
        <w:spacing w:line="360" w:lineRule="auto"/>
        <w:ind w:firstLine="480" w:firstLineChars="200"/>
        <w:rPr>
          <w:rFonts w:ascii="宋体" w:hAnsi="宋体"/>
          <w:kern w:val="0"/>
          <w:sz w:val="24"/>
        </w:rPr>
      </w:pPr>
      <w:r>
        <w:rPr>
          <w:rFonts w:ascii="宋体" w:hAnsi="宋体"/>
          <w:kern w:val="0"/>
          <w:sz w:val="24"/>
        </w:rPr>
        <w:t>自移交日起，乙方在本协议项下的权利和义务即应终止，除本协议另有规定及双方之间截止移交日发生且尚未支付的债务除外。</w:t>
      </w:r>
    </w:p>
    <w:p>
      <w:pPr>
        <w:tabs>
          <w:tab w:val="center" w:pos="4775"/>
        </w:tabs>
        <w:spacing w:line="360" w:lineRule="auto"/>
        <w:ind w:firstLine="480" w:firstLineChars="200"/>
        <w:rPr>
          <w:rFonts w:hint="eastAsia" w:ascii="宋体" w:hAnsi="宋体"/>
          <w:kern w:val="0"/>
          <w:sz w:val="24"/>
        </w:rPr>
      </w:pPr>
      <w:r>
        <w:rPr>
          <w:rFonts w:ascii="宋体" w:hAnsi="宋体"/>
          <w:kern w:val="0"/>
          <w:sz w:val="24"/>
        </w:rPr>
        <w:t>自移交日起，甲方应接管项目设施的</w:t>
      </w:r>
      <w:r>
        <w:rPr>
          <w:rFonts w:hint="eastAsia" w:ascii="宋体" w:hAnsi="宋体"/>
          <w:kern w:val="0"/>
          <w:sz w:val="24"/>
        </w:rPr>
        <w:t>服务</w:t>
      </w:r>
      <w:r>
        <w:rPr>
          <w:rFonts w:ascii="宋体" w:hAnsi="宋体"/>
          <w:kern w:val="0"/>
          <w:sz w:val="24"/>
        </w:rPr>
        <w:t>及本协议明示或默示的、因本协议产生的但于本协议终止后仍然有效的任何其他权利和义务。</w:t>
      </w:r>
    </w:p>
    <w:p>
      <w:pPr>
        <w:tabs>
          <w:tab w:val="center" w:pos="4775"/>
        </w:tabs>
        <w:spacing w:line="360" w:lineRule="auto"/>
        <w:ind w:firstLine="480" w:firstLineChars="200"/>
        <w:rPr>
          <w:rFonts w:hint="eastAsia" w:ascii="宋体" w:hAnsi="宋体"/>
          <w:kern w:val="0"/>
          <w:sz w:val="24"/>
        </w:rPr>
      </w:pPr>
      <w:r>
        <w:rPr>
          <w:rFonts w:hint="eastAsia" w:ascii="宋体" w:hAnsi="宋体"/>
          <w:kern w:val="0"/>
          <w:sz w:val="24"/>
        </w:rPr>
        <w:t>10.8 项目整体移交未经甲方确认前，乙方应保证项目正常服务，费用由乙方自行承担。</w:t>
      </w:r>
    </w:p>
    <w:p>
      <w:pPr>
        <w:pStyle w:val="52"/>
        <w:spacing w:line="360" w:lineRule="auto"/>
        <w:ind w:firstLine="482" w:firstLineChars="200"/>
        <w:rPr>
          <w:rFonts w:hint="eastAsia"/>
          <w:b/>
        </w:rPr>
      </w:pPr>
      <w:r>
        <w:rPr>
          <w:rFonts w:hint="eastAsia"/>
          <w:b/>
        </w:rPr>
        <w:t>第十一条  现场服务人员要求</w:t>
      </w:r>
    </w:p>
    <w:p>
      <w:pPr>
        <w:tabs>
          <w:tab w:val="center" w:pos="4775"/>
        </w:tabs>
        <w:spacing w:line="360" w:lineRule="auto"/>
        <w:rPr>
          <w:rFonts w:ascii="宋体" w:hAnsi="宋体"/>
          <w:kern w:val="0"/>
          <w:sz w:val="24"/>
        </w:rPr>
      </w:pPr>
      <w:r>
        <w:rPr>
          <w:rFonts w:hint="eastAsia" w:ascii="宋体" w:hAnsi="宋体"/>
          <w:kern w:val="0"/>
          <w:sz w:val="24"/>
        </w:rPr>
        <w:t xml:space="preserve">    11.1项目负责人：指定固定的项目负责人，必须熟悉项目整体情况，负责跟进整体项目进度，联系解决相关问题。项目负责人在项目服务期间未经甲方方同意不得更换。</w:t>
      </w:r>
    </w:p>
    <w:p>
      <w:pPr>
        <w:tabs>
          <w:tab w:val="center" w:pos="4775"/>
        </w:tabs>
        <w:spacing w:line="360" w:lineRule="auto"/>
        <w:ind w:firstLine="480"/>
        <w:rPr>
          <w:rFonts w:hint="eastAsia" w:ascii="宋体" w:hAnsi="宋体"/>
          <w:sz w:val="24"/>
        </w:rPr>
      </w:pPr>
      <w:r>
        <w:rPr>
          <w:rFonts w:hint="eastAsia" w:ascii="宋体" w:hAnsi="宋体"/>
          <w:kern w:val="0"/>
          <w:sz w:val="24"/>
        </w:rPr>
        <w:t>11.2</w:t>
      </w:r>
      <w:r>
        <w:rPr>
          <w:rFonts w:hint="eastAsia" w:ascii="宋体" w:hAnsi="宋体"/>
          <w:sz w:val="24"/>
        </w:rPr>
        <w:t>驻场维护人员配备基本要求：各专业维护人员在业主单位指定的工作场所开展本项目的维护相关工作，其中负责前端维护工作人员不少于</w:t>
      </w:r>
      <w:r>
        <w:rPr>
          <w:rFonts w:hint="eastAsia" w:ascii="宋体" w:hAnsi="宋体"/>
          <w:sz w:val="24"/>
          <w:u w:val="single"/>
        </w:rPr>
        <w:t xml:space="preserve">    </w:t>
      </w:r>
      <w:r>
        <w:rPr>
          <w:rFonts w:hint="eastAsia" w:ascii="宋体" w:hAnsi="宋体"/>
          <w:sz w:val="24"/>
        </w:rPr>
        <w:t>名，网络专业人员不少于</w:t>
      </w:r>
      <w:r>
        <w:rPr>
          <w:rFonts w:hint="eastAsia" w:ascii="宋体" w:hAnsi="宋体"/>
          <w:sz w:val="24"/>
          <w:u w:val="single"/>
        </w:rPr>
        <w:t xml:space="preserve">    </w:t>
      </w:r>
      <w:r>
        <w:rPr>
          <w:rFonts w:hint="eastAsia" w:ascii="宋体" w:hAnsi="宋体"/>
          <w:sz w:val="24"/>
        </w:rPr>
        <w:t>名，专业技术人员不少于</w:t>
      </w:r>
      <w:r>
        <w:rPr>
          <w:rFonts w:hint="eastAsia" w:ascii="宋体" w:hAnsi="宋体"/>
          <w:sz w:val="24"/>
          <w:u w:val="single"/>
        </w:rPr>
        <w:t xml:space="preserve">    </w:t>
      </w:r>
      <w:r>
        <w:rPr>
          <w:rFonts w:hint="eastAsia" w:ascii="宋体" w:hAnsi="宋体"/>
          <w:sz w:val="24"/>
        </w:rPr>
        <w:t>名，协调专员不少于</w:t>
      </w:r>
      <w:r>
        <w:rPr>
          <w:rFonts w:hint="eastAsia" w:ascii="宋体" w:hAnsi="宋体"/>
          <w:sz w:val="24"/>
          <w:u w:val="single"/>
        </w:rPr>
        <w:t xml:space="preserve">    </w:t>
      </w:r>
      <w:r>
        <w:rPr>
          <w:rFonts w:hint="eastAsia" w:ascii="宋体" w:hAnsi="宋体"/>
          <w:sz w:val="24"/>
        </w:rPr>
        <w:t>名。</w:t>
      </w:r>
    </w:p>
    <w:p>
      <w:pPr>
        <w:tabs>
          <w:tab w:val="center" w:pos="4775"/>
        </w:tabs>
        <w:spacing w:line="360" w:lineRule="auto"/>
        <w:ind w:firstLine="480"/>
        <w:rPr>
          <w:rFonts w:hint="eastAsia" w:ascii="宋体" w:hAnsi="宋体"/>
          <w:kern w:val="0"/>
          <w:sz w:val="24"/>
        </w:rPr>
      </w:pPr>
      <w:r>
        <w:rPr>
          <w:rFonts w:hint="eastAsia" w:ascii="宋体" w:hAnsi="宋体"/>
          <w:sz w:val="24"/>
        </w:rPr>
        <w:t>11.3</w:t>
      </w:r>
      <w:r>
        <w:rPr>
          <w:rFonts w:hint="eastAsia" w:ascii="宋体" w:hAnsi="宋体"/>
          <w:kern w:val="0"/>
          <w:sz w:val="24"/>
        </w:rPr>
        <w:t>项目负责人、建设团队人员、</w:t>
      </w:r>
      <w:r>
        <w:rPr>
          <w:rFonts w:hint="eastAsia" w:ascii="宋体" w:hAnsi="宋体"/>
          <w:sz w:val="24"/>
        </w:rPr>
        <w:t>驻场维护人员原则上不予更换，若更换必须派驻同等资质人员且经甲方书面同意后方可执行</w:t>
      </w:r>
      <w:r>
        <w:rPr>
          <w:rFonts w:hint="eastAsia" w:ascii="宋体" w:hAnsi="宋体"/>
          <w:kern w:val="0"/>
          <w:sz w:val="24"/>
        </w:rPr>
        <w:t>。</w:t>
      </w:r>
      <w:r>
        <w:rPr>
          <w:rFonts w:hint="eastAsia" w:ascii="宋体" w:hAnsi="宋体"/>
          <w:sz w:val="24"/>
        </w:rPr>
        <w:t>若擅自更换或更换的人员资质与投标承诺时不符的，则每人每次扣款3</w:t>
      </w:r>
      <w:r>
        <w:rPr>
          <w:rFonts w:ascii="宋体" w:hAnsi="宋体"/>
          <w:sz w:val="24"/>
        </w:rPr>
        <w:t>0</w:t>
      </w:r>
      <w:r>
        <w:rPr>
          <w:rFonts w:hint="eastAsia" w:ascii="宋体" w:hAnsi="宋体"/>
          <w:sz w:val="24"/>
        </w:rPr>
        <w:t>万元。</w:t>
      </w:r>
    </w:p>
    <w:p>
      <w:pPr>
        <w:pStyle w:val="52"/>
        <w:spacing w:line="360" w:lineRule="auto"/>
        <w:ind w:firstLine="482" w:firstLineChars="200"/>
        <w:rPr>
          <w:rFonts w:hint="eastAsia"/>
          <w:b/>
        </w:rPr>
      </w:pPr>
      <w:r>
        <w:rPr>
          <w:rFonts w:hint="eastAsia"/>
          <w:b/>
        </w:rPr>
        <w:t>第十二条　现场检查服务</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12.1 现场检查服务要求详见设计文件及考核办法；</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12.2 现场检查服务情况需建立档案，并录入服务管理系统。</w:t>
      </w:r>
    </w:p>
    <w:p>
      <w:pPr>
        <w:pStyle w:val="52"/>
        <w:spacing w:line="360" w:lineRule="auto"/>
        <w:ind w:firstLine="482"/>
        <w:rPr>
          <w:rFonts w:hint="eastAsia"/>
          <w:b/>
        </w:rPr>
      </w:pPr>
      <w:r>
        <w:rPr>
          <w:rFonts w:hint="eastAsia"/>
          <w:b/>
        </w:rPr>
        <w:t>第十三条　人员制度考核及培训</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项目施工期间，乙方违反下列规定产生的扣款，从建设履约保证金中扣除，若建设履约保证金不足以支付的，则不足部分由甲方在支付服务费时予以扣除：</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项目经理考核制度：本工程项目经理要做好人员、质量、进度、设备采购、文档审核和组织协调等方面的管理，提供对人员团队的详细考核制度，项目经理必须每周例会上提交经审核确认的考核表、上周进度检查表和下周工作进度计划交甲方和监理单位审核，如不及时提交则按500元/次进行扣款。</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2、施工单位现场巡查考核制度：现场巡查记录表的检查内容必须由技术负责人根据招标文件、投标文件、合同、设计方案及相关规范要求制定，内容必须涵盖（检查事项、存在问题、整改措施、复查记录）等方面，且巡查记录表必须有技术负责人的审核确认意见及签字，要求图文结合，必须及时提交，否则按500元/次进行扣款。</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3、文档资料整理及提交制度：资料员应根据项目实施进程及时协调并组织各职能人员整理和收集相应的文档资料，在甲方和监理单位的规定时间内提交审核确认，如不及时提交则按500元/次进行扣款。</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4、监理工作联系及监理通知单回复等监理指令性文件的回复及执行制度：监理工作联系单及通知单等监理指令性文件必须在监理单位要求的规定时间内回复并按计划执行，如不及时回复或及时执行则按500元/次进行扣款；对于实施过程中甲方或监理单位发现的问题，如重复出现两次以上，则按500元/次的递增方式进行扣款。</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5、道路、绿化开挖及复原制度：道路、绿化开挖和复原标准必须按市政部门的恢复要求执行，如接到相关部门投诉，按500元/次进行扣款。</w:t>
      </w:r>
    </w:p>
    <w:p>
      <w:pPr>
        <w:tabs>
          <w:tab w:val="center" w:pos="4775"/>
        </w:tabs>
        <w:spacing w:line="360" w:lineRule="auto"/>
        <w:ind w:firstLine="480" w:firstLineChars="200"/>
        <w:rPr>
          <w:rFonts w:hint="eastAsia" w:ascii="宋体" w:hAnsi="宋体"/>
          <w:kern w:val="0"/>
          <w:sz w:val="24"/>
        </w:rPr>
      </w:pPr>
      <w:r>
        <w:rPr>
          <w:rFonts w:hint="eastAsia" w:ascii="宋体" w:hAnsi="宋体"/>
          <w:kern w:val="0"/>
          <w:sz w:val="24"/>
        </w:rPr>
        <w:t>6、安全文明施工制度：建设施工安全技术管理应遵照最新的国家标准相关要求。如有违反，按500元/次进行扣款。</w:t>
      </w:r>
    </w:p>
    <w:p>
      <w:pPr>
        <w:pStyle w:val="52"/>
        <w:spacing w:line="360" w:lineRule="auto"/>
        <w:ind w:firstLine="482"/>
        <w:rPr>
          <w:rFonts w:hint="eastAsia"/>
          <w:b/>
        </w:rPr>
      </w:pPr>
      <w:r>
        <w:rPr>
          <w:rFonts w:hint="eastAsia"/>
          <w:b/>
        </w:rPr>
        <w:t>第十四条  技术培训及技术服务</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14.1乙方应按甲方要求为甲方操作人员培训，使其能够熟练运用中心管理软件及路口设备并能进行简单的设备维护。现场培训要求至少每年一次，每次不得少于五个工作日，现场培训的场地和人员由甲方安排。培训时间由甲方提出，经双方协商确定，所有培训费用由乙方免费提供，食宿由双方自行解决。</w:t>
      </w:r>
    </w:p>
    <w:p>
      <w:pPr>
        <w:tabs>
          <w:tab w:val="center" w:pos="4775"/>
        </w:tabs>
        <w:spacing w:line="360" w:lineRule="auto"/>
        <w:ind w:firstLine="480" w:firstLineChars="200"/>
        <w:rPr>
          <w:rFonts w:hint="eastAsia" w:ascii="宋体" w:hAnsi="宋体"/>
          <w:kern w:val="0"/>
          <w:sz w:val="24"/>
        </w:rPr>
      </w:pPr>
      <w:r>
        <w:rPr>
          <w:rFonts w:hint="eastAsia" w:ascii="宋体" w:hAnsi="宋体"/>
          <w:kern w:val="0"/>
          <w:sz w:val="24"/>
        </w:rPr>
        <w:t>14.2乙方必须对系统软件上门维护服务，并在服务期内对系统软件进行升级。</w:t>
      </w:r>
    </w:p>
    <w:p>
      <w:pPr>
        <w:pStyle w:val="52"/>
        <w:spacing w:line="360" w:lineRule="auto"/>
        <w:ind w:firstLine="482"/>
        <w:rPr>
          <w:rFonts w:hint="eastAsia"/>
          <w:b/>
        </w:rPr>
      </w:pPr>
      <w:r>
        <w:rPr>
          <w:rFonts w:hint="eastAsia"/>
          <w:b/>
        </w:rPr>
        <w:t>第十五条  保密</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15.1未经对方书面许可，任何一方不得向第三方提出或披露与对方业务有关的资料和信息，法律另有规定的除外。</w:t>
      </w:r>
    </w:p>
    <w:p>
      <w:pPr>
        <w:pStyle w:val="52"/>
        <w:spacing w:line="360" w:lineRule="auto"/>
        <w:ind w:firstLine="482"/>
        <w:rPr>
          <w:rFonts w:hint="eastAsia"/>
        </w:rPr>
      </w:pPr>
      <w:r>
        <w:rPr>
          <w:rFonts w:hint="eastAsia"/>
        </w:rPr>
        <w:t>15.2甲乙双方通过本协议实施了解到对方的有关网络组织、业务发展、价格策略等商业机密时，双方均有义务为对方保密，并签订保密协议履行保密职责。如因乙方违反保密协议，甲方有权解除合同，并在服务费中扣除相应费用。对甲方造成损失的，乙方应承担赔偿责任，乙方应在双方明确赔偿金额后10天内付清。乙方行为涉及违法的，还应承担相应法律责任。</w:t>
      </w:r>
    </w:p>
    <w:p>
      <w:pPr>
        <w:pStyle w:val="52"/>
        <w:spacing w:line="360" w:lineRule="auto"/>
        <w:ind w:firstLine="482"/>
        <w:rPr>
          <w:rFonts w:hint="eastAsia"/>
          <w:b/>
        </w:rPr>
      </w:pPr>
      <w:r>
        <w:rPr>
          <w:rFonts w:hint="eastAsia"/>
          <w:b/>
        </w:rPr>
        <w:t>第十六条  违约责任</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16.1  产品质量违约责任</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16.1.1工程质量必须达到合格，凡安装调试、设备试运行过程、权威机构检测中发现的设备质量问题，乙方必须无偿修复至符合质量要求，修复达不到承诺要求的更换新设备。乙方承担返工所发生的一切费用和甲方的直接经济损失。乙方在接到甲方通知后，及时派人赴现场处理设备质量问题。</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16.2 违约赔偿</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16.2.1除不可抗力和甲方同意的情况外，乙方发生不能按期完成施工任务，则按下列规定支付违约金。违约金从建设履约保证金中扣除，若建设履约保证金不足以支付违约金，则不足部分由甲方在支付服务费时予以扣除。</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16.2.2 逾期开工、完工</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乙方应保证其投资资金按承诺的建设进度计划及时到位，并按承诺的建设进度计划要求，按时完成工程建设，准时投入运行。若是乙方未能按承诺的时间开工，因乙方原因延误开工的，乙方应向甲方按2万元/天支付违约金。如果开工日期延误超过1个月的，甲方有权终止合同,则建设履约保证金不予退还，损失由乙方自负，并向甲方支付合同总价15%的违约金。若乙方未能按规定的时间完工（包括初验时间节点要求），乙方应向甲方按100元/未完成摄像机数•天支付违约金。如果工期延误超过1个月的，甲方有权终止合同，则建设履约保证金不予退还，损失由乙方自负，并向甲方支付合同总价15%的违约金。</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16.2.3 乙方无法终验或甲方中途毁约</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16.2.3.1 乙方无法通过终验的应向甲方支付合同总价15%的违约金；</w:t>
      </w:r>
    </w:p>
    <w:p>
      <w:pPr>
        <w:tabs>
          <w:tab w:val="center" w:pos="4775"/>
        </w:tabs>
        <w:spacing w:line="360" w:lineRule="auto"/>
        <w:ind w:firstLine="480" w:firstLineChars="200"/>
        <w:rPr>
          <w:rFonts w:hint="eastAsia" w:ascii="宋体" w:hAnsi="宋体"/>
          <w:kern w:val="0"/>
          <w:sz w:val="24"/>
        </w:rPr>
      </w:pPr>
      <w:r>
        <w:rPr>
          <w:rFonts w:hint="eastAsia" w:ascii="宋体" w:hAnsi="宋体"/>
          <w:kern w:val="0"/>
          <w:sz w:val="24"/>
        </w:rPr>
        <w:t>16.2.3.2 甲方中途毁约的应向乙方支付合同总价15%的违约金。</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16.2.3.3 乙方未按设计要求施工和运维的，甲方有权扣除合同总价的15%作为违约金。</w:t>
      </w:r>
    </w:p>
    <w:p>
      <w:pPr>
        <w:tabs>
          <w:tab w:val="center" w:pos="4775"/>
        </w:tabs>
        <w:spacing w:line="360" w:lineRule="auto"/>
        <w:ind w:firstLine="480" w:firstLineChars="200"/>
        <w:rPr>
          <w:rFonts w:hint="eastAsia" w:ascii="宋体" w:hAnsi="宋体"/>
          <w:kern w:val="0"/>
          <w:sz w:val="24"/>
        </w:rPr>
      </w:pPr>
      <w:r>
        <w:rPr>
          <w:rFonts w:hint="eastAsia" w:ascii="宋体" w:hAnsi="宋体"/>
          <w:kern w:val="0"/>
          <w:sz w:val="24"/>
        </w:rPr>
        <w:t>16.2.3.4 经双方协商同意延期完工和经双方友好协商同意调整工程量且无违约的不在此例。</w:t>
      </w:r>
    </w:p>
    <w:p>
      <w:pPr>
        <w:pStyle w:val="52"/>
        <w:spacing w:line="360" w:lineRule="auto"/>
        <w:ind w:firstLine="482"/>
        <w:rPr>
          <w:rFonts w:hint="eastAsia"/>
          <w:b/>
        </w:rPr>
      </w:pPr>
      <w:r>
        <w:rPr>
          <w:rFonts w:hint="eastAsia"/>
          <w:b/>
        </w:rPr>
        <w:t>第十七条  终止合同</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甲方在乙方存在如下违约情况时，有权考虑并提出终止合同，并没收建设履约保证金或扣除服务费用：</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1、乙方未能在合同规定期限或甲方同意延长的期限内完成全部或部分施工量。</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2、乙方未能履行合同规定的其他义务。</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3、在发生上述情况后，乙方收到甲方的违约通知后10天内未能纠正其过失。</w:t>
      </w:r>
    </w:p>
    <w:p>
      <w:pPr>
        <w:pStyle w:val="52"/>
        <w:spacing w:line="360" w:lineRule="auto"/>
        <w:ind w:firstLine="482"/>
        <w:rPr>
          <w:rFonts w:hint="eastAsia"/>
          <w:b/>
        </w:rPr>
      </w:pPr>
      <w:r>
        <w:rPr>
          <w:rFonts w:hint="eastAsia"/>
          <w:b/>
        </w:rPr>
        <w:t>第十八条  不可抗力</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18.1如果双方中任何一方由于战争、严重火灾、水灾、台风和地震以及其它经双方同意属于不可抗力的事故，致使合同履行受阻时，履行合同的期限应予延长，延长的期限应相当于事故所影响的时间。</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18.2受事故影响的一方应在不可抗力的事故发生后尽快以传真或邮件形式通知或送给另一方，并在事故发生后14天内，将有关部门出具的证明文件用快递寄给或送给另一方。如果不可抗力影响时间延续120天以上的，双方应通过友好协商在合理的时间内达成进一步履行合同的协议。</w:t>
      </w:r>
    </w:p>
    <w:p>
      <w:pPr>
        <w:pStyle w:val="52"/>
        <w:spacing w:line="360" w:lineRule="auto"/>
        <w:ind w:firstLine="482"/>
        <w:rPr>
          <w:rFonts w:hint="eastAsia"/>
          <w:b/>
        </w:rPr>
      </w:pPr>
      <w:r>
        <w:rPr>
          <w:rFonts w:hint="eastAsia"/>
          <w:b/>
        </w:rPr>
        <w:t>第十九条  争议解决</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19.1因设备的质量问题发生争议，由具有国家规定资格的技术单位进行质量鉴定，双方应当接受，如鉴定结果质量无问题的，鉴定费用由甲方负责，否则由乙方负责。</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19.2因履行本合同引起的或与本合同有关的争议，向</w:t>
      </w:r>
      <w:r>
        <w:rPr>
          <w:rFonts w:hint="eastAsia" w:ascii="宋体" w:hAnsi="宋体"/>
          <w:kern w:val="0"/>
          <w:sz w:val="24"/>
          <w:u w:val="single"/>
        </w:rPr>
        <w:t xml:space="preserve"> 丽水 </w:t>
      </w:r>
      <w:r>
        <w:rPr>
          <w:rFonts w:hint="eastAsia" w:ascii="宋体" w:hAnsi="宋体"/>
          <w:kern w:val="0"/>
          <w:sz w:val="24"/>
        </w:rPr>
        <w:t>仲裁委员会按其仲裁规则申请仲裁。在仲裁期间，本合同应继续履行。</w:t>
      </w:r>
    </w:p>
    <w:p>
      <w:pPr>
        <w:pStyle w:val="52"/>
        <w:spacing w:line="360" w:lineRule="auto"/>
        <w:ind w:firstLine="482"/>
        <w:rPr>
          <w:rFonts w:hint="eastAsia"/>
          <w:b/>
        </w:rPr>
      </w:pPr>
      <w:r>
        <w:rPr>
          <w:rFonts w:hint="eastAsia"/>
          <w:b/>
        </w:rPr>
        <w:t>第二十条  担保</w:t>
      </w:r>
    </w:p>
    <w:p>
      <w:pPr>
        <w:tabs>
          <w:tab w:val="center" w:pos="4775"/>
        </w:tabs>
        <w:spacing w:line="360" w:lineRule="auto"/>
        <w:ind w:firstLine="480" w:firstLineChars="200"/>
        <w:rPr>
          <w:rFonts w:ascii="宋体" w:hAnsi="宋体"/>
          <w:sz w:val="24"/>
        </w:rPr>
      </w:pPr>
      <w:r>
        <w:rPr>
          <w:rFonts w:hint="eastAsia" w:ascii="宋体" w:hAnsi="宋体"/>
          <w:sz w:val="24"/>
        </w:rPr>
        <w:t>1.本项目双方约定担保事项如下：</w:t>
      </w:r>
    </w:p>
    <w:p>
      <w:pPr>
        <w:adjustRightInd w:val="0"/>
        <w:snapToGrid w:val="0"/>
        <w:spacing w:line="360" w:lineRule="auto"/>
        <w:ind w:firstLine="480" w:firstLineChars="200"/>
        <w:rPr>
          <w:rFonts w:ascii="宋体" w:hAnsi="宋体"/>
          <w:sz w:val="24"/>
        </w:rPr>
      </w:pPr>
      <w:r>
        <w:rPr>
          <w:rFonts w:hint="eastAsia" w:ascii="宋体" w:hAnsi="宋体"/>
          <w:sz w:val="24"/>
        </w:rPr>
        <w:t>（1）乙方应于</w:t>
      </w:r>
      <w:r>
        <w:rPr>
          <w:rFonts w:hint="eastAsia" w:ascii="宋体" w:hAnsi="宋体"/>
          <w:sz w:val="24"/>
          <w:u w:val="single"/>
        </w:rPr>
        <w:t xml:space="preserve">         </w:t>
      </w:r>
      <w:r>
        <w:rPr>
          <w:rFonts w:hint="eastAsia" w:ascii="宋体" w:hAnsi="宋体"/>
          <w:sz w:val="24"/>
        </w:rPr>
        <w:t>（时间）向甲方提交履约保证金</w:t>
      </w:r>
      <w:r>
        <w:rPr>
          <w:rFonts w:hint="eastAsia" w:ascii="宋体" w:hAnsi="宋体"/>
          <w:sz w:val="24"/>
          <w:u w:val="single"/>
        </w:rPr>
        <w:t xml:space="preserve">         </w:t>
      </w:r>
      <w:r>
        <w:rPr>
          <w:rFonts w:hint="eastAsia" w:ascii="宋体" w:hAnsi="宋体"/>
          <w:sz w:val="24"/>
        </w:rPr>
        <w:t>元。</w:t>
      </w:r>
    </w:p>
    <w:p>
      <w:pPr>
        <w:adjustRightInd w:val="0"/>
        <w:snapToGrid w:val="0"/>
        <w:spacing w:line="360" w:lineRule="auto"/>
        <w:ind w:firstLine="480" w:firstLineChars="200"/>
        <w:rPr>
          <w:rFonts w:ascii="宋体" w:hAnsi="宋体"/>
          <w:sz w:val="24"/>
          <w:u w:val="single"/>
        </w:rPr>
      </w:pPr>
      <w:r>
        <w:rPr>
          <w:rFonts w:hint="eastAsia" w:ascii="宋体" w:hAnsi="宋体"/>
          <w:sz w:val="24"/>
        </w:rPr>
        <w:t>（2）履约保证金收取方式：</w:t>
      </w:r>
      <w:r>
        <w:rPr>
          <w:rFonts w:hint="eastAsia" w:ascii="宋体" w:hAnsi="宋体"/>
          <w:sz w:val="24"/>
          <w:u w:val="single"/>
        </w:rPr>
        <w:t xml:space="preserve">          </w:t>
      </w:r>
    </w:p>
    <w:p>
      <w:pPr>
        <w:adjustRightInd w:val="0"/>
        <w:snapToGrid w:val="0"/>
        <w:spacing w:line="360" w:lineRule="auto"/>
        <w:ind w:firstLine="1080" w:firstLineChars="450"/>
        <w:rPr>
          <w:rFonts w:ascii="宋体" w:hAnsi="宋体"/>
          <w:sz w:val="24"/>
        </w:rPr>
      </w:pPr>
      <w:r>
        <w:rPr>
          <w:rFonts w:hint="eastAsia" w:ascii="宋体" w:hAnsi="宋体"/>
          <w:sz w:val="24"/>
        </w:rPr>
        <w:t>A: 电汇</w:t>
      </w:r>
    </w:p>
    <w:p>
      <w:pPr>
        <w:adjustRightInd w:val="0"/>
        <w:snapToGrid w:val="0"/>
        <w:spacing w:line="360" w:lineRule="auto"/>
        <w:ind w:firstLine="1080" w:firstLineChars="450"/>
        <w:rPr>
          <w:rFonts w:ascii="宋体" w:hAnsi="宋体"/>
          <w:sz w:val="24"/>
        </w:rPr>
      </w:pPr>
      <w:r>
        <w:rPr>
          <w:rFonts w:hint="eastAsia" w:ascii="宋体" w:hAnsi="宋体"/>
          <w:sz w:val="24"/>
        </w:rPr>
        <w:t>B: 转账</w:t>
      </w:r>
    </w:p>
    <w:p>
      <w:pPr>
        <w:adjustRightInd w:val="0"/>
        <w:snapToGrid w:val="0"/>
        <w:spacing w:line="360" w:lineRule="auto"/>
        <w:ind w:firstLine="1080" w:firstLineChars="450"/>
        <w:rPr>
          <w:rFonts w:ascii="宋体" w:hAnsi="宋体"/>
          <w:sz w:val="24"/>
        </w:rPr>
      </w:pPr>
      <w:r>
        <w:rPr>
          <w:rFonts w:hint="eastAsia" w:ascii="宋体" w:hAnsi="宋体"/>
          <w:sz w:val="24"/>
        </w:rPr>
        <w:t>C: 银行或保险公司或担保公司出具履约保函</w:t>
      </w:r>
    </w:p>
    <w:p>
      <w:pPr>
        <w:tabs>
          <w:tab w:val="center" w:pos="4775"/>
        </w:tabs>
        <w:spacing w:line="360" w:lineRule="auto"/>
        <w:ind w:firstLine="480" w:firstLineChars="200"/>
        <w:rPr>
          <w:rFonts w:ascii="宋体" w:hAnsi="宋体"/>
          <w:sz w:val="24"/>
        </w:rPr>
      </w:pPr>
      <w:r>
        <w:rPr>
          <w:rFonts w:hint="eastAsia" w:ascii="宋体" w:hAnsi="宋体"/>
          <w:sz w:val="24"/>
        </w:rPr>
        <w:t>1.2双方约定的其他担保事项：无。</w:t>
      </w:r>
    </w:p>
    <w:p>
      <w:pPr>
        <w:tabs>
          <w:tab w:val="center" w:pos="4775"/>
        </w:tabs>
        <w:spacing w:line="360" w:lineRule="auto"/>
        <w:ind w:firstLine="480" w:firstLineChars="200"/>
        <w:rPr>
          <w:rFonts w:ascii="宋体" w:hAnsi="宋体"/>
          <w:kern w:val="0"/>
          <w:sz w:val="24"/>
        </w:rPr>
      </w:pPr>
      <w:r>
        <w:rPr>
          <w:rFonts w:hint="eastAsia" w:ascii="宋体" w:hAnsi="宋体"/>
          <w:sz w:val="24"/>
        </w:rPr>
        <w:t>1.3履约保证金在履行完合同约定事项后7个工作日内一次性无息退还。</w:t>
      </w:r>
    </w:p>
    <w:p>
      <w:pPr>
        <w:pStyle w:val="52"/>
        <w:spacing w:line="360" w:lineRule="auto"/>
        <w:ind w:firstLine="482"/>
        <w:rPr>
          <w:rFonts w:hint="eastAsia"/>
          <w:b/>
        </w:rPr>
      </w:pPr>
      <w:r>
        <w:rPr>
          <w:rFonts w:hint="eastAsia"/>
          <w:b/>
        </w:rPr>
        <w:t>第二十一条  其他条款</w:t>
      </w:r>
    </w:p>
    <w:p>
      <w:pPr>
        <w:tabs>
          <w:tab w:val="center" w:pos="4775"/>
        </w:tabs>
        <w:spacing w:line="360" w:lineRule="auto"/>
        <w:ind w:firstLine="480" w:firstLineChars="200"/>
        <w:rPr>
          <w:rFonts w:hint="eastAsia" w:ascii="宋体" w:hAnsi="宋体"/>
          <w:kern w:val="0"/>
          <w:sz w:val="24"/>
        </w:rPr>
      </w:pPr>
      <w:r>
        <w:rPr>
          <w:rFonts w:hint="eastAsia" w:ascii="宋体" w:hAnsi="宋体"/>
          <w:kern w:val="0"/>
          <w:sz w:val="24"/>
        </w:rPr>
        <w:t>21.1  工程建设由乙方负责投资落实，相关报批手续、设备采购、安装调试、道路和绿化复原、服务等由乙方按照国家有关规定组织实施，甲方配合乙方办理相关手续，由此所产生的相关审批费用由乙方承担。</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21.2  如有特殊情况，乙方应及时与甲方、设计、监理沟通，形成意见后，由设计出新的施工图，乙方要按图施工。</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21.3  建设期内如甲方根据实际情况需调整监控摄像机点位的，乙方须予以调整，费用不予计取。</w:t>
      </w:r>
    </w:p>
    <w:p>
      <w:pPr>
        <w:tabs>
          <w:tab w:val="center" w:pos="4775"/>
        </w:tabs>
        <w:spacing w:line="360" w:lineRule="auto"/>
        <w:ind w:firstLine="480" w:firstLineChars="200"/>
        <w:rPr>
          <w:rFonts w:ascii="宋体" w:hAnsi="宋体"/>
          <w:kern w:val="0"/>
          <w:sz w:val="24"/>
        </w:rPr>
      </w:pPr>
      <w:r>
        <w:rPr>
          <w:rFonts w:hint="eastAsia" w:ascii="宋体" w:hAnsi="宋体"/>
          <w:kern w:val="0"/>
          <w:sz w:val="24"/>
        </w:rPr>
        <w:t>21.4  服务期限内，设备故障无法修复且设备生产商停产或停用的，乙方应书面向甲方提出，并提供相应证明材料，经甲方同意后，乙方应提供不低于原设备的技术要求和档次的产品。</w:t>
      </w:r>
    </w:p>
    <w:p>
      <w:pPr>
        <w:tabs>
          <w:tab w:val="center" w:pos="4775"/>
        </w:tabs>
        <w:spacing w:line="360" w:lineRule="auto"/>
        <w:ind w:firstLine="480" w:firstLineChars="200"/>
        <w:rPr>
          <w:rFonts w:hint="eastAsia" w:ascii="宋体" w:hAnsi="宋体"/>
          <w:kern w:val="0"/>
          <w:sz w:val="24"/>
        </w:rPr>
      </w:pPr>
      <w:r>
        <w:rPr>
          <w:rFonts w:hint="eastAsia" w:ascii="宋体" w:hAnsi="宋体"/>
          <w:kern w:val="0"/>
          <w:sz w:val="24"/>
        </w:rPr>
        <w:t>21.5  本项目建设过程中涉及到借杆、取电、道路和绿化开挖等，乙方需在建设前一次性将施工点位报区住房与城乡建设规划局、区交通运输局、区供电局等单位备案。</w:t>
      </w:r>
    </w:p>
    <w:p>
      <w:pPr>
        <w:pStyle w:val="52"/>
        <w:spacing w:line="360" w:lineRule="auto"/>
        <w:ind w:firstLine="482"/>
        <w:rPr>
          <w:rFonts w:hint="eastAsia"/>
        </w:rPr>
      </w:pPr>
      <w:r>
        <w:rPr>
          <w:rFonts w:hint="eastAsia"/>
        </w:rPr>
        <w:t>21.6  项目运维考核详见考核办法，考核办法作为合同组成部分。</w:t>
      </w:r>
    </w:p>
    <w:p>
      <w:pPr>
        <w:pStyle w:val="52"/>
        <w:spacing w:line="360" w:lineRule="auto"/>
        <w:ind w:firstLine="482"/>
        <w:rPr>
          <w:rFonts w:hint="eastAsia"/>
          <w:b/>
        </w:rPr>
      </w:pPr>
      <w:r>
        <w:rPr>
          <w:rFonts w:hint="eastAsia"/>
          <w:b/>
        </w:rPr>
        <w:t>第二十二条  合同生效及其他</w:t>
      </w:r>
    </w:p>
    <w:p>
      <w:pPr>
        <w:pStyle w:val="52"/>
        <w:spacing w:line="360" w:lineRule="auto"/>
        <w:ind w:firstLine="482"/>
        <w:rPr>
          <w:rFonts w:hint="eastAsia"/>
        </w:rPr>
      </w:pPr>
      <w:r>
        <w:rPr>
          <w:rFonts w:hint="eastAsia"/>
        </w:rPr>
        <w:t>22.1合同经双方法定代表人（或企业负责人）签字并加盖单位公章后生效。</w:t>
      </w:r>
    </w:p>
    <w:p>
      <w:pPr>
        <w:spacing w:line="360" w:lineRule="auto"/>
        <w:jc w:val="left"/>
        <w:rPr>
          <w:rFonts w:hint="eastAsia" w:ascii="宋体" w:hAnsi="宋体"/>
          <w:kern w:val="0"/>
          <w:sz w:val="24"/>
        </w:rPr>
      </w:pPr>
      <w:r>
        <w:rPr>
          <w:rFonts w:hint="eastAsia" w:ascii="宋体" w:hAnsi="宋体"/>
          <w:kern w:val="0"/>
          <w:sz w:val="24"/>
        </w:rPr>
        <w:t xml:space="preserve">    22.2合同执行中涉及采购资金和采购内容修改或补充的，须经财政部门审批，并签书面补充协议报政府采购监督管理部门备案，方可作为主合同不可分割的一部分。</w:t>
      </w:r>
    </w:p>
    <w:p>
      <w:pPr>
        <w:spacing w:line="360" w:lineRule="auto"/>
        <w:jc w:val="left"/>
        <w:rPr>
          <w:rFonts w:hint="eastAsia" w:ascii="宋体" w:hAnsi="宋体"/>
          <w:kern w:val="0"/>
          <w:sz w:val="24"/>
        </w:rPr>
      </w:pPr>
      <w:r>
        <w:rPr>
          <w:rFonts w:hint="eastAsia" w:ascii="宋体" w:hAnsi="宋体"/>
          <w:kern w:val="0"/>
          <w:sz w:val="24"/>
        </w:rPr>
        <w:t xml:space="preserve">    22.3本合同未尽事宜，遵照《中华人民共和国民法典》有关条文执行。</w:t>
      </w:r>
    </w:p>
    <w:p>
      <w:pPr>
        <w:spacing w:line="360" w:lineRule="auto"/>
        <w:jc w:val="left"/>
        <w:rPr>
          <w:rFonts w:hint="eastAsia" w:ascii="宋体" w:hAnsi="宋体"/>
          <w:kern w:val="0"/>
          <w:sz w:val="24"/>
        </w:rPr>
      </w:pPr>
      <w:r>
        <w:rPr>
          <w:rFonts w:hint="eastAsia" w:ascii="宋体" w:hAnsi="宋体"/>
          <w:kern w:val="0"/>
          <w:sz w:val="24"/>
        </w:rPr>
        <w:t xml:space="preserve">    22.4本合同一式八份，具有同等法律效力。</w:t>
      </w:r>
    </w:p>
    <w:p>
      <w:pPr>
        <w:tabs>
          <w:tab w:val="center" w:pos="4775"/>
        </w:tabs>
        <w:spacing w:line="360" w:lineRule="auto"/>
        <w:ind w:firstLine="480" w:firstLineChars="200"/>
        <w:rPr>
          <w:rFonts w:ascii="宋体" w:hAnsi="宋体"/>
          <w:sz w:val="24"/>
        </w:rPr>
      </w:pPr>
    </w:p>
    <w:p>
      <w:pPr>
        <w:snapToGrid w:val="0"/>
        <w:spacing w:before="119" w:line="272" w:lineRule="atLeast"/>
        <w:rPr>
          <w:rFonts w:ascii="宋体" w:hAnsi="宋体"/>
          <w:sz w:val="24"/>
        </w:rPr>
      </w:pPr>
      <w:r>
        <w:rPr>
          <w:rFonts w:hint="eastAsia" w:ascii="宋体" w:hAnsi="宋体"/>
          <w:sz w:val="24"/>
        </w:rPr>
        <w:t>甲　方：</w:t>
      </w:r>
      <w:r>
        <w:rPr>
          <w:rFonts w:hint="eastAsia" w:ascii="宋体" w:hAnsi="宋体"/>
          <w:sz w:val="24"/>
          <w:u w:val="single"/>
        </w:rPr>
        <w:t xml:space="preserve">             </w:t>
      </w:r>
      <w:r>
        <w:rPr>
          <w:rFonts w:hint="eastAsia" w:ascii="宋体" w:hAnsi="宋体"/>
          <w:sz w:val="24"/>
        </w:rPr>
        <w:tab/>
      </w:r>
      <w:r>
        <w:rPr>
          <w:rFonts w:hint="eastAsia" w:ascii="宋体" w:hAnsi="宋体"/>
          <w:sz w:val="24"/>
        </w:rPr>
        <w:t xml:space="preserve">                乙　方：</w:t>
      </w:r>
      <w:r>
        <w:rPr>
          <w:rFonts w:hint="eastAsia" w:ascii="宋体" w:hAnsi="宋体"/>
          <w:sz w:val="24"/>
          <w:u w:val="single"/>
        </w:rPr>
        <w:t xml:space="preserve">             </w:t>
      </w:r>
      <w:r>
        <w:rPr>
          <w:rFonts w:hint="eastAsia" w:ascii="宋体" w:hAnsi="宋体"/>
          <w:sz w:val="24"/>
        </w:rPr>
        <w:t xml:space="preserve">    </w:t>
      </w:r>
    </w:p>
    <w:p>
      <w:pPr>
        <w:snapToGrid w:val="0"/>
        <w:spacing w:before="119" w:line="272" w:lineRule="atLeast"/>
        <w:rPr>
          <w:rFonts w:ascii="宋体" w:hAnsi="宋体"/>
          <w:sz w:val="24"/>
        </w:rPr>
      </w:pPr>
      <w:r>
        <w:rPr>
          <w:rFonts w:hint="eastAsia" w:ascii="宋体" w:hAnsi="宋体"/>
          <w:sz w:val="24"/>
        </w:rPr>
        <w:t xml:space="preserve">名　称：(印章)　　　       </w:t>
      </w:r>
      <w:r>
        <w:rPr>
          <w:rFonts w:hint="eastAsia" w:ascii="宋体" w:hAnsi="宋体"/>
          <w:sz w:val="24"/>
        </w:rPr>
        <w:tab/>
      </w:r>
      <w:r>
        <w:rPr>
          <w:rFonts w:hint="eastAsia" w:ascii="宋体" w:hAnsi="宋体"/>
          <w:sz w:val="24"/>
        </w:rPr>
        <w:t xml:space="preserve">            名　称：(印章)            </w:t>
      </w:r>
    </w:p>
    <w:p>
      <w:pPr>
        <w:snapToGrid w:val="0"/>
        <w:spacing w:before="119" w:line="272" w:lineRule="atLeast"/>
        <w:rPr>
          <w:rFonts w:ascii="宋体" w:hAnsi="宋体"/>
          <w:sz w:val="24"/>
        </w:rPr>
      </w:pPr>
      <w:r>
        <w:rPr>
          <w:rFonts w:hint="eastAsia" w:ascii="宋体" w:hAnsi="宋体"/>
          <w:sz w:val="24"/>
        </w:rPr>
        <w:t xml:space="preserve">年　月　日　　　　　　　                年　月　日               </w:t>
      </w:r>
    </w:p>
    <w:p>
      <w:pPr>
        <w:snapToGrid w:val="0"/>
        <w:spacing w:before="119" w:line="272" w:lineRule="atLeast"/>
        <w:rPr>
          <w:rFonts w:ascii="宋体" w:hAnsi="宋体"/>
          <w:sz w:val="24"/>
        </w:rPr>
      </w:pPr>
      <w:r>
        <w:rPr>
          <w:rFonts w:hint="eastAsia" w:ascii="宋体" w:hAnsi="宋体"/>
          <w:sz w:val="24"/>
        </w:rPr>
        <w:t>法定代表人签字：                        法定代表人（或负责人）签字：</w:t>
      </w:r>
    </w:p>
    <w:p>
      <w:pPr>
        <w:snapToGrid w:val="0"/>
        <w:spacing w:before="119" w:line="272" w:lineRule="atLeast"/>
        <w:rPr>
          <w:rFonts w:ascii="宋体" w:hAnsi="宋体"/>
          <w:sz w:val="24"/>
          <w:u w:val="single"/>
        </w:rPr>
      </w:pPr>
      <w:r>
        <w:rPr>
          <w:rFonts w:hint="eastAsia" w:ascii="宋体" w:hAnsi="宋体"/>
          <w:sz w:val="24"/>
        </w:rPr>
        <w:t>地　　址：</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r>
        <w:rPr>
          <w:rFonts w:hint="eastAsia" w:ascii="宋体" w:hAnsi="宋体"/>
          <w:sz w:val="24"/>
          <w:u w:val="single"/>
        </w:rPr>
        <w:tab/>
      </w:r>
      <w:r>
        <w:rPr>
          <w:rFonts w:hint="eastAsia" w:ascii="宋体" w:hAnsi="宋体"/>
          <w:sz w:val="24"/>
          <w:u w:val="single"/>
        </w:rPr>
        <w:t xml:space="preserve">             </w:t>
      </w:r>
      <w:r>
        <w:rPr>
          <w:rFonts w:hint="eastAsia" w:ascii="宋体" w:hAnsi="宋体"/>
          <w:sz w:val="24"/>
        </w:rPr>
        <w:tab/>
      </w:r>
      <w:r>
        <w:rPr>
          <w:rFonts w:hint="eastAsia" w:ascii="宋体" w:hAnsi="宋体"/>
          <w:sz w:val="24"/>
        </w:rPr>
        <w:tab/>
      </w:r>
      <w:r>
        <w:rPr>
          <w:rFonts w:hint="eastAsia" w:ascii="宋体" w:hAnsi="宋体"/>
          <w:sz w:val="24"/>
        </w:rPr>
        <w:t xml:space="preserve">  地　　址：</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p>
    <w:p>
      <w:pPr>
        <w:snapToGrid w:val="0"/>
        <w:spacing w:before="119" w:line="272" w:lineRule="atLeast"/>
        <w:rPr>
          <w:rFonts w:ascii="宋体" w:hAnsi="宋体"/>
          <w:sz w:val="24"/>
          <w:u w:val="single"/>
        </w:rPr>
      </w:pPr>
      <w:r>
        <w:rPr>
          <w:rFonts w:hint="eastAsia" w:ascii="宋体" w:hAnsi="宋体"/>
          <w:sz w:val="24"/>
        </w:rPr>
        <w:t>邮政编码：</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r>
        <w:rPr>
          <w:rFonts w:hint="eastAsia" w:ascii="宋体" w:hAnsi="宋体"/>
          <w:sz w:val="24"/>
          <w:u w:val="single"/>
        </w:rPr>
        <w:tab/>
      </w:r>
      <w:r>
        <w:rPr>
          <w:rFonts w:hint="eastAsia" w:ascii="宋体" w:hAnsi="宋体"/>
          <w:sz w:val="24"/>
          <w:u w:val="single"/>
        </w:rPr>
        <w:t xml:space="preserve">             </w:t>
      </w:r>
      <w:r>
        <w:rPr>
          <w:rFonts w:hint="eastAsia" w:ascii="宋体" w:hAnsi="宋体"/>
          <w:sz w:val="24"/>
        </w:rPr>
        <w:tab/>
      </w:r>
      <w:r>
        <w:rPr>
          <w:rFonts w:hint="eastAsia" w:ascii="宋体" w:hAnsi="宋体"/>
          <w:sz w:val="24"/>
        </w:rPr>
        <w:tab/>
      </w:r>
      <w:r>
        <w:rPr>
          <w:rFonts w:hint="eastAsia" w:ascii="宋体" w:hAnsi="宋体"/>
          <w:sz w:val="24"/>
        </w:rPr>
        <w:t xml:space="preserve">  邮政编码：</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p>
    <w:p>
      <w:pPr>
        <w:snapToGrid w:val="0"/>
        <w:spacing w:before="119" w:line="272" w:lineRule="atLeast"/>
        <w:rPr>
          <w:rFonts w:ascii="宋体" w:hAnsi="宋体"/>
          <w:sz w:val="24"/>
        </w:rPr>
      </w:pPr>
      <w:r>
        <w:rPr>
          <w:rFonts w:hint="eastAsia" w:ascii="宋体" w:hAnsi="宋体"/>
          <w:sz w:val="24"/>
        </w:rPr>
        <w:t>电　　话：</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r>
        <w:rPr>
          <w:rFonts w:hint="eastAsia" w:ascii="宋体" w:hAnsi="宋体"/>
          <w:sz w:val="24"/>
          <w:u w:val="single"/>
        </w:rPr>
        <w:tab/>
      </w:r>
      <w:r>
        <w:rPr>
          <w:rFonts w:hint="eastAsia" w:ascii="宋体" w:hAnsi="宋体"/>
          <w:sz w:val="24"/>
          <w:u w:val="single"/>
        </w:rPr>
        <w:t xml:space="preserve">             </w:t>
      </w:r>
      <w:r>
        <w:rPr>
          <w:rFonts w:hint="eastAsia" w:ascii="宋体" w:hAnsi="宋体"/>
          <w:sz w:val="24"/>
        </w:rPr>
        <w:tab/>
      </w:r>
      <w:r>
        <w:rPr>
          <w:rFonts w:hint="eastAsia" w:ascii="宋体" w:hAnsi="宋体"/>
          <w:sz w:val="24"/>
        </w:rPr>
        <w:tab/>
      </w:r>
      <w:r>
        <w:rPr>
          <w:rFonts w:hint="eastAsia" w:ascii="宋体" w:hAnsi="宋体"/>
          <w:sz w:val="24"/>
        </w:rPr>
        <w:t xml:space="preserve">  电　　话：</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p>
    <w:p>
      <w:pPr>
        <w:snapToGrid w:val="0"/>
        <w:spacing w:before="119" w:line="272" w:lineRule="atLeast"/>
        <w:rPr>
          <w:rFonts w:ascii="宋体" w:hAnsi="宋体"/>
          <w:sz w:val="24"/>
        </w:rPr>
      </w:pPr>
      <w:r>
        <w:rPr>
          <w:rFonts w:hint="eastAsia" w:ascii="宋体" w:hAnsi="宋体"/>
          <w:sz w:val="24"/>
        </w:rPr>
        <w:t>开户银行：</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r>
        <w:rPr>
          <w:rFonts w:hint="eastAsia" w:ascii="宋体" w:hAnsi="宋体"/>
          <w:sz w:val="24"/>
          <w:u w:val="single"/>
        </w:rPr>
        <w:tab/>
      </w:r>
      <w:r>
        <w:rPr>
          <w:rFonts w:hint="eastAsia" w:ascii="宋体" w:hAnsi="宋体"/>
          <w:sz w:val="24"/>
          <w:u w:val="single"/>
        </w:rPr>
        <w:t xml:space="preserve">             </w:t>
      </w:r>
      <w:r>
        <w:rPr>
          <w:rFonts w:hint="eastAsia" w:ascii="宋体" w:hAnsi="宋体"/>
          <w:sz w:val="24"/>
        </w:rPr>
        <w:tab/>
      </w:r>
      <w:r>
        <w:rPr>
          <w:rFonts w:hint="eastAsia" w:ascii="宋体" w:hAnsi="宋体"/>
          <w:sz w:val="24"/>
        </w:rPr>
        <w:tab/>
      </w:r>
      <w:r>
        <w:rPr>
          <w:rFonts w:hint="eastAsia" w:ascii="宋体" w:hAnsi="宋体"/>
          <w:sz w:val="24"/>
        </w:rPr>
        <w:t xml:space="preserve">  开户银行：</w:t>
      </w:r>
      <w:r>
        <w:rPr>
          <w:rFonts w:hint="eastAsia" w:ascii="宋体" w:hAnsi="宋体"/>
          <w:sz w:val="24"/>
          <w:u w:val="single"/>
        </w:rPr>
        <w:tab/>
      </w:r>
      <w:r>
        <w:rPr>
          <w:rFonts w:hint="eastAsia" w:ascii="宋体" w:hAnsi="宋体"/>
          <w:sz w:val="24"/>
          <w:u w:val="single"/>
        </w:rPr>
        <w:tab/>
      </w:r>
      <w:r>
        <w:rPr>
          <w:rFonts w:hint="eastAsia" w:ascii="宋体" w:hAnsi="宋体"/>
          <w:sz w:val="24"/>
          <w:u w:val="single"/>
        </w:rPr>
        <w:t xml:space="preserve">              </w:t>
      </w:r>
    </w:p>
    <w:p>
      <w:pPr>
        <w:pStyle w:val="53"/>
        <w:jc w:val="left"/>
        <w:rPr>
          <w:rFonts w:hint="eastAsia" w:ascii="宋体" w:hAnsi="宋体" w:eastAsia="宋体"/>
          <w:b w:val="0"/>
          <w:sz w:val="24"/>
        </w:rPr>
      </w:pPr>
      <w:r>
        <w:rPr>
          <w:rFonts w:hint="eastAsia" w:ascii="宋体" w:hAnsi="宋体" w:eastAsia="宋体"/>
          <w:sz w:val="24"/>
        </w:rPr>
        <w:t>账　　号：</w:t>
      </w:r>
      <w:r>
        <w:rPr>
          <w:rFonts w:hint="eastAsia" w:ascii="宋体" w:hAnsi="宋体" w:eastAsia="宋体"/>
          <w:sz w:val="24"/>
          <w:u w:val="single"/>
        </w:rPr>
        <w:tab/>
      </w:r>
      <w:r>
        <w:rPr>
          <w:rFonts w:hint="eastAsia" w:ascii="宋体" w:hAnsi="宋体" w:eastAsia="宋体"/>
          <w:sz w:val="24"/>
          <w:u w:val="single"/>
        </w:rPr>
        <w:tab/>
      </w:r>
      <w:r>
        <w:rPr>
          <w:rFonts w:hint="eastAsia" w:ascii="宋体" w:hAnsi="宋体" w:eastAsia="宋体"/>
          <w:sz w:val="24"/>
          <w:u w:val="single"/>
        </w:rPr>
        <w:t xml:space="preserve">     </w:t>
      </w:r>
      <w:r>
        <w:rPr>
          <w:rFonts w:hint="eastAsia" w:ascii="宋体" w:hAnsi="宋体" w:eastAsia="宋体"/>
          <w:sz w:val="24"/>
          <w:u w:val="single"/>
        </w:rPr>
        <w:tab/>
      </w:r>
      <w:r>
        <w:rPr>
          <w:rFonts w:hint="eastAsia" w:ascii="宋体" w:hAnsi="宋体" w:eastAsia="宋体"/>
          <w:sz w:val="24"/>
          <w:u w:val="single"/>
        </w:rPr>
        <w:t xml:space="preserve">             </w:t>
      </w:r>
      <w:r>
        <w:rPr>
          <w:rFonts w:hint="eastAsia" w:ascii="宋体" w:hAnsi="宋体" w:eastAsia="宋体"/>
          <w:sz w:val="24"/>
        </w:rPr>
        <w:tab/>
      </w:r>
      <w:r>
        <w:rPr>
          <w:rFonts w:hint="eastAsia" w:ascii="宋体" w:hAnsi="宋体" w:eastAsia="宋体"/>
          <w:sz w:val="24"/>
        </w:rPr>
        <w:t xml:space="preserve">      账　　号：</w:t>
      </w:r>
      <w:r>
        <w:rPr>
          <w:rFonts w:hint="eastAsia" w:ascii="宋体" w:hAnsi="宋体" w:eastAsia="宋体"/>
          <w:sz w:val="24"/>
          <w:u w:val="single"/>
        </w:rPr>
        <w:tab/>
      </w:r>
      <w:r>
        <w:rPr>
          <w:rFonts w:hint="eastAsia" w:ascii="宋体" w:hAnsi="宋体" w:eastAsia="宋体"/>
          <w:sz w:val="24"/>
          <w:u w:val="single"/>
        </w:rPr>
        <w:tab/>
      </w:r>
      <w:r>
        <w:rPr>
          <w:rFonts w:hint="eastAsia" w:ascii="宋体" w:hAnsi="宋体" w:eastAsia="宋体"/>
          <w:sz w:val="24"/>
          <w:u w:val="single"/>
        </w:rPr>
        <w:t xml:space="preserve">              </w:t>
      </w: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p>
    <w:p>
      <w:pPr>
        <w:pStyle w:val="53"/>
        <w:jc w:val="left"/>
        <w:rPr>
          <w:rFonts w:hint="eastAsia" w:ascii="宋体" w:hAnsi="宋体"/>
          <w:sz w:val="24"/>
        </w:rPr>
      </w:pPr>
      <w:r>
        <w:rPr>
          <w:rFonts w:hint="eastAsia" w:ascii="宋体" w:hAnsi="宋体"/>
          <w:sz w:val="24"/>
        </w:rPr>
        <w:t>合同附件：</w:t>
      </w:r>
    </w:p>
    <w:p>
      <w:pPr>
        <w:spacing w:line="360" w:lineRule="auto"/>
        <w:jc w:val="center"/>
        <w:rPr>
          <w:rFonts w:hint="eastAsia" w:hAnsi="宋体"/>
          <w:b/>
          <w:sz w:val="30"/>
          <w:szCs w:val="30"/>
        </w:rPr>
      </w:pPr>
      <w:r>
        <w:rPr>
          <w:rFonts w:hint="eastAsia" w:hAnsi="宋体"/>
          <w:b/>
          <w:sz w:val="30"/>
          <w:szCs w:val="30"/>
        </w:rPr>
        <w:t>服务考核办法</w:t>
      </w:r>
    </w:p>
    <w:p>
      <w:pPr>
        <w:tabs>
          <w:tab w:val="center" w:pos="4775"/>
        </w:tabs>
        <w:spacing w:line="360" w:lineRule="auto"/>
        <w:ind w:firstLine="472" w:firstLineChars="196"/>
        <w:rPr>
          <w:rFonts w:hint="eastAsia" w:ascii="宋体" w:hAnsi="宋体"/>
          <w:b/>
          <w:kern w:val="0"/>
          <w:sz w:val="24"/>
        </w:rPr>
      </w:pPr>
      <w:bookmarkStart w:id="134" w:name="_Toc386440994"/>
      <w:bookmarkStart w:id="135" w:name="_Toc512505543"/>
      <w:bookmarkStart w:id="136" w:name="_Toc386440996"/>
      <w:r>
        <w:rPr>
          <w:rFonts w:hint="eastAsia" w:ascii="宋体" w:hAnsi="宋体"/>
          <w:b/>
          <w:kern w:val="0"/>
          <w:sz w:val="24"/>
        </w:rPr>
        <w:t>一、项目概况</w:t>
      </w:r>
      <w:bookmarkEnd w:id="134"/>
      <w:bookmarkEnd w:id="135"/>
    </w:p>
    <w:bookmarkEnd w:id="136"/>
    <w:p>
      <w:pPr>
        <w:tabs>
          <w:tab w:val="center" w:pos="4775"/>
        </w:tabs>
        <w:spacing w:line="360" w:lineRule="auto"/>
        <w:ind w:firstLine="480" w:firstLineChars="200"/>
        <w:rPr>
          <w:rFonts w:hint="eastAsia" w:ascii="宋体" w:hAnsi="宋体"/>
          <w:sz w:val="24"/>
        </w:rPr>
      </w:pPr>
      <w:bookmarkStart w:id="137" w:name="_Toc512505545"/>
      <w:r>
        <w:rPr>
          <w:rFonts w:hint="eastAsia" w:ascii="宋体" w:hAnsi="宋体"/>
          <w:sz w:val="24"/>
        </w:rPr>
        <w:t>莲都区公共安全视频监控建设联网应用项目（碧湖改建项目）共257路视频监控服务。</w:t>
      </w:r>
    </w:p>
    <w:p>
      <w:pPr>
        <w:tabs>
          <w:tab w:val="center" w:pos="4775"/>
        </w:tabs>
        <w:spacing w:line="360" w:lineRule="auto"/>
        <w:ind w:firstLine="472" w:firstLineChars="196"/>
        <w:rPr>
          <w:rFonts w:ascii="宋体" w:hAnsi="宋体"/>
          <w:b/>
          <w:kern w:val="0"/>
          <w:sz w:val="24"/>
        </w:rPr>
      </w:pPr>
      <w:r>
        <w:rPr>
          <w:rFonts w:hint="eastAsia" w:ascii="宋体" w:hAnsi="宋体"/>
          <w:b/>
          <w:kern w:val="0"/>
          <w:sz w:val="24"/>
        </w:rPr>
        <w:t>二、</w:t>
      </w:r>
      <w:r>
        <w:rPr>
          <w:rFonts w:ascii="宋体" w:hAnsi="宋体"/>
          <w:b/>
          <w:kern w:val="0"/>
          <w:sz w:val="24"/>
        </w:rPr>
        <w:t>维护体系架构及职责</w:t>
      </w:r>
      <w:bookmarkEnd w:id="137"/>
    </w:p>
    <w:p>
      <w:pPr>
        <w:tabs>
          <w:tab w:val="center" w:pos="4775"/>
        </w:tabs>
        <w:spacing w:line="360" w:lineRule="auto"/>
        <w:ind w:firstLine="482" w:firstLineChars="200"/>
        <w:rPr>
          <w:b/>
          <w:bCs/>
          <w:sz w:val="24"/>
        </w:rPr>
      </w:pPr>
      <w:bookmarkStart w:id="138" w:name="_Toc321840490"/>
      <w:bookmarkStart w:id="139" w:name="_Toc512505547"/>
      <w:bookmarkStart w:id="140" w:name="_Toc342221386"/>
      <w:r>
        <w:rPr>
          <w:rFonts w:hint="eastAsia"/>
          <w:b/>
          <w:bCs/>
          <w:sz w:val="24"/>
        </w:rPr>
        <w:t>1.</w:t>
      </w:r>
      <w:r>
        <w:rPr>
          <w:b/>
          <w:bCs/>
          <w:sz w:val="24"/>
        </w:rPr>
        <w:t>系统维护涉及相关部门</w:t>
      </w:r>
      <w:bookmarkEnd w:id="138"/>
      <w:bookmarkEnd w:id="139"/>
      <w:bookmarkEnd w:id="140"/>
    </w:p>
    <w:p>
      <w:pPr>
        <w:spacing w:line="360" w:lineRule="auto"/>
        <w:ind w:firstLine="472" w:firstLineChars="196"/>
        <w:rPr>
          <w:rFonts w:ascii="宋体" w:hAnsi="宋体"/>
          <w:b/>
          <w:sz w:val="24"/>
        </w:rPr>
      </w:pPr>
      <w:r>
        <w:rPr>
          <w:rFonts w:ascii="宋体" w:hAnsi="宋体"/>
          <w:b/>
          <w:sz w:val="24"/>
        </w:rPr>
        <w:t>丽水市公安局莲都分局</w:t>
      </w:r>
    </w:p>
    <w:p>
      <w:pPr>
        <w:tabs>
          <w:tab w:val="center" w:pos="4775"/>
        </w:tabs>
        <w:spacing w:line="360" w:lineRule="auto"/>
        <w:ind w:firstLine="480" w:firstLineChars="200"/>
        <w:rPr>
          <w:rFonts w:hint="eastAsia" w:ascii="宋体" w:hAnsi="宋体"/>
          <w:sz w:val="24"/>
        </w:rPr>
      </w:pPr>
      <w:r>
        <w:rPr>
          <w:rFonts w:ascii="宋体" w:hAnsi="宋体"/>
          <w:sz w:val="24"/>
        </w:rPr>
        <w:t>负责系统日常使用、故障申告、总体协调工作。</w:t>
      </w:r>
    </w:p>
    <w:p>
      <w:pPr>
        <w:spacing w:line="360" w:lineRule="auto"/>
        <w:ind w:firstLine="472" w:firstLineChars="196"/>
        <w:rPr>
          <w:b/>
          <w:bCs/>
          <w:sz w:val="24"/>
        </w:rPr>
      </w:pPr>
      <w:r>
        <w:rPr>
          <w:rFonts w:hint="eastAsia"/>
          <w:b/>
          <w:bCs/>
          <w:sz w:val="24"/>
        </w:rPr>
        <w:t>2.</w:t>
      </w:r>
      <w:r>
        <w:rPr>
          <w:b/>
          <w:bCs/>
          <w:sz w:val="24"/>
        </w:rPr>
        <w:t>系统维护涉及相关部门</w:t>
      </w:r>
    </w:p>
    <w:p>
      <w:pPr>
        <w:pStyle w:val="2"/>
        <w:spacing w:line="360" w:lineRule="auto"/>
        <w:rPr>
          <w:rFonts w:ascii="宋体" w:hAnsi="宋体" w:eastAsia="宋体"/>
          <w:sz w:val="24"/>
          <w:lang w:val="en-US"/>
        </w:rPr>
      </w:pPr>
      <w:r>
        <w:rPr>
          <w:rFonts w:hint="eastAsia" w:ascii="宋体" w:hAnsi="宋体" w:eastAsia="宋体"/>
          <w:sz w:val="24"/>
          <w:lang w:val="en-US"/>
        </w:rPr>
        <w:t>系统维护部门在维护过程中积极与</w:t>
      </w:r>
      <w:r>
        <w:rPr>
          <w:rFonts w:ascii="宋体" w:hAnsi="宋体" w:eastAsia="宋体"/>
          <w:sz w:val="24"/>
          <w:lang w:val="en-US"/>
        </w:rPr>
        <w:t>市政管理</w:t>
      </w:r>
      <w:r>
        <w:rPr>
          <w:rFonts w:hint="eastAsia" w:ascii="宋体" w:hAnsi="宋体" w:eastAsia="宋体"/>
          <w:sz w:val="24"/>
          <w:lang w:val="en-US"/>
        </w:rPr>
        <w:t>、</w:t>
      </w:r>
      <w:r>
        <w:rPr>
          <w:rFonts w:ascii="宋体" w:hAnsi="宋体" w:eastAsia="宋体"/>
          <w:sz w:val="24"/>
          <w:lang w:val="en-US"/>
        </w:rPr>
        <w:t>路政管理</w:t>
      </w:r>
      <w:r>
        <w:rPr>
          <w:rFonts w:hint="eastAsia" w:ascii="宋体" w:hAnsi="宋体" w:eastAsia="宋体"/>
          <w:sz w:val="24"/>
          <w:lang w:val="en-US"/>
        </w:rPr>
        <w:t>、</w:t>
      </w:r>
      <w:r>
        <w:rPr>
          <w:rFonts w:ascii="宋体" w:hAnsi="宋体" w:eastAsia="宋体"/>
          <w:sz w:val="24"/>
          <w:lang w:val="en-US"/>
        </w:rPr>
        <w:t>园林</w:t>
      </w:r>
      <w:r>
        <w:rPr>
          <w:rFonts w:hint="eastAsia" w:ascii="宋体" w:hAnsi="宋体" w:eastAsia="宋体"/>
          <w:sz w:val="24"/>
          <w:lang w:val="en-US"/>
        </w:rPr>
        <w:t>、</w:t>
      </w:r>
      <w:r>
        <w:rPr>
          <w:rFonts w:ascii="宋体" w:hAnsi="宋体" w:eastAsia="宋体"/>
          <w:sz w:val="24"/>
          <w:lang w:val="en-US"/>
        </w:rPr>
        <w:t>供电局</w:t>
      </w:r>
      <w:r>
        <w:rPr>
          <w:rFonts w:hint="eastAsia" w:ascii="宋体" w:hAnsi="宋体" w:eastAsia="宋体"/>
          <w:sz w:val="24"/>
          <w:lang w:val="en-US"/>
        </w:rPr>
        <w:t>等相关部门做好对接、联系，并派专人负责对接联系工作。</w:t>
      </w:r>
    </w:p>
    <w:p>
      <w:pPr>
        <w:tabs>
          <w:tab w:val="center" w:pos="4775"/>
        </w:tabs>
        <w:spacing w:line="360" w:lineRule="auto"/>
        <w:ind w:firstLine="482" w:firstLineChars="200"/>
        <w:rPr>
          <w:b/>
          <w:bCs/>
          <w:sz w:val="24"/>
        </w:rPr>
      </w:pPr>
      <w:bookmarkStart w:id="141" w:name="_Toc512505548"/>
      <w:r>
        <w:rPr>
          <w:rFonts w:hint="eastAsia"/>
          <w:b/>
          <w:bCs/>
          <w:sz w:val="24"/>
        </w:rPr>
        <w:t>3.服务单位职责</w:t>
      </w:r>
      <w:bookmarkEnd w:id="141"/>
    </w:p>
    <w:p>
      <w:pPr>
        <w:adjustRightInd w:val="0"/>
        <w:snapToGrid w:val="0"/>
        <w:spacing w:line="360" w:lineRule="auto"/>
        <w:ind w:firstLine="480" w:firstLineChars="200"/>
        <w:rPr>
          <w:rFonts w:hint="eastAsia" w:ascii="宋体" w:hAnsi="宋体"/>
          <w:sz w:val="24"/>
        </w:rPr>
      </w:pPr>
      <w:r>
        <w:rPr>
          <w:rFonts w:hint="eastAsia" w:ascii="宋体" w:hAnsi="宋体"/>
          <w:sz w:val="24"/>
        </w:rPr>
        <w:t>乙方负责项目整体运行</w:t>
      </w:r>
      <w:r>
        <w:rPr>
          <w:rFonts w:ascii="宋体" w:hAnsi="宋体"/>
          <w:sz w:val="24"/>
        </w:rPr>
        <w:t>维护工作</w:t>
      </w:r>
      <w:r>
        <w:rPr>
          <w:rFonts w:hint="eastAsia" w:ascii="宋体" w:hAnsi="宋体"/>
          <w:sz w:val="24"/>
        </w:rPr>
        <w:t>。包括前端设备的巡检保养；一机一档维护；视频质量诊断、巡检；网络运维管理；电子工单管理；图像质量巡检；故障维修；平台运维管理；视频专网维护；本项目配套用房设备的维护保养维修等；日/周/月报提交；协助甲方完成重要保卫任务等。</w:t>
      </w:r>
    </w:p>
    <w:p>
      <w:pPr>
        <w:tabs>
          <w:tab w:val="center" w:pos="4775"/>
        </w:tabs>
        <w:spacing w:line="360" w:lineRule="auto"/>
        <w:ind w:firstLine="482" w:firstLineChars="200"/>
        <w:rPr>
          <w:b/>
          <w:bCs/>
          <w:sz w:val="24"/>
        </w:rPr>
      </w:pPr>
      <w:bookmarkStart w:id="142" w:name="_Toc512505549"/>
      <w:r>
        <w:rPr>
          <w:rFonts w:hint="eastAsia"/>
          <w:b/>
          <w:bCs/>
          <w:sz w:val="24"/>
        </w:rPr>
        <w:t>4.维护要求</w:t>
      </w:r>
      <w:bookmarkEnd w:id="142"/>
    </w:p>
    <w:p>
      <w:pPr>
        <w:adjustRightInd w:val="0"/>
        <w:snapToGrid w:val="0"/>
        <w:spacing w:line="360" w:lineRule="auto"/>
        <w:ind w:firstLine="480" w:firstLineChars="200"/>
        <w:rPr>
          <w:rFonts w:hint="eastAsia" w:ascii="宋体" w:hAnsi="宋体"/>
          <w:sz w:val="24"/>
        </w:rPr>
      </w:pPr>
      <w:r>
        <w:rPr>
          <w:rFonts w:hint="eastAsia" w:ascii="宋体" w:hAnsi="宋体"/>
          <w:sz w:val="24"/>
        </w:rPr>
        <w:t>（1）响应时间：必须提供维护热线电话，7*24小时响应，15分钟内响应，城区范围60分钟到现场，如遇重、特大事故需紧急抢修的，特殊处理。由于自然灾害、不可抗力和人为等引起的故障，由乙方提交申请，经甲方确认后，可酌情延长修复时限。维护期内，设备故障无法修复且设备生产商停产或停用的，乙方应书面向甲方提出，并提供相应证明材料，经甲方同意后，乙方应提供不低于原设备的技术要求和档次的产品。</w:t>
      </w:r>
    </w:p>
    <w:p>
      <w:pPr>
        <w:adjustRightInd w:val="0"/>
        <w:snapToGrid w:val="0"/>
        <w:spacing w:line="360" w:lineRule="auto"/>
        <w:ind w:firstLine="480" w:firstLineChars="200"/>
        <w:rPr>
          <w:rFonts w:hint="eastAsia" w:ascii="宋体" w:hAnsi="宋体"/>
          <w:sz w:val="24"/>
        </w:rPr>
      </w:pPr>
      <w:r>
        <w:rPr>
          <w:rFonts w:hint="eastAsia" w:ascii="宋体" w:hAnsi="宋体"/>
          <w:sz w:val="24"/>
        </w:rPr>
        <w:t>（2）项目负责人：指定固定的项目负责人，必须熟悉项目整体情况，负责跟进整体项目进度，联系解决相关问题。项目负责人在项目运营期间未经甲方同意不得更换。</w:t>
      </w:r>
    </w:p>
    <w:p>
      <w:pPr>
        <w:tabs>
          <w:tab w:val="center" w:pos="4775"/>
        </w:tabs>
        <w:spacing w:line="360" w:lineRule="auto"/>
        <w:ind w:firstLine="480" w:firstLineChars="200"/>
        <w:rPr>
          <w:rFonts w:ascii="宋体" w:hAnsi="宋体"/>
          <w:sz w:val="24"/>
        </w:rPr>
      </w:pPr>
      <w:r>
        <w:rPr>
          <w:rFonts w:hint="eastAsia" w:ascii="宋体" w:hAnsi="宋体"/>
          <w:sz w:val="24"/>
        </w:rPr>
        <w:t>（3）</w:t>
      </w:r>
      <w:r>
        <w:rPr>
          <w:rFonts w:ascii="宋体" w:hAnsi="宋体"/>
          <w:sz w:val="24"/>
        </w:rPr>
        <w:t>根据项目特征</w:t>
      </w:r>
      <w:r>
        <w:rPr>
          <w:rFonts w:ascii="宋体" w:hAnsi="宋体" w:cs="宋体"/>
          <w:bCs/>
          <w:sz w:val="24"/>
        </w:rPr>
        <w:t>、系统特点、运维需求，按照形式合理、结构清晰、职责明确、配置合理，相互相结合的原则，选派专业对口、工作能力强的</w:t>
      </w:r>
      <w:r>
        <w:rPr>
          <w:rFonts w:hint="eastAsia" w:ascii="宋体" w:hAnsi="宋体" w:cs="宋体"/>
          <w:bCs/>
          <w:sz w:val="24"/>
        </w:rPr>
        <w:t>驻场</w:t>
      </w:r>
      <w:r>
        <w:rPr>
          <w:rFonts w:ascii="宋体" w:hAnsi="宋体" w:cs="宋体"/>
          <w:bCs/>
          <w:sz w:val="24"/>
        </w:rPr>
        <w:t>运维人员</w:t>
      </w:r>
      <w:r>
        <w:rPr>
          <w:rFonts w:hint="eastAsia" w:ascii="宋体" w:hAnsi="宋体" w:cs="宋体"/>
          <w:bCs/>
          <w:sz w:val="24"/>
          <w:u w:val="single"/>
        </w:rPr>
        <w:t xml:space="preserve">  </w:t>
      </w:r>
      <w:r>
        <w:rPr>
          <w:rFonts w:ascii="宋体" w:hAnsi="宋体" w:cs="宋体"/>
          <w:bCs/>
          <w:sz w:val="24"/>
          <w:u w:val="single"/>
        </w:rPr>
        <w:t xml:space="preserve"> </w:t>
      </w:r>
      <w:r>
        <w:rPr>
          <w:rFonts w:ascii="宋体" w:hAnsi="宋体" w:cs="宋体"/>
          <w:bCs/>
          <w:sz w:val="24"/>
        </w:rPr>
        <w:t>名，专门组建本项目运维管理部，同时，根据运维实际工作开展情况，按运维计划要求各相关厂商派遣专业工程师或专业工作人员进驻现场充分开展运维工作。</w:t>
      </w:r>
    </w:p>
    <w:p>
      <w:pPr>
        <w:adjustRightInd w:val="0"/>
        <w:snapToGrid w:val="0"/>
        <w:spacing w:line="360" w:lineRule="auto"/>
        <w:ind w:firstLine="480" w:firstLineChars="200"/>
        <w:rPr>
          <w:rFonts w:hint="eastAsia" w:ascii="宋体" w:hAnsi="宋体"/>
          <w:sz w:val="24"/>
        </w:rPr>
      </w:pPr>
      <w:r>
        <w:rPr>
          <w:rFonts w:hint="eastAsia" w:ascii="宋体" w:hAnsi="宋体"/>
          <w:sz w:val="24"/>
        </w:rPr>
        <w:t>（4）巡检：应及时开展巡检工作，确保各系统设备运行正常。每季度开展大巡检一次。大巡检完成后，提供每季度巡检报告作为考核依据，未提供报告的不予支付本季度的服务费。</w:t>
      </w:r>
    </w:p>
    <w:p>
      <w:pPr>
        <w:adjustRightInd w:val="0"/>
        <w:snapToGrid w:val="0"/>
        <w:spacing w:line="360" w:lineRule="auto"/>
        <w:ind w:firstLine="480" w:firstLineChars="200"/>
        <w:rPr>
          <w:rFonts w:hint="eastAsia" w:ascii="宋体" w:hAnsi="宋体"/>
          <w:sz w:val="24"/>
        </w:rPr>
      </w:pPr>
      <w:r>
        <w:rPr>
          <w:rFonts w:hint="eastAsia" w:ascii="宋体" w:hAnsi="宋体"/>
          <w:sz w:val="24"/>
        </w:rPr>
        <w:t>（5）备品备件库：乙方应设立本项目设备备品备件库，并建好备品备件库台账。备品备件的数量不得少于采购需求数量的3%，且备品备件使用后应立即补充足量，不得以返修为由导致备品备件存量不足。甲方的考核小组有权随时抽检备品备件库，备品备件不足的每次扣费5</w:t>
      </w:r>
      <w:r>
        <w:rPr>
          <w:rFonts w:ascii="宋体" w:hAnsi="宋体"/>
          <w:sz w:val="24"/>
        </w:rPr>
        <w:t>000</w:t>
      </w:r>
      <w:r>
        <w:rPr>
          <w:rFonts w:hint="eastAsia" w:ascii="宋体" w:hAnsi="宋体"/>
          <w:sz w:val="24"/>
        </w:rPr>
        <w:t>元。</w:t>
      </w:r>
    </w:p>
    <w:p>
      <w:pPr>
        <w:adjustRightInd w:val="0"/>
        <w:snapToGrid w:val="0"/>
        <w:spacing w:line="360" w:lineRule="auto"/>
        <w:ind w:firstLine="480" w:firstLineChars="200"/>
        <w:rPr>
          <w:rFonts w:hint="eastAsia" w:ascii="宋体" w:hAnsi="宋体"/>
          <w:sz w:val="24"/>
        </w:rPr>
      </w:pPr>
      <w:r>
        <w:rPr>
          <w:rFonts w:hint="eastAsia" w:ascii="宋体" w:hAnsi="宋体"/>
          <w:sz w:val="24"/>
        </w:rPr>
        <w:t>（6）运维工具：乙方应配置开展运维工作相关的所有运维工具，且作为“本项目专用，包括登高车、车辆、线路检测工具、视频图像检测工具等。</w:t>
      </w:r>
    </w:p>
    <w:p>
      <w:pPr>
        <w:adjustRightInd w:val="0"/>
        <w:snapToGrid w:val="0"/>
        <w:spacing w:line="360" w:lineRule="auto"/>
        <w:ind w:firstLine="480" w:firstLineChars="200"/>
        <w:rPr>
          <w:rFonts w:hint="eastAsia" w:ascii="宋体" w:hAnsi="宋体"/>
          <w:sz w:val="24"/>
        </w:rPr>
      </w:pPr>
      <w:r>
        <w:rPr>
          <w:rFonts w:hint="eastAsia" w:ascii="宋体" w:hAnsi="宋体"/>
          <w:sz w:val="24"/>
        </w:rPr>
        <w:t>（7）考核周期：进行月考核，由乙方制作考核月报，经甲方根据故障记录核对后，各方会签考核意见。</w:t>
      </w: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spacing w:after="240" w:line="360" w:lineRule="auto"/>
        <w:jc w:val="center"/>
        <w:rPr>
          <w:rFonts w:hint="eastAsia" w:ascii="宋体" w:hAnsi="宋体"/>
          <w:b/>
          <w:sz w:val="24"/>
        </w:rPr>
      </w:pPr>
      <w:r>
        <w:rPr>
          <w:rFonts w:hint="eastAsia" w:ascii="宋体" w:hAnsi="宋体"/>
          <w:b/>
          <w:sz w:val="24"/>
        </w:rPr>
        <w:t>系统运维服务内容</w:t>
      </w:r>
    </w:p>
    <w:tbl>
      <w:tblPr>
        <w:tblStyle w:val="56"/>
        <w:tblW w:w="912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636"/>
        <w:gridCol w:w="1107"/>
        <w:gridCol w:w="5539"/>
        <w:gridCol w:w="850"/>
        <w:gridCol w:w="992"/>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605" w:hRule="atLeast"/>
          <w:jc w:val="center"/>
        </w:trPr>
        <w:tc>
          <w:tcPr>
            <w:tcW w:w="9124" w:type="dxa"/>
            <w:gridSpan w:val="5"/>
            <w:noWrap w:val="0"/>
            <w:vAlign w:val="center"/>
          </w:tcPr>
          <w:p>
            <w:pPr>
              <w:widowControl/>
              <w:spacing w:line="360" w:lineRule="auto"/>
              <w:ind w:firstLine="420"/>
              <w:jc w:val="center"/>
              <w:rPr>
                <w:rFonts w:ascii="宋体" w:hAnsi="宋体" w:cs="宋体"/>
                <w:b/>
                <w:bCs/>
                <w:sz w:val="24"/>
              </w:rPr>
            </w:pPr>
            <w:r>
              <w:rPr>
                <w:rFonts w:hint="eastAsia" w:ascii="宋体" w:hAnsi="宋体" w:cs="宋体"/>
                <w:b/>
                <w:bCs/>
                <w:sz w:val="24"/>
              </w:rPr>
              <w:t>视频监控系统运维服务内容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267" w:hRule="atLeast"/>
          <w:jc w:val="center"/>
        </w:trPr>
        <w:tc>
          <w:tcPr>
            <w:tcW w:w="636" w:type="dxa"/>
            <w:noWrap/>
            <w:vAlign w:val="center"/>
          </w:tcPr>
          <w:p>
            <w:pPr>
              <w:spacing w:line="360" w:lineRule="auto"/>
              <w:rPr>
                <w:rFonts w:ascii="宋体" w:hAnsi="宋体"/>
                <w:sz w:val="24"/>
              </w:rPr>
            </w:pPr>
            <w:r>
              <w:rPr>
                <w:rFonts w:hint="eastAsia" w:ascii="宋体" w:hAnsi="宋体"/>
                <w:sz w:val="24"/>
              </w:rPr>
              <w:t>序号</w:t>
            </w:r>
          </w:p>
        </w:tc>
        <w:tc>
          <w:tcPr>
            <w:tcW w:w="1107" w:type="dxa"/>
            <w:noWrap/>
            <w:vAlign w:val="center"/>
          </w:tcPr>
          <w:p>
            <w:pPr>
              <w:spacing w:line="360" w:lineRule="auto"/>
              <w:rPr>
                <w:rFonts w:ascii="宋体" w:hAnsi="宋体"/>
                <w:sz w:val="24"/>
              </w:rPr>
            </w:pPr>
            <w:r>
              <w:rPr>
                <w:rFonts w:hint="eastAsia" w:ascii="宋体" w:hAnsi="宋体"/>
                <w:sz w:val="24"/>
              </w:rPr>
              <w:t>维护作业项目</w:t>
            </w:r>
          </w:p>
        </w:tc>
        <w:tc>
          <w:tcPr>
            <w:tcW w:w="5539" w:type="dxa"/>
            <w:noWrap/>
            <w:vAlign w:val="center"/>
          </w:tcPr>
          <w:p>
            <w:pPr>
              <w:spacing w:line="360" w:lineRule="auto"/>
              <w:rPr>
                <w:rFonts w:ascii="宋体" w:hAnsi="宋体"/>
                <w:sz w:val="24"/>
              </w:rPr>
            </w:pPr>
            <w:r>
              <w:rPr>
                <w:rFonts w:hint="eastAsia" w:ascii="宋体" w:hAnsi="宋体"/>
                <w:sz w:val="24"/>
              </w:rPr>
              <w:t>巡检内容</w:t>
            </w:r>
          </w:p>
        </w:tc>
        <w:tc>
          <w:tcPr>
            <w:tcW w:w="850" w:type="dxa"/>
            <w:noWrap/>
            <w:vAlign w:val="center"/>
          </w:tcPr>
          <w:p>
            <w:pPr>
              <w:spacing w:line="360" w:lineRule="auto"/>
              <w:rPr>
                <w:rFonts w:ascii="宋体" w:hAnsi="宋体"/>
                <w:sz w:val="24"/>
              </w:rPr>
            </w:pPr>
            <w:r>
              <w:rPr>
                <w:rFonts w:hint="eastAsia" w:ascii="宋体" w:hAnsi="宋体"/>
                <w:sz w:val="24"/>
              </w:rPr>
              <w:t>巡检方式</w:t>
            </w:r>
          </w:p>
        </w:tc>
        <w:tc>
          <w:tcPr>
            <w:tcW w:w="992" w:type="dxa"/>
            <w:noWrap/>
            <w:vAlign w:val="center"/>
          </w:tcPr>
          <w:p>
            <w:pPr>
              <w:spacing w:line="360" w:lineRule="auto"/>
              <w:rPr>
                <w:rFonts w:ascii="宋体" w:hAnsi="宋体"/>
                <w:sz w:val="24"/>
              </w:rPr>
            </w:pPr>
            <w:r>
              <w:rPr>
                <w:rFonts w:hint="eastAsia" w:ascii="宋体" w:hAnsi="宋体"/>
                <w:sz w:val="24"/>
              </w:rPr>
              <w:t>巡检周期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3035" w:hRule="atLeast"/>
          <w:jc w:val="center"/>
        </w:trPr>
        <w:tc>
          <w:tcPr>
            <w:tcW w:w="636" w:type="dxa"/>
            <w:noWrap/>
            <w:vAlign w:val="center"/>
          </w:tcPr>
          <w:p>
            <w:pPr>
              <w:spacing w:line="360" w:lineRule="auto"/>
              <w:jc w:val="center"/>
              <w:rPr>
                <w:rFonts w:ascii="宋体" w:hAnsi="宋体"/>
                <w:sz w:val="24"/>
              </w:rPr>
            </w:pPr>
            <w:r>
              <w:rPr>
                <w:rFonts w:hint="eastAsia" w:ascii="宋体" w:hAnsi="宋体"/>
                <w:sz w:val="24"/>
              </w:rPr>
              <w:t>1</w:t>
            </w:r>
          </w:p>
        </w:tc>
        <w:tc>
          <w:tcPr>
            <w:tcW w:w="1107" w:type="dxa"/>
            <w:noWrap/>
            <w:vAlign w:val="center"/>
          </w:tcPr>
          <w:p>
            <w:pPr>
              <w:spacing w:line="360" w:lineRule="auto"/>
              <w:jc w:val="center"/>
              <w:rPr>
                <w:rFonts w:ascii="宋体" w:hAnsi="宋体"/>
                <w:sz w:val="24"/>
              </w:rPr>
            </w:pPr>
            <w:r>
              <w:rPr>
                <w:rFonts w:hint="eastAsia" w:ascii="宋体" w:hAnsi="宋体"/>
                <w:sz w:val="24"/>
              </w:rPr>
              <w:t>平台巡检</w:t>
            </w:r>
          </w:p>
          <w:p>
            <w:pPr>
              <w:spacing w:line="360" w:lineRule="auto"/>
              <w:jc w:val="center"/>
              <w:rPr>
                <w:rFonts w:ascii="宋体" w:hAnsi="宋体"/>
                <w:sz w:val="24"/>
              </w:rPr>
            </w:pPr>
            <w:r>
              <w:rPr>
                <w:rFonts w:hint="eastAsia" w:ascii="宋体" w:hAnsi="宋体"/>
                <w:sz w:val="24"/>
              </w:rPr>
              <w:t>（视频类点位）</w:t>
            </w:r>
          </w:p>
        </w:tc>
        <w:tc>
          <w:tcPr>
            <w:tcW w:w="5539" w:type="dxa"/>
            <w:noWrap w:val="0"/>
            <w:vAlign w:val="center"/>
          </w:tcPr>
          <w:p>
            <w:pPr>
              <w:spacing w:line="360" w:lineRule="auto"/>
              <w:rPr>
                <w:rFonts w:ascii="宋体" w:hAnsi="宋体"/>
                <w:sz w:val="24"/>
              </w:rPr>
            </w:pPr>
            <w:r>
              <w:rPr>
                <w:rFonts w:hint="eastAsia" w:ascii="宋体" w:hAnsi="宋体"/>
                <w:sz w:val="24"/>
              </w:rPr>
              <w:t>1、检查各项系统视频监控上线率情况；</w:t>
            </w:r>
          </w:p>
          <w:p>
            <w:pPr>
              <w:spacing w:line="360" w:lineRule="auto"/>
              <w:rPr>
                <w:rFonts w:ascii="宋体" w:hAnsi="宋体"/>
                <w:sz w:val="24"/>
              </w:rPr>
            </w:pPr>
            <w:r>
              <w:rPr>
                <w:rFonts w:hint="eastAsia" w:ascii="宋体" w:hAnsi="宋体"/>
                <w:sz w:val="24"/>
              </w:rPr>
              <w:t>2、对图像进行轮巡查看，发现图像是否丢失、失真、模糊、停顿、跳帧、抖动、场景是否正确等问题；</w:t>
            </w:r>
          </w:p>
          <w:p>
            <w:pPr>
              <w:spacing w:line="360" w:lineRule="auto"/>
              <w:rPr>
                <w:rFonts w:ascii="宋体" w:hAnsi="宋体"/>
                <w:sz w:val="24"/>
              </w:rPr>
            </w:pPr>
            <w:r>
              <w:rPr>
                <w:rFonts w:hint="eastAsia" w:ascii="宋体" w:hAnsi="宋体"/>
                <w:sz w:val="24"/>
              </w:rPr>
              <w:t>3、检查云台、摄像机转动及摄像机变倍是否正常；</w:t>
            </w:r>
          </w:p>
          <w:p>
            <w:pPr>
              <w:spacing w:line="360" w:lineRule="auto"/>
              <w:rPr>
                <w:rFonts w:ascii="宋体" w:hAnsi="宋体"/>
                <w:sz w:val="24"/>
              </w:rPr>
            </w:pPr>
            <w:r>
              <w:rPr>
                <w:rFonts w:hint="eastAsia" w:ascii="宋体" w:hAnsi="宋体"/>
                <w:sz w:val="24"/>
              </w:rPr>
              <w:t>4、检查编码器运行况状、存储空间；</w:t>
            </w:r>
          </w:p>
          <w:p>
            <w:pPr>
              <w:spacing w:line="360" w:lineRule="auto"/>
              <w:rPr>
                <w:rFonts w:ascii="宋体" w:hAnsi="宋体"/>
                <w:sz w:val="24"/>
              </w:rPr>
            </w:pPr>
            <w:r>
              <w:rPr>
                <w:rFonts w:hint="eastAsia" w:ascii="宋体" w:hAnsi="宋体"/>
                <w:sz w:val="24"/>
              </w:rPr>
              <w:t>5、检查编码器配置数据；</w:t>
            </w:r>
          </w:p>
          <w:p>
            <w:pPr>
              <w:spacing w:line="360" w:lineRule="auto"/>
              <w:rPr>
                <w:rFonts w:ascii="宋体" w:hAnsi="宋体"/>
                <w:sz w:val="24"/>
              </w:rPr>
            </w:pPr>
            <w:r>
              <w:rPr>
                <w:rFonts w:hint="eastAsia" w:ascii="宋体" w:hAnsi="宋体"/>
                <w:sz w:val="24"/>
              </w:rPr>
              <w:t>6、检查前端点位的显示时间是否与平台时间一致；</w:t>
            </w:r>
          </w:p>
          <w:p>
            <w:pPr>
              <w:spacing w:line="360" w:lineRule="auto"/>
              <w:rPr>
                <w:rFonts w:ascii="宋体" w:hAnsi="宋体"/>
                <w:sz w:val="24"/>
              </w:rPr>
            </w:pPr>
            <w:r>
              <w:rPr>
                <w:rFonts w:hint="eastAsia" w:ascii="宋体" w:hAnsi="宋体"/>
                <w:sz w:val="24"/>
              </w:rPr>
              <w:t>7、检查夜间录像质量，包括是否录像丢失、图像质量等；</w:t>
            </w:r>
          </w:p>
          <w:p>
            <w:pPr>
              <w:spacing w:line="360" w:lineRule="auto"/>
              <w:rPr>
                <w:rFonts w:ascii="宋体" w:hAnsi="宋体"/>
                <w:sz w:val="24"/>
              </w:rPr>
            </w:pPr>
            <w:r>
              <w:rPr>
                <w:rFonts w:hint="eastAsia" w:ascii="宋体" w:hAnsi="宋体"/>
                <w:sz w:val="24"/>
              </w:rPr>
              <w:t>8、检查录像存储是否超过30天；</w:t>
            </w:r>
          </w:p>
          <w:p>
            <w:pPr>
              <w:spacing w:line="360" w:lineRule="auto"/>
              <w:rPr>
                <w:rFonts w:ascii="宋体" w:hAnsi="宋体"/>
                <w:sz w:val="24"/>
              </w:rPr>
            </w:pPr>
            <w:r>
              <w:rPr>
                <w:rFonts w:hint="eastAsia" w:ascii="宋体" w:hAnsi="宋体"/>
                <w:sz w:val="24"/>
              </w:rPr>
              <w:t>9、填写巡检记录表、视频监控上线率统计表、编写客户端巡检报告。</w:t>
            </w:r>
          </w:p>
        </w:tc>
        <w:tc>
          <w:tcPr>
            <w:tcW w:w="850" w:type="dxa"/>
            <w:noWrap/>
            <w:vAlign w:val="center"/>
          </w:tcPr>
          <w:p>
            <w:pPr>
              <w:spacing w:line="360" w:lineRule="auto"/>
              <w:rPr>
                <w:rFonts w:ascii="宋体" w:hAnsi="宋体"/>
                <w:sz w:val="24"/>
              </w:rPr>
            </w:pPr>
            <w:r>
              <w:rPr>
                <w:rFonts w:hint="eastAsia" w:ascii="宋体" w:hAnsi="宋体"/>
                <w:sz w:val="24"/>
              </w:rPr>
              <w:t>远程</w:t>
            </w:r>
          </w:p>
        </w:tc>
        <w:tc>
          <w:tcPr>
            <w:tcW w:w="992" w:type="dxa"/>
            <w:noWrap/>
            <w:vAlign w:val="center"/>
          </w:tcPr>
          <w:p>
            <w:pPr>
              <w:spacing w:line="360" w:lineRule="auto"/>
              <w:rPr>
                <w:rFonts w:ascii="宋体" w:hAnsi="宋体"/>
                <w:sz w:val="24"/>
              </w:rPr>
            </w:pPr>
            <w:r>
              <w:rPr>
                <w:rFonts w:hint="eastAsia" w:ascii="宋体" w:hAnsi="宋体"/>
                <w:sz w:val="24"/>
              </w:rPr>
              <w:t>每日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1948" w:hRule="atLeast"/>
          <w:jc w:val="center"/>
        </w:trPr>
        <w:tc>
          <w:tcPr>
            <w:tcW w:w="636" w:type="dxa"/>
            <w:noWrap/>
            <w:vAlign w:val="center"/>
          </w:tcPr>
          <w:p>
            <w:pPr>
              <w:spacing w:line="360" w:lineRule="auto"/>
              <w:jc w:val="center"/>
              <w:rPr>
                <w:rFonts w:ascii="宋体" w:hAnsi="宋体"/>
                <w:sz w:val="24"/>
              </w:rPr>
            </w:pPr>
            <w:r>
              <w:rPr>
                <w:rFonts w:hint="eastAsia" w:ascii="宋体" w:hAnsi="宋体"/>
                <w:sz w:val="24"/>
              </w:rPr>
              <w:t>2</w:t>
            </w:r>
          </w:p>
        </w:tc>
        <w:tc>
          <w:tcPr>
            <w:tcW w:w="1107" w:type="dxa"/>
            <w:noWrap/>
            <w:vAlign w:val="center"/>
          </w:tcPr>
          <w:p>
            <w:pPr>
              <w:spacing w:line="360" w:lineRule="auto"/>
              <w:jc w:val="center"/>
              <w:rPr>
                <w:rFonts w:ascii="宋体" w:hAnsi="宋体"/>
                <w:sz w:val="24"/>
              </w:rPr>
            </w:pPr>
            <w:r>
              <w:rPr>
                <w:rFonts w:hint="eastAsia" w:ascii="宋体" w:hAnsi="宋体"/>
                <w:sz w:val="24"/>
              </w:rPr>
              <w:t>平台巡检</w:t>
            </w:r>
          </w:p>
          <w:p>
            <w:pPr>
              <w:spacing w:line="360" w:lineRule="auto"/>
              <w:jc w:val="center"/>
              <w:rPr>
                <w:rFonts w:ascii="宋体" w:hAnsi="宋体"/>
                <w:sz w:val="24"/>
              </w:rPr>
            </w:pPr>
            <w:r>
              <w:rPr>
                <w:rFonts w:hint="eastAsia" w:ascii="宋体" w:hAnsi="宋体"/>
                <w:sz w:val="24"/>
              </w:rPr>
              <w:t>（抓拍类点位）</w:t>
            </w:r>
          </w:p>
        </w:tc>
        <w:tc>
          <w:tcPr>
            <w:tcW w:w="5539" w:type="dxa"/>
            <w:noWrap w:val="0"/>
            <w:vAlign w:val="center"/>
          </w:tcPr>
          <w:p>
            <w:pPr>
              <w:spacing w:line="360" w:lineRule="auto"/>
              <w:rPr>
                <w:rFonts w:ascii="宋体" w:hAnsi="宋体"/>
                <w:sz w:val="24"/>
              </w:rPr>
            </w:pPr>
            <w:r>
              <w:rPr>
                <w:rFonts w:hint="eastAsia" w:ascii="宋体" w:hAnsi="宋体"/>
                <w:sz w:val="24"/>
              </w:rPr>
              <w:t>1、检查各抓拍机抓拍功能，抓拍率和识别率是否正常；</w:t>
            </w:r>
          </w:p>
          <w:p>
            <w:pPr>
              <w:spacing w:line="360" w:lineRule="auto"/>
              <w:rPr>
                <w:rFonts w:ascii="宋体" w:hAnsi="宋体"/>
                <w:sz w:val="24"/>
              </w:rPr>
            </w:pPr>
            <w:r>
              <w:rPr>
                <w:rFonts w:hint="eastAsia" w:ascii="宋体" w:hAnsi="宋体"/>
                <w:sz w:val="24"/>
              </w:rPr>
              <w:t>2、检查抓拍图片质量是否正常（包括白天和夜间），包含抓拍场景、线圈设置、补光设备等；</w:t>
            </w:r>
          </w:p>
          <w:p>
            <w:pPr>
              <w:spacing w:line="360" w:lineRule="auto"/>
              <w:rPr>
                <w:rFonts w:ascii="宋体" w:hAnsi="宋体"/>
                <w:sz w:val="24"/>
              </w:rPr>
            </w:pPr>
            <w:r>
              <w:rPr>
                <w:rFonts w:hint="eastAsia" w:ascii="宋体" w:hAnsi="宋体"/>
                <w:sz w:val="24"/>
              </w:rPr>
              <w:t>3、检查平台数据是否正常，包含本地平台、上传市局平台等；</w:t>
            </w:r>
          </w:p>
          <w:p>
            <w:pPr>
              <w:spacing w:line="360" w:lineRule="auto"/>
              <w:rPr>
                <w:rFonts w:ascii="宋体" w:hAnsi="宋体"/>
                <w:sz w:val="24"/>
              </w:rPr>
            </w:pPr>
            <w:r>
              <w:rPr>
                <w:rFonts w:hint="eastAsia" w:ascii="宋体" w:hAnsi="宋体"/>
                <w:sz w:val="24"/>
              </w:rPr>
              <w:t>4、填写巡检记录表、编写客户端巡检报告。</w:t>
            </w:r>
          </w:p>
          <w:p>
            <w:pPr>
              <w:spacing w:line="360" w:lineRule="auto"/>
              <w:rPr>
                <w:rFonts w:ascii="宋体" w:hAnsi="宋体"/>
                <w:sz w:val="24"/>
              </w:rPr>
            </w:pPr>
            <w:r>
              <w:rPr>
                <w:rFonts w:hint="eastAsia" w:ascii="宋体" w:hAnsi="宋体"/>
                <w:sz w:val="24"/>
              </w:rPr>
              <w:t>5、卡口设备上线是否95%。</w:t>
            </w:r>
          </w:p>
        </w:tc>
        <w:tc>
          <w:tcPr>
            <w:tcW w:w="850" w:type="dxa"/>
            <w:noWrap/>
            <w:vAlign w:val="center"/>
          </w:tcPr>
          <w:p>
            <w:pPr>
              <w:spacing w:line="360" w:lineRule="auto"/>
              <w:rPr>
                <w:rFonts w:ascii="宋体" w:hAnsi="宋体"/>
                <w:sz w:val="24"/>
              </w:rPr>
            </w:pPr>
            <w:r>
              <w:rPr>
                <w:rFonts w:hint="eastAsia" w:ascii="宋体" w:hAnsi="宋体"/>
                <w:sz w:val="24"/>
              </w:rPr>
              <w:t>远程</w:t>
            </w:r>
          </w:p>
        </w:tc>
        <w:tc>
          <w:tcPr>
            <w:tcW w:w="992" w:type="dxa"/>
            <w:noWrap/>
            <w:vAlign w:val="center"/>
          </w:tcPr>
          <w:p>
            <w:pPr>
              <w:spacing w:line="360" w:lineRule="auto"/>
              <w:rPr>
                <w:rFonts w:ascii="宋体" w:hAnsi="宋体"/>
                <w:sz w:val="24"/>
              </w:rPr>
            </w:pPr>
            <w:r>
              <w:rPr>
                <w:rFonts w:hint="eastAsia" w:ascii="宋体" w:hAnsi="宋体"/>
                <w:sz w:val="24"/>
              </w:rPr>
              <w:t>每日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2786" w:hRule="atLeast"/>
          <w:jc w:val="center"/>
        </w:trPr>
        <w:tc>
          <w:tcPr>
            <w:tcW w:w="636" w:type="dxa"/>
            <w:noWrap/>
            <w:vAlign w:val="center"/>
          </w:tcPr>
          <w:p>
            <w:pPr>
              <w:spacing w:line="360" w:lineRule="auto"/>
              <w:jc w:val="center"/>
              <w:rPr>
                <w:rFonts w:ascii="宋体" w:hAnsi="宋体"/>
                <w:sz w:val="24"/>
              </w:rPr>
            </w:pPr>
            <w:r>
              <w:rPr>
                <w:rFonts w:hint="eastAsia" w:ascii="宋体" w:hAnsi="宋体"/>
                <w:sz w:val="24"/>
              </w:rPr>
              <w:t>3</w:t>
            </w:r>
          </w:p>
        </w:tc>
        <w:tc>
          <w:tcPr>
            <w:tcW w:w="1107" w:type="dxa"/>
            <w:noWrap/>
            <w:vAlign w:val="center"/>
          </w:tcPr>
          <w:p>
            <w:pPr>
              <w:spacing w:line="360" w:lineRule="auto"/>
              <w:rPr>
                <w:rFonts w:ascii="宋体" w:hAnsi="宋体"/>
                <w:sz w:val="24"/>
              </w:rPr>
            </w:pPr>
            <w:r>
              <w:rPr>
                <w:rFonts w:hint="eastAsia" w:ascii="宋体" w:hAnsi="宋体"/>
                <w:sz w:val="24"/>
              </w:rPr>
              <w:t>前端巡检</w:t>
            </w:r>
          </w:p>
        </w:tc>
        <w:tc>
          <w:tcPr>
            <w:tcW w:w="5539" w:type="dxa"/>
            <w:noWrap w:val="0"/>
            <w:vAlign w:val="center"/>
          </w:tcPr>
          <w:p>
            <w:pPr>
              <w:spacing w:line="360" w:lineRule="auto"/>
              <w:rPr>
                <w:rFonts w:ascii="宋体" w:hAnsi="宋体"/>
                <w:sz w:val="24"/>
              </w:rPr>
            </w:pPr>
            <w:r>
              <w:rPr>
                <w:rFonts w:hint="eastAsia" w:ascii="宋体" w:hAnsi="宋体"/>
                <w:sz w:val="24"/>
              </w:rPr>
              <w:t>1、检查电力接入点、接电箱以及抱杆/落地箱内电源空开、插座/板是否正常及漏电；</w:t>
            </w:r>
          </w:p>
          <w:p>
            <w:pPr>
              <w:spacing w:line="360" w:lineRule="auto"/>
              <w:rPr>
                <w:rFonts w:ascii="宋体" w:hAnsi="宋体"/>
                <w:sz w:val="24"/>
              </w:rPr>
            </w:pPr>
            <w:r>
              <w:rPr>
                <w:rFonts w:hint="eastAsia" w:ascii="宋体" w:hAnsi="宋体"/>
                <w:sz w:val="24"/>
              </w:rPr>
              <w:t>2、测试光缆损耗情况；</w:t>
            </w:r>
          </w:p>
          <w:p>
            <w:pPr>
              <w:spacing w:line="360" w:lineRule="auto"/>
              <w:rPr>
                <w:rFonts w:ascii="宋体" w:hAnsi="宋体"/>
                <w:sz w:val="24"/>
              </w:rPr>
            </w:pPr>
            <w:r>
              <w:rPr>
                <w:rFonts w:hint="eastAsia" w:ascii="宋体" w:hAnsi="宋体"/>
                <w:sz w:val="24"/>
              </w:rPr>
              <w:t>3、对杆件、挑臂及相关零部件进行巡检保养，调整垂直度，挑臂水平度、对杆体防锈漆面进行修复及清洁；</w:t>
            </w:r>
          </w:p>
          <w:p>
            <w:pPr>
              <w:spacing w:line="360" w:lineRule="auto"/>
              <w:rPr>
                <w:rFonts w:ascii="宋体" w:hAnsi="宋体"/>
                <w:sz w:val="24"/>
              </w:rPr>
            </w:pPr>
            <w:r>
              <w:rPr>
                <w:rFonts w:hint="eastAsia" w:ascii="宋体" w:hAnsi="宋体"/>
                <w:sz w:val="24"/>
              </w:rPr>
              <w:t>4、对前端落地机箱、抱杆机箱进行巡检保养，进行锁具维护、对箱体防锈漆面进行维护、箱内卫生清洁、箱内故障风扇更换；</w:t>
            </w:r>
          </w:p>
          <w:p>
            <w:pPr>
              <w:spacing w:line="360" w:lineRule="auto"/>
              <w:rPr>
                <w:rFonts w:ascii="宋体" w:hAnsi="宋体"/>
                <w:sz w:val="24"/>
              </w:rPr>
            </w:pPr>
            <w:r>
              <w:rPr>
                <w:rFonts w:hint="eastAsia" w:ascii="宋体" w:hAnsi="宋体"/>
                <w:sz w:val="24"/>
              </w:rPr>
              <w:t>5、检查并清洗前端摄像机、云台及补光灯等设备，对存在树枝遮挡的点位进行砍青处理；</w:t>
            </w:r>
          </w:p>
          <w:p>
            <w:pPr>
              <w:spacing w:line="360" w:lineRule="auto"/>
              <w:rPr>
                <w:rFonts w:ascii="宋体" w:hAnsi="宋体"/>
                <w:sz w:val="24"/>
              </w:rPr>
            </w:pPr>
            <w:r>
              <w:rPr>
                <w:rFonts w:hint="eastAsia" w:ascii="宋体" w:hAnsi="宋体"/>
                <w:sz w:val="24"/>
              </w:rPr>
              <w:t>6、检查杆上线缆及设备是否存在安全隐患，对线缆悬挂，设备掉落等其他安全隐患进行处理；</w:t>
            </w:r>
          </w:p>
          <w:p>
            <w:pPr>
              <w:spacing w:line="360" w:lineRule="auto"/>
              <w:rPr>
                <w:rFonts w:ascii="宋体" w:hAnsi="宋体"/>
                <w:sz w:val="24"/>
              </w:rPr>
            </w:pPr>
            <w:r>
              <w:rPr>
                <w:rFonts w:hint="eastAsia" w:ascii="宋体" w:hAnsi="宋体"/>
                <w:sz w:val="24"/>
              </w:rPr>
              <w:t>7、对前端光纤、网线、电源线等接头、标签完整性等进行检查；</w:t>
            </w:r>
          </w:p>
          <w:p>
            <w:pPr>
              <w:spacing w:line="360" w:lineRule="auto"/>
              <w:rPr>
                <w:rFonts w:ascii="宋体" w:hAnsi="宋体"/>
                <w:sz w:val="24"/>
              </w:rPr>
            </w:pPr>
            <w:r>
              <w:rPr>
                <w:rFonts w:hint="eastAsia" w:ascii="宋体" w:hAnsi="宋体"/>
                <w:sz w:val="24"/>
              </w:rPr>
              <w:t>8、检查光猫、防雷器、光纤收发器、视频检测器、交换机等设备指示灯是否正常；</w:t>
            </w:r>
          </w:p>
          <w:p>
            <w:pPr>
              <w:spacing w:line="360" w:lineRule="auto"/>
              <w:rPr>
                <w:rFonts w:ascii="宋体" w:hAnsi="宋体"/>
                <w:sz w:val="24"/>
              </w:rPr>
            </w:pPr>
            <w:r>
              <w:rPr>
                <w:rFonts w:hint="eastAsia" w:ascii="宋体" w:hAnsi="宋体"/>
                <w:sz w:val="24"/>
              </w:rPr>
              <w:t>9、检查信号系统地感线圈的灵敏度、设备运行状态是否正常。</w:t>
            </w:r>
          </w:p>
        </w:tc>
        <w:tc>
          <w:tcPr>
            <w:tcW w:w="850" w:type="dxa"/>
            <w:noWrap/>
            <w:vAlign w:val="center"/>
          </w:tcPr>
          <w:p>
            <w:pPr>
              <w:spacing w:line="360" w:lineRule="auto"/>
              <w:rPr>
                <w:rFonts w:ascii="宋体" w:hAnsi="宋体"/>
                <w:sz w:val="24"/>
              </w:rPr>
            </w:pPr>
            <w:r>
              <w:rPr>
                <w:rFonts w:hint="eastAsia" w:ascii="宋体" w:hAnsi="宋体"/>
                <w:sz w:val="24"/>
              </w:rPr>
              <w:t>现场</w:t>
            </w:r>
          </w:p>
        </w:tc>
        <w:tc>
          <w:tcPr>
            <w:tcW w:w="992" w:type="dxa"/>
            <w:noWrap/>
            <w:vAlign w:val="center"/>
          </w:tcPr>
          <w:p>
            <w:pPr>
              <w:spacing w:line="360" w:lineRule="auto"/>
              <w:rPr>
                <w:rFonts w:ascii="宋体" w:hAnsi="宋体"/>
                <w:sz w:val="24"/>
              </w:rPr>
            </w:pPr>
            <w:r>
              <w:rPr>
                <w:rFonts w:hint="eastAsia" w:ascii="宋体" w:hAnsi="宋体"/>
                <w:sz w:val="24"/>
              </w:rPr>
              <w:t>每季度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983" w:hRule="atLeast"/>
          <w:jc w:val="center"/>
        </w:trPr>
        <w:tc>
          <w:tcPr>
            <w:tcW w:w="636" w:type="dxa"/>
            <w:noWrap/>
            <w:vAlign w:val="center"/>
          </w:tcPr>
          <w:p>
            <w:pPr>
              <w:spacing w:line="360" w:lineRule="auto"/>
              <w:jc w:val="center"/>
              <w:rPr>
                <w:rFonts w:ascii="宋体" w:hAnsi="宋体"/>
                <w:sz w:val="24"/>
              </w:rPr>
            </w:pPr>
            <w:r>
              <w:rPr>
                <w:rFonts w:hint="eastAsia" w:ascii="宋体" w:hAnsi="宋体"/>
                <w:sz w:val="24"/>
              </w:rPr>
              <w:t>4</w:t>
            </w:r>
          </w:p>
        </w:tc>
        <w:tc>
          <w:tcPr>
            <w:tcW w:w="1107" w:type="dxa"/>
            <w:noWrap/>
            <w:vAlign w:val="center"/>
          </w:tcPr>
          <w:p>
            <w:pPr>
              <w:spacing w:line="360" w:lineRule="auto"/>
              <w:rPr>
                <w:rFonts w:ascii="宋体" w:hAnsi="宋体"/>
                <w:sz w:val="24"/>
              </w:rPr>
            </w:pPr>
            <w:r>
              <w:rPr>
                <w:rFonts w:hint="eastAsia" w:ascii="宋体" w:hAnsi="宋体"/>
                <w:sz w:val="24"/>
              </w:rPr>
              <w:t>视频大数据中心维护</w:t>
            </w:r>
          </w:p>
        </w:tc>
        <w:tc>
          <w:tcPr>
            <w:tcW w:w="5539" w:type="dxa"/>
            <w:noWrap w:val="0"/>
            <w:vAlign w:val="center"/>
          </w:tcPr>
          <w:p>
            <w:pPr>
              <w:spacing w:line="360" w:lineRule="auto"/>
              <w:rPr>
                <w:rFonts w:hint="eastAsia" w:ascii="宋体" w:hAnsi="宋体"/>
                <w:sz w:val="24"/>
              </w:rPr>
            </w:pPr>
            <w:r>
              <w:rPr>
                <w:rFonts w:hint="eastAsia" w:ascii="宋体" w:hAnsi="宋体"/>
                <w:sz w:val="24"/>
              </w:rPr>
              <w:t>1、LED大屏及配套设备、备品备件运行情况</w:t>
            </w:r>
          </w:p>
          <w:p>
            <w:pPr>
              <w:spacing w:line="360" w:lineRule="auto"/>
              <w:rPr>
                <w:rFonts w:hint="eastAsia" w:ascii="宋体" w:hAnsi="宋体"/>
                <w:sz w:val="24"/>
              </w:rPr>
            </w:pPr>
            <w:r>
              <w:rPr>
                <w:rFonts w:hint="eastAsia" w:ascii="宋体" w:hAnsi="宋体"/>
                <w:sz w:val="24"/>
              </w:rPr>
              <w:t>2、数字化会议、集中控制系统、视频会议等设备运行情况</w:t>
            </w:r>
          </w:p>
          <w:p>
            <w:pPr>
              <w:spacing w:line="360" w:lineRule="auto"/>
              <w:rPr>
                <w:rFonts w:hint="eastAsia" w:ascii="宋体" w:hAnsi="宋体"/>
                <w:sz w:val="24"/>
              </w:rPr>
            </w:pPr>
            <w:r>
              <w:rPr>
                <w:rFonts w:hint="eastAsia" w:ascii="宋体" w:hAnsi="宋体"/>
                <w:sz w:val="24"/>
              </w:rPr>
              <w:t>3、装修等配套设施完好情况</w:t>
            </w:r>
          </w:p>
          <w:p>
            <w:pPr>
              <w:spacing w:line="360" w:lineRule="auto"/>
              <w:rPr>
                <w:rFonts w:hint="eastAsia" w:ascii="宋体" w:hAnsi="宋体"/>
                <w:sz w:val="24"/>
              </w:rPr>
            </w:pPr>
            <w:r>
              <w:rPr>
                <w:rFonts w:hint="eastAsia" w:ascii="宋体" w:hAnsi="宋体"/>
                <w:sz w:val="24"/>
              </w:rPr>
              <w:t>4、网络设备、综合布线系统运行情况</w:t>
            </w:r>
          </w:p>
          <w:p>
            <w:pPr>
              <w:spacing w:line="360" w:lineRule="auto"/>
              <w:rPr>
                <w:rFonts w:ascii="宋体" w:hAnsi="宋体"/>
                <w:sz w:val="24"/>
              </w:rPr>
            </w:pPr>
            <w:r>
              <w:rPr>
                <w:rFonts w:hint="eastAsia" w:ascii="宋体" w:hAnsi="宋体"/>
                <w:sz w:val="24"/>
              </w:rPr>
              <w:t>5、配套软件升级维护</w:t>
            </w:r>
          </w:p>
        </w:tc>
        <w:tc>
          <w:tcPr>
            <w:tcW w:w="850" w:type="dxa"/>
            <w:noWrap/>
            <w:vAlign w:val="center"/>
          </w:tcPr>
          <w:p>
            <w:pPr>
              <w:spacing w:line="360" w:lineRule="auto"/>
              <w:rPr>
                <w:rFonts w:ascii="宋体" w:hAnsi="宋体"/>
                <w:sz w:val="24"/>
              </w:rPr>
            </w:pPr>
            <w:r>
              <w:rPr>
                <w:rFonts w:hint="eastAsia" w:ascii="宋体" w:hAnsi="宋体"/>
                <w:sz w:val="24"/>
              </w:rPr>
              <w:t>现场</w:t>
            </w:r>
          </w:p>
        </w:tc>
        <w:tc>
          <w:tcPr>
            <w:tcW w:w="992" w:type="dxa"/>
            <w:noWrap/>
            <w:vAlign w:val="center"/>
          </w:tcPr>
          <w:p>
            <w:pPr>
              <w:spacing w:line="360" w:lineRule="auto"/>
              <w:rPr>
                <w:rFonts w:ascii="宋体" w:hAnsi="宋体"/>
                <w:sz w:val="24"/>
              </w:rPr>
            </w:pPr>
            <w:r>
              <w:rPr>
                <w:rFonts w:hint="eastAsia" w:ascii="宋体" w:hAnsi="宋体"/>
                <w:sz w:val="24"/>
              </w:rPr>
              <w:t>每天</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983" w:hRule="atLeast"/>
          <w:jc w:val="center"/>
        </w:trPr>
        <w:tc>
          <w:tcPr>
            <w:tcW w:w="636" w:type="dxa"/>
            <w:noWrap/>
            <w:vAlign w:val="center"/>
          </w:tcPr>
          <w:p>
            <w:pPr>
              <w:spacing w:line="360" w:lineRule="auto"/>
              <w:jc w:val="center"/>
              <w:rPr>
                <w:rFonts w:ascii="宋体" w:hAnsi="宋体"/>
                <w:sz w:val="24"/>
              </w:rPr>
            </w:pPr>
            <w:r>
              <w:rPr>
                <w:rFonts w:ascii="宋体" w:hAnsi="宋体"/>
                <w:sz w:val="24"/>
              </w:rPr>
              <w:t>5</w:t>
            </w:r>
          </w:p>
        </w:tc>
        <w:tc>
          <w:tcPr>
            <w:tcW w:w="1107" w:type="dxa"/>
            <w:noWrap/>
            <w:vAlign w:val="center"/>
          </w:tcPr>
          <w:p>
            <w:pPr>
              <w:spacing w:line="360" w:lineRule="auto"/>
              <w:rPr>
                <w:rFonts w:ascii="宋体" w:hAnsi="宋体"/>
                <w:sz w:val="24"/>
              </w:rPr>
            </w:pPr>
            <w:r>
              <w:rPr>
                <w:rFonts w:hint="eastAsia" w:ascii="宋体" w:hAnsi="宋体"/>
                <w:sz w:val="24"/>
              </w:rPr>
              <w:t>基础资料</w:t>
            </w:r>
          </w:p>
        </w:tc>
        <w:tc>
          <w:tcPr>
            <w:tcW w:w="5539" w:type="dxa"/>
            <w:noWrap w:val="0"/>
            <w:vAlign w:val="center"/>
          </w:tcPr>
          <w:p>
            <w:pPr>
              <w:spacing w:line="360" w:lineRule="auto"/>
              <w:rPr>
                <w:rFonts w:ascii="宋体" w:hAnsi="宋体"/>
                <w:sz w:val="24"/>
              </w:rPr>
            </w:pPr>
            <w:r>
              <w:rPr>
                <w:rFonts w:hint="eastAsia" w:ascii="宋体" w:hAnsi="宋体"/>
                <w:sz w:val="24"/>
              </w:rPr>
              <w:t>1、单点资料库管理，对点位迁改、电力迁改、设备更换等点位及时更新单点资料库；将故障信息录入单点资料；</w:t>
            </w:r>
          </w:p>
          <w:p>
            <w:pPr>
              <w:spacing w:line="360" w:lineRule="auto"/>
              <w:rPr>
                <w:rFonts w:ascii="宋体" w:hAnsi="宋体"/>
                <w:sz w:val="24"/>
              </w:rPr>
            </w:pPr>
            <w:r>
              <w:rPr>
                <w:rFonts w:hint="eastAsia" w:ascii="宋体" w:hAnsi="宋体"/>
                <w:sz w:val="24"/>
              </w:rPr>
              <w:t>2、备品备件资料管理，做好备品备件出入库登记、设备送修等；</w:t>
            </w:r>
          </w:p>
          <w:p>
            <w:pPr>
              <w:spacing w:line="360" w:lineRule="auto"/>
              <w:rPr>
                <w:rFonts w:ascii="宋体" w:hAnsi="宋体"/>
                <w:sz w:val="24"/>
              </w:rPr>
            </w:pPr>
            <w:r>
              <w:rPr>
                <w:rFonts w:ascii="宋体" w:hAnsi="宋体"/>
                <w:sz w:val="24"/>
              </w:rPr>
              <w:t>3</w:t>
            </w:r>
            <w:r>
              <w:rPr>
                <w:rFonts w:hint="eastAsia" w:ascii="宋体" w:hAnsi="宋体"/>
                <w:sz w:val="24"/>
              </w:rPr>
              <w:t>、提交月报 （月报、不纳入维护考核点位清单、故障数据汇总确认表、前端迁整改清单费用、巡检计划表/巡检登记表，机房巡检情况记录表、工作联系单，监控维护考核表、监控每日登记表，监控结算清单，迁整改结算清单等）。</w:t>
            </w:r>
          </w:p>
        </w:tc>
        <w:tc>
          <w:tcPr>
            <w:tcW w:w="850" w:type="dxa"/>
            <w:noWrap/>
            <w:vAlign w:val="center"/>
          </w:tcPr>
          <w:p>
            <w:pPr>
              <w:spacing w:line="360" w:lineRule="auto"/>
              <w:rPr>
                <w:rFonts w:ascii="宋体" w:hAnsi="宋体"/>
                <w:sz w:val="24"/>
              </w:rPr>
            </w:pPr>
            <w:r>
              <w:rPr>
                <w:rFonts w:hint="eastAsia" w:ascii="宋体" w:hAnsi="宋体"/>
                <w:sz w:val="24"/>
              </w:rPr>
              <w:t>　</w:t>
            </w:r>
          </w:p>
        </w:tc>
        <w:tc>
          <w:tcPr>
            <w:tcW w:w="992" w:type="dxa"/>
            <w:noWrap/>
            <w:vAlign w:val="center"/>
          </w:tcPr>
          <w:p>
            <w:pPr>
              <w:spacing w:line="360" w:lineRule="auto"/>
              <w:rPr>
                <w:rFonts w:ascii="宋体" w:hAnsi="宋体"/>
                <w:sz w:val="24"/>
              </w:rPr>
            </w:pPr>
            <w:r>
              <w:rPr>
                <w:rFonts w:hint="eastAsia" w:ascii="宋体" w:hAnsi="宋体"/>
                <w:sz w:val="24"/>
              </w:rPr>
              <w:t>每月</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wBefore w:w="0" w:type="dxa"/>
          <w:wAfter w:w="0" w:type="dxa"/>
          <w:trHeight w:val="1200" w:hRule="atLeast"/>
          <w:jc w:val="center"/>
        </w:trPr>
        <w:tc>
          <w:tcPr>
            <w:tcW w:w="636" w:type="dxa"/>
            <w:noWrap/>
            <w:vAlign w:val="center"/>
          </w:tcPr>
          <w:p>
            <w:pPr>
              <w:spacing w:line="360" w:lineRule="auto"/>
              <w:jc w:val="center"/>
              <w:rPr>
                <w:rFonts w:ascii="宋体" w:hAnsi="宋体"/>
                <w:sz w:val="24"/>
              </w:rPr>
            </w:pPr>
            <w:r>
              <w:rPr>
                <w:rFonts w:ascii="宋体" w:hAnsi="宋体"/>
                <w:sz w:val="24"/>
              </w:rPr>
              <w:t>6</w:t>
            </w:r>
          </w:p>
        </w:tc>
        <w:tc>
          <w:tcPr>
            <w:tcW w:w="1107" w:type="dxa"/>
            <w:noWrap/>
            <w:vAlign w:val="center"/>
          </w:tcPr>
          <w:p>
            <w:pPr>
              <w:spacing w:line="360" w:lineRule="auto"/>
              <w:rPr>
                <w:rFonts w:ascii="宋体" w:hAnsi="宋体"/>
                <w:sz w:val="24"/>
              </w:rPr>
            </w:pPr>
            <w:r>
              <w:rPr>
                <w:rFonts w:hint="eastAsia" w:ascii="宋体" w:hAnsi="宋体"/>
                <w:sz w:val="24"/>
              </w:rPr>
              <w:t>网络巡检</w:t>
            </w:r>
          </w:p>
        </w:tc>
        <w:tc>
          <w:tcPr>
            <w:tcW w:w="5539" w:type="dxa"/>
            <w:noWrap w:val="0"/>
            <w:vAlign w:val="center"/>
          </w:tcPr>
          <w:p>
            <w:pPr>
              <w:spacing w:line="360" w:lineRule="auto"/>
              <w:rPr>
                <w:rFonts w:ascii="宋体" w:hAnsi="宋体"/>
                <w:sz w:val="24"/>
              </w:rPr>
            </w:pPr>
            <w:r>
              <w:rPr>
                <w:rFonts w:hint="eastAsia" w:ascii="宋体" w:hAnsi="宋体"/>
                <w:sz w:val="24"/>
              </w:rPr>
              <w:t>1、机房网络核心设备运行情况；</w:t>
            </w:r>
          </w:p>
          <w:p>
            <w:pPr>
              <w:spacing w:line="360" w:lineRule="auto"/>
              <w:rPr>
                <w:rFonts w:ascii="宋体" w:hAnsi="宋体"/>
                <w:sz w:val="24"/>
              </w:rPr>
            </w:pPr>
            <w:r>
              <w:rPr>
                <w:rFonts w:hint="eastAsia" w:ascii="宋体" w:hAnsi="宋体"/>
                <w:sz w:val="24"/>
              </w:rPr>
              <w:t>2、机房存储设备运行情况；</w:t>
            </w:r>
          </w:p>
          <w:p>
            <w:pPr>
              <w:spacing w:line="360" w:lineRule="auto"/>
              <w:rPr>
                <w:rFonts w:ascii="宋体" w:hAnsi="宋体"/>
                <w:sz w:val="24"/>
              </w:rPr>
            </w:pPr>
            <w:r>
              <w:rPr>
                <w:rFonts w:hint="eastAsia" w:ascii="宋体" w:hAnsi="宋体"/>
                <w:sz w:val="24"/>
              </w:rPr>
              <w:t>3、机房服务器运行情况；</w:t>
            </w:r>
          </w:p>
          <w:p>
            <w:pPr>
              <w:spacing w:line="360" w:lineRule="auto"/>
              <w:rPr>
                <w:rFonts w:ascii="宋体" w:hAnsi="宋体"/>
                <w:sz w:val="24"/>
              </w:rPr>
            </w:pPr>
            <w:r>
              <w:rPr>
                <w:rFonts w:hint="eastAsia" w:ascii="宋体" w:hAnsi="宋体"/>
                <w:sz w:val="24"/>
              </w:rPr>
              <w:t>4、平台对接运行情况；</w:t>
            </w:r>
          </w:p>
          <w:p>
            <w:pPr>
              <w:spacing w:line="360" w:lineRule="auto"/>
              <w:rPr>
                <w:rFonts w:ascii="宋体" w:hAnsi="宋体"/>
                <w:sz w:val="24"/>
              </w:rPr>
            </w:pPr>
            <w:r>
              <w:rPr>
                <w:rFonts w:hint="eastAsia" w:ascii="宋体" w:hAnsi="宋体"/>
                <w:sz w:val="24"/>
              </w:rPr>
              <w:t>5、提供月度巡检报告</w:t>
            </w:r>
          </w:p>
        </w:tc>
        <w:tc>
          <w:tcPr>
            <w:tcW w:w="850" w:type="dxa"/>
            <w:noWrap/>
            <w:vAlign w:val="center"/>
          </w:tcPr>
          <w:p>
            <w:pPr>
              <w:spacing w:line="360" w:lineRule="auto"/>
              <w:rPr>
                <w:rFonts w:ascii="宋体" w:hAnsi="宋体"/>
                <w:sz w:val="24"/>
              </w:rPr>
            </w:pPr>
          </w:p>
        </w:tc>
        <w:tc>
          <w:tcPr>
            <w:tcW w:w="992" w:type="dxa"/>
            <w:noWrap/>
            <w:vAlign w:val="center"/>
          </w:tcPr>
          <w:p>
            <w:pPr>
              <w:spacing w:line="360" w:lineRule="auto"/>
              <w:rPr>
                <w:rFonts w:ascii="宋体" w:hAnsi="宋体"/>
                <w:sz w:val="24"/>
              </w:rPr>
            </w:pPr>
            <w:r>
              <w:rPr>
                <w:rFonts w:hint="eastAsia" w:ascii="宋体" w:hAnsi="宋体"/>
                <w:sz w:val="24"/>
              </w:rPr>
              <w:t>每月</w:t>
            </w:r>
          </w:p>
        </w:tc>
      </w:tr>
    </w:tbl>
    <w:p>
      <w:pPr>
        <w:spacing w:line="360" w:lineRule="auto"/>
        <w:rPr>
          <w:rFonts w:ascii="宋体" w:hAnsi="宋体"/>
          <w:b/>
          <w:sz w:val="24"/>
        </w:rPr>
      </w:pPr>
      <w:r>
        <w:rPr>
          <w:rFonts w:hint="eastAsia" w:ascii="宋体" w:hAnsi="宋体"/>
          <w:b/>
          <w:sz w:val="24"/>
        </w:rPr>
        <w:t>三、服务指标明细及考核办法</w:t>
      </w:r>
    </w:p>
    <w:p>
      <w:pPr>
        <w:spacing w:line="360" w:lineRule="auto"/>
        <w:ind w:firstLine="480" w:firstLineChars="200"/>
        <w:rPr>
          <w:rStyle w:val="394"/>
          <w:rFonts w:hint="eastAsia" w:ascii="宋体" w:hAnsi="宋体" w:eastAsia="宋体"/>
          <w:b/>
          <w:sz w:val="24"/>
          <w:szCs w:val="24"/>
        </w:rPr>
      </w:pPr>
      <w:bookmarkStart w:id="143" w:name="_Toc321840507"/>
      <w:r>
        <w:rPr>
          <w:rStyle w:val="394"/>
          <w:rFonts w:hint="eastAsia" w:ascii="宋体" w:hAnsi="宋体" w:eastAsia="宋体"/>
          <w:sz w:val="24"/>
          <w:szCs w:val="24"/>
        </w:rPr>
        <w:t>莲都区公共安全视频监控建设联网应用项目（碧湖改建项目）</w:t>
      </w:r>
      <w:r>
        <w:rPr>
          <w:rStyle w:val="394"/>
          <w:rFonts w:hint="eastAsia" w:ascii="宋体" w:hAnsi="宋体" w:eastAsia="宋体"/>
          <w:b/>
          <w:sz w:val="24"/>
          <w:szCs w:val="24"/>
        </w:rPr>
        <w:t>服务考核</w:t>
      </w:r>
      <w:r>
        <w:rPr>
          <w:rStyle w:val="394"/>
          <w:rFonts w:hint="eastAsia" w:ascii="宋体" w:hAnsi="宋体" w:eastAsia="宋体"/>
          <w:sz w:val="24"/>
          <w:szCs w:val="24"/>
        </w:rPr>
        <w:t>实行背靠背考核制度，单点考核数据以运维系统、日常工作记录表、上级部门考核结果等组成。</w:t>
      </w:r>
      <w:r>
        <w:rPr>
          <w:rStyle w:val="394"/>
          <w:rFonts w:hint="eastAsia" w:ascii="宋体" w:hAnsi="宋体" w:eastAsia="宋体"/>
          <w:b/>
          <w:sz w:val="24"/>
          <w:szCs w:val="24"/>
        </w:rPr>
        <w:t>具体考核办法如下：</w:t>
      </w:r>
    </w:p>
    <w:p>
      <w:pPr>
        <w:spacing w:line="360" w:lineRule="auto"/>
        <w:rPr>
          <w:rFonts w:hint="eastAsia" w:ascii="宋体" w:hAnsi="宋体"/>
          <w:b/>
          <w:sz w:val="24"/>
        </w:rPr>
      </w:pPr>
      <w:r>
        <w:rPr>
          <w:rFonts w:hint="eastAsia" w:ascii="宋体" w:hAnsi="宋体"/>
          <w:b/>
          <w:sz w:val="24"/>
        </w:rPr>
        <w:t>A：前端单点故障服务考核</w:t>
      </w:r>
    </w:p>
    <w:p>
      <w:pPr>
        <w:spacing w:line="360" w:lineRule="auto"/>
        <w:rPr>
          <w:rFonts w:hint="eastAsia" w:ascii="宋体" w:hAnsi="宋体"/>
          <w:bCs/>
          <w:sz w:val="24"/>
        </w:rPr>
      </w:pPr>
      <w:r>
        <w:rPr>
          <w:rFonts w:hint="eastAsia" w:ascii="宋体" w:hAnsi="宋体"/>
          <w:bCs/>
          <w:sz w:val="24"/>
        </w:rPr>
        <w:t>表A：</w:t>
      </w:r>
    </w:p>
    <w:tbl>
      <w:tblPr>
        <w:tblStyle w:val="56"/>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3"/>
        <w:gridCol w:w="1884"/>
        <w:gridCol w:w="1559"/>
        <w:gridCol w:w="1701"/>
        <w:gridCol w:w="2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66" w:hRule="atLeast"/>
        </w:trPr>
        <w:tc>
          <w:tcPr>
            <w:tcW w:w="1343" w:type="dxa"/>
            <w:noWrap w:val="0"/>
            <w:vAlign w:val="center"/>
          </w:tcPr>
          <w:p>
            <w:pPr>
              <w:spacing w:line="360" w:lineRule="auto"/>
              <w:jc w:val="center"/>
              <w:rPr>
                <w:rFonts w:hint="eastAsia" w:ascii="宋体" w:hAnsi="宋体"/>
                <w:sz w:val="24"/>
              </w:rPr>
            </w:pPr>
            <w:r>
              <w:rPr>
                <w:rFonts w:hint="eastAsia" w:ascii="宋体" w:hAnsi="宋体"/>
                <w:sz w:val="24"/>
              </w:rPr>
              <w:t>故障类型</w:t>
            </w:r>
          </w:p>
        </w:tc>
        <w:tc>
          <w:tcPr>
            <w:tcW w:w="1884" w:type="dxa"/>
            <w:noWrap w:val="0"/>
            <w:vAlign w:val="center"/>
          </w:tcPr>
          <w:p>
            <w:pPr>
              <w:spacing w:line="360" w:lineRule="auto"/>
              <w:jc w:val="center"/>
              <w:rPr>
                <w:rFonts w:hint="eastAsia" w:ascii="宋体" w:hAnsi="宋体"/>
                <w:sz w:val="24"/>
              </w:rPr>
            </w:pPr>
            <w:r>
              <w:rPr>
                <w:rFonts w:hint="eastAsia" w:ascii="宋体" w:hAnsi="宋体"/>
                <w:sz w:val="24"/>
              </w:rPr>
              <w:t>故障时段</w:t>
            </w:r>
          </w:p>
        </w:tc>
        <w:tc>
          <w:tcPr>
            <w:tcW w:w="1559" w:type="dxa"/>
            <w:noWrap w:val="0"/>
            <w:vAlign w:val="center"/>
          </w:tcPr>
          <w:p>
            <w:pPr>
              <w:spacing w:line="360" w:lineRule="auto"/>
              <w:jc w:val="center"/>
              <w:rPr>
                <w:rFonts w:hint="eastAsia" w:ascii="宋体" w:hAnsi="宋体"/>
                <w:sz w:val="24"/>
              </w:rPr>
            </w:pPr>
            <w:r>
              <w:rPr>
                <w:rFonts w:hint="eastAsia" w:ascii="宋体" w:hAnsi="宋体"/>
                <w:sz w:val="24"/>
              </w:rPr>
              <w:t>修复时限</w:t>
            </w:r>
          </w:p>
        </w:tc>
        <w:tc>
          <w:tcPr>
            <w:tcW w:w="1701" w:type="dxa"/>
            <w:noWrap w:val="0"/>
            <w:vAlign w:val="center"/>
          </w:tcPr>
          <w:p>
            <w:pPr>
              <w:spacing w:line="360" w:lineRule="auto"/>
              <w:jc w:val="center"/>
              <w:rPr>
                <w:rFonts w:hint="eastAsia" w:ascii="宋体" w:hAnsi="宋体"/>
                <w:sz w:val="24"/>
              </w:rPr>
            </w:pPr>
            <w:r>
              <w:rPr>
                <w:rFonts w:hint="eastAsia" w:ascii="宋体" w:hAnsi="宋体"/>
                <w:sz w:val="24"/>
              </w:rPr>
              <w:t>扣费标准</w:t>
            </w:r>
          </w:p>
        </w:tc>
        <w:tc>
          <w:tcPr>
            <w:tcW w:w="2693" w:type="dxa"/>
            <w:noWrap w:val="0"/>
            <w:vAlign w:val="center"/>
          </w:tcPr>
          <w:p>
            <w:pPr>
              <w:spacing w:line="360" w:lineRule="auto"/>
              <w:ind w:firstLine="480" w:firstLineChars="200"/>
              <w:jc w:val="center"/>
              <w:rPr>
                <w:rFonts w:hint="eastAsia"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39" w:hRule="atLeast"/>
        </w:trPr>
        <w:tc>
          <w:tcPr>
            <w:tcW w:w="1343" w:type="dxa"/>
            <w:vMerge w:val="restart"/>
            <w:noWrap w:val="0"/>
            <w:vAlign w:val="center"/>
          </w:tcPr>
          <w:p>
            <w:pPr>
              <w:spacing w:line="360" w:lineRule="auto"/>
              <w:jc w:val="left"/>
              <w:rPr>
                <w:rFonts w:hint="eastAsia" w:ascii="宋体" w:hAnsi="宋体"/>
                <w:sz w:val="24"/>
              </w:rPr>
            </w:pPr>
            <w:r>
              <w:rPr>
                <w:rFonts w:hint="eastAsia" w:ascii="宋体" w:hAnsi="宋体"/>
                <w:sz w:val="24"/>
              </w:rPr>
              <w:t>单点故障</w:t>
            </w:r>
          </w:p>
        </w:tc>
        <w:tc>
          <w:tcPr>
            <w:tcW w:w="1884" w:type="dxa"/>
            <w:noWrap w:val="0"/>
            <w:vAlign w:val="center"/>
          </w:tcPr>
          <w:p>
            <w:pPr>
              <w:spacing w:line="360" w:lineRule="auto"/>
              <w:jc w:val="left"/>
              <w:rPr>
                <w:rFonts w:hint="eastAsia" w:ascii="宋体" w:hAnsi="宋体"/>
                <w:sz w:val="24"/>
              </w:rPr>
            </w:pPr>
            <w:r>
              <w:rPr>
                <w:rFonts w:hint="eastAsia" w:ascii="宋体" w:hAnsi="宋体"/>
                <w:sz w:val="24"/>
              </w:rPr>
              <w:t>08时至20时</w:t>
            </w:r>
          </w:p>
        </w:tc>
        <w:tc>
          <w:tcPr>
            <w:tcW w:w="1559" w:type="dxa"/>
            <w:noWrap w:val="0"/>
            <w:vAlign w:val="center"/>
          </w:tcPr>
          <w:p>
            <w:pPr>
              <w:spacing w:line="360" w:lineRule="auto"/>
              <w:jc w:val="left"/>
              <w:rPr>
                <w:rFonts w:hint="eastAsia" w:ascii="宋体" w:hAnsi="宋体"/>
                <w:sz w:val="24"/>
              </w:rPr>
            </w:pPr>
            <w:r>
              <w:rPr>
                <w:rFonts w:hint="eastAsia" w:ascii="宋体" w:hAnsi="宋体"/>
                <w:sz w:val="24"/>
              </w:rPr>
              <w:t>小于8小时</w:t>
            </w:r>
          </w:p>
        </w:tc>
        <w:tc>
          <w:tcPr>
            <w:tcW w:w="1701" w:type="dxa"/>
            <w:noWrap w:val="0"/>
            <w:vAlign w:val="center"/>
          </w:tcPr>
          <w:p>
            <w:pPr>
              <w:spacing w:line="360" w:lineRule="auto"/>
              <w:jc w:val="left"/>
              <w:rPr>
                <w:rFonts w:hint="eastAsia" w:ascii="宋体" w:hAnsi="宋体"/>
                <w:sz w:val="24"/>
              </w:rPr>
            </w:pPr>
            <w:r>
              <w:rPr>
                <w:rFonts w:hint="eastAsia" w:ascii="宋体" w:hAnsi="宋体"/>
                <w:sz w:val="24"/>
              </w:rPr>
              <w:t>不扣费</w:t>
            </w:r>
          </w:p>
        </w:tc>
        <w:tc>
          <w:tcPr>
            <w:tcW w:w="2693" w:type="dxa"/>
            <w:noWrap w:val="0"/>
            <w:vAlign w:val="center"/>
          </w:tcPr>
          <w:p>
            <w:pPr>
              <w:spacing w:line="360" w:lineRule="auto"/>
              <w:jc w:val="left"/>
              <w:rPr>
                <w:rFonts w:hint="eastAsia"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39" w:hRule="atLeast"/>
        </w:trPr>
        <w:tc>
          <w:tcPr>
            <w:tcW w:w="1343" w:type="dxa"/>
            <w:vMerge w:val="continue"/>
            <w:noWrap w:val="0"/>
            <w:vAlign w:val="center"/>
          </w:tcPr>
          <w:p>
            <w:pPr>
              <w:spacing w:line="360" w:lineRule="auto"/>
              <w:ind w:firstLine="480" w:firstLineChars="200"/>
              <w:jc w:val="left"/>
              <w:rPr>
                <w:rFonts w:hint="eastAsia" w:ascii="宋体" w:hAnsi="宋体"/>
                <w:sz w:val="24"/>
              </w:rPr>
            </w:pPr>
          </w:p>
        </w:tc>
        <w:tc>
          <w:tcPr>
            <w:tcW w:w="1884" w:type="dxa"/>
            <w:noWrap w:val="0"/>
            <w:vAlign w:val="center"/>
          </w:tcPr>
          <w:p>
            <w:pPr>
              <w:spacing w:line="360" w:lineRule="auto"/>
              <w:jc w:val="left"/>
              <w:rPr>
                <w:rFonts w:hint="eastAsia" w:ascii="宋体" w:hAnsi="宋体"/>
                <w:sz w:val="24"/>
              </w:rPr>
            </w:pPr>
            <w:r>
              <w:rPr>
                <w:rFonts w:hint="eastAsia" w:ascii="宋体" w:hAnsi="宋体"/>
                <w:sz w:val="24"/>
              </w:rPr>
              <w:t>20时至08时</w:t>
            </w:r>
          </w:p>
        </w:tc>
        <w:tc>
          <w:tcPr>
            <w:tcW w:w="1559" w:type="dxa"/>
            <w:noWrap w:val="0"/>
            <w:vAlign w:val="center"/>
          </w:tcPr>
          <w:p>
            <w:pPr>
              <w:spacing w:line="360" w:lineRule="auto"/>
              <w:jc w:val="left"/>
              <w:rPr>
                <w:rFonts w:hint="eastAsia" w:ascii="宋体" w:hAnsi="宋体"/>
                <w:sz w:val="24"/>
              </w:rPr>
            </w:pPr>
            <w:r>
              <w:rPr>
                <w:rFonts w:hint="eastAsia" w:ascii="宋体" w:hAnsi="宋体"/>
                <w:sz w:val="24"/>
              </w:rPr>
              <w:t>小于1</w:t>
            </w:r>
            <w:r>
              <w:rPr>
                <w:rFonts w:ascii="宋体" w:hAnsi="宋体"/>
                <w:sz w:val="24"/>
              </w:rPr>
              <w:t>2</w:t>
            </w:r>
            <w:r>
              <w:rPr>
                <w:rFonts w:hint="eastAsia" w:ascii="宋体" w:hAnsi="宋体"/>
                <w:sz w:val="24"/>
              </w:rPr>
              <w:t>小时</w:t>
            </w:r>
          </w:p>
        </w:tc>
        <w:tc>
          <w:tcPr>
            <w:tcW w:w="1701" w:type="dxa"/>
            <w:noWrap w:val="0"/>
            <w:vAlign w:val="center"/>
          </w:tcPr>
          <w:p>
            <w:pPr>
              <w:spacing w:line="360" w:lineRule="auto"/>
              <w:jc w:val="left"/>
              <w:rPr>
                <w:rFonts w:hint="eastAsia" w:ascii="宋体" w:hAnsi="宋体"/>
                <w:sz w:val="24"/>
              </w:rPr>
            </w:pPr>
            <w:r>
              <w:rPr>
                <w:rFonts w:hint="eastAsia" w:ascii="宋体" w:hAnsi="宋体"/>
                <w:sz w:val="24"/>
              </w:rPr>
              <w:t>不扣费</w:t>
            </w:r>
          </w:p>
        </w:tc>
        <w:tc>
          <w:tcPr>
            <w:tcW w:w="2693" w:type="dxa"/>
            <w:noWrap w:val="0"/>
            <w:vAlign w:val="center"/>
          </w:tcPr>
          <w:p>
            <w:pPr>
              <w:spacing w:line="360" w:lineRule="auto"/>
              <w:jc w:val="left"/>
              <w:rPr>
                <w:rFonts w:hint="eastAsia"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66" w:hRule="atLeast"/>
        </w:trPr>
        <w:tc>
          <w:tcPr>
            <w:tcW w:w="1343" w:type="dxa"/>
            <w:vMerge w:val="restart"/>
            <w:noWrap w:val="0"/>
            <w:vAlign w:val="center"/>
          </w:tcPr>
          <w:p>
            <w:pPr>
              <w:spacing w:line="360" w:lineRule="auto"/>
              <w:jc w:val="left"/>
              <w:rPr>
                <w:rFonts w:hint="eastAsia" w:ascii="宋体" w:hAnsi="宋体"/>
                <w:sz w:val="24"/>
              </w:rPr>
            </w:pPr>
            <w:r>
              <w:rPr>
                <w:rFonts w:hint="eastAsia" w:ascii="宋体" w:hAnsi="宋体"/>
                <w:sz w:val="24"/>
              </w:rPr>
              <w:t>单点故障</w:t>
            </w:r>
          </w:p>
        </w:tc>
        <w:tc>
          <w:tcPr>
            <w:tcW w:w="1884" w:type="dxa"/>
            <w:noWrap w:val="0"/>
            <w:vAlign w:val="center"/>
          </w:tcPr>
          <w:p>
            <w:pPr>
              <w:spacing w:line="360" w:lineRule="auto"/>
              <w:jc w:val="left"/>
              <w:rPr>
                <w:rFonts w:hint="eastAsia" w:ascii="宋体" w:hAnsi="宋体"/>
                <w:sz w:val="24"/>
              </w:rPr>
            </w:pPr>
            <w:r>
              <w:rPr>
                <w:rFonts w:hint="eastAsia" w:ascii="宋体" w:hAnsi="宋体"/>
                <w:sz w:val="24"/>
              </w:rPr>
              <w:t>08时至20时</w:t>
            </w:r>
          </w:p>
        </w:tc>
        <w:tc>
          <w:tcPr>
            <w:tcW w:w="1559" w:type="dxa"/>
            <w:noWrap w:val="0"/>
            <w:vAlign w:val="center"/>
          </w:tcPr>
          <w:p>
            <w:pPr>
              <w:spacing w:line="360" w:lineRule="auto"/>
              <w:jc w:val="left"/>
              <w:rPr>
                <w:rFonts w:hint="eastAsia" w:ascii="宋体" w:hAnsi="宋体"/>
                <w:sz w:val="24"/>
              </w:rPr>
            </w:pPr>
            <w:r>
              <w:rPr>
                <w:rFonts w:hint="eastAsia" w:ascii="宋体" w:hAnsi="宋体"/>
                <w:sz w:val="24"/>
              </w:rPr>
              <w:t>8小时以上</w:t>
            </w:r>
          </w:p>
        </w:tc>
        <w:tc>
          <w:tcPr>
            <w:tcW w:w="1701" w:type="dxa"/>
            <w:noWrap w:val="0"/>
            <w:vAlign w:val="center"/>
          </w:tcPr>
          <w:p>
            <w:pPr>
              <w:spacing w:line="360" w:lineRule="auto"/>
              <w:jc w:val="left"/>
              <w:rPr>
                <w:rFonts w:hint="eastAsia" w:ascii="宋体" w:hAnsi="宋体"/>
                <w:sz w:val="24"/>
              </w:rPr>
            </w:pPr>
            <w:r>
              <w:rPr>
                <w:rFonts w:hint="eastAsia" w:ascii="宋体" w:hAnsi="宋体"/>
                <w:sz w:val="24"/>
              </w:rPr>
              <w:t>100元/次/时</w:t>
            </w:r>
          </w:p>
        </w:tc>
        <w:tc>
          <w:tcPr>
            <w:tcW w:w="2693" w:type="dxa"/>
            <w:noWrap w:val="0"/>
            <w:vAlign w:val="center"/>
          </w:tcPr>
          <w:p>
            <w:pPr>
              <w:spacing w:line="360" w:lineRule="auto"/>
              <w:jc w:val="left"/>
              <w:rPr>
                <w:rFonts w:hint="eastAsia" w:ascii="宋体" w:hAnsi="宋体"/>
                <w:sz w:val="24"/>
              </w:rPr>
            </w:pPr>
            <w:r>
              <w:rPr>
                <w:rFonts w:hint="eastAsia" w:ascii="宋体" w:hAnsi="宋体"/>
                <w:sz w:val="24"/>
              </w:rPr>
              <w:t>每超过一小时扣费一次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66" w:hRule="atLeast"/>
        </w:trPr>
        <w:tc>
          <w:tcPr>
            <w:tcW w:w="1343" w:type="dxa"/>
            <w:vMerge w:val="continue"/>
            <w:noWrap w:val="0"/>
            <w:vAlign w:val="center"/>
          </w:tcPr>
          <w:p>
            <w:pPr>
              <w:spacing w:line="360" w:lineRule="auto"/>
              <w:ind w:firstLine="480" w:firstLineChars="200"/>
              <w:jc w:val="left"/>
              <w:rPr>
                <w:rFonts w:hint="eastAsia" w:ascii="宋体" w:hAnsi="宋体"/>
                <w:sz w:val="24"/>
              </w:rPr>
            </w:pPr>
          </w:p>
        </w:tc>
        <w:tc>
          <w:tcPr>
            <w:tcW w:w="1884" w:type="dxa"/>
            <w:noWrap w:val="0"/>
            <w:vAlign w:val="center"/>
          </w:tcPr>
          <w:p>
            <w:pPr>
              <w:spacing w:line="360" w:lineRule="auto"/>
              <w:jc w:val="left"/>
              <w:rPr>
                <w:rFonts w:hint="eastAsia" w:ascii="宋体" w:hAnsi="宋体"/>
                <w:sz w:val="24"/>
              </w:rPr>
            </w:pPr>
            <w:r>
              <w:rPr>
                <w:rFonts w:hint="eastAsia" w:ascii="宋体" w:hAnsi="宋体"/>
                <w:sz w:val="24"/>
              </w:rPr>
              <w:t>20时至08时</w:t>
            </w:r>
          </w:p>
        </w:tc>
        <w:tc>
          <w:tcPr>
            <w:tcW w:w="1559" w:type="dxa"/>
            <w:noWrap w:val="0"/>
            <w:vAlign w:val="center"/>
          </w:tcPr>
          <w:p>
            <w:pPr>
              <w:spacing w:line="360" w:lineRule="auto"/>
              <w:jc w:val="left"/>
              <w:rPr>
                <w:rFonts w:hint="eastAsia" w:ascii="宋体" w:hAnsi="宋体"/>
                <w:sz w:val="24"/>
              </w:rPr>
            </w:pPr>
            <w:r>
              <w:rPr>
                <w:rFonts w:hint="eastAsia" w:ascii="宋体" w:hAnsi="宋体"/>
                <w:sz w:val="24"/>
              </w:rPr>
              <w:t>1</w:t>
            </w:r>
            <w:r>
              <w:rPr>
                <w:rFonts w:ascii="宋体" w:hAnsi="宋体"/>
                <w:sz w:val="24"/>
              </w:rPr>
              <w:t>2</w:t>
            </w:r>
            <w:r>
              <w:rPr>
                <w:rFonts w:hint="eastAsia" w:ascii="宋体" w:hAnsi="宋体"/>
                <w:sz w:val="24"/>
              </w:rPr>
              <w:t>小时以上</w:t>
            </w:r>
          </w:p>
        </w:tc>
        <w:tc>
          <w:tcPr>
            <w:tcW w:w="1701" w:type="dxa"/>
            <w:noWrap w:val="0"/>
            <w:vAlign w:val="center"/>
          </w:tcPr>
          <w:p>
            <w:pPr>
              <w:spacing w:line="360" w:lineRule="auto"/>
              <w:jc w:val="left"/>
              <w:rPr>
                <w:rFonts w:hint="eastAsia" w:ascii="宋体" w:hAnsi="宋体"/>
                <w:sz w:val="24"/>
              </w:rPr>
            </w:pPr>
            <w:r>
              <w:rPr>
                <w:rFonts w:hint="eastAsia" w:ascii="宋体" w:hAnsi="宋体"/>
                <w:sz w:val="24"/>
              </w:rPr>
              <w:t>100元/次/时</w:t>
            </w:r>
          </w:p>
        </w:tc>
        <w:tc>
          <w:tcPr>
            <w:tcW w:w="2693" w:type="dxa"/>
            <w:noWrap w:val="0"/>
            <w:vAlign w:val="center"/>
          </w:tcPr>
          <w:p>
            <w:pPr>
              <w:spacing w:line="360" w:lineRule="auto"/>
              <w:jc w:val="left"/>
              <w:rPr>
                <w:rFonts w:hint="eastAsia" w:ascii="宋体" w:hAnsi="宋体"/>
                <w:sz w:val="24"/>
              </w:rPr>
            </w:pPr>
            <w:r>
              <w:rPr>
                <w:rFonts w:hint="eastAsia" w:ascii="宋体" w:hAnsi="宋体"/>
                <w:sz w:val="24"/>
              </w:rPr>
              <w:t>每超过一小时扣费一次</w:t>
            </w:r>
          </w:p>
        </w:tc>
      </w:tr>
      <w:bookmarkEnd w:id="143"/>
    </w:tbl>
    <w:p>
      <w:pPr>
        <w:numPr>
          <w:ilvl w:val="0"/>
          <w:numId w:val="14"/>
        </w:numPr>
        <w:spacing w:line="360" w:lineRule="auto"/>
        <w:rPr>
          <w:rFonts w:hint="eastAsia" w:ascii="宋体" w:hAnsi="宋体"/>
          <w:sz w:val="24"/>
        </w:rPr>
      </w:pPr>
      <w:r>
        <w:rPr>
          <w:rFonts w:hint="eastAsia" w:ascii="宋体" w:hAnsi="宋体"/>
          <w:sz w:val="24"/>
        </w:rPr>
        <w:t>前端单点故障修复时间早上8时至晚上20时，修复时限为8小时。晚上20时至次日早上8时，修复时限为1</w:t>
      </w:r>
      <w:r>
        <w:rPr>
          <w:rFonts w:ascii="宋体" w:hAnsi="宋体"/>
          <w:sz w:val="24"/>
        </w:rPr>
        <w:t>2</w:t>
      </w:r>
      <w:r>
        <w:rPr>
          <w:rFonts w:hint="eastAsia" w:ascii="宋体" w:hAnsi="宋体"/>
          <w:sz w:val="24"/>
        </w:rPr>
        <w:t>小时。在以上规定时限内修复故障的，不扣费。超时修复的，扣费标准详见表A。</w:t>
      </w:r>
    </w:p>
    <w:p>
      <w:pPr>
        <w:numPr>
          <w:ilvl w:val="0"/>
          <w:numId w:val="14"/>
        </w:numPr>
        <w:spacing w:line="360" w:lineRule="auto"/>
        <w:rPr>
          <w:rFonts w:hint="eastAsia" w:ascii="宋体" w:hAnsi="宋体"/>
          <w:sz w:val="24"/>
        </w:rPr>
      </w:pPr>
      <w:r>
        <w:rPr>
          <w:rFonts w:hint="eastAsia" w:ascii="宋体" w:hAnsi="宋体"/>
          <w:sz w:val="24"/>
        </w:rPr>
        <w:t>后端单点故障考核指标参照“前端单点完好率考核指标”。</w:t>
      </w:r>
    </w:p>
    <w:p>
      <w:pPr>
        <w:numPr>
          <w:ilvl w:val="0"/>
          <w:numId w:val="14"/>
        </w:numPr>
        <w:spacing w:line="360" w:lineRule="auto"/>
        <w:rPr>
          <w:rFonts w:hint="eastAsia" w:ascii="宋体" w:hAnsi="宋体"/>
          <w:sz w:val="24"/>
        </w:rPr>
      </w:pPr>
      <w:r>
        <w:rPr>
          <w:rFonts w:hint="eastAsia" w:ascii="宋体" w:hAnsi="宋体"/>
          <w:sz w:val="24"/>
        </w:rPr>
        <w:t>后端单个设备引起的多路视频故障按受影响的图像路数计算故障点位数来进行考核。</w:t>
      </w:r>
    </w:p>
    <w:p>
      <w:pPr>
        <w:numPr>
          <w:ilvl w:val="0"/>
          <w:numId w:val="14"/>
        </w:numPr>
        <w:spacing w:line="360" w:lineRule="auto"/>
        <w:rPr>
          <w:rFonts w:hint="eastAsia" w:ascii="宋体" w:hAnsi="宋体"/>
          <w:sz w:val="24"/>
        </w:rPr>
      </w:pPr>
      <w:r>
        <w:rPr>
          <w:rFonts w:hint="eastAsia" w:ascii="宋体" w:hAnsi="宋体"/>
          <w:sz w:val="24"/>
        </w:rPr>
        <w:t>故障开始时间以巡查发现和系统派单或业主单位报障时间开始。</w:t>
      </w:r>
    </w:p>
    <w:p>
      <w:pPr>
        <w:numPr>
          <w:ilvl w:val="0"/>
          <w:numId w:val="14"/>
        </w:numPr>
        <w:spacing w:line="360" w:lineRule="auto"/>
        <w:rPr>
          <w:rFonts w:hint="eastAsia" w:ascii="宋体" w:hAnsi="宋体"/>
          <w:sz w:val="24"/>
        </w:rPr>
      </w:pPr>
      <w:r>
        <w:rPr>
          <w:rFonts w:hint="eastAsia" w:ascii="宋体" w:hAnsi="宋体"/>
          <w:sz w:val="24"/>
        </w:rPr>
        <w:t>单点故障修复后两小时内出现相同故障，视为上次故障未修复。</w:t>
      </w:r>
    </w:p>
    <w:p>
      <w:pPr>
        <w:numPr>
          <w:ilvl w:val="0"/>
          <w:numId w:val="14"/>
        </w:numPr>
        <w:spacing w:line="360" w:lineRule="auto"/>
        <w:rPr>
          <w:rFonts w:ascii="宋体" w:hAnsi="宋体"/>
          <w:sz w:val="24"/>
        </w:rPr>
      </w:pPr>
      <w:r>
        <w:rPr>
          <w:rFonts w:hint="eastAsia" w:ascii="宋体" w:hAnsi="宋体"/>
          <w:sz w:val="24"/>
        </w:rPr>
        <w:t>同一时间段、同一事件引起的前端8个点以上故障且需更换设备超出备品备件总量的，经报业主单位备案同意后作为重大故障处理，故障时限延长至48小时内修复。48小时以上，每超过一个小时，按单点扣费标准进行扣费。</w:t>
      </w:r>
    </w:p>
    <w:p>
      <w:pPr>
        <w:numPr>
          <w:ilvl w:val="0"/>
          <w:numId w:val="14"/>
        </w:numPr>
        <w:spacing w:line="360" w:lineRule="auto"/>
        <w:rPr>
          <w:rFonts w:ascii="宋体" w:hAnsi="宋体"/>
          <w:sz w:val="24"/>
        </w:rPr>
      </w:pPr>
      <w:r>
        <w:rPr>
          <w:rFonts w:hint="eastAsia" w:ascii="宋体" w:hAnsi="宋体"/>
          <w:sz w:val="24"/>
        </w:rPr>
        <w:t>单点视频质量考核被上级部门抽查，数据经复核不通过的的按每摄像头扣费200元。（重点单位、部位的摄像头被上级部门通报的扣费按每次每路1</w:t>
      </w:r>
      <w:r>
        <w:rPr>
          <w:rFonts w:ascii="宋体" w:hAnsi="宋体"/>
          <w:sz w:val="24"/>
        </w:rPr>
        <w:t>000</w:t>
      </w:r>
      <w:r>
        <w:rPr>
          <w:rFonts w:hint="eastAsia" w:ascii="宋体" w:hAnsi="宋体"/>
          <w:sz w:val="24"/>
        </w:rPr>
        <w:t>元计）</w:t>
      </w:r>
    </w:p>
    <w:p>
      <w:pPr>
        <w:numPr>
          <w:ilvl w:val="0"/>
          <w:numId w:val="14"/>
        </w:numPr>
        <w:spacing w:line="360" w:lineRule="auto"/>
        <w:rPr>
          <w:rFonts w:hint="eastAsia" w:ascii="宋体" w:hAnsi="宋体"/>
          <w:sz w:val="24"/>
        </w:rPr>
      </w:pPr>
      <w:r>
        <w:rPr>
          <w:rFonts w:hint="eastAsia" w:ascii="宋体" w:hAnsi="宋体"/>
          <w:sz w:val="24"/>
        </w:rPr>
        <w:t>对单点摄像头图像效果、点位问题在24小时内巡检不到位情况，每发现一个点位扣费100元/路。对实际有困难的点位，以工作联系单形式提交到业主单位，经业主单位确认后不进行扣费。</w:t>
      </w:r>
    </w:p>
    <w:p>
      <w:pPr>
        <w:numPr>
          <w:ilvl w:val="0"/>
          <w:numId w:val="14"/>
        </w:numPr>
        <w:spacing w:line="360" w:lineRule="auto"/>
        <w:rPr>
          <w:rFonts w:hint="eastAsia" w:ascii="宋体" w:hAnsi="宋体"/>
          <w:sz w:val="24"/>
        </w:rPr>
      </w:pPr>
      <w:r>
        <w:rPr>
          <w:rFonts w:hint="eastAsia" w:ascii="宋体" w:hAnsi="宋体"/>
          <w:sz w:val="24"/>
        </w:rPr>
        <w:t>场景调整以工作联系单方式确认，对场景不明确的点位需业主单位确认后进行调整。</w:t>
      </w:r>
    </w:p>
    <w:p>
      <w:pPr>
        <w:numPr>
          <w:ilvl w:val="0"/>
          <w:numId w:val="14"/>
        </w:numPr>
        <w:spacing w:line="360" w:lineRule="auto"/>
        <w:rPr>
          <w:rFonts w:hint="eastAsia" w:ascii="宋体" w:hAnsi="宋体"/>
          <w:sz w:val="24"/>
        </w:rPr>
      </w:pPr>
      <w:r>
        <w:rPr>
          <w:rFonts w:hint="eastAsia" w:ascii="宋体" w:hAnsi="宋体"/>
          <w:sz w:val="24"/>
        </w:rPr>
        <w:t>由于自然灾害、不可抗力等引起的点位故障，由服务单位提交申请，业主单位确认后，可酌情延长修复时限。（包括：外界干扰（含单位或个人刻意阻扰故障抢修、施工造成的点位故障不能及时修复情况）、交通事故、断电/停电（含电力部门正常停电及由电力部门施工、抢修造成的点位故障不能及时修复的情况）、其他单位施工造成的点位故障、雷击、透水、火灾、台风、鼠害等）。在故障处理完成后，故障原因不在服务方，则不进行扣费。</w:t>
      </w:r>
    </w:p>
    <w:p>
      <w:pPr>
        <w:spacing w:line="360" w:lineRule="auto"/>
        <w:rPr>
          <w:rFonts w:hint="eastAsia" w:ascii="宋体" w:hAnsi="宋体"/>
          <w:b/>
          <w:sz w:val="24"/>
        </w:rPr>
      </w:pPr>
      <w:r>
        <w:rPr>
          <w:rFonts w:hint="eastAsia" w:ascii="宋体" w:hAnsi="宋体"/>
          <w:b/>
          <w:sz w:val="24"/>
        </w:rPr>
        <w:t>B：指标考核</w:t>
      </w:r>
    </w:p>
    <w:p>
      <w:pPr>
        <w:spacing w:line="360" w:lineRule="auto"/>
        <w:rPr>
          <w:rFonts w:hint="eastAsia" w:ascii="宋体" w:hAnsi="宋体"/>
          <w:b/>
          <w:sz w:val="24"/>
        </w:rPr>
      </w:pPr>
      <w:r>
        <w:rPr>
          <w:rFonts w:hint="eastAsia" w:ascii="宋体" w:hAnsi="宋体"/>
          <w:b/>
          <w:sz w:val="24"/>
        </w:rPr>
        <w:t>1：系统完好率指标考核</w:t>
      </w:r>
    </w:p>
    <w:p>
      <w:pPr>
        <w:numPr>
          <w:ilvl w:val="0"/>
          <w:numId w:val="14"/>
        </w:numPr>
        <w:spacing w:line="360" w:lineRule="auto"/>
        <w:rPr>
          <w:rFonts w:hint="eastAsia" w:ascii="宋体" w:hAnsi="宋体"/>
          <w:sz w:val="24"/>
        </w:rPr>
      </w:pPr>
      <w:r>
        <w:rPr>
          <w:rFonts w:hint="eastAsia" w:ascii="宋体" w:hAnsi="宋体"/>
          <w:b/>
          <w:sz w:val="24"/>
        </w:rPr>
        <w:t>系统完好率指标解释：</w:t>
      </w:r>
      <w:r>
        <w:rPr>
          <w:rFonts w:hint="eastAsia" w:ascii="宋体" w:hAnsi="宋体"/>
          <w:sz w:val="24"/>
        </w:rPr>
        <w:t>主要指系统的录像时长、录像完整性、录像可用性。要求在系统各个平台能调用录像、图片数据（实际平台系统不具备调用功能的除外）。</w:t>
      </w:r>
    </w:p>
    <w:p>
      <w:pPr>
        <w:numPr>
          <w:ilvl w:val="0"/>
          <w:numId w:val="14"/>
        </w:numPr>
        <w:spacing w:line="360" w:lineRule="auto"/>
        <w:rPr>
          <w:rFonts w:hint="eastAsia" w:ascii="宋体" w:hAnsi="宋体"/>
          <w:sz w:val="24"/>
        </w:rPr>
      </w:pPr>
      <w:r>
        <w:rPr>
          <w:rFonts w:hint="eastAsia" w:ascii="宋体" w:hAnsi="宋体"/>
          <w:b/>
          <w:sz w:val="24"/>
        </w:rPr>
        <w:t>计算方法：</w:t>
      </w:r>
      <w:r>
        <w:rPr>
          <w:rFonts w:hint="eastAsia" w:ascii="宋体" w:hAnsi="宋体"/>
          <w:sz w:val="24"/>
        </w:rPr>
        <w:t>系统完好率=（摄像机数*33天数*24小时*60分钟-录像丢失总时长）/（摄像机数*33天数*24小时*60分钟）*100%</w:t>
      </w:r>
      <w:r>
        <w:rPr>
          <w:rFonts w:ascii="宋体" w:hAnsi="宋体"/>
          <w:sz w:val="24"/>
        </w:rPr>
        <w:t xml:space="preserve">  </w:t>
      </w:r>
    </w:p>
    <w:p>
      <w:pPr>
        <w:numPr>
          <w:ilvl w:val="0"/>
          <w:numId w:val="14"/>
        </w:numPr>
        <w:spacing w:line="360" w:lineRule="auto"/>
        <w:rPr>
          <w:rFonts w:hint="eastAsia" w:ascii="宋体" w:hAnsi="宋体"/>
          <w:sz w:val="24"/>
        </w:rPr>
      </w:pPr>
      <w:r>
        <w:rPr>
          <w:rFonts w:hint="eastAsia" w:ascii="宋体" w:hAnsi="宋体"/>
          <w:sz w:val="24"/>
        </w:rPr>
        <w:t>系统完好率指标达到98%（含）以上，该项不扣费。完好率低于98%每下降一个百分点扣除总月服务费用的</w:t>
      </w:r>
      <w:r>
        <w:rPr>
          <w:rFonts w:ascii="宋体" w:hAnsi="宋体"/>
          <w:sz w:val="24"/>
        </w:rPr>
        <w:t>1</w:t>
      </w:r>
      <w:r>
        <w:rPr>
          <w:rFonts w:hint="eastAsia" w:ascii="宋体" w:hAnsi="宋体"/>
          <w:sz w:val="24"/>
        </w:rPr>
        <w:t>%；以此类推，低于9</w:t>
      </w:r>
      <w:r>
        <w:rPr>
          <w:rFonts w:ascii="宋体" w:hAnsi="宋体"/>
          <w:sz w:val="24"/>
        </w:rPr>
        <w:t>5</w:t>
      </w:r>
      <w:r>
        <w:rPr>
          <w:rFonts w:hint="eastAsia" w:ascii="宋体" w:hAnsi="宋体"/>
          <w:sz w:val="24"/>
        </w:rPr>
        <w:t>%不付费。</w:t>
      </w:r>
    </w:p>
    <w:p>
      <w:pPr>
        <w:numPr>
          <w:ilvl w:val="0"/>
          <w:numId w:val="14"/>
        </w:numPr>
        <w:spacing w:line="360" w:lineRule="auto"/>
        <w:rPr>
          <w:rFonts w:hint="eastAsia" w:ascii="宋体" w:hAnsi="宋体"/>
          <w:sz w:val="24"/>
        </w:rPr>
      </w:pPr>
      <w:r>
        <w:rPr>
          <w:rFonts w:hint="eastAsia" w:ascii="宋体" w:hAnsi="宋体"/>
          <w:sz w:val="24"/>
        </w:rPr>
        <w:t>系统完好率考核必须同时服从上级政府部门考核标准，上级部门考核结果计入系统完好率考核，扣费标准同上。</w:t>
      </w:r>
    </w:p>
    <w:p>
      <w:pPr>
        <w:numPr>
          <w:ilvl w:val="0"/>
          <w:numId w:val="14"/>
        </w:numPr>
        <w:spacing w:line="360" w:lineRule="auto"/>
        <w:rPr>
          <w:rFonts w:hint="eastAsia" w:ascii="宋体" w:hAnsi="宋体"/>
          <w:sz w:val="24"/>
        </w:rPr>
      </w:pPr>
      <w:r>
        <w:rPr>
          <w:rFonts w:hint="eastAsia" w:ascii="宋体" w:hAnsi="宋体"/>
          <w:sz w:val="24"/>
        </w:rPr>
        <w:t>由于自然灾害、不可抗力和人为等引起的点位故障，经业主单位确认后，不计算在考核故障总时长内。</w:t>
      </w:r>
    </w:p>
    <w:p>
      <w:pPr>
        <w:numPr>
          <w:ilvl w:val="0"/>
          <w:numId w:val="14"/>
        </w:numPr>
        <w:spacing w:line="360" w:lineRule="auto"/>
        <w:rPr>
          <w:rFonts w:hint="eastAsia" w:ascii="宋体" w:hAnsi="宋体"/>
          <w:sz w:val="24"/>
        </w:rPr>
      </w:pPr>
      <w:r>
        <w:rPr>
          <w:rFonts w:hint="eastAsia" w:ascii="宋体" w:hAnsi="宋体"/>
          <w:sz w:val="24"/>
        </w:rPr>
        <w:t>由于其他政府部门协调问题引起的点位故障派单时长，在提交工作联系单经业主单位确认后，不纳入服务考核故障时长。</w:t>
      </w:r>
    </w:p>
    <w:p>
      <w:pPr>
        <w:spacing w:line="360" w:lineRule="auto"/>
        <w:rPr>
          <w:rFonts w:hint="eastAsia" w:ascii="宋体" w:hAnsi="宋体"/>
          <w:b/>
          <w:sz w:val="24"/>
        </w:rPr>
      </w:pPr>
      <w:r>
        <w:rPr>
          <w:rFonts w:hint="eastAsia" w:ascii="宋体" w:hAnsi="宋体"/>
          <w:b/>
          <w:sz w:val="24"/>
        </w:rPr>
        <w:t>2：运行在线率和完好率</w:t>
      </w:r>
    </w:p>
    <w:p>
      <w:pPr>
        <w:numPr>
          <w:ilvl w:val="0"/>
          <w:numId w:val="14"/>
        </w:numPr>
        <w:spacing w:line="360" w:lineRule="auto"/>
        <w:rPr>
          <w:rFonts w:hint="eastAsia" w:ascii="宋体" w:hAnsi="宋体"/>
          <w:sz w:val="24"/>
        </w:rPr>
      </w:pPr>
      <w:r>
        <w:rPr>
          <w:rFonts w:hint="eastAsia" w:ascii="宋体" w:hAnsi="宋体"/>
          <w:sz w:val="24"/>
        </w:rPr>
        <w:t>运行在线率和完好率指标达到98%（含）以上，该项不扣费。在线率、完好率低于98%每下降一个百分点扣除总月服务费用的</w:t>
      </w:r>
      <w:r>
        <w:rPr>
          <w:rFonts w:ascii="宋体" w:hAnsi="宋体"/>
          <w:sz w:val="24"/>
        </w:rPr>
        <w:t>1</w:t>
      </w:r>
      <w:r>
        <w:rPr>
          <w:rFonts w:hint="eastAsia" w:ascii="宋体" w:hAnsi="宋体"/>
          <w:sz w:val="24"/>
        </w:rPr>
        <w:t>%；以此类推。低于9</w:t>
      </w:r>
      <w:r>
        <w:rPr>
          <w:rFonts w:ascii="宋体" w:hAnsi="宋体"/>
          <w:sz w:val="24"/>
        </w:rPr>
        <w:t>5</w:t>
      </w:r>
      <w:r>
        <w:rPr>
          <w:rFonts w:hint="eastAsia" w:ascii="宋体" w:hAnsi="宋体"/>
          <w:sz w:val="24"/>
        </w:rPr>
        <w:t>%不付费。</w:t>
      </w:r>
    </w:p>
    <w:p>
      <w:pPr>
        <w:numPr>
          <w:ilvl w:val="0"/>
          <w:numId w:val="14"/>
        </w:numPr>
        <w:spacing w:line="360" w:lineRule="auto"/>
        <w:rPr>
          <w:rFonts w:ascii="宋体" w:hAnsi="宋体"/>
          <w:sz w:val="24"/>
        </w:rPr>
      </w:pPr>
      <w:r>
        <w:rPr>
          <w:rFonts w:hint="eastAsia" w:ascii="宋体" w:hAnsi="宋体"/>
          <w:sz w:val="24"/>
        </w:rPr>
        <w:t>由于自然灾害、不可抗力和人为等引起的点位故障和报备的点位，经业主单位视频监视指挥中心确认后，不计算在考核故障总时长内。</w:t>
      </w:r>
    </w:p>
    <w:p>
      <w:pPr>
        <w:spacing w:line="360" w:lineRule="auto"/>
        <w:rPr>
          <w:rFonts w:ascii="宋体" w:hAnsi="宋体"/>
          <w:b/>
          <w:sz w:val="24"/>
        </w:rPr>
      </w:pPr>
      <w:r>
        <w:rPr>
          <w:rFonts w:hint="eastAsia" w:ascii="宋体" w:hAnsi="宋体"/>
          <w:b/>
          <w:sz w:val="24"/>
        </w:rPr>
        <w:t>3：一机一档数据准确性</w:t>
      </w:r>
    </w:p>
    <w:p>
      <w:pPr>
        <w:numPr>
          <w:ilvl w:val="0"/>
          <w:numId w:val="14"/>
        </w:numPr>
        <w:spacing w:line="360" w:lineRule="auto"/>
        <w:rPr>
          <w:rFonts w:hint="eastAsia" w:ascii="宋体" w:hAnsi="宋体"/>
          <w:sz w:val="24"/>
        </w:rPr>
      </w:pPr>
      <w:r>
        <w:rPr>
          <w:rFonts w:hint="eastAsia" w:ascii="宋体" w:hAnsi="宋体"/>
          <w:sz w:val="24"/>
        </w:rPr>
        <w:t>一机一档数据准确性指标达到100%，该项不扣费。一机一档数据准确性低于100%每下降一个百分点扣除总月服务费用的1%；以此类推。</w:t>
      </w:r>
    </w:p>
    <w:p>
      <w:pPr>
        <w:numPr>
          <w:ilvl w:val="0"/>
          <w:numId w:val="14"/>
        </w:numPr>
        <w:spacing w:line="360" w:lineRule="auto"/>
        <w:rPr>
          <w:rFonts w:hint="eastAsia" w:ascii="宋体" w:hAnsi="宋体"/>
          <w:sz w:val="24"/>
        </w:rPr>
      </w:pPr>
      <w:r>
        <w:rPr>
          <w:rFonts w:hint="eastAsia" w:ascii="宋体" w:hAnsi="宋体"/>
          <w:sz w:val="24"/>
        </w:rPr>
        <w:t>“一机一档”资料每月更新报业主，未建或未报的发现一次扣费5元/路，连续未报则加倍扣费，以此类推。</w:t>
      </w:r>
    </w:p>
    <w:p>
      <w:pPr>
        <w:spacing w:line="360" w:lineRule="auto"/>
        <w:rPr>
          <w:rFonts w:ascii="宋体" w:hAnsi="宋体"/>
          <w:b/>
          <w:sz w:val="24"/>
        </w:rPr>
      </w:pPr>
      <w:r>
        <w:rPr>
          <w:rFonts w:ascii="宋体" w:hAnsi="宋体"/>
          <w:b/>
          <w:sz w:val="24"/>
        </w:rPr>
        <w:t>4</w:t>
      </w:r>
      <w:r>
        <w:rPr>
          <w:rFonts w:hint="eastAsia" w:ascii="宋体" w:hAnsi="宋体"/>
          <w:b/>
          <w:sz w:val="24"/>
        </w:rPr>
        <w:t>：卡口在线率、延时率、识别率、捕获率考核</w:t>
      </w:r>
    </w:p>
    <w:p>
      <w:pPr>
        <w:numPr>
          <w:ilvl w:val="0"/>
          <w:numId w:val="14"/>
        </w:numPr>
        <w:spacing w:line="360" w:lineRule="auto"/>
        <w:rPr>
          <w:rFonts w:ascii="宋体" w:hAnsi="宋体"/>
          <w:sz w:val="24"/>
        </w:rPr>
      </w:pPr>
      <w:r>
        <w:rPr>
          <w:rFonts w:hint="eastAsia" w:ascii="宋体" w:hAnsi="宋体"/>
          <w:sz w:val="24"/>
        </w:rPr>
        <w:t>卡口在线率和完好率指标达到98%（含）以上，该项不扣费。在线率、完好率低于98%每下降一个百分点扣除总月服务费用的</w:t>
      </w:r>
      <w:r>
        <w:rPr>
          <w:rFonts w:ascii="宋体" w:hAnsi="宋体"/>
          <w:sz w:val="24"/>
        </w:rPr>
        <w:t>1</w:t>
      </w:r>
      <w:r>
        <w:rPr>
          <w:rFonts w:hint="eastAsia" w:ascii="宋体" w:hAnsi="宋体"/>
          <w:sz w:val="24"/>
        </w:rPr>
        <w:t>%；以此类推。低于9</w:t>
      </w:r>
      <w:r>
        <w:rPr>
          <w:rFonts w:ascii="宋体" w:hAnsi="宋体"/>
          <w:sz w:val="24"/>
        </w:rPr>
        <w:t>5</w:t>
      </w:r>
      <w:r>
        <w:rPr>
          <w:rFonts w:hint="eastAsia" w:ascii="宋体" w:hAnsi="宋体"/>
          <w:sz w:val="24"/>
        </w:rPr>
        <w:t>%不付费。</w:t>
      </w:r>
    </w:p>
    <w:p>
      <w:pPr>
        <w:numPr>
          <w:ilvl w:val="0"/>
          <w:numId w:val="14"/>
        </w:numPr>
        <w:spacing w:line="360" w:lineRule="auto"/>
        <w:rPr>
          <w:rFonts w:hint="eastAsia" w:ascii="宋体" w:hAnsi="宋体"/>
          <w:sz w:val="24"/>
        </w:rPr>
      </w:pPr>
      <w:bookmarkStart w:id="144" w:name="_Hlk510260667"/>
      <w:r>
        <w:rPr>
          <w:rFonts w:hint="eastAsia" w:ascii="宋体" w:hAnsi="宋体"/>
          <w:sz w:val="24"/>
        </w:rPr>
        <w:t>延时率考核根据上级政府部门通报的考核结果。合格率达到9</w:t>
      </w:r>
      <w:r>
        <w:rPr>
          <w:rFonts w:ascii="宋体" w:hAnsi="宋体"/>
          <w:sz w:val="24"/>
        </w:rPr>
        <w:t>5</w:t>
      </w:r>
      <w:r>
        <w:rPr>
          <w:rFonts w:hint="eastAsia" w:ascii="宋体" w:hAnsi="宋体"/>
          <w:sz w:val="24"/>
        </w:rPr>
        <w:t>%（含）以上，该项不扣费，低于9</w:t>
      </w:r>
      <w:r>
        <w:rPr>
          <w:rFonts w:ascii="宋体" w:hAnsi="宋体"/>
          <w:sz w:val="24"/>
        </w:rPr>
        <w:t>5</w:t>
      </w:r>
      <w:r>
        <w:rPr>
          <w:rFonts w:hint="eastAsia" w:ascii="宋体" w:hAnsi="宋体"/>
          <w:sz w:val="24"/>
        </w:rPr>
        <w:t>%则每下降一个百分点扣除总月服务费用的</w:t>
      </w:r>
      <w:r>
        <w:rPr>
          <w:rFonts w:ascii="宋体" w:hAnsi="宋体"/>
          <w:sz w:val="24"/>
        </w:rPr>
        <w:t>1</w:t>
      </w:r>
      <w:r>
        <w:rPr>
          <w:rFonts w:hint="eastAsia" w:ascii="宋体" w:hAnsi="宋体"/>
          <w:sz w:val="24"/>
        </w:rPr>
        <w:t>%；以此类推。低于9</w:t>
      </w:r>
      <w:r>
        <w:rPr>
          <w:rFonts w:ascii="宋体" w:hAnsi="宋体"/>
          <w:sz w:val="24"/>
        </w:rPr>
        <w:t>0</w:t>
      </w:r>
      <w:r>
        <w:rPr>
          <w:rFonts w:hint="eastAsia" w:ascii="宋体" w:hAnsi="宋体"/>
          <w:sz w:val="24"/>
        </w:rPr>
        <w:t>%不付费。</w:t>
      </w:r>
    </w:p>
    <w:bookmarkEnd w:id="144"/>
    <w:p>
      <w:pPr>
        <w:numPr>
          <w:ilvl w:val="0"/>
          <w:numId w:val="14"/>
        </w:numPr>
        <w:spacing w:line="360" w:lineRule="auto"/>
        <w:rPr>
          <w:rFonts w:hint="eastAsia" w:ascii="宋体" w:hAnsi="宋体"/>
          <w:sz w:val="24"/>
        </w:rPr>
      </w:pPr>
      <w:r>
        <w:rPr>
          <w:rFonts w:hint="eastAsia" w:ascii="宋体" w:hAnsi="宋体"/>
          <w:sz w:val="24"/>
        </w:rPr>
        <w:t>捕获率及各项识别准确率等低于</w:t>
      </w:r>
      <w:r>
        <w:rPr>
          <w:rFonts w:hint="eastAsia" w:ascii="宋体" w:hAnsi="宋体"/>
          <w:b/>
          <w:sz w:val="24"/>
        </w:rPr>
        <w:t>表B</w:t>
      </w:r>
      <w:r>
        <w:rPr>
          <w:rFonts w:hint="eastAsia" w:ascii="宋体" w:hAnsi="宋体"/>
          <w:sz w:val="24"/>
        </w:rPr>
        <w:t>指标一个百分点扣除总月服务费1%；以此类推。低于</w:t>
      </w:r>
      <w:r>
        <w:rPr>
          <w:rFonts w:hint="eastAsia" w:ascii="宋体" w:hAnsi="宋体"/>
          <w:b/>
          <w:sz w:val="24"/>
        </w:rPr>
        <w:t>表B</w:t>
      </w:r>
      <w:r>
        <w:rPr>
          <w:rFonts w:hint="eastAsia" w:ascii="宋体" w:hAnsi="宋体"/>
          <w:sz w:val="24"/>
        </w:rPr>
        <w:t>指标十个百分点不付费。</w:t>
      </w:r>
    </w:p>
    <w:p>
      <w:pPr>
        <w:numPr>
          <w:ilvl w:val="0"/>
          <w:numId w:val="14"/>
        </w:numPr>
        <w:spacing w:line="360" w:lineRule="auto"/>
        <w:rPr>
          <w:rFonts w:hint="eastAsia" w:ascii="宋体" w:hAnsi="宋体"/>
          <w:sz w:val="24"/>
        </w:rPr>
      </w:pPr>
      <w:r>
        <w:rPr>
          <w:rFonts w:hint="eastAsia" w:ascii="宋体" w:hAnsi="宋体"/>
          <w:sz w:val="24"/>
        </w:rPr>
        <w:t>由于自然灾害、不可抗力和人为等引起的点位故障和报备的点位，经业主单位视频监视指挥中心确认后，不计算在考核故障总时长内。</w:t>
      </w:r>
    </w:p>
    <w:p>
      <w:pPr>
        <w:spacing w:line="360" w:lineRule="auto"/>
        <w:jc w:val="left"/>
        <w:rPr>
          <w:rFonts w:hint="eastAsia" w:ascii="宋体" w:hAnsi="宋体"/>
          <w:b/>
          <w:sz w:val="24"/>
        </w:rPr>
      </w:pPr>
      <w:r>
        <w:rPr>
          <w:rFonts w:hint="eastAsia" w:ascii="宋体" w:hAnsi="宋体"/>
          <w:b/>
          <w:sz w:val="24"/>
        </w:rPr>
        <w:t>C：其他加扣费项考核</w:t>
      </w:r>
    </w:p>
    <w:p>
      <w:pPr>
        <w:numPr>
          <w:ilvl w:val="0"/>
          <w:numId w:val="14"/>
        </w:numPr>
        <w:spacing w:line="360" w:lineRule="auto"/>
        <w:rPr>
          <w:rFonts w:hint="eastAsia" w:ascii="宋体" w:hAnsi="宋体"/>
          <w:sz w:val="24"/>
        </w:rPr>
      </w:pPr>
      <w:r>
        <w:rPr>
          <w:rFonts w:hint="eastAsia" w:ascii="宋体" w:hAnsi="宋体"/>
          <w:sz w:val="24"/>
        </w:rPr>
        <w:t>交办工作：每月交办工作均以双方出具的工作联系单为准；由于服务单位未出具工作联系单，问题反馈、事件跟踪不及时的，按100元/次/天扣费。</w:t>
      </w:r>
    </w:p>
    <w:p>
      <w:pPr>
        <w:numPr>
          <w:ilvl w:val="0"/>
          <w:numId w:val="14"/>
        </w:numPr>
        <w:spacing w:line="360" w:lineRule="auto"/>
        <w:rPr>
          <w:rFonts w:hint="eastAsia" w:ascii="宋体" w:hAnsi="宋体"/>
          <w:sz w:val="24"/>
        </w:rPr>
      </w:pPr>
      <w:r>
        <w:rPr>
          <w:rFonts w:hint="eastAsia" w:ascii="宋体" w:hAnsi="宋体"/>
          <w:sz w:val="24"/>
        </w:rPr>
        <w:t>其他加扣费项：由于支撑不到位、响应不及时，影响政府工作及案件侦破等情况的，酌情扣1000至20000元。</w:t>
      </w:r>
    </w:p>
    <w:p>
      <w:pPr>
        <w:numPr>
          <w:ilvl w:val="0"/>
          <w:numId w:val="14"/>
        </w:numPr>
        <w:spacing w:line="360" w:lineRule="auto"/>
        <w:rPr>
          <w:rFonts w:hint="eastAsia" w:ascii="宋体" w:hAnsi="宋体"/>
          <w:sz w:val="24"/>
        </w:rPr>
      </w:pPr>
      <w:r>
        <w:rPr>
          <w:rFonts w:hint="eastAsia" w:ascii="宋体" w:hAnsi="宋体"/>
          <w:sz w:val="24"/>
        </w:rPr>
        <w:t>单路摄像机在月考核周期内，不上线不在线累计超过六天，该摄像机本月服务费按50%结算；不上线不在线连续超过九天或累计超过十四天，不支付该路摄像机本月服务费。</w:t>
      </w:r>
    </w:p>
    <w:p>
      <w:pPr>
        <w:numPr>
          <w:ilvl w:val="0"/>
          <w:numId w:val="14"/>
        </w:numPr>
        <w:spacing w:line="360" w:lineRule="auto"/>
        <w:rPr>
          <w:rFonts w:ascii="宋体" w:hAnsi="宋体"/>
          <w:sz w:val="24"/>
        </w:rPr>
      </w:pPr>
      <w:r>
        <w:rPr>
          <w:rFonts w:hint="eastAsia" w:ascii="宋体" w:hAnsi="宋体"/>
          <w:sz w:val="24"/>
        </w:rPr>
        <w:t>因人为因素造成多路摄像机丢失录像，认定为服务责任事故。3（含）路以上10路以下同时丢失5分钟录像以上的，为普通责任事故，发生一次扣除本月总月服务费的10%；10（含）路以上20路以下同时丢失5分钟录像以上或3路以上同时丢失总录像时长超过50分钟录像以上的，为严重服务责任事故，发生一次扣除本月总月服务费的20%；20(含)路以上同时丢失5分钟录像以上或3路以上同时丢失总录像时长超过100分钟以上的，为重大服务责任事故，发生一次扣除本月总月服务费的30%，直至不支付本月服务费。</w:t>
      </w:r>
    </w:p>
    <w:p>
      <w:pPr>
        <w:numPr>
          <w:ilvl w:val="0"/>
          <w:numId w:val="14"/>
        </w:numPr>
        <w:spacing w:line="360" w:lineRule="auto"/>
        <w:rPr>
          <w:rFonts w:hint="eastAsia" w:ascii="宋体" w:hAnsi="宋体"/>
          <w:sz w:val="24"/>
        </w:rPr>
      </w:pPr>
      <w:r>
        <w:rPr>
          <w:rFonts w:hint="eastAsia" w:ascii="宋体" w:hAnsi="宋体"/>
          <w:sz w:val="24"/>
        </w:rPr>
        <w:t>项目移交由双方共同确定项目移交日，服务单位未在规定时间完成移交的，每延期一天扣款月服务费的3%。</w:t>
      </w:r>
    </w:p>
    <w:p>
      <w:pPr>
        <w:numPr>
          <w:ilvl w:val="0"/>
          <w:numId w:val="14"/>
        </w:numPr>
        <w:spacing w:line="360" w:lineRule="auto"/>
        <w:rPr>
          <w:rFonts w:hint="eastAsia" w:ascii="宋体" w:hAnsi="宋体"/>
          <w:sz w:val="24"/>
        </w:rPr>
      </w:pPr>
      <w:r>
        <w:rPr>
          <w:rFonts w:hint="eastAsia" w:ascii="宋体" w:hAnsi="宋体"/>
          <w:sz w:val="24"/>
        </w:rPr>
        <w:t>以上未尽事项，双方协商后解决。</w:t>
      </w:r>
    </w:p>
    <w:p>
      <w:pPr>
        <w:spacing w:line="360" w:lineRule="auto"/>
        <w:rPr>
          <w:rFonts w:hint="eastAsia" w:ascii="宋体" w:hAnsi="宋体"/>
          <w:sz w:val="24"/>
        </w:rPr>
      </w:pPr>
      <w:r>
        <w:rPr>
          <w:rFonts w:hint="eastAsia" w:ascii="宋体" w:hAnsi="宋体"/>
          <w:b/>
          <w:sz w:val="24"/>
        </w:rPr>
        <w:t xml:space="preserve"> </w:t>
      </w:r>
      <w:r>
        <w:rPr>
          <w:rFonts w:hint="eastAsia" w:ascii="宋体" w:hAnsi="宋体"/>
          <w:sz w:val="24"/>
        </w:rPr>
        <w:t xml:space="preserve">  考核中所涉及的扣款从月服务费中扣除。</w:t>
      </w:r>
    </w:p>
    <w:p>
      <w:pPr>
        <w:pStyle w:val="53"/>
        <w:rPr>
          <w:rFonts w:hint="eastAsia" w:ascii="宋体" w:hAnsi="宋体"/>
          <w:b w:val="0"/>
          <w:sz w:val="24"/>
          <w:lang w:val="en-US"/>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3"/>
        <w:jc w:val="left"/>
        <w:rPr>
          <w:rFonts w:hint="eastAsia" w:ascii="宋体" w:hAnsi="宋体"/>
          <w:b w:val="0"/>
          <w:sz w:val="24"/>
        </w:rPr>
      </w:pPr>
    </w:p>
    <w:p>
      <w:pPr>
        <w:pStyle w:val="5"/>
        <w:spacing w:line="560" w:lineRule="exact"/>
        <w:rPr>
          <w:rFonts w:hint="eastAsia" w:ascii="宋体" w:hAnsi="宋体" w:eastAsia="宋体"/>
        </w:rPr>
      </w:pPr>
      <w:bookmarkStart w:id="145" w:name="_Toc112414196"/>
      <w:r>
        <w:rPr>
          <w:rFonts w:hint="eastAsia" w:ascii="宋体" w:hAnsi="宋体" w:eastAsia="宋体"/>
        </w:rPr>
        <w:t>第五章　投标相关文件格式</w:t>
      </w:r>
      <w:bookmarkEnd w:id="145"/>
      <w:bookmarkStart w:id="146" w:name="_Toc47756041"/>
      <w:bookmarkStart w:id="147" w:name="_Toc15805942"/>
      <w:bookmarkStart w:id="148" w:name="_Toc15813259"/>
      <w:bookmarkStart w:id="149" w:name="_Toc45506740"/>
    </w:p>
    <w:p>
      <w:pPr>
        <w:rPr>
          <w:rFonts w:hint="eastAsia"/>
        </w:rPr>
      </w:pPr>
    </w:p>
    <w:p>
      <w:pPr>
        <w:rPr>
          <w:rFonts w:hint="eastAsia"/>
        </w:rPr>
      </w:pPr>
    </w:p>
    <w:p>
      <w:pPr>
        <w:rPr>
          <w:rFonts w:hint="eastAsia"/>
        </w:rPr>
      </w:pPr>
    </w:p>
    <w:p>
      <w:pPr>
        <w:rPr>
          <w:rFonts w:hint="eastAsia"/>
        </w:rPr>
      </w:pPr>
    </w:p>
    <w:p>
      <w:pPr>
        <w:pStyle w:val="6"/>
        <w:ind w:firstLine="3120" w:firstLineChars="1040"/>
        <w:rPr>
          <w:rFonts w:hint="eastAsia" w:ascii="宋体" w:hAnsi="宋体" w:eastAsia="宋体"/>
          <w:b w:val="0"/>
          <w:bCs w:val="0"/>
        </w:rPr>
      </w:pPr>
      <w:bookmarkStart w:id="150" w:name="_Toc112414197"/>
      <w:r>
        <w:rPr>
          <w:rFonts w:hint="eastAsia" w:ascii="宋体" w:hAnsi="宋体" w:eastAsia="宋体"/>
          <w:b w:val="0"/>
          <w:bCs w:val="0"/>
        </w:rPr>
        <w:t>一   资格文件格式</w:t>
      </w:r>
      <w:bookmarkEnd w:id="150"/>
    </w:p>
    <w:p>
      <w:pPr>
        <w:pStyle w:val="7"/>
        <w:ind w:firstLine="1974" w:firstLineChars="940"/>
        <w:rPr>
          <w:rFonts w:hint="eastAsia"/>
        </w:rPr>
      </w:pPr>
    </w:p>
    <w:p>
      <w:pPr>
        <w:pStyle w:val="7"/>
        <w:jc w:val="center"/>
        <w:rPr>
          <w:rFonts w:hint="eastAsia" w:ascii="宋体" w:hAnsi="宋体"/>
        </w:rPr>
      </w:pPr>
      <w:r>
        <w:rPr>
          <w:rFonts w:ascii="宋体" w:hAnsi="宋体"/>
        </w:rPr>
        <w:br w:type="page"/>
      </w:r>
    </w:p>
    <w:p>
      <w:pPr>
        <w:spacing w:line="360" w:lineRule="auto"/>
        <w:jc w:val="center"/>
        <w:rPr>
          <w:rFonts w:hint="eastAsia" w:ascii="宋体" w:hAnsi="宋体"/>
          <w:b/>
          <w:sz w:val="30"/>
        </w:rPr>
      </w:pPr>
    </w:p>
    <w:p>
      <w:pPr>
        <w:spacing w:line="360" w:lineRule="auto"/>
        <w:jc w:val="center"/>
        <w:rPr>
          <w:rFonts w:hint="eastAsia" w:ascii="宋体" w:hAnsi="宋体"/>
          <w:b/>
          <w:sz w:val="30"/>
        </w:rPr>
      </w:pPr>
    </w:p>
    <w:p>
      <w:pPr>
        <w:spacing w:line="360" w:lineRule="auto"/>
        <w:jc w:val="center"/>
        <w:rPr>
          <w:rFonts w:hint="eastAsia" w:ascii="宋体" w:hAnsi="宋体"/>
          <w:b/>
          <w:sz w:val="30"/>
        </w:rPr>
      </w:pPr>
      <w:r>
        <w:rPr>
          <w:rFonts w:hint="eastAsia" w:ascii="宋体" w:hAnsi="宋体"/>
          <w:b/>
          <w:sz w:val="36"/>
        </w:rPr>
        <w:t>资格文件封面</w:t>
      </w:r>
    </w:p>
    <w:p>
      <w:pPr>
        <w:pStyle w:val="7"/>
        <w:ind w:firstLine="1497" w:firstLineChars="416"/>
        <w:rPr>
          <w:rFonts w:hint="eastAsia" w:ascii="宋体" w:hAnsi="宋体"/>
          <w:sz w:val="36"/>
        </w:rPr>
      </w:pPr>
    </w:p>
    <w:p>
      <w:pPr>
        <w:pStyle w:val="7"/>
        <w:ind w:firstLine="1331" w:firstLineChars="416"/>
        <w:rPr>
          <w:rFonts w:hint="eastAsia" w:ascii="宋体" w:hAnsi="宋体"/>
          <w:sz w:val="32"/>
          <w:szCs w:val="32"/>
        </w:rPr>
      </w:pPr>
    </w:p>
    <w:p>
      <w:pPr>
        <w:pStyle w:val="7"/>
        <w:ind w:firstLine="1497" w:firstLineChars="416"/>
        <w:rPr>
          <w:rFonts w:hint="eastAsia" w:ascii="宋体" w:hAnsi="宋体"/>
          <w:sz w:val="36"/>
          <w:szCs w:val="32"/>
        </w:rPr>
      </w:pPr>
      <w:r>
        <w:rPr>
          <w:rFonts w:ascii="宋体" w:hAnsi="宋体"/>
          <w:sz w:val="36"/>
          <w:szCs w:val="32"/>
        </w:rPr>
        <w:t>采购编号：</w:t>
      </w:r>
    </w:p>
    <w:p>
      <w:pPr>
        <w:pStyle w:val="7"/>
        <w:ind w:firstLine="1497" w:firstLineChars="416"/>
        <w:rPr>
          <w:rFonts w:ascii="宋体" w:hAnsi="宋体"/>
          <w:sz w:val="36"/>
          <w:szCs w:val="32"/>
        </w:rPr>
      </w:pPr>
    </w:p>
    <w:p>
      <w:pPr>
        <w:pStyle w:val="7"/>
        <w:ind w:firstLine="1497" w:firstLineChars="416"/>
        <w:rPr>
          <w:rFonts w:hint="eastAsia" w:ascii="宋体" w:hAnsi="宋体"/>
          <w:sz w:val="36"/>
          <w:szCs w:val="32"/>
        </w:rPr>
      </w:pPr>
    </w:p>
    <w:p>
      <w:pPr>
        <w:pStyle w:val="7"/>
        <w:ind w:firstLine="0"/>
        <w:rPr>
          <w:rFonts w:hint="eastAsia" w:ascii="宋体" w:hAnsi="宋体"/>
          <w:sz w:val="36"/>
          <w:szCs w:val="32"/>
        </w:rPr>
      </w:pPr>
    </w:p>
    <w:p>
      <w:pPr>
        <w:pStyle w:val="7"/>
        <w:ind w:firstLine="1497" w:firstLineChars="416"/>
        <w:rPr>
          <w:rFonts w:ascii="宋体" w:hAnsi="宋体"/>
          <w:sz w:val="36"/>
          <w:szCs w:val="32"/>
        </w:rPr>
      </w:pPr>
      <w:r>
        <w:rPr>
          <w:rFonts w:ascii="宋体" w:hAnsi="宋体"/>
          <w:sz w:val="36"/>
          <w:szCs w:val="32"/>
        </w:rPr>
        <w:t>项目名称</w:t>
      </w:r>
      <w:r>
        <w:rPr>
          <w:rFonts w:hint="eastAsia" w:ascii="宋体" w:hAnsi="宋体"/>
          <w:sz w:val="36"/>
          <w:szCs w:val="32"/>
        </w:rPr>
        <w:t xml:space="preserve">：                   </w:t>
      </w: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r>
        <w:rPr>
          <w:rFonts w:ascii="宋体" w:hAnsi="宋体"/>
          <w:sz w:val="36"/>
          <w:szCs w:val="32"/>
        </w:rPr>
        <w:t>投标文件名称：</w:t>
      </w:r>
      <w:r>
        <w:rPr>
          <w:rFonts w:hint="eastAsia" w:ascii="宋体" w:hAnsi="宋体"/>
          <w:sz w:val="36"/>
          <w:szCs w:val="32"/>
        </w:rPr>
        <w:t>资格文件</w:t>
      </w: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p>
    <w:p>
      <w:pPr>
        <w:pStyle w:val="7"/>
        <w:ind w:firstLine="0"/>
        <w:rPr>
          <w:rFonts w:hint="eastAsia" w:ascii="宋体" w:hAnsi="宋体"/>
          <w:sz w:val="36"/>
          <w:szCs w:val="32"/>
        </w:rPr>
      </w:pPr>
    </w:p>
    <w:p>
      <w:pPr>
        <w:pStyle w:val="7"/>
        <w:ind w:firstLine="1497" w:firstLineChars="416"/>
        <w:rPr>
          <w:rFonts w:ascii="宋体" w:hAnsi="宋体"/>
          <w:sz w:val="36"/>
          <w:szCs w:val="32"/>
        </w:rPr>
      </w:pPr>
      <w:r>
        <w:rPr>
          <w:rFonts w:ascii="宋体" w:hAnsi="宋体"/>
          <w:sz w:val="36"/>
          <w:szCs w:val="32"/>
        </w:rPr>
        <w:t>投标人名称（</w:t>
      </w:r>
      <w:r>
        <w:rPr>
          <w:rFonts w:hint="eastAsia" w:ascii="宋体" w:hAnsi="宋体"/>
          <w:sz w:val="36"/>
          <w:szCs w:val="32"/>
        </w:rPr>
        <w:t>CA签章</w:t>
      </w:r>
      <w:r>
        <w:rPr>
          <w:rFonts w:ascii="宋体" w:hAnsi="宋体"/>
          <w:sz w:val="36"/>
          <w:szCs w:val="32"/>
        </w:rPr>
        <w:t>）：</w:t>
      </w:r>
    </w:p>
    <w:p>
      <w:pPr>
        <w:pStyle w:val="7"/>
        <w:ind w:firstLine="1497" w:firstLineChars="416"/>
        <w:rPr>
          <w:rFonts w:hint="eastAsia" w:ascii="宋体" w:hAnsi="宋体"/>
          <w:sz w:val="36"/>
          <w:szCs w:val="32"/>
        </w:rPr>
      </w:pPr>
    </w:p>
    <w:p>
      <w:pPr>
        <w:pStyle w:val="7"/>
        <w:ind w:firstLine="0"/>
        <w:rPr>
          <w:rFonts w:hint="eastAsia" w:ascii="宋体" w:hAnsi="宋体"/>
          <w:sz w:val="36"/>
          <w:szCs w:val="32"/>
        </w:rPr>
      </w:pPr>
    </w:p>
    <w:p>
      <w:pPr>
        <w:pStyle w:val="7"/>
        <w:ind w:firstLine="0"/>
        <w:rPr>
          <w:rFonts w:hint="eastAsia" w:ascii="宋体" w:hAnsi="宋体"/>
          <w:sz w:val="36"/>
          <w:szCs w:val="32"/>
        </w:rPr>
      </w:pPr>
    </w:p>
    <w:p>
      <w:pPr>
        <w:pStyle w:val="7"/>
        <w:ind w:firstLine="1497" w:firstLineChars="416"/>
        <w:rPr>
          <w:rFonts w:hint="eastAsia" w:ascii="宋体" w:hAnsi="宋体"/>
          <w:sz w:val="36"/>
          <w:szCs w:val="32"/>
        </w:rPr>
      </w:pPr>
      <w:r>
        <w:rPr>
          <w:rFonts w:ascii="宋体" w:hAnsi="宋体"/>
          <w:sz w:val="36"/>
          <w:szCs w:val="32"/>
        </w:rPr>
        <w:t>投标人地址：</w:t>
      </w:r>
    </w:p>
    <w:p>
      <w:pPr>
        <w:pStyle w:val="7"/>
        <w:ind w:firstLine="0"/>
        <w:rPr>
          <w:rFonts w:hint="eastAsia" w:ascii="宋体" w:hAnsi="宋体"/>
          <w:sz w:val="36"/>
        </w:rPr>
      </w:pPr>
    </w:p>
    <w:p>
      <w:pPr>
        <w:pStyle w:val="7"/>
        <w:ind w:firstLine="0"/>
        <w:rPr>
          <w:rFonts w:ascii="宋体" w:hAnsi="宋体"/>
          <w:sz w:val="36"/>
        </w:rPr>
      </w:pPr>
    </w:p>
    <w:p>
      <w:pPr>
        <w:pStyle w:val="7"/>
        <w:ind w:firstLine="1440" w:firstLineChars="400"/>
        <w:rPr>
          <w:rFonts w:hint="eastAsia" w:ascii="宋体" w:hAnsi="宋体"/>
          <w:sz w:val="36"/>
        </w:rPr>
      </w:pPr>
    </w:p>
    <w:p>
      <w:pPr>
        <w:pStyle w:val="7"/>
        <w:ind w:firstLine="1440" w:firstLineChars="400"/>
        <w:rPr>
          <w:rFonts w:hint="eastAsia" w:ascii="宋体" w:hAnsi="宋体"/>
          <w:sz w:val="36"/>
        </w:rPr>
      </w:pPr>
    </w:p>
    <w:p>
      <w:pPr>
        <w:pStyle w:val="7"/>
        <w:ind w:firstLine="1440" w:firstLineChars="400"/>
        <w:rPr>
          <w:rFonts w:hint="eastAsia" w:ascii="宋体" w:hAnsi="宋体"/>
          <w:sz w:val="36"/>
        </w:rPr>
      </w:pPr>
    </w:p>
    <w:p>
      <w:pPr>
        <w:spacing w:line="360" w:lineRule="auto"/>
        <w:jc w:val="center"/>
        <w:rPr>
          <w:rFonts w:hint="eastAsia" w:ascii="宋体" w:hAnsi="宋体"/>
          <w:b/>
          <w:sz w:val="30"/>
        </w:rPr>
      </w:pPr>
    </w:p>
    <w:p>
      <w:pPr>
        <w:spacing w:line="360" w:lineRule="auto"/>
        <w:jc w:val="center"/>
        <w:rPr>
          <w:rFonts w:hint="eastAsia" w:ascii="宋体" w:hAnsi="宋体"/>
          <w:b/>
          <w:sz w:val="30"/>
        </w:rPr>
      </w:pPr>
    </w:p>
    <w:p>
      <w:pPr>
        <w:spacing w:line="360" w:lineRule="auto"/>
        <w:jc w:val="center"/>
        <w:rPr>
          <w:rFonts w:ascii="宋体" w:hAnsi="宋体"/>
          <w:b/>
          <w:sz w:val="30"/>
        </w:rPr>
      </w:pPr>
      <w:r>
        <w:rPr>
          <w:rFonts w:hint="eastAsia" w:ascii="宋体" w:hAnsi="宋体"/>
          <w:b/>
          <w:sz w:val="30"/>
        </w:rPr>
        <w:t>▲1、公司有效营业执照</w:t>
      </w:r>
    </w:p>
    <w:p>
      <w:pPr>
        <w:spacing w:line="360" w:lineRule="auto"/>
        <w:rPr>
          <w:rFonts w:hint="eastAsia" w:ascii="宋体" w:hAnsi="宋体"/>
          <w:sz w:val="24"/>
        </w:rPr>
      </w:pPr>
      <w:r>
        <w:rPr>
          <w:rFonts w:hint="eastAsia" w:ascii="宋体" w:hAnsi="宋体"/>
          <w:sz w:val="24"/>
        </w:rPr>
        <w:t>要求：</w:t>
      </w:r>
    </w:p>
    <w:p>
      <w:pPr>
        <w:spacing w:line="360" w:lineRule="auto"/>
        <w:rPr>
          <w:rFonts w:hint="eastAsia" w:ascii="宋体" w:hAnsi="宋体"/>
          <w:sz w:val="24"/>
        </w:rPr>
      </w:pPr>
      <w:r>
        <w:rPr>
          <w:rFonts w:hint="eastAsia" w:ascii="宋体" w:hAnsi="宋体"/>
          <w:sz w:val="24"/>
        </w:rPr>
        <w:t>1.提供</w:t>
      </w:r>
      <w:r>
        <w:rPr>
          <w:rFonts w:ascii="宋体" w:hAnsi="宋体"/>
          <w:sz w:val="24"/>
        </w:rPr>
        <w:t>有效的营业执照</w:t>
      </w:r>
      <w:r>
        <w:rPr>
          <w:rFonts w:hint="eastAsia" w:ascii="宋体" w:hAnsi="宋体"/>
          <w:sz w:val="24"/>
        </w:rPr>
        <w:t>扫描件</w:t>
      </w:r>
      <w:r>
        <w:rPr>
          <w:rFonts w:ascii="宋体" w:hAnsi="宋体"/>
          <w:sz w:val="24"/>
        </w:rPr>
        <w:t>；</w:t>
      </w:r>
    </w:p>
    <w:p>
      <w:pPr>
        <w:spacing w:line="360" w:lineRule="auto"/>
        <w:rPr>
          <w:rFonts w:hint="eastAsia" w:ascii="宋体" w:hAnsi="宋体"/>
          <w:sz w:val="24"/>
        </w:rPr>
      </w:pPr>
    </w:p>
    <w:p>
      <w:pPr>
        <w:spacing w:line="360" w:lineRule="auto"/>
        <w:jc w:val="center"/>
        <w:rPr>
          <w:rFonts w:hint="eastAsia" w:ascii="宋体" w:hAnsi="宋体"/>
          <w:sz w:val="30"/>
        </w:rPr>
      </w:pPr>
    </w:p>
    <w:p>
      <w:pPr>
        <w:pStyle w:val="2"/>
        <w:rPr>
          <w:rFonts w:hint="eastAsia"/>
          <w:lang w:val="en-US"/>
        </w:rPr>
      </w:pPr>
    </w:p>
    <w:bookmarkEnd w:id="146"/>
    <w:bookmarkEnd w:id="147"/>
    <w:bookmarkEnd w:id="148"/>
    <w:bookmarkEnd w:id="149"/>
    <w:p>
      <w:pPr>
        <w:spacing w:line="360" w:lineRule="auto"/>
        <w:jc w:val="center"/>
        <w:rPr>
          <w:rFonts w:hAnsi="宋体"/>
          <w:b/>
          <w:sz w:val="32"/>
        </w:rPr>
      </w:pPr>
      <w:bookmarkStart w:id="151" w:name="_Toc208049590"/>
    </w:p>
    <w:p>
      <w:pPr>
        <w:rPr>
          <w:rFonts w:hAnsi="宋体"/>
          <w:sz w:val="32"/>
        </w:rPr>
      </w:pPr>
    </w:p>
    <w:p>
      <w:pPr>
        <w:rPr>
          <w:rFonts w:hAnsi="宋体"/>
          <w:sz w:val="32"/>
        </w:rPr>
      </w:pPr>
    </w:p>
    <w:p>
      <w:pPr>
        <w:rPr>
          <w:rFonts w:hAnsi="宋体"/>
          <w:sz w:val="32"/>
        </w:rPr>
      </w:pPr>
    </w:p>
    <w:p>
      <w:pPr>
        <w:rPr>
          <w:rFonts w:hAnsi="宋体"/>
          <w:sz w:val="32"/>
        </w:rPr>
      </w:pPr>
    </w:p>
    <w:p>
      <w:pPr>
        <w:rPr>
          <w:rFonts w:hAnsi="宋体"/>
          <w:sz w:val="32"/>
        </w:rPr>
      </w:pPr>
    </w:p>
    <w:p>
      <w:pPr>
        <w:rPr>
          <w:rFonts w:hAnsi="宋体"/>
          <w:sz w:val="32"/>
        </w:rPr>
      </w:pPr>
    </w:p>
    <w:p>
      <w:pPr>
        <w:rPr>
          <w:rFonts w:hAnsi="宋体"/>
          <w:sz w:val="32"/>
        </w:rPr>
      </w:pPr>
    </w:p>
    <w:p>
      <w:pPr>
        <w:rPr>
          <w:rFonts w:hAnsi="宋体"/>
          <w:sz w:val="32"/>
        </w:rPr>
      </w:pPr>
    </w:p>
    <w:p>
      <w:pPr>
        <w:rPr>
          <w:rFonts w:hAnsi="宋体"/>
          <w:sz w:val="32"/>
        </w:rPr>
      </w:pPr>
    </w:p>
    <w:p>
      <w:pPr>
        <w:spacing w:line="360" w:lineRule="auto"/>
        <w:jc w:val="center"/>
        <w:rPr>
          <w:rFonts w:ascii="宋体" w:hAnsi="宋体"/>
          <w:b/>
          <w:sz w:val="30"/>
        </w:rPr>
      </w:pPr>
      <w:r>
        <w:rPr>
          <w:rFonts w:hint="eastAsia" w:ascii="宋体" w:hAnsi="宋体"/>
          <w:b/>
          <w:sz w:val="30"/>
        </w:rPr>
        <w:t>▲2、中华人民共和国基础电信业务经营许可证扫描件或具有广播电视网络建设开发、经营管理和维护能力的证明材料扫描件；</w:t>
      </w:r>
    </w:p>
    <w:p>
      <w:pPr>
        <w:spacing w:line="360" w:lineRule="auto"/>
        <w:rPr>
          <w:rFonts w:hint="eastAsia" w:ascii="宋体" w:hAnsi="宋体"/>
          <w:sz w:val="24"/>
        </w:rPr>
      </w:pPr>
      <w:r>
        <w:rPr>
          <w:rFonts w:hint="eastAsia" w:ascii="宋体" w:hAnsi="宋体"/>
          <w:sz w:val="24"/>
        </w:rPr>
        <w:t>要求：</w:t>
      </w:r>
    </w:p>
    <w:p>
      <w:pPr>
        <w:spacing w:line="360" w:lineRule="auto"/>
        <w:rPr>
          <w:rFonts w:hint="eastAsia" w:ascii="宋体" w:hAnsi="宋体"/>
          <w:sz w:val="24"/>
        </w:rPr>
      </w:pPr>
      <w:r>
        <w:rPr>
          <w:rFonts w:hint="eastAsia" w:ascii="宋体" w:hAnsi="宋体"/>
          <w:sz w:val="24"/>
        </w:rPr>
        <w:t>1.提供</w:t>
      </w:r>
      <w:r>
        <w:rPr>
          <w:rFonts w:ascii="宋体" w:hAnsi="宋体"/>
          <w:sz w:val="24"/>
        </w:rPr>
        <w:t>有效的</w:t>
      </w:r>
      <w:r>
        <w:rPr>
          <w:rFonts w:hint="eastAsia" w:ascii="宋体" w:hAnsi="宋体"/>
          <w:sz w:val="24"/>
        </w:rPr>
        <w:t>证书或证明材料扫描件</w:t>
      </w:r>
      <w:r>
        <w:rPr>
          <w:rFonts w:ascii="宋体" w:hAnsi="宋体"/>
          <w:sz w:val="24"/>
        </w:rPr>
        <w:t>；</w:t>
      </w:r>
    </w:p>
    <w:p>
      <w:pPr>
        <w:spacing w:line="360" w:lineRule="auto"/>
        <w:jc w:val="center"/>
        <w:rPr>
          <w:rFonts w:hAnsi="宋体"/>
          <w:b/>
          <w:sz w:val="32"/>
        </w:rPr>
      </w:pPr>
      <w:r>
        <w:rPr>
          <w:rFonts w:hAnsi="宋体"/>
          <w:sz w:val="32"/>
        </w:rPr>
        <w:br w:type="page"/>
      </w:r>
      <w:r>
        <w:rPr>
          <w:rFonts w:hint="eastAsia" w:hAnsi="宋体"/>
          <w:b/>
          <w:spacing w:val="-8"/>
          <w:sz w:val="32"/>
        </w:rPr>
        <w:t>▲</w:t>
      </w:r>
      <w:r>
        <w:rPr>
          <w:rFonts w:hint="eastAsia" w:hAnsi="宋体"/>
          <w:b/>
          <w:sz w:val="32"/>
        </w:rPr>
        <w:t>3、投标人代表委派书</w:t>
      </w:r>
    </w:p>
    <w:p>
      <w:pPr>
        <w:pStyle w:val="252"/>
        <w:spacing w:line="440" w:lineRule="exact"/>
        <w:jc w:val="center"/>
        <w:rPr>
          <w:rFonts w:hint="eastAsia" w:ascii="宋体" w:hAnsi="宋体"/>
          <w:b/>
          <w:sz w:val="24"/>
        </w:rPr>
      </w:pPr>
    </w:p>
    <w:p>
      <w:pPr>
        <w:pStyle w:val="252"/>
        <w:spacing w:line="440" w:lineRule="exact"/>
        <w:rPr>
          <w:rFonts w:ascii="宋体" w:hAnsi="宋体"/>
          <w:b/>
          <w:sz w:val="24"/>
          <w:szCs w:val="21"/>
          <w:lang/>
        </w:rPr>
      </w:pPr>
      <w:r>
        <w:rPr>
          <w:rFonts w:hint="eastAsia" w:ascii="宋体" w:hAnsi="宋体"/>
          <w:sz w:val="24"/>
          <w:szCs w:val="21"/>
          <w:u w:val="single"/>
          <w:lang/>
        </w:rPr>
        <w:t>（代理机构名称）</w:t>
      </w:r>
      <w:r>
        <w:rPr>
          <w:rFonts w:hint="eastAsia" w:ascii="宋体" w:hAnsi="宋体"/>
          <w:sz w:val="24"/>
          <w:szCs w:val="21"/>
          <w:lang/>
        </w:rPr>
        <w:t>：</w:t>
      </w:r>
    </w:p>
    <w:p>
      <w:pPr>
        <w:pStyle w:val="252"/>
        <w:autoSpaceDE w:val="0"/>
        <w:autoSpaceDN w:val="0"/>
        <w:spacing w:line="440" w:lineRule="exact"/>
        <w:textAlignment w:val="bottom"/>
        <w:rPr>
          <w:rFonts w:ascii="宋体" w:hAnsi="宋体"/>
          <w:sz w:val="24"/>
          <w:szCs w:val="20"/>
        </w:rPr>
      </w:pPr>
      <w:r>
        <w:rPr>
          <w:rFonts w:hint="eastAsia" w:ascii="宋体" w:hAnsi="宋体"/>
        </w:rPr>
        <w:t xml:space="preserve">   </w:t>
      </w:r>
      <w:r>
        <w:rPr>
          <w:rFonts w:hint="eastAsia" w:ascii="宋体" w:hAnsi="宋体"/>
          <w:sz w:val="24"/>
          <w:szCs w:val="20"/>
        </w:rPr>
        <w:t xml:space="preserve">  我单位</w:t>
      </w:r>
      <w:r>
        <w:rPr>
          <w:rFonts w:hint="eastAsia" w:ascii="宋体" w:hAnsi="宋体"/>
          <w:sz w:val="24"/>
          <w:szCs w:val="20"/>
          <w:u w:val="single"/>
        </w:rPr>
        <w:t xml:space="preserve">    （投标人）  </w:t>
      </w:r>
      <w:r>
        <w:rPr>
          <w:rFonts w:hint="eastAsia" w:ascii="宋体" w:hAnsi="宋体"/>
          <w:sz w:val="24"/>
          <w:szCs w:val="20"/>
        </w:rPr>
        <w:t>现委派</w:t>
      </w:r>
      <w:r>
        <w:rPr>
          <w:rFonts w:hint="eastAsia" w:ascii="宋体" w:hAnsi="宋体"/>
          <w:b/>
          <w:sz w:val="24"/>
          <w:szCs w:val="20"/>
        </w:rPr>
        <w:t>本单位在职职工</w:t>
      </w:r>
      <w:r>
        <w:rPr>
          <w:rFonts w:hint="eastAsia" w:ascii="宋体" w:hAnsi="宋体"/>
          <w:sz w:val="24"/>
          <w:szCs w:val="20"/>
          <w:u w:val="single"/>
        </w:rPr>
        <w:t xml:space="preserve">              （姓名及联系电话）</w:t>
      </w:r>
      <w:r>
        <w:rPr>
          <w:rFonts w:hint="eastAsia" w:ascii="宋体" w:hAnsi="宋体"/>
          <w:sz w:val="24"/>
          <w:szCs w:val="20"/>
        </w:rPr>
        <w:t>以我方的名义参加就贵方组织的</w:t>
      </w:r>
      <w:r>
        <w:rPr>
          <w:rFonts w:hint="eastAsia" w:ascii="宋体" w:hAnsi="宋体"/>
          <w:sz w:val="24"/>
          <w:szCs w:val="20"/>
          <w:u w:val="single"/>
        </w:rPr>
        <w:t xml:space="preserve">                         （采购项目名称）</w:t>
      </w:r>
      <w:r>
        <w:rPr>
          <w:rFonts w:hint="eastAsia" w:ascii="宋体" w:hAnsi="宋体"/>
          <w:sz w:val="24"/>
          <w:szCs w:val="20"/>
        </w:rPr>
        <w:t>（采购编号：</w:t>
      </w:r>
      <w:r>
        <w:rPr>
          <w:rFonts w:hint="eastAsia" w:ascii="宋体" w:hAnsi="宋体"/>
          <w:sz w:val="24"/>
          <w:szCs w:val="20"/>
          <w:u w:val="single"/>
        </w:rPr>
        <w:t xml:space="preserve">　　　　  </w:t>
      </w:r>
      <w:r>
        <w:rPr>
          <w:rFonts w:hint="eastAsia" w:ascii="宋体" w:hAnsi="宋体"/>
          <w:sz w:val="24"/>
          <w:szCs w:val="20"/>
        </w:rPr>
        <w:t>）项目的投标活动，并代表我方全权办理针对上述项目的投标、开标、评审、签约等具体事务和签署相关文件。</w:t>
      </w:r>
    </w:p>
    <w:p>
      <w:pPr>
        <w:pStyle w:val="252"/>
        <w:autoSpaceDE w:val="0"/>
        <w:autoSpaceDN w:val="0"/>
        <w:spacing w:line="440" w:lineRule="exact"/>
        <w:textAlignment w:val="bottom"/>
        <w:rPr>
          <w:rFonts w:ascii="宋体" w:hAnsi="宋体"/>
          <w:sz w:val="24"/>
          <w:szCs w:val="20"/>
        </w:rPr>
      </w:pPr>
      <w:r>
        <w:rPr>
          <w:rFonts w:hint="eastAsia" w:ascii="宋体" w:hAnsi="宋体"/>
          <w:sz w:val="24"/>
          <w:szCs w:val="20"/>
        </w:rPr>
        <w:t xml:space="preserve">    我方对投标人代表的签字或盖章事项负全部责任。</w:t>
      </w:r>
    </w:p>
    <w:p>
      <w:pPr>
        <w:pStyle w:val="252"/>
        <w:spacing w:line="440" w:lineRule="exact"/>
        <w:ind w:firstLine="480"/>
        <w:rPr>
          <w:rFonts w:ascii="宋体" w:hAnsi="宋体"/>
          <w:sz w:val="24"/>
          <w:szCs w:val="21"/>
          <w:lang/>
        </w:rPr>
      </w:pPr>
      <w:r>
        <w:rPr>
          <w:rFonts w:hint="eastAsia" w:ascii="宋体" w:hAnsi="宋体"/>
          <w:sz w:val="24"/>
          <w:szCs w:val="21"/>
          <w:lang/>
        </w:rPr>
        <w:t>本委派书自签署之日起生效，在撤销委派的书面通知送达贵方以前，本委派书一直有效。投标人代表在委派书有效期内签署的所有文件不因授权的撤销而失效。</w:t>
      </w:r>
    </w:p>
    <w:p>
      <w:pPr>
        <w:pStyle w:val="252"/>
        <w:spacing w:line="440" w:lineRule="exact"/>
        <w:ind w:firstLine="480"/>
        <w:rPr>
          <w:rFonts w:ascii="宋体" w:hAnsi="宋体"/>
          <w:sz w:val="24"/>
          <w:szCs w:val="21"/>
          <w:lang/>
        </w:rPr>
      </w:pPr>
      <w:r>
        <w:rPr>
          <w:rFonts w:hint="eastAsia" w:ascii="宋体" w:hAnsi="宋体"/>
          <w:sz w:val="24"/>
          <w:szCs w:val="21"/>
          <w:lang/>
        </w:rPr>
        <w:t>投标人代表无转委托权，特此声明。</w:t>
      </w:r>
    </w:p>
    <w:p>
      <w:pPr>
        <w:pStyle w:val="252"/>
        <w:spacing w:line="440" w:lineRule="exact"/>
        <w:rPr>
          <w:rFonts w:hint="eastAsia" w:ascii="宋体" w:hAnsi="宋体"/>
          <w:sz w:val="24"/>
          <w:szCs w:val="21"/>
          <w:lang/>
        </w:rPr>
      </w:pPr>
    </w:p>
    <w:p>
      <w:pPr>
        <w:pStyle w:val="252"/>
        <w:spacing w:line="440" w:lineRule="exact"/>
        <w:ind w:firstLine="3090" w:firstLineChars="1100"/>
        <w:rPr>
          <w:rFonts w:ascii="宋体" w:hAnsi="宋体"/>
          <w:spacing w:val="20"/>
          <w:sz w:val="24"/>
          <w:szCs w:val="21"/>
          <w:u w:val="single"/>
          <w:lang/>
        </w:rPr>
      </w:pPr>
      <w:r>
        <w:rPr>
          <w:rFonts w:hint="eastAsia" w:ascii="宋体" w:hAnsi="宋体"/>
          <w:b/>
          <w:spacing w:val="20"/>
          <w:sz w:val="24"/>
          <w:szCs w:val="21"/>
          <w:lang/>
        </w:rPr>
        <w:t>投标人</w:t>
      </w:r>
      <w:r>
        <w:rPr>
          <w:rFonts w:ascii="宋体" w:hAnsi="宋体"/>
          <w:b/>
          <w:spacing w:val="20"/>
          <w:sz w:val="24"/>
          <w:szCs w:val="21"/>
          <w:lang/>
        </w:rPr>
        <w:t>盖章</w:t>
      </w:r>
      <w:r>
        <w:rPr>
          <w:rFonts w:hint="eastAsia" w:ascii="宋体" w:hAnsi="宋体"/>
          <w:b/>
          <w:spacing w:val="20"/>
          <w:sz w:val="24"/>
          <w:szCs w:val="21"/>
          <w:lang/>
        </w:rPr>
        <w:t>（CA签章</w:t>
      </w:r>
      <w:r>
        <w:rPr>
          <w:rFonts w:hint="eastAsia" w:ascii="宋体" w:hAnsi="宋体"/>
          <w:spacing w:val="20"/>
          <w:sz w:val="24"/>
          <w:szCs w:val="21"/>
          <w:lang/>
        </w:rPr>
        <w:t>）</w:t>
      </w:r>
      <w:r>
        <w:rPr>
          <w:rFonts w:ascii="宋体" w:hAnsi="宋体"/>
          <w:spacing w:val="20"/>
          <w:sz w:val="24"/>
          <w:szCs w:val="21"/>
          <w:lang/>
        </w:rPr>
        <w:t>：</w:t>
      </w:r>
      <w:r>
        <w:rPr>
          <w:rFonts w:ascii="宋体" w:hAnsi="宋体"/>
          <w:spacing w:val="20"/>
          <w:sz w:val="24"/>
          <w:szCs w:val="21"/>
          <w:u w:val="single"/>
          <w:lang/>
        </w:rPr>
        <w:t xml:space="preserve">           </w:t>
      </w:r>
    </w:p>
    <w:p>
      <w:pPr>
        <w:pStyle w:val="252"/>
        <w:spacing w:line="440" w:lineRule="exact"/>
        <w:ind w:firstLine="5320" w:firstLineChars="1900"/>
        <w:rPr>
          <w:rFonts w:hint="eastAsia" w:ascii="宋体" w:hAnsi="宋体"/>
          <w:spacing w:val="20"/>
          <w:sz w:val="24"/>
          <w:szCs w:val="21"/>
          <w:u w:val="single"/>
          <w:lang/>
        </w:rPr>
      </w:pPr>
      <w:r>
        <w:rPr>
          <w:rFonts w:ascii="宋体" w:hAnsi="宋体"/>
          <w:spacing w:val="20"/>
          <w:sz w:val="24"/>
          <w:szCs w:val="21"/>
          <w:lang/>
        </w:rPr>
        <w:t>日期：</w:t>
      </w:r>
      <w:r>
        <w:rPr>
          <w:rFonts w:ascii="宋体" w:hAnsi="宋体"/>
          <w:spacing w:val="20"/>
          <w:sz w:val="24"/>
          <w:szCs w:val="21"/>
          <w:u w:val="single"/>
          <w:lang/>
        </w:rPr>
        <w:t xml:space="preserve">           </w:t>
      </w:r>
    </w:p>
    <w:p>
      <w:pPr>
        <w:pStyle w:val="251"/>
        <w:spacing w:line="440" w:lineRule="exact"/>
        <w:rPr>
          <w:rFonts w:hint="eastAsia" w:hAnsi="宋体"/>
          <w:bCs/>
          <w:sz w:val="24"/>
          <w:lang w:eastAsia="zh-CN"/>
        </w:rPr>
      </w:pPr>
    </w:p>
    <w:p>
      <w:pPr>
        <w:pStyle w:val="251"/>
        <w:spacing w:line="440" w:lineRule="exact"/>
        <w:rPr>
          <w:rFonts w:hAnsi="宋体"/>
          <w:bCs/>
          <w:sz w:val="24"/>
        </w:rPr>
      </w:pPr>
      <w:r>
        <w:rPr>
          <w:rFonts w:hint="eastAsia" w:hAnsi="宋体"/>
          <w:sz w:val="24"/>
        </w:rPr>
        <w:t>投标人代表</w:t>
      </w:r>
      <w:r>
        <w:rPr>
          <w:rFonts w:hint="eastAsia" w:hAnsi="宋体"/>
          <w:bCs/>
          <w:sz w:val="24"/>
        </w:rPr>
        <w:t>身份证件扫描件：</w:t>
      </w:r>
    </w:p>
    <w:tbl>
      <w:tblPr>
        <w:tblStyle w:val="5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256" w:hRule="atLeast"/>
          <w:jc w:val="center"/>
        </w:trPr>
        <w:tc>
          <w:tcPr>
            <w:tcW w:w="8490" w:type="dxa"/>
            <w:noWrap w:val="0"/>
            <w:vAlign w:val="top"/>
          </w:tcPr>
          <w:p>
            <w:pPr>
              <w:pStyle w:val="251"/>
              <w:spacing w:line="440" w:lineRule="exact"/>
              <w:rPr>
                <w:rFonts w:hAnsi="宋体"/>
                <w:bCs/>
                <w:sz w:val="24"/>
                <w:lang w:eastAsia="zh-CN"/>
              </w:rPr>
            </w:pPr>
            <w:r>
              <w:rPr>
                <w:rFonts w:hint="eastAsia" w:hAnsi="宋体"/>
                <w:bCs/>
                <w:sz w:val="24"/>
                <w:lang w:eastAsia="zh-CN"/>
              </w:rPr>
              <w:t>正面</w:t>
            </w:r>
            <w:r>
              <w:rPr>
                <w:rFonts w:hAnsi="宋体"/>
                <w:bCs/>
                <w:sz w:val="24"/>
                <w:lang w:eastAsia="zh-CN"/>
              </w:rPr>
              <w:t>：</w:t>
            </w:r>
            <w:r>
              <w:rPr>
                <w:rFonts w:hint="eastAsia" w:hAnsi="宋体"/>
                <w:bCs/>
                <w:sz w:val="24"/>
                <w:lang w:eastAsia="zh-CN"/>
              </w:rPr>
              <w:t xml:space="preserve">                                 反面</w:t>
            </w:r>
            <w:r>
              <w:rPr>
                <w:rFonts w:hAnsi="宋体"/>
                <w:bCs/>
                <w:sz w:val="24"/>
                <w:lang w:eastAsia="zh-CN"/>
              </w:rPr>
              <w:t>：</w:t>
            </w:r>
          </w:p>
          <w:p>
            <w:pPr>
              <w:pStyle w:val="251"/>
              <w:spacing w:line="440" w:lineRule="exact"/>
              <w:rPr>
                <w:rFonts w:hint="eastAsia" w:hAnsi="宋体"/>
                <w:bCs/>
                <w:sz w:val="24"/>
                <w:lang w:eastAsia="zh-CN"/>
              </w:rPr>
            </w:pPr>
          </w:p>
        </w:tc>
      </w:tr>
    </w:tbl>
    <w:p>
      <w:pPr>
        <w:spacing w:line="360" w:lineRule="auto"/>
        <w:jc w:val="center"/>
        <w:rPr>
          <w:rFonts w:hAnsi="宋体"/>
          <w:b/>
          <w:sz w:val="32"/>
        </w:rPr>
      </w:pPr>
    </w:p>
    <w:p>
      <w:pPr>
        <w:pStyle w:val="29"/>
        <w:spacing w:before="120" w:after="120" w:line="360" w:lineRule="auto"/>
        <w:jc w:val="center"/>
        <w:rPr>
          <w:rFonts w:hint="eastAsia" w:hAnsi="宋体"/>
          <w:b/>
          <w:spacing w:val="-8"/>
          <w:sz w:val="32"/>
        </w:rPr>
      </w:pPr>
      <w:r>
        <w:br w:type="page"/>
      </w:r>
      <w:r>
        <w:rPr>
          <w:rFonts w:hint="eastAsia" w:hAnsi="宋体"/>
          <w:b/>
          <w:spacing w:val="-8"/>
          <w:sz w:val="32"/>
        </w:rPr>
        <w:t>▲4、政府采购资格承诺函</w:t>
      </w:r>
    </w:p>
    <w:p>
      <w:pPr>
        <w:spacing w:line="400" w:lineRule="exact"/>
        <w:rPr>
          <w:rFonts w:hint="eastAsia" w:ascii="宋体" w:hAnsi="宋体" w:cs="宋体"/>
          <w:sz w:val="24"/>
        </w:rPr>
      </w:pPr>
    </w:p>
    <w:p>
      <w:pPr>
        <w:spacing w:line="360" w:lineRule="auto"/>
        <w:ind w:firstLine="480" w:firstLineChars="200"/>
        <w:rPr>
          <w:rFonts w:hint="eastAsia" w:ascii="宋体" w:hAnsi="宋体" w:cs="宋体"/>
          <w:sz w:val="24"/>
        </w:rPr>
      </w:pPr>
      <w:r>
        <w:rPr>
          <w:rFonts w:hint="eastAsia" w:ascii="宋体" w:hAnsi="宋体" w:cs="宋体"/>
          <w:sz w:val="24"/>
        </w:rPr>
        <w:t>我单位——</w:t>
      </w:r>
      <w:r>
        <w:rPr>
          <w:rFonts w:hint="eastAsia" w:ascii="宋体" w:hAnsi="宋体" w:cs="宋体"/>
          <w:sz w:val="24"/>
          <w:u w:val="single"/>
        </w:rPr>
        <w:t xml:space="preserve">                  （投标人全称）</w:t>
      </w:r>
      <w:r>
        <w:rPr>
          <w:rFonts w:hint="eastAsia" w:ascii="宋体" w:hAnsi="宋体" w:cs="宋体"/>
          <w:bCs/>
          <w:sz w:val="24"/>
          <w:lang w:bidi="ar"/>
        </w:rPr>
        <w:t>参与</w:t>
      </w:r>
      <w:r>
        <w:rPr>
          <w:rFonts w:hint="eastAsia" w:ascii="宋体" w:hAnsi="宋体" w:cs="宋体"/>
          <w:bCs/>
          <w:sz w:val="24"/>
          <w:u w:val="single"/>
          <w:lang w:bidi="ar"/>
        </w:rPr>
        <w:t xml:space="preserve">   </w:t>
      </w:r>
      <w:r>
        <w:rPr>
          <w:rFonts w:hint="eastAsia" w:ascii="宋体" w:hAnsi="宋体" w:cs="宋体"/>
          <w:sz w:val="24"/>
          <w:u w:val="single"/>
        </w:rPr>
        <w:t>（项目名称）</w:t>
      </w:r>
      <w:r>
        <w:rPr>
          <w:rFonts w:hint="eastAsia" w:ascii="宋体" w:hAnsi="宋体" w:cs="宋体"/>
          <w:bCs/>
          <w:sz w:val="24"/>
          <w:lang w:bidi="ar"/>
        </w:rPr>
        <w:t>（项目编号：</w:t>
      </w:r>
      <w:r>
        <w:rPr>
          <w:rFonts w:hint="eastAsia" w:ascii="宋体" w:hAnsi="宋体" w:cs="宋体"/>
          <w:bCs/>
          <w:sz w:val="24"/>
          <w:u w:val="single"/>
          <w:lang w:bidi="ar"/>
        </w:rPr>
        <w:t xml:space="preserve"> </w:t>
      </w:r>
      <w:r>
        <w:rPr>
          <w:rFonts w:hint="eastAsia" w:ascii="宋体" w:hAnsi="宋体" w:cs="宋体"/>
          <w:bCs/>
          <w:sz w:val="24"/>
          <w:u w:val="single"/>
        </w:rPr>
        <w:t xml:space="preserve">         </w:t>
      </w:r>
      <w:r>
        <w:rPr>
          <w:rFonts w:hint="eastAsia" w:ascii="宋体" w:hAnsi="宋体" w:cs="宋体"/>
          <w:bCs/>
          <w:sz w:val="24"/>
          <w:lang w:bidi="ar"/>
        </w:rPr>
        <w:t>）投标活动，郑重</w:t>
      </w:r>
      <w:r>
        <w:rPr>
          <w:rFonts w:hint="eastAsia" w:ascii="宋体" w:hAnsi="宋体" w:cs="宋体"/>
          <w:sz w:val="24"/>
        </w:rPr>
        <w:t>承诺具备下列条件：</w:t>
      </w:r>
    </w:p>
    <w:p>
      <w:pPr>
        <w:spacing w:line="360" w:lineRule="auto"/>
        <w:ind w:firstLine="480" w:firstLineChars="200"/>
        <w:rPr>
          <w:rFonts w:hint="eastAsia" w:ascii="宋体" w:hAnsi="宋体" w:cs="宋体"/>
          <w:bCs/>
          <w:sz w:val="24"/>
        </w:rPr>
      </w:pPr>
      <w:r>
        <w:rPr>
          <w:rFonts w:hint="eastAsia" w:ascii="宋体" w:hAnsi="宋体" w:cs="宋体"/>
          <w:bCs/>
          <w:sz w:val="24"/>
        </w:rPr>
        <w:t>1.具有独立承担民事责任的能力；</w:t>
      </w:r>
    </w:p>
    <w:p>
      <w:pPr>
        <w:spacing w:line="360" w:lineRule="auto"/>
        <w:ind w:firstLine="480" w:firstLineChars="200"/>
        <w:rPr>
          <w:rFonts w:hint="eastAsia" w:ascii="宋体" w:hAnsi="宋体" w:cs="宋体"/>
          <w:bCs/>
          <w:sz w:val="24"/>
        </w:rPr>
      </w:pPr>
      <w:r>
        <w:rPr>
          <w:rFonts w:hint="eastAsia" w:ascii="宋体" w:hAnsi="宋体" w:cs="宋体"/>
          <w:bCs/>
          <w:sz w:val="24"/>
        </w:rPr>
        <w:t>2.具有良好的商业信誉和健全的财务会计制度；</w:t>
      </w:r>
    </w:p>
    <w:p>
      <w:pPr>
        <w:spacing w:line="360" w:lineRule="auto"/>
        <w:ind w:firstLine="480" w:firstLineChars="200"/>
        <w:rPr>
          <w:rFonts w:hint="eastAsia" w:ascii="宋体" w:hAnsi="宋体" w:cs="宋体"/>
          <w:bCs/>
          <w:sz w:val="24"/>
        </w:rPr>
      </w:pPr>
      <w:r>
        <w:rPr>
          <w:rFonts w:hint="eastAsia" w:ascii="宋体" w:hAnsi="宋体" w:cs="宋体"/>
          <w:bCs/>
          <w:sz w:val="24"/>
        </w:rPr>
        <w:t>3.具有履行合同所必需的设备和专业技术能力；</w:t>
      </w:r>
    </w:p>
    <w:p>
      <w:pPr>
        <w:snapToGrid w:val="0"/>
        <w:spacing w:line="360" w:lineRule="auto"/>
        <w:ind w:firstLine="480" w:firstLineChars="200"/>
        <w:rPr>
          <w:rFonts w:hint="eastAsia" w:ascii="宋体" w:hAnsi="宋体" w:cs="宋体"/>
          <w:sz w:val="24"/>
        </w:rPr>
      </w:pPr>
      <w:r>
        <w:rPr>
          <w:rFonts w:hint="eastAsia" w:ascii="宋体" w:hAnsi="宋体" w:cs="宋体"/>
          <w:bCs/>
          <w:sz w:val="24"/>
        </w:rPr>
        <w:t>4.有依法缴纳税收和社会保障资金的良好记</w:t>
      </w:r>
      <w:r>
        <w:rPr>
          <w:rFonts w:hint="eastAsia" w:ascii="宋体" w:hAnsi="宋体" w:cs="宋体"/>
          <w:sz w:val="24"/>
        </w:rPr>
        <w:t>录；</w:t>
      </w:r>
    </w:p>
    <w:p>
      <w:pPr>
        <w:snapToGrid w:val="0"/>
        <w:spacing w:line="360" w:lineRule="auto"/>
        <w:ind w:firstLine="480" w:firstLineChars="200"/>
        <w:rPr>
          <w:rFonts w:hint="eastAsia" w:ascii="宋体" w:hAnsi="宋体" w:cs="宋体"/>
          <w:sz w:val="24"/>
        </w:rPr>
      </w:pPr>
      <w:r>
        <w:rPr>
          <w:rFonts w:hint="eastAsia" w:ascii="宋体" w:hAnsi="宋体" w:cs="宋体"/>
          <w:sz w:val="24"/>
        </w:rPr>
        <w:t>5.参加</w:t>
      </w:r>
      <w:r>
        <w:rPr>
          <w:rFonts w:hint="eastAsia" w:ascii="宋体" w:hAnsi="宋体" w:cs="宋体"/>
          <w:bCs/>
          <w:sz w:val="24"/>
        </w:rPr>
        <w:t>本项目采购活动前三</w:t>
      </w:r>
      <w:r>
        <w:rPr>
          <w:rFonts w:hint="eastAsia" w:ascii="宋体" w:hAnsi="宋体" w:cs="宋体"/>
          <w:sz w:val="24"/>
        </w:rPr>
        <w:t>年内,在经营活动中没有重大违法记录（包括行贿犯罪记录）。</w:t>
      </w:r>
    </w:p>
    <w:p>
      <w:pPr>
        <w:snapToGrid w:val="0"/>
        <w:spacing w:line="360" w:lineRule="auto"/>
        <w:ind w:firstLine="480" w:firstLineChars="200"/>
        <w:rPr>
          <w:rFonts w:hint="eastAsia" w:ascii="宋体" w:hAnsi="宋体"/>
          <w:sz w:val="24"/>
        </w:rPr>
      </w:pPr>
      <w:r>
        <w:rPr>
          <w:rFonts w:hint="eastAsia" w:ascii="宋体" w:hAnsi="宋体" w:cs="宋体"/>
          <w:sz w:val="24"/>
        </w:rPr>
        <w:t>6.</w:t>
      </w:r>
      <w:r>
        <w:rPr>
          <w:rFonts w:hint="eastAsia" w:ascii="宋体" w:hAnsi="宋体"/>
          <w:sz w:val="24"/>
        </w:rPr>
        <w:t>开标截止时间前未被“信用中国”网站（www.creditchina.gov.cn）、中国政府采购网（www.ccgp.gov.cn）列入失信被执行人、重大税收违法当事人名单、政府采购严重违法失信行为记录名单</w:t>
      </w:r>
      <w:r>
        <w:rPr>
          <w:rFonts w:hint="eastAsia" w:ascii="宋体" w:hAnsi="宋体"/>
          <w:b/>
          <w:sz w:val="24"/>
        </w:rPr>
        <w:t>（注：本项内容以代理机构在资格审查现场查询为准）。</w:t>
      </w:r>
    </w:p>
    <w:p>
      <w:pPr>
        <w:snapToGrid w:val="0"/>
        <w:spacing w:line="400" w:lineRule="exact"/>
        <w:ind w:firstLine="480" w:firstLineChars="200"/>
        <w:rPr>
          <w:rFonts w:hint="eastAsia" w:ascii="宋体" w:hAnsi="宋体" w:cs="宋体"/>
          <w:sz w:val="24"/>
        </w:rPr>
      </w:pPr>
    </w:p>
    <w:p>
      <w:pPr>
        <w:snapToGrid w:val="0"/>
        <w:spacing w:line="400" w:lineRule="exact"/>
        <w:ind w:firstLine="482" w:firstLineChars="200"/>
        <w:rPr>
          <w:rFonts w:hint="eastAsia" w:ascii="宋体" w:hAnsi="宋体" w:cs="宋体"/>
          <w:b/>
          <w:sz w:val="24"/>
        </w:rPr>
      </w:pPr>
    </w:p>
    <w:p>
      <w:pPr>
        <w:snapToGrid w:val="0"/>
        <w:spacing w:line="400" w:lineRule="exact"/>
        <w:ind w:firstLine="482" w:firstLineChars="200"/>
        <w:rPr>
          <w:rFonts w:hint="eastAsia" w:ascii="宋体" w:hAnsi="宋体" w:cs="宋体"/>
          <w:b/>
          <w:sz w:val="24"/>
        </w:rPr>
      </w:pPr>
      <w:r>
        <w:rPr>
          <w:rFonts w:hint="eastAsia" w:ascii="宋体" w:hAnsi="宋体" w:cs="宋体"/>
          <w:b/>
          <w:sz w:val="24"/>
        </w:rPr>
        <w:t>如有虚假，采购人可取消我单位任何资格（投标/中标（成交）/签订合同），我单位对此无任何异议。</w:t>
      </w:r>
    </w:p>
    <w:p>
      <w:pPr>
        <w:snapToGrid w:val="0"/>
        <w:spacing w:line="400" w:lineRule="exact"/>
        <w:ind w:firstLine="482" w:firstLineChars="200"/>
        <w:rPr>
          <w:rFonts w:hint="eastAsia" w:ascii="宋体" w:hAnsi="宋体" w:cs="宋体"/>
          <w:b/>
          <w:sz w:val="24"/>
        </w:rPr>
      </w:pPr>
    </w:p>
    <w:p>
      <w:pPr>
        <w:snapToGrid w:val="0"/>
        <w:spacing w:line="400" w:lineRule="exact"/>
        <w:ind w:firstLine="482" w:firstLineChars="200"/>
        <w:rPr>
          <w:rFonts w:hint="eastAsia" w:ascii="宋体" w:hAnsi="宋体" w:cs="宋体"/>
          <w:b/>
          <w:sz w:val="24"/>
        </w:rPr>
      </w:pPr>
      <w:r>
        <w:rPr>
          <w:rFonts w:hint="eastAsia" w:ascii="宋体" w:hAnsi="宋体" w:cs="宋体"/>
          <w:b/>
          <w:sz w:val="24"/>
        </w:rPr>
        <w:t>特此承诺！</w:t>
      </w:r>
    </w:p>
    <w:p>
      <w:pPr>
        <w:tabs>
          <w:tab w:val="left" w:pos="9180"/>
        </w:tabs>
        <w:spacing w:line="400" w:lineRule="exact"/>
        <w:ind w:firstLine="480" w:firstLineChars="200"/>
        <w:rPr>
          <w:rFonts w:hint="eastAsia" w:ascii="宋体" w:hAnsi="宋体" w:cs="宋体"/>
          <w:snapToGrid w:val="0"/>
          <w:sz w:val="24"/>
        </w:rPr>
      </w:pPr>
    </w:p>
    <w:p>
      <w:pPr>
        <w:tabs>
          <w:tab w:val="left" w:pos="9180"/>
        </w:tabs>
        <w:spacing w:line="360" w:lineRule="auto"/>
        <w:ind w:firstLine="480" w:firstLineChars="200"/>
        <w:rPr>
          <w:rFonts w:hint="eastAsia" w:ascii="宋体" w:hAnsi="宋体" w:cs="宋体"/>
          <w:snapToGrid w:val="0"/>
          <w:sz w:val="24"/>
        </w:rPr>
      </w:pPr>
      <w:r>
        <w:rPr>
          <w:rFonts w:hint="eastAsia" w:ascii="宋体" w:hAnsi="宋体" w:cs="宋体"/>
          <w:snapToGrid w:val="0"/>
          <w:sz w:val="24"/>
        </w:rPr>
        <w:t>注：（1）参加政府采购活动的时间是指投标人参加本项目的政府采购活动时间（具体以投标截止时间为准）。</w:t>
      </w:r>
    </w:p>
    <w:p>
      <w:pPr>
        <w:spacing w:line="360" w:lineRule="auto"/>
        <w:ind w:firstLine="840" w:firstLineChars="350"/>
        <w:rPr>
          <w:rFonts w:hint="eastAsia" w:ascii="宋体" w:hAnsi="宋体"/>
          <w:sz w:val="30"/>
        </w:rPr>
      </w:pPr>
      <w:r>
        <w:rPr>
          <w:rFonts w:hint="eastAsia" w:ascii="宋体" w:hAnsi="宋体" w:cs="宋体"/>
          <w:snapToGrid w:val="0"/>
          <w:sz w:val="24"/>
        </w:rPr>
        <w:t>（2）本承诺函必须提供。</w:t>
      </w:r>
    </w:p>
    <w:p>
      <w:pPr>
        <w:spacing w:line="360" w:lineRule="auto"/>
        <w:jc w:val="center"/>
        <w:rPr>
          <w:rFonts w:hint="eastAsia" w:ascii="宋体" w:hAnsi="宋体"/>
          <w:sz w:val="30"/>
        </w:rPr>
      </w:pPr>
    </w:p>
    <w:p>
      <w:pPr>
        <w:spacing w:line="360" w:lineRule="auto"/>
        <w:jc w:val="center"/>
        <w:rPr>
          <w:rFonts w:hint="eastAsia" w:ascii="宋体" w:hAnsi="宋体"/>
          <w:sz w:val="30"/>
        </w:rPr>
      </w:pPr>
    </w:p>
    <w:p>
      <w:pPr>
        <w:spacing w:line="360" w:lineRule="auto"/>
        <w:jc w:val="center"/>
        <w:rPr>
          <w:rFonts w:hint="eastAsia" w:ascii="宋体" w:hAnsi="宋体"/>
          <w:sz w:val="30"/>
        </w:rPr>
      </w:pPr>
    </w:p>
    <w:p>
      <w:pPr>
        <w:pStyle w:val="2"/>
        <w:rPr>
          <w:rFonts w:hint="eastAsia"/>
          <w:lang w:val="en-US"/>
        </w:rPr>
      </w:pPr>
    </w:p>
    <w:p>
      <w:pPr>
        <w:spacing w:line="360" w:lineRule="auto"/>
        <w:rPr>
          <w:rFonts w:hint="eastAsia" w:ascii="宋体" w:hAnsi="宋体"/>
          <w:sz w:val="30"/>
        </w:rPr>
      </w:pPr>
    </w:p>
    <w:p>
      <w:pPr>
        <w:spacing w:line="360" w:lineRule="auto"/>
        <w:jc w:val="center"/>
        <w:rPr>
          <w:rFonts w:hint="eastAsia" w:hAnsi="宋体"/>
          <w:b/>
          <w:sz w:val="32"/>
        </w:rPr>
      </w:pPr>
      <w:bookmarkStart w:id="152" w:name="_Toc493956056"/>
      <w:r>
        <w:rPr>
          <w:rFonts w:hint="eastAsia" w:hAnsi="宋体"/>
          <w:b/>
          <w:spacing w:val="-8"/>
          <w:sz w:val="32"/>
        </w:rPr>
        <w:t>▲</w:t>
      </w:r>
      <w:r>
        <w:rPr>
          <w:rFonts w:hint="eastAsia" w:hAnsi="宋体"/>
          <w:b/>
          <w:sz w:val="32"/>
        </w:rPr>
        <w:t>5、资格声明</w:t>
      </w:r>
    </w:p>
    <w:p>
      <w:pPr>
        <w:pStyle w:val="252"/>
        <w:spacing w:line="520" w:lineRule="exact"/>
        <w:rPr>
          <w:rFonts w:ascii="宋体" w:hAnsi="宋体"/>
          <w:b/>
          <w:sz w:val="24"/>
          <w:szCs w:val="21"/>
          <w:lang/>
        </w:rPr>
      </w:pPr>
      <w:r>
        <w:rPr>
          <w:rFonts w:hint="eastAsia" w:ascii="宋体" w:hAnsi="宋体"/>
          <w:sz w:val="24"/>
          <w:szCs w:val="21"/>
          <w:u w:val="single"/>
          <w:lang/>
        </w:rPr>
        <w:t>（代理机构名称）</w:t>
      </w:r>
      <w:r>
        <w:rPr>
          <w:rFonts w:hint="eastAsia" w:ascii="宋体" w:hAnsi="宋体"/>
          <w:sz w:val="24"/>
          <w:szCs w:val="21"/>
          <w:lang/>
        </w:rPr>
        <w:t>：</w:t>
      </w:r>
    </w:p>
    <w:p>
      <w:pPr>
        <w:pStyle w:val="242"/>
        <w:spacing w:line="520" w:lineRule="exact"/>
        <w:ind w:firstLine="480" w:firstLineChars="200"/>
        <w:rPr>
          <w:rFonts w:hint="eastAsia" w:hAnsi="宋体"/>
          <w:sz w:val="24"/>
          <w:szCs w:val="21"/>
        </w:rPr>
      </w:pPr>
      <w:r>
        <w:rPr>
          <w:rFonts w:hint="eastAsia" w:hAnsi="宋体"/>
          <w:sz w:val="24"/>
          <w:szCs w:val="21"/>
          <w:u w:val="single"/>
        </w:rPr>
        <w:t xml:space="preserve">(投标人全称) </w:t>
      </w:r>
      <w:r>
        <w:rPr>
          <w:rFonts w:hint="eastAsia" w:hAnsi="宋体"/>
          <w:sz w:val="24"/>
          <w:szCs w:val="21"/>
        </w:rPr>
        <w:t>系中华人民共和国合法企业，经营地址</w:t>
      </w:r>
      <w:r>
        <w:rPr>
          <w:rFonts w:hAnsi="宋体"/>
          <w:sz w:val="24"/>
          <w:szCs w:val="21"/>
          <w:u w:val="single"/>
        </w:rPr>
        <w:t xml:space="preserve">     </w:t>
      </w:r>
      <w:r>
        <w:rPr>
          <w:rFonts w:hint="eastAsia" w:hAnsi="宋体"/>
          <w:sz w:val="24"/>
          <w:szCs w:val="21"/>
          <w:u w:val="single"/>
          <w:lang w:eastAsia="zh-CN"/>
        </w:rPr>
        <w:t xml:space="preserve">       </w:t>
      </w:r>
      <w:r>
        <w:rPr>
          <w:rFonts w:hAnsi="宋体"/>
          <w:sz w:val="24"/>
          <w:szCs w:val="21"/>
          <w:u w:val="single"/>
        </w:rPr>
        <w:t xml:space="preserve">    </w:t>
      </w:r>
      <w:r>
        <w:rPr>
          <w:rFonts w:hint="eastAsia" w:hAnsi="宋体"/>
          <w:sz w:val="24"/>
          <w:szCs w:val="21"/>
        </w:rPr>
        <w:t>。</w:t>
      </w:r>
    </w:p>
    <w:p>
      <w:pPr>
        <w:pStyle w:val="7"/>
        <w:spacing w:line="520" w:lineRule="exact"/>
        <w:rPr>
          <w:rFonts w:hint="eastAsia" w:ascii="宋体" w:hAnsi="宋体"/>
          <w:sz w:val="24"/>
          <w:szCs w:val="24"/>
        </w:rPr>
      </w:pPr>
      <w:r>
        <w:rPr>
          <w:rFonts w:hint="eastAsia" w:ascii="宋体" w:hAnsi="宋体"/>
          <w:sz w:val="24"/>
          <w:szCs w:val="21"/>
        </w:rPr>
        <w:t>我</w:t>
      </w:r>
      <w:r>
        <w:rPr>
          <w:rFonts w:hint="eastAsia" w:ascii="宋体" w:hAnsi="宋体"/>
          <w:sz w:val="24"/>
          <w:szCs w:val="21"/>
          <w:u w:val="single"/>
        </w:rPr>
        <w:t xml:space="preserve">      </w:t>
      </w:r>
      <w:r>
        <w:rPr>
          <w:rFonts w:ascii="宋体" w:hAnsi="宋体"/>
          <w:sz w:val="24"/>
          <w:szCs w:val="21"/>
          <w:u w:val="single"/>
        </w:rPr>
        <w:t>(</w:t>
      </w:r>
      <w:r>
        <w:rPr>
          <w:rFonts w:hint="eastAsia" w:ascii="宋体" w:hAnsi="宋体"/>
          <w:sz w:val="24"/>
          <w:szCs w:val="21"/>
          <w:u w:val="single"/>
        </w:rPr>
        <w:t>负责人名字</w:t>
      </w:r>
      <w:r>
        <w:rPr>
          <w:rFonts w:ascii="宋体" w:hAnsi="宋体"/>
          <w:sz w:val="24"/>
          <w:szCs w:val="21"/>
          <w:u w:val="single"/>
        </w:rPr>
        <w:t>)</w:t>
      </w:r>
      <w:r>
        <w:rPr>
          <w:rFonts w:hint="eastAsia" w:ascii="宋体" w:hAnsi="宋体"/>
          <w:sz w:val="24"/>
          <w:szCs w:val="21"/>
          <w:u w:val="single"/>
        </w:rPr>
        <w:t xml:space="preserve">    </w:t>
      </w:r>
      <w:r>
        <w:rPr>
          <w:rFonts w:hint="eastAsia" w:ascii="宋体" w:hAnsi="宋体"/>
          <w:sz w:val="24"/>
          <w:szCs w:val="21"/>
        </w:rPr>
        <w:t>系</w:t>
      </w:r>
      <w:r>
        <w:rPr>
          <w:rFonts w:hint="eastAsia" w:ascii="宋体" w:hAnsi="宋体"/>
          <w:sz w:val="24"/>
          <w:szCs w:val="21"/>
          <w:u w:val="single"/>
        </w:rPr>
        <w:t xml:space="preserve">    </w:t>
      </w:r>
      <w:r>
        <w:rPr>
          <w:rFonts w:ascii="宋体" w:hAnsi="宋体"/>
          <w:sz w:val="24"/>
          <w:szCs w:val="21"/>
          <w:u w:val="single"/>
        </w:rPr>
        <w:t>(</w:t>
      </w:r>
      <w:r>
        <w:rPr>
          <w:rFonts w:hint="eastAsia" w:ascii="宋体" w:hAnsi="宋体"/>
          <w:sz w:val="24"/>
          <w:szCs w:val="21"/>
          <w:u w:val="single"/>
        </w:rPr>
        <w:t>投标人名称</w:t>
      </w:r>
      <w:r>
        <w:rPr>
          <w:rFonts w:ascii="宋体" w:hAnsi="宋体"/>
          <w:sz w:val="24"/>
          <w:szCs w:val="21"/>
          <w:u w:val="single"/>
        </w:rPr>
        <w:t>)</w:t>
      </w:r>
      <w:r>
        <w:rPr>
          <w:rFonts w:hint="eastAsia" w:ascii="宋体" w:hAnsi="宋体"/>
          <w:sz w:val="24"/>
          <w:szCs w:val="21"/>
          <w:u w:val="single"/>
        </w:rPr>
        <w:t xml:space="preserve">       </w:t>
      </w:r>
      <w:r>
        <w:rPr>
          <w:rFonts w:hint="eastAsia" w:ascii="宋体" w:hAnsi="宋体"/>
          <w:sz w:val="24"/>
          <w:szCs w:val="21"/>
        </w:rPr>
        <w:t>的负责人，我方愿意参加贵方组织的</w:t>
      </w:r>
      <w:r>
        <w:rPr>
          <w:rFonts w:hint="eastAsia" w:ascii="宋体" w:hAnsi="宋体"/>
          <w:sz w:val="24"/>
          <w:szCs w:val="21"/>
          <w:u w:val="single"/>
        </w:rPr>
        <w:t xml:space="preserve">   （</w:t>
      </w:r>
      <w:r>
        <w:rPr>
          <w:rFonts w:ascii="宋体" w:hAnsi="宋体"/>
          <w:sz w:val="24"/>
          <w:szCs w:val="21"/>
          <w:u w:val="single"/>
        </w:rPr>
        <w:t>项目名称</w:t>
      </w:r>
      <w:r>
        <w:rPr>
          <w:rFonts w:hint="eastAsia" w:ascii="宋体" w:hAnsi="宋体"/>
          <w:sz w:val="24"/>
          <w:szCs w:val="21"/>
          <w:u w:val="single"/>
        </w:rPr>
        <w:t xml:space="preserve">及采购编号）   </w:t>
      </w:r>
      <w:r>
        <w:rPr>
          <w:rFonts w:hint="eastAsia" w:ascii="宋体" w:hAnsi="宋体"/>
          <w:sz w:val="24"/>
          <w:szCs w:val="21"/>
        </w:rPr>
        <w:t>的投标。为便于贵方公正、择优地确定中标人以及投标产品和服务，我方就本次投标有关事项证明如下：</w:t>
      </w:r>
    </w:p>
    <w:p>
      <w:pPr>
        <w:pStyle w:val="338"/>
        <w:spacing w:line="520" w:lineRule="exact"/>
        <w:ind w:firstLine="420"/>
        <w:rPr>
          <w:rFonts w:hint="eastAsia" w:hAnsi="宋体"/>
          <w:sz w:val="24"/>
          <w:szCs w:val="21"/>
        </w:rPr>
      </w:pPr>
      <w:r>
        <w:rPr>
          <w:rFonts w:hint="eastAsia" w:hAnsi="宋体"/>
          <w:sz w:val="24"/>
          <w:szCs w:val="21"/>
        </w:rPr>
        <w:t>（一）名称及概况：</w:t>
      </w:r>
    </w:p>
    <w:p>
      <w:pPr>
        <w:pStyle w:val="338"/>
        <w:spacing w:line="520" w:lineRule="exact"/>
        <w:ind w:firstLine="420"/>
        <w:rPr>
          <w:rFonts w:hint="eastAsia" w:hAnsi="宋体"/>
          <w:sz w:val="24"/>
          <w:szCs w:val="21"/>
        </w:rPr>
      </w:pPr>
      <w:r>
        <w:rPr>
          <w:rFonts w:hint="eastAsia" w:hAnsi="宋体"/>
          <w:sz w:val="24"/>
          <w:szCs w:val="21"/>
        </w:rPr>
        <w:t xml:space="preserve">1．企业名称：________________________________________________ </w:t>
      </w:r>
    </w:p>
    <w:p>
      <w:pPr>
        <w:pStyle w:val="338"/>
        <w:spacing w:line="520" w:lineRule="exact"/>
        <w:ind w:firstLine="420"/>
        <w:rPr>
          <w:rFonts w:hint="eastAsia" w:hAnsi="宋体"/>
          <w:b/>
          <w:bCs/>
          <w:sz w:val="24"/>
        </w:rPr>
      </w:pPr>
      <w:r>
        <w:rPr>
          <w:rFonts w:hint="eastAsia" w:hAnsi="宋体"/>
          <w:sz w:val="24"/>
          <w:szCs w:val="21"/>
        </w:rPr>
        <w:t>银行开户名称：________________________________________________</w:t>
      </w:r>
    </w:p>
    <w:p>
      <w:pPr>
        <w:pStyle w:val="338"/>
        <w:spacing w:line="520" w:lineRule="exact"/>
        <w:ind w:firstLine="420"/>
        <w:rPr>
          <w:rFonts w:hint="eastAsia" w:hAnsi="宋体"/>
          <w:sz w:val="24"/>
          <w:szCs w:val="21"/>
        </w:rPr>
      </w:pPr>
      <w:r>
        <w:rPr>
          <w:rFonts w:hint="eastAsia" w:hAnsi="宋体"/>
          <w:sz w:val="24"/>
          <w:szCs w:val="21"/>
        </w:rPr>
        <w:t xml:space="preserve">    开户银行：_________________________________________________ </w:t>
      </w:r>
    </w:p>
    <w:p>
      <w:pPr>
        <w:pStyle w:val="338"/>
        <w:spacing w:line="520" w:lineRule="exact"/>
        <w:ind w:firstLine="420"/>
        <w:rPr>
          <w:rFonts w:hint="eastAsia" w:hAnsi="宋体"/>
          <w:sz w:val="24"/>
          <w:szCs w:val="21"/>
        </w:rPr>
      </w:pPr>
      <w:r>
        <w:rPr>
          <w:rFonts w:hint="eastAsia" w:hAnsi="宋体"/>
          <w:sz w:val="24"/>
          <w:szCs w:val="21"/>
        </w:rPr>
        <w:t xml:space="preserve">    账    号：________________________________________________ </w:t>
      </w:r>
    </w:p>
    <w:p>
      <w:pPr>
        <w:pStyle w:val="338"/>
        <w:spacing w:line="520" w:lineRule="exact"/>
        <w:ind w:firstLine="420"/>
        <w:rPr>
          <w:rFonts w:hint="eastAsia" w:hAnsi="宋体"/>
          <w:sz w:val="24"/>
          <w:szCs w:val="21"/>
        </w:rPr>
      </w:pPr>
      <w:r>
        <w:rPr>
          <w:rFonts w:hint="eastAsia" w:hAnsi="宋体"/>
          <w:sz w:val="24"/>
          <w:szCs w:val="21"/>
        </w:rPr>
        <w:t xml:space="preserve">企业详细地址：________________________________________________ </w:t>
      </w:r>
    </w:p>
    <w:p>
      <w:pPr>
        <w:pStyle w:val="338"/>
        <w:spacing w:line="520" w:lineRule="exact"/>
        <w:ind w:firstLine="420"/>
        <w:rPr>
          <w:rFonts w:hint="eastAsia" w:hAnsi="宋体"/>
          <w:sz w:val="24"/>
          <w:szCs w:val="21"/>
        </w:rPr>
      </w:pPr>
      <w:r>
        <w:rPr>
          <w:rFonts w:hint="eastAsia" w:hAnsi="宋体"/>
          <w:sz w:val="24"/>
          <w:szCs w:val="21"/>
        </w:rPr>
        <w:t xml:space="preserve">    传    真： ________________________________________________</w:t>
      </w:r>
    </w:p>
    <w:p>
      <w:pPr>
        <w:pStyle w:val="338"/>
        <w:spacing w:line="520" w:lineRule="exact"/>
        <w:ind w:firstLine="420"/>
        <w:rPr>
          <w:rFonts w:hint="eastAsia" w:hAnsi="宋体"/>
          <w:sz w:val="24"/>
          <w:szCs w:val="21"/>
        </w:rPr>
      </w:pPr>
      <w:r>
        <w:rPr>
          <w:rFonts w:hint="eastAsia" w:hAnsi="宋体"/>
          <w:sz w:val="24"/>
          <w:szCs w:val="21"/>
        </w:rPr>
        <w:t xml:space="preserve">    电    话： ________________________________________________</w:t>
      </w:r>
    </w:p>
    <w:p>
      <w:pPr>
        <w:pStyle w:val="338"/>
        <w:spacing w:line="520" w:lineRule="exact"/>
        <w:ind w:firstLine="420"/>
        <w:rPr>
          <w:rFonts w:hint="eastAsia" w:hAnsi="宋体"/>
          <w:sz w:val="24"/>
          <w:szCs w:val="21"/>
        </w:rPr>
      </w:pPr>
      <w:r>
        <w:rPr>
          <w:rFonts w:hint="eastAsia" w:hAnsi="宋体"/>
          <w:sz w:val="24"/>
          <w:szCs w:val="21"/>
        </w:rPr>
        <w:t xml:space="preserve">2．负责人姓名：___________________________________________ </w:t>
      </w:r>
    </w:p>
    <w:p>
      <w:pPr>
        <w:pStyle w:val="338"/>
        <w:spacing w:line="520" w:lineRule="exact"/>
        <w:ind w:firstLine="420"/>
        <w:rPr>
          <w:rFonts w:hint="eastAsia" w:hAnsi="宋体"/>
          <w:sz w:val="24"/>
          <w:szCs w:val="21"/>
        </w:rPr>
      </w:pPr>
      <w:r>
        <w:rPr>
          <w:rFonts w:hint="eastAsia" w:hAnsi="宋体"/>
          <w:sz w:val="24"/>
          <w:szCs w:val="21"/>
        </w:rPr>
        <w:t>3．项目联系人：姓名__________职务：______电话______手机______</w:t>
      </w:r>
    </w:p>
    <w:p>
      <w:pPr>
        <w:pStyle w:val="338"/>
        <w:spacing w:line="520" w:lineRule="exact"/>
        <w:ind w:firstLine="420"/>
        <w:rPr>
          <w:rFonts w:hint="eastAsia" w:hAnsi="宋体"/>
          <w:sz w:val="24"/>
        </w:rPr>
      </w:pPr>
      <w:r>
        <w:rPr>
          <w:rFonts w:hint="eastAsia" w:hAnsi="宋体"/>
          <w:sz w:val="24"/>
          <w:szCs w:val="21"/>
        </w:rPr>
        <w:t>4．注册地址：________________________________________________</w:t>
      </w:r>
    </w:p>
    <w:p>
      <w:pPr>
        <w:pStyle w:val="338"/>
        <w:spacing w:line="520" w:lineRule="exact"/>
        <w:ind w:firstLine="420"/>
        <w:rPr>
          <w:rFonts w:hint="eastAsia" w:hAnsi="宋体"/>
          <w:sz w:val="24"/>
          <w:szCs w:val="21"/>
        </w:rPr>
      </w:pPr>
      <w:r>
        <w:rPr>
          <w:rFonts w:hint="eastAsia" w:hAnsi="宋体"/>
          <w:sz w:val="24"/>
          <w:szCs w:val="21"/>
        </w:rPr>
        <w:t xml:space="preserve">5．注册资金：________________________________________________ </w:t>
      </w:r>
    </w:p>
    <w:p>
      <w:pPr>
        <w:pStyle w:val="338"/>
        <w:spacing w:line="520" w:lineRule="exact"/>
        <w:ind w:firstLine="735"/>
        <w:rPr>
          <w:rFonts w:hint="eastAsia" w:hAnsi="宋体"/>
          <w:sz w:val="24"/>
          <w:szCs w:val="21"/>
        </w:rPr>
      </w:pPr>
      <w:r>
        <w:rPr>
          <w:rFonts w:hint="eastAsia" w:hAnsi="宋体"/>
          <w:sz w:val="24"/>
          <w:szCs w:val="21"/>
        </w:rPr>
        <w:t>自有资金：________________________________________________</w:t>
      </w:r>
    </w:p>
    <w:p>
      <w:pPr>
        <w:pStyle w:val="338"/>
        <w:spacing w:line="520" w:lineRule="exact"/>
        <w:ind w:firstLine="735"/>
        <w:rPr>
          <w:rFonts w:hint="eastAsia" w:hAnsi="宋体"/>
          <w:sz w:val="24"/>
          <w:szCs w:val="21"/>
        </w:rPr>
      </w:pPr>
      <w:r>
        <w:rPr>
          <w:rFonts w:hint="eastAsia" w:hAnsi="宋体"/>
          <w:sz w:val="24"/>
          <w:szCs w:val="21"/>
        </w:rPr>
        <w:t>企业人数：_______</w:t>
      </w:r>
      <w:r>
        <w:rPr>
          <w:rFonts w:hint="eastAsia" w:hAnsi="宋体"/>
          <w:b/>
          <w:bCs/>
          <w:sz w:val="24"/>
          <w:szCs w:val="21"/>
        </w:rPr>
        <w:t>_</w:t>
      </w:r>
      <w:r>
        <w:rPr>
          <w:rFonts w:hint="eastAsia" w:hAnsi="宋体"/>
          <w:sz w:val="24"/>
          <w:szCs w:val="21"/>
        </w:rPr>
        <w:t>人</w:t>
      </w:r>
    </w:p>
    <w:p>
      <w:pPr>
        <w:pStyle w:val="338"/>
        <w:spacing w:line="520" w:lineRule="exact"/>
        <w:ind w:firstLine="420"/>
        <w:rPr>
          <w:rFonts w:hint="eastAsia" w:hAnsi="宋体"/>
          <w:sz w:val="24"/>
          <w:szCs w:val="21"/>
        </w:rPr>
      </w:pPr>
      <w:r>
        <w:rPr>
          <w:rFonts w:hint="eastAsia" w:hAnsi="宋体"/>
          <w:sz w:val="24"/>
          <w:szCs w:val="21"/>
        </w:rPr>
        <w:t>6．企业性质：____________</w:t>
      </w:r>
      <w:r>
        <w:rPr>
          <w:rFonts w:hint="eastAsia" w:hAnsi="宋体"/>
          <w:sz w:val="24"/>
        </w:rPr>
        <w:t>股份有限公司</w:t>
      </w:r>
      <w:r>
        <w:rPr>
          <w:rFonts w:hint="eastAsia" w:hAnsi="宋体"/>
          <w:sz w:val="24"/>
          <w:szCs w:val="21"/>
        </w:rPr>
        <w:t xml:space="preserve"> </w:t>
      </w:r>
    </w:p>
    <w:p>
      <w:pPr>
        <w:pStyle w:val="338"/>
        <w:spacing w:line="520" w:lineRule="exact"/>
        <w:ind w:firstLine="420"/>
        <w:rPr>
          <w:rFonts w:hint="eastAsia" w:hAnsi="宋体"/>
          <w:sz w:val="24"/>
          <w:szCs w:val="21"/>
        </w:rPr>
      </w:pPr>
      <w:r>
        <w:rPr>
          <w:rFonts w:hint="eastAsia" w:hAnsi="宋体"/>
          <w:sz w:val="24"/>
          <w:szCs w:val="21"/>
        </w:rPr>
        <w:t xml:space="preserve">7．主要经营地点：_______________________________________________ </w:t>
      </w:r>
    </w:p>
    <w:p>
      <w:pPr>
        <w:pStyle w:val="338"/>
        <w:spacing w:line="520" w:lineRule="exact"/>
        <w:ind w:firstLine="420"/>
        <w:rPr>
          <w:rFonts w:hint="eastAsia" w:hAnsi="宋体"/>
          <w:sz w:val="24"/>
          <w:szCs w:val="21"/>
          <w:lang w:eastAsia="zh-CN"/>
        </w:rPr>
      </w:pPr>
      <w:r>
        <w:rPr>
          <w:rFonts w:hint="eastAsia" w:hAnsi="宋体"/>
          <w:sz w:val="24"/>
          <w:szCs w:val="21"/>
        </w:rPr>
        <w:t>如有派出机构，请列出名称及详细通讯地址如下：</w:t>
      </w:r>
      <w:r>
        <w:rPr>
          <w:rFonts w:hint="eastAsia" w:hAnsi="宋体"/>
          <w:sz w:val="24"/>
          <w:szCs w:val="21"/>
          <w:u w:val="single"/>
          <w:lang w:eastAsia="zh-CN"/>
        </w:rPr>
        <w:t xml:space="preserve">               </w:t>
      </w:r>
    </w:p>
    <w:p>
      <w:pPr>
        <w:pStyle w:val="7"/>
        <w:spacing w:line="360" w:lineRule="auto"/>
        <w:ind w:firstLine="0"/>
        <w:rPr>
          <w:rFonts w:hint="eastAsia" w:ascii="宋体" w:hAnsi="宋体"/>
        </w:rPr>
      </w:pPr>
    </w:p>
    <w:p>
      <w:pPr>
        <w:spacing w:line="360" w:lineRule="auto"/>
        <w:jc w:val="center"/>
        <w:rPr>
          <w:rFonts w:hint="eastAsia" w:hAnsi="宋体"/>
          <w:b/>
          <w:sz w:val="32"/>
        </w:rPr>
      </w:pPr>
      <w:r>
        <w:rPr>
          <w:rFonts w:hAnsi="宋体"/>
          <w:b/>
          <w:sz w:val="32"/>
        </w:rPr>
        <w:br w:type="page"/>
      </w:r>
      <w:r>
        <w:rPr>
          <w:rFonts w:hint="eastAsia" w:hAnsi="宋体"/>
          <w:b/>
          <w:spacing w:val="-8"/>
          <w:sz w:val="32"/>
        </w:rPr>
        <w:t>▲</w:t>
      </w:r>
      <w:r>
        <w:rPr>
          <w:rFonts w:hint="eastAsia" w:hAnsi="宋体"/>
          <w:b/>
          <w:sz w:val="32"/>
        </w:rPr>
        <w:t>6、无重大违法记录声明书</w:t>
      </w:r>
      <w:bookmarkEnd w:id="152"/>
    </w:p>
    <w:p>
      <w:pPr>
        <w:pStyle w:val="252"/>
        <w:spacing w:line="440" w:lineRule="exact"/>
        <w:rPr>
          <w:rFonts w:ascii="宋体" w:hAnsi="宋体"/>
          <w:spacing w:val="6"/>
          <w:sz w:val="28"/>
          <w:szCs w:val="28"/>
          <w:u w:val="single"/>
        </w:rPr>
      </w:pPr>
      <w:r>
        <w:rPr>
          <w:rFonts w:hint="eastAsia" w:ascii="宋体" w:hAnsi="宋体"/>
          <w:spacing w:val="6"/>
          <w:sz w:val="28"/>
          <w:szCs w:val="28"/>
          <w:u w:val="single"/>
        </w:rPr>
        <w:t>（代理机构名称）：</w:t>
      </w:r>
    </w:p>
    <w:p>
      <w:pPr>
        <w:pStyle w:val="218"/>
        <w:spacing w:before="120" w:beforeLines="50" w:line="480" w:lineRule="auto"/>
        <w:ind w:firstLine="584" w:firstLineChars="200"/>
        <w:rPr>
          <w:rFonts w:hint="eastAsia" w:ascii="宋体" w:hAnsi="宋体"/>
          <w:spacing w:val="6"/>
          <w:sz w:val="28"/>
          <w:szCs w:val="28"/>
        </w:rPr>
      </w:pPr>
      <w:r>
        <w:rPr>
          <w:rFonts w:hint="eastAsia" w:ascii="宋体" w:hAnsi="宋体"/>
          <w:spacing w:val="6"/>
          <w:sz w:val="28"/>
          <w:szCs w:val="28"/>
        </w:rPr>
        <w:t xml:space="preserve"> 我方参与的</w:t>
      </w:r>
      <w:r>
        <w:rPr>
          <w:rFonts w:hint="eastAsia" w:ascii="宋体" w:hAnsi="宋体"/>
          <w:spacing w:val="6"/>
          <w:sz w:val="28"/>
          <w:szCs w:val="28"/>
          <w:u w:val="single"/>
        </w:rPr>
        <w:t xml:space="preserve">                         </w:t>
      </w:r>
      <w:r>
        <w:rPr>
          <w:rFonts w:hint="eastAsia" w:ascii="宋体" w:hAnsi="宋体"/>
          <w:spacing w:val="6"/>
          <w:sz w:val="28"/>
          <w:szCs w:val="28"/>
        </w:rPr>
        <w:t>（采购项目名称）（采购编号：</w:t>
      </w:r>
      <w:r>
        <w:rPr>
          <w:rFonts w:hint="eastAsia" w:ascii="宋体" w:hAnsi="宋体"/>
          <w:spacing w:val="6"/>
          <w:sz w:val="28"/>
          <w:szCs w:val="28"/>
          <w:u w:val="single"/>
        </w:rPr>
        <w:t xml:space="preserve">　　  　　     </w:t>
      </w:r>
      <w:r>
        <w:rPr>
          <w:rFonts w:hint="eastAsia" w:ascii="宋体" w:hAnsi="宋体"/>
          <w:spacing w:val="6"/>
          <w:sz w:val="28"/>
          <w:szCs w:val="28"/>
        </w:rPr>
        <w:t>）项目的投标活动，我方郑重声明，我方参加本项目投标活动前三年内无重大违法记录（</w:t>
      </w:r>
      <w:r>
        <w:rPr>
          <w:rFonts w:hint="eastAsia" w:ascii="宋体" w:hAnsi="宋体"/>
          <w:b/>
          <w:spacing w:val="6"/>
          <w:sz w:val="28"/>
          <w:szCs w:val="28"/>
        </w:rPr>
        <w:t>重大违法记录是指投标人因违法经营受到刑事处罚或者责令停产停业、吊销许可证或者执照、较大数额罚款等行政处罚）</w:t>
      </w:r>
      <w:r>
        <w:rPr>
          <w:rFonts w:hint="eastAsia" w:ascii="宋体" w:hAnsi="宋体"/>
          <w:spacing w:val="6"/>
          <w:sz w:val="28"/>
          <w:szCs w:val="28"/>
        </w:rPr>
        <w:t>，符合《中华人民共和国政府采购法》、《中华人民共和国政府采购法实施条例》的规定。我方对此声明负全部法律责任。</w:t>
      </w:r>
    </w:p>
    <w:p>
      <w:pPr>
        <w:pStyle w:val="218"/>
        <w:spacing w:before="120" w:beforeLines="50" w:line="480" w:lineRule="auto"/>
        <w:ind w:firstLine="584" w:firstLineChars="200"/>
        <w:rPr>
          <w:rFonts w:hint="eastAsia" w:hAnsi="宋体"/>
          <w:sz w:val="30"/>
        </w:rPr>
      </w:pPr>
      <w:r>
        <w:rPr>
          <w:rFonts w:hint="eastAsia" w:hAnsi="宋体"/>
          <w:spacing w:val="6"/>
          <w:sz w:val="28"/>
          <w:szCs w:val="28"/>
        </w:rPr>
        <w:t>特此声明。</w:t>
      </w:r>
    </w:p>
    <w:p>
      <w:pPr>
        <w:spacing w:line="360" w:lineRule="auto"/>
        <w:ind w:firstLine="300" w:firstLineChars="100"/>
        <w:jc w:val="center"/>
        <w:rPr>
          <w:rFonts w:hint="eastAsia"/>
        </w:rPr>
      </w:pPr>
      <w:r>
        <w:rPr>
          <w:rFonts w:hAnsi="宋体"/>
          <w:sz w:val="30"/>
        </w:rPr>
        <w:br w:type="page"/>
      </w:r>
    </w:p>
    <w:p>
      <w:pPr>
        <w:spacing w:line="360" w:lineRule="auto"/>
        <w:jc w:val="center"/>
        <w:rPr>
          <w:rFonts w:hint="eastAsia" w:ascii="宋体" w:hAnsi="宋体"/>
          <w:sz w:val="28"/>
          <w:szCs w:val="28"/>
        </w:rPr>
      </w:pPr>
    </w:p>
    <w:p>
      <w:pPr>
        <w:pStyle w:val="2"/>
        <w:rPr>
          <w:rFonts w:hint="eastAsia"/>
          <w:lang w:val="en-US"/>
        </w:rPr>
      </w:pPr>
    </w:p>
    <w:p>
      <w:pPr>
        <w:rPr>
          <w:rFonts w:hint="eastAsia"/>
        </w:rPr>
      </w:pPr>
    </w:p>
    <w:p>
      <w:pPr>
        <w:pStyle w:val="6"/>
        <w:ind w:firstLine="0" w:firstLineChars="0"/>
        <w:jc w:val="center"/>
        <w:rPr>
          <w:rFonts w:hint="eastAsia" w:ascii="宋体" w:hAnsi="宋体" w:eastAsia="宋体"/>
          <w:b w:val="0"/>
          <w:bCs w:val="0"/>
        </w:rPr>
      </w:pPr>
      <w:bookmarkStart w:id="153" w:name="_Toc112414198"/>
      <w:r>
        <w:rPr>
          <w:rFonts w:hint="eastAsia" w:ascii="宋体" w:hAnsi="宋体" w:eastAsia="宋体"/>
          <w:b w:val="0"/>
          <w:bCs w:val="0"/>
        </w:rPr>
        <w:t>二   资信商务及技术文件格式</w:t>
      </w:r>
      <w:bookmarkEnd w:id="153"/>
    </w:p>
    <w:p>
      <w:pPr>
        <w:spacing w:line="360" w:lineRule="auto"/>
        <w:jc w:val="center"/>
        <w:rPr>
          <w:rFonts w:hint="eastAsia" w:ascii="宋体" w:hAnsi="宋体"/>
          <w:sz w:val="30"/>
        </w:rPr>
      </w:pPr>
    </w:p>
    <w:p>
      <w:pPr>
        <w:spacing w:line="360" w:lineRule="auto"/>
        <w:jc w:val="center"/>
        <w:rPr>
          <w:rFonts w:hint="eastAsia" w:ascii="宋体" w:hAnsi="宋体"/>
          <w:sz w:val="30"/>
        </w:rPr>
      </w:pPr>
    </w:p>
    <w:p>
      <w:pPr>
        <w:spacing w:line="360" w:lineRule="auto"/>
        <w:jc w:val="center"/>
        <w:rPr>
          <w:rFonts w:hint="eastAsia" w:ascii="宋体" w:hAnsi="宋体"/>
          <w:sz w:val="30"/>
        </w:rPr>
      </w:pPr>
    </w:p>
    <w:p>
      <w:pPr>
        <w:spacing w:line="360" w:lineRule="auto"/>
        <w:jc w:val="center"/>
        <w:rPr>
          <w:rFonts w:hint="eastAsia" w:ascii="宋体" w:hAnsi="宋体"/>
          <w:sz w:val="30"/>
        </w:rPr>
      </w:pPr>
    </w:p>
    <w:p>
      <w:pPr>
        <w:spacing w:line="360" w:lineRule="auto"/>
        <w:jc w:val="center"/>
        <w:rPr>
          <w:rFonts w:hint="eastAsia" w:ascii="宋体" w:hAnsi="宋体"/>
          <w:sz w:val="30"/>
        </w:rPr>
      </w:pPr>
    </w:p>
    <w:p>
      <w:pPr>
        <w:spacing w:line="360" w:lineRule="auto"/>
        <w:jc w:val="center"/>
        <w:rPr>
          <w:rFonts w:hint="eastAsia" w:ascii="宋体" w:hAnsi="宋体"/>
          <w:sz w:val="30"/>
        </w:rPr>
      </w:pPr>
      <w:r>
        <w:rPr>
          <w:rFonts w:ascii="宋体" w:hAnsi="宋体"/>
          <w:sz w:val="30"/>
        </w:rPr>
        <w:br w:type="page"/>
      </w:r>
    </w:p>
    <w:p>
      <w:pPr>
        <w:pStyle w:val="2"/>
        <w:rPr>
          <w:rFonts w:hint="eastAsia"/>
          <w:lang w:val="en-US"/>
        </w:rPr>
      </w:pPr>
    </w:p>
    <w:p>
      <w:pPr>
        <w:spacing w:line="360" w:lineRule="auto"/>
        <w:jc w:val="center"/>
        <w:rPr>
          <w:rFonts w:hint="eastAsia" w:ascii="宋体" w:hAnsi="宋体"/>
          <w:sz w:val="32"/>
        </w:rPr>
      </w:pPr>
      <w:r>
        <w:rPr>
          <w:rFonts w:hint="eastAsia" w:ascii="宋体" w:hAnsi="宋体"/>
          <w:sz w:val="36"/>
        </w:rPr>
        <w:t>资信商务及技术文件封面</w:t>
      </w: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r>
        <w:rPr>
          <w:rFonts w:ascii="宋体" w:hAnsi="宋体"/>
          <w:sz w:val="36"/>
          <w:szCs w:val="32"/>
        </w:rPr>
        <w:t>采购编号：</w:t>
      </w:r>
    </w:p>
    <w:p>
      <w:pPr>
        <w:pStyle w:val="7"/>
        <w:ind w:firstLine="1497" w:firstLineChars="416"/>
        <w:rPr>
          <w:rFonts w:hint="eastAsia" w:ascii="宋体" w:hAnsi="宋体"/>
          <w:sz w:val="36"/>
          <w:szCs w:val="32"/>
        </w:rPr>
      </w:pPr>
    </w:p>
    <w:p>
      <w:pPr>
        <w:pStyle w:val="7"/>
        <w:ind w:firstLine="1497" w:firstLineChars="416"/>
        <w:rPr>
          <w:rFonts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r>
        <w:rPr>
          <w:rFonts w:ascii="宋体" w:hAnsi="宋体"/>
          <w:sz w:val="36"/>
          <w:szCs w:val="32"/>
        </w:rPr>
        <w:t>项目名称</w:t>
      </w:r>
      <w:r>
        <w:rPr>
          <w:rFonts w:hint="eastAsia" w:ascii="宋体" w:hAnsi="宋体"/>
          <w:sz w:val="36"/>
          <w:szCs w:val="32"/>
        </w:rPr>
        <w:t xml:space="preserve">：        </w:t>
      </w:r>
    </w:p>
    <w:p>
      <w:pPr>
        <w:pStyle w:val="7"/>
        <w:ind w:firstLine="0"/>
        <w:rPr>
          <w:rFonts w:hint="eastAsia" w:ascii="宋体" w:hAnsi="宋体"/>
          <w:sz w:val="36"/>
          <w:szCs w:val="32"/>
        </w:rPr>
      </w:pPr>
    </w:p>
    <w:p>
      <w:pPr>
        <w:pStyle w:val="7"/>
        <w:ind w:firstLine="0"/>
        <w:rPr>
          <w:rFonts w:hint="eastAsia"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r>
        <w:rPr>
          <w:rFonts w:ascii="宋体" w:hAnsi="宋体"/>
          <w:sz w:val="36"/>
          <w:szCs w:val="32"/>
        </w:rPr>
        <w:t>投标文件名称：</w:t>
      </w:r>
      <w:r>
        <w:rPr>
          <w:rFonts w:hint="eastAsia" w:ascii="宋体" w:hAnsi="宋体"/>
          <w:sz w:val="36"/>
          <w:szCs w:val="32"/>
        </w:rPr>
        <w:t>资信商务及技术文件</w:t>
      </w:r>
    </w:p>
    <w:p>
      <w:pPr>
        <w:pStyle w:val="7"/>
        <w:ind w:firstLine="1497" w:firstLineChars="416"/>
        <w:rPr>
          <w:rFonts w:hint="eastAsia" w:ascii="宋体" w:hAnsi="宋体"/>
          <w:sz w:val="36"/>
          <w:szCs w:val="32"/>
        </w:rPr>
      </w:pPr>
    </w:p>
    <w:p>
      <w:pPr>
        <w:pStyle w:val="7"/>
        <w:ind w:firstLine="0"/>
        <w:rPr>
          <w:rFonts w:hint="eastAsia" w:ascii="宋体" w:hAnsi="宋体"/>
          <w:sz w:val="36"/>
          <w:szCs w:val="32"/>
        </w:rPr>
      </w:pPr>
    </w:p>
    <w:p>
      <w:pPr>
        <w:pStyle w:val="7"/>
        <w:ind w:firstLine="0"/>
        <w:rPr>
          <w:rFonts w:hint="eastAsia" w:ascii="宋体" w:hAnsi="宋体"/>
          <w:sz w:val="36"/>
          <w:szCs w:val="32"/>
        </w:rPr>
      </w:pPr>
    </w:p>
    <w:p>
      <w:pPr>
        <w:pStyle w:val="7"/>
        <w:ind w:firstLine="1497" w:firstLineChars="416"/>
        <w:rPr>
          <w:rFonts w:ascii="宋体" w:hAnsi="宋体"/>
          <w:sz w:val="36"/>
          <w:szCs w:val="32"/>
        </w:rPr>
      </w:pPr>
      <w:r>
        <w:rPr>
          <w:rFonts w:ascii="宋体" w:hAnsi="宋体"/>
          <w:sz w:val="36"/>
          <w:szCs w:val="32"/>
        </w:rPr>
        <w:t>投标人名称（</w:t>
      </w:r>
      <w:r>
        <w:rPr>
          <w:rFonts w:hint="eastAsia" w:ascii="宋体" w:hAnsi="宋体"/>
          <w:sz w:val="36"/>
          <w:szCs w:val="32"/>
        </w:rPr>
        <w:t>CA签章</w:t>
      </w:r>
      <w:r>
        <w:rPr>
          <w:rFonts w:ascii="宋体" w:hAnsi="宋体"/>
          <w:sz w:val="36"/>
          <w:szCs w:val="32"/>
        </w:rPr>
        <w:t>）：</w:t>
      </w:r>
    </w:p>
    <w:p>
      <w:pPr>
        <w:pStyle w:val="7"/>
        <w:ind w:firstLine="0"/>
        <w:rPr>
          <w:rFonts w:hint="eastAsia"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r>
        <w:rPr>
          <w:rFonts w:ascii="宋体" w:hAnsi="宋体"/>
          <w:sz w:val="36"/>
          <w:szCs w:val="32"/>
        </w:rPr>
        <w:t>投标人地址：</w:t>
      </w:r>
    </w:p>
    <w:p>
      <w:pPr>
        <w:pStyle w:val="7"/>
        <w:rPr>
          <w:rFonts w:hint="eastAsia"/>
        </w:rPr>
      </w:pPr>
    </w:p>
    <w:p>
      <w:pPr>
        <w:spacing w:line="360" w:lineRule="auto"/>
        <w:jc w:val="center"/>
        <w:rPr>
          <w:rFonts w:hint="eastAsia" w:ascii="宋体" w:hAnsi="宋体"/>
          <w:sz w:val="30"/>
        </w:rPr>
      </w:pPr>
    </w:p>
    <w:p>
      <w:pPr>
        <w:spacing w:line="360" w:lineRule="auto"/>
        <w:jc w:val="center"/>
        <w:rPr>
          <w:rFonts w:hint="eastAsia" w:ascii="宋体" w:hAnsi="宋体"/>
          <w:sz w:val="30"/>
        </w:rPr>
      </w:pPr>
    </w:p>
    <w:p>
      <w:pPr>
        <w:spacing w:line="360" w:lineRule="auto"/>
        <w:jc w:val="center"/>
        <w:rPr>
          <w:rFonts w:hint="eastAsia" w:ascii="宋体" w:hAnsi="宋体"/>
          <w:sz w:val="30"/>
        </w:rPr>
      </w:pPr>
    </w:p>
    <w:p>
      <w:pPr>
        <w:spacing w:line="360" w:lineRule="auto"/>
        <w:jc w:val="center"/>
        <w:rPr>
          <w:rFonts w:hint="eastAsia" w:ascii="宋体" w:hAnsi="宋体"/>
          <w:sz w:val="30"/>
        </w:rPr>
      </w:pPr>
    </w:p>
    <w:p>
      <w:pPr>
        <w:spacing w:line="360" w:lineRule="auto"/>
        <w:jc w:val="center"/>
        <w:rPr>
          <w:rFonts w:hint="eastAsia" w:ascii="宋体" w:hAnsi="宋体"/>
          <w:sz w:val="30"/>
        </w:rPr>
      </w:pPr>
      <w:r>
        <w:rPr>
          <w:rFonts w:ascii="宋体" w:hAnsi="宋体"/>
          <w:sz w:val="30"/>
        </w:rPr>
        <w:br w:type="page"/>
      </w:r>
    </w:p>
    <w:p>
      <w:pPr>
        <w:spacing w:line="360" w:lineRule="auto"/>
        <w:jc w:val="center"/>
        <w:rPr>
          <w:rFonts w:hint="eastAsia" w:ascii="宋体" w:hAnsi="宋体"/>
          <w:sz w:val="30"/>
        </w:rPr>
      </w:pPr>
    </w:p>
    <w:p>
      <w:pPr>
        <w:spacing w:line="360" w:lineRule="auto"/>
        <w:jc w:val="center"/>
        <w:rPr>
          <w:rFonts w:hint="eastAsia" w:ascii="宋体" w:hAnsi="宋体"/>
          <w:sz w:val="30"/>
        </w:rPr>
      </w:pPr>
    </w:p>
    <w:p>
      <w:pPr>
        <w:spacing w:line="360" w:lineRule="auto"/>
        <w:jc w:val="center"/>
        <w:rPr>
          <w:rFonts w:hint="eastAsia" w:ascii="宋体" w:hAnsi="宋体"/>
          <w:sz w:val="30"/>
        </w:rPr>
      </w:pPr>
      <w:r>
        <w:rPr>
          <w:rFonts w:hint="eastAsia" w:ascii="宋体" w:hAnsi="宋体"/>
          <w:sz w:val="30"/>
        </w:rPr>
        <w:t>（一）资信商务部分</w:t>
      </w:r>
    </w:p>
    <w:p>
      <w:pPr>
        <w:spacing w:line="360" w:lineRule="auto"/>
        <w:jc w:val="left"/>
        <w:rPr>
          <w:rFonts w:hint="eastAsia" w:ascii="宋体" w:hAnsi="宋体"/>
          <w:sz w:val="30"/>
        </w:rPr>
      </w:pPr>
    </w:p>
    <w:p>
      <w:pPr>
        <w:spacing w:line="360" w:lineRule="auto"/>
        <w:jc w:val="left"/>
        <w:rPr>
          <w:rFonts w:hint="eastAsia" w:ascii="宋体" w:hAnsi="宋体"/>
          <w:sz w:val="30"/>
        </w:rPr>
      </w:pPr>
    </w:p>
    <w:p>
      <w:pPr>
        <w:spacing w:line="360" w:lineRule="auto"/>
        <w:jc w:val="left"/>
        <w:rPr>
          <w:rFonts w:hint="eastAsia" w:ascii="宋体" w:hAnsi="宋体"/>
          <w:sz w:val="30"/>
        </w:rPr>
      </w:pPr>
    </w:p>
    <w:p>
      <w:pPr>
        <w:spacing w:line="360" w:lineRule="auto"/>
        <w:jc w:val="left"/>
        <w:rPr>
          <w:rFonts w:hint="eastAsia" w:ascii="宋体" w:hAnsi="宋体"/>
          <w:sz w:val="30"/>
        </w:rPr>
      </w:pPr>
    </w:p>
    <w:p>
      <w:pPr>
        <w:spacing w:line="360" w:lineRule="auto"/>
        <w:jc w:val="left"/>
        <w:rPr>
          <w:rFonts w:hint="eastAsia" w:ascii="宋体" w:hAnsi="宋体"/>
          <w:sz w:val="30"/>
        </w:rPr>
      </w:pPr>
    </w:p>
    <w:p>
      <w:pPr>
        <w:spacing w:line="360" w:lineRule="auto"/>
        <w:jc w:val="left"/>
        <w:rPr>
          <w:rFonts w:hint="eastAsia" w:ascii="宋体" w:hAnsi="宋体"/>
          <w:sz w:val="30"/>
        </w:rPr>
      </w:pPr>
    </w:p>
    <w:p>
      <w:pPr>
        <w:spacing w:line="360" w:lineRule="auto"/>
        <w:jc w:val="left"/>
        <w:rPr>
          <w:rFonts w:hint="eastAsia" w:ascii="宋体" w:hAnsi="宋体"/>
          <w:sz w:val="30"/>
        </w:rPr>
      </w:pPr>
    </w:p>
    <w:p>
      <w:pPr>
        <w:spacing w:line="360" w:lineRule="auto"/>
        <w:jc w:val="left"/>
        <w:rPr>
          <w:rFonts w:hint="eastAsia" w:ascii="宋体" w:hAnsi="宋体"/>
          <w:sz w:val="30"/>
        </w:rPr>
      </w:pPr>
    </w:p>
    <w:p>
      <w:pPr>
        <w:spacing w:line="360" w:lineRule="auto"/>
        <w:jc w:val="left"/>
        <w:rPr>
          <w:rFonts w:hint="eastAsia" w:ascii="宋体" w:hAnsi="宋体"/>
          <w:sz w:val="30"/>
        </w:rPr>
      </w:pPr>
    </w:p>
    <w:p>
      <w:pPr>
        <w:spacing w:line="360" w:lineRule="auto"/>
        <w:jc w:val="center"/>
        <w:rPr>
          <w:rFonts w:ascii="宋体" w:hAnsi="宋体"/>
          <w:b/>
          <w:sz w:val="30"/>
        </w:rPr>
      </w:pPr>
      <w:bookmarkStart w:id="154" w:name="_Toc105230662"/>
      <w:bookmarkStart w:id="155" w:name="_Toc173728539"/>
      <w:r>
        <w:rPr>
          <w:rFonts w:ascii="宋体" w:hAnsi="宋体"/>
          <w:b/>
          <w:sz w:val="30"/>
        </w:rPr>
        <w:br w:type="page"/>
      </w:r>
      <w:r>
        <w:rPr>
          <w:rFonts w:hint="eastAsia" w:ascii="宋体" w:hAnsi="宋体"/>
          <w:b/>
          <w:sz w:val="30"/>
        </w:rPr>
        <w:t>1、</w:t>
      </w:r>
      <w:r>
        <w:rPr>
          <w:rFonts w:ascii="宋体" w:hAnsi="宋体"/>
          <w:b/>
          <w:sz w:val="30"/>
        </w:rPr>
        <w:t>投标声明书</w:t>
      </w:r>
    </w:p>
    <w:p>
      <w:pPr>
        <w:pStyle w:val="252"/>
        <w:spacing w:line="360" w:lineRule="auto"/>
        <w:rPr>
          <w:rFonts w:ascii="宋体" w:hAnsi="宋体"/>
          <w:kern w:val="0"/>
          <w:sz w:val="24"/>
          <w:szCs w:val="21"/>
          <w:u w:val="single"/>
          <w:lang/>
        </w:rPr>
      </w:pPr>
      <w:r>
        <w:rPr>
          <w:rFonts w:hint="eastAsia" w:ascii="宋体" w:hAnsi="宋体"/>
          <w:kern w:val="0"/>
          <w:sz w:val="24"/>
          <w:szCs w:val="21"/>
          <w:u w:val="single"/>
          <w:lang/>
        </w:rPr>
        <w:t>浙江建航工程咨询有限公司：</w:t>
      </w:r>
    </w:p>
    <w:p>
      <w:pPr>
        <w:pStyle w:val="242"/>
        <w:spacing w:line="360" w:lineRule="auto"/>
        <w:ind w:firstLine="480" w:firstLineChars="200"/>
        <w:rPr>
          <w:rFonts w:hint="eastAsia" w:hAnsi="宋体"/>
          <w:sz w:val="24"/>
          <w:szCs w:val="21"/>
        </w:rPr>
      </w:pPr>
      <w:r>
        <w:rPr>
          <w:rFonts w:hAnsi="宋体"/>
          <w:sz w:val="24"/>
          <w:szCs w:val="21"/>
          <w:u w:val="single"/>
        </w:rPr>
        <w:t xml:space="preserve">       </w:t>
      </w:r>
      <w:r>
        <w:rPr>
          <w:rFonts w:hint="eastAsia" w:hAnsi="宋体"/>
          <w:sz w:val="24"/>
          <w:szCs w:val="21"/>
          <w:u w:val="single"/>
        </w:rPr>
        <w:t xml:space="preserve"> (投标人全称</w:t>
      </w:r>
      <w:r>
        <w:rPr>
          <w:rFonts w:hint="eastAsia" w:hAnsi="宋体"/>
          <w:sz w:val="24"/>
          <w:szCs w:val="21"/>
        </w:rPr>
        <w:t>)系中华人民共和国合法企业，经营地址</w:t>
      </w:r>
      <w:r>
        <w:rPr>
          <w:rFonts w:hAnsi="宋体"/>
          <w:sz w:val="24"/>
          <w:szCs w:val="21"/>
          <w:u w:val="single"/>
        </w:rPr>
        <w:t xml:space="preserve">         </w:t>
      </w:r>
      <w:r>
        <w:rPr>
          <w:rFonts w:hint="eastAsia" w:hAnsi="宋体"/>
          <w:sz w:val="24"/>
          <w:szCs w:val="21"/>
        </w:rPr>
        <w:t>。</w:t>
      </w:r>
    </w:p>
    <w:p>
      <w:pPr>
        <w:pStyle w:val="242"/>
        <w:spacing w:line="360" w:lineRule="auto"/>
        <w:ind w:firstLine="480" w:firstLineChars="200"/>
        <w:rPr>
          <w:rFonts w:hint="eastAsia" w:hAnsi="宋体"/>
          <w:sz w:val="24"/>
          <w:szCs w:val="21"/>
        </w:rPr>
      </w:pPr>
      <w:r>
        <w:rPr>
          <w:rFonts w:hint="eastAsia" w:hAnsi="宋体"/>
          <w:sz w:val="24"/>
          <w:szCs w:val="21"/>
        </w:rPr>
        <w:t>我</w:t>
      </w:r>
      <w:r>
        <w:rPr>
          <w:rFonts w:hint="eastAsia" w:hAnsi="宋体"/>
          <w:sz w:val="24"/>
          <w:szCs w:val="21"/>
          <w:u w:val="single"/>
          <w:lang w:eastAsia="zh-CN"/>
        </w:rPr>
        <w:t xml:space="preserve">         </w:t>
      </w:r>
      <w:r>
        <w:rPr>
          <w:rFonts w:hAnsi="宋体"/>
          <w:sz w:val="24"/>
          <w:szCs w:val="21"/>
          <w:u w:val="single"/>
        </w:rPr>
        <w:t>(</w:t>
      </w:r>
      <w:r>
        <w:rPr>
          <w:rFonts w:hint="eastAsia" w:hAnsi="宋体"/>
          <w:sz w:val="24"/>
          <w:szCs w:val="21"/>
          <w:u w:val="single"/>
        </w:rPr>
        <w:t>法定代表人或负责人名字</w:t>
      </w:r>
      <w:r>
        <w:rPr>
          <w:rFonts w:hAnsi="宋体"/>
          <w:sz w:val="24"/>
          <w:szCs w:val="21"/>
          <w:u w:val="single"/>
        </w:rPr>
        <w:t>)</w:t>
      </w:r>
      <w:r>
        <w:rPr>
          <w:rFonts w:hint="eastAsia" w:hAnsi="宋体"/>
          <w:sz w:val="24"/>
          <w:szCs w:val="21"/>
          <w:u w:val="single"/>
          <w:lang w:eastAsia="zh-CN"/>
        </w:rPr>
        <w:t xml:space="preserve">  </w:t>
      </w:r>
      <w:r>
        <w:rPr>
          <w:rFonts w:hint="eastAsia" w:hAnsi="宋体"/>
          <w:sz w:val="24"/>
          <w:szCs w:val="21"/>
        </w:rPr>
        <w:t>系</w:t>
      </w:r>
      <w:r>
        <w:rPr>
          <w:rFonts w:hint="eastAsia" w:hAnsi="宋体"/>
          <w:sz w:val="24"/>
          <w:szCs w:val="21"/>
          <w:u w:val="single"/>
        </w:rPr>
        <w:t xml:space="preserve">   </w:t>
      </w:r>
      <w:r>
        <w:rPr>
          <w:rFonts w:hint="eastAsia" w:hAnsi="宋体"/>
          <w:sz w:val="24"/>
          <w:szCs w:val="21"/>
          <w:u w:val="single"/>
          <w:lang w:eastAsia="zh-CN"/>
        </w:rPr>
        <w:t xml:space="preserve">         </w:t>
      </w:r>
      <w:r>
        <w:rPr>
          <w:rFonts w:hint="eastAsia" w:hAnsi="宋体"/>
          <w:sz w:val="24"/>
          <w:szCs w:val="21"/>
          <w:u w:val="single"/>
        </w:rPr>
        <w:t xml:space="preserve"> </w:t>
      </w:r>
      <w:r>
        <w:rPr>
          <w:rFonts w:hAnsi="宋体"/>
          <w:sz w:val="24"/>
          <w:szCs w:val="21"/>
          <w:u w:val="single"/>
        </w:rPr>
        <w:t>(</w:t>
      </w:r>
      <w:r>
        <w:rPr>
          <w:rFonts w:hint="eastAsia" w:hAnsi="宋体"/>
          <w:sz w:val="24"/>
          <w:szCs w:val="21"/>
          <w:u w:val="single"/>
          <w:lang w:eastAsia="zh-CN"/>
        </w:rPr>
        <w:t>投标人</w:t>
      </w:r>
      <w:r>
        <w:rPr>
          <w:rFonts w:hint="eastAsia" w:hAnsi="宋体"/>
          <w:sz w:val="24"/>
          <w:szCs w:val="21"/>
          <w:u w:val="single"/>
        </w:rPr>
        <w:t>名称</w:t>
      </w:r>
      <w:r>
        <w:rPr>
          <w:rFonts w:hAnsi="宋体"/>
          <w:sz w:val="24"/>
          <w:szCs w:val="21"/>
          <w:u w:val="single"/>
        </w:rPr>
        <w:t>)</w:t>
      </w:r>
      <w:r>
        <w:rPr>
          <w:rFonts w:hint="eastAsia" w:hAnsi="宋体"/>
          <w:sz w:val="24"/>
          <w:szCs w:val="21"/>
          <w:lang w:eastAsia="zh-CN"/>
        </w:rPr>
        <w:t>的</w:t>
      </w:r>
      <w:r>
        <w:rPr>
          <w:rFonts w:hint="eastAsia" w:hAnsi="宋体"/>
          <w:sz w:val="24"/>
          <w:szCs w:val="21"/>
        </w:rPr>
        <w:t>负责人，我方愿意参加贵方组织的</w:t>
      </w:r>
      <w:r>
        <w:rPr>
          <w:rFonts w:hint="eastAsia" w:hAnsi="宋体"/>
          <w:sz w:val="24"/>
          <w:szCs w:val="21"/>
          <w:u w:val="single"/>
        </w:rPr>
        <w:t xml:space="preserve">    </w:t>
      </w:r>
      <w:r>
        <w:rPr>
          <w:rFonts w:hint="eastAsia" w:hAnsi="宋体"/>
          <w:sz w:val="24"/>
          <w:szCs w:val="21"/>
          <w:u w:val="single"/>
          <w:lang w:eastAsia="zh-CN"/>
        </w:rPr>
        <w:t xml:space="preserve"> </w:t>
      </w:r>
      <w:r>
        <w:rPr>
          <w:rFonts w:hint="eastAsia" w:hAnsi="宋体"/>
          <w:sz w:val="24"/>
          <w:szCs w:val="21"/>
          <w:u w:val="single"/>
        </w:rPr>
        <w:t>（</w:t>
      </w:r>
      <w:r>
        <w:rPr>
          <w:rFonts w:hAnsi="宋体"/>
          <w:sz w:val="24"/>
          <w:szCs w:val="21"/>
          <w:u w:val="single"/>
        </w:rPr>
        <w:t>项目名称</w:t>
      </w:r>
      <w:r>
        <w:rPr>
          <w:rFonts w:hint="eastAsia" w:hAnsi="宋体"/>
          <w:sz w:val="24"/>
          <w:szCs w:val="21"/>
          <w:u w:val="single"/>
        </w:rPr>
        <w:t>）</w:t>
      </w:r>
      <w:r>
        <w:rPr>
          <w:rFonts w:hint="eastAsia" w:hAnsi="宋体"/>
          <w:sz w:val="24"/>
          <w:szCs w:val="21"/>
          <w:u w:val="single"/>
          <w:lang w:eastAsia="zh-CN"/>
        </w:rPr>
        <w:t xml:space="preserve">   </w:t>
      </w:r>
      <w:r>
        <w:rPr>
          <w:rFonts w:hint="eastAsia" w:hAnsi="宋体"/>
          <w:sz w:val="24"/>
          <w:szCs w:val="21"/>
          <w:u w:val="single"/>
        </w:rPr>
        <w:t>（采购编号：   ）</w:t>
      </w:r>
      <w:r>
        <w:rPr>
          <w:rFonts w:hint="eastAsia" w:hAnsi="宋体"/>
          <w:sz w:val="24"/>
          <w:szCs w:val="21"/>
        </w:rPr>
        <w:t>的投标。为便于贵方公正、择优地确定中标人以及投标产品和服务，我方就本次投标有关事项郑重承诺如下：</w:t>
      </w:r>
    </w:p>
    <w:p>
      <w:pPr>
        <w:pStyle w:val="242"/>
        <w:spacing w:line="360" w:lineRule="auto"/>
        <w:ind w:firstLine="480" w:firstLineChars="200"/>
        <w:rPr>
          <w:rFonts w:hint="eastAsia" w:hAnsi="宋体"/>
          <w:sz w:val="24"/>
          <w:szCs w:val="21"/>
        </w:rPr>
      </w:pPr>
      <w:r>
        <w:rPr>
          <w:rFonts w:hint="eastAsia" w:hAnsi="宋体"/>
          <w:sz w:val="24"/>
          <w:szCs w:val="21"/>
        </w:rPr>
        <w:t>1、我方向贵方提交的所有投标文件、资料都是准确的和真实的。</w:t>
      </w:r>
    </w:p>
    <w:p>
      <w:pPr>
        <w:pStyle w:val="242"/>
        <w:spacing w:line="360" w:lineRule="auto"/>
        <w:ind w:firstLine="480" w:firstLineChars="200"/>
        <w:rPr>
          <w:rFonts w:hint="eastAsia" w:hAnsi="宋体"/>
          <w:sz w:val="24"/>
          <w:szCs w:val="21"/>
        </w:rPr>
      </w:pPr>
      <w:r>
        <w:rPr>
          <w:rFonts w:hint="eastAsia" w:hAnsi="宋体"/>
          <w:sz w:val="24"/>
          <w:szCs w:val="21"/>
        </w:rPr>
        <w:t>2、我方承诺已经具备《中华人民共和国政府采购法》、《中华人民共和国政府采购法实施条例》中规定的参加政府采购活动的投标人应当具备的条件，并真实提供相关材料。</w:t>
      </w:r>
    </w:p>
    <w:p>
      <w:pPr>
        <w:pStyle w:val="242"/>
        <w:spacing w:line="360" w:lineRule="auto"/>
        <w:ind w:firstLine="480" w:firstLineChars="200"/>
        <w:rPr>
          <w:rFonts w:hint="eastAsia" w:hAnsi="宋体"/>
          <w:sz w:val="24"/>
          <w:szCs w:val="21"/>
        </w:rPr>
      </w:pPr>
      <w:r>
        <w:rPr>
          <w:rFonts w:hint="eastAsia" w:hAnsi="宋体"/>
          <w:sz w:val="24"/>
          <w:szCs w:val="21"/>
        </w:rPr>
        <w:t>3、提供投标人须知规定的全部投标文件，包括：</w:t>
      </w:r>
    </w:p>
    <w:p>
      <w:pPr>
        <w:pStyle w:val="242"/>
        <w:spacing w:line="360" w:lineRule="auto"/>
        <w:ind w:firstLine="480" w:firstLineChars="200"/>
        <w:rPr>
          <w:rFonts w:hAnsi="宋体"/>
          <w:sz w:val="24"/>
          <w:szCs w:val="21"/>
        </w:rPr>
      </w:pPr>
      <w:r>
        <w:rPr>
          <w:rFonts w:hint="eastAsia" w:hAnsi="宋体"/>
          <w:sz w:val="24"/>
          <w:szCs w:val="21"/>
        </w:rPr>
        <w:t>①电子</w:t>
      </w:r>
      <w:r>
        <w:rPr>
          <w:rFonts w:hint="eastAsia" w:hAnsi="宋体"/>
          <w:sz w:val="24"/>
          <w:szCs w:val="21"/>
          <w:lang w:eastAsia="zh-CN"/>
        </w:rPr>
        <w:t>投标</w:t>
      </w:r>
      <w:r>
        <w:rPr>
          <w:rFonts w:hAnsi="宋体"/>
          <w:sz w:val="24"/>
          <w:szCs w:val="21"/>
        </w:rPr>
        <w:t>文件</w:t>
      </w:r>
      <w:r>
        <w:rPr>
          <w:rFonts w:hint="eastAsia" w:hAnsi="宋体"/>
          <w:sz w:val="24"/>
          <w:szCs w:val="21"/>
        </w:rPr>
        <w:t>；</w:t>
      </w:r>
    </w:p>
    <w:p>
      <w:pPr>
        <w:pStyle w:val="242"/>
        <w:spacing w:line="360" w:lineRule="auto"/>
        <w:ind w:firstLine="480" w:firstLineChars="200"/>
        <w:rPr>
          <w:rFonts w:hint="eastAsia" w:hAnsi="宋体"/>
          <w:sz w:val="24"/>
          <w:szCs w:val="21"/>
        </w:rPr>
      </w:pPr>
      <w:r>
        <w:rPr>
          <w:rFonts w:hint="eastAsia" w:hAnsi="宋体"/>
          <w:sz w:val="24"/>
          <w:szCs w:val="21"/>
        </w:rPr>
        <w:t>②备份</w:t>
      </w:r>
      <w:r>
        <w:rPr>
          <w:rFonts w:hint="eastAsia" w:hAnsi="宋体"/>
          <w:sz w:val="24"/>
          <w:szCs w:val="21"/>
          <w:lang w:eastAsia="zh-CN"/>
        </w:rPr>
        <w:t>投标</w:t>
      </w:r>
      <w:r>
        <w:rPr>
          <w:rFonts w:hint="eastAsia" w:hAnsi="宋体"/>
          <w:sz w:val="24"/>
          <w:szCs w:val="21"/>
        </w:rPr>
        <w:t>文件（注：是否提交由</w:t>
      </w:r>
      <w:r>
        <w:rPr>
          <w:rFonts w:hint="eastAsia" w:hAnsi="宋体"/>
          <w:sz w:val="24"/>
          <w:szCs w:val="21"/>
          <w:lang w:eastAsia="zh-CN"/>
        </w:rPr>
        <w:t>投标人</w:t>
      </w:r>
      <w:r>
        <w:rPr>
          <w:rFonts w:hint="eastAsia" w:hAnsi="宋体"/>
          <w:sz w:val="24"/>
          <w:szCs w:val="21"/>
        </w:rPr>
        <w:t>自行决定，如不提交，本条可删除）。</w:t>
      </w:r>
    </w:p>
    <w:p>
      <w:pPr>
        <w:pStyle w:val="242"/>
        <w:spacing w:line="360" w:lineRule="auto"/>
        <w:ind w:firstLine="480" w:firstLineChars="200"/>
        <w:rPr>
          <w:rFonts w:hint="eastAsia" w:hAnsi="宋体"/>
          <w:sz w:val="24"/>
          <w:szCs w:val="21"/>
        </w:rPr>
      </w:pPr>
      <w:r>
        <w:rPr>
          <w:rFonts w:hint="eastAsia" w:hAnsi="宋体"/>
          <w:sz w:val="24"/>
          <w:szCs w:val="21"/>
        </w:rPr>
        <w:t>4、如果我方中标，将派出</w:t>
      </w:r>
      <w:r>
        <w:rPr>
          <w:rFonts w:hint="eastAsia" w:hAnsi="宋体"/>
          <w:sz w:val="24"/>
          <w:szCs w:val="21"/>
          <w:u w:val="single"/>
        </w:rPr>
        <w:t xml:space="preserve">  （姓名及身份证号码）</w:t>
      </w:r>
      <w:r>
        <w:rPr>
          <w:rFonts w:hint="eastAsia" w:hAnsi="宋体"/>
          <w:sz w:val="24"/>
          <w:szCs w:val="21"/>
        </w:rPr>
        <w:t>，作为本项目与采购人联系的项目实施负责人，联系手机号码：</w:t>
      </w:r>
      <w:r>
        <w:rPr>
          <w:rFonts w:hAnsi="宋体"/>
          <w:sz w:val="24"/>
          <w:szCs w:val="21"/>
          <w:u w:val="single"/>
        </w:rPr>
        <w:t xml:space="preserve">             </w:t>
      </w:r>
      <w:r>
        <w:rPr>
          <w:rFonts w:hint="eastAsia" w:hAnsi="宋体"/>
          <w:sz w:val="24"/>
          <w:szCs w:val="21"/>
        </w:rPr>
        <w:t>。在项目实施过程中，并承诺项目实施负责人不更换，若确需要更换的，书面征得采购人同意后才准予更换。</w:t>
      </w:r>
    </w:p>
    <w:p>
      <w:pPr>
        <w:pStyle w:val="242"/>
        <w:spacing w:line="440" w:lineRule="exact"/>
        <w:ind w:firstLine="480" w:firstLineChars="200"/>
        <w:rPr>
          <w:rFonts w:hint="eastAsia" w:hAnsi="宋体"/>
          <w:sz w:val="24"/>
          <w:szCs w:val="21"/>
        </w:rPr>
      </w:pPr>
      <w:r>
        <w:rPr>
          <w:rFonts w:hint="eastAsia" w:hAnsi="宋体"/>
          <w:sz w:val="24"/>
          <w:szCs w:val="21"/>
          <w:lang w:eastAsia="zh-CN"/>
        </w:rPr>
        <w:t>5</w:t>
      </w:r>
      <w:r>
        <w:rPr>
          <w:rFonts w:hint="eastAsia" w:hAnsi="宋体"/>
          <w:sz w:val="24"/>
          <w:szCs w:val="21"/>
        </w:rPr>
        <w:t>、我方的投标有效期自</w:t>
      </w:r>
      <w:r>
        <w:rPr>
          <w:rFonts w:hint="eastAsia" w:hAnsi="宋体"/>
          <w:bCs/>
          <w:snapToGrid w:val="0"/>
          <w:kern w:val="2"/>
          <w:sz w:val="24"/>
          <w:szCs w:val="24"/>
        </w:rPr>
        <w:t>提交投标文件的截止之日起</w:t>
      </w:r>
      <w:r>
        <w:rPr>
          <w:rFonts w:hint="eastAsia" w:hAnsi="宋体"/>
          <w:sz w:val="24"/>
          <w:szCs w:val="21"/>
          <w:u w:val="single"/>
        </w:rPr>
        <w:t>90</w:t>
      </w:r>
      <w:r>
        <w:rPr>
          <w:rFonts w:hint="eastAsia" w:hAnsi="宋体"/>
          <w:sz w:val="24"/>
          <w:szCs w:val="21"/>
        </w:rPr>
        <w:t>天内有效。</w:t>
      </w:r>
    </w:p>
    <w:p>
      <w:pPr>
        <w:pStyle w:val="242"/>
        <w:spacing w:line="440" w:lineRule="exact"/>
        <w:ind w:firstLine="480" w:firstLineChars="200"/>
        <w:rPr>
          <w:rFonts w:hint="eastAsia" w:hAnsi="宋体"/>
          <w:sz w:val="24"/>
          <w:szCs w:val="21"/>
        </w:rPr>
      </w:pPr>
      <w:r>
        <w:rPr>
          <w:rFonts w:hint="eastAsia" w:hAnsi="宋体"/>
          <w:sz w:val="24"/>
          <w:szCs w:val="21"/>
          <w:lang w:eastAsia="zh-CN"/>
        </w:rPr>
        <w:t>6</w:t>
      </w:r>
      <w:r>
        <w:rPr>
          <w:rFonts w:hint="eastAsia" w:hAnsi="宋体"/>
          <w:sz w:val="24"/>
          <w:szCs w:val="21"/>
        </w:rPr>
        <w:t>、我方在投标之前已经与贵方进行了充分的沟通，完全理解并接受招标文件的各项规定和要求，对招标文件的合理性、合法性不再有异议。</w:t>
      </w:r>
    </w:p>
    <w:p>
      <w:pPr>
        <w:pStyle w:val="242"/>
        <w:spacing w:line="440" w:lineRule="exact"/>
        <w:ind w:firstLine="480" w:firstLineChars="200"/>
        <w:rPr>
          <w:rFonts w:hint="eastAsia" w:hAnsi="宋体"/>
          <w:sz w:val="24"/>
          <w:szCs w:val="21"/>
        </w:rPr>
      </w:pPr>
      <w:r>
        <w:rPr>
          <w:rFonts w:hint="eastAsia" w:hAnsi="宋体"/>
          <w:sz w:val="24"/>
          <w:szCs w:val="21"/>
        </w:rPr>
        <w:t>我方愿意向贵方提供真实完整的任何与该项投标有关的数据、情况和技术资料。若贵方需要，我方愿意提供我方作出的一切承诺的证明材料。</w:t>
      </w:r>
    </w:p>
    <w:p>
      <w:pPr>
        <w:pStyle w:val="242"/>
        <w:spacing w:line="440" w:lineRule="exact"/>
        <w:ind w:firstLine="480" w:firstLineChars="200"/>
        <w:rPr>
          <w:rFonts w:hint="eastAsia" w:hAnsi="宋体"/>
          <w:sz w:val="24"/>
          <w:szCs w:val="21"/>
        </w:rPr>
      </w:pPr>
      <w:r>
        <w:rPr>
          <w:rFonts w:hint="eastAsia" w:hAnsi="宋体"/>
          <w:sz w:val="24"/>
          <w:szCs w:val="21"/>
          <w:lang w:eastAsia="zh-CN"/>
        </w:rPr>
        <w:t>7</w:t>
      </w:r>
      <w:r>
        <w:rPr>
          <w:rFonts w:hint="eastAsia" w:hAnsi="宋体"/>
          <w:sz w:val="24"/>
          <w:szCs w:val="21"/>
        </w:rPr>
        <w:t>、我方已详细审核全部招标文件，包括招标文件的澄清或修改文件（如有）、参考资料及有关附件，已经了解我方对于招标文件、采购过程、采购结果有依法进行询问、质疑、投诉的权利及相关渠道和要求。</w:t>
      </w:r>
    </w:p>
    <w:p>
      <w:pPr>
        <w:pStyle w:val="242"/>
        <w:spacing w:line="440" w:lineRule="exact"/>
        <w:ind w:firstLine="480" w:firstLineChars="200"/>
        <w:rPr>
          <w:rFonts w:hint="eastAsia" w:hAnsi="宋体"/>
          <w:sz w:val="24"/>
          <w:szCs w:val="21"/>
        </w:rPr>
      </w:pPr>
      <w:r>
        <w:rPr>
          <w:rFonts w:hint="eastAsia" w:hAnsi="宋体"/>
          <w:sz w:val="24"/>
          <w:szCs w:val="21"/>
          <w:lang w:eastAsia="zh-CN"/>
        </w:rPr>
        <w:t>8</w:t>
      </w:r>
      <w:r>
        <w:rPr>
          <w:rFonts w:hint="eastAsia" w:hAnsi="宋体"/>
          <w:sz w:val="24"/>
          <w:szCs w:val="21"/>
        </w:rPr>
        <w:t>、我方不是采购人的附属机构，并未为本项目提供整体设计、规范编制或者项目管理、监理、监测等服务。</w:t>
      </w:r>
    </w:p>
    <w:p>
      <w:pPr>
        <w:pStyle w:val="242"/>
        <w:spacing w:line="440" w:lineRule="exact"/>
        <w:ind w:firstLine="480" w:firstLineChars="200"/>
        <w:rPr>
          <w:rFonts w:hint="eastAsia" w:hAnsi="宋体"/>
          <w:sz w:val="24"/>
          <w:szCs w:val="21"/>
        </w:rPr>
      </w:pPr>
      <w:r>
        <w:rPr>
          <w:rFonts w:hint="eastAsia" w:hAnsi="宋体"/>
          <w:sz w:val="24"/>
          <w:szCs w:val="21"/>
          <w:lang w:eastAsia="zh-CN"/>
        </w:rPr>
        <w:t>9</w:t>
      </w:r>
      <w:r>
        <w:rPr>
          <w:rFonts w:hint="eastAsia" w:hAnsi="宋体"/>
          <w:sz w:val="24"/>
          <w:szCs w:val="21"/>
        </w:rPr>
        <w:t>、我方将严格遵守《中华人民共和国政府采购法》第七十七条规定：投标人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pStyle w:val="242"/>
        <w:spacing w:line="440" w:lineRule="exact"/>
        <w:ind w:firstLine="240" w:firstLineChars="100"/>
        <w:rPr>
          <w:rFonts w:hint="eastAsia" w:hAnsi="宋体"/>
          <w:sz w:val="24"/>
          <w:szCs w:val="21"/>
        </w:rPr>
      </w:pPr>
      <w:r>
        <w:rPr>
          <w:rFonts w:hint="eastAsia" w:hAnsi="宋体"/>
          <w:sz w:val="24"/>
          <w:szCs w:val="21"/>
        </w:rPr>
        <w:t>（一）提供虚假材料谋取中标、中标的；</w:t>
      </w:r>
    </w:p>
    <w:p>
      <w:pPr>
        <w:pStyle w:val="242"/>
        <w:spacing w:line="440" w:lineRule="exact"/>
        <w:ind w:firstLine="240" w:firstLineChars="100"/>
        <w:rPr>
          <w:rFonts w:hint="eastAsia" w:hAnsi="宋体"/>
          <w:sz w:val="24"/>
          <w:szCs w:val="21"/>
        </w:rPr>
      </w:pPr>
      <w:r>
        <w:rPr>
          <w:rFonts w:hint="eastAsia" w:hAnsi="宋体"/>
          <w:sz w:val="24"/>
          <w:szCs w:val="21"/>
        </w:rPr>
        <w:t>（二）采取不正当手段诋毁、排挤其他投标人的；</w:t>
      </w:r>
    </w:p>
    <w:p>
      <w:pPr>
        <w:pStyle w:val="242"/>
        <w:spacing w:line="440" w:lineRule="exact"/>
        <w:ind w:firstLine="240" w:firstLineChars="100"/>
        <w:rPr>
          <w:rFonts w:hint="eastAsia" w:hAnsi="宋体"/>
          <w:sz w:val="24"/>
          <w:szCs w:val="21"/>
        </w:rPr>
      </w:pPr>
      <w:r>
        <w:rPr>
          <w:rFonts w:hint="eastAsia" w:hAnsi="宋体"/>
          <w:sz w:val="24"/>
          <w:szCs w:val="21"/>
        </w:rPr>
        <w:t>（三）与采购人、其它投标人或者采购代理机构恶意串通的；</w:t>
      </w:r>
    </w:p>
    <w:p>
      <w:pPr>
        <w:pStyle w:val="242"/>
        <w:spacing w:line="440" w:lineRule="exact"/>
        <w:ind w:firstLine="240" w:firstLineChars="100"/>
        <w:rPr>
          <w:rFonts w:hint="eastAsia" w:hAnsi="宋体"/>
          <w:sz w:val="24"/>
          <w:szCs w:val="21"/>
        </w:rPr>
      </w:pPr>
      <w:r>
        <w:rPr>
          <w:rFonts w:hint="eastAsia" w:hAnsi="宋体"/>
          <w:sz w:val="24"/>
          <w:szCs w:val="21"/>
        </w:rPr>
        <w:t>（四）向采购人、采购代理机构行贿或者提供其他不正当利益的；</w:t>
      </w:r>
    </w:p>
    <w:p>
      <w:pPr>
        <w:pStyle w:val="242"/>
        <w:spacing w:line="440" w:lineRule="exact"/>
        <w:ind w:firstLine="240" w:firstLineChars="100"/>
        <w:rPr>
          <w:rFonts w:hint="eastAsia" w:hAnsi="宋体"/>
          <w:sz w:val="24"/>
          <w:szCs w:val="21"/>
        </w:rPr>
      </w:pPr>
      <w:r>
        <w:rPr>
          <w:rFonts w:hint="eastAsia" w:hAnsi="宋体"/>
          <w:sz w:val="24"/>
          <w:szCs w:val="21"/>
        </w:rPr>
        <w:t>（五）在招标采购过程中与采购人进行协商谈判的；</w:t>
      </w:r>
    </w:p>
    <w:p>
      <w:pPr>
        <w:pStyle w:val="242"/>
        <w:spacing w:line="440" w:lineRule="exact"/>
        <w:ind w:firstLine="240" w:firstLineChars="100"/>
        <w:rPr>
          <w:rFonts w:hint="eastAsia" w:hAnsi="宋体"/>
          <w:sz w:val="24"/>
          <w:szCs w:val="21"/>
        </w:rPr>
      </w:pPr>
      <w:r>
        <w:rPr>
          <w:rFonts w:hint="eastAsia" w:hAnsi="宋体"/>
          <w:sz w:val="24"/>
          <w:szCs w:val="21"/>
        </w:rPr>
        <w:t>（六）拒绝有关部门监督检查或提供虚假情况的。</w:t>
      </w:r>
    </w:p>
    <w:p>
      <w:pPr>
        <w:pStyle w:val="242"/>
        <w:spacing w:line="440" w:lineRule="exact"/>
        <w:ind w:firstLine="240" w:firstLineChars="100"/>
        <w:rPr>
          <w:rFonts w:hint="eastAsia" w:hAnsi="宋体"/>
          <w:sz w:val="24"/>
          <w:szCs w:val="21"/>
        </w:rPr>
      </w:pPr>
      <w:r>
        <w:rPr>
          <w:rFonts w:hint="eastAsia" w:hAnsi="宋体"/>
          <w:sz w:val="24"/>
          <w:szCs w:val="21"/>
        </w:rPr>
        <w:t>1</w:t>
      </w:r>
      <w:r>
        <w:rPr>
          <w:rFonts w:hint="eastAsia" w:hAnsi="宋体"/>
          <w:sz w:val="24"/>
          <w:szCs w:val="21"/>
          <w:lang w:eastAsia="zh-CN"/>
        </w:rPr>
        <w:t>0</w:t>
      </w:r>
      <w:r>
        <w:rPr>
          <w:rFonts w:hint="eastAsia" w:hAnsi="宋体"/>
          <w:sz w:val="24"/>
          <w:szCs w:val="21"/>
        </w:rPr>
        <w:t>、如中标，本投标文件至本项目合同履行完毕止均保持有效，我方将按招标文件及政府采购法律、法规的规定履行合同责任和义务。</w:t>
      </w:r>
    </w:p>
    <w:p>
      <w:pPr>
        <w:pStyle w:val="242"/>
        <w:spacing w:line="440" w:lineRule="exact"/>
        <w:ind w:firstLine="240" w:firstLineChars="100"/>
        <w:rPr>
          <w:rFonts w:hint="eastAsia" w:hAnsi="宋体"/>
          <w:sz w:val="24"/>
          <w:szCs w:val="21"/>
        </w:rPr>
      </w:pPr>
      <w:r>
        <w:rPr>
          <w:rFonts w:hint="eastAsia" w:hAnsi="宋体"/>
          <w:sz w:val="24"/>
          <w:szCs w:val="21"/>
        </w:rPr>
        <w:t>1</w:t>
      </w:r>
      <w:r>
        <w:rPr>
          <w:rFonts w:hint="eastAsia" w:hAnsi="宋体"/>
          <w:sz w:val="24"/>
          <w:szCs w:val="21"/>
          <w:lang w:eastAsia="zh-CN"/>
        </w:rPr>
        <w:t>1</w:t>
      </w:r>
      <w:r>
        <w:rPr>
          <w:rFonts w:hint="eastAsia" w:hAnsi="宋体"/>
          <w:sz w:val="24"/>
          <w:szCs w:val="21"/>
        </w:rPr>
        <w:t>、以上事项如有虚假或隐瞒，我方愿意承担一切不利后果，并不再寻求任何旨在减轻或免除法律责任。</w:t>
      </w:r>
    </w:p>
    <w:p>
      <w:pPr>
        <w:pStyle w:val="242"/>
        <w:spacing w:line="440" w:lineRule="exact"/>
        <w:ind w:firstLine="480"/>
        <w:rPr>
          <w:rFonts w:hAnsi="宋体"/>
          <w:sz w:val="24"/>
          <w:szCs w:val="21"/>
        </w:rPr>
      </w:pPr>
      <w:r>
        <w:rPr>
          <w:rFonts w:hint="eastAsia" w:hAnsi="宋体"/>
          <w:sz w:val="24"/>
          <w:szCs w:val="21"/>
        </w:rPr>
        <w:t>与本次投标有关的一切正式往来信函请寄：</w:t>
      </w:r>
    </w:p>
    <w:p>
      <w:pPr>
        <w:pStyle w:val="242"/>
        <w:spacing w:line="440" w:lineRule="exact"/>
        <w:ind w:firstLine="480"/>
        <w:rPr>
          <w:rFonts w:hAnsi="宋体"/>
          <w:sz w:val="24"/>
          <w:szCs w:val="21"/>
        </w:rPr>
      </w:pPr>
      <w:r>
        <w:rPr>
          <w:rFonts w:hAnsi="宋体"/>
          <w:sz w:val="24"/>
          <w:szCs w:val="21"/>
        </w:rPr>
        <w:t>地址：</w:t>
      </w:r>
      <w:r>
        <w:rPr>
          <w:rFonts w:hAnsi="宋体"/>
          <w:spacing w:val="20"/>
          <w:sz w:val="24"/>
          <w:u w:val="single"/>
        </w:rPr>
        <w:t xml:space="preserve">      </w:t>
      </w:r>
      <w:r>
        <w:rPr>
          <w:rFonts w:hint="eastAsia" w:hAnsi="宋体"/>
          <w:spacing w:val="20"/>
          <w:sz w:val="24"/>
          <w:u w:val="single"/>
        </w:rPr>
        <w:t xml:space="preserve">  </w:t>
      </w:r>
      <w:r>
        <w:rPr>
          <w:rFonts w:hAnsi="宋体"/>
          <w:spacing w:val="20"/>
          <w:sz w:val="24"/>
          <w:u w:val="single"/>
        </w:rPr>
        <w:t xml:space="preserve">  </w:t>
      </w:r>
      <w:r>
        <w:rPr>
          <w:rFonts w:hint="eastAsia" w:hAnsi="宋体"/>
          <w:spacing w:val="20"/>
          <w:sz w:val="24"/>
          <w:u w:val="single"/>
        </w:rPr>
        <w:t xml:space="preserve"> </w:t>
      </w:r>
      <w:r>
        <w:rPr>
          <w:rFonts w:hAnsi="宋体"/>
          <w:spacing w:val="20"/>
          <w:sz w:val="24"/>
          <w:u w:val="single"/>
        </w:rPr>
        <w:t xml:space="preserve">  </w:t>
      </w:r>
      <w:r>
        <w:rPr>
          <w:rFonts w:hAnsi="宋体"/>
          <w:sz w:val="24"/>
          <w:szCs w:val="21"/>
        </w:rPr>
        <w:t xml:space="preserve">     邮编：</w:t>
      </w:r>
      <w:r>
        <w:rPr>
          <w:rFonts w:hAnsi="宋体"/>
          <w:spacing w:val="20"/>
          <w:sz w:val="24"/>
          <w:u w:val="single"/>
        </w:rPr>
        <w:t xml:space="preserve">        </w:t>
      </w:r>
      <w:r>
        <w:rPr>
          <w:rFonts w:hint="eastAsia" w:hAnsi="宋体"/>
          <w:spacing w:val="20"/>
          <w:sz w:val="24"/>
          <w:u w:val="single"/>
        </w:rPr>
        <w:t xml:space="preserve"> </w:t>
      </w:r>
      <w:r>
        <w:rPr>
          <w:rFonts w:hAnsi="宋体"/>
          <w:spacing w:val="20"/>
          <w:sz w:val="24"/>
          <w:u w:val="single"/>
        </w:rPr>
        <w:t xml:space="preserve">  </w:t>
      </w:r>
      <w:r>
        <w:rPr>
          <w:rFonts w:hAnsi="宋体"/>
          <w:sz w:val="24"/>
          <w:szCs w:val="21"/>
        </w:rPr>
        <w:t>　</w:t>
      </w:r>
    </w:p>
    <w:p>
      <w:pPr>
        <w:pStyle w:val="29"/>
        <w:spacing w:line="440" w:lineRule="exact"/>
        <w:ind w:firstLine="480" w:firstLineChars="200"/>
        <w:rPr>
          <w:rFonts w:hAnsi="宋体"/>
          <w:sz w:val="24"/>
          <w:szCs w:val="21"/>
        </w:rPr>
      </w:pPr>
      <w:r>
        <w:rPr>
          <w:rFonts w:hAnsi="宋体"/>
          <w:sz w:val="24"/>
          <w:szCs w:val="21"/>
        </w:rPr>
        <w:t>电话：</w:t>
      </w:r>
      <w:r>
        <w:rPr>
          <w:rFonts w:hAnsi="宋体"/>
          <w:spacing w:val="20"/>
          <w:sz w:val="24"/>
          <w:u w:val="single"/>
        </w:rPr>
        <w:t xml:space="preserve">      </w:t>
      </w:r>
      <w:r>
        <w:rPr>
          <w:rFonts w:hint="eastAsia" w:hAnsi="宋体"/>
          <w:spacing w:val="20"/>
          <w:sz w:val="24"/>
          <w:u w:val="single"/>
        </w:rPr>
        <w:t xml:space="preserve">  </w:t>
      </w:r>
      <w:r>
        <w:rPr>
          <w:rFonts w:hAnsi="宋体"/>
          <w:spacing w:val="20"/>
          <w:sz w:val="24"/>
          <w:u w:val="single"/>
        </w:rPr>
        <w:t xml:space="preserve">  </w:t>
      </w:r>
      <w:r>
        <w:rPr>
          <w:rFonts w:hint="eastAsia" w:hAnsi="宋体"/>
          <w:spacing w:val="20"/>
          <w:sz w:val="24"/>
          <w:u w:val="single"/>
        </w:rPr>
        <w:t xml:space="preserve"> </w:t>
      </w:r>
      <w:r>
        <w:rPr>
          <w:rFonts w:hAnsi="宋体"/>
          <w:spacing w:val="20"/>
          <w:sz w:val="24"/>
          <w:u w:val="single"/>
        </w:rPr>
        <w:t xml:space="preserve">  </w:t>
      </w:r>
      <w:r>
        <w:rPr>
          <w:rFonts w:hAnsi="宋体"/>
          <w:sz w:val="24"/>
          <w:szCs w:val="21"/>
        </w:rPr>
        <w:t xml:space="preserve">     传真：</w:t>
      </w:r>
      <w:r>
        <w:rPr>
          <w:rFonts w:hAnsi="宋体"/>
          <w:spacing w:val="20"/>
          <w:sz w:val="24"/>
          <w:u w:val="single"/>
        </w:rPr>
        <w:t xml:space="preserve">        </w:t>
      </w:r>
      <w:r>
        <w:rPr>
          <w:rFonts w:hint="eastAsia" w:hAnsi="宋体"/>
          <w:spacing w:val="20"/>
          <w:sz w:val="24"/>
          <w:u w:val="single"/>
        </w:rPr>
        <w:t xml:space="preserve"> </w:t>
      </w:r>
      <w:r>
        <w:rPr>
          <w:rFonts w:hAnsi="宋体"/>
          <w:spacing w:val="20"/>
          <w:sz w:val="24"/>
          <w:u w:val="single"/>
        </w:rPr>
        <w:t xml:space="preserve">  </w:t>
      </w:r>
    </w:p>
    <w:p>
      <w:pPr>
        <w:pStyle w:val="242"/>
        <w:spacing w:line="440" w:lineRule="exact"/>
        <w:rPr>
          <w:rFonts w:hint="eastAsia" w:hAnsi="宋体"/>
          <w:sz w:val="24"/>
          <w:szCs w:val="21"/>
          <w:lang w:val="en-US"/>
        </w:rPr>
      </w:pPr>
    </w:p>
    <w:p>
      <w:pPr>
        <w:pStyle w:val="338"/>
        <w:spacing w:line="520" w:lineRule="exact"/>
        <w:rPr>
          <w:rFonts w:hint="eastAsia" w:hAnsi="宋体"/>
          <w:spacing w:val="20"/>
          <w:sz w:val="24"/>
          <w:lang w:eastAsia="zh-CN"/>
        </w:rPr>
      </w:pPr>
    </w:p>
    <w:p>
      <w:pPr>
        <w:pStyle w:val="338"/>
        <w:spacing w:line="520" w:lineRule="exact"/>
        <w:ind w:firstLine="5320" w:firstLineChars="1900"/>
        <w:rPr>
          <w:rFonts w:hint="eastAsia" w:hAnsi="宋体"/>
          <w:spacing w:val="20"/>
          <w:sz w:val="24"/>
          <w:u w:val="single"/>
          <w:lang w:eastAsia="zh-CN"/>
        </w:rPr>
      </w:pPr>
    </w:p>
    <w:p>
      <w:pPr>
        <w:pStyle w:val="338"/>
        <w:spacing w:line="520" w:lineRule="exact"/>
        <w:ind w:firstLine="5320" w:firstLineChars="1900"/>
        <w:rPr>
          <w:rFonts w:hint="eastAsia" w:hAnsi="宋体"/>
          <w:spacing w:val="20"/>
          <w:sz w:val="24"/>
          <w:u w:val="single"/>
          <w:lang w:eastAsia="zh-CN"/>
        </w:rPr>
      </w:pPr>
    </w:p>
    <w:p>
      <w:pPr>
        <w:pStyle w:val="338"/>
        <w:spacing w:line="520" w:lineRule="exact"/>
        <w:ind w:firstLine="5320" w:firstLineChars="1900"/>
        <w:rPr>
          <w:rFonts w:hint="eastAsia" w:hAnsi="宋体"/>
          <w:spacing w:val="20"/>
          <w:sz w:val="24"/>
          <w:u w:val="single"/>
          <w:lang w:eastAsia="zh-CN"/>
        </w:rPr>
      </w:pPr>
    </w:p>
    <w:p>
      <w:pPr>
        <w:pStyle w:val="338"/>
        <w:spacing w:line="520" w:lineRule="exact"/>
        <w:ind w:firstLine="5320" w:firstLineChars="1900"/>
        <w:rPr>
          <w:rFonts w:hint="eastAsia" w:hAnsi="宋体"/>
          <w:spacing w:val="20"/>
          <w:sz w:val="24"/>
          <w:u w:val="single"/>
          <w:lang w:eastAsia="zh-CN"/>
        </w:rPr>
      </w:pPr>
    </w:p>
    <w:p>
      <w:pPr>
        <w:pStyle w:val="338"/>
        <w:spacing w:line="520" w:lineRule="exact"/>
        <w:ind w:firstLine="5320" w:firstLineChars="1900"/>
        <w:rPr>
          <w:rFonts w:hint="eastAsia" w:hAnsi="宋体"/>
          <w:spacing w:val="20"/>
          <w:sz w:val="24"/>
          <w:u w:val="single"/>
          <w:lang w:eastAsia="zh-CN"/>
        </w:rPr>
      </w:pPr>
    </w:p>
    <w:p>
      <w:pPr>
        <w:pStyle w:val="338"/>
        <w:spacing w:line="520" w:lineRule="exact"/>
        <w:ind w:firstLine="5320" w:firstLineChars="1900"/>
        <w:rPr>
          <w:rFonts w:hint="eastAsia" w:hAnsi="宋体"/>
          <w:spacing w:val="20"/>
          <w:sz w:val="24"/>
          <w:u w:val="single"/>
          <w:lang w:eastAsia="zh-CN"/>
        </w:rPr>
      </w:pPr>
    </w:p>
    <w:p>
      <w:pPr>
        <w:spacing w:line="360" w:lineRule="auto"/>
        <w:jc w:val="center"/>
        <w:rPr>
          <w:rFonts w:ascii="宋体" w:hAnsi="宋体"/>
          <w:b/>
          <w:sz w:val="30"/>
        </w:rPr>
      </w:pPr>
      <w:r>
        <w:rPr>
          <w:rFonts w:ascii="宋体" w:hAnsi="宋体"/>
          <w:b/>
          <w:sz w:val="30"/>
        </w:rPr>
        <w:br w:type="page"/>
      </w:r>
      <w:r>
        <w:rPr>
          <w:rFonts w:ascii="宋体" w:hAnsi="宋体"/>
          <w:b/>
          <w:sz w:val="30"/>
        </w:rPr>
        <w:t>2、投标人参标申请表</w:t>
      </w:r>
    </w:p>
    <w:tbl>
      <w:tblPr>
        <w:tblStyle w:val="56"/>
        <w:tblW w:w="899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5"/>
        <w:gridCol w:w="266"/>
        <w:gridCol w:w="862"/>
        <w:gridCol w:w="1161"/>
        <w:gridCol w:w="406"/>
        <w:gridCol w:w="1578"/>
        <w:gridCol w:w="1418"/>
        <w:gridCol w:w="255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1873" w:type="dxa"/>
            <w:gridSpan w:val="3"/>
            <w:vMerge w:val="restart"/>
            <w:tcBorders>
              <w:top w:val="single" w:color="auto" w:sz="4" w:space="0"/>
              <w:left w:val="single" w:color="auto" w:sz="4" w:space="0"/>
              <w:right w:val="single" w:color="auto" w:sz="4" w:space="0"/>
            </w:tcBorders>
            <w:noWrap w:val="0"/>
            <w:vAlign w:val="center"/>
          </w:tcPr>
          <w:p>
            <w:pPr>
              <w:pStyle w:val="461"/>
              <w:rPr>
                <w:rFonts w:ascii="宋体" w:hAnsi="宋体"/>
                <w:sz w:val="24"/>
              </w:rPr>
            </w:pPr>
            <w:r>
              <w:rPr>
                <w:rFonts w:hint="eastAsia" w:ascii="宋体" w:hAnsi="宋体"/>
                <w:sz w:val="24"/>
              </w:rPr>
              <w:t>统一社会信用代码</w:t>
            </w:r>
          </w:p>
        </w:tc>
        <w:tc>
          <w:tcPr>
            <w:tcW w:w="3145" w:type="dxa"/>
            <w:gridSpan w:val="3"/>
            <w:vMerge w:val="restart"/>
            <w:tcBorders>
              <w:top w:val="single" w:color="auto" w:sz="4" w:space="0"/>
              <w:left w:val="single" w:color="auto" w:sz="4" w:space="0"/>
              <w:right w:val="single" w:color="auto" w:sz="4" w:space="0"/>
            </w:tcBorders>
            <w:noWrap w:val="0"/>
            <w:vAlign w:val="center"/>
          </w:tcPr>
          <w:p>
            <w:pPr>
              <w:pStyle w:val="461"/>
              <w:ind w:firstLine="480"/>
              <w:jc w:val="center"/>
              <w:rPr>
                <w:rFonts w:ascii="宋体" w:hAnsi="宋体"/>
                <w:sz w:val="24"/>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hint="eastAsia" w:ascii="宋体" w:hAnsi="宋体"/>
                <w:sz w:val="24"/>
              </w:rPr>
              <w:t>投标人名称</w:t>
            </w: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ind w:firstLine="360"/>
              <w:jc w:val="center"/>
              <w:rPr>
                <w:rFonts w:ascii="宋体" w:hAnsi="宋体"/>
                <w:sz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1873" w:type="dxa"/>
            <w:gridSpan w:val="3"/>
            <w:vMerge w:val="continue"/>
            <w:tcBorders>
              <w:left w:val="single" w:color="auto" w:sz="4" w:space="0"/>
              <w:bottom w:val="single" w:color="auto" w:sz="4" w:space="0"/>
              <w:right w:val="single" w:color="auto" w:sz="4" w:space="0"/>
            </w:tcBorders>
            <w:noWrap w:val="0"/>
            <w:vAlign w:val="center"/>
          </w:tcPr>
          <w:p>
            <w:pPr>
              <w:pStyle w:val="461"/>
              <w:rPr>
                <w:rFonts w:ascii="宋体" w:hAnsi="宋体"/>
                <w:sz w:val="24"/>
              </w:rPr>
            </w:pPr>
          </w:p>
        </w:tc>
        <w:tc>
          <w:tcPr>
            <w:tcW w:w="3145" w:type="dxa"/>
            <w:gridSpan w:val="3"/>
            <w:vMerge w:val="continue"/>
            <w:tcBorders>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hint="eastAsia" w:ascii="宋体" w:hAnsi="宋体"/>
                <w:sz w:val="24"/>
              </w:rPr>
              <w:t>投标人地址</w:t>
            </w: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hint="eastAsia" w:ascii="宋体" w:hAnsi="宋体"/>
                <w:sz w:val="24"/>
              </w:rPr>
              <w:t>注册日期</w:t>
            </w:r>
          </w:p>
        </w:tc>
        <w:tc>
          <w:tcPr>
            <w:tcW w:w="3145" w:type="dxa"/>
            <w:gridSpan w:val="3"/>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hint="eastAsia" w:ascii="宋体" w:hAnsi="宋体"/>
                <w:sz w:val="24"/>
              </w:rPr>
              <w:t>注册资金</w:t>
            </w: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1873" w:type="dxa"/>
            <w:gridSpan w:val="3"/>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hint="eastAsia" w:ascii="宋体" w:hAnsi="宋体"/>
                <w:sz w:val="24"/>
              </w:rPr>
              <w:t>投标人网址</w:t>
            </w:r>
          </w:p>
        </w:tc>
        <w:tc>
          <w:tcPr>
            <w:tcW w:w="3145" w:type="dxa"/>
            <w:gridSpan w:val="3"/>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1418" w:type="dxa"/>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ascii="宋体" w:hAnsi="宋体"/>
                <w:sz w:val="24"/>
              </w:rPr>
              <w:t>E-mail</w:t>
            </w: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hint="eastAsia" w:ascii="宋体" w:hAnsi="宋体"/>
                <w:sz w:val="24"/>
              </w:rPr>
              <w:t>负责人</w:t>
            </w:r>
          </w:p>
        </w:tc>
        <w:tc>
          <w:tcPr>
            <w:tcW w:w="2023" w:type="dxa"/>
            <w:gridSpan w:val="2"/>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3402" w:type="dxa"/>
            <w:gridSpan w:val="3"/>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hint="eastAsia" w:ascii="宋体" w:hAnsi="宋体"/>
                <w:sz w:val="24"/>
              </w:rPr>
              <w:t>联系电话：</w:t>
            </w: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hint="eastAsia" w:ascii="宋体" w:hAnsi="宋体"/>
                <w:sz w:val="24"/>
              </w:rPr>
              <w:t>手机：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hint="eastAsia" w:ascii="宋体" w:hAnsi="宋体"/>
                <w:sz w:val="24"/>
              </w:rPr>
              <w:t>联系人</w:t>
            </w:r>
          </w:p>
        </w:tc>
        <w:tc>
          <w:tcPr>
            <w:tcW w:w="2023" w:type="dxa"/>
            <w:gridSpan w:val="2"/>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3402" w:type="dxa"/>
            <w:gridSpan w:val="3"/>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hint="eastAsia" w:ascii="宋体" w:hAnsi="宋体"/>
                <w:sz w:val="24"/>
              </w:rPr>
              <w:t>联系电话：</w:t>
            </w: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hint="eastAsia" w:ascii="宋体" w:hAnsi="宋体"/>
                <w:sz w:val="24"/>
              </w:rPr>
              <w:t>手机：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pPr>
              <w:pStyle w:val="461"/>
              <w:ind w:left="-109" w:leftChars="-52" w:right="-113" w:rightChars="-54"/>
              <w:rPr>
                <w:rFonts w:ascii="宋体" w:hAnsi="宋体"/>
                <w:sz w:val="24"/>
              </w:rPr>
            </w:pPr>
            <w:r>
              <w:rPr>
                <w:rFonts w:hint="eastAsia" w:ascii="宋体" w:hAnsi="宋体"/>
                <w:sz w:val="24"/>
              </w:rPr>
              <w:t>主营项目</w:t>
            </w:r>
          </w:p>
        </w:tc>
        <w:tc>
          <w:tcPr>
            <w:tcW w:w="7980" w:type="dxa"/>
            <w:gridSpan w:val="6"/>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1011" w:type="dxa"/>
            <w:gridSpan w:val="2"/>
            <w:tcBorders>
              <w:top w:val="single" w:color="auto" w:sz="4" w:space="0"/>
              <w:left w:val="single" w:color="auto" w:sz="4" w:space="0"/>
              <w:bottom w:val="single" w:color="auto" w:sz="4" w:space="0"/>
              <w:right w:val="single" w:color="auto" w:sz="4" w:space="0"/>
            </w:tcBorders>
            <w:noWrap w:val="0"/>
            <w:vAlign w:val="center"/>
          </w:tcPr>
          <w:p>
            <w:pPr>
              <w:pStyle w:val="461"/>
              <w:ind w:left="-109" w:leftChars="-52" w:right="-113" w:rightChars="-54"/>
              <w:rPr>
                <w:rFonts w:ascii="宋体" w:hAnsi="宋体"/>
                <w:sz w:val="24"/>
              </w:rPr>
            </w:pPr>
            <w:r>
              <w:rPr>
                <w:rFonts w:hint="eastAsia" w:ascii="宋体" w:hAnsi="宋体"/>
                <w:sz w:val="24"/>
              </w:rPr>
              <w:t>兼营项目</w:t>
            </w:r>
          </w:p>
        </w:tc>
        <w:tc>
          <w:tcPr>
            <w:tcW w:w="7980" w:type="dxa"/>
            <w:gridSpan w:val="6"/>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8991" w:type="dxa"/>
            <w:gridSpan w:val="8"/>
            <w:tcBorders>
              <w:top w:val="single" w:color="auto" w:sz="4" w:space="0"/>
              <w:left w:val="single" w:color="auto" w:sz="4" w:space="0"/>
              <w:bottom w:val="single" w:color="auto" w:sz="4" w:space="0"/>
              <w:right w:val="single" w:color="auto" w:sz="4" w:space="0"/>
            </w:tcBorders>
            <w:noWrap w:val="0"/>
            <w:vAlign w:val="center"/>
          </w:tcPr>
          <w:p>
            <w:pPr>
              <w:pStyle w:val="461"/>
              <w:ind w:firstLine="480"/>
              <w:rPr>
                <w:rFonts w:ascii="宋体" w:hAnsi="宋体"/>
                <w:sz w:val="24"/>
              </w:rPr>
            </w:pPr>
            <w:r>
              <w:rPr>
                <w:rFonts w:hint="eastAsia" w:ascii="宋体" w:hAnsi="宋体"/>
                <w:sz w:val="24"/>
              </w:rPr>
              <w:t>本单位申请参加下列采购项目的投标：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745" w:type="dxa"/>
            <w:tcBorders>
              <w:top w:val="single" w:color="auto" w:sz="4" w:space="0"/>
              <w:left w:val="single" w:color="auto" w:sz="4" w:space="0"/>
              <w:bottom w:val="single" w:color="auto" w:sz="4" w:space="0"/>
              <w:right w:val="single" w:color="auto" w:sz="4" w:space="0"/>
              <w:tl2br w:val="single" w:color="auto" w:sz="4" w:space="0"/>
            </w:tcBorders>
            <w:noWrap w:val="0"/>
            <w:vAlign w:val="center"/>
          </w:tcPr>
          <w:p>
            <w:pPr>
              <w:pStyle w:val="461"/>
              <w:ind w:firstLine="480"/>
              <w:jc w:val="center"/>
              <w:rPr>
                <w:rFonts w:ascii="宋体" w:hAnsi="宋体"/>
                <w:sz w:val="24"/>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r>
              <w:rPr>
                <w:rFonts w:hint="eastAsia" w:ascii="宋体" w:hAnsi="宋体"/>
                <w:sz w:val="24"/>
              </w:rPr>
              <w:t>采购编号</w:t>
            </w:r>
          </w:p>
        </w:tc>
        <w:tc>
          <w:tcPr>
            <w:tcW w:w="2996" w:type="dxa"/>
            <w:gridSpan w:val="2"/>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r>
              <w:rPr>
                <w:rFonts w:hint="eastAsia" w:ascii="宋体" w:hAnsi="宋体"/>
                <w:sz w:val="24"/>
              </w:rPr>
              <w:t>项目名称</w:t>
            </w: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ascii="宋体" w:hAnsi="宋体"/>
                <w:sz w:val="24"/>
              </w:rPr>
              <w:t>1</w:t>
            </w: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996" w:type="dxa"/>
            <w:gridSpan w:val="2"/>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ascii="宋体" w:hAnsi="宋体"/>
                <w:sz w:val="24"/>
              </w:rPr>
              <w:t>2</w:t>
            </w: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996" w:type="dxa"/>
            <w:gridSpan w:val="2"/>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ascii="宋体" w:hAnsi="宋体"/>
                <w:sz w:val="24"/>
              </w:rPr>
              <w:t>3</w:t>
            </w: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996" w:type="dxa"/>
            <w:gridSpan w:val="2"/>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pStyle w:val="461"/>
              <w:rPr>
                <w:rFonts w:ascii="宋体" w:hAnsi="宋体"/>
                <w:sz w:val="24"/>
              </w:rPr>
            </w:pPr>
            <w:r>
              <w:rPr>
                <w:rFonts w:ascii="宋体" w:hAnsi="宋体"/>
                <w:sz w:val="24"/>
              </w:rPr>
              <w:t>4</w:t>
            </w: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996" w:type="dxa"/>
            <w:gridSpan w:val="2"/>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996" w:type="dxa"/>
            <w:gridSpan w:val="2"/>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996" w:type="dxa"/>
            <w:gridSpan w:val="2"/>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996" w:type="dxa"/>
            <w:gridSpan w:val="2"/>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567"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695" w:type="dxa"/>
            <w:gridSpan w:val="4"/>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996" w:type="dxa"/>
            <w:gridSpan w:val="2"/>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c>
          <w:tcPr>
            <w:tcW w:w="2555" w:type="dxa"/>
            <w:tcBorders>
              <w:top w:val="single" w:color="auto" w:sz="4" w:space="0"/>
              <w:left w:val="single" w:color="auto" w:sz="4" w:space="0"/>
              <w:bottom w:val="single" w:color="auto" w:sz="4" w:space="0"/>
              <w:right w:val="single" w:color="auto" w:sz="4" w:space="0"/>
            </w:tcBorders>
            <w:noWrap w:val="0"/>
            <w:vAlign w:val="center"/>
          </w:tcPr>
          <w:p>
            <w:pPr>
              <w:pStyle w:val="461"/>
              <w:ind w:firstLine="480"/>
              <w:jc w:val="center"/>
              <w:rPr>
                <w:rFonts w:ascii="宋体" w:hAnsi="宋体"/>
                <w:sz w:val="24"/>
              </w:rPr>
            </w:pPr>
          </w:p>
        </w:tc>
      </w:tr>
    </w:tbl>
    <w:p>
      <w:pPr>
        <w:pStyle w:val="7"/>
        <w:ind w:firstLine="0"/>
        <w:rPr>
          <w:rFonts w:hint="eastAsia"/>
        </w:rPr>
      </w:pPr>
    </w:p>
    <w:p>
      <w:pPr>
        <w:pStyle w:val="7"/>
        <w:ind w:firstLine="0"/>
        <w:rPr>
          <w:rFonts w:hint="eastAsia"/>
        </w:rPr>
      </w:pPr>
    </w:p>
    <w:p>
      <w:pPr>
        <w:pStyle w:val="338"/>
        <w:spacing w:line="520" w:lineRule="exact"/>
        <w:jc w:val="center"/>
        <w:rPr>
          <w:rFonts w:hint="eastAsia" w:hAnsi="宋体"/>
          <w:b/>
          <w:sz w:val="30"/>
        </w:rPr>
      </w:pPr>
      <w:r>
        <w:rPr>
          <w:rFonts w:hAnsi="宋体"/>
          <w:spacing w:val="20"/>
          <w:sz w:val="24"/>
          <w:u w:val="single"/>
        </w:rPr>
        <w:br w:type="page"/>
      </w:r>
      <w:r>
        <w:rPr>
          <w:rFonts w:hint="eastAsia" w:hAnsi="宋体"/>
          <w:b/>
          <w:sz w:val="32"/>
          <w:szCs w:val="32"/>
        </w:rPr>
        <w:t>3、</w:t>
      </w:r>
      <w:r>
        <w:rPr>
          <w:rFonts w:hint="eastAsia" w:hAnsi="宋体"/>
          <w:b/>
          <w:sz w:val="30"/>
        </w:rPr>
        <w:t>代理服务费支付承诺书</w:t>
      </w:r>
    </w:p>
    <w:p>
      <w:pPr>
        <w:spacing w:line="360" w:lineRule="auto"/>
        <w:jc w:val="left"/>
        <w:rPr>
          <w:rFonts w:hint="eastAsia" w:ascii="宋体" w:hAnsi="宋体"/>
          <w:sz w:val="28"/>
          <w:szCs w:val="28"/>
          <w:lang/>
        </w:rPr>
      </w:pPr>
    </w:p>
    <w:p>
      <w:pPr>
        <w:spacing w:line="360" w:lineRule="auto"/>
        <w:jc w:val="left"/>
        <w:rPr>
          <w:rFonts w:hint="eastAsia" w:ascii="宋体" w:hAnsi="宋体"/>
          <w:sz w:val="28"/>
        </w:rPr>
      </w:pPr>
      <w:r>
        <w:rPr>
          <w:rFonts w:hint="eastAsia" w:ascii="宋体" w:hAnsi="宋体"/>
          <w:sz w:val="28"/>
        </w:rPr>
        <w:t>浙江建航工程咨询有限公司：</w:t>
      </w:r>
    </w:p>
    <w:p>
      <w:pPr>
        <w:spacing w:line="360" w:lineRule="auto"/>
        <w:ind w:firstLine="560" w:firstLineChars="200"/>
        <w:jc w:val="left"/>
        <w:rPr>
          <w:rFonts w:hint="eastAsia" w:ascii="宋体" w:hAnsi="宋体"/>
          <w:sz w:val="28"/>
        </w:rPr>
      </w:pPr>
      <w:r>
        <w:rPr>
          <w:rFonts w:ascii="宋体" w:hAnsi="宋体"/>
          <w:sz w:val="28"/>
        </w:rPr>
        <w:t>如确定我公司为该项目</w:t>
      </w:r>
      <w:r>
        <w:rPr>
          <w:rFonts w:hint="eastAsia" w:ascii="宋体" w:hAnsi="宋体"/>
          <w:sz w:val="28"/>
        </w:rPr>
        <w:t>中标（</w:t>
      </w:r>
      <w:r>
        <w:rPr>
          <w:rFonts w:ascii="宋体" w:hAnsi="宋体"/>
          <w:sz w:val="28"/>
        </w:rPr>
        <w:t>成交</w:t>
      </w:r>
      <w:r>
        <w:rPr>
          <w:rFonts w:hint="eastAsia" w:ascii="宋体" w:hAnsi="宋体"/>
          <w:sz w:val="28"/>
        </w:rPr>
        <w:t>）</w:t>
      </w:r>
      <w:r>
        <w:rPr>
          <w:rFonts w:ascii="宋体" w:hAnsi="宋体"/>
          <w:sz w:val="28"/>
        </w:rPr>
        <w:t>人，我公司承诺在</w:t>
      </w:r>
      <w:r>
        <w:rPr>
          <w:rFonts w:hint="eastAsia" w:ascii="宋体" w:hAnsi="宋体"/>
          <w:sz w:val="28"/>
        </w:rPr>
        <w:t>中标（</w:t>
      </w:r>
      <w:r>
        <w:rPr>
          <w:rFonts w:ascii="宋体" w:hAnsi="宋体"/>
          <w:sz w:val="28"/>
        </w:rPr>
        <w:t>成交</w:t>
      </w:r>
      <w:r>
        <w:rPr>
          <w:rFonts w:hint="eastAsia" w:ascii="宋体" w:hAnsi="宋体"/>
          <w:sz w:val="28"/>
        </w:rPr>
        <w:t>）公告</w:t>
      </w:r>
      <w:r>
        <w:rPr>
          <w:rFonts w:ascii="宋体" w:hAnsi="宋体"/>
          <w:sz w:val="28"/>
        </w:rPr>
        <w:t>发出之日起5个工作日之内向贵公司按</w:t>
      </w:r>
      <w:r>
        <w:rPr>
          <w:rFonts w:hint="eastAsia" w:ascii="宋体" w:hAnsi="宋体"/>
          <w:sz w:val="28"/>
        </w:rPr>
        <w:t>招标</w:t>
      </w:r>
      <w:r>
        <w:rPr>
          <w:rFonts w:ascii="宋体" w:hAnsi="宋体"/>
          <w:sz w:val="28"/>
        </w:rPr>
        <w:t>文件约定一次性支付代理服务费。逾期未支付的，贵公司有权就此事项向我公司提出赔偿，我公司</w:t>
      </w:r>
      <w:r>
        <w:rPr>
          <w:rFonts w:hint="eastAsia" w:ascii="宋体" w:hAnsi="宋体"/>
          <w:sz w:val="28"/>
        </w:rPr>
        <w:t>愿意</w:t>
      </w:r>
      <w:r>
        <w:rPr>
          <w:rFonts w:ascii="宋体" w:hAnsi="宋体"/>
          <w:sz w:val="28"/>
        </w:rPr>
        <w:t>承担由此产生的全部赔偿责任。</w:t>
      </w:r>
    </w:p>
    <w:p>
      <w:pPr>
        <w:spacing w:line="360" w:lineRule="auto"/>
        <w:jc w:val="center"/>
        <w:rPr>
          <w:rFonts w:hint="eastAsia" w:ascii="宋体" w:hAnsi="宋体"/>
          <w:sz w:val="28"/>
        </w:rPr>
      </w:pPr>
    </w:p>
    <w:p>
      <w:pPr>
        <w:pStyle w:val="29"/>
        <w:spacing w:line="360" w:lineRule="auto"/>
        <w:ind w:right="480"/>
        <w:jc w:val="center"/>
        <w:rPr>
          <w:rFonts w:hint="eastAsia" w:hAnsi="宋体"/>
          <w:sz w:val="28"/>
          <w:szCs w:val="24"/>
        </w:rPr>
      </w:pPr>
      <w:r>
        <w:rPr>
          <w:rFonts w:hint="eastAsia" w:hAnsi="宋体"/>
          <w:sz w:val="28"/>
          <w:szCs w:val="24"/>
        </w:rPr>
        <w:t xml:space="preserve">　　　　　　　　　　      </w:t>
      </w:r>
    </w:p>
    <w:p>
      <w:pPr>
        <w:pStyle w:val="29"/>
        <w:spacing w:line="360" w:lineRule="auto"/>
        <w:ind w:right="480"/>
        <w:jc w:val="center"/>
        <w:rPr>
          <w:rFonts w:hint="eastAsia" w:hAnsi="宋体"/>
          <w:sz w:val="28"/>
          <w:szCs w:val="24"/>
        </w:rPr>
      </w:pPr>
    </w:p>
    <w:p>
      <w:pPr>
        <w:pStyle w:val="29"/>
        <w:spacing w:line="360" w:lineRule="auto"/>
        <w:ind w:right="480"/>
        <w:jc w:val="center"/>
        <w:rPr>
          <w:rFonts w:hint="eastAsia" w:hAnsi="宋体"/>
          <w:sz w:val="28"/>
          <w:szCs w:val="24"/>
        </w:rPr>
      </w:pPr>
    </w:p>
    <w:p>
      <w:pPr>
        <w:spacing w:line="360" w:lineRule="auto"/>
        <w:jc w:val="left"/>
        <w:rPr>
          <w:rFonts w:hint="eastAsia" w:ascii="宋体" w:hAnsi="宋体"/>
          <w:b/>
          <w:sz w:val="28"/>
        </w:rPr>
      </w:pPr>
      <w:r>
        <w:rPr>
          <w:rFonts w:hint="eastAsia" w:ascii="宋体" w:hAnsi="宋体"/>
          <w:b/>
          <w:sz w:val="28"/>
        </w:rPr>
        <w:t>注：</w:t>
      </w:r>
    </w:p>
    <w:p>
      <w:pPr>
        <w:spacing w:line="360" w:lineRule="auto"/>
        <w:jc w:val="left"/>
        <w:rPr>
          <w:rFonts w:hint="eastAsia" w:ascii="宋体" w:hAnsi="宋体"/>
          <w:sz w:val="28"/>
        </w:rPr>
      </w:pPr>
      <w:r>
        <w:rPr>
          <w:rFonts w:hint="eastAsia" w:ascii="宋体" w:hAnsi="宋体"/>
          <w:sz w:val="28"/>
        </w:rPr>
        <w:t>代理服务费收取账户信息：</w:t>
      </w:r>
    </w:p>
    <w:p>
      <w:pPr>
        <w:spacing w:line="360" w:lineRule="auto"/>
        <w:jc w:val="left"/>
        <w:rPr>
          <w:rFonts w:hint="eastAsia" w:ascii="宋体" w:hAnsi="宋体"/>
          <w:sz w:val="28"/>
        </w:rPr>
      </w:pPr>
      <w:r>
        <w:rPr>
          <w:rFonts w:hint="eastAsia" w:ascii="宋体" w:hAnsi="宋体"/>
          <w:sz w:val="28"/>
        </w:rPr>
        <w:t>户名：浙江建航工程咨询有限公司</w:t>
      </w:r>
    </w:p>
    <w:p>
      <w:pPr>
        <w:spacing w:line="360" w:lineRule="auto"/>
        <w:jc w:val="left"/>
        <w:rPr>
          <w:rFonts w:ascii="宋体" w:hAnsi="宋体"/>
          <w:sz w:val="28"/>
        </w:rPr>
      </w:pPr>
      <w:r>
        <w:rPr>
          <w:rFonts w:hint="eastAsia" w:ascii="宋体" w:hAnsi="宋体"/>
          <w:sz w:val="28"/>
        </w:rPr>
        <w:t>账号：</w:t>
      </w:r>
      <w:r>
        <w:rPr>
          <w:rFonts w:ascii="宋体" w:hAnsi="宋体"/>
          <w:sz w:val="28"/>
        </w:rPr>
        <w:t>33001696161053001468</w:t>
      </w:r>
    </w:p>
    <w:p>
      <w:pPr>
        <w:spacing w:line="360" w:lineRule="auto"/>
        <w:jc w:val="left"/>
        <w:rPr>
          <w:rFonts w:ascii="宋体" w:hAnsi="宋体"/>
          <w:b/>
          <w:sz w:val="28"/>
        </w:rPr>
      </w:pPr>
      <w:r>
        <w:rPr>
          <w:rFonts w:hint="eastAsia" w:ascii="宋体" w:hAnsi="宋体"/>
          <w:sz w:val="28"/>
        </w:rPr>
        <w:t>开户行：建行丽水万丰支行</w:t>
      </w:r>
    </w:p>
    <w:p>
      <w:pPr>
        <w:spacing w:line="360" w:lineRule="auto"/>
        <w:jc w:val="center"/>
        <w:rPr>
          <w:rFonts w:hint="eastAsia" w:ascii="宋体" w:hAnsi="宋体"/>
          <w:b/>
          <w:sz w:val="30"/>
        </w:rPr>
      </w:pPr>
    </w:p>
    <w:p>
      <w:pPr>
        <w:spacing w:line="360" w:lineRule="auto"/>
        <w:jc w:val="center"/>
        <w:rPr>
          <w:rFonts w:hint="eastAsia" w:ascii="宋体" w:hAnsi="宋体"/>
          <w:b/>
          <w:sz w:val="30"/>
        </w:rPr>
      </w:pPr>
    </w:p>
    <w:p>
      <w:pPr>
        <w:spacing w:line="360" w:lineRule="auto"/>
        <w:jc w:val="center"/>
        <w:rPr>
          <w:rFonts w:hint="eastAsia" w:ascii="宋体" w:hAnsi="宋体"/>
          <w:b/>
          <w:sz w:val="30"/>
        </w:rPr>
      </w:pPr>
    </w:p>
    <w:p>
      <w:pPr>
        <w:spacing w:line="360" w:lineRule="auto"/>
        <w:jc w:val="center"/>
        <w:rPr>
          <w:rFonts w:hint="eastAsia" w:ascii="宋体" w:hAnsi="宋体"/>
          <w:b/>
          <w:sz w:val="30"/>
        </w:rPr>
      </w:pPr>
      <w:r>
        <w:rPr>
          <w:rFonts w:hint="eastAsia" w:ascii="宋体" w:hAnsi="宋体"/>
          <w:b/>
          <w:sz w:val="30"/>
        </w:rPr>
        <w:t>4、其  他</w:t>
      </w:r>
    </w:p>
    <w:p>
      <w:pPr>
        <w:pStyle w:val="321"/>
        <w:spacing w:before="156" w:after="156" w:line="360" w:lineRule="auto"/>
        <w:ind w:firstLine="480" w:firstLineChars="200"/>
        <w:rPr>
          <w:rFonts w:hAnsi="宋体"/>
          <w:sz w:val="24"/>
          <w:szCs w:val="21"/>
        </w:rPr>
      </w:pPr>
      <w:r>
        <w:rPr>
          <w:rFonts w:hint="eastAsia" w:hAnsi="宋体"/>
          <w:sz w:val="24"/>
          <w:szCs w:val="21"/>
        </w:rPr>
        <w:t>除招标文件规定的要求外，投标人还可以提供如下证明材料：</w:t>
      </w:r>
    </w:p>
    <w:p>
      <w:pPr>
        <w:pStyle w:val="321"/>
        <w:spacing w:before="156" w:after="156" w:line="360" w:lineRule="auto"/>
        <w:ind w:firstLine="480" w:firstLineChars="200"/>
        <w:rPr>
          <w:rFonts w:hAnsi="宋体"/>
          <w:sz w:val="24"/>
          <w:szCs w:val="21"/>
        </w:rPr>
      </w:pPr>
      <w:r>
        <w:rPr>
          <w:rFonts w:hAnsi="宋体"/>
          <w:sz w:val="24"/>
          <w:szCs w:val="21"/>
        </w:rPr>
        <w:fldChar w:fldCharType="begin"/>
      </w:r>
      <w:r>
        <w:rPr>
          <w:rFonts w:hAnsi="宋体"/>
          <w:sz w:val="24"/>
          <w:szCs w:val="21"/>
        </w:rPr>
        <w:instrText xml:space="preserve"> </w:instrText>
      </w:r>
      <w:r>
        <w:rPr>
          <w:rFonts w:hint="eastAsia" w:hAnsi="宋体"/>
          <w:sz w:val="24"/>
          <w:szCs w:val="21"/>
        </w:rPr>
        <w:instrText xml:space="preserve">= 1 \* GB2</w:instrText>
      </w:r>
      <w:r>
        <w:rPr>
          <w:rFonts w:hAnsi="宋体"/>
          <w:sz w:val="24"/>
          <w:szCs w:val="21"/>
        </w:rPr>
        <w:instrText xml:space="preserve"> </w:instrText>
      </w:r>
      <w:r>
        <w:rPr>
          <w:rFonts w:hAnsi="宋体"/>
          <w:sz w:val="24"/>
          <w:szCs w:val="21"/>
        </w:rPr>
        <w:fldChar w:fldCharType="separate"/>
      </w:r>
      <w:r>
        <w:rPr>
          <w:rFonts w:hint="eastAsia" w:hAnsi="宋体"/>
          <w:sz w:val="24"/>
          <w:szCs w:val="21"/>
        </w:rPr>
        <w:t>⑴</w:t>
      </w:r>
      <w:r>
        <w:rPr>
          <w:rFonts w:hAnsi="宋体"/>
          <w:sz w:val="24"/>
          <w:szCs w:val="21"/>
        </w:rPr>
        <w:fldChar w:fldCharType="end"/>
      </w:r>
      <w:r>
        <w:rPr>
          <w:rFonts w:hint="eastAsia" w:hAnsi="宋体"/>
          <w:sz w:val="24"/>
          <w:szCs w:val="21"/>
          <w:lang w:eastAsia="zh-CN"/>
        </w:rPr>
        <w:t>资信商务评标办法要求的其他资料</w:t>
      </w:r>
      <w:r>
        <w:rPr>
          <w:rFonts w:hint="eastAsia" w:hAnsi="宋体"/>
          <w:sz w:val="24"/>
          <w:szCs w:val="21"/>
        </w:rPr>
        <w:t>；</w:t>
      </w:r>
    </w:p>
    <w:p>
      <w:pPr>
        <w:pStyle w:val="321"/>
        <w:spacing w:before="156" w:after="156" w:line="360" w:lineRule="auto"/>
        <w:ind w:firstLine="480" w:firstLineChars="200"/>
        <w:rPr>
          <w:rFonts w:hAnsi="宋体"/>
          <w:sz w:val="24"/>
          <w:szCs w:val="21"/>
          <w:lang w:eastAsia="zh-CN"/>
        </w:rPr>
      </w:pPr>
      <w:r>
        <w:rPr>
          <w:rFonts w:hAnsi="宋体"/>
          <w:sz w:val="24"/>
          <w:szCs w:val="21"/>
        </w:rPr>
        <w:fldChar w:fldCharType="begin"/>
      </w:r>
      <w:r>
        <w:rPr>
          <w:rFonts w:hAnsi="宋体"/>
          <w:sz w:val="24"/>
          <w:szCs w:val="21"/>
        </w:rPr>
        <w:instrText xml:space="preserve"> </w:instrText>
      </w:r>
      <w:r>
        <w:rPr>
          <w:rFonts w:hint="eastAsia" w:hAnsi="宋体"/>
          <w:sz w:val="24"/>
          <w:szCs w:val="21"/>
        </w:rPr>
        <w:instrText xml:space="preserve">= 2 \* GB2</w:instrText>
      </w:r>
      <w:r>
        <w:rPr>
          <w:rFonts w:hAnsi="宋体"/>
          <w:sz w:val="24"/>
          <w:szCs w:val="21"/>
        </w:rPr>
        <w:instrText xml:space="preserve"> </w:instrText>
      </w:r>
      <w:r>
        <w:rPr>
          <w:rFonts w:hAnsi="宋体"/>
          <w:sz w:val="24"/>
          <w:szCs w:val="21"/>
        </w:rPr>
        <w:fldChar w:fldCharType="separate"/>
      </w:r>
      <w:r>
        <w:rPr>
          <w:rFonts w:hint="eastAsia" w:hAnsi="宋体"/>
          <w:sz w:val="24"/>
          <w:szCs w:val="21"/>
        </w:rPr>
        <w:t>⑵</w:t>
      </w:r>
      <w:r>
        <w:rPr>
          <w:rFonts w:hAnsi="宋体"/>
          <w:sz w:val="24"/>
          <w:szCs w:val="21"/>
        </w:rPr>
        <w:fldChar w:fldCharType="end"/>
      </w:r>
      <w:r>
        <w:rPr>
          <w:rFonts w:hint="eastAsia" w:hAnsi="宋体"/>
          <w:sz w:val="24"/>
          <w:szCs w:val="21"/>
        </w:rPr>
        <w:t>投标人认为可以证明其资信商务方面的其他材料</w:t>
      </w:r>
      <w:r>
        <w:rPr>
          <w:rFonts w:hint="eastAsia" w:hAnsi="宋体"/>
          <w:sz w:val="24"/>
          <w:szCs w:val="21"/>
          <w:lang w:eastAsia="zh-CN"/>
        </w:rPr>
        <w:t>，</w:t>
      </w:r>
      <w:r>
        <w:rPr>
          <w:rFonts w:hint="eastAsia" w:hAnsi="宋体"/>
          <w:b/>
          <w:sz w:val="24"/>
          <w:szCs w:val="21"/>
          <w:lang w:eastAsia="zh-CN"/>
        </w:rPr>
        <w:t>但不得出现报价</w:t>
      </w:r>
      <w:r>
        <w:rPr>
          <w:rFonts w:hint="eastAsia" w:hAnsi="宋体"/>
          <w:sz w:val="24"/>
          <w:szCs w:val="21"/>
          <w:lang w:eastAsia="zh-CN"/>
        </w:rPr>
        <w:t>。</w:t>
      </w:r>
    </w:p>
    <w:p>
      <w:pPr>
        <w:pStyle w:val="7"/>
        <w:ind w:firstLine="0"/>
        <w:jc w:val="center"/>
        <w:rPr>
          <w:rFonts w:hint="eastAsia" w:ascii="宋体" w:hAnsi="宋体"/>
          <w:sz w:val="30"/>
        </w:rPr>
      </w:pPr>
      <w:r>
        <w:rPr>
          <w:rFonts w:ascii="宋体" w:hAnsi="宋体"/>
          <w:sz w:val="30"/>
        </w:rPr>
        <w:br w:type="page"/>
      </w:r>
      <w:bookmarkEnd w:id="154"/>
      <w:bookmarkEnd w:id="155"/>
      <w:bookmarkStart w:id="156" w:name="_Toc58318190"/>
      <w:bookmarkStart w:id="157" w:name="_Toc65051207"/>
    </w:p>
    <w:p>
      <w:pPr>
        <w:pStyle w:val="7"/>
        <w:ind w:firstLine="0"/>
        <w:jc w:val="center"/>
        <w:rPr>
          <w:rFonts w:hint="eastAsia" w:ascii="宋体" w:hAnsi="宋体"/>
          <w:sz w:val="30"/>
        </w:rPr>
      </w:pPr>
    </w:p>
    <w:p>
      <w:pPr>
        <w:pStyle w:val="7"/>
        <w:ind w:firstLine="0"/>
        <w:jc w:val="center"/>
        <w:rPr>
          <w:rFonts w:hint="eastAsia" w:ascii="宋体" w:hAnsi="宋体"/>
          <w:sz w:val="30"/>
        </w:rPr>
      </w:pPr>
    </w:p>
    <w:p>
      <w:pPr>
        <w:pStyle w:val="7"/>
        <w:ind w:firstLine="0"/>
        <w:jc w:val="center"/>
        <w:rPr>
          <w:rFonts w:hint="eastAsia" w:ascii="宋体" w:hAnsi="宋体"/>
          <w:sz w:val="30"/>
        </w:rPr>
      </w:pPr>
    </w:p>
    <w:p>
      <w:pPr>
        <w:pStyle w:val="7"/>
        <w:ind w:firstLine="0"/>
        <w:jc w:val="center"/>
        <w:rPr>
          <w:rFonts w:hint="eastAsia" w:ascii="宋体" w:hAnsi="宋体"/>
          <w:sz w:val="30"/>
        </w:rPr>
      </w:pPr>
    </w:p>
    <w:p>
      <w:pPr>
        <w:spacing w:line="360" w:lineRule="auto"/>
        <w:jc w:val="center"/>
        <w:rPr>
          <w:rFonts w:hint="eastAsia" w:ascii="宋体" w:hAnsi="宋体"/>
          <w:sz w:val="30"/>
        </w:rPr>
      </w:pPr>
      <w:r>
        <w:rPr>
          <w:rFonts w:hint="eastAsia" w:ascii="宋体" w:hAnsi="宋体"/>
          <w:sz w:val="30"/>
        </w:rPr>
        <w:t>（二）</w:t>
      </w:r>
      <w:r>
        <w:rPr>
          <w:rFonts w:ascii="宋体" w:hAnsi="宋体"/>
          <w:sz w:val="30"/>
        </w:rPr>
        <w:t>技术</w:t>
      </w:r>
      <w:bookmarkEnd w:id="156"/>
      <w:bookmarkEnd w:id="157"/>
      <w:r>
        <w:rPr>
          <w:rFonts w:hint="eastAsia" w:ascii="宋体" w:hAnsi="宋体"/>
          <w:sz w:val="30"/>
        </w:rPr>
        <w:t>部分</w:t>
      </w:r>
    </w:p>
    <w:p>
      <w:pPr>
        <w:spacing w:line="360" w:lineRule="auto"/>
        <w:jc w:val="center"/>
        <w:rPr>
          <w:rFonts w:hint="eastAsia" w:ascii="宋体" w:hAnsi="宋体"/>
          <w:sz w:val="30"/>
        </w:rPr>
      </w:pPr>
    </w:p>
    <w:p>
      <w:pPr>
        <w:spacing w:line="360" w:lineRule="auto"/>
        <w:rPr>
          <w:rFonts w:hint="eastAsia" w:ascii="宋体" w:hAnsi="宋体"/>
          <w:sz w:val="28"/>
          <w:szCs w:val="28"/>
        </w:rPr>
      </w:pPr>
    </w:p>
    <w:p>
      <w:pPr>
        <w:spacing w:line="360" w:lineRule="auto"/>
        <w:jc w:val="center"/>
        <w:rPr>
          <w:rFonts w:hint="eastAsia" w:ascii="宋体" w:hAnsi="宋体"/>
          <w:sz w:val="30"/>
        </w:rPr>
      </w:pPr>
    </w:p>
    <w:p>
      <w:pPr>
        <w:pStyle w:val="7"/>
        <w:rPr>
          <w:rFonts w:hint="eastAsia" w:ascii="宋体" w:hAnsi="宋体"/>
        </w:rPr>
      </w:pPr>
    </w:p>
    <w:p>
      <w:pPr>
        <w:pStyle w:val="7"/>
        <w:rPr>
          <w:rFonts w:hint="eastAsia" w:ascii="宋体" w:hAnsi="宋体"/>
        </w:rPr>
      </w:pPr>
    </w:p>
    <w:p>
      <w:pPr>
        <w:tabs>
          <w:tab w:val="left" w:pos="2355"/>
          <w:tab w:val="center" w:pos="4513"/>
        </w:tabs>
        <w:spacing w:line="360" w:lineRule="auto"/>
        <w:jc w:val="center"/>
        <w:rPr>
          <w:rFonts w:hint="eastAsia"/>
        </w:rPr>
      </w:pPr>
      <w:r>
        <w:rPr>
          <w:rFonts w:ascii="宋体" w:hAnsi="宋体"/>
          <w:sz w:val="32"/>
          <w:szCs w:val="32"/>
        </w:rPr>
        <w:br w:type="page"/>
      </w:r>
      <w:bookmarkStart w:id="158" w:name="_Toc512353982"/>
      <w:bookmarkStart w:id="159" w:name="_Toc493956067"/>
      <w:r>
        <w:rPr>
          <w:rFonts w:hint="eastAsia" w:ascii="宋体" w:hAnsi="宋体"/>
          <w:sz w:val="32"/>
          <w:szCs w:val="32"/>
        </w:rPr>
        <w:t>1、对需求的理解及现状分析</w:t>
      </w:r>
    </w:p>
    <w:bookmarkEnd w:id="158"/>
    <w:bookmarkEnd w:id="159"/>
    <w:p>
      <w:pPr>
        <w:spacing w:line="360" w:lineRule="auto"/>
        <w:jc w:val="center"/>
        <w:rPr>
          <w:rFonts w:hint="eastAsia" w:ascii="宋体" w:hAnsi="宋体"/>
          <w:sz w:val="32"/>
          <w:szCs w:val="32"/>
        </w:rPr>
      </w:pPr>
    </w:p>
    <w:p>
      <w:pPr>
        <w:spacing w:line="360" w:lineRule="auto"/>
        <w:jc w:val="center"/>
        <w:rPr>
          <w:rFonts w:hint="eastAsia" w:ascii="宋体" w:hAnsi="宋体"/>
          <w:sz w:val="32"/>
          <w:szCs w:val="32"/>
        </w:rPr>
      </w:pPr>
      <w:r>
        <w:rPr>
          <w:rFonts w:hint="eastAsia" w:ascii="宋体" w:hAnsi="宋体"/>
          <w:sz w:val="32"/>
          <w:szCs w:val="32"/>
        </w:rPr>
        <w:t>2、项目建设方案</w:t>
      </w:r>
    </w:p>
    <w:p>
      <w:pPr>
        <w:spacing w:line="360" w:lineRule="auto"/>
        <w:rPr>
          <w:rFonts w:hint="eastAsia"/>
          <w:sz w:val="24"/>
        </w:rPr>
      </w:pPr>
      <w:r>
        <w:rPr>
          <w:rFonts w:hint="eastAsia" w:ascii="宋体" w:hAnsi="宋体"/>
          <w:sz w:val="24"/>
        </w:rPr>
        <w:t>注：结合第三章以及评分办法制作。</w:t>
      </w:r>
    </w:p>
    <w:p>
      <w:pPr>
        <w:rPr>
          <w:rFonts w:hint="eastAsia" w:ascii="宋体" w:hAnsi="宋体"/>
          <w:sz w:val="24"/>
        </w:rPr>
      </w:pPr>
      <w:r>
        <w:rPr>
          <w:rFonts w:hint="eastAsia" w:ascii="宋体" w:hAnsi="宋体"/>
          <w:sz w:val="24"/>
        </w:rPr>
        <w:t>2.1 施工方案</w:t>
      </w:r>
    </w:p>
    <w:p>
      <w:pPr>
        <w:rPr>
          <w:rFonts w:hint="eastAsia" w:ascii="宋体" w:hAnsi="宋体"/>
          <w:sz w:val="24"/>
        </w:rPr>
      </w:pPr>
      <w:r>
        <w:rPr>
          <w:rFonts w:hint="eastAsia" w:ascii="宋体" w:hAnsi="宋体"/>
          <w:sz w:val="24"/>
        </w:rPr>
        <w:t>2.2碧湖***机房建设及业务割接方案</w:t>
      </w:r>
    </w:p>
    <w:p>
      <w:pPr>
        <w:rPr>
          <w:rFonts w:hint="eastAsia" w:ascii="宋体" w:hAnsi="宋体"/>
          <w:sz w:val="24"/>
        </w:rPr>
      </w:pPr>
      <w:r>
        <w:rPr>
          <w:rFonts w:hint="eastAsia" w:ascii="宋体" w:hAnsi="宋体"/>
          <w:sz w:val="24"/>
        </w:rPr>
        <w:t>2.3 现场施工管理及安全保障</w:t>
      </w:r>
    </w:p>
    <w:p>
      <w:pPr>
        <w:rPr>
          <w:rFonts w:hint="eastAsia" w:ascii="宋体" w:hAnsi="宋体"/>
          <w:sz w:val="24"/>
        </w:rPr>
      </w:pPr>
      <w:r>
        <w:rPr>
          <w:rFonts w:hint="eastAsia" w:ascii="宋体" w:hAnsi="宋体"/>
          <w:sz w:val="24"/>
        </w:rPr>
        <w:t>2.4 质量保证</w:t>
      </w:r>
    </w:p>
    <w:p>
      <w:pPr>
        <w:rPr>
          <w:rFonts w:hint="eastAsia" w:ascii="宋体" w:hAnsi="宋体"/>
          <w:sz w:val="24"/>
        </w:rPr>
      </w:pPr>
      <w:r>
        <w:rPr>
          <w:rFonts w:hint="eastAsia" w:ascii="宋体" w:hAnsi="宋体"/>
          <w:sz w:val="24"/>
        </w:rPr>
        <w:t>2.5进度安排</w:t>
      </w:r>
    </w:p>
    <w:p>
      <w:pPr>
        <w:rPr>
          <w:rFonts w:hint="eastAsia" w:ascii="宋体" w:hAnsi="宋体"/>
          <w:sz w:val="24"/>
        </w:rPr>
      </w:pPr>
      <w:r>
        <w:rPr>
          <w:rFonts w:hint="eastAsia" w:ascii="宋体" w:hAnsi="宋体"/>
          <w:sz w:val="24"/>
        </w:rPr>
        <w:t>2.6 兼容性</w:t>
      </w:r>
    </w:p>
    <w:p>
      <w:pPr>
        <w:rPr>
          <w:rFonts w:hint="eastAsia" w:ascii="宋体" w:hAnsi="宋体"/>
          <w:sz w:val="24"/>
        </w:rPr>
      </w:pPr>
      <w:r>
        <w:rPr>
          <w:rFonts w:hint="eastAsia" w:ascii="宋体" w:hAnsi="宋体"/>
          <w:sz w:val="24"/>
        </w:rPr>
        <w:t>2.7项目建设设备配备</w:t>
      </w:r>
    </w:p>
    <w:tbl>
      <w:tblPr>
        <w:tblStyle w:val="56"/>
        <w:tblW w:w="9073"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396"/>
        <w:gridCol w:w="1439"/>
        <w:gridCol w:w="2126"/>
        <w:gridCol w:w="1276"/>
        <w:gridCol w:w="1134"/>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68" w:hRule="atLeast"/>
        </w:trPr>
        <w:tc>
          <w:tcPr>
            <w:tcW w:w="710" w:type="dxa"/>
            <w:vMerge w:val="restart"/>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序号</w:t>
            </w:r>
          </w:p>
        </w:tc>
        <w:tc>
          <w:tcPr>
            <w:tcW w:w="1396" w:type="dxa"/>
            <w:vMerge w:val="restart"/>
            <w:noWrap w:val="0"/>
            <w:vAlign w:val="center"/>
          </w:tcPr>
          <w:p>
            <w:pPr>
              <w:widowControl/>
              <w:spacing w:line="360" w:lineRule="auto"/>
              <w:ind w:firstLine="210"/>
              <w:jc w:val="center"/>
              <w:rPr>
                <w:rFonts w:ascii="宋体" w:hAnsi="宋体" w:cs="Arial"/>
                <w:kern w:val="0"/>
                <w:szCs w:val="21"/>
              </w:rPr>
            </w:pPr>
            <w:r>
              <w:rPr>
                <w:rFonts w:hint="eastAsia" w:ascii="宋体" w:hAnsi="宋体" w:cs="Arial"/>
                <w:kern w:val="0"/>
                <w:szCs w:val="21"/>
              </w:rPr>
              <w:t>设备名称</w:t>
            </w:r>
          </w:p>
        </w:tc>
        <w:tc>
          <w:tcPr>
            <w:tcW w:w="1439" w:type="dxa"/>
            <w:vMerge w:val="restart"/>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品牌、型号</w:t>
            </w:r>
          </w:p>
        </w:tc>
        <w:tc>
          <w:tcPr>
            <w:tcW w:w="2126" w:type="dxa"/>
            <w:vMerge w:val="restart"/>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技术参数</w:t>
            </w:r>
          </w:p>
        </w:tc>
        <w:tc>
          <w:tcPr>
            <w:tcW w:w="1276" w:type="dxa"/>
            <w:vMerge w:val="restart"/>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单位</w:t>
            </w:r>
          </w:p>
        </w:tc>
        <w:tc>
          <w:tcPr>
            <w:tcW w:w="1134" w:type="dxa"/>
            <w:vMerge w:val="restart"/>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数量</w:t>
            </w:r>
          </w:p>
        </w:tc>
        <w:tc>
          <w:tcPr>
            <w:tcW w:w="992" w:type="dxa"/>
            <w:vMerge w:val="restart"/>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68" w:hRule="atLeast"/>
        </w:trPr>
        <w:tc>
          <w:tcPr>
            <w:tcW w:w="710" w:type="dxa"/>
            <w:vMerge w:val="continue"/>
            <w:noWrap w:val="0"/>
            <w:vAlign w:val="center"/>
          </w:tcPr>
          <w:p>
            <w:pPr>
              <w:widowControl/>
              <w:spacing w:line="360" w:lineRule="auto"/>
              <w:jc w:val="left"/>
              <w:rPr>
                <w:rFonts w:ascii="宋体" w:hAnsi="宋体" w:cs="Arial"/>
                <w:kern w:val="0"/>
                <w:szCs w:val="21"/>
              </w:rPr>
            </w:pPr>
          </w:p>
        </w:tc>
        <w:tc>
          <w:tcPr>
            <w:tcW w:w="1396" w:type="dxa"/>
            <w:vMerge w:val="continue"/>
            <w:noWrap w:val="0"/>
            <w:vAlign w:val="center"/>
          </w:tcPr>
          <w:p>
            <w:pPr>
              <w:widowControl/>
              <w:spacing w:line="360" w:lineRule="auto"/>
              <w:jc w:val="left"/>
              <w:rPr>
                <w:rFonts w:ascii="宋体" w:hAnsi="宋体" w:cs="Arial"/>
                <w:kern w:val="0"/>
                <w:szCs w:val="21"/>
              </w:rPr>
            </w:pPr>
          </w:p>
        </w:tc>
        <w:tc>
          <w:tcPr>
            <w:tcW w:w="1439" w:type="dxa"/>
            <w:vMerge w:val="continue"/>
            <w:noWrap w:val="0"/>
            <w:vAlign w:val="center"/>
          </w:tcPr>
          <w:p>
            <w:pPr>
              <w:widowControl/>
              <w:spacing w:line="360" w:lineRule="auto"/>
              <w:jc w:val="left"/>
              <w:rPr>
                <w:rFonts w:ascii="宋体" w:hAnsi="宋体" w:cs="Arial"/>
                <w:kern w:val="0"/>
                <w:szCs w:val="21"/>
              </w:rPr>
            </w:pPr>
          </w:p>
        </w:tc>
        <w:tc>
          <w:tcPr>
            <w:tcW w:w="2126" w:type="dxa"/>
            <w:vMerge w:val="continue"/>
            <w:noWrap w:val="0"/>
            <w:vAlign w:val="center"/>
          </w:tcPr>
          <w:p>
            <w:pPr>
              <w:widowControl/>
              <w:spacing w:line="360" w:lineRule="auto"/>
              <w:jc w:val="left"/>
              <w:rPr>
                <w:rFonts w:ascii="宋体" w:hAnsi="宋体" w:cs="Arial"/>
                <w:kern w:val="0"/>
                <w:szCs w:val="21"/>
              </w:rPr>
            </w:pPr>
          </w:p>
        </w:tc>
        <w:tc>
          <w:tcPr>
            <w:tcW w:w="1276" w:type="dxa"/>
            <w:vMerge w:val="continue"/>
            <w:noWrap w:val="0"/>
            <w:vAlign w:val="center"/>
          </w:tcPr>
          <w:p>
            <w:pPr>
              <w:widowControl/>
              <w:spacing w:line="360" w:lineRule="auto"/>
              <w:jc w:val="left"/>
              <w:rPr>
                <w:rFonts w:ascii="宋体" w:hAnsi="宋体" w:cs="Arial"/>
                <w:kern w:val="0"/>
                <w:szCs w:val="21"/>
              </w:rPr>
            </w:pPr>
          </w:p>
        </w:tc>
        <w:tc>
          <w:tcPr>
            <w:tcW w:w="1134" w:type="dxa"/>
            <w:vMerge w:val="continue"/>
            <w:noWrap w:val="0"/>
            <w:vAlign w:val="center"/>
          </w:tcPr>
          <w:p>
            <w:pPr>
              <w:widowControl/>
              <w:spacing w:line="360" w:lineRule="auto"/>
              <w:jc w:val="left"/>
              <w:rPr>
                <w:rFonts w:ascii="宋体" w:hAnsi="宋体" w:cs="Arial"/>
                <w:kern w:val="0"/>
                <w:szCs w:val="21"/>
              </w:rPr>
            </w:pPr>
          </w:p>
        </w:tc>
        <w:tc>
          <w:tcPr>
            <w:tcW w:w="992" w:type="dxa"/>
            <w:vMerge w:val="continue"/>
            <w:noWrap w:val="0"/>
            <w:vAlign w:val="center"/>
          </w:tcPr>
          <w:p>
            <w:pPr>
              <w:widowControl/>
              <w:spacing w:line="360" w:lineRule="auto"/>
              <w:jc w:val="left"/>
              <w:rPr>
                <w:rFonts w:ascii="宋体" w:hAnsi="宋体" w:cs="Arial"/>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36" w:hRule="atLeast"/>
        </w:trPr>
        <w:tc>
          <w:tcPr>
            <w:tcW w:w="710" w:type="dxa"/>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1</w:t>
            </w:r>
          </w:p>
        </w:tc>
        <w:tc>
          <w:tcPr>
            <w:tcW w:w="1396" w:type="dxa"/>
            <w:noWrap w:val="0"/>
            <w:vAlign w:val="center"/>
          </w:tcPr>
          <w:p>
            <w:pPr>
              <w:widowControl/>
              <w:spacing w:line="360" w:lineRule="auto"/>
              <w:jc w:val="center"/>
              <w:rPr>
                <w:rFonts w:ascii="宋体" w:hAnsi="宋体" w:cs="Arial"/>
                <w:kern w:val="0"/>
                <w:szCs w:val="21"/>
              </w:rPr>
            </w:pPr>
          </w:p>
        </w:tc>
        <w:tc>
          <w:tcPr>
            <w:tcW w:w="1439" w:type="dxa"/>
            <w:noWrap w:val="0"/>
            <w:vAlign w:val="center"/>
          </w:tcPr>
          <w:p>
            <w:pPr>
              <w:widowControl/>
              <w:spacing w:line="360" w:lineRule="auto"/>
              <w:jc w:val="center"/>
              <w:rPr>
                <w:rFonts w:ascii="宋体" w:hAnsi="宋体" w:cs="Arial"/>
                <w:kern w:val="0"/>
                <w:szCs w:val="21"/>
              </w:rPr>
            </w:pPr>
          </w:p>
        </w:tc>
        <w:tc>
          <w:tcPr>
            <w:tcW w:w="2126" w:type="dxa"/>
            <w:noWrap w:val="0"/>
            <w:vAlign w:val="center"/>
          </w:tcPr>
          <w:p>
            <w:pPr>
              <w:widowControl/>
              <w:spacing w:line="360" w:lineRule="auto"/>
              <w:jc w:val="center"/>
              <w:rPr>
                <w:rFonts w:ascii="宋体" w:hAnsi="宋体" w:cs="Arial"/>
                <w:kern w:val="0"/>
                <w:szCs w:val="21"/>
              </w:rPr>
            </w:pPr>
          </w:p>
        </w:tc>
        <w:tc>
          <w:tcPr>
            <w:tcW w:w="1276" w:type="dxa"/>
            <w:noWrap w:val="0"/>
            <w:vAlign w:val="center"/>
          </w:tcPr>
          <w:p>
            <w:pPr>
              <w:widowControl/>
              <w:spacing w:line="360" w:lineRule="auto"/>
              <w:jc w:val="center"/>
              <w:rPr>
                <w:rFonts w:ascii="宋体" w:hAnsi="宋体" w:cs="Arial"/>
                <w:kern w:val="0"/>
                <w:szCs w:val="21"/>
              </w:rPr>
            </w:pPr>
          </w:p>
        </w:tc>
        <w:tc>
          <w:tcPr>
            <w:tcW w:w="1134" w:type="dxa"/>
            <w:noWrap w:val="0"/>
            <w:vAlign w:val="center"/>
          </w:tcPr>
          <w:p>
            <w:pPr>
              <w:widowControl/>
              <w:spacing w:line="360" w:lineRule="auto"/>
              <w:jc w:val="center"/>
              <w:rPr>
                <w:rFonts w:ascii="宋体" w:hAnsi="宋体" w:cs="Arial"/>
                <w:kern w:val="0"/>
                <w:szCs w:val="21"/>
              </w:rPr>
            </w:pPr>
          </w:p>
        </w:tc>
        <w:tc>
          <w:tcPr>
            <w:tcW w:w="992" w:type="dxa"/>
            <w:noWrap w:val="0"/>
            <w:vAlign w:val="center"/>
          </w:tcPr>
          <w:p>
            <w:pPr>
              <w:widowControl/>
              <w:spacing w:line="360" w:lineRule="auto"/>
              <w:jc w:val="center"/>
              <w:rPr>
                <w:rFonts w:ascii="宋体" w:hAnsi="宋体" w:cs="Arial"/>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36" w:hRule="atLeast"/>
        </w:trPr>
        <w:tc>
          <w:tcPr>
            <w:tcW w:w="710" w:type="dxa"/>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2</w:t>
            </w:r>
          </w:p>
        </w:tc>
        <w:tc>
          <w:tcPr>
            <w:tcW w:w="1396" w:type="dxa"/>
            <w:noWrap w:val="0"/>
            <w:vAlign w:val="center"/>
          </w:tcPr>
          <w:p>
            <w:pPr>
              <w:widowControl/>
              <w:spacing w:line="360" w:lineRule="auto"/>
              <w:jc w:val="center"/>
              <w:rPr>
                <w:rFonts w:ascii="宋体" w:hAnsi="宋体" w:cs="Arial"/>
                <w:kern w:val="0"/>
                <w:szCs w:val="21"/>
              </w:rPr>
            </w:pPr>
          </w:p>
        </w:tc>
        <w:tc>
          <w:tcPr>
            <w:tcW w:w="1439" w:type="dxa"/>
            <w:noWrap w:val="0"/>
            <w:vAlign w:val="center"/>
          </w:tcPr>
          <w:p>
            <w:pPr>
              <w:widowControl/>
              <w:spacing w:line="360" w:lineRule="auto"/>
              <w:jc w:val="center"/>
              <w:rPr>
                <w:rFonts w:ascii="宋体" w:hAnsi="宋体" w:cs="Arial"/>
                <w:kern w:val="0"/>
                <w:szCs w:val="21"/>
              </w:rPr>
            </w:pPr>
          </w:p>
        </w:tc>
        <w:tc>
          <w:tcPr>
            <w:tcW w:w="2126" w:type="dxa"/>
            <w:noWrap w:val="0"/>
            <w:vAlign w:val="center"/>
          </w:tcPr>
          <w:p>
            <w:pPr>
              <w:widowControl/>
              <w:spacing w:line="360" w:lineRule="auto"/>
              <w:jc w:val="center"/>
              <w:rPr>
                <w:rFonts w:ascii="宋体" w:hAnsi="宋体" w:cs="Arial"/>
                <w:kern w:val="0"/>
                <w:szCs w:val="21"/>
              </w:rPr>
            </w:pPr>
          </w:p>
        </w:tc>
        <w:tc>
          <w:tcPr>
            <w:tcW w:w="1276" w:type="dxa"/>
            <w:noWrap w:val="0"/>
            <w:vAlign w:val="center"/>
          </w:tcPr>
          <w:p>
            <w:pPr>
              <w:widowControl/>
              <w:spacing w:line="360" w:lineRule="auto"/>
              <w:jc w:val="center"/>
              <w:rPr>
                <w:rFonts w:ascii="宋体" w:hAnsi="宋体" w:cs="Arial"/>
                <w:kern w:val="0"/>
                <w:szCs w:val="21"/>
              </w:rPr>
            </w:pPr>
          </w:p>
        </w:tc>
        <w:tc>
          <w:tcPr>
            <w:tcW w:w="1134" w:type="dxa"/>
            <w:noWrap w:val="0"/>
            <w:vAlign w:val="center"/>
          </w:tcPr>
          <w:p>
            <w:pPr>
              <w:widowControl/>
              <w:spacing w:line="360" w:lineRule="auto"/>
              <w:jc w:val="center"/>
              <w:rPr>
                <w:rFonts w:ascii="宋体" w:hAnsi="宋体" w:cs="Arial"/>
                <w:kern w:val="0"/>
                <w:szCs w:val="21"/>
              </w:rPr>
            </w:pPr>
          </w:p>
        </w:tc>
        <w:tc>
          <w:tcPr>
            <w:tcW w:w="992" w:type="dxa"/>
            <w:noWrap w:val="0"/>
            <w:vAlign w:val="center"/>
          </w:tcPr>
          <w:p>
            <w:pPr>
              <w:spacing w:line="360" w:lineRule="auto"/>
              <w:jc w:val="center"/>
              <w:rPr>
                <w:rFonts w:ascii="宋体" w:hAnsi="宋体" w:cs="Arial"/>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36" w:hRule="atLeast"/>
        </w:trPr>
        <w:tc>
          <w:tcPr>
            <w:tcW w:w="710" w:type="dxa"/>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3</w:t>
            </w:r>
          </w:p>
        </w:tc>
        <w:tc>
          <w:tcPr>
            <w:tcW w:w="1396" w:type="dxa"/>
            <w:noWrap w:val="0"/>
            <w:vAlign w:val="center"/>
          </w:tcPr>
          <w:p>
            <w:pPr>
              <w:widowControl/>
              <w:spacing w:line="360" w:lineRule="auto"/>
              <w:jc w:val="center"/>
              <w:rPr>
                <w:rFonts w:ascii="宋体" w:hAnsi="宋体" w:cs="Arial"/>
                <w:kern w:val="0"/>
                <w:szCs w:val="21"/>
              </w:rPr>
            </w:pPr>
          </w:p>
        </w:tc>
        <w:tc>
          <w:tcPr>
            <w:tcW w:w="1439" w:type="dxa"/>
            <w:noWrap w:val="0"/>
            <w:vAlign w:val="center"/>
          </w:tcPr>
          <w:p>
            <w:pPr>
              <w:widowControl/>
              <w:spacing w:line="360" w:lineRule="auto"/>
              <w:jc w:val="center"/>
              <w:rPr>
                <w:rFonts w:ascii="宋体" w:hAnsi="宋体" w:cs="Arial"/>
                <w:kern w:val="0"/>
                <w:szCs w:val="21"/>
              </w:rPr>
            </w:pPr>
          </w:p>
        </w:tc>
        <w:tc>
          <w:tcPr>
            <w:tcW w:w="2126" w:type="dxa"/>
            <w:noWrap w:val="0"/>
            <w:vAlign w:val="center"/>
          </w:tcPr>
          <w:p>
            <w:pPr>
              <w:widowControl/>
              <w:spacing w:line="360" w:lineRule="auto"/>
              <w:jc w:val="center"/>
              <w:rPr>
                <w:rFonts w:ascii="宋体" w:hAnsi="宋体" w:cs="Arial"/>
                <w:kern w:val="0"/>
                <w:szCs w:val="21"/>
              </w:rPr>
            </w:pPr>
          </w:p>
        </w:tc>
        <w:tc>
          <w:tcPr>
            <w:tcW w:w="1276" w:type="dxa"/>
            <w:noWrap w:val="0"/>
            <w:vAlign w:val="center"/>
          </w:tcPr>
          <w:p>
            <w:pPr>
              <w:widowControl/>
              <w:spacing w:line="360" w:lineRule="auto"/>
              <w:jc w:val="center"/>
              <w:rPr>
                <w:rFonts w:ascii="宋体" w:hAnsi="宋体" w:cs="Arial"/>
                <w:kern w:val="0"/>
                <w:szCs w:val="21"/>
              </w:rPr>
            </w:pPr>
          </w:p>
        </w:tc>
        <w:tc>
          <w:tcPr>
            <w:tcW w:w="1134" w:type="dxa"/>
            <w:noWrap w:val="0"/>
            <w:vAlign w:val="center"/>
          </w:tcPr>
          <w:p>
            <w:pPr>
              <w:widowControl/>
              <w:spacing w:line="360" w:lineRule="auto"/>
              <w:jc w:val="center"/>
              <w:rPr>
                <w:rFonts w:ascii="宋体" w:hAnsi="宋体" w:cs="Arial"/>
                <w:kern w:val="0"/>
                <w:szCs w:val="21"/>
              </w:rPr>
            </w:pPr>
          </w:p>
        </w:tc>
        <w:tc>
          <w:tcPr>
            <w:tcW w:w="992" w:type="dxa"/>
            <w:noWrap w:val="0"/>
            <w:vAlign w:val="center"/>
          </w:tcPr>
          <w:p>
            <w:pPr>
              <w:spacing w:line="360" w:lineRule="auto"/>
              <w:jc w:val="center"/>
              <w:rPr>
                <w:rFonts w:ascii="宋体" w:hAnsi="宋体" w:cs="Arial"/>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36" w:hRule="atLeast"/>
        </w:trPr>
        <w:tc>
          <w:tcPr>
            <w:tcW w:w="710" w:type="dxa"/>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4</w:t>
            </w:r>
          </w:p>
        </w:tc>
        <w:tc>
          <w:tcPr>
            <w:tcW w:w="1396" w:type="dxa"/>
            <w:noWrap w:val="0"/>
            <w:vAlign w:val="center"/>
          </w:tcPr>
          <w:p>
            <w:pPr>
              <w:widowControl/>
              <w:spacing w:line="360" w:lineRule="auto"/>
              <w:jc w:val="center"/>
              <w:rPr>
                <w:rFonts w:ascii="宋体" w:hAnsi="宋体" w:cs="Arial"/>
                <w:kern w:val="0"/>
                <w:szCs w:val="21"/>
              </w:rPr>
            </w:pPr>
          </w:p>
        </w:tc>
        <w:tc>
          <w:tcPr>
            <w:tcW w:w="1439" w:type="dxa"/>
            <w:noWrap w:val="0"/>
            <w:vAlign w:val="center"/>
          </w:tcPr>
          <w:p>
            <w:pPr>
              <w:widowControl/>
              <w:spacing w:line="360" w:lineRule="auto"/>
              <w:jc w:val="center"/>
              <w:rPr>
                <w:rFonts w:ascii="宋体" w:hAnsi="宋体" w:cs="Arial"/>
                <w:kern w:val="0"/>
                <w:szCs w:val="21"/>
              </w:rPr>
            </w:pPr>
          </w:p>
        </w:tc>
        <w:tc>
          <w:tcPr>
            <w:tcW w:w="2126" w:type="dxa"/>
            <w:noWrap w:val="0"/>
            <w:vAlign w:val="center"/>
          </w:tcPr>
          <w:p>
            <w:pPr>
              <w:widowControl/>
              <w:spacing w:line="360" w:lineRule="auto"/>
              <w:jc w:val="center"/>
              <w:rPr>
                <w:rFonts w:ascii="宋体" w:hAnsi="宋体" w:cs="Arial"/>
                <w:kern w:val="0"/>
                <w:szCs w:val="21"/>
              </w:rPr>
            </w:pPr>
          </w:p>
        </w:tc>
        <w:tc>
          <w:tcPr>
            <w:tcW w:w="1276" w:type="dxa"/>
            <w:noWrap w:val="0"/>
            <w:vAlign w:val="center"/>
          </w:tcPr>
          <w:p>
            <w:pPr>
              <w:widowControl/>
              <w:spacing w:line="360" w:lineRule="auto"/>
              <w:jc w:val="center"/>
              <w:rPr>
                <w:rFonts w:ascii="宋体" w:hAnsi="宋体" w:cs="Arial"/>
                <w:kern w:val="0"/>
                <w:szCs w:val="21"/>
              </w:rPr>
            </w:pPr>
          </w:p>
        </w:tc>
        <w:tc>
          <w:tcPr>
            <w:tcW w:w="1134" w:type="dxa"/>
            <w:noWrap w:val="0"/>
            <w:vAlign w:val="center"/>
          </w:tcPr>
          <w:p>
            <w:pPr>
              <w:widowControl/>
              <w:spacing w:line="360" w:lineRule="auto"/>
              <w:jc w:val="center"/>
              <w:rPr>
                <w:rFonts w:ascii="宋体" w:hAnsi="宋体" w:cs="Arial"/>
                <w:kern w:val="0"/>
                <w:szCs w:val="21"/>
              </w:rPr>
            </w:pPr>
          </w:p>
        </w:tc>
        <w:tc>
          <w:tcPr>
            <w:tcW w:w="992" w:type="dxa"/>
            <w:noWrap w:val="0"/>
            <w:vAlign w:val="center"/>
          </w:tcPr>
          <w:p>
            <w:pPr>
              <w:spacing w:line="360" w:lineRule="auto"/>
              <w:jc w:val="center"/>
              <w:rPr>
                <w:rFonts w:ascii="宋体" w:hAnsi="宋体" w:cs="Arial"/>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36" w:hRule="atLeast"/>
        </w:trPr>
        <w:tc>
          <w:tcPr>
            <w:tcW w:w="710" w:type="dxa"/>
            <w:noWrap w:val="0"/>
            <w:vAlign w:val="center"/>
          </w:tcPr>
          <w:p>
            <w:pPr>
              <w:widowControl/>
              <w:spacing w:line="360" w:lineRule="auto"/>
              <w:jc w:val="center"/>
              <w:rPr>
                <w:rFonts w:ascii="宋体" w:hAnsi="宋体" w:cs="Arial"/>
                <w:kern w:val="0"/>
                <w:szCs w:val="21"/>
              </w:rPr>
            </w:pPr>
            <w:r>
              <w:rPr>
                <w:rFonts w:ascii="宋体" w:hAnsi="宋体" w:cs="Arial"/>
                <w:kern w:val="0"/>
                <w:szCs w:val="21"/>
              </w:rPr>
              <w:t>……</w:t>
            </w:r>
          </w:p>
        </w:tc>
        <w:tc>
          <w:tcPr>
            <w:tcW w:w="1396" w:type="dxa"/>
            <w:noWrap w:val="0"/>
            <w:vAlign w:val="center"/>
          </w:tcPr>
          <w:p>
            <w:pPr>
              <w:widowControl/>
              <w:spacing w:line="360" w:lineRule="auto"/>
              <w:jc w:val="center"/>
              <w:rPr>
                <w:rFonts w:ascii="宋体" w:hAnsi="宋体" w:cs="Arial"/>
                <w:kern w:val="0"/>
                <w:szCs w:val="21"/>
              </w:rPr>
            </w:pPr>
          </w:p>
        </w:tc>
        <w:tc>
          <w:tcPr>
            <w:tcW w:w="1439" w:type="dxa"/>
            <w:noWrap w:val="0"/>
            <w:vAlign w:val="center"/>
          </w:tcPr>
          <w:p>
            <w:pPr>
              <w:widowControl/>
              <w:spacing w:line="360" w:lineRule="auto"/>
              <w:jc w:val="center"/>
              <w:rPr>
                <w:rFonts w:ascii="宋体" w:hAnsi="宋体" w:cs="Arial"/>
                <w:kern w:val="0"/>
                <w:szCs w:val="21"/>
              </w:rPr>
            </w:pPr>
          </w:p>
        </w:tc>
        <w:tc>
          <w:tcPr>
            <w:tcW w:w="2126" w:type="dxa"/>
            <w:noWrap w:val="0"/>
            <w:vAlign w:val="center"/>
          </w:tcPr>
          <w:p>
            <w:pPr>
              <w:widowControl/>
              <w:spacing w:line="360" w:lineRule="auto"/>
              <w:jc w:val="center"/>
              <w:rPr>
                <w:rFonts w:ascii="宋体" w:hAnsi="宋体" w:cs="Arial"/>
                <w:kern w:val="0"/>
                <w:szCs w:val="21"/>
              </w:rPr>
            </w:pPr>
          </w:p>
        </w:tc>
        <w:tc>
          <w:tcPr>
            <w:tcW w:w="1276" w:type="dxa"/>
            <w:noWrap w:val="0"/>
            <w:vAlign w:val="center"/>
          </w:tcPr>
          <w:p>
            <w:pPr>
              <w:widowControl/>
              <w:spacing w:line="360" w:lineRule="auto"/>
              <w:jc w:val="center"/>
              <w:rPr>
                <w:rFonts w:ascii="宋体" w:hAnsi="宋体" w:cs="Arial"/>
                <w:kern w:val="0"/>
                <w:szCs w:val="21"/>
              </w:rPr>
            </w:pPr>
          </w:p>
        </w:tc>
        <w:tc>
          <w:tcPr>
            <w:tcW w:w="1134" w:type="dxa"/>
            <w:noWrap w:val="0"/>
            <w:vAlign w:val="center"/>
          </w:tcPr>
          <w:p>
            <w:pPr>
              <w:widowControl/>
              <w:spacing w:line="360" w:lineRule="auto"/>
              <w:jc w:val="center"/>
              <w:rPr>
                <w:rFonts w:ascii="宋体" w:hAnsi="宋体" w:cs="Arial"/>
                <w:kern w:val="0"/>
                <w:szCs w:val="21"/>
              </w:rPr>
            </w:pPr>
          </w:p>
        </w:tc>
        <w:tc>
          <w:tcPr>
            <w:tcW w:w="992" w:type="dxa"/>
            <w:noWrap w:val="0"/>
            <w:vAlign w:val="center"/>
          </w:tcPr>
          <w:p>
            <w:pPr>
              <w:spacing w:line="360" w:lineRule="auto"/>
              <w:jc w:val="center"/>
              <w:rPr>
                <w:rFonts w:ascii="宋体" w:hAnsi="宋体" w:cs="Arial"/>
                <w:kern w:val="0"/>
                <w:szCs w:val="21"/>
              </w:rPr>
            </w:pPr>
          </w:p>
        </w:tc>
      </w:tr>
    </w:tbl>
    <w:p>
      <w:pPr>
        <w:rPr>
          <w:rFonts w:hint="eastAsia" w:ascii="宋体" w:hAnsi="宋体"/>
          <w:sz w:val="24"/>
        </w:rPr>
      </w:pPr>
      <w:r>
        <w:rPr>
          <w:rFonts w:hint="eastAsia" w:ascii="宋体" w:hAnsi="宋体"/>
          <w:sz w:val="24"/>
        </w:rPr>
        <w:t>2.8专用交通车辆配备</w:t>
      </w:r>
    </w:p>
    <w:tbl>
      <w:tblPr>
        <w:tblStyle w:val="56"/>
        <w:tblW w:w="9073"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396"/>
        <w:gridCol w:w="1439"/>
        <w:gridCol w:w="2126"/>
        <w:gridCol w:w="1276"/>
        <w:gridCol w:w="1134"/>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68" w:hRule="atLeast"/>
        </w:trPr>
        <w:tc>
          <w:tcPr>
            <w:tcW w:w="710" w:type="dxa"/>
            <w:vMerge w:val="restart"/>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序号</w:t>
            </w:r>
          </w:p>
        </w:tc>
        <w:tc>
          <w:tcPr>
            <w:tcW w:w="1396" w:type="dxa"/>
            <w:vMerge w:val="restart"/>
            <w:noWrap w:val="0"/>
            <w:vAlign w:val="center"/>
          </w:tcPr>
          <w:p>
            <w:pPr>
              <w:widowControl/>
              <w:spacing w:line="360" w:lineRule="auto"/>
              <w:ind w:firstLine="210"/>
              <w:jc w:val="center"/>
              <w:rPr>
                <w:rFonts w:ascii="宋体" w:hAnsi="宋体" w:cs="Arial"/>
                <w:kern w:val="0"/>
                <w:szCs w:val="21"/>
              </w:rPr>
            </w:pPr>
            <w:r>
              <w:rPr>
                <w:rFonts w:hint="eastAsia" w:ascii="宋体" w:hAnsi="宋体" w:cs="Arial"/>
                <w:kern w:val="0"/>
                <w:szCs w:val="21"/>
              </w:rPr>
              <w:t>设备名称</w:t>
            </w:r>
          </w:p>
        </w:tc>
        <w:tc>
          <w:tcPr>
            <w:tcW w:w="1439" w:type="dxa"/>
            <w:vMerge w:val="restart"/>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品牌、型号</w:t>
            </w:r>
          </w:p>
        </w:tc>
        <w:tc>
          <w:tcPr>
            <w:tcW w:w="2126" w:type="dxa"/>
            <w:vMerge w:val="restart"/>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技术参数</w:t>
            </w:r>
          </w:p>
        </w:tc>
        <w:tc>
          <w:tcPr>
            <w:tcW w:w="1276" w:type="dxa"/>
            <w:vMerge w:val="restart"/>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单位</w:t>
            </w:r>
          </w:p>
        </w:tc>
        <w:tc>
          <w:tcPr>
            <w:tcW w:w="1134" w:type="dxa"/>
            <w:vMerge w:val="restart"/>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数量</w:t>
            </w:r>
          </w:p>
        </w:tc>
        <w:tc>
          <w:tcPr>
            <w:tcW w:w="992" w:type="dxa"/>
            <w:vMerge w:val="restart"/>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68" w:hRule="atLeast"/>
        </w:trPr>
        <w:tc>
          <w:tcPr>
            <w:tcW w:w="710" w:type="dxa"/>
            <w:vMerge w:val="continue"/>
            <w:noWrap w:val="0"/>
            <w:vAlign w:val="center"/>
          </w:tcPr>
          <w:p>
            <w:pPr>
              <w:widowControl/>
              <w:spacing w:line="360" w:lineRule="auto"/>
              <w:jc w:val="left"/>
              <w:rPr>
                <w:rFonts w:ascii="宋体" w:hAnsi="宋体" w:cs="Arial"/>
                <w:kern w:val="0"/>
                <w:szCs w:val="21"/>
              </w:rPr>
            </w:pPr>
          </w:p>
        </w:tc>
        <w:tc>
          <w:tcPr>
            <w:tcW w:w="1396" w:type="dxa"/>
            <w:vMerge w:val="continue"/>
            <w:noWrap w:val="0"/>
            <w:vAlign w:val="center"/>
          </w:tcPr>
          <w:p>
            <w:pPr>
              <w:widowControl/>
              <w:spacing w:line="360" w:lineRule="auto"/>
              <w:jc w:val="left"/>
              <w:rPr>
                <w:rFonts w:ascii="宋体" w:hAnsi="宋体" w:cs="Arial"/>
                <w:kern w:val="0"/>
                <w:szCs w:val="21"/>
              </w:rPr>
            </w:pPr>
          </w:p>
        </w:tc>
        <w:tc>
          <w:tcPr>
            <w:tcW w:w="1439" w:type="dxa"/>
            <w:vMerge w:val="continue"/>
            <w:noWrap w:val="0"/>
            <w:vAlign w:val="center"/>
          </w:tcPr>
          <w:p>
            <w:pPr>
              <w:widowControl/>
              <w:spacing w:line="360" w:lineRule="auto"/>
              <w:jc w:val="left"/>
              <w:rPr>
                <w:rFonts w:ascii="宋体" w:hAnsi="宋体" w:cs="Arial"/>
                <w:kern w:val="0"/>
                <w:szCs w:val="21"/>
              </w:rPr>
            </w:pPr>
          </w:p>
        </w:tc>
        <w:tc>
          <w:tcPr>
            <w:tcW w:w="2126" w:type="dxa"/>
            <w:vMerge w:val="continue"/>
            <w:noWrap w:val="0"/>
            <w:vAlign w:val="center"/>
          </w:tcPr>
          <w:p>
            <w:pPr>
              <w:widowControl/>
              <w:spacing w:line="360" w:lineRule="auto"/>
              <w:jc w:val="left"/>
              <w:rPr>
                <w:rFonts w:ascii="宋体" w:hAnsi="宋体" w:cs="Arial"/>
                <w:kern w:val="0"/>
                <w:szCs w:val="21"/>
              </w:rPr>
            </w:pPr>
          </w:p>
        </w:tc>
        <w:tc>
          <w:tcPr>
            <w:tcW w:w="1276" w:type="dxa"/>
            <w:vMerge w:val="continue"/>
            <w:noWrap w:val="0"/>
            <w:vAlign w:val="center"/>
          </w:tcPr>
          <w:p>
            <w:pPr>
              <w:widowControl/>
              <w:spacing w:line="360" w:lineRule="auto"/>
              <w:jc w:val="left"/>
              <w:rPr>
                <w:rFonts w:ascii="宋体" w:hAnsi="宋体" w:cs="Arial"/>
                <w:kern w:val="0"/>
                <w:szCs w:val="21"/>
              </w:rPr>
            </w:pPr>
          </w:p>
        </w:tc>
        <w:tc>
          <w:tcPr>
            <w:tcW w:w="1134" w:type="dxa"/>
            <w:vMerge w:val="continue"/>
            <w:noWrap w:val="0"/>
            <w:vAlign w:val="center"/>
          </w:tcPr>
          <w:p>
            <w:pPr>
              <w:widowControl/>
              <w:spacing w:line="360" w:lineRule="auto"/>
              <w:jc w:val="left"/>
              <w:rPr>
                <w:rFonts w:ascii="宋体" w:hAnsi="宋体" w:cs="Arial"/>
                <w:kern w:val="0"/>
                <w:szCs w:val="21"/>
              </w:rPr>
            </w:pPr>
          </w:p>
        </w:tc>
        <w:tc>
          <w:tcPr>
            <w:tcW w:w="992" w:type="dxa"/>
            <w:vMerge w:val="continue"/>
            <w:noWrap w:val="0"/>
            <w:vAlign w:val="center"/>
          </w:tcPr>
          <w:p>
            <w:pPr>
              <w:widowControl/>
              <w:spacing w:line="360" w:lineRule="auto"/>
              <w:jc w:val="left"/>
              <w:rPr>
                <w:rFonts w:ascii="宋体" w:hAnsi="宋体" w:cs="Arial"/>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36" w:hRule="atLeast"/>
        </w:trPr>
        <w:tc>
          <w:tcPr>
            <w:tcW w:w="710" w:type="dxa"/>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1</w:t>
            </w:r>
          </w:p>
        </w:tc>
        <w:tc>
          <w:tcPr>
            <w:tcW w:w="1396" w:type="dxa"/>
            <w:noWrap w:val="0"/>
            <w:vAlign w:val="center"/>
          </w:tcPr>
          <w:p>
            <w:pPr>
              <w:widowControl/>
              <w:spacing w:line="360" w:lineRule="auto"/>
              <w:jc w:val="center"/>
              <w:rPr>
                <w:rFonts w:ascii="宋体" w:hAnsi="宋体" w:cs="Arial"/>
                <w:kern w:val="0"/>
                <w:szCs w:val="21"/>
              </w:rPr>
            </w:pPr>
          </w:p>
        </w:tc>
        <w:tc>
          <w:tcPr>
            <w:tcW w:w="1439" w:type="dxa"/>
            <w:noWrap w:val="0"/>
            <w:vAlign w:val="center"/>
          </w:tcPr>
          <w:p>
            <w:pPr>
              <w:widowControl/>
              <w:spacing w:line="360" w:lineRule="auto"/>
              <w:jc w:val="center"/>
              <w:rPr>
                <w:rFonts w:ascii="宋体" w:hAnsi="宋体" w:cs="Arial"/>
                <w:kern w:val="0"/>
                <w:szCs w:val="21"/>
              </w:rPr>
            </w:pPr>
          </w:p>
        </w:tc>
        <w:tc>
          <w:tcPr>
            <w:tcW w:w="2126" w:type="dxa"/>
            <w:noWrap w:val="0"/>
            <w:vAlign w:val="center"/>
          </w:tcPr>
          <w:p>
            <w:pPr>
              <w:widowControl/>
              <w:spacing w:line="360" w:lineRule="auto"/>
              <w:jc w:val="center"/>
              <w:rPr>
                <w:rFonts w:ascii="宋体" w:hAnsi="宋体" w:cs="Arial"/>
                <w:kern w:val="0"/>
                <w:szCs w:val="21"/>
              </w:rPr>
            </w:pPr>
          </w:p>
        </w:tc>
        <w:tc>
          <w:tcPr>
            <w:tcW w:w="1276" w:type="dxa"/>
            <w:noWrap w:val="0"/>
            <w:vAlign w:val="center"/>
          </w:tcPr>
          <w:p>
            <w:pPr>
              <w:widowControl/>
              <w:spacing w:line="360" w:lineRule="auto"/>
              <w:jc w:val="center"/>
              <w:rPr>
                <w:rFonts w:ascii="宋体" w:hAnsi="宋体" w:cs="Arial"/>
                <w:kern w:val="0"/>
                <w:szCs w:val="21"/>
              </w:rPr>
            </w:pPr>
          </w:p>
        </w:tc>
        <w:tc>
          <w:tcPr>
            <w:tcW w:w="1134" w:type="dxa"/>
            <w:noWrap w:val="0"/>
            <w:vAlign w:val="center"/>
          </w:tcPr>
          <w:p>
            <w:pPr>
              <w:widowControl/>
              <w:spacing w:line="360" w:lineRule="auto"/>
              <w:jc w:val="center"/>
              <w:rPr>
                <w:rFonts w:ascii="宋体" w:hAnsi="宋体" w:cs="Arial"/>
                <w:kern w:val="0"/>
                <w:szCs w:val="21"/>
              </w:rPr>
            </w:pPr>
          </w:p>
        </w:tc>
        <w:tc>
          <w:tcPr>
            <w:tcW w:w="992" w:type="dxa"/>
            <w:noWrap w:val="0"/>
            <w:vAlign w:val="center"/>
          </w:tcPr>
          <w:p>
            <w:pPr>
              <w:widowControl/>
              <w:spacing w:line="360" w:lineRule="auto"/>
              <w:jc w:val="center"/>
              <w:rPr>
                <w:rFonts w:ascii="宋体" w:hAnsi="宋体" w:cs="Arial"/>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36" w:hRule="atLeast"/>
        </w:trPr>
        <w:tc>
          <w:tcPr>
            <w:tcW w:w="710" w:type="dxa"/>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2</w:t>
            </w:r>
          </w:p>
        </w:tc>
        <w:tc>
          <w:tcPr>
            <w:tcW w:w="1396" w:type="dxa"/>
            <w:noWrap w:val="0"/>
            <w:vAlign w:val="center"/>
          </w:tcPr>
          <w:p>
            <w:pPr>
              <w:widowControl/>
              <w:spacing w:line="360" w:lineRule="auto"/>
              <w:jc w:val="center"/>
              <w:rPr>
                <w:rFonts w:ascii="宋体" w:hAnsi="宋体" w:cs="Arial"/>
                <w:kern w:val="0"/>
                <w:szCs w:val="21"/>
              </w:rPr>
            </w:pPr>
          </w:p>
        </w:tc>
        <w:tc>
          <w:tcPr>
            <w:tcW w:w="1439" w:type="dxa"/>
            <w:noWrap w:val="0"/>
            <w:vAlign w:val="center"/>
          </w:tcPr>
          <w:p>
            <w:pPr>
              <w:widowControl/>
              <w:spacing w:line="360" w:lineRule="auto"/>
              <w:jc w:val="center"/>
              <w:rPr>
                <w:rFonts w:ascii="宋体" w:hAnsi="宋体" w:cs="Arial"/>
                <w:kern w:val="0"/>
                <w:szCs w:val="21"/>
              </w:rPr>
            </w:pPr>
          </w:p>
        </w:tc>
        <w:tc>
          <w:tcPr>
            <w:tcW w:w="2126" w:type="dxa"/>
            <w:noWrap w:val="0"/>
            <w:vAlign w:val="center"/>
          </w:tcPr>
          <w:p>
            <w:pPr>
              <w:widowControl/>
              <w:spacing w:line="360" w:lineRule="auto"/>
              <w:jc w:val="center"/>
              <w:rPr>
                <w:rFonts w:ascii="宋体" w:hAnsi="宋体" w:cs="Arial"/>
                <w:kern w:val="0"/>
                <w:szCs w:val="21"/>
              </w:rPr>
            </w:pPr>
          </w:p>
        </w:tc>
        <w:tc>
          <w:tcPr>
            <w:tcW w:w="1276" w:type="dxa"/>
            <w:noWrap w:val="0"/>
            <w:vAlign w:val="center"/>
          </w:tcPr>
          <w:p>
            <w:pPr>
              <w:widowControl/>
              <w:spacing w:line="360" w:lineRule="auto"/>
              <w:jc w:val="center"/>
              <w:rPr>
                <w:rFonts w:ascii="宋体" w:hAnsi="宋体" w:cs="Arial"/>
                <w:kern w:val="0"/>
                <w:szCs w:val="21"/>
              </w:rPr>
            </w:pPr>
          </w:p>
        </w:tc>
        <w:tc>
          <w:tcPr>
            <w:tcW w:w="1134" w:type="dxa"/>
            <w:noWrap w:val="0"/>
            <w:vAlign w:val="center"/>
          </w:tcPr>
          <w:p>
            <w:pPr>
              <w:widowControl/>
              <w:spacing w:line="360" w:lineRule="auto"/>
              <w:jc w:val="center"/>
              <w:rPr>
                <w:rFonts w:ascii="宋体" w:hAnsi="宋体" w:cs="Arial"/>
                <w:kern w:val="0"/>
                <w:szCs w:val="21"/>
              </w:rPr>
            </w:pPr>
          </w:p>
        </w:tc>
        <w:tc>
          <w:tcPr>
            <w:tcW w:w="992" w:type="dxa"/>
            <w:noWrap w:val="0"/>
            <w:vAlign w:val="center"/>
          </w:tcPr>
          <w:p>
            <w:pPr>
              <w:spacing w:line="360" w:lineRule="auto"/>
              <w:jc w:val="center"/>
              <w:rPr>
                <w:rFonts w:ascii="宋体" w:hAnsi="宋体" w:cs="Arial"/>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36" w:hRule="atLeast"/>
        </w:trPr>
        <w:tc>
          <w:tcPr>
            <w:tcW w:w="710" w:type="dxa"/>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3</w:t>
            </w:r>
          </w:p>
        </w:tc>
        <w:tc>
          <w:tcPr>
            <w:tcW w:w="1396" w:type="dxa"/>
            <w:noWrap w:val="0"/>
            <w:vAlign w:val="center"/>
          </w:tcPr>
          <w:p>
            <w:pPr>
              <w:widowControl/>
              <w:spacing w:line="360" w:lineRule="auto"/>
              <w:jc w:val="center"/>
              <w:rPr>
                <w:rFonts w:ascii="宋体" w:hAnsi="宋体" w:cs="Arial"/>
                <w:kern w:val="0"/>
                <w:szCs w:val="21"/>
              </w:rPr>
            </w:pPr>
          </w:p>
        </w:tc>
        <w:tc>
          <w:tcPr>
            <w:tcW w:w="1439" w:type="dxa"/>
            <w:noWrap w:val="0"/>
            <w:vAlign w:val="center"/>
          </w:tcPr>
          <w:p>
            <w:pPr>
              <w:widowControl/>
              <w:spacing w:line="360" w:lineRule="auto"/>
              <w:jc w:val="center"/>
              <w:rPr>
                <w:rFonts w:ascii="宋体" w:hAnsi="宋体" w:cs="Arial"/>
                <w:kern w:val="0"/>
                <w:szCs w:val="21"/>
              </w:rPr>
            </w:pPr>
          </w:p>
        </w:tc>
        <w:tc>
          <w:tcPr>
            <w:tcW w:w="2126" w:type="dxa"/>
            <w:noWrap w:val="0"/>
            <w:vAlign w:val="center"/>
          </w:tcPr>
          <w:p>
            <w:pPr>
              <w:widowControl/>
              <w:spacing w:line="360" w:lineRule="auto"/>
              <w:jc w:val="center"/>
              <w:rPr>
                <w:rFonts w:ascii="宋体" w:hAnsi="宋体" w:cs="Arial"/>
                <w:kern w:val="0"/>
                <w:szCs w:val="21"/>
              </w:rPr>
            </w:pPr>
          </w:p>
        </w:tc>
        <w:tc>
          <w:tcPr>
            <w:tcW w:w="1276" w:type="dxa"/>
            <w:noWrap w:val="0"/>
            <w:vAlign w:val="center"/>
          </w:tcPr>
          <w:p>
            <w:pPr>
              <w:widowControl/>
              <w:spacing w:line="360" w:lineRule="auto"/>
              <w:jc w:val="center"/>
              <w:rPr>
                <w:rFonts w:ascii="宋体" w:hAnsi="宋体" w:cs="Arial"/>
                <w:kern w:val="0"/>
                <w:szCs w:val="21"/>
              </w:rPr>
            </w:pPr>
          </w:p>
        </w:tc>
        <w:tc>
          <w:tcPr>
            <w:tcW w:w="1134" w:type="dxa"/>
            <w:noWrap w:val="0"/>
            <w:vAlign w:val="center"/>
          </w:tcPr>
          <w:p>
            <w:pPr>
              <w:widowControl/>
              <w:spacing w:line="360" w:lineRule="auto"/>
              <w:jc w:val="center"/>
              <w:rPr>
                <w:rFonts w:ascii="宋体" w:hAnsi="宋体" w:cs="Arial"/>
                <w:kern w:val="0"/>
                <w:szCs w:val="21"/>
              </w:rPr>
            </w:pPr>
          </w:p>
        </w:tc>
        <w:tc>
          <w:tcPr>
            <w:tcW w:w="992" w:type="dxa"/>
            <w:noWrap w:val="0"/>
            <w:vAlign w:val="center"/>
          </w:tcPr>
          <w:p>
            <w:pPr>
              <w:spacing w:line="360" w:lineRule="auto"/>
              <w:jc w:val="center"/>
              <w:rPr>
                <w:rFonts w:ascii="宋体" w:hAnsi="宋体" w:cs="Arial"/>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36" w:hRule="atLeast"/>
        </w:trPr>
        <w:tc>
          <w:tcPr>
            <w:tcW w:w="710" w:type="dxa"/>
            <w:noWrap w:val="0"/>
            <w:vAlign w:val="center"/>
          </w:tcPr>
          <w:p>
            <w:pPr>
              <w:widowControl/>
              <w:spacing w:line="360" w:lineRule="auto"/>
              <w:jc w:val="center"/>
              <w:rPr>
                <w:rFonts w:ascii="宋体" w:hAnsi="宋体" w:cs="Arial"/>
                <w:kern w:val="0"/>
                <w:szCs w:val="21"/>
              </w:rPr>
            </w:pPr>
            <w:r>
              <w:rPr>
                <w:rFonts w:ascii="宋体" w:hAnsi="宋体" w:cs="Arial"/>
                <w:kern w:val="0"/>
                <w:szCs w:val="21"/>
              </w:rPr>
              <w:t>……</w:t>
            </w:r>
          </w:p>
        </w:tc>
        <w:tc>
          <w:tcPr>
            <w:tcW w:w="1396" w:type="dxa"/>
            <w:noWrap w:val="0"/>
            <w:vAlign w:val="center"/>
          </w:tcPr>
          <w:p>
            <w:pPr>
              <w:widowControl/>
              <w:spacing w:line="360" w:lineRule="auto"/>
              <w:jc w:val="center"/>
              <w:rPr>
                <w:rFonts w:ascii="宋体" w:hAnsi="宋体" w:cs="Arial"/>
                <w:kern w:val="0"/>
                <w:szCs w:val="21"/>
              </w:rPr>
            </w:pPr>
          </w:p>
        </w:tc>
        <w:tc>
          <w:tcPr>
            <w:tcW w:w="1439" w:type="dxa"/>
            <w:noWrap w:val="0"/>
            <w:vAlign w:val="center"/>
          </w:tcPr>
          <w:p>
            <w:pPr>
              <w:widowControl/>
              <w:spacing w:line="360" w:lineRule="auto"/>
              <w:jc w:val="center"/>
              <w:rPr>
                <w:rFonts w:ascii="宋体" w:hAnsi="宋体" w:cs="Arial"/>
                <w:kern w:val="0"/>
                <w:szCs w:val="21"/>
              </w:rPr>
            </w:pPr>
          </w:p>
        </w:tc>
        <w:tc>
          <w:tcPr>
            <w:tcW w:w="2126" w:type="dxa"/>
            <w:noWrap w:val="0"/>
            <w:vAlign w:val="center"/>
          </w:tcPr>
          <w:p>
            <w:pPr>
              <w:widowControl/>
              <w:spacing w:line="360" w:lineRule="auto"/>
              <w:jc w:val="center"/>
              <w:rPr>
                <w:rFonts w:ascii="宋体" w:hAnsi="宋体" w:cs="Arial"/>
                <w:kern w:val="0"/>
                <w:szCs w:val="21"/>
              </w:rPr>
            </w:pPr>
          </w:p>
        </w:tc>
        <w:tc>
          <w:tcPr>
            <w:tcW w:w="1276" w:type="dxa"/>
            <w:noWrap w:val="0"/>
            <w:vAlign w:val="center"/>
          </w:tcPr>
          <w:p>
            <w:pPr>
              <w:widowControl/>
              <w:spacing w:line="360" w:lineRule="auto"/>
              <w:jc w:val="center"/>
              <w:rPr>
                <w:rFonts w:ascii="宋体" w:hAnsi="宋体" w:cs="Arial"/>
                <w:kern w:val="0"/>
                <w:szCs w:val="21"/>
              </w:rPr>
            </w:pPr>
          </w:p>
        </w:tc>
        <w:tc>
          <w:tcPr>
            <w:tcW w:w="1134" w:type="dxa"/>
            <w:noWrap w:val="0"/>
            <w:vAlign w:val="center"/>
          </w:tcPr>
          <w:p>
            <w:pPr>
              <w:widowControl/>
              <w:spacing w:line="360" w:lineRule="auto"/>
              <w:jc w:val="center"/>
              <w:rPr>
                <w:rFonts w:ascii="宋体" w:hAnsi="宋体" w:cs="Arial"/>
                <w:kern w:val="0"/>
                <w:szCs w:val="21"/>
              </w:rPr>
            </w:pPr>
          </w:p>
        </w:tc>
        <w:tc>
          <w:tcPr>
            <w:tcW w:w="992" w:type="dxa"/>
            <w:noWrap w:val="0"/>
            <w:vAlign w:val="center"/>
          </w:tcPr>
          <w:p>
            <w:pPr>
              <w:spacing w:line="360" w:lineRule="auto"/>
              <w:jc w:val="center"/>
              <w:rPr>
                <w:rFonts w:ascii="宋体" w:hAnsi="宋体" w:cs="Arial"/>
                <w:kern w:val="0"/>
                <w:szCs w:val="21"/>
              </w:rPr>
            </w:pPr>
          </w:p>
        </w:tc>
      </w:tr>
    </w:tbl>
    <w:p>
      <w:pPr>
        <w:rPr>
          <w:rFonts w:hint="eastAsia" w:ascii="宋体" w:hAnsi="宋体"/>
          <w:sz w:val="24"/>
        </w:rPr>
      </w:pPr>
      <w:r>
        <w:rPr>
          <w:rFonts w:hint="eastAsia" w:ascii="宋体" w:hAnsi="宋体"/>
          <w:sz w:val="24"/>
        </w:rPr>
        <w:t>2.9建设团队配备</w:t>
      </w:r>
    </w:p>
    <w:tbl>
      <w:tblPr>
        <w:tblStyle w:val="56"/>
        <w:tblW w:w="9073"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1374"/>
        <w:gridCol w:w="720"/>
        <w:gridCol w:w="720"/>
        <w:gridCol w:w="720"/>
        <w:gridCol w:w="1080"/>
        <w:gridCol w:w="1440"/>
        <w:gridCol w:w="720"/>
        <w:gridCol w:w="14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769" w:hRule="atLeast"/>
        </w:trPr>
        <w:tc>
          <w:tcPr>
            <w:tcW w:w="852"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姓名</w:t>
            </w:r>
          </w:p>
        </w:tc>
        <w:tc>
          <w:tcPr>
            <w:tcW w:w="1374"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本项目拟任岗位</w:t>
            </w:r>
          </w:p>
        </w:tc>
        <w:tc>
          <w:tcPr>
            <w:tcW w:w="720"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年龄</w:t>
            </w:r>
          </w:p>
        </w:tc>
        <w:tc>
          <w:tcPr>
            <w:tcW w:w="720"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性别</w:t>
            </w:r>
          </w:p>
        </w:tc>
        <w:tc>
          <w:tcPr>
            <w:tcW w:w="720"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专业学历</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现任职务和职称</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安排上岗的起止时间</w:t>
            </w:r>
          </w:p>
        </w:tc>
        <w:tc>
          <w:tcPr>
            <w:tcW w:w="720"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联系电话</w:t>
            </w:r>
          </w:p>
        </w:tc>
        <w:tc>
          <w:tcPr>
            <w:tcW w:w="1447"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类似服务经验、业绩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01" w:hRule="atLeast"/>
        </w:trPr>
        <w:tc>
          <w:tcPr>
            <w:tcW w:w="852"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374"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c>
          <w:tcPr>
            <w:tcW w:w="1447"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86" w:hRule="atLeast"/>
        </w:trPr>
        <w:tc>
          <w:tcPr>
            <w:tcW w:w="852"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374"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447"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24" w:hRule="atLeast"/>
        </w:trPr>
        <w:tc>
          <w:tcPr>
            <w:tcW w:w="852"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374"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447"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r>
    </w:tbl>
    <w:p>
      <w:pPr>
        <w:pStyle w:val="2"/>
        <w:rPr>
          <w:rFonts w:hint="eastAsia" w:ascii="宋体" w:hAnsi="宋体" w:eastAsia="宋体"/>
          <w:b/>
          <w:sz w:val="24"/>
          <w:lang w:val="en-US"/>
        </w:rPr>
      </w:pPr>
      <w:r>
        <w:rPr>
          <w:rFonts w:hint="eastAsia" w:ascii="宋体" w:hAnsi="宋体" w:eastAsia="宋体"/>
          <w:b/>
          <w:sz w:val="24"/>
          <w:lang w:val="en-US"/>
        </w:rPr>
        <w:t>相关证书及经验业绩附本表后</w:t>
      </w:r>
    </w:p>
    <w:p>
      <w:pPr>
        <w:jc w:val="center"/>
        <w:rPr>
          <w:rFonts w:hint="eastAsia" w:hAnsi="宋体"/>
          <w:b/>
          <w:sz w:val="32"/>
        </w:rPr>
      </w:pPr>
    </w:p>
    <w:p>
      <w:pPr>
        <w:pStyle w:val="2"/>
        <w:jc w:val="center"/>
        <w:rPr>
          <w:rFonts w:hint="eastAsia" w:ascii="宋体" w:hAnsi="宋体" w:eastAsia="宋体"/>
          <w:sz w:val="32"/>
          <w:szCs w:val="32"/>
          <w:lang w:val="en-US"/>
        </w:rPr>
      </w:pPr>
      <w:r>
        <w:rPr>
          <w:rFonts w:hint="eastAsia" w:ascii="宋体" w:hAnsi="宋体" w:eastAsia="宋体"/>
          <w:sz w:val="32"/>
          <w:szCs w:val="32"/>
          <w:lang w:val="en-US"/>
        </w:rPr>
        <w:t>3、项目运维方案</w:t>
      </w:r>
    </w:p>
    <w:p>
      <w:pPr>
        <w:pStyle w:val="2"/>
        <w:ind w:firstLine="0"/>
        <w:rPr>
          <w:rFonts w:hint="eastAsia" w:ascii="宋体" w:hAnsi="宋体" w:eastAsia="宋体"/>
          <w:sz w:val="24"/>
          <w:lang w:val="en-US"/>
        </w:rPr>
      </w:pPr>
      <w:r>
        <w:rPr>
          <w:rFonts w:hint="eastAsia" w:ascii="宋体" w:hAnsi="宋体" w:eastAsia="宋体"/>
          <w:sz w:val="24"/>
          <w:lang w:val="en-US"/>
        </w:rPr>
        <w:t>注：结合第三章以及评分办法制作。</w:t>
      </w:r>
    </w:p>
    <w:p>
      <w:pPr>
        <w:rPr>
          <w:rFonts w:hint="eastAsia" w:ascii="宋体" w:hAnsi="宋体"/>
          <w:sz w:val="24"/>
        </w:rPr>
      </w:pPr>
      <w:r>
        <w:rPr>
          <w:rFonts w:hint="eastAsia" w:ascii="宋体" w:hAnsi="宋体"/>
          <w:sz w:val="24"/>
        </w:rPr>
        <w:t xml:space="preserve">3.1 </w:t>
      </w:r>
      <w:r>
        <w:rPr>
          <w:rFonts w:hint="eastAsia" w:ascii="宋体" w:hAnsi="宋体"/>
          <w:b/>
          <w:sz w:val="24"/>
        </w:rPr>
        <w:t>运维设备</w:t>
      </w:r>
    </w:p>
    <w:p>
      <w:pPr>
        <w:rPr>
          <w:rFonts w:hint="eastAsia" w:ascii="宋体" w:hAnsi="宋体"/>
          <w:b/>
          <w:sz w:val="24"/>
        </w:rPr>
      </w:pPr>
      <w:r>
        <w:rPr>
          <w:rFonts w:hint="eastAsia" w:ascii="宋体" w:hAnsi="宋体"/>
          <w:sz w:val="24"/>
        </w:rPr>
        <w:t xml:space="preserve">3.2 </w:t>
      </w:r>
      <w:r>
        <w:rPr>
          <w:rFonts w:hint="eastAsia" w:ascii="宋体" w:hAnsi="宋体"/>
          <w:b/>
          <w:sz w:val="24"/>
        </w:rPr>
        <w:t>备品备件</w:t>
      </w:r>
    </w:p>
    <w:tbl>
      <w:tblPr>
        <w:tblStyle w:val="56"/>
        <w:tblW w:w="8648"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394"/>
        <w:gridCol w:w="1436"/>
        <w:gridCol w:w="2122"/>
        <w:gridCol w:w="719"/>
        <w:gridCol w:w="850"/>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68" w:hRule="atLeast"/>
        </w:trPr>
        <w:tc>
          <w:tcPr>
            <w:tcW w:w="709" w:type="dxa"/>
            <w:vMerge w:val="restart"/>
            <w:noWrap w:val="0"/>
            <w:vAlign w:val="center"/>
          </w:tcPr>
          <w:p>
            <w:pPr>
              <w:widowControl/>
              <w:spacing w:line="360" w:lineRule="auto"/>
              <w:jc w:val="center"/>
              <w:rPr>
                <w:rFonts w:ascii="宋体" w:hAnsi="宋体" w:cs="Arial"/>
                <w:kern w:val="0"/>
                <w:sz w:val="24"/>
              </w:rPr>
            </w:pPr>
            <w:r>
              <w:rPr>
                <w:rFonts w:hint="eastAsia" w:ascii="宋体" w:hAnsi="宋体" w:cs="Arial"/>
                <w:kern w:val="0"/>
                <w:sz w:val="24"/>
              </w:rPr>
              <w:t>序号</w:t>
            </w:r>
          </w:p>
        </w:tc>
        <w:tc>
          <w:tcPr>
            <w:tcW w:w="1394" w:type="dxa"/>
            <w:vMerge w:val="restart"/>
            <w:noWrap w:val="0"/>
            <w:vAlign w:val="center"/>
          </w:tcPr>
          <w:p>
            <w:pPr>
              <w:widowControl/>
              <w:spacing w:line="360" w:lineRule="auto"/>
              <w:ind w:firstLine="210"/>
              <w:jc w:val="center"/>
              <w:rPr>
                <w:rFonts w:ascii="宋体" w:hAnsi="宋体" w:cs="Arial"/>
                <w:kern w:val="0"/>
                <w:sz w:val="24"/>
              </w:rPr>
            </w:pPr>
            <w:r>
              <w:rPr>
                <w:rFonts w:hint="eastAsia" w:ascii="宋体" w:hAnsi="宋体" w:cs="Arial"/>
                <w:kern w:val="0"/>
                <w:sz w:val="24"/>
              </w:rPr>
              <w:t>设备名称</w:t>
            </w:r>
          </w:p>
        </w:tc>
        <w:tc>
          <w:tcPr>
            <w:tcW w:w="1436" w:type="dxa"/>
            <w:vMerge w:val="restart"/>
            <w:noWrap w:val="0"/>
            <w:vAlign w:val="center"/>
          </w:tcPr>
          <w:p>
            <w:pPr>
              <w:widowControl/>
              <w:spacing w:line="360" w:lineRule="auto"/>
              <w:jc w:val="center"/>
              <w:rPr>
                <w:rFonts w:ascii="宋体" w:hAnsi="宋体" w:cs="Arial"/>
                <w:kern w:val="0"/>
                <w:sz w:val="24"/>
              </w:rPr>
            </w:pPr>
            <w:r>
              <w:rPr>
                <w:rFonts w:hint="eastAsia" w:ascii="宋体" w:hAnsi="宋体" w:cs="Arial"/>
                <w:kern w:val="0"/>
                <w:sz w:val="24"/>
              </w:rPr>
              <w:t>品牌、型号</w:t>
            </w:r>
          </w:p>
        </w:tc>
        <w:tc>
          <w:tcPr>
            <w:tcW w:w="2122" w:type="dxa"/>
            <w:vMerge w:val="restart"/>
            <w:noWrap w:val="0"/>
            <w:vAlign w:val="center"/>
          </w:tcPr>
          <w:p>
            <w:pPr>
              <w:widowControl/>
              <w:spacing w:line="360" w:lineRule="auto"/>
              <w:jc w:val="center"/>
              <w:rPr>
                <w:rFonts w:ascii="宋体" w:hAnsi="宋体" w:cs="Arial"/>
                <w:kern w:val="0"/>
                <w:sz w:val="24"/>
              </w:rPr>
            </w:pPr>
            <w:r>
              <w:rPr>
                <w:rFonts w:hint="eastAsia" w:ascii="宋体" w:hAnsi="宋体" w:cs="Arial"/>
                <w:kern w:val="0"/>
                <w:sz w:val="24"/>
              </w:rPr>
              <w:t>技术参数</w:t>
            </w:r>
          </w:p>
        </w:tc>
        <w:tc>
          <w:tcPr>
            <w:tcW w:w="719" w:type="dxa"/>
            <w:vMerge w:val="restart"/>
            <w:noWrap w:val="0"/>
            <w:vAlign w:val="center"/>
          </w:tcPr>
          <w:p>
            <w:pPr>
              <w:widowControl/>
              <w:spacing w:line="360" w:lineRule="auto"/>
              <w:jc w:val="center"/>
              <w:rPr>
                <w:rFonts w:ascii="宋体" w:hAnsi="宋体" w:cs="Arial"/>
                <w:kern w:val="0"/>
                <w:sz w:val="24"/>
              </w:rPr>
            </w:pPr>
            <w:r>
              <w:rPr>
                <w:rFonts w:hint="eastAsia" w:ascii="宋体" w:hAnsi="宋体" w:cs="Arial"/>
                <w:kern w:val="0"/>
                <w:sz w:val="24"/>
              </w:rPr>
              <w:t>单位</w:t>
            </w:r>
          </w:p>
        </w:tc>
        <w:tc>
          <w:tcPr>
            <w:tcW w:w="850" w:type="dxa"/>
            <w:vMerge w:val="restart"/>
            <w:noWrap w:val="0"/>
            <w:vAlign w:val="center"/>
          </w:tcPr>
          <w:p>
            <w:pPr>
              <w:widowControl/>
              <w:spacing w:line="360" w:lineRule="auto"/>
              <w:jc w:val="center"/>
              <w:rPr>
                <w:rFonts w:ascii="宋体" w:hAnsi="宋体" w:cs="Arial"/>
                <w:kern w:val="0"/>
                <w:sz w:val="24"/>
              </w:rPr>
            </w:pPr>
            <w:r>
              <w:rPr>
                <w:rFonts w:hint="eastAsia" w:ascii="宋体" w:hAnsi="宋体" w:cs="Arial"/>
                <w:kern w:val="0"/>
                <w:sz w:val="24"/>
              </w:rPr>
              <w:t>数量</w:t>
            </w:r>
          </w:p>
        </w:tc>
        <w:tc>
          <w:tcPr>
            <w:tcW w:w="1418" w:type="dxa"/>
            <w:vMerge w:val="restart"/>
            <w:noWrap w:val="0"/>
            <w:vAlign w:val="center"/>
          </w:tcPr>
          <w:p>
            <w:pPr>
              <w:widowControl/>
              <w:spacing w:line="360" w:lineRule="auto"/>
              <w:jc w:val="center"/>
              <w:rPr>
                <w:rFonts w:ascii="宋体" w:hAnsi="宋体" w:cs="Arial"/>
                <w:kern w:val="0"/>
                <w:sz w:val="24"/>
              </w:rPr>
            </w:pPr>
            <w:r>
              <w:rPr>
                <w:rFonts w:hint="eastAsia" w:ascii="宋体" w:hAnsi="宋体" w:cs="Arial"/>
                <w:kern w:val="0"/>
                <w:sz w:val="24"/>
              </w:rPr>
              <w:t>备品备件库存量（%）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68" w:hRule="atLeast"/>
        </w:trPr>
        <w:tc>
          <w:tcPr>
            <w:tcW w:w="709" w:type="dxa"/>
            <w:vMerge w:val="continue"/>
            <w:noWrap w:val="0"/>
            <w:vAlign w:val="center"/>
          </w:tcPr>
          <w:p>
            <w:pPr>
              <w:widowControl/>
              <w:spacing w:line="360" w:lineRule="auto"/>
              <w:jc w:val="left"/>
              <w:rPr>
                <w:rFonts w:ascii="宋体" w:hAnsi="宋体" w:cs="Arial"/>
                <w:kern w:val="0"/>
                <w:szCs w:val="21"/>
              </w:rPr>
            </w:pPr>
          </w:p>
        </w:tc>
        <w:tc>
          <w:tcPr>
            <w:tcW w:w="1394" w:type="dxa"/>
            <w:vMerge w:val="continue"/>
            <w:noWrap w:val="0"/>
            <w:vAlign w:val="center"/>
          </w:tcPr>
          <w:p>
            <w:pPr>
              <w:widowControl/>
              <w:spacing w:line="360" w:lineRule="auto"/>
              <w:jc w:val="left"/>
              <w:rPr>
                <w:rFonts w:ascii="宋体" w:hAnsi="宋体" w:cs="Arial"/>
                <w:kern w:val="0"/>
                <w:szCs w:val="21"/>
              </w:rPr>
            </w:pPr>
          </w:p>
        </w:tc>
        <w:tc>
          <w:tcPr>
            <w:tcW w:w="1436" w:type="dxa"/>
            <w:vMerge w:val="continue"/>
            <w:noWrap w:val="0"/>
            <w:vAlign w:val="center"/>
          </w:tcPr>
          <w:p>
            <w:pPr>
              <w:widowControl/>
              <w:spacing w:line="360" w:lineRule="auto"/>
              <w:jc w:val="left"/>
              <w:rPr>
                <w:rFonts w:ascii="宋体" w:hAnsi="宋体" w:cs="Arial"/>
                <w:kern w:val="0"/>
                <w:szCs w:val="21"/>
              </w:rPr>
            </w:pPr>
          </w:p>
        </w:tc>
        <w:tc>
          <w:tcPr>
            <w:tcW w:w="2122" w:type="dxa"/>
            <w:vMerge w:val="continue"/>
            <w:noWrap w:val="0"/>
            <w:vAlign w:val="center"/>
          </w:tcPr>
          <w:p>
            <w:pPr>
              <w:widowControl/>
              <w:spacing w:line="360" w:lineRule="auto"/>
              <w:jc w:val="left"/>
              <w:rPr>
                <w:rFonts w:ascii="宋体" w:hAnsi="宋体" w:cs="Arial"/>
                <w:kern w:val="0"/>
                <w:szCs w:val="21"/>
              </w:rPr>
            </w:pPr>
          </w:p>
        </w:tc>
        <w:tc>
          <w:tcPr>
            <w:tcW w:w="719" w:type="dxa"/>
            <w:vMerge w:val="continue"/>
            <w:noWrap w:val="0"/>
            <w:vAlign w:val="center"/>
          </w:tcPr>
          <w:p>
            <w:pPr>
              <w:widowControl/>
              <w:spacing w:line="360" w:lineRule="auto"/>
              <w:jc w:val="left"/>
              <w:rPr>
                <w:rFonts w:ascii="宋体" w:hAnsi="宋体" w:cs="Arial"/>
                <w:kern w:val="0"/>
                <w:szCs w:val="21"/>
              </w:rPr>
            </w:pPr>
          </w:p>
        </w:tc>
        <w:tc>
          <w:tcPr>
            <w:tcW w:w="850" w:type="dxa"/>
            <w:vMerge w:val="continue"/>
            <w:noWrap w:val="0"/>
            <w:vAlign w:val="center"/>
          </w:tcPr>
          <w:p>
            <w:pPr>
              <w:widowControl/>
              <w:spacing w:line="360" w:lineRule="auto"/>
              <w:jc w:val="left"/>
              <w:rPr>
                <w:rFonts w:ascii="宋体" w:hAnsi="宋体" w:cs="Arial"/>
                <w:kern w:val="0"/>
                <w:szCs w:val="21"/>
              </w:rPr>
            </w:pPr>
          </w:p>
        </w:tc>
        <w:tc>
          <w:tcPr>
            <w:tcW w:w="1418" w:type="dxa"/>
            <w:vMerge w:val="continue"/>
            <w:noWrap w:val="0"/>
            <w:vAlign w:val="center"/>
          </w:tcPr>
          <w:p>
            <w:pPr>
              <w:widowControl/>
              <w:spacing w:line="360" w:lineRule="auto"/>
              <w:jc w:val="left"/>
              <w:rPr>
                <w:rFonts w:ascii="宋体" w:hAnsi="宋体" w:cs="Arial"/>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21" w:hRule="atLeast"/>
        </w:trPr>
        <w:tc>
          <w:tcPr>
            <w:tcW w:w="709" w:type="dxa"/>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1</w:t>
            </w:r>
          </w:p>
        </w:tc>
        <w:tc>
          <w:tcPr>
            <w:tcW w:w="1394" w:type="dxa"/>
            <w:noWrap w:val="0"/>
            <w:vAlign w:val="center"/>
          </w:tcPr>
          <w:p>
            <w:pPr>
              <w:widowControl/>
              <w:spacing w:line="360" w:lineRule="auto"/>
              <w:jc w:val="center"/>
              <w:rPr>
                <w:rFonts w:ascii="宋体" w:hAnsi="宋体" w:cs="Arial"/>
                <w:kern w:val="0"/>
                <w:szCs w:val="21"/>
              </w:rPr>
            </w:pPr>
          </w:p>
        </w:tc>
        <w:tc>
          <w:tcPr>
            <w:tcW w:w="1436" w:type="dxa"/>
            <w:noWrap w:val="0"/>
            <w:vAlign w:val="center"/>
          </w:tcPr>
          <w:p>
            <w:pPr>
              <w:widowControl/>
              <w:spacing w:line="360" w:lineRule="auto"/>
              <w:jc w:val="center"/>
              <w:rPr>
                <w:rFonts w:ascii="宋体" w:hAnsi="宋体" w:cs="Arial"/>
                <w:kern w:val="0"/>
                <w:szCs w:val="21"/>
              </w:rPr>
            </w:pPr>
          </w:p>
        </w:tc>
        <w:tc>
          <w:tcPr>
            <w:tcW w:w="2122" w:type="dxa"/>
            <w:noWrap w:val="0"/>
            <w:vAlign w:val="center"/>
          </w:tcPr>
          <w:p>
            <w:pPr>
              <w:widowControl/>
              <w:spacing w:line="360" w:lineRule="auto"/>
              <w:jc w:val="center"/>
              <w:rPr>
                <w:rFonts w:ascii="宋体" w:hAnsi="宋体" w:cs="Arial"/>
                <w:kern w:val="0"/>
                <w:szCs w:val="21"/>
              </w:rPr>
            </w:pPr>
          </w:p>
        </w:tc>
        <w:tc>
          <w:tcPr>
            <w:tcW w:w="719" w:type="dxa"/>
            <w:noWrap w:val="0"/>
            <w:vAlign w:val="center"/>
          </w:tcPr>
          <w:p>
            <w:pPr>
              <w:widowControl/>
              <w:spacing w:line="360" w:lineRule="auto"/>
              <w:jc w:val="center"/>
              <w:rPr>
                <w:rFonts w:ascii="宋体" w:hAnsi="宋体" w:cs="Arial"/>
                <w:kern w:val="0"/>
                <w:szCs w:val="21"/>
              </w:rPr>
            </w:pPr>
          </w:p>
        </w:tc>
        <w:tc>
          <w:tcPr>
            <w:tcW w:w="850" w:type="dxa"/>
            <w:noWrap w:val="0"/>
            <w:vAlign w:val="center"/>
          </w:tcPr>
          <w:p>
            <w:pPr>
              <w:widowControl/>
              <w:spacing w:line="360" w:lineRule="auto"/>
              <w:jc w:val="center"/>
              <w:rPr>
                <w:rFonts w:ascii="宋体" w:hAnsi="宋体" w:cs="Arial"/>
                <w:kern w:val="0"/>
                <w:szCs w:val="21"/>
              </w:rPr>
            </w:pPr>
          </w:p>
        </w:tc>
        <w:tc>
          <w:tcPr>
            <w:tcW w:w="1418" w:type="dxa"/>
            <w:noWrap w:val="0"/>
            <w:vAlign w:val="center"/>
          </w:tcPr>
          <w:p>
            <w:pPr>
              <w:widowControl/>
              <w:spacing w:line="360" w:lineRule="auto"/>
              <w:jc w:val="center"/>
              <w:rPr>
                <w:rFonts w:ascii="宋体" w:hAnsi="宋体" w:cs="Arial"/>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21" w:hRule="atLeast"/>
        </w:trPr>
        <w:tc>
          <w:tcPr>
            <w:tcW w:w="709" w:type="dxa"/>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2</w:t>
            </w:r>
          </w:p>
        </w:tc>
        <w:tc>
          <w:tcPr>
            <w:tcW w:w="1394" w:type="dxa"/>
            <w:noWrap w:val="0"/>
            <w:vAlign w:val="center"/>
          </w:tcPr>
          <w:p>
            <w:pPr>
              <w:widowControl/>
              <w:spacing w:line="360" w:lineRule="auto"/>
              <w:jc w:val="center"/>
              <w:rPr>
                <w:rFonts w:ascii="宋体" w:hAnsi="宋体" w:cs="Arial"/>
                <w:kern w:val="0"/>
                <w:szCs w:val="21"/>
              </w:rPr>
            </w:pPr>
          </w:p>
        </w:tc>
        <w:tc>
          <w:tcPr>
            <w:tcW w:w="1436" w:type="dxa"/>
            <w:noWrap w:val="0"/>
            <w:vAlign w:val="center"/>
          </w:tcPr>
          <w:p>
            <w:pPr>
              <w:widowControl/>
              <w:spacing w:line="360" w:lineRule="auto"/>
              <w:jc w:val="center"/>
              <w:rPr>
                <w:rFonts w:ascii="宋体" w:hAnsi="宋体" w:cs="Arial"/>
                <w:kern w:val="0"/>
                <w:szCs w:val="21"/>
              </w:rPr>
            </w:pPr>
          </w:p>
        </w:tc>
        <w:tc>
          <w:tcPr>
            <w:tcW w:w="2122" w:type="dxa"/>
            <w:noWrap w:val="0"/>
            <w:vAlign w:val="center"/>
          </w:tcPr>
          <w:p>
            <w:pPr>
              <w:widowControl/>
              <w:spacing w:line="360" w:lineRule="auto"/>
              <w:jc w:val="center"/>
              <w:rPr>
                <w:rFonts w:ascii="宋体" w:hAnsi="宋体" w:cs="Arial"/>
                <w:kern w:val="0"/>
                <w:szCs w:val="21"/>
              </w:rPr>
            </w:pPr>
          </w:p>
        </w:tc>
        <w:tc>
          <w:tcPr>
            <w:tcW w:w="719" w:type="dxa"/>
            <w:noWrap w:val="0"/>
            <w:vAlign w:val="center"/>
          </w:tcPr>
          <w:p>
            <w:pPr>
              <w:widowControl/>
              <w:spacing w:line="360" w:lineRule="auto"/>
              <w:jc w:val="center"/>
              <w:rPr>
                <w:rFonts w:ascii="宋体" w:hAnsi="宋体" w:cs="Arial"/>
                <w:kern w:val="0"/>
                <w:szCs w:val="21"/>
              </w:rPr>
            </w:pPr>
          </w:p>
        </w:tc>
        <w:tc>
          <w:tcPr>
            <w:tcW w:w="850" w:type="dxa"/>
            <w:noWrap w:val="0"/>
            <w:vAlign w:val="center"/>
          </w:tcPr>
          <w:p>
            <w:pPr>
              <w:widowControl/>
              <w:spacing w:line="360" w:lineRule="auto"/>
              <w:jc w:val="center"/>
              <w:rPr>
                <w:rFonts w:ascii="宋体" w:hAnsi="宋体" w:cs="Arial"/>
                <w:kern w:val="0"/>
                <w:szCs w:val="21"/>
              </w:rPr>
            </w:pPr>
          </w:p>
        </w:tc>
        <w:tc>
          <w:tcPr>
            <w:tcW w:w="1418" w:type="dxa"/>
            <w:noWrap w:val="0"/>
            <w:vAlign w:val="center"/>
          </w:tcPr>
          <w:p>
            <w:pPr>
              <w:spacing w:line="360" w:lineRule="auto"/>
              <w:jc w:val="center"/>
              <w:rPr>
                <w:rFonts w:ascii="宋体" w:hAnsi="宋体" w:cs="Arial"/>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21" w:hRule="atLeast"/>
        </w:trPr>
        <w:tc>
          <w:tcPr>
            <w:tcW w:w="709" w:type="dxa"/>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3</w:t>
            </w:r>
          </w:p>
        </w:tc>
        <w:tc>
          <w:tcPr>
            <w:tcW w:w="1394" w:type="dxa"/>
            <w:noWrap w:val="0"/>
            <w:vAlign w:val="center"/>
          </w:tcPr>
          <w:p>
            <w:pPr>
              <w:widowControl/>
              <w:spacing w:line="360" w:lineRule="auto"/>
              <w:jc w:val="center"/>
              <w:rPr>
                <w:rFonts w:ascii="宋体" w:hAnsi="宋体" w:cs="Arial"/>
                <w:kern w:val="0"/>
                <w:szCs w:val="21"/>
              </w:rPr>
            </w:pPr>
          </w:p>
        </w:tc>
        <w:tc>
          <w:tcPr>
            <w:tcW w:w="1436" w:type="dxa"/>
            <w:noWrap w:val="0"/>
            <w:vAlign w:val="center"/>
          </w:tcPr>
          <w:p>
            <w:pPr>
              <w:widowControl/>
              <w:spacing w:line="360" w:lineRule="auto"/>
              <w:jc w:val="center"/>
              <w:rPr>
                <w:rFonts w:ascii="宋体" w:hAnsi="宋体" w:cs="Arial"/>
                <w:kern w:val="0"/>
                <w:szCs w:val="21"/>
              </w:rPr>
            </w:pPr>
          </w:p>
        </w:tc>
        <w:tc>
          <w:tcPr>
            <w:tcW w:w="2122" w:type="dxa"/>
            <w:noWrap w:val="0"/>
            <w:vAlign w:val="center"/>
          </w:tcPr>
          <w:p>
            <w:pPr>
              <w:widowControl/>
              <w:spacing w:line="360" w:lineRule="auto"/>
              <w:jc w:val="center"/>
              <w:rPr>
                <w:rFonts w:ascii="宋体" w:hAnsi="宋体" w:cs="Arial"/>
                <w:kern w:val="0"/>
                <w:szCs w:val="21"/>
              </w:rPr>
            </w:pPr>
          </w:p>
        </w:tc>
        <w:tc>
          <w:tcPr>
            <w:tcW w:w="719" w:type="dxa"/>
            <w:noWrap w:val="0"/>
            <w:vAlign w:val="center"/>
          </w:tcPr>
          <w:p>
            <w:pPr>
              <w:widowControl/>
              <w:spacing w:line="360" w:lineRule="auto"/>
              <w:jc w:val="center"/>
              <w:rPr>
                <w:rFonts w:ascii="宋体" w:hAnsi="宋体" w:cs="Arial"/>
                <w:kern w:val="0"/>
                <w:szCs w:val="21"/>
              </w:rPr>
            </w:pPr>
          </w:p>
        </w:tc>
        <w:tc>
          <w:tcPr>
            <w:tcW w:w="850" w:type="dxa"/>
            <w:noWrap w:val="0"/>
            <w:vAlign w:val="center"/>
          </w:tcPr>
          <w:p>
            <w:pPr>
              <w:widowControl/>
              <w:spacing w:line="360" w:lineRule="auto"/>
              <w:jc w:val="center"/>
              <w:rPr>
                <w:rFonts w:ascii="宋体" w:hAnsi="宋体" w:cs="Arial"/>
                <w:kern w:val="0"/>
                <w:szCs w:val="21"/>
              </w:rPr>
            </w:pPr>
          </w:p>
        </w:tc>
        <w:tc>
          <w:tcPr>
            <w:tcW w:w="1418" w:type="dxa"/>
            <w:noWrap w:val="0"/>
            <w:vAlign w:val="center"/>
          </w:tcPr>
          <w:p>
            <w:pPr>
              <w:spacing w:line="360" w:lineRule="auto"/>
              <w:jc w:val="center"/>
              <w:rPr>
                <w:rFonts w:ascii="宋体" w:hAnsi="宋体" w:cs="Arial"/>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21" w:hRule="atLeast"/>
        </w:trPr>
        <w:tc>
          <w:tcPr>
            <w:tcW w:w="709" w:type="dxa"/>
            <w:noWrap w:val="0"/>
            <w:vAlign w:val="center"/>
          </w:tcPr>
          <w:p>
            <w:pPr>
              <w:widowControl/>
              <w:spacing w:line="360" w:lineRule="auto"/>
              <w:jc w:val="center"/>
              <w:rPr>
                <w:rFonts w:ascii="宋体" w:hAnsi="宋体" w:cs="Arial"/>
                <w:kern w:val="0"/>
                <w:szCs w:val="21"/>
              </w:rPr>
            </w:pPr>
            <w:r>
              <w:rPr>
                <w:rFonts w:hint="eastAsia" w:ascii="宋体" w:hAnsi="宋体" w:cs="Arial"/>
                <w:kern w:val="0"/>
                <w:szCs w:val="21"/>
              </w:rPr>
              <w:t>4</w:t>
            </w:r>
          </w:p>
        </w:tc>
        <w:tc>
          <w:tcPr>
            <w:tcW w:w="1394" w:type="dxa"/>
            <w:noWrap w:val="0"/>
            <w:vAlign w:val="center"/>
          </w:tcPr>
          <w:p>
            <w:pPr>
              <w:widowControl/>
              <w:spacing w:line="360" w:lineRule="auto"/>
              <w:jc w:val="center"/>
              <w:rPr>
                <w:rFonts w:ascii="宋体" w:hAnsi="宋体" w:cs="Arial"/>
                <w:kern w:val="0"/>
                <w:szCs w:val="21"/>
              </w:rPr>
            </w:pPr>
          </w:p>
        </w:tc>
        <w:tc>
          <w:tcPr>
            <w:tcW w:w="1436" w:type="dxa"/>
            <w:noWrap w:val="0"/>
            <w:vAlign w:val="center"/>
          </w:tcPr>
          <w:p>
            <w:pPr>
              <w:widowControl/>
              <w:spacing w:line="360" w:lineRule="auto"/>
              <w:jc w:val="center"/>
              <w:rPr>
                <w:rFonts w:ascii="宋体" w:hAnsi="宋体" w:cs="Arial"/>
                <w:kern w:val="0"/>
                <w:szCs w:val="21"/>
              </w:rPr>
            </w:pPr>
          </w:p>
        </w:tc>
        <w:tc>
          <w:tcPr>
            <w:tcW w:w="2122" w:type="dxa"/>
            <w:noWrap w:val="0"/>
            <w:vAlign w:val="center"/>
          </w:tcPr>
          <w:p>
            <w:pPr>
              <w:widowControl/>
              <w:spacing w:line="360" w:lineRule="auto"/>
              <w:jc w:val="center"/>
              <w:rPr>
                <w:rFonts w:ascii="宋体" w:hAnsi="宋体" w:cs="Arial"/>
                <w:kern w:val="0"/>
                <w:szCs w:val="21"/>
              </w:rPr>
            </w:pPr>
          </w:p>
        </w:tc>
        <w:tc>
          <w:tcPr>
            <w:tcW w:w="719" w:type="dxa"/>
            <w:noWrap w:val="0"/>
            <w:vAlign w:val="center"/>
          </w:tcPr>
          <w:p>
            <w:pPr>
              <w:widowControl/>
              <w:spacing w:line="360" w:lineRule="auto"/>
              <w:jc w:val="center"/>
              <w:rPr>
                <w:rFonts w:ascii="宋体" w:hAnsi="宋体" w:cs="Arial"/>
                <w:kern w:val="0"/>
                <w:szCs w:val="21"/>
              </w:rPr>
            </w:pPr>
          </w:p>
        </w:tc>
        <w:tc>
          <w:tcPr>
            <w:tcW w:w="850" w:type="dxa"/>
            <w:noWrap w:val="0"/>
            <w:vAlign w:val="center"/>
          </w:tcPr>
          <w:p>
            <w:pPr>
              <w:widowControl/>
              <w:spacing w:line="360" w:lineRule="auto"/>
              <w:jc w:val="center"/>
              <w:rPr>
                <w:rFonts w:ascii="宋体" w:hAnsi="宋体" w:cs="Arial"/>
                <w:kern w:val="0"/>
                <w:szCs w:val="21"/>
              </w:rPr>
            </w:pPr>
          </w:p>
        </w:tc>
        <w:tc>
          <w:tcPr>
            <w:tcW w:w="1418" w:type="dxa"/>
            <w:noWrap w:val="0"/>
            <w:vAlign w:val="center"/>
          </w:tcPr>
          <w:p>
            <w:pPr>
              <w:spacing w:line="360" w:lineRule="auto"/>
              <w:jc w:val="center"/>
              <w:rPr>
                <w:rFonts w:ascii="宋体" w:hAnsi="宋体" w:cs="Arial"/>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21" w:hRule="atLeast"/>
        </w:trPr>
        <w:tc>
          <w:tcPr>
            <w:tcW w:w="709" w:type="dxa"/>
            <w:noWrap w:val="0"/>
            <w:vAlign w:val="center"/>
          </w:tcPr>
          <w:p>
            <w:pPr>
              <w:widowControl/>
              <w:spacing w:line="360" w:lineRule="auto"/>
              <w:jc w:val="center"/>
              <w:rPr>
                <w:rFonts w:ascii="宋体" w:hAnsi="宋体" w:cs="Arial"/>
                <w:kern w:val="0"/>
                <w:szCs w:val="21"/>
              </w:rPr>
            </w:pPr>
            <w:r>
              <w:rPr>
                <w:rFonts w:ascii="宋体" w:hAnsi="宋体" w:cs="Arial"/>
                <w:kern w:val="0"/>
                <w:szCs w:val="21"/>
              </w:rPr>
              <w:t>……</w:t>
            </w:r>
          </w:p>
        </w:tc>
        <w:tc>
          <w:tcPr>
            <w:tcW w:w="1394" w:type="dxa"/>
            <w:noWrap w:val="0"/>
            <w:vAlign w:val="center"/>
          </w:tcPr>
          <w:p>
            <w:pPr>
              <w:widowControl/>
              <w:spacing w:line="360" w:lineRule="auto"/>
              <w:jc w:val="center"/>
              <w:rPr>
                <w:rFonts w:ascii="宋体" w:hAnsi="宋体" w:cs="Arial"/>
                <w:kern w:val="0"/>
                <w:szCs w:val="21"/>
              </w:rPr>
            </w:pPr>
          </w:p>
        </w:tc>
        <w:tc>
          <w:tcPr>
            <w:tcW w:w="1436" w:type="dxa"/>
            <w:noWrap w:val="0"/>
            <w:vAlign w:val="center"/>
          </w:tcPr>
          <w:p>
            <w:pPr>
              <w:widowControl/>
              <w:spacing w:line="360" w:lineRule="auto"/>
              <w:jc w:val="center"/>
              <w:rPr>
                <w:rFonts w:ascii="宋体" w:hAnsi="宋体" w:cs="Arial"/>
                <w:kern w:val="0"/>
                <w:szCs w:val="21"/>
              </w:rPr>
            </w:pPr>
          </w:p>
        </w:tc>
        <w:tc>
          <w:tcPr>
            <w:tcW w:w="2122" w:type="dxa"/>
            <w:noWrap w:val="0"/>
            <w:vAlign w:val="center"/>
          </w:tcPr>
          <w:p>
            <w:pPr>
              <w:widowControl/>
              <w:spacing w:line="360" w:lineRule="auto"/>
              <w:jc w:val="center"/>
              <w:rPr>
                <w:rFonts w:ascii="宋体" w:hAnsi="宋体" w:cs="Arial"/>
                <w:kern w:val="0"/>
                <w:szCs w:val="21"/>
              </w:rPr>
            </w:pPr>
          </w:p>
        </w:tc>
        <w:tc>
          <w:tcPr>
            <w:tcW w:w="719" w:type="dxa"/>
            <w:noWrap w:val="0"/>
            <w:vAlign w:val="center"/>
          </w:tcPr>
          <w:p>
            <w:pPr>
              <w:widowControl/>
              <w:spacing w:line="360" w:lineRule="auto"/>
              <w:jc w:val="center"/>
              <w:rPr>
                <w:rFonts w:ascii="宋体" w:hAnsi="宋体" w:cs="Arial"/>
                <w:kern w:val="0"/>
                <w:szCs w:val="21"/>
              </w:rPr>
            </w:pPr>
          </w:p>
        </w:tc>
        <w:tc>
          <w:tcPr>
            <w:tcW w:w="850" w:type="dxa"/>
            <w:noWrap w:val="0"/>
            <w:vAlign w:val="center"/>
          </w:tcPr>
          <w:p>
            <w:pPr>
              <w:widowControl/>
              <w:spacing w:line="360" w:lineRule="auto"/>
              <w:jc w:val="center"/>
              <w:rPr>
                <w:rFonts w:ascii="宋体" w:hAnsi="宋体" w:cs="Arial"/>
                <w:kern w:val="0"/>
                <w:szCs w:val="21"/>
              </w:rPr>
            </w:pPr>
          </w:p>
        </w:tc>
        <w:tc>
          <w:tcPr>
            <w:tcW w:w="1418" w:type="dxa"/>
            <w:noWrap w:val="0"/>
            <w:vAlign w:val="center"/>
          </w:tcPr>
          <w:p>
            <w:pPr>
              <w:spacing w:line="360" w:lineRule="auto"/>
              <w:jc w:val="center"/>
              <w:rPr>
                <w:rFonts w:ascii="宋体" w:hAnsi="宋体" w:cs="Arial"/>
                <w:kern w:val="0"/>
                <w:szCs w:val="21"/>
              </w:rPr>
            </w:pPr>
          </w:p>
        </w:tc>
      </w:tr>
    </w:tbl>
    <w:p>
      <w:pPr>
        <w:pStyle w:val="2"/>
        <w:rPr>
          <w:rFonts w:hint="eastAsia"/>
          <w:lang w:val="en-US"/>
        </w:rPr>
      </w:pPr>
      <w:r>
        <w:rPr>
          <w:rFonts w:hint="eastAsia" w:ascii="宋体" w:hAnsi="宋体" w:eastAsia="宋体"/>
          <w:sz w:val="24"/>
        </w:rPr>
        <w:t>注：为了顺利达到服务质量目标及应急指挥通信保障行动实施，投标人应对备品备件作出承诺，且项目设备备品备件库数量不得少于采购需求数量的3%（按进1取整库存），备品备件使用后应立即补充足量。</w:t>
      </w:r>
      <w:r>
        <w:rPr>
          <w:rFonts w:hint="eastAsia" w:ascii="宋体" w:hAnsi="宋体" w:eastAsia="宋体"/>
          <w:b/>
          <w:sz w:val="24"/>
        </w:rPr>
        <w:t>采购人有权不定期对备品备件库进行抽查，并将抽查结果纳入考核内容。</w:t>
      </w:r>
    </w:p>
    <w:p>
      <w:pPr>
        <w:rPr>
          <w:rFonts w:hint="eastAsia" w:ascii="宋体" w:hAnsi="宋体"/>
          <w:sz w:val="24"/>
        </w:rPr>
      </w:pPr>
      <w:r>
        <w:rPr>
          <w:rFonts w:hint="eastAsia" w:ascii="宋体" w:hAnsi="宋体"/>
          <w:sz w:val="24"/>
        </w:rPr>
        <w:t>3.3</w:t>
      </w:r>
      <w:r>
        <w:rPr>
          <w:rFonts w:hint="eastAsia" w:ascii="宋体" w:hAnsi="宋体"/>
          <w:b/>
          <w:bCs/>
          <w:sz w:val="24"/>
        </w:rPr>
        <w:t>项目风险控制</w:t>
      </w:r>
    </w:p>
    <w:p>
      <w:pPr>
        <w:rPr>
          <w:rFonts w:hint="eastAsia" w:ascii="宋体" w:hAnsi="宋体"/>
          <w:sz w:val="24"/>
        </w:rPr>
      </w:pPr>
      <w:r>
        <w:rPr>
          <w:rFonts w:hint="eastAsia" w:ascii="宋体" w:hAnsi="宋体"/>
          <w:sz w:val="24"/>
        </w:rPr>
        <w:t>3.4</w:t>
      </w:r>
      <w:r>
        <w:rPr>
          <w:rFonts w:hint="eastAsia" w:ascii="宋体" w:hAnsi="宋体"/>
          <w:b/>
          <w:sz w:val="24"/>
        </w:rPr>
        <w:t>考核指标保障措施</w:t>
      </w:r>
    </w:p>
    <w:p>
      <w:pPr>
        <w:rPr>
          <w:rFonts w:hint="eastAsia" w:ascii="宋体" w:hAnsi="宋体"/>
          <w:sz w:val="24"/>
        </w:rPr>
      </w:pPr>
      <w:r>
        <w:rPr>
          <w:rFonts w:hint="eastAsia" w:ascii="宋体" w:hAnsi="宋体"/>
          <w:sz w:val="24"/>
        </w:rPr>
        <w:t>3.5</w:t>
      </w:r>
      <w:r>
        <w:rPr>
          <w:rFonts w:hint="eastAsia" w:ascii="宋体" w:hAnsi="宋体"/>
          <w:b/>
          <w:sz w:val="24"/>
        </w:rPr>
        <w:t>运维团队配备</w:t>
      </w:r>
    </w:p>
    <w:tbl>
      <w:tblPr>
        <w:tblStyle w:val="56"/>
        <w:tblW w:w="8931"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233"/>
        <w:gridCol w:w="720"/>
        <w:gridCol w:w="720"/>
        <w:gridCol w:w="720"/>
        <w:gridCol w:w="1080"/>
        <w:gridCol w:w="1440"/>
        <w:gridCol w:w="720"/>
        <w:gridCol w:w="14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769"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姓名</w:t>
            </w:r>
          </w:p>
        </w:tc>
        <w:tc>
          <w:tcPr>
            <w:tcW w:w="1233"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本项目拟任岗位</w:t>
            </w:r>
          </w:p>
        </w:tc>
        <w:tc>
          <w:tcPr>
            <w:tcW w:w="720"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年龄</w:t>
            </w:r>
          </w:p>
        </w:tc>
        <w:tc>
          <w:tcPr>
            <w:tcW w:w="720"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性别</w:t>
            </w:r>
          </w:p>
        </w:tc>
        <w:tc>
          <w:tcPr>
            <w:tcW w:w="720"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专业学历</w:t>
            </w:r>
          </w:p>
        </w:tc>
        <w:tc>
          <w:tcPr>
            <w:tcW w:w="1080"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现任职务和职称</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安排上岗的起止时间</w:t>
            </w:r>
          </w:p>
        </w:tc>
        <w:tc>
          <w:tcPr>
            <w:tcW w:w="720"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联系电话</w:t>
            </w:r>
          </w:p>
        </w:tc>
        <w:tc>
          <w:tcPr>
            <w:tcW w:w="1447" w:type="dxa"/>
            <w:tcBorders>
              <w:top w:val="single" w:color="auto" w:sz="4" w:space="0"/>
              <w:left w:val="single" w:color="auto" w:sz="4" w:space="0"/>
              <w:bottom w:val="single" w:color="auto" w:sz="4" w:space="0"/>
              <w:right w:val="single" w:color="auto" w:sz="4" w:space="0"/>
            </w:tcBorders>
            <w:noWrap w:val="0"/>
            <w:vAlign w:val="center"/>
          </w:tcPr>
          <w:p>
            <w:pPr>
              <w:pStyle w:val="29"/>
              <w:adjustRightInd w:val="0"/>
              <w:snapToGrid w:val="0"/>
              <w:spacing w:line="300" w:lineRule="auto"/>
              <w:jc w:val="center"/>
              <w:rPr>
                <w:rFonts w:hAnsi="宋体"/>
                <w:szCs w:val="21"/>
              </w:rPr>
            </w:pPr>
            <w:r>
              <w:rPr>
                <w:rFonts w:hint="eastAsia" w:hAnsi="宋体"/>
                <w:szCs w:val="21"/>
              </w:rPr>
              <w:t>类似服务经验、业绩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01" w:hRule="atLeast"/>
        </w:trPr>
        <w:tc>
          <w:tcPr>
            <w:tcW w:w="851"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233"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c>
          <w:tcPr>
            <w:tcW w:w="1447"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szCs w:val="1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86" w:hRule="atLeast"/>
        </w:trPr>
        <w:tc>
          <w:tcPr>
            <w:tcW w:w="851"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233"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447"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24" w:hRule="atLeast"/>
        </w:trPr>
        <w:tc>
          <w:tcPr>
            <w:tcW w:w="851"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233"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08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44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720"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c>
          <w:tcPr>
            <w:tcW w:w="1447" w:type="dxa"/>
            <w:tcBorders>
              <w:top w:val="single" w:color="auto" w:sz="4" w:space="0"/>
              <w:left w:val="single" w:color="auto" w:sz="4" w:space="0"/>
              <w:bottom w:val="single" w:color="auto" w:sz="4" w:space="0"/>
              <w:right w:val="single" w:color="auto" w:sz="4" w:space="0"/>
            </w:tcBorders>
            <w:noWrap w:val="0"/>
            <w:vAlign w:val="top"/>
          </w:tcPr>
          <w:p>
            <w:pPr>
              <w:pStyle w:val="29"/>
              <w:adjustRightInd w:val="0"/>
              <w:snapToGrid w:val="0"/>
              <w:spacing w:line="300" w:lineRule="auto"/>
              <w:rPr>
                <w:rFonts w:hAnsi="宋体"/>
                <w:sz w:val="24"/>
              </w:rPr>
            </w:pPr>
          </w:p>
        </w:tc>
      </w:tr>
    </w:tbl>
    <w:p>
      <w:pPr>
        <w:pStyle w:val="2"/>
        <w:ind w:firstLine="0"/>
        <w:rPr>
          <w:rFonts w:hint="eastAsia"/>
          <w:lang w:val="en-US"/>
        </w:rPr>
      </w:pPr>
      <w:r>
        <w:rPr>
          <w:rFonts w:hint="eastAsia" w:ascii="宋体" w:hAnsi="宋体" w:eastAsia="宋体"/>
          <w:b/>
          <w:sz w:val="24"/>
          <w:lang w:val="en-US"/>
        </w:rPr>
        <w:t>相关证书及经验业绩附本表后</w:t>
      </w:r>
    </w:p>
    <w:p>
      <w:pPr>
        <w:rPr>
          <w:rFonts w:hint="eastAsia"/>
        </w:rPr>
      </w:pPr>
    </w:p>
    <w:p>
      <w:pPr>
        <w:pStyle w:val="2"/>
        <w:rPr>
          <w:rFonts w:hint="eastAsia"/>
          <w:lang w:val="en-US"/>
        </w:rPr>
      </w:pPr>
    </w:p>
    <w:p>
      <w:pPr>
        <w:tabs>
          <w:tab w:val="left" w:pos="2355"/>
          <w:tab w:val="center" w:pos="4513"/>
        </w:tabs>
        <w:spacing w:line="360" w:lineRule="auto"/>
        <w:jc w:val="center"/>
        <w:rPr>
          <w:rFonts w:hint="eastAsia" w:ascii="宋体" w:hAnsi="宋体"/>
          <w:sz w:val="32"/>
          <w:szCs w:val="32"/>
        </w:rPr>
      </w:pPr>
      <w:r>
        <w:rPr>
          <w:rFonts w:hint="eastAsia" w:ascii="宋体" w:hAnsi="宋体"/>
          <w:sz w:val="32"/>
          <w:szCs w:val="32"/>
        </w:rPr>
        <w:t>4、管理及考核制度</w:t>
      </w:r>
    </w:p>
    <w:p>
      <w:pPr>
        <w:rPr>
          <w:rFonts w:hint="eastAsia"/>
        </w:rPr>
      </w:pPr>
    </w:p>
    <w:p>
      <w:pPr>
        <w:pStyle w:val="2"/>
        <w:rPr>
          <w:rFonts w:hint="eastAsia"/>
          <w:lang w:val="en-US"/>
        </w:rPr>
      </w:pPr>
    </w:p>
    <w:p>
      <w:pPr>
        <w:rPr>
          <w:rFonts w:hint="eastAsia"/>
        </w:rPr>
      </w:pPr>
    </w:p>
    <w:p>
      <w:pPr>
        <w:tabs>
          <w:tab w:val="left" w:pos="2355"/>
          <w:tab w:val="center" w:pos="4513"/>
        </w:tabs>
        <w:spacing w:line="360" w:lineRule="auto"/>
        <w:jc w:val="center"/>
        <w:rPr>
          <w:rFonts w:hint="eastAsia" w:ascii="宋体" w:hAnsi="宋体"/>
          <w:sz w:val="32"/>
          <w:szCs w:val="32"/>
        </w:rPr>
      </w:pPr>
      <w:r>
        <w:rPr>
          <w:rFonts w:hint="eastAsia" w:ascii="宋体" w:hAnsi="宋体"/>
          <w:sz w:val="32"/>
          <w:szCs w:val="32"/>
        </w:rPr>
        <w:t>5、报价比重分析</w:t>
      </w:r>
    </w:p>
    <w:p>
      <w:pPr>
        <w:spacing w:line="360" w:lineRule="auto"/>
        <w:ind w:firstLine="480" w:firstLineChars="200"/>
        <w:jc w:val="left"/>
        <w:rPr>
          <w:rFonts w:hint="eastAsia" w:ascii="宋体" w:hAnsi="宋体"/>
          <w:sz w:val="24"/>
          <w:szCs w:val="30"/>
        </w:rPr>
      </w:pPr>
      <w:r>
        <w:rPr>
          <w:rFonts w:hint="eastAsia" w:ascii="宋体" w:hAnsi="宋体"/>
          <w:sz w:val="24"/>
          <w:szCs w:val="30"/>
        </w:rPr>
        <w:t>要求：</w:t>
      </w:r>
      <w:r>
        <w:rPr>
          <w:rFonts w:hint="eastAsia" w:ascii="宋体" w:hAnsi="宋体"/>
          <w:b/>
          <w:sz w:val="24"/>
          <w:szCs w:val="30"/>
        </w:rPr>
        <w:t>按工程建设费（基础设备及软件）、光纤链路网络费、运维服务费</w:t>
      </w:r>
      <w:r>
        <w:rPr>
          <w:rFonts w:hint="eastAsia" w:ascii="宋体" w:hAnsi="宋体"/>
          <w:sz w:val="24"/>
          <w:szCs w:val="30"/>
        </w:rPr>
        <w:t>三大块内容的各自报价占整个项目的比重进行合理性分析。</w:t>
      </w:r>
    </w:p>
    <w:p>
      <w:pPr>
        <w:pStyle w:val="2"/>
        <w:spacing w:line="360" w:lineRule="auto"/>
        <w:rPr>
          <w:rFonts w:hint="eastAsia" w:ascii="宋体" w:hAnsi="宋体" w:eastAsia="宋体"/>
          <w:sz w:val="24"/>
          <w:szCs w:val="30"/>
        </w:rPr>
      </w:pPr>
      <w:r>
        <w:rPr>
          <w:rFonts w:hint="eastAsia" w:ascii="宋体" w:hAnsi="宋体" w:eastAsia="宋体"/>
          <w:sz w:val="24"/>
          <w:szCs w:val="30"/>
        </w:rPr>
        <w:t>注：比重以</w:t>
      </w:r>
      <w:r>
        <w:rPr>
          <w:rFonts w:hint="eastAsia" w:ascii="宋体" w:hAnsi="宋体" w:eastAsia="宋体"/>
          <w:b/>
          <w:sz w:val="24"/>
          <w:szCs w:val="30"/>
        </w:rPr>
        <w:t>%</w:t>
      </w:r>
      <w:r>
        <w:rPr>
          <w:rFonts w:hint="eastAsia" w:ascii="宋体" w:hAnsi="宋体" w:eastAsia="宋体"/>
          <w:sz w:val="24"/>
          <w:szCs w:val="30"/>
        </w:rPr>
        <w:t>的形式体现，</w:t>
      </w:r>
      <w:r>
        <w:rPr>
          <w:rFonts w:hint="eastAsia" w:ascii="宋体" w:hAnsi="宋体" w:eastAsia="宋体"/>
          <w:b/>
          <w:sz w:val="24"/>
          <w:szCs w:val="30"/>
        </w:rPr>
        <w:t>不得出现具体金额报价</w:t>
      </w:r>
      <w:r>
        <w:rPr>
          <w:rFonts w:hint="eastAsia" w:ascii="宋体" w:hAnsi="宋体" w:eastAsia="宋体"/>
          <w:sz w:val="24"/>
          <w:szCs w:val="30"/>
        </w:rPr>
        <w:t>。</w:t>
      </w:r>
    </w:p>
    <w:p>
      <w:pPr>
        <w:pStyle w:val="2"/>
        <w:rPr>
          <w:rFonts w:hint="eastAsia"/>
          <w:lang w:val="en-US"/>
        </w:rPr>
      </w:pPr>
    </w:p>
    <w:p>
      <w:pPr>
        <w:spacing w:line="360" w:lineRule="auto"/>
        <w:jc w:val="center"/>
        <w:rPr>
          <w:rFonts w:hint="eastAsia" w:ascii="宋体" w:hAnsi="宋体"/>
          <w:sz w:val="32"/>
          <w:szCs w:val="32"/>
        </w:rPr>
      </w:pPr>
    </w:p>
    <w:p>
      <w:pPr>
        <w:jc w:val="center"/>
        <w:rPr>
          <w:rFonts w:hint="eastAsia" w:ascii="宋体" w:hAnsi="宋体"/>
          <w:sz w:val="32"/>
          <w:szCs w:val="32"/>
        </w:rPr>
      </w:pPr>
      <w:r>
        <w:rPr>
          <w:rFonts w:hint="eastAsia" w:ascii="宋体" w:hAnsi="宋体"/>
          <w:sz w:val="32"/>
          <w:szCs w:val="32"/>
        </w:rPr>
        <w:t>6、施工及运维台帐建设方案</w:t>
      </w:r>
    </w:p>
    <w:p>
      <w:pPr>
        <w:pStyle w:val="2"/>
        <w:rPr>
          <w:rFonts w:hint="eastAsia"/>
          <w:lang w:val="en-US"/>
        </w:rPr>
      </w:pPr>
    </w:p>
    <w:p>
      <w:pPr>
        <w:spacing w:line="360" w:lineRule="auto"/>
        <w:jc w:val="center"/>
        <w:rPr>
          <w:rFonts w:hint="eastAsia" w:ascii="宋体" w:hAnsi="宋体"/>
          <w:sz w:val="32"/>
          <w:szCs w:val="32"/>
        </w:rPr>
      </w:pPr>
    </w:p>
    <w:p>
      <w:pPr>
        <w:pStyle w:val="2"/>
        <w:rPr>
          <w:rFonts w:hint="eastAsia"/>
          <w:lang w:val="en-US"/>
        </w:rPr>
      </w:pPr>
    </w:p>
    <w:p>
      <w:pPr>
        <w:rPr>
          <w:rFonts w:hint="eastAsia"/>
        </w:rPr>
      </w:pPr>
    </w:p>
    <w:p>
      <w:pPr>
        <w:rPr>
          <w:rFonts w:hint="eastAsia"/>
        </w:rPr>
      </w:pPr>
    </w:p>
    <w:p>
      <w:pPr>
        <w:jc w:val="center"/>
        <w:rPr>
          <w:rFonts w:hint="eastAsia" w:ascii="宋体" w:hAnsi="宋体"/>
          <w:sz w:val="32"/>
          <w:szCs w:val="32"/>
        </w:rPr>
      </w:pPr>
      <w:r>
        <w:rPr>
          <w:rFonts w:hint="eastAsia" w:ascii="宋体" w:hAnsi="宋体"/>
          <w:sz w:val="32"/>
          <w:szCs w:val="32"/>
        </w:rPr>
        <w:t>7、突发事件应急预案</w:t>
      </w:r>
    </w:p>
    <w:p>
      <w:pPr>
        <w:pStyle w:val="2"/>
        <w:rPr>
          <w:rFonts w:hint="eastAsia"/>
          <w:lang w:val="en-US"/>
        </w:rPr>
      </w:pPr>
    </w:p>
    <w:p>
      <w:pPr>
        <w:rPr>
          <w:rFonts w:hint="eastAsia"/>
        </w:rPr>
      </w:pPr>
    </w:p>
    <w:p>
      <w:pPr>
        <w:pStyle w:val="2"/>
        <w:rPr>
          <w:rFonts w:hint="eastAsia"/>
          <w:lang w:val="en-US"/>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jc w:val="center"/>
        <w:rPr>
          <w:rFonts w:hint="eastAsia" w:ascii="宋体" w:hAnsi="宋体" w:eastAsia="宋体"/>
          <w:sz w:val="32"/>
          <w:szCs w:val="32"/>
          <w:lang w:val="en-US"/>
        </w:rPr>
      </w:pPr>
      <w:r>
        <w:rPr>
          <w:rFonts w:hint="eastAsia" w:ascii="宋体" w:hAnsi="宋体" w:eastAsia="宋体"/>
          <w:sz w:val="32"/>
          <w:szCs w:val="32"/>
          <w:lang w:val="en-US"/>
        </w:rPr>
        <w:t>8、投标人认为有必要提供和评分办法中要求提供的其他资料（不得出现报价）</w:t>
      </w:r>
    </w:p>
    <w:p>
      <w:pPr>
        <w:rPr>
          <w:rFonts w:hint="eastAsia"/>
        </w:rPr>
      </w:pPr>
    </w:p>
    <w:p>
      <w:pPr>
        <w:pStyle w:val="2"/>
        <w:rPr>
          <w:rFonts w:hint="eastAsia"/>
          <w:lang w:val="en-US"/>
        </w:rPr>
      </w:pPr>
    </w:p>
    <w:p>
      <w:pPr>
        <w:rPr>
          <w:rFonts w:hint="eastAsia"/>
        </w:rPr>
      </w:pPr>
    </w:p>
    <w:p>
      <w:pPr>
        <w:pStyle w:val="2"/>
        <w:rPr>
          <w:rFonts w:hint="eastAsia"/>
          <w:lang w:val="en-US"/>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rPr>
          <w:rFonts w:hint="eastAsia"/>
        </w:rPr>
      </w:pPr>
    </w:p>
    <w:p>
      <w:pPr>
        <w:pStyle w:val="2"/>
        <w:rPr>
          <w:rFonts w:hint="eastAsia"/>
          <w:lang w:val="en-US"/>
        </w:rPr>
      </w:pPr>
    </w:p>
    <w:p>
      <w:pPr>
        <w:rPr>
          <w:rFonts w:hint="eastAsia"/>
        </w:rPr>
      </w:pPr>
    </w:p>
    <w:p>
      <w:pPr>
        <w:rPr>
          <w:rFonts w:hint="eastAsia"/>
        </w:rPr>
      </w:pPr>
    </w:p>
    <w:bookmarkEnd w:id="151"/>
    <w:p>
      <w:pPr>
        <w:pStyle w:val="6"/>
        <w:ind w:firstLine="0" w:firstLineChars="0"/>
        <w:jc w:val="center"/>
        <w:rPr>
          <w:rFonts w:hint="eastAsia" w:ascii="宋体" w:hAnsi="宋体" w:eastAsia="宋体"/>
          <w:b w:val="0"/>
          <w:bCs w:val="0"/>
        </w:rPr>
      </w:pPr>
      <w:bookmarkStart w:id="160" w:name="_Toc69635465"/>
      <w:bookmarkStart w:id="161" w:name="_Toc112414199"/>
      <w:r>
        <w:rPr>
          <w:rFonts w:hint="eastAsia" w:ascii="宋体" w:hAnsi="宋体" w:eastAsia="宋体"/>
          <w:b w:val="0"/>
          <w:bCs w:val="0"/>
        </w:rPr>
        <w:t>三   报价文件格式</w:t>
      </w:r>
      <w:bookmarkEnd w:id="160"/>
      <w:bookmarkEnd w:id="161"/>
    </w:p>
    <w:p>
      <w:pPr>
        <w:pStyle w:val="7"/>
        <w:jc w:val="center"/>
        <w:rPr>
          <w:rFonts w:hint="eastAsia"/>
        </w:rPr>
      </w:pPr>
    </w:p>
    <w:p>
      <w:pPr>
        <w:spacing w:line="360" w:lineRule="auto"/>
        <w:jc w:val="center"/>
        <w:rPr>
          <w:rFonts w:hint="eastAsia" w:ascii="宋体" w:hAnsi="宋体"/>
        </w:rPr>
      </w:pPr>
      <w:r>
        <w:rPr>
          <w:rFonts w:ascii="宋体" w:hAnsi="宋体"/>
        </w:rPr>
        <w:br w:type="page"/>
      </w:r>
    </w:p>
    <w:p>
      <w:pPr>
        <w:spacing w:line="360" w:lineRule="auto"/>
        <w:jc w:val="center"/>
        <w:rPr>
          <w:rFonts w:hint="eastAsia" w:ascii="宋体" w:hAnsi="宋体"/>
          <w:sz w:val="30"/>
        </w:rPr>
      </w:pPr>
    </w:p>
    <w:p>
      <w:pPr>
        <w:spacing w:line="360" w:lineRule="auto"/>
        <w:jc w:val="center"/>
        <w:rPr>
          <w:rFonts w:hint="eastAsia" w:ascii="宋体" w:hAnsi="宋体"/>
          <w:sz w:val="32"/>
        </w:rPr>
      </w:pPr>
      <w:r>
        <w:rPr>
          <w:rFonts w:hint="eastAsia" w:ascii="宋体" w:hAnsi="宋体"/>
          <w:sz w:val="36"/>
        </w:rPr>
        <w:t>报价文件封面</w:t>
      </w: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r>
        <w:rPr>
          <w:rFonts w:ascii="宋体" w:hAnsi="宋体"/>
          <w:sz w:val="36"/>
          <w:szCs w:val="32"/>
        </w:rPr>
        <w:t>采购编号：</w:t>
      </w:r>
    </w:p>
    <w:p>
      <w:pPr>
        <w:pStyle w:val="7"/>
        <w:ind w:firstLine="1497" w:firstLineChars="416"/>
        <w:rPr>
          <w:rFonts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r>
        <w:rPr>
          <w:rFonts w:ascii="宋体" w:hAnsi="宋体"/>
          <w:sz w:val="36"/>
          <w:szCs w:val="32"/>
        </w:rPr>
        <w:t>项目名称</w:t>
      </w:r>
      <w:r>
        <w:rPr>
          <w:rFonts w:hint="eastAsia" w:ascii="宋体" w:hAnsi="宋体"/>
          <w:sz w:val="36"/>
          <w:szCs w:val="32"/>
        </w:rPr>
        <w:t xml:space="preserve">：                 </w:t>
      </w:r>
    </w:p>
    <w:p>
      <w:pPr>
        <w:pStyle w:val="7"/>
        <w:ind w:firstLine="1497" w:firstLineChars="416"/>
        <w:rPr>
          <w:rFonts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r>
        <w:rPr>
          <w:rFonts w:ascii="宋体" w:hAnsi="宋体"/>
          <w:sz w:val="36"/>
          <w:szCs w:val="32"/>
        </w:rPr>
        <w:t>投标文件名称：</w:t>
      </w:r>
      <w:r>
        <w:rPr>
          <w:rFonts w:hint="eastAsia" w:ascii="宋体" w:hAnsi="宋体"/>
          <w:sz w:val="36"/>
        </w:rPr>
        <w:t>报价文件</w:t>
      </w: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ascii="宋体" w:hAnsi="宋体"/>
          <w:sz w:val="36"/>
          <w:szCs w:val="32"/>
        </w:rPr>
      </w:pPr>
      <w:r>
        <w:rPr>
          <w:rFonts w:ascii="宋体" w:hAnsi="宋体"/>
          <w:sz w:val="36"/>
          <w:szCs w:val="32"/>
        </w:rPr>
        <w:t>投标人名称（</w:t>
      </w:r>
      <w:r>
        <w:rPr>
          <w:rFonts w:hint="eastAsia" w:ascii="宋体" w:hAnsi="宋体"/>
          <w:sz w:val="36"/>
          <w:szCs w:val="32"/>
        </w:rPr>
        <w:t>CA签章</w:t>
      </w:r>
      <w:r>
        <w:rPr>
          <w:rFonts w:ascii="宋体" w:hAnsi="宋体"/>
          <w:sz w:val="36"/>
          <w:szCs w:val="32"/>
        </w:rPr>
        <w:t>）：</w:t>
      </w:r>
    </w:p>
    <w:p>
      <w:pPr>
        <w:pStyle w:val="7"/>
        <w:ind w:firstLine="1497" w:firstLineChars="416"/>
        <w:rPr>
          <w:rFonts w:hint="eastAsia" w:ascii="宋体" w:hAnsi="宋体"/>
          <w:sz w:val="36"/>
          <w:szCs w:val="32"/>
        </w:rPr>
      </w:pPr>
    </w:p>
    <w:p>
      <w:pPr>
        <w:pStyle w:val="7"/>
        <w:ind w:firstLine="0"/>
        <w:rPr>
          <w:rFonts w:hint="eastAsia" w:ascii="宋体" w:hAnsi="宋体"/>
          <w:sz w:val="36"/>
          <w:szCs w:val="32"/>
        </w:rPr>
      </w:pPr>
    </w:p>
    <w:p>
      <w:pPr>
        <w:pStyle w:val="7"/>
        <w:ind w:firstLine="1497" w:firstLineChars="416"/>
        <w:rPr>
          <w:rFonts w:hint="eastAsia" w:ascii="宋体" w:hAnsi="宋体"/>
          <w:sz w:val="36"/>
          <w:szCs w:val="32"/>
        </w:rPr>
      </w:pPr>
    </w:p>
    <w:p>
      <w:pPr>
        <w:pStyle w:val="7"/>
        <w:ind w:firstLine="1497" w:firstLineChars="416"/>
        <w:rPr>
          <w:rFonts w:hint="eastAsia" w:ascii="宋体" w:hAnsi="宋体"/>
          <w:sz w:val="36"/>
          <w:szCs w:val="32"/>
        </w:rPr>
      </w:pPr>
      <w:r>
        <w:rPr>
          <w:rFonts w:ascii="宋体" w:hAnsi="宋体"/>
          <w:sz w:val="36"/>
          <w:szCs w:val="32"/>
        </w:rPr>
        <w:t>投标人地址：</w:t>
      </w:r>
    </w:p>
    <w:p>
      <w:pPr>
        <w:spacing w:line="360" w:lineRule="auto"/>
        <w:jc w:val="center"/>
        <w:rPr>
          <w:rFonts w:hint="eastAsia" w:ascii="宋体" w:hAnsi="宋体"/>
          <w:sz w:val="30"/>
        </w:rPr>
      </w:pPr>
    </w:p>
    <w:p>
      <w:pPr>
        <w:spacing w:line="360" w:lineRule="auto"/>
        <w:jc w:val="center"/>
        <w:rPr>
          <w:rFonts w:hint="eastAsia" w:ascii="宋体" w:hAnsi="宋体"/>
          <w:sz w:val="30"/>
        </w:rPr>
      </w:pPr>
    </w:p>
    <w:p>
      <w:pPr>
        <w:spacing w:line="360" w:lineRule="auto"/>
        <w:jc w:val="center"/>
        <w:rPr>
          <w:rFonts w:hint="eastAsia" w:ascii="宋体" w:hAnsi="宋体"/>
          <w:sz w:val="32"/>
          <w:szCs w:val="32"/>
        </w:rPr>
      </w:pPr>
    </w:p>
    <w:p>
      <w:pPr>
        <w:pStyle w:val="2"/>
        <w:rPr>
          <w:rFonts w:hint="eastAsia"/>
          <w:lang w:val="en-US"/>
        </w:rPr>
      </w:pPr>
    </w:p>
    <w:p>
      <w:pPr>
        <w:rPr>
          <w:rFonts w:hint="eastAsia"/>
        </w:rPr>
      </w:pPr>
    </w:p>
    <w:p>
      <w:pPr>
        <w:spacing w:line="360" w:lineRule="auto"/>
        <w:jc w:val="center"/>
        <w:rPr>
          <w:rFonts w:hint="eastAsia" w:ascii="宋体" w:hAnsi="宋体"/>
          <w:sz w:val="30"/>
        </w:rPr>
      </w:pPr>
    </w:p>
    <w:p>
      <w:pPr>
        <w:spacing w:line="360" w:lineRule="auto"/>
        <w:jc w:val="center"/>
        <w:rPr>
          <w:rFonts w:hint="eastAsia" w:ascii="宋体" w:hAnsi="宋体"/>
          <w:sz w:val="30"/>
        </w:rPr>
      </w:pPr>
      <w:r>
        <w:rPr>
          <w:rFonts w:hint="eastAsia" w:ascii="宋体" w:hAnsi="宋体"/>
          <w:sz w:val="30"/>
        </w:rPr>
        <w:t>1、报价书（开标一览表）</w:t>
      </w:r>
    </w:p>
    <w:p>
      <w:pPr>
        <w:spacing w:line="360" w:lineRule="auto"/>
        <w:ind w:firstLine="280" w:firstLineChars="100"/>
        <w:rPr>
          <w:rFonts w:hint="eastAsia" w:ascii="宋体" w:hAnsi="宋体"/>
          <w:spacing w:val="20"/>
          <w:sz w:val="24"/>
        </w:rPr>
      </w:pPr>
      <w:r>
        <w:rPr>
          <w:rFonts w:hint="eastAsia" w:ascii="宋体" w:hAnsi="宋体"/>
          <w:spacing w:val="20"/>
          <w:sz w:val="24"/>
        </w:rPr>
        <w:t>采购编号：</w:t>
      </w:r>
    </w:p>
    <w:p>
      <w:pPr>
        <w:spacing w:line="360" w:lineRule="auto"/>
        <w:ind w:firstLine="280" w:firstLineChars="100"/>
        <w:rPr>
          <w:rFonts w:hint="eastAsia" w:ascii="宋体" w:hAnsi="宋体"/>
          <w:spacing w:val="20"/>
          <w:sz w:val="24"/>
        </w:rPr>
      </w:pPr>
      <w:r>
        <w:rPr>
          <w:rFonts w:hint="eastAsia" w:ascii="宋体" w:hAnsi="宋体"/>
          <w:spacing w:val="20"/>
          <w:sz w:val="24"/>
        </w:rPr>
        <w:t>项目名称：</w:t>
      </w:r>
    </w:p>
    <w:tbl>
      <w:tblPr>
        <w:tblStyle w:val="56"/>
        <w:tblW w:w="100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0"/>
        <w:gridCol w:w="1984"/>
        <w:gridCol w:w="874"/>
        <w:gridCol w:w="1131"/>
        <w:gridCol w:w="1984"/>
        <w:gridCol w:w="1843"/>
        <w:gridCol w:w="15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096" w:hRule="atLeast"/>
          <w:jc w:val="center"/>
        </w:trPr>
        <w:tc>
          <w:tcPr>
            <w:tcW w:w="710" w:type="dxa"/>
            <w:noWrap w:val="0"/>
            <w:vAlign w:val="center"/>
          </w:tcPr>
          <w:p>
            <w:pPr>
              <w:snapToGrid w:val="0"/>
              <w:jc w:val="center"/>
              <w:rPr>
                <w:rFonts w:hint="eastAsia" w:ascii="宋体" w:hAnsi="宋体"/>
                <w:b/>
                <w:bCs/>
                <w:sz w:val="24"/>
                <w:szCs w:val="21"/>
              </w:rPr>
            </w:pPr>
            <w:r>
              <w:rPr>
                <w:rFonts w:hint="eastAsia" w:ascii="宋体" w:hAnsi="宋体"/>
                <w:b/>
                <w:bCs/>
                <w:sz w:val="24"/>
                <w:szCs w:val="21"/>
              </w:rPr>
              <w:t>序号</w:t>
            </w:r>
          </w:p>
        </w:tc>
        <w:tc>
          <w:tcPr>
            <w:tcW w:w="1984" w:type="dxa"/>
            <w:noWrap w:val="0"/>
            <w:vAlign w:val="center"/>
          </w:tcPr>
          <w:p>
            <w:pPr>
              <w:snapToGrid w:val="0"/>
              <w:jc w:val="center"/>
              <w:rPr>
                <w:rFonts w:hint="eastAsia" w:ascii="宋体" w:hAnsi="宋体"/>
                <w:b/>
                <w:bCs/>
                <w:sz w:val="24"/>
                <w:szCs w:val="21"/>
              </w:rPr>
            </w:pPr>
            <w:r>
              <w:rPr>
                <w:rFonts w:hint="eastAsia" w:ascii="宋体" w:hAnsi="宋体"/>
                <w:b/>
                <w:bCs/>
                <w:sz w:val="24"/>
                <w:szCs w:val="21"/>
              </w:rPr>
              <w:t>采购内容</w:t>
            </w:r>
          </w:p>
        </w:tc>
        <w:tc>
          <w:tcPr>
            <w:tcW w:w="874" w:type="dxa"/>
            <w:noWrap w:val="0"/>
            <w:vAlign w:val="center"/>
          </w:tcPr>
          <w:p>
            <w:pPr>
              <w:snapToGrid w:val="0"/>
              <w:jc w:val="center"/>
              <w:rPr>
                <w:rFonts w:hint="eastAsia" w:ascii="宋体" w:hAnsi="宋体"/>
                <w:b/>
                <w:bCs/>
                <w:sz w:val="24"/>
                <w:szCs w:val="21"/>
              </w:rPr>
            </w:pPr>
            <w:r>
              <w:rPr>
                <w:rFonts w:hint="eastAsia" w:ascii="宋体" w:hAnsi="宋体"/>
                <w:b/>
                <w:bCs/>
                <w:sz w:val="24"/>
                <w:szCs w:val="21"/>
              </w:rPr>
              <w:t>数量</w:t>
            </w:r>
          </w:p>
        </w:tc>
        <w:tc>
          <w:tcPr>
            <w:tcW w:w="1131" w:type="dxa"/>
            <w:noWrap w:val="0"/>
            <w:vAlign w:val="center"/>
          </w:tcPr>
          <w:p>
            <w:pPr>
              <w:snapToGrid w:val="0"/>
              <w:jc w:val="center"/>
              <w:rPr>
                <w:rFonts w:hint="eastAsia" w:ascii="宋体" w:hAnsi="宋体"/>
                <w:b/>
                <w:bCs/>
                <w:sz w:val="24"/>
                <w:szCs w:val="21"/>
              </w:rPr>
            </w:pPr>
            <w:r>
              <w:rPr>
                <w:rFonts w:hint="eastAsia" w:ascii="宋体" w:hAnsi="宋体"/>
                <w:b/>
                <w:bCs/>
                <w:sz w:val="24"/>
                <w:szCs w:val="21"/>
              </w:rPr>
              <w:t>服务期</w:t>
            </w:r>
          </w:p>
        </w:tc>
        <w:tc>
          <w:tcPr>
            <w:tcW w:w="1984" w:type="dxa"/>
            <w:noWrap w:val="0"/>
            <w:vAlign w:val="center"/>
          </w:tcPr>
          <w:p>
            <w:pPr>
              <w:snapToGrid w:val="0"/>
              <w:jc w:val="center"/>
              <w:rPr>
                <w:rFonts w:hint="eastAsia" w:ascii="宋体" w:hAnsi="宋体"/>
                <w:b/>
                <w:bCs/>
                <w:sz w:val="24"/>
                <w:szCs w:val="21"/>
              </w:rPr>
            </w:pPr>
            <w:r>
              <w:rPr>
                <w:rFonts w:hint="eastAsia" w:ascii="宋体" w:hAnsi="宋体"/>
                <w:b/>
                <w:bCs/>
                <w:sz w:val="24"/>
                <w:szCs w:val="21"/>
              </w:rPr>
              <w:t>▲单价最高限价（</w:t>
            </w:r>
            <w:r>
              <w:rPr>
                <w:rFonts w:hint="eastAsia" w:ascii="宋体" w:hAnsi="宋体"/>
                <w:b/>
                <w:spacing w:val="20"/>
                <w:sz w:val="24"/>
              </w:rPr>
              <w:t>元/路/月</w:t>
            </w:r>
            <w:r>
              <w:rPr>
                <w:rFonts w:hint="eastAsia" w:ascii="宋体" w:hAnsi="宋体"/>
                <w:b/>
                <w:bCs/>
                <w:sz w:val="24"/>
                <w:szCs w:val="21"/>
              </w:rPr>
              <w:t>）</w:t>
            </w:r>
          </w:p>
        </w:tc>
        <w:tc>
          <w:tcPr>
            <w:tcW w:w="1843" w:type="dxa"/>
            <w:noWrap w:val="0"/>
            <w:vAlign w:val="center"/>
          </w:tcPr>
          <w:p>
            <w:pPr>
              <w:snapToGrid w:val="0"/>
              <w:jc w:val="center"/>
              <w:rPr>
                <w:rFonts w:hint="eastAsia" w:ascii="宋体" w:hAnsi="宋体"/>
                <w:b/>
                <w:spacing w:val="20"/>
                <w:sz w:val="24"/>
              </w:rPr>
            </w:pPr>
            <w:r>
              <w:rPr>
                <w:rFonts w:hint="eastAsia" w:ascii="宋体" w:hAnsi="宋体"/>
                <w:b/>
                <w:spacing w:val="20"/>
                <w:sz w:val="24"/>
              </w:rPr>
              <w:t>单价报价</w:t>
            </w:r>
          </w:p>
          <w:p>
            <w:pPr>
              <w:snapToGrid w:val="0"/>
              <w:jc w:val="center"/>
              <w:rPr>
                <w:rFonts w:hint="eastAsia" w:ascii="宋体" w:hAnsi="宋体"/>
                <w:b/>
                <w:bCs/>
                <w:sz w:val="24"/>
                <w:szCs w:val="21"/>
              </w:rPr>
            </w:pPr>
            <w:r>
              <w:rPr>
                <w:rFonts w:hint="eastAsia" w:ascii="宋体" w:hAnsi="宋体"/>
                <w:b/>
                <w:spacing w:val="20"/>
                <w:sz w:val="24"/>
              </w:rPr>
              <w:t>（元/路/月）</w:t>
            </w:r>
          </w:p>
        </w:tc>
        <w:tc>
          <w:tcPr>
            <w:tcW w:w="1527" w:type="dxa"/>
            <w:noWrap w:val="0"/>
            <w:vAlign w:val="center"/>
          </w:tcPr>
          <w:p>
            <w:pPr>
              <w:snapToGrid w:val="0"/>
              <w:jc w:val="center"/>
              <w:rPr>
                <w:rFonts w:hint="eastAsia" w:ascii="宋体" w:hAnsi="宋体"/>
                <w:b/>
                <w:bCs/>
                <w:sz w:val="24"/>
                <w:szCs w:val="21"/>
              </w:rPr>
            </w:pPr>
            <w:r>
              <w:rPr>
                <w:rFonts w:hint="eastAsia" w:ascii="宋体" w:hAnsi="宋体"/>
                <w:b/>
                <w:bCs/>
                <w:sz w:val="24"/>
                <w:szCs w:val="21"/>
              </w:rPr>
              <w:t>投标总价</w:t>
            </w:r>
            <w:r>
              <w:rPr>
                <w:rFonts w:hint="eastAsia" w:ascii="宋体" w:hAnsi="宋体"/>
                <w:b/>
                <w:spacing w:val="20"/>
                <w:sz w:val="24"/>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818" w:hRule="atLeast"/>
          <w:jc w:val="center"/>
        </w:trPr>
        <w:tc>
          <w:tcPr>
            <w:tcW w:w="710" w:type="dxa"/>
            <w:noWrap w:val="0"/>
            <w:vAlign w:val="center"/>
          </w:tcPr>
          <w:p>
            <w:pPr>
              <w:snapToGrid w:val="0"/>
              <w:jc w:val="center"/>
              <w:rPr>
                <w:rFonts w:hint="eastAsia" w:ascii="宋体" w:hAnsi="宋体"/>
                <w:sz w:val="24"/>
              </w:rPr>
            </w:pPr>
            <w:r>
              <w:rPr>
                <w:rFonts w:hint="eastAsia" w:ascii="宋体" w:hAnsi="宋体"/>
                <w:sz w:val="24"/>
              </w:rPr>
              <w:t>1</w:t>
            </w:r>
          </w:p>
        </w:tc>
        <w:tc>
          <w:tcPr>
            <w:tcW w:w="1984" w:type="dxa"/>
            <w:noWrap w:val="0"/>
            <w:vAlign w:val="center"/>
          </w:tcPr>
          <w:p>
            <w:pPr>
              <w:snapToGrid w:val="0"/>
              <w:spacing w:line="360" w:lineRule="auto"/>
              <w:jc w:val="center"/>
              <w:rPr>
                <w:rFonts w:hint="eastAsia" w:ascii="宋体" w:hAnsi="宋体"/>
                <w:sz w:val="24"/>
              </w:rPr>
            </w:pPr>
            <w:r>
              <w:rPr>
                <w:rFonts w:hint="eastAsia" w:ascii="宋体" w:hAnsi="宋体"/>
                <w:sz w:val="24"/>
              </w:rPr>
              <w:t>莲都区公共安全视频监控建设联网应用项目（碧湖改建项目）</w:t>
            </w:r>
          </w:p>
        </w:tc>
        <w:tc>
          <w:tcPr>
            <w:tcW w:w="874" w:type="dxa"/>
            <w:noWrap w:val="0"/>
            <w:vAlign w:val="center"/>
          </w:tcPr>
          <w:p>
            <w:pPr>
              <w:snapToGrid w:val="0"/>
              <w:spacing w:line="360" w:lineRule="auto"/>
              <w:jc w:val="center"/>
              <w:rPr>
                <w:rFonts w:hint="eastAsia" w:ascii="宋体" w:hAnsi="宋体"/>
                <w:sz w:val="24"/>
              </w:rPr>
            </w:pPr>
            <w:r>
              <w:rPr>
                <w:rFonts w:hint="eastAsia" w:ascii="宋体" w:hAnsi="宋体"/>
                <w:sz w:val="24"/>
              </w:rPr>
              <w:t>257路</w:t>
            </w:r>
          </w:p>
        </w:tc>
        <w:tc>
          <w:tcPr>
            <w:tcW w:w="1131" w:type="dxa"/>
            <w:noWrap w:val="0"/>
            <w:vAlign w:val="center"/>
          </w:tcPr>
          <w:p>
            <w:pPr>
              <w:snapToGrid w:val="0"/>
              <w:jc w:val="center"/>
              <w:rPr>
                <w:rFonts w:hint="eastAsia" w:ascii="宋体" w:hAnsi="宋体"/>
                <w:spacing w:val="20"/>
                <w:sz w:val="24"/>
              </w:rPr>
            </w:pPr>
            <w:r>
              <w:rPr>
                <w:rFonts w:hint="eastAsia" w:ascii="宋体" w:hAnsi="宋体"/>
                <w:spacing w:val="20"/>
                <w:sz w:val="24"/>
              </w:rPr>
              <w:t>36个月</w:t>
            </w:r>
          </w:p>
        </w:tc>
        <w:tc>
          <w:tcPr>
            <w:tcW w:w="1984" w:type="dxa"/>
            <w:noWrap w:val="0"/>
            <w:vAlign w:val="center"/>
          </w:tcPr>
          <w:p>
            <w:pPr>
              <w:snapToGrid w:val="0"/>
              <w:jc w:val="center"/>
              <w:rPr>
                <w:rFonts w:hint="eastAsia" w:ascii="宋体" w:hAnsi="宋体"/>
                <w:sz w:val="24"/>
                <w:highlight w:val="yellow"/>
              </w:rPr>
            </w:pPr>
            <w:r>
              <w:rPr>
                <w:rFonts w:hint="eastAsia" w:ascii="宋体" w:hAnsi="宋体"/>
                <w:spacing w:val="20"/>
                <w:sz w:val="24"/>
              </w:rPr>
              <w:t>452.1704</w:t>
            </w:r>
          </w:p>
        </w:tc>
        <w:tc>
          <w:tcPr>
            <w:tcW w:w="1843" w:type="dxa"/>
            <w:noWrap w:val="0"/>
            <w:vAlign w:val="center"/>
          </w:tcPr>
          <w:p>
            <w:pPr>
              <w:snapToGrid w:val="0"/>
              <w:jc w:val="left"/>
              <w:rPr>
                <w:rFonts w:hint="eastAsia" w:ascii="宋体" w:hAnsi="宋体"/>
                <w:sz w:val="24"/>
              </w:rPr>
            </w:pPr>
          </w:p>
        </w:tc>
        <w:tc>
          <w:tcPr>
            <w:tcW w:w="1527" w:type="dxa"/>
            <w:noWrap w:val="0"/>
            <w:vAlign w:val="center"/>
          </w:tcPr>
          <w:p>
            <w:pPr>
              <w:snapToGrid w:val="0"/>
              <w:jc w:val="left"/>
              <w:rPr>
                <w:rFonts w:hint="eastAsia" w:ascii="宋体" w:hAnsi="宋体"/>
                <w:sz w:val="24"/>
              </w:rPr>
            </w:pPr>
          </w:p>
        </w:tc>
      </w:tr>
    </w:tbl>
    <w:p>
      <w:pPr>
        <w:snapToGrid w:val="0"/>
        <w:spacing w:line="500" w:lineRule="exact"/>
        <w:ind w:firstLine="562" w:firstLineChars="200"/>
        <w:rPr>
          <w:rFonts w:hint="eastAsia" w:ascii="宋体" w:hAnsi="宋体"/>
          <w:bCs/>
          <w:sz w:val="24"/>
        </w:rPr>
      </w:pPr>
      <w:r>
        <w:rPr>
          <w:rFonts w:hint="eastAsia" w:ascii="宋体" w:hAnsi="宋体"/>
          <w:b/>
          <w:spacing w:val="20"/>
          <w:sz w:val="24"/>
          <w:szCs w:val="20"/>
        </w:rPr>
        <w:t>注：</w:t>
      </w:r>
    </w:p>
    <w:p>
      <w:pPr>
        <w:spacing w:line="360" w:lineRule="auto"/>
        <w:ind w:firstLine="562" w:firstLineChars="200"/>
        <w:rPr>
          <w:rFonts w:hint="eastAsia" w:ascii="宋体" w:hAnsi="宋体"/>
          <w:b/>
          <w:spacing w:val="20"/>
          <w:sz w:val="24"/>
        </w:rPr>
      </w:pPr>
      <w:r>
        <w:rPr>
          <w:rFonts w:hint="eastAsia" w:ascii="宋体" w:hAnsi="宋体"/>
          <w:b/>
          <w:spacing w:val="20"/>
          <w:sz w:val="24"/>
        </w:rPr>
        <w:t>1、报价包括施工、设备、管理、材料、系统集成、安装调试、试运行、保险、利润、税金、培训费、开办费、人身意外伤害保险费、第三方检测费用、光纤线路服务费用、维修维护服务等实施本项目所产生的一切费用，采购人不再另行支付任何费用。</w:t>
      </w:r>
    </w:p>
    <w:p>
      <w:pPr>
        <w:pStyle w:val="2"/>
        <w:spacing w:line="360" w:lineRule="auto"/>
        <w:rPr>
          <w:rFonts w:hint="eastAsia" w:ascii="宋体" w:hAnsi="宋体" w:eastAsia="宋体"/>
          <w:b/>
          <w:spacing w:val="20"/>
          <w:sz w:val="24"/>
          <w:lang w:val="en-US"/>
        </w:rPr>
      </w:pPr>
      <w:r>
        <w:rPr>
          <w:rFonts w:hint="eastAsia" w:ascii="宋体" w:hAnsi="宋体" w:eastAsia="宋体"/>
          <w:b/>
          <w:spacing w:val="20"/>
          <w:sz w:val="24"/>
          <w:lang w:val="en-US"/>
        </w:rPr>
        <w:t>2、本次投标总价仅作为评标价，实际支付金额以运维服务的监控数量按中标单价进行结算。</w:t>
      </w:r>
    </w:p>
    <w:p>
      <w:pPr>
        <w:pStyle w:val="2"/>
        <w:ind w:firstLine="138" w:firstLineChars="49"/>
        <w:rPr>
          <w:rFonts w:hint="eastAsia" w:ascii="宋体" w:hAnsi="宋体" w:eastAsia="宋体"/>
          <w:b/>
          <w:spacing w:val="20"/>
          <w:sz w:val="24"/>
          <w:lang w:val="en-US"/>
        </w:rPr>
      </w:pPr>
      <w:r>
        <w:rPr>
          <w:rFonts w:hint="eastAsia" w:ascii="宋体" w:hAnsi="宋体"/>
          <w:b/>
          <w:spacing w:val="20"/>
          <w:sz w:val="24"/>
        </w:rPr>
        <w:t>▲3</w:t>
      </w:r>
      <w:r>
        <w:rPr>
          <w:rFonts w:hint="eastAsia" w:ascii="宋体" w:hAnsi="宋体" w:eastAsia="宋体"/>
          <w:b/>
          <w:spacing w:val="20"/>
          <w:sz w:val="24"/>
          <w:lang w:val="en-US"/>
        </w:rPr>
        <w:t>、单价报价高于单价最高限价的作无效标处理。</w:t>
      </w: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pStyle w:val="2"/>
        <w:rPr>
          <w:rFonts w:hint="eastAsia"/>
          <w:lang w:val="en-US"/>
        </w:rPr>
      </w:pPr>
    </w:p>
    <w:p>
      <w:pPr>
        <w:rPr>
          <w:rFonts w:hint="eastAsia"/>
        </w:rPr>
      </w:pPr>
    </w:p>
    <w:p>
      <w:pPr>
        <w:spacing w:line="360" w:lineRule="auto"/>
        <w:jc w:val="center"/>
        <w:rPr>
          <w:rFonts w:hint="eastAsia" w:ascii="宋体" w:hAnsi="宋体"/>
          <w:sz w:val="30"/>
        </w:rPr>
      </w:pPr>
      <w:bookmarkStart w:id="162" w:name="_Hlk63239113"/>
      <w:r>
        <w:rPr>
          <w:rFonts w:hint="eastAsia" w:ascii="宋体" w:hAnsi="宋体"/>
          <w:sz w:val="30"/>
        </w:rPr>
        <w:t>2、分项报价表</w:t>
      </w:r>
    </w:p>
    <w:p>
      <w:pPr>
        <w:spacing w:line="360" w:lineRule="auto"/>
        <w:ind w:firstLine="280" w:firstLineChars="100"/>
        <w:rPr>
          <w:rFonts w:hint="eastAsia" w:ascii="宋体" w:hAnsi="宋体"/>
          <w:spacing w:val="20"/>
          <w:sz w:val="24"/>
        </w:rPr>
      </w:pPr>
      <w:r>
        <w:rPr>
          <w:rFonts w:hint="eastAsia" w:ascii="宋体" w:hAnsi="宋体"/>
          <w:spacing w:val="20"/>
          <w:sz w:val="24"/>
        </w:rPr>
        <w:t>采购编号：</w:t>
      </w:r>
    </w:p>
    <w:p>
      <w:pPr>
        <w:spacing w:line="360" w:lineRule="auto"/>
        <w:ind w:firstLine="280" w:firstLineChars="100"/>
        <w:rPr>
          <w:rFonts w:ascii="宋体" w:hAnsi="宋体"/>
          <w:spacing w:val="20"/>
          <w:sz w:val="24"/>
        </w:rPr>
      </w:pPr>
      <w:r>
        <w:rPr>
          <w:rFonts w:hint="eastAsia" w:ascii="宋体" w:hAnsi="宋体"/>
          <w:spacing w:val="20"/>
          <w:sz w:val="24"/>
        </w:rPr>
        <w:t xml:space="preserve">项目名称：                       </w:t>
      </w:r>
    </w:p>
    <w:tbl>
      <w:tblPr>
        <w:tblStyle w:val="56"/>
        <w:tblW w:w="8364"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2410"/>
        <w:gridCol w:w="992"/>
        <w:gridCol w:w="992"/>
        <w:gridCol w:w="1559"/>
        <w:gridCol w:w="15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687"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r>
              <w:rPr>
                <w:rFonts w:hint="eastAsia" w:ascii="宋体" w:hAnsi="宋体"/>
                <w:spacing w:val="20"/>
                <w:sz w:val="24"/>
              </w:rPr>
              <w:t>序号</w:t>
            </w:r>
          </w:p>
        </w:tc>
        <w:tc>
          <w:tcPr>
            <w:tcW w:w="241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r>
              <w:rPr>
                <w:rFonts w:hint="eastAsia" w:ascii="宋体" w:hAnsi="宋体"/>
                <w:spacing w:val="20"/>
                <w:sz w:val="24"/>
              </w:rPr>
              <w:t>报价内容</w:t>
            </w: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r>
              <w:rPr>
                <w:rFonts w:hint="eastAsia" w:ascii="宋体" w:hAnsi="宋体"/>
                <w:spacing w:val="20"/>
                <w:sz w:val="24"/>
              </w:rPr>
              <w:t>单位</w:t>
            </w: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r>
              <w:rPr>
                <w:rFonts w:hint="eastAsia" w:ascii="宋体" w:hAnsi="宋体"/>
                <w:spacing w:val="20"/>
                <w:sz w:val="24"/>
              </w:rPr>
              <w:t>数量</w:t>
            </w: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r>
              <w:rPr>
                <w:rFonts w:hint="eastAsia" w:ascii="宋体" w:hAnsi="宋体"/>
                <w:spacing w:val="20"/>
                <w:sz w:val="24"/>
              </w:rPr>
              <w:t>单价（元）</w:t>
            </w:r>
          </w:p>
        </w:tc>
        <w:tc>
          <w:tcPr>
            <w:tcW w:w="156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r>
              <w:rPr>
                <w:rFonts w:hint="eastAsia" w:ascii="宋体" w:hAnsi="宋体"/>
                <w:spacing w:val="20"/>
                <w:sz w:val="24"/>
              </w:rPr>
              <w:t>合计（元）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6" w:hRule="atLeast"/>
        </w:trPr>
        <w:tc>
          <w:tcPr>
            <w:tcW w:w="851" w:type="dxa"/>
            <w:tcBorders>
              <w:top w:val="single" w:color="auto" w:sz="4" w:space="0"/>
              <w:left w:val="single" w:color="auto" w:sz="4" w:space="0"/>
              <w:right w:val="single" w:color="auto" w:sz="4" w:space="0"/>
            </w:tcBorders>
            <w:noWrap w:val="0"/>
            <w:vAlign w:val="center"/>
          </w:tcPr>
          <w:p>
            <w:pPr>
              <w:jc w:val="center"/>
              <w:rPr>
                <w:rFonts w:ascii="宋体" w:hAnsi="宋体"/>
                <w:spacing w:val="20"/>
                <w:sz w:val="24"/>
              </w:rPr>
            </w:pPr>
            <w:r>
              <w:rPr>
                <w:rFonts w:hint="eastAsia" w:ascii="宋体" w:hAnsi="宋体"/>
                <w:spacing w:val="20"/>
                <w:sz w:val="24"/>
              </w:rPr>
              <w:t>1</w:t>
            </w:r>
          </w:p>
        </w:tc>
        <w:tc>
          <w:tcPr>
            <w:tcW w:w="2410" w:type="dxa"/>
            <w:tcBorders>
              <w:top w:val="single" w:color="auto" w:sz="4" w:space="0"/>
              <w:left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right w:val="single" w:color="auto" w:sz="4" w:space="0"/>
            </w:tcBorders>
            <w:noWrap w:val="0"/>
            <w:vAlign w:val="center"/>
          </w:tcPr>
          <w:p>
            <w:pPr>
              <w:jc w:val="center"/>
              <w:rPr>
                <w:rFonts w:ascii="宋体" w:hAnsi="宋体"/>
                <w:spacing w:val="20"/>
                <w:sz w:val="24"/>
              </w:rPr>
            </w:pPr>
          </w:p>
        </w:tc>
        <w:tc>
          <w:tcPr>
            <w:tcW w:w="1559" w:type="dxa"/>
            <w:tcBorders>
              <w:top w:val="single" w:color="auto" w:sz="4" w:space="0"/>
              <w:left w:val="single" w:color="auto" w:sz="4" w:space="0"/>
              <w:right w:val="single" w:color="auto" w:sz="4" w:space="0"/>
            </w:tcBorders>
            <w:noWrap w:val="0"/>
            <w:vAlign w:val="center"/>
          </w:tcPr>
          <w:p>
            <w:pPr>
              <w:jc w:val="center"/>
              <w:rPr>
                <w:rFonts w:ascii="宋体" w:hAnsi="宋体"/>
                <w:sz w:val="24"/>
              </w:rPr>
            </w:pPr>
          </w:p>
        </w:tc>
        <w:tc>
          <w:tcPr>
            <w:tcW w:w="1560" w:type="dxa"/>
            <w:tcBorders>
              <w:top w:val="single" w:color="auto" w:sz="4" w:space="0"/>
              <w:left w:val="single" w:color="auto" w:sz="4" w:space="0"/>
              <w:right w:val="single" w:color="auto" w:sz="4" w:space="0"/>
            </w:tcBorders>
            <w:noWrap w:val="0"/>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6"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r>
              <w:rPr>
                <w:rFonts w:hint="eastAsia" w:ascii="宋体" w:hAnsi="宋体"/>
                <w:spacing w:val="20"/>
                <w:sz w:val="24"/>
              </w:rPr>
              <w:t>2</w:t>
            </w:r>
          </w:p>
        </w:tc>
        <w:tc>
          <w:tcPr>
            <w:tcW w:w="241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c>
          <w:tcPr>
            <w:tcW w:w="156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6"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r>
              <w:rPr>
                <w:rFonts w:hint="eastAsia" w:ascii="宋体" w:hAnsi="宋体"/>
                <w:spacing w:val="20"/>
                <w:sz w:val="24"/>
              </w:rPr>
              <w:t>3</w:t>
            </w:r>
          </w:p>
        </w:tc>
        <w:tc>
          <w:tcPr>
            <w:tcW w:w="241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c>
          <w:tcPr>
            <w:tcW w:w="156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6"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r>
              <w:rPr>
                <w:rFonts w:hint="eastAsia" w:ascii="宋体" w:hAnsi="宋体"/>
                <w:spacing w:val="20"/>
                <w:sz w:val="24"/>
              </w:rPr>
              <w:t>4</w:t>
            </w:r>
          </w:p>
        </w:tc>
        <w:tc>
          <w:tcPr>
            <w:tcW w:w="241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c>
          <w:tcPr>
            <w:tcW w:w="156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6"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r>
              <w:rPr>
                <w:rFonts w:hint="eastAsia" w:ascii="宋体" w:hAnsi="宋体"/>
                <w:spacing w:val="20"/>
                <w:sz w:val="24"/>
              </w:rPr>
              <w:t>5</w:t>
            </w:r>
          </w:p>
        </w:tc>
        <w:tc>
          <w:tcPr>
            <w:tcW w:w="241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c>
          <w:tcPr>
            <w:tcW w:w="156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6"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spacing w:val="20"/>
                <w:sz w:val="24"/>
              </w:rPr>
            </w:pPr>
            <w:r>
              <w:rPr>
                <w:rFonts w:hint="eastAsia" w:ascii="宋体" w:hAnsi="宋体"/>
                <w:spacing w:val="20"/>
                <w:sz w:val="24"/>
              </w:rPr>
              <w:t>6</w:t>
            </w:r>
          </w:p>
        </w:tc>
        <w:tc>
          <w:tcPr>
            <w:tcW w:w="241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spacing w:val="20"/>
                <w:sz w:val="24"/>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c>
          <w:tcPr>
            <w:tcW w:w="156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6"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r>
              <w:rPr>
                <w:rFonts w:hint="eastAsia" w:ascii="宋体" w:hAnsi="宋体"/>
                <w:spacing w:val="20"/>
                <w:sz w:val="24"/>
              </w:rPr>
              <w:t>7</w:t>
            </w:r>
          </w:p>
        </w:tc>
        <w:tc>
          <w:tcPr>
            <w:tcW w:w="2410" w:type="dxa"/>
            <w:tcBorders>
              <w:top w:val="single" w:color="auto" w:sz="4" w:space="0"/>
              <w:left w:val="single" w:color="auto" w:sz="4" w:space="0"/>
              <w:bottom w:val="single" w:color="auto" w:sz="4" w:space="0"/>
              <w:right w:val="single" w:color="auto" w:sz="4" w:space="0"/>
            </w:tcBorders>
            <w:noWrap w:val="0"/>
            <w:vAlign w:val="top"/>
          </w:tcPr>
          <w:p>
            <w:pPr>
              <w:jc w:val="center"/>
              <w:rPr>
                <w:rFonts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c>
          <w:tcPr>
            <w:tcW w:w="156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6"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spacing w:val="20"/>
                <w:sz w:val="24"/>
              </w:rPr>
            </w:pPr>
            <w:r>
              <w:rPr>
                <w:rFonts w:hint="eastAsia" w:ascii="宋体" w:hAnsi="宋体"/>
                <w:spacing w:val="20"/>
                <w:sz w:val="24"/>
              </w:rPr>
              <w:t>8</w:t>
            </w:r>
          </w:p>
        </w:tc>
        <w:tc>
          <w:tcPr>
            <w:tcW w:w="241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c>
          <w:tcPr>
            <w:tcW w:w="156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6"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spacing w:val="20"/>
                <w:sz w:val="24"/>
              </w:rPr>
            </w:pPr>
            <w:r>
              <w:rPr>
                <w:rFonts w:hint="eastAsia" w:ascii="宋体" w:hAnsi="宋体"/>
                <w:spacing w:val="20"/>
                <w:sz w:val="24"/>
              </w:rPr>
              <w:t>9</w:t>
            </w:r>
          </w:p>
        </w:tc>
        <w:tc>
          <w:tcPr>
            <w:tcW w:w="241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c>
          <w:tcPr>
            <w:tcW w:w="156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6"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spacing w:val="20"/>
                <w:sz w:val="24"/>
              </w:rPr>
            </w:pPr>
            <w:r>
              <w:rPr>
                <w:rFonts w:hint="eastAsia" w:ascii="宋体" w:hAnsi="宋体"/>
                <w:spacing w:val="20"/>
                <w:sz w:val="24"/>
              </w:rPr>
              <w:t>10</w:t>
            </w:r>
          </w:p>
        </w:tc>
        <w:tc>
          <w:tcPr>
            <w:tcW w:w="241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spacing w:val="20"/>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spacing w:val="20"/>
                <w:sz w:val="24"/>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c>
          <w:tcPr>
            <w:tcW w:w="156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06" w:hRule="atLeast"/>
        </w:trPr>
        <w:tc>
          <w:tcPr>
            <w:tcW w:w="85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宋体" w:hAnsi="宋体"/>
                <w:spacing w:val="20"/>
                <w:sz w:val="24"/>
              </w:rPr>
            </w:pPr>
            <w:r>
              <w:rPr>
                <w:rFonts w:ascii="宋体" w:hAnsi="宋体"/>
                <w:spacing w:val="20"/>
                <w:sz w:val="24"/>
              </w:rPr>
              <w:t>…</w:t>
            </w:r>
          </w:p>
        </w:tc>
        <w:tc>
          <w:tcPr>
            <w:tcW w:w="241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pacing w:val="20"/>
                <w:sz w:val="24"/>
              </w:rPr>
            </w:pPr>
            <w:r>
              <w:rPr>
                <w:rFonts w:ascii="宋体" w:hAnsi="宋体"/>
                <w:spacing w:val="20"/>
                <w:sz w:val="24"/>
              </w:rPr>
              <w:t>…</w:t>
            </w: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c>
          <w:tcPr>
            <w:tcW w:w="992"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c>
          <w:tcPr>
            <w:tcW w:w="1559"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c>
          <w:tcPr>
            <w:tcW w:w="1560" w:type="dxa"/>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48" w:hRule="atLeast"/>
        </w:trPr>
        <w:tc>
          <w:tcPr>
            <w:tcW w:w="5245" w:type="dxa"/>
            <w:gridSpan w:val="4"/>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r>
              <w:rPr>
                <w:rFonts w:hint="eastAsia" w:ascii="宋体" w:hAnsi="宋体"/>
                <w:sz w:val="24"/>
              </w:rPr>
              <w:t>总价合计（元）</w:t>
            </w:r>
          </w:p>
        </w:tc>
        <w:tc>
          <w:tcPr>
            <w:tcW w:w="3119"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ascii="宋体" w:hAnsi="宋体"/>
                <w:sz w:val="24"/>
              </w:rPr>
            </w:pPr>
          </w:p>
        </w:tc>
      </w:tr>
      <w:bookmarkEnd w:id="162"/>
    </w:tbl>
    <w:p>
      <w:pPr>
        <w:tabs>
          <w:tab w:val="left" w:pos="6405"/>
        </w:tabs>
        <w:spacing w:line="360" w:lineRule="auto"/>
        <w:ind w:firstLine="240" w:firstLineChars="100"/>
        <w:jc w:val="left"/>
        <w:rPr>
          <w:rFonts w:hint="eastAsia" w:ascii="宋体" w:hAnsi="宋体"/>
          <w:sz w:val="24"/>
        </w:rPr>
      </w:pPr>
      <w:r>
        <w:rPr>
          <w:rFonts w:hint="eastAsia" w:ascii="宋体" w:hAnsi="宋体"/>
          <w:sz w:val="24"/>
        </w:rPr>
        <w:t xml:space="preserve">注： </w:t>
      </w:r>
    </w:p>
    <w:p>
      <w:pPr>
        <w:spacing w:line="360" w:lineRule="auto"/>
        <w:ind w:firstLine="281" w:firstLineChars="100"/>
        <w:jc w:val="left"/>
        <w:rPr>
          <w:rFonts w:hint="eastAsia" w:ascii="宋体" w:hAnsi="宋体"/>
          <w:b/>
          <w:spacing w:val="20"/>
          <w:sz w:val="24"/>
        </w:rPr>
      </w:pPr>
      <w:r>
        <w:rPr>
          <w:rFonts w:hint="eastAsia" w:ascii="宋体" w:hAnsi="宋体"/>
          <w:b/>
          <w:spacing w:val="20"/>
          <w:sz w:val="24"/>
        </w:rPr>
        <w:t>▲1、总价合计必须与报价书（开标一览表）总报价相同，且各单项报价不得为0，否则作无效标处理。</w:t>
      </w:r>
    </w:p>
    <w:p>
      <w:pPr>
        <w:spacing w:line="360" w:lineRule="auto"/>
        <w:ind w:firstLine="281" w:firstLineChars="100"/>
        <w:jc w:val="left"/>
        <w:rPr>
          <w:rFonts w:hint="eastAsia" w:ascii="宋体" w:hAnsi="宋体"/>
          <w:b/>
          <w:spacing w:val="20"/>
          <w:sz w:val="24"/>
        </w:rPr>
      </w:pPr>
    </w:p>
    <w:p>
      <w:pPr>
        <w:spacing w:line="360" w:lineRule="auto"/>
        <w:ind w:firstLine="281" w:firstLineChars="100"/>
        <w:jc w:val="left"/>
        <w:rPr>
          <w:rFonts w:hint="eastAsia" w:ascii="宋体" w:hAnsi="宋体"/>
          <w:b/>
          <w:spacing w:val="20"/>
          <w:sz w:val="24"/>
        </w:rPr>
      </w:pPr>
    </w:p>
    <w:p>
      <w:pPr>
        <w:spacing w:line="360" w:lineRule="auto"/>
        <w:ind w:firstLine="281" w:firstLineChars="100"/>
        <w:jc w:val="left"/>
        <w:rPr>
          <w:rFonts w:hint="eastAsia" w:ascii="宋体" w:hAnsi="宋体"/>
          <w:b/>
          <w:spacing w:val="20"/>
          <w:sz w:val="24"/>
        </w:rPr>
      </w:pPr>
    </w:p>
    <w:p>
      <w:pPr>
        <w:spacing w:line="360" w:lineRule="auto"/>
        <w:ind w:firstLine="281" w:firstLineChars="100"/>
        <w:jc w:val="left"/>
        <w:rPr>
          <w:rFonts w:hint="eastAsia" w:ascii="宋体" w:hAnsi="宋体"/>
          <w:b/>
          <w:spacing w:val="20"/>
          <w:sz w:val="24"/>
        </w:rPr>
      </w:pPr>
    </w:p>
    <w:p>
      <w:pPr>
        <w:spacing w:line="360" w:lineRule="auto"/>
        <w:ind w:firstLine="281" w:firstLineChars="100"/>
        <w:jc w:val="left"/>
        <w:rPr>
          <w:rFonts w:hint="eastAsia" w:ascii="宋体" w:hAnsi="宋体"/>
          <w:b/>
          <w:spacing w:val="20"/>
          <w:sz w:val="24"/>
        </w:rPr>
      </w:pPr>
    </w:p>
    <w:p>
      <w:pPr>
        <w:spacing w:line="360" w:lineRule="auto"/>
        <w:ind w:firstLine="281" w:firstLineChars="100"/>
        <w:jc w:val="left"/>
        <w:rPr>
          <w:rFonts w:hint="eastAsia" w:ascii="宋体" w:hAnsi="宋体"/>
          <w:b/>
          <w:spacing w:val="20"/>
          <w:sz w:val="24"/>
        </w:rPr>
      </w:pPr>
    </w:p>
    <w:p>
      <w:pPr>
        <w:spacing w:line="360" w:lineRule="auto"/>
        <w:ind w:firstLine="281" w:firstLineChars="100"/>
        <w:jc w:val="left"/>
        <w:rPr>
          <w:rFonts w:hint="eastAsia" w:ascii="宋体" w:hAnsi="宋体"/>
          <w:b/>
          <w:spacing w:val="20"/>
          <w:sz w:val="24"/>
        </w:rPr>
      </w:pPr>
    </w:p>
    <w:p>
      <w:pPr>
        <w:spacing w:line="360" w:lineRule="auto"/>
        <w:ind w:firstLine="281" w:firstLineChars="100"/>
        <w:jc w:val="left"/>
        <w:rPr>
          <w:rFonts w:hint="eastAsia" w:ascii="宋体" w:hAnsi="宋体"/>
          <w:b/>
          <w:spacing w:val="20"/>
          <w:sz w:val="24"/>
        </w:rPr>
      </w:pPr>
    </w:p>
    <w:p>
      <w:pPr>
        <w:spacing w:line="360" w:lineRule="auto"/>
        <w:ind w:firstLine="281" w:firstLineChars="100"/>
        <w:jc w:val="left"/>
        <w:rPr>
          <w:rFonts w:hint="eastAsia" w:ascii="宋体" w:hAnsi="宋体"/>
          <w:b/>
          <w:spacing w:val="20"/>
          <w:sz w:val="24"/>
        </w:rPr>
      </w:pPr>
    </w:p>
    <w:p>
      <w:pPr>
        <w:spacing w:line="360" w:lineRule="auto"/>
        <w:ind w:firstLine="281" w:firstLineChars="100"/>
        <w:jc w:val="left"/>
        <w:rPr>
          <w:rFonts w:hint="eastAsia" w:ascii="宋体" w:hAnsi="宋体"/>
          <w:b/>
          <w:spacing w:val="20"/>
          <w:sz w:val="24"/>
        </w:rPr>
      </w:pPr>
    </w:p>
    <w:p>
      <w:pPr>
        <w:spacing w:line="360" w:lineRule="auto"/>
        <w:ind w:firstLine="301" w:firstLineChars="100"/>
        <w:jc w:val="center"/>
        <w:rPr>
          <w:rFonts w:hint="eastAsia" w:ascii="宋体" w:hAnsi="宋体"/>
          <w:b/>
          <w:sz w:val="30"/>
        </w:rPr>
      </w:pPr>
      <w:r>
        <w:rPr>
          <w:rFonts w:hint="eastAsia" w:ascii="宋体" w:hAnsi="宋体"/>
          <w:b/>
          <w:sz w:val="30"/>
        </w:rPr>
        <w:t>3、企业类型声明函</w:t>
      </w:r>
    </w:p>
    <w:p>
      <w:pPr>
        <w:widowControl/>
        <w:spacing w:line="360" w:lineRule="auto"/>
        <w:jc w:val="center"/>
        <w:rPr>
          <w:rFonts w:hint="eastAsia" w:ascii="宋体" w:hAnsi="宋体"/>
          <w:sz w:val="30"/>
        </w:rPr>
      </w:pPr>
      <w:r>
        <w:rPr>
          <w:rFonts w:hint="eastAsia" w:ascii="宋体" w:hAnsi="宋体"/>
          <w:b/>
          <w:sz w:val="30"/>
        </w:rPr>
        <w:t>3.1</w:t>
      </w:r>
      <w:r>
        <w:rPr>
          <w:rFonts w:hint="eastAsia" w:ascii="宋体" w:hAnsi="宋体"/>
          <w:b/>
          <w:bCs/>
          <w:sz w:val="30"/>
        </w:rPr>
        <w:t>中小企业声明函</w:t>
      </w:r>
    </w:p>
    <w:p>
      <w:pPr>
        <w:spacing w:line="360" w:lineRule="auto"/>
        <w:ind w:firstLine="560" w:firstLineChars="200"/>
        <w:rPr>
          <w:rFonts w:hint="eastAsia" w:ascii="宋体" w:hAnsi="宋体" w:cs="宋体"/>
          <w:sz w:val="28"/>
          <w:szCs w:val="28"/>
        </w:rPr>
      </w:pPr>
      <w:r>
        <w:rPr>
          <w:rFonts w:hint="eastAsia" w:ascii="宋体" w:hAnsi="宋体" w:cs="宋体"/>
          <w:sz w:val="28"/>
          <w:szCs w:val="28"/>
        </w:rPr>
        <w:t>本公司（联合体）郑重声明，根据《政府采购促进中小企业发展管理办法》（财库﹝2020﹞46 号）的规定，本公司（联合体）参加</w:t>
      </w:r>
      <w:r>
        <w:rPr>
          <w:rFonts w:hint="eastAsia" w:ascii="宋体" w:hAnsi="宋体" w:cs="宋体"/>
          <w:sz w:val="28"/>
          <w:szCs w:val="28"/>
          <w:u w:val="single"/>
        </w:rPr>
        <w:t>（单位名称）</w:t>
      </w:r>
      <w:r>
        <w:rPr>
          <w:rFonts w:hint="eastAsia" w:ascii="宋体" w:hAnsi="宋体" w:cs="宋体"/>
          <w:sz w:val="28"/>
          <w:szCs w:val="28"/>
        </w:rPr>
        <w:t>的</w:t>
      </w:r>
      <w:r>
        <w:rPr>
          <w:rFonts w:hint="eastAsia" w:ascii="宋体" w:hAnsi="宋体" w:cs="宋体"/>
          <w:sz w:val="28"/>
          <w:szCs w:val="28"/>
          <w:u w:val="single"/>
        </w:rPr>
        <w:t xml:space="preserve">  （项目名称）</w:t>
      </w:r>
      <w:r>
        <w:rPr>
          <w:rFonts w:hint="eastAsia" w:ascii="宋体" w:hAnsi="宋体" w:cs="宋体"/>
          <w:sz w:val="28"/>
          <w:szCs w:val="28"/>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560" w:firstLineChars="200"/>
        <w:rPr>
          <w:rFonts w:hint="eastAsia" w:ascii="宋体" w:hAnsi="宋体" w:cs="宋体"/>
          <w:sz w:val="28"/>
          <w:szCs w:val="28"/>
        </w:rPr>
      </w:pPr>
      <w:r>
        <w:rPr>
          <w:rFonts w:hint="eastAsia" w:ascii="宋体" w:hAnsi="宋体" w:cs="宋体"/>
          <w:sz w:val="28"/>
          <w:szCs w:val="28"/>
        </w:rPr>
        <w:t>1.</w:t>
      </w:r>
      <w:r>
        <w:rPr>
          <w:rFonts w:hint="eastAsia" w:ascii="宋体" w:hAnsi="宋体" w:cs="宋体"/>
          <w:sz w:val="28"/>
          <w:szCs w:val="28"/>
          <w:u w:val="single"/>
        </w:rPr>
        <w:t xml:space="preserve"> （标的名称） </w:t>
      </w:r>
      <w:r>
        <w:rPr>
          <w:rFonts w:hint="eastAsia" w:ascii="宋体" w:hAnsi="宋体" w:cs="宋体"/>
          <w:sz w:val="28"/>
          <w:szCs w:val="28"/>
        </w:rPr>
        <w:t>，属于</w:t>
      </w:r>
      <w:r>
        <w:rPr>
          <w:rFonts w:hint="eastAsia" w:ascii="宋体" w:hAnsi="宋体" w:cs="宋体"/>
          <w:sz w:val="28"/>
          <w:szCs w:val="28"/>
          <w:u w:val="single"/>
        </w:rPr>
        <w:t>信息传输业</w:t>
      </w:r>
      <w:r>
        <w:rPr>
          <w:rFonts w:hint="eastAsia" w:ascii="宋体" w:hAnsi="宋体" w:cs="宋体"/>
          <w:sz w:val="28"/>
          <w:szCs w:val="28"/>
        </w:rPr>
        <w:t>； 承建（承接）企业为</w:t>
      </w:r>
      <w:r>
        <w:rPr>
          <w:rFonts w:hint="eastAsia" w:ascii="宋体" w:hAnsi="宋体" w:cs="宋体"/>
          <w:sz w:val="28"/>
          <w:szCs w:val="28"/>
          <w:u w:val="single"/>
        </w:rPr>
        <w:t>（企业名称）</w:t>
      </w:r>
      <w:r>
        <w:rPr>
          <w:rFonts w:hint="eastAsia" w:ascii="宋体" w:hAnsi="宋体" w:cs="宋体"/>
          <w:sz w:val="28"/>
          <w:szCs w:val="28"/>
        </w:rPr>
        <w:t>，从业人员</w:t>
      </w:r>
      <w:r>
        <w:rPr>
          <w:rFonts w:hint="eastAsia" w:ascii="宋体" w:hAnsi="宋体" w:cs="宋体"/>
          <w:sz w:val="28"/>
          <w:szCs w:val="28"/>
          <w:u w:val="single"/>
        </w:rPr>
        <w:t xml:space="preserve">    </w:t>
      </w:r>
      <w:r>
        <w:rPr>
          <w:rFonts w:hint="eastAsia" w:ascii="宋体" w:hAnsi="宋体" w:cs="宋体"/>
          <w:sz w:val="28"/>
          <w:szCs w:val="28"/>
        </w:rPr>
        <w:t>人，营业收入为</w:t>
      </w:r>
      <w:r>
        <w:rPr>
          <w:rFonts w:hint="eastAsia" w:ascii="宋体" w:hAnsi="宋体" w:cs="宋体"/>
          <w:sz w:val="28"/>
          <w:szCs w:val="28"/>
          <w:u w:val="single"/>
        </w:rPr>
        <w:t xml:space="preserve">     </w:t>
      </w:r>
      <w:r>
        <w:rPr>
          <w:rFonts w:hint="eastAsia" w:ascii="宋体" w:hAnsi="宋体" w:cs="宋体"/>
          <w:sz w:val="28"/>
          <w:szCs w:val="28"/>
        </w:rPr>
        <w:t>万元，资产总额为</w:t>
      </w:r>
      <w:r>
        <w:rPr>
          <w:rFonts w:hint="eastAsia" w:ascii="宋体" w:hAnsi="宋体" w:cs="宋体"/>
          <w:sz w:val="28"/>
          <w:szCs w:val="28"/>
          <w:u w:val="single"/>
        </w:rPr>
        <w:t xml:space="preserve">    </w:t>
      </w:r>
      <w:r>
        <w:rPr>
          <w:rFonts w:hint="eastAsia" w:ascii="宋体" w:hAnsi="宋体" w:cs="宋体"/>
          <w:sz w:val="28"/>
          <w:szCs w:val="28"/>
        </w:rPr>
        <w:t>万元，属于</w:t>
      </w:r>
      <w:r>
        <w:rPr>
          <w:rFonts w:hint="eastAsia" w:ascii="宋体" w:hAnsi="宋体" w:cs="宋体"/>
          <w:sz w:val="28"/>
          <w:szCs w:val="28"/>
          <w:u w:val="single"/>
        </w:rPr>
        <w:t>（中型企业、小型企业、微型企业，</w:t>
      </w:r>
      <w:r>
        <w:rPr>
          <w:rFonts w:hint="eastAsia" w:ascii="宋体" w:hAnsi="宋体" w:cs="宋体"/>
          <w:sz w:val="28"/>
          <w:szCs w:val="28"/>
          <w:highlight w:val="lightGray"/>
          <w:u w:val="single"/>
        </w:rPr>
        <w:t>三选一进行填写</w:t>
      </w:r>
      <w:r>
        <w:rPr>
          <w:rFonts w:hint="eastAsia" w:ascii="宋体" w:hAnsi="宋体" w:cs="宋体"/>
          <w:sz w:val="28"/>
          <w:szCs w:val="28"/>
          <w:u w:val="single"/>
        </w:rPr>
        <w:t>）</w:t>
      </w:r>
      <w:r>
        <w:rPr>
          <w:rFonts w:hint="eastAsia" w:ascii="宋体" w:hAnsi="宋体" w:cs="宋体"/>
          <w:sz w:val="28"/>
          <w:szCs w:val="28"/>
        </w:rPr>
        <w:t xml:space="preserve">； </w:t>
      </w:r>
    </w:p>
    <w:p>
      <w:pPr>
        <w:spacing w:line="360" w:lineRule="auto"/>
        <w:ind w:firstLine="560" w:firstLineChars="200"/>
        <w:rPr>
          <w:rFonts w:hint="eastAsia" w:ascii="宋体" w:hAnsi="宋体" w:cs="宋体"/>
          <w:sz w:val="28"/>
          <w:szCs w:val="28"/>
        </w:rPr>
      </w:pPr>
      <w:r>
        <w:rPr>
          <w:rFonts w:hint="eastAsia" w:ascii="宋体" w:hAnsi="宋体" w:cs="宋体"/>
          <w:sz w:val="28"/>
          <w:szCs w:val="28"/>
        </w:rPr>
        <w:t>以上企业，不属于大企业的分支机构，不存在控股股东为大企业的情形，也不存在与大企业的负责人为同一人的情形。</w:t>
      </w:r>
    </w:p>
    <w:p>
      <w:pPr>
        <w:spacing w:line="360" w:lineRule="auto"/>
        <w:ind w:firstLine="560" w:firstLineChars="200"/>
        <w:rPr>
          <w:rFonts w:hint="eastAsia" w:ascii="宋体" w:hAnsi="宋体" w:cs="宋体"/>
          <w:kern w:val="0"/>
          <w:sz w:val="24"/>
          <w:lang w:bidi="ar"/>
        </w:rPr>
      </w:pPr>
      <w:r>
        <w:rPr>
          <w:rFonts w:hint="eastAsia" w:ascii="宋体" w:hAnsi="宋体" w:cs="宋体"/>
          <w:sz w:val="28"/>
          <w:szCs w:val="28"/>
        </w:rPr>
        <w:t>本企业对上述声明内容的真实性负责。如有虚假，将依法承担相应责任。</w:t>
      </w:r>
      <w:r>
        <w:rPr>
          <w:rFonts w:hint="eastAsia" w:ascii="宋体" w:hAnsi="宋体" w:cs="宋体"/>
          <w:kern w:val="0"/>
          <w:sz w:val="24"/>
          <w:lang w:bidi="ar"/>
        </w:rPr>
        <w:t xml:space="preserve"> </w:t>
      </w:r>
    </w:p>
    <w:p>
      <w:pPr>
        <w:pStyle w:val="29"/>
        <w:spacing w:before="120" w:after="120" w:line="360" w:lineRule="auto"/>
        <w:ind w:firstLine="562"/>
        <w:rPr>
          <w:rFonts w:hint="eastAsia" w:hAnsi="宋体" w:cs="宋体"/>
          <w:b/>
          <w:bCs/>
          <w:kern w:val="0"/>
          <w:szCs w:val="21"/>
          <w:lang w:bidi="ar"/>
        </w:rPr>
      </w:pPr>
      <w:r>
        <w:rPr>
          <w:rFonts w:hint="eastAsia" w:hAnsi="宋体" w:cs="宋体"/>
          <w:b/>
          <w:bCs/>
          <w:kern w:val="0"/>
          <w:szCs w:val="21"/>
          <w:lang w:bidi="ar"/>
        </w:rPr>
        <w:t>注：</w:t>
      </w:r>
      <w:r>
        <w:rPr>
          <w:rFonts w:hint="eastAsia" w:hAnsi="宋体"/>
          <w:b/>
          <w:bCs/>
          <w:kern w:val="0"/>
        </w:rPr>
        <w:t>从业人员、营业收入、资产总额填报上一年度数据，无上一年度数据的新成立企业可不填报。</w:t>
      </w:r>
    </w:p>
    <w:p>
      <w:pPr>
        <w:widowControl/>
        <w:spacing w:line="480" w:lineRule="auto"/>
        <w:jc w:val="center"/>
        <w:rPr>
          <w:rFonts w:eastAsia="方正小标宋_GBK"/>
          <w:bCs/>
          <w:spacing w:val="6"/>
          <w:sz w:val="36"/>
          <w:szCs w:val="36"/>
        </w:rPr>
      </w:pPr>
      <w:r>
        <w:rPr>
          <w:rFonts w:ascii="宋体" w:hAnsi="宋体"/>
          <w:b/>
          <w:bCs/>
          <w:sz w:val="30"/>
        </w:rPr>
        <w:br w:type="page"/>
      </w:r>
      <w:r>
        <w:rPr>
          <w:rFonts w:hint="eastAsia" w:ascii="宋体" w:hAnsi="宋体"/>
          <w:b/>
          <w:bCs/>
          <w:sz w:val="30"/>
        </w:rPr>
        <w:t>3.2残疾人福利性单位声明函</w:t>
      </w:r>
    </w:p>
    <w:p>
      <w:pPr>
        <w:pStyle w:val="478"/>
        <w:spacing w:before="120" w:after="120" w:line="360" w:lineRule="auto"/>
        <w:ind w:firstLine="562"/>
        <w:rPr>
          <w:rFonts w:cs="Times New Roman"/>
          <w:kern w:val="2"/>
          <w:sz w:val="28"/>
          <w:szCs w:val="28"/>
        </w:rPr>
      </w:pPr>
      <w:r>
        <w:rPr>
          <w:rFonts w:hint="eastAsia" w:cs="Times New Roman"/>
          <w:kern w:val="2"/>
          <w:sz w:val="28"/>
          <w:szCs w:val="28"/>
        </w:rPr>
        <w:t>本单位郑重声明，根据《财政部 民政部 中国残疾人联合会关于促进残疾人就业政府采购政策的通知》（财库〔2017〕141号）的规定，本单位为符合条件的残疾人福利性单位，且本单位参加</w:t>
      </w:r>
      <w:r>
        <w:rPr>
          <w:rFonts w:cs="Times New Roman"/>
          <w:kern w:val="2"/>
          <w:sz w:val="28"/>
          <w:szCs w:val="28"/>
          <w:u w:val="single"/>
        </w:rPr>
        <w:t xml:space="preserve">  </w:t>
      </w:r>
      <w:r>
        <w:rPr>
          <w:rFonts w:hint="eastAsia" w:cs="Times New Roman"/>
          <w:kern w:val="2"/>
          <w:sz w:val="28"/>
          <w:szCs w:val="28"/>
          <w:u w:val="single"/>
        </w:rPr>
        <w:t xml:space="preserve">     </w:t>
      </w:r>
      <w:r>
        <w:rPr>
          <w:rFonts w:cs="Times New Roman"/>
          <w:kern w:val="2"/>
          <w:sz w:val="28"/>
          <w:szCs w:val="28"/>
          <w:u w:val="single"/>
        </w:rPr>
        <w:t xml:space="preserve"> </w:t>
      </w:r>
      <w:r>
        <w:rPr>
          <w:rFonts w:hint="eastAsia" w:cs="Times New Roman"/>
          <w:kern w:val="2"/>
          <w:sz w:val="28"/>
          <w:szCs w:val="28"/>
        </w:rPr>
        <w:t>单位的</w:t>
      </w:r>
      <w:r>
        <w:rPr>
          <w:rFonts w:cs="Times New Roman"/>
          <w:kern w:val="2"/>
          <w:sz w:val="28"/>
          <w:szCs w:val="28"/>
          <w:u w:val="single"/>
        </w:rPr>
        <w:t xml:space="preserve">  </w:t>
      </w:r>
      <w:r>
        <w:rPr>
          <w:rFonts w:hint="eastAsia" w:cs="Times New Roman"/>
          <w:kern w:val="2"/>
          <w:sz w:val="28"/>
          <w:szCs w:val="28"/>
          <w:u w:val="single"/>
        </w:rPr>
        <w:t xml:space="preserve">   </w:t>
      </w:r>
      <w:r>
        <w:rPr>
          <w:rFonts w:cs="Times New Roman"/>
          <w:kern w:val="2"/>
          <w:sz w:val="28"/>
          <w:szCs w:val="28"/>
          <w:u w:val="single"/>
        </w:rPr>
        <w:t xml:space="preserve">  </w:t>
      </w:r>
      <w:r>
        <w:rPr>
          <w:rFonts w:hint="eastAsia" w:cs="Times New Roman"/>
          <w:kern w:val="2"/>
          <w:sz w:val="28"/>
          <w:szCs w:val="28"/>
        </w:rPr>
        <w:t>项目采购活动提供本单位制造的货物（由本单位承担工程/提供服务），或者提供其他残疾人福利性单位制造的货物（不包括使用非残疾人福利性单位注册商标的货物）。</w:t>
      </w:r>
    </w:p>
    <w:p>
      <w:pPr>
        <w:pStyle w:val="478"/>
        <w:spacing w:before="120" w:after="120" w:line="360" w:lineRule="auto"/>
        <w:ind w:firstLine="562"/>
        <w:rPr>
          <w:rFonts w:cs="Times New Roman"/>
          <w:kern w:val="2"/>
          <w:sz w:val="28"/>
          <w:szCs w:val="28"/>
        </w:rPr>
      </w:pPr>
      <w:r>
        <w:rPr>
          <w:rFonts w:hint="eastAsia" w:cs="Times New Roman"/>
          <w:kern w:val="2"/>
          <w:sz w:val="28"/>
          <w:szCs w:val="28"/>
        </w:rPr>
        <w:t>本单位对上述声明的真实性负责。如有虚假，将依法承担相应责任。</w:t>
      </w:r>
    </w:p>
    <w:p>
      <w:pPr>
        <w:pStyle w:val="478"/>
        <w:spacing w:before="120" w:after="120" w:line="360" w:lineRule="auto"/>
        <w:ind w:firstLine="626"/>
        <w:rPr>
          <w:rFonts w:hint="eastAsia" w:ascii="仿宋_GB2312" w:hAnsi="Times New Roman" w:eastAsia="仿宋_GB2312" w:cs="Times New Roman"/>
          <w:spacing w:val="6"/>
          <w:sz w:val="30"/>
          <w:szCs w:val="30"/>
        </w:rPr>
      </w:pPr>
    </w:p>
    <w:p>
      <w:pPr>
        <w:spacing w:line="360" w:lineRule="auto"/>
        <w:jc w:val="center"/>
        <w:rPr>
          <w:rFonts w:hint="eastAsia" w:ascii="仿宋_GB2312" w:eastAsia="仿宋_GB2312"/>
          <w:spacing w:val="6"/>
          <w:sz w:val="30"/>
          <w:szCs w:val="30"/>
        </w:rPr>
      </w:pPr>
    </w:p>
    <w:p>
      <w:pPr>
        <w:spacing w:line="360" w:lineRule="auto"/>
        <w:jc w:val="center"/>
        <w:rPr>
          <w:rFonts w:hint="eastAsia" w:ascii="仿宋_GB2312" w:eastAsia="仿宋_GB2312"/>
          <w:spacing w:val="6"/>
          <w:sz w:val="30"/>
          <w:szCs w:val="30"/>
        </w:rPr>
      </w:pPr>
    </w:p>
    <w:p>
      <w:pPr>
        <w:spacing w:line="360" w:lineRule="auto"/>
        <w:jc w:val="center"/>
        <w:rPr>
          <w:rFonts w:hint="eastAsia" w:ascii="仿宋_GB2312" w:eastAsia="仿宋_GB2312"/>
          <w:spacing w:val="6"/>
          <w:sz w:val="30"/>
          <w:szCs w:val="30"/>
        </w:rPr>
      </w:pPr>
    </w:p>
    <w:p>
      <w:pPr>
        <w:spacing w:line="360" w:lineRule="auto"/>
        <w:jc w:val="center"/>
        <w:rPr>
          <w:rFonts w:hint="eastAsia" w:ascii="仿宋_GB2312" w:eastAsia="仿宋_GB2312"/>
          <w:spacing w:val="6"/>
          <w:sz w:val="30"/>
          <w:szCs w:val="30"/>
        </w:rPr>
      </w:pPr>
    </w:p>
    <w:p>
      <w:pPr>
        <w:spacing w:line="360" w:lineRule="auto"/>
        <w:jc w:val="center"/>
        <w:rPr>
          <w:rFonts w:ascii="仿宋_GB2312" w:eastAsia="仿宋_GB2312"/>
          <w:spacing w:val="6"/>
          <w:sz w:val="30"/>
          <w:szCs w:val="30"/>
        </w:rPr>
      </w:pPr>
    </w:p>
    <w:p>
      <w:pPr>
        <w:pStyle w:val="29"/>
        <w:spacing w:before="120" w:after="120" w:line="360" w:lineRule="auto"/>
        <w:ind w:firstLine="602"/>
        <w:jc w:val="center"/>
        <w:rPr>
          <w:rFonts w:hAnsi="宋体"/>
          <w:b/>
          <w:bCs/>
          <w:sz w:val="30"/>
        </w:rPr>
      </w:pPr>
      <w:r>
        <w:rPr>
          <w:rFonts w:hint="eastAsia" w:hAnsi="宋体"/>
          <w:b/>
          <w:bCs/>
          <w:sz w:val="30"/>
        </w:rPr>
        <w:t>3.3监狱企业证明</w:t>
      </w:r>
    </w:p>
    <w:p>
      <w:pPr>
        <w:pStyle w:val="7"/>
        <w:spacing w:line="360" w:lineRule="auto"/>
        <w:ind w:firstLine="0"/>
        <w:jc w:val="center"/>
        <w:rPr>
          <w:rFonts w:ascii="仿宋_GB2312" w:eastAsia="仿宋_GB2312"/>
          <w:sz w:val="24"/>
          <w:szCs w:val="24"/>
        </w:rPr>
      </w:pPr>
    </w:p>
    <w:p>
      <w:pPr>
        <w:pStyle w:val="7"/>
        <w:spacing w:line="360" w:lineRule="auto"/>
        <w:ind w:firstLine="562" w:firstLineChars="200"/>
        <w:jc w:val="left"/>
        <w:rPr>
          <w:rFonts w:hint="eastAsia" w:ascii="宋体" w:hAnsi="宋体"/>
          <w:sz w:val="24"/>
        </w:rPr>
      </w:pPr>
      <w:r>
        <w:rPr>
          <w:rFonts w:hint="eastAsia" w:ascii="宋体" w:hAnsi="宋体"/>
          <w:b/>
          <w:sz w:val="28"/>
          <w:szCs w:val="28"/>
        </w:rPr>
        <w:t>注</w:t>
      </w:r>
      <w:r>
        <w:rPr>
          <w:rFonts w:ascii="宋体" w:hAnsi="宋体"/>
          <w:b/>
          <w:sz w:val="28"/>
          <w:szCs w:val="28"/>
        </w:rPr>
        <w:t>：</w:t>
      </w:r>
      <w:r>
        <w:rPr>
          <w:rFonts w:hint="eastAsia" w:ascii="宋体" w:hAnsi="宋体"/>
          <w:sz w:val="28"/>
          <w:szCs w:val="28"/>
        </w:rPr>
        <w:t>须</w:t>
      </w:r>
      <w:r>
        <w:rPr>
          <w:rFonts w:ascii="宋体" w:hAnsi="宋体"/>
          <w:sz w:val="28"/>
          <w:szCs w:val="28"/>
        </w:rPr>
        <w:t>提供</w:t>
      </w:r>
      <w:r>
        <w:rPr>
          <w:rFonts w:hint="eastAsia" w:ascii="宋体" w:hAnsi="宋体"/>
          <w:sz w:val="28"/>
          <w:szCs w:val="28"/>
        </w:rPr>
        <w:t>省级以上监狱管理局、戒毒管理局（含新疆生产建设兵团）出具的属于监狱企业的证明文件</w:t>
      </w:r>
    </w:p>
    <w:p>
      <w:pPr>
        <w:pStyle w:val="338"/>
        <w:spacing w:line="520" w:lineRule="exact"/>
        <w:rPr>
          <w:rFonts w:hint="eastAsia" w:hAnsi="宋体"/>
          <w:sz w:val="30"/>
          <w:lang w:val="en-US" w:eastAsia="zh-CN"/>
        </w:rPr>
      </w:pPr>
    </w:p>
    <w:p>
      <w:pPr>
        <w:rPr>
          <w:rFonts w:hint="eastAsia"/>
        </w:rPr>
      </w:pPr>
    </w:p>
    <w:p>
      <w:pPr>
        <w:spacing w:line="360" w:lineRule="auto"/>
        <w:ind w:firstLine="210" w:firstLineChars="100"/>
        <w:jc w:val="left"/>
        <w:rPr>
          <w:rFonts w:hint="eastAsia"/>
        </w:rPr>
      </w:pPr>
      <w:r>
        <w:rPr>
          <w:rFonts w:hint="eastAsia"/>
        </w:rPr>
        <w:br w:type="page"/>
      </w:r>
      <w:bookmarkStart w:id="163" w:name="_Toc432670427"/>
      <w:bookmarkStart w:id="164" w:name="_Toc41641194"/>
    </w:p>
    <w:p>
      <w:pPr>
        <w:spacing w:line="360" w:lineRule="auto"/>
        <w:ind w:firstLine="211" w:firstLineChars="100"/>
        <w:jc w:val="center"/>
        <w:rPr>
          <w:rFonts w:hint="eastAsia" w:ascii="宋体" w:hAnsi="宋体"/>
          <w:b/>
          <w:bCs/>
        </w:rPr>
      </w:pPr>
      <w:r>
        <w:rPr>
          <w:rFonts w:hint="eastAsia" w:ascii="宋体" w:hAnsi="宋体"/>
          <w:b/>
          <w:bCs/>
        </w:rPr>
        <w:t xml:space="preserve">四  </w:t>
      </w:r>
      <w:bookmarkEnd w:id="163"/>
      <w:r>
        <w:rPr>
          <w:rFonts w:hint="eastAsia" w:ascii="宋体" w:hAnsi="宋体"/>
          <w:b/>
          <w:bCs/>
        </w:rPr>
        <w:t xml:space="preserve"> 中标人公告内容</w:t>
      </w:r>
      <w:bookmarkEnd w:id="164"/>
    </w:p>
    <w:p>
      <w:pPr>
        <w:spacing w:line="360" w:lineRule="auto"/>
        <w:rPr>
          <w:rFonts w:hint="eastAsia" w:ascii="宋体" w:hAnsi="宋体"/>
          <w:spacing w:val="20"/>
          <w:sz w:val="24"/>
        </w:rPr>
      </w:pPr>
      <w:r>
        <w:rPr>
          <w:rFonts w:hint="eastAsia" w:ascii="宋体" w:hAnsi="宋体"/>
          <w:spacing w:val="20"/>
          <w:sz w:val="24"/>
        </w:rPr>
        <w:t>采购项目：</w:t>
      </w:r>
    </w:p>
    <w:p>
      <w:pPr>
        <w:spacing w:line="360" w:lineRule="auto"/>
        <w:rPr>
          <w:rFonts w:hint="eastAsia" w:ascii="宋体" w:hAnsi="宋体"/>
          <w:spacing w:val="20"/>
          <w:sz w:val="24"/>
        </w:rPr>
      </w:pPr>
      <w:r>
        <w:rPr>
          <w:rFonts w:hint="eastAsia" w:ascii="宋体" w:hAnsi="宋体"/>
          <w:spacing w:val="20"/>
          <w:sz w:val="24"/>
        </w:rPr>
        <w:t>采购编号</w:t>
      </w:r>
      <w:r>
        <w:rPr>
          <w:rFonts w:hint="eastAsia" w:ascii="宋体" w:hAnsi="宋体"/>
          <w:sz w:val="24"/>
          <w:szCs w:val="28"/>
        </w:rPr>
        <w:t>：</w:t>
      </w:r>
    </w:p>
    <w:tbl>
      <w:tblPr>
        <w:tblStyle w:val="56"/>
        <w:tblW w:w="83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10"/>
        <w:gridCol w:w="2051"/>
        <w:gridCol w:w="259"/>
        <w:gridCol w:w="1867"/>
        <w:gridCol w:w="425"/>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23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r>
              <w:rPr>
                <w:rFonts w:hint="eastAsia" w:ascii="宋体" w:hAnsi="宋体"/>
                <w:spacing w:val="20"/>
                <w:sz w:val="24"/>
              </w:rPr>
              <w:t>中标人名称</w:t>
            </w:r>
          </w:p>
        </w:tc>
        <w:tc>
          <w:tcPr>
            <w:tcW w:w="2310"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p>
        </w:tc>
        <w:tc>
          <w:tcPr>
            <w:tcW w:w="2292"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r>
              <w:rPr>
                <w:rFonts w:hint="eastAsia" w:ascii="宋体" w:hAnsi="宋体"/>
                <w:spacing w:val="20"/>
                <w:sz w:val="24"/>
              </w:rPr>
              <w:t>中标人负责人</w:t>
            </w:r>
          </w:p>
        </w:tc>
        <w:tc>
          <w:tcPr>
            <w:tcW w:w="141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23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r>
              <w:rPr>
                <w:rFonts w:hint="eastAsia" w:ascii="宋体" w:hAnsi="宋体"/>
                <w:spacing w:val="20"/>
                <w:sz w:val="24"/>
              </w:rPr>
              <w:t>中标人地址</w:t>
            </w:r>
          </w:p>
        </w:tc>
        <w:tc>
          <w:tcPr>
            <w:tcW w:w="6020" w:type="dxa"/>
            <w:gridSpan w:val="5"/>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8330" w:type="dxa"/>
            <w:gridSpan w:val="6"/>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r>
              <w:rPr>
                <w:rFonts w:hint="eastAsia" w:ascii="宋体" w:hAnsi="宋体"/>
                <w:spacing w:val="20"/>
                <w:sz w:val="24"/>
              </w:rPr>
              <w:t xml:space="preserve">  中标标的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23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r>
              <w:rPr>
                <w:rFonts w:hint="eastAsia" w:ascii="宋体" w:hAnsi="宋体"/>
                <w:spacing w:val="20"/>
                <w:sz w:val="24"/>
              </w:rPr>
              <w:t>服务内容</w:t>
            </w:r>
          </w:p>
        </w:tc>
        <w:tc>
          <w:tcPr>
            <w:tcW w:w="205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r>
              <w:rPr>
                <w:rFonts w:hint="eastAsia" w:ascii="宋体" w:hAnsi="宋体"/>
                <w:spacing w:val="20"/>
                <w:sz w:val="24"/>
              </w:rPr>
              <w:t>单位</w:t>
            </w:r>
          </w:p>
        </w:tc>
        <w:tc>
          <w:tcPr>
            <w:tcW w:w="2126"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r>
              <w:rPr>
                <w:rFonts w:hint="eastAsia" w:ascii="宋体" w:hAnsi="宋体"/>
                <w:spacing w:val="20"/>
                <w:sz w:val="24"/>
              </w:rPr>
              <w:t>数量</w:t>
            </w:r>
          </w:p>
        </w:tc>
        <w:tc>
          <w:tcPr>
            <w:tcW w:w="1843"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r>
              <w:rPr>
                <w:rFonts w:hint="eastAsia" w:ascii="宋体" w:hAnsi="宋体"/>
                <w:spacing w:val="20"/>
                <w:sz w:val="24"/>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231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p>
        </w:tc>
        <w:tc>
          <w:tcPr>
            <w:tcW w:w="2051"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p>
        </w:tc>
        <w:tc>
          <w:tcPr>
            <w:tcW w:w="2126"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p>
        </w:tc>
        <w:tc>
          <w:tcPr>
            <w:tcW w:w="1843" w:type="dxa"/>
            <w:gridSpan w:val="2"/>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231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c>
          <w:tcPr>
            <w:tcW w:w="2051"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c>
          <w:tcPr>
            <w:tcW w:w="2126"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c>
          <w:tcPr>
            <w:tcW w:w="1843"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231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c>
          <w:tcPr>
            <w:tcW w:w="2051"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c>
          <w:tcPr>
            <w:tcW w:w="2126"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c>
          <w:tcPr>
            <w:tcW w:w="1843"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231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c>
          <w:tcPr>
            <w:tcW w:w="2051"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c>
          <w:tcPr>
            <w:tcW w:w="2126"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c>
          <w:tcPr>
            <w:tcW w:w="1843"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231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c>
          <w:tcPr>
            <w:tcW w:w="2051"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c>
          <w:tcPr>
            <w:tcW w:w="2126"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c>
          <w:tcPr>
            <w:tcW w:w="1843"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6487" w:type="dxa"/>
            <w:gridSpan w:val="4"/>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r>
              <w:rPr>
                <w:rFonts w:hint="eastAsia" w:ascii="宋体" w:hAnsi="宋体"/>
                <w:spacing w:val="20"/>
                <w:sz w:val="24"/>
              </w:rPr>
              <w:t>总价合计：</w:t>
            </w:r>
          </w:p>
        </w:tc>
        <w:tc>
          <w:tcPr>
            <w:tcW w:w="1843" w:type="dxa"/>
            <w:gridSpan w:val="2"/>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447" w:hRule="atLeast"/>
        </w:trPr>
        <w:tc>
          <w:tcPr>
            <w:tcW w:w="8330" w:type="dxa"/>
            <w:gridSpan w:val="6"/>
            <w:tcBorders>
              <w:top w:val="single" w:color="auto" w:sz="4" w:space="0"/>
              <w:left w:val="single" w:color="auto" w:sz="4" w:space="0"/>
              <w:bottom w:val="single" w:color="auto" w:sz="4" w:space="0"/>
              <w:right w:val="single" w:color="auto" w:sz="4" w:space="0"/>
            </w:tcBorders>
            <w:noWrap w:val="0"/>
            <w:vAlign w:val="top"/>
          </w:tcPr>
          <w:p>
            <w:pPr>
              <w:spacing w:line="360" w:lineRule="auto"/>
              <w:rPr>
                <w:rFonts w:hint="eastAsia" w:ascii="宋体" w:hAnsi="宋体"/>
                <w:spacing w:val="20"/>
                <w:sz w:val="24"/>
              </w:rPr>
            </w:pPr>
            <w:r>
              <w:rPr>
                <w:rFonts w:hint="eastAsia" w:ascii="宋体" w:hAnsi="宋体"/>
                <w:spacing w:val="20"/>
                <w:sz w:val="24"/>
              </w:rPr>
              <w:t>服务要求：</w:t>
            </w:r>
          </w:p>
          <w:p>
            <w:pPr>
              <w:spacing w:line="360" w:lineRule="auto"/>
              <w:rPr>
                <w:rFonts w:hint="eastAsia" w:ascii="宋体" w:hAnsi="宋体"/>
                <w:spacing w:val="20"/>
                <w:sz w:val="24"/>
              </w:rPr>
            </w:pPr>
          </w:p>
          <w:p>
            <w:pPr>
              <w:spacing w:line="360" w:lineRule="auto"/>
              <w:rPr>
                <w:rFonts w:ascii="宋体" w:hAnsi="宋体"/>
                <w:spacing w:val="20"/>
                <w:sz w:val="24"/>
              </w:rPr>
            </w:pPr>
          </w:p>
        </w:tc>
      </w:tr>
    </w:tbl>
    <w:p>
      <w:pPr>
        <w:rPr>
          <w:rFonts w:hint="eastAsia" w:ascii="宋体" w:hAnsi="宋体"/>
          <w:spacing w:val="20"/>
          <w:szCs w:val="21"/>
        </w:rPr>
      </w:pPr>
      <w:r>
        <w:rPr>
          <w:rFonts w:hint="eastAsia" w:ascii="宋体" w:hAnsi="宋体"/>
          <w:spacing w:val="20"/>
          <w:szCs w:val="21"/>
        </w:rPr>
        <w:t>注：1、中标人应根据其投标情况填写该表，并保证其与投标文件内容的一致性、正确性和真实性；</w:t>
      </w:r>
    </w:p>
    <w:p>
      <w:pPr>
        <w:ind w:firstLine="490" w:firstLineChars="196"/>
        <w:rPr>
          <w:rFonts w:hint="eastAsia" w:ascii="宋体" w:hAnsi="宋体"/>
          <w:spacing w:val="20"/>
          <w:szCs w:val="21"/>
        </w:rPr>
      </w:pPr>
      <w:r>
        <w:rPr>
          <w:rFonts w:hint="eastAsia" w:ascii="宋体" w:hAnsi="宋体"/>
          <w:spacing w:val="20"/>
          <w:szCs w:val="21"/>
        </w:rPr>
        <w:t>2、填写该表不代表中标人已具有中标人资格。本表只作为中标结果公告内容的一部分，进行公告使用；</w:t>
      </w:r>
    </w:p>
    <w:p>
      <w:pPr>
        <w:ind w:firstLine="490" w:firstLineChars="196"/>
        <w:rPr>
          <w:rFonts w:hint="eastAsia" w:ascii="宋体" w:hAnsi="宋体"/>
          <w:spacing w:val="20"/>
          <w:szCs w:val="21"/>
        </w:rPr>
      </w:pPr>
      <w:r>
        <w:rPr>
          <w:rFonts w:hint="eastAsia" w:ascii="宋体" w:hAnsi="宋体"/>
          <w:spacing w:val="20"/>
          <w:szCs w:val="21"/>
        </w:rPr>
        <w:t>3、本表内容涉及较多，中标人可以适当增减表格行数，以保证表格内容的完整；</w:t>
      </w:r>
    </w:p>
    <w:p>
      <w:pPr>
        <w:ind w:firstLine="490" w:firstLineChars="196"/>
        <w:rPr>
          <w:rFonts w:hint="eastAsia" w:ascii="宋体" w:hAnsi="宋体"/>
          <w:spacing w:val="20"/>
          <w:szCs w:val="21"/>
        </w:rPr>
      </w:pPr>
      <w:r>
        <w:rPr>
          <w:rFonts w:hint="eastAsia" w:ascii="宋体" w:hAnsi="宋体"/>
          <w:spacing w:val="20"/>
          <w:szCs w:val="21"/>
        </w:rPr>
        <w:t>4、中标结果公告内容如涉及中标人的商业秘密等法律法规规定可以不予公告的情形，中标人应另附书面说明，如未事前书面说明造成的后果由中标人自行承担。</w:t>
      </w:r>
    </w:p>
    <w:p>
      <w:pPr>
        <w:rPr>
          <w:rFonts w:hint="eastAsia" w:ascii="宋体" w:hAnsi="宋体"/>
          <w:spacing w:val="20"/>
          <w:sz w:val="24"/>
        </w:rPr>
      </w:pPr>
    </w:p>
    <w:p>
      <w:pPr>
        <w:rPr>
          <w:rFonts w:hint="eastAsia" w:ascii="宋体" w:hAnsi="宋体"/>
          <w:spacing w:val="20"/>
          <w:sz w:val="24"/>
        </w:rPr>
      </w:pPr>
    </w:p>
    <w:p>
      <w:pPr>
        <w:pStyle w:val="2"/>
        <w:rPr>
          <w:rFonts w:hint="eastAsia"/>
          <w:lang w:val="en-US"/>
        </w:rPr>
      </w:pPr>
    </w:p>
    <w:p>
      <w:pPr>
        <w:rPr>
          <w:rFonts w:hint="eastAsia"/>
        </w:rPr>
      </w:pPr>
    </w:p>
    <w:p>
      <w:pPr>
        <w:pStyle w:val="2"/>
        <w:rPr>
          <w:rFonts w:hint="eastAsia"/>
          <w:lang w:val="en-US"/>
        </w:rPr>
      </w:pPr>
    </w:p>
    <w:p>
      <w:pPr>
        <w:spacing w:line="440" w:lineRule="exact"/>
        <w:ind w:firstLine="480" w:firstLineChars="200"/>
        <w:rPr>
          <w:rFonts w:hint="eastAsia" w:ascii="宋体" w:hAnsi="宋体"/>
          <w:sz w:val="24"/>
        </w:rPr>
      </w:pPr>
    </w:p>
    <w:p>
      <w:pPr>
        <w:pStyle w:val="2"/>
        <w:rPr>
          <w:rFonts w:hint="eastAsia"/>
          <w:lang w:val="en-US"/>
        </w:rPr>
      </w:pPr>
    </w:p>
    <w:p>
      <w:pPr>
        <w:pStyle w:val="2"/>
        <w:ind w:firstLine="0"/>
        <w:rPr>
          <w:lang w:val="en-US"/>
        </w:rPr>
      </w:pPr>
    </w:p>
    <w:p>
      <w:pPr>
        <w:pStyle w:val="6"/>
        <w:spacing w:line="240" w:lineRule="auto"/>
        <w:ind w:firstLine="0" w:firstLineChars="0"/>
        <w:jc w:val="center"/>
        <w:rPr>
          <w:rFonts w:hint="eastAsia" w:ascii="宋体" w:hAnsi="宋体" w:eastAsia="宋体"/>
          <w:b w:val="0"/>
          <w:bCs w:val="0"/>
          <w:sz w:val="28"/>
          <w:szCs w:val="28"/>
        </w:rPr>
      </w:pPr>
      <w:bookmarkStart w:id="165" w:name="_Toc112414200"/>
      <w:r>
        <w:rPr>
          <w:rFonts w:hint="eastAsia" w:ascii="宋体" w:hAnsi="宋体" w:eastAsia="宋体"/>
          <w:b w:val="0"/>
          <w:bCs w:val="0"/>
          <w:sz w:val="28"/>
          <w:szCs w:val="28"/>
        </w:rPr>
        <w:t>五</w:t>
      </w:r>
      <w:r>
        <w:rPr>
          <w:rFonts w:ascii="宋体" w:hAnsi="宋体" w:eastAsia="宋体"/>
          <w:b w:val="0"/>
          <w:bCs w:val="0"/>
          <w:sz w:val="28"/>
          <w:szCs w:val="28"/>
        </w:rPr>
        <w:t xml:space="preserve">  现场确认声明书</w:t>
      </w:r>
      <w:bookmarkEnd w:id="165"/>
    </w:p>
    <w:p>
      <w:pPr>
        <w:spacing w:line="360" w:lineRule="auto"/>
        <w:jc w:val="left"/>
        <w:rPr>
          <w:rFonts w:ascii="宋体" w:hAnsi="宋体"/>
          <w:sz w:val="22"/>
          <w:szCs w:val="21"/>
          <w:u w:val="single"/>
        </w:rPr>
      </w:pPr>
      <w:r>
        <w:rPr>
          <w:rFonts w:hint="eastAsia" w:ascii="宋体" w:hAnsi="宋体"/>
          <w:sz w:val="22"/>
          <w:szCs w:val="21"/>
          <w:u w:val="single"/>
        </w:rPr>
        <w:t>浙江建航工程咨询有限公司：</w:t>
      </w:r>
    </w:p>
    <w:p>
      <w:pPr>
        <w:spacing w:line="440" w:lineRule="exact"/>
        <w:rPr>
          <w:rFonts w:ascii="宋体" w:hAnsi="宋体"/>
          <w:sz w:val="22"/>
          <w:szCs w:val="21"/>
        </w:rPr>
      </w:pPr>
      <w:r>
        <w:rPr>
          <w:rFonts w:hint="eastAsia" w:ascii="宋体" w:hAnsi="宋体"/>
          <w:sz w:val="22"/>
          <w:szCs w:val="21"/>
        </w:rPr>
        <w:t xml:space="preserve">    本人经由</w:t>
      </w:r>
      <w:r>
        <w:rPr>
          <w:rFonts w:hint="eastAsia" w:ascii="宋体" w:hAnsi="宋体"/>
          <w:sz w:val="22"/>
          <w:szCs w:val="21"/>
          <w:u w:val="single"/>
        </w:rPr>
        <w:t xml:space="preserve">             （公司</w:t>
      </w:r>
      <w:r>
        <w:rPr>
          <w:rFonts w:ascii="宋体" w:hAnsi="宋体"/>
          <w:sz w:val="22"/>
          <w:szCs w:val="21"/>
          <w:u w:val="single"/>
        </w:rPr>
        <w:t>名称</w:t>
      </w:r>
      <w:r>
        <w:rPr>
          <w:rFonts w:hint="eastAsia" w:ascii="宋体" w:hAnsi="宋体"/>
          <w:sz w:val="22"/>
          <w:szCs w:val="21"/>
          <w:u w:val="single"/>
        </w:rPr>
        <w:t xml:space="preserve">）  </w:t>
      </w:r>
      <w:r>
        <w:rPr>
          <w:rFonts w:hint="eastAsia" w:ascii="宋体" w:hAnsi="宋体"/>
          <w:sz w:val="22"/>
          <w:szCs w:val="21"/>
        </w:rPr>
        <w:t>合法委派参加</w:t>
      </w:r>
      <w:r>
        <w:rPr>
          <w:rFonts w:hint="eastAsia" w:ascii="宋体" w:hAnsi="宋体"/>
          <w:sz w:val="22"/>
          <w:szCs w:val="21"/>
          <w:u w:val="single"/>
        </w:rPr>
        <w:t>莲都区公共安全视频监控建设联网应用项目（碧湖改建项目）</w:t>
      </w:r>
      <w:r>
        <w:rPr>
          <w:rFonts w:ascii="宋体" w:hAnsi="宋体"/>
          <w:sz w:val="22"/>
          <w:szCs w:val="21"/>
          <w:u w:val="single"/>
        </w:rPr>
        <w:t>（采购编号：</w:t>
      </w:r>
      <w:r>
        <w:rPr>
          <w:rFonts w:hint="eastAsia" w:ascii="宋体" w:hAnsi="宋体"/>
          <w:sz w:val="22"/>
          <w:szCs w:val="21"/>
          <w:u w:val="single"/>
        </w:rPr>
        <w:t>浙建航招2022342号</w:t>
      </w:r>
      <w:r>
        <w:rPr>
          <w:rFonts w:ascii="宋体" w:hAnsi="宋体"/>
          <w:sz w:val="22"/>
          <w:szCs w:val="21"/>
          <w:u w:val="single"/>
        </w:rPr>
        <w:t>）</w:t>
      </w:r>
      <w:r>
        <w:rPr>
          <w:rFonts w:hint="eastAsia" w:ascii="宋体" w:hAnsi="宋体"/>
          <w:sz w:val="22"/>
          <w:szCs w:val="21"/>
        </w:rPr>
        <w:t>政府采购活动，经与本单位法人代表（负责人）联系确认，现就有关公平竞争事项郑重声明如下：</w:t>
      </w:r>
    </w:p>
    <w:p>
      <w:pPr>
        <w:spacing w:line="440" w:lineRule="exact"/>
        <w:rPr>
          <w:rFonts w:ascii="宋体" w:hAnsi="宋体"/>
          <w:sz w:val="22"/>
          <w:szCs w:val="21"/>
        </w:rPr>
      </w:pPr>
      <w:r>
        <w:rPr>
          <w:rFonts w:hint="eastAsia" w:ascii="宋体" w:hAnsi="宋体"/>
          <w:sz w:val="22"/>
          <w:szCs w:val="21"/>
        </w:rPr>
        <w:t xml:space="preserve">    一、本单位与采购人之间 </w:t>
      </w:r>
      <w:r>
        <w:rPr>
          <w:rFonts w:hint="eastAsia" w:ascii="宋体" w:hAnsi="宋体"/>
          <w:b/>
          <w:sz w:val="22"/>
          <w:szCs w:val="21"/>
        </w:rPr>
        <w:t>□不存在利害关系</w:t>
      </w:r>
      <w:r>
        <w:rPr>
          <w:rFonts w:hint="eastAsia" w:ascii="宋体" w:hAnsi="宋体"/>
          <w:sz w:val="22"/>
          <w:szCs w:val="21"/>
        </w:rPr>
        <w:t xml:space="preserve"> □存在下列利害关系</w:t>
      </w:r>
      <w:r>
        <w:rPr>
          <w:rFonts w:hint="eastAsia" w:ascii="宋体" w:hAnsi="宋体"/>
          <w:sz w:val="22"/>
          <w:szCs w:val="21"/>
          <w:u w:val="single"/>
        </w:rPr>
        <w:t xml:space="preserve">  </w:t>
      </w:r>
      <w:r>
        <w:rPr>
          <w:rFonts w:ascii="宋体" w:hAnsi="宋体"/>
          <w:sz w:val="22"/>
          <w:szCs w:val="21"/>
          <w:u w:val="single"/>
        </w:rPr>
        <w:t xml:space="preserve">      </w:t>
      </w:r>
      <w:r>
        <w:rPr>
          <w:rFonts w:hint="eastAsia" w:ascii="宋体" w:hAnsi="宋体"/>
          <w:sz w:val="22"/>
          <w:szCs w:val="21"/>
          <w:u w:val="single"/>
        </w:rPr>
        <w:t>：</w:t>
      </w:r>
    </w:p>
    <w:p>
      <w:pPr>
        <w:spacing w:line="440" w:lineRule="exact"/>
        <w:rPr>
          <w:rFonts w:ascii="宋体" w:hAnsi="宋体"/>
          <w:sz w:val="22"/>
          <w:szCs w:val="21"/>
        </w:rPr>
      </w:pPr>
      <w:r>
        <w:rPr>
          <w:rFonts w:hint="eastAsia" w:ascii="宋体" w:hAnsi="宋体"/>
          <w:sz w:val="22"/>
          <w:szCs w:val="21"/>
        </w:rPr>
        <w:t xml:space="preserve">    A.投资关系    B.行政隶属关系    C.业务指导关系</w:t>
      </w:r>
    </w:p>
    <w:p>
      <w:pPr>
        <w:spacing w:line="440" w:lineRule="exact"/>
        <w:ind w:firstLine="480"/>
        <w:rPr>
          <w:rFonts w:ascii="宋体" w:hAnsi="宋体"/>
          <w:sz w:val="22"/>
          <w:szCs w:val="21"/>
          <w:u w:val="single"/>
        </w:rPr>
      </w:pPr>
      <w:r>
        <w:rPr>
          <w:rFonts w:hint="eastAsia" w:ascii="宋体" w:hAnsi="宋体"/>
          <w:sz w:val="22"/>
          <w:szCs w:val="21"/>
        </w:rPr>
        <w:t>D.其他可能影响采购公正的利害关系（如有，请如实说明）</w:t>
      </w:r>
      <w:r>
        <w:rPr>
          <w:rFonts w:hint="eastAsia" w:ascii="宋体" w:hAnsi="宋体"/>
          <w:sz w:val="22"/>
          <w:szCs w:val="21"/>
          <w:u w:val="single"/>
        </w:rPr>
        <w:t xml:space="preserve">         </w:t>
      </w:r>
    </w:p>
    <w:p>
      <w:pPr>
        <w:spacing w:line="440" w:lineRule="exact"/>
        <w:ind w:firstLine="480"/>
        <w:rPr>
          <w:rFonts w:ascii="宋体" w:hAnsi="宋体"/>
          <w:sz w:val="22"/>
          <w:szCs w:val="21"/>
        </w:rPr>
      </w:pPr>
      <w:r>
        <w:rPr>
          <w:rFonts w:hint="eastAsia" w:ascii="宋体" w:hAnsi="宋体"/>
          <w:sz w:val="22"/>
          <w:szCs w:val="21"/>
        </w:rPr>
        <w:t>二、现已清楚知道参加本项目采购活动的其他所有供应商名称，本单位</w:t>
      </w:r>
      <w:r>
        <w:rPr>
          <w:rFonts w:hint="eastAsia" w:ascii="宋体" w:hAnsi="宋体"/>
          <w:b/>
          <w:sz w:val="22"/>
          <w:szCs w:val="21"/>
        </w:rPr>
        <w:t>□与其他所有供应商之间均不存在利害关系</w:t>
      </w:r>
      <w:r>
        <w:rPr>
          <w:rFonts w:hint="eastAsia" w:ascii="宋体" w:hAnsi="宋体"/>
          <w:sz w:val="22"/>
          <w:szCs w:val="21"/>
        </w:rPr>
        <w:t xml:space="preserve">  □与</w:t>
      </w:r>
      <w:r>
        <w:rPr>
          <w:rFonts w:hint="eastAsia" w:ascii="宋体" w:hAnsi="宋体"/>
          <w:sz w:val="22"/>
          <w:szCs w:val="21"/>
          <w:u w:val="single"/>
        </w:rPr>
        <w:t xml:space="preserve">（投标人名称）  </w:t>
      </w:r>
      <w:r>
        <w:rPr>
          <w:rFonts w:ascii="宋体" w:hAnsi="宋体"/>
          <w:sz w:val="22"/>
          <w:szCs w:val="21"/>
          <w:u w:val="single"/>
        </w:rPr>
        <w:t xml:space="preserve">  </w:t>
      </w:r>
      <w:r>
        <w:rPr>
          <w:rFonts w:hint="eastAsia" w:ascii="宋体" w:hAnsi="宋体"/>
          <w:sz w:val="22"/>
          <w:szCs w:val="21"/>
          <w:u w:val="single"/>
        </w:rPr>
        <w:t xml:space="preserve"> </w:t>
      </w:r>
      <w:r>
        <w:rPr>
          <w:rFonts w:hint="eastAsia" w:ascii="宋体" w:hAnsi="宋体"/>
          <w:sz w:val="22"/>
          <w:szCs w:val="21"/>
        </w:rPr>
        <w:t>之间存在下列利害关系</w:t>
      </w:r>
      <w:r>
        <w:rPr>
          <w:rFonts w:hint="eastAsia" w:ascii="宋体" w:hAnsi="宋体"/>
          <w:sz w:val="22"/>
          <w:szCs w:val="21"/>
          <w:u w:val="single"/>
        </w:rPr>
        <w:t xml:space="preserve">        </w:t>
      </w:r>
      <w:r>
        <w:rPr>
          <w:rFonts w:hint="eastAsia" w:ascii="宋体" w:hAnsi="宋体"/>
          <w:sz w:val="22"/>
          <w:szCs w:val="21"/>
        </w:rPr>
        <w:t>：</w:t>
      </w:r>
    </w:p>
    <w:p>
      <w:pPr>
        <w:spacing w:line="440" w:lineRule="exact"/>
        <w:rPr>
          <w:rFonts w:ascii="宋体" w:hAnsi="宋体"/>
          <w:sz w:val="22"/>
          <w:szCs w:val="21"/>
        </w:rPr>
      </w:pPr>
      <w:r>
        <w:rPr>
          <w:rFonts w:hint="eastAsia" w:ascii="宋体" w:hAnsi="宋体"/>
          <w:sz w:val="22"/>
          <w:szCs w:val="21"/>
        </w:rPr>
        <w:t xml:space="preserve">    A.法定代表人或负责人或实际控制人是同一人</w:t>
      </w:r>
    </w:p>
    <w:p>
      <w:pPr>
        <w:spacing w:line="440" w:lineRule="exact"/>
        <w:rPr>
          <w:rFonts w:ascii="宋体" w:hAnsi="宋体"/>
          <w:sz w:val="22"/>
          <w:szCs w:val="21"/>
        </w:rPr>
      </w:pPr>
      <w:r>
        <w:rPr>
          <w:rFonts w:hint="eastAsia" w:ascii="宋体" w:hAnsi="宋体"/>
          <w:sz w:val="22"/>
          <w:szCs w:val="21"/>
        </w:rPr>
        <w:t xml:space="preserve">    B.法定代表人或负责人或实际控制人是夫妻关系</w:t>
      </w:r>
    </w:p>
    <w:p>
      <w:pPr>
        <w:spacing w:line="440" w:lineRule="exact"/>
        <w:rPr>
          <w:rFonts w:ascii="宋体" w:hAnsi="宋体"/>
          <w:sz w:val="22"/>
          <w:szCs w:val="21"/>
        </w:rPr>
      </w:pPr>
      <w:r>
        <w:rPr>
          <w:rFonts w:hint="eastAsia" w:ascii="宋体" w:hAnsi="宋体"/>
          <w:sz w:val="22"/>
          <w:szCs w:val="21"/>
        </w:rPr>
        <w:t xml:space="preserve">    C.法定代表人或负责人或实际控制人是直系血亲关系</w:t>
      </w:r>
    </w:p>
    <w:p>
      <w:pPr>
        <w:spacing w:line="440" w:lineRule="exact"/>
        <w:rPr>
          <w:rFonts w:ascii="宋体" w:hAnsi="宋体"/>
          <w:sz w:val="22"/>
          <w:szCs w:val="21"/>
        </w:rPr>
      </w:pPr>
      <w:r>
        <w:rPr>
          <w:rFonts w:hint="eastAsia" w:ascii="宋体" w:hAnsi="宋体"/>
          <w:sz w:val="22"/>
          <w:szCs w:val="21"/>
        </w:rPr>
        <w:t xml:space="preserve">    D.法定代表人或负责人或实际控制人存在三代以内旁系血亲关系</w:t>
      </w:r>
    </w:p>
    <w:p>
      <w:pPr>
        <w:spacing w:line="440" w:lineRule="exact"/>
        <w:rPr>
          <w:rFonts w:ascii="宋体" w:hAnsi="宋体"/>
          <w:sz w:val="22"/>
          <w:szCs w:val="21"/>
        </w:rPr>
      </w:pPr>
      <w:r>
        <w:rPr>
          <w:rFonts w:hint="eastAsia" w:ascii="宋体" w:hAnsi="宋体"/>
          <w:sz w:val="22"/>
          <w:szCs w:val="21"/>
        </w:rPr>
        <w:t xml:space="preserve">    E.法定代表人或负责人或实际控制人存在近姻亲关系</w:t>
      </w:r>
    </w:p>
    <w:p>
      <w:pPr>
        <w:spacing w:line="440" w:lineRule="exact"/>
        <w:rPr>
          <w:rFonts w:ascii="宋体" w:hAnsi="宋体"/>
          <w:sz w:val="22"/>
          <w:szCs w:val="21"/>
        </w:rPr>
      </w:pPr>
      <w:r>
        <w:rPr>
          <w:rFonts w:hint="eastAsia" w:ascii="宋体" w:hAnsi="宋体"/>
          <w:sz w:val="22"/>
          <w:szCs w:val="21"/>
        </w:rPr>
        <w:t xml:space="preserve">    F.法定代表人或负责人或实际控制人存在股份控制或实际控制关系</w:t>
      </w:r>
    </w:p>
    <w:p>
      <w:pPr>
        <w:spacing w:line="440" w:lineRule="exact"/>
        <w:rPr>
          <w:rFonts w:ascii="宋体" w:hAnsi="宋体"/>
          <w:sz w:val="22"/>
          <w:szCs w:val="21"/>
        </w:rPr>
      </w:pPr>
      <w:r>
        <w:rPr>
          <w:rFonts w:hint="eastAsia" w:ascii="宋体" w:hAnsi="宋体"/>
          <w:sz w:val="22"/>
          <w:szCs w:val="21"/>
        </w:rPr>
        <w:t xml:space="preserve">    G.存在共同直接或间接投资设立子公司、联营企业和合营企业情况</w:t>
      </w:r>
    </w:p>
    <w:p>
      <w:pPr>
        <w:spacing w:line="440" w:lineRule="exact"/>
        <w:rPr>
          <w:rFonts w:ascii="宋体" w:hAnsi="宋体"/>
          <w:sz w:val="22"/>
          <w:szCs w:val="21"/>
        </w:rPr>
      </w:pPr>
      <w:r>
        <w:rPr>
          <w:rFonts w:hint="eastAsia" w:ascii="宋体" w:hAnsi="宋体"/>
          <w:sz w:val="22"/>
          <w:szCs w:val="21"/>
        </w:rPr>
        <w:t xml:space="preserve">    H.存在分级代理或代销关系、同一生产制造商关系、管理关系、重要业务（占主营业务收入50%以上）或重要财务往来关系（如融资）等其他实质性控制关系</w:t>
      </w:r>
    </w:p>
    <w:p>
      <w:pPr>
        <w:spacing w:line="440" w:lineRule="exact"/>
        <w:ind w:left="220" w:hanging="220" w:hangingChars="100"/>
        <w:rPr>
          <w:rFonts w:ascii="宋体" w:hAnsi="宋体"/>
          <w:sz w:val="22"/>
          <w:szCs w:val="21"/>
        </w:rPr>
      </w:pPr>
      <w:r>
        <w:rPr>
          <w:rFonts w:hint="eastAsia" w:ascii="宋体" w:hAnsi="宋体"/>
          <w:sz w:val="22"/>
          <w:szCs w:val="21"/>
        </w:rPr>
        <w:t xml:space="preserve">    I.其他利害关系情况 </w:t>
      </w:r>
      <w:r>
        <w:rPr>
          <w:rFonts w:hint="eastAsia" w:ascii="宋体" w:hAnsi="宋体"/>
          <w:sz w:val="22"/>
          <w:szCs w:val="21"/>
          <w:u w:val="single"/>
        </w:rPr>
        <w:t xml:space="preserve">                 </w:t>
      </w:r>
      <w:r>
        <w:rPr>
          <w:rFonts w:hint="eastAsia" w:ascii="宋体" w:hAnsi="宋体"/>
          <w:sz w:val="22"/>
          <w:szCs w:val="21"/>
          <w:u w:val="single"/>
        </w:rPr>
        <w:tab/>
      </w:r>
      <w:r>
        <w:rPr>
          <w:rFonts w:hint="eastAsia" w:ascii="宋体" w:hAnsi="宋体"/>
          <w:sz w:val="22"/>
          <w:szCs w:val="21"/>
          <w:u w:val="single"/>
        </w:rPr>
        <w:tab/>
      </w:r>
      <w:r>
        <w:rPr>
          <w:rFonts w:hint="eastAsia" w:ascii="宋体" w:hAnsi="宋体"/>
          <w:sz w:val="22"/>
          <w:szCs w:val="21"/>
          <w:u w:val="single"/>
        </w:rPr>
        <w:tab/>
      </w:r>
      <w:r>
        <w:rPr>
          <w:rFonts w:hint="eastAsia" w:ascii="宋体" w:hAnsi="宋体"/>
          <w:sz w:val="22"/>
          <w:szCs w:val="21"/>
          <w:u w:val="single"/>
        </w:rPr>
        <w:tab/>
      </w:r>
      <w:r>
        <w:rPr>
          <w:rFonts w:hint="eastAsia" w:ascii="宋体" w:hAnsi="宋体"/>
          <w:sz w:val="22"/>
          <w:szCs w:val="21"/>
          <w:u w:val="single"/>
        </w:rPr>
        <w:tab/>
      </w:r>
      <w:r>
        <w:rPr>
          <w:rFonts w:hint="eastAsia" w:ascii="宋体" w:hAnsi="宋体"/>
          <w:sz w:val="22"/>
          <w:szCs w:val="21"/>
          <w:u w:val="single"/>
        </w:rPr>
        <w:tab/>
      </w:r>
      <w:r>
        <w:rPr>
          <w:rFonts w:hint="eastAsia" w:ascii="宋体" w:hAnsi="宋体"/>
          <w:sz w:val="22"/>
          <w:szCs w:val="21"/>
          <w:u w:val="single"/>
        </w:rPr>
        <w:tab/>
      </w:r>
      <w:r>
        <w:rPr>
          <w:rFonts w:hint="eastAsia" w:ascii="宋体" w:hAnsi="宋体"/>
          <w:sz w:val="22"/>
          <w:szCs w:val="21"/>
          <w:u w:val="single"/>
        </w:rPr>
        <w:tab/>
      </w:r>
    </w:p>
    <w:p>
      <w:pPr>
        <w:spacing w:line="440" w:lineRule="exact"/>
        <w:ind w:firstLine="480"/>
        <w:rPr>
          <w:rFonts w:ascii="宋体" w:hAnsi="宋体"/>
          <w:sz w:val="22"/>
          <w:szCs w:val="21"/>
        </w:rPr>
      </w:pPr>
      <w:r>
        <w:rPr>
          <w:rFonts w:hint="eastAsia" w:ascii="宋体" w:hAnsi="宋体"/>
          <w:sz w:val="22"/>
          <w:szCs w:val="21"/>
        </w:rPr>
        <w:t>三、现已清楚知道并严格遵守政府采购法律法规和现场纪律。</w:t>
      </w:r>
    </w:p>
    <w:p>
      <w:pPr>
        <w:spacing w:line="440" w:lineRule="exact"/>
        <w:ind w:firstLine="480"/>
        <w:rPr>
          <w:rFonts w:ascii="宋体" w:hAnsi="宋体"/>
          <w:sz w:val="22"/>
          <w:szCs w:val="21"/>
        </w:rPr>
      </w:pPr>
      <w:r>
        <w:rPr>
          <w:rFonts w:hint="eastAsia" w:ascii="宋体" w:hAnsi="宋体"/>
          <w:sz w:val="22"/>
          <w:szCs w:val="21"/>
        </w:rPr>
        <w:t>四、我发现</w:t>
      </w:r>
      <w:r>
        <w:rPr>
          <w:rFonts w:hint="eastAsia" w:ascii="宋体" w:hAnsi="宋体"/>
          <w:sz w:val="22"/>
          <w:szCs w:val="21"/>
          <w:u w:val="single"/>
        </w:rPr>
        <w:t xml:space="preserve">                      </w:t>
      </w:r>
      <w:r>
        <w:rPr>
          <w:rFonts w:hint="eastAsia" w:ascii="宋体" w:hAnsi="宋体"/>
          <w:sz w:val="22"/>
          <w:szCs w:val="21"/>
        </w:rPr>
        <w:t>和</w:t>
      </w:r>
      <w:r>
        <w:rPr>
          <w:rFonts w:hint="eastAsia" w:ascii="宋体" w:hAnsi="宋体"/>
          <w:sz w:val="22"/>
          <w:szCs w:val="21"/>
          <w:u w:val="single"/>
        </w:rPr>
        <w:t xml:space="preserve">                  </w:t>
      </w:r>
      <w:r>
        <w:rPr>
          <w:rFonts w:hint="eastAsia" w:ascii="宋体" w:hAnsi="宋体"/>
          <w:sz w:val="22"/>
          <w:szCs w:val="21"/>
        </w:rPr>
        <w:t>供应商之间存在或可能存在上述第二条第</w:t>
      </w:r>
      <w:r>
        <w:rPr>
          <w:rFonts w:hint="eastAsia" w:ascii="宋体" w:hAnsi="宋体"/>
          <w:sz w:val="22"/>
          <w:szCs w:val="21"/>
          <w:u w:val="single"/>
        </w:rPr>
        <w:t xml:space="preserve">        </w:t>
      </w:r>
      <w:r>
        <w:rPr>
          <w:rFonts w:hint="eastAsia" w:ascii="宋体" w:hAnsi="宋体"/>
          <w:sz w:val="22"/>
          <w:szCs w:val="21"/>
        </w:rPr>
        <w:t xml:space="preserve">项利害关系。 </w:t>
      </w:r>
    </w:p>
    <w:p>
      <w:pPr>
        <w:spacing w:line="276" w:lineRule="auto"/>
        <w:ind w:right="960" w:firstLine="4950" w:firstLineChars="2250"/>
        <w:rPr>
          <w:rFonts w:ascii="宋体" w:hAnsi="宋体"/>
          <w:sz w:val="22"/>
          <w:szCs w:val="21"/>
        </w:rPr>
      </w:pPr>
      <w:r>
        <w:rPr>
          <w:rFonts w:hint="eastAsia" w:ascii="宋体" w:hAnsi="宋体"/>
          <w:sz w:val="22"/>
          <w:szCs w:val="21"/>
        </w:rPr>
        <w:t>（投标人代表</w:t>
      </w:r>
      <w:r>
        <w:rPr>
          <w:rFonts w:ascii="宋体" w:hAnsi="宋体"/>
          <w:sz w:val="22"/>
          <w:szCs w:val="21"/>
        </w:rPr>
        <w:t>签名</w:t>
      </w:r>
      <w:r>
        <w:rPr>
          <w:rFonts w:hint="eastAsia" w:ascii="宋体" w:hAnsi="宋体"/>
          <w:sz w:val="22"/>
          <w:szCs w:val="21"/>
        </w:rPr>
        <w:t>）：</w:t>
      </w:r>
    </w:p>
    <w:p>
      <w:pPr>
        <w:spacing w:line="276" w:lineRule="auto"/>
        <w:jc w:val="right"/>
        <w:rPr>
          <w:rFonts w:hAnsi="宋体"/>
          <w:sz w:val="22"/>
        </w:rPr>
      </w:pPr>
      <w:r>
        <w:rPr>
          <w:rFonts w:ascii="宋体" w:hAnsi="宋体"/>
          <w:sz w:val="22"/>
          <w:szCs w:val="21"/>
        </w:rPr>
        <w:t xml:space="preserve">     </w:t>
      </w:r>
      <w:r>
        <w:rPr>
          <w:rFonts w:hint="eastAsia" w:ascii="宋体" w:hAnsi="宋体"/>
          <w:sz w:val="22"/>
          <w:szCs w:val="21"/>
        </w:rPr>
        <w:t xml:space="preserve">   年   月   日</w:t>
      </w:r>
      <w:r>
        <w:rPr>
          <w:rFonts w:hint="eastAsia" w:ascii="宋体" w:hAnsi="宋体"/>
          <w:sz w:val="28"/>
        </w:rPr>
        <w:tab/>
      </w:r>
      <w:r>
        <w:rPr>
          <w:rFonts w:ascii="宋体" w:hAnsi="宋体"/>
          <w:sz w:val="28"/>
        </w:rPr>
        <w:t xml:space="preserve">  </w:t>
      </w:r>
      <w:r>
        <w:rPr>
          <w:rFonts w:hAnsi="宋体"/>
          <w:sz w:val="22"/>
        </w:rPr>
        <w:t xml:space="preserve"> </w:t>
      </w:r>
    </w:p>
    <w:p>
      <w:pPr>
        <w:spacing w:line="276" w:lineRule="auto"/>
        <w:ind w:firstLine="433" w:firstLineChars="196"/>
        <w:rPr>
          <w:rFonts w:hint="eastAsia" w:ascii="宋体" w:hAnsi="宋体"/>
          <w:b/>
          <w:sz w:val="22"/>
          <w:szCs w:val="21"/>
        </w:rPr>
      </w:pPr>
    </w:p>
    <w:p>
      <w:pPr>
        <w:spacing w:line="276" w:lineRule="auto"/>
        <w:ind w:firstLine="433" w:firstLineChars="196"/>
        <w:rPr>
          <w:rFonts w:hint="eastAsia" w:ascii="宋体" w:hAnsi="宋体"/>
          <w:b/>
          <w:sz w:val="22"/>
          <w:szCs w:val="21"/>
        </w:rPr>
      </w:pPr>
      <w:r>
        <w:rPr>
          <w:rFonts w:hint="eastAsia" w:ascii="宋体" w:hAnsi="宋体"/>
          <w:b/>
          <w:sz w:val="22"/>
          <w:szCs w:val="21"/>
        </w:rPr>
        <w:t>注：1.投标人认为有利害关系和需要回避的人员，应提供相关证明材料，与本声明书一同提交。由采购代理</w:t>
      </w:r>
      <w:r>
        <w:rPr>
          <w:rFonts w:ascii="宋体" w:hAnsi="宋体"/>
          <w:b/>
          <w:sz w:val="22"/>
          <w:szCs w:val="21"/>
        </w:rPr>
        <w:t>机构</w:t>
      </w:r>
      <w:r>
        <w:rPr>
          <w:rFonts w:hint="eastAsia" w:ascii="宋体" w:hAnsi="宋体"/>
          <w:b/>
          <w:sz w:val="22"/>
          <w:szCs w:val="21"/>
        </w:rPr>
        <w:t>和财政监督</w:t>
      </w:r>
      <w:r>
        <w:rPr>
          <w:rFonts w:ascii="宋体" w:hAnsi="宋体"/>
          <w:b/>
          <w:sz w:val="22"/>
          <w:szCs w:val="21"/>
        </w:rPr>
        <w:t>部门</w:t>
      </w:r>
      <w:r>
        <w:rPr>
          <w:rFonts w:hint="eastAsia" w:ascii="宋体" w:hAnsi="宋体"/>
          <w:b/>
          <w:sz w:val="22"/>
          <w:szCs w:val="21"/>
        </w:rPr>
        <w:t>负责询问核查。</w:t>
      </w:r>
    </w:p>
    <w:p>
      <w:pPr>
        <w:spacing w:line="276" w:lineRule="auto"/>
        <w:ind w:firstLine="766" w:firstLineChars="347"/>
        <w:rPr>
          <w:rFonts w:hint="eastAsia" w:ascii="宋体" w:hAnsi="宋体"/>
          <w:b/>
          <w:sz w:val="22"/>
          <w:szCs w:val="21"/>
        </w:rPr>
      </w:pPr>
      <w:r>
        <w:rPr>
          <w:rFonts w:hint="eastAsia" w:ascii="宋体" w:hAnsi="宋体"/>
          <w:b/>
          <w:sz w:val="22"/>
          <w:szCs w:val="21"/>
        </w:rPr>
        <w:t>2. 投标人根据解密后交易平台公布的投标人名单及信息，通过现场或邮件方式提交《政府采购活动现场确认声明书》，提交时间在名单公布后的20分钟内，未在规定时间内提交的，视为均无利害关系。</w:t>
      </w:r>
    </w:p>
    <w:p>
      <w:pPr>
        <w:pStyle w:val="2"/>
        <w:rPr>
          <w:rFonts w:hint="eastAsia"/>
          <w:lang w:val="en-US"/>
        </w:rPr>
      </w:pPr>
    </w:p>
    <w:p>
      <w:pPr>
        <w:rPr>
          <w:rFonts w:hint="eastAsia"/>
        </w:rPr>
      </w:pPr>
    </w:p>
    <w:p>
      <w:pPr>
        <w:pStyle w:val="5"/>
        <w:spacing w:line="560" w:lineRule="exact"/>
        <w:rPr>
          <w:rFonts w:hint="eastAsia" w:ascii="宋体" w:hAnsi="宋体" w:eastAsia="宋体"/>
        </w:rPr>
      </w:pPr>
      <w:bookmarkStart w:id="166" w:name="_Toc112414201"/>
      <w:r>
        <w:rPr>
          <w:rFonts w:hint="eastAsia" w:ascii="宋体" w:hAnsi="宋体" w:eastAsia="宋体"/>
        </w:rPr>
        <w:t>第六章</w:t>
      </w:r>
      <w:r>
        <w:rPr>
          <w:rFonts w:ascii="宋体" w:hAnsi="宋体" w:eastAsia="宋体"/>
        </w:rPr>
        <w:t xml:space="preserve">  </w:t>
      </w:r>
      <w:r>
        <w:rPr>
          <w:rFonts w:hint="eastAsia" w:ascii="宋体" w:hAnsi="宋体" w:eastAsia="宋体"/>
        </w:rPr>
        <w:t>评标办法和细则</w:t>
      </w:r>
      <w:bookmarkEnd w:id="166"/>
    </w:p>
    <w:p>
      <w:pPr>
        <w:pStyle w:val="32"/>
        <w:snapToGrid/>
        <w:spacing w:line="360" w:lineRule="auto"/>
        <w:ind w:firstLineChars="200"/>
        <w:rPr>
          <w:rFonts w:hint="eastAsia" w:ascii="宋体" w:hAnsi="宋体" w:eastAsia="宋体"/>
        </w:rPr>
      </w:pPr>
      <w:r>
        <w:rPr>
          <w:rFonts w:hint="eastAsia" w:ascii="宋体" w:hAnsi="宋体" w:eastAsia="宋体"/>
        </w:rPr>
        <w:t>根据《中华人民共和国政府采购法》等有关法律法规的规定，并结合本项目的实际，按照公正、公平、科学、择优的原则选择中标人，特制定本办法。</w:t>
      </w:r>
    </w:p>
    <w:p>
      <w:pPr>
        <w:pStyle w:val="6"/>
        <w:spacing w:line="560" w:lineRule="exact"/>
        <w:ind w:firstLine="300" w:firstLineChars="100"/>
        <w:rPr>
          <w:rFonts w:ascii="宋体" w:hAnsi="宋体" w:eastAsia="宋体"/>
          <w:b w:val="0"/>
          <w:bCs w:val="0"/>
        </w:rPr>
      </w:pPr>
      <w:bookmarkStart w:id="167" w:name="_Toc112414202"/>
      <w:r>
        <w:rPr>
          <w:rFonts w:hint="eastAsia" w:ascii="宋体" w:hAnsi="宋体" w:eastAsia="宋体"/>
          <w:b w:val="0"/>
          <w:bCs w:val="0"/>
        </w:rPr>
        <w:t>一   总则</w:t>
      </w:r>
      <w:bookmarkEnd w:id="167"/>
    </w:p>
    <w:p>
      <w:pPr>
        <w:spacing w:line="360" w:lineRule="auto"/>
        <w:ind w:firstLine="480" w:firstLineChars="200"/>
        <w:rPr>
          <w:rFonts w:hint="eastAsia" w:ascii="宋体" w:hAnsi="宋体"/>
          <w:sz w:val="24"/>
        </w:rPr>
      </w:pPr>
      <w:r>
        <w:rPr>
          <w:rFonts w:hint="eastAsia" w:ascii="宋体" w:hAnsi="宋体"/>
          <w:sz w:val="24"/>
        </w:rPr>
        <w:t>1.1</w:t>
      </w:r>
      <w:r>
        <w:rPr>
          <w:rFonts w:ascii="宋体" w:hAnsi="宋体"/>
          <w:sz w:val="24"/>
        </w:rPr>
        <w:t xml:space="preserve"> </w:t>
      </w:r>
      <w:r>
        <w:rPr>
          <w:rFonts w:hint="eastAsia" w:ascii="宋体" w:hAnsi="宋体"/>
          <w:sz w:val="24"/>
        </w:rPr>
        <w:t>为最大限度地保护各当事人的权益，评审委员会应严格按照招标文件的技术、资信及商务、报价要求，对</w:t>
      </w:r>
      <w:r>
        <w:rPr>
          <w:rFonts w:hint="eastAsia" w:ascii="宋体" w:hAnsi="宋体"/>
          <w:kern w:val="0"/>
          <w:sz w:val="24"/>
        </w:rPr>
        <w:t>投标文件</w:t>
      </w:r>
      <w:r>
        <w:rPr>
          <w:rFonts w:hint="eastAsia" w:ascii="宋体" w:hAnsi="宋体"/>
          <w:sz w:val="24"/>
        </w:rPr>
        <w:t>进行综合分析评价并编制评标报告。评审专家必须严格遵守保密规定，不得泄漏评标有关的情况，不得索贿受贿，不得参加影响评标的任何活动。</w:t>
      </w:r>
    </w:p>
    <w:p>
      <w:pPr>
        <w:spacing w:line="360" w:lineRule="auto"/>
        <w:ind w:firstLine="482" w:firstLineChars="200"/>
        <w:rPr>
          <w:rFonts w:hint="eastAsia" w:ascii="宋体" w:hAnsi="宋体"/>
          <w:b/>
          <w:sz w:val="24"/>
        </w:rPr>
      </w:pPr>
      <w:r>
        <w:rPr>
          <w:rFonts w:hint="eastAsia" w:ascii="宋体" w:hAnsi="宋体"/>
          <w:b/>
          <w:sz w:val="24"/>
        </w:rPr>
        <w:t>1.</w:t>
      </w:r>
      <w:r>
        <w:rPr>
          <w:rFonts w:ascii="宋体" w:hAnsi="宋体"/>
          <w:b/>
          <w:sz w:val="24"/>
        </w:rPr>
        <w:t>2</w:t>
      </w:r>
      <w:r>
        <w:rPr>
          <w:rFonts w:hint="eastAsia" w:ascii="宋体" w:hAnsi="宋体"/>
          <w:b/>
          <w:sz w:val="24"/>
        </w:rPr>
        <w:t>本次评审方法采取百分制综合评分法，按总得分由高到低顺序排列。总得分相同的，按报价得分由高到低顺序排列；总得分和报价得分均相同的，按技术部分得分由高到低顺序排列；以上得分均相同的，由采购人抽签确定排名（即第一抽出人为第一名，以此类推）。评审委员会按总得分从高到低推荐预中标人，由采购人确定本项目中标人。</w:t>
      </w:r>
    </w:p>
    <w:p>
      <w:pPr>
        <w:pStyle w:val="6"/>
        <w:spacing w:line="560" w:lineRule="exact"/>
        <w:ind w:firstLine="300" w:firstLineChars="100"/>
        <w:rPr>
          <w:rFonts w:ascii="宋体" w:hAnsi="宋体" w:eastAsia="宋体"/>
          <w:b w:val="0"/>
          <w:bCs w:val="0"/>
        </w:rPr>
      </w:pPr>
      <w:bookmarkStart w:id="168" w:name="_Toc112414203"/>
      <w:r>
        <w:rPr>
          <w:rFonts w:hint="eastAsia" w:ascii="宋体" w:hAnsi="宋体" w:eastAsia="宋体"/>
          <w:b w:val="0"/>
          <w:bCs w:val="0"/>
        </w:rPr>
        <w:t>二   评审委员会</w:t>
      </w:r>
      <w:bookmarkEnd w:id="168"/>
    </w:p>
    <w:p>
      <w:pPr>
        <w:spacing w:line="360" w:lineRule="auto"/>
        <w:ind w:firstLine="480" w:firstLineChars="200"/>
        <w:rPr>
          <w:rFonts w:ascii="宋体" w:hAnsi="宋体"/>
          <w:sz w:val="24"/>
          <w:szCs w:val="20"/>
        </w:rPr>
      </w:pPr>
      <w:r>
        <w:rPr>
          <w:rFonts w:hint="eastAsia" w:ascii="宋体" w:hAnsi="宋体"/>
          <w:sz w:val="24"/>
        </w:rPr>
        <w:t>2.1</w:t>
      </w:r>
      <w:r>
        <w:rPr>
          <w:rFonts w:ascii="宋体" w:hAnsi="宋体"/>
          <w:sz w:val="24"/>
        </w:rPr>
        <w:t>评审委员会</w:t>
      </w:r>
    </w:p>
    <w:p>
      <w:pPr>
        <w:spacing w:line="360" w:lineRule="auto"/>
        <w:ind w:firstLine="480" w:firstLineChars="200"/>
        <w:rPr>
          <w:rFonts w:ascii="宋体" w:hAnsi="宋体"/>
          <w:sz w:val="24"/>
        </w:rPr>
      </w:pPr>
      <w:r>
        <w:rPr>
          <w:rFonts w:hint="eastAsia" w:ascii="宋体" w:hAnsi="宋体"/>
          <w:sz w:val="24"/>
        </w:rPr>
        <w:t>2.1.1</w:t>
      </w:r>
      <w:r>
        <w:rPr>
          <w:rFonts w:ascii="宋体" w:hAnsi="宋体"/>
          <w:sz w:val="24"/>
        </w:rPr>
        <w:t>成员：由</w:t>
      </w:r>
      <w:r>
        <w:rPr>
          <w:rFonts w:hint="eastAsia" w:ascii="宋体" w:hAnsi="宋体"/>
          <w:sz w:val="24"/>
        </w:rPr>
        <w:t>五人及以上单数组成</w:t>
      </w:r>
      <w:r>
        <w:rPr>
          <w:rFonts w:ascii="宋体" w:hAnsi="宋体"/>
          <w:sz w:val="24"/>
        </w:rPr>
        <w:t>，</w:t>
      </w:r>
      <w:r>
        <w:rPr>
          <w:rFonts w:hint="eastAsia" w:ascii="宋体" w:hAnsi="宋体"/>
          <w:sz w:val="24"/>
        </w:rPr>
        <w:t>除国务院财政部门规定的情形外，评审专家由采购代理机构在政府采购专家库中随机抽取。评审委员会</w:t>
      </w:r>
      <w:r>
        <w:rPr>
          <w:rFonts w:hint="eastAsia" w:ascii="宋体" w:hAnsi="宋体"/>
          <w:kern w:val="0"/>
          <w:sz w:val="24"/>
        </w:rPr>
        <w:t>对投标文件进行符合性审查、询标、评价和推荐中标候选人。</w:t>
      </w:r>
    </w:p>
    <w:p>
      <w:pPr>
        <w:spacing w:line="360" w:lineRule="auto"/>
        <w:ind w:firstLine="480" w:firstLineChars="200"/>
        <w:rPr>
          <w:rFonts w:hint="eastAsia" w:ascii="宋体" w:hAnsi="宋体"/>
          <w:sz w:val="24"/>
        </w:rPr>
      </w:pPr>
      <w:r>
        <w:rPr>
          <w:rFonts w:hint="eastAsia" w:ascii="宋体" w:hAnsi="宋体"/>
          <w:sz w:val="24"/>
        </w:rPr>
        <w:t>2.1.2职责</w:t>
      </w:r>
      <w:r>
        <w:rPr>
          <w:rFonts w:ascii="宋体" w:hAnsi="宋体"/>
          <w:sz w:val="24"/>
        </w:rPr>
        <w:t>：</w:t>
      </w:r>
      <w:r>
        <w:rPr>
          <w:rFonts w:hint="eastAsia" w:ascii="宋体" w:hAnsi="宋体"/>
          <w:sz w:val="24"/>
        </w:rPr>
        <w:t>严格按政府采购法律法规的有关规定执行，评审专家应按招标文件规定的评审要求、评审程序、评审内容、评审方法和评审标准进行评审，对评审意见承担个人责任。</w:t>
      </w:r>
    </w:p>
    <w:p>
      <w:pPr>
        <w:spacing w:line="360" w:lineRule="auto"/>
        <w:rPr>
          <w:rFonts w:ascii="宋体" w:hAnsi="宋体"/>
          <w:sz w:val="24"/>
        </w:rPr>
      </w:pPr>
      <w:r>
        <w:rPr>
          <w:rFonts w:hint="eastAsia" w:ascii="宋体" w:hAnsi="宋体"/>
          <w:sz w:val="24"/>
        </w:rPr>
        <w:t xml:space="preserve">    2.2评审专家的评审情况和评审意见受监督人员和采购代理机构审查，如发现评审专家的评审意见带有明显倾向性，或不按规定程序和标准评审、计分的，可要求评审专家进行书面澄清和说明。</w:t>
      </w:r>
    </w:p>
    <w:p>
      <w:pPr>
        <w:pStyle w:val="6"/>
        <w:spacing w:line="240" w:lineRule="auto"/>
        <w:ind w:firstLine="300" w:firstLineChars="100"/>
        <w:rPr>
          <w:rFonts w:hint="eastAsia" w:ascii="宋体" w:hAnsi="宋体" w:eastAsia="宋体"/>
          <w:b w:val="0"/>
          <w:bCs w:val="0"/>
        </w:rPr>
      </w:pPr>
      <w:bookmarkStart w:id="169" w:name="_Toc112414204"/>
      <w:r>
        <w:rPr>
          <w:rFonts w:hint="eastAsia" w:ascii="宋体" w:hAnsi="宋体" w:eastAsia="宋体"/>
          <w:b w:val="0"/>
          <w:bCs w:val="0"/>
        </w:rPr>
        <w:t>三   评标程序</w:t>
      </w:r>
      <w:bookmarkEnd w:id="169"/>
    </w:p>
    <w:p>
      <w:pPr>
        <w:spacing w:line="360" w:lineRule="auto"/>
        <w:ind w:firstLine="482" w:firstLineChars="200"/>
        <w:rPr>
          <w:rFonts w:ascii="宋体" w:hAnsi="宋体"/>
          <w:b/>
          <w:sz w:val="24"/>
        </w:rPr>
      </w:pPr>
      <w:r>
        <w:rPr>
          <w:rFonts w:hint="eastAsia" w:ascii="宋体" w:hAnsi="宋体"/>
          <w:b/>
          <w:sz w:val="24"/>
        </w:rPr>
        <w:t>3.</w:t>
      </w:r>
      <w:r>
        <w:rPr>
          <w:rFonts w:ascii="宋体" w:hAnsi="宋体"/>
          <w:b/>
          <w:sz w:val="24"/>
        </w:rPr>
        <w:t xml:space="preserve">1 </w:t>
      </w:r>
      <w:r>
        <w:rPr>
          <w:rFonts w:hint="eastAsia" w:ascii="宋体" w:hAnsi="宋体"/>
          <w:b/>
          <w:sz w:val="24"/>
        </w:rPr>
        <w:t>符合性</w:t>
      </w:r>
      <w:r>
        <w:rPr>
          <w:rFonts w:ascii="宋体" w:hAnsi="宋体"/>
          <w:b/>
          <w:sz w:val="24"/>
        </w:rPr>
        <w:t>审查</w:t>
      </w:r>
    </w:p>
    <w:p>
      <w:pPr>
        <w:spacing w:line="360" w:lineRule="auto"/>
        <w:ind w:firstLine="480" w:firstLineChars="200"/>
        <w:rPr>
          <w:rFonts w:hint="eastAsia" w:ascii="宋体" w:hAnsi="宋体"/>
          <w:sz w:val="24"/>
        </w:rPr>
      </w:pPr>
      <w:r>
        <w:rPr>
          <w:rFonts w:hint="eastAsia" w:ascii="宋体" w:hAnsi="宋体"/>
          <w:sz w:val="24"/>
        </w:rPr>
        <w:t>评审委员会依据招标</w:t>
      </w:r>
      <w:r>
        <w:rPr>
          <w:rFonts w:ascii="宋体" w:hAnsi="宋体"/>
          <w:sz w:val="24"/>
        </w:rPr>
        <w:t>文件的规定，从</w:t>
      </w:r>
      <w:r>
        <w:rPr>
          <w:rFonts w:hint="eastAsia" w:ascii="宋体" w:hAnsi="宋体"/>
          <w:sz w:val="24"/>
        </w:rPr>
        <w:t>投标文件</w:t>
      </w:r>
      <w:r>
        <w:rPr>
          <w:rFonts w:ascii="宋体" w:hAnsi="宋体"/>
          <w:sz w:val="24"/>
        </w:rPr>
        <w:t>的有效性、完整性和对招标文件的响应程度</w:t>
      </w:r>
      <w:r>
        <w:rPr>
          <w:rFonts w:hint="eastAsia" w:ascii="宋体" w:hAnsi="宋体"/>
          <w:sz w:val="24"/>
        </w:rPr>
        <w:t>进行</w:t>
      </w:r>
      <w:r>
        <w:rPr>
          <w:rFonts w:ascii="宋体" w:hAnsi="宋体"/>
          <w:sz w:val="24"/>
        </w:rPr>
        <w:t>审查，以确定</w:t>
      </w:r>
      <w:r>
        <w:rPr>
          <w:rFonts w:hint="eastAsia" w:ascii="宋体" w:hAnsi="宋体"/>
          <w:sz w:val="24"/>
        </w:rPr>
        <w:t>是否</w:t>
      </w:r>
      <w:r>
        <w:rPr>
          <w:rFonts w:ascii="宋体" w:hAnsi="宋体"/>
          <w:sz w:val="24"/>
        </w:rPr>
        <w:t>对招标文件的实质性要求作出响应。</w:t>
      </w:r>
      <w:r>
        <w:rPr>
          <w:rFonts w:hint="eastAsia" w:ascii="宋体" w:hAnsi="宋体"/>
          <w:sz w:val="24"/>
        </w:rPr>
        <w:t>通过符合性审查不足</w:t>
      </w:r>
      <w:r>
        <w:rPr>
          <w:rFonts w:ascii="宋体" w:hAnsi="宋体"/>
          <w:sz w:val="24"/>
        </w:rPr>
        <w:t>三家的</w:t>
      </w:r>
      <w:r>
        <w:rPr>
          <w:rFonts w:hint="eastAsia" w:ascii="宋体" w:hAnsi="宋体"/>
          <w:sz w:val="24"/>
        </w:rPr>
        <w:t>，</w:t>
      </w:r>
      <w:r>
        <w:rPr>
          <w:rFonts w:ascii="宋体" w:hAnsi="宋体"/>
          <w:sz w:val="24"/>
        </w:rPr>
        <w:t>除采购任务取消</w:t>
      </w:r>
      <w:r>
        <w:rPr>
          <w:rFonts w:hint="eastAsia" w:ascii="宋体" w:hAnsi="宋体"/>
          <w:sz w:val="24"/>
        </w:rPr>
        <w:t>情形</w:t>
      </w:r>
      <w:r>
        <w:rPr>
          <w:rFonts w:ascii="宋体" w:hAnsi="宋体"/>
          <w:sz w:val="24"/>
        </w:rPr>
        <w:t>外</w:t>
      </w:r>
      <w:r>
        <w:rPr>
          <w:rFonts w:hint="eastAsia" w:ascii="宋体" w:hAnsi="宋体"/>
          <w:sz w:val="24"/>
        </w:rPr>
        <w:t>，</w:t>
      </w:r>
      <w:r>
        <w:rPr>
          <w:rFonts w:ascii="宋体" w:hAnsi="宋体"/>
          <w:sz w:val="24"/>
        </w:rPr>
        <w:t>按</w:t>
      </w:r>
      <w:r>
        <w:rPr>
          <w:rFonts w:hint="eastAsia" w:ascii="宋体" w:hAnsi="宋体"/>
          <w:sz w:val="24"/>
        </w:rPr>
        <w:t>相关</w:t>
      </w:r>
      <w:r>
        <w:rPr>
          <w:rFonts w:ascii="宋体" w:hAnsi="宋体"/>
          <w:sz w:val="24"/>
        </w:rPr>
        <w:t>规定</w:t>
      </w:r>
      <w:r>
        <w:rPr>
          <w:rFonts w:hint="eastAsia" w:ascii="宋体" w:hAnsi="宋体"/>
          <w:sz w:val="24"/>
        </w:rPr>
        <w:t>重新组织招标。</w:t>
      </w:r>
    </w:p>
    <w:p>
      <w:pPr>
        <w:spacing w:line="360" w:lineRule="auto"/>
        <w:ind w:firstLine="482" w:firstLineChars="200"/>
        <w:rPr>
          <w:rFonts w:hint="eastAsia" w:ascii="宋体" w:hAnsi="宋体"/>
          <w:b/>
          <w:sz w:val="24"/>
        </w:rPr>
      </w:pPr>
      <w:r>
        <w:rPr>
          <w:rFonts w:hint="eastAsia" w:ascii="宋体" w:hAnsi="宋体"/>
          <w:b/>
          <w:sz w:val="24"/>
        </w:rPr>
        <w:t>3.2</w:t>
      </w:r>
      <w:r>
        <w:rPr>
          <w:rFonts w:ascii="宋体" w:hAnsi="宋体"/>
          <w:b/>
          <w:sz w:val="24"/>
        </w:rPr>
        <w:t xml:space="preserve"> </w:t>
      </w:r>
      <w:r>
        <w:rPr>
          <w:rFonts w:hint="eastAsia" w:ascii="宋体" w:hAnsi="宋体"/>
          <w:b/>
          <w:sz w:val="24"/>
        </w:rPr>
        <w:t>资信商务及技术文件评审</w:t>
      </w:r>
    </w:p>
    <w:p>
      <w:pPr>
        <w:spacing w:line="360" w:lineRule="auto"/>
        <w:ind w:firstLine="480" w:firstLineChars="200"/>
        <w:rPr>
          <w:rFonts w:hint="eastAsia" w:ascii="宋体" w:hAnsi="宋体"/>
          <w:sz w:val="24"/>
        </w:rPr>
      </w:pPr>
      <w:r>
        <w:rPr>
          <w:rFonts w:hint="eastAsia" w:ascii="宋体" w:hAnsi="宋体"/>
          <w:sz w:val="24"/>
        </w:rPr>
        <w:t>3.2.1评审委员会依据招标文件的规定，对各</w:t>
      </w:r>
      <w:r>
        <w:rPr>
          <w:rFonts w:hint="eastAsia" w:ascii="宋体" w:hAnsi="宋体"/>
          <w:kern w:val="0"/>
          <w:sz w:val="24"/>
        </w:rPr>
        <w:t>投标人的</w:t>
      </w:r>
      <w:r>
        <w:rPr>
          <w:rFonts w:hint="eastAsia" w:ascii="宋体" w:hAnsi="宋体"/>
          <w:sz w:val="24"/>
        </w:rPr>
        <w:t>资信商务部分进行评审，对客观分应统一意见后统一给分。</w:t>
      </w:r>
    </w:p>
    <w:p>
      <w:pPr>
        <w:spacing w:line="360" w:lineRule="auto"/>
        <w:ind w:firstLine="480" w:firstLineChars="200"/>
        <w:rPr>
          <w:rFonts w:ascii="宋体" w:hAnsi="宋体"/>
          <w:sz w:val="24"/>
        </w:rPr>
      </w:pPr>
      <w:r>
        <w:rPr>
          <w:rFonts w:hint="eastAsia" w:ascii="宋体" w:hAnsi="宋体"/>
          <w:sz w:val="24"/>
        </w:rPr>
        <w:t>3.2.2评审委员会依据招标</w:t>
      </w:r>
      <w:r>
        <w:rPr>
          <w:rFonts w:ascii="宋体" w:hAnsi="宋体"/>
          <w:sz w:val="24"/>
        </w:rPr>
        <w:t>文件</w:t>
      </w:r>
      <w:r>
        <w:rPr>
          <w:rFonts w:hint="eastAsia" w:ascii="宋体" w:hAnsi="宋体"/>
          <w:sz w:val="24"/>
        </w:rPr>
        <w:t>的规定，对各</w:t>
      </w:r>
      <w:r>
        <w:rPr>
          <w:rFonts w:hint="eastAsia" w:ascii="宋体" w:hAnsi="宋体"/>
          <w:kern w:val="0"/>
          <w:sz w:val="24"/>
        </w:rPr>
        <w:t>投标人的</w:t>
      </w:r>
      <w:r>
        <w:rPr>
          <w:rFonts w:hint="eastAsia" w:ascii="宋体" w:hAnsi="宋体"/>
          <w:sz w:val="24"/>
        </w:rPr>
        <w:t>技术部分进行独立评审，对各</w:t>
      </w:r>
      <w:r>
        <w:rPr>
          <w:rFonts w:hint="eastAsia" w:ascii="宋体" w:hAnsi="宋体"/>
          <w:kern w:val="0"/>
          <w:sz w:val="24"/>
        </w:rPr>
        <w:t>投标文件</w:t>
      </w:r>
      <w:r>
        <w:rPr>
          <w:rFonts w:hint="eastAsia" w:ascii="宋体" w:hAnsi="宋体"/>
          <w:sz w:val="24"/>
        </w:rPr>
        <w:t>进行比较和必要的澄清，若有</w:t>
      </w:r>
      <w:r>
        <w:rPr>
          <w:rFonts w:ascii="宋体" w:hAnsi="宋体"/>
          <w:sz w:val="24"/>
        </w:rPr>
        <w:t>演示</w:t>
      </w:r>
      <w:r>
        <w:rPr>
          <w:rFonts w:hint="eastAsia" w:ascii="宋体" w:hAnsi="宋体"/>
          <w:sz w:val="24"/>
        </w:rPr>
        <w:t>（或述标）、</w:t>
      </w:r>
      <w:r>
        <w:rPr>
          <w:rFonts w:ascii="宋体" w:hAnsi="宋体"/>
          <w:sz w:val="24"/>
        </w:rPr>
        <w:t>样品</w:t>
      </w:r>
      <w:r>
        <w:rPr>
          <w:rFonts w:hint="eastAsia" w:ascii="宋体" w:hAnsi="宋体"/>
          <w:sz w:val="24"/>
        </w:rPr>
        <w:t>要求</w:t>
      </w:r>
      <w:r>
        <w:rPr>
          <w:rFonts w:ascii="宋体" w:hAnsi="宋体"/>
          <w:sz w:val="24"/>
        </w:rPr>
        <w:t>和技术文件</w:t>
      </w:r>
      <w:r>
        <w:rPr>
          <w:rFonts w:hint="eastAsia" w:ascii="宋体" w:hAnsi="宋体"/>
          <w:sz w:val="24"/>
        </w:rPr>
        <w:t>评审同步进行，演示（或述标）顺</w:t>
      </w:r>
      <w:r>
        <w:rPr>
          <w:rFonts w:ascii="宋体" w:hAnsi="宋体"/>
          <w:sz w:val="24"/>
        </w:rPr>
        <w:t>序</w:t>
      </w:r>
      <w:r>
        <w:rPr>
          <w:rFonts w:hint="eastAsia" w:ascii="宋体" w:hAnsi="宋体"/>
          <w:b/>
          <w:sz w:val="24"/>
        </w:rPr>
        <w:t>为电子交易平台解密后自动生成的“</w:t>
      </w:r>
      <w:r>
        <w:rPr>
          <w:rFonts w:ascii="宋体" w:hAnsi="宋体"/>
          <w:b/>
          <w:sz w:val="24"/>
        </w:rPr>
        <w:t>投标（响应）文件签收登记表”</w:t>
      </w:r>
      <w:r>
        <w:rPr>
          <w:rFonts w:hint="eastAsia" w:ascii="宋体" w:hAnsi="宋体"/>
          <w:b/>
          <w:sz w:val="24"/>
        </w:rPr>
        <w:t>名单顺序</w:t>
      </w:r>
      <w:r>
        <w:rPr>
          <w:rFonts w:hint="eastAsia" w:ascii="宋体" w:hAnsi="宋体"/>
          <w:sz w:val="24"/>
        </w:rPr>
        <w:t>，</w:t>
      </w:r>
      <w:r>
        <w:rPr>
          <w:rFonts w:ascii="宋体" w:hAnsi="宋体"/>
          <w:sz w:val="24"/>
        </w:rPr>
        <w:t>并根据</w:t>
      </w:r>
      <w:r>
        <w:rPr>
          <w:rFonts w:hint="eastAsia" w:ascii="宋体" w:hAnsi="宋体"/>
          <w:sz w:val="24"/>
        </w:rPr>
        <w:t>审查、澄清、演示（或述标）</w:t>
      </w:r>
      <w:r>
        <w:rPr>
          <w:rFonts w:ascii="宋体" w:hAnsi="宋体"/>
          <w:sz w:val="24"/>
        </w:rPr>
        <w:t>、样品等情况</w:t>
      </w:r>
      <w:r>
        <w:rPr>
          <w:rFonts w:hint="eastAsia" w:ascii="宋体" w:hAnsi="宋体"/>
          <w:sz w:val="24"/>
        </w:rPr>
        <w:t>结合评审</w:t>
      </w:r>
      <w:r>
        <w:rPr>
          <w:rFonts w:ascii="宋体" w:hAnsi="宋体"/>
          <w:sz w:val="24"/>
        </w:rPr>
        <w:t>办法</w:t>
      </w:r>
      <w:r>
        <w:rPr>
          <w:rFonts w:hint="eastAsia" w:ascii="宋体" w:hAnsi="宋体"/>
          <w:sz w:val="24"/>
        </w:rPr>
        <w:t>进行独立打分；</w:t>
      </w:r>
    </w:p>
    <w:p>
      <w:pPr>
        <w:spacing w:line="360" w:lineRule="auto"/>
        <w:ind w:firstLine="480" w:firstLineChars="200"/>
        <w:rPr>
          <w:rFonts w:hint="eastAsia" w:ascii="宋体" w:hAnsi="宋体"/>
          <w:sz w:val="24"/>
        </w:rPr>
      </w:pPr>
      <w:r>
        <w:rPr>
          <w:rFonts w:hint="eastAsia" w:ascii="宋体" w:hAnsi="宋体"/>
          <w:sz w:val="24"/>
        </w:rPr>
        <w:t>3.2.3各投标人的资信商务及技术得分，为各评审专家对该投标人的评分汇总后的算术平均数。</w:t>
      </w:r>
    </w:p>
    <w:p>
      <w:pPr>
        <w:spacing w:line="360" w:lineRule="auto"/>
        <w:ind w:firstLine="482" w:firstLineChars="200"/>
        <w:rPr>
          <w:rFonts w:ascii="宋体" w:hAnsi="宋体"/>
          <w:b/>
          <w:sz w:val="24"/>
        </w:rPr>
      </w:pPr>
      <w:r>
        <w:rPr>
          <w:rFonts w:ascii="宋体" w:hAnsi="宋体"/>
          <w:b/>
          <w:sz w:val="24"/>
        </w:rPr>
        <w:t>3.4</w:t>
      </w:r>
      <w:r>
        <w:rPr>
          <w:rFonts w:hint="eastAsia" w:ascii="宋体" w:hAnsi="宋体"/>
          <w:b/>
          <w:sz w:val="24"/>
        </w:rPr>
        <w:t>通过政采云平台公布各投标人的资信商务及技术得分，开启有效投标人的报价文件。</w:t>
      </w:r>
    </w:p>
    <w:p>
      <w:pPr>
        <w:spacing w:line="360" w:lineRule="auto"/>
        <w:ind w:firstLine="482" w:firstLineChars="200"/>
        <w:rPr>
          <w:rFonts w:hint="eastAsia" w:ascii="宋体" w:hAnsi="宋体"/>
          <w:b/>
          <w:sz w:val="24"/>
        </w:rPr>
      </w:pPr>
      <w:r>
        <w:rPr>
          <w:rFonts w:ascii="宋体" w:hAnsi="宋体"/>
          <w:b/>
          <w:sz w:val="24"/>
        </w:rPr>
        <w:t>3.</w:t>
      </w:r>
      <w:r>
        <w:rPr>
          <w:rFonts w:hint="eastAsia" w:ascii="宋体" w:hAnsi="宋体"/>
          <w:b/>
          <w:sz w:val="24"/>
        </w:rPr>
        <w:t>5</w:t>
      </w:r>
      <w:r>
        <w:rPr>
          <w:rFonts w:ascii="宋体" w:hAnsi="宋体"/>
          <w:b/>
          <w:sz w:val="24"/>
        </w:rPr>
        <w:t xml:space="preserve"> </w:t>
      </w:r>
      <w:r>
        <w:rPr>
          <w:rFonts w:hint="eastAsia" w:ascii="宋体" w:hAnsi="宋体"/>
          <w:b/>
          <w:sz w:val="24"/>
        </w:rPr>
        <w:t>报价文件评审</w:t>
      </w:r>
    </w:p>
    <w:p>
      <w:pPr>
        <w:spacing w:line="360" w:lineRule="auto"/>
        <w:ind w:firstLine="480" w:firstLineChars="200"/>
        <w:rPr>
          <w:rFonts w:hint="eastAsia" w:ascii="宋体" w:hAnsi="宋体"/>
          <w:sz w:val="24"/>
        </w:rPr>
      </w:pPr>
      <w:r>
        <w:rPr>
          <w:rFonts w:hint="eastAsia" w:ascii="宋体" w:hAnsi="宋体"/>
          <w:sz w:val="24"/>
        </w:rPr>
        <w:t>3.5.1</w:t>
      </w:r>
      <w:r>
        <w:rPr>
          <w:rFonts w:ascii="宋体" w:hAnsi="宋体"/>
          <w:sz w:val="24"/>
        </w:rPr>
        <w:t xml:space="preserve"> </w:t>
      </w:r>
      <w:r>
        <w:rPr>
          <w:rFonts w:hint="eastAsia" w:ascii="宋体" w:hAnsi="宋体"/>
          <w:sz w:val="24"/>
        </w:rPr>
        <w:t>评审委员会依据招标文件的规定，对各投标</w:t>
      </w:r>
      <w:r>
        <w:rPr>
          <w:rFonts w:ascii="宋体" w:hAnsi="宋体"/>
          <w:sz w:val="24"/>
        </w:rPr>
        <w:t>人的</w:t>
      </w:r>
      <w:r>
        <w:rPr>
          <w:rFonts w:hint="eastAsia" w:ascii="宋体" w:hAnsi="宋体"/>
          <w:sz w:val="24"/>
        </w:rPr>
        <w:t>报价的符合性进行审查，必要时可要求投标人对其报价做出澄清、说明；</w:t>
      </w:r>
    </w:p>
    <w:p>
      <w:pPr>
        <w:spacing w:line="360" w:lineRule="auto"/>
        <w:ind w:firstLine="480" w:firstLineChars="200"/>
        <w:rPr>
          <w:rFonts w:hint="eastAsia" w:ascii="宋体" w:hAnsi="宋体"/>
          <w:sz w:val="24"/>
        </w:rPr>
      </w:pPr>
      <w:r>
        <w:rPr>
          <w:rFonts w:hint="eastAsia" w:ascii="宋体" w:hAnsi="宋体"/>
          <w:sz w:val="24"/>
        </w:rPr>
        <w:t>3.5.2报价修正；</w:t>
      </w:r>
    </w:p>
    <w:p>
      <w:pPr>
        <w:spacing w:line="360" w:lineRule="auto"/>
        <w:ind w:firstLine="480" w:firstLineChars="200"/>
        <w:rPr>
          <w:rFonts w:hint="eastAsia" w:ascii="宋体" w:hAnsi="宋体"/>
          <w:sz w:val="24"/>
        </w:rPr>
      </w:pPr>
      <w:r>
        <w:rPr>
          <w:rFonts w:hint="eastAsia" w:ascii="宋体" w:hAnsi="宋体"/>
          <w:sz w:val="24"/>
        </w:rPr>
        <w:t>3.5.3政策优惠扣除；</w:t>
      </w:r>
    </w:p>
    <w:p>
      <w:pPr>
        <w:spacing w:line="360" w:lineRule="auto"/>
        <w:ind w:firstLine="480" w:firstLineChars="200"/>
        <w:rPr>
          <w:rFonts w:hint="eastAsia" w:ascii="宋体" w:hAnsi="宋体"/>
          <w:sz w:val="24"/>
        </w:rPr>
      </w:pPr>
      <w:r>
        <w:rPr>
          <w:rFonts w:hint="eastAsia" w:ascii="宋体" w:hAnsi="宋体"/>
          <w:sz w:val="24"/>
        </w:rPr>
        <w:t>3.5.4评审委员会根据投标人的报价和评审</w:t>
      </w:r>
      <w:r>
        <w:rPr>
          <w:rFonts w:ascii="宋体" w:hAnsi="宋体"/>
          <w:sz w:val="24"/>
        </w:rPr>
        <w:t>标准</w:t>
      </w:r>
      <w:r>
        <w:rPr>
          <w:rFonts w:hint="eastAsia" w:ascii="宋体" w:hAnsi="宋体"/>
          <w:sz w:val="24"/>
        </w:rPr>
        <w:t>，计算各投标人的报价得分。</w:t>
      </w:r>
    </w:p>
    <w:p>
      <w:pPr>
        <w:spacing w:line="360" w:lineRule="auto"/>
        <w:ind w:firstLine="482" w:firstLineChars="200"/>
        <w:rPr>
          <w:rFonts w:ascii="宋体" w:hAnsi="宋体"/>
          <w:b/>
          <w:sz w:val="24"/>
        </w:rPr>
      </w:pPr>
      <w:r>
        <w:rPr>
          <w:rFonts w:ascii="宋体" w:hAnsi="宋体"/>
          <w:b/>
          <w:sz w:val="24"/>
        </w:rPr>
        <w:t>3.</w:t>
      </w:r>
      <w:r>
        <w:rPr>
          <w:rFonts w:hint="eastAsia" w:ascii="宋体" w:hAnsi="宋体"/>
          <w:b/>
          <w:sz w:val="24"/>
        </w:rPr>
        <w:t>6 评标结果</w:t>
      </w:r>
    </w:p>
    <w:p>
      <w:pPr>
        <w:spacing w:line="360" w:lineRule="auto"/>
        <w:ind w:firstLine="480" w:firstLineChars="200"/>
        <w:rPr>
          <w:rFonts w:hint="eastAsia" w:ascii="宋体" w:hAnsi="宋体"/>
          <w:sz w:val="24"/>
        </w:rPr>
      </w:pPr>
      <w:r>
        <w:rPr>
          <w:rFonts w:hint="eastAsia" w:ascii="宋体" w:hAnsi="宋体"/>
          <w:sz w:val="24"/>
        </w:rPr>
        <w:t>3.6.1 评审结果汇总，投标人结果排序；</w:t>
      </w:r>
    </w:p>
    <w:p>
      <w:pPr>
        <w:spacing w:line="360" w:lineRule="auto"/>
        <w:ind w:firstLine="480" w:firstLineChars="200"/>
        <w:rPr>
          <w:rFonts w:hint="eastAsia" w:ascii="宋体" w:hAnsi="宋体"/>
          <w:sz w:val="24"/>
        </w:rPr>
      </w:pPr>
      <w:r>
        <w:rPr>
          <w:rFonts w:hint="eastAsia" w:ascii="宋体" w:hAnsi="宋体"/>
          <w:sz w:val="24"/>
        </w:rPr>
        <w:t>3.6.2 起草评标报告，确定中标候选人；</w:t>
      </w:r>
    </w:p>
    <w:p>
      <w:pPr>
        <w:spacing w:line="360" w:lineRule="auto"/>
        <w:ind w:firstLine="480" w:firstLineChars="200"/>
        <w:rPr>
          <w:rFonts w:ascii="宋体" w:hAnsi="宋体"/>
          <w:sz w:val="24"/>
        </w:rPr>
      </w:pPr>
      <w:r>
        <w:rPr>
          <w:rFonts w:hint="eastAsia" w:ascii="宋体" w:hAnsi="宋体"/>
          <w:sz w:val="24"/>
        </w:rPr>
        <w:t>3.6.2.1 评标报告</w:t>
      </w:r>
      <w:r>
        <w:rPr>
          <w:rFonts w:ascii="宋体" w:hAnsi="宋体"/>
          <w:sz w:val="24"/>
        </w:rPr>
        <w:t>应包括以下内容：</w:t>
      </w:r>
    </w:p>
    <w:p>
      <w:pPr>
        <w:spacing w:line="360" w:lineRule="auto"/>
        <w:ind w:firstLine="480" w:firstLineChars="200"/>
        <w:rPr>
          <w:rFonts w:hint="eastAsia" w:ascii="宋体" w:hAnsi="宋体"/>
          <w:sz w:val="24"/>
        </w:rPr>
      </w:pPr>
      <w:r>
        <w:rPr>
          <w:rFonts w:hint="eastAsia" w:ascii="宋体" w:hAnsi="宋体"/>
          <w:sz w:val="24"/>
        </w:rPr>
        <w:t>（1）招标公告刊登的媒体名称、开标日期和地点；</w:t>
      </w:r>
    </w:p>
    <w:p>
      <w:pPr>
        <w:spacing w:line="360" w:lineRule="auto"/>
        <w:ind w:firstLine="480" w:firstLineChars="200"/>
        <w:rPr>
          <w:rFonts w:hint="eastAsia" w:ascii="宋体" w:hAnsi="宋体"/>
          <w:sz w:val="24"/>
        </w:rPr>
      </w:pPr>
      <w:r>
        <w:rPr>
          <w:rFonts w:hint="eastAsia" w:ascii="宋体" w:hAnsi="宋体"/>
          <w:sz w:val="24"/>
        </w:rPr>
        <w:t>（2）投标人名单和评审委员会成员名单；</w:t>
      </w:r>
    </w:p>
    <w:p>
      <w:pPr>
        <w:spacing w:line="360" w:lineRule="auto"/>
        <w:ind w:firstLine="480" w:firstLineChars="200"/>
        <w:rPr>
          <w:rFonts w:hint="eastAsia" w:ascii="宋体" w:hAnsi="宋体"/>
          <w:sz w:val="24"/>
        </w:rPr>
      </w:pPr>
      <w:r>
        <w:rPr>
          <w:rFonts w:hint="eastAsia" w:ascii="宋体" w:hAnsi="宋体"/>
          <w:sz w:val="24"/>
        </w:rPr>
        <w:t>（3）评审方法和标准；</w:t>
      </w:r>
    </w:p>
    <w:p>
      <w:pPr>
        <w:spacing w:line="360" w:lineRule="auto"/>
        <w:ind w:firstLine="480" w:firstLineChars="200"/>
        <w:rPr>
          <w:rFonts w:hint="eastAsia" w:ascii="宋体" w:hAnsi="宋体"/>
          <w:sz w:val="24"/>
        </w:rPr>
      </w:pPr>
      <w:r>
        <w:rPr>
          <w:rFonts w:hint="eastAsia" w:ascii="宋体" w:hAnsi="宋体"/>
          <w:sz w:val="24"/>
        </w:rPr>
        <w:t>（4）资格审查记录；</w:t>
      </w:r>
    </w:p>
    <w:p>
      <w:pPr>
        <w:spacing w:line="360" w:lineRule="auto"/>
        <w:ind w:firstLine="480" w:firstLineChars="200"/>
        <w:rPr>
          <w:rFonts w:hint="eastAsia" w:ascii="宋体" w:hAnsi="宋体"/>
          <w:sz w:val="24"/>
        </w:rPr>
      </w:pPr>
      <w:r>
        <w:rPr>
          <w:rFonts w:hint="eastAsia" w:ascii="宋体" w:hAnsi="宋体"/>
          <w:sz w:val="24"/>
        </w:rPr>
        <w:t>（5）开标记录和评审情况及说明，包括无效投标人名单及原因；</w:t>
      </w:r>
    </w:p>
    <w:p>
      <w:pPr>
        <w:spacing w:line="360" w:lineRule="auto"/>
        <w:ind w:firstLine="480" w:firstLineChars="200"/>
        <w:rPr>
          <w:rFonts w:hint="eastAsia" w:ascii="宋体" w:hAnsi="宋体"/>
          <w:sz w:val="24"/>
        </w:rPr>
      </w:pPr>
      <w:r>
        <w:rPr>
          <w:rFonts w:hint="eastAsia" w:ascii="宋体" w:hAnsi="宋体"/>
          <w:sz w:val="24"/>
        </w:rPr>
        <w:t>（6）评审结果，确定的中标候选人名单。</w:t>
      </w:r>
    </w:p>
    <w:p>
      <w:pPr>
        <w:spacing w:line="360" w:lineRule="auto"/>
        <w:ind w:firstLine="480" w:firstLineChars="200"/>
        <w:rPr>
          <w:rFonts w:ascii="宋体" w:hAnsi="宋体"/>
          <w:sz w:val="24"/>
        </w:rPr>
      </w:pPr>
      <w:r>
        <w:rPr>
          <w:rFonts w:hint="eastAsia" w:ascii="宋体" w:hAnsi="宋体"/>
          <w:sz w:val="24"/>
        </w:rPr>
        <w:t>（7）其他需要说明的情况，包括评审过程中投标人根据评审委员会要求进行的澄清、说明或者补正，评审委员会成员的更换等。</w:t>
      </w:r>
    </w:p>
    <w:p>
      <w:pPr>
        <w:spacing w:line="360" w:lineRule="auto"/>
        <w:ind w:firstLine="480" w:firstLineChars="200"/>
        <w:rPr>
          <w:rFonts w:hint="eastAsia" w:ascii="宋体" w:hAnsi="宋体"/>
          <w:sz w:val="24"/>
        </w:rPr>
      </w:pPr>
      <w:r>
        <w:rPr>
          <w:rFonts w:hint="eastAsia" w:ascii="宋体" w:hAnsi="宋体"/>
          <w:sz w:val="24"/>
        </w:rPr>
        <w:t>3.7 评标</w:t>
      </w:r>
      <w:r>
        <w:rPr>
          <w:rFonts w:ascii="宋体" w:hAnsi="宋体"/>
          <w:sz w:val="24"/>
        </w:rPr>
        <w:t>报告由全体</w:t>
      </w:r>
      <w:r>
        <w:rPr>
          <w:rFonts w:hint="eastAsia" w:ascii="宋体" w:hAnsi="宋体"/>
          <w:sz w:val="24"/>
        </w:rPr>
        <w:t>评审委员会</w:t>
      </w:r>
      <w:r>
        <w:rPr>
          <w:rFonts w:ascii="宋体" w:hAnsi="宋体"/>
          <w:sz w:val="24"/>
        </w:rPr>
        <w:t>成员</w:t>
      </w:r>
      <w:r>
        <w:rPr>
          <w:rFonts w:hint="eastAsia" w:ascii="宋体" w:hAnsi="宋体"/>
          <w:sz w:val="24"/>
        </w:rPr>
        <w:t>确认后提交</w:t>
      </w:r>
      <w:r>
        <w:rPr>
          <w:rFonts w:ascii="宋体" w:hAnsi="宋体"/>
          <w:sz w:val="24"/>
        </w:rPr>
        <w:t>。</w:t>
      </w:r>
    </w:p>
    <w:p>
      <w:pPr>
        <w:spacing w:line="360" w:lineRule="auto"/>
        <w:ind w:firstLine="480" w:firstLineChars="200"/>
        <w:rPr>
          <w:rFonts w:ascii="宋体" w:hAnsi="宋体"/>
          <w:sz w:val="24"/>
        </w:rPr>
      </w:pPr>
      <w:r>
        <w:rPr>
          <w:rFonts w:hint="eastAsia" w:ascii="宋体" w:hAnsi="宋体"/>
          <w:sz w:val="24"/>
        </w:rPr>
        <w:t>3.8</w:t>
      </w:r>
      <w:r>
        <w:rPr>
          <w:rFonts w:ascii="宋体" w:hAnsi="宋体"/>
          <w:sz w:val="24"/>
        </w:rPr>
        <w:t xml:space="preserve"> </w:t>
      </w:r>
      <w:r>
        <w:rPr>
          <w:rFonts w:hint="eastAsia" w:ascii="宋体" w:hAnsi="宋体"/>
          <w:sz w:val="24"/>
        </w:rPr>
        <w:t>评审结束后，由电子交易平台自动生成评审结果，采购人确定中标人后2个工作日内，发出中标通知书，并在相关媒体上公告中标结果。</w:t>
      </w:r>
    </w:p>
    <w:p>
      <w:pPr>
        <w:pStyle w:val="6"/>
        <w:spacing w:line="240" w:lineRule="auto"/>
        <w:ind w:firstLine="300" w:firstLineChars="100"/>
        <w:rPr>
          <w:rFonts w:hint="eastAsia" w:ascii="宋体" w:hAnsi="宋体" w:eastAsia="宋体"/>
          <w:b w:val="0"/>
          <w:bCs w:val="0"/>
        </w:rPr>
      </w:pPr>
      <w:bookmarkStart w:id="170" w:name="_Toc112414205"/>
      <w:r>
        <w:rPr>
          <w:rFonts w:hint="eastAsia" w:ascii="宋体" w:hAnsi="宋体" w:eastAsia="宋体"/>
          <w:b w:val="0"/>
          <w:bCs w:val="0"/>
        </w:rPr>
        <w:t>四   评标一般规定</w:t>
      </w:r>
      <w:bookmarkEnd w:id="170"/>
    </w:p>
    <w:p>
      <w:pPr>
        <w:spacing w:line="360" w:lineRule="auto"/>
        <w:rPr>
          <w:rFonts w:hint="eastAsia" w:ascii="宋体" w:hAnsi="宋体"/>
          <w:sz w:val="24"/>
        </w:rPr>
      </w:pPr>
      <w:r>
        <w:rPr>
          <w:rFonts w:hint="eastAsia" w:ascii="宋体" w:hAnsi="宋体"/>
          <w:sz w:val="24"/>
        </w:rPr>
        <w:t>4.本评标办法采用综合评分法,总分100分。</w:t>
      </w:r>
    </w:p>
    <w:p>
      <w:pPr>
        <w:spacing w:line="360" w:lineRule="auto"/>
        <w:ind w:firstLine="482" w:firstLineChars="200"/>
        <w:rPr>
          <w:rFonts w:hint="eastAsia" w:ascii="宋体" w:hAnsi="宋体"/>
          <w:b/>
          <w:sz w:val="24"/>
        </w:rPr>
      </w:pPr>
      <w:r>
        <w:rPr>
          <w:rFonts w:hint="eastAsia" w:ascii="宋体" w:hAnsi="宋体"/>
          <w:b/>
          <w:sz w:val="24"/>
        </w:rPr>
        <w:t>4.1资信商务及技术权重为80%，分值为80分。</w:t>
      </w:r>
    </w:p>
    <w:p>
      <w:pPr>
        <w:spacing w:line="360" w:lineRule="auto"/>
        <w:ind w:firstLine="480" w:firstLineChars="200"/>
        <w:rPr>
          <w:rFonts w:hint="eastAsia" w:ascii="宋体" w:hAnsi="宋体"/>
          <w:sz w:val="24"/>
        </w:rPr>
      </w:pPr>
      <w:r>
        <w:rPr>
          <w:rFonts w:hint="eastAsia" w:ascii="宋体" w:hAnsi="宋体"/>
          <w:sz w:val="24"/>
        </w:rPr>
        <w:t>4.1.1项目</w:t>
      </w:r>
      <w:r>
        <w:rPr>
          <w:rFonts w:hint="eastAsia" w:ascii="宋体" w:hAnsi="宋体"/>
          <w:b/>
          <w:sz w:val="24"/>
        </w:rPr>
        <w:t>资信商务及</w:t>
      </w:r>
      <w:r>
        <w:rPr>
          <w:rFonts w:hint="eastAsia" w:ascii="宋体" w:hAnsi="宋体"/>
          <w:sz w:val="24"/>
        </w:rPr>
        <w:t>技术部分权重为80%,分值为80分，评委对各投标文件的技术标经充分审核、讨论后，在规定的分值内由评委单独评定打分。如果某个单项的打分超过所规定的分值范围，则该张打分表无效。</w:t>
      </w:r>
    </w:p>
    <w:p>
      <w:pPr>
        <w:spacing w:line="360" w:lineRule="auto"/>
        <w:ind w:firstLine="480" w:firstLineChars="200"/>
        <w:rPr>
          <w:rFonts w:hint="eastAsia" w:ascii="宋体" w:hAnsi="宋体"/>
          <w:sz w:val="24"/>
        </w:rPr>
      </w:pPr>
      <w:r>
        <w:rPr>
          <w:rFonts w:hint="eastAsia" w:ascii="宋体" w:hAnsi="宋体"/>
          <w:sz w:val="24"/>
        </w:rPr>
        <w:t>4.2报价权重为20%，分值为20分，由评委按各投标人的报价统一计算。</w:t>
      </w:r>
    </w:p>
    <w:p>
      <w:pPr>
        <w:pStyle w:val="7"/>
        <w:ind w:firstLine="480" w:firstLineChars="200"/>
        <w:rPr>
          <w:rFonts w:hint="eastAsia" w:ascii="宋体" w:hAnsi="宋体"/>
          <w:b/>
          <w:bCs/>
        </w:rPr>
      </w:pPr>
      <w:r>
        <w:rPr>
          <w:rFonts w:hint="eastAsia" w:ascii="宋体" w:hAnsi="宋体"/>
          <w:sz w:val="24"/>
        </w:rPr>
        <w:t>4.3评审专家在规定的分值范围内独立打分，评分保留1位小数。</w:t>
      </w:r>
      <w:bookmarkStart w:id="171" w:name="_Toc61257440"/>
    </w:p>
    <w:p>
      <w:pPr>
        <w:pStyle w:val="6"/>
        <w:spacing w:line="240" w:lineRule="auto"/>
        <w:ind w:firstLine="300" w:firstLineChars="100"/>
        <w:rPr>
          <w:rFonts w:hint="eastAsia" w:ascii="宋体" w:hAnsi="宋体" w:eastAsia="宋体"/>
          <w:b w:val="0"/>
          <w:bCs w:val="0"/>
        </w:rPr>
      </w:pPr>
      <w:bookmarkStart w:id="172" w:name="_Toc112414206"/>
      <w:r>
        <w:rPr>
          <w:rFonts w:hint="eastAsia" w:ascii="宋体" w:hAnsi="宋体" w:eastAsia="宋体"/>
          <w:b w:val="0"/>
          <w:bCs w:val="0"/>
        </w:rPr>
        <w:t>五</w:t>
      </w:r>
      <w:r>
        <w:rPr>
          <w:rFonts w:ascii="宋体" w:hAnsi="宋体" w:eastAsia="宋体"/>
          <w:b w:val="0"/>
          <w:bCs w:val="0"/>
        </w:rPr>
        <w:t xml:space="preserve"> </w:t>
      </w:r>
      <w:r>
        <w:rPr>
          <w:rFonts w:hint="eastAsia" w:ascii="宋体" w:hAnsi="宋体" w:eastAsia="宋体"/>
          <w:b w:val="0"/>
          <w:bCs w:val="0"/>
        </w:rPr>
        <w:t xml:space="preserve">  </w:t>
      </w:r>
      <w:r>
        <w:rPr>
          <w:rFonts w:ascii="宋体" w:hAnsi="宋体" w:eastAsia="宋体"/>
          <w:b w:val="0"/>
          <w:bCs w:val="0"/>
        </w:rPr>
        <w:t>评标办法和细则</w:t>
      </w:r>
      <w:bookmarkEnd w:id="171"/>
      <w:bookmarkEnd w:id="172"/>
    </w:p>
    <w:p>
      <w:pPr>
        <w:pStyle w:val="7"/>
        <w:rPr>
          <w:rFonts w:ascii="宋体" w:hAnsi="宋体"/>
          <w:b/>
          <w:sz w:val="24"/>
          <w:szCs w:val="24"/>
        </w:rPr>
      </w:pPr>
      <w:r>
        <w:rPr>
          <w:rFonts w:hint="eastAsia" w:ascii="宋体" w:hAnsi="宋体"/>
          <w:b/>
          <w:sz w:val="24"/>
          <w:szCs w:val="24"/>
        </w:rPr>
        <w:t>5.1资信商务及技术权重为80%，分值为80分。</w:t>
      </w:r>
    </w:p>
    <w:tbl>
      <w:tblPr>
        <w:tblStyle w:val="56"/>
        <w:tblW w:w="9073"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7"/>
        <w:gridCol w:w="1267"/>
        <w:gridCol w:w="698"/>
        <w:gridCol w:w="530"/>
        <w:gridCol w:w="58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23" w:hRule="atLeast"/>
        </w:trPr>
        <w:tc>
          <w:tcPr>
            <w:tcW w:w="707" w:type="dxa"/>
            <w:noWrap w:val="0"/>
            <w:vAlign w:val="top"/>
          </w:tcPr>
          <w:p>
            <w:pPr>
              <w:spacing w:before="120" w:beforeLines="50" w:line="360" w:lineRule="auto"/>
              <w:jc w:val="center"/>
              <w:rPr>
                <w:rFonts w:hint="eastAsia" w:ascii="宋体" w:hAnsi="宋体"/>
                <w:b/>
                <w:sz w:val="24"/>
              </w:rPr>
            </w:pPr>
            <w:r>
              <w:rPr>
                <w:rFonts w:hint="eastAsia" w:ascii="宋体" w:hAnsi="宋体"/>
                <w:b/>
                <w:sz w:val="24"/>
              </w:rPr>
              <w:t>序号</w:t>
            </w:r>
          </w:p>
        </w:tc>
        <w:tc>
          <w:tcPr>
            <w:tcW w:w="1267" w:type="dxa"/>
            <w:noWrap w:val="0"/>
            <w:vAlign w:val="top"/>
          </w:tcPr>
          <w:p>
            <w:pPr>
              <w:spacing w:before="120" w:beforeLines="50" w:line="360" w:lineRule="auto"/>
              <w:jc w:val="center"/>
              <w:rPr>
                <w:rFonts w:hint="eastAsia" w:ascii="宋体" w:hAnsi="宋体"/>
                <w:b/>
                <w:sz w:val="24"/>
              </w:rPr>
            </w:pPr>
            <w:r>
              <w:rPr>
                <w:rFonts w:hint="eastAsia" w:ascii="宋体" w:hAnsi="宋体"/>
                <w:b/>
                <w:sz w:val="24"/>
              </w:rPr>
              <w:t>评分内容</w:t>
            </w:r>
          </w:p>
        </w:tc>
        <w:tc>
          <w:tcPr>
            <w:tcW w:w="7099" w:type="dxa"/>
            <w:gridSpan w:val="3"/>
            <w:noWrap w:val="0"/>
            <w:vAlign w:val="top"/>
          </w:tcPr>
          <w:p>
            <w:pPr>
              <w:spacing w:before="120" w:beforeLines="50" w:line="360" w:lineRule="auto"/>
              <w:jc w:val="center"/>
              <w:rPr>
                <w:rFonts w:hint="eastAsia" w:ascii="宋体" w:hAnsi="宋体"/>
                <w:b/>
                <w:sz w:val="24"/>
              </w:rPr>
            </w:pPr>
            <w:r>
              <w:rPr>
                <w:rFonts w:hint="eastAsia" w:ascii="宋体" w:hAnsi="宋体"/>
                <w:b/>
                <w:sz w:val="24"/>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54" w:hRule="atLeast"/>
        </w:trPr>
        <w:tc>
          <w:tcPr>
            <w:tcW w:w="707" w:type="dxa"/>
            <w:vMerge w:val="restart"/>
            <w:noWrap w:val="0"/>
            <w:vAlign w:val="center"/>
          </w:tcPr>
          <w:p>
            <w:pPr>
              <w:spacing w:before="120" w:beforeLines="50" w:line="360" w:lineRule="auto"/>
              <w:jc w:val="center"/>
              <w:rPr>
                <w:rFonts w:hint="eastAsia" w:ascii="宋体" w:hAnsi="宋体"/>
                <w:sz w:val="24"/>
              </w:rPr>
            </w:pPr>
            <w:r>
              <w:rPr>
                <w:rFonts w:hint="eastAsia" w:ascii="宋体" w:hAnsi="宋体"/>
                <w:sz w:val="24"/>
              </w:rPr>
              <w:t>1</w:t>
            </w:r>
          </w:p>
        </w:tc>
        <w:tc>
          <w:tcPr>
            <w:tcW w:w="1267" w:type="dxa"/>
            <w:vMerge w:val="restart"/>
            <w:noWrap w:val="0"/>
            <w:vAlign w:val="center"/>
          </w:tcPr>
          <w:p>
            <w:pPr>
              <w:spacing w:before="120" w:beforeLines="50"/>
              <w:jc w:val="center"/>
              <w:rPr>
                <w:rFonts w:hint="eastAsia" w:ascii="宋体" w:hAnsi="宋体"/>
                <w:sz w:val="24"/>
              </w:rPr>
            </w:pPr>
            <w:r>
              <w:rPr>
                <w:rFonts w:hint="eastAsia" w:ascii="宋体" w:hAnsi="宋体"/>
                <w:sz w:val="24"/>
              </w:rPr>
              <w:t>对需求的理解及现状分析（5分）</w:t>
            </w:r>
          </w:p>
        </w:tc>
        <w:tc>
          <w:tcPr>
            <w:tcW w:w="7099" w:type="dxa"/>
            <w:gridSpan w:val="3"/>
            <w:noWrap w:val="0"/>
            <w:vAlign w:val="top"/>
          </w:tcPr>
          <w:p>
            <w:pPr>
              <w:spacing w:before="120" w:beforeLines="50"/>
              <w:jc w:val="left"/>
              <w:rPr>
                <w:rFonts w:hint="eastAsia" w:ascii="宋体" w:hAnsi="宋体"/>
                <w:sz w:val="24"/>
              </w:rPr>
            </w:pPr>
            <w:r>
              <w:rPr>
                <w:rFonts w:hint="eastAsia" w:ascii="宋体" w:hAnsi="宋体"/>
                <w:sz w:val="24"/>
              </w:rPr>
              <w:t>根据投标人对项目前端建设情况的了解程度，业务需求理解等具有贴合性、系统运行安全性、可靠性、可扩展性、可管理性、可维护性的得3分。分析了解欠完整、欠科学的，每项扣0.5分；分析不完整、不科学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50" w:hRule="atLeast"/>
        </w:trPr>
        <w:tc>
          <w:tcPr>
            <w:tcW w:w="707" w:type="dxa"/>
            <w:vMerge w:val="continue"/>
            <w:noWrap w:val="0"/>
            <w:vAlign w:val="center"/>
          </w:tcPr>
          <w:p>
            <w:pPr>
              <w:spacing w:before="120" w:beforeLines="50" w:line="360" w:lineRule="auto"/>
              <w:jc w:val="center"/>
              <w:rPr>
                <w:rFonts w:hint="eastAsia" w:ascii="宋体" w:hAnsi="宋体"/>
                <w:sz w:val="24"/>
              </w:rPr>
            </w:pPr>
          </w:p>
        </w:tc>
        <w:tc>
          <w:tcPr>
            <w:tcW w:w="1267" w:type="dxa"/>
            <w:vMerge w:val="continue"/>
            <w:noWrap w:val="0"/>
            <w:vAlign w:val="center"/>
          </w:tcPr>
          <w:p>
            <w:pPr>
              <w:spacing w:before="120" w:beforeLines="50" w:line="360" w:lineRule="auto"/>
              <w:jc w:val="center"/>
              <w:rPr>
                <w:rFonts w:hint="eastAsia" w:ascii="宋体" w:hAnsi="宋体"/>
                <w:sz w:val="24"/>
              </w:rPr>
            </w:pPr>
          </w:p>
        </w:tc>
        <w:tc>
          <w:tcPr>
            <w:tcW w:w="7099" w:type="dxa"/>
            <w:gridSpan w:val="3"/>
            <w:noWrap w:val="0"/>
            <w:vAlign w:val="top"/>
          </w:tcPr>
          <w:p>
            <w:pPr>
              <w:spacing w:before="120" w:beforeLines="50"/>
              <w:jc w:val="left"/>
              <w:rPr>
                <w:rFonts w:hint="eastAsia" w:ascii="宋体" w:hAnsi="宋体"/>
                <w:sz w:val="24"/>
              </w:rPr>
            </w:pPr>
            <w:r>
              <w:rPr>
                <w:rFonts w:hint="eastAsia" w:ascii="宋体" w:hAnsi="宋体"/>
                <w:sz w:val="24"/>
              </w:rPr>
              <w:t>根据投标人对项目现状、建设目标的分析，分析了解完整、科学的，得2分。分析了解欠完整、欠科学的，每项扣0.5分；分析不完整、不科学的每项扣1分，扣完为止。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80" w:hRule="atLeast"/>
        </w:trPr>
        <w:tc>
          <w:tcPr>
            <w:tcW w:w="707" w:type="dxa"/>
            <w:vMerge w:val="restart"/>
            <w:noWrap w:val="0"/>
            <w:vAlign w:val="center"/>
          </w:tcPr>
          <w:p>
            <w:pPr>
              <w:spacing w:before="120" w:beforeLines="50" w:line="360" w:lineRule="auto"/>
              <w:jc w:val="center"/>
              <w:rPr>
                <w:rFonts w:hint="eastAsia" w:ascii="宋体" w:hAnsi="宋体"/>
                <w:sz w:val="24"/>
              </w:rPr>
            </w:pPr>
            <w:r>
              <w:rPr>
                <w:rFonts w:hint="eastAsia" w:ascii="宋体" w:hAnsi="宋体"/>
                <w:sz w:val="24"/>
              </w:rPr>
              <w:t>2</w:t>
            </w:r>
          </w:p>
        </w:tc>
        <w:tc>
          <w:tcPr>
            <w:tcW w:w="1267" w:type="dxa"/>
            <w:vMerge w:val="restart"/>
            <w:noWrap w:val="0"/>
            <w:vAlign w:val="center"/>
          </w:tcPr>
          <w:p>
            <w:pPr>
              <w:jc w:val="center"/>
              <w:rPr>
                <w:rFonts w:hint="eastAsia" w:ascii="宋体" w:hAnsi="宋体"/>
                <w:sz w:val="24"/>
              </w:rPr>
            </w:pPr>
            <w:r>
              <w:rPr>
                <w:rFonts w:hint="eastAsia" w:ascii="宋体" w:hAnsi="宋体"/>
                <w:sz w:val="24"/>
              </w:rPr>
              <w:t>项目建设方案（32分）</w:t>
            </w:r>
          </w:p>
        </w:tc>
        <w:tc>
          <w:tcPr>
            <w:tcW w:w="7099" w:type="dxa"/>
            <w:gridSpan w:val="3"/>
            <w:noWrap w:val="0"/>
            <w:vAlign w:val="top"/>
          </w:tcPr>
          <w:p>
            <w:pPr>
              <w:rPr>
                <w:rFonts w:hint="eastAsia" w:ascii="宋体" w:hAnsi="宋体"/>
                <w:b/>
                <w:sz w:val="24"/>
              </w:rPr>
            </w:pPr>
            <w:r>
              <w:rPr>
                <w:rFonts w:hint="eastAsia" w:ascii="宋体" w:hAnsi="宋体"/>
                <w:b/>
                <w:sz w:val="24"/>
              </w:rPr>
              <w:t>施工方案：</w:t>
            </w:r>
          </w:p>
          <w:p>
            <w:pPr>
              <w:rPr>
                <w:rFonts w:hint="eastAsia" w:ascii="宋体" w:hAnsi="宋体"/>
                <w:sz w:val="24"/>
              </w:rPr>
            </w:pPr>
            <w:r>
              <w:rPr>
                <w:rFonts w:hint="eastAsia" w:ascii="宋体" w:hAnsi="宋体"/>
                <w:sz w:val="24"/>
              </w:rPr>
              <w:t>施工方案（含绿化、道路等恢复原状等）针对技术难点和关键部位施工技术措施具有科学性和详细化程度的得4分。方案欠合理的每项扣0.5分，方案不合理的每项扣1分，扣完为止。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203" w:hRule="atLeast"/>
        </w:trPr>
        <w:tc>
          <w:tcPr>
            <w:tcW w:w="707" w:type="dxa"/>
            <w:vMerge w:val="continue"/>
            <w:noWrap w:val="0"/>
            <w:vAlign w:val="top"/>
          </w:tcPr>
          <w:p>
            <w:pPr>
              <w:spacing w:before="120" w:beforeLines="50" w:line="360" w:lineRule="auto"/>
              <w:jc w:val="center"/>
              <w:rPr>
                <w:rFonts w:hint="eastAsia" w:ascii="宋体" w:hAnsi="宋体"/>
                <w:sz w:val="24"/>
              </w:rPr>
            </w:pPr>
          </w:p>
        </w:tc>
        <w:tc>
          <w:tcPr>
            <w:tcW w:w="1267" w:type="dxa"/>
            <w:vMerge w:val="continue"/>
            <w:noWrap w:val="0"/>
            <w:vAlign w:val="top"/>
          </w:tcPr>
          <w:p>
            <w:pPr>
              <w:rPr>
                <w:rFonts w:hint="eastAsia" w:ascii="宋体" w:hAnsi="宋体"/>
                <w:sz w:val="24"/>
              </w:rPr>
            </w:pPr>
          </w:p>
        </w:tc>
        <w:tc>
          <w:tcPr>
            <w:tcW w:w="7099" w:type="dxa"/>
            <w:gridSpan w:val="3"/>
            <w:noWrap w:val="0"/>
            <w:vAlign w:val="top"/>
          </w:tcPr>
          <w:p>
            <w:pPr>
              <w:rPr>
                <w:rFonts w:hint="eastAsia" w:ascii="宋体" w:hAnsi="宋体"/>
                <w:b/>
                <w:sz w:val="24"/>
              </w:rPr>
            </w:pPr>
            <w:r>
              <w:rPr>
                <w:rFonts w:hint="eastAsia" w:ascii="宋体" w:hAnsi="宋体"/>
                <w:b/>
                <w:sz w:val="24"/>
              </w:rPr>
              <w:t>碧湖***机房建设及业务割接方案：</w:t>
            </w:r>
          </w:p>
          <w:p>
            <w:pPr>
              <w:rPr>
                <w:rFonts w:hint="eastAsia" w:ascii="宋体" w:hAnsi="宋体"/>
                <w:sz w:val="24"/>
              </w:rPr>
            </w:pPr>
            <w:r>
              <w:rPr>
                <w:rFonts w:hint="eastAsia" w:ascii="宋体" w:hAnsi="宋体"/>
                <w:sz w:val="24"/>
              </w:rPr>
              <w:t>投标人提供的***机房建设及业务割接方案具有完整性、合理性与可实施性的得4分。方案欠合理的每项扣0.5分，方案不合理的每项扣1分，扣完为止。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15" w:hRule="atLeast"/>
        </w:trPr>
        <w:tc>
          <w:tcPr>
            <w:tcW w:w="707" w:type="dxa"/>
            <w:vMerge w:val="continue"/>
            <w:noWrap w:val="0"/>
            <w:vAlign w:val="top"/>
          </w:tcPr>
          <w:p>
            <w:pPr>
              <w:spacing w:before="120" w:beforeLines="50" w:line="360" w:lineRule="auto"/>
              <w:jc w:val="center"/>
              <w:rPr>
                <w:rFonts w:hint="eastAsia" w:ascii="宋体" w:hAnsi="宋体"/>
                <w:sz w:val="24"/>
              </w:rPr>
            </w:pPr>
          </w:p>
        </w:tc>
        <w:tc>
          <w:tcPr>
            <w:tcW w:w="1267" w:type="dxa"/>
            <w:vMerge w:val="continue"/>
            <w:noWrap w:val="0"/>
            <w:vAlign w:val="top"/>
          </w:tcPr>
          <w:p>
            <w:pPr>
              <w:rPr>
                <w:rFonts w:hint="eastAsia" w:ascii="宋体" w:hAnsi="宋体"/>
                <w:sz w:val="24"/>
              </w:rPr>
            </w:pPr>
          </w:p>
        </w:tc>
        <w:tc>
          <w:tcPr>
            <w:tcW w:w="7099" w:type="dxa"/>
            <w:gridSpan w:val="3"/>
            <w:noWrap w:val="0"/>
            <w:vAlign w:val="top"/>
          </w:tcPr>
          <w:p>
            <w:pPr>
              <w:rPr>
                <w:rFonts w:hint="eastAsia" w:ascii="宋体" w:hAnsi="宋体"/>
                <w:b/>
                <w:sz w:val="24"/>
              </w:rPr>
            </w:pPr>
            <w:r>
              <w:rPr>
                <w:rFonts w:hint="eastAsia" w:ascii="宋体" w:hAnsi="宋体"/>
                <w:b/>
                <w:sz w:val="24"/>
              </w:rPr>
              <w:t>现场施工管理及安全保障：</w:t>
            </w:r>
          </w:p>
          <w:p>
            <w:pPr>
              <w:rPr>
                <w:rFonts w:hint="eastAsia" w:ascii="宋体" w:hAnsi="宋体"/>
                <w:sz w:val="24"/>
              </w:rPr>
            </w:pPr>
            <w:r>
              <w:rPr>
                <w:rFonts w:hint="eastAsia" w:ascii="宋体" w:hAnsi="宋体"/>
                <w:sz w:val="24"/>
              </w:rPr>
              <w:t>施工现场管理方案、施工安全（人员安全及设备设施安全）的保障方案具有合理性、可行性的得3分。方案欠合理、欠可行的每项扣0.5分；方案不合理、不可行的每项扣1分；扣完为止。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72" w:hRule="atLeast"/>
        </w:trPr>
        <w:tc>
          <w:tcPr>
            <w:tcW w:w="707" w:type="dxa"/>
            <w:vMerge w:val="continue"/>
            <w:noWrap w:val="0"/>
            <w:vAlign w:val="top"/>
          </w:tcPr>
          <w:p>
            <w:pPr>
              <w:spacing w:before="120" w:beforeLines="50" w:line="360" w:lineRule="auto"/>
              <w:jc w:val="center"/>
              <w:rPr>
                <w:rFonts w:hint="eastAsia" w:ascii="宋体" w:hAnsi="宋体"/>
                <w:sz w:val="24"/>
              </w:rPr>
            </w:pPr>
          </w:p>
        </w:tc>
        <w:tc>
          <w:tcPr>
            <w:tcW w:w="1267" w:type="dxa"/>
            <w:vMerge w:val="continue"/>
            <w:noWrap w:val="0"/>
            <w:vAlign w:val="top"/>
          </w:tcPr>
          <w:p>
            <w:pPr>
              <w:rPr>
                <w:rFonts w:hint="eastAsia" w:ascii="宋体" w:hAnsi="宋体"/>
                <w:sz w:val="24"/>
              </w:rPr>
            </w:pPr>
          </w:p>
        </w:tc>
        <w:tc>
          <w:tcPr>
            <w:tcW w:w="7099" w:type="dxa"/>
            <w:gridSpan w:val="3"/>
            <w:noWrap w:val="0"/>
            <w:vAlign w:val="top"/>
          </w:tcPr>
          <w:p>
            <w:pPr>
              <w:rPr>
                <w:rFonts w:hint="eastAsia" w:ascii="宋体" w:hAnsi="宋体"/>
                <w:b/>
                <w:sz w:val="24"/>
              </w:rPr>
            </w:pPr>
            <w:r>
              <w:rPr>
                <w:rFonts w:hint="eastAsia" w:ascii="宋体" w:hAnsi="宋体"/>
                <w:b/>
                <w:sz w:val="24"/>
              </w:rPr>
              <w:t>质量保证：</w:t>
            </w:r>
          </w:p>
          <w:p>
            <w:pPr>
              <w:rPr>
                <w:rFonts w:hint="eastAsia" w:ascii="宋体" w:hAnsi="宋体"/>
                <w:sz w:val="24"/>
              </w:rPr>
            </w:pPr>
            <w:r>
              <w:rPr>
                <w:rFonts w:hint="eastAsia" w:ascii="宋体" w:hAnsi="宋体"/>
                <w:sz w:val="24"/>
              </w:rPr>
              <w:t>施工、设备及运维质量保证的承诺具有合理性、科学性的得3分，方案欠合理的每项扣0.5分，方案不合理的每项扣1分，扣完为止。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00" w:hRule="atLeast"/>
        </w:trPr>
        <w:tc>
          <w:tcPr>
            <w:tcW w:w="707" w:type="dxa"/>
            <w:vMerge w:val="continue"/>
            <w:noWrap w:val="0"/>
            <w:vAlign w:val="top"/>
          </w:tcPr>
          <w:p>
            <w:pPr>
              <w:spacing w:before="120" w:beforeLines="50" w:line="360" w:lineRule="auto"/>
              <w:jc w:val="center"/>
              <w:rPr>
                <w:rFonts w:hint="eastAsia" w:ascii="宋体" w:hAnsi="宋体"/>
                <w:sz w:val="24"/>
              </w:rPr>
            </w:pPr>
          </w:p>
        </w:tc>
        <w:tc>
          <w:tcPr>
            <w:tcW w:w="1267" w:type="dxa"/>
            <w:vMerge w:val="continue"/>
            <w:noWrap w:val="0"/>
            <w:vAlign w:val="top"/>
          </w:tcPr>
          <w:p>
            <w:pPr>
              <w:rPr>
                <w:rFonts w:hint="eastAsia" w:ascii="宋体" w:hAnsi="宋体"/>
                <w:sz w:val="24"/>
              </w:rPr>
            </w:pPr>
          </w:p>
        </w:tc>
        <w:tc>
          <w:tcPr>
            <w:tcW w:w="7099" w:type="dxa"/>
            <w:gridSpan w:val="3"/>
            <w:noWrap w:val="0"/>
            <w:vAlign w:val="top"/>
          </w:tcPr>
          <w:p>
            <w:pPr>
              <w:rPr>
                <w:rFonts w:hint="eastAsia" w:ascii="宋体" w:hAnsi="宋体"/>
                <w:b/>
                <w:sz w:val="24"/>
              </w:rPr>
            </w:pPr>
            <w:r>
              <w:rPr>
                <w:rFonts w:hint="eastAsia" w:ascii="宋体" w:hAnsi="宋体"/>
                <w:b/>
                <w:sz w:val="24"/>
              </w:rPr>
              <w:t>进度安排：</w:t>
            </w:r>
          </w:p>
          <w:p>
            <w:pPr>
              <w:rPr>
                <w:rFonts w:hint="eastAsia" w:ascii="宋体" w:hAnsi="宋体"/>
                <w:sz w:val="24"/>
              </w:rPr>
            </w:pPr>
            <w:r>
              <w:rPr>
                <w:rFonts w:hint="eastAsia" w:ascii="宋体" w:hAnsi="宋体"/>
                <w:sz w:val="24"/>
              </w:rPr>
              <w:t>施工进度（含建设阶段、试运行阶段、验收）安排、各工作环节连接具有完整性、科学性的得4分。欠完整、欠科学的每项扣0.5分，方案不完整、不科学的每项扣1分，扣完为止。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43" w:hRule="atLeast"/>
        </w:trPr>
        <w:tc>
          <w:tcPr>
            <w:tcW w:w="707" w:type="dxa"/>
            <w:vMerge w:val="continue"/>
            <w:noWrap w:val="0"/>
            <w:vAlign w:val="top"/>
          </w:tcPr>
          <w:p>
            <w:pPr>
              <w:spacing w:before="120" w:beforeLines="50" w:line="360" w:lineRule="auto"/>
              <w:jc w:val="center"/>
              <w:rPr>
                <w:rFonts w:hint="eastAsia" w:ascii="宋体" w:hAnsi="宋体"/>
                <w:sz w:val="24"/>
              </w:rPr>
            </w:pPr>
          </w:p>
        </w:tc>
        <w:tc>
          <w:tcPr>
            <w:tcW w:w="1267" w:type="dxa"/>
            <w:vMerge w:val="continue"/>
            <w:noWrap w:val="0"/>
            <w:vAlign w:val="top"/>
          </w:tcPr>
          <w:p>
            <w:pPr>
              <w:rPr>
                <w:rFonts w:hint="eastAsia" w:ascii="宋体" w:hAnsi="宋体"/>
                <w:sz w:val="24"/>
              </w:rPr>
            </w:pPr>
          </w:p>
        </w:tc>
        <w:tc>
          <w:tcPr>
            <w:tcW w:w="7099" w:type="dxa"/>
            <w:gridSpan w:val="3"/>
            <w:noWrap w:val="0"/>
            <w:vAlign w:val="top"/>
          </w:tcPr>
          <w:p>
            <w:pPr>
              <w:rPr>
                <w:rFonts w:hint="eastAsia" w:ascii="宋体" w:hAnsi="宋体"/>
                <w:b/>
                <w:sz w:val="24"/>
              </w:rPr>
            </w:pPr>
            <w:r>
              <w:rPr>
                <w:rFonts w:hint="eastAsia" w:ascii="宋体" w:hAnsi="宋体"/>
                <w:b/>
                <w:sz w:val="24"/>
              </w:rPr>
              <w:t>兼容性：</w:t>
            </w:r>
          </w:p>
          <w:p>
            <w:pPr>
              <w:rPr>
                <w:rFonts w:hint="eastAsia" w:ascii="宋体" w:hAnsi="宋体"/>
                <w:sz w:val="24"/>
              </w:rPr>
            </w:pPr>
            <w:r>
              <w:rPr>
                <w:rFonts w:hint="eastAsia" w:ascii="宋体" w:hAnsi="宋体"/>
                <w:sz w:val="24"/>
              </w:rPr>
              <w:t xml:space="preserve">前后项目实施系统及设备兼容性承诺具有可行性、合理性的得2分，不符合采购需求的每项扣0.5分，扣完为止。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83" w:hRule="atLeast"/>
        </w:trPr>
        <w:tc>
          <w:tcPr>
            <w:tcW w:w="707" w:type="dxa"/>
            <w:vMerge w:val="continue"/>
            <w:noWrap w:val="0"/>
            <w:vAlign w:val="top"/>
          </w:tcPr>
          <w:p>
            <w:pPr>
              <w:spacing w:before="120" w:beforeLines="50" w:line="360" w:lineRule="auto"/>
              <w:jc w:val="center"/>
              <w:rPr>
                <w:rFonts w:hint="eastAsia" w:ascii="宋体" w:hAnsi="宋体"/>
                <w:sz w:val="24"/>
              </w:rPr>
            </w:pPr>
          </w:p>
        </w:tc>
        <w:tc>
          <w:tcPr>
            <w:tcW w:w="1267" w:type="dxa"/>
            <w:vMerge w:val="continue"/>
            <w:noWrap w:val="0"/>
            <w:vAlign w:val="top"/>
          </w:tcPr>
          <w:p>
            <w:pPr>
              <w:rPr>
                <w:rFonts w:hint="eastAsia" w:ascii="宋体" w:hAnsi="宋体"/>
                <w:sz w:val="24"/>
              </w:rPr>
            </w:pPr>
          </w:p>
        </w:tc>
        <w:tc>
          <w:tcPr>
            <w:tcW w:w="7099" w:type="dxa"/>
            <w:gridSpan w:val="3"/>
            <w:noWrap w:val="0"/>
            <w:vAlign w:val="top"/>
          </w:tcPr>
          <w:p>
            <w:pPr>
              <w:rPr>
                <w:rFonts w:hint="eastAsia" w:ascii="宋体" w:hAnsi="宋体"/>
                <w:b/>
                <w:sz w:val="24"/>
              </w:rPr>
            </w:pPr>
            <w:r>
              <w:rPr>
                <w:rFonts w:hint="eastAsia" w:ascii="宋体" w:hAnsi="宋体"/>
                <w:b/>
                <w:sz w:val="24"/>
              </w:rPr>
              <w:t>项目建设设备配备：</w:t>
            </w:r>
          </w:p>
          <w:p>
            <w:pPr>
              <w:rPr>
                <w:rFonts w:hint="eastAsia" w:ascii="宋体" w:hAnsi="宋体"/>
                <w:b/>
                <w:sz w:val="24"/>
              </w:rPr>
            </w:pPr>
            <w:r>
              <w:rPr>
                <w:rFonts w:hint="eastAsia" w:ascii="宋体" w:hAnsi="宋体"/>
                <w:sz w:val="24"/>
              </w:rPr>
              <w:t>拟投入的项目建设设备配备方案具有完整性、先进性的得3分。方案欠完整、欠先进的每项扣0.5分，扣完为止。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83" w:hRule="atLeast"/>
        </w:trPr>
        <w:tc>
          <w:tcPr>
            <w:tcW w:w="707" w:type="dxa"/>
            <w:vMerge w:val="continue"/>
            <w:noWrap w:val="0"/>
            <w:vAlign w:val="top"/>
          </w:tcPr>
          <w:p>
            <w:pPr>
              <w:spacing w:before="120" w:beforeLines="50" w:line="360" w:lineRule="auto"/>
              <w:jc w:val="center"/>
              <w:rPr>
                <w:rFonts w:hint="eastAsia" w:ascii="宋体" w:hAnsi="宋体"/>
                <w:sz w:val="24"/>
              </w:rPr>
            </w:pPr>
          </w:p>
        </w:tc>
        <w:tc>
          <w:tcPr>
            <w:tcW w:w="1267" w:type="dxa"/>
            <w:vMerge w:val="continue"/>
            <w:noWrap w:val="0"/>
            <w:vAlign w:val="top"/>
          </w:tcPr>
          <w:p>
            <w:pPr>
              <w:rPr>
                <w:rFonts w:hint="eastAsia" w:ascii="宋体" w:hAnsi="宋体"/>
                <w:sz w:val="24"/>
              </w:rPr>
            </w:pPr>
          </w:p>
        </w:tc>
        <w:tc>
          <w:tcPr>
            <w:tcW w:w="7099" w:type="dxa"/>
            <w:gridSpan w:val="3"/>
            <w:noWrap w:val="0"/>
            <w:vAlign w:val="top"/>
          </w:tcPr>
          <w:p>
            <w:pPr>
              <w:rPr>
                <w:rFonts w:hint="eastAsia" w:ascii="宋体" w:hAnsi="宋体"/>
                <w:b/>
                <w:sz w:val="24"/>
              </w:rPr>
            </w:pPr>
            <w:r>
              <w:rPr>
                <w:rFonts w:hint="eastAsia" w:ascii="宋体" w:hAnsi="宋体"/>
                <w:b/>
                <w:sz w:val="24"/>
              </w:rPr>
              <w:t>专用交通车辆配备：</w:t>
            </w:r>
          </w:p>
          <w:p>
            <w:pPr>
              <w:pStyle w:val="2"/>
              <w:ind w:firstLine="0"/>
              <w:rPr>
                <w:rFonts w:hint="eastAsia"/>
                <w:lang w:val="en-US"/>
              </w:rPr>
            </w:pPr>
            <w:r>
              <w:rPr>
                <w:rFonts w:hint="eastAsia" w:ascii="宋体" w:hAnsi="宋体" w:eastAsia="宋体"/>
                <w:sz w:val="24"/>
                <w:lang w:val="en-US"/>
              </w:rPr>
              <w:t>针对本项目后续服务提供专用交通车辆的，每提供1辆得1分，最高2分。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55" w:hRule="atLeast"/>
        </w:trPr>
        <w:tc>
          <w:tcPr>
            <w:tcW w:w="707" w:type="dxa"/>
            <w:vMerge w:val="continue"/>
            <w:noWrap w:val="0"/>
            <w:vAlign w:val="top"/>
          </w:tcPr>
          <w:p>
            <w:pPr>
              <w:spacing w:before="120" w:beforeLines="50" w:line="360" w:lineRule="auto"/>
              <w:jc w:val="center"/>
              <w:rPr>
                <w:rFonts w:hint="eastAsia" w:ascii="宋体" w:hAnsi="宋体"/>
                <w:sz w:val="24"/>
              </w:rPr>
            </w:pPr>
          </w:p>
        </w:tc>
        <w:tc>
          <w:tcPr>
            <w:tcW w:w="1267" w:type="dxa"/>
            <w:vMerge w:val="continue"/>
            <w:noWrap w:val="0"/>
            <w:vAlign w:val="top"/>
          </w:tcPr>
          <w:p>
            <w:pPr>
              <w:rPr>
                <w:rFonts w:hint="eastAsia" w:ascii="宋体" w:hAnsi="宋体"/>
                <w:sz w:val="24"/>
              </w:rPr>
            </w:pPr>
          </w:p>
        </w:tc>
        <w:tc>
          <w:tcPr>
            <w:tcW w:w="1228" w:type="dxa"/>
            <w:gridSpan w:val="2"/>
            <w:vMerge w:val="restart"/>
            <w:noWrap w:val="0"/>
            <w:vAlign w:val="center"/>
          </w:tcPr>
          <w:p>
            <w:pPr>
              <w:jc w:val="center"/>
              <w:rPr>
                <w:rFonts w:ascii="宋体" w:hAnsi="宋体"/>
                <w:b/>
                <w:sz w:val="24"/>
              </w:rPr>
            </w:pPr>
            <w:r>
              <w:rPr>
                <w:rFonts w:hint="eastAsia" w:ascii="宋体" w:hAnsi="宋体"/>
                <w:b/>
                <w:sz w:val="24"/>
              </w:rPr>
              <w:t>建设团队配备：</w:t>
            </w:r>
          </w:p>
        </w:tc>
        <w:tc>
          <w:tcPr>
            <w:tcW w:w="5871" w:type="dxa"/>
            <w:noWrap w:val="0"/>
            <w:vAlign w:val="top"/>
          </w:tcPr>
          <w:p>
            <w:pPr>
              <w:rPr>
                <w:rFonts w:hint="eastAsia" w:ascii="宋体" w:hAnsi="宋体"/>
                <w:sz w:val="24"/>
              </w:rPr>
            </w:pPr>
            <w:r>
              <w:rPr>
                <w:rFonts w:hint="eastAsia" w:ascii="宋体" w:hAnsi="宋体"/>
                <w:sz w:val="24"/>
              </w:rPr>
              <w:t>根据投标人提供的建设团队配备方案</w:t>
            </w:r>
            <w:r>
              <w:rPr>
                <w:rFonts w:ascii="宋体" w:hAnsi="宋体"/>
                <w:sz w:val="24"/>
              </w:rPr>
              <w:t>是否完善，</w:t>
            </w:r>
            <w:r>
              <w:rPr>
                <w:rFonts w:hint="eastAsia" w:ascii="宋体" w:hAnsi="宋体"/>
                <w:sz w:val="24"/>
              </w:rPr>
              <w:t>团队</w:t>
            </w:r>
            <w:r>
              <w:rPr>
                <w:rFonts w:ascii="宋体" w:hAnsi="宋体"/>
                <w:sz w:val="24"/>
              </w:rPr>
              <w:t>人员配置及职责分工</w:t>
            </w:r>
            <w:r>
              <w:rPr>
                <w:rFonts w:hint="eastAsia" w:ascii="宋体" w:hAnsi="宋体"/>
                <w:sz w:val="24"/>
              </w:rPr>
              <w:t>是否明确，人员综合素质等</w:t>
            </w:r>
            <w:r>
              <w:rPr>
                <w:rFonts w:ascii="宋体" w:hAnsi="宋体"/>
                <w:sz w:val="24"/>
              </w:rPr>
              <w:t>是否满足</w:t>
            </w:r>
            <w:r>
              <w:rPr>
                <w:rFonts w:hint="eastAsia" w:ascii="宋体" w:hAnsi="宋体"/>
                <w:sz w:val="24"/>
              </w:rPr>
              <w:t>建设需求</w:t>
            </w:r>
            <w:r>
              <w:rPr>
                <w:rFonts w:ascii="宋体" w:hAnsi="宋体"/>
                <w:sz w:val="24"/>
              </w:rPr>
              <w:t>，</w:t>
            </w:r>
            <w:r>
              <w:rPr>
                <w:rFonts w:hint="eastAsia" w:ascii="宋体" w:hAnsi="宋体"/>
                <w:sz w:val="24"/>
              </w:rPr>
              <w:t xml:space="preserve">方案欠合理、欠科学的每项扣0.5分，方案不合理、不科学的每项扣1分，扣完为止，本项最高得2分。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989" w:hRule="atLeast"/>
        </w:trPr>
        <w:tc>
          <w:tcPr>
            <w:tcW w:w="707" w:type="dxa"/>
            <w:vMerge w:val="continue"/>
            <w:noWrap w:val="0"/>
            <w:vAlign w:val="top"/>
          </w:tcPr>
          <w:p>
            <w:pPr>
              <w:spacing w:before="120" w:beforeLines="50" w:line="360" w:lineRule="auto"/>
              <w:jc w:val="center"/>
              <w:rPr>
                <w:rFonts w:hint="eastAsia" w:ascii="宋体" w:hAnsi="宋体"/>
                <w:sz w:val="24"/>
              </w:rPr>
            </w:pPr>
          </w:p>
        </w:tc>
        <w:tc>
          <w:tcPr>
            <w:tcW w:w="1267" w:type="dxa"/>
            <w:vMerge w:val="continue"/>
            <w:noWrap w:val="0"/>
            <w:vAlign w:val="top"/>
          </w:tcPr>
          <w:p>
            <w:pPr>
              <w:rPr>
                <w:rFonts w:hint="eastAsia" w:ascii="宋体" w:hAnsi="宋体"/>
                <w:sz w:val="24"/>
              </w:rPr>
            </w:pPr>
          </w:p>
        </w:tc>
        <w:tc>
          <w:tcPr>
            <w:tcW w:w="1228" w:type="dxa"/>
            <w:gridSpan w:val="2"/>
            <w:vMerge w:val="continue"/>
            <w:noWrap w:val="0"/>
            <w:vAlign w:val="top"/>
          </w:tcPr>
          <w:p>
            <w:pPr>
              <w:rPr>
                <w:rFonts w:hint="eastAsia" w:ascii="宋体" w:hAnsi="宋体"/>
                <w:b/>
                <w:sz w:val="24"/>
              </w:rPr>
            </w:pPr>
          </w:p>
        </w:tc>
        <w:tc>
          <w:tcPr>
            <w:tcW w:w="5871" w:type="dxa"/>
            <w:noWrap w:val="0"/>
            <w:vAlign w:val="top"/>
          </w:tcPr>
          <w:p>
            <w:pPr>
              <w:rPr>
                <w:rFonts w:hint="eastAsia" w:ascii="宋体" w:hAnsi="宋体"/>
                <w:sz w:val="24"/>
              </w:rPr>
            </w:pPr>
            <w:r>
              <w:rPr>
                <w:rFonts w:hint="eastAsia" w:ascii="宋体" w:hAnsi="宋体"/>
                <w:sz w:val="24"/>
              </w:rPr>
              <w:t>1.拟投入的项目经理（日常打卡签到考核）具有信息系统项目管理师（高级）或同等认证证书的得1分；</w:t>
            </w:r>
          </w:p>
          <w:p>
            <w:pPr>
              <w:rPr>
                <w:rFonts w:hint="eastAsia" w:ascii="宋体" w:hAnsi="宋体"/>
                <w:sz w:val="24"/>
              </w:rPr>
            </w:pPr>
            <w:r>
              <w:rPr>
                <w:rFonts w:hint="eastAsia" w:ascii="宋体" w:hAnsi="宋体"/>
                <w:sz w:val="24"/>
              </w:rPr>
              <w:t>2.拟投入的项目技术负责人（日常打卡签到考核）具有计算机相关专业高级证书得1分；</w:t>
            </w:r>
          </w:p>
          <w:p>
            <w:pPr>
              <w:rPr>
                <w:rFonts w:hint="eastAsia" w:ascii="宋体" w:hAnsi="宋体"/>
                <w:sz w:val="24"/>
              </w:rPr>
            </w:pPr>
            <w:r>
              <w:rPr>
                <w:rFonts w:hint="eastAsia" w:ascii="宋体" w:hAnsi="宋体"/>
                <w:sz w:val="24"/>
              </w:rPr>
              <w:t>3.拟投入的建设团队人员（日常打卡签到考核）中，具有网络工程师等计算机专业证书的每人得0.5分；</w:t>
            </w:r>
          </w:p>
          <w:p>
            <w:pPr>
              <w:rPr>
                <w:rFonts w:hint="eastAsia" w:ascii="宋体" w:hAnsi="宋体"/>
                <w:sz w:val="24"/>
              </w:rPr>
            </w:pPr>
            <w:r>
              <w:rPr>
                <w:rFonts w:hint="eastAsia" w:ascii="宋体" w:hAnsi="宋体"/>
                <w:sz w:val="24"/>
              </w:rPr>
              <w:t>本项最高得3分。</w:t>
            </w:r>
          </w:p>
          <w:p>
            <w:pPr>
              <w:rPr>
                <w:rFonts w:hint="eastAsia" w:ascii="宋体" w:hAnsi="宋体"/>
                <w:b/>
                <w:sz w:val="24"/>
              </w:rPr>
            </w:pPr>
            <w:r>
              <w:rPr>
                <w:rFonts w:hint="eastAsia" w:ascii="宋体" w:hAnsi="宋体"/>
                <w:b/>
                <w:sz w:val="24"/>
              </w:rPr>
              <w:t>以上相关证书扫描件导入资信商务及技术文件中，否则不得分。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619" w:hRule="atLeast"/>
        </w:trPr>
        <w:tc>
          <w:tcPr>
            <w:tcW w:w="707" w:type="dxa"/>
            <w:vMerge w:val="restart"/>
            <w:noWrap w:val="0"/>
            <w:vAlign w:val="center"/>
          </w:tcPr>
          <w:p>
            <w:pPr>
              <w:spacing w:before="120" w:beforeLines="50" w:line="360" w:lineRule="auto"/>
              <w:jc w:val="center"/>
              <w:rPr>
                <w:rFonts w:hint="eastAsia" w:ascii="宋体" w:hAnsi="宋体"/>
                <w:sz w:val="24"/>
              </w:rPr>
            </w:pPr>
            <w:r>
              <w:rPr>
                <w:rFonts w:hint="eastAsia" w:ascii="宋体" w:hAnsi="宋体"/>
                <w:sz w:val="24"/>
              </w:rPr>
              <w:t>3</w:t>
            </w:r>
          </w:p>
        </w:tc>
        <w:tc>
          <w:tcPr>
            <w:tcW w:w="1267" w:type="dxa"/>
            <w:vMerge w:val="restart"/>
            <w:noWrap w:val="0"/>
            <w:vAlign w:val="center"/>
          </w:tcPr>
          <w:p>
            <w:pPr>
              <w:jc w:val="center"/>
              <w:rPr>
                <w:rFonts w:hint="eastAsia" w:ascii="宋体" w:hAnsi="宋体"/>
                <w:sz w:val="24"/>
              </w:rPr>
            </w:pPr>
            <w:r>
              <w:rPr>
                <w:rFonts w:hint="eastAsia" w:ascii="宋体" w:hAnsi="宋体"/>
                <w:sz w:val="24"/>
              </w:rPr>
              <w:t>项目运维方案（15分）</w:t>
            </w:r>
          </w:p>
        </w:tc>
        <w:tc>
          <w:tcPr>
            <w:tcW w:w="7099" w:type="dxa"/>
            <w:gridSpan w:val="3"/>
            <w:noWrap w:val="0"/>
            <w:vAlign w:val="top"/>
          </w:tcPr>
          <w:p>
            <w:pPr>
              <w:rPr>
                <w:rFonts w:hint="eastAsia" w:ascii="宋体" w:hAnsi="宋体"/>
                <w:b/>
                <w:sz w:val="24"/>
              </w:rPr>
            </w:pPr>
            <w:r>
              <w:rPr>
                <w:rFonts w:hint="eastAsia" w:ascii="宋体" w:hAnsi="宋体"/>
                <w:b/>
                <w:sz w:val="24"/>
              </w:rPr>
              <w:t>运维设备：</w:t>
            </w:r>
          </w:p>
          <w:p>
            <w:pPr>
              <w:rPr>
                <w:rFonts w:hint="eastAsia" w:ascii="宋体" w:hAnsi="宋体"/>
                <w:b/>
                <w:sz w:val="24"/>
              </w:rPr>
            </w:pPr>
            <w:r>
              <w:rPr>
                <w:rFonts w:hint="eastAsia" w:ascii="宋体" w:hAnsi="宋体"/>
                <w:sz w:val="24"/>
              </w:rPr>
              <w:t>根据投标人投入的后续服务装备、专用维护车辆等保障方案情况进行比较打分，方案科学、合理的得3分。方案欠科学、欠合理的每项扣0.5分；方案不科学、不合理的每项扣1分，扣完为止。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95" w:hRule="atLeast"/>
        </w:trPr>
        <w:tc>
          <w:tcPr>
            <w:tcW w:w="707" w:type="dxa"/>
            <w:vMerge w:val="continue"/>
            <w:noWrap w:val="0"/>
            <w:vAlign w:val="top"/>
          </w:tcPr>
          <w:p>
            <w:pPr>
              <w:spacing w:before="120" w:beforeLines="50" w:line="360" w:lineRule="auto"/>
              <w:jc w:val="center"/>
              <w:rPr>
                <w:rFonts w:hint="eastAsia" w:ascii="宋体" w:hAnsi="宋体"/>
                <w:sz w:val="24"/>
              </w:rPr>
            </w:pPr>
          </w:p>
        </w:tc>
        <w:tc>
          <w:tcPr>
            <w:tcW w:w="1267" w:type="dxa"/>
            <w:vMerge w:val="continue"/>
            <w:noWrap w:val="0"/>
            <w:vAlign w:val="top"/>
          </w:tcPr>
          <w:p>
            <w:pPr>
              <w:rPr>
                <w:rFonts w:hint="eastAsia" w:ascii="宋体" w:hAnsi="宋体"/>
                <w:sz w:val="24"/>
              </w:rPr>
            </w:pPr>
          </w:p>
        </w:tc>
        <w:tc>
          <w:tcPr>
            <w:tcW w:w="7099" w:type="dxa"/>
            <w:gridSpan w:val="3"/>
            <w:noWrap w:val="0"/>
            <w:vAlign w:val="top"/>
          </w:tcPr>
          <w:p>
            <w:pPr>
              <w:rPr>
                <w:rFonts w:hint="eastAsia" w:ascii="宋体" w:hAnsi="宋体"/>
                <w:b/>
                <w:sz w:val="24"/>
              </w:rPr>
            </w:pPr>
            <w:r>
              <w:rPr>
                <w:rFonts w:hint="eastAsia" w:ascii="宋体" w:hAnsi="宋体"/>
                <w:b/>
                <w:sz w:val="24"/>
              </w:rPr>
              <w:t>备品备件：</w:t>
            </w:r>
          </w:p>
          <w:p>
            <w:pPr>
              <w:spacing w:line="276" w:lineRule="auto"/>
              <w:rPr>
                <w:rFonts w:hint="eastAsia" w:ascii="宋体" w:hAnsi="宋体"/>
                <w:sz w:val="24"/>
              </w:rPr>
            </w:pPr>
            <w:r>
              <w:rPr>
                <w:rFonts w:hint="eastAsia" w:ascii="宋体" w:hAnsi="宋体"/>
                <w:sz w:val="24"/>
              </w:rPr>
              <w:t>根据备品备件存放需求，设置（带监控系统、做到出入库登记）相应备品备件库房的得2分。</w:t>
            </w:r>
          </w:p>
          <w:p>
            <w:pPr>
              <w:pStyle w:val="2"/>
              <w:ind w:firstLine="0"/>
              <w:rPr>
                <w:rFonts w:hint="eastAsia" w:ascii="宋体" w:hAnsi="宋体" w:eastAsia="宋体"/>
                <w:b/>
              </w:rPr>
            </w:pPr>
            <w:r>
              <w:rPr>
                <w:rFonts w:hint="eastAsia" w:ascii="宋体" w:hAnsi="宋体" w:eastAsia="宋体"/>
                <w:b/>
                <w:sz w:val="24"/>
              </w:rPr>
              <w:t>自有库房的提供房产证明扫描件，租赁库房的提供相关租赁合同扫描件，否则不得分。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308" w:hRule="atLeast"/>
        </w:trPr>
        <w:tc>
          <w:tcPr>
            <w:tcW w:w="707" w:type="dxa"/>
            <w:vMerge w:val="continue"/>
            <w:noWrap w:val="0"/>
            <w:vAlign w:val="top"/>
          </w:tcPr>
          <w:p>
            <w:pPr>
              <w:spacing w:before="120" w:beforeLines="50" w:line="360" w:lineRule="auto"/>
              <w:jc w:val="center"/>
              <w:rPr>
                <w:rFonts w:hint="eastAsia" w:ascii="宋体" w:hAnsi="宋体"/>
                <w:sz w:val="24"/>
              </w:rPr>
            </w:pPr>
          </w:p>
        </w:tc>
        <w:tc>
          <w:tcPr>
            <w:tcW w:w="1267" w:type="dxa"/>
            <w:vMerge w:val="continue"/>
            <w:noWrap w:val="0"/>
            <w:vAlign w:val="top"/>
          </w:tcPr>
          <w:p>
            <w:pPr>
              <w:rPr>
                <w:rFonts w:hint="eastAsia" w:ascii="宋体" w:hAnsi="宋体"/>
                <w:sz w:val="24"/>
              </w:rPr>
            </w:pPr>
          </w:p>
        </w:tc>
        <w:tc>
          <w:tcPr>
            <w:tcW w:w="7099" w:type="dxa"/>
            <w:gridSpan w:val="3"/>
            <w:noWrap w:val="0"/>
            <w:vAlign w:val="top"/>
          </w:tcPr>
          <w:p>
            <w:pPr>
              <w:rPr>
                <w:rFonts w:hint="eastAsia" w:ascii="宋体" w:hAnsi="宋体"/>
                <w:b/>
                <w:bCs/>
                <w:sz w:val="24"/>
              </w:rPr>
            </w:pPr>
            <w:r>
              <w:rPr>
                <w:rFonts w:hint="eastAsia" w:ascii="宋体" w:hAnsi="宋体"/>
                <w:b/>
                <w:bCs/>
                <w:sz w:val="24"/>
              </w:rPr>
              <w:t>项目风险控制：</w:t>
            </w:r>
          </w:p>
          <w:p>
            <w:pPr>
              <w:pStyle w:val="2"/>
              <w:ind w:firstLine="0"/>
              <w:rPr>
                <w:rFonts w:hint="eastAsia" w:ascii="宋体" w:hAnsi="宋体" w:eastAsia="宋体"/>
              </w:rPr>
            </w:pPr>
            <w:r>
              <w:rPr>
                <w:rFonts w:hint="eastAsia" w:ascii="宋体" w:hAnsi="宋体" w:eastAsia="宋体"/>
                <w:bCs/>
                <w:sz w:val="24"/>
              </w:rPr>
              <w:t>设备质保期承诺、服务范围和内容、服务期间风险控制实施方案等具有完整性、科学性的得4分。方案欠完整、欠科学的每项扣0.5分；方案不完整、不科学的每项扣1分，扣完为止。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966" w:hRule="atLeast"/>
        </w:trPr>
        <w:tc>
          <w:tcPr>
            <w:tcW w:w="707" w:type="dxa"/>
            <w:vMerge w:val="continue"/>
            <w:noWrap w:val="0"/>
            <w:vAlign w:val="top"/>
          </w:tcPr>
          <w:p>
            <w:pPr>
              <w:spacing w:before="120" w:beforeLines="50" w:line="360" w:lineRule="auto"/>
              <w:jc w:val="center"/>
              <w:rPr>
                <w:rFonts w:hint="eastAsia" w:ascii="宋体" w:hAnsi="宋体"/>
                <w:sz w:val="24"/>
              </w:rPr>
            </w:pPr>
          </w:p>
        </w:tc>
        <w:tc>
          <w:tcPr>
            <w:tcW w:w="1267" w:type="dxa"/>
            <w:vMerge w:val="continue"/>
            <w:noWrap w:val="0"/>
            <w:vAlign w:val="top"/>
          </w:tcPr>
          <w:p>
            <w:pPr>
              <w:rPr>
                <w:rFonts w:hint="eastAsia" w:ascii="宋体" w:hAnsi="宋体"/>
                <w:sz w:val="24"/>
              </w:rPr>
            </w:pPr>
          </w:p>
        </w:tc>
        <w:tc>
          <w:tcPr>
            <w:tcW w:w="7099" w:type="dxa"/>
            <w:gridSpan w:val="3"/>
            <w:noWrap w:val="0"/>
            <w:vAlign w:val="top"/>
          </w:tcPr>
          <w:p>
            <w:pPr>
              <w:rPr>
                <w:rFonts w:hint="eastAsia" w:ascii="宋体" w:hAnsi="宋体"/>
                <w:b/>
                <w:sz w:val="24"/>
              </w:rPr>
            </w:pPr>
            <w:r>
              <w:rPr>
                <w:rFonts w:hint="eastAsia" w:ascii="宋体" w:hAnsi="宋体"/>
                <w:b/>
                <w:sz w:val="24"/>
              </w:rPr>
              <w:t>考核指标保障措施：</w:t>
            </w:r>
          </w:p>
          <w:p>
            <w:pPr>
              <w:rPr>
                <w:rFonts w:hint="eastAsia" w:ascii="宋体" w:hAnsi="宋体"/>
                <w:sz w:val="24"/>
              </w:rPr>
            </w:pPr>
            <w:r>
              <w:rPr>
                <w:rFonts w:hint="eastAsia" w:ascii="宋体" w:hAnsi="宋体"/>
                <w:sz w:val="24"/>
              </w:rPr>
              <w:t>提供有效保障上级部门各项考核指标的措施，措施科学合理，最高2分。措施欠科学合理的每项扣0.5分，措施不科学合理的每项扣1分，扣完为止。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65" w:hRule="atLeast"/>
        </w:trPr>
        <w:tc>
          <w:tcPr>
            <w:tcW w:w="707" w:type="dxa"/>
            <w:vMerge w:val="continue"/>
            <w:noWrap w:val="0"/>
            <w:vAlign w:val="top"/>
          </w:tcPr>
          <w:p>
            <w:pPr>
              <w:spacing w:before="120" w:beforeLines="50" w:line="360" w:lineRule="auto"/>
              <w:jc w:val="center"/>
              <w:rPr>
                <w:rFonts w:hint="eastAsia" w:ascii="宋体" w:hAnsi="宋体"/>
                <w:sz w:val="24"/>
              </w:rPr>
            </w:pPr>
          </w:p>
        </w:tc>
        <w:tc>
          <w:tcPr>
            <w:tcW w:w="1267" w:type="dxa"/>
            <w:vMerge w:val="continue"/>
            <w:noWrap w:val="0"/>
            <w:vAlign w:val="top"/>
          </w:tcPr>
          <w:p>
            <w:pPr>
              <w:rPr>
                <w:rFonts w:hint="eastAsia" w:ascii="宋体" w:hAnsi="宋体"/>
                <w:sz w:val="24"/>
              </w:rPr>
            </w:pPr>
          </w:p>
        </w:tc>
        <w:tc>
          <w:tcPr>
            <w:tcW w:w="698" w:type="dxa"/>
            <w:vMerge w:val="restart"/>
            <w:noWrap w:val="0"/>
            <w:vAlign w:val="center"/>
          </w:tcPr>
          <w:p>
            <w:pPr>
              <w:jc w:val="center"/>
              <w:rPr>
                <w:rFonts w:hint="eastAsia" w:ascii="宋体" w:hAnsi="宋体"/>
                <w:b/>
                <w:sz w:val="24"/>
              </w:rPr>
            </w:pPr>
            <w:r>
              <w:rPr>
                <w:rFonts w:hint="eastAsia" w:ascii="宋体" w:hAnsi="宋体"/>
                <w:b/>
                <w:sz w:val="24"/>
              </w:rPr>
              <w:t>运维团队配备</w:t>
            </w:r>
          </w:p>
        </w:tc>
        <w:tc>
          <w:tcPr>
            <w:tcW w:w="6401" w:type="dxa"/>
            <w:gridSpan w:val="2"/>
            <w:noWrap w:val="0"/>
            <w:vAlign w:val="top"/>
          </w:tcPr>
          <w:p>
            <w:pPr>
              <w:rPr>
                <w:rFonts w:hint="eastAsia" w:ascii="宋体" w:hAnsi="宋体"/>
                <w:b/>
                <w:sz w:val="24"/>
              </w:rPr>
            </w:pPr>
            <w:r>
              <w:rPr>
                <w:rFonts w:hint="eastAsia" w:ascii="宋体" w:hAnsi="宋体"/>
                <w:sz w:val="24"/>
              </w:rPr>
              <w:t>根据投标人提供的运维团队配备方案</w:t>
            </w:r>
            <w:r>
              <w:rPr>
                <w:rFonts w:ascii="宋体" w:hAnsi="宋体"/>
                <w:sz w:val="24"/>
              </w:rPr>
              <w:t>是否完善，</w:t>
            </w:r>
            <w:r>
              <w:rPr>
                <w:rFonts w:hint="eastAsia" w:ascii="宋体" w:hAnsi="宋体"/>
                <w:sz w:val="24"/>
              </w:rPr>
              <w:t>团队</w:t>
            </w:r>
            <w:r>
              <w:rPr>
                <w:rFonts w:ascii="宋体" w:hAnsi="宋体"/>
                <w:sz w:val="24"/>
              </w:rPr>
              <w:t>人员配置及职责分工</w:t>
            </w:r>
            <w:r>
              <w:rPr>
                <w:rFonts w:hint="eastAsia" w:ascii="宋体" w:hAnsi="宋体"/>
                <w:sz w:val="24"/>
              </w:rPr>
              <w:t>是否明确，人员综合素质等</w:t>
            </w:r>
            <w:r>
              <w:rPr>
                <w:rFonts w:ascii="宋体" w:hAnsi="宋体"/>
                <w:sz w:val="24"/>
              </w:rPr>
              <w:t>是否满足</w:t>
            </w:r>
            <w:r>
              <w:rPr>
                <w:rFonts w:hint="eastAsia" w:ascii="宋体" w:hAnsi="宋体"/>
                <w:sz w:val="24"/>
              </w:rPr>
              <w:t>项目运维需求</w:t>
            </w:r>
            <w:r>
              <w:rPr>
                <w:rFonts w:ascii="宋体" w:hAnsi="宋体"/>
                <w:sz w:val="24"/>
              </w:rPr>
              <w:t>，</w:t>
            </w:r>
            <w:r>
              <w:rPr>
                <w:rFonts w:hint="eastAsia" w:ascii="宋体" w:hAnsi="宋体"/>
                <w:sz w:val="24"/>
              </w:rPr>
              <w:t>方案欠合理、欠科学的每项扣0.5分，方案不合理、不科学的每项扣1分，扣完为止，本项最高得3分。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18" w:hRule="atLeast"/>
        </w:trPr>
        <w:tc>
          <w:tcPr>
            <w:tcW w:w="707" w:type="dxa"/>
            <w:vMerge w:val="continue"/>
            <w:noWrap w:val="0"/>
            <w:vAlign w:val="top"/>
          </w:tcPr>
          <w:p>
            <w:pPr>
              <w:spacing w:before="120" w:beforeLines="50" w:line="360" w:lineRule="auto"/>
              <w:jc w:val="center"/>
              <w:rPr>
                <w:rFonts w:hint="eastAsia" w:ascii="宋体" w:hAnsi="宋体"/>
                <w:sz w:val="24"/>
              </w:rPr>
            </w:pPr>
          </w:p>
        </w:tc>
        <w:tc>
          <w:tcPr>
            <w:tcW w:w="1267" w:type="dxa"/>
            <w:vMerge w:val="continue"/>
            <w:noWrap w:val="0"/>
            <w:vAlign w:val="top"/>
          </w:tcPr>
          <w:p>
            <w:pPr>
              <w:rPr>
                <w:rFonts w:hint="eastAsia" w:ascii="宋体" w:hAnsi="宋体"/>
                <w:sz w:val="24"/>
              </w:rPr>
            </w:pPr>
          </w:p>
        </w:tc>
        <w:tc>
          <w:tcPr>
            <w:tcW w:w="698" w:type="dxa"/>
            <w:vMerge w:val="continue"/>
            <w:noWrap w:val="0"/>
            <w:vAlign w:val="top"/>
          </w:tcPr>
          <w:p>
            <w:pPr>
              <w:rPr>
                <w:rFonts w:hint="eastAsia" w:ascii="宋体" w:hAnsi="宋体"/>
                <w:b/>
                <w:sz w:val="24"/>
              </w:rPr>
            </w:pPr>
          </w:p>
        </w:tc>
        <w:tc>
          <w:tcPr>
            <w:tcW w:w="6401" w:type="dxa"/>
            <w:gridSpan w:val="2"/>
            <w:noWrap w:val="0"/>
            <w:vAlign w:val="top"/>
          </w:tcPr>
          <w:p>
            <w:pPr>
              <w:rPr>
                <w:rFonts w:hint="eastAsia" w:ascii="宋体" w:hAnsi="宋体"/>
                <w:sz w:val="24"/>
              </w:rPr>
            </w:pPr>
            <w:r>
              <w:rPr>
                <w:rFonts w:hint="eastAsia" w:ascii="宋体" w:hAnsi="宋体"/>
                <w:sz w:val="24"/>
              </w:rPr>
              <w:t xml:space="preserve">拟投入的运维团队人员（日常打卡签到考核）中，具有网络工程师等计算机专业证书的每人得0.5分，本项最高得1分。 </w:t>
            </w:r>
          </w:p>
          <w:p>
            <w:pPr>
              <w:rPr>
                <w:rFonts w:hint="eastAsia" w:ascii="宋体" w:hAnsi="宋体"/>
                <w:b/>
                <w:sz w:val="24"/>
              </w:rPr>
            </w:pPr>
            <w:r>
              <w:rPr>
                <w:rFonts w:hint="eastAsia" w:ascii="宋体" w:hAnsi="宋体"/>
                <w:b/>
                <w:sz w:val="24"/>
              </w:rPr>
              <w:t>以上相关证书扫描件导入资信商务及技术文件中，否则不得分。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707" w:type="dxa"/>
            <w:noWrap w:val="0"/>
            <w:vAlign w:val="center"/>
          </w:tcPr>
          <w:p>
            <w:pPr>
              <w:spacing w:before="120" w:beforeLines="50" w:line="360" w:lineRule="auto"/>
              <w:jc w:val="center"/>
              <w:rPr>
                <w:rFonts w:hint="eastAsia" w:ascii="宋体" w:hAnsi="宋体"/>
                <w:sz w:val="24"/>
              </w:rPr>
            </w:pPr>
            <w:r>
              <w:rPr>
                <w:rFonts w:hint="eastAsia" w:ascii="宋体" w:hAnsi="宋体"/>
                <w:sz w:val="24"/>
              </w:rPr>
              <w:t>4</w:t>
            </w:r>
          </w:p>
        </w:tc>
        <w:tc>
          <w:tcPr>
            <w:tcW w:w="1267" w:type="dxa"/>
            <w:noWrap w:val="0"/>
            <w:vAlign w:val="center"/>
          </w:tcPr>
          <w:p>
            <w:pPr>
              <w:spacing w:before="120" w:beforeLines="50"/>
              <w:jc w:val="center"/>
              <w:rPr>
                <w:rFonts w:hint="eastAsia" w:ascii="宋体" w:hAnsi="宋体"/>
                <w:b/>
                <w:sz w:val="24"/>
              </w:rPr>
            </w:pPr>
            <w:r>
              <w:rPr>
                <w:rFonts w:hint="eastAsia" w:ascii="宋体" w:hAnsi="宋体"/>
                <w:bCs/>
                <w:sz w:val="24"/>
              </w:rPr>
              <w:t>内部管理及考核制度</w:t>
            </w:r>
            <w:r>
              <w:rPr>
                <w:rFonts w:hint="eastAsia" w:ascii="宋体" w:hAnsi="宋体"/>
                <w:sz w:val="24"/>
              </w:rPr>
              <w:t>（5分）</w:t>
            </w:r>
          </w:p>
        </w:tc>
        <w:tc>
          <w:tcPr>
            <w:tcW w:w="7099" w:type="dxa"/>
            <w:gridSpan w:val="3"/>
            <w:noWrap w:val="0"/>
            <w:vAlign w:val="top"/>
          </w:tcPr>
          <w:p>
            <w:pPr>
              <w:spacing w:before="120" w:beforeLines="50"/>
              <w:jc w:val="left"/>
              <w:rPr>
                <w:rFonts w:hint="eastAsia" w:ascii="宋体" w:hAnsi="宋体"/>
                <w:b/>
                <w:sz w:val="24"/>
              </w:rPr>
            </w:pPr>
            <w:r>
              <w:rPr>
                <w:rFonts w:hint="eastAsia" w:ascii="宋体" w:hAnsi="宋体"/>
                <w:bCs/>
                <w:sz w:val="24"/>
              </w:rPr>
              <w:t>针对本项目建设阶段、服务阶段制定的管理制度，包括质量监督管理制度、内部岗位责任制度、人员考核绩效制度、人员培训制度、财务管理制度等，制度规范、合理的得5分，制度欠规范、欠合理的每项扣0.5分，制度不规范、不合理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707" w:type="dxa"/>
            <w:noWrap w:val="0"/>
            <w:vAlign w:val="center"/>
          </w:tcPr>
          <w:p>
            <w:pPr>
              <w:spacing w:before="120" w:beforeLines="50" w:line="360" w:lineRule="auto"/>
              <w:jc w:val="center"/>
              <w:rPr>
                <w:rFonts w:hint="eastAsia" w:ascii="宋体" w:hAnsi="宋体"/>
                <w:sz w:val="24"/>
              </w:rPr>
            </w:pPr>
            <w:r>
              <w:rPr>
                <w:rFonts w:hint="eastAsia" w:ascii="宋体" w:hAnsi="宋体"/>
                <w:sz w:val="24"/>
              </w:rPr>
              <w:t>5</w:t>
            </w:r>
          </w:p>
        </w:tc>
        <w:tc>
          <w:tcPr>
            <w:tcW w:w="1267" w:type="dxa"/>
            <w:noWrap w:val="0"/>
            <w:vAlign w:val="center"/>
          </w:tcPr>
          <w:p>
            <w:pPr>
              <w:jc w:val="center"/>
              <w:rPr>
                <w:rFonts w:hint="eastAsia" w:ascii="宋体" w:hAnsi="宋体"/>
                <w:sz w:val="24"/>
              </w:rPr>
            </w:pPr>
            <w:r>
              <w:rPr>
                <w:rFonts w:hint="eastAsia" w:ascii="宋体" w:hAnsi="宋体"/>
                <w:sz w:val="24"/>
              </w:rPr>
              <w:t>报价比重分析（4分）</w:t>
            </w:r>
          </w:p>
        </w:tc>
        <w:tc>
          <w:tcPr>
            <w:tcW w:w="7099" w:type="dxa"/>
            <w:gridSpan w:val="3"/>
            <w:noWrap w:val="0"/>
            <w:vAlign w:val="top"/>
          </w:tcPr>
          <w:p>
            <w:pPr>
              <w:rPr>
                <w:rFonts w:hint="eastAsia" w:ascii="宋体" w:hAnsi="宋体"/>
                <w:sz w:val="24"/>
              </w:rPr>
            </w:pPr>
            <w:r>
              <w:rPr>
                <w:rFonts w:hint="eastAsia" w:ascii="宋体" w:hAnsi="宋体"/>
                <w:sz w:val="24"/>
              </w:rPr>
              <w:t>针对工程建设费（基础设备及软件）、光纤链路网络费、运维服务费三大块内容的报价占比的分析，各项报价比重分析以及与项目实际情况的符合程度，结合报价比重如何保障项目建设、服务质量等进行打分，最高4分。方案欠完整、欠科学的每项扣0.5分；方案不完整、不科学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707" w:type="dxa"/>
            <w:noWrap w:val="0"/>
            <w:vAlign w:val="center"/>
          </w:tcPr>
          <w:p>
            <w:pPr>
              <w:spacing w:before="120" w:beforeLines="50" w:line="360" w:lineRule="auto"/>
              <w:jc w:val="center"/>
              <w:rPr>
                <w:rFonts w:hint="eastAsia" w:ascii="宋体" w:hAnsi="宋体"/>
                <w:sz w:val="24"/>
              </w:rPr>
            </w:pPr>
            <w:r>
              <w:rPr>
                <w:rFonts w:hint="eastAsia" w:ascii="宋体" w:hAnsi="宋体"/>
                <w:sz w:val="24"/>
              </w:rPr>
              <w:t>6</w:t>
            </w:r>
          </w:p>
        </w:tc>
        <w:tc>
          <w:tcPr>
            <w:tcW w:w="1267" w:type="dxa"/>
            <w:noWrap w:val="0"/>
            <w:vAlign w:val="center"/>
          </w:tcPr>
          <w:p>
            <w:pPr>
              <w:jc w:val="center"/>
              <w:rPr>
                <w:rFonts w:hint="eastAsia" w:ascii="宋体" w:hAnsi="宋体"/>
                <w:sz w:val="24"/>
              </w:rPr>
            </w:pPr>
            <w:r>
              <w:rPr>
                <w:rFonts w:hint="eastAsia" w:ascii="宋体" w:hAnsi="宋体"/>
                <w:sz w:val="24"/>
              </w:rPr>
              <w:t>施工及运维台帐建设方案（5分）</w:t>
            </w:r>
          </w:p>
        </w:tc>
        <w:tc>
          <w:tcPr>
            <w:tcW w:w="7099" w:type="dxa"/>
            <w:gridSpan w:val="3"/>
            <w:noWrap w:val="0"/>
            <w:vAlign w:val="top"/>
          </w:tcPr>
          <w:p>
            <w:pPr>
              <w:rPr>
                <w:rFonts w:hint="eastAsia" w:ascii="宋体" w:hAnsi="宋体"/>
                <w:sz w:val="24"/>
              </w:rPr>
            </w:pPr>
            <w:r>
              <w:rPr>
                <w:rFonts w:hint="eastAsia" w:ascii="宋体" w:hAnsi="宋体"/>
                <w:sz w:val="24"/>
              </w:rPr>
              <w:t>根据项目建设及服务各工作内容台帐（月台账）设置内容的科学性、台帐记录的及时完整性等进行打分，最高5分。方案欠完整、欠科学的每项扣0.5分；方案不完整、不科学的每项扣1分，扣完为止。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707" w:type="dxa"/>
            <w:noWrap w:val="0"/>
            <w:vAlign w:val="center"/>
          </w:tcPr>
          <w:p>
            <w:pPr>
              <w:spacing w:before="120" w:beforeLines="50" w:line="360" w:lineRule="auto"/>
              <w:jc w:val="center"/>
              <w:rPr>
                <w:rFonts w:hint="eastAsia" w:ascii="宋体" w:hAnsi="宋体"/>
                <w:sz w:val="24"/>
              </w:rPr>
            </w:pPr>
            <w:r>
              <w:rPr>
                <w:rFonts w:hint="eastAsia" w:ascii="宋体" w:hAnsi="宋体"/>
                <w:sz w:val="24"/>
              </w:rPr>
              <w:t>7</w:t>
            </w:r>
          </w:p>
        </w:tc>
        <w:tc>
          <w:tcPr>
            <w:tcW w:w="1267" w:type="dxa"/>
            <w:noWrap w:val="0"/>
            <w:vAlign w:val="center"/>
          </w:tcPr>
          <w:p>
            <w:pPr>
              <w:jc w:val="center"/>
              <w:rPr>
                <w:rFonts w:hint="eastAsia" w:ascii="宋体" w:hAnsi="宋体"/>
                <w:sz w:val="24"/>
              </w:rPr>
            </w:pPr>
            <w:r>
              <w:rPr>
                <w:rFonts w:hint="eastAsia" w:ascii="宋体" w:hAnsi="宋体"/>
                <w:sz w:val="24"/>
              </w:rPr>
              <w:t>应急预案（4分）</w:t>
            </w:r>
          </w:p>
        </w:tc>
        <w:tc>
          <w:tcPr>
            <w:tcW w:w="7099" w:type="dxa"/>
            <w:gridSpan w:val="3"/>
            <w:noWrap w:val="0"/>
            <w:vAlign w:val="top"/>
          </w:tcPr>
          <w:p>
            <w:pPr>
              <w:rPr>
                <w:rFonts w:hint="eastAsia" w:ascii="宋体" w:hAnsi="宋体"/>
                <w:sz w:val="24"/>
              </w:rPr>
            </w:pPr>
            <w:r>
              <w:rPr>
                <w:rFonts w:hint="eastAsia" w:ascii="宋体" w:hAnsi="宋体"/>
                <w:sz w:val="24"/>
              </w:rPr>
              <w:t>根据提供的应急预案（含应急抢修措施、日常巡检、疫情防控措施等内容）进行综合比较打分，最高4分。预案欠合理、欠科学的每项扣0.5分；预案不合理、不科学的每项扣1分，扣完为止。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Pr>
        <w:tc>
          <w:tcPr>
            <w:tcW w:w="707" w:type="dxa"/>
            <w:noWrap w:val="0"/>
            <w:vAlign w:val="center"/>
          </w:tcPr>
          <w:p>
            <w:pPr>
              <w:spacing w:before="120" w:beforeLines="50" w:line="360" w:lineRule="auto"/>
              <w:jc w:val="center"/>
              <w:rPr>
                <w:rFonts w:hint="eastAsia" w:ascii="宋体" w:hAnsi="宋体"/>
                <w:sz w:val="24"/>
              </w:rPr>
            </w:pPr>
            <w:r>
              <w:rPr>
                <w:rFonts w:hint="eastAsia" w:ascii="宋体" w:hAnsi="宋体"/>
                <w:sz w:val="24"/>
              </w:rPr>
              <w:t>8</w:t>
            </w:r>
          </w:p>
        </w:tc>
        <w:tc>
          <w:tcPr>
            <w:tcW w:w="1267" w:type="dxa"/>
            <w:noWrap w:val="0"/>
            <w:vAlign w:val="center"/>
          </w:tcPr>
          <w:p>
            <w:pPr>
              <w:jc w:val="center"/>
              <w:rPr>
                <w:rFonts w:hint="eastAsia" w:ascii="宋体" w:hAnsi="宋体"/>
                <w:sz w:val="24"/>
              </w:rPr>
            </w:pPr>
            <w:r>
              <w:rPr>
                <w:rFonts w:hint="eastAsia" w:ascii="宋体" w:hAnsi="宋体"/>
                <w:sz w:val="24"/>
              </w:rPr>
              <w:t>项目讲解（10分）</w:t>
            </w:r>
          </w:p>
        </w:tc>
        <w:tc>
          <w:tcPr>
            <w:tcW w:w="7099" w:type="dxa"/>
            <w:gridSpan w:val="3"/>
            <w:noWrap w:val="0"/>
            <w:vAlign w:val="top"/>
          </w:tcPr>
          <w:p>
            <w:pPr>
              <w:rPr>
                <w:rFonts w:hint="eastAsia" w:ascii="宋体" w:hAnsi="宋体"/>
                <w:sz w:val="24"/>
              </w:rPr>
            </w:pPr>
            <w:r>
              <w:rPr>
                <w:rFonts w:hint="eastAsia" w:ascii="宋体" w:hAnsi="宋体"/>
                <w:sz w:val="24"/>
              </w:rPr>
              <w:t>投标人针对本项目进行讲解，讲解时间不得超过15分钟，不含专家提问及技术答辩时间，专业性问题允许有专业人员回答，参加讲解人数不得超3人。</w:t>
            </w:r>
          </w:p>
          <w:p>
            <w:pPr>
              <w:pStyle w:val="2"/>
              <w:ind w:firstLine="0"/>
              <w:rPr>
                <w:rFonts w:hint="eastAsia" w:ascii="宋体" w:hAnsi="宋体" w:eastAsia="宋体"/>
                <w:sz w:val="24"/>
              </w:rPr>
            </w:pPr>
            <w:r>
              <w:rPr>
                <w:rFonts w:hint="eastAsia" w:ascii="宋体" w:hAnsi="宋体" w:eastAsia="宋体"/>
                <w:sz w:val="24"/>
              </w:rPr>
              <w:t>1.项目负责人针对实施方案及运维思路进行讲解，评委根据讲解内容与质量进行打分（选择视频讲解的投标人，须在视频中清晰体现项目负责人的身份证明，否则本项不得分），讲解欠清晰的每项扣0.5分，扣完为止；本项最高得3分；</w:t>
            </w:r>
          </w:p>
          <w:p>
            <w:pPr>
              <w:pStyle w:val="2"/>
              <w:ind w:firstLine="0"/>
              <w:rPr>
                <w:rFonts w:hint="eastAsia" w:ascii="宋体" w:hAnsi="宋体" w:eastAsia="宋体"/>
                <w:sz w:val="24"/>
              </w:rPr>
            </w:pPr>
            <w:r>
              <w:rPr>
                <w:rFonts w:hint="eastAsia" w:ascii="宋体" w:hAnsi="宋体" w:eastAsia="宋体"/>
                <w:sz w:val="24"/>
              </w:rPr>
              <w:t>2.评委根据投标人讲解内容的完整性进行打分，讲解欠完整的每项扣0.5分，扣完为止；本项最高得2分；</w:t>
            </w:r>
          </w:p>
          <w:p>
            <w:pPr>
              <w:pStyle w:val="2"/>
              <w:ind w:firstLine="0"/>
              <w:rPr>
                <w:rFonts w:hint="eastAsia" w:ascii="宋体" w:hAnsi="宋体" w:eastAsia="宋体"/>
                <w:sz w:val="24"/>
              </w:rPr>
            </w:pPr>
            <w:r>
              <w:rPr>
                <w:rFonts w:hint="eastAsia" w:ascii="宋体" w:hAnsi="宋体" w:eastAsia="宋体"/>
                <w:sz w:val="24"/>
              </w:rPr>
              <w:t>3.评委根据投标人对技术答辩的专业性、科学性进行打分，答辩欠专业、欠科学的每项扣0.5分，扣完为止；本项最高得5分。</w:t>
            </w:r>
          </w:p>
          <w:p>
            <w:pPr>
              <w:pStyle w:val="2"/>
              <w:ind w:firstLine="241"/>
              <w:rPr>
                <w:rFonts w:hint="eastAsia" w:ascii="宋体" w:hAnsi="宋体" w:eastAsia="宋体"/>
              </w:rPr>
            </w:pPr>
            <w:r>
              <w:rPr>
                <w:rFonts w:hint="eastAsia" w:ascii="宋体" w:hAnsi="宋体" w:eastAsia="宋体"/>
                <w:b/>
                <w:sz w:val="24"/>
              </w:rPr>
              <w:t>（投标人若不派代表前往</w:t>
            </w:r>
            <w:r>
              <w:rPr>
                <w:rFonts w:ascii="宋体" w:hAnsi="宋体" w:eastAsia="宋体"/>
                <w:b/>
                <w:sz w:val="24"/>
              </w:rPr>
              <w:t>现场进行</w:t>
            </w:r>
            <w:r>
              <w:rPr>
                <w:rFonts w:hint="eastAsia" w:ascii="宋体" w:hAnsi="宋体" w:eastAsia="宋体"/>
                <w:b/>
                <w:sz w:val="24"/>
              </w:rPr>
              <w:t>讲解的，</w:t>
            </w:r>
            <w:r>
              <w:rPr>
                <w:rFonts w:ascii="宋体" w:hAnsi="宋体" w:eastAsia="宋体"/>
                <w:b/>
                <w:sz w:val="24"/>
              </w:rPr>
              <w:t>应将</w:t>
            </w:r>
            <w:r>
              <w:rPr>
                <w:rFonts w:hint="eastAsia" w:ascii="宋体" w:hAnsi="宋体" w:eastAsia="宋体"/>
                <w:b/>
                <w:sz w:val="24"/>
              </w:rPr>
              <w:t>讲解</w:t>
            </w:r>
            <w:r>
              <w:rPr>
                <w:rFonts w:ascii="宋体" w:hAnsi="宋体" w:eastAsia="宋体"/>
                <w:b/>
                <w:sz w:val="24"/>
              </w:rPr>
              <w:t>内容提前</w:t>
            </w:r>
            <w:r>
              <w:rPr>
                <w:rFonts w:hint="eastAsia" w:ascii="宋体" w:hAnsi="宋体" w:eastAsia="宋体"/>
                <w:b/>
                <w:sz w:val="24"/>
              </w:rPr>
              <w:t>录制</w:t>
            </w:r>
            <w:r>
              <w:rPr>
                <w:rFonts w:ascii="宋体" w:hAnsi="宋体" w:eastAsia="宋体"/>
                <w:b/>
                <w:sz w:val="24"/>
              </w:rPr>
              <w:t>成视频并压缩加密（密码由</w:t>
            </w:r>
            <w:r>
              <w:rPr>
                <w:rFonts w:hint="eastAsia" w:ascii="宋体" w:hAnsi="宋体" w:eastAsia="宋体"/>
                <w:b/>
                <w:sz w:val="24"/>
              </w:rPr>
              <w:t>投标人</w:t>
            </w:r>
            <w:r>
              <w:rPr>
                <w:rFonts w:ascii="宋体" w:hAnsi="宋体" w:eastAsia="宋体"/>
                <w:b/>
                <w:sz w:val="24"/>
              </w:rPr>
              <w:t>自行保管），视频播放时间控制在</w:t>
            </w:r>
            <w:r>
              <w:rPr>
                <w:rFonts w:hint="eastAsia" w:ascii="宋体" w:hAnsi="宋体" w:eastAsia="宋体"/>
                <w:b/>
                <w:sz w:val="24"/>
              </w:rPr>
              <w:t>15</w:t>
            </w:r>
            <w:r>
              <w:rPr>
                <w:rFonts w:ascii="宋体" w:hAnsi="宋体" w:eastAsia="宋体"/>
                <w:b/>
                <w:sz w:val="24"/>
              </w:rPr>
              <w:t>分钟以内，并在</w:t>
            </w:r>
            <w:r>
              <w:rPr>
                <w:rFonts w:hint="eastAsia" w:ascii="宋体" w:hAnsi="宋体" w:eastAsia="宋体"/>
                <w:b/>
                <w:sz w:val="24"/>
              </w:rPr>
              <w:t>投标</w:t>
            </w:r>
            <w:r>
              <w:rPr>
                <w:rFonts w:ascii="宋体" w:hAnsi="宋体" w:eastAsia="宋体"/>
                <w:b/>
                <w:sz w:val="24"/>
              </w:rPr>
              <w:t>截止时间</w:t>
            </w:r>
            <w:r>
              <w:rPr>
                <w:rFonts w:hint="eastAsia" w:ascii="宋体" w:hAnsi="宋体" w:eastAsia="宋体"/>
                <w:b/>
                <w:sz w:val="24"/>
              </w:rPr>
              <w:t>前将</w:t>
            </w:r>
            <w:r>
              <w:rPr>
                <w:rFonts w:ascii="宋体" w:hAnsi="宋体" w:eastAsia="宋体"/>
                <w:b/>
                <w:sz w:val="24"/>
              </w:rPr>
              <w:t>加密</w:t>
            </w:r>
            <w:r>
              <w:rPr>
                <w:rFonts w:hint="eastAsia" w:ascii="宋体" w:hAnsi="宋体" w:eastAsia="宋体"/>
                <w:b/>
                <w:sz w:val="24"/>
              </w:rPr>
              <w:t>视频</w:t>
            </w:r>
            <w:r>
              <w:rPr>
                <w:rFonts w:ascii="宋体" w:hAnsi="宋体" w:eastAsia="宋体"/>
                <w:b/>
                <w:sz w:val="24"/>
              </w:rPr>
              <w:t>一次性发送至代理机邮箱</w:t>
            </w:r>
            <w:r>
              <w:rPr>
                <w:rFonts w:hint="eastAsia" w:ascii="宋体" w:hAnsi="宋体" w:eastAsia="宋体"/>
                <w:b/>
                <w:sz w:val="24"/>
              </w:rPr>
              <w:t>331345505@qq.com</w:t>
            </w:r>
            <w:r>
              <w:rPr>
                <w:rFonts w:ascii="宋体" w:hAnsi="宋体" w:eastAsia="宋体"/>
                <w:b/>
                <w:sz w:val="24"/>
              </w:rPr>
              <w:t>（限时内多次发送的，以最后一次为准，其余无效），</w:t>
            </w:r>
            <w:r>
              <w:rPr>
                <w:rFonts w:hint="eastAsia" w:ascii="宋体" w:hAnsi="宋体" w:eastAsia="宋体"/>
                <w:b/>
                <w:sz w:val="24"/>
              </w:rPr>
              <w:t>讲解</w:t>
            </w:r>
            <w:r>
              <w:rPr>
                <w:rFonts w:ascii="宋体" w:hAnsi="宋体" w:eastAsia="宋体"/>
                <w:b/>
                <w:sz w:val="24"/>
              </w:rPr>
              <w:t>开始后，代理机构按照</w:t>
            </w:r>
            <w:r>
              <w:rPr>
                <w:rFonts w:hint="eastAsia" w:ascii="宋体" w:hAnsi="宋体" w:eastAsia="宋体"/>
                <w:b/>
                <w:sz w:val="24"/>
              </w:rPr>
              <w:t>讲解</w:t>
            </w:r>
            <w:r>
              <w:rPr>
                <w:rFonts w:ascii="宋体" w:hAnsi="宋体" w:eastAsia="宋体"/>
                <w:b/>
                <w:sz w:val="24"/>
              </w:rPr>
              <w:t>顺序分别向</w:t>
            </w:r>
            <w:r>
              <w:rPr>
                <w:rFonts w:hint="eastAsia" w:ascii="宋体" w:hAnsi="宋体" w:eastAsia="宋体"/>
                <w:b/>
                <w:sz w:val="24"/>
              </w:rPr>
              <w:t>投标人</w:t>
            </w:r>
            <w:r>
              <w:rPr>
                <w:rFonts w:ascii="宋体" w:hAnsi="宋体" w:eastAsia="宋体"/>
                <w:b/>
                <w:sz w:val="24"/>
              </w:rPr>
              <w:t>获取视频密码，</w:t>
            </w:r>
            <w:r>
              <w:rPr>
                <w:rFonts w:hint="eastAsia" w:ascii="宋体" w:hAnsi="宋体" w:eastAsia="宋体"/>
                <w:b/>
                <w:sz w:val="24"/>
              </w:rPr>
              <w:t>未参加现场讲解且</w:t>
            </w:r>
            <w:r>
              <w:rPr>
                <w:rFonts w:ascii="宋体" w:hAnsi="宋体" w:eastAsia="宋体"/>
                <w:b/>
                <w:sz w:val="24"/>
              </w:rPr>
              <w:t>未在规定时间内发送</w:t>
            </w:r>
            <w:r>
              <w:rPr>
                <w:rFonts w:hint="eastAsia" w:ascii="宋体" w:hAnsi="宋体" w:eastAsia="宋体"/>
                <w:b/>
                <w:sz w:val="24"/>
              </w:rPr>
              <w:t>讲解</w:t>
            </w:r>
            <w:r>
              <w:rPr>
                <w:rFonts w:ascii="宋体" w:hAnsi="宋体" w:eastAsia="宋体"/>
                <w:b/>
                <w:sz w:val="24"/>
              </w:rPr>
              <w:t>视频或视频无法打开的，此项不得分。）</w:t>
            </w:r>
          </w:p>
        </w:tc>
      </w:tr>
    </w:tbl>
    <w:p>
      <w:pPr>
        <w:spacing w:before="120" w:beforeLines="50" w:line="360" w:lineRule="auto"/>
        <w:ind w:firstLine="482" w:firstLineChars="200"/>
        <w:jc w:val="left"/>
        <w:rPr>
          <w:rFonts w:ascii="宋体" w:hAnsi="宋体"/>
          <w:b/>
          <w:sz w:val="24"/>
        </w:rPr>
      </w:pPr>
      <w:r>
        <w:rPr>
          <w:rFonts w:hint="eastAsia" w:ascii="宋体" w:hAnsi="宋体"/>
          <w:b/>
          <w:sz w:val="24"/>
        </w:rPr>
        <w:t>5.3报价分值为20分，权重为20%，由评审委员会根据以下内容统一打分：</w:t>
      </w:r>
    </w:p>
    <w:p>
      <w:pPr>
        <w:spacing w:line="360" w:lineRule="auto"/>
        <w:ind w:firstLine="480" w:firstLineChars="200"/>
        <w:rPr>
          <w:rFonts w:ascii="宋体" w:hAnsi="宋体"/>
          <w:sz w:val="24"/>
        </w:rPr>
      </w:pPr>
      <w:r>
        <w:rPr>
          <w:rFonts w:hint="eastAsia" w:ascii="宋体" w:hAnsi="宋体"/>
          <w:sz w:val="24"/>
        </w:rPr>
        <w:t>5.2.1报价评分应在投标报价范围口径一致的评标价基础上进行。属招标文件不清楚引起的报价内容和口径不一致的，则按有关规定统一调整投标报价内容和口径，计算出投标人的最终评定价。属投标人失误造成的报价差错和遗漏，不得调整。</w:t>
      </w:r>
    </w:p>
    <w:p>
      <w:pPr>
        <w:spacing w:line="360" w:lineRule="auto"/>
        <w:ind w:firstLine="240" w:firstLineChars="100"/>
        <w:rPr>
          <w:rFonts w:ascii="宋体" w:hAnsi="宋体"/>
          <w:sz w:val="24"/>
        </w:rPr>
      </w:pPr>
      <w:r>
        <w:rPr>
          <w:rFonts w:hint="eastAsia" w:ascii="宋体" w:hAnsi="宋体"/>
          <w:sz w:val="24"/>
        </w:rPr>
        <w:t>▲5.2.2投标报价高于最高</w:t>
      </w:r>
      <w:r>
        <w:rPr>
          <w:rFonts w:ascii="宋体" w:hAnsi="宋体"/>
          <w:sz w:val="24"/>
        </w:rPr>
        <w:t>限价</w:t>
      </w:r>
      <w:r>
        <w:rPr>
          <w:rFonts w:hint="eastAsia" w:ascii="宋体" w:hAnsi="宋体"/>
          <w:sz w:val="24"/>
        </w:rPr>
        <w:t>的作无效标处理。</w:t>
      </w:r>
    </w:p>
    <w:p>
      <w:pPr>
        <w:spacing w:line="360" w:lineRule="auto"/>
        <w:ind w:firstLine="482" w:firstLineChars="200"/>
        <w:rPr>
          <w:rFonts w:ascii="宋体" w:hAnsi="宋体"/>
          <w:b/>
          <w:sz w:val="24"/>
        </w:rPr>
      </w:pPr>
      <w:r>
        <w:rPr>
          <w:rFonts w:hint="eastAsia" w:ascii="宋体" w:hAnsi="宋体"/>
          <w:b/>
          <w:sz w:val="24"/>
        </w:rPr>
        <w:t>5.2.3报价得分计算：</w:t>
      </w:r>
    </w:p>
    <w:p>
      <w:pPr>
        <w:spacing w:line="360" w:lineRule="auto"/>
        <w:ind w:firstLine="480" w:firstLineChars="200"/>
        <w:rPr>
          <w:rFonts w:ascii="宋体" w:hAnsi="宋体"/>
          <w:sz w:val="24"/>
        </w:rPr>
      </w:pPr>
      <w:r>
        <w:rPr>
          <w:rFonts w:hint="eastAsia" w:ascii="宋体" w:hAnsi="宋体"/>
          <w:sz w:val="24"/>
        </w:rPr>
        <w:fldChar w:fldCharType="begin"/>
      </w:r>
      <w:r>
        <w:rPr>
          <w:rFonts w:hint="eastAsia" w:ascii="宋体" w:hAnsi="宋体"/>
          <w:sz w:val="24"/>
        </w:rPr>
        <w:instrText xml:space="preserve"> = 1 \* GB2 </w:instrText>
      </w:r>
      <w:r>
        <w:rPr>
          <w:rFonts w:hint="eastAsia" w:ascii="宋体" w:hAnsi="宋体"/>
          <w:sz w:val="24"/>
        </w:rPr>
        <w:fldChar w:fldCharType="separate"/>
      </w:r>
      <w:r>
        <w:rPr>
          <w:rFonts w:hint="eastAsia" w:ascii="宋体" w:hAnsi="宋体"/>
          <w:sz w:val="24"/>
        </w:rPr>
        <w:t>⑴</w:t>
      </w:r>
      <w:r>
        <w:rPr>
          <w:rFonts w:hint="eastAsia" w:ascii="宋体" w:hAnsi="宋体"/>
          <w:sz w:val="24"/>
        </w:rPr>
        <w:fldChar w:fldCharType="end"/>
      </w:r>
      <w:r>
        <w:rPr>
          <w:rFonts w:hint="eastAsia" w:ascii="宋体" w:hAnsi="宋体" w:cs="宋体"/>
          <w:sz w:val="24"/>
        </w:rPr>
        <w:t>小微企业、监狱企业和残疾人福利企业（统称为小微企业）报</w:t>
      </w:r>
      <w:r>
        <w:rPr>
          <w:rFonts w:hint="eastAsia" w:ascii="宋体" w:hAnsi="宋体"/>
          <w:sz w:val="24"/>
        </w:rPr>
        <w:t>价给予20%</w:t>
      </w:r>
      <w:r>
        <w:rPr>
          <w:rFonts w:hint="eastAsia" w:ascii="宋体" w:hAnsi="宋体" w:cs="宋体"/>
          <w:sz w:val="24"/>
        </w:rPr>
        <w:t>的扣除；</w:t>
      </w:r>
      <w:r>
        <w:rPr>
          <w:rFonts w:hint="eastAsia" w:ascii="宋体" w:hAnsi="宋体"/>
          <w:sz w:val="24"/>
        </w:rPr>
        <w:t>联合协议约定小微企业的合同份额占到合同总金额 30%以上的，对联合体或者大中型企业的报价给予 6%（工程项目为2%）的扣除；</w:t>
      </w:r>
      <w:r>
        <w:rPr>
          <w:rFonts w:hint="eastAsia" w:ascii="宋体" w:hAnsi="宋体" w:cs="宋体"/>
          <w:sz w:val="24"/>
        </w:rPr>
        <w:t>其评审价计算公式为：评审价=有效报价×（100%-20%或6%）；</w:t>
      </w:r>
      <w:r>
        <w:rPr>
          <w:rFonts w:ascii="宋体" w:hAnsi="宋体"/>
          <w:sz w:val="24"/>
        </w:rPr>
        <w:t xml:space="preserve"> </w:t>
      </w:r>
    </w:p>
    <w:p>
      <w:pPr>
        <w:spacing w:line="360" w:lineRule="auto"/>
        <w:ind w:firstLine="480" w:firstLineChars="200"/>
        <w:rPr>
          <w:rFonts w:ascii="宋体" w:hAnsi="宋体"/>
          <w:sz w:val="24"/>
        </w:rPr>
      </w:pPr>
      <w:r>
        <w:rPr>
          <w:rFonts w:hint="eastAsia" w:ascii="宋体" w:hAnsi="宋体"/>
          <w:sz w:val="24"/>
        </w:rPr>
        <w:fldChar w:fldCharType="begin"/>
      </w:r>
      <w:r>
        <w:rPr>
          <w:rFonts w:hint="eastAsia" w:ascii="宋体" w:hAnsi="宋体"/>
          <w:sz w:val="24"/>
        </w:rPr>
        <w:instrText xml:space="preserve"> = 2 \* GB2 </w:instrText>
      </w:r>
      <w:r>
        <w:rPr>
          <w:rFonts w:hint="eastAsia" w:ascii="宋体" w:hAnsi="宋体"/>
          <w:sz w:val="24"/>
        </w:rPr>
        <w:fldChar w:fldCharType="separate"/>
      </w:r>
      <w:r>
        <w:rPr>
          <w:rFonts w:hint="eastAsia" w:ascii="宋体" w:hAnsi="宋体"/>
          <w:sz w:val="24"/>
        </w:rPr>
        <w:t>⑵</w:t>
      </w:r>
      <w:r>
        <w:rPr>
          <w:rFonts w:hint="eastAsia" w:ascii="宋体" w:hAnsi="宋体"/>
          <w:sz w:val="24"/>
        </w:rPr>
        <w:fldChar w:fldCharType="end"/>
      </w:r>
      <w:r>
        <w:rPr>
          <w:rFonts w:hint="eastAsia" w:ascii="宋体" w:hAnsi="宋体"/>
          <w:sz w:val="24"/>
        </w:rPr>
        <w:t>并以调整后的价格计算评标基准价和投标报价；</w:t>
      </w:r>
    </w:p>
    <w:p>
      <w:pPr>
        <w:spacing w:line="360" w:lineRule="auto"/>
        <w:ind w:firstLine="480" w:firstLineChars="200"/>
        <w:rPr>
          <w:rFonts w:hint="eastAsia" w:ascii="宋体" w:hAnsi="宋体"/>
          <w:sz w:val="24"/>
        </w:rPr>
      </w:pPr>
      <w:r>
        <w:rPr>
          <w:rFonts w:hint="eastAsia" w:ascii="宋体" w:hAnsi="宋体"/>
          <w:sz w:val="24"/>
        </w:rPr>
        <w:t>⑶评标基准价=进入报价评分的各投标人有效评标价中的</w:t>
      </w:r>
      <w:r>
        <w:rPr>
          <w:rFonts w:hint="eastAsia" w:ascii="宋体" w:hAnsi="宋体"/>
          <w:b/>
          <w:bCs/>
          <w:sz w:val="24"/>
        </w:rPr>
        <w:t>最低评标价</w:t>
      </w:r>
    </w:p>
    <w:p>
      <w:pPr>
        <w:spacing w:line="360" w:lineRule="auto"/>
        <w:ind w:firstLine="480" w:firstLineChars="200"/>
        <w:rPr>
          <w:rFonts w:hint="eastAsia" w:ascii="宋体" w:hAnsi="宋体"/>
          <w:sz w:val="24"/>
        </w:rPr>
      </w:pPr>
      <w:r>
        <w:rPr>
          <w:rFonts w:hint="eastAsia" w:ascii="宋体" w:hAnsi="宋体"/>
          <w:sz w:val="24"/>
        </w:rPr>
        <w:fldChar w:fldCharType="begin"/>
      </w:r>
      <w:r>
        <w:rPr>
          <w:rFonts w:hint="eastAsia" w:ascii="宋体" w:hAnsi="宋体"/>
          <w:sz w:val="24"/>
        </w:rPr>
        <w:instrText xml:space="preserve"> = 4 \* GB2 </w:instrText>
      </w:r>
      <w:r>
        <w:rPr>
          <w:rFonts w:hint="eastAsia" w:ascii="宋体" w:hAnsi="宋体"/>
          <w:sz w:val="24"/>
        </w:rPr>
        <w:fldChar w:fldCharType="separate"/>
      </w:r>
      <w:r>
        <w:rPr>
          <w:rFonts w:hint="eastAsia" w:ascii="宋体" w:hAnsi="宋体"/>
          <w:sz w:val="24"/>
        </w:rPr>
        <w:t>⑷</w:t>
      </w:r>
      <w:r>
        <w:rPr>
          <w:rFonts w:hint="eastAsia" w:ascii="宋体" w:hAnsi="宋体"/>
          <w:sz w:val="24"/>
        </w:rPr>
        <w:fldChar w:fldCharType="end"/>
      </w:r>
      <w:r>
        <w:rPr>
          <w:rFonts w:hint="eastAsia" w:ascii="宋体" w:hAnsi="宋体"/>
          <w:sz w:val="24"/>
        </w:rPr>
        <w:t>评标价等于评标基准价的得20分，其他投标人的报价得分按下列公式计算：</w:t>
      </w:r>
    </w:p>
    <w:p>
      <w:pPr>
        <w:spacing w:line="360" w:lineRule="auto"/>
        <w:ind w:firstLine="600" w:firstLineChars="250"/>
        <w:rPr>
          <w:rFonts w:ascii="宋体" w:hAnsi="宋体"/>
          <w:sz w:val="24"/>
        </w:rPr>
      </w:pPr>
      <w:r>
        <w:rPr>
          <w:rFonts w:hint="eastAsia" w:ascii="宋体" w:hAnsi="宋体"/>
          <w:sz w:val="24"/>
        </w:rPr>
        <w:t>报价得分=（评标基准价/评标价）×报价权重×100。</w:t>
      </w:r>
    </w:p>
    <w:p>
      <w:pPr>
        <w:spacing w:line="360" w:lineRule="auto"/>
        <w:ind w:firstLine="482" w:firstLineChars="200"/>
        <w:rPr>
          <w:rFonts w:hint="eastAsia" w:ascii="宋体" w:hAnsi="宋体"/>
        </w:rPr>
      </w:pPr>
      <w:r>
        <w:rPr>
          <w:rFonts w:ascii="宋体" w:hAnsi="宋体"/>
          <w:b/>
          <w:sz w:val="24"/>
        </w:rPr>
        <w:t>5</w:t>
      </w:r>
      <w:r>
        <w:rPr>
          <w:rFonts w:hint="eastAsia" w:ascii="宋体" w:hAnsi="宋体"/>
          <w:b/>
          <w:sz w:val="24"/>
        </w:rPr>
        <w:t>.3本项目最终得分=资信商务及技术得分＋报价得分。</w:t>
      </w:r>
    </w:p>
    <w:p>
      <w:pPr>
        <w:pStyle w:val="6"/>
        <w:spacing w:before="240" w:after="240"/>
        <w:ind w:firstLine="0" w:firstLineChars="0"/>
        <w:rPr>
          <w:rFonts w:hint="eastAsia" w:ascii="宋体" w:hAnsi="宋体" w:eastAsia="宋体"/>
          <w:bCs w:val="0"/>
        </w:rPr>
      </w:pPr>
      <w:bookmarkStart w:id="173" w:name="_Toc493956082"/>
      <w:bookmarkStart w:id="174" w:name="_Toc335664301"/>
      <w:bookmarkStart w:id="175" w:name="_Toc112414207"/>
      <w:bookmarkStart w:id="176" w:name="_Toc494555896"/>
      <w:r>
        <w:rPr>
          <w:rFonts w:hint="eastAsia" w:ascii="宋体" w:hAnsi="宋体" w:eastAsia="宋体"/>
          <w:bCs w:val="0"/>
        </w:rPr>
        <w:t xml:space="preserve">六 </w:t>
      </w:r>
      <w:r>
        <w:rPr>
          <w:rFonts w:ascii="宋体" w:hAnsi="宋体" w:eastAsia="宋体"/>
          <w:bCs w:val="0"/>
        </w:rPr>
        <w:t xml:space="preserve"> </w:t>
      </w:r>
      <w:r>
        <w:rPr>
          <w:rFonts w:hint="eastAsia" w:ascii="宋体" w:hAnsi="宋体" w:eastAsia="宋体"/>
          <w:bCs w:val="0"/>
        </w:rPr>
        <w:t xml:space="preserve"> 评审纪律和要求</w:t>
      </w:r>
      <w:bookmarkEnd w:id="173"/>
      <w:bookmarkEnd w:id="174"/>
      <w:bookmarkEnd w:id="175"/>
      <w:bookmarkEnd w:id="176"/>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w:t>
      </w:r>
      <w:r>
        <w:rPr>
          <w:rFonts w:ascii="宋体" w:hAnsi="宋体"/>
          <w:sz w:val="24"/>
        </w:rPr>
        <w:t xml:space="preserve"> </w:t>
      </w:r>
      <w:r>
        <w:rPr>
          <w:rFonts w:hint="eastAsia" w:ascii="宋体" w:hAnsi="宋体"/>
          <w:sz w:val="24"/>
        </w:rPr>
        <w:t>评审专家必须公平、公正评审，遵纪守法，客观、廉洁地履行职责。</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.2</w:t>
      </w:r>
      <w:r>
        <w:rPr>
          <w:rFonts w:ascii="宋体" w:hAnsi="宋体"/>
          <w:sz w:val="24"/>
        </w:rPr>
        <w:t xml:space="preserve"> </w:t>
      </w:r>
      <w:r>
        <w:rPr>
          <w:rFonts w:hint="eastAsia" w:ascii="宋体" w:hAnsi="宋体"/>
          <w:sz w:val="24"/>
        </w:rPr>
        <w:t>评审专家在评审开始前，应关闭并上交随身携带的各种通信工具。</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.3</w:t>
      </w:r>
      <w:r>
        <w:rPr>
          <w:rFonts w:ascii="宋体" w:hAnsi="宋体"/>
          <w:sz w:val="24"/>
        </w:rPr>
        <w:t xml:space="preserve"> </w:t>
      </w:r>
      <w:r>
        <w:rPr>
          <w:rFonts w:hint="eastAsia" w:ascii="宋体" w:hAnsi="宋体"/>
          <w:sz w:val="24"/>
        </w:rPr>
        <w:t>评审专家在评审过程中，未经许可不得中途离开评审现场，不得迟到早退。</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.4</w:t>
      </w:r>
      <w:r>
        <w:rPr>
          <w:rFonts w:ascii="宋体" w:hAnsi="宋体"/>
          <w:sz w:val="24"/>
        </w:rPr>
        <w:t xml:space="preserve"> </w:t>
      </w:r>
      <w:r>
        <w:rPr>
          <w:rFonts w:hint="eastAsia" w:ascii="宋体" w:hAnsi="宋体"/>
          <w:sz w:val="24"/>
        </w:rPr>
        <w:t>评审专家和工作人员不得透露评审过程中的讨论情况和评审结果。</w:t>
      </w:r>
    </w:p>
    <w:p>
      <w:pPr>
        <w:spacing w:line="360" w:lineRule="auto"/>
        <w:ind w:firstLine="480"/>
        <w:rPr>
          <w:rFonts w:hint="eastAsia" w:ascii="宋体" w:hAnsi="宋体"/>
          <w:sz w:val="24"/>
        </w:rPr>
      </w:pPr>
      <w:r>
        <w:rPr>
          <w:rFonts w:ascii="宋体" w:hAnsi="宋体"/>
          <w:sz w:val="24"/>
        </w:rPr>
        <w:t>6</w:t>
      </w:r>
      <w:r>
        <w:rPr>
          <w:rFonts w:hint="eastAsia" w:ascii="宋体" w:hAnsi="宋体"/>
          <w:sz w:val="24"/>
        </w:rPr>
        <w:t>.5</w:t>
      </w:r>
      <w:r>
        <w:rPr>
          <w:rFonts w:ascii="宋体" w:hAnsi="宋体"/>
          <w:sz w:val="24"/>
        </w:rPr>
        <w:t xml:space="preserve"> </w:t>
      </w:r>
      <w:r>
        <w:rPr>
          <w:rFonts w:hint="eastAsia" w:ascii="宋体" w:hAnsi="宋体"/>
          <w:sz w:val="24"/>
        </w:rPr>
        <w:t>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.6</w:t>
      </w:r>
      <w:r>
        <w:rPr>
          <w:rFonts w:ascii="宋体" w:hAnsi="宋体"/>
          <w:sz w:val="24"/>
        </w:rPr>
        <w:t xml:space="preserve"> </w:t>
      </w:r>
      <w:r>
        <w:rPr>
          <w:rFonts w:hint="eastAsia" w:ascii="宋体" w:hAnsi="宋体"/>
          <w:sz w:val="24"/>
        </w:rPr>
        <w:t>采购人、采购代理机构不得向评审委员会的评审专家作倾向性、误导性的解释或者说明。</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.7</w:t>
      </w:r>
      <w:r>
        <w:rPr>
          <w:rFonts w:ascii="宋体" w:hAnsi="宋体"/>
          <w:sz w:val="24"/>
        </w:rPr>
        <w:t xml:space="preserve"> </w:t>
      </w:r>
      <w:r>
        <w:rPr>
          <w:rFonts w:hint="eastAsia" w:ascii="宋体" w:hAnsi="宋体"/>
          <w:sz w:val="24"/>
        </w:rPr>
        <w:t>采购代理机构应当为评审专家提供必要的评审条件和相应的评审工作底稿，并严格按规定程序组织评审专家有步骤地进行项目评审，对各评审专家的评审情况和评审意见进行合理性和合规性审查，对于评审小组个人主观打分偏离所有评审小组成员主观打分平均值30%以上的，提醒评审小组启动评分畸高、畸低行为认定程序。</w:t>
      </w:r>
    </w:p>
    <w:p>
      <w:pPr>
        <w:spacing w:line="360" w:lineRule="auto"/>
        <w:ind w:firstLine="480" w:firstLineChars="200"/>
        <w:rPr>
          <w:rFonts w:hint="eastAsia" w:ascii="宋体" w:hAnsi="宋体"/>
          <w:sz w:val="24"/>
        </w:rPr>
      </w:pPr>
      <w:r>
        <w:rPr>
          <w:rFonts w:ascii="宋体" w:hAnsi="宋体"/>
          <w:sz w:val="24"/>
          <w:szCs w:val="21"/>
        </w:rPr>
        <w:t>6</w:t>
      </w:r>
      <w:r>
        <w:rPr>
          <w:rFonts w:hint="eastAsia" w:ascii="宋体" w:hAnsi="宋体"/>
          <w:sz w:val="24"/>
          <w:szCs w:val="21"/>
        </w:rPr>
        <w:t>.8</w:t>
      </w:r>
      <w:r>
        <w:rPr>
          <w:rFonts w:ascii="宋体" w:hAnsi="宋体"/>
          <w:sz w:val="24"/>
          <w:szCs w:val="21"/>
        </w:rPr>
        <w:t xml:space="preserve"> </w:t>
      </w:r>
      <w:r>
        <w:rPr>
          <w:rFonts w:hint="eastAsia" w:ascii="宋体" w:hAnsi="宋体"/>
          <w:sz w:val="24"/>
          <w:szCs w:val="21"/>
        </w:rPr>
        <w:t>评审专家在评审过程中不得将自己的观点强加给其他评审专家，评审专家应自主发表见解，对评审意见承担个人责任。</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.9</w:t>
      </w:r>
      <w:r>
        <w:rPr>
          <w:rFonts w:ascii="宋体" w:hAnsi="宋体"/>
          <w:sz w:val="24"/>
        </w:rPr>
        <w:t xml:space="preserve"> </w:t>
      </w:r>
      <w:r>
        <w:rPr>
          <w:rFonts w:hint="eastAsia" w:ascii="宋体" w:hAnsi="宋体"/>
          <w:sz w:val="24"/>
        </w:rPr>
        <w:t>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.10</w:t>
      </w:r>
      <w:r>
        <w:rPr>
          <w:rFonts w:ascii="宋体" w:hAnsi="宋体"/>
          <w:sz w:val="24"/>
        </w:rPr>
        <w:t xml:space="preserve"> </w:t>
      </w:r>
      <w:r>
        <w:rPr>
          <w:rFonts w:hint="eastAsia" w:ascii="宋体" w:hAnsi="宋体"/>
          <w:sz w:val="24"/>
        </w:rPr>
        <w:t>评审专家应当独立、客观、公正地提出评审意见，不得带有倾向性，不得影响其他评审专家评审，并在评审报告上签字；如对评审报告有异议的，可在报告上签署不同意见，并说明理由，否则将视为同意。</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.11</w:t>
      </w:r>
      <w:r>
        <w:rPr>
          <w:rFonts w:ascii="宋体" w:hAnsi="宋体"/>
          <w:sz w:val="24"/>
        </w:rPr>
        <w:t xml:space="preserve"> </w:t>
      </w:r>
      <w:r>
        <w:rPr>
          <w:rFonts w:hint="eastAsia" w:ascii="宋体" w:hAnsi="宋体"/>
          <w:sz w:val="24"/>
        </w:rPr>
        <w:t>评审专家应当遵守评审工作纪律，不得泄露评审文件、评审情况和评审中获悉的商业秘密。</w:t>
      </w:r>
    </w:p>
    <w:p>
      <w:pPr>
        <w:spacing w:line="360" w:lineRule="auto"/>
        <w:ind w:firstLine="480" w:firstLineChars="200"/>
        <w:rPr>
          <w:rFonts w:hint="eastAsia" w:ascii="宋体" w:hAnsi="宋体"/>
          <w:sz w:val="24"/>
        </w:rPr>
      </w:pPr>
      <w:r>
        <w:rPr>
          <w:rFonts w:hint="eastAsia" w:ascii="宋体" w:hAnsi="宋体"/>
          <w:sz w:val="24"/>
        </w:rPr>
        <w:t>评审委员会在评审过程中发现投标人有行贿、提供虚假材料或者串通等违法行为的，应当及时向财政部门报告。</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.12</w:t>
      </w:r>
      <w:r>
        <w:rPr>
          <w:rFonts w:ascii="宋体" w:hAnsi="宋体"/>
          <w:sz w:val="24"/>
        </w:rPr>
        <w:t xml:space="preserve"> </w:t>
      </w:r>
      <w:r>
        <w:rPr>
          <w:rFonts w:hint="eastAsia" w:ascii="宋体" w:hAnsi="宋体"/>
          <w:sz w:val="24"/>
        </w:rPr>
        <w:t>招标文件内容违反国家有关强制性规定的，评审委员会应当停止评审并向采购代理机构说明情况。</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.13</w:t>
      </w:r>
      <w:r>
        <w:rPr>
          <w:rFonts w:ascii="宋体" w:hAnsi="宋体"/>
          <w:sz w:val="24"/>
        </w:rPr>
        <w:t xml:space="preserve"> </w:t>
      </w:r>
      <w:r>
        <w:rPr>
          <w:rFonts w:hint="eastAsia" w:ascii="宋体" w:hAnsi="宋体"/>
          <w:sz w:val="24"/>
        </w:rPr>
        <w:t>评审专家应当配合采购代理机构答复投标人提出的质疑。</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.14</w:t>
      </w:r>
      <w:r>
        <w:rPr>
          <w:rFonts w:ascii="宋体" w:hAnsi="宋体"/>
          <w:sz w:val="24"/>
        </w:rPr>
        <w:t xml:space="preserve"> </w:t>
      </w:r>
      <w:r>
        <w:rPr>
          <w:rFonts w:hint="eastAsia" w:ascii="宋体" w:hAnsi="宋体"/>
          <w:sz w:val="24"/>
        </w:rPr>
        <w:t>评审专家应当配合财政部门的投诉处理工作。</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.15评审专家有如下行为之一的，责令改正，给予警告，可以并处一千元以下的罚款：</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.15.1</w:t>
      </w:r>
      <w:r>
        <w:rPr>
          <w:rFonts w:ascii="宋体" w:hAnsi="宋体"/>
          <w:sz w:val="24"/>
        </w:rPr>
        <w:t xml:space="preserve"> </w:t>
      </w:r>
      <w:r>
        <w:rPr>
          <w:rFonts w:hint="eastAsia" w:ascii="宋体" w:hAnsi="宋体"/>
          <w:sz w:val="24"/>
        </w:rPr>
        <w:t>明知应当回避而未主动回避的；</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.15.2</w:t>
      </w:r>
      <w:r>
        <w:rPr>
          <w:rFonts w:ascii="宋体" w:hAnsi="宋体"/>
          <w:sz w:val="24"/>
        </w:rPr>
        <w:t xml:space="preserve"> </w:t>
      </w:r>
      <w:r>
        <w:rPr>
          <w:rFonts w:hint="eastAsia" w:ascii="宋体" w:hAnsi="宋体"/>
          <w:sz w:val="24"/>
        </w:rPr>
        <w:t>在知道自己为评审专家身份后至评审结束前的时段内私下接触投标人的；</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.15.3</w:t>
      </w:r>
      <w:r>
        <w:rPr>
          <w:rFonts w:ascii="宋体" w:hAnsi="宋体"/>
          <w:sz w:val="24"/>
        </w:rPr>
        <w:t xml:space="preserve"> </w:t>
      </w:r>
      <w:r>
        <w:rPr>
          <w:rFonts w:hint="eastAsia" w:ascii="宋体" w:hAnsi="宋体"/>
          <w:sz w:val="24"/>
        </w:rPr>
        <w:t>在评审过程中擅离职守，影响评审程序正常进行的；</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.15.4</w:t>
      </w:r>
      <w:r>
        <w:rPr>
          <w:rFonts w:ascii="宋体" w:hAnsi="宋体"/>
          <w:sz w:val="24"/>
        </w:rPr>
        <w:t xml:space="preserve"> </w:t>
      </w:r>
      <w:r>
        <w:rPr>
          <w:rFonts w:hint="eastAsia" w:ascii="宋体" w:hAnsi="宋体"/>
          <w:sz w:val="24"/>
        </w:rPr>
        <w:t>在评审过程有明显不合理或者不正当倾向性的；</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.15.5</w:t>
      </w:r>
      <w:r>
        <w:rPr>
          <w:rFonts w:ascii="宋体" w:hAnsi="宋体"/>
          <w:sz w:val="24"/>
        </w:rPr>
        <w:t xml:space="preserve"> </w:t>
      </w:r>
      <w:r>
        <w:rPr>
          <w:rFonts w:hint="eastAsia" w:ascii="宋体" w:hAnsi="宋体"/>
          <w:sz w:val="24"/>
        </w:rPr>
        <w:t>未按招标文件规定的评审方法和标准进行评审的。</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.15.6</w:t>
      </w:r>
      <w:r>
        <w:rPr>
          <w:rFonts w:ascii="宋体" w:hAnsi="宋体"/>
          <w:sz w:val="24"/>
        </w:rPr>
        <w:t xml:space="preserve"> </w:t>
      </w:r>
      <w:r>
        <w:rPr>
          <w:rFonts w:hint="eastAsia" w:ascii="宋体" w:hAnsi="宋体"/>
          <w:sz w:val="24"/>
        </w:rPr>
        <w:t>上述</w:t>
      </w:r>
      <w:r>
        <w:rPr>
          <w:rFonts w:ascii="宋体" w:hAnsi="宋体"/>
          <w:sz w:val="24"/>
        </w:rPr>
        <w:t>6</w:t>
      </w:r>
      <w:r>
        <w:rPr>
          <w:rFonts w:hint="eastAsia" w:ascii="宋体" w:hAnsi="宋体"/>
          <w:sz w:val="24"/>
        </w:rPr>
        <w:t>.15.1至</w:t>
      </w:r>
      <w:r>
        <w:rPr>
          <w:rFonts w:ascii="宋体" w:hAnsi="宋体"/>
          <w:sz w:val="24"/>
        </w:rPr>
        <w:t>6</w:t>
      </w:r>
      <w:r>
        <w:rPr>
          <w:rFonts w:hint="eastAsia" w:ascii="宋体" w:hAnsi="宋体"/>
          <w:sz w:val="24"/>
        </w:rPr>
        <w:t>.15.5行为影响中标结果的，中标结果无效。</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.16</w:t>
      </w:r>
      <w:r>
        <w:rPr>
          <w:rFonts w:ascii="宋体" w:hAnsi="宋体"/>
          <w:sz w:val="24"/>
        </w:rPr>
        <w:t xml:space="preserve"> </w:t>
      </w:r>
      <w:r>
        <w:rPr>
          <w:rFonts w:hint="eastAsia" w:ascii="宋体" w:hAnsi="宋体"/>
          <w:sz w:val="24"/>
        </w:rPr>
        <w:t>采购代理机构可对各评审专家的专业技术水平和职业道德素质等情况进行评价，并可将评价意见在评审结束后2个工作日内反馈给财政部门，财政部门以此作为对评审专家的考核管理依据。</w:t>
      </w:r>
    </w:p>
    <w:p>
      <w:pPr>
        <w:spacing w:line="360" w:lineRule="auto"/>
        <w:ind w:firstLine="480" w:firstLineChars="200"/>
        <w:rPr>
          <w:rFonts w:hint="eastAsia" w:ascii="宋体" w:hAnsi="宋体"/>
          <w:sz w:val="24"/>
        </w:rPr>
      </w:pPr>
      <w:r>
        <w:rPr>
          <w:rFonts w:ascii="宋体" w:hAnsi="宋体"/>
          <w:sz w:val="24"/>
        </w:rPr>
        <w:t>6</w:t>
      </w:r>
      <w:r>
        <w:rPr>
          <w:rFonts w:hint="eastAsia" w:ascii="宋体" w:hAnsi="宋体"/>
          <w:sz w:val="24"/>
        </w:rPr>
        <w:t>.17</w:t>
      </w:r>
      <w:r>
        <w:rPr>
          <w:rFonts w:ascii="宋体" w:hAnsi="宋体"/>
          <w:sz w:val="24"/>
        </w:rPr>
        <w:t xml:space="preserve"> </w:t>
      </w:r>
      <w:r>
        <w:rPr>
          <w:rFonts w:hint="eastAsia" w:ascii="宋体" w:hAnsi="宋体"/>
          <w:sz w:val="24"/>
        </w:rPr>
        <w:t>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pPr>
        <w:spacing w:line="360" w:lineRule="auto"/>
        <w:ind w:firstLine="480" w:firstLineChars="200"/>
        <w:rPr>
          <w:rFonts w:hint="eastAsia" w:ascii="宋体" w:hAnsi="宋体"/>
          <w:sz w:val="24"/>
        </w:rPr>
      </w:pPr>
      <w:r>
        <w:rPr>
          <w:rFonts w:hint="eastAsia" w:ascii="宋体" w:hAnsi="宋体"/>
          <w:sz w:val="24"/>
        </w:rPr>
        <w:t>政府采购评审专家与投标人存在利害关系未回避的，处2万元以上5万元以下的罚款，禁止其参加政府采购评审活动。</w:t>
      </w:r>
    </w:p>
    <w:p>
      <w:pPr>
        <w:spacing w:line="360" w:lineRule="auto"/>
        <w:ind w:firstLine="480" w:firstLineChars="200"/>
        <w:rPr>
          <w:rFonts w:hint="eastAsia" w:ascii="宋体" w:hAnsi="宋体"/>
          <w:sz w:val="24"/>
        </w:rPr>
      </w:pPr>
      <w:r>
        <w:rPr>
          <w:rFonts w:hint="eastAsia" w:ascii="宋体" w:hAnsi="宋体"/>
          <w:sz w:val="24"/>
        </w:rPr>
        <w:t>政府采购评审专家收受采购人、采购代理机构、投标人贿赂或者获取其他不正当利益，构成犯罪的，依法追究刑事责任；尚不构成犯罪的，处2万元以上5万元以下的罚款，禁止其参加政府采购评审活动。</w:t>
      </w:r>
    </w:p>
    <w:p>
      <w:pPr>
        <w:spacing w:line="360" w:lineRule="auto"/>
        <w:ind w:firstLine="480" w:firstLineChars="200"/>
        <w:rPr>
          <w:rFonts w:hint="eastAsia" w:ascii="宋体" w:hAnsi="宋体"/>
        </w:rPr>
      </w:pPr>
      <w:r>
        <w:rPr>
          <w:rFonts w:hint="eastAsia" w:ascii="宋体" w:hAnsi="宋体"/>
          <w:sz w:val="24"/>
        </w:rPr>
        <w:t>政府采购评审专家有上述违法行为的，其评审意见无效，不得获取评审费；有违法所得的，没收违法所得；给他人造成损失的，依法承担民事责任。</w:t>
      </w:r>
    </w:p>
    <w:sectPr>
      <w:footerReference r:id="rId6" w:type="first"/>
      <w:headerReference r:id="rId3" w:type="default"/>
      <w:footerReference r:id="rId4" w:type="default"/>
      <w:footerReference r:id="rId5" w:type="even"/>
      <w:pgSz w:w="11906" w:h="16838"/>
      <w:pgMar w:top="1440" w:right="1797" w:bottom="1440" w:left="1797"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1" w:usb1="080E0000" w:usb2="00000010" w:usb3="00000000" w:csb0="00040000" w:csb1="00000000"/>
  </w:font>
  <w:font w:name="Arial">
    <w:panose1 w:val="020B0604020202020204"/>
    <w:charset w:val="00"/>
    <w:family w:val="swiss"/>
    <w:pitch w:val="default"/>
    <w:sig w:usb0="E0002EFF" w:usb1="C000785B" w:usb2="00000009" w:usb3="00000000" w:csb0="400001FF" w:csb1="FFFF0000"/>
  </w:font>
  <w:font w:name="宋体 ! important">
    <w:altName w:val="宋体"/>
    <w:panose1 w:val="00000000000000000000"/>
    <w:charset w:val="00"/>
    <w:family w:val="auto"/>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Courier New">
    <w:panose1 w:val="02070309020205020404"/>
    <w:charset w:val="00"/>
    <w:family w:val="modern"/>
    <w:pitch w:val="default"/>
    <w:sig w:usb0="E0002EFF" w:usb1="C0007843" w:usb2="00000009" w:usb3="00000000" w:csb0="400001FF" w:csb1="FFFF0000"/>
  </w:font>
  <w:font w:name="楷体_gb18030">
    <w:altName w:val="宋体"/>
    <w:panose1 w:val="00000000000000000000"/>
    <w:charset w:val="86"/>
    <w:family w:val="roman"/>
    <w:pitch w:val="default"/>
    <w:sig w:usb0="00000000" w:usb1="00000000" w:usb2="00000010" w:usb3="00000000" w:csb0="00040000" w:csb1="00000000"/>
  </w:font>
  <w:font w:name="Arial Unicode MS">
    <w:altName w:val="宋体"/>
    <w:panose1 w:val="020B0604020202020204"/>
    <w:charset w:val="86"/>
    <w:family w:val="swiss"/>
    <w:pitch w:val="default"/>
    <w:sig w:usb0="F7FFAFFF" w:usb1="E9DFFFFF" w:usb2="0000003F" w:usb3="00000000" w:csb0="003F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Wingdings 2">
    <w:panose1 w:val="05020102010507070707"/>
    <w:charset w:val="02"/>
    <w:family w:val="roman"/>
    <w:pitch w:val="default"/>
    <w:sig w:usb0="00000000" w:usb1="00000000" w:usb2="00000000" w:usb3="00000000" w:csb0="80000000" w:csb1="00000000"/>
  </w:font>
  <w:font w:name="华文细黑">
    <w:panose1 w:val="02010600040101010101"/>
    <w:charset w:val="86"/>
    <w:family w:val="auto"/>
    <w:pitch w:val="default"/>
    <w:sig w:usb0="00000287" w:usb1="080F0000" w:usb2="00000000" w:usb3="00000000" w:csb0="0004009F" w:csb1="DFD70000"/>
  </w:font>
  <w:font w:name="等线 Light">
    <w:panose1 w:val="02010600030101010101"/>
    <w:charset w:val="86"/>
    <w:family w:val="auto"/>
    <w:pitch w:val="default"/>
    <w:sig w:usb0="A00002BF" w:usb1="38CF7CFA" w:usb2="00000016" w:usb3="00000000" w:csb0="0004000F" w:csb1="00000000"/>
  </w:font>
  <w:font w:name="Microsoft YaHei UI">
    <w:panose1 w:val="020B0503020204020204"/>
    <w:charset w:val="86"/>
    <w:family w:val="swiss"/>
    <w:pitch w:val="default"/>
    <w:sig w:usb0="80000287" w:usb1="2ACF3C50" w:usb2="00000016" w:usb3="00000000" w:csb0="0004001F" w:csb1="00000000"/>
  </w:font>
  <w:font w:name="TimesNewRoman">
    <w:altName w:val="Times New Roman"/>
    <w:panose1 w:val="00000000000000000000"/>
    <w:charset w:val="00"/>
    <w:family w:val="roman"/>
    <w:pitch w:val="default"/>
    <w:sig w:usb0="00000000" w:usb1="00000000" w:usb2="00000000" w:usb3="00000000" w:csb0="00040001" w:csb1="00000000"/>
  </w:font>
  <w:font w:name="楷体_GB2312">
    <w:altName w:val="楷体"/>
    <w:panose1 w:val="02010609030101010101"/>
    <w:charset w:val="86"/>
    <w:family w:val="modern"/>
    <w:pitch w:val="default"/>
    <w:sig w:usb0="00000001" w:usb1="080E0000" w:usb2="00000010" w:usb3="00000000" w:csb0="00040000" w:csb1="00000000"/>
  </w:font>
  <w:font w:name="Helvetica">
    <w:altName w:val="Arial"/>
    <w:panose1 w:val="020B0604020202020204"/>
    <w:charset w:val="00"/>
    <w:family w:val="swiss"/>
    <w:pitch w:val="default"/>
    <w:sig w:usb0="E0002AFF" w:usb1="C0007843" w:usb2="00000009" w:usb3="00000000" w:csb0="000001FF" w:csb1="00000000"/>
  </w:font>
  <w:font w:name="微软雅黑 Light">
    <w:panose1 w:val="020B0502040204020203"/>
    <w:charset w:val="86"/>
    <w:family w:val="swiss"/>
    <w:pitch w:val="default"/>
    <w:sig w:usb0="80000287" w:usb1="2ACF0010" w:usb2="00000016" w:usb3="00000000" w:csb0="0004001F" w:csb1="00000000"/>
  </w:font>
  <w:font w:name="Noto Sans CJK JP Regular">
    <w:altName w:val="Arial"/>
    <w:panose1 w:val="00000000000000000000"/>
    <w:charset w:val="00"/>
    <w:family w:val="swiss"/>
    <w:pitch w:val="default"/>
    <w:sig w:usb0="00000000" w:usb1="00000000" w:usb2="00000000" w:usb3="00000000" w:csb0="00040001" w:csb1="00000000"/>
  </w:font>
  <w:font w:name="新宋体">
    <w:panose1 w:val="02010609030101010101"/>
    <w:charset w:val="86"/>
    <w:family w:val="modern"/>
    <w:pitch w:val="default"/>
    <w:sig w:usb0="00000203" w:usb1="288F0000" w:usb2="00000006" w:usb3="00000000" w:csb0="00040001" w:csb1="00000000"/>
  </w:font>
  <w:font w:name="方正小标宋_GBK">
    <w:altName w:val="微软雅黑"/>
    <w:panose1 w:val="02000000000000000000"/>
    <w:charset w:val="86"/>
    <w:family w:val="script"/>
    <w:pitch w:val="default"/>
    <w:sig w:usb0="00000000"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ind w:right="360"/>
      <w:rPr>
        <w:rFonts w:hint="eastAsia"/>
      </w:rPr>
    </w:pPr>
    <w:r>
      <w:rPr>
        <w:rFonts w:hint="eastAsia"/>
      </w:rPr>
      <w:t xml:space="preserve"> 招标代理机构：浙江建航工程咨询有限公司       电话：0578-2139203      传真：0578-2303501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framePr w:wrap="around" w:vAnchor="text" w:hAnchor="margin" w:xAlign="center" w:y="1"/>
      <w:rPr>
        <w:rStyle w:val="63"/>
      </w:rPr>
    </w:pPr>
    <w:r>
      <w:fldChar w:fldCharType="begin"/>
    </w:r>
    <w:r>
      <w:rPr>
        <w:rStyle w:val="63"/>
      </w:rPr>
      <w:instrText xml:space="preserve">PAGE  </w:instrText>
    </w:r>
    <w:r>
      <w:fldChar w:fldCharType="end"/>
    </w:r>
  </w:p>
  <w:p>
    <w:pPr>
      <w:pStyle w:val="35"/>
    </w:pPr>
  </w:p>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5"/>
      <w:jc w:val="right"/>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6"/>
      <w:pBdr>
        <w:bottom w:val="single" w:color="auto" w:sz="6" w:space="2"/>
      </w:pBdr>
      <w:tabs>
        <w:tab w:val="left" w:pos="6580"/>
        <w:tab w:val="clear" w:pos="8306"/>
      </w:tabs>
      <w:spacing w:line="240" w:lineRule="auto"/>
      <w:jc w:val="both"/>
      <w:rPr>
        <w:rFonts w:ascii="宋体" w:hAnsi="宋体"/>
        <w:kern w:val="2"/>
        <w:szCs w:val="24"/>
      </w:rPr>
    </w:pPr>
    <w:r>
      <w:rPr>
        <w:rFonts w:hint="eastAsia" w:ascii="宋体" w:hAnsi="宋体"/>
        <w:color w:val="000000"/>
        <w:sz w:val="20"/>
      </w:rPr>
      <w:t xml:space="preserve">莲都区公共安全视频监控建设联网应用项目（碧湖改建项目）招标文件             </w:t>
    </w:r>
    <w:r>
      <w:rPr>
        <w:rFonts w:ascii="宋体" w:hAnsi="宋体"/>
        <w:color w:val="000000"/>
        <w:sz w:val="20"/>
      </w:rPr>
      <w:fldChar w:fldCharType="begin"/>
    </w:r>
    <w:r>
      <w:rPr>
        <w:rFonts w:ascii="宋体" w:hAnsi="宋体"/>
        <w:color w:val="000000"/>
        <w:sz w:val="20"/>
      </w:rPr>
      <w:instrText xml:space="preserve">PAGE   \* MERGEFORMAT</w:instrText>
    </w:r>
    <w:r>
      <w:rPr>
        <w:rFonts w:ascii="宋体" w:hAnsi="宋体"/>
        <w:color w:val="000000"/>
        <w:sz w:val="20"/>
      </w:rPr>
      <w:fldChar w:fldCharType="separate"/>
    </w:r>
    <w:r>
      <w:rPr>
        <w:rFonts w:ascii="宋体" w:hAnsi="宋体"/>
        <w:color w:val="000000"/>
        <w:sz w:val="20"/>
        <w:lang w:val="zh-CN"/>
      </w:rPr>
      <w:t>3</w:t>
    </w:r>
    <w:r>
      <w:rPr>
        <w:rFonts w:ascii="宋体" w:hAnsi="宋体"/>
        <w:color w:val="000000"/>
        <w:sz w:val="20"/>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231A7D9"/>
    <w:multiLevelType w:val="singleLevel"/>
    <w:tmpl w:val="F231A7D9"/>
    <w:lvl w:ilvl="0" w:tentative="0">
      <w:start w:val="1"/>
      <w:numFmt w:val="decimal"/>
      <w:pStyle w:val="15"/>
      <w:lvlText w:val="%1."/>
      <w:lvlJc w:val="left"/>
      <w:pPr>
        <w:tabs>
          <w:tab w:val="left" w:pos="312"/>
        </w:tabs>
      </w:pPr>
    </w:lvl>
  </w:abstractNum>
  <w:abstractNum w:abstractNumId="1">
    <w:nsid w:val="07476680"/>
    <w:multiLevelType w:val="multilevel"/>
    <w:tmpl w:val="07476680"/>
    <w:lvl w:ilvl="0" w:tentative="0">
      <w:start w:val="1"/>
      <w:numFmt w:val="decimal"/>
      <w:pStyle w:val="774"/>
      <w:lvlText w:val="(%1)"/>
      <w:lvlJc w:val="left"/>
      <w:pPr>
        <w:ind w:left="611" w:hanging="420"/>
      </w:pPr>
      <w:rPr>
        <w:rFonts w:hint="default"/>
      </w:rPr>
    </w:lvl>
    <w:lvl w:ilvl="1" w:tentative="0">
      <w:start w:val="1"/>
      <w:numFmt w:val="lowerLetter"/>
      <w:lvlText w:val="%2)"/>
      <w:lvlJc w:val="left"/>
      <w:pPr>
        <w:ind w:left="1031" w:hanging="420"/>
      </w:pPr>
    </w:lvl>
    <w:lvl w:ilvl="2" w:tentative="0">
      <w:start w:val="1"/>
      <w:numFmt w:val="lowerRoman"/>
      <w:lvlText w:val="%3."/>
      <w:lvlJc w:val="right"/>
      <w:pPr>
        <w:ind w:left="1451" w:hanging="420"/>
      </w:pPr>
    </w:lvl>
    <w:lvl w:ilvl="3" w:tentative="0">
      <w:start w:val="1"/>
      <w:numFmt w:val="decimal"/>
      <w:lvlText w:val="%4."/>
      <w:lvlJc w:val="left"/>
      <w:pPr>
        <w:ind w:left="1871" w:hanging="420"/>
      </w:pPr>
    </w:lvl>
    <w:lvl w:ilvl="4" w:tentative="0">
      <w:start w:val="1"/>
      <w:numFmt w:val="lowerLetter"/>
      <w:lvlText w:val="%5)"/>
      <w:lvlJc w:val="left"/>
      <w:pPr>
        <w:ind w:left="2291" w:hanging="420"/>
      </w:pPr>
    </w:lvl>
    <w:lvl w:ilvl="5" w:tentative="0">
      <w:start w:val="1"/>
      <w:numFmt w:val="lowerRoman"/>
      <w:lvlText w:val="%6."/>
      <w:lvlJc w:val="right"/>
      <w:pPr>
        <w:ind w:left="2711" w:hanging="420"/>
      </w:pPr>
    </w:lvl>
    <w:lvl w:ilvl="6" w:tentative="0">
      <w:start w:val="1"/>
      <w:numFmt w:val="decimal"/>
      <w:lvlText w:val="%7."/>
      <w:lvlJc w:val="left"/>
      <w:pPr>
        <w:ind w:left="3131" w:hanging="420"/>
      </w:pPr>
    </w:lvl>
    <w:lvl w:ilvl="7" w:tentative="0">
      <w:start w:val="1"/>
      <w:numFmt w:val="lowerLetter"/>
      <w:lvlText w:val="%8)"/>
      <w:lvlJc w:val="left"/>
      <w:pPr>
        <w:ind w:left="3551" w:hanging="420"/>
      </w:pPr>
    </w:lvl>
    <w:lvl w:ilvl="8" w:tentative="0">
      <w:start w:val="1"/>
      <w:numFmt w:val="lowerRoman"/>
      <w:lvlText w:val="%9."/>
      <w:lvlJc w:val="right"/>
      <w:pPr>
        <w:ind w:left="3971" w:hanging="420"/>
      </w:pPr>
    </w:lvl>
  </w:abstractNum>
  <w:abstractNum w:abstractNumId="2">
    <w:nsid w:val="316104A9"/>
    <w:multiLevelType w:val="multilevel"/>
    <w:tmpl w:val="316104A9"/>
    <w:lvl w:ilvl="0" w:tentative="0">
      <w:start w:val="1"/>
      <w:numFmt w:val="decimal"/>
      <w:pStyle w:val="776"/>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3">
    <w:nsid w:val="3B363D98"/>
    <w:multiLevelType w:val="multilevel"/>
    <w:tmpl w:val="3B363D98"/>
    <w:lvl w:ilvl="0" w:tentative="0">
      <w:start w:val="1"/>
      <w:numFmt w:val="decimal"/>
      <w:suff w:val="space"/>
      <w:lvlText w:val="图%1"/>
      <w:lvlJc w:val="left"/>
      <w:pPr>
        <w:ind w:left="2263" w:hanging="420"/>
      </w:pPr>
      <w:rPr>
        <w:rFonts w:hint="eastAsia"/>
        <w:b w:val="0"/>
        <w:bCs w:val="0"/>
        <w:i w:val="0"/>
        <w:iCs w:val="0"/>
        <w:caps w:val="0"/>
        <w:smallCaps w:val="0"/>
        <w:strike w:val="0"/>
        <w:dstrike w:val="0"/>
        <w:outline w:val="0"/>
        <w:shadow w:val="0"/>
        <w:emboss w:val="0"/>
        <w:imprint w:val="0"/>
        <w:vanish w:val="0"/>
        <w:spacing w:val="0"/>
        <w:position w:val="0"/>
        <w:u w:val="none"/>
        <w:vertAlign w:val="baseline"/>
      </w:rPr>
    </w:lvl>
    <w:lvl w:ilvl="1" w:tentative="0">
      <w:start w:val="1"/>
      <w:numFmt w:val="decimal"/>
      <w:lvlText w:val="（%2）"/>
      <w:lvlJc w:val="left"/>
      <w:pPr>
        <w:ind w:left="2983" w:hanging="720"/>
      </w:pPr>
      <w:rPr>
        <w:rFonts w:hint="default"/>
      </w:rPr>
    </w:lvl>
    <w:lvl w:ilvl="2" w:tentative="0">
      <w:start w:val="1"/>
      <w:numFmt w:val="lowerRoman"/>
      <w:lvlText w:val="%3."/>
      <w:lvlJc w:val="right"/>
      <w:pPr>
        <w:ind w:left="3103" w:hanging="420"/>
      </w:pPr>
    </w:lvl>
    <w:lvl w:ilvl="3" w:tentative="0">
      <w:start w:val="1"/>
      <w:numFmt w:val="decimal"/>
      <w:lvlText w:val="%4."/>
      <w:lvlJc w:val="left"/>
      <w:pPr>
        <w:ind w:left="3523" w:hanging="420"/>
      </w:pPr>
    </w:lvl>
    <w:lvl w:ilvl="4" w:tentative="0">
      <w:start w:val="1"/>
      <w:numFmt w:val="lowerLetter"/>
      <w:lvlText w:val="%5)"/>
      <w:lvlJc w:val="left"/>
      <w:pPr>
        <w:ind w:left="3943" w:hanging="420"/>
      </w:pPr>
    </w:lvl>
    <w:lvl w:ilvl="5" w:tentative="0">
      <w:start w:val="1"/>
      <w:numFmt w:val="lowerRoman"/>
      <w:lvlText w:val="%6."/>
      <w:lvlJc w:val="right"/>
      <w:pPr>
        <w:ind w:left="4363" w:hanging="420"/>
      </w:pPr>
    </w:lvl>
    <w:lvl w:ilvl="6" w:tentative="0">
      <w:start w:val="1"/>
      <w:numFmt w:val="decimal"/>
      <w:pStyle w:val="609"/>
      <w:lvlText w:val="%7."/>
      <w:lvlJc w:val="left"/>
      <w:pPr>
        <w:ind w:left="4783" w:hanging="420"/>
      </w:pPr>
    </w:lvl>
    <w:lvl w:ilvl="7" w:tentative="0">
      <w:start w:val="1"/>
      <w:numFmt w:val="lowerLetter"/>
      <w:lvlText w:val="%8)"/>
      <w:lvlJc w:val="left"/>
      <w:pPr>
        <w:ind w:left="5203" w:hanging="420"/>
      </w:pPr>
    </w:lvl>
    <w:lvl w:ilvl="8" w:tentative="0">
      <w:start w:val="1"/>
      <w:numFmt w:val="lowerRoman"/>
      <w:lvlText w:val="%9."/>
      <w:lvlJc w:val="right"/>
      <w:pPr>
        <w:ind w:left="5623" w:hanging="420"/>
      </w:pPr>
    </w:lvl>
  </w:abstractNum>
  <w:abstractNum w:abstractNumId="4">
    <w:nsid w:val="44B10550"/>
    <w:multiLevelType w:val="multilevel"/>
    <w:tmpl w:val="44B10550"/>
    <w:lvl w:ilvl="0" w:tentative="0">
      <w:start w:val="1"/>
      <w:numFmt w:val="bullet"/>
      <w:lvlText w:val=""/>
      <w:lvlJc w:val="left"/>
      <w:pPr>
        <w:tabs>
          <w:tab w:val="left" w:pos="420"/>
        </w:tabs>
        <w:ind w:left="420" w:hanging="420"/>
      </w:pPr>
      <w:rPr>
        <w:rFonts w:hint="default" w:ascii="Wingdings" w:hAnsi="Wingdings"/>
        <w:color w:val="auto"/>
      </w:rPr>
    </w:lvl>
    <w:lvl w:ilvl="1" w:tentative="0">
      <w:start w:val="1"/>
      <w:numFmt w:val="bullet"/>
      <w:lvlText w:val=""/>
      <w:lvlJc w:val="left"/>
      <w:pPr>
        <w:tabs>
          <w:tab w:val="left" w:pos="840"/>
        </w:tabs>
        <w:ind w:left="840" w:hanging="420"/>
      </w:pPr>
      <w:rPr>
        <w:rFonts w:hint="default" w:ascii="Wingdings" w:hAnsi="Wingdings"/>
        <w:color w:val="auto"/>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5">
    <w:nsid w:val="478E5615"/>
    <w:multiLevelType w:val="multilevel"/>
    <w:tmpl w:val="478E5615"/>
    <w:lvl w:ilvl="0" w:tentative="0">
      <w:start w:val="1"/>
      <w:numFmt w:val="decimal"/>
      <w:pStyle w:val="642"/>
      <w:lvlText w:val="（%1）"/>
      <w:lvlJc w:val="left"/>
      <w:pPr>
        <w:ind w:left="920" w:hanging="720"/>
      </w:pPr>
      <w:rPr>
        <w:rFonts w:hint="default"/>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6">
    <w:nsid w:val="479B5BBA"/>
    <w:multiLevelType w:val="multilevel"/>
    <w:tmpl w:val="479B5BBA"/>
    <w:lvl w:ilvl="0" w:tentative="0">
      <w:start w:val="1"/>
      <w:numFmt w:val="chineseCountingThousand"/>
      <w:pStyle w:val="427"/>
      <w:suff w:val="space"/>
      <w:lvlText w:val="第 %1 章"/>
      <w:lvlJc w:val="left"/>
      <w:pPr>
        <w:ind w:left="0" w:firstLine="0"/>
      </w:pPr>
      <w:rPr>
        <w:b w:val="0"/>
        <w:bCs w:val="0"/>
        <w:i w:val="0"/>
        <w:iCs w:val="0"/>
        <w:caps w:val="0"/>
        <w:smallCaps w:val="0"/>
        <w:strike w:val="0"/>
        <w:dstrike w:val="0"/>
        <w:outline w:val="0"/>
        <w:shadow w:val="0"/>
        <w:emboss w:val="0"/>
        <w:imprint w:val="0"/>
        <w:vanish w:val="0"/>
        <w:spacing w:val="0"/>
        <w:position w:val="0"/>
        <w:u w:val="none"/>
        <w:vertAlign w:val="baseline"/>
      </w:rPr>
    </w:lvl>
    <w:lvl w:ilvl="1" w:tentative="0">
      <w:start w:val="1"/>
      <w:numFmt w:val="decimal"/>
      <w:isLgl/>
      <w:suff w:val="space"/>
      <w:lvlText w:val="%1.%2"/>
      <w:lvlJc w:val="left"/>
      <w:pPr>
        <w:ind w:left="142" w:firstLine="0"/>
      </w:pPr>
      <w:rPr>
        <w:rFonts w:hint="eastAsia" w:ascii="Arial" w:hAnsi="Arial" w:eastAsia="黑体" w:cs="Times New Roman"/>
        <w:b w:val="0"/>
        <w:bCs w:val="0"/>
        <w:i w:val="0"/>
        <w:iCs w:val="0"/>
        <w:caps w:val="0"/>
        <w:smallCaps w:val="0"/>
        <w:strike w:val="0"/>
        <w:dstrike w:val="0"/>
        <w:outline w:val="0"/>
        <w:shadow w:val="0"/>
        <w:emboss w:val="0"/>
        <w:imprint w:val="0"/>
        <w:vanish w:val="0"/>
        <w:color w:val="auto"/>
        <w:spacing w:val="0"/>
        <w:w w:val="100"/>
        <w:kern w:val="2"/>
        <w:position w:val="0"/>
        <w:sz w:val="36"/>
        <w:u w:val="none"/>
        <w:shd w:val="clear" w:color="auto" w:fill="auto"/>
        <w:vertAlign w:val="baseline"/>
        <w:lang w:val="en-US"/>
      </w:rPr>
    </w:lvl>
    <w:lvl w:ilvl="2" w:tentative="0">
      <w:start w:val="1"/>
      <w:numFmt w:val="decimal"/>
      <w:isLgl/>
      <w:suff w:val="space"/>
      <w:lvlText w:val="%1.%2.%3"/>
      <w:lvlJc w:val="left"/>
      <w:pPr>
        <w:ind w:left="0" w:firstLine="0"/>
      </w:pPr>
      <w:rPr>
        <w:rFonts w:hint="eastAsia" w:cs="Times New Roman"/>
        <w:b w:val="0"/>
        <w:bCs w:val="0"/>
        <w:i w:val="0"/>
        <w:iCs w:val="0"/>
        <w:caps w:val="0"/>
        <w:smallCaps w:val="0"/>
        <w:strike w:val="0"/>
        <w:dstrike w:val="0"/>
        <w:outline w:val="0"/>
        <w:shadow w:val="0"/>
        <w:emboss w:val="0"/>
        <w:imprint w:val="0"/>
        <w:vanish w:val="0"/>
        <w:spacing w:val="0"/>
        <w:kern w:val="0"/>
        <w:position w:val="0"/>
        <w:u w:val="none"/>
        <w:vertAlign w:val="baseline"/>
      </w:rPr>
    </w:lvl>
    <w:lvl w:ilvl="3" w:tentative="0">
      <w:start w:val="1"/>
      <w:numFmt w:val="decimal"/>
      <w:isLgl/>
      <w:suff w:val="space"/>
      <w:lvlText w:val="%1.%2.%3.%4"/>
      <w:lvlJc w:val="left"/>
      <w:pPr>
        <w:ind w:left="1417" w:firstLine="0"/>
      </w:pPr>
      <w:rPr>
        <w:rFonts w:hint="default" w:ascii="Arial" w:hAnsi="Arial" w:eastAsia="黑体"/>
        <w:b w:val="0"/>
        <w:i w:val="0"/>
        <w:sz w:val="24"/>
        <w:szCs w:val="24"/>
      </w:rPr>
    </w:lvl>
    <w:lvl w:ilvl="4" w:tentative="0">
      <w:start w:val="1"/>
      <w:numFmt w:val="decimal"/>
      <w:isLgl/>
      <w:suff w:val="space"/>
      <w:lvlText w:val="%1.%2.%3.%4.%5"/>
      <w:lvlJc w:val="left"/>
      <w:pPr>
        <w:ind w:left="0" w:firstLine="0"/>
      </w:pPr>
      <w:rPr>
        <w:rFonts w:hint="default" w:ascii="Arial" w:hAnsi="Arial" w:eastAsia="黑体"/>
        <w:b w:val="0"/>
        <w:i w:val="0"/>
        <w:sz w:val="28"/>
      </w:rPr>
    </w:lvl>
    <w:lvl w:ilvl="5" w:tentative="0">
      <w:start w:val="1"/>
      <w:numFmt w:val="decimal"/>
      <w:isLgl/>
      <w:suff w:val="space"/>
      <w:lvlText w:val="%1.%2.%3.%4.%5.%6"/>
      <w:lvlJc w:val="left"/>
      <w:pPr>
        <w:ind w:left="0" w:firstLine="0"/>
      </w:pPr>
      <w:rPr>
        <w:rFonts w:hint="eastAsia" w:cs="Times New Roman"/>
        <w:b w:val="0"/>
        <w:bCs w:val="0"/>
        <w:i w:val="0"/>
        <w:iCs w:val="0"/>
        <w:caps w:val="0"/>
        <w:smallCaps w:val="0"/>
        <w:strike w:val="0"/>
        <w:dstrike w:val="0"/>
        <w:outline w:val="0"/>
        <w:shadow w:val="0"/>
        <w:emboss w:val="0"/>
        <w:imprint w:val="0"/>
        <w:vanish w:val="0"/>
        <w:spacing w:val="0"/>
        <w:position w:val="0"/>
        <w:u w:val="none"/>
        <w:vertAlign w:val="baseline"/>
      </w:rPr>
    </w:lvl>
    <w:lvl w:ilvl="6" w:tentative="0">
      <w:start w:val="1"/>
      <w:numFmt w:val="decimal"/>
      <w:isLgl/>
      <w:suff w:val="space"/>
      <w:lvlText w:val="%1.%2.%3.%4.%5.%6.%7"/>
      <w:lvlJc w:val="left"/>
      <w:pPr>
        <w:ind w:left="0" w:firstLine="0"/>
      </w:pPr>
      <w:rPr>
        <w:rFonts w:hint="eastAsia" w:cs="Times New Roman"/>
        <w:b w:val="0"/>
        <w:bCs w:val="0"/>
        <w:i w:val="0"/>
        <w:iCs w:val="0"/>
        <w:caps w:val="0"/>
        <w:smallCaps w:val="0"/>
        <w:strike w:val="0"/>
        <w:dstrike w:val="0"/>
        <w:outline w:val="0"/>
        <w:shadow w:val="0"/>
        <w:emboss w:val="0"/>
        <w:imprint w:val="0"/>
        <w:vanish w:val="0"/>
        <w:spacing w:val="0"/>
        <w:position w:val="0"/>
        <w:u w:val="none"/>
        <w:vertAlign w:val="baseline"/>
      </w:rPr>
    </w:lvl>
    <w:lvl w:ilvl="7" w:tentative="0">
      <w:start w:val="1"/>
      <w:numFmt w:val="decimal"/>
      <w:isLgl/>
      <w:suff w:val="space"/>
      <w:lvlText w:val="%1.%2.%3.%4.%5.%6.%7.%8"/>
      <w:lvlJc w:val="left"/>
      <w:pPr>
        <w:ind w:left="0" w:firstLine="0"/>
      </w:pPr>
      <w:rPr>
        <w:rFonts w:hint="eastAsia" w:cs="Times New Roman"/>
        <w:b w:val="0"/>
        <w:bCs w:val="0"/>
        <w:i w:val="0"/>
        <w:iCs w:val="0"/>
        <w:caps w:val="0"/>
        <w:smallCaps w:val="0"/>
        <w:strike w:val="0"/>
        <w:dstrike w:val="0"/>
        <w:outline w:val="0"/>
        <w:shadow w:val="0"/>
        <w:emboss w:val="0"/>
        <w:imprint w:val="0"/>
        <w:vanish w:val="0"/>
        <w:spacing w:val="0"/>
        <w:position w:val="0"/>
        <w:u w:val="none"/>
        <w:vertAlign w:val="baseline"/>
      </w:rPr>
    </w:lvl>
    <w:lvl w:ilvl="8" w:tentative="0">
      <w:start w:val="1"/>
      <w:numFmt w:val="decimal"/>
      <w:isLgl/>
      <w:suff w:val="space"/>
      <w:lvlText w:val="%1.%2.%3.%4.%5.%6.%7.%8.%9"/>
      <w:lvlJc w:val="left"/>
      <w:pPr>
        <w:ind w:left="0" w:firstLine="0"/>
      </w:pPr>
      <w:rPr>
        <w:b w:val="0"/>
        <w:bCs w:val="0"/>
        <w:i w:val="0"/>
        <w:iCs w:val="0"/>
        <w:caps w:val="0"/>
        <w:smallCaps w:val="0"/>
        <w:strike w:val="0"/>
        <w:dstrike w:val="0"/>
        <w:outline w:val="0"/>
        <w:shadow w:val="0"/>
        <w:emboss w:val="0"/>
        <w:imprint w:val="0"/>
        <w:vanish w:val="0"/>
        <w:spacing w:val="0"/>
        <w:position w:val="0"/>
        <w:u w:val="none"/>
        <w:vertAlign w:val="baseline"/>
      </w:rPr>
    </w:lvl>
  </w:abstractNum>
  <w:abstractNum w:abstractNumId="7">
    <w:nsid w:val="51894156"/>
    <w:multiLevelType w:val="multilevel"/>
    <w:tmpl w:val="51894156"/>
    <w:lvl w:ilvl="0" w:tentative="0">
      <w:start w:val="1"/>
      <w:numFmt w:val="japaneseCounting"/>
      <w:pStyle w:val="778"/>
      <w:lvlText w:val="%1、"/>
      <w:lvlJc w:val="left"/>
      <w:pPr>
        <w:ind w:left="960" w:hanging="48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8">
    <w:nsid w:val="5D21D3EF"/>
    <w:multiLevelType w:val="singleLevel"/>
    <w:tmpl w:val="5D21D3EF"/>
    <w:lvl w:ilvl="0" w:tentative="0">
      <w:start w:val="6"/>
      <w:numFmt w:val="chineseCounting"/>
      <w:suff w:val="nothing"/>
      <w:lvlText w:val="（%1）"/>
      <w:lvlJc w:val="left"/>
      <w:rPr>
        <w:rFonts w:hint="eastAsia"/>
      </w:rPr>
    </w:lvl>
  </w:abstractNum>
  <w:abstractNum w:abstractNumId="9">
    <w:nsid w:val="6165D8F9"/>
    <w:multiLevelType w:val="singleLevel"/>
    <w:tmpl w:val="6165D8F9"/>
    <w:lvl w:ilvl="0" w:tentative="0">
      <w:start w:val="1"/>
      <w:numFmt w:val="bullet"/>
      <w:pStyle w:val="775"/>
      <w:lvlText w:val=""/>
      <w:lvlJc w:val="left"/>
      <w:pPr>
        <w:tabs>
          <w:tab w:val="left" w:pos="360"/>
        </w:tabs>
        <w:ind w:left="360" w:hanging="360"/>
      </w:pPr>
      <w:rPr>
        <w:rFonts w:hint="default" w:ascii="Wingdings" w:hAnsi="Wingdings"/>
      </w:rPr>
    </w:lvl>
  </w:abstractNum>
  <w:abstractNum w:abstractNumId="10">
    <w:nsid w:val="66410E74"/>
    <w:multiLevelType w:val="multilevel"/>
    <w:tmpl w:val="66410E74"/>
    <w:lvl w:ilvl="0" w:tentative="0">
      <w:start w:val="1"/>
      <w:numFmt w:val="decimal"/>
      <w:pStyle w:val="639"/>
      <w:suff w:val="space"/>
      <w:lvlText w:val="第 %1 章"/>
      <w:lvlJc w:val="center"/>
      <w:pPr>
        <w:ind w:left="0" w:firstLine="288"/>
      </w:pPr>
      <w:rPr>
        <w:rFonts w:hint="default" w:ascii="Times New Roman" w:hAnsi="Times New Roman" w:eastAsia="黑体"/>
        <w:b w:val="0"/>
        <w:i w:val="0"/>
        <w:sz w:val="44"/>
      </w:rPr>
    </w:lvl>
    <w:lvl w:ilvl="1" w:tentative="0">
      <w:start w:val="1"/>
      <w:numFmt w:val="decimal"/>
      <w:isLgl/>
      <w:suff w:val="space"/>
      <w:lvlText w:val="%1.%2"/>
      <w:lvlJc w:val="left"/>
      <w:pPr>
        <w:ind w:left="2268" w:hanging="2268"/>
      </w:pPr>
      <w:rPr>
        <w:rFonts w:hint="eastAsia" w:ascii="Arial" w:hAnsi="Arial" w:eastAsia="黑体" w:cs="Times New Roman"/>
        <w:b w:val="0"/>
        <w:bCs w:val="0"/>
        <w:i w:val="0"/>
        <w:iCs w:val="0"/>
        <w:caps w:val="0"/>
        <w:smallCaps w:val="0"/>
        <w:strike w:val="0"/>
        <w:dstrike w:val="0"/>
        <w:outline w:val="0"/>
        <w:shadow w:val="0"/>
        <w:emboss w:val="0"/>
        <w:imprint w:val="0"/>
        <w:vanish w:val="0"/>
        <w:color w:val="auto"/>
        <w:spacing w:val="0"/>
        <w:w w:val="100"/>
        <w:kern w:val="2"/>
        <w:position w:val="0"/>
        <w:sz w:val="36"/>
        <w:u w:val="none"/>
        <w:shd w:val="clear" w:color="auto" w:fill="auto"/>
        <w:vertAlign w:val="baseline"/>
      </w:rPr>
    </w:lvl>
    <w:lvl w:ilvl="2" w:tentative="0">
      <w:start w:val="1"/>
      <w:numFmt w:val="decimal"/>
      <w:isLgl/>
      <w:suff w:val="space"/>
      <w:lvlText w:val="%1.%2.%3"/>
      <w:lvlJc w:val="left"/>
      <w:pPr>
        <w:ind w:left="2270" w:hanging="2270"/>
      </w:pPr>
      <w:rPr>
        <w:rFonts w:hint="eastAsia" w:ascii="Times New Roman" w:hAnsi="Times New Roman" w:cs="Times New Roman"/>
        <w:b w:val="0"/>
        <w:bCs w:val="0"/>
        <w:i w:val="0"/>
        <w:iCs w:val="0"/>
        <w:caps w:val="0"/>
        <w:smallCaps w:val="0"/>
        <w:strike w:val="0"/>
        <w:dstrike w:val="0"/>
        <w:outline w:val="0"/>
        <w:shadow w:val="0"/>
        <w:emboss w:val="0"/>
        <w:imprint w:val="0"/>
        <w:vanish w:val="0"/>
        <w:spacing w:val="0"/>
        <w:kern w:val="0"/>
        <w:position w:val="0"/>
        <w:u w:val="none"/>
        <w:vertAlign w:val="baseline"/>
      </w:rPr>
    </w:lvl>
    <w:lvl w:ilvl="3" w:tentative="0">
      <w:start w:val="1"/>
      <w:numFmt w:val="decimal"/>
      <w:isLgl/>
      <w:suff w:val="space"/>
      <w:lvlText w:val="%1.%2.%3.%4"/>
      <w:lvlJc w:val="left"/>
      <w:pPr>
        <w:ind w:left="2268" w:hanging="2268"/>
      </w:pPr>
      <w:rPr>
        <w:rFonts w:hint="default" w:ascii="Arial" w:hAnsi="Arial" w:eastAsia="黑体"/>
        <w:b w:val="0"/>
        <w:i w:val="0"/>
        <w:sz w:val="30"/>
      </w:rPr>
    </w:lvl>
    <w:lvl w:ilvl="4" w:tentative="0">
      <w:start w:val="1"/>
      <w:numFmt w:val="decimal"/>
      <w:isLgl/>
      <w:suff w:val="space"/>
      <w:lvlText w:val="%1.%2.%3.%4.%5"/>
      <w:lvlJc w:val="left"/>
      <w:pPr>
        <w:ind w:left="2268" w:hanging="2268"/>
      </w:pPr>
      <w:rPr>
        <w:rFonts w:hint="default" w:ascii="Arial" w:hAnsi="Arial" w:eastAsia="黑体"/>
        <w:b w:val="0"/>
        <w:i w:val="0"/>
        <w:sz w:val="28"/>
      </w:rPr>
    </w:lvl>
    <w:lvl w:ilvl="5" w:tentative="0">
      <w:start w:val="1"/>
      <w:numFmt w:val="decimal"/>
      <w:isLgl/>
      <w:lvlText w:val="%1.%2.%3.%4.%5.%6"/>
      <w:lvlJc w:val="left"/>
      <w:pPr>
        <w:tabs>
          <w:tab w:val="left" w:pos="1992"/>
        </w:tabs>
        <w:ind w:left="2268" w:hanging="2268"/>
      </w:pPr>
      <w:rPr>
        <w:rFonts w:hint="eastAsia"/>
      </w:rPr>
    </w:lvl>
    <w:lvl w:ilvl="6" w:tentative="0">
      <w:start w:val="1"/>
      <w:numFmt w:val="decimal"/>
      <w:suff w:val="space"/>
      <w:lvlText w:val="%1.%2.%3.%4.%5.%6.%7"/>
      <w:lvlJc w:val="left"/>
      <w:pPr>
        <w:ind w:left="2268" w:hanging="2268"/>
      </w:pPr>
      <w:rPr>
        <w:b w:val="0"/>
        <w:bCs w:val="0"/>
        <w:i w:val="0"/>
        <w:iCs w:val="0"/>
        <w:caps w:val="0"/>
        <w:smallCaps w:val="0"/>
        <w:strike w:val="0"/>
        <w:dstrike w:val="0"/>
        <w:outline w:val="0"/>
        <w:shadow w:val="0"/>
        <w:emboss w:val="0"/>
        <w:imprint w:val="0"/>
        <w:vanish w:val="0"/>
        <w:spacing w:val="0"/>
        <w:position w:val="0"/>
        <w:u w:val="none"/>
        <w:vertAlign w:val="baseline"/>
      </w:rPr>
    </w:lvl>
    <w:lvl w:ilvl="7" w:tentative="0">
      <w:start w:val="1"/>
      <w:numFmt w:val="decimal"/>
      <w:lvlText w:val="%1.%2.%3.%4.%5.%6.%7.%8"/>
      <w:lvlJc w:val="left"/>
      <w:pPr>
        <w:tabs>
          <w:tab w:val="left" w:pos="2280"/>
        </w:tabs>
        <w:ind w:left="2280" w:hanging="1440"/>
      </w:pPr>
      <w:rPr>
        <w:rFonts w:hint="eastAsia"/>
      </w:rPr>
    </w:lvl>
    <w:lvl w:ilvl="8" w:tentative="0">
      <w:start w:val="1"/>
      <w:numFmt w:val="decimal"/>
      <w:lvlText w:val="%1.%2.%3.%4.%5.%6.%7.%8.%9"/>
      <w:lvlJc w:val="left"/>
      <w:pPr>
        <w:tabs>
          <w:tab w:val="left" w:pos="2424"/>
        </w:tabs>
        <w:ind w:left="2424" w:hanging="1584"/>
      </w:pPr>
      <w:rPr>
        <w:rFonts w:hint="eastAsia"/>
      </w:rPr>
    </w:lvl>
  </w:abstractNum>
  <w:abstractNum w:abstractNumId="11">
    <w:nsid w:val="6EE47035"/>
    <w:multiLevelType w:val="multilevel"/>
    <w:tmpl w:val="6EE47035"/>
    <w:lvl w:ilvl="0" w:tentative="0">
      <w:start w:val="1"/>
      <w:numFmt w:val="decimal"/>
      <w:lvlText w:val="表%1  "/>
      <w:lvlJc w:val="center"/>
      <w:pPr>
        <w:ind w:left="1320" w:hanging="420"/>
      </w:pPr>
      <w:rPr>
        <w:rFonts w:hint="default" w:ascii="Times New Roman" w:hAnsi="Times New Roman" w:eastAsia="宋体"/>
        <w:b w:val="0"/>
        <w:i w:val="0"/>
        <w:sz w:val="21"/>
      </w:rPr>
    </w:lvl>
    <w:lvl w:ilvl="1" w:tentative="0">
      <w:start w:val="1"/>
      <w:numFmt w:val="decimal"/>
      <w:pStyle w:val="808"/>
      <w:lvlText w:val="表%2  "/>
      <w:lvlJc w:val="center"/>
      <w:pPr>
        <w:ind w:left="5523" w:hanging="420"/>
      </w:pPr>
      <w:rPr>
        <w:rFonts w:hint="default" w:ascii="Times New Roman" w:hAnsi="Times New Roman" w:eastAsia="宋体"/>
        <w:b w:val="0"/>
        <w:i w:val="0"/>
        <w:sz w:val="21"/>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730719B5"/>
    <w:multiLevelType w:val="multilevel"/>
    <w:tmpl w:val="730719B5"/>
    <w:lvl w:ilvl="0" w:tentative="0">
      <w:start w:val="1"/>
      <w:numFmt w:val="decimal"/>
      <w:suff w:val="space"/>
      <w:lvlText w:val="第%1章"/>
      <w:lvlJc w:val="left"/>
      <w:pPr>
        <w:ind w:left="0" w:firstLine="0"/>
      </w:pPr>
      <w:rPr>
        <w:rFonts w:hint="eastAsia" w:ascii="黑体" w:eastAsia="黑体"/>
        <w:b w:val="0"/>
        <w:i w:val="0"/>
      </w:rPr>
    </w:lvl>
    <w:lvl w:ilvl="1" w:tentative="0">
      <w:start w:val="1"/>
      <w:numFmt w:val="decimal"/>
      <w:suff w:val="space"/>
      <w:lvlText w:val="%1.%2"/>
      <w:lvlJc w:val="left"/>
      <w:pPr>
        <w:ind w:left="284" w:firstLine="0"/>
      </w:pPr>
      <w:rPr>
        <w:rFonts w:hint="eastAsia" w:ascii="黑体" w:eastAsia="黑体"/>
        <w:b w:val="0"/>
        <w:i w:val="0"/>
      </w:rPr>
    </w:lvl>
    <w:lvl w:ilvl="2" w:tentative="0">
      <w:start w:val="1"/>
      <w:numFmt w:val="decimal"/>
      <w:suff w:val="space"/>
      <w:lvlText w:val="%1.%2.%3"/>
      <w:lvlJc w:val="left"/>
      <w:pPr>
        <w:ind w:left="426" w:firstLine="0"/>
      </w:pPr>
      <w:rPr>
        <w:rFonts w:hint="eastAsia" w:ascii="黑体" w:eastAsia="黑体"/>
        <w:b w:val="0"/>
        <w:i w:val="0"/>
      </w:rPr>
    </w:lvl>
    <w:lvl w:ilvl="3" w:tentative="0">
      <w:start w:val="1"/>
      <w:numFmt w:val="decimal"/>
      <w:suff w:val="space"/>
      <w:lvlText w:val="%1.%2.%3.%4"/>
      <w:lvlJc w:val="left"/>
      <w:pPr>
        <w:ind w:left="1844" w:firstLine="0"/>
      </w:pPr>
      <w:rPr>
        <w:rFonts w:hint="eastAsia" w:ascii="黑体" w:eastAsia="黑体"/>
        <w:b w:val="0"/>
        <w:i w:val="0"/>
      </w:rPr>
    </w:lvl>
    <w:lvl w:ilvl="4" w:tentative="0">
      <w:start w:val="1"/>
      <w:numFmt w:val="decimal"/>
      <w:suff w:val="space"/>
      <w:lvlText w:val="%1.%2.%3.%4.%5"/>
      <w:lvlJc w:val="left"/>
      <w:pPr>
        <w:ind w:left="0" w:firstLine="0"/>
      </w:pPr>
      <w:rPr>
        <w:rFonts w:hint="eastAsia" w:ascii="黑体" w:eastAsia="黑体"/>
        <w:b w:val="0"/>
        <w:i w:val="0"/>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pStyle w:val="760"/>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13">
    <w:nsid w:val="73EC0604"/>
    <w:multiLevelType w:val="multilevel"/>
    <w:tmpl w:val="73EC0604"/>
    <w:lvl w:ilvl="0" w:tentative="0">
      <w:start w:val="1"/>
      <w:numFmt w:val="decimal"/>
      <w:pStyle w:val="81"/>
      <w:lvlText w:val="%1) "/>
      <w:lvlJc w:val="left"/>
      <w:pPr>
        <w:ind w:left="420" w:hanging="420"/>
      </w:pPr>
      <w:rPr>
        <w:rFonts w:hint="eastAsia" w:ascii="宋体" w:hAnsi="宋体" w:eastAsia="宋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3"/>
  </w:num>
  <w:num w:numId="3">
    <w:abstractNumId w:val="6"/>
  </w:num>
  <w:num w:numId="4">
    <w:abstractNumId w:val="9"/>
  </w:num>
  <w:num w:numId="5">
    <w:abstractNumId w:val="8"/>
  </w:num>
  <w:num w:numId="6">
    <w:abstractNumId w:val="3"/>
  </w:num>
  <w:num w:numId="7">
    <w:abstractNumId w:val="10"/>
  </w:num>
  <w:num w:numId="8">
    <w:abstractNumId w:val="5"/>
  </w:num>
  <w:num w:numId="9">
    <w:abstractNumId w:val="12"/>
  </w:num>
  <w:num w:numId="10">
    <w:abstractNumId w:val="1"/>
  </w:num>
  <w:num w:numId="11">
    <w:abstractNumId w:val="2"/>
  </w:num>
  <w:num w:numId="12">
    <w:abstractNumId w:val="7"/>
  </w:num>
  <w:num w:numId="13">
    <w:abstractNumId w:val="11"/>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3721"/>
    <w:rsid w:val="00000151"/>
    <w:rsid w:val="00000257"/>
    <w:rsid w:val="00000347"/>
    <w:rsid w:val="0000089F"/>
    <w:rsid w:val="0000094B"/>
    <w:rsid w:val="00000B0F"/>
    <w:rsid w:val="00000DC8"/>
    <w:rsid w:val="00000EFC"/>
    <w:rsid w:val="00001B39"/>
    <w:rsid w:val="00001B64"/>
    <w:rsid w:val="000026C1"/>
    <w:rsid w:val="00002915"/>
    <w:rsid w:val="00002DA3"/>
    <w:rsid w:val="00002EF1"/>
    <w:rsid w:val="000036BF"/>
    <w:rsid w:val="00004103"/>
    <w:rsid w:val="000045FE"/>
    <w:rsid w:val="00004698"/>
    <w:rsid w:val="0000488C"/>
    <w:rsid w:val="00004DB7"/>
    <w:rsid w:val="000056B6"/>
    <w:rsid w:val="00005DEF"/>
    <w:rsid w:val="0000697D"/>
    <w:rsid w:val="00006BDD"/>
    <w:rsid w:val="00006DA8"/>
    <w:rsid w:val="00007361"/>
    <w:rsid w:val="0000761C"/>
    <w:rsid w:val="0000784C"/>
    <w:rsid w:val="00007965"/>
    <w:rsid w:val="00007BB8"/>
    <w:rsid w:val="00007E72"/>
    <w:rsid w:val="000103DA"/>
    <w:rsid w:val="000103DD"/>
    <w:rsid w:val="000109A8"/>
    <w:rsid w:val="000110E5"/>
    <w:rsid w:val="0001145B"/>
    <w:rsid w:val="000114E6"/>
    <w:rsid w:val="0001180A"/>
    <w:rsid w:val="00011EF5"/>
    <w:rsid w:val="00012260"/>
    <w:rsid w:val="0001237A"/>
    <w:rsid w:val="0001289B"/>
    <w:rsid w:val="000128E2"/>
    <w:rsid w:val="00012AF5"/>
    <w:rsid w:val="00012E3D"/>
    <w:rsid w:val="00013039"/>
    <w:rsid w:val="000131A2"/>
    <w:rsid w:val="00013676"/>
    <w:rsid w:val="00013941"/>
    <w:rsid w:val="000139CD"/>
    <w:rsid w:val="00013A8E"/>
    <w:rsid w:val="00013C08"/>
    <w:rsid w:val="00013C39"/>
    <w:rsid w:val="00014116"/>
    <w:rsid w:val="00014553"/>
    <w:rsid w:val="000146EA"/>
    <w:rsid w:val="000148CB"/>
    <w:rsid w:val="00014D78"/>
    <w:rsid w:val="00015297"/>
    <w:rsid w:val="00015555"/>
    <w:rsid w:val="000156DC"/>
    <w:rsid w:val="00015CA7"/>
    <w:rsid w:val="00016557"/>
    <w:rsid w:val="00016630"/>
    <w:rsid w:val="000168E3"/>
    <w:rsid w:val="00016AB8"/>
    <w:rsid w:val="00016C63"/>
    <w:rsid w:val="00016CFC"/>
    <w:rsid w:val="00017192"/>
    <w:rsid w:val="00017946"/>
    <w:rsid w:val="00017D32"/>
    <w:rsid w:val="00017DF1"/>
    <w:rsid w:val="00017FBA"/>
    <w:rsid w:val="00020390"/>
    <w:rsid w:val="000209C6"/>
    <w:rsid w:val="00020A2F"/>
    <w:rsid w:val="00020B3D"/>
    <w:rsid w:val="00020DF3"/>
    <w:rsid w:val="0002102A"/>
    <w:rsid w:val="0002139F"/>
    <w:rsid w:val="000216F7"/>
    <w:rsid w:val="000217BE"/>
    <w:rsid w:val="00021872"/>
    <w:rsid w:val="00021C09"/>
    <w:rsid w:val="00021C7A"/>
    <w:rsid w:val="00021DE4"/>
    <w:rsid w:val="00022219"/>
    <w:rsid w:val="000223D9"/>
    <w:rsid w:val="000229D6"/>
    <w:rsid w:val="00022AD6"/>
    <w:rsid w:val="00023072"/>
    <w:rsid w:val="00023230"/>
    <w:rsid w:val="00023262"/>
    <w:rsid w:val="0002392B"/>
    <w:rsid w:val="00023BEA"/>
    <w:rsid w:val="00023E55"/>
    <w:rsid w:val="00024E4D"/>
    <w:rsid w:val="00024F82"/>
    <w:rsid w:val="000250A0"/>
    <w:rsid w:val="0002537D"/>
    <w:rsid w:val="000256B1"/>
    <w:rsid w:val="000257A7"/>
    <w:rsid w:val="00025FCC"/>
    <w:rsid w:val="00026175"/>
    <w:rsid w:val="00026D1D"/>
    <w:rsid w:val="0002731D"/>
    <w:rsid w:val="00027FC7"/>
    <w:rsid w:val="00030176"/>
    <w:rsid w:val="00030D35"/>
    <w:rsid w:val="0003161E"/>
    <w:rsid w:val="000319B3"/>
    <w:rsid w:val="0003238A"/>
    <w:rsid w:val="000328DF"/>
    <w:rsid w:val="000329E0"/>
    <w:rsid w:val="00032CF1"/>
    <w:rsid w:val="00032DA9"/>
    <w:rsid w:val="00033065"/>
    <w:rsid w:val="000335C4"/>
    <w:rsid w:val="00033721"/>
    <w:rsid w:val="0003398D"/>
    <w:rsid w:val="00033B08"/>
    <w:rsid w:val="00033E85"/>
    <w:rsid w:val="00034628"/>
    <w:rsid w:val="00034684"/>
    <w:rsid w:val="00034B5D"/>
    <w:rsid w:val="00034D5F"/>
    <w:rsid w:val="00035053"/>
    <w:rsid w:val="000358E8"/>
    <w:rsid w:val="00035C7A"/>
    <w:rsid w:val="00035DAC"/>
    <w:rsid w:val="00035DDA"/>
    <w:rsid w:val="00036129"/>
    <w:rsid w:val="00036359"/>
    <w:rsid w:val="000370EF"/>
    <w:rsid w:val="000374AD"/>
    <w:rsid w:val="0003758B"/>
    <w:rsid w:val="00037BEA"/>
    <w:rsid w:val="0004016D"/>
    <w:rsid w:val="0004021C"/>
    <w:rsid w:val="000408DA"/>
    <w:rsid w:val="00040F1B"/>
    <w:rsid w:val="0004108C"/>
    <w:rsid w:val="0004120C"/>
    <w:rsid w:val="000413A0"/>
    <w:rsid w:val="000425A9"/>
    <w:rsid w:val="00042AB2"/>
    <w:rsid w:val="00042B78"/>
    <w:rsid w:val="000433A7"/>
    <w:rsid w:val="000435B2"/>
    <w:rsid w:val="00043CA2"/>
    <w:rsid w:val="000440E8"/>
    <w:rsid w:val="0004467D"/>
    <w:rsid w:val="00044EB1"/>
    <w:rsid w:val="00045BCF"/>
    <w:rsid w:val="00045BF2"/>
    <w:rsid w:val="00045CBF"/>
    <w:rsid w:val="0004603F"/>
    <w:rsid w:val="00046DBC"/>
    <w:rsid w:val="00046EA0"/>
    <w:rsid w:val="00046F60"/>
    <w:rsid w:val="0004715C"/>
    <w:rsid w:val="00047921"/>
    <w:rsid w:val="00047BC9"/>
    <w:rsid w:val="00050159"/>
    <w:rsid w:val="000501D0"/>
    <w:rsid w:val="000505A6"/>
    <w:rsid w:val="00050BAD"/>
    <w:rsid w:val="000511B6"/>
    <w:rsid w:val="000512EF"/>
    <w:rsid w:val="00051590"/>
    <w:rsid w:val="0005163A"/>
    <w:rsid w:val="00051A6A"/>
    <w:rsid w:val="0005208E"/>
    <w:rsid w:val="000527C6"/>
    <w:rsid w:val="0005280E"/>
    <w:rsid w:val="00052CFA"/>
    <w:rsid w:val="00053169"/>
    <w:rsid w:val="00053394"/>
    <w:rsid w:val="00053869"/>
    <w:rsid w:val="00053EF6"/>
    <w:rsid w:val="00054228"/>
    <w:rsid w:val="00054339"/>
    <w:rsid w:val="000544FB"/>
    <w:rsid w:val="0005450F"/>
    <w:rsid w:val="00054665"/>
    <w:rsid w:val="00054759"/>
    <w:rsid w:val="00054A05"/>
    <w:rsid w:val="00054A7A"/>
    <w:rsid w:val="00054EC4"/>
    <w:rsid w:val="00054FF9"/>
    <w:rsid w:val="00055161"/>
    <w:rsid w:val="0005523F"/>
    <w:rsid w:val="000558D8"/>
    <w:rsid w:val="00055F9A"/>
    <w:rsid w:val="0005654C"/>
    <w:rsid w:val="00056784"/>
    <w:rsid w:val="000568A4"/>
    <w:rsid w:val="000569D7"/>
    <w:rsid w:val="00056BCB"/>
    <w:rsid w:val="0005764D"/>
    <w:rsid w:val="00057AA3"/>
    <w:rsid w:val="00057D77"/>
    <w:rsid w:val="0006013F"/>
    <w:rsid w:val="00060459"/>
    <w:rsid w:val="00060A09"/>
    <w:rsid w:val="00060C53"/>
    <w:rsid w:val="00060D7C"/>
    <w:rsid w:val="00061009"/>
    <w:rsid w:val="0006120B"/>
    <w:rsid w:val="000612C7"/>
    <w:rsid w:val="0006176B"/>
    <w:rsid w:val="00061A0E"/>
    <w:rsid w:val="00061EDC"/>
    <w:rsid w:val="00061F76"/>
    <w:rsid w:val="000623C7"/>
    <w:rsid w:val="00062902"/>
    <w:rsid w:val="00062A26"/>
    <w:rsid w:val="00062D9B"/>
    <w:rsid w:val="00063156"/>
    <w:rsid w:val="000633EF"/>
    <w:rsid w:val="00063B4E"/>
    <w:rsid w:val="00063C77"/>
    <w:rsid w:val="00064F07"/>
    <w:rsid w:val="000650EA"/>
    <w:rsid w:val="00065686"/>
    <w:rsid w:val="00065CAE"/>
    <w:rsid w:val="00065F47"/>
    <w:rsid w:val="00066053"/>
    <w:rsid w:val="00066219"/>
    <w:rsid w:val="000662BF"/>
    <w:rsid w:val="000665E1"/>
    <w:rsid w:val="00066894"/>
    <w:rsid w:val="00066D36"/>
    <w:rsid w:val="00066E4E"/>
    <w:rsid w:val="00066EE8"/>
    <w:rsid w:val="00066F83"/>
    <w:rsid w:val="000676DF"/>
    <w:rsid w:val="000678CA"/>
    <w:rsid w:val="000701CF"/>
    <w:rsid w:val="00070387"/>
    <w:rsid w:val="00070454"/>
    <w:rsid w:val="00070456"/>
    <w:rsid w:val="00070609"/>
    <w:rsid w:val="0007062B"/>
    <w:rsid w:val="000714F8"/>
    <w:rsid w:val="00072216"/>
    <w:rsid w:val="00072805"/>
    <w:rsid w:val="00072E99"/>
    <w:rsid w:val="00072F1D"/>
    <w:rsid w:val="000734EB"/>
    <w:rsid w:val="00073A7D"/>
    <w:rsid w:val="00073C0B"/>
    <w:rsid w:val="00073F0B"/>
    <w:rsid w:val="000742D6"/>
    <w:rsid w:val="00074EC0"/>
    <w:rsid w:val="00074FBC"/>
    <w:rsid w:val="00075439"/>
    <w:rsid w:val="000757FE"/>
    <w:rsid w:val="0007598B"/>
    <w:rsid w:val="00075E0D"/>
    <w:rsid w:val="00076023"/>
    <w:rsid w:val="000764F4"/>
    <w:rsid w:val="0007674C"/>
    <w:rsid w:val="00076C45"/>
    <w:rsid w:val="00076E1D"/>
    <w:rsid w:val="0007757D"/>
    <w:rsid w:val="00077E05"/>
    <w:rsid w:val="00077FDE"/>
    <w:rsid w:val="000800CB"/>
    <w:rsid w:val="00080156"/>
    <w:rsid w:val="000811C7"/>
    <w:rsid w:val="000818CA"/>
    <w:rsid w:val="0008194E"/>
    <w:rsid w:val="00081AE4"/>
    <w:rsid w:val="00081AE7"/>
    <w:rsid w:val="00081CA6"/>
    <w:rsid w:val="00081CC1"/>
    <w:rsid w:val="0008208D"/>
    <w:rsid w:val="000820B7"/>
    <w:rsid w:val="000825DD"/>
    <w:rsid w:val="00082668"/>
    <w:rsid w:val="00083194"/>
    <w:rsid w:val="000833C9"/>
    <w:rsid w:val="000833D3"/>
    <w:rsid w:val="000833E2"/>
    <w:rsid w:val="000835AF"/>
    <w:rsid w:val="000836D1"/>
    <w:rsid w:val="000836F5"/>
    <w:rsid w:val="00083E23"/>
    <w:rsid w:val="00083EBD"/>
    <w:rsid w:val="0008436B"/>
    <w:rsid w:val="00084ADE"/>
    <w:rsid w:val="00086DD2"/>
    <w:rsid w:val="00087179"/>
    <w:rsid w:val="0008748A"/>
    <w:rsid w:val="00087CEE"/>
    <w:rsid w:val="00087E98"/>
    <w:rsid w:val="00090268"/>
    <w:rsid w:val="000903B2"/>
    <w:rsid w:val="000909E1"/>
    <w:rsid w:val="00090B6C"/>
    <w:rsid w:val="00090D46"/>
    <w:rsid w:val="0009186D"/>
    <w:rsid w:val="00091EF4"/>
    <w:rsid w:val="00092060"/>
    <w:rsid w:val="00092863"/>
    <w:rsid w:val="0009355E"/>
    <w:rsid w:val="00094B07"/>
    <w:rsid w:val="00095CAB"/>
    <w:rsid w:val="00095E92"/>
    <w:rsid w:val="00095FCB"/>
    <w:rsid w:val="00096480"/>
    <w:rsid w:val="000966E9"/>
    <w:rsid w:val="00096864"/>
    <w:rsid w:val="000969AA"/>
    <w:rsid w:val="00096C61"/>
    <w:rsid w:val="00096C91"/>
    <w:rsid w:val="00096F8E"/>
    <w:rsid w:val="00097480"/>
    <w:rsid w:val="000977A2"/>
    <w:rsid w:val="0009784B"/>
    <w:rsid w:val="00097E0A"/>
    <w:rsid w:val="00097F95"/>
    <w:rsid w:val="000A04FD"/>
    <w:rsid w:val="000A05F7"/>
    <w:rsid w:val="000A088D"/>
    <w:rsid w:val="000A0D98"/>
    <w:rsid w:val="000A16EC"/>
    <w:rsid w:val="000A1AB9"/>
    <w:rsid w:val="000A1B3E"/>
    <w:rsid w:val="000A1D62"/>
    <w:rsid w:val="000A22EE"/>
    <w:rsid w:val="000A2315"/>
    <w:rsid w:val="000A27E4"/>
    <w:rsid w:val="000A293A"/>
    <w:rsid w:val="000A2B08"/>
    <w:rsid w:val="000A31C2"/>
    <w:rsid w:val="000A3379"/>
    <w:rsid w:val="000A39D3"/>
    <w:rsid w:val="000A3CE2"/>
    <w:rsid w:val="000A4078"/>
    <w:rsid w:val="000A4229"/>
    <w:rsid w:val="000A5DC3"/>
    <w:rsid w:val="000A6014"/>
    <w:rsid w:val="000A63AD"/>
    <w:rsid w:val="000A6660"/>
    <w:rsid w:val="000A6681"/>
    <w:rsid w:val="000A67D1"/>
    <w:rsid w:val="000A6E02"/>
    <w:rsid w:val="000A7DB6"/>
    <w:rsid w:val="000A7DFA"/>
    <w:rsid w:val="000A7F6F"/>
    <w:rsid w:val="000B004A"/>
    <w:rsid w:val="000B0188"/>
    <w:rsid w:val="000B01F1"/>
    <w:rsid w:val="000B0738"/>
    <w:rsid w:val="000B08E5"/>
    <w:rsid w:val="000B0C51"/>
    <w:rsid w:val="000B10E6"/>
    <w:rsid w:val="000B12C3"/>
    <w:rsid w:val="000B12ED"/>
    <w:rsid w:val="000B1D75"/>
    <w:rsid w:val="000B1F08"/>
    <w:rsid w:val="000B258B"/>
    <w:rsid w:val="000B2765"/>
    <w:rsid w:val="000B2CCA"/>
    <w:rsid w:val="000B3744"/>
    <w:rsid w:val="000B4011"/>
    <w:rsid w:val="000B4344"/>
    <w:rsid w:val="000B4377"/>
    <w:rsid w:val="000B46BC"/>
    <w:rsid w:val="000B50CF"/>
    <w:rsid w:val="000B51C0"/>
    <w:rsid w:val="000B528E"/>
    <w:rsid w:val="000B53D6"/>
    <w:rsid w:val="000B5441"/>
    <w:rsid w:val="000B562A"/>
    <w:rsid w:val="000B5688"/>
    <w:rsid w:val="000B5707"/>
    <w:rsid w:val="000B5EE8"/>
    <w:rsid w:val="000B65AA"/>
    <w:rsid w:val="000B695E"/>
    <w:rsid w:val="000B6EEA"/>
    <w:rsid w:val="000B6FA5"/>
    <w:rsid w:val="000B73BB"/>
    <w:rsid w:val="000B7C7B"/>
    <w:rsid w:val="000B7DE3"/>
    <w:rsid w:val="000B7FF6"/>
    <w:rsid w:val="000C012F"/>
    <w:rsid w:val="000C0325"/>
    <w:rsid w:val="000C0A21"/>
    <w:rsid w:val="000C0CD1"/>
    <w:rsid w:val="000C0D3A"/>
    <w:rsid w:val="000C0DDD"/>
    <w:rsid w:val="000C0E8E"/>
    <w:rsid w:val="000C18A4"/>
    <w:rsid w:val="000C2071"/>
    <w:rsid w:val="000C25F8"/>
    <w:rsid w:val="000C3765"/>
    <w:rsid w:val="000C3957"/>
    <w:rsid w:val="000C3B5D"/>
    <w:rsid w:val="000C485B"/>
    <w:rsid w:val="000C48DF"/>
    <w:rsid w:val="000C4B6F"/>
    <w:rsid w:val="000C4BFA"/>
    <w:rsid w:val="000C4E24"/>
    <w:rsid w:val="000C5478"/>
    <w:rsid w:val="000C5A03"/>
    <w:rsid w:val="000C5E2B"/>
    <w:rsid w:val="000C5E30"/>
    <w:rsid w:val="000C5F87"/>
    <w:rsid w:val="000C60DA"/>
    <w:rsid w:val="000C6473"/>
    <w:rsid w:val="000C6632"/>
    <w:rsid w:val="000C7457"/>
    <w:rsid w:val="000C7567"/>
    <w:rsid w:val="000D0317"/>
    <w:rsid w:val="000D0F2F"/>
    <w:rsid w:val="000D124C"/>
    <w:rsid w:val="000D159E"/>
    <w:rsid w:val="000D1A7E"/>
    <w:rsid w:val="000D1E6B"/>
    <w:rsid w:val="000D1E89"/>
    <w:rsid w:val="000D267F"/>
    <w:rsid w:val="000D26ED"/>
    <w:rsid w:val="000D2988"/>
    <w:rsid w:val="000D2B96"/>
    <w:rsid w:val="000D2D16"/>
    <w:rsid w:val="000D2D6C"/>
    <w:rsid w:val="000D2DBA"/>
    <w:rsid w:val="000D375A"/>
    <w:rsid w:val="000D39E8"/>
    <w:rsid w:val="000D3E45"/>
    <w:rsid w:val="000D447D"/>
    <w:rsid w:val="000D4AAD"/>
    <w:rsid w:val="000D4CCE"/>
    <w:rsid w:val="000D52AF"/>
    <w:rsid w:val="000D59C1"/>
    <w:rsid w:val="000D643C"/>
    <w:rsid w:val="000D682D"/>
    <w:rsid w:val="000D6911"/>
    <w:rsid w:val="000D693F"/>
    <w:rsid w:val="000D6D21"/>
    <w:rsid w:val="000D7862"/>
    <w:rsid w:val="000D79FC"/>
    <w:rsid w:val="000D7DAF"/>
    <w:rsid w:val="000E039A"/>
    <w:rsid w:val="000E03F7"/>
    <w:rsid w:val="000E0617"/>
    <w:rsid w:val="000E0636"/>
    <w:rsid w:val="000E07AE"/>
    <w:rsid w:val="000E0CF2"/>
    <w:rsid w:val="000E1000"/>
    <w:rsid w:val="000E10C7"/>
    <w:rsid w:val="000E12C5"/>
    <w:rsid w:val="000E1669"/>
    <w:rsid w:val="000E166E"/>
    <w:rsid w:val="000E16CC"/>
    <w:rsid w:val="000E183E"/>
    <w:rsid w:val="000E1990"/>
    <w:rsid w:val="000E20B1"/>
    <w:rsid w:val="000E21CC"/>
    <w:rsid w:val="000E2239"/>
    <w:rsid w:val="000E28C7"/>
    <w:rsid w:val="000E2A4A"/>
    <w:rsid w:val="000E3067"/>
    <w:rsid w:val="000E35CD"/>
    <w:rsid w:val="000E3AC9"/>
    <w:rsid w:val="000E42F2"/>
    <w:rsid w:val="000E469B"/>
    <w:rsid w:val="000E4987"/>
    <w:rsid w:val="000E49D9"/>
    <w:rsid w:val="000E4AD1"/>
    <w:rsid w:val="000E4C38"/>
    <w:rsid w:val="000E4CE5"/>
    <w:rsid w:val="000E4E76"/>
    <w:rsid w:val="000E525D"/>
    <w:rsid w:val="000E5827"/>
    <w:rsid w:val="000E59CC"/>
    <w:rsid w:val="000E5ADE"/>
    <w:rsid w:val="000E5DE9"/>
    <w:rsid w:val="000E640C"/>
    <w:rsid w:val="000E64CB"/>
    <w:rsid w:val="000E6610"/>
    <w:rsid w:val="000E72E5"/>
    <w:rsid w:val="000E756B"/>
    <w:rsid w:val="000E7A16"/>
    <w:rsid w:val="000E7F0F"/>
    <w:rsid w:val="000E7F4F"/>
    <w:rsid w:val="000F013C"/>
    <w:rsid w:val="000F0C44"/>
    <w:rsid w:val="000F1120"/>
    <w:rsid w:val="000F12EC"/>
    <w:rsid w:val="000F14DB"/>
    <w:rsid w:val="000F1E99"/>
    <w:rsid w:val="000F2240"/>
    <w:rsid w:val="000F29E0"/>
    <w:rsid w:val="000F2EE0"/>
    <w:rsid w:val="000F2F23"/>
    <w:rsid w:val="000F31F9"/>
    <w:rsid w:val="000F3207"/>
    <w:rsid w:val="000F38A8"/>
    <w:rsid w:val="000F3AA7"/>
    <w:rsid w:val="000F3B88"/>
    <w:rsid w:val="000F3D40"/>
    <w:rsid w:val="000F45A9"/>
    <w:rsid w:val="000F4672"/>
    <w:rsid w:val="000F4A14"/>
    <w:rsid w:val="000F4CCD"/>
    <w:rsid w:val="000F5611"/>
    <w:rsid w:val="000F5C00"/>
    <w:rsid w:val="000F5E1D"/>
    <w:rsid w:val="000F5E9A"/>
    <w:rsid w:val="000F648B"/>
    <w:rsid w:val="000F6646"/>
    <w:rsid w:val="000F6AA1"/>
    <w:rsid w:val="000F700F"/>
    <w:rsid w:val="000F72F9"/>
    <w:rsid w:val="000F75C6"/>
    <w:rsid w:val="000F763F"/>
    <w:rsid w:val="00100B34"/>
    <w:rsid w:val="00100D2A"/>
    <w:rsid w:val="00101CD7"/>
    <w:rsid w:val="00102063"/>
    <w:rsid w:val="0010215A"/>
    <w:rsid w:val="00102286"/>
    <w:rsid w:val="0010231C"/>
    <w:rsid w:val="0010273A"/>
    <w:rsid w:val="00102D03"/>
    <w:rsid w:val="0010353B"/>
    <w:rsid w:val="00103C77"/>
    <w:rsid w:val="0010444F"/>
    <w:rsid w:val="00104A90"/>
    <w:rsid w:val="00104CC0"/>
    <w:rsid w:val="00104EE9"/>
    <w:rsid w:val="001057AD"/>
    <w:rsid w:val="001061F8"/>
    <w:rsid w:val="00106695"/>
    <w:rsid w:val="001066B7"/>
    <w:rsid w:val="00106F08"/>
    <w:rsid w:val="001077ED"/>
    <w:rsid w:val="00110111"/>
    <w:rsid w:val="001103A9"/>
    <w:rsid w:val="00110770"/>
    <w:rsid w:val="00110958"/>
    <w:rsid w:val="001115B8"/>
    <w:rsid w:val="00111777"/>
    <w:rsid w:val="0011196E"/>
    <w:rsid w:val="00111D5E"/>
    <w:rsid w:val="00111F5F"/>
    <w:rsid w:val="00112137"/>
    <w:rsid w:val="00112489"/>
    <w:rsid w:val="0011282E"/>
    <w:rsid w:val="00112BD1"/>
    <w:rsid w:val="001131AA"/>
    <w:rsid w:val="0011348A"/>
    <w:rsid w:val="00113747"/>
    <w:rsid w:val="00113792"/>
    <w:rsid w:val="001140D1"/>
    <w:rsid w:val="001140E7"/>
    <w:rsid w:val="001146B0"/>
    <w:rsid w:val="00114CBC"/>
    <w:rsid w:val="00115EF1"/>
    <w:rsid w:val="001164A8"/>
    <w:rsid w:val="001164FC"/>
    <w:rsid w:val="00116896"/>
    <w:rsid w:val="00117210"/>
    <w:rsid w:val="00117801"/>
    <w:rsid w:val="00120A4E"/>
    <w:rsid w:val="00120E77"/>
    <w:rsid w:val="00121FBC"/>
    <w:rsid w:val="001222CD"/>
    <w:rsid w:val="0012252B"/>
    <w:rsid w:val="00122A2E"/>
    <w:rsid w:val="00122F06"/>
    <w:rsid w:val="0012326E"/>
    <w:rsid w:val="00123511"/>
    <w:rsid w:val="0012367D"/>
    <w:rsid w:val="001237DE"/>
    <w:rsid w:val="00123B28"/>
    <w:rsid w:val="00124099"/>
    <w:rsid w:val="0012413A"/>
    <w:rsid w:val="0012441C"/>
    <w:rsid w:val="001248AE"/>
    <w:rsid w:val="0012542F"/>
    <w:rsid w:val="00125618"/>
    <w:rsid w:val="00125C1C"/>
    <w:rsid w:val="00126241"/>
    <w:rsid w:val="00126B86"/>
    <w:rsid w:val="00126C10"/>
    <w:rsid w:val="00127259"/>
    <w:rsid w:val="001276D2"/>
    <w:rsid w:val="00127DF2"/>
    <w:rsid w:val="001303B2"/>
    <w:rsid w:val="00130788"/>
    <w:rsid w:val="00130B2E"/>
    <w:rsid w:val="00130CB2"/>
    <w:rsid w:val="00130F80"/>
    <w:rsid w:val="001311BE"/>
    <w:rsid w:val="00131821"/>
    <w:rsid w:val="00131FCD"/>
    <w:rsid w:val="00132597"/>
    <w:rsid w:val="001329C7"/>
    <w:rsid w:val="00132A59"/>
    <w:rsid w:val="00132CD3"/>
    <w:rsid w:val="00133095"/>
    <w:rsid w:val="00133179"/>
    <w:rsid w:val="001334F2"/>
    <w:rsid w:val="001336A6"/>
    <w:rsid w:val="00133ACE"/>
    <w:rsid w:val="00133B49"/>
    <w:rsid w:val="00133D33"/>
    <w:rsid w:val="0013485C"/>
    <w:rsid w:val="00134948"/>
    <w:rsid w:val="00134D5C"/>
    <w:rsid w:val="00135162"/>
    <w:rsid w:val="001357F7"/>
    <w:rsid w:val="00135F9E"/>
    <w:rsid w:val="00136029"/>
    <w:rsid w:val="001361AF"/>
    <w:rsid w:val="001361E5"/>
    <w:rsid w:val="00136569"/>
    <w:rsid w:val="00136750"/>
    <w:rsid w:val="00136A73"/>
    <w:rsid w:val="001372D5"/>
    <w:rsid w:val="00137749"/>
    <w:rsid w:val="001377A8"/>
    <w:rsid w:val="00137B1D"/>
    <w:rsid w:val="00140244"/>
    <w:rsid w:val="001407A8"/>
    <w:rsid w:val="001409E3"/>
    <w:rsid w:val="00140D89"/>
    <w:rsid w:val="001411E5"/>
    <w:rsid w:val="001411F1"/>
    <w:rsid w:val="0014133E"/>
    <w:rsid w:val="00141376"/>
    <w:rsid w:val="00141BC4"/>
    <w:rsid w:val="00141D82"/>
    <w:rsid w:val="00142654"/>
    <w:rsid w:val="001432D8"/>
    <w:rsid w:val="00143646"/>
    <w:rsid w:val="00143787"/>
    <w:rsid w:val="0014384E"/>
    <w:rsid w:val="00143E6A"/>
    <w:rsid w:val="001444DB"/>
    <w:rsid w:val="0014493E"/>
    <w:rsid w:val="0014548F"/>
    <w:rsid w:val="00145561"/>
    <w:rsid w:val="00145AE0"/>
    <w:rsid w:val="00145CE6"/>
    <w:rsid w:val="00145D23"/>
    <w:rsid w:val="0014638F"/>
    <w:rsid w:val="00146503"/>
    <w:rsid w:val="001466C2"/>
    <w:rsid w:val="00146A16"/>
    <w:rsid w:val="00146A47"/>
    <w:rsid w:val="00146A97"/>
    <w:rsid w:val="00146B92"/>
    <w:rsid w:val="00146C31"/>
    <w:rsid w:val="00146C87"/>
    <w:rsid w:val="001473CF"/>
    <w:rsid w:val="0014759A"/>
    <w:rsid w:val="001477CA"/>
    <w:rsid w:val="00147A89"/>
    <w:rsid w:val="00147ECB"/>
    <w:rsid w:val="001505E4"/>
    <w:rsid w:val="00151002"/>
    <w:rsid w:val="0015106E"/>
    <w:rsid w:val="001510DD"/>
    <w:rsid w:val="001511BD"/>
    <w:rsid w:val="00151292"/>
    <w:rsid w:val="00151667"/>
    <w:rsid w:val="00151774"/>
    <w:rsid w:val="00152025"/>
    <w:rsid w:val="001520B1"/>
    <w:rsid w:val="00152278"/>
    <w:rsid w:val="001522FB"/>
    <w:rsid w:val="001526E1"/>
    <w:rsid w:val="0015277C"/>
    <w:rsid w:val="00152F3E"/>
    <w:rsid w:val="00153190"/>
    <w:rsid w:val="001533C9"/>
    <w:rsid w:val="00153DD4"/>
    <w:rsid w:val="00154317"/>
    <w:rsid w:val="0015434C"/>
    <w:rsid w:val="00154869"/>
    <w:rsid w:val="0015486B"/>
    <w:rsid w:val="001548D2"/>
    <w:rsid w:val="00154CA3"/>
    <w:rsid w:val="00155416"/>
    <w:rsid w:val="00155C39"/>
    <w:rsid w:val="00156996"/>
    <w:rsid w:val="00157144"/>
    <w:rsid w:val="00157471"/>
    <w:rsid w:val="00157667"/>
    <w:rsid w:val="001601B0"/>
    <w:rsid w:val="00160213"/>
    <w:rsid w:val="00160297"/>
    <w:rsid w:val="0016034E"/>
    <w:rsid w:val="0016064C"/>
    <w:rsid w:val="00160926"/>
    <w:rsid w:val="00160BE3"/>
    <w:rsid w:val="00161587"/>
    <w:rsid w:val="001616AB"/>
    <w:rsid w:val="00161897"/>
    <w:rsid w:val="00161A36"/>
    <w:rsid w:val="00162064"/>
    <w:rsid w:val="00162F0B"/>
    <w:rsid w:val="00163B74"/>
    <w:rsid w:val="00163E68"/>
    <w:rsid w:val="00164022"/>
    <w:rsid w:val="00164685"/>
    <w:rsid w:val="00164A29"/>
    <w:rsid w:val="00164AB5"/>
    <w:rsid w:val="00164D1D"/>
    <w:rsid w:val="001658AA"/>
    <w:rsid w:val="00165DF2"/>
    <w:rsid w:val="00165E38"/>
    <w:rsid w:val="00165EB4"/>
    <w:rsid w:val="00166080"/>
    <w:rsid w:val="00166430"/>
    <w:rsid w:val="00166769"/>
    <w:rsid w:val="00166A47"/>
    <w:rsid w:val="00166D56"/>
    <w:rsid w:val="00167438"/>
    <w:rsid w:val="0016764B"/>
    <w:rsid w:val="00167D78"/>
    <w:rsid w:val="00170651"/>
    <w:rsid w:val="0017071C"/>
    <w:rsid w:val="0017078E"/>
    <w:rsid w:val="001707F4"/>
    <w:rsid w:val="00170A06"/>
    <w:rsid w:val="00170C19"/>
    <w:rsid w:val="001711E3"/>
    <w:rsid w:val="001714DE"/>
    <w:rsid w:val="00171577"/>
    <w:rsid w:val="0017172A"/>
    <w:rsid w:val="00171799"/>
    <w:rsid w:val="00171EA1"/>
    <w:rsid w:val="00171F2D"/>
    <w:rsid w:val="00171F46"/>
    <w:rsid w:val="0017217B"/>
    <w:rsid w:val="00172516"/>
    <w:rsid w:val="00172A15"/>
    <w:rsid w:val="00172BC5"/>
    <w:rsid w:val="00172CB2"/>
    <w:rsid w:val="00172DB5"/>
    <w:rsid w:val="00173349"/>
    <w:rsid w:val="00173446"/>
    <w:rsid w:val="001739F2"/>
    <w:rsid w:val="00173F9B"/>
    <w:rsid w:val="00174134"/>
    <w:rsid w:val="001743CA"/>
    <w:rsid w:val="00174863"/>
    <w:rsid w:val="001748B1"/>
    <w:rsid w:val="00175006"/>
    <w:rsid w:val="00175112"/>
    <w:rsid w:val="0017557F"/>
    <w:rsid w:val="001756CA"/>
    <w:rsid w:val="00175AB8"/>
    <w:rsid w:val="00175AE9"/>
    <w:rsid w:val="00176483"/>
    <w:rsid w:val="001767DF"/>
    <w:rsid w:val="00176B51"/>
    <w:rsid w:val="00176BD0"/>
    <w:rsid w:val="00176C21"/>
    <w:rsid w:val="00176C9D"/>
    <w:rsid w:val="001770A7"/>
    <w:rsid w:val="00177FD6"/>
    <w:rsid w:val="001800B9"/>
    <w:rsid w:val="001801A6"/>
    <w:rsid w:val="0018022C"/>
    <w:rsid w:val="001802A5"/>
    <w:rsid w:val="001806C6"/>
    <w:rsid w:val="001809A0"/>
    <w:rsid w:val="00180E6D"/>
    <w:rsid w:val="0018138E"/>
    <w:rsid w:val="001818C5"/>
    <w:rsid w:val="00181B95"/>
    <w:rsid w:val="001826ED"/>
    <w:rsid w:val="001827C2"/>
    <w:rsid w:val="00182AA4"/>
    <w:rsid w:val="00182D2F"/>
    <w:rsid w:val="00183AAF"/>
    <w:rsid w:val="00183E5D"/>
    <w:rsid w:val="001844F8"/>
    <w:rsid w:val="001847DF"/>
    <w:rsid w:val="0018502B"/>
    <w:rsid w:val="001850E8"/>
    <w:rsid w:val="001852CA"/>
    <w:rsid w:val="001855A1"/>
    <w:rsid w:val="001855E8"/>
    <w:rsid w:val="00185BA2"/>
    <w:rsid w:val="00185F6A"/>
    <w:rsid w:val="001860D3"/>
    <w:rsid w:val="00186241"/>
    <w:rsid w:val="0018647B"/>
    <w:rsid w:val="00186B00"/>
    <w:rsid w:val="00186DF5"/>
    <w:rsid w:val="001870E2"/>
    <w:rsid w:val="001870F5"/>
    <w:rsid w:val="001877B5"/>
    <w:rsid w:val="001877CA"/>
    <w:rsid w:val="00187838"/>
    <w:rsid w:val="00187CA6"/>
    <w:rsid w:val="00187E8C"/>
    <w:rsid w:val="001901A1"/>
    <w:rsid w:val="0019048F"/>
    <w:rsid w:val="00190A41"/>
    <w:rsid w:val="00190ADB"/>
    <w:rsid w:val="00190B94"/>
    <w:rsid w:val="00190C84"/>
    <w:rsid w:val="00190D04"/>
    <w:rsid w:val="00191AD5"/>
    <w:rsid w:val="00191C3C"/>
    <w:rsid w:val="00191E7B"/>
    <w:rsid w:val="00192028"/>
    <w:rsid w:val="0019230D"/>
    <w:rsid w:val="001925ED"/>
    <w:rsid w:val="00192F7B"/>
    <w:rsid w:val="001932C9"/>
    <w:rsid w:val="0019338E"/>
    <w:rsid w:val="00193BD9"/>
    <w:rsid w:val="00193E0D"/>
    <w:rsid w:val="0019427E"/>
    <w:rsid w:val="0019462F"/>
    <w:rsid w:val="001948A8"/>
    <w:rsid w:val="00194D45"/>
    <w:rsid w:val="00194EB7"/>
    <w:rsid w:val="00195434"/>
    <w:rsid w:val="001954E7"/>
    <w:rsid w:val="00195799"/>
    <w:rsid w:val="001960E2"/>
    <w:rsid w:val="00196320"/>
    <w:rsid w:val="0019653B"/>
    <w:rsid w:val="00197346"/>
    <w:rsid w:val="00197744"/>
    <w:rsid w:val="00197F54"/>
    <w:rsid w:val="001A0001"/>
    <w:rsid w:val="001A00BF"/>
    <w:rsid w:val="001A0118"/>
    <w:rsid w:val="001A01F4"/>
    <w:rsid w:val="001A082E"/>
    <w:rsid w:val="001A0865"/>
    <w:rsid w:val="001A1295"/>
    <w:rsid w:val="001A1648"/>
    <w:rsid w:val="001A193D"/>
    <w:rsid w:val="001A19A6"/>
    <w:rsid w:val="001A2183"/>
    <w:rsid w:val="001A26C3"/>
    <w:rsid w:val="001A2728"/>
    <w:rsid w:val="001A2DDF"/>
    <w:rsid w:val="001A2FA4"/>
    <w:rsid w:val="001A3108"/>
    <w:rsid w:val="001A324D"/>
    <w:rsid w:val="001A3557"/>
    <w:rsid w:val="001A3579"/>
    <w:rsid w:val="001A3614"/>
    <w:rsid w:val="001A3651"/>
    <w:rsid w:val="001A3B3F"/>
    <w:rsid w:val="001A3EE8"/>
    <w:rsid w:val="001A493B"/>
    <w:rsid w:val="001A5598"/>
    <w:rsid w:val="001A5922"/>
    <w:rsid w:val="001A5F79"/>
    <w:rsid w:val="001A5FEC"/>
    <w:rsid w:val="001A6254"/>
    <w:rsid w:val="001A6B31"/>
    <w:rsid w:val="001A6C82"/>
    <w:rsid w:val="001A73A6"/>
    <w:rsid w:val="001A7A12"/>
    <w:rsid w:val="001A7B6D"/>
    <w:rsid w:val="001B01CE"/>
    <w:rsid w:val="001B020C"/>
    <w:rsid w:val="001B0451"/>
    <w:rsid w:val="001B0A7B"/>
    <w:rsid w:val="001B0EE2"/>
    <w:rsid w:val="001B17B8"/>
    <w:rsid w:val="001B189C"/>
    <w:rsid w:val="001B1C8C"/>
    <w:rsid w:val="001B238D"/>
    <w:rsid w:val="001B23DF"/>
    <w:rsid w:val="001B251E"/>
    <w:rsid w:val="001B2635"/>
    <w:rsid w:val="001B3268"/>
    <w:rsid w:val="001B36FA"/>
    <w:rsid w:val="001B42C7"/>
    <w:rsid w:val="001B49B4"/>
    <w:rsid w:val="001B49E5"/>
    <w:rsid w:val="001B4F36"/>
    <w:rsid w:val="001B4F6D"/>
    <w:rsid w:val="001B54D4"/>
    <w:rsid w:val="001B559B"/>
    <w:rsid w:val="001B5697"/>
    <w:rsid w:val="001B58A4"/>
    <w:rsid w:val="001B5A25"/>
    <w:rsid w:val="001B5D91"/>
    <w:rsid w:val="001B6C7A"/>
    <w:rsid w:val="001B6F2F"/>
    <w:rsid w:val="001B7C82"/>
    <w:rsid w:val="001C002A"/>
    <w:rsid w:val="001C02C4"/>
    <w:rsid w:val="001C03A0"/>
    <w:rsid w:val="001C043F"/>
    <w:rsid w:val="001C1833"/>
    <w:rsid w:val="001C1DEB"/>
    <w:rsid w:val="001C1EA6"/>
    <w:rsid w:val="001C27F6"/>
    <w:rsid w:val="001C2815"/>
    <w:rsid w:val="001C31A0"/>
    <w:rsid w:val="001C3505"/>
    <w:rsid w:val="001C3529"/>
    <w:rsid w:val="001C36C8"/>
    <w:rsid w:val="001C3B75"/>
    <w:rsid w:val="001C4045"/>
    <w:rsid w:val="001C40A3"/>
    <w:rsid w:val="001C4362"/>
    <w:rsid w:val="001C44C5"/>
    <w:rsid w:val="001C5E2E"/>
    <w:rsid w:val="001C62BE"/>
    <w:rsid w:val="001C62DE"/>
    <w:rsid w:val="001C6F03"/>
    <w:rsid w:val="001C7199"/>
    <w:rsid w:val="001C71A3"/>
    <w:rsid w:val="001C75E9"/>
    <w:rsid w:val="001C79A0"/>
    <w:rsid w:val="001C7AAF"/>
    <w:rsid w:val="001D00F0"/>
    <w:rsid w:val="001D0AB3"/>
    <w:rsid w:val="001D0F13"/>
    <w:rsid w:val="001D13EB"/>
    <w:rsid w:val="001D15A7"/>
    <w:rsid w:val="001D19DA"/>
    <w:rsid w:val="001D1DCF"/>
    <w:rsid w:val="001D2B5F"/>
    <w:rsid w:val="001D2B7A"/>
    <w:rsid w:val="001D33A8"/>
    <w:rsid w:val="001D34BB"/>
    <w:rsid w:val="001D34D7"/>
    <w:rsid w:val="001D3A3F"/>
    <w:rsid w:val="001D3BE0"/>
    <w:rsid w:val="001D3FF3"/>
    <w:rsid w:val="001D40F4"/>
    <w:rsid w:val="001D4425"/>
    <w:rsid w:val="001D469C"/>
    <w:rsid w:val="001D4B1E"/>
    <w:rsid w:val="001D522B"/>
    <w:rsid w:val="001D523E"/>
    <w:rsid w:val="001D565E"/>
    <w:rsid w:val="001D57A9"/>
    <w:rsid w:val="001D5AEC"/>
    <w:rsid w:val="001D61DE"/>
    <w:rsid w:val="001D6414"/>
    <w:rsid w:val="001D6915"/>
    <w:rsid w:val="001D6DC9"/>
    <w:rsid w:val="001D6ED1"/>
    <w:rsid w:val="001D742B"/>
    <w:rsid w:val="001D7924"/>
    <w:rsid w:val="001D7CB7"/>
    <w:rsid w:val="001D7E48"/>
    <w:rsid w:val="001D7F43"/>
    <w:rsid w:val="001E04E1"/>
    <w:rsid w:val="001E05F7"/>
    <w:rsid w:val="001E0851"/>
    <w:rsid w:val="001E0F29"/>
    <w:rsid w:val="001E1838"/>
    <w:rsid w:val="001E1864"/>
    <w:rsid w:val="001E1C13"/>
    <w:rsid w:val="001E1E90"/>
    <w:rsid w:val="001E2DC4"/>
    <w:rsid w:val="001E2E81"/>
    <w:rsid w:val="001E2F7D"/>
    <w:rsid w:val="001E35B2"/>
    <w:rsid w:val="001E48AC"/>
    <w:rsid w:val="001E4AFD"/>
    <w:rsid w:val="001E4C17"/>
    <w:rsid w:val="001E514B"/>
    <w:rsid w:val="001E5694"/>
    <w:rsid w:val="001E68FF"/>
    <w:rsid w:val="001E6AC6"/>
    <w:rsid w:val="001E6C86"/>
    <w:rsid w:val="001E6E9B"/>
    <w:rsid w:val="001E6FD0"/>
    <w:rsid w:val="001E71A9"/>
    <w:rsid w:val="001E7350"/>
    <w:rsid w:val="001E79AC"/>
    <w:rsid w:val="001E7BC9"/>
    <w:rsid w:val="001F04CB"/>
    <w:rsid w:val="001F074D"/>
    <w:rsid w:val="001F0A03"/>
    <w:rsid w:val="001F0A16"/>
    <w:rsid w:val="001F0DC5"/>
    <w:rsid w:val="001F0ED3"/>
    <w:rsid w:val="001F0EFA"/>
    <w:rsid w:val="001F116E"/>
    <w:rsid w:val="001F149B"/>
    <w:rsid w:val="001F1D11"/>
    <w:rsid w:val="001F1E63"/>
    <w:rsid w:val="001F1F4D"/>
    <w:rsid w:val="001F2431"/>
    <w:rsid w:val="001F278F"/>
    <w:rsid w:val="001F2863"/>
    <w:rsid w:val="001F2991"/>
    <w:rsid w:val="001F2ADB"/>
    <w:rsid w:val="001F2E57"/>
    <w:rsid w:val="001F2E67"/>
    <w:rsid w:val="001F309B"/>
    <w:rsid w:val="001F3337"/>
    <w:rsid w:val="001F34C2"/>
    <w:rsid w:val="001F35D8"/>
    <w:rsid w:val="001F3F14"/>
    <w:rsid w:val="001F412B"/>
    <w:rsid w:val="001F43EB"/>
    <w:rsid w:val="001F48D5"/>
    <w:rsid w:val="001F49BD"/>
    <w:rsid w:val="001F4B7F"/>
    <w:rsid w:val="001F4D04"/>
    <w:rsid w:val="001F4FDD"/>
    <w:rsid w:val="001F50E3"/>
    <w:rsid w:val="001F6048"/>
    <w:rsid w:val="001F6F3B"/>
    <w:rsid w:val="001F7003"/>
    <w:rsid w:val="001F737A"/>
    <w:rsid w:val="001F7580"/>
    <w:rsid w:val="001F769F"/>
    <w:rsid w:val="0020028B"/>
    <w:rsid w:val="0020070C"/>
    <w:rsid w:val="00200A6D"/>
    <w:rsid w:val="00201698"/>
    <w:rsid w:val="00201E00"/>
    <w:rsid w:val="00202102"/>
    <w:rsid w:val="00202336"/>
    <w:rsid w:val="00202340"/>
    <w:rsid w:val="0020266B"/>
    <w:rsid w:val="00202C12"/>
    <w:rsid w:val="00202DC3"/>
    <w:rsid w:val="00202FA3"/>
    <w:rsid w:val="002035B1"/>
    <w:rsid w:val="00203796"/>
    <w:rsid w:val="00203999"/>
    <w:rsid w:val="00203AC4"/>
    <w:rsid w:val="00204322"/>
    <w:rsid w:val="0020476B"/>
    <w:rsid w:val="00204B91"/>
    <w:rsid w:val="00205A7B"/>
    <w:rsid w:val="00206480"/>
    <w:rsid w:val="00206A73"/>
    <w:rsid w:val="00206B26"/>
    <w:rsid w:val="00206E11"/>
    <w:rsid w:val="002070AB"/>
    <w:rsid w:val="002073CF"/>
    <w:rsid w:val="002074F9"/>
    <w:rsid w:val="00207760"/>
    <w:rsid w:val="00207A96"/>
    <w:rsid w:val="00207B9A"/>
    <w:rsid w:val="00207C4F"/>
    <w:rsid w:val="002103C5"/>
    <w:rsid w:val="002103F0"/>
    <w:rsid w:val="00210454"/>
    <w:rsid w:val="002106EC"/>
    <w:rsid w:val="002106F0"/>
    <w:rsid w:val="0021089B"/>
    <w:rsid w:val="00210A3C"/>
    <w:rsid w:val="00211343"/>
    <w:rsid w:val="002113DF"/>
    <w:rsid w:val="002116AE"/>
    <w:rsid w:val="002117E8"/>
    <w:rsid w:val="00211978"/>
    <w:rsid w:val="0021282E"/>
    <w:rsid w:val="002128B9"/>
    <w:rsid w:val="00212A96"/>
    <w:rsid w:val="00212C79"/>
    <w:rsid w:val="0021321F"/>
    <w:rsid w:val="00213590"/>
    <w:rsid w:val="0021359C"/>
    <w:rsid w:val="002136A2"/>
    <w:rsid w:val="0021383C"/>
    <w:rsid w:val="00213F5F"/>
    <w:rsid w:val="00214515"/>
    <w:rsid w:val="0021544F"/>
    <w:rsid w:val="0021562D"/>
    <w:rsid w:val="00215896"/>
    <w:rsid w:val="00215C50"/>
    <w:rsid w:val="002167E2"/>
    <w:rsid w:val="00216E53"/>
    <w:rsid w:val="00216EF9"/>
    <w:rsid w:val="002172DF"/>
    <w:rsid w:val="002172E3"/>
    <w:rsid w:val="002173E2"/>
    <w:rsid w:val="002173E5"/>
    <w:rsid w:val="00217425"/>
    <w:rsid w:val="002179B4"/>
    <w:rsid w:val="00217A8C"/>
    <w:rsid w:val="00217E67"/>
    <w:rsid w:val="00217EDC"/>
    <w:rsid w:val="0022007B"/>
    <w:rsid w:val="00220374"/>
    <w:rsid w:val="002203BE"/>
    <w:rsid w:val="0022109B"/>
    <w:rsid w:val="002210BE"/>
    <w:rsid w:val="002212AF"/>
    <w:rsid w:val="002213FF"/>
    <w:rsid w:val="002219C4"/>
    <w:rsid w:val="00221D4B"/>
    <w:rsid w:val="002222FD"/>
    <w:rsid w:val="002225E4"/>
    <w:rsid w:val="002226C4"/>
    <w:rsid w:val="00222E75"/>
    <w:rsid w:val="0022309D"/>
    <w:rsid w:val="00223127"/>
    <w:rsid w:val="002232BE"/>
    <w:rsid w:val="002233CE"/>
    <w:rsid w:val="00223422"/>
    <w:rsid w:val="00223845"/>
    <w:rsid w:val="00223A29"/>
    <w:rsid w:val="00224264"/>
    <w:rsid w:val="00224426"/>
    <w:rsid w:val="00224C9E"/>
    <w:rsid w:val="00225297"/>
    <w:rsid w:val="002257B7"/>
    <w:rsid w:val="0022623E"/>
    <w:rsid w:val="00226246"/>
    <w:rsid w:val="0022693C"/>
    <w:rsid w:val="00226DCF"/>
    <w:rsid w:val="00227088"/>
    <w:rsid w:val="00227578"/>
    <w:rsid w:val="00227B06"/>
    <w:rsid w:val="00227C59"/>
    <w:rsid w:val="00227E9A"/>
    <w:rsid w:val="002305EC"/>
    <w:rsid w:val="0023071E"/>
    <w:rsid w:val="002308AD"/>
    <w:rsid w:val="00231A3E"/>
    <w:rsid w:val="00231ADA"/>
    <w:rsid w:val="00232220"/>
    <w:rsid w:val="0023392B"/>
    <w:rsid w:val="00233B9B"/>
    <w:rsid w:val="00233DA7"/>
    <w:rsid w:val="00233EBA"/>
    <w:rsid w:val="0023411B"/>
    <w:rsid w:val="002342BB"/>
    <w:rsid w:val="0023479C"/>
    <w:rsid w:val="00234E2D"/>
    <w:rsid w:val="00234E75"/>
    <w:rsid w:val="00234F9E"/>
    <w:rsid w:val="00234FCB"/>
    <w:rsid w:val="00235315"/>
    <w:rsid w:val="002353D3"/>
    <w:rsid w:val="00235D49"/>
    <w:rsid w:val="00235FCD"/>
    <w:rsid w:val="00236101"/>
    <w:rsid w:val="0023658F"/>
    <w:rsid w:val="00236615"/>
    <w:rsid w:val="002366DC"/>
    <w:rsid w:val="00236766"/>
    <w:rsid w:val="00236809"/>
    <w:rsid w:val="00236C23"/>
    <w:rsid w:val="00237655"/>
    <w:rsid w:val="002377F2"/>
    <w:rsid w:val="00237C8A"/>
    <w:rsid w:val="002402B4"/>
    <w:rsid w:val="002404EC"/>
    <w:rsid w:val="0024060B"/>
    <w:rsid w:val="00240616"/>
    <w:rsid w:val="00240DA4"/>
    <w:rsid w:val="00241025"/>
    <w:rsid w:val="00241079"/>
    <w:rsid w:val="0024130B"/>
    <w:rsid w:val="002413C4"/>
    <w:rsid w:val="00241DEE"/>
    <w:rsid w:val="00241F21"/>
    <w:rsid w:val="0024201D"/>
    <w:rsid w:val="002426AD"/>
    <w:rsid w:val="00242AFC"/>
    <w:rsid w:val="00242B60"/>
    <w:rsid w:val="00242C24"/>
    <w:rsid w:val="00242C4F"/>
    <w:rsid w:val="00242EC3"/>
    <w:rsid w:val="00243528"/>
    <w:rsid w:val="00243DBA"/>
    <w:rsid w:val="00243DF6"/>
    <w:rsid w:val="00243E24"/>
    <w:rsid w:val="0024449B"/>
    <w:rsid w:val="00244658"/>
    <w:rsid w:val="00244C3C"/>
    <w:rsid w:val="0024509C"/>
    <w:rsid w:val="002455B1"/>
    <w:rsid w:val="002455DA"/>
    <w:rsid w:val="0024601D"/>
    <w:rsid w:val="00246698"/>
    <w:rsid w:val="00246786"/>
    <w:rsid w:val="00247302"/>
    <w:rsid w:val="00247519"/>
    <w:rsid w:val="0024754D"/>
    <w:rsid w:val="002479F0"/>
    <w:rsid w:val="00247A3D"/>
    <w:rsid w:val="00247E4F"/>
    <w:rsid w:val="00250323"/>
    <w:rsid w:val="00250472"/>
    <w:rsid w:val="0025099B"/>
    <w:rsid w:val="00250C5C"/>
    <w:rsid w:val="00250CC2"/>
    <w:rsid w:val="00250EDB"/>
    <w:rsid w:val="00250EEF"/>
    <w:rsid w:val="00251056"/>
    <w:rsid w:val="00251212"/>
    <w:rsid w:val="0025160E"/>
    <w:rsid w:val="00251652"/>
    <w:rsid w:val="00251B86"/>
    <w:rsid w:val="00251D03"/>
    <w:rsid w:val="00251FEC"/>
    <w:rsid w:val="00252023"/>
    <w:rsid w:val="00252A7F"/>
    <w:rsid w:val="00253780"/>
    <w:rsid w:val="002537C6"/>
    <w:rsid w:val="00254437"/>
    <w:rsid w:val="002548FB"/>
    <w:rsid w:val="00254D2E"/>
    <w:rsid w:val="0025520F"/>
    <w:rsid w:val="00255EB9"/>
    <w:rsid w:val="00256A1F"/>
    <w:rsid w:val="00256E26"/>
    <w:rsid w:val="002578BF"/>
    <w:rsid w:val="00257B92"/>
    <w:rsid w:val="00257C2A"/>
    <w:rsid w:val="00257E1F"/>
    <w:rsid w:val="00260006"/>
    <w:rsid w:val="00260016"/>
    <w:rsid w:val="00260703"/>
    <w:rsid w:val="00260C34"/>
    <w:rsid w:val="00260C96"/>
    <w:rsid w:val="00261915"/>
    <w:rsid w:val="00261B94"/>
    <w:rsid w:val="00261E41"/>
    <w:rsid w:val="00262142"/>
    <w:rsid w:val="002622ED"/>
    <w:rsid w:val="00262328"/>
    <w:rsid w:val="00262730"/>
    <w:rsid w:val="00262DA8"/>
    <w:rsid w:val="00262E1A"/>
    <w:rsid w:val="00263A2D"/>
    <w:rsid w:val="00263B04"/>
    <w:rsid w:val="002643DF"/>
    <w:rsid w:val="002648B7"/>
    <w:rsid w:val="002653CC"/>
    <w:rsid w:val="002656B7"/>
    <w:rsid w:val="002657BF"/>
    <w:rsid w:val="00265DE2"/>
    <w:rsid w:val="0026628D"/>
    <w:rsid w:val="002665A8"/>
    <w:rsid w:val="00266831"/>
    <w:rsid w:val="00266AE7"/>
    <w:rsid w:val="00266F1E"/>
    <w:rsid w:val="00267486"/>
    <w:rsid w:val="002676FC"/>
    <w:rsid w:val="00267932"/>
    <w:rsid w:val="002679E5"/>
    <w:rsid w:val="00267EF8"/>
    <w:rsid w:val="002700DC"/>
    <w:rsid w:val="00270EC4"/>
    <w:rsid w:val="00271275"/>
    <w:rsid w:val="00271313"/>
    <w:rsid w:val="0027138A"/>
    <w:rsid w:val="00271F50"/>
    <w:rsid w:val="00272282"/>
    <w:rsid w:val="00272E9C"/>
    <w:rsid w:val="00273174"/>
    <w:rsid w:val="00273596"/>
    <w:rsid w:val="0027366D"/>
    <w:rsid w:val="0027381C"/>
    <w:rsid w:val="00273872"/>
    <w:rsid w:val="0027453F"/>
    <w:rsid w:val="00274847"/>
    <w:rsid w:val="00274861"/>
    <w:rsid w:val="00274C45"/>
    <w:rsid w:val="00274F49"/>
    <w:rsid w:val="00275118"/>
    <w:rsid w:val="00275344"/>
    <w:rsid w:val="00275402"/>
    <w:rsid w:val="00275703"/>
    <w:rsid w:val="0027657C"/>
    <w:rsid w:val="00276967"/>
    <w:rsid w:val="00280D1D"/>
    <w:rsid w:val="0028169C"/>
    <w:rsid w:val="00281E80"/>
    <w:rsid w:val="00281E84"/>
    <w:rsid w:val="00281ED1"/>
    <w:rsid w:val="002827FD"/>
    <w:rsid w:val="0028295B"/>
    <w:rsid w:val="00282E5B"/>
    <w:rsid w:val="00282E5F"/>
    <w:rsid w:val="00282F2D"/>
    <w:rsid w:val="002841C8"/>
    <w:rsid w:val="0028429E"/>
    <w:rsid w:val="0028530F"/>
    <w:rsid w:val="0028569B"/>
    <w:rsid w:val="00285A30"/>
    <w:rsid w:val="002863E3"/>
    <w:rsid w:val="002863F3"/>
    <w:rsid w:val="00286467"/>
    <w:rsid w:val="0028674D"/>
    <w:rsid w:val="00286882"/>
    <w:rsid w:val="00286FD4"/>
    <w:rsid w:val="0028721F"/>
    <w:rsid w:val="00287261"/>
    <w:rsid w:val="002874C3"/>
    <w:rsid w:val="00287C3E"/>
    <w:rsid w:val="00287EC2"/>
    <w:rsid w:val="00287FB4"/>
    <w:rsid w:val="0029017E"/>
    <w:rsid w:val="0029054C"/>
    <w:rsid w:val="0029104B"/>
    <w:rsid w:val="0029151B"/>
    <w:rsid w:val="00292019"/>
    <w:rsid w:val="00292214"/>
    <w:rsid w:val="00292713"/>
    <w:rsid w:val="00292DD3"/>
    <w:rsid w:val="00293C4A"/>
    <w:rsid w:val="00293CBD"/>
    <w:rsid w:val="00294078"/>
    <w:rsid w:val="0029436D"/>
    <w:rsid w:val="002949A2"/>
    <w:rsid w:val="002951D9"/>
    <w:rsid w:val="002954A8"/>
    <w:rsid w:val="002954CD"/>
    <w:rsid w:val="002958C8"/>
    <w:rsid w:val="00295B8F"/>
    <w:rsid w:val="00295D2D"/>
    <w:rsid w:val="0029655D"/>
    <w:rsid w:val="00296AA5"/>
    <w:rsid w:val="00296C79"/>
    <w:rsid w:val="00296F20"/>
    <w:rsid w:val="00297621"/>
    <w:rsid w:val="002979F1"/>
    <w:rsid w:val="00297CB5"/>
    <w:rsid w:val="00297DE2"/>
    <w:rsid w:val="002A1037"/>
    <w:rsid w:val="002A125C"/>
    <w:rsid w:val="002A12EA"/>
    <w:rsid w:val="002A1691"/>
    <w:rsid w:val="002A2111"/>
    <w:rsid w:val="002A2376"/>
    <w:rsid w:val="002A2697"/>
    <w:rsid w:val="002A2805"/>
    <w:rsid w:val="002A2B65"/>
    <w:rsid w:val="002A2C54"/>
    <w:rsid w:val="002A2C7F"/>
    <w:rsid w:val="002A52BE"/>
    <w:rsid w:val="002A5469"/>
    <w:rsid w:val="002A655E"/>
    <w:rsid w:val="002A6B75"/>
    <w:rsid w:val="002A6DDB"/>
    <w:rsid w:val="002A72B8"/>
    <w:rsid w:val="002A72BD"/>
    <w:rsid w:val="002A7324"/>
    <w:rsid w:val="002A74FB"/>
    <w:rsid w:val="002A76D5"/>
    <w:rsid w:val="002B01FC"/>
    <w:rsid w:val="002B034C"/>
    <w:rsid w:val="002B03E8"/>
    <w:rsid w:val="002B0F63"/>
    <w:rsid w:val="002B102A"/>
    <w:rsid w:val="002B1438"/>
    <w:rsid w:val="002B14EF"/>
    <w:rsid w:val="002B15BA"/>
    <w:rsid w:val="002B1885"/>
    <w:rsid w:val="002B1AFA"/>
    <w:rsid w:val="002B1DF5"/>
    <w:rsid w:val="002B23CF"/>
    <w:rsid w:val="002B25BF"/>
    <w:rsid w:val="002B27A4"/>
    <w:rsid w:val="002B3409"/>
    <w:rsid w:val="002B356A"/>
    <w:rsid w:val="002B35A2"/>
    <w:rsid w:val="002B360A"/>
    <w:rsid w:val="002B3F42"/>
    <w:rsid w:val="002B4434"/>
    <w:rsid w:val="002B4755"/>
    <w:rsid w:val="002B4A67"/>
    <w:rsid w:val="002B4FA8"/>
    <w:rsid w:val="002B51C0"/>
    <w:rsid w:val="002B538A"/>
    <w:rsid w:val="002B654D"/>
    <w:rsid w:val="002B6E48"/>
    <w:rsid w:val="002B705F"/>
    <w:rsid w:val="002B7563"/>
    <w:rsid w:val="002B7CE8"/>
    <w:rsid w:val="002C003B"/>
    <w:rsid w:val="002C05CF"/>
    <w:rsid w:val="002C05F2"/>
    <w:rsid w:val="002C0A37"/>
    <w:rsid w:val="002C0A9E"/>
    <w:rsid w:val="002C1304"/>
    <w:rsid w:val="002C1833"/>
    <w:rsid w:val="002C1D12"/>
    <w:rsid w:val="002C1F2B"/>
    <w:rsid w:val="002C2199"/>
    <w:rsid w:val="002C2797"/>
    <w:rsid w:val="002C2A15"/>
    <w:rsid w:val="002C2BCC"/>
    <w:rsid w:val="002C2D05"/>
    <w:rsid w:val="002C2DA7"/>
    <w:rsid w:val="002C2FE8"/>
    <w:rsid w:val="002C31DC"/>
    <w:rsid w:val="002C3366"/>
    <w:rsid w:val="002C3F02"/>
    <w:rsid w:val="002C4053"/>
    <w:rsid w:val="002C41A0"/>
    <w:rsid w:val="002C4C54"/>
    <w:rsid w:val="002C4FD1"/>
    <w:rsid w:val="002C5548"/>
    <w:rsid w:val="002C55C1"/>
    <w:rsid w:val="002C5A46"/>
    <w:rsid w:val="002C5CF3"/>
    <w:rsid w:val="002C6025"/>
    <w:rsid w:val="002C619D"/>
    <w:rsid w:val="002C648A"/>
    <w:rsid w:val="002C699F"/>
    <w:rsid w:val="002C6AC2"/>
    <w:rsid w:val="002C7033"/>
    <w:rsid w:val="002C71D8"/>
    <w:rsid w:val="002C7564"/>
    <w:rsid w:val="002C7606"/>
    <w:rsid w:val="002C7661"/>
    <w:rsid w:val="002C7E3B"/>
    <w:rsid w:val="002D1418"/>
    <w:rsid w:val="002D171C"/>
    <w:rsid w:val="002D20D8"/>
    <w:rsid w:val="002D2593"/>
    <w:rsid w:val="002D2A1C"/>
    <w:rsid w:val="002D2A3A"/>
    <w:rsid w:val="002D2CB2"/>
    <w:rsid w:val="002D300B"/>
    <w:rsid w:val="002D3536"/>
    <w:rsid w:val="002D3D29"/>
    <w:rsid w:val="002D43B2"/>
    <w:rsid w:val="002D5132"/>
    <w:rsid w:val="002D5996"/>
    <w:rsid w:val="002D5B09"/>
    <w:rsid w:val="002D5ECE"/>
    <w:rsid w:val="002D61E1"/>
    <w:rsid w:val="002D627D"/>
    <w:rsid w:val="002D65AA"/>
    <w:rsid w:val="002D6973"/>
    <w:rsid w:val="002D6FD9"/>
    <w:rsid w:val="002D7145"/>
    <w:rsid w:val="002D735B"/>
    <w:rsid w:val="002D7507"/>
    <w:rsid w:val="002E14EA"/>
    <w:rsid w:val="002E1CEE"/>
    <w:rsid w:val="002E1E40"/>
    <w:rsid w:val="002E2DCA"/>
    <w:rsid w:val="002E3872"/>
    <w:rsid w:val="002E39F1"/>
    <w:rsid w:val="002E3B6A"/>
    <w:rsid w:val="002E48BA"/>
    <w:rsid w:val="002E4A30"/>
    <w:rsid w:val="002E4B12"/>
    <w:rsid w:val="002E4C77"/>
    <w:rsid w:val="002E4FC7"/>
    <w:rsid w:val="002E5134"/>
    <w:rsid w:val="002E5722"/>
    <w:rsid w:val="002E57A2"/>
    <w:rsid w:val="002E57F1"/>
    <w:rsid w:val="002E5EBE"/>
    <w:rsid w:val="002E6624"/>
    <w:rsid w:val="002E6859"/>
    <w:rsid w:val="002E6E80"/>
    <w:rsid w:val="002E70FC"/>
    <w:rsid w:val="002E71D7"/>
    <w:rsid w:val="002E72CA"/>
    <w:rsid w:val="002E74AC"/>
    <w:rsid w:val="002E7B46"/>
    <w:rsid w:val="002E7E44"/>
    <w:rsid w:val="002E7F14"/>
    <w:rsid w:val="002E7F88"/>
    <w:rsid w:val="002F191E"/>
    <w:rsid w:val="002F227C"/>
    <w:rsid w:val="002F26B4"/>
    <w:rsid w:val="002F337E"/>
    <w:rsid w:val="002F3449"/>
    <w:rsid w:val="002F43FF"/>
    <w:rsid w:val="002F442D"/>
    <w:rsid w:val="002F4C1F"/>
    <w:rsid w:val="002F4D95"/>
    <w:rsid w:val="002F53C0"/>
    <w:rsid w:val="002F5F53"/>
    <w:rsid w:val="002F67A4"/>
    <w:rsid w:val="002F6CBB"/>
    <w:rsid w:val="002F7058"/>
    <w:rsid w:val="002F726B"/>
    <w:rsid w:val="002F72D3"/>
    <w:rsid w:val="002F7D13"/>
    <w:rsid w:val="003002CD"/>
    <w:rsid w:val="003005E3"/>
    <w:rsid w:val="00300651"/>
    <w:rsid w:val="00300CEA"/>
    <w:rsid w:val="0030175D"/>
    <w:rsid w:val="003017AA"/>
    <w:rsid w:val="0030208B"/>
    <w:rsid w:val="003022CA"/>
    <w:rsid w:val="0030231F"/>
    <w:rsid w:val="00302953"/>
    <w:rsid w:val="00302E42"/>
    <w:rsid w:val="003036FD"/>
    <w:rsid w:val="003037BE"/>
    <w:rsid w:val="003037CC"/>
    <w:rsid w:val="00303B5F"/>
    <w:rsid w:val="00303DDD"/>
    <w:rsid w:val="00303F86"/>
    <w:rsid w:val="00304199"/>
    <w:rsid w:val="003042AF"/>
    <w:rsid w:val="00304479"/>
    <w:rsid w:val="0030466B"/>
    <w:rsid w:val="00304730"/>
    <w:rsid w:val="00304B2C"/>
    <w:rsid w:val="00304BA3"/>
    <w:rsid w:val="00305306"/>
    <w:rsid w:val="00305DAC"/>
    <w:rsid w:val="00305F49"/>
    <w:rsid w:val="0030629B"/>
    <w:rsid w:val="003063AA"/>
    <w:rsid w:val="0030667D"/>
    <w:rsid w:val="00307018"/>
    <w:rsid w:val="003074AB"/>
    <w:rsid w:val="00307A0C"/>
    <w:rsid w:val="00307CB2"/>
    <w:rsid w:val="00307D85"/>
    <w:rsid w:val="00310791"/>
    <w:rsid w:val="00311229"/>
    <w:rsid w:val="0031160B"/>
    <w:rsid w:val="00311806"/>
    <w:rsid w:val="0031182C"/>
    <w:rsid w:val="00311CC7"/>
    <w:rsid w:val="00312847"/>
    <w:rsid w:val="003128BD"/>
    <w:rsid w:val="00312A76"/>
    <w:rsid w:val="00313761"/>
    <w:rsid w:val="0031393D"/>
    <w:rsid w:val="003139E9"/>
    <w:rsid w:val="003145C4"/>
    <w:rsid w:val="00314C50"/>
    <w:rsid w:val="00314FB3"/>
    <w:rsid w:val="003152C7"/>
    <w:rsid w:val="00315A2B"/>
    <w:rsid w:val="00315CE1"/>
    <w:rsid w:val="00315F70"/>
    <w:rsid w:val="00315F9F"/>
    <w:rsid w:val="003160DC"/>
    <w:rsid w:val="0031626F"/>
    <w:rsid w:val="00317131"/>
    <w:rsid w:val="00317AF8"/>
    <w:rsid w:val="00317B48"/>
    <w:rsid w:val="00320551"/>
    <w:rsid w:val="00320802"/>
    <w:rsid w:val="00320F0C"/>
    <w:rsid w:val="003212D9"/>
    <w:rsid w:val="0032167F"/>
    <w:rsid w:val="0032209D"/>
    <w:rsid w:val="003221D2"/>
    <w:rsid w:val="003222E4"/>
    <w:rsid w:val="0032255A"/>
    <w:rsid w:val="00322FC3"/>
    <w:rsid w:val="0032327F"/>
    <w:rsid w:val="003235BC"/>
    <w:rsid w:val="0032361C"/>
    <w:rsid w:val="00323EA0"/>
    <w:rsid w:val="00325094"/>
    <w:rsid w:val="0032519A"/>
    <w:rsid w:val="00325562"/>
    <w:rsid w:val="00325FA9"/>
    <w:rsid w:val="00325FC5"/>
    <w:rsid w:val="00326588"/>
    <w:rsid w:val="00326B3F"/>
    <w:rsid w:val="00327455"/>
    <w:rsid w:val="003275D1"/>
    <w:rsid w:val="00327A12"/>
    <w:rsid w:val="00327C01"/>
    <w:rsid w:val="00330584"/>
    <w:rsid w:val="00330D04"/>
    <w:rsid w:val="00330EAB"/>
    <w:rsid w:val="0033108C"/>
    <w:rsid w:val="0033251D"/>
    <w:rsid w:val="00332BAA"/>
    <w:rsid w:val="003330A5"/>
    <w:rsid w:val="00333869"/>
    <w:rsid w:val="00333B84"/>
    <w:rsid w:val="00333E86"/>
    <w:rsid w:val="00334619"/>
    <w:rsid w:val="00334A4D"/>
    <w:rsid w:val="00334BED"/>
    <w:rsid w:val="00335379"/>
    <w:rsid w:val="003353AC"/>
    <w:rsid w:val="003356B6"/>
    <w:rsid w:val="003357A2"/>
    <w:rsid w:val="00335898"/>
    <w:rsid w:val="00335A32"/>
    <w:rsid w:val="00336181"/>
    <w:rsid w:val="0033682D"/>
    <w:rsid w:val="00336FB3"/>
    <w:rsid w:val="003375DE"/>
    <w:rsid w:val="00337633"/>
    <w:rsid w:val="00337C6F"/>
    <w:rsid w:val="00337CA4"/>
    <w:rsid w:val="00340292"/>
    <w:rsid w:val="003405D9"/>
    <w:rsid w:val="0034071C"/>
    <w:rsid w:val="00340996"/>
    <w:rsid w:val="00340B74"/>
    <w:rsid w:val="00340BDF"/>
    <w:rsid w:val="00341618"/>
    <w:rsid w:val="00341B33"/>
    <w:rsid w:val="00341D08"/>
    <w:rsid w:val="00341E05"/>
    <w:rsid w:val="00341F55"/>
    <w:rsid w:val="00342142"/>
    <w:rsid w:val="00342348"/>
    <w:rsid w:val="00342810"/>
    <w:rsid w:val="00342A72"/>
    <w:rsid w:val="00343345"/>
    <w:rsid w:val="00343474"/>
    <w:rsid w:val="0034347C"/>
    <w:rsid w:val="003438D7"/>
    <w:rsid w:val="00343C03"/>
    <w:rsid w:val="00343D33"/>
    <w:rsid w:val="00343F65"/>
    <w:rsid w:val="00344806"/>
    <w:rsid w:val="0034495E"/>
    <w:rsid w:val="00344E94"/>
    <w:rsid w:val="00345150"/>
    <w:rsid w:val="00345223"/>
    <w:rsid w:val="0034525E"/>
    <w:rsid w:val="00345473"/>
    <w:rsid w:val="00345EDB"/>
    <w:rsid w:val="0034623E"/>
    <w:rsid w:val="003465A1"/>
    <w:rsid w:val="0034673E"/>
    <w:rsid w:val="00346867"/>
    <w:rsid w:val="00347536"/>
    <w:rsid w:val="00347669"/>
    <w:rsid w:val="0034766F"/>
    <w:rsid w:val="0034784B"/>
    <w:rsid w:val="00350109"/>
    <w:rsid w:val="00350775"/>
    <w:rsid w:val="0035119C"/>
    <w:rsid w:val="00351A5F"/>
    <w:rsid w:val="00351FAA"/>
    <w:rsid w:val="00352F84"/>
    <w:rsid w:val="00353E16"/>
    <w:rsid w:val="00353E19"/>
    <w:rsid w:val="003541DD"/>
    <w:rsid w:val="00356185"/>
    <w:rsid w:val="00356760"/>
    <w:rsid w:val="00357019"/>
    <w:rsid w:val="003571CA"/>
    <w:rsid w:val="003574DC"/>
    <w:rsid w:val="00357646"/>
    <w:rsid w:val="003577F4"/>
    <w:rsid w:val="00357B20"/>
    <w:rsid w:val="00357CB8"/>
    <w:rsid w:val="00360112"/>
    <w:rsid w:val="00360981"/>
    <w:rsid w:val="003609D4"/>
    <w:rsid w:val="003613ED"/>
    <w:rsid w:val="00361408"/>
    <w:rsid w:val="0036146C"/>
    <w:rsid w:val="00361529"/>
    <w:rsid w:val="00361629"/>
    <w:rsid w:val="00361FB2"/>
    <w:rsid w:val="003622CD"/>
    <w:rsid w:val="00362450"/>
    <w:rsid w:val="00362DE0"/>
    <w:rsid w:val="00362FD2"/>
    <w:rsid w:val="003630E6"/>
    <w:rsid w:val="003633CD"/>
    <w:rsid w:val="0036391A"/>
    <w:rsid w:val="00363D6A"/>
    <w:rsid w:val="00363E3F"/>
    <w:rsid w:val="00364672"/>
    <w:rsid w:val="003647FC"/>
    <w:rsid w:val="00364847"/>
    <w:rsid w:val="003656DA"/>
    <w:rsid w:val="0036591A"/>
    <w:rsid w:val="003659BC"/>
    <w:rsid w:val="00365B6E"/>
    <w:rsid w:val="0036625C"/>
    <w:rsid w:val="00366926"/>
    <w:rsid w:val="00366C94"/>
    <w:rsid w:val="00366EF6"/>
    <w:rsid w:val="00366F45"/>
    <w:rsid w:val="003678F0"/>
    <w:rsid w:val="0036790B"/>
    <w:rsid w:val="00367B53"/>
    <w:rsid w:val="00367FB1"/>
    <w:rsid w:val="00367FE5"/>
    <w:rsid w:val="00370710"/>
    <w:rsid w:val="003709A8"/>
    <w:rsid w:val="00370BCB"/>
    <w:rsid w:val="003716AF"/>
    <w:rsid w:val="00371E2B"/>
    <w:rsid w:val="003727C2"/>
    <w:rsid w:val="00372976"/>
    <w:rsid w:val="00372CA7"/>
    <w:rsid w:val="003738F6"/>
    <w:rsid w:val="00373E23"/>
    <w:rsid w:val="00373E88"/>
    <w:rsid w:val="003745A0"/>
    <w:rsid w:val="0037466D"/>
    <w:rsid w:val="00374FD4"/>
    <w:rsid w:val="00375167"/>
    <w:rsid w:val="00375579"/>
    <w:rsid w:val="0037590C"/>
    <w:rsid w:val="00376814"/>
    <w:rsid w:val="0037709B"/>
    <w:rsid w:val="00377283"/>
    <w:rsid w:val="00377F07"/>
    <w:rsid w:val="00377FC5"/>
    <w:rsid w:val="00380011"/>
    <w:rsid w:val="003802BC"/>
    <w:rsid w:val="0038040D"/>
    <w:rsid w:val="003807B1"/>
    <w:rsid w:val="0038096D"/>
    <w:rsid w:val="00380D3B"/>
    <w:rsid w:val="003813CF"/>
    <w:rsid w:val="00381EFF"/>
    <w:rsid w:val="003825B6"/>
    <w:rsid w:val="00382685"/>
    <w:rsid w:val="00382895"/>
    <w:rsid w:val="0038295D"/>
    <w:rsid w:val="003829C9"/>
    <w:rsid w:val="00383059"/>
    <w:rsid w:val="00383283"/>
    <w:rsid w:val="003834D4"/>
    <w:rsid w:val="0038355F"/>
    <w:rsid w:val="00383633"/>
    <w:rsid w:val="003837AE"/>
    <w:rsid w:val="003838EB"/>
    <w:rsid w:val="00383949"/>
    <w:rsid w:val="00383C3B"/>
    <w:rsid w:val="003843E2"/>
    <w:rsid w:val="003844CA"/>
    <w:rsid w:val="003846E7"/>
    <w:rsid w:val="00384BC9"/>
    <w:rsid w:val="00384C18"/>
    <w:rsid w:val="00385024"/>
    <w:rsid w:val="003856F5"/>
    <w:rsid w:val="00385801"/>
    <w:rsid w:val="00385B35"/>
    <w:rsid w:val="00385D75"/>
    <w:rsid w:val="003868BF"/>
    <w:rsid w:val="00386B33"/>
    <w:rsid w:val="00386CAF"/>
    <w:rsid w:val="003873BA"/>
    <w:rsid w:val="00387503"/>
    <w:rsid w:val="00387CE5"/>
    <w:rsid w:val="00390267"/>
    <w:rsid w:val="003906BF"/>
    <w:rsid w:val="0039159C"/>
    <w:rsid w:val="00391970"/>
    <w:rsid w:val="00391F5B"/>
    <w:rsid w:val="00392718"/>
    <w:rsid w:val="00392B7A"/>
    <w:rsid w:val="003931FD"/>
    <w:rsid w:val="00393205"/>
    <w:rsid w:val="00393D2B"/>
    <w:rsid w:val="00393FEB"/>
    <w:rsid w:val="00394066"/>
    <w:rsid w:val="003944E8"/>
    <w:rsid w:val="00394908"/>
    <w:rsid w:val="00394CA3"/>
    <w:rsid w:val="003956B0"/>
    <w:rsid w:val="00395708"/>
    <w:rsid w:val="00395C6B"/>
    <w:rsid w:val="00395DBD"/>
    <w:rsid w:val="00395E66"/>
    <w:rsid w:val="003960F9"/>
    <w:rsid w:val="00396626"/>
    <w:rsid w:val="0039699C"/>
    <w:rsid w:val="00396BBE"/>
    <w:rsid w:val="003972A0"/>
    <w:rsid w:val="0039739D"/>
    <w:rsid w:val="00397CF2"/>
    <w:rsid w:val="00397E85"/>
    <w:rsid w:val="003A0D9B"/>
    <w:rsid w:val="003A108D"/>
    <w:rsid w:val="003A1346"/>
    <w:rsid w:val="003A1670"/>
    <w:rsid w:val="003A18AA"/>
    <w:rsid w:val="003A1AB9"/>
    <w:rsid w:val="003A1D02"/>
    <w:rsid w:val="003A1F03"/>
    <w:rsid w:val="003A2245"/>
    <w:rsid w:val="003A25E8"/>
    <w:rsid w:val="003A2E14"/>
    <w:rsid w:val="003A3240"/>
    <w:rsid w:val="003A3390"/>
    <w:rsid w:val="003A357E"/>
    <w:rsid w:val="003A3857"/>
    <w:rsid w:val="003A3892"/>
    <w:rsid w:val="003A392A"/>
    <w:rsid w:val="003A39E4"/>
    <w:rsid w:val="003A413C"/>
    <w:rsid w:val="003A4908"/>
    <w:rsid w:val="003A4928"/>
    <w:rsid w:val="003A4ACD"/>
    <w:rsid w:val="003A4D4B"/>
    <w:rsid w:val="003A4DFB"/>
    <w:rsid w:val="003A4F2E"/>
    <w:rsid w:val="003A505C"/>
    <w:rsid w:val="003A51AD"/>
    <w:rsid w:val="003A5257"/>
    <w:rsid w:val="003A59F7"/>
    <w:rsid w:val="003A5AB3"/>
    <w:rsid w:val="003A5C12"/>
    <w:rsid w:val="003A5F2A"/>
    <w:rsid w:val="003A633A"/>
    <w:rsid w:val="003A6FEA"/>
    <w:rsid w:val="003A7237"/>
    <w:rsid w:val="003A75B5"/>
    <w:rsid w:val="003A77F0"/>
    <w:rsid w:val="003A7950"/>
    <w:rsid w:val="003A7E8F"/>
    <w:rsid w:val="003B003B"/>
    <w:rsid w:val="003B0532"/>
    <w:rsid w:val="003B0973"/>
    <w:rsid w:val="003B0C62"/>
    <w:rsid w:val="003B0CC8"/>
    <w:rsid w:val="003B1355"/>
    <w:rsid w:val="003B16A8"/>
    <w:rsid w:val="003B1AB9"/>
    <w:rsid w:val="003B1B75"/>
    <w:rsid w:val="003B1FA3"/>
    <w:rsid w:val="003B22C8"/>
    <w:rsid w:val="003B27EC"/>
    <w:rsid w:val="003B2832"/>
    <w:rsid w:val="003B3094"/>
    <w:rsid w:val="003B34D6"/>
    <w:rsid w:val="003B3ADC"/>
    <w:rsid w:val="003B3D14"/>
    <w:rsid w:val="003B41B0"/>
    <w:rsid w:val="003B41C1"/>
    <w:rsid w:val="003B4406"/>
    <w:rsid w:val="003B4AB4"/>
    <w:rsid w:val="003B4FFD"/>
    <w:rsid w:val="003B5B61"/>
    <w:rsid w:val="003B5C3F"/>
    <w:rsid w:val="003B5C58"/>
    <w:rsid w:val="003B7131"/>
    <w:rsid w:val="003B71BF"/>
    <w:rsid w:val="003B73F7"/>
    <w:rsid w:val="003B74F3"/>
    <w:rsid w:val="003B7629"/>
    <w:rsid w:val="003B77A3"/>
    <w:rsid w:val="003B7AAF"/>
    <w:rsid w:val="003B7C70"/>
    <w:rsid w:val="003B7E3F"/>
    <w:rsid w:val="003C02E8"/>
    <w:rsid w:val="003C032B"/>
    <w:rsid w:val="003C08D0"/>
    <w:rsid w:val="003C0CDA"/>
    <w:rsid w:val="003C0F3C"/>
    <w:rsid w:val="003C1B4D"/>
    <w:rsid w:val="003C1C5C"/>
    <w:rsid w:val="003C1FE2"/>
    <w:rsid w:val="003C2028"/>
    <w:rsid w:val="003C2155"/>
    <w:rsid w:val="003C2316"/>
    <w:rsid w:val="003C2969"/>
    <w:rsid w:val="003C2A65"/>
    <w:rsid w:val="003C32E7"/>
    <w:rsid w:val="003C3659"/>
    <w:rsid w:val="003C47C0"/>
    <w:rsid w:val="003C49CD"/>
    <w:rsid w:val="003C4B1F"/>
    <w:rsid w:val="003C4D85"/>
    <w:rsid w:val="003C52EC"/>
    <w:rsid w:val="003C56F4"/>
    <w:rsid w:val="003C5B58"/>
    <w:rsid w:val="003C5BBB"/>
    <w:rsid w:val="003C5DA2"/>
    <w:rsid w:val="003C62AC"/>
    <w:rsid w:val="003C646F"/>
    <w:rsid w:val="003C68D6"/>
    <w:rsid w:val="003C6BA6"/>
    <w:rsid w:val="003C757D"/>
    <w:rsid w:val="003C781C"/>
    <w:rsid w:val="003C7A8C"/>
    <w:rsid w:val="003C7F65"/>
    <w:rsid w:val="003D0381"/>
    <w:rsid w:val="003D0D4A"/>
    <w:rsid w:val="003D14A2"/>
    <w:rsid w:val="003D17DB"/>
    <w:rsid w:val="003D2246"/>
    <w:rsid w:val="003D22CC"/>
    <w:rsid w:val="003D24D9"/>
    <w:rsid w:val="003D25BD"/>
    <w:rsid w:val="003D2C18"/>
    <w:rsid w:val="003D3301"/>
    <w:rsid w:val="003D3A18"/>
    <w:rsid w:val="003D3CBB"/>
    <w:rsid w:val="003D432A"/>
    <w:rsid w:val="003D4526"/>
    <w:rsid w:val="003D475D"/>
    <w:rsid w:val="003D47CA"/>
    <w:rsid w:val="003D4B90"/>
    <w:rsid w:val="003D5A1F"/>
    <w:rsid w:val="003D5BA9"/>
    <w:rsid w:val="003D5CF5"/>
    <w:rsid w:val="003D62AE"/>
    <w:rsid w:val="003D71F9"/>
    <w:rsid w:val="003D73E8"/>
    <w:rsid w:val="003D753D"/>
    <w:rsid w:val="003E0656"/>
    <w:rsid w:val="003E06A2"/>
    <w:rsid w:val="003E0C80"/>
    <w:rsid w:val="003E0C97"/>
    <w:rsid w:val="003E0D53"/>
    <w:rsid w:val="003E200E"/>
    <w:rsid w:val="003E2720"/>
    <w:rsid w:val="003E31E5"/>
    <w:rsid w:val="003E3555"/>
    <w:rsid w:val="003E3902"/>
    <w:rsid w:val="003E3A14"/>
    <w:rsid w:val="003E3BE4"/>
    <w:rsid w:val="003E4018"/>
    <w:rsid w:val="003E41A3"/>
    <w:rsid w:val="003E4329"/>
    <w:rsid w:val="003E4C5E"/>
    <w:rsid w:val="003E52A5"/>
    <w:rsid w:val="003E5573"/>
    <w:rsid w:val="003E58C9"/>
    <w:rsid w:val="003E5C93"/>
    <w:rsid w:val="003E5F20"/>
    <w:rsid w:val="003E6040"/>
    <w:rsid w:val="003E646B"/>
    <w:rsid w:val="003E646E"/>
    <w:rsid w:val="003E64A8"/>
    <w:rsid w:val="003E6740"/>
    <w:rsid w:val="003E68CB"/>
    <w:rsid w:val="003E6D39"/>
    <w:rsid w:val="003E7353"/>
    <w:rsid w:val="003E7B40"/>
    <w:rsid w:val="003E7CED"/>
    <w:rsid w:val="003E7DD8"/>
    <w:rsid w:val="003F0028"/>
    <w:rsid w:val="003F00A9"/>
    <w:rsid w:val="003F0113"/>
    <w:rsid w:val="003F0592"/>
    <w:rsid w:val="003F0AF4"/>
    <w:rsid w:val="003F113B"/>
    <w:rsid w:val="003F118F"/>
    <w:rsid w:val="003F1493"/>
    <w:rsid w:val="003F1831"/>
    <w:rsid w:val="003F1B61"/>
    <w:rsid w:val="003F1D40"/>
    <w:rsid w:val="003F2B38"/>
    <w:rsid w:val="003F2E16"/>
    <w:rsid w:val="003F33E7"/>
    <w:rsid w:val="003F3749"/>
    <w:rsid w:val="003F3A8F"/>
    <w:rsid w:val="003F4010"/>
    <w:rsid w:val="003F4044"/>
    <w:rsid w:val="003F44CF"/>
    <w:rsid w:val="003F4978"/>
    <w:rsid w:val="003F4CE5"/>
    <w:rsid w:val="003F591B"/>
    <w:rsid w:val="003F675D"/>
    <w:rsid w:val="003F678D"/>
    <w:rsid w:val="003F7285"/>
    <w:rsid w:val="003F7679"/>
    <w:rsid w:val="003F77B2"/>
    <w:rsid w:val="003F79DE"/>
    <w:rsid w:val="003F7A5C"/>
    <w:rsid w:val="003F7F4A"/>
    <w:rsid w:val="003F7FD5"/>
    <w:rsid w:val="00400279"/>
    <w:rsid w:val="00400726"/>
    <w:rsid w:val="004007EB"/>
    <w:rsid w:val="004010BD"/>
    <w:rsid w:val="004034F5"/>
    <w:rsid w:val="0040358A"/>
    <w:rsid w:val="00403EE3"/>
    <w:rsid w:val="004040BE"/>
    <w:rsid w:val="0040427E"/>
    <w:rsid w:val="00404707"/>
    <w:rsid w:val="00404AE3"/>
    <w:rsid w:val="00404DBA"/>
    <w:rsid w:val="00405044"/>
    <w:rsid w:val="004060D5"/>
    <w:rsid w:val="00406F8C"/>
    <w:rsid w:val="00406F9B"/>
    <w:rsid w:val="0040708E"/>
    <w:rsid w:val="004072C3"/>
    <w:rsid w:val="00407466"/>
    <w:rsid w:val="004113A1"/>
    <w:rsid w:val="0041147B"/>
    <w:rsid w:val="0041252D"/>
    <w:rsid w:val="0041279C"/>
    <w:rsid w:val="00412B7E"/>
    <w:rsid w:val="00412E80"/>
    <w:rsid w:val="00413111"/>
    <w:rsid w:val="0041324A"/>
    <w:rsid w:val="004135A8"/>
    <w:rsid w:val="00413BB9"/>
    <w:rsid w:val="0041449C"/>
    <w:rsid w:val="0041471F"/>
    <w:rsid w:val="004149C3"/>
    <w:rsid w:val="00414AA3"/>
    <w:rsid w:val="00414B6C"/>
    <w:rsid w:val="00414C3B"/>
    <w:rsid w:val="004154C9"/>
    <w:rsid w:val="00415793"/>
    <w:rsid w:val="004159A1"/>
    <w:rsid w:val="00415BC4"/>
    <w:rsid w:val="00415D6B"/>
    <w:rsid w:val="00416749"/>
    <w:rsid w:val="004167DB"/>
    <w:rsid w:val="00416C25"/>
    <w:rsid w:val="00416EAB"/>
    <w:rsid w:val="0041764A"/>
    <w:rsid w:val="004177A1"/>
    <w:rsid w:val="00417A5B"/>
    <w:rsid w:val="00417EA8"/>
    <w:rsid w:val="004200A1"/>
    <w:rsid w:val="00420576"/>
    <w:rsid w:val="00420593"/>
    <w:rsid w:val="0042087A"/>
    <w:rsid w:val="004211B9"/>
    <w:rsid w:val="00421364"/>
    <w:rsid w:val="00421F4D"/>
    <w:rsid w:val="00421FB0"/>
    <w:rsid w:val="00422662"/>
    <w:rsid w:val="0042284F"/>
    <w:rsid w:val="004228D2"/>
    <w:rsid w:val="004231BB"/>
    <w:rsid w:val="00423396"/>
    <w:rsid w:val="004234F0"/>
    <w:rsid w:val="0042350F"/>
    <w:rsid w:val="00423570"/>
    <w:rsid w:val="00423A57"/>
    <w:rsid w:val="00423BF7"/>
    <w:rsid w:val="00423CBD"/>
    <w:rsid w:val="0042431F"/>
    <w:rsid w:val="0042442F"/>
    <w:rsid w:val="00424A0B"/>
    <w:rsid w:val="00424BF0"/>
    <w:rsid w:val="00425446"/>
    <w:rsid w:val="004256A0"/>
    <w:rsid w:val="00425718"/>
    <w:rsid w:val="00425758"/>
    <w:rsid w:val="00425BAD"/>
    <w:rsid w:val="00425BE7"/>
    <w:rsid w:val="0042645F"/>
    <w:rsid w:val="00426708"/>
    <w:rsid w:val="004268A5"/>
    <w:rsid w:val="00426990"/>
    <w:rsid w:val="004270DC"/>
    <w:rsid w:val="0042723C"/>
    <w:rsid w:val="00427A4C"/>
    <w:rsid w:val="00427FDF"/>
    <w:rsid w:val="004310BB"/>
    <w:rsid w:val="0043140C"/>
    <w:rsid w:val="004317E2"/>
    <w:rsid w:val="00431DB1"/>
    <w:rsid w:val="00432143"/>
    <w:rsid w:val="00432ABE"/>
    <w:rsid w:val="0043360B"/>
    <w:rsid w:val="0043363F"/>
    <w:rsid w:val="0043381D"/>
    <w:rsid w:val="00433E95"/>
    <w:rsid w:val="004342EE"/>
    <w:rsid w:val="004345D9"/>
    <w:rsid w:val="00434E30"/>
    <w:rsid w:val="00435245"/>
    <w:rsid w:val="004354EE"/>
    <w:rsid w:val="004356B7"/>
    <w:rsid w:val="004356F3"/>
    <w:rsid w:val="004357BB"/>
    <w:rsid w:val="00435BE4"/>
    <w:rsid w:val="0043604C"/>
    <w:rsid w:val="00436EBE"/>
    <w:rsid w:val="00436F27"/>
    <w:rsid w:val="004371D9"/>
    <w:rsid w:val="00437493"/>
    <w:rsid w:val="004375F0"/>
    <w:rsid w:val="00437B62"/>
    <w:rsid w:val="00437E33"/>
    <w:rsid w:val="00440020"/>
    <w:rsid w:val="00440323"/>
    <w:rsid w:val="004404AC"/>
    <w:rsid w:val="00440799"/>
    <w:rsid w:val="004411B5"/>
    <w:rsid w:val="0044130C"/>
    <w:rsid w:val="00441760"/>
    <w:rsid w:val="0044190F"/>
    <w:rsid w:val="00441A5D"/>
    <w:rsid w:val="004420F7"/>
    <w:rsid w:val="00442380"/>
    <w:rsid w:val="0044253C"/>
    <w:rsid w:val="00442845"/>
    <w:rsid w:val="00442EDA"/>
    <w:rsid w:val="0044328C"/>
    <w:rsid w:val="0044346B"/>
    <w:rsid w:val="00443CC2"/>
    <w:rsid w:val="00443E5E"/>
    <w:rsid w:val="00443ECD"/>
    <w:rsid w:val="0044435B"/>
    <w:rsid w:val="004444F6"/>
    <w:rsid w:val="00444DB0"/>
    <w:rsid w:val="00445D8D"/>
    <w:rsid w:val="0044614E"/>
    <w:rsid w:val="004461EB"/>
    <w:rsid w:val="0044700D"/>
    <w:rsid w:val="004473E5"/>
    <w:rsid w:val="00447B95"/>
    <w:rsid w:val="00447BAF"/>
    <w:rsid w:val="00447F5E"/>
    <w:rsid w:val="0045008A"/>
    <w:rsid w:val="004500E8"/>
    <w:rsid w:val="00450486"/>
    <w:rsid w:val="004512CD"/>
    <w:rsid w:val="0045141A"/>
    <w:rsid w:val="00451456"/>
    <w:rsid w:val="004518E8"/>
    <w:rsid w:val="004520E2"/>
    <w:rsid w:val="004522D7"/>
    <w:rsid w:val="0045267D"/>
    <w:rsid w:val="004531BD"/>
    <w:rsid w:val="00453F90"/>
    <w:rsid w:val="0045433D"/>
    <w:rsid w:val="004544AF"/>
    <w:rsid w:val="00454509"/>
    <w:rsid w:val="0045452E"/>
    <w:rsid w:val="004547D5"/>
    <w:rsid w:val="0045483E"/>
    <w:rsid w:val="00454C97"/>
    <w:rsid w:val="00455964"/>
    <w:rsid w:val="00455EBA"/>
    <w:rsid w:val="0045609D"/>
    <w:rsid w:val="00456489"/>
    <w:rsid w:val="0045662A"/>
    <w:rsid w:val="0045666F"/>
    <w:rsid w:val="004566A4"/>
    <w:rsid w:val="00456706"/>
    <w:rsid w:val="004567A1"/>
    <w:rsid w:val="004567EE"/>
    <w:rsid w:val="00456BDE"/>
    <w:rsid w:val="00456E20"/>
    <w:rsid w:val="00456EA5"/>
    <w:rsid w:val="004571F4"/>
    <w:rsid w:val="0045721E"/>
    <w:rsid w:val="0045730A"/>
    <w:rsid w:val="00457BC1"/>
    <w:rsid w:val="00457BFA"/>
    <w:rsid w:val="00457DD8"/>
    <w:rsid w:val="00457DFF"/>
    <w:rsid w:val="00457E8E"/>
    <w:rsid w:val="00457F91"/>
    <w:rsid w:val="00460263"/>
    <w:rsid w:val="0046054B"/>
    <w:rsid w:val="00460B1B"/>
    <w:rsid w:val="00460C4E"/>
    <w:rsid w:val="004610A7"/>
    <w:rsid w:val="004613E6"/>
    <w:rsid w:val="0046147F"/>
    <w:rsid w:val="0046149F"/>
    <w:rsid w:val="00461874"/>
    <w:rsid w:val="00461952"/>
    <w:rsid w:val="00461BFF"/>
    <w:rsid w:val="00461E35"/>
    <w:rsid w:val="00462F28"/>
    <w:rsid w:val="0046321E"/>
    <w:rsid w:val="004633B1"/>
    <w:rsid w:val="00463573"/>
    <w:rsid w:val="0046365A"/>
    <w:rsid w:val="00464138"/>
    <w:rsid w:val="0046437F"/>
    <w:rsid w:val="00464559"/>
    <w:rsid w:val="004648F9"/>
    <w:rsid w:val="00464EEB"/>
    <w:rsid w:val="00464F12"/>
    <w:rsid w:val="004651BF"/>
    <w:rsid w:val="004655EA"/>
    <w:rsid w:val="00465EBA"/>
    <w:rsid w:val="00466E1A"/>
    <w:rsid w:val="00466E21"/>
    <w:rsid w:val="00466EA4"/>
    <w:rsid w:val="00466F37"/>
    <w:rsid w:val="00467085"/>
    <w:rsid w:val="004677FA"/>
    <w:rsid w:val="0047019E"/>
    <w:rsid w:val="0047078D"/>
    <w:rsid w:val="00470AF5"/>
    <w:rsid w:val="00470B78"/>
    <w:rsid w:val="00470F85"/>
    <w:rsid w:val="0047118C"/>
    <w:rsid w:val="004712E0"/>
    <w:rsid w:val="00473011"/>
    <w:rsid w:val="00474249"/>
    <w:rsid w:val="00474374"/>
    <w:rsid w:val="00474447"/>
    <w:rsid w:val="0047457C"/>
    <w:rsid w:val="00474AC4"/>
    <w:rsid w:val="00474BA5"/>
    <w:rsid w:val="00474D58"/>
    <w:rsid w:val="00474DE9"/>
    <w:rsid w:val="00474ECD"/>
    <w:rsid w:val="00475414"/>
    <w:rsid w:val="0047566E"/>
    <w:rsid w:val="0047575B"/>
    <w:rsid w:val="00475A6C"/>
    <w:rsid w:val="00476017"/>
    <w:rsid w:val="00476142"/>
    <w:rsid w:val="004761E5"/>
    <w:rsid w:val="00477A41"/>
    <w:rsid w:val="00477CB1"/>
    <w:rsid w:val="00477CC9"/>
    <w:rsid w:val="004801BC"/>
    <w:rsid w:val="004806ED"/>
    <w:rsid w:val="004811A1"/>
    <w:rsid w:val="004813C6"/>
    <w:rsid w:val="0048175B"/>
    <w:rsid w:val="004818F3"/>
    <w:rsid w:val="00482442"/>
    <w:rsid w:val="00482EDA"/>
    <w:rsid w:val="00483536"/>
    <w:rsid w:val="00483B08"/>
    <w:rsid w:val="00483C4D"/>
    <w:rsid w:val="00483F18"/>
    <w:rsid w:val="00483FD1"/>
    <w:rsid w:val="00484029"/>
    <w:rsid w:val="00484388"/>
    <w:rsid w:val="0048447E"/>
    <w:rsid w:val="0048463B"/>
    <w:rsid w:val="00484805"/>
    <w:rsid w:val="004851EE"/>
    <w:rsid w:val="0048529C"/>
    <w:rsid w:val="00485318"/>
    <w:rsid w:val="00485364"/>
    <w:rsid w:val="00485577"/>
    <w:rsid w:val="00485657"/>
    <w:rsid w:val="00485883"/>
    <w:rsid w:val="00485C83"/>
    <w:rsid w:val="0048631D"/>
    <w:rsid w:val="0048635A"/>
    <w:rsid w:val="004863D4"/>
    <w:rsid w:val="004864EA"/>
    <w:rsid w:val="00486656"/>
    <w:rsid w:val="004866CD"/>
    <w:rsid w:val="00486AC8"/>
    <w:rsid w:val="00486BEC"/>
    <w:rsid w:val="00486EE4"/>
    <w:rsid w:val="00487069"/>
    <w:rsid w:val="00487172"/>
    <w:rsid w:val="004873F2"/>
    <w:rsid w:val="00487548"/>
    <w:rsid w:val="00487602"/>
    <w:rsid w:val="004876FD"/>
    <w:rsid w:val="004878EA"/>
    <w:rsid w:val="00487B97"/>
    <w:rsid w:val="00487DC3"/>
    <w:rsid w:val="004905D3"/>
    <w:rsid w:val="00490915"/>
    <w:rsid w:val="00490A13"/>
    <w:rsid w:val="00490A9F"/>
    <w:rsid w:val="00490AD7"/>
    <w:rsid w:val="004919E1"/>
    <w:rsid w:val="00491AF2"/>
    <w:rsid w:val="00491D48"/>
    <w:rsid w:val="00492081"/>
    <w:rsid w:val="00492276"/>
    <w:rsid w:val="00492716"/>
    <w:rsid w:val="00493122"/>
    <w:rsid w:val="0049342F"/>
    <w:rsid w:val="00494903"/>
    <w:rsid w:val="00494B8F"/>
    <w:rsid w:val="004954DE"/>
    <w:rsid w:val="004955D5"/>
    <w:rsid w:val="00495895"/>
    <w:rsid w:val="00495F16"/>
    <w:rsid w:val="00496417"/>
    <w:rsid w:val="00496435"/>
    <w:rsid w:val="004964E5"/>
    <w:rsid w:val="00496A08"/>
    <w:rsid w:val="004970CD"/>
    <w:rsid w:val="00497C32"/>
    <w:rsid w:val="004A02EB"/>
    <w:rsid w:val="004A0ACB"/>
    <w:rsid w:val="004A1049"/>
    <w:rsid w:val="004A1699"/>
    <w:rsid w:val="004A1A82"/>
    <w:rsid w:val="004A1ED7"/>
    <w:rsid w:val="004A1F95"/>
    <w:rsid w:val="004A2800"/>
    <w:rsid w:val="004A3150"/>
    <w:rsid w:val="004A342D"/>
    <w:rsid w:val="004A3DF6"/>
    <w:rsid w:val="004A400F"/>
    <w:rsid w:val="004A44A5"/>
    <w:rsid w:val="004A4581"/>
    <w:rsid w:val="004A4584"/>
    <w:rsid w:val="004A4AC3"/>
    <w:rsid w:val="004A4AC7"/>
    <w:rsid w:val="004A4C54"/>
    <w:rsid w:val="004A512A"/>
    <w:rsid w:val="004A5575"/>
    <w:rsid w:val="004A565A"/>
    <w:rsid w:val="004A5779"/>
    <w:rsid w:val="004A57E9"/>
    <w:rsid w:val="004A59DE"/>
    <w:rsid w:val="004A5EF1"/>
    <w:rsid w:val="004A5EF7"/>
    <w:rsid w:val="004A5F10"/>
    <w:rsid w:val="004A674A"/>
    <w:rsid w:val="004A68BD"/>
    <w:rsid w:val="004A6B93"/>
    <w:rsid w:val="004A6F5C"/>
    <w:rsid w:val="004A71C8"/>
    <w:rsid w:val="004A7A99"/>
    <w:rsid w:val="004B02E1"/>
    <w:rsid w:val="004B02F8"/>
    <w:rsid w:val="004B044F"/>
    <w:rsid w:val="004B0452"/>
    <w:rsid w:val="004B04A0"/>
    <w:rsid w:val="004B0810"/>
    <w:rsid w:val="004B0969"/>
    <w:rsid w:val="004B1315"/>
    <w:rsid w:val="004B1437"/>
    <w:rsid w:val="004B1D67"/>
    <w:rsid w:val="004B1E55"/>
    <w:rsid w:val="004B1F5E"/>
    <w:rsid w:val="004B22F1"/>
    <w:rsid w:val="004B264B"/>
    <w:rsid w:val="004B27D8"/>
    <w:rsid w:val="004B2A07"/>
    <w:rsid w:val="004B2F9B"/>
    <w:rsid w:val="004B2FF6"/>
    <w:rsid w:val="004B3045"/>
    <w:rsid w:val="004B316D"/>
    <w:rsid w:val="004B31BF"/>
    <w:rsid w:val="004B31FB"/>
    <w:rsid w:val="004B3446"/>
    <w:rsid w:val="004B3646"/>
    <w:rsid w:val="004B3872"/>
    <w:rsid w:val="004B3F05"/>
    <w:rsid w:val="004B3F1A"/>
    <w:rsid w:val="004B3FC0"/>
    <w:rsid w:val="004B4469"/>
    <w:rsid w:val="004B4E83"/>
    <w:rsid w:val="004B4EBE"/>
    <w:rsid w:val="004B599A"/>
    <w:rsid w:val="004B5B5E"/>
    <w:rsid w:val="004B5EF5"/>
    <w:rsid w:val="004B6667"/>
    <w:rsid w:val="004B7082"/>
    <w:rsid w:val="004B7199"/>
    <w:rsid w:val="004B7242"/>
    <w:rsid w:val="004B732E"/>
    <w:rsid w:val="004B757C"/>
    <w:rsid w:val="004B75D2"/>
    <w:rsid w:val="004B7CB9"/>
    <w:rsid w:val="004C00C4"/>
    <w:rsid w:val="004C05EC"/>
    <w:rsid w:val="004C10C6"/>
    <w:rsid w:val="004C14FC"/>
    <w:rsid w:val="004C1A41"/>
    <w:rsid w:val="004C20D5"/>
    <w:rsid w:val="004C39AA"/>
    <w:rsid w:val="004C3A12"/>
    <w:rsid w:val="004C3B37"/>
    <w:rsid w:val="004C3B59"/>
    <w:rsid w:val="004C3E10"/>
    <w:rsid w:val="004C4014"/>
    <w:rsid w:val="004C465E"/>
    <w:rsid w:val="004C488D"/>
    <w:rsid w:val="004C501C"/>
    <w:rsid w:val="004C502B"/>
    <w:rsid w:val="004C5488"/>
    <w:rsid w:val="004C5681"/>
    <w:rsid w:val="004C56B1"/>
    <w:rsid w:val="004C5F3A"/>
    <w:rsid w:val="004C6723"/>
    <w:rsid w:val="004C6855"/>
    <w:rsid w:val="004C6B94"/>
    <w:rsid w:val="004C74E4"/>
    <w:rsid w:val="004C7610"/>
    <w:rsid w:val="004C7817"/>
    <w:rsid w:val="004C7B2E"/>
    <w:rsid w:val="004C7BA6"/>
    <w:rsid w:val="004D003A"/>
    <w:rsid w:val="004D03AE"/>
    <w:rsid w:val="004D05A7"/>
    <w:rsid w:val="004D0943"/>
    <w:rsid w:val="004D0D95"/>
    <w:rsid w:val="004D0F6C"/>
    <w:rsid w:val="004D1A1B"/>
    <w:rsid w:val="004D1B78"/>
    <w:rsid w:val="004D28C4"/>
    <w:rsid w:val="004D2956"/>
    <w:rsid w:val="004D2C28"/>
    <w:rsid w:val="004D3454"/>
    <w:rsid w:val="004D3B7F"/>
    <w:rsid w:val="004D3D41"/>
    <w:rsid w:val="004D3E69"/>
    <w:rsid w:val="004D3F8F"/>
    <w:rsid w:val="004D4E8D"/>
    <w:rsid w:val="004D546C"/>
    <w:rsid w:val="004D593A"/>
    <w:rsid w:val="004D6592"/>
    <w:rsid w:val="004D6891"/>
    <w:rsid w:val="004D6AA5"/>
    <w:rsid w:val="004D7072"/>
    <w:rsid w:val="004D76CB"/>
    <w:rsid w:val="004D7CBA"/>
    <w:rsid w:val="004E13B5"/>
    <w:rsid w:val="004E1EB7"/>
    <w:rsid w:val="004E20FE"/>
    <w:rsid w:val="004E2C31"/>
    <w:rsid w:val="004E360E"/>
    <w:rsid w:val="004E3AA2"/>
    <w:rsid w:val="004E3DE5"/>
    <w:rsid w:val="004E42D2"/>
    <w:rsid w:val="004E518E"/>
    <w:rsid w:val="004E5302"/>
    <w:rsid w:val="004E6C48"/>
    <w:rsid w:val="004E7772"/>
    <w:rsid w:val="004F0AFD"/>
    <w:rsid w:val="004F0E1C"/>
    <w:rsid w:val="004F14DA"/>
    <w:rsid w:val="004F1974"/>
    <w:rsid w:val="004F1B3D"/>
    <w:rsid w:val="004F2523"/>
    <w:rsid w:val="004F271A"/>
    <w:rsid w:val="004F2874"/>
    <w:rsid w:val="004F2CEE"/>
    <w:rsid w:val="004F2E31"/>
    <w:rsid w:val="004F318B"/>
    <w:rsid w:val="004F3738"/>
    <w:rsid w:val="004F3799"/>
    <w:rsid w:val="004F430D"/>
    <w:rsid w:val="004F55A2"/>
    <w:rsid w:val="004F55CC"/>
    <w:rsid w:val="004F6367"/>
    <w:rsid w:val="004F67AB"/>
    <w:rsid w:val="004F6D9B"/>
    <w:rsid w:val="004F6F9A"/>
    <w:rsid w:val="004F7DB7"/>
    <w:rsid w:val="004F7F4E"/>
    <w:rsid w:val="00500404"/>
    <w:rsid w:val="00500811"/>
    <w:rsid w:val="00500CBA"/>
    <w:rsid w:val="005010E9"/>
    <w:rsid w:val="00501131"/>
    <w:rsid w:val="00501DCE"/>
    <w:rsid w:val="00501E32"/>
    <w:rsid w:val="0050219A"/>
    <w:rsid w:val="00502282"/>
    <w:rsid w:val="005025F5"/>
    <w:rsid w:val="00502B9A"/>
    <w:rsid w:val="00503161"/>
    <w:rsid w:val="005035EC"/>
    <w:rsid w:val="005037EC"/>
    <w:rsid w:val="00503F90"/>
    <w:rsid w:val="00503F9C"/>
    <w:rsid w:val="00504B14"/>
    <w:rsid w:val="00505376"/>
    <w:rsid w:val="005055FD"/>
    <w:rsid w:val="0050575D"/>
    <w:rsid w:val="005058C0"/>
    <w:rsid w:val="00505B3F"/>
    <w:rsid w:val="00505FE6"/>
    <w:rsid w:val="00506001"/>
    <w:rsid w:val="0050633F"/>
    <w:rsid w:val="0050679A"/>
    <w:rsid w:val="005069C4"/>
    <w:rsid w:val="00506A63"/>
    <w:rsid w:val="005074AA"/>
    <w:rsid w:val="0050756F"/>
    <w:rsid w:val="0050767F"/>
    <w:rsid w:val="00507D1D"/>
    <w:rsid w:val="00507D39"/>
    <w:rsid w:val="00510113"/>
    <w:rsid w:val="00510835"/>
    <w:rsid w:val="00512904"/>
    <w:rsid w:val="00512D40"/>
    <w:rsid w:val="0051365B"/>
    <w:rsid w:val="0051469A"/>
    <w:rsid w:val="00514997"/>
    <w:rsid w:val="00514F9E"/>
    <w:rsid w:val="00515343"/>
    <w:rsid w:val="0051546D"/>
    <w:rsid w:val="0051605A"/>
    <w:rsid w:val="0051632D"/>
    <w:rsid w:val="005169AD"/>
    <w:rsid w:val="0051723F"/>
    <w:rsid w:val="00517268"/>
    <w:rsid w:val="00517869"/>
    <w:rsid w:val="0052008F"/>
    <w:rsid w:val="00520FF3"/>
    <w:rsid w:val="00521403"/>
    <w:rsid w:val="00521553"/>
    <w:rsid w:val="005218CB"/>
    <w:rsid w:val="005218E8"/>
    <w:rsid w:val="00521A2C"/>
    <w:rsid w:val="00521A99"/>
    <w:rsid w:val="005225CE"/>
    <w:rsid w:val="00523147"/>
    <w:rsid w:val="005234F4"/>
    <w:rsid w:val="005236E3"/>
    <w:rsid w:val="00523A5F"/>
    <w:rsid w:val="00523D3C"/>
    <w:rsid w:val="00523D57"/>
    <w:rsid w:val="00523D64"/>
    <w:rsid w:val="00524212"/>
    <w:rsid w:val="0052491F"/>
    <w:rsid w:val="00524966"/>
    <w:rsid w:val="00524F4D"/>
    <w:rsid w:val="00525281"/>
    <w:rsid w:val="0052600B"/>
    <w:rsid w:val="0052624F"/>
    <w:rsid w:val="005262EF"/>
    <w:rsid w:val="00526E21"/>
    <w:rsid w:val="005272B5"/>
    <w:rsid w:val="00527337"/>
    <w:rsid w:val="005275FE"/>
    <w:rsid w:val="00527C70"/>
    <w:rsid w:val="00530001"/>
    <w:rsid w:val="005300E3"/>
    <w:rsid w:val="00531746"/>
    <w:rsid w:val="005318CF"/>
    <w:rsid w:val="00531A22"/>
    <w:rsid w:val="00531B4F"/>
    <w:rsid w:val="005320AC"/>
    <w:rsid w:val="00532542"/>
    <w:rsid w:val="005325C4"/>
    <w:rsid w:val="00533407"/>
    <w:rsid w:val="00533519"/>
    <w:rsid w:val="005335EF"/>
    <w:rsid w:val="00533915"/>
    <w:rsid w:val="00533F9F"/>
    <w:rsid w:val="00534396"/>
    <w:rsid w:val="0053470A"/>
    <w:rsid w:val="00534A3E"/>
    <w:rsid w:val="00534AC5"/>
    <w:rsid w:val="00535346"/>
    <w:rsid w:val="0053547A"/>
    <w:rsid w:val="00535A3A"/>
    <w:rsid w:val="00535D39"/>
    <w:rsid w:val="00536343"/>
    <w:rsid w:val="00536872"/>
    <w:rsid w:val="005368FC"/>
    <w:rsid w:val="00536B2D"/>
    <w:rsid w:val="00536B5B"/>
    <w:rsid w:val="005372B3"/>
    <w:rsid w:val="0053766D"/>
    <w:rsid w:val="005378C9"/>
    <w:rsid w:val="005378F8"/>
    <w:rsid w:val="00540360"/>
    <w:rsid w:val="0054069B"/>
    <w:rsid w:val="005406DF"/>
    <w:rsid w:val="00540EE2"/>
    <w:rsid w:val="00540FDF"/>
    <w:rsid w:val="005416B4"/>
    <w:rsid w:val="005416BA"/>
    <w:rsid w:val="0054184B"/>
    <w:rsid w:val="00541B4E"/>
    <w:rsid w:val="005423E9"/>
    <w:rsid w:val="0054301B"/>
    <w:rsid w:val="005430EE"/>
    <w:rsid w:val="00543AC1"/>
    <w:rsid w:val="00544142"/>
    <w:rsid w:val="00544B70"/>
    <w:rsid w:val="0054505D"/>
    <w:rsid w:val="00545163"/>
    <w:rsid w:val="0054534F"/>
    <w:rsid w:val="0054592D"/>
    <w:rsid w:val="00545ADA"/>
    <w:rsid w:val="00545E4E"/>
    <w:rsid w:val="0054630D"/>
    <w:rsid w:val="00546A8F"/>
    <w:rsid w:val="00546F4A"/>
    <w:rsid w:val="005471AF"/>
    <w:rsid w:val="005472A8"/>
    <w:rsid w:val="00547D2E"/>
    <w:rsid w:val="00547F33"/>
    <w:rsid w:val="005506DB"/>
    <w:rsid w:val="00550987"/>
    <w:rsid w:val="00551097"/>
    <w:rsid w:val="0055123F"/>
    <w:rsid w:val="005513DB"/>
    <w:rsid w:val="005515AB"/>
    <w:rsid w:val="005517EB"/>
    <w:rsid w:val="00552456"/>
    <w:rsid w:val="005525D9"/>
    <w:rsid w:val="00552933"/>
    <w:rsid w:val="00552974"/>
    <w:rsid w:val="00552B0D"/>
    <w:rsid w:val="00552BA9"/>
    <w:rsid w:val="00553105"/>
    <w:rsid w:val="0055333B"/>
    <w:rsid w:val="0055368F"/>
    <w:rsid w:val="00553703"/>
    <w:rsid w:val="00553943"/>
    <w:rsid w:val="00553B21"/>
    <w:rsid w:val="00553ED9"/>
    <w:rsid w:val="0055454E"/>
    <w:rsid w:val="005547FF"/>
    <w:rsid w:val="00554B4E"/>
    <w:rsid w:val="00554FD3"/>
    <w:rsid w:val="0055503B"/>
    <w:rsid w:val="005551F1"/>
    <w:rsid w:val="005554FA"/>
    <w:rsid w:val="0055558B"/>
    <w:rsid w:val="00555BBA"/>
    <w:rsid w:val="005560BD"/>
    <w:rsid w:val="0055640E"/>
    <w:rsid w:val="0055642A"/>
    <w:rsid w:val="00556690"/>
    <w:rsid w:val="005568AA"/>
    <w:rsid w:val="005568D2"/>
    <w:rsid w:val="00556C73"/>
    <w:rsid w:val="00556F36"/>
    <w:rsid w:val="00557126"/>
    <w:rsid w:val="005571AF"/>
    <w:rsid w:val="00557404"/>
    <w:rsid w:val="005575B8"/>
    <w:rsid w:val="005579B9"/>
    <w:rsid w:val="0056037F"/>
    <w:rsid w:val="0056038D"/>
    <w:rsid w:val="00560401"/>
    <w:rsid w:val="00561CEA"/>
    <w:rsid w:val="0056220B"/>
    <w:rsid w:val="0056364A"/>
    <w:rsid w:val="00563782"/>
    <w:rsid w:val="00564001"/>
    <w:rsid w:val="005649C4"/>
    <w:rsid w:val="00564D48"/>
    <w:rsid w:val="00564F45"/>
    <w:rsid w:val="0056590C"/>
    <w:rsid w:val="00565A9A"/>
    <w:rsid w:val="00565B77"/>
    <w:rsid w:val="005666C2"/>
    <w:rsid w:val="005671E0"/>
    <w:rsid w:val="00567205"/>
    <w:rsid w:val="0056771C"/>
    <w:rsid w:val="00567B13"/>
    <w:rsid w:val="00570E07"/>
    <w:rsid w:val="00571480"/>
    <w:rsid w:val="005715B4"/>
    <w:rsid w:val="005726A3"/>
    <w:rsid w:val="005728AF"/>
    <w:rsid w:val="00573792"/>
    <w:rsid w:val="00573ED4"/>
    <w:rsid w:val="00574BDB"/>
    <w:rsid w:val="00575676"/>
    <w:rsid w:val="005760D8"/>
    <w:rsid w:val="005762DB"/>
    <w:rsid w:val="00576990"/>
    <w:rsid w:val="00576ACF"/>
    <w:rsid w:val="00576F3E"/>
    <w:rsid w:val="005774ED"/>
    <w:rsid w:val="005775D4"/>
    <w:rsid w:val="0057765D"/>
    <w:rsid w:val="00577736"/>
    <w:rsid w:val="00577CC1"/>
    <w:rsid w:val="00580188"/>
    <w:rsid w:val="00580BA7"/>
    <w:rsid w:val="00580BDF"/>
    <w:rsid w:val="00580CE6"/>
    <w:rsid w:val="00581408"/>
    <w:rsid w:val="0058158E"/>
    <w:rsid w:val="005818C6"/>
    <w:rsid w:val="00581A25"/>
    <w:rsid w:val="00581CB5"/>
    <w:rsid w:val="00581EA8"/>
    <w:rsid w:val="005822C2"/>
    <w:rsid w:val="00582CF9"/>
    <w:rsid w:val="00582DD8"/>
    <w:rsid w:val="00582FB5"/>
    <w:rsid w:val="00582FDC"/>
    <w:rsid w:val="0058376F"/>
    <w:rsid w:val="00583831"/>
    <w:rsid w:val="00583A4E"/>
    <w:rsid w:val="00583D98"/>
    <w:rsid w:val="00583EEB"/>
    <w:rsid w:val="00583FDB"/>
    <w:rsid w:val="005844EC"/>
    <w:rsid w:val="00584943"/>
    <w:rsid w:val="00584963"/>
    <w:rsid w:val="00584F16"/>
    <w:rsid w:val="0058512F"/>
    <w:rsid w:val="00585213"/>
    <w:rsid w:val="0058529E"/>
    <w:rsid w:val="0058539B"/>
    <w:rsid w:val="005854A8"/>
    <w:rsid w:val="005856AC"/>
    <w:rsid w:val="00585B05"/>
    <w:rsid w:val="00585B9A"/>
    <w:rsid w:val="00585C14"/>
    <w:rsid w:val="00586043"/>
    <w:rsid w:val="005860A6"/>
    <w:rsid w:val="0058643D"/>
    <w:rsid w:val="00586712"/>
    <w:rsid w:val="00587421"/>
    <w:rsid w:val="00587731"/>
    <w:rsid w:val="005902EC"/>
    <w:rsid w:val="00590316"/>
    <w:rsid w:val="005905E6"/>
    <w:rsid w:val="0059088D"/>
    <w:rsid w:val="00590D85"/>
    <w:rsid w:val="00591CDC"/>
    <w:rsid w:val="00592245"/>
    <w:rsid w:val="0059263F"/>
    <w:rsid w:val="00592ED1"/>
    <w:rsid w:val="005937D0"/>
    <w:rsid w:val="00593C23"/>
    <w:rsid w:val="00593CFD"/>
    <w:rsid w:val="00594054"/>
    <w:rsid w:val="005947A7"/>
    <w:rsid w:val="00594807"/>
    <w:rsid w:val="005963F5"/>
    <w:rsid w:val="00596871"/>
    <w:rsid w:val="00596F9A"/>
    <w:rsid w:val="0059716E"/>
    <w:rsid w:val="005974C1"/>
    <w:rsid w:val="00597ABC"/>
    <w:rsid w:val="00597B4E"/>
    <w:rsid w:val="00597BB0"/>
    <w:rsid w:val="005A037E"/>
    <w:rsid w:val="005A16F6"/>
    <w:rsid w:val="005A219E"/>
    <w:rsid w:val="005A2668"/>
    <w:rsid w:val="005A284D"/>
    <w:rsid w:val="005A2D7D"/>
    <w:rsid w:val="005A3215"/>
    <w:rsid w:val="005A347F"/>
    <w:rsid w:val="005A3D1F"/>
    <w:rsid w:val="005A4011"/>
    <w:rsid w:val="005A4158"/>
    <w:rsid w:val="005A4B12"/>
    <w:rsid w:val="005A547A"/>
    <w:rsid w:val="005A54F2"/>
    <w:rsid w:val="005A576F"/>
    <w:rsid w:val="005A58DD"/>
    <w:rsid w:val="005A5B3E"/>
    <w:rsid w:val="005A5DC4"/>
    <w:rsid w:val="005A5F3A"/>
    <w:rsid w:val="005A5F93"/>
    <w:rsid w:val="005A6150"/>
    <w:rsid w:val="005A67AA"/>
    <w:rsid w:val="005A70FB"/>
    <w:rsid w:val="005A7203"/>
    <w:rsid w:val="005A7210"/>
    <w:rsid w:val="005A7419"/>
    <w:rsid w:val="005A7539"/>
    <w:rsid w:val="005A7571"/>
    <w:rsid w:val="005A7EDC"/>
    <w:rsid w:val="005B05B6"/>
    <w:rsid w:val="005B0DE3"/>
    <w:rsid w:val="005B1A0A"/>
    <w:rsid w:val="005B1CBF"/>
    <w:rsid w:val="005B1D35"/>
    <w:rsid w:val="005B259C"/>
    <w:rsid w:val="005B2669"/>
    <w:rsid w:val="005B2879"/>
    <w:rsid w:val="005B2944"/>
    <w:rsid w:val="005B2EE5"/>
    <w:rsid w:val="005B2F99"/>
    <w:rsid w:val="005B30F6"/>
    <w:rsid w:val="005B3932"/>
    <w:rsid w:val="005B39BE"/>
    <w:rsid w:val="005B3A67"/>
    <w:rsid w:val="005B3D35"/>
    <w:rsid w:val="005B3E51"/>
    <w:rsid w:val="005B4346"/>
    <w:rsid w:val="005B5C01"/>
    <w:rsid w:val="005B6494"/>
    <w:rsid w:val="005B6B67"/>
    <w:rsid w:val="005B6CA4"/>
    <w:rsid w:val="005B6CC1"/>
    <w:rsid w:val="005B6FF1"/>
    <w:rsid w:val="005B745E"/>
    <w:rsid w:val="005B766F"/>
    <w:rsid w:val="005B7F42"/>
    <w:rsid w:val="005C01E6"/>
    <w:rsid w:val="005C09DA"/>
    <w:rsid w:val="005C1102"/>
    <w:rsid w:val="005C1135"/>
    <w:rsid w:val="005C12B2"/>
    <w:rsid w:val="005C1A3D"/>
    <w:rsid w:val="005C21D4"/>
    <w:rsid w:val="005C278A"/>
    <w:rsid w:val="005C2833"/>
    <w:rsid w:val="005C2B57"/>
    <w:rsid w:val="005C2F7B"/>
    <w:rsid w:val="005C3098"/>
    <w:rsid w:val="005C3411"/>
    <w:rsid w:val="005C3448"/>
    <w:rsid w:val="005C3955"/>
    <w:rsid w:val="005C40BE"/>
    <w:rsid w:val="005C50D2"/>
    <w:rsid w:val="005C5312"/>
    <w:rsid w:val="005C5763"/>
    <w:rsid w:val="005C5789"/>
    <w:rsid w:val="005C58FC"/>
    <w:rsid w:val="005C5BA5"/>
    <w:rsid w:val="005C5EE3"/>
    <w:rsid w:val="005C6813"/>
    <w:rsid w:val="005C6D57"/>
    <w:rsid w:val="005C6F1C"/>
    <w:rsid w:val="005C7CD3"/>
    <w:rsid w:val="005C7EFE"/>
    <w:rsid w:val="005C7F8B"/>
    <w:rsid w:val="005D0906"/>
    <w:rsid w:val="005D0915"/>
    <w:rsid w:val="005D09BD"/>
    <w:rsid w:val="005D1151"/>
    <w:rsid w:val="005D169F"/>
    <w:rsid w:val="005D16F5"/>
    <w:rsid w:val="005D1BF9"/>
    <w:rsid w:val="005D1D90"/>
    <w:rsid w:val="005D21A9"/>
    <w:rsid w:val="005D385C"/>
    <w:rsid w:val="005D3A24"/>
    <w:rsid w:val="005D3E4C"/>
    <w:rsid w:val="005D45F0"/>
    <w:rsid w:val="005D47E7"/>
    <w:rsid w:val="005D49C1"/>
    <w:rsid w:val="005D4C4E"/>
    <w:rsid w:val="005D4CB6"/>
    <w:rsid w:val="005D4CE8"/>
    <w:rsid w:val="005D5763"/>
    <w:rsid w:val="005D5BE6"/>
    <w:rsid w:val="005D5C69"/>
    <w:rsid w:val="005D6299"/>
    <w:rsid w:val="005D6D05"/>
    <w:rsid w:val="005D6D5F"/>
    <w:rsid w:val="005D709F"/>
    <w:rsid w:val="005D7631"/>
    <w:rsid w:val="005D7719"/>
    <w:rsid w:val="005D782E"/>
    <w:rsid w:val="005D7867"/>
    <w:rsid w:val="005D7B61"/>
    <w:rsid w:val="005E0598"/>
    <w:rsid w:val="005E0D58"/>
    <w:rsid w:val="005E0E86"/>
    <w:rsid w:val="005E0FE9"/>
    <w:rsid w:val="005E11B6"/>
    <w:rsid w:val="005E1832"/>
    <w:rsid w:val="005E1920"/>
    <w:rsid w:val="005E1C9F"/>
    <w:rsid w:val="005E1F25"/>
    <w:rsid w:val="005E2905"/>
    <w:rsid w:val="005E2C34"/>
    <w:rsid w:val="005E2E0C"/>
    <w:rsid w:val="005E2E92"/>
    <w:rsid w:val="005E3098"/>
    <w:rsid w:val="005E32DD"/>
    <w:rsid w:val="005E346D"/>
    <w:rsid w:val="005E3C41"/>
    <w:rsid w:val="005E3D38"/>
    <w:rsid w:val="005E3EAA"/>
    <w:rsid w:val="005E4449"/>
    <w:rsid w:val="005E4577"/>
    <w:rsid w:val="005E47D6"/>
    <w:rsid w:val="005E4B85"/>
    <w:rsid w:val="005E5248"/>
    <w:rsid w:val="005E53EB"/>
    <w:rsid w:val="005E55FD"/>
    <w:rsid w:val="005E580F"/>
    <w:rsid w:val="005E61D3"/>
    <w:rsid w:val="005E6533"/>
    <w:rsid w:val="005E6A2A"/>
    <w:rsid w:val="005E6FC2"/>
    <w:rsid w:val="005E708F"/>
    <w:rsid w:val="005E71A3"/>
    <w:rsid w:val="005E7846"/>
    <w:rsid w:val="005E787B"/>
    <w:rsid w:val="005E7B28"/>
    <w:rsid w:val="005F02B1"/>
    <w:rsid w:val="005F114C"/>
    <w:rsid w:val="005F137D"/>
    <w:rsid w:val="005F1484"/>
    <w:rsid w:val="005F16D6"/>
    <w:rsid w:val="005F177E"/>
    <w:rsid w:val="005F1BAF"/>
    <w:rsid w:val="005F1FC4"/>
    <w:rsid w:val="005F2385"/>
    <w:rsid w:val="005F27BD"/>
    <w:rsid w:val="005F282C"/>
    <w:rsid w:val="005F28DF"/>
    <w:rsid w:val="005F2CF6"/>
    <w:rsid w:val="005F2D7C"/>
    <w:rsid w:val="005F3480"/>
    <w:rsid w:val="005F366C"/>
    <w:rsid w:val="005F3705"/>
    <w:rsid w:val="005F4220"/>
    <w:rsid w:val="005F4582"/>
    <w:rsid w:val="005F4654"/>
    <w:rsid w:val="005F526D"/>
    <w:rsid w:val="005F5330"/>
    <w:rsid w:val="005F5579"/>
    <w:rsid w:val="005F56F6"/>
    <w:rsid w:val="005F5C0C"/>
    <w:rsid w:val="005F6245"/>
    <w:rsid w:val="005F646D"/>
    <w:rsid w:val="005F6984"/>
    <w:rsid w:val="005F73F6"/>
    <w:rsid w:val="005F7CE8"/>
    <w:rsid w:val="005F7DE9"/>
    <w:rsid w:val="00600288"/>
    <w:rsid w:val="006003C6"/>
    <w:rsid w:val="0060055B"/>
    <w:rsid w:val="006007E6"/>
    <w:rsid w:val="00600AEA"/>
    <w:rsid w:val="00600B12"/>
    <w:rsid w:val="00600C0A"/>
    <w:rsid w:val="00600DEA"/>
    <w:rsid w:val="00600F73"/>
    <w:rsid w:val="0060107D"/>
    <w:rsid w:val="0060129F"/>
    <w:rsid w:val="00601EA8"/>
    <w:rsid w:val="00601FBD"/>
    <w:rsid w:val="00602D0D"/>
    <w:rsid w:val="00602DBD"/>
    <w:rsid w:val="0060320B"/>
    <w:rsid w:val="006034B3"/>
    <w:rsid w:val="006035D4"/>
    <w:rsid w:val="00603635"/>
    <w:rsid w:val="00603885"/>
    <w:rsid w:val="006038E6"/>
    <w:rsid w:val="00604188"/>
    <w:rsid w:val="006041BE"/>
    <w:rsid w:val="00604A29"/>
    <w:rsid w:val="00604DCF"/>
    <w:rsid w:val="006054CE"/>
    <w:rsid w:val="00605D84"/>
    <w:rsid w:val="00605E5D"/>
    <w:rsid w:val="006072D0"/>
    <w:rsid w:val="00607829"/>
    <w:rsid w:val="00607E08"/>
    <w:rsid w:val="00607EB5"/>
    <w:rsid w:val="0061031B"/>
    <w:rsid w:val="006104ED"/>
    <w:rsid w:val="00610BFA"/>
    <w:rsid w:val="00610E33"/>
    <w:rsid w:val="00610FEE"/>
    <w:rsid w:val="006114CD"/>
    <w:rsid w:val="00611ED4"/>
    <w:rsid w:val="006126C2"/>
    <w:rsid w:val="00612844"/>
    <w:rsid w:val="0061316D"/>
    <w:rsid w:val="00613479"/>
    <w:rsid w:val="006134A7"/>
    <w:rsid w:val="00613506"/>
    <w:rsid w:val="00613824"/>
    <w:rsid w:val="00613A19"/>
    <w:rsid w:val="00614171"/>
    <w:rsid w:val="00614F8C"/>
    <w:rsid w:val="00615440"/>
    <w:rsid w:val="00616298"/>
    <w:rsid w:val="006165AC"/>
    <w:rsid w:val="006169B6"/>
    <w:rsid w:val="00617636"/>
    <w:rsid w:val="00617A74"/>
    <w:rsid w:val="00617FE0"/>
    <w:rsid w:val="00620BD7"/>
    <w:rsid w:val="00620CCE"/>
    <w:rsid w:val="00620CEF"/>
    <w:rsid w:val="00621171"/>
    <w:rsid w:val="0062193A"/>
    <w:rsid w:val="00621944"/>
    <w:rsid w:val="00622CD3"/>
    <w:rsid w:val="00622DDA"/>
    <w:rsid w:val="0062314E"/>
    <w:rsid w:val="006235B4"/>
    <w:rsid w:val="00623931"/>
    <w:rsid w:val="00623C47"/>
    <w:rsid w:val="00623D9F"/>
    <w:rsid w:val="00624085"/>
    <w:rsid w:val="006249EE"/>
    <w:rsid w:val="00624E08"/>
    <w:rsid w:val="00625231"/>
    <w:rsid w:val="006252B5"/>
    <w:rsid w:val="006254B1"/>
    <w:rsid w:val="00625549"/>
    <w:rsid w:val="0062566C"/>
    <w:rsid w:val="00625C9B"/>
    <w:rsid w:val="006260AD"/>
    <w:rsid w:val="0062680F"/>
    <w:rsid w:val="00626BC2"/>
    <w:rsid w:val="00626BFA"/>
    <w:rsid w:val="00626D05"/>
    <w:rsid w:val="00626D2A"/>
    <w:rsid w:val="00627073"/>
    <w:rsid w:val="006273AA"/>
    <w:rsid w:val="006275A9"/>
    <w:rsid w:val="00627938"/>
    <w:rsid w:val="00627B4C"/>
    <w:rsid w:val="00630491"/>
    <w:rsid w:val="0063051A"/>
    <w:rsid w:val="00630573"/>
    <w:rsid w:val="00630712"/>
    <w:rsid w:val="00631170"/>
    <w:rsid w:val="0063132F"/>
    <w:rsid w:val="006319B5"/>
    <w:rsid w:val="00631C83"/>
    <w:rsid w:val="00632DBD"/>
    <w:rsid w:val="006332A9"/>
    <w:rsid w:val="00633671"/>
    <w:rsid w:val="006338DB"/>
    <w:rsid w:val="0063399F"/>
    <w:rsid w:val="00633D01"/>
    <w:rsid w:val="006344C9"/>
    <w:rsid w:val="00634A9F"/>
    <w:rsid w:val="00634F37"/>
    <w:rsid w:val="0063512C"/>
    <w:rsid w:val="006358C3"/>
    <w:rsid w:val="00635BD3"/>
    <w:rsid w:val="00635C0A"/>
    <w:rsid w:val="00635D06"/>
    <w:rsid w:val="00635F0D"/>
    <w:rsid w:val="00636894"/>
    <w:rsid w:val="006374DE"/>
    <w:rsid w:val="00637B1B"/>
    <w:rsid w:val="006403CE"/>
    <w:rsid w:val="006406E3"/>
    <w:rsid w:val="00640EBA"/>
    <w:rsid w:val="00640EC9"/>
    <w:rsid w:val="00641394"/>
    <w:rsid w:val="006414C4"/>
    <w:rsid w:val="006414F2"/>
    <w:rsid w:val="0064155E"/>
    <w:rsid w:val="0064162D"/>
    <w:rsid w:val="0064183E"/>
    <w:rsid w:val="006418F1"/>
    <w:rsid w:val="00641B49"/>
    <w:rsid w:val="00642113"/>
    <w:rsid w:val="00642207"/>
    <w:rsid w:val="006423B0"/>
    <w:rsid w:val="006425FF"/>
    <w:rsid w:val="00642968"/>
    <w:rsid w:val="00642BBB"/>
    <w:rsid w:val="00642E3F"/>
    <w:rsid w:val="00643B4A"/>
    <w:rsid w:val="00643F4F"/>
    <w:rsid w:val="00644EAE"/>
    <w:rsid w:val="0064528F"/>
    <w:rsid w:val="006452D8"/>
    <w:rsid w:val="00645B3F"/>
    <w:rsid w:val="006463FC"/>
    <w:rsid w:val="0064676B"/>
    <w:rsid w:val="00646C1C"/>
    <w:rsid w:val="00647108"/>
    <w:rsid w:val="006474C1"/>
    <w:rsid w:val="00647833"/>
    <w:rsid w:val="00647A05"/>
    <w:rsid w:val="00647CDA"/>
    <w:rsid w:val="00650074"/>
    <w:rsid w:val="00650350"/>
    <w:rsid w:val="00650798"/>
    <w:rsid w:val="006508CB"/>
    <w:rsid w:val="006509CB"/>
    <w:rsid w:val="00651B2D"/>
    <w:rsid w:val="006524F8"/>
    <w:rsid w:val="00652F73"/>
    <w:rsid w:val="006530AE"/>
    <w:rsid w:val="006531DE"/>
    <w:rsid w:val="006536A3"/>
    <w:rsid w:val="00653A7D"/>
    <w:rsid w:val="00653B71"/>
    <w:rsid w:val="006540D2"/>
    <w:rsid w:val="006542B3"/>
    <w:rsid w:val="0065483C"/>
    <w:rsid w:val="00654A91"/>
    <w:rsid w:val="00654E1F"/>
    <w:rsid w:val="006550BC"/>
    <w:rsid w:val="006557F4"/>
    <w:rsid w:val="00655EA3"/>
    <w:rsid w:val="00655F45"/>
    <w:rsid w:val="006565E0"/>
    <w:rsid w:val="006566C1"/>
    <w:rsid w:val="00657345"/>
    <w:rsid w:val="006579D8"/>
    <w:rsid w:val="006605B6"/>
    <w:rsid w:val="0066088B"/>
    <w:rsid w:val="00660AD5"/>
    <w:rsid w:val="00660C97"/>
    <w:rsid w:val="006612D7"/>
    <w:rsid w:val="00661372"/>
    <w:rsid w:val="0066137D"/>
    <w:rsid w:val="0066164B"/>
    <w:rsid w:val="00661707"/>
    <w:rsid w:val="00661B62"/>
    <w:rsid w:val="00662566"/>
    <w:rsid w:val="006625A8"/>
    <w:rsid w:val="00662993"/>
    <w:rsid w:val="006629E1"/>
    <w:rsid w:val="00662C89"/>
    <w:rsid w:val="0066317E"/>
    <w:rsid w:val="006636AA"/>
    <w:rsid w:val="00663734"/>
    <w:rsid w:val="00663F83"/>
    <w:rsid w:val="00664230"/>
    <w:rsid w:val="006642F7"/>
    <w:rsid w:val="006644D0"/>
    <w:rsid w:val="00664EE8"/>
    <w:rsid w:val="00665132"/>
    <w:rsid w:val="0066578B"/>
    <w:rsid w:val="006659C6"/>
    <w:rsid w:val="00666B92"/>
    <w:rsid w:val="00666BED"/>
    <w:rsid w:val="00666DDF"/>
    <w:rsid w:val="00667249"/>
    <w:rsid w:val="00667912"/>
    <w:rsid w:val="00667A8F"/>
    <w:rsid w:val="00667D4E"/>
    <w:rsid w:val="0067043B"/>
    <w:rsid w:val="006704CD"/>
    <w:rsid w:val="006706C2"/>
    <w:rsid w:val="006709A7"/>
    <w:rsid w:val="00670AFF"/>
    <w:rsid w:val="00671107"/>
    <w:rsid w:val="006719E4"/>
    <w:rsid w:val="00671A0A"/>
    <w:rsid w:val="00671A10"/>
    <w:rsid w:val="00671CC3"/>
    <w:rsid w:val="00671E6A"/>
    <w:rsid w:val="00672085"/>
    <w:rsid w:val="00672096"/>
    <w:rsid w:val="0067215E"/>
    <w:rsid w:val="00672517"/>
    <w:rsid w:val="006729AA"/>
    <w:rsid w:val="00673022"/>
    <w:rsid w:val="006735FF"/>
    <w:rsid w:val="00673CDE"/>
    <w:rsid w:val="00673FE3"/>
    <w:rsid w:val="006741E9"/>
    <w:rsid w:val="00674268"/>
    <w:rsid w:val="006744E8"/>
    <w:rsid w:val="00674750"/>
    <w:rsid w:val="006749EC"/>
    <w:rsid w:val="0067579A"/>
    <w:rsid w:val="00675ACC"/>
    <w:rsid w:val="00675C90"/>
    <w:rsid w:val="00675DE8"/>
    <w:rsid w:val="00675F2B"/>
    <w:rsid w:val="0067657F"/>
    <w:rsid w:val="00676605"/>
    <w:rsid w:val="006768B8"/>
    <w:rsid w:val="00677E78"/>
    <w:rsid w:val="00680226"/>
    <w:rsid w:val="006805FE"/>
    <w:rsid w:val="00680CDE"/>
    <w:rsid w:val="0068130F"/>
    <w:rsid w:val="0068192B"/>
    <w:rsid w:val="00682156"/>
    <w:rsid w:val="00682749"/>
    <w:rsid w:val="00682866"/>
    <w:rsid w:val="0068301F"/>
    <w:rsid w:val="00683161"/>
    <w:rsid w:val="0068341F"/>
    <w:rsid w:val="00683471"/>
    <w:rsid w:val="00683AD1"/>
    <w:rsid w:val="00683AD2"/>
    <w:rsid w:val="00683C1A"/>
    <w:rsid w:val="00684746"/>
    <w:rsid w:val="006851C3"/>
    <w:rsid w:val="00685403"/>
    <w:rsid w:val="006857AC"/>
    <w:rsid w:val="00686270"/>
    <w:rsid w:val="00686391"/>
    <w:rsid w:val="0069022A"/>
    <w:rsid w:val="006904FD"/>
    <w:rsid w:val="0069067D"/>
    <w:rsid w:val="00690765"/>
    <w:rsid w:val="00690C75"/>
    <w:rsid w:val="0069162F"/>
    <w:rsid w:val="00691B38"/>
    <w:rsid w:val="006921AD"/>
    <w:rsid w:val="00692347"/>
    <w:rsid w:val="0069238E"/>
    <w:rsid w:val="00692AAF"/>
    <w:rsid w:val="00692C19"/>
    <w:rsid w:val="00693095"/>
    <w:rsid w:val="006936B2"/>
    <w:rsid w:val="006936D9"/>
    <w:rsid w:val="006937B6"/>
    <w:rsid w:val="006940F3"/>
    <w:rsid w:val="0069450D"/>
    <w:rsid w:val="006945E3"/>
    <w:rsid w:val="00694886"/>
    <w:rsid w:val="00694959"/>
    <w:rsid w:val="00694BF4"/>
    <w:rsid w:val="006951F6"/>
    <w:rsid w:val="0069556D"/>
    <w:rsid w:val="006956E2"/>
    <w:rsid w:val="00695BAC"/>
    <w:rsid w:val="00695D41"/>
    <w:rsid w:val="00696135"/>
    <w:rsid w:val="0069620A"/>
    <w:rsid w:val="006968CD"/>
    <w:rsid w:val="00697076"/>
    <w:rsid w:val="0069722C"/>
    <w:rsid w:val="00697962"/>
    <w:rsid w:val="006A04A2"/>
    <w:rsid w:val="006A0545"/>
    <w:rsid w:val="006A06A4"/>
    <w:rsid w:val="006A071F"/>
    <w:rsid w:val="006A0771"/>
    <w:rsid w:val="006A1187"/>
    <w:rsid w:val="006A136E"/>
    <w:rsid w:val="006A1C59"/>
    <w:rsid w:val="006A226C"/>
    <w:rsid w:val="006A2933"/>
    <w:rsid w:val="006A2D21"/>
    <w:rsid w:val="006A2F26"/>
    <w:rsid w:val="006A318A"/>
    <w:rsid w:val="006A3379"/>
    <w:rsid w:val="006A3398"/>
    <w:rsid w:val="006A3D37"/>
    <w:rsid w:val="006A4145"/>
    <w:rsid w:val="006A430A"/>
    <w:rsid w:val="006A4C8A"/>
    <w:rsid w:val="006A52D2"/>
    <w:rsid w:val="006A57EC"/>
    <w:rsid w:val="006A5A18"/>
    <w:rsid w:val="006A5C07"/>
    <w:rsid w:val="006A5C39"/>
    <w:rsid w:val="006A5DAC"/>
    <w:rsid w:val="006A6021"/>
    <w:rsid w:val="006A651C"/>
    <w:rsid w:val="006A68C0"/>
    <w:rsid w:val="006A69B6"/>
    <w:rsid w:val="006A6A64"/>
    <w:rsid w:val="006A6C52"/>
    <w:rsid w:val="006A6D7E"/>
    <w:rsid w:val="006A7AF5"/>
    <w:rsid w:val="006A7C7C"/>
    <w:rsid w:val="006A7FC6"/>
    <w:rsid w:val="006B0856"/>
    <w:rsid w:val="006B08BC"/>
    <w:rsid w:val="006B09BD"/>
    <w:rsid w:val="006B0D3B"/>
    <w:rsid w:val="006B1A63"/>
    <w:rsid w:val="006B1CB1"/>
    <w:rsid w:val="006B1F0E"/>
    <w:rsid w:val="006B1F77"/>
    <w:rsid w:val="006B294B"/>
    <w:rsid w:val="006B299D"/>
    <w:rsid w:val="006B29E3"/>
    <w:rsid w:val="006B2A03"/>
    <w:rsid w:val="006B2E19"/>
    <w:rsid w:val="006B3098"/>
    <w:rsid w:val="006B37BB"/>
    <w:rsid w:val="006B3F72"/>
    <w:rsid w:val="006B403A"/>
    <w:rsid w:val="006B416E"/>
    <w:rsid w:val="006B4205"/>
    <w:rsid w:val="006B42A5"/>
    <w:rsid w:val="006B431F"/>
    <w:rsid w:val="006B46A9"/>
    <w:rsid w:val="006B5092"/>
    <w:rsid w:val="006B5184"/>
    <w:rsid w:val="006B533D"/>
    <w:rsid w:val="006B5A9E"/>
    <w:rsid w:val="006B5D53"/>
    <w:rsid w:val="006B5DF4"/>
    <w:rsid w:val="006B5ED9"/>
    <w:rsid w:val="006B6265"/>
    <w:rsid w:val="006B68C5"/>
    <w:rsid w:val="006B6BAC"/>
    <w:rsid w:val="006B7019"/>
    <w:rsid w:val="006B7138"/>
    <w:rsid w:val="006B76A1"/>
    <w:rsid w:val="006B7D37"/>
    <w:rsid w:val="006C0747"/>
    <w:rsid w:val="006C0801"/>
    <w:rsid w:val="006C0947"/>
    <w:rsid w:val="006C1403"/>
    <w:rsid w:val="006C179C"/>
    <w:rsid w:val="006C1CA7"/>
    <w:rsid w:val="006C1F2B"/>
    <w:rsid w:val="006C209D"/>
    <w:rsid w:val="006C2131"/>
    <w:rsid w:val="006C218D"/>
    <w:rsid w:val="006C21C7"/>
    <w:rsid w:val="006C2394"/>
    <w:rsid w:val="006C28CA"/>
    <w:rsid w:val="006C291D"/>
    <w:rsid w:val="006C2D2B"/>
    <w:rsid w:val="006C3269"/>
    <w:rsid w:val="006C35CF"/>
    <w:rsid w:val="006C35F7"/>
    <w:rsid w:val="006C3FAA"/>
    <w:rsid w:val="006C51C2"/>
    <w:rsid w:val="006C58DB"/>
    <w:rsid w:val="006C5991"/>
    <w:rsid w:val="006C5AFD"/>
    <w:rsid w:val="006C6035"/>
    <w:rsid w:val="006C62E0"/>
    <w:rsid w:val="006C666E"/>
    <w:rsid w:val="006C6D0E"/>
    <w:rsid w:val="006C6EB2"/>
    <w:rsid w:val="006C7200"/>
    <w:rsid w:val="006C7284"/>
    <w:rsid w:val="006C7418"/>
    <w:rsid w:val="006C788E"/>
    <w:rsid w:val="006C7B78"/>
    <w:rsid w:val="006C7EAD"/>
    <w:rsid w:val="006D02F1"/>
    <w:rsid w:val="006D0597"/>
    <w:rsid w:val="006D0687"/>
    <w:rsid w:val="006D16D9"/>
    <w:rsid w:val="006D1D41"/>
    <w:rsid w:val="006D2224"/>
    <w:rsid w:val="006D26EE"/>
    <w:rsid w:val="006D2BF1"/>
    <w:rsid w:val="006D33BB"/>
    <w:rsid w:val="006D3A26"/>
    <w:rsid w:val="006D3A33"/>
    <w:rsid w:val="006D3F8F"/>
    <w:rsid w:val="006D43A5"/>
    <w:rsid w:val="006D4843"/>
    <w:rsid w:val="006D497A"/>
    <w:rsid w:val="006D4FF1"/>
    <w:rsid w:val="006D591F"/>
    <w:rsid w:val="006D5CFB"/>
    <w:rsid w:val="006D5DBB"/>
    <w:rsid w:val="006D5F6E"/>
    <w:rsid w:val="006D700B"/>
    <w:rsid w:val="006D71DC"/>
    <w:rsid w:val="006D736D"/>
    <w:rsid w:val="006D7A9D"/>
    <w:rsid w:val="006E08AE"/>
    <w:rsid w:val="006E0921"/>
    <w:rsid w:val="006E1477"/>
    <w:rsid w:val="006E1865"/>
    <w:rsid w:val="006E1E62"/>
    <w:rsid w:val="006E2015"/>
    <w:rsid w:val="006E218B"/>
    <w:rsid w:val="006E2520"/>
    <w:rsid w:val="006E2769"/>
    <w:rsid w:val="006E28FF"/>
    <w:rsid w:val="006E2D0B"/>
    <w:rsid w:val="006E3415"/>
    <w:rsid w:val="006E3C32"/>
    <w:rsid w:val="006E3E63"/>
    <w:rsid w:val="006E42EA"/>
    <w:rsid w:val="006E4736"/>
    <w:rsid w:val="006E4773"/>
    <w:rsid w:val="006E47AF"/>
    <w:rsid w:val="006E48AC"/>
    <w:rsid w:val="006E4AB9"/>
    <w:rsid w:val="006E4BC0"/>
    <w:rsid w:val="006E503C"/>
    <w:rsid w:val="006E553D"/>
    <w:rsid w:val="006E56C9"/>
    <w:rsid w:val="006E57E3"/>
    <w:rsid w:val="006E620C"/>
    <w:rsid w:val="006E6C21"/>
    <w:rsid w:val="006E7366"/>
    <w:rsid w:val="006F0369"/>
    <w:rsid w:val="006F07C7"/>
    <w:rsid w:val="006F0899"/>
    <w:rsid w:val="006F0952"/>
    <w:rsid w:val="006F0E51"/>
    <w:rsid w:val="006F0EF3"/>
    <w:rsid w:val="006F137C"/>
    <w:rsid w:val="006F1633"/>
    <w:rsid w:val="006F1774"/>
    <w:rsid w:val="006F22FD"/>
    <w:rsid w:val="006F2674"/>
    <w:rsid w:val="006F32CA"/>
    <w:rsid w:val="006F3479"/>
    <w:rsid w:val="006F34BD"/>
    <w:rsid w:val="006F36A0"/>
    <w:rsid w:val="006F3C11"/>
    <w:rsid w:val="006F3C35"/>
    <w:rsid w:val="006F4209"/>
    <w:rsid w:val="006F4426"/>
    <w:rsid w:val="006F4679"/>
    <w:rsid w:val="006F4FDF"/>
    <w:rsid w:val="006F53BA"/>
    <w:rsid w:val="006F5AC0"/>
    <w:rsid w:val="006F5E46"/>
    <w:rsid w:val="006F610D"/>
    <w:rsid w:val="006F66CA"/>
    <w:rsid w:val="006F66E4"/>
    <w:rsid w:val="006F6836"/>
    <w:rsid w:val="006F6EB0"/>
    <w:rsid w:val="006F7062"/>
    <w:rsid w:val="006F7548"/>
    <w:rsid w:val="006F79CA"/>
    <w:rsid w:val="006F7E15"/>
    <w:rsid w:val="00700298"/>
    <w:rsid w:val="007006EC"/>
    <w:rsid w:val="00701370"/>
    <w:rsid w:val="00701658"/>
    <w:rsid w:val="00701C86"/>
    <w:rsid w:val="00701C8E"/>
    <w:rsid w:val="007023CD"/>
    <w:rsid w:val="007023EA"/>
    <w:rsid w:val="0070255B"/>
    <w:rsid w:val="00702AF0"/>
    <w:rsid w:val="007031D2"/>
    <w:rsid w:val="007032CF"/>
    <w:rsid w:val="00703349"/>
    <w:rsid w:val="00703391"/>
    <w:rsid w:val="0070342B"/>
    <w:rsid w:val="00703943"/>
    <w:rsid w:val="0070428A"/>
    <w:rsid w:val="007043C8"/>
    <w:rsid w:val="00704429"/>
    <w:rsid w:val="0070489D"/>
    <w:rsid w:val="0070521B"/>
    <w:rsid w:val="00705A8F"/>
    <w:rsid w:val="00705D4E"/>
    <w:rsid w:val="00705E71"/>
    <w:rsid w:val="00706047"/>
    <w:rsid w:val="007060C5"/>
    <w:rsid w:val="00706ACF"/>
    <w:rsid w:val="00706B23"/>
    <w:rsid w:val="00706D94"/>
    <w:rsid w:val="0070718B"/>
    <w:rsid w:val="00710312"/>
    <w:rsid w:val="0071036D"/>
    <w:rsid w:val="00710434"/>
    <w:rsid w:val="0071052A"/>
    <w:rsid w:val="00711071"/>
    <w:rsid w:val="007110C0"/>
    <w:rsid w:val="007111DC"/>
    <w:rsid w:val="007112EC"/>
    <w:rsid w:val="007115C5"/>
    <w:rsid w:val="0071163D"/>
    <w:rsid w:val="0071178F"/>
    <w:rsid w:val="00712174"/>
    <w:rsid w:val="0071252B"/>
    <w:rsid w:val="00712F50"/>
    <w:rsid w:val="00713192"/>
    <w:rsid w:val="007135A1"/>
    <w:rsid w:val="007135A2"/>
    <w:rsid w:val="007137B6"/>
    <w:rsid w:val="00713860"/>
    <w:rsid w:val="007140E1"/>
    <w:rsid w:val="00714466"/>
    <w:rsid w:val="00714A41"/>
    <w:rsid w:val="00714E08"/>
    <w:rsid w:val="00715A99"/>
    <w:rsid w:val="00715EE5"/>
    <w:rsid w:val="00716CF5"/>
    <w:rsid w:val="00716D75"/>
    <w:rsid w:val="007170FB"/>
    <w:rsid w:val="007173B0"/>
    <w:rsid w:val="0071763B"/>
    <w:rsid w:val="007200D9"/>
    <w:rsid w:val="00720370"/>
    <w:rsid w:val="0072082D"/>
    <w:rsid w:val="00720D89"/>
    <w:rsid w:val="00720F10"/>
    <w:rsid w:val="007210AF"/>
    <w:rsid w:val="0072128E"/>
    <w:rsid w:val="0072153B"/>
    <w:rsid w:val="00721C6A"/>
    <w:rsid w:val="00721FF9"/>
    <w:rsid w:val="00722064"/>
    <w:rsid w:val="00722573"/>
    <w:rsid w:val="00722741"/>
    <w:rsid w:val="00722773"/>
    <w:rsid w:val="00722AF0"/>
    <w:rsid w:val="00723270"/>
    <w:rsid w:val="007232D1"/>
    <w:rsid w:val="00723626"/>
    <w:rsid w:val="007242ED"/>
    <w:rsid w:val="00724545"/>
    <w:rsid w:val="007246D9"/>
    <w:rsid w:val="00724C4B"/>
    <w:rsid w:val="00724E1E"/>
    <w:rsid w:val="00725B82"/>
    <w:rsid w:val="00725D0F"/>
    <w:rsid w:val="00725FC4"/>
    <w:rsid w:val="0072614A"/>
    <w:rsid w:val="007261BF"/>
    <w:rsid w:val="007262AD"/>
    <w:rsid w:val="00726558"/>
    <w:rsid w:val="007265FF"/>
    <w:rsid w:val="0072680E"/>
    <w:rsid w:val="00726887"/>
    <w:rsid w:val="00726EB0"/>
    <w:rsid w:val="007279E1"/>
    <w:rsid w:val="00727BE2"/>
    <w:rsid w:val="00727E0B"/>
    <w:rsid w:val="00727ED3"/>
    <w:rsid w:val="00727F96"/>
    <w:rsid w:val="007301D9"/>
    <w:rsid w:val="00730BBE"/>
    <w:rsid w:val="007318C8"/>
    <w:rsid w:val="00731A15"/>
    <w:rsid w:val="00731D2C"/>
    <w:rsid w:val="00732114"/>
    <w:rsid w:val="00733074"/>
    <w:rsid w:val="007333FF"/>
    <w:rsid w:val="00733437"/>
    <w:rsid w:val="00733A81"/>
    <w:rsid w:val="00733CA5"/>
    <w:rsid w:val="00734017"/>
    <w:rsid w:val="00734617"/>
    <w:rsid w:val="00734A49"/>
    <w:rsid w:val="00734BAA"/>
    <w:rsid w:val="00734FF4"/>
    <w:rsid w:val="00734FF9"/>
    <w:rsid w:val="00735761"/>
    <w:rsid w:val="00735822"/>
    <w:rsid w:val="00735966"/>
    <w:rsid w:val="00735A70"/>
    <w:rsid w:val="00735BB3"/>
    <w:rsid w:val="00735D68"/>
    <w:rsid w:val="00736879"/>
    <w:rsid w:val="00736921"/>
    <w:rsid w:val="007370F2"/>
    <w:rsid w:val="00737456"/>
    <w:rsid w:val="00737F86"/>
    <w:rsid w:val="0074000D"/>
    <w:rsid w:val="007404AB"/>
    <w:rsid w:val="007404DB"/>
    <w:rsid w:val="00740956"/>
    <w:rsid w:val="007413E8"/>
    <w:rsid w:val="007419F1"/>
    <w:rsid w:val="00741D2E"/>
    <w:rsid w:val="0074247A"/>
    <w:rsid w:val="00742576"/>
    <w:rsid w:val="00742B67"/>
    <w:rsid w:val="00742D96"/>
    <w:rsid w:val="007436CD"/>
    <w:rsid w:val="00743943"/>
    <w:rsid w:val="00743FA9"/>
    <w:rsid w:val="007441F0"/>
    <w:rsid w:val="00744416"/>
    <w:rsid w:val="0074486C"/>
    <w:rsid w:val="00744ACB"/>
    <w:rsid w:val="00744AD2"/>
    <w:rsid w:val="00744F1D"/>
    <w:rsid w:val="007451C9"/>
    <w:rsid w:val="00745395"/>
    <w:rsid w:val="0074561A"/>
    <w:rsid w:val="00745683"/>
    <w:rsid w:val="007457ED"/>
    <w:rsid w:val="00745E5A"/>
    <w:rsid w:val="007461E8"/>
    <w:rsid w:val="007467D5"/>
    <w:rsid w:val="007468F1"/>
    <w:rsid w:val="00746AAF"/>
    <w:rsid w:val="00746FBB"/>
    <w:rsid w:val="00747266"/>
    <w:rsid w:val="00747F58"/>
    <w:rsid w:val="00747FE0"/>
    <w:rsid w:val="00750328"/>
    <w:rsid w:val="00750491"/>
    <w:rsid w:val="007508A9"/>
    <w:rsid w:val="007513C1"/>
    <w:rsid w:val="00751719"/>
    <w:rsid w:val="00752667"/>
    <w:rsid w:val="00752738"/>
    <w:rsid w:val="00752954"/>
    <w:rsid w:val="00752B5C"/>
    <w:rsid w:val="00752E9D"/>
    <w:rsid w:val="00753625"/>
    <w:rsid w:val="007536DF"/>
    <w:rsid w:val="007539FB"/>
    <w:rsid w:val="00753A70"/>
    <w:rsid w:val="00753B4C"/>
    <w:rsid w:val="00754009"/>
    <w:rsid w:val="00754F72"/>
    <w:rsid w:val="00755031"/>
    <w:rsid w:val="00755252"/>
    <w:rsid w:val="0075591E"/>
    <w:rsid w:val="0075640A"/>
    <w:rsid w:val="007571A2"/>
    <w:rsid w:val="007572B1"/>
    <w:rsid w:val="007572C5"/>
    <w:rsid w:val="00757433"/>
    <w:rsid w:val="00760AD7"/>
    <w:rsid w:val="00760AF1"/>
    <w:rsid w:val="00760C47"/>
    <w:rsid w:val="007611D3"/>
    <w:rsid w:val="007611EA"/>
    <w:rsid w:val="0076185A"/>
    <w:rsid w:val="00761A49"/>
    <w:rsid w:val="00761D19"/>
    <w:rsid w:val="00762502"/>
    <w:rsid w:val="00762511"/>
    <w:rsid w:val="00762612"/>
    <w:rsid w:val="0076277A"/>
    <w:rsid w:val="00762A12"/>
    <w:rsid w:val="00762C9B"/>
    <w:rsid w:val="0076367E"/>
    <w:rsid w:val="00763B12"/>
    <w:rsid w:val="00763B7C"/>
    <w:rsid w:val="00764D29"/>
    <w:rsid w:val="00764EAF"/>
    <w:rsid w:val="00764F25"/>
    <w:rsid w:val="007657FE"/>
    <w:rsid w:val="00765D0D"/>
    <w:rsid w:val="0076696F"/>
    <w:rsid w:val="00766CD7"/>
    <w:rsid w:val="00766E06"/>
    <w:rsid w:val="0076745D"/>
    <w:rsid w:val="00767550"/>
    <w:rsid w:val="00767CCE"/>
    <w:rsid w:val="007704B3"/>
    <w:rsid w:val="007708BE"/>
    <w:rsid w:val="007709FC"/>
    <w:rsid w:val="00770A0A"/>
    <w:rsid w:val="00770A27"/>
    <w:rsid w:val="00770A89"/>
    <w:rsid w:val="007710C1"/>
    <w:rsid w:val="007710DB"/>
    <w:rsid w:val="00771823"/>
    <w:rsid w:val="00772326"/>
    <w:rsid w:val="0077271B"/>
    <w:rsid w:val="00772B38"/>
    <w:rsid w:val="00772CA2"/>
    <w:rsid w:val="00772FCE"/>
    <w:rsid w:val="00773068"/>
    <w:rsid w:val="00773084"/>
    <w:rsid w:val="00773169"/>
    <w:rsid w:val="007732B1"/>
    <w:rsid w:val="007732EB"/>
    <w:rsid w:val="00773987"/>
    <w:rsid w:val="00773D66"/>
    <w:rsid w:val="00773E75"/>
    <w:rsid w:val="00774191"/>
    <w:rsid w:val="00775074"/>
    <w:rsid w:val="00775C27"/>
    <w:rsid w:val="00776032"/>
    <w:rsid w:val="0077614B"/>
    <w:rsid w:val="00776189"/>
    <w:rsid w:val="0077696E"/>
    <w:rsid w:val="00776AFF"/>
    <w:rsid w:val="00776D9D"/>
    <w:rsid w:val="007775BD"/>
    <w:rsid w:val="00777B21"/>
    <w:rsid w:val="00777D16"/>
    <w:rsid w:val="007804D3"/>
    <w:rsid w:val="00780C76"/>
    <w:rsid w:val="00780D79"/>
    <w:rsid w:val="00780EA2"/>
    <w:rsid w:val="007810DF"/>
    <w:rsid w:val="00781329"/>
    <w:rsid w:val="0078184C"/>
    <w:rsid w:val="00781ED2"/>
    <w:rsid w:val="0078215B"/>
    <w:rsid w:val="0078220E"/>
    <w:rsid w:val="00782524"/>
    <w:rsid w:val="007829AF"/>
    <w:rsid w:val="0078319C"/>
    <w:rsid w:val="00783292"/>
    <w:rsid w:val="007841EC"/>
    <w:rsid w:val="007844CB"/>
    <w:rsid w:val="007848D2"/>
    <w:rsid w:val="007851B1"/>
    <w:rsid w:val="007854A1"/>
    <w:rsid w:val="007854BA"/>
    <w:rsid w:val="007855C9"/>
    <w:rsid w:val="00785970"/>
    <w:rsid w:val="00785A05"/>
    <w:rsid w:val="00786441"/>
    <w:rsid w:val="007865AD"/>
    <w:rsid w:val="007865C6"/>
    <w:rsid w:val="0078678A"/>
    <w:rsid w:val="007869E1"/>
    <w:rsid w:val="00786ED5"/>
    <w:rsid w:val="00787506"/>
    <w:rsid w:val="00787851"/>
    <w:rsid w:val="00787EF4"/>
    <w:rsid w:val="007900ED"/>
    <w:rsid w:val="00790472"/>
    <w:rsid w:val="007907E6"/>
    <w:rsid w:val="007907ED"/>
    <w:rsid w:val="00790B83"/>
    <w:rsid w:val="00790BF2"/>
    <w:rsid w:val="00790CA0"/>
    <w:rsid w:val="00790CA1"/>
    <w:rsid w:val="00790DA3"/>
    <w:rsid w:val="00790DF7"/>
    <w:rsid w:val="00790ECB"/>
    <w:rsid w:val="00791962"/>
    <w:rsid w:val="00791983"/>
    <w:rsid w:val="007919E8"/>
    <w:rsid w:val="0079249A"/>
    <w:rsid w:val="0079252D"/>
    <w:rsid w:val="00792963"/>
    <w:rsid w:val="00792AAC"/>
    <w:rsid w:val="00793309"/>
    <w:rsid w:val="007933EA"/>
    <w:rsid w:val="00793BCE"/>
    <w:rsid w:val="00794714"/>
    <w:rsid w:val="00794994"/>
    <w:rsid w:val="00794B03"/>
    <w:rsid w:val="00794D33"/>
    <w:rsid w:val="00795623"/>
    <w:rsid w:val="0079593A"/>
    <w:rsid w:val="00795BE7"/>
    <w:rsid w:val="00796815"/>
    <w:rsid w:val="0079722B"/>
    <w:rsid w:val="0079750B"/>
    <w:rsid w:val="00797881"/>
    <w:rsid w:val="00797C63"/>
    <w:rsid w:val="00797FC9"/>
    <w:rsid w:val="007A0150"/>
    <w:rsid w:val="007A0200"/>
    <w:rsid w:val="007A0214"/>
    <w:rsid w:val="007A02B8"/>
    <w:rsid w:val="007A02BF"/>
    <w:rsid w:val="007A030C"/>
    <w:rsid w:val="007A07DB"/>
    <w:rsid w:val="007A0DD1"/>
    <w:rsid w:val="007A0E59"/>
    <w:rsid w:val="007A1773"/>
    <w:rsid w:val="007A1B42"/>
    <w:rsid w:val="007A1D1A"/>
    <w:rsid w:val="007A2059"/>
    <w:rsid w:val="007A21C7"/>
    <w:rsid w:val="007A249B"/>
    <w:rsid w:val="007A2B3D"/>
    <w:rsid w:val="007A2BEE"/>
    <w:rsid w:val="007A2D79"/>
    <w:rsid w:val="007A356C"/>
    <w:rsid w:val="007A3960"/>
    <w:rsid w:val="007A3B9F"/>
    <w:rsid w:val="007A40AD"/>
    <w:rsid w:val="007A5725"/>
    <w:rsid w:val="007A5861"/>
    <w:rsid w:val="007A5B55"/>
    <w:rsid w:val="007A618E"/>
    <w:rsid w:val="007A6627"/>
    <w:rsid w:val="007A6DEE"/>
    <w:rsid w:val="007A6E19"/>
    <w:rsid w:val="007A6E77"/>
    <w:rsid w:val="007A6F7C"/>
    <w:rsid w:val="007A7304"/>
    <w:rsid w:val="007A7343"/>
    <w:rsid w:val="007A74D7"/>
    <w:rsid w:val="007A7F15"/>
    <w:rsid w:val="007B0071"/>
    <w:rsid w:val="007B06AF"/>
    <w:rsid w:val="007B0730"/>
    <w:rsid w:val="007B09C7"/>
    <w:rsid w:val="007B166C"/>
    <w:rsid w:val="007B181A"/>
    <w:rsid w:val="007B1950"/>
    <w:rsid w:val="007B1B4B"/>
    <w:rsid w:val="007B2392"/>
    <w:rsid w:val="007B2430"/>
    <w:rsid w:val="007B35B9"/>
    <w:rsid w:val="007B3730"/>
    <w:rsid w:val="007B37D9"/>
    <w:rsid w:val="007B3D58"/>
    <w:rsid w:val="007B3E1E"/>
    <w:rsid w:val="007B4C79"/>
    <w:rsid w:val="007B4E2C"/>
    <w:rsid w:val="007B54FD"/>
    <w:rsid w:val="007B555E"/>
    <w:rsid w:val="007B5795"/>
    <w:rsid w:val="007B5BED"/>
    <w:rsid w:val="007B5BF3"/>
    <w:rsid w:val="007B631E"/>
    <w:rsid w:val="007B64F4"/>
    <w:rsid w:val="007B6A52"/>
    <w:rsid w:val="007B6D5B"/>
    <w:rsid w:val="007B76D1"/>
    <w:rsid w:val="007B7B51"/>
    <w:rsid w:val="007B7EA7"/>
    <w:rsid w:val="007B7F39"/>
    <w:rsid w:val="007C0BF6"/>
    <w:rsid w:val="007C0D6E"/>
    <w:rsid w:val="007C1167"/>
    <w:rsid w:val="007C18B8"/>
    <w:rsid w:val="007C1E16"/>
    <w:rsid w:val="007C2020"/>
    <w:rsid w:val="007C2230"/>
    <w:rsid w:val="007C22FE"/>
    <w:rsid w:val="007C247A"/>
    <w:rsid w:val="007C275D"/>
    <w:rsid w:val="007C296E"/>
    <w:rsid w:val="007C2C33"/>
    <w:rsid w:val="007C2DBE"/>
    <w:rsid w:val="007C2F17"/>
    <w:rsid w:val="007C31EF"/>
    <w:rsid w:val="007C332D"/>
    <w:rsid w:val="007C3508"/>
    <w:rsid w:val="007C3DA5"/>
    <w:rsid w:val="007C3F6E"/>
    <w:rsid w:val="007C43B5"/>
    <w:rsid w:val="007C44D7"/>
    <w:rsid w:val="007C5487"/>
    <w:rsid w:val="007C55A0"/>
    <w:rsid w:val="007C5B66"/>
    <w:rsid w:val="007C66D4"/>
    <w:rsid w:val="007C6F67"/>
    <w:rsid w:val="007C7B8E"/>
    <w:rsid w:val="007C7C9E"/>
    <w:rsid w:val="007D0067"/>
    <w:rsid w:val="007D0329"/>
    <w:rsid w:val="007D0E9A"/>
    <w:rsid w:val="007D103F"/>
    <w:rsid w:val="007D14C1"/>
    <w:rsid w:val="007D187E"/>
    <w:rsid w:val="007D291F"/>
    <w:rsid w:val="007D2E1A"/>
    <w:rsid w:val="007D2FF6"/>
    <w:rsid w:val="007D3599"/>
    <w:rsid w:val="007D3A14"/>
    <w:rsid w:val="007D3A65"/>
    <w:rsid w:val="007D3DD5"/>
    <w:rsid w:val="007D41DB"/>
    <w:rsid w:val="007D438C"/>
    <w:rsid w:val="007D474C"/>
    <w:rsid w:val="007D5255"/>
    <w:rsid w:val="007D5584"/>
    <w:rsid w:val="007D5BBD"/>
    <w:rsid w:val="007D5BFE"/>
    <w:rsid w:val="007D5C5A"/>
    <w:rsid w:val="007D5D54"/>
    <w:rsid w:val="007D5E56"/>
    <w:rsid w:val="007D60D0"/>
    <w:rsid w:val="007D647D"/>
    <w:rsid w:val="007D651B"/>
    <w:rsid w:val="007D65AD"/>
    <w:rsid w:val="007D6E7E"/>
    <w:rsid w:val="007D6F58"/>
    <w:rsid w:val="007D70BB"/>
    <w:rsid w:val="007D7253"/>
    <w:rsid w:val="007D73DE"/>
    <w:rsid w:val="007E0600"/>
    <w:rsid w:val="007E0790"/>
    <w:rsid w:val="007E0FC3"/>
    <w:rsid w:val="007E1174"/>
    <w:rsid w:val="007E1C5D"/>
    <w:rsid w:val="007E26F0"/>
    <w:rsid w:val="007E2EE6"/>
    <w:rsid w:val="007E353F"/>
    <w:rsid w:val="007E3BD5"/>
    <w:rsid w:val="007E3D82"/>
    <w:rsid w:val="007E43D8"/>
    <w:rsid w:val="007E4E25"/>
    <w:rsid w:val="007E50E9"/>
    <w:rsid w:val="007E53B7"/>
    <w:rsid w:val="007E5A03"/>
    <w:rsid w:val="007E5AFA"/>
    <w:rsid w:val="007E5BFF"/>
    <w:rsid w:val="007E6618"/>
    <w:rsid w:val="007E6927"/>
    <w:rsid w:val="007E6DD4"/>
    <w:rsid w:val="007E6E05"/>
    <w:rsid w:val="007E6F14"/>
    <w:rsid w:val="007E70A5"/>
    <w:rsid w:val="007E72A8"/>
    <w:rsid w:val="007E7417"/>
    <w:rsid w:val="007F012A"/>
    <w:rsid w:val="007F0290"/>
    <w:rsid w:val="007F07BE"/>
    <w:rsid w:val="007F0800"/>
    <w:rsid w:val="007F1396"/>
    <w:rsid w:val="007F155D"/>
    <w:rsid w:val="007F179C"/>
    <w:rsid w:val="007F190E"/>
    <w:rsid w:val="007F19C7"/>
    <w:rsid w:val="007F1D0F"/>
    <w:rsid w:val="007F2019"/>
    <w:rsid w:val="007F262B"/>
    <w:rsid w:val="007F295D"/>
    <w:rsid w:val="007F2E49"/>
    <w:rsid w:val="007F2ECE"/>
    <w:rsid w:val="007F2F43"/>
    <w:rsid w:val="007F333F"/>
    <w:rsid w:val="007F3575"/>
    <w:rsid w:val="007F3635"/>
    <w:rsid w:val="007F36A6"/>
    <w:rsid w:val="007F36C8"/>
    <w:rsid w:val="007F3815"/>
    <w:rsid w:val="007F45E5"/>
    <w:rsid w:val="007F497A"/>
    <w:rsid w:val="007F49A5"/>
    <w:rsid w:val="007F4C24"/>
    <w:rsid w:val="007F4C75"/>
    <w:rsid w:val="007F4EE9"/>
    <w:rsid w:val="007F4F5B"/>
    <w:rsid w:val="007F5184"/>
    <w:rsid w:val="007F5302"/>
    <w:rsid w:val="007F580D"/>
    <w:rsid w:val="007F59E1"/>
    <w:rsid w:val="007F5C03"/>
    <w:rsid w:val="007F5FE9"/>
    <w:rsid w:val="007F6229"/>
    <w:rsid w:val="007F65CF"/>
    <w:rsid w:val="007F76D8"/>
    <w:rsid w:val="007F7856"/>
    <w:rsid w:val="007F7DF3"/>
    <w:rsid w:val="007F7FFB"/>
    <w:rsid w:val="00800323"/>
    <w:rsid w:val="00800407"/>
    <w:rsid w:val="008004F0"/>
    <w:rsid w:val="0080068E"/>
    <w:rsid w:val="008015E7"/>
    <w:rsid w:val="008018B4"/>
    <w:rsid w:val="00801A47"/>
    <w:rsid w:val="00801D71"/>
    <w:rsid w:val="0080262B"/>
    <w:rsid w:val="00802C41"/>
    <w:rsid w:val="0080331A"/>
    <w:rsid w:val="008035B9"/>
    <w:rsid w:val="008035FC"/>
    <w:rsid w:val="00803991"/>
    <w:rsid w:val="00803AC7"/>
    <w:rsid w:val="00804268"/>
    <w:rsid w:val="0080458B"/>
    <w:rsid w:val="008045E5"/>
    <w:rsid w:val="00804A3C"/>
    <w:rsid w:val="00805790"/>
    <w:rsid w:val="008058F0"/>
    <w:rsid w:val="00805C6B"/>
    <w:rsid w:val="00805CEA"/>
    <w:rsid w:val="00805DCB"/>
    <w:rsid w:val="00806200"/>
    <w:rsid w:val="00806BD4"/>
    <w:rsid w:val="00806DAC"/>
    <w:rsid w:val="00806E61"/>
    <w:rsid w:val="00806F44"/>
    <w:rsid w:val="008073FB"/>
    <w:rsid w:val="00807F27"/>
    <w:rsid w:val="008100D4"/>
    <w:rsid w:val="00810140"/>
    <w:rsid w:val="00810150"/>
    <w:rsid w:val="008101DF"/>
    <w:rsid w:val="008101EF"/>
    <w:rsid w:val="008106B2"/>
    <w:rsid w:val="00810784"/>
    <w:rsid w:val="00810AF1"/>
    <w:rsid w:val="00810C2B"/>
    <w:rsid w:val="00810D6D"/>
    <w:rsid w:val="0081137D"/>
    <w:rsid w:val="00811C6A"/>
    <w:rsid w:val="0081233A"/>
    <w:rsid w:val="00812901"/>
    <w:rsid w:val="00812D92"/>
    <w:rsid w:val="008146DA"/>
    <w:rsid w:val="00814810"/>
    <w:rsid w:val="00814A18"/>
    <w:rsid w:val="00814A4D"/>
    <w:rsid w:val="00814F53"/>
    <w:rsid w:val="008152A8"/>
    <w:rsid w:val="00815346"/>
    <w:rsid w:val="008154FB"/>
    <w:rsid w:val="00815A82"/>
    <w:rsid w:val="00815AAD"/>
    <w:rsid w:val="0081626B"/>
    <w:rsid w:val="008164A5"/>
    <w:rsid w:val="008165F0"/>
    <w:rsid w:val="0081663E"/>
    <w:rsid w:val="0081674D"/>
    <w:rsid w:val="00816AD1"/>
    <w:rsid w:val="00816BDC"/>
    <w:rsid w:val="00816D34"/>
    <w:rsid w:val="0081784D"/>
    <w:rsid w:val="008179DA"/>
    <w:rsid w:val="00817AF6"/>
    <w:rsid w:val="00820045"/>
    <w:rsid w:val="0082031E"/>
    <w:rsid w:val="00820810"/>
    <w:rsid w:val="00820ED8"/>
    <w:rsid w:val="00820F7C"/>
    <w:rsid w:val="00821552"/>
    <w:rsid w:val="00821568"/>
    <w:rsid w:val="00821981"/>
    <w:rsid w:val="00821FC3"/>
    <w:rsid w:val="0082218D"/>
    <w:rsid w:val="008222A2"/>
    <w:rsid w:val="00822418"/>
    <w:rsid w:val="00822515"/>
    <w:rsid w:val="00822F8A"/>
    <w:rsid w:val="0082312F"/>
    <w:rsid w:val="00823156"/>
    <w:rsid w:val="00823992"/>
    <w:rsid w:val="00823ACA"/>
    <w:rsid w:val="00823FFA"/>
    <w:rsid w:val="008244E3"/>
    <w:rsid w:val="0082488C"/>
    <w:rsid w:val="00824AD4"/>
    <w:rsid w:val="00824EEE"/>
    <w:rsid w:val="00825058"/>
    <w:rsid w:val="008253A6"/>
    <w:rsid w:val="0082590D"/>
    <w:rsid w:val="0082608F"/>
    <w:rsid w:val="00826572"/>
    <w:rsid w:val="00826A19"/>
    <w:rsid w:val="008271ED"/>
    <w:rsid w:val="00827290"/>
    <w:rsid w:val="008273C1"/>
    <w:rsid w:val="0082742B"/>
    <w:rsid w:val="00827858"/>
    <w:rsid w:val="0082793A"/>
    <w:rsid w:val="00827A76"/>
    <w:rsid w:val="00827E86"/>
    <w:rsid w:val="00830104"/>
    <w:rsid w:val="00830413"/>
    <w:rsid w:val="00830687"/>
    <w:rsid w:val="008313F6"/>
    <w:rsid w:val="008319AB"/>
    <w:rsid w:val="0083207B"/>
    <w:rsid w:val="008322C7"/>
    <w:rsid w:val="0083243A"/>
    <w:rsid w:val="0083383A"/>
    <w:rsid w:val="0083390D"/>
    <w:rsid w:val="00833BDB"/>
    <w:rsid w:val="00833FC6"/>
    <w:rsid w:val="00834B29"/>
    <w:rsid w:val="00834E43"/>
    <w:rsid w:val="008360C2"/>
    <w:rsid w:val="00836C2A"/>
    <w:rsid w:val="00837445"/>
    <w:rsid w:val="00837A48"/>
    <w:rsid w:val="00837B75"/>
    <w:rsid w:val="00840068"/>
    <w:rsid w:val="0084007E"/>
    <w:rsid w:val="0084057A"/>
    <w:rsid w:val="008407CF"/>
    <w:rsid w:val="00840FAC"/>
    <w:rsid w:val="00841518"/>
    <w:rsid w:val="008418F5"/>
    <w:rsid w:val="00841A9C"/>
    <w:rsid w:val="00842032"/>
    <w:rsid w:val="00842079"/>
    <w:rsid w:val="00842816"/>
    <w:rsid w:val="00842D81"/>
    <w:rsid w:val="00842F1E"/>
    <w:rsid w:val="008435E8"/>
    <w:rsid w:val="00843BAE"/>
    <w:rsid w:val="0084487E"/>
    <w:rsid w:val="00844E0F"/>
    <w:rsid w:val="0084545E"/>
    <w:rsid w:val="008460F6"/>
    <w:rsid w:val="00846848"/>
    <w:rsid w:val="008469F7"/>
    <w:rsid w:val="00846ABF"/>
    <w:rsid w:val="00846EA6"/>
    <w:rsid w:val="00846F6B"/>
    <w:rsid w:val="00846FAC"/>
    <w:rsid w:val="008471FF"/>
    <w:rsid w:val="0084783A"/>
    <w:rsid w:val="00847B7C"/>
    <w:rsid w:val="00847BB9"/>
    <w:rsid w:val="00850049"/>
    <w:rsid w:val="0085023C"/>
    <w:rsid w:val="0085098C"/>
    <w:rsid w:val="00850A4A"/>
    <w:rsid w:val="00850FDA"/>
    <w:rsid w:val="0085178D"/>
    <w:rsid w:val="00851A7C"/>
    <w:rsid w:val="00851CBF"/>
    <w:rsid w:val="00851E9C"/>
    <w:rsid w:val="00852177"/>
    <w:rsid w:val="008521D9"/>
    <w:rsid w:val="008521F1"/>
    <w:rsid w:val="008524CB"/>
    <w:rsid w:val="00852501"/>
    <w:rsid w:val="00852871"/>
    <w:rsid w:val="00853224"/>
    <w:rsid w:val="00853239"/>
    <w:rsid w:val="00853444"/>
    <w:rsid w:val="008534C1"/>
    <w:rsid w:val="00853998"/>
    <w:rsid w:val="008547D2"/>
    <w:rsid w:val="00854EE6"/>
    <w:rsid w:val="0085578F"/>
    <w:rsid w:val="0085598E"/>
    <w:rsid w:val="00855EAB"/>
    <w:rsid w:val="00856480"/>
    <w:rsid w:val="00856590"/>
    <w:rsid w:val="00856AE2"/>
    <w:rsid w:val="00856E18"/>
    <w:rsid w:val="00857065"/>
    <w:rsid w:val="008571E6"/>
    <w:rsid w:val="0085783C"/>
    <w:rsid w:val="008578C4"/>
    <w:rsid w:val="008579E5"/>
    <w:rsid w:val="00857AC7"/>
    <w:rsid w:val="00857D3D"/>
    <w:rsid w:val="00860DA8"/>
    <w:rsid w:val="008618FD"/>
    <w:rsid w:val="008619C2"/>
    <w:rsid w:val="00861A07"/>
    <w:rsid w:val="00861B88"/>
    <w:rsid w:val="00861DE2"/>
    <w:rsid w:val="00861EDA"/>
    <w:rsid w:val="00862068"/>
    <w:rsid w:val="00862BC6"/>
    <w:rsid w:val="0086316E"/>
    <w:rsid w:val="008634FF"/>
    <w:rsid w:val="008636EA"/>
    <w:rsid w:val="00863BC3"/>
    <w:rsid w:val="00864126"/>
    <w:rsid w:val="0086439A"/>
    <w:rsid w:val="00864E3F"/>
    <w:rsid w:val="00865206"/>
    <w:rsid w:val="00865872"/>
    <w:rsid w:val="00865B18"/>
    <w:rsid w:val="008660C8"/>
    <w:rsid w:val="0086680D"/>
    <w:rsid w:val="008670D0"/>
    <w:rsid w:val="0086764F"/>
    <w:rsid w:val="008678A8"/>
    <w:rsid w:val="00867B60"/>
    <w:rsid w:val="00867F2F"/>
    <w:rsid w:val="00867FD7"/>
    <w:rsid w:val="008701E6"/>
    <w:rsid w:val="0087022A"/>
    <w:rsid w:val="00870461"/>
    <w:rsid w:val="0087152C"/>
    <w:rsid w:val="00871BFE"/>
    <w:rsid w:val="00871C8A"/>
    <w:rsid w:val="00871C9B"/>
    <w:rsid w:val="00872391"/>
    <w:rsid w:val="0087250E"/>
    <w:rsid w:val="00872A99"/>
    <w:rsid w:val="00872BE2"/>
    <w:rsid w:val="0087304A"/>
    <w:rsid w:val="00873825"/>
    <w:rsid w:val="00873844"/>
    <w:rsid w:val="0087388D"/>
    <w:rsid w:val="008741F5"/>
    <w:rsid w:val="008744EF"/>
    <w:rsid w:val="008746AE"/>
    <w:rsid w:val="0087490B"/>
    <w:rsid w:val="0087498B"/>
    <w:rsid w:val="00874A9B"/>
    <w:rsid w:val="00875674"/>
    <w:rsid w:val="00875845"/>
    <w:rsid w:val="00876117"/>
    <w:rsid w:val="008763FF"/>
    <w:rsid w:val="00876599"/>
    <w:rsid w:val="008766EB"/>
    <w:rsid w:val="00876A0E"/>
    <w:rsid w:val="00876ACD"/>
    <w:rsid w:val="00876B5A"/>
    <w:rsid w:val="008779DE"/>
    <w:rsid w:val="00880146"/>
    <w:rsid w:val="008801E3"/>
    <w:rsid w:val="00880634"/>
    <w:rsid w:val="00880A37"/>
    <w:rsid w:val="00880ADE"/>
    <w:rsid w:val="00880BE5"/>
    <w:rsid w:val="00880C56"/>
    <w:rsid w:val="00880F11"/>
    <w:rsid w:val="008811E7"/>
    <w:rsid w:val="008811E9"/>
    <w:rsid w:val="00881D41"/>
    <w:rsid w:val="00881F43"/>
    <w:rsid w:val="008822E8"/>
    <w:rsid w:val="008823CD"/>
    <w:rsid w:val="008826E0"/>
    <w:rsid w:val="008828EC"/>
    <w:rsid w:val="00882901"/>
    <w:rsid w:val="008829F3"/>
    <w:rsid w:val="00882C3C"/>
    <w:rsid w:val="0088311E"/>
    <w:rsid w:val="008831B8"/>
    <w:rsid w:val="00883340"/>
    <w:rsid w:val="00883787"/>
    <w:rsid w:val="008838D4"/>
    <w:rsid w:val="00883FB2"/>
    <w:rsid w:val="008841F9"/>
    <w:rsid w:val="0088459B"/>
    <w:rsid w:val="0088492C"/>
    <w:rsid w:val="00884F2A"/>
    <w:rsid w:val="00885179"/>
    <w:rsid w:val="00885658"/>
    <w:rsid w:val="008856C5"/>
    <w:rsid w:val="008858ED"/>
    <w:rsid w:val="00885C4A"/>
    <w:rsid w:val="00885E3A"/>
    <w:rsid w:val="008863C6"/>
    <w:rsid w:val="00886511"/>
    <w:rsid w:val="00886668"/>
    <w:rsid w:val="008869B7"/>
    <w:rsid w:val="00886B9F"/>
    <w:rsid w:val="00886D1D"/>
    <w:rsid w:val="008870D7"/>
    <w:rsid w:val="008874BD"/>
    <w:rsid w:val="00887529"/>
    <w:rsid w:val="00887BD5"/>
    <w:rsid w:val="0089006C"/>
    <w:rsid w:val="008908CD"/>
    <w:rsid w:val="00890B44"/>
    <w:rsid w:val="00890B50"/>
    <w:rsid w:val="00891355"/>
    <w:rsid w:val="00891596"/>
    <w:rsid w:val="00891CC2"/>
    <w:rsid w:val="00891E52"/>
    <w:rsid w:val="0089223A"/>
    <w:rsid w:val="008923BE"/>
    <w:rsid w:val="008923EF"/>
    <w:rsid w:val="00892FFC"/>
    <w:rsid w:val="00893234"/>
    <w:rsid w:val="008932F0"/>
    <w:rsid w:val="00894099"/>
    <w:rsid w:val="00894107"/>
    <w:rsid w:val="00894C7E"/>
    <w:rsid w:val="008951CF"/>
    <w:rsid w:val="008959FC"/>
    <w:rsid w:val="008963E6"/>
    <w:rsid w:val="00896440"/>
    <w:rsid w:val="00896D10"/>
    <w:rsid w:val="00897256"/>
    <w:rsid w:val="0089739E"/>
    <w:rsid w:val="008975FE"/>
    <w:rsid w:val="008979C9"/>
    <w:rsid w:val="00897C32"/>
    <w:rsid w:val="008A015E"/>
    <w:rsid w:val="008A087F"/>
    <w:rsid w:val="008A09C8"/>
    <w:rsid w:val="008A11A8"/>
    <w:rsid w:val="008A1A3D"/>
    <w:rsid w:val="008A1E2F"/>
    <w:rsid w:val="008A2805"/>
    <w:rsid w:val="008A2990"/>
    <w:rsid w:val="008A2D77"/>
    <w:rsid w:val="008A2E88"/>
    <w:rsid w:val="008A2F76"/>
    <w:rsid w:val="008A36D8"/>
    <w:rsid w:val="008A3BAE"/>
    <w:rsid w:val="008A429A"/>
    <w:rsid w:val="008A4307"/>
    <w:rsid w:val="008A439A"/>
    <w:rsid w:val="008A4763"/>
    <w:rsid w:val="008A4938"/>
    <w:rsid w:val="008A4B36"/>
    <w:rsid w:val="008A52F2"/>
    <w:rsid w:val="008A54B9"/>
    <w:rsid w:val="008A5772"/>
    <w:rsid w:val="008A6057"/>
    <w:rsid w:val="008A63A4"/>
    <w:rsid w:val="008A649C"/>
    <w:rsid w:val="008A7765"/>
    <w:rsid w:val="008A787D"/>
    <w:rsid w:val="008A789C"/>
    <w:rsid w:val="008A78F4"/>
    <w:rsid w:val="008A7E89"/>
    <w:rsid w:val="008A7EE9"/>
    <w:rsid w:val="008A7FD7"/>
    <w:rsid w:val="008B0549"/>
    <w:rsid w:val="008B07F5"/>
    <w:rsid w:val="008B0ED0"/>
    <w:rsid w:val="008B139D"/>
    <w:rsid w:val="008B1670"/>
    <w:rsid w:val="008B1AEC"/>
    <w:rsid w:val="008B1F95"/>
    <w:rsid w:val="008B2393"/>
    <w:rsid w:val="008B2474"/>
    <w:rsid w:val="008B27F0"/>
    <w:rsid w:val="008B2F58"/>
    <w:rsid w:val="008B312E"/>
    <w:rsid w:val="008B374F"/>
    <w:rsid w:val="008B3824"/>
    <w:rsid w:val="008B389C"/>
    <w:rsid w:val="008B3C29"/>
    <w:rsid w:val="008B3E45"/>
    <w:rsid w:val="008B4267"/>
    <w:rsid w:val="008B458B"/>
    <w:rsid w:val="008B4B1F"/>
    <w:rsid w:val="008B4F3F"/>
    <w:rsid w:val="008B506D"/>
    <w:rsid w:val="008B556F"/>
    <w:rsid w:val="008B616A"/>
    <w:rsid w:val="008B63BC"/>
    <w:rsid w:val="008B6A45"/>
    <w:rsid w:val="008B6C71"/>
    <w:rsid w:val="008B7416"/>
    <w:rsid w:val="008C0633"/>
    <w:rsid w:val="008C0A0E"/>
    <w:rsid w:val="008C11AC"/>
    <w:rsid w:val="008C178F"/>
    <w:rsid w:val="008C18E8"/>
    <w:rsid w:val="008C1CED"/>
    <w:rsid w:val="008C1DD0"/>
    <w:rsid w:val="008C1EBB"/>
    <w:rsid w:val="008C1F51"/>
    <w:rsid w:val="008C1F8F"/>
    <w:rsid w:val="008C20CC"/>
    <w:rsid w:val="008C245B"/>
    <w:rsid w:val="008C30E0"/>
    <w:rsid w:val="008C33E1"/>
    <w:rsid w:val="008C3A75"/>
    <w:rsid w:val="008C4151"/>
    <w:rsid w:val="008C4A17"/>
    <w:rsid w:val="008C4DAA"/>
    <w:rsid w:val="008C5396"/>
    <w:rsid w:val="008C5442"/>
    <w:rsid w:val="008C5D8A"/>
    <w:rsid w:val="008C633A"/>
    <w:rsid w:val="008C6C6F"/>
    <w:rsid w:val="008C72F2"/>
    <w:rsid w:val="008C7587"/>
    <w:rsid w:val="008C7820"/>
    <w:rsid w:val="008C7831"/>
    <w:rsid w:val="008C7C8F"/>
    <w:rsid w:val="008C7DED"/>
    <w:rsid w:val="008D0253"/>
    <w:rsid w:val="008D02E8"/>
    <w:rsid w:val="008D06CF"/>
    <w:rsid w:val="008D0C01"/>
    <w:rsid w:val="008D0CBA"/>
    <w:rsid w:val="008D11F0"/>
    <w:rsid w:val="008D12A5"/>
    <w:rsid w:val="008D14EA"/>
    <w:rsid w:val="008D175A"/>
    <w:rsid w:val="008D1C53"/>
    <w:rsid w:val="008D1D61"/>
    <w:rsid w:val="008D25E1"/>
    <w:rsid w:val="008D2EB0"/>
    <w:rsid w:val="008D3691"/>
    <w:rsid w:val="008D3A3B"/>
    <w:rsid w:val="008D3BD1"/>
    <w:rsid w:val="008D3BFB"/>
    <w:rsid w:val="008D3C40"/>
    <w:rsid w:val="008D3DD4"/>
    <w:rsid w:val="008D3EBA"/>
    <w:rsid w:val="008D4083"/>
    <w:rsid w:val="008D45D1"/>
    <w:rsid w:val="008D4EA3"/>
    <w:rsid w:val="008D517E"/>
    <w:rsid w:val="008D54E7"/>
    <w:rsid w:val="008D58B1"/>
    <w:rsid w:val="008D5C7A"/>
    <w:rsid w:val="008D5CBE"/>
    <w:rsid w:val="008D5E2A"/>
    <w:rsid w:val="008D623D"/>
    <w:rsid w:val="008D6B99"/>
    <w:rsid w:val="008D745B"/>
    <w:rsid w:val="008D7E60"/>
    <w:rsid w:val="008E019F"/>
    <w:rsid w:val="008E06DF"/>
    <w:rsid w:val="008E09BB"/>
    <w:rsid w:val="008E0AA3"/>
    <w:rsid w:val="008E0BEF"/>
    <w:rsid w:val="008E215E"/>
    <w:rsid w:val="008E21FF"/>
    <w:rsid w:val="008E26C5"/>
    <w:rsid w:val="008E2E3B"/>
    <w:rsid w:val="008E34E3"/>
    <w:rsid w:val="008E3EB2"/>
    <w:rsid w:val="008E4542"/>
    <w:rsid w:val="008E45BF"/>
    <w:rsid w:val="008E4936"/>
    <w:rsid w:val="008E57A6"/>
    <w:rsid w:val="008E6061"/>
    <w:rsid w:val="008E621A"/>
    <w:rsid w:val="008E7160"/>
    <w:rsid w:val="008E75F7"/>
    <w:rsid w:val="008E7FF4"/>
    <w:rsid w:val="008F00C3"/>
    <w:rsid w:val="008F013A"/>
    <w:rsid w:val="008F01D9"/>
    <w:rsid w:val="008F0446"/>
    <w:rsid w:val="008F0641"/>
    <w:rsid w:val="008F064C"/>
    <w:rsid w:val="008F06BB"/>
    <w:rsid w:val="008F0EEB"/>
    <w:rsid w:val="008F109B"/>
    <w:rsid w:val="008F1FD6"/>
    <w:rsid w:val="008F2171"/>
    <w:rsid w:val="008F2498"/>
    <w:rsid w:val="008F2675"/>
    <w:rsid w:val="008F2D6B"/>
    <w:rsid w:val="008F3222"/>
    <w:rsid w:val="008F32C2"/>
    <w:rsid w:val="008F3C9A"/>
    <w:rsid w:val="008F4182"/>
    <w:rsid w:val="008F4311"/>
    <w:rsid w:val="008F4D09"/>
    <w:rsid w:val="008F4FF2"/>
    <w:rsid w:val="008F5590"/>
    <w:rsid w:val="008F55D0"/>
    <w:rsid w:val="008F56A6"/>
    <w:rsid w:val="008F574D"/>
    <w:rsid w:val="008F5A46"/>
    <w:rsid w:val="008F6854"/>
    <w:rsid w:val="008F6DFE"/>
    <w:rsid w:val="008F7403"/>
    <w:rsid w:val="008F77AE"/>
    <w:rsid w:val="008F7861"/>
    <w:rsid w:val="00900104"/>
    <w:rsid w:val="00900246"/>
    <w:rsid w:val="0090082A"/>
    <w:rsid w:val="00900A5B"/>
    <w:rsid w:val="00900E54"/>
    <w:rsid w:val="009012F5"/>
    <w:rsid w:val="0090141E"/>
    <w:rsid w:val="0090161B"/>
    <w:rsid w:val="00901B13"/>
    <w:rsid w:val="00901BA4"/>
    <w:rsid w:val="009027F2"/>
    <w:rsid w:val="00902AF2"/>
    <w:rsid w:val="00902DD0"/>
    <w:rsid w:val="00902EAB"/>
    <w:rsid w:val="009031F8"/>
    <w:rsid w:val="00903374"/>
    <w:rsid w:val="00903550"/>
    <w:rsid w:val="00904359"/>
    <w:rsid w:val="00904804"/>
    <w:rsid w:val="00904AF4"/>
    <w:rsid w:val="00904F38"/>
    <w:rsid w:val="0090503D"/>
    <w:rsid w:val="0090516B"/>
    <w:rsid w:val="00905459"/>
    <w:rsid w:val="009056FD"/>
    <w:rsid w:val="00906E85"/>
    <w:rsid w:val="00907077"/>
    <w:rsid w:val="0090755D"/>
    <w:rsid w:val="00907563"/>
    <w:rsid w:val="00907BC9"/>
    <w:rsid w:val="009100A5"/>
    <w:rsid w:val="009106DB"/>
    <w:rsid w:val="00910BB9"/>
    <w:rsid w:val="00910F37"/>
    <w:rsid w:val="0091140C"/>
    <w:rsid w:val="00911840"/>
    <w:rsid w:val="00911E11"/>
    <w:rsid w:val="00911F8E"/>
    <w:rsid w:val="0091283A"/>
    <w:rsid w:val="00912B37"/>
    <w:rsid w:val="00912CB1"/>
    <w:rsid w:val="00912F8D"/>
    <w:rsid w:val="009139BB"/>
    <w:rsid w:val="00913A53"/>
    <w:rsid w:val="00913D3A"/>
    <w:rsid w:val="00913FE1"/>
    <w:rsid w:val="009151D9"/>
    <w:rsid w:val="009156BF"/>
    <w:rsid w:val="00915A96"/>
    <w:rsid w:val="009160F4"/>
    <w:rsid w:val="00916219"/>
    <w:rsid w:val="00916649"/>
    <w:rsid w:val="00916F44"/>
    <w:rsid w:val="00917716"/>
    <w:rsid w:val="009179E3"/>
    <w:rsid w:val="00917A69"/>
    <w:rsid w:val="00917C03"/>
    <w:rsid w:val="00920AF4"/>
    <w:rsid w:val="00920D27"/>
    <w:rsid w:val="00921195"/>
    <w:rsid w:val="009213C5"/>
    <w:rsid w:val="0092158F"/>
    <w:rsid w:val="00921A50"/>
    <w:rsid w:val="00921EC9"/>
    <w:rsid w:val="00922379"/>
    <w:rsid w:val="00922592"/>
    <w:rsid w:val="00922C41"/>
    <w:rsid w:val="00922EAB"/>
    <w:rsid w:val="009233BE"/>
    <w:rsid w:val="009237EB"/>
    <w:rsid w:val="009239C3"/>
    <w:rsid w:val="00923B18"/>
    <w:rsid w:val="00923B2A"/>
    <w:rsid w:val="00923E6E"/>
    <w:rsid w:val="00923F91"/>
    <w:rsid w:val="0092415E"/>
    <w:rsid w:val="00924412"/>
    <w:rsid w:val="00924957"/>
    <w:rsid w:val="00924AA8"/>
    <w:rsid w:val="00925155"/>
    <w:rsid w:val="00925D5C"/>
    <w:rsid w:val="009261E8"/>
    <w:rsid w:val="00926657"/>
    <w:rsid w:val="00926988"/>
    <w:rsid w:val="009270C9"/>
    <w:rsid w:val="00927DEB"/>
    <w:rsid w:val="009301CD"/>
    <w:rsid w:val="0093069F"/>
    <w:rsid w:val="00930848"/>
    <w:rsid w:val="00930C60"/>
    <w:rsid w:val="009310E5"/>
    <w:rsid w:val="00931142"/>
    <w:rsid w:val="009314A6"/>
    <w:rsid w:val="00931BCF"/>
    <w:rsid w:val="00932107"/>
    <w:rsid w:val="0093215C"/>
    <w:rsid w:val="009321CF"/>
    <w:rsid w:val="009324F8"/>
    <w:rsid w:val="009328A6"/>
    <w:rsid w:val="009329E3"/>
    <w:rsid w:val="00933111"/>
    <w:rsid w:val="009331EE"/>
    <w:rsid w:val="00933255"/>
    <w:rsid w:val="00933581"/>
    <w:rsid w:val="00933C04"/>
    <w:rsid w:val="0093433E"/>
    <w:rsid w:val="0093438F"/>
    <w:rsid w:val="00934431"/>
    <w:rsid w:val="00934486"/>
    <w:rsid w:val="009344AC"/>
    <w:rsid w:val="009349BE"/>
    <w:rsid w:val="00935823"/>
    <w:rsid w:val="00935F0B"/>
    <w:rsid w:val="009360DD"/>
    <w:rsid w:val="00936881"/>
    <w:rsid w:val="00936A4F"/>
    <w:rsid w:val="00936DF6"/>
    <w:rsid w:val="00936FD0"/>
    <w:rsid w:val="009371DA"/>
    <w:rsid w:val="0093753F"/>
    <w:rsid w:val="0093758A"/>
    <w:rsid w:val="009376AD"/>
    <w:rsid w:val="00937A7F"/>
    <w:rsid w:val="00940022"/>
    <w:rsid w:val="0094089C"/>
    <w:rsid w:val="0094090A"/>
    <w:rsid w:val="00940B51"/>
    <w:rsid w:val="009417D7"/>
    <w:rsid w:val="0094188C"/>
    <w:rsid w:val="00941ADB"/>
    <w:rsid w:val="009423DF"/>
    <w:rsid w:val="009427C2"/>
    <w:rsid w:val="009427F7"/>
    <w:rsid w:val="00942C61"/>
    <w:rsid w:val="00942CE5"/>
    <w:rsid w:val="00942DC8"/>
    <w:rsid w:val="009430C1"/>
    <w:rsid w:val="00943168"/>
    <w:rsid w:val="00943414"/>
    <w:rsid w:val="0094374C"/>
    <w:rsid w:val="009439F5"/>
    <w:rsid w:val="00944EEF"/>
    <w:rsid w:val="009459CE"/>
    <w:rsid w:val="009459E9"/>
    <w:rsid w:val="00945E12"/>
    <w:rsid w:val="009469FC"/>
    <w:rsid w:val="0094755E"/>
    <w:rsid w:val="00947680"/>
    <w:rsid w:val="009478B9"/>
    <w:rsid w:val="00947A78"/>
    <w:rsid w:val="00947EF9"/>
    <w:rsid w:val="0095008E"/>
    <w:rsid w:val="009502FD"/>
    <w:rsid w:val="00950A7D"/>
    <w:rsid w:val="00950F83"/>
    <w:rsid w:val="009512EC"/>
    <w:rsid w:val="00951F13"/>
    <w:rsid w:val="00951FC8"/>
    <w:rsid w:val="009523DD"/>
    <w:rsid w:val="00952C1F"/>
    <w:rsid w:val="00952E41"/>
    <w:rsid w:val="00952ED3"/>
    <w:rsid w:val="00952F56"/>
    <w:rsid w:val="00953C76"/>
    <w:rsid w:val="0095410E"/>
    <w:rsid w:val="00954342"/>
    <w:rsid w:val="00954B55"/>
    <w:rsid w:val="00955061"/>
    <w:rsid w:val="009551F0"/>
    <w:rsid w:val="009553D3"/>
    <w:rsid w:val="00955940"/>
    <w:rsid w:val="00955998"/>
    <w:rsid w:val="00955E36"/>
    <w:rsid w:val="00956ACE"/>
    <w:rsid w:val="009571EA"/>
    <w:rsid w:val="00957325"/>
    <w:rsid w:val="0095797E"/>
    <w:rsid w:val="00957A58"/>
    <w:rsid w:val="00957B71"/>
    <w:rsid w:val="00957C03"/>
    <w:rsid w:val="00957D6E"/>
    <w:rsid w:val="00957E48"/>
    <w:rsid w:val="009600FA"/>
    <w:rsid w:val="00960CAF"/>
    <w:rsid w:val="00960D16"/>
    <w:rsid w:val="00960F1A"/>
    <w:rsid w:val="009611F3"/>
    <w:rsid w:val="009615B4"/>
    <w:rsid w:val="0096212B"/>
    <w:rsid w:val="0096259E"/>
    <w:rsid w:val="009625AA"/>
    <w:rsid w:val="00962969"/>
    <w:rsid w:val="00962EF3"/>
    <w:rsid w:val="009632DD"/>
    <w:rsid w:val="0096377C"/>
    <w:rsid w:val="00963CB0"/>
    <w:rsid w:val="00963D9E"/>
    <w:rsid w:val="00963F34"/>
    <w:rsid w:val="0096401D"/>
    <w:rsid w:val="009649FF"/>
    <w:rsid w:val="00964CFE"/>
    <w:rsid w:val="00964DED"/>
    <w:rsid w:val="0096563D"/>
    <w:rsid w:val="009657D1"/>
    <w:rsid w:val="009662AC"/>
    <w:rsid w:val="009662F8"/>
    <w:rsid w:val="00966524"/>
    <w:rsid w:val="009665D8"/>
    <w:rsid w:val="00966DDA"/>
    <w:rsid w:val="00966F5E"/>
    <w:rsid w:val="00966F85"/>
    <w:rsid w:val="00967563"/>
    <w:rsid w:val="009676B5"/>
    <w:rsid w:val="009676CF"/>
    <w:rsid w:val="009676D5"/>
    <w:rsid w:val="00967905"/>
    <w:rsid w:val="00967D27"/>
    <w:rsid w:val="00970142"/>
    <w:rsid w:val="00970529"/>
    <w:rsid w:val="0097065E"/>
    <w:rsid w:val="00970872"/>
    <w:rsid w:val="00970B28"/>
    <w:rsid w:val="00970CAB"/>
    <w:rsid w:val="0097121E"/>
    <w:rsid w:val="00971303"/>
    <w:rsid w:val="00971660"/>
    <w:rsid w:val="00972286"/>
    <w:rsid w:val="00972438"/>
    <w:rsid w:val="009727E9"/>
    <w:rsid w:val="00972904"/>
    <w:rsid w:val="00972CE1"/>
    <w:rsid w:val="00973304"/>
    <w:rsid w:val="009735E9"/>
    <w:rsid w:val="00973C2E"/>
    <w:rsid w:val="00975096"/>
    <w:rsid w:val="009756CB"/>
    <w:rsid w:val="00975722"/>
    <w:rsid w:val="00975883"/>
    <w:rsid w:val="00976915"/>
    <w:rsid w:val="00976BCA"/>
    <w:rsid w:val="00976C72"/>
    <w:rsid w:val="00976F51"/>
    <w:rsid w:val="009808EA"/>
    <w:rsid w:val="00980F0B"/>
    <w:rsid w:val="009813C0"/>
    <w:rsid w:val="009813CA"/>
    <w:rsid w:val="009818C6"/>
    <w:rsid w:val="00981BF0"/>
    <w:rsid w:val="00981FED"/>
    <w:rsid w:val="009823AD"/>
    <w:rsid w:val="0098253D"/>
    <w:rsid w:val="0098266A"/>
    <w:rsid w:val="009827AD"/>
    <w:rsid w:val="009829DC"/>
    <w:rsid w:val="00982E63"/>
    <w:rsid w:val="00982EC1"/>
    <w:rsid w:val="009835B2"/>
    <w:rsid w:val="00983709"/>
    <w:rsid w:val="009838E9"/>
    <w:rsid w:val="00983B54"/>
    <w:rsid w:val="00983C64"/>
    <w:rsid w:val="00983C71"/>
    <w:rsid w:val="00983D41"/>
    <w:rsid w:val="009844DE"/>
    <w:rsid w:val="00984EC1"/>
    <w:rsid w:val="00984F07"/>
    <w:rsid w:val="009850F6"/>
    <w:rsid w:val="009852BB"/>
    <w:rsid w:val="00985BBF"/>
    <w:rsid w:val="0098622E"/>
    <w:rsid w:val="0098700A"/>
    <w:rsid w:val="00987964"/>
    <w:rsid w:val="00987BE3"/>
    <w:rsid w:val="00987C0B"/>
    <w:rsid w:val="00987DB4"/>
    <w:rsid w:val="0099006B"/>
    <w:rsid w:val="00990095"/>
    <w:rsid w:val="009901BC"/>
    <w:rsid w:val="00990296"/>
    <w:rsid w:val="009902A2"/>
    <w:rsid w:val="0099033E"/>
    <w:rsid w:val="0099044D"/>
    <w:rsid w:val="00990885"/>
    <w:rsid w:val="00990A17"/>
    <w:rsid w:val="0099130A"/>
    <w:rsid w:val="00991825"/>
    <w:rsid w:val="009918AC"/>
    <w:rsid w:val="0099197A"/>
    <w:rsid w:val="00991C4F"/>
    <w:rsid w:val="00991D2C"/>
    <w:rsid w:val="009920BD"/>
    <w:rsid w:val="0099235F"/>
    <w:rsid w:val="009923A6"/>
    <w:rsid w:val="00992E73"/>
    <w:rsid w:val="00993B34"/>
    <w:rsid w:val="00993B85"/>
    <w:rsid w:val="0099414D"/>
    <w:rsid w:val="00994313"/>
    <w:rsid w:val="009944DD"/>
    <w:rsid w:val="009946BB"/>
    <w:rsid w:val="00994704"/>
    <w:rsid w:val="00994C73"/>
    <w:rsid w:val="00994E0B"/>
    <w:rsid w:val="00996110"/>
    <w:rsid w:val="00996D3E"/>
    <w:rsid w:val="00996F39"/>
    <w:rsid w:val="00997171"/>
    <w:rsid w:val="0099753D"/>
    <w:rsid w:val="0099779A"/>
    <w:rsid w:val="009A01D3"/>
    <w:rsid w:val="009A0D40"/>
    <w:rsid w:val="009A0EC0"/>
    <w:rsid w:val="009A109F"/>
    <w:rsid w:val="009A1612"/>
    <w:rsid w:val="009A18F4"/>
    <w:rsid w:val="009A1B1D"/>
    <w:rsid w:val="009A23AC"/>
    <w:rsid w:val="009A2536"/>
    <w:rsid w:val="009A33D5"/>
    <w:rsid w:val="009A3509"/>
    <w:rsid w:val="009A38AF"/>
    <w:rsid w:val="009A3D43"/>
    <w:rsid w:val="009A3FAC"/>
    <w:rsid w:val="009A4554"/>
    <w:rsid w:val="009A46FA"/>
    <w:rsid w:val="009A47D0"/>
    <w:rsid w:val="009A5CB7"/>
    <w:rsid w:val="009A5E1E"/>
    <w:rsid w:val="009A6C2A"/>
    <w:rsid w:val="009A7330"/>
    <w:rsid w:val="009A7963"/>
    <w:rsid w:val="009A7F9A"/>
    <w:rsid w:val="009B004E"/>
    <w:rsid w:val="009B071E"/>
    <w:rsid w:val="009B092B"/>
    <w:rsid w:val="009B0967"/>
    <w:rsid w:val="009B126B"/>
    <w:rsid w:val="009B14CE"/>
    <w:rsid w:val="009B16C7"/>
    <w:rsid w:val="009B1CBA"/>
    <w:rsid w:val="009B1E24"/>
    <w:rsid w:val="009B25A2"/>
    <w:rsid w:val="009B29F1"/>
    <w:rsid w:val="009B30FA"/>
    <w:rsid w:val="009B3925"/>
    <w:rsid w:val="009B3B16"/>
    <w:rsid w:val="009B3CD4"/>
    <w:rsid w:val="009B3D78"/>
    <w:rsid w:val="009B4454"/>
    <w:rsid w:val="009B4960"/>
    <w:rsid w:val="009B5133"/>
    <w:rsid w:val="009B532E"/>
    <w:rsid w:val="009B5579"/>
    <w:rsid w:val="009B5B91"/>
    <w:rsid w:val="009B6141"/>
    <w:rsid w:val="009B6235"/>
    <w:rsid w:val="009B62CA"/>
    <w:rsid w:val="009B62EB"/>
    <w:rsid w:val="009B652E"/>
    <w:rsid w:val="009B6853"/>
    <w:rsid w:val="009B6A7D"/>
    <w:rsid w:val="009B6BD4"/>
    <w:rsid w:val="009B6C32"/>
    <w:rsid w:val="009B7083"/>
    <w:rsid w:val="009B7B86"/>
    <w:rsid w:val="009B7C2D"/>
    <w:rsid w:val="009C0B02"/>
    <w:rsid w:val="009C1272"/>
    <w:rsid w:val="009C19EB"/>
    <w:rsid w:val="009C1C3E"/>
    <w:rsid w:val="009C21D1"/>
    <w:rsid w:val="009C2525"/>
    <w:rsid w:val="009C273A"/>
    <w:rsid w:val="009C2B58"/>
    <w:rsid w:val="009C2EDD"/>
    <w:rsid w:val="009C30AB"/>
    <w:rsid w:val="009C3884"/>
    <w:rsid w:val="009C3B5D"/>
    <w:rsid w:val="009C3C21"/>
    <w:rsid w:val="009C3E19"/>
    <w:rsid w:val="009C4134"/>
    <w:rsid w:val="009C45B7"/>
    <w:rsid w:val="009C4975"/>
    <w:rsid w:val="009C4DAC"/>
    <w:rsid w:val="009C5721"/>
    <w:rsid w:val="009C5AB5"/>
    <w:rsid w:val="009C5BDD"/>
    <w:rsid w:val="009C5CB6"/>
    <w:rsid w:val="009C5D81"/>
    <w:rsid w:val="009C5E25"/>
    <w:rsid w:val="009C665D"/>
    <w:rsid w:val="009C6682"/>
    <w:rsid w:val="009C6A8F"/>
    <w:rsid w:val="009C6CB1"/>
    <w:rsid w:val="009C730A"/>
    <w:rsid w:val="009C74E8"/>
    <w:rsid w:val="009C7639"/>
    <w:rsid w:val="009C7DDC"/>
    <w:rsid w:val="009D012E"/>
    <w:rsid w:val="009D0230"/>
    <w:rsid w:val="009D047F"/>
    <w:rsid w:val="009D04FC"/>
    <w:rsid w:val="009D059A"/>
    <w:rsid w:val="009D05E2"/>
    <w:rsid w:val="009D0A57"/>
    <w:rsid w:val="009D0BA9"/>
    <w:rsid w:val="009D1C30"/>
    <w:rsid w:val="009D30C2"/>
    <w:rsid w:val="009D38F0"/>
    <w:rsid w:val="009D4894"/>
    <w:rsid w:val="009D4B7A"/>
    <w:rsid w:val="009D4EBE"/>
    <w:rsid w:val="009D5652"/>
    <w:rsid w:val="009D5769"/>
    <w:rsid w:val="009D5973"/>
    <w:rsid w:val="009D5FDD"/>
    <w:rsid w:val="009D60B3"/>
    <w:rsid w:val="009D63A7"/>
    <w:rsid w:val="009D644B"/>
    <w:rsid w:val="009D663A"/>
    <w:rsid w:val="009D6991"/>
    <w:rsid w:val="009D72B2"/>
    <w:rsid w:val="009D7368"/>
    <w:rsid w:val="009D77C7"/>
    <w:rsid w:val="009D7CD1"/>
    <w:rsid w:val="009D7F4E"/>
    <w:rsid w:val="009D7FE7"/>
    <w:rsid w:val="009E01FF"/>
    <w:rsid w:val="009E05B0"/>
    <w:rsid w:val="009E07F2"/>
    <w:rsid w:val="009E0E59"/>
    <w:rsid w:val="009E10BC"/>
    <w:rsid w:val="009E10F9"/>
    <w:rsid w:val="009E11FA"/>
    <w:rsid w:val="009E14E3"/>
    <w:rsid w:val="009E1B5A"/>
    <w:rsid w:val="009E257C"/>
    <w:rsid w:val="009E293F"/>
    <w:rsid w:val="009E2DAA"/>
    <w:rsid w:val="009E3076"/>
    <w:rsid w:val="009E36C9"/>
    <w:rsid w:val="009E3789"/>
    <w:rsid w:val="009E38E3"/>
    <w:rsid w:val="009E3AE7"/>
    <w:rsid w:val="009E3BBC"/>
    <w:rsid w:val="009E3BE8"/>
    <w:rsid w:val="009E40F3"/>
    <w:rsid w:val="009E44EC"/>
    <w:rsid w:val="009E47C1"/>
    <w:rsid w:val="009E49A4"/>
    <w:rsid w:val="009E4F39"/>
    <w:rsid w:val="009E550D"/>
    <w:rsid w:val="009E5F17"/>
    <w:rsid w:val="009E6B36"/>
    <w:rsid w:val="009E745B"/>
    <w:rsid w:val="009E77D3"/>
    <w:rsid w:val="009E7BE4"/>
    <w:rsid w:val="009F00D5"/>
    <w:rsid w:val="009F0795"/>
    <w:rsid w:val="009F0964"/>
    <w:rsid w:val="009F1173"/>
    <w:rsid w:val="009F13C0"/>
    <w:rsid w:val="009F18CD"/>
    <w:rsid w:val="009F1B6E"/>
    <w:rsid w:val="009F1DBF"/>
    <w:rsid w:val="009F2145"/>
    <w:rsid w:val="009F256F"/>
    <w:rsid w:val="009F2C70"/>
    <w:rsid w:val="009F2E79"/>
    <w:rsid w:val="009F3C2B"/>
    <w:rsid w:val="009F3E87"/>
    <w:rsid w:val="009F4345"/>
    <w:rsid w:val="009F445A"/>
    <w:rsid w:val="009F44F0"/>
    <w:rsid w:val="009F46D4"/>
    <w:rsid w:val="009F4998"/>
    <w:rsid w:val="009F5000"/>
    <w:rsid w:val="009F509D"/>
    <w:rsid w:val="009F5108"/>
    <w:rsid w:val="009F534F"/>
    <w:rsid w:val="009F552A"/>
    <w:rsid w:val="009F56A4"/>
    <w:rsid w:val="009F5A01"/>
    <w:rsid w:val="009F6020"/>
    <w:rsid w:val="009F63E9"/>
    <w:rsid w:val="009F66B0"/>
    <w:rsid w:val="009F6A28"/>
    <w:rsid w:val="009F7015"/>
    <w:rsid w:val="009F75E9"/>
    <w:rsid w:val="009F7B08"/>
    <w:rsid w:val="00A00BE4"/>
    <w:rsid w:val="00A01040"/>
    <w:rsid w:val="00A0145D"/>
    <w:rsid w:val="00A01D43"/>
    <w:rsid w:val="00A01EC9"/>
    <w:rsid w:val="00A0230F"/>
    <w:rsid w:val="00A02442"/>
    <w:rsid w:val="00A02758"/>
    <w:rsid w:val="00A02AD1"/>
    <w:rsid w:val="00A0319B"/>
    <w:rsid w:val="00A03253"/>
    <w:rsid w:val="00A038E3"/>
    <w:rsid w:val="00A039A5"/>
    <w:rsid w:val="00A03B24"/>
    <w:rsid w:val="00A03C39"/>
    <w:rsid w:val="00A03DF8"/>
    <w:rsid w:val="00A0441F"/>
    <w:rsid w:val="00A0475E"/>
    <w:rsid w:val="00A0494D"/>
    <w:rsid w:val="00A04E37"/>
    <w:rsid w:val="00A0514F"/>
    <w:rsid w:val="00A0517D"/>
    <w:rsid w:val="00A05240"/>
    <w:rsid w:val="00A05B44"/>
    <w:rsid w:val="00A05E44"/>
    <w:rsid w:val="00A06055"/>
    <w:rsid w:val="00A0793B"/>
    <w:rsid w:val="00A10D17"/>
    <w:rsid w:val="00A115F1"/>
    <w:rsid w:val="00A123A6"/>
    <w:rsid w:val="00A1248F"/>
    <w:rsid w:val="00A1263B"/>
    <w:rsid w:val="00A12A71"/>
    <w:rsid w:val="00A12AA4"/>
    <w:rsid w:val="00A13DEA"/>
    <w:rsid w:val="00A140A1"/>
    <w:rsid w:val="00A141A6"/>
    <w:rsid w:val="00A14741"/>
    <w:rsid w:val="00A148CC"/>
    <w:rsid w:val="00A1494A"/>
    <w:rsid w:val="00A14A97"/>
    <w:rsid w:val="00A14C1A"/>
    <w:rsid w:val="00A14CCE"/>
    <w:rsid w:val="00A14F1E"/>
    <w:rsid w:val="00A15393"/>
    <w:rsid w:val="00A1578A"/>
    <w:rsid w:val="00A15BDB"/>
    <w:rsid w:val="00A15E6C"/>
    <w:rsid w:val="00A15FAC"/>
    <w:rsid w:val="00A1653E"/>
    <w:rsid w:val="00A16A82"/>
    <w:rsid w:val="00A1703D"/>
    <w:rsid w:val="00A171E8"/>
    <w:rsid w:val="00A177F0"/>
    <w:rsid w:val="00A178DB"/>
    <w:rsid w:val="00A17B46"/>
    <w:rsid w:val="00A17DBC"/>
    <w:rsid w:val="00A17E8F"/>
    <w:rsid w:val="00A20165"/>
    <w:rsid w:val="00A20216"/>
    <w:rsid w:val="00A2061E"/>
    <w:rsid w:val="00A20A8D"/>
    <w:rsid w:val="00A20D85"/>
    <w:rsid w:val="00A20DB6"/>
    <w:rsid w:val="00A20DC7"/>
    <w:rsid w:val="00A20E16"/>
    <w:rsid w:val="00A20F5F"/>
    <w:rsid w:val="00A2109E"/>
    <w:rsid w:val="00A21F51"/>
    <w:rsid w:val="00A21F74"/>
    <w:rsid w:val="00A22394"/>
    <w:rsid w:val="00A22D90"/>
    <w:rsid w:val="00A23110"/>
    <w:rsid w:val="00A235E9"/>
    <w:rsid w:val="00A23A58"/>
    <w:rsid w:val="00A23A92"/>
    <w:rsid w:val="00A23E89"/>
    <w:rsid w:val="00A24D1D"/>
    <w:rsid w:val="00A24F18"/>
    <w:rsid w:val="00A24F38"/>
    <w:rsid w:val="00A25679"/>
    <w:rsid w:val="00A25865"/>
    <w:rsid w:val="00A25A30"/>
    <w:rsid w:val="00A25C3B"/>
    <w:rsid w:val="00A2614E"/>
    <w:rsid w:val="00A2628C"/>
    <w:rsid w:val="00A26B7B"/>
    <w:rsid w:val="00A26F0C"/>
    <w:rsid w:val="00A2701D"/>
    <w:rsid w:val="00A27A39"/>
    <w:rsid w:val="00A27D06"/>
    <w:rsid w:val="00A30099"/>
    <w:rsid w:val="00A302F7"/>
    <w:rsid w:val="00A30611"/>
    <w:rsid w:val="00A3099D"/>
    <w:rsid w:val="00A31114"/>
    <w:rsid w:val="00A318C7"/>
    <w:rsid w:val="00A31957"/>
    <w:rsid w:val="00A31C39"/>
    <w:rsid w:val="00A320A6"/>
    <w:rsid w:val="00A3291E"/>
    <w:rsid w:val="00A3389C"/>
    <w:rsid w:val="00A33ADD"/>
    <w:rsid w:val="00A33C0D"/>
    <w:rsid w:val="00A34214"/>
    <w:rsid w:val="00A34382"/>
    <w:rsid w:val="00A34692"/>
    <w:rsid w:val="00A346ED"/>
    <w:rsid w:val="00A34721"/>
    <w:rsid w:val="00A34984"/>
    <w:rsid w:val="00A349B3"/>
    <w:rsid w:val="00A34F81"/>
    <w:rsid w:val="00A35013"/>
    <w:rsid w:val="00A351B8"/>
    <w:rsid w:val="00A35469"/>
    <w:rsid w:val="00A3573A"/>
    <w:rsid w:val="00A35EDE"/>
    <w:rsid w:val="00A36745"/>
    <w:rsid w:val="00A37422"/>
    <w:rsid w:val="00A37451"/>
    <w:rsid w:val="00A37598"/>
    <w:rsid w:val="00A376F8"/>
    <w:rsid w:val="00A378DD"/>
    <w:rsid w:val="00A37BCA"/>
    <w:rsid w:val="00A4040B"/>
    <w:rsid w:val="00A40E23"/>
    <w:rsid w:val="00A40EA6"/>
    <w:rsid w:val="00A41050"/>
    <w:rsid w:val="00A412E0"/>
    <w:rsid w:val="00A4141A"/>
    <w:rsid w:val="00A41D69"/>
    <w:rsid w:val="00A41EC3"/>
    <w:rsid w:val="00A42042"/>
    <w:rsid w:val="00A421CD"/>
    <w:rsid w:val="00A423FD"/>
    <w:rsid w:val="00A4247A"/>
    <w:rsid w:val="00A42C27"/>
    <w:rsid w:val="00A42EDC"/>
    <w:rsid w:val="00A4312F"/>
    <w:rsid w:val="00A433B9"/>
    <w:rsid w:val="00A433D2"/>
    <w:rsid w:val="00A43CC9"/>
    <w:rsid w:val="00A43E37"/>
    <w:rsid w:val="00A44544"/>
    <w:rsid w:val="00A449E4"/>
    <w:rsid w:val="00A45080"/>
    <w:rsid w:val="00A4533B"/>
    <w:rsid w:val="00A453A4"/>
    <w:rsid w:val="00A455FA"/>
    <w:rsid w:val="00A45AEA"/>
    <w:rsid w:val="00A45EC1"/>
    <w:rsid w:val="00A461B6"/>
    <w:rsid w:val="00A461FB"/>
    <w:rsid w:val="00A46D92"/>
    <w:rsid w:val="00A47D5F"/>
    <w:rsid w:val="00A5037D"/>
    <w:rsid w:val="00A50396"/>
    <w:rsid w:val="00A507EA"/>
    <w:rsid w:val="00A50E24"/>
    <w:rsid w:val="00A50EAB"/>
    <w:rsid w:val="00A50EDB"/>
    <w:rsid w:val="00A5167E"/>
    <w:rsid w:val="00A52146"/>
    <w:rsid w:val="00A52757"/>
    <w:rsid w:val="00A52C01"/>
    <w:rsid w:val="00A52CF3"/>
    <w:rsid w:val="00A53DB1"/>
    <w:rsid w:val="00A540B2"/>
    <w:rsid w:val="00A5438B"/>
    <w:rsid w:val="00A550DB"/>
    <w:rsid w:val="00A550DD"/>
    <w:rsid w:val="00A55756"/>
    <w:rsid w:val="00A55956"/>
    <w:rsid w:val="00A55AFF"/>
    <w:rsid w:val="00A55BAA"/>
    <w:rsid w:val="00A55C72"/>
    <w:rsid w:val="00A55E3E"/>
    <w:rsid w:val="00A55E58"/>
    <w:rsid w:val="00A5627B"/>
    <w:rsid w:val="00A562BD"/>
    <w:rsid w:val="00A56A7D"/>
    <w:rsid w:val="00A56F19"/>
    <w:rsid w:val="00A574F4"/>
    <w:rsid w:val="00A5768B"/>
    <w:rsid w:val="00A57873"/>
    <w:rsid w:val="00A57A7F"/>
    <w:rsid w:val="00A57E82"/>
    <w:rsid w:val="00A60D69"/>
    <w:rsid w:val="00A61021"/>
    <w:rsid w:val="00A61429"/>
    <w:rsid w:val="00A61AA0"/>
    <w:rsid w:val="00A61F8E"/>
    <w:rsid w:val="00A622F7"/>
    <w:rsid w:val="00A625A3"/>
    <w:rsid w:val="00A62B7C"/>
    <w:rsid w:val="00A62C2C"/>
    <w:rsid w:val="00A635BF"/>
    <w:rsid w:val="00A63E05"/>
    <w:rsid w:val="00A64AEE"/>
    <w:rsid w:val="00A64E4B"/>
    <w:rsid w:val="00A65067"/>
    <w:rsid w:val="00A655C6"/>
    <w:rsid w:val="00A65779"/>
    <w:rsid w:val="00A65FA1"/>
    <w:rsid w:val="00A66510"/>
    <w:rsid w:val="00A6699D"/>
    <w:rsid w:val="00A66A0F"/>
    <w:rsid w:val="00A66CA3"/>
    <w:rsid w:val="00A66E2E"/>
    <w:rsid w:val="00A66EB2"/>
    <w:rsid w:val="00A66FF3"/>
    <w:rsid w:val="00A67143"/>
    <w:rsid w:val="00A67945"/>
    <w:rsid w:val="00A70414"/>
    <w:rsid w:val="00A704EE"/>
    <w:rsid w:val="00A70B8C"/>
    <w:rsid w:val="00A713E1"/>
    <w:rsid w:val="00A71474"/>
    <w:rsid w:val="00A7185C"/>
    <w:rsid w:val="00A71B1E"/>
    <w:rsid w:val="00A71C00"/>
    <w:rsid w:val="00A71CE0"/>
    <w:rsid w:val="00A71DF1"/>
    <w:rsid w:val="00A725BE"/>
    <w:rsid w:val="00A72A91"/>
    <w:rsid w:val="00A72ADF"/>
    <w:rsid w:val="00A7321B"/>
    <w:rsid w:val="00A73283"/>
    <w:rsid w:val="00A732AC"/>
    <w:rsid w:val="00A73F2E"/>
    <w:rsid w:val="00A743DC"/>
    <w:rsid w:val="00A743EB"/>
    <w:rsid w:val="00A74B74"/>
    <w:rsid w:val="00A74D2A"/>
    <w:rsid w:val="00A74E26"/>
    <w:rsid w:val="00A74EB5"/>
    <w:rsid w:val="00A74F67"/>
    <w:rsid w:val="00A753B6"/>
    <w:rsid w:val="00A75573"/>
    <w:rsid w:val="00A75863"/>
    <w:rsid w:val="00A75E12"/>
    <w:rsid w:val="00A769EE"/>
    <w:rsid w:val="00A76CA5"/>
    <w:rsid w:val="00A76E50"/>
    <w:rsid w:val="00A77666"/>
    <w:rsid w:val="00A77717"/>
    <w:rsid w:val="00A77A30"/>
    <w:rsid w:val="00A77AC3"/>
    <w:rsid w:val="00A77D0D"/>
    <w:rsid w:val="00A802B8"/>
    <w:rsid w:val="00A80B7B"/>
    <w:rsid w:val="00A81A4E"/>
    <w:rsid w:val="00A82101"/>
    <w:rsid w:val="00A8219C"/>
    <w:rsid w:val="00A82556"/>
    <w:rsid w:val="00A827CB"/>
    <w:rsid w:val="00A82B43"/>
    <w:rsid w:val="00A82DBC"/>
    <w:rsid w:val="00A8356F"/>
    <w:rsid w:val="00A837CE"/>
    <w:rsid w:val="00A8390A"/>
    <w:rsid w:val="00A83FC5"/>
    <w:rsid w:val="00A84188"/>
    <w:rsid w:val="00A841BA"/>
    <w:rsid w:val="00A84ABF"/>
    <w:rsid w:val="00A8503B"/>
    <w:rsid w:val="00A854EA"/>
    <w:rsid w:val="00A85522"/>
    <w:rsid w:val="00A8568D"/>
    <w:rsid w:val="00A857A1"/>
    <w:rsid w:val="00A857E6"/>
    <w:rsid w:val="00A85A55"/>
    <w:rsid w:val="00A85BEA"/>
    <w:rsid w:val="00A85C60"/>
    <w:rsid w:val="00A860B1"/>
    <w:rsid w:val="00A87144"/>
    <w:rsid w:val="00A87860"/>
    <w:rsid w:val="00A87E15"/>
    <w:rsid w:val="00A90475"/>
    <w:rsid w:val="00A9073F"/>
    <w:rsid w:val="00A9080C"/>
    <w:rsid w:val="00A9106A"/>
    <w:rsid w:val="00A91349"/>
    <w:rsid w:val="00A91866"/>
    <w:rsid w:val="00A91BE2"/>
    <w:rsid w:val="00A91F4B"/>
    <w:rsid w:val="00A92FAA"/>
    <w:rsid w:val="00A93862"/>
    <w:rsid w:val="00A939FE"/>
    <w:rsid w:val="00A93DAD"/>
    <w:rsid w:val="00A94969"/>
    <w:rsid w:val="00A94C86"/>
    <w:rsid w:val="00A94E72"/>
    <w:rsid w:val="00A9532A"/>
    <w:rsid w:val="00A962DA"/>
    <w:rsid w:val="00A968A2"/>
    <w:rsid w:val="00A96B86"/>
    <w:rsid w:val="00A97217"/>
    <w:rsid w:val="00A974E6"/>
    <w:rsid w:val="00A97A39"/>
    <w:rsid w:val="00A97C5E"/>
    <w:rsid w:val="00AA0222"/>
    <w:rsid w:val="00AA036C"/>
    <w:rsid w:val="00AA2145"/>
    <w:rsid w:val="00AA265B"/>
    <w:rsid w:val="00AA2705"/>
    <w:rsid w:val="00AA2A0D"/>
    <w:rsid w:val="00AA2B96"/>
    <w:rsid w:val="00AA2E78"/>
    <w:rsid w:val="00AA2F7B"/>
    <w:rsid w:val="00AA3BB9"/>
    <w:rsid w:val="00AA3DD0"/>
    <w:rsid w:val="00AA4234"/>
    <w:rsid w:val="00AA4D0A"/>
    <w:rsid w:val="00AA4FE3"/>
    <w:rsid w:val="00AA5C00"/>
    <w:rsid w:val="00AA5D04"/>
    <w:rsid w:val="00AA5F70"/>
    <w:rsid w:val="00AA6B95"/>
    <w:rsid w:val="00AA71FE"/>
    <w:rsid w:val="00AA7555"/>
    <w:rsid w:val="00AA767D"/>
    <w:rsid w:val="00AA799C"/>
    <w:rsid w:val="00AB1954"/>
    <w:rsid w:val="00AB1E77"/>
    <w:rsid w:val="00AB2350"/>
    <w:rsid w:val="00AB2B65"/>
    <w:rsid w:val="00AB2CF9"/>
    <w:rsid w:val="00AB2FF1"/>
    <w:rsid w:val="00AB3822"/>
    <w:rsid w:val="00AB3DCD"/>
    <w:rsid w:val="00AB3F04"/>
    <w:rsid w:val="00AB4172"/>
    <w:rsid w:val="00AB41F9"/>
    <w:rsid w:val="00AB4255"/>
    <w:rsid w:val="00AB4445"/>
    <w:rsid w:val="00AB4701"/>
    <w:rsid w:val="00AB4856"/>
    <w:rsid w:val="00AB4A05"/>
    <w:rsid w:val="00AB4B5B"/>
    <w:rsid w:val="00AB5E43"/>
    <w:rsid w:val="00AB6663"/>
    <w:rsid w:val="00AB6FF5"/>
    <w:rsid w:val="00AB70B4"/>
    <w:rsid w:val="00AB75EB"/>
    <w:rsid w:val="00AB7ABC"/>
    <w:rsid w:val="00AC06E9"/>
    <w:rsid w:val="00AC143E"/>
    <w:rsid w:val="00AC1C9C"/>
    <w:rsid w:val="00AC2431"/>
    <w:rsid w:val="00AC2F97"/>
    <w:rsid w:val="00AC350E"/>
    <w:rsid w:val="00AC4BDF"/>
    <w:rsid w:val="00AC4D9D"/>
    <w:rsid w:val="00AC58AB"/>
    <w:rsid w:val="00AC5A55"/>
    <w:rsid w:val="00AC5F04"/>
    <w:rsid w:val="00AC6061"/>
    <w:rsid w:val="00AC61C2"/>
    <w:rsid w:val="00AC65E8"/>
    <w:rsid w:val="00AC698C"/>
    <w:rsid w:val="00AC7B3F"/>
    <w:rsid w:val="00AC7B77"/>
    <w:rsid w:val="00AC7C02"/>
    <w:rsid w:val="00AC7E1C"/>
    <w:rsid w:val="00AD025C"/>
    <w:rsid w:val="00AD0A79"/>
    <w:rsid w:val="00AD0B94"/>
    <w:rsid w:val="00AD0D40"/>
    <w:rsid w:val="00AD0FEB"/>
    <w:rsid w:val="00AD1C11"/>
    <w:rsid w:val="00AD1D0F"/>
    <w:rsid w:val="00AD1D5F"/>
    <w:rsid w:val="00AD2A45"/>
    <w:rsid w:val="00AD2B38"/>
    <w:rsid w:val="00AD2DC8"/>
    <w:rsid w:val="00AD2E7B"/>
    <w:rsid w:val="00AD38FE"/>
    <w:rsid w:val="00AD39C9"/>
    <w:rsid w:val="00AD3ED5"/>
    <w:rsid w:val="00AD3F8C"/>
    <w:rsid w:val="00AD41F0"/>
    <w:rsid w:val="00AD4949"/>
    <w:rsid w:val="00AD4F7E"/>
    <w:rsid w:val="00AD512E"/>
    <w:rsid w:val="00AD5788"/>
    <w:rsid w:val="00AD677B"/>
    <w:rsid w:val="00AD6B07"/>
    <w:rsid w:val="00AD6D09"/>
    <w:rsid w:val="00AD73DE"/>
    <w:rsid w:val="00AD78D1"/>
    <w:rsid w:val="00AD7D96"/>
    <w:rsid w:val="00AD7EB4"/>
    <w:rsid w:val="00AD7F31"/>
    <w:rsid w:val="00AE00A7"/>
    <w:rsid w:val="00AE00DF"/>
    <w:rsid w:val="00AE10DF"/>
    <w:rsid w:val="00AE12E2"/>
    <w:rsid w:val="00AE148A"/>
    <w:rsid w:val="00AE156A"/>
    <w:rsid w:val="00AE1B1E"/>
    <w:rsid w:val="00AE1B75"/>
    <w:rsid w:val="00AE1BAA"/>
    <w:rsid w:val="00AE1C4C"/>
    <w:rsid w:val="00AE30A8"/>
    <w:rsid w:val="00AE3525"/>
    <w:rsid w:val="00AE355D"/>
    <w:rsid w:val="00AE475E"/>
    <w:rsid w:val="00AE4CCC"/>
    <w:rsid w:val="00AE5481"/>
    <w:rsid w:val="00AE54C7"/>
    <w:rsid w:val="00AE59FD"/>
    <w:rsid w:val="00AE5BC7"/>
    <w:rsid w:val="00AE5C47"/>
    <w:rsid w:val="00AE6B68"/>
    <w:rsid w:val="00AE7593"/>
    <w:rsid w:val="00AE789A"/>
    <w:rsid w:val="00AF009B"/>
    <w:rsid w:val="00AF05A2"/>
    <w:rsid w:val="00AF0A2D"/>
    <w:rsid w:val="00AF0AED"/>
    <w:rsid w:val="00AF15E8"/>
    <w:rsid w:val="00AF200F"/>
    <w:rsid w:val="00AF20A4"/>
    <w:rsid w:val="00AF24DE"/>
    <w:rsid w:val="00AF26CB"/>
    <w:rsid w:val="00AF39B6"/>
    <w:rsid w:val="00AF3A06"/>
    <w:rsid w:val="00AF3E95"/>
    <w:rsid w:val="00AF42E0"/>
    <w:rsid w:val="00AF4A86"/>
    <w:rsid w:val="00AF4AF4"/>
    <w:rsid w:val="00AF503B"/>
    <w:rsid w:val="00AF5129"/>
    <w:rsid w:val="00AF573A"/>
    <w:rsid w:val="00AF5899"/>
    <w:rsid w:val="00AF5F5F"/>
    <w:rsid w:val="00AF6729"/>
    <w:rsid w:val="00AF6B5C"/>
    <w:rsid w:val="00AF6E37"/>
    <w:rsid w:val="00AF70B5"/>
    <w:rsid w:val="00AF72D4"/>
    <w:rsid w:val="00AF7DE8"/>
    <w:rsid w:val="00B00091"/>
    <w:rsid w:val="00B003A2"/>
    <w:rsid w:val="00B008F4"/>
    <w:rsid w:val="00B00EFB"/>
    <w:rsid w:val="00B017FB"/>
    <w:rsid w:val="00B01EA8"/>
    <w:rsid w:val="00B02191"/>
    <w:rsid w:val="00B025E8"/>
    <w:rsid w:val="00B03128"/>
    <w:rsid w:val="00B032D0"/>
    <w:rsid w:val="00B03411"/>
    <w:rsid w:val="00B038FA"/>
    <w:rsid w:val="00B03B20"/>
    <w:rsid w:val="00B04B78"/>
    <w:rsid w:val="00B04E68"/>
    <w:rsid w:val="00B058F5"/>
    <w:rsid w:val="00B06FA5"/>
    <w:rsid w:val="00B0750D"/>
    <w:rsid w:val="00B0759E"/>
    <w:rsid w:val="00B075B3"/>
    <w:rsid w:val="00B07714"/>
    <w:rsid w:val="00B07A57"/>
    <w:rsid w:val="00B07AF5"/>
    <w:rsid w:val="00B07B89"/>
    <w:rsid w:val="00B100A9"/>
    <w:rsid w:val="00B1061E"/>
    <w:rsid w:val="00B10FCA"/>
    <w:rsid w:val="00B113C4"/>
    <w:rsid w:val="00B115A5"/>
    <w:rsid w:val="00B11993"/>
    <w:rsid w:val="00B11D9D"/>
    <w:rsid w:val="00B120D8"/>
    <w:rsid w:val="00B12BF3"/>
    <w:rsid w:val="00B12FAD"/>
    <w:rsid w:val="00B13AF7"/>
    <w:rsid w:val="00B13D0F"/>
    <w:rsid w:val="00B13DB8"/>
    <w:rsid w:val="00B140FC"/>
    <w:rsid w:val="00B1463D"/>
    <w:rsid w:val="00B14A67"/>
    <w:rsid w:val="00B14A82"/>
    <w:rsid w:val="00B14B1B"/>
    <w:rsid w:val="00B15AD8"/>
    <w:rsid w:val="00B15BD7"/>
    <w:rsid w:val="00B16CE3"/>
    <w:rsid w:val="00B172A9"/>
    <w:rsid w:val="00B178CD"/>
    <w:rsid w:val="00B17B6B"/>
    <w:rsid w:val="00B202A3"/>
    <w:rsid w:val="00B204DD"/>
    <w:rsid w:val="00B20D74"/>
    <w:rsid w:val="00B21269"/>
    <w:rsid w:val="00B212F8"/>
    <w:rsid w:val="00B2174B"/>
    <w:rsid w:val="00B21764"/>
    <w:rsid w:val="00B217D3"/>
    <w:rsid w:val="00B21A4C"/>
    <w:rsid w:val="00B225A0"/>
    <w:rsid w:val="00B228F6"/>
    <w:rsid w:val="00B23005"/>
    <w:rsid w:val="00B23AF7"/>
    <w:rsid w:val="00B241E4"/>
    <w:rsid w:val="00B24589"/>
    <w:rsid w:val="00B24756"/>
    <w:rsid w:val="00B24950"/>
    <w:rsid w:val="00B2495A"/>
    <w:rsid w:val="00B24F70"/>
    <w:rsid w:val="00B25A47"/>
    <w:rsid w:val="00B25C96"/>
    <w:rsid w:val="00B25E88"/>
    <w:rsid w:val="00B25F5D"/>
    <w:rsid w:val="00B262E0"/>
    <w:rsid w:val="00B2699E"/>
    <w:rsid w:val="00B274A7"/>
    <w:rsid w:val="00B27513"/>
    <w:rsid w:val="00B27781"/>
    <w:rsid w:val="00B315F8"/>
    <w:rsid w:val="00B31672"/>
    <w:rsid w:val="00B32440"/>
    <w:rsid w:val="00B325DD"/>
    <w:rsid w:val="00B32F8C"/>
    <w:rsid w:val="00B332AB"/>
    <w:rsid w:val="00B3334B"/>
    <w:rsid w:val="00B336F5"/>
    <w:rsid w:val="00B33790"/>
    <w:rsid w:val="00B33FC5"/>
    <w:rsid w:val="00B34352"/>
    <w:rsid w:val="00B347CC"/>
    <w:rsid w:val="00B34A16"/>
    <w:rsid w:val="00B34CDB"/>
    <w:rsid w:val="00B353D7"/>
    <w:rsid w:val="00B3565E"/>
    <w:rsid w:val="00B356A9"/>
    <w:rsid w:val="00B35737"/>
    <w:rsid w:val="00B35DFF"/>
    <w:rsid w:val="00B35EA3"/>
    <w:rsid w:val="00B360E5"/>
    <w:rsid w:val="00B3616F"/>
    <w:rsid w:val="00B3633A"/>
    <w:rsid w:val="00B36444"/>
    <w:rsid w:val="00B36532"/>
    <w:rsid w:val="00B3689F"/>
    <w:rsid w:val="00B36CBC"/>
    <w:rsid w:val="00B36FFC"/>
    <w:rsid w:val="00B3754F"/>
    <w:rsid w:val="00B37E1D"/>
    <w:rsid w:val="00B37F7A"/>
    <w:rsid w:val="00B40048"/>
    <w:rsid w:val="00B409BB"/>
    <w:rsid w:val="00B40CF7"/>
    <w:rsid w:val="00B40FB9"/>
    <w:rsid w:val="00B41291"/>
    <w:rsid w:val="00B41A20"/>
    <w:rsid w:val="00B41B3E"/>
    <w:rsid w:val="00B4205C"/>
    <w:rsid w:val="00B421F0"/>
    <w:rsid w:val="00B4228C"/>
    <w:rsid w:val="00B42548"/>
    <w:rsid w:val="00B428EE"/>
    <w:rsid w:val="00B42F65"/>
    <w:rsid w:val="00B43035"/>
    <w:rsid w:val="00B4324E"/>
    <w:rsid w:val="00B43254"/>
    <w:rsid w:val="00B434DC"/>
    <w:rsid w:val="00B4376D"/>
    <w:rsid w:val="00B438F1"/>
    <w:rsid w:val="00B4391A"/>
    <w:rsid w:val="00B43F36"/>
    <w:rsid w:val="00B44290"/>
    <w:rsid w:val="00B44FE5"/>
    <w:rsid w:val="00B45152"/>
    <w:rsid w:val="00B456D8"/>
    <w:rsid w:val="00B45E41"/>
    <w:rsid w:val="00B45E68"/>
    <w:rsid w:val="00B464D2"/>
    <w:rsid w:val="00B46A00"/>
    <w:rsid w:val="00B46D35"/>
    <w:rsid w:val="00B46D62"/>
    <w:rsid w:val="00B474B7"/>
    <w:rsid w:val="00B47AF0"/>
    <w:rsid w:val="00B47FCE"/>
    <w:rsid w:val="00B5027D"/>
    <w:rsid w:val="00B50374"/>
    <w:rsid w:val="00B504EA"/>
    <w:rsid w:val="00B50E95"/>
    <w:rsid w:val="00B512C1"/>
    <w:rsid w:val="00B513FD"/>
    <w:rsid w:val="00B515C0"/>
    <w:rsid w:val="00B51612"/>
    <w:rsid w:val="00B51916"/>
    <w:rsid w:val="00B521E8"/>
    <w:rsid w:val="00B524E0"/>
    <w:rsid w:val="00B52621"/>
    <w:rsid w:val="00B52AAF"/>
    <w:rsid w:val="00B52B55"/>
    <w:rsid w:val="00B5313C"/>
    <w:rsid w:val="00B53215"/>
    <w:rsid w:val="00B5344D"/>
    <w:rsid w:val="00B5359C"/>
    <w:rsid w:val="00B54235"/>
    <w:rsid w:val="00B543C0"/>
    <w:rsid w:val="00B54439"/>
    <w:rsid w:val="00B54710"/>
    <w:rsid w:val="00B54C0B"/>
    <w:rsid w:val="00B54EDC"/>
    <w:rsid w:val="00B5514E"/>
    <w:rsid w:val="00B55437"/>
    <w:rsid w:val="00B55BDC"/>
    <w:rsid w:val="00B55C75"/>
    <w:rsid w:val="00B55E76"/>
    <w:rsid w:val="00B57265"/>
    <w:rsid w:val="00B5797F"/>
    <w:rsid w:val="00B60188"/>
    <w:rsid w:val="00B6041F"/>
    <w:rsid w:val="00B60C41"/>
    <w:rsid w:val="00B60E2B"/>
    <w:rsid w:val="00B62401"/>
    <w:rsid w:val="00B62612"/>
    <w:rsid w:val="00B62B84"/>
    <w:rsid w:val="00B62DAA"/>
    <w:rsid w:val="00B6334A"/>
    <w:rsid w:val="00B63B40"/>
    <w:rsid w:val="00B643C0"/>
    <w:rsid w:val="00B648FE"/>
    <w:rsid w:val="00B64B0E"/>
    <w:rsid w:val="00B64B23"/>
    <w:rsid w:val="00B64D13"/>
    <w:rsid w:val="00B6540A"/>
    <w:rsid w:val="00B654A4"/>
    <w:rsid w:val="00B661B7"/>
    <w:rsid w:val="00B66458"/>
    <w:rsid w:val="00B66AE8"/>
    <w:rsid w:val="00B66C01"/>
    <w:rsid w:val="00B677DB"/>
    <w:rsid w:val="00B6785A"/>
    <w:rsid w:val="00B67BDC"/>
    <w:rsid w:val="00B67E79"/>
    <w:rsid w:val="00B67E96"/>
    <w:rsid w:val="00B70D37"/>
    <w:rsid w:val="00B70DA7"/>
    <w:rsid w:val="00B70E2A"/>
    <w:rsid w:val="00B718F9"/>
    <w:rsid w:val="00B71A19"/>
    <w:rsid w:val="00B71CE6"/>
    <w:rsid w:val="00B71DAC"/>
    <w:rsid w:val="00B72818"/>
    <w:rsid w:val="00B729A4"/>
    <w:rsid w:val="00B72ED5"/>
    <w:rsid w:val="00B7332D"/>
    <w:rsid w:val="00B734B0"/>
    <w:rsid w:val="00B73A24"/>
    <w:rsid w:val="00B73C77"/>
    <w:rsid w:val="00B73F18"/>
    <w:rsid w:val="00B74323"/>
    <w:rsid w:val="00B74661"/>
    <w:rsid w:val="00B74F6E"/>
    <w:rsid w:val="00B75CB4"/>
    <w:rsid w:val="00B75D38"/>
    <w:rsid w:val="00B75D6F"/>
    <w:rsid w:val="00B76188"/>
    <w:rsid w:val="00B77223"/>
    <w:rsid w:val="00B773DE"/>
    <w:rsid w:val="00B77413"/>
    <w:rsid w:val="00B77A1B"/>
    <w:rsid w:val="00B8042E"/>
    <w:rsid w:val="00B806CD"/>
    <w:rsid w:val="00B80BF6"/>
    <w:rsid w:val="00B80E95"/>
    <w:rsid w:val="00B81108"/>
    <w:rsid w:val="00B81202"/>
    <w:rsid w:val="00B81394"/>
    <w:rsid w:val="00B8139F"/>
    <w:rsid w:val="00B815D3"/>
    <w:rsid w:val="00B81924"/>
    <w:rsid w:val="00B81E3F"/>
    <w:rsid w:val="00B82447"/>
    <w:rsid w:val="00B82864"/>
    <w:rsid w:val="00B82A73"/>
    <w:rsid w:val="00B82A78"/>
    <w:rsid w:val="00B82B09"/>
    <w:rsid w:val="00B83294"/>
    <w:rsid w:val="00B837D9"/>
    <w:rsid w:val="00B84097"/>
    <w:rsid w:val="00B841A4"/>
    <w:rsid w:val="00B84674"/>
    <w:rsid w:val="00B848D0"/>
    <w:rsid w:val="00B85127"/>
    <w:rsid w:val="00B85413"/>
    <w:rsid w:val="00B85649"/>
    <w:rsid w:val="00B85CB7"/>
    <w:rsid w:val="00B8622A"/>
    <w:rsid w:val="00B86297"/>
    <w:rsid w:val="00B86CE0"/>
    <w:rsid w:val="00B86E2A"/>
    <w:rsid w:val="00B86E76"/>
    <w:rsid w:val="00B86EBD"/>
    <w:rsid w:val="00B86F62"/>
    <w:rsid w:val="00B87896"/>
    <w:rsid w:val="00B908E3"/>
    <w:rsid w:val="00B90BA6"/>
    <w:rsid w:val="00B90E45"/>
    <w:rsid w:val="00B91843"/>
    <w:rsid w:val="00B92508"/>
    <w:rsid w:val="00B92816"/>
    <w:rsid w:val="00B92886"/>
    <w:rsid w:val="00B92925"/>
    <w:rsid w:val="00B92D53"/>
    <w:rsid w:val="00B92E3C"/>
    <w:rsid w:val="00B92F5E"/>
    <w:rsid w:val="00B932DF"/>
    <w:rsid w:val="00B93530"/>
    <w:rsid w:val="00B9389F"/>
    <w:rsid w:val="00B93969"/>
    <w:rsid w:val="00B93ADD"/>
    <w:rsid w:val="00B943AB"/>
    <w:rsid w:val="00B9489A"/>
    <w:rsid w:val="00B94A68"/>
    <w:rsid w:val="00B94F67"/>
    <w:rsid w:val="00B9513C"/>
    <w:rsid w:val="00B952BC"/>
    <w:rsid w:val="00B9540D"/>
    <w:rsid w:val="00B95546"/>
    <w:rsid w:val="00B95793"/>
    <w:rsid w:val="00B96078"/>
    <w:rsid w:val="00B96507"/>
    <w:rsid w:val="00B96AD5"/>
    <w:rsid w:val="00B96E87"/>
    <w:rsid w:val="00B9709D"/>
    <w:rsid w:val="00B97460"/>
    <w:rsid w:val="00B97561"/>
    <w:rsid w:val="00B97739"/>
    <w:rsid w:val="00B977DF"/>
    <w:rsid w:val="00B9780C"/>
    <w:rsid w:val="00B97CAE"/>
    <w:rsid w:val="00BA1112"/>
    <w:rsid w:val="00BA114D"/>
    <w:rsid w:val="00BA1626"/>
    <w:rsid w:val="00BA190C"/>
    <w:rsid w:val="00BA1B9F"/>
    <w:rsid w:val="00BA2095"/>
    <w:rsid w:val="00BA2147"/>
    <w:rsid w:val="00BA2229"/>
    <w:rsid w:val="00BA24B9"/>
    <w:rsid w:val="00BA25C7"/>
    <w:rsid w:val="00BA2831"/>
    <w:rsid w:val="00BA2D82"/>
    <w:rsid w:val="00BA3130"/>
    <w:rsid w:val="00BA34F1"/>
    <w:rsid w:val="00BA3A82"/>
    <w:rsid w:val="00BA3E58"/>
    <w:rsid w:val="00BA41DE"/>
    <w:rsid w:val="00BA42C2"/>
    <w:rsid w:val="00BA43E1"/>
    <w:rsid w:val="00BA44E8"/>
    <w:rsid w:val="00BA48BF"/>
    <w:rsid w:val="00BA4A8B"/>
    <w:rsid w:val="00BA4FA0"/>
    <w:rsid w:val="00BA545E"/>
    <w:rsid w:val="00BA59AA"/>
    <w:rsid w:val="00BA5D32"/>
    <w:rsid w:val="00BA61B1"/>
    <w:rsid w:val="00BA6C21"/>
    <w:rsid w:val="00BA74E9"/>
    <w:rsid w:val="00BA75AC"/>
    <w:rsid w:val="00BA761A"/>
    <w:rsid w:val="00BA7798"/>
    <w:rsid w:val="00BA788A"/>
    <w:rsid w:val="00BB0AA3"/>
    <w:rsid w:val="00BB0BB4"/>
    <w:rsid w:val="00BB0C57"/>
    <w:rsid w:val="00BB12DE"/>
    <w:rsid w:val="00BB132E"/>
    <w:rsid w:val="00BB16D1"/>
    <w:rsid w:val="00BB1A6A"/>
    <w:rsid w:val="00BB1AEE"/>
    <w:rsid w:val="00BB1B4D"/>
    <w:rsid w:val="00BB1C4F"/>
    <w:rsid w:val="00BB1DFF"/>
    <w:rsid w:val="00BB2451"/>
    <w:rsid w:val="00BB2518"/>
    <w:rsid w:val="00BB2750"/>
    <w:rsid w:val="00BB2EB7"/>
    <w:rsid w:val="00BB32BC"/>
    <w:rsid w:val="00BB3567"/>
    <w:rsid w:val="00BB3723"/>
    <w:rsid w:val="00BB3FE9"/>
    <w:rsid w:val="00BB46E4"/>
    <w:rsid w:val="00BB4769"/>
    <w:rsid w:val="00BB5255"/>
    <w:rsid w:val="00BB5A1B"/>
    <w:rsid w:val="00BB6402"/>
    <w:rsid w:val="00BB67D5"/>
    <w:rsid w:val="00BB69F7"/>
    <w:rsid w:val="00BB70F7"/>
    <w:rsid w:val="00BB7BE3"/>
    <w:rsid w:val="00BB7EB3"/>
    <w:rsid w:val="00BB7F79"/>
    <w:rsid w:val="00BC03DB"/>
    <w:rsid w:val="00BC070E"/>
    <w:rsid w:val="00BC0E26"/>
    <w:rsid w:val="00BC1224"/>
    <w:rsid w:val="00BC15CD"/>
    <w:rsid w:val="00BC1DA9"/>
    <w:rsid w:val="00BC1ED5"/>
    <w:rsid w:val="00BC2BCF"/>
    <w:rsid w:val="00BC30C9"/>
    <w:rsid w:val="00BC33A4"/>
    <w:rsid w:val="00BC3748"/>
    <w:rsid w:val="00BC4243"/>
    <w:rsid w:val="00BC430F"/>
    <w:rsid w:val="00BC4656"/>
    <w:rsid w:val="00BC490E"/>
    <w:rsid w:val="00BC49E4"/>
    <w:rsid w:val="00BC4E6F"/>
    <w:rsid w:val="00BC5420"/>
    <w:rsid w:val="00BC57E6"/>
    <w:rsid w:val="00BC5F29"/>
    <w:rsid w:val="00BC60CF"/>
    <w:rsid w:val="00BC635D"/>
    <w:rsid w:val="00BC6498"/>
    <w:rsid w:val="00BC670F"/>
    <w:rsid w:val="00BC67E5"/>
    <w:rsid w:val="00BC77AD"/>
    <w:rsid w:val="00BC7867"/>
    <w:rsid w:val="00BD0C3A"/>
    <w:rsid w:val="00BD1388"/>
    <w:rsid w:val="00BD1B7A"/>
    <w:rsid w:val="00BD1E14"/>
    <w:rsid w:val="00BD22F1"/>
    <w:rsid w:val="00BD25C4"/>
    <w:rsid w:val="00BD29C5"/>
    <w:rsid w:val="00BD357B"/>
    <w:rsid w:val="00BD373D"/>
    <w:rsid w:val="00BD3A4C"/>
    <w:rsid w:val="00BD3DAD"/>
    <w:rsid w:val="00BD4130"/>
    <w:rsid w:val="00BD4570"/>
    <w:rsid w:val="00BD47BF"/>
    <w:rsid w:val="00BD4956"/>
    <w:rsid w:val="00BD4E7D"/>
    <w:rsid w:val="00BD5036"/>
    <w:rsid w:val="00BD5234"/>
    <w:rsid w:val="00BD5819"/>
    <w:rsid w:val="00BD5AB9"/>
    <w:rsid w:val="00BD639F"/>
    <w:rsid w:val="00BD66D3"/>
    <w:rsid w:val="00BD69DC"/>
    <w:rsid w:val="00BD6ACC"/>
    <w:rsid w:val="00BD6DE0"/>
    <w:rsid w:val="00BD7036"/>
    <w:rsid w:val="00BD7330"/>
    <w:rsid w:val="00BD79C3"/>
    <w:rsid w:val="00BE014C"/>
    <w:rsid w:val="00BE043C"/>
    <w:rsid w:val="00BE04B7"/>
    <w:rsid w:val="00BE0C98"/>
    <w:rsid w:val="00BE0EFF"/>
    <w:rsid w:val="00BE171F"/>
    <w:rsid w:val="00BE17E9"/>
    <w:rsid w:val="00BE1C04"/>
    <w:rsid w:val="00BE24EE"/>
    <w:rsid w:val="00BE256A"/>
    <w:rsid w:val="00BE2849"/>
    <w:rsid w:val="00BE29B9"/>
    <w:rsid w:val="00BE2A31"/>
    <w:rsid w:val="00BE2ACE"/>
    <w:rsid w:val="00BE30C9"/>
    <w:rsid w:val="00BE3817"/>
    <w:rsid w:val="00BE3900"/>
    <w:rsid w:val="00BE39D3"/>
    <w:rsid w:val="00BE3A16"/>
    <w:rsid w:val="00BE3A80"/>
    <w:rsid w:val="00BE4365"/>
    <w:rsid w:val="00BE4571"/>
    <w:rsid w:val="00BE4CE4"/>
    <w:rsid w:val="00BE4E06"/>
    <w:rsid w:val="00BE50D1"/>
    <w:rsid w:val="00BE5927"/>
    <w:rsid w:val="00BE5C51"/>
    <w:rsid w:val="00BE5D14"/>
    <w:rsid w:val="00BE62E8"/>
    <w:rsid w:val="00BE687E"/>
    <w:rsid w:val="00BE69AA"/>
    <w:rsid w:val="00BE7717"/>
    <w:rsid w:val="00BE7D89"/>
    <w:rsid w:val="00BE7DDB"/>
    <w:rsid w:val="00BE7EDC"/>
    <w:rsid w:val="00BF1037"/>
    <w:rsid w:val="00BF1484"/>
    <w:rsid w:val="00BF18AF"/>
    <w:rsid w:val="00BF1D34"/>
    <w:rsid w:val="00BF2037"/>
    <w:rsid w:val="00BF24BC"/>
    <w:rsid w:val="00BF2620"/>
    <w:rsid w:val="00BF35A6"/>
    <w:rsid w:val="00BF3679"/>
    <w:rsid w:val="00BF427D"/>
    <w:rsid w:val="00BF43A1"/>
    <w:rsid w:val="00BF4569"/>
    <w:rsid w:val="00BF46E9"/>
    <w:rsid w:val="00BF4789"/>
    <w:rsid w:val="00BF4F52"/>
    <w:rsid w:val="00BF519D"/>
    <w:rsid w:val="00BF5686"/>
    <w:rsid w:val="00BF5D71"/>
    <w:rsid w:val="00BF6042"/>
    <w:rsid w:val="00BF625A"/>
    <w:rsid w:val="00BF6532"/>
    <w:rsid w:val="00BF6574"/>
    <w:rsid w:val="00BF68E3"/>
    <w:rsid w:val="00BF6AAF"/>
    <w:rsid w:val="00BF6E27"/>
    <w:rsid w:val="00BF7326"/>
    <w:rsid w:val="00BF7423"/>
    <w:rsid w:val="00BF7579"/>
    <w:rsid w:val="00BF7B01"/>
    <w:rsid w:val="00BF7B6F"/>
    <w:rsid w:val="00BF7BFA"/>
    <w:rsid w:val="00C00DF0"/>
    <w:rsid w:val="00C01118"/>
    <w:rsid w:val="00C01352"/>
    <w:rsid w:val="00C02474"/>
    <w:rsid w:val="00C0286E"/>
    <w:rsid w:val="00C02E62"/>
    <w:rsid w:val="00C02EF2"/>
    <w:rsid w:val="00C0324B"/>
    <w:rsid w:val="00C0327C"/>
    <w:rsid w:val="00C04895"/>
    <w:rsid w:val="00C048EC"/>
    <w:rsid w:val="00C04B94"/>
    <w:rsid w:val="00C0609A"/>
    <w:rsid w:val="00C06596"/>
    <w:rsid w:val="00C06635"/>
    <w:rsid w:val="00C0677A"/>
    <w:rsid w:val="00C06D13"/>
    <w:rsid w:val="00C0723D"/>
    <w:rsid w:val="00C074F7"/>
    <w:rsid w:val="00C0754B"/>
    <w:rsid w:val="00C07887"/>
    <w:rsid w:val="00C100CA"/>
    <w:rsid w:val="00C104AB"/>
    <w:rsid w:val="00C109D2"/>
    <w:rsid w:val="00C11446"/>
    <w:rsid w:val="00C11A48"/>
    <w:rsid w:val="00C11CF7"/>
    <w:rsid w:val="00C1208E"/>
    <w:rsid w:val="00C12416"/>
    <w:rsid w:val="00C126AA"/>
    <w:rsid w:val="00C12758"/>
    <w:rsid w:val="00C1285E"/>
    <w:rsid w:val="00C12FE2"/>
    <w:rsid w:val="00C13148"/>
    <w:rsid w:val="00C131BA"/>
    <w:rsid w:val="00C132E0"/>
    <w:rsid w:val="00C137B2"/>
    <w:rsid w:val="00C13840"/>
    <w:rsid w:val="00C13F22"/>
    <w:rsid w:val="00C1451D"/>
    <w:rsid w:val="00C1468A"/>
    <w:rsid w:val="00C15181"/>
    <w:rsid w:val="00C152EC"/>
    <w:rsid w:val="00C1535C"/>
    <w:rsid w:val="00C155E6"/>
    <w:rsid w:val="00C156E6"/>
    <w:rsid w:val="00C159C3"/>
    <w:rsid w:val="00C15DB3"/>
    <w:rsid w:val="00C164BC"/>
    <w:rsid w:val="00C1691F"/>
    <w:rsid w:val="00C16F3C"/>
    <w:rsid w:val="00C17784"/>
    <w:rsid w:val="00C17B19"/>
    <w:rsid w:val="00C204A5"/>
    <w:rsid w:val="00C20B54"/>
    <w:rsid w:val="00C20C9A"/>
    <w:rsid w:val="00C20E1E"/>
    <w:rsid w:val="00C20F2A"/>
    <w:rsid w:val="00C211C9"/>
    <w:rsid w:val="00C2159D"/>
    <w:rsid w:val="00C21671"/>
    <w:rsid w:val="00C21DB9"/>
    <w:rsid w:val="00C21DF2"/>
    <w:rsid w:val="00C221BB"/>
    <w:rsid w:val="00C2256A"/>
    <w:rsid w:val="00C22752"/>
    <w:rsid w:val="00C228CE"/>
    <w:rsid w:val="00C22BEE"/>
    <w:rsid w:val="00C23A82"/>
    <w:rsid w:val="00C23CBE"/>
    <w:rsid w:val="00C23D69"/>
    <w:rsid w:val="00C23E09"/>
    <w:rsid w:val="00C23F7D"/>
    <w:rsid w:val="00C244E2"/>
    <w:rsid w:val="00C25201"/>
    <w:rsid w:val="00C2536B"/>
    <w:rsid w:val="00C258D2"/>
    <w:rsid w:val="00C25C97"/>
    <w:rsid w:val="00C25E2E"/>
    <w:rsid w:val="00C260C9"/>
    <w:rsid w:val="00C26498"/>
    <w:rsid w:val="00C26BC7"/>
    <w:rsid w:val="00C27120"/>
    <w:rsid w:val="00C27151"/>
    <w:rsid w:val="00C2747B"/>
    <w:rsid w:val="00C27E1E"/>
    <w:rsid w:val="00C27EA8"/>
    <w:rsid w:val="00C30716"/>
    <w:rsid w:val="00C3074B"/>
    <w:rsid w:val="00C30AE2"/>
    <w:rsid w:val="00C31076"/>
    <w:rsid w:val="00C31155"/>
    <w:rsid w:val="00C315BC"/>
    <w:rsid w:val="00C318AE"/>
    <w:rsid w:val="00C3191B"/>
    <w:rsid w:val="00C31AA0"/>
    <w:rsid w:val="00C31AF8"/>
    <w:rsid w:val="00C31EA1"/>
    <w:rsid w:val="00C320A8"/>
    <w:rsid w:val="00C321AD"/>
    <w:rsid w:val="00C322E4"/>
    <w:rsid w:val="00C3261D"/>
    <w:rsid w:val="00C32FBF"/>
    <w:rsid w:val="00C3346F"/>
    <w:rsid w:val="00C33734"/>
    <w:rsid w:val="00C33A43"/>
    <w:rsid w:val="00C33A49"/>
    <w:rsid w:val="00C33F0B"/>
    <w:rsid w:val="00C33F77"/>
    <w:rsid w:val="00C3482F"/>
    <w:rsid w:val="00C3499A"/>
    <w:rsid w:val="00C34A53"/>
    <w:rsid w:val="00C34BD0"/>
    <w:rsid w:val="00C34DC2"/>
    <w:rsid w:val="00C34F16"/>
    <w:rsid w:val="00C3533B"/>
    <w:rsid w:val="00C35386"/>
    <w:rsid w:val="00C353F6"/>
    <w:rsid w:val="00C35DFB"/>
    <w:rsid w:val="00C3615E"/>
    <w:rsid w:val="00C361F1"/>
    <w:rsid w:val="00C369AC"/>
    <w:rsid w:val="00C36E4F"/>
    <w:rsid w:val="00C37592"/>
    <w:rsid w:val="00C3773D"/>
    <w:rsid w:val="00C37CCD"/>
    <w:rsid w:val="00C40000"/>
    <w:rsid w:val="00C40025"/>
    <w:rsid w:val="00C40ED9"/>
    <w:rsid w:val="00C416C3"/>
    <w:rsid w:val="00C418D7"/>
    <w:rsid w:val="00C4224E"/>
    <w:rsid w:val="00C42A07"/>
    <w:rsid w:val="00C42A88"/>
    <w:rsid w:val="00C42AA1"/>
    <w:rsid w:val="00C42AE5"/>
    <w:rsid w:val="00C42C05"/>
    <w:rsid w:val="00C4322B"/>
    <w:rsid w:val="00C43475"/>
    <w:rsid w:val="00C43643"/>
    <w:rsid w:val="00C43D9E"/>
    <w:rsid w:val="00C44132"/>
    <w:rsid w:val="00C44248"/>
    <w:rsid w:val="00C442C8"/>
    <w:rsid w:val="00C44918"/>
    <w:rsid w:val="00C44C05"/>
    <w:rsid w:val="00C458EE"/>
    <w:rsid w:val="00C45DB4"/>
    <w:rsid w:val="00C45F94"/>
    <w:rsid w:val="00C461DF"/>
    <w:rsid w:val="00C47616"/>
    <w:rsid w:val="00C47DFD"/>
    <w:rsid w:val="00C50074"/>
    <w:rsid w:val="00C50128"/>
    <w:rsid w:val="00C515F0"/>
    <w:rsid w:val="00C51A40"/>
    <w:rsid w:val="00C51B55"/>
    <w:rsid w:val="00C52286"/>
    <w:rsid w:val="00C526DA"/>
    <w:rsid w:val="00C527A6"/>
    <w:rsid w:val="00C52808"/>
    <w:rsid w:val="00C5296B"/>
    <w:rsid w:val="00C52B54"/>
    <w:rsid w:val="00C52D9B"/>
    <w:rsid w:val="00C52D9F"/>
    <w:rsid w:val="00C53063"/>
    <w:rsid w:val="00C533C1"/>
    <w:rsid w:val="00C53AE5"/>
    <w:rsid w:val="00C53B78"/>
    <w:rsid w:val="00C53D70"/>
    <w:rsid w:val="00C5409B"/>
    <w:rsid w:val="00C542D9"/>
    <w:rsid w:val="00C544A0"/>
    <w:rsid w:val="00C54874"/>
    <w:rsid w:val="00C54BD0"/>
    <w:rsid w:val="00C55057"/>
    <w:rsid w:val="00C55AD6"/>
    <w:rsid w:val="00C55F13"/>
    <w:rsid w:val="00C55FBA"/>
    <w:rsid w:val="00C561F0"/>
    <w:rsid w:val="00C568D0"/>
    <w:rsid w:val="00C56D0F"/>
    <w:rsid w:val="00C574CB"/>
    <w:rsid w:val="00C57A7C"/>
    <w:rsid w:val="00C57BDF"/>
    <w:rsid w:val="00C57EBE"/>
    <w:rsid w:val="00C600E8"/>
    <w:rsid w:val="00C600EA"/>
    <w:rsid w:val="00C607C3"/>
    <w:rsid w:val="00C60822"/>
    <w:rsid w:val="00C60BD5"/>
    <w:rsid w:val="00C60EFB"/>
    <w:rsid w:val="00C61467"/>
    <w:rsid w:val="00C61ADA"/>
    <w:rsid w:val="00C61B12"/>
    <w:rsid w:val="00C61B9B"/>
    <w:rsid w:val="00C62309"/>
    <w:rsid w:val="00C62428"/>
    <w:rsid w:val="00C6255B"/>
    <w:rsid w:val="00C62EB7"/>
    <w:rsid w:val="00C6315A"/>
    <w:rsid w:val="00C635E2"/>
    <w:rsid w:val="00C63CE5"/>
    <w:rsid w:val="00C63E3B"/>
    <w:rsid w:val="00C64BA2"/>
    <w:rsid w:val="00C650B5"/>
    <w:rsid w:val="00C652D3"/>
    <w:rsid w:val="00C653FE"/>
    <w:rsid w:val="00C654E2"/>
    <w:rsid w:val="00C65AD7"/>
    <w:rsid w:val="00C65D1B"/>
    <w:rsid w:val="00C663E8"/>
    <w:rsid w:val="00C6685B"/>
    <w:rsid w:val="00C66980"/>
    <w:rsid w:val="00C66A48"/>
    <w:rsid w:val="00C66BF3"/>
    <w:rsid w:val="00C675B3"/>
    <w:rsid w:val="00C67626"/>
    <w:rsid w:val="00C6768A"/>
    <w:rsid w:val="00C67C9B"/>
    <w:rsid w:val="00C67F71"/>
    <w:rsid w:val="00C70AA2"/>
    <w:rsid w:val="00C71948"/>
    <w:rsid w:val="00C71B18"/>
    <w:rsid w:val="00C71B31"/>
    <w:rsid w:val="00C71CF8"/>
    <w:rsid w:val="00C72AF4"/>
    <w:rsid w:val="00C72B52"/>
    <w:rsid w:val="00C72C09"/>
    <w:rsid w:val="00C72E00"/>
    <w:rsid w:val="00C731F5"/>
    <w:rsid w:val="00C734A1"/>
    <w:rsid w:val="00C73B26"/>
    <w:rsid w:val="00C73DD9"/>
    <w:rsid w:val="00C74446"/>
    <w:rsid w:val="00C74543"/>
    <w:rsid w:val="00C748EB"/>
    <w:rsid w:val="00C74B67"/>
    <w:rsid w:val="00C74EDB"/>
    <w:rsid w:val="00C7506E"/>
    <w:rsid w:val="00C75107"/>
    <w:rsid w:val="00C75555"/>
    <w:rsid w:val="00C7595B"/>
    <w:rsid w:val="00C75995"/>
    <w:rsid w:val="00C75B44"/>
    <w:rsid w:val="00C75D51"/>
    <w:rsid w:val="00C75FC0"/>
    <w:rsid w:val="00C763C9"/>
    <w:rsid w:val="00C7668D"/>
    <w:rsid w:val="00C76758"/>
    <w:rsid w:val="00C768CC"/>
    <w:rsid w:val="00C76CE2"/>
    <w:rsid w:val="00C76EE9"/>
    <w:rsid w:val="00C77279"/>
    <w:rsid w:val="00C7745B"/>
    <w:rsid w:val="00C77495"/>
    <w:rsid w:val="00C77672"/>
    <w:rsid w:val="00C80120"/>
    <w:rsid w:val="00C80204"/>
    <w:rsid w:val="00C80967"/>
    <w:rsid w:val="00C80FE5"/>
    <w:rsid w:val="00C81043"/>
    <w:rsid w:val="00C81442"/>
    <w:rsid w:val="00C8159F"/>
    <w:rsid w:val="00C818CE"/>
    <w:rsid w:val="00C824ED"/>
    <w:rsid w:val="00C82660"/>
    <w:rsid w:val="00C82BC6"/>
    <w:rsid w:val="00C82D35"/>
    <w:rsid w:val="00C83335"/>
    <w:rsid w:val="00C83852"/>
    <w:rsid w:val="00C83C28"/>
    <w:rsid w:val="00C842D0"/>
    <w:rsid w:val="00C8434A"/>
    <w:rsid w:val="00C8436E"/>
    <w:rsid w:val="00C84716"/>
    <w:rsid w:val="00C84891"/>
    <w:rsid w:val="00C848F0"/>
    <w:rsid w:val="00C84B18"/>
    <w:rsid w:val="00C84DBA"/>
    <w:rsid w:val="00C84DF8"/>
    <w:rsid w:val="00C84EA5"/>
    <w:rsid w:val="00C84F76"/>
    <w:rsid w:val="00C85171"/>
    <w:rsid w:val="00C85420"/>
    <w:rsid w:val="00C85C08"/>
    <w:rsid w:val="00C86228"/>
    <w:rsid w:val="00C86544"/>
    <w:rsid w:val="00C86619"/>
    <w:rsid w:val="00C86B8F"/>
    <w:rsid w:val="00C87396"/>
    <w:rsid w:val="00C874F1"/>
    <w:rsid w:val="00C8779C"/>
    <w:rsid w:val="00C87AF5"/>
    <w:rsid w:val="00C90449"/>
    <w:rsid w:val="00C90729"/>
    <w:rsid w:val="00C91AF3"/>
    <w:rsid w:val="00C920EE"/>
    <w:rsid w:val="00C924B5"/>
    <w:rsid w:val="00C924C5"/>
    <w:rsid w:val="00C92673"/>
    <w:rsid w:val="00C927DD"/>
    <w:rsid w:val="00C92AFB"/>
    <w:rsid w:val="00C92BB0"/>
    <w:rsid w:val="00C92C03"/>
    <w:rsid w:val="00C93005"/>
    <w:rsid w:val="00C93BAC"/>
    <w:rsid w:val="00C942F1"/>
    <w:rsid w:val="00C9437D"/>
    <w:rsid w:val="00C94903"/>
    <w:rsid w:val="00C94A7A"/>
    <w:rsid w:val="00C94C4A"/>
    <w:rsid w:val="00C953C5"/>
    <w:rsid w:val="00C954DE"/>
    <w:rsid w:val="00C95C32"/>
    <w:rsid w:val="00C95E18"/>
    <w:rsid w:val="00C96032"/>
    <w:rsid w:val="00C960F2"/>
    <w:rsid w:val="00C960F9"/>
    <w:rsid w:val="00C96192"/>
    <w:rsid w:val="00C968CF"/>
    <w:rsid w:val="00C96923"/>
    <w:rsid w:val="00C96A7A"/>
    <w:rsid w:val="00C96A80"/>
    <w:rsid w:val="00C96AD5"/>
    <w:rsid w:val="00C96B8A"/>
    <w:rsid w:val="00C96CEF"/>
    <w:rsid w:val="00C97ED6"/>
    <w:rsid w:val="00C97EF5"/>
    <w:rsid w:val="00C97EFF"/>
    <w:rsid w:val="00CA0A9D"/>
    <w:rsid w:val="00CA0C7A"/>
    <w:rsid w:val="00CA1578"/>
    <w:rsid w:val="00CA163A"/>
    <w:rsid w:val="00CA1BB5"/>
    <w:rsid w:val="00CA263B"/>
    <w:rsid w:val="00CA2BC5"/>
    <w:rsid w:val="00CA31FB"/>
    <w:rsid w:val="00CA351D"/>
    <w:rsid w:val="00CA3B8B"/>
    <w:rsid w:val="00CA4293"/>
    <w:rsid w:val="00CA4D42"/>
    <w:rsid w:val="00CA530F"/>
    <w:rsid w:val="00CA53BB"/>
    <w:rsid w:val="00CA55EF"/>
    <w:rsid w:val="00CA5988"/>
    <w:rsid w:val="00CA59C7"/>
    <w:rsid w:val="00CA5D9A"/>
    <w:rsid w:val="00CA6241"/>
    <w:rsid w:val="00CA6F97"/>
    <w:rsid w:val="00CA738D"/>
    <w:rsid w:val="00CA7741"/>
    <w:rsid w:val="00CA7BCB"/>
    <w:rsid w:val="00CB00CE"/>
    <w:rsid w:val="00CB0880"/>
    <w:rsid w:val="00CB0D77"/>
    <w:rsid w:val="00CB183C"/>
    <w:rsid w:val="00CB1873"/>
    <w:rsid w:val="00CB1E20"/>
    <w:rsid w:val="00CB1E9D"/>
    <w:rsid w:val="00CB1FA4"/>
    <w:rsid w:val="00CB24C3"/>
    <w:rsid w:val="00CB24F7"/>
    <w:rsid w:val="00CB28FF"/>
    <w:rsid w:val="00CB2E48"/>
    <w:rsid w:val="00CB2F78"/>
    <w:rsid w:val="00CB2FAF"/>
    <w:rsid w:val="00CB316D"/>
    <w:rsid w:val="00CB3181"/>
    <w:rsid w:val="00CB3216"/>
    <w:rsid w:val="00CB44EF"/>
    <w:rsid w:val="00CB556A"/>
    <w:rsid w:val="00CB5753"/>
    <w:rsid w:val="00CB57BD"/>
    <w:rsid w:val="00CB5BC6"/>
    <w:rsid w:val="00CB5E97"/>
    <w:rsid w:val="00CB6746"/>
    <w:rsid w:val="00CB68B8"/>
    <w:rsid w:val="00CB6FEC"/>
    <w:rsid w:val="00CB7817"/>
    <w:rsid w:val="00CB7838"/>
    <w:rsid w:val="00CB7A9A"/>
    <w:rsid w:val="00CC05D9"/>
    <w:rsid w:val="00CC0B67"/>
    <w:rsid w:val="00CC108E"/>
    <w:rsid w:val="00CC126B"/>
    <w:rsid w:val="00CC15AC"/>
    <w:rsid w:val="00CC1653"/>
    <w:rsid w:val="00CC1B4E"/>
    <w:rsid w:val="00CC1C6C"/>
    <w:rsid w:val="00CC22A6"/>
    <w:rsid w:val="00CC265D"/>
    <w:rsid w:val="00CC2ADC"/>
    <w:rsid w:val="00CC3391"/>
    <w:rsid w:val="00CC3A44"/>
    <w:rsid w:val="00CC3A96"/>
    <w:rsid w:val="00CC3B65"/>
    <w:rsid w:val="00CC3FF6"/>
    <w:rsid w:val="00CC4086"/>
    <w:rsid w:val="00CC4175"/>
    <w:rsid w:val="00CC497F"/>
    <w:rsid w:val="00CC4DDF"/>
    <w:rsid w:val="00CC5A48"/>
    <w:rsid w:val="00CC5CE8"/>
    <w:rsid w:val="00CC6750"/>
    <w:rsid w:val="00CC7780"/>
    <w:rsid w:val="00CC79FF"/>
    <w:rsid w:val="00CC7CAD"/>
    <w:rsid w:val="00CC7F07"/>
    <w:rsid w:val="00CD00DC"/>
    <w:rsid w:val="00CD0281"/>
    <w:rsid w:val="00CD0B02"/>
    <w:rsid w:val="00CD1395"/>
    <w:rsid w:val="00CD2396"/>
    <w:rsid w:val="00CD25C8"/>
    <w:rsid w:val="00CD27A5"/>
    <w:rsid w:val="00CD2CBD"/>
    <w:rsid w:val="00CD2D35"/>
    <w:rsid w:val="00CD31D5"/>
    <w:rsid w:val="00CD38D7"/>
    <w:rsid w:val="00CD397B"/>
    <w:rsid w:val="00CD3CC7"/>
    <w:rsid w:val="00CD4508"/>
    <w:rsid w:val="00CD4959"/>
    <w:rsid w:val="00CD4B14"/>
    <w:rsid w:val="00CD55CA"/>
    <w:rsid w:val="00CD56E3"/>
    <w:rsid w:val="00CD5CFC"/>
    <w:rsid w:val="00CD613D"/>
    <w:rsid w:val="00CD629E"/>
    <w:rsid w:val="00CD6ECE"/>
    <w:rsid w:val="00CD790F"/>
    <w:rsid w:val="00CD7C5F"/>
    <w:rsid w:val="00CE001E"/>
    <w:rsid w:val="00CE0323"/>
    <w:rsid w:val="00CE11EA"/>
    <w:rsid w:val="00CE1204"/>
    <w:rsid w:val="00CE131B"/>
    <w:rsid w:val="00CE1437"/>
    <w:rsid w:val="00CE1514"/>
    <w:rsid w:val="00CE1B76"/>
    <w:rsid w:val="00CE1BC6"/>
    <w:rsid w:val="00CE22D7"/>
    <w:rsid w:val="00CE23E3"/>
    <w:rsid w:val="00CE2AFD"/>
    <w:rsid w:val="00CE336D"/>
    <w:rsid w:val="00CE37AA"/>
    <w:rsid w:val="00CE3814"/>
    <w:rsid w:val="00CE39E3"/>
    <w:rsid w:val="00CE3F67"/>
    <w:rsid w:val="00CE41AD"/>
    <w:rsid w:val="00CE4248"/>
    <w:rsid w:val="00CE51C8"/>
    <w:rsid w:val="00CE5E74"/>
    <w:rsid w:val="00CE5EE3"/>
    <w:rsid w:val="00CE60C9"/>
    <w:rsid w:val="00CE6536"/>
    <w:rsid w:val="00CE6FBA"/>
    <w:rsid w:val="00CE6FF0"/>
    <w:rsid w:val="00CE7CD8"/>
    <w:rsid w:val="00CE7DDF"/>
    <w:rsid w:val="00CF0415"/>
    <w:rsid w:val="00CF07C6"/>
    <w:rsid w:val="00CF08F9"/>
    <w:rsid w:val="00CF0B71"/>
    <w:rsid w:val="00CF0E5E"/>
    <w:rsid w:val="00CF0EA3"/>
    <w:rsid w:val="00CF0FC1"/>
    <w:rsid w:val="00CF104A"/>
    <w:rsid w:val="00CF162E"/>
    <w:rsid w:val="00CF23B2"/>
    <w:rsid w:val="00CF265B"/>
    <w:rsid w:val="00CF26A8"/>
    <w:rsid w:val="00CF2CAB"/>
    <w:rsid w:val="00CF2E90"/>
    <w:rsid w:val="00CF39AA"/>
    <w:rsid w:val="00CF42CC"/>
    <w:rsid w:val="00CF42E4"/>
    <w:rsid w:val="00CF4C05"/>
    <w:rsid w:val="00CF4D83"/>
    <w:rsid w:val="00CF5048"/>
    <w:rsid w:val="00CF560B"/>
    <w:rsid w:val="00CF578C"/>
    <w:rsid w:val="00CF599B"/>
    <w:rsid w:val="00CF5F76"/>
    <w:rsid w:val="00CF6289"/>
    <w:rsid w:val="00CF675E"/>
    <w:rsid w:val="00CF74E0"/>
    <w:rsid w:val="00D004D6"/>
    <w:rsid w:val="00D00846"/>
    <w:rsid w:val="00D0114F"/>
    <w:rsid w:val="00D01F0F"/>
    <w:rsid w:val="00D01F5B"/>
    <w:rsid w:val="00D03071"/>
    <w:rsid w:val="00D03532"/>
    <w:rsid w:val="00D037CA"/>
    <w:rsid w:val="00D04454"/>
    <w:rsid w:val="00D0476B"/>
    <w:rsid w:val="00D0476C"/>
    <w:rsid w:val="00D0551A"/>
    <w:rsid w:val="00D05682"/>
    <w:rsid w:val="00D056F6"/>
    <w:rsid w:val="00D0582E"/>
    <w:rsid w:val="00D0672C"/>
    <w:rsid w:val="00D06C56"/>
    <w:rsid w:val="00D06E2E"/>
    <w:rsid w:val="00D06FC8"/>
    <w:rsid w:val="00D0702F"/>
    <w:rsid w:val="00D07197"/>
    <w:rsid w:val="00D073B6"/>
    <w:rsid w:val="00D07571"/>
    <w:rsid w:val="00D075AB"/>
    <w:rsid w:val="00D07F54"/>
    <w:rsid w:val="00D105F7"/>
    <w:rsid w:val="00D107FF"/>
    <w:rsid w:val="00D108DF"/>
    <w:rsid w:val="00D10B02"/>
    <w:rsid w:val="00D10DB8"/>
    <w:rsid w:val="00D1119D"/>
    <w:rsid w:val="00D1149D"/>
    <w:rsid w:val="00D115C8"/>
    <w:rsid w:val="00D11F5E"/>
    <w:rsid w:val="00D12C69"/>
    <w:rsid w:val="00D133B7"/>
    <w:rsid w:val="00D13415"/>
    <w:rsid w:val="00D136BF"/>
    <w:rsid w:val="00D13968"/>
    <w:rsid w:val="00D13BA6"/>
    <w:rsid w:val="00D13E7B"/>
    <w:rsid w:val="00D14552"/>
    <w:rsid w:val="00D14B35"/>
    <w:rsid w:val="00D14BE3"/>
    <w:rsid w:val="00D14FEA"/>
    <w:rsid w:val="00D158D2"/>
    <w:rsid w:val="00D1669A"/>
    <w:rsid w:val="00D167C6"/>
    <w:rsid w:val="00D167D2"/>
    <w:rsid w:val="00D170CD"/>
    <w:rsid w:val="00D17340"/>
    <w:rsid w:val="00D17534"/>
    <w:rsid w:val="00D17A02"/>
    <w:rsid w:val="00D20085"/>
    <w:rsid w:val="00D201A6"/>
    <w:rsid w:val="00D20354"/>
    <w:rsid w:val="00D206F4"/>
    <w:rsid w:val="00D2070D"/>
    <w:rsid w:val="00D20826"/>
    <w:rsid w:val="00D208E1"/>
    <w:rsid w:val="00D20C0D"/>
    <w:rsid w:val="00D20F83"/>
    <w:rsid w:val="00D210A0"/>
    <w:rsid w:val="00D21165"/>
    <w:rsid w:val="00D2183C"/>
    <w:rsid w:val="00D21AF1"/>
    <w:rsid w:val="00D21AFA"/>
    <w:rsid w:val="00D21C10"/>
    <w:rsid w:val="00D2226E"/>
    <w:rsid w:val="00D22664"/>
    <w:rsid w:val="00D22EC0"/>
    <w:rsid w:val="00D233D1"/>
    <w:rsid w:val="00D23AAB"/>
    <w:rsid w:val="00D24532"/>
    <w:rsid w:val="00D24623"/>
    <w:rsid w:val="00D24BE6"/>
    <w:rsid w:val="00D24E01"/>
    <w:rsid w:val="00D24E91"/>
    <w:rsid w:val="00D254D4"/>
    <w:rsid w:val="00D259D4"/>
    <w:rsid w:val="00D25A55"/>
    <w:rsid w:val="00D25F54"/>
    <w:rsid w:val="00D26445"/>
    <w:rsid w:val="00D26A09"/>
    <w:rsid w:val="00D26BD4"/>
    <w:rsid w:val="00D26DAD"/>
    <w:rsid w:val="00D26E48"/>
    <w:rsid w:val="00D270CD"/>
    <w:rsid w:val="00D274A2"/>
    <w:rsid w:val="00D302B7"/>
    <w:rsid w:val="00D30670"/>
    <w:rsid w:val="00D30DA7"/>
    <w:rsid w:val="00D30DE9"/>
    <w:rsid w:val="00D3172A"/>
    <w:rsid w:val="00D31E37"/>
    <w:rsid w:val="00D32243"/>
    <w:rsid w:val="00D3229D"/>
    <w:rsid w:val="00D324C7"/>
    <w:rsid w:val="00D328F0"/>
    <w:rsid w:val="00D32C83"/>
    <w:rsid w:val="00D34079"/>
    <w:rsid w:val="00D34251"/>
    <w:rsid w:val="00D34461"/>
    <w:rsid w:val="00D345E8"/>
    <w:rsid w:val="00D3490D"/>
    <w:rsid w:val="00D34A03"/>
    <w:rsid w:val="00D35043"/>
    <w:rsid w:val="00D351EF"/>
    <w:rsid w:val="00D354D4"/>
    <w:rsid w:val="00D355E1"/>
    <w:rsid w:val="00D356B5"/>
    <w:rsid w:val="00D35E7A"/>
    <w:rsid w:val="00D36036"/>
    <w:rsid w:val="00D36BFF"/>
    <w:rsid w:val="00D37227"/>
    <w:rsid w:val="00D3744E"/>
    <w:rsid w:val="00D40093"/>
    <w:rsid w:val="00D4015C"/>
    <w:rsid w:val="00D4042F"/>
    <w:rsid w:val="00D40E95"/>
    <w:rsid w:val="00D413B3"/>
    <w:rsid w:val="00D41B66"/>
    <w:rsid w:val="00D41B8A"/>
    <w:rsid w:val="00D41EAC"/>
    <w:rsid w:val="00D42960"/>
    <w:rsid w:val="00D42B4C"/>
    <w:rsid w:val="00D42DAD"/>
    <w:rsid w:val="00D434E0"/>
    <w:rsid w:val="00D43656"/>
    <w:rsid w:val="00D43ED9"/>
    <w:rsid w:val="00D441AD"/>
    <w:rsid w:val="00D442A1"/>
    <w:rsid w:val="00D44666"/>
    <w:rsid w:val="00D461C1"/>
    <w:rsid w:val="00D466D8"/>
    <w:rsid w:val="00D467A3"/>
    <w:rsid w:val="00D46966"/>
    <w:rsid w:val="00D46CE9"/>
    <w:rsid w:val="00D46D9A"/>
    <w:rsid w:val="00D470C3"/>
    <w:rsid w:val="00D473AB"/>
    <w:rsid w:val="00D47F04"/>
    <w:rsid w:val="00D501D9"/>
    <w:rsid w:val="00D50A78"/>
    <w:rsid w:val="00D51537"/>
    <w:rsid w:val="00D51767"/>
    <w:rsid w:val="00D51E3E"/>
    <w:rsid w:val="00D51F0D"/>
    <w:rsid w:val="00D52C72"/>
    <w:rsid w:val="00D52DFD"/>
    <w:rsid w:val="00D53230"/>
    <w:rsid w:val="00D53292"/>
    <w:rsid w:val="00D533FB"/>
    <w:rsid w:val="00D53794"/>
    <w:rsid w:val="00D537ED"/>
    <w:rsid w:val="00D5388D"/>
    <w:rsid w:val="00D53A95"/>
    <w:rsid w:val="00D53F11"/>
    <w:rsid w:val="00D54B71"/>
    <w:rsid w:val="00D54D0F"/>
    <w:rsid w:val="00D5508C"/>
    <w:rsid w:val="00D55894"/>
    <w:rsid w:val="00D56323"/>
    <w:rsid w:val="00D565ED"/>
    <w:rsid w:val="00D565FE"/>
    <w:rsid w:val="00D56857"/>
    <w:rsid w:val="00D569DD"/>
    <w:rsid w:val="00D56BE9"/>
    <w:rsid w:val="00D57108"/>
    <w:rsid w:val="00D57184"/>
    <w:rsid w:val="00D57D4A"/>
    <w:rsid w:val="00D60E8B"/>
    <w:rsid w:val="00D614A4"/>
    <w:rsid w:val="00D614B1"/>
    <w:rsid w:val="00D61857"/>
    <w:rsid w:val="00D61EB0"/>
    <w:rsid w:val="00D622A0"/>
    <w:rsid w:val="00D62B16"/>
    <w:rsid w:val="00D62BBC"/>
    <w:rsid w:val="00D62C57"/>
    <w:rsid w:val="00D62C60"/>
    <w:rsid w:val="00D63282"/>
    <w:rsid w:val="00D63B5A"/>
    <w:rsid w:val="00D63C7A"/>
    <w:rsid w:val="00D63DA5"/>
    <w:rsid w:val="00D647A0"/>
    <w:rsid w:val="00D64BAF"/>
    <w:rsid w:val="00D64D3C"/>
    <w:rsid w:val="00D6511F"/>
    <w:rsid w:val="00D65A06"/>
    <w:rsid w:val="00D65C67"/>
    <w:rsid w:val="00D66617"/>
    <w:rsid w:val="00D66D9F"/>
    <w:rsid w:val="00D66F22"/>
    <w:rsid w:val="00D671D1"/>
    <w:rsid w:val="00D67396"/>
    <w:rsid w:val="00D67595"/>
    <w:rsid w:val="00D67BDA"/>
    <w:rsid w:val="00D71394"/>
    <w:rsid w:val="00D7142D"/>
    <w:rsid w:val="00D7149C"/>
    <w:rsid w:val="00D71823"/>
    <w:rsid w:val="00D71B93"/>
    <w:rsid w:val="00D71E17"/>
    <w:rsid w:val="00D722C5"/>
    <w:rsid w:val="00D724C4"/>
    <w:rsid w:val="00D72A9C"/>
    <w:rsid w:val="00D7390C"/>
    <w:rsid w:val="00D73AA0"/>
    <w:rsid w:val="00D73D07"/>
    <w:rsid w:val="00D73E14"/>
    <w:rsid w:val="00D73F50"/>
    <w:rsid w:val="00D746E3"/>
    <w:rsid w:val="00D74888"/>
    <w:rsid w:val="00D74CB3"/>
    <w:rsid w:val="00D74DCC"/>
    <w:rsid w:val="00D7583A"/>
    <w:rsid w:val="00D75A81"/>
    <w:rsid w:val="00D75E00"/>
    <w:rsid w:val="00D75E5C"/>
    <w:rsid w:val="00D766FB"/>
    <w:rsid w:val="00D76EEE"/>
    <w:rsid w:val="00D77659"/>
    <w:rsid w:val="00D800A0"/>
    <w:rsid w:val="00D80CF3"/>
    <w:rsid w:val="00D80D1F"/>
    <w:rsid w:val="00D80EB2"/>
    <w:rsid w:val="00D80EE8"/>
    <w:rsid w:val="00D81164"/>
    <w:rsid w:val="00D81E27"/>
    <w:rsid w:val="00D81F85"/>
    <w:rsid w:val="00D82120"/>
    <w:rsid w:val="00D8306E"/>
    <w:rsid w:val="00D831A3"/>
    <w:rsid w:val="00D83231"/>
    <w:rsid w:val="00D83353"/>
    <w:rsid w:val="00D8351C"/>
    <w:rsid w:val="00D83998"/>
    <w:rsid w:val="00D83B20"/>
    <w:rsid w:val="00D840D6"/>
    <w:rsid w:val="00D84C81"/>
    <w:rsid w:val="00D84DD4"/>
    <w:rsid w:val="00D84F4C"/>
    <w:rsid w:val="00D84F78"/>
    <w:rsid w:val="00D8502D"/>
    <w:rsid w:val="00D8558C"/>
    <w:rsid w:val="00D85ACA"/>
    <w:rsid w:val="00D85BD7"/>
    <w:rsid w:val="00D867A0"/>
    <w:rsid w:val="00D867CD"/>
    <w:rsid w:val="00D868D1"/>
    <w:rsid w:val="00D873A4"/>
    <w:rsid w:val="00D876EC"/>
    <w:rsid w:val="00D878F6"/>
    <w:rsid w:val="00D87D55"/>
    <w:rsid w:val="00D87FC7"/>
    <w:rsid w:val="00D90501"/>
    <w:rsid w:val="00D90690"/>
    <w:rsid w:val="00D907E5"/>
    <w:rsid w:val="00D9097C"/>
    <w:rsid w:val="00D90AF9"/>
    <w:rsid w:val="00D91091"/>
    <w:rsid w:val="00D91272"/>
    <w:rsid w:val="00D912F9"/>
    <w:rsid w:val="00D9261E"/>
    <w:rsid w:val="00D92A9F"/>
    <w:rsid w:val="00D9307D"/>
    <w:rsid w:val="00D933FF"/>
    <w:rsid w:val="00D93FAC"/>
    <w:rsid w:val="00D9453B"/>
    <w:rsid w:val="00D94C1C"/>
    <w:rsid w:val="00D94E0F"/>
    <w:rsid w:val="00D94ED2"/>
    <w:rsid w:val="00D955DE"/>
    <w:rsid w:val="00D95645"/>
    <w:rsid w:val="00D95AA8"/>
    <w:rsid w:val="00D965D3"/>
    <w:rsid w:val="00D96CBD"/>
    <w:rsid w:val="00D96CC6"/>
    <w:rsid w:val="00D970A5"/>
    <w:rsid w:val="00D97A58"/>
    <w:rsid w:val="00D97ABA"/>
    <w:rsid w:val="00D97BE4"/>
    <w:rsid w:val="00DA003A"/>
    <w:rsid w:val="00DA05E3"/>
    <w:rsid w:val="00DA0DB0"/>
    <w:rsid w:val="00DA11CC"/>
    <w:rsid w:val="00DA1382"/>
    <w:rsid w:val="00DA16E8"/>
    <w:rsid w:val="00DA1E95"/>
    <w:rsid w:val="00DA2419"/>
    <w:rsid w:val="00DA2630"/>
    <w:rsid w:val="00DA2CAC"/>
    <w:rsid w:val="00DA2D67"/>
    <w:rsid w:val="00DA2E5C"/>
    <w:rsid w:val="00DA31AF"/>
    <w:rsid w:val="00DA3412"/>
    <w:rsid w:val="00DA39BE"/>
    <w:rsid w:val="00DA3FDD"/>
    <w:rsid w:val="00DA53FE"/>
    <w:rsid w:val="00DA5C2A"/>
    <w:rsid w:val="00DA5D43"/>
    <w:rsid w:val="00DA6546"/>
    <w:rsid w:val="00DA6ABD"/>
    <w:rsid w:val="00DA6CB1"/>
    <w:rsid w:val="00DA6D47"/>
    <w:rsid w:val="00DA7457"/>
    <w:rsid w:val="00DA77F4"/>
    <w:rsid w:val="00DA7946"/>
    <w:rsid w:val="00DA7AF3"/>
    <w:rsid w:val="00DB05C4"/>
    <w:rsid w:val="00DB0871"/>
    <w:rsid w:val="00DB102C"/>
    <w:rsid w:val="00DB11E0"/>
    <w:rsid w:val="00DB13FE"/>
    <w:rsid w:val="00DB1592"/>
    <w:rsid w:val="00DB2B81"/>
    <w:rsid w:val="00DB2D76"/>
    <w:rsid w:val="00DB30A8"/>
    <w:rsid w:val="00DB3D4E"/>
    <w:rsid w:val="00DB3DC2"/>
    <w:rsid w:val="00DB427A"/>
    <w:rsid w:val="00DB452D"/>
    <w:rsid w:val="00DB484D"/>
    <w:rsid w:val="00DB4C61"/>
    <w:rsid w:val="00DB4F05"/>
    <w:rsid w:val="00DB50B6"/>
    <w:rsid w:val="00DB5543"/>
    <w:rsid w:val="00DB56D4"/>
    <w:rsid w:val="00DB5A75"/>
    <w:rsid w:val="00DB60EA"/>
    <w:rsid w:val="00DB64CD"/>
    <w:rsid w:val="00DB6602"/>
    <w:rsid w:val="00DB662A"/>
    <w:rsid w:val="00DB6B75"/>
    <w:rsid w:val="00DB70C1"/>
    <w:rsid w:val="00DB73DC"/>
    <w:rsid w:val="00DB75CF"/>
    <w:rsid w:val="00DB7612"/>
    <w:rsid w:val="00DC0121"/>
    <w:rsid w:val="00DC023C"/>
    <w:rsid w:val="00DC0771"/>
    <w:rsid w:val="00DC0A6B"/>
    <w:rsid w:val="00DC110F"/>
    <w:rsid w:val="00DC1439"/>
    <w:rsid w:val="00DC1468"/>
    <w:rsid w:val="00DC18ED"/>
    <w:rsid w:val="00DC1919"/>
    <w:rsid w:val="00DC1C02"/>
    <w:rsid w:val="00DC1DF0"/>
    <w:rsid w:val="00DC223A"/>
    <w:rsid w:val="00DC228A"/>
    <w:rsid w:val="00DC29F6"/>
    <w:rsid w:val="00DC2B01"/>
    <w:rsid w:val="00DC2F87"/>
    <w:rsid w:val="00DC35AF"/>
    <w:rsid w:val="00DC3BE5"/>
    <w:rsid w:val="00DC4EC5"/>
    <w:rsid w:val="00DC66F1"/>
    <w:rsid w:val="00DC6754"/>
    <w:rsid w:val="00DC682E"/>
    <w:rsid w:val="00DC68CB"/>
    <w:rsid w:val="00DC69B6"/>
    <w:rsid w:val="00DC76F9"/>
    <w:rsid w:val="00DC7956"/>
    <w:rsid w:val="00DC7C18"/>
    <w:rsid w:val="00DC7D13"/>
    <w:rsid w:val="00DD0001"/>
    <w:rsid w:val="00DD0A56"/>
    <w:rsid w:val="00DD0E2C"/>
    <w:rsid w:val="00DD1BDC"/>
    <w:rsid w:val="00DD25C9"/>
    <w:rsid w:val="00DD26A4"/>
    <w:rsid w:val="00DD2B63"/>
    <w:rsid w:val="00DD2F6D"/>
    <w:rsid w:val="00DD3465"/>
    <w:rsid w:val="00DD4169"/>
    <w:rsid w:val="00DD4228"/>
    <w:rsid w:val="00DD446C"/>
    <w:rsid w:val="00DD4A59"/>
    <w:rsid w:val="00DD4C9E"/>
    <w:rsid w:val="00DD4DA9"/>
    <w:rsid w:val="00DD526D"/>
    <w:rsid w:val="00DD5362"/>
    <w:rsid w:val="00DD5727"/>
    <w:rsid w:val="00DD5C35"/>
    <w:rsid w:val="00DD5D76"/>
    <w:rsid w:val="00DD63CC"/>
    <w:rsid w:val="00DD693A"/>
    <w:rsid w:val="00DD69D7"/>
    <w:rsid w:val="00DD6E24"/>
    <w:rsid w:val="00DD70DA"/>
    <w:rsid w:val="00DD75CF"/>
    <w:rsid w:val="00DD781F"/>
    <w:rsid w:val="00DD78CA"/>
    <w:rsid w:val="00DD7F8B"/>
    <w:rsid w:val="00DE0036"/>
    <w:rsid w:val="00DE0472"/>
    <w:rsid w:val="00DE07B3"/>
    <w:rsid w:val="00DE126A"/>
    <w:rsid w:val="00DE1504"/>
    <w:rsid w:val="00DE1AB8"/>
    <w:rsid w:val="00DE1B14"/>
    <w:rsid w:val="00DE1BD9"/>
    <w:rsid w:val="00DE1FBE"/>
    <w:rsid w:val="00DE2538"/>
    <w:rsid w:val="00DE26C1"/>
    <w:rsid w:val="00DE27F8"/>
    <w:rsid w:val="00DE2CC1"/>
    <w:rsid w:val="00DE2E2A"/>
    <w:rsid w:val="00DE2F03"/>
    <w:rsid w:val="00DE3190"/>
    <w:rsid w:val="00DE3F08"/>
    <w:rsid w:val="00DE40F6"/>
    <w:rsid w:val="00DE43B3"/>
    <w:rsid w:val="00DE4641"/>
    <w:rsid w:val="00DE4914"/>
    <w:rsid w:val="00DE4CB1"/>
    <w:rsid w:val="00DE4F52"/>
    <w:rsid w:val="00DE544F"/>
    <w:rsid w:val="00DE5BE2"/>
    <w:rsid w:val="00DE5BE9"/>
    <w:rsid w:val="00DE6B0E"/>
    <w:rsid w:val="00DE76B6"/>
    <w:rsid w:val="00DE78D7"/>
    <w:rsid w:val="00DE7902"/>
    <w:rsid w:val="00DE7B87"/>
    <w:rsid w:val="00DF06CC"/>
    <w:rsid w:val="00DF07BA"/>
    <w:rsid w:val="00DF0AD3"/>
    <w:rsid w:val="00DF144C"/>
    <w:rsid w:val="00DF18FA"/>
    <w:rsid w:val="00DF1DFC"/>
    <w:rsid w:val="00DF20D1"/>
    <w:rsid w:val="00DF22AD"/>
    <w:rsid w:val="00DF2CF1"/>
    <w:rsid w:val="00DF3342"/>
    <w:rsid w:val="00DF3830"/>
    <w:rsid w:val="00DF3CE0"/>
    <w:rsid w:val="00DF4091"/>
    <w:rsid w:val="00DF4C6B"/>
    <w:rsid w:val="00DF4EEB"/>
    <w:rsid w:val="00DF5104"/>
    <w:rsid w:val="00DF675D"/>
    <w:rsid w:val="00DF67F4"/>
    <w:rsid w:val="00DF739C"/>
    <w:rsid w:val="00DF7767"/>
    <w:rsid w:val="00DF7BE2"/>
    <w:rsid w:val="00DF7C5F"/>
    <w:rsid w:val="00E00078"/>
    <w:rsid w:val="00E000C4"/>
    <w:rsid w:val="00E004A2"/>
    <w:rsid w:val="00E007FF"/>
    <w:rsid w:val="00E01019"/>
    <w:rsid w:val="00E012A5"/>
    <w:rsid w:val="00E013AC"/>
    <w:rsid w:val="00E017D8"/>
    <w:rsid w:val="00E01B49"/>
    <w:rsid w:val="00E01D08"/>
    <w:rsid w:val="00E0205C"/>
    <w:rsid w:val="00E022CB"/>
    <w:rsid w:val="00E02352"/>
    <w:rsid w:val="00E0244E"/>
    <w:rsid w:val="00E02C22"/>
    <w:rsid w:val="00E02FAE"/>
    <w:rsid w:val="00E03BC4"/>
    <w:rsid w:val="00E03CFE"/>
    <w:rsid w:val="00E03D63"/>
    <w:rsid w:val="00E03DBB"/>
    <w:rsid w:val="00E046BA"/>
    <w:rsid w:val="00E04BE4"/>
    <w:rsid w:val="00E04CC7"/>
    <w:rsid w:val="00E0504E"/>
    <w:rsid w:val="00E056E3"/>
    <w:rsid w:val="00E05BA7"/>
    <w:rsid w:val="00E05D27"/>
    <w:rsid w:val="00E05DB8"/>
    <w:rsid w:val="00E05E5A"/>
    <w:rsid w:val="00E0681A"/>
    <w:rsid w:val="00E068AB"/>
    <w:rsid w:val="00E069C0"/>
    <w:rsid w:val="00E06D99"/>
    <w:rsid w:val="00E06F73"/>
    <w:rsid w:val="00E071A0"/>
    <w:rsid w:val="00E07529"/>
    <w:rsid w:val="00E075C0"/>
    <w:rsid w:val="00E07994"/>
    <w:rsid w:val="00E07B10"/>
    <w:rsid w:val="00E07DBD"/>
    <w:rsid w:val="00E07FC9"/>
    <w:rsid w:val="00E10547"/>
    <w:rsid w:val="00E1066E"/>
    <w:rsid w:val="00E1158E"/>
    <w:rsid w:val="00E123CC"/>
    <w:rsid w:val="00E1253F"/>
    <w:rsid w:val="00E13E09"/>
    <w:rsid w:val="00E14FC9"/>
    <w:rsid w:val="00E1530F"/>
    <w:rsid w:val="00E15864"/>
    <w:rsid w:val="00E158B1"/>
    <w:rsid w:val="00E16215"/>
    <w:rsid w:val="00E16385"/>
    <w:rsid w:val="00E163AC"/>
    <w:rsid w:val="00E16734"/>
    <w:rsid w:val="00E1691D"/>
    <w:rsid w:val="00E16ACA"/>
    <w:rsid w:val="00E16B1E"/>
    <w:rsid w:val="00E16F6E"/>
    <w:rsid w:val="00E17CCE"/>
    <w:rsid w:val="00E17CFB"/>
    <w:rsid w:val="00E17D92"/>
    <w:rsid w:val="00E2060A"/>
    <w:rsid w:val="00E2064F"/>
    <w:rsid w:val="00E20E67"/>
    <w:rsid w:val="00E214DA"/>
    <w:rsid w:val="00E22762"/>
    <w:rsid w:val="00E22E3A"/>
    <w:rsid w:val="00E23B8D"/>
    <w:rsid w:val="00E23BA8"/>
    <w:rsid w:val="00E23C76"/>
    <w:rsid w:val="00E246FC"/>
    <w:rsid w:val="00E24D3F"/>
    <w:rsid w:val="00E24E63"/>
    <w:rsid w:val="00E258CC"/>
    <w:rsid w:val="00E25E63"/>
    <w:rsid w:val="00E26644"/>
    <w:rsid w:val="00E268ED"/>
    <w:rsid w:val="00E26E42"/>
    <w:rsid w:val="00E27541"/>
    <w:rsid w:val="00E3006F"/>
    <w:rsid w:val="00E30EFD"/>
    <w:rsid w:val="00E3152A"/>
    <w:rsid w:val="00E31C83"/>
    <w:rsid w:val="00E32367"/>
    <w:rsid w:val="00E324D5"/>
    <w:rsid w:val="00E32788"/>
    <w:rsid w:val="00E329FD"/>
    <w:rsid w:val="00E3324A"/>
    <w:rsid w:val="00E33387"/>
    <w:rsid w:val="00E3358A"/>
    <w:rsid w:val="00E337DA"/>
    <w:rsid w:val="00E34661"/>
    <w:rsid w:val="00E349C1"/>
    <w:rsid w:val="00E34B83"/>
    <w:rsid w:val="00E34D71"/>
    <w:rsid w:val="00E3532B"/>
    <w:rsid w:val="00E3578F"/>
    <w:rsid w:val="00E35C3A"/>
    <w:rsid w:val="00E35C7D"/>
    <w:rsid w:val="00E35D2D"/>
    <w:rsid w:val="00E35E67"/>
    <w:rsid w:val="00E36393"/>
    <w:rsid w:val="00E363DB"/>
    <w:rsid w:val="00E36586"/>
    <w:rsid w:val="00E36662"/>
    <w:rsid w:val="00E36755"/>
    <w:rsid w:val="00E368BA"/>
    <w:rsid w:val="00E36B62"/>
    <w:rsid w:val="00E36C8B"/>
    <w:rsid w:val="00E36FD8"/>
    <w:rsid w:val="00E37233"/>
    <w:rsid w:val="00E378F3"/>
    <w:rsid w:val="00E37D4D"/>
    <w:rsid w:val="00E4000F"/>
    <w:rsid w:val="00E401CE"/>
    <w:rsid w:val="00E40368"/>
    <w:rsid w:val="00E40460"/>
    <w:rsid w:val="00E405C7"/>
    <w:rsid w:val="00E40657"/>
    <w:rsid w:val="00E409A6"/>
    <w:rsid w:val="00E40B04"/>
    <w:rsid w:val="00E40BE7"/>
    <w:rsid w:val="00E40EB6"/>
    <w:rsid w:val="00E41E99"/>
    <w:rsid w:val="00E42128"/>
    <w:rsid w:val="00E4263B"/>
    <w:rsid w:val="00E42DA4"/>
    <w:rsid w:val="00E42F6B"/>
    <w:rsid w:val="00E42FBF"/>
    <w:rsid w:val="00E43084"/>
    <w:rsid w:val="00E43F86"/>
    <w:rsid w:val="00E44673"/>
    <w:rsid w:val="00E447FC"/>
    <w:rsid w:val="00E44CF8"/>
    <w:rsid w:val="00E44DAD"/>
    <w:rsid w:val="00E451F1"/>
    <w:rsid w:val="00E45340"/>
    <w:rsid w:val="00E45E16"/>
    <w:rsid w:val="00E460DF"/>
    <w:rsid w:val="00E4648E"/>
    <w:rsid w:val="00E46B62"/>
    <w:rsid w:val="00E46C7C"/>
    <w:rsid w:val="00E47275"/>
    <w:rsid w:val="00E47582"/>
    <w:rsid w:val="00E4770D"/>
    <w:rsid w:val="00E500BD"/>
    <w:rsid w:val="00E502B1"/>
    <w:rsid w:val="00E51109"/>
    <w:rsid w:val="00E51157"/>
    <w:rsid w:val="00E513ED"/>
    <w:rsid w:val="00E518FC"/>
    <w:rsid w:val="00E51AE9"/>
    <w:rsid w:val="00E51E7E"/>
    <w:rsid w:val="00E520CA"/>
    <w:rsid w:val="00E52731"/>
    <w:rsid w:val="00E52C58"/>
    <w:rsid w:val="00E52CF2"/>
    <w:rsid w:val="00E54821"/>
    <w:rsid w:val="00E548E5"/>
    <w:rsid w:val="00E54A1F"/>
    <w:rsid w:val="00E54CFC"/>
    <w:rsid w:val="00E55103"/>
    <w:rsid w:val="00E558BD"/>
    <w:rsid w:val="00E55A16"/>
    <w:rsid w:val="00E55F51"/>
    <w:rsid w:val="00E56519"/>
    <w:rsid w:val="00E56872"/>
    <w:rsid w:val="00E568C1"/>
    <w:rsid w:val="00E56B43"/>
    <w:rsid w:val="00E56ED5"/>
    <w:rsid w:val="00E57175"/>
    <w:rsid w:val="00E5775E"/>
    <w:rsid w:val="00E57880"/>
    <w:rsid w:val="00E6014C"/>
    <w:rsid w:val="00E608CD"/>
    <w:rsid w:val="00E60D5A"/>
    <w:rsid w:val="00E60D87"/>
    <w:rsid w:val="00E61757"/>
    <w:rsid w:val="00E61B6D"/>
    <w:rsid w:val="00E61E07"/>
    <w:rsid w:val="00E61E5A"/>
    <w:rsid w:val="00E61EAB"/>
    <w:rsid w:val="00E623F7"/>
    <w:rsid w:val="00E6265F"/>
    <w:rsid w:val="00E626F4"/>
    <w:rsid w:val="00E62752"/>
    <w:rsid w:val="00E62A7B"/>
    <w:rsid w:val="00E62BB9"/>
    <w:rsid w:val="00E62F2F"/>
    <w:rsid w:val="00E6310D"/>
    <w:rsid w:val="00E63970"/>
    <w:rsid w:val="00E63998"/>
    <w:rsid w:val="00E639EF"/>
    <w:rsid w:val="00E63B41"/>
    <w:rsid w:val="00E63F5D"/>
    <w:rsid w:val="00E63FF4"/>
    <w:rsid w:val="00E64661"/>
    <w:rsid w:val="00E64B5B"/>
    <w:rsid w:val="00E6514B"/>
    <w:rsid w:val="00E6575D"/>
    <w:rsid w:val="00E65844"/>
    <w:rsid w:val="00E65A47"/>
    <w:rsid w:val="00E6644F"/>
    <w:rsid w:val="00E66CD0"/>
    <w:rsid w:val="00E66F0D"/>
    <w:rsid w:val="00E6726C"/>
    <w:rsid w:val="00E67459"/>
    <w:rsid w:val="00E67A6D"/>
    <w:rsid w:val="00E67BB4"/>
    <w:rsid w:val="00E67E9A"/>
    <w:rsid w:val="00E67F81"/>
    <w:rsid w:val="00E7002A"/>
    <w:rsid w:val="00E702AE"/>
    <w:rsid w:val="00E70380"/>
    <w:rsid w:val="00E70443"/>
    <w:rsid w:val="00E705B9"/>
    <w:rsid w:val="00E70925"/>
    <w:rsid w:val="00E71C91"/>
    <w:rsid w:val="00E72164"/>
    <w:rsid w:val="00E721F2"/>
    <w:rsid w:val="00E72867"/>
    <w:rsid w:val="00E728C6"/>
    <w:rsid w:val="00E72947"/>
    <w:rsid w:val="00E72BF3"/>
    <w:rsid w:val="00E72C5C"/>
    <w:rsid w:val="00E733C4"/>
    <w:rsid w:val="00E735DF"/>
    <w:rsid w:val="00E73A4A"/>
    <w:rsid w:val="00E73AED"/>
    <w:rsid w:val="00E73D2E"/>
    <w:rsid w:val="00E74432"/>
    <w:rsid w:val="00E7445A"/>
    <w:rsid w:val="00E74A37"/>
    <w:rsid w:val="00E74C93"/>
    <w:rsid w:val="00E7526C"/>
    <w:rsid w:val="00E754B4"/>
    <w:rsid w:val="00E7568F"/>
    <w:rsid w:val="00E75E07"/>
    <w:rsid w:val="00E76860"/>
    <w:rsid w:val="00E777E6"/>
    <w:rsid w:val="00E77A99"/>
    <w:rsid w:val="00E8049C"/>
    <w:rsid w:val="00E806E2"/>
    <w:rsid w:val="00E80787"/>
    <w:rsid w:val="00E80B1B"/>
    <w:rsid w:val="00E81170"/>
    <w:rsid w:val="00E814B6"/>
    <w:rsid w:val="00E81EB3"/>
    <w:rsid w:val="00E83125"/>
    <w:rsid w:val="00E8390E"/>
    <w:rsid w:val="00E83D69"/>
    <w:rsid w:val="00E83DB4"/>
    <w:rsid w:val="00E83ED4"/>
    <w:rsid w:val="00E85209"/>
    <w:rsid w:val="00E859D1"/>
    <w:rsid w:val="00E85F9A"/>
    <w:rsid w:val="00E860E1"/>
    <w:rsid w:val="00E86183"/>
    <w:rsid w:val="00E862D1"/>
    <w:rsid w:val="00E86480"/>
    <w:rsid w:val="00E866A6"/>
    <w:rsid w:val="00E8679D"/>
    <w:rsid w:val="00E87079"/>
    <w:rsid w:val="00E8713A"/>
    <w:rsid w:val="00E8733B"/>
    <w:rsid w:val="00E87D59"/>
    <w:rsid w:val="00E901FF"/>
    <w:rsid w:val="00E90558"/>
    <w:rsid w:val="00E908D3"/>
    <w:rsid w:val="00E908EF"/>
    <w:rsid w:val="00E91110"/>
    <w:rsid w:val="00E914C0"/>
    <w:rsid w:val="00E916ED"/>
    <w:rsid w:val="00E91D25"/>
    <w:rsid w:val="00E921C5"/>
    <w:rsid w:val="00E922E8"/>
    <w:rsid w:val="00E92712"/>
    <w:rsid w:val="00E932FE"/>
    <w:rsid w:val="00E93852"/>
    <w:rsid w:val="00E939A1"/>
    <w:rsid w:val="00E94262"/>
    <w:rsid w:val="00E94D5A"/>
    <w:rsid w:val="00E94E90"/>
    <w:rsid w:val="00E95789"/>
    <w:rsid w:val="00E966FB"/>
    <w:rsid w:val="00E96893"/>
    <w:rsid w:val="00E96CC1"/>
    <w:rsid w:val="00E96FB0"/>
    <w:rsid w:val="00E9705C"/>
    <w:rsid w:val="00E9735A"/>
    <w:rsid w:val="00E975B6"/>
    <w:rsid w:val="00E9764F"/>
    <w:rsid w:val="00E979CD"/>
    <w:rsid w:val="00E97D1C"/>
    <w:rsid w:val="00EA02AF"/>
    <w:rsid w:val="00EA036B"/>
    <w:rsid w:val="00EA0397"/>
    <w:rsid w:val="00EA0570"/>
    <w:rsid w:val="00EA102B"/>
    <w:rsid w:val="00EA1074"/>
    <w:rsid w:val="00EA157A"/>
    <w:rsid w:val="00EA1664"/>
    <w:rsid w:val="00EA1D10"/>
    <w:rsid w:val="00EA1FB9"/>
    <w:rsid w:val="00EA3111"/>
    <w:rsid w:val="00EA33E4"/>
    <w:rsid w:val="00EA3C2A"/>
    <w:rsid w:val="00EA3C30"/>
    <w:rsid w:val="00EA3E2D"/>
    <w:rsid w:val="00EA4248"/>
    <w:rsid w:val="00EA46F1"/>
    <w:rsid w:val="00EA4BCC"/>
    <w:rsid w:val="00EA53FB"/>
    <w:rsid w:val="00EA584E"/>
    <w:rsid w:val="00EA5DF8"/>
    <w:rsid w:val="00EA5F44"/>
    <w:rsid w:val="00EA6408"/>
    <w:rsid w:val="00EA680D"/>
    <w:rsid w:val="00EA6ADD"/>
    <w:rsid w:val="00EA7005"/>
    <w:rsid w:val="00EA78FC"/>
    <w:rsid w:val="00EA7975"/>
    <w:rsid w:val="00EA7F05"/>
    <w:rsid w:val="00EB0681"/>
    <w:rsid w:val="00EB070D"/>
    <w:rsid w:val="00EB0A6A"/>
    <w:rsid w:val="00EB14E5"/>
    <w:rsid w:val="00EB22B2"/>
    <w:rsid w:val="00EB2D43"/>
    <w:rsid w:val="00EB2F42"/>
    <w:rsid w:val="00EB331B"/>
    <w:rsid w:val="00EB343E"/>
    <w:rsid w:val="00EB350A"/>
    <w:rsid w:val="00EB35C4"/>
    <w:rsid w:val="00EB3779"/>
    <w:rsid w:val="00EB3A7C"/>
    <w:rsid w:val="00EB3E5D"/>
    <w:rsid w:val="00EB4118"/>
    <w:rsid w:val="00EB418D"/>
    <w:rsid w:val="00EB4684"/>
    <w:rsid w:val="00EB4BE9"/>
    <w:rsid w:val="00EB52DF"/>
    <w:rsid w:val="00EB5A34"/>
    <w:rsid w:val="00EB5A9D"/>
    <w:rsid w:val="00EB61DD"/>
    <w:rsid w:val="00EB6808"/>
    <w:rsid w:val="00EB68C3"/>
    <w:rsid w:val="00EB6BFA"/>
    <w:rsid w:val="00EB6EE3"/>
    <w:rsid w:val="00EB705F"/>
    <w:rsid w:val="00EB71A5"/>
    <w:rsid w:val="00EB74ED"/>
    <w:rsid w:val="00EB75FB"/>
    <w:rsid w:val="00EB78C5"/>
    <w:rsid w:val="00EB7E5E"/>
    <w:rsid w:val="00EC0033"/>
    <w:rsid w:val="00EC093E"/>
    <w:rsid w:val="00EC1C2D"/>
    <w:rsid w:val="00EC1CB6"/>
    <w:rsid w:val="00EC1D3A"/>
    <w:rsid w:val="00EC229D"/>
    <w:rsid w:val="00EC27F1"/>
    <w:rsid w:val="00EC3285"/>
    <w:rsid w:val="00EC399E"/>
    <w:rsid w:val="00EC3E5F"/>
    <w:rsid w:val="00EC40CC"/>
    <w:rsid w:val="00EC41D1"/>
    <w:rsid w:val="00EC46AC"/>
    <w:rsid w:val="00EC4C74"/>
    <w:rsid w:val="00EC4E6B"/>
    <w:rsid w:val="00EC587C"/>
    <w:rsid w:val="00EC5ABC"/>
    <w:rsid w:val="00EC5DF2"/>
    <w:rsid w:val="00EC62A4"/>
    <w:rsid w:val="00EC67FD"/>
    <w:rsid w:val="00EC6C27"/>
    <w:rsid w:val="00EC6FEE"/>
    <w:rsid w:val="00EC760A"/>
    <w:rsid w:val="00EC768A"/>
    <w:rsid w:val="00EC7934"/>
    <w:rsid w:val="00ED09E2"/>
    <w:rsid w:val="00ED0D2F"/>
    <w:rsid w:val="00ED13E4"/>
    <w:rsid w:val="00ED1D55"/>
    <w:rsid w:val="00ED1DF1"/>
    <w:rsid w:val="00ED22C5"/>
    <w:rsid w:val="00ED2710"/>
    <w:rsid w:val="00ED2720"/>
    <w:rsid w:val="00ED2772"/>
    <w:rsid w:val="00ED3F81"/>
    <w:rsid w:val="00ED4271"/>
    <w:rsid w:val="00ED43C9"/>
    <w:rsid w:val="00ED464A"/>
    <w:rsid w:val="00ED476F"/>
    <w:rsid w:val="00ED47AD"/>
    <w:rsid w:val="00ED4B5E"/>
    <w:rsid w:val="00ED4E2E"/>
    <w:rsid w:val="00ED4E6C"/>
    <w:rsid w:val="00ED50DD"/>
    <w:rsid w:val="00ED5301"/>
    <w:rsid w:val="00ED5398"/>
    <w:rsid w:val="00ED55A3"/>
    <w:rsid w:val="00ED57A3"/>
    <w:rsid w:val="00ED660A"/>
    <w:rsid w:val="00ED6A47"/>
    <w:rsid w:val="00ED6C1F"/>
    <w:rsid w:val="00ED70BE"/>
    <w:rsid w:val="00ED7863"/>
    <w:rsid w:val="00ED7D11"/>
    <w:rsid w:val="00ED7F10"/>
    <w:rsid w:val="00EE03FD"/>
    <w:rsid w:val="00EE1032"/>
    <w:rsid w:val="00EE14F8"/>
    <w:rsid w:val="00EE1764"/>
    <w:rsid w:val="00EE1849"/>
    <w:rsid w:val="00EE19FE"/>
    <w:rsid w:val="00EE2439"/>
    <w:rsid w:val="00EE258E"/>
    <w:rsid w:val="00EE27B1"/>
    <w:rsid w:val="00EE27E9"/>
    <w:rsid w:val="00EE2BA6"/>
    <w:rsid w:val="00EE2EDE"/>
    <w:rsid w:val="00EE38B1"/>
    <w:rsid w:val="00EE3DFE"/>
    <w:rsid w:val="00EE42E6"/>
    <w:rsid w:val="00EE4322"/>
    <w:rsid w:val="00EE442D"/>
    <w:rsid w:val="00EE4EC9"/>
    <w:rsid w:val="00EE53C1"/>
    <w:rsid w:val="00EE546E"/>
    <w:rsid w:val="00EE5A95"/>
    <w:rsid w:val="00EE5F62"/>
    <w:rsid w:val="00EE5F93"/>
    <w:rsid w:val="00EE7081"/>
    <w:rsid w:val="00EE7A84"/>
    <w:rsid w:val="00EF0184"/>
    <w:rsid w:val="00EF0C88"/>
    <w:rsid w:val="00EF0EE8"/>
    <w:rsid w:val="00EF0F0B"/>
    <w:rsid w:val="00EF10C7"/>
    <w:rsid w:val="00EF1486"/>
    <w:rsid w:val="00EF14A2"/>
    <w:rsid w:val="00EF18F3"/>
    <w:rsid w:val="00EF1D4B"/>
    <w:rsid w:val="00EF20E4"/>
    <w:rsid w:val="00EF296A"/>
    <w:rsid w:val="00EF2CAB"/>
    <w:rsid w:val="00EF2D7D"/>
    <w:rsid w:val="00EF33BC"/>
    <w:rsid w:val="00EF3D3E"/>
    <w:rsid w:val="00EF4266"/>
    <w:rsid w:val="00EF4433"/>
    <w:rsid w:val="00EF44B6"/>
    <w:rsid w:val="00EF4CDD"/>
    <w:rsid w:val="00EF55CA"/>
    <w:rsid w:val="00EF5F16"/>
    <w:rsid w:val="00EF5FEF"/>
    <w:rsid w:val="00EF63C6"/>
    <w:rsid w:val="00EF66C7"/>
    <w:rsid w:val="00EF704A"/>
    <w:rsid w:val="00F00753"/>
    <w:rsid w:val="00F011D8"/>
    <w:rsid w:val="00F01231"/>
    <w:rsid w:val="00F01442"/>
    <w:rsid w:val="00F01764"/>
    <w:rsid w:val="00F017C2"/>
    <w:rsid w:val="00F01896"/>
    <w:rsid w:val="00F01C95"/>
    <w:rsid w:val="00F02A2D"/>
    <w:rsid w:val="00F02E61"/>
    <w:rsid w:val="00F03557"/>
    <w:rsid w:val="00F0379D"/>
    <w:rsid w:val="00F03C4D"/>
    <w:rsid w:val="00F041D5"/>
    <w:rsid w:val="00F04559"/>
    <w:rsid w:val="00F04673"/>
    <w:rsid w:val="00F04AC5"/>
    <w:rsid w:val="00F052B2"/>
    <w:rsid w:val="00F05948"/>
    <w:rsid w:val="00F05AFA"/>
    <w:rsid w:val="00F05F2B"/>
    <w:rsid w:val="00F06E9C"/>
    <w:rsid w:val="00F07A44"/>
    <w:rsid w:val="00F07DBD"/>
    <w:rsid w:val="00F1008E"/>
    <w:rsid w:val="00F106A3"/>
    <w:rsid w:val="00F106CD"/>
    <w:rsid w:val="00F1085D"/>
    <w:rsid w:val="00F10965"/>
    <w:rsid w:val="00F10A14"/>
    <w:rsid w:val="00F10D45"/>
    <w:rsid w:val="00F110E2"/>
    <w:rsid w:val="00F111E7"/>
    <w:rsid w:val="00F119E0"/>
    <w:rsid w:val="00F12132"/>
    <w:rsid w:val="00F1246B"/>
    <w:rsid w:val="00F125AC"/>
    <w:rsid w:val="00F125DE"/>
    <w:rsid w:val="00F127A5"/>
    <w:rsid w:val="00F128F3"/>
    <w:rsid w:val="00F13205"/>
    <w:rsid w:val="00F132CC"/>
    <w:rsid w:val="00F13520"/>
    <w:rsid w:val="00F13882"/>
    <w:rsid w:val="00F14A93"/>
    <w:rsid w:val="00F14C68"/>
    <w:rsid w:val="00F15090"/>
    <w:rsid w:val="00F150F2"/>
    <w:rsid w:val="00F1539A"/>
    <w:rsid w:val="00F15605"/>
    <w:rsid w:val="00F156F9"/>
    <w:rsid w:val="00F157AA"/>
    <w:rsid w:val="00F15B6A"/>
    <w:rsid w:val="00F15CA3"/>
    <w:rsid w:val="00F161BE"/>
    <w:rsid w:val="00F16563"/>
    <w:rsid w:val="00F166D5"/>
    <w:rsid w:val="00F16C79"/>
    <w:rsid w:val="00F16FF9"/>
    <w:rsid w:val="00F1728A"/>
    <w:rsid w:val="00F173E8"/>
    <w:rsid w:val="00F17D98"/>
    <w:rsid w:val="00F17F99"/>
    <w:rsid w:val="00F200CC"/>
    <w:rsid w:val="00F20334"/>
    <w:rsid w:val="00F204F7"/>
    <w:rsid w:val="00F20ADA"/>
    <w:rsid w:val="00F212C4"/>
    <w:rsid w:val="00F216F3"/>
    <w:rsid w:val="00F21F31"/>
    <w:rsid w:val="00F21F43"/>
    <w:rsid w:val="00F22132"/>
    <w:rsid w:val="00F221C7"/>
    <w:rsid w:val="00F22366"/>
    <w:rsid w:val="00F225D6"/>
    <w:rsid w:val="00F22ABF"/>
    <w:rsid w:val="00F243B6"/>
    <w:rsid w:val="00F2497B"/>
    <w:rsid w:val="00F24E8B"/>
    <w:rsid w:val="00F24EE4"/>
    <w:rsid w:val="00F24FFE"/>
    <w:rsid w:val="00F250CC"/>
    <w:rsid w:val="00F25483"/>
    <w:rsid w:val="00F254B1"/>
    <w:rsid w:val="00F25754"/>
    <w:rsid w:val="00F25F94"/>
    <w:rsid w:val="00F2620A"/>
    <w:rsid w:val="00F26383"/>
    <w:rsid w:val="00F26735"/>
    <w:rsid w:val="00F26948"/>
    <w:rsid w:val="00F269D8"/>
    <w:rsid w:val="00F26CB0"/>
    <w:rsid w:val="00F27653"/>
    <w:rsid w:val="00F27A55"/>
    <w:rsid w:val="00F27B21"/>
    <w:rsid w:val="00F27BE4"/>
    <w:rsid w:val="00F27C03"/>
    <w:rsid w:val="00F27CD1"/>
    <w:rsid w:val="00F27FB8"/>
    <w:rsid w:val="00F303A0"/>
    <w:rsid w:val="00F305CC"/>
    <w:rsid w:val="00F3083C"/>
    <w:rsid w:val="00F31A36"/>
    <w:rsid w:val="00F325BC"/>
    <w:rsid w:val="00F32759"/>
    <w:rsid w:val="00F328E2"/>
    <w:rsid w:val="00F329CB"/>
    <w:rsid w:val="00F32AC0"/>
    <w:rsid w:val="00F32BA3"/>
    <w:rsid w:val="00F32F1D"/>
    <w:rsid w:val="00F32FB3"/>
    <w:rsid w:val="00F33271"/>
    <w:rsid w:val="00F3351D"/>
    <w:rsid w:val="00F33719"/>
    <w:rsid w:val="00F33EE2"/>
    <w:rsid w:val="00F34140"/>
    <w:rsid w:val="00F34B20"/>
    <w:rsid w:val="00F34B2C"/>
    <w:rsid w:val="00F34D42"/>
    <w:rsid w:val="00F34FD9"/>
    <w:rsid w:val="00F354DA"/>
    <w:rsid w:val="00F35CB3"/>
    <w:rsid w:val="00F35D76"/>
    <w:rsid w:val="00F35E1F"/>
    <w:rsid w:val="00F3671E"/>
    <w:rsid w:val="00F36E8B"/>
    <w:rsid w:val="00F373F2"/>
    <w:rsid w:val="00F3793B"/>
    <w:rsid w:val="00F37F60"/>
    <w:rsid w:val="00F40010"/>
    <w:rsid w:val="00F400B4"/>
    <w:rsid w:val="00F40654"/>
    <w:rsid w:val="00F40F6B"/>
    <w:rsid w:val="00F410D5"/>
    <w:rsid w:val="00F41108"/>
    <w:rsid w:val="00F413CF"/>
    <w:rsid w:val="00F41C5F"/>
    <w:rsid w:val="00F41DE4"/>
    <w:rsid w:val="00F421A2"/>
    <w:rsid w:val="00F42450"/>
    <w:rsid w:val="00F42742"/>
    <w:rsid w:val="00F4284E"/>
    <w:rsid w:val="00F43252"/>
    <w:rsid w:val="00F432C8"/>
    <w:rsid w:val="00F43342"/>
    <w:rsid w:val="00F4361D"/>
    <w:rsid w:val="00F43B3A"/>
    <w:rsid w:val="00F43B8E"/>
    <w:rsid w:val="00F445E2"/>
    <w:rsid w:val="00F449E5"/>
    <w:rsid w:val="00F449F8"/>
    <w:rsid w:val="00F451FF"/>
    <w:rsid w:val="00F45A0B"/>
    <w:rsid w:val="00F45A0E"/>
    <w:rsid w:val="00F45D1B"/>
    <w:rsid w:val="00F45ED8"/>
    <w:rsid w:val="00F45FED"/>
    <w:rsid w:val="00F46CB5"/>
    <w:rsid w:val="00F47035"/>
    <w:rsid w:val="00F470F7"/>
    <w:rsid w:val="00F4766E"/>
    <w:rsid w:val="00F50303"/>
    <w:rsid w:val="00F5081C"/>
    <w:rsid w:val="00F50E58"/>
    <w:rsid w:val="00F50F04"/>
    <w:rsid w:val="00F50F44"/>
    <w:rsid w:val="00F510EF"/>
    <w:rsid w:val="00F517D2"/>
    <w:rsid w:val="00F51C3B"/>
    <w:rsid w:val="00F51FB3"/>
    <w:rsid w:val="00F5253D"/>
    <w:rsid w:val="00F52CF6"/>
    <w:rsid w:val="00F52F8D"/>
    <w:rsid w:val="00F53108"/>
    <w:rsid w:val="00F5398D"/>
    <w:rsid w:val="00F54C2F"/>
    <w:rsid w:val="00F55829"/>
    <w:rsid w:val="00F55AE2"/>
    <w:rsid w:val="00F55DC9"/>
    <w:rsid w:val="00F55F63"/>
    <w:rsid w:val="00F562B2"/>
    <w:rsid w:val="00F56384"/>
    <w:rsid w:val="00F56468"/>
    <w:rsid w:val="00F5667A"/>
    <w:rsid w:val="00F56C24"/>
    <w:rsid w:val="00F5771C"/>
    <w:rsid w:val="00F57CFE"/>
    <w:rsid w:val="00F60133"/>
    <w:rsid w:val="00F60151"/>
    <w:rsid w:val="00F60160"/>
    <w:rsid w:val="00F601F8"/>
    <w:rsid w:val="00F60361"/>
    <w:rsid w:val="00F604C4"/>
    <w:rsid w:val="00F60A17"/>
    <w:rsid w:val="00F60F4F"/>
    <w:rsid w:val="00F614B3"/>
    <w:rsid w:val="00F61915"/>
    <w:rsid w:val="00F619A2"/>
    <w:rsid w:val="00F61A5C"/>
    <w:rsid w:val="00F626C0"/>
    <w:rsid w:val="00F627D3"/>
    <w:rsid w:val="00F62D90"/>
    <w:rsid w:val="00F63207"/>
    <w:rsid w:val="00F633C5"/>
    <w:rsid w:val="00F63929"/>
    <w:rsid w:val="00F64B35"/>
    <w:rsid w:val="00F64CC3"/>
    <w:rsid w:val="00F6531F"/>
    <w:rsid w:val="00F654E1"/>
    <w:rsid w:val="00F65871"/>
    <w:rsid w:val="00F65EDC"/>
    <w:rsid w:val="00F664DE"/>
    <w:rsid w:val="00F66676"/>
    <w:rsid w:val="00F66A93"/>
    <w:rsid w:val="00F66E31"/>
    <w:rsid w:val="00F66E4F"/>
    <w:rsid w:val="00F6707A"/>
    <w:rsid w:val="00F67903"/>
    <w:rsid w:val="00F67E56"/>
    <w:rsid w:val="00F67EC0"/>
    <w:rsid w:val="00F700DB"/>
    <w:rsid w:val="00F70751"/>
    <w:rsid w:val="00F70796"/>
    <w:rsid w:val="00F707CB"/>
    <w:rsid w:val="00F70AFD"/>
    <w:rsid w:val="00F70DB7"/>
    <w:rsid w:val="00F70F33"/>
    <w:rsid w:val="00F713D7"/>
    <w:rsid w:val="00F72109"/>
    <w:rsid w:val="00F72B97"/>
    <w:rsid w:val="00F73314"/>
    <w:rsid w:val="00F733FA"/>
    <w:rsid w:val="00F7396F"/>
    <w:rsid w:val="00F73A9A"/>
    <w:rsid w:val="00F73FD2"/>
    <w:rsid w:val="00F74086"/>
    <w:rsid w:val="00F7442B"/>
    <w:rsid w:val="00F74438"/>
    <w:rsid w:val="00F7518A"/>
    <w:rsid w:val="00F75289"/>
    <w:rsid w:val="00F75C9B"/>
    <w:rsid w:val="00F7705E"/>
    <w:rsid w:val="00F7712C"/>
    <w:rsid w:val="00F77193"/>
    <w:rsid w:val="00F771F1"/>
    <w:rsid w:val="00F774C2"/>
    <w:rsid w:val="00F77618"/>
    <w:rsid w:val="00F77947"/>
    <w:rsid w:val="00F779AB"/>
    <w:rsid w:val="00F800FE"/>
    <w:rsid w:val="00F805A9"/>
    <w:rsid w:val="00F80D14"/>
    <w:rsid w:val="00F80EB1"/>
    <w:rsid w:val="00F811FF"/>
    <w:rsid w:val="00F819E7"/>
    <w:rsid w:val="00F81BC3"/>
    <w:rsid w:val="00F82AE4"/>
    <w:rsid w:val="00F82DBF"/>
    <w:rsid w:val="00F82F87"/>
    <w:rsid w:val="00F82F8F"/>
    <w:rsid w:val="00F83943"/>
    <w:rsid w:val="00F83D9B"/>
    <w:rsid w:val="00F846DB"/>
    <w:rsid w:val="00F846F0"/>
    <w:rsid w:val="00F84719"/>
    <w:rsid w:val="00F84D27"/>
    <w:rsid w:val="00F8525C"/>
    <w:rsid w:val="00F85741"/>
    <w:rsid w:val="00F859BA"/>
    <w:rsid w:val="00F859EF"/>
    <w:rsid w:val="00F85B7B"/>
    <w:rsid w:val="00F85BC5"/>
    <w:rsid w:val="00F85DFB"/>
    <w:rsid w:val="00F865D5"/>
    <w:rsid w:val="00F8672C"/>
    <w:rsid w:val="00F86954"/>
    <w:rsid w:val="00F869BA"/>
    <w:rsid w:val="00F86E7B"/>
    <w:rsid w:val="00F87FC8"/>
    <w:rsid w:val="00F905B0"/>
    <w:rsid w:val="00F9066C"/>
    <w:rsid w:val="00F914DA"/>
    <w:rsid w:val="00F916B6"/>
    <w:rsid w:val="00F91988"/>
    <w:rsid w:val="00F924D4"/>
    <w:rsid w:val="00F92BBB"/>
    <w:rsid w:val="00F92DF5"/>
    <w:rsid w:val="00F9300D"/>
    <w:rsid w:val="00F930E3"/>
    <w:rsid w:val="00F9314E"/>
    <w:rsid w:val="00F932BB"/>
    <w:rsid w:val="00F9335D"/>
    <w:rsid w:val="00F93857"/>
    <w:rsid w:val="00F93B93"/>
    <w:rsid w:val="00F93C15"/>
    <w:rsid w:val="00F9400A"/>
    <w:rsid w:val="00F94297"/>
    <w:rsid w:val="00F94DFE"/>
    <w:rsid w:val="00F950A7"/>
    <w:rsid w:val="00F95799"/>
    <w:rsid w:val="00F95886"/>
    <w:rsid w:val="00F9598A"/>
    <w:rsid w:val="00F961F4"/>
    <w:rsid w:val="00F965D8"/>
    <w:rsid w:val="00F96E8A"/>
    <w:rsid w:val="00F96F64"/>
    <w:rsid w:val="00F97B8A"/>
    <w:rsid w:val="00F97EFD"/>
    <w:rsid w:val="00FA014D"/>
    <w:rsid w:val="00FA05F6"/>
    <w:rsid w:val="00FA189B"/>
    <w:rsid w:val="00FA2113"/>
    <w:rsid w:val="00FA29A7"/>
    <w:rsid w:val="00FA2B78"/>
    <w:rsid w:val="00FA2CC6"/>
    <w:rsid w:val="00FA308A"/>
    <w:rsid w:val="00FA30F2"/>
    <w:rsid w:val="00FA3191"/>
    <w:rsid w:val="00FA33B0"/>
    <w:rsid w:val="00FA3588"/>
    <w:rsid w:val="00FA396D"/>
    <w:rsid w:val="00FA3B09"/>
    <w:rsid w:val="00FA3DF4"/>
    <w:rsid w:val="00FA3FD0"/>
    <w:rsid w:val="00FA43E1"/>
    <w:rsid w:val="00FA46ED"/>
    <w:rsid w:val="00FA4B84"/>
    <w:rsid w:val="00FA4EC4"/>
    <w:rsid w:val="00FA5B5C"/>
    <w:rsid w:val="00FA5BD1"/>
    <w:rsid w:val="00FA5C55"/>
    <w:rsid w:val="00FA5DD4"/>
    <w:rsid w:val="00FA5E8A"/>
    <w:rsid w:val="00FA60C8"/>
    <w:rsid w:val="00FA6195"/>
    <w:rsid w:val="00FA6263"/>
    <w:rsid w:val="00FA6916"/>
    <w:rsid w:val="00FA6AA3"/>
    <w:rsid w:val="00FA6F20"/>
    <w:rsid w:val="00FA7318"/>
    <w:rsid w:val="00FA7591"/>
    <w:rsid w:val="00FA7751"/>
    <w:rsid w:val="00FA7782"/>
    <w:rsid w:val="00FA77DF"/>
    <w:rsid w:val="00FA7ADF"/>
    <w:rsid w:val="00FA7DDD"/>
    <w:rsid w:val="00FB075B"/>
    <w:rsid w:val="00FB1275"/>
    <w:rsid w:val="00FB16C7"/>
    <w:rsid w:val="00FB1A39"/>
    <w:rsid w:val="00FB1A52"/>
    <w:rsid w:val="00FB1BC4"/>
    <w:rsid w:val="00FB1CB7"/>
    <w:rsid w:val="00FB2333"/>
    <w:rsid w:val="00FB2848"/>
    <w:rsid w:val="00FB2C4E"/>
    <w:rsid w:val="00FB2FE3"/>
    <w:rsid w:val="00FB307C"/>
    <w:rsid w:val="00FB310A"/>
    <w:rsid w:val="00FB3412"/>
    <w:rsid w:val="00FB382F"/>
    <w:rsid w:val="00FB3F98"/>
    <w:rsid w:val="00FB4140"/>
    <w:rsid w:val="00FB440A"/>
    <w:rsid w:val="00FB477B"/>
    <w:rsid w:val="00FB4A80"/>
    <w:rsid w:val="00FB4B8E"/>
    <w:rsid w:val="00FB5609"/>
    <w:rsid w:val="00FB586D"/>
    <w:rsid w:val="00FB6330"/>
    <w:rsid w:val="00FB67E0"/>
    <w:rsid w:val="00FB778D"/>
    <w:rsid w:val="00FB7A15"/>
    <w:rsid w:val="00FC0026"/>
    <w:rsid w:val="00FC00AA"/>
    <w:rsid w:val="00FC0103"/>
    <w:rsid w:val="00FC105C"/>
    <w:rsid w:val="00FC18ED"/>
    <w:rsid w:val="00FC22FE"/>
    <w:rsid w:val="00FC23A8"/>
    <w:rsid w:val="00FC27E4"/>
    <w:rsid w:val="00FC284A"/>
    <w:rsid w:val="00FC2B9B"/>
    <w:rsid w:val="00FC2E96"/>
    <w:rsid w:val="00FC2EE9"/>
    <w:rsid w:val="00FC2F47"/>
    <w:rsid w:val="00FC3038"/>
    <w:rsid w:val="00FC320B"/>
    <w:rsid w:val="00FC3503"/>
    <w:rsid w:val="00FC3541"/>
    <w:rsid w:val="00FC3C6F"/>
    <w:rsid w:val="00FC3D7E"/>
    <w:rsid w:val="00FC3F43"/>
    <w:rsid w:val="00FC41E0"/>
    <w:rsid w:val="00FC442D"/>
    <w:rsid w:val="00FC487D"/>
    <w:rsid w:val="00FC4ADC"/>
    <w:rsid w:val="00FC4E49"/>
    <w:rsid w:val="00FC4F91"/>
    <w:rsid w:val="00FC5217"/>
    <w:rsid w:val="00FC5263"/>
    <w:rsid w:val="00FC553E"/>
    <w:rsid w:val="00FC57E7"/>
    <w:rsid w:val="00FC5DCF"/>
    <w:rsid w:val="00FC60ED"/>
    <w:rsid w:val="00FC6562"/>
    <w:rsid w:val="00FC6740"/>
    <w:rsid w:val="00FC71BD"/>
    <w:rsid w:val="00FC72CA"/>
    <w:rsid w:val="00FC78AD"/>
    <w:rsid w:val="00FC7CD5"/>
    <w:rsid w:val="00FC7E15"/>
    <w:rsid w:val="00FC7EEB"/>
    <w:rsid w:val="00FC7F77"/>
    <w:rsid w:val="00FD0586"/>
    <w:rsid w:val="00FD06DA"/>
    <w:rsid w:val="00FD0AA0"/>
    <w:rsid w:val="00FD0C6D"/>
    <w:rsid w:val="00FD1468"/>
    <w:rsid w:val="00FD1846"/>
    <w:rsid w:val="00FD1986"/>
    <w:rsid w:val="00FD1ACB"/>
    <w:rsid w:val="00FD1E0A"/>
    <w:rsid w:val="00FD2383"/>
    <w:rsid w:val="00FD238E"/>
    <w:rsid w:val="00FD2897"/>
    <w:rsid w:val="00FD2992"/>
    <w:rsid w:val="00FD2B7C"/>
    <w:rsid w:val="00FD2C9C"/>
    <w:rsid w:val="00FD2D8E"/>
    <w:rsid w:val="00FD2DB6"/>
    <w:rsid w:val="00FD3041"/>
    <w:rsid w:val="00FD33ED"/>
    <w:rsid w:val="00FD3F09"/>
    <w:rsid w:val="00FD4676"/>
    <w:rsid w:val="00FD4801"/>
    <w:rsid w:val="00FD4956"/>
    <w:rsid w:val="00FD4A5C"/>
    <w:rsid w:val="00FD4D69"/>
    <w:rsid w:val="00FD4FEF"/>
    <w:rsid w:val="00FD5720"/>
    <w:rsid w:val="00FD641B"/>
    <w:rsid w:val="00FD6714"/>
    <w:rsid w:val="00FD6735"/>
    <w:rsid w:val="00FD6D38"/>
    <w:rsid w:val="00FD720D"/>
    <w:rsid w:val="00FD7419"/>
    <w:rsid w:val="00FD74E7"/>
    <w:rsid w:val="00FD7AD2"/>
    <w:rsid w:val="00FD7C02"/>
    <w:rsid w:val="00FD7E10"/>
    <w:rsid w:val="00FE0295"/>
    <w:rsid w:val="00FE04DF"/>
    <w:rsid w:val="00FE0912"/>
    <w:rsid w:val="00FE0B81"/>
    <w:rsid w:val="00FE176F"/>
    <w:rsid w:val="00FE21A3"/>
    <w:rsid w:val="00FE2AB5"/>
    <w:rsid w:val="00FE2D7C"/>
    <w:rsid w:val="00FE2FD5"/>
    <w:rsid w:val="00FE390C"/>
    <w:rsid w:val="00FE4A42"/>
    <w:rsid w:val="00FE4A6E"/>
    <w:rsid w:val="00FE4AA6"/>
    <w:rsid w:val="00FE4D1F"/>
    <w:rsid w:val="00FE5257"/>
    <w:rsid w:val="00FE5283"/>
    <w:rsid w:val="00FE5CF3"/>
    <w:rsid w:val="00FE5F31"/>
    <w:rsid w:val="00FE63D2"/>
    <w:rsid w:val="00FE6939"/>
    <w:rsid w:val="00FE7295"/>
    <w:rsid w:val="00FE753A"/>
    <w:rsid w:val="00FE7CA3"/>
    <w:rsid w:val="00FF031F"/>
    <w:rsid w:val="00FF0404"/>
    <w:rsid w:val="00FF0417"/>
    <w:rsid w:val="00FF07B3"/>
    <w:rsid w:val="00FF0B5B"/>
    <w:rsid w:val="00FF0BED"/>
    <w:rsid w:val="00FF0CFF"/>
    <w:rsid w:val="00FF15AC"/>
    <w:rsid w:val="00FF198A"/>
    <w:rsid w:val="00FF1FC8"/>
    <w:rsid w:val="00FF227A"/>
    <w:rsid w:val="00FF22A4"/>
    <w:rsid w:val="00FF230B"/>
    <w:rsid w:val="00FF252C"/>
    <w:rsid w:val="00FF2723"/>
    <w:rsid w:val="00FF2BDF"/>
    <w:rsid w:val="00FF3589"/>
    <w:rsid w:val="00FF371B"/>
    <w:rsid w:val="00FF409E"/>
    <w:rsid w:val="00FF4194"/>
    <w:rsid w:val="00FF45B2"/>
    <w:rsid w:val="00FF4685"/>
    <w:rsid w:val="00FF4721"/>
    <w:rsid w:val="00FF4908"/>
    <w:rsid w:val="00FF4A93"/>
    <w:rsid w:val="00FF4C0C"/>
    <w:rsid w:val="00FF51AF"/>
    <w:rsid w:val="00FF52A7"/>
    <w:rsid w:val="00FF563B"/>
    <w:rsid w:val="00FF5F46"/>
    <w:rsid w:val="00FF6069"/>
    <w:rsid w:val="00FF625B"/>
    <w:rsid w:val="00FF6781"/>
    <w:rsid w:val="00FF6D6A"/>
    <w:rsid w:val="00FF7631"/>
    <w:rsid w:val="00FF7E96"/>
    <w:rsid w:val="01B42EDD"/>
    <w:rsid w:val="0392496D"/>
    <w:rsid w:val="039B1E88"/>
    <w:rsid w:val="04411C9E"/>
    <w:rsid w:val="068E49EA"/>
    <w:rsid w:val="09503F75"/>
    <w:rsid w:val="09623EC2"/>
    <w:rsid w:val="096D07B7"/>
    <w:rsid w:val="09AD6658"/>
    <w:rsid w:val="09CA35A3"/>
    <w:rsid w:val="0A9E6A06"/>
    <w:rsid w:val="0AF43523"/>
    <w:rsid w:val="0B6A578C"/>
    <w:rsid w:val="0B6F1203"/>
    <w:rsid w:val="0B9128AC"/>
    <w:rsid w:val="0C337593"/>
    <w:rsid w:val="0CAD34C3"/>
    <w:rsid w:val="0CBF5A60"/>
    <w:rsid w:val="0D4618A3"/>
    <w:rsid w:val="0E243A0D"/>
    <w:rsid w:val="0EE9081D"/>
    <w:rsid w:val="10190113"/>
    <w:rsid w:val="10DB7E7E"/>
    <w:rsid w:val="11375C88"/>
    <w:rsid w:val="127163FD"/>
    <w:rsid w:val="12EB12D0"/>
    <w:rsid w:val="14110250"/>
    <w:rsid w:val="14242DDE"/>
    <w:rsid w:val="145764BF"/>
    <w:rsid w:val="149679BA"/>
    <w:rsid w:val="15145DE9"/>
    <w:rsid w:val="15981F05"/>
    <w:rsid w:val="177C0B80"/>
    <w:rsid w:val="18E04D3A"/>
    <w:rsid w:val="19D068F6"/>
    <w:rsid w:val="1A2E7361"/>
    <w:rsid w:val="1AE0730B"/>
    <w:rsid w:val="1BAF171F"/>
    <w:rsid w:val="1C502501"/>
    <w:rsid w:val="1CCF120E"/>
    <w:rsid w:val="1E0E2480"/>
    <w:rsid w:val="20011C9E"/>
    <w:rsid w:val="21694603"/>
    <w:rsid w:val="22261E7F"/>
    <w:rsid w:val="23FF74E8"/>
    <w:rsid w:val="24533EA6"/>
    <w:rsid w:val="24897531"/>
    <w:rsid w:val="254C40BE"/>
    <w:rsid w:val="258B15CD"/>
    <w:rsid w:val="25EF714A"/>
    <w:rsid w:val="26215E5C"/>
    <w:rsid w:val="263B17C8"/>
    <w:rsid w:val="269221D6"/>
    <w:rsid w:val="269F4857"/>
    <w:rsid w:val="271055ED"/>
    <w:rsid w:val="27536EA3"/>
    <w:rsid w:val="278A731A"/>
    <w:rsid w:val="2893640F"/>
    <w:rsid w:val="289C222B"/>
    <w:rsid w:val="290A5F90"/>
    <w:rsid w:val="291D07FB"/>
    <w:rsid w:val="291D7302"/>
    <w:rsid w:val="2971025C"/>
    <w:rsid w:val="298A2336"/>
    <w:rsid w:val="2A1E18A3"/>
    <w:rsid w:val="2A6F6C41"/>
    <w:rsid w:val="2D245D9D"/>
    <w:rsid w:val="2D53494A"/>
    <w:rsid w:val="30DA524D"/>
    <w:rsid w:val="316C3324"/>
    <w:rsid w:val="31D65176"/>
    <w:rsid w:val="31DF08E4"/>
    <w:rsid w:val="320E507A"/>
    <w:rsid w:val="32281BDF"/>
    <w:rsid w:val="32620B1A"/>
    <w:rsid w:val="32C77BFC"/>
    <w:rsid w:val="32DD5F45"/>
    <w:rsid w:val="34CDCC5B"/>
    <w:rsid w:val="360228A5"/>
    <w:rsid w:val="36E47B9D"/>
    <w:rsid w:val="39D7565E"/>
    <w:rsid w:val="3AC36C50"/>
    <w:rsid w:val="3B3A453F"/>
    <w:rsid w:val="3B690585"/>
    <w:rsid w:val="3BAB65BE"/>
    <w:rsid w:val="3C111A19"/>
    <w:rsid w:val="3DB25E8D"/>
    <w:rsid w:val="3DF54D5C"/>
    <w:rsid w:val="3E03547E"/>
    <w:rsid w:val="3E3858A7"/>
    <w:rsid w:val="3E765442"/>
    <w:rsid w:val="3E856B08"/>
    <w:rsid w:val="3ECB34F5"/>
    <w:rsid w:val="3EEC29FC"/>
    <w:rsid w:val="3F8743D5"/>
    <w:rsid w:val="41730C21"/>
    <w:rsid w:val="435369BF"/>
    <w:rsid w:val="44702F75"/>
    <w:rsid w:val="448138A4"/>
    <w:rsid w:val="44C278C8"/>
    <w:rsid w:val="456E74C3"/>
    <w:rsid w:val="471319B2"/>
    <w:rsid w:val="47B22C51"/>
    <w:rsid w:val="47DA0E18"/>
    <w:rsid w:val="48846345"/>
    <w:rsid w:val="4894652C"/>
    <w:rsid w:val="49362E6C"/>
    <w:rsid w:val="49FF239B"/>
    <w:rsid w:val="4A4650E5"/>
    <w:rsid w:val="4B6C2783"/>
    <w:rsid w:val="4C151959"/>
    <w:rsid w:val="4C3053F3"/>
    <w:rsid w:val="4C4206D4"/>
    <w:rsid w:val="4C631B21"/>
    <w:rsid w:val="4D1314B3"/>
    <w:rsid w:val="4D1C4B2E"/>
    <w:rsid w:val="4E1622A9"/>
    <w:rsid w:val="4F731E3F"/>
    <w:rsid w:val="51C069E1"/>
    <w:rsid w:val="52730954"/>
    <w:rsid w:val="52937E9F"/>
    <w:rsid w:val="532211C5"/>
    <w:rsid w:val="53772781"/>
    <w:rsid w:val="55033E68"/>
    <w:rsid w:val="5732547B"/>
    <w:rsid w:val="579E1150"/>
    <w:rsid w:val="579F2A7F"/>
    <w:rsid w:val="57EA730E"/>
    <w:rsid w:val="5814764F"/>
    <w:rsid w:val="583053C9"/>
    <w:rsid w:val="5969196A"/>
    <w:rsid w:val="59B46C78"/>
    <w:rsid w:val="5A185CF7"/>
    <w:rsid w:val="5A420FE4"/>
    <w:rsid w:val="5A433DDE"/>
    <w:rsid w:val="5A98762A"/>
    <w:rsid w:val="5D734DBB"/>
    <w:rsid w:val="5F290013"/>
    <w:rsid w:val="5F9C70EB"/>
    <w:rsid w:val="5FAB2525"/>
    <w:rsid w:val="6064719D"/>
    <w:rsid w:val="60C60721"/>
    <w:rsid w:val="61381A60"/>
    <w:rsid w:val="62880810"/>
    <w:rsid w:val="63F34A29"/>
    <w:rsid w:val="6402310C"/>
    <w:rsid w:val="64D14782"/>
    <w:rsid w:val="64E37E70"/>
    <w:rsid w:val="66E7B33D"/>
    <w:rsid w:val="673570F1"/>
    <w:rsid w:val="675A6D1E"/>
    <w:rsid w:val="676140E5"/>
    <w:rsid w:val="680C7556"/>
    <w:rsid w:val="68667E6E"/>
    <w:rsid w:val="691D2D5E"/>
    <w:rsid w:val="69D012CF"/>
    <w:rsid w:val="6B037AA0"/>
    <w:rsid w:val="6B213BD1"/>
    <w:rsid w:val="6B7765AC"/>
    <w:rsid w:val="6BA4062B"/>
    <w:rsid w:val="6C0576C7"/>
    <w:rsid w:val="6C2948A1"/>
    <w:rsid w:val="6C95078E"/>
    <w:rsid w:val="70116416"/>
    <w:rsid w:val="70874E81"/>
    <w:rsid w:val="716355F7"/>
    <w:rsid w:val="727144C7"/>
    <w:rsid w:val="748740DB"/>
    <w:rsid w:val="74CA7CE6"/>
    <w:rsid w:val="75787FC9"/>
    <w:rsid w:val="75EE3724"/>
    <w:rsid w:val="765F29E9"/>
    <w:rsid w:val="76C6528D"/>
    <w:rsid w:val="77604066"/>
    <w:rsid w:val="778173E3"/>
    <w:rsid w:val="781A4BC7"/>
    <w:rsid w:val="78B26191"/>
    <w:rsid w:val="78DE2A41"/>
    <w:rsid w:val="79100B30"/>
    <w:rsid w:val="79D758E9"/>
    <w:rsid w:val="79E9667B"/>
    <w:rsid w:val="7A8A15AC"/>
    <w:rsid w:val="7AD55C91"/>
    <w:rsid w:val="7B5B21B1"/>
    <w:rsid w:val="7B95754E"/>
    <w:rsid w:val="7CA76542"/>
    <w:rsid w:val="7DB57ED8"/>
    <w:rsid w:val="7F856F76"/>
    <w:rsid w:val="A3AC341F"/>
    <w:rsid w:val="BBFFC836"/>
    <w:rsid w:val="BFDAC06D"/>
    <w:rsid w:val="D9FF813B"/>
    <w:rsid w:val="DDFF32B6"/>
    <w:rsid w:val="EB5B5EB1"/>
    <w:rsid w:val="FDD7048A"/>
    <w:rsid w:val="FDDFBD3A"/>
    <w:rsid w:val="FEBF6275"/>
    <w:rsid w:val="FFFE55F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99"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99"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qFormat="1"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99" w:semiHidden="0" w:name="Body Text Indent"/>
    <w:lsdException w:qFormat="1" w:uiPriority="99"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99"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99" w:semiHidden="0" w:name="Body Text 3"/>
    <w:lsdException w:qFormat="1" w:unhideWhenUsed="0" w:uiPriority="99"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qFormat="1"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qFormat="1" w:unhideWhenUsed="0" w:uiPriority="99"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qFormat="1"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qFormat="1"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9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qFormat="1"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1"/>
      <w:szCs w:val="24"/>
      <w:lang w:val="en-US" w:eastAsia="zh-CN" w:bidi="ar-SA"/>
    </w:rPr>
  </w:style>
  <w:style w:type="paragraph" w:styleId="4">
    <w:name w:val="heading 1"/>
    <w:basedOn w:val="1"/>
    <w:next w:val="1"/>
    <w:link w:val="156"/>
    <w:qFormat/>
    <w:uiPriority w:val="0"/>
    <w:pPr>
      <w:keepNext/>
      <w:autoSpaceDE w:val="0"/>
      <w:autoSpaceDN w:val="0"/>
      <w:spacing w:line="360" w:lineRule="auto"/>
      <w:jc w:val="center"/>
      <w:textAlignment w:val="bottom"/>
      <w:outlineLvl w:val="0"/>
    </w:pPr>
    <w:rPr>
      <w:rFonts w:ascii="仿宋_GB2312" w:eastAsia="仿宋_GB2312"/>
      <w:b/>
      <w:sz w:val="44"/>
    </w:rPr>
  </w:style>
  <w:style w:type="paragraph" w:styleId="5">
    <w:name w:val="heading 2"/>
    <w:basedOn w:val="1"/>
    <w:next w:val="1"/>
    <w:link w:val="102"/>
    <w:qFormat/>
    <w:uiPriority w:val="0"/>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6">
    <w:name w:val="heading 3"/>
    <w:basedOn w:val="1"/>
    <w:next w:val="7"/>
    <w:link w:val="108"/>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paragraph" w:styleId="8">
    <w:name w:val="heading 4"/>
    <w:basedOn w:val="1"/>
    <w:next w:val="1"/>
    <w:link w:val="94"/>
    <w:qFormat/>
    <w:uiPriority w:val="9"/>
    <w:pPr>
      <w:keepLines/>
      <w:widowControl/>
      <w:spacing w:before="280" w:after="290" w:line="372" w:lineRule="auto"/>
      <w:outlineLvl w:val="3"/>
    </w:pPr>
    <w:rPr>
      <w:rFonts w:ascii="Arial" w:hAnsi="Arial" w:eastAsia="黑体"/>
      <w:b/>
      <w:color w:val="000000"/>
      <w:sz w:val="28"/>
      <w:szCs w:val="20"/>
    </w:rPr>
  </w:style>
  <w:style w:type="paragraph" w:styleId="9">
    <w:name w:val="heading 5"/>
    <w:basedOn w:val="1"/>
    <w:next w:val="1"/>
    <w:link w:val="169"/>
    <w:qFormat/>
    <w:uiPriority w:val="0"/>
    <w:pPr>
      <w:keepLines/>
      <w:widowControl/>
      <w:spacing w:before="280" w:after="290" w:line="372" w:lineRule="auto"/>
      <w:outlineLvl w:val="4"/>
    </w:pPr>
    <w:rPr>
      <w:b/>
      <w:color w:val="000000"/>
      <w:sz w:val="28"/>
      <w:szCs w:val="20"/>
    </w:rPr>
  </w:style>
  <w:style w:type="paragraph" w:styleId="10">
    <w:name w:val="heading 6"/>
    <w:basedOn w:val="1"/>
    <w:next w:val="1"/>
    <w:link w:val="92"/>
    <w:qFormat/>
    <w:uiPriority w:val="0"/>
    <w:pPr>
      <w:keepLines/>
      <w:widowControl/>
      <w:spacing w:before="240" w:after="64" w:line="312" w:lineRule="auto"/>
      <w:outlineLvl w:val="5"/>
    </w:pPr>
    <w:rPr>
      <w:rFonts w:ascii="Arial" w:hAnsi="Arial" w:eastAsia="黑体"/>
      <w:b/>
      <w:color w:val="000000"/>
      <w:sz w:val="24"/>
      <w:szCs w:val="20"/>
    </w:rPr>
  </w:style>
  <w:style w:type="paragraph" w:styleId="11">
    <w:name w:val="heading 7"/>
    <w:basedOn w:val="1"/>
    <w:next w:val="1"/>
    <w:link w:val="161"/>
    <w:qFormat/>
    <w:uiPriority w:val="0"/>
    <w:pPr>
      <w:keepLines/>
      <w:widowControl/>
      <w:spacing w:before="240" w:after="64" w:line="312" w:lineRule="auto"/>
      <w:outlineLvl w:val="6"/>
    </w:pPr>
    <w:rPr>
      <w:b/>
      <w:color w:val="000000"/>
      <w:sz w:val="24"/>
      <w:szCs w:val="20"/>
    </w:rPr>
  </w:style>
  <w:style w:type="paragraph" w:styleId="12">
    <w:name w:val="heading 8"/>
    <w:basedOn w:val="1"/>
    <w:next w:val="1"/>
    <w:link w:val="158"/>
    <w:qFormat/>
    <w:uiPriority w:val="0"/>
    <w:pPr>
      <w:keepLines/>
      <w:widowControl/>
      <w:spacing w:before="240" w:after="64" w:line="312" w:lineRule="auto"/>
      <w:outlineLvl w:val="7"/>
    </w:pPr>
    <w:rPr>
      <w:rFonts w:ascii="Arial" w:hAnsi="Arial" w:eastAsia="黑体"/>
      <w:color w:val="000000"/>
      <w:sz w:val="24"/>
      <w:szCs w:val="20"/>
    </w:rPr>
  </w:style>
  <w:style w:type="paragraph" w:styleId="13">
    <w:name w:val="heading 9"/>
    <w:basedOn w:val="1"/>
    <w:next w:val="1"/>
    <w:link w:val="133"/>
    <w:qFormat/>
    <w:uiPriority w:val="0"/>
    <w:pPr>
      <w:keepLines/>
      <w:widowControl/>
      <w:spacing w:before="240" w:after="64" w:line="312" w:lineRule="auto"/>
      <w:outlineLvl w:val="8"/>
    </w:pPr>
    <w:rPr>
      <w:rFonts w:ascii="Arial" w:hAnsi="Arial" w:eastAsia="黑体"/>
      <w:color w:val="000000"/>
      <w:szCs w:val="20"/>
    </w:rPr>
  </w:style>
  <w:style w:type="character" w:default="1" w:styleId="60">
    <w:name w:val="Default Paragraph Font"/>
    <w:semiHidden/>
    <w:uiPriority w:val="0"/>
  </w:style>
  <w:style w:type="table" w:default="1" w:styleId="56">
    <w:name w:val="Normal Table"/>
    <w:semiHidden/>
    <w:uiPriority w:val="0"/>
    <w:tblPr>
      <w:tblStyle w:val="56"/>
      <w:tblCellMar>
        <w:top w:w="0" w:type="dxa"/>
        <w:left w:w="108" w:type="dxa"/>
        <w:bottom w:w="0" w:type="dxa"/>
        <w:right w:w="108" w:type="dxa"/>
      </w:tblCellMar>
    </w:tblPr>
  </w:style>
  <w:style w:type="paragraph" w:styleId="2">
    <w:name w:val="Body Text First Indent"/>
    <w:basedOn w:val="3"/>
    <w:next w:val="1"/>
    <w:link w:val="105"/>
    <w:qFormat/>
    <w:uiPriority w:val="0"/>
    <w:pPr>
      <w:spacing w:after="120" w:line="240" w:lineRule="auto"/>
      <w:ind w:firstLine="420"/>
    </w:pPr>
    <w:rPr>
      <w:lang w:val="zh-CN"/>
    </w:rPr>
  </w:style>
  <w:style w:type="paragraph" w:styleId="3">
    <w:name w:val="Body Text"/>
    <w:basedOn w:val="1"/>
    <w:next w:val="2"/>
    <w:link w:val="91"/>
    <w:qFormat/>
    <w:uiPriority w:val="0"/>
    <w:pPr>
      <w:tabs>
        <w:tab w:val="left" w:pos="208"/>
      </w:tabs>
      <w:spacing w:line="432" w:lineRule="auto"/>
    </w:pPr>
    <w:rPr>
      <w:rFonts w:ascii="仿宋_GB2312" w:eastAsia="仿宋_GB2312"/>
      <w:sz w:val="28"/>
    </w:rPr>
  </w:style>
  <w:style w:type="paragraph" w:styleId="7">
    <w:name w:val="Normal Indent"/>
    <w:basedOn w:val="1"/>
    <w:link w:val="131"/>
    <w:qFormat/>
    <w:uiPriority w:val="0"/>
    <w:pPr>
      <w:ind w:firstLine="420"/>
    </w:pPr>
    <w:rPr>
      <w:szCs w:val="20"/>
    </w:rPr>
  </w:style>
  <w:style w:type="paragraph" w:styleId="14">
    <w:name w:val="toc 7"/>
    <w:basedOn w:val="1"/>
    <w:next w:val="1"/>
    <w:unhideWhenUsed/>
    <w:qFormat/>
    <w:uiPriority w:val="39"/>
    <w:pPr>
      <w:ind w:left="2520" w:leftChars="1200"/>
    </w:pPr>
    <w:rPr>
      <w:rFonts w:ascii="Calibri" w:hAnsi="Calibri"/>
      <w:szCs w:val="22"/>
    </w:rPr>
  </w:style>
  <w:style w:type="paragraph" w:styleId="15">
    <w:name w:val="List Number 2"/>
    <w:basedOn w:val="1"/>
    <w:qFormat/>
    <w:uiPriority w:val="0"/>
    <w:pPr>
      <w:numPr>
        <w:ilvl w:val="0"/>
        <w:numId w:val="1"/>
      </w:numPr>
      <w:spacing w:line="360" w:lineRule="auto"/>
      <w:ind w:firstLineChars="200"/>
      <w:contextualSpacing/>
    </w:pPr>
    <w:rPr>
      <w:rFonts w:ascii="Arial" w:hAnsi="Arial" w:cs="宋体"/>
      <w:sz w:val="24"/>
      <w:szCs w:val="20"/>
    </w:rPr>
  </w:style>
  <w:style w:type="paragraph" w:styleId="16">
    <w:name w:val="table of authorities"/>
    <w:basedOn w:val="1"/>
    <w:next w:val="1"/>
    <w:qFormat/>
    <w:uiPriority w:val="0"/>
    <w:pPr>
      <w:widowControl/>
      <w:tabs>
        <w:tab w:val="left" w:pos="480"/>
        <w:tab w:val="left" w:pos="540"/>
        <w:tab w:val="left" w:pos="720"/>
      </w:tabs>
      <w:spacing w:beforeLines="50" w:line="360" w:lineRule="exact"/>
      <w:ind w:left="420" w:leftChars="200" w:firstLine="200" w:firstLineChars="200"/>
      <w:jc w:val="left"/>
    </w:pPr>
    <w:rPr>
      <w:rFonts w:ascii="仿宋" w:hAnsi="仿宋" w:eastAsia="仿宋" w:cs="仿宋"/>
      <w:bCs/>
      <w:color w:val="000000"/>
      <w:kern w:val="0"/>
      <w:sz w:val="24"/>
    </w:rPr>
  </w:style>
  <w:style w:type="paragraph" w:styleId="17">
    <w:name w:val="List Number"/>
    <w:qFormat/>
    <w:uiPriority w:val="0"/>
    <w:pPr>
      <w:tabs>
        <w:tab w:val="left" w:pos="1531"/>
      </w:tabs>
      <w:spacing w:before="80" w:after="80" w:line="300" w:lineRule="auto"/>
      <w:ind w:left="964" w:hanging="397"/>
    </w:pPr>
    <w:rPr>
      <w:spacing w:val="2"/>
      <w:sz w:val="21"/>
      <w:lang w:val="en-US" w:eastAsia="en-US" w:bidi="ar-SA"/>
    </w:rPr>
  </w:style>
  <w:style w:type="paragraph" w:styleId="18">
    <w:name w:val="caption"/>
    <w:basedOn w:val="1"/>
    <w:next w:val="1"/>
    <w:link w:val="86"/>
    <w:qFormat/>
    <w:uiPriority w:val="0"/>
    <w:pPr>
      <w:spacing w:before="152" w:after="160"/>
    </w:pPr>
    <w:rPr>
      <w:rFonts w:ascii="Arial" w:hAnsi="Arial" w:eastAsia="黑体" w:cs="Arial"/>
      <w:sz w:val="20"/>
      <w:szCs w:val="20"/>
    </w:rPr>
  </w:style>
  <w:style w:type="paragraph" w:styleId="19">
    <w:name w:val="List Bullet"/>
    <w:basedOn w:val="1"/>
    <w:uiPriority w:val="0"/>
    <w:pPr>
      <w:tabs>
        <w:tab w:val="left" w:pos="360"/>
      </w:tabs>
      <w:ind w:left="360" w:hanging="360"/>
    </w:pPr>
    <w:rPr>
      <w:szCs w:val="20"/>
    </w:rPr>
  </w:style>
  <w:style w:type="paragraph" w:styleId="20">
    <w:name w:val="Document Map"/>
    <w:basedOn w:val="1"/>
    <w:link w:val="170"/>
    <w:qFormat/>
    <w:uiPriority w:val="0"/>
    <w:pPr>
      <w:widowControl/>
      <w:adjustRightInd w:val="0"/>
      <w:snapToGrid w:val="0"/>
      <w:spacing w:after="200"/>
      <w:jc w:val="left"/>
    </w:pPr>
    <w:rPr>
      <w:rFonts w:ascii="宋体" w:hAnsi="Tahoma"/>
      <w:kern w:val="0"/>
      <w:sz w:val="18"/>
      <w:szCs w:val="18"/>
    </w:rPr>
  </w:style>
  <w:style w:type="paragraph" w:styleId="21">
    <w:name w:val="annotation text"/>
    <w:basedOn w:val="1"/>
    <w:link w:val="100"/>
    <w:qFormat/>
    <w:uiPriority w:val="0"/>
    <w:pPr>
      <w:jc w:val="left"/>
    </w:pPr>
  </w:style>
  <w:style w:type="paragraph" w:styleId="22">
    <w:name w:val="Body Text 3"/>
    <w:basedOn w:val="1"/>
    <w:link w:val="171"/>
    <w:qFormat/>
    <w:uiPriority w:val="99"/>
    <w:pPr>
      <w:widowControl/>
      <w:spacing w:line="360" w:lineRule="auto"/>
    </w:pPr>
    <w:rPr>
      <w:rFonts w:ascii="仿宋_GB2312" w:eastAsia="仿宋_GB2312"/>
      <w:sz w:val="24"/>
      <w:szCs w:val="20"/>
    </w:rPr>
  </w:style>
  <w:style w:type="paragraph" w:styleId="23">
    <w:name w:val="Body Text Indent"/>
    <w:basedOn w:val="1"/>
    <w:link w:val="135"/>
    <w:qFormat/>
    <w:uiPriority w:val="99"/>
    <w:pPr>
      <w:ind w:firstLine="540"/>
    </w:pPr>
    <w:rPr>
      <w:sz w:val="28"/>
      <w:szCs w:val="20"/>
    </w:rPr>
  </w:style>
  <w:style w:type="paragraph" w:styleId="24">
    <w:name w:val="List Number 3"/>
    <w:basedOn w:val="1"/>
    <w:uiPriority w:val="0"/>
    <w:pPr>
      <w:tabs>
        <w:tab w:val="left" w:pos="1200"/>
      </w:tabs>
      <w:spacing w:beforeLines="40" w:afterLines="40" w:line="300" w:lineRule="auto"/>
      <w:ind w:left="1200" w:hanging="360"/>
    </w:pPr>
    <w:rPr>
      <w:sz w:val="24"/>
    </w:rPr>
  </w:style>
  <w:style w:type="paragraph" w:styleId="25">
    <w:name w:val="List 2"/>
    <w:basedOn w:val="1"/>
    <w:qFormat/>
    <w:uiPriority w:val="0"/>
    <w:pPr>
      <w:widowControl/>
      <w:spacing w:after="160"/>
      <w:ind w:left="100" w:leftChars="200" w:hanging="200" w:hangingChars="200"/>
      <w:jc w:val="left"/>
    </w:pPr>
    <w:rPr>
      <w:kern w:val="0"/>
      <w:szCs w:val="20"/>
      <w:lang w:eastAsia="en-US"/>
    </w:rPr>
  </w:style>
  <w:style w:type="paragraph" w:styleId="26">
    <w:name w:val="List Continue"/>
    <w:basedOn w:val="1"/>
    <w:unhideWhenUsed/>
    <w:qFormat/>
    <w:uiPriority w:val="99"/>
    <w:pPr>
      <w:widowControl/>
      <w:spacing w:after="120"/>
      <w:ind w:left="420" w:leftChars="200"/>
      <w:jc w:val="left"/>
    </w:pPr>
    <w:rPr>
      <w:szCs w:val="20"/>
    </w:rPr>
  </w:style>
  <w:style w:type="paragraph" w:styleId="27">
    <w:name w:val="toc 5"/>
    <w:basedOn w:val="1"/>
    <w:next w:val="1"/>
    <w:link w:val="90"/>
    <w:unhideWhenUsed/>
    <w:qFormat/>
    <w:uiPriority w:val="39"/>
    <w:pPr>
      <w:ind w:left="1680" w:leftChars="800"/>
    </w:pPr>
    <w:rPr>
      <w:rFonts w:ascii="Calibri" w:hAnsi="Calibri"/>
      <w:szCs w:val="22"/>
    </w:rPr>
  </w:style>
  <w:style w:type="paragraph" w:styleId="28">
    <w:name w:val="toc 3"/>
    <w:basedOn w:val="1"/>
    <w:next w:val="1"/>
    <w:link w:val="172"/>
    <w:qFormat/>
    <w:uiPriority w:val="39"/>
    <w:pPr>
      <w:tabs>
        <w:tab w:val="right" w:leader="dot" w:pos="9060"/>
      </w:tabs>
      <w:ind w:left="750" w:leftChars="300" w:hanging="120" w:hangingChars="50"/>
    </w:pPr>
    <w:rPr>
      <w:rFonts w:ascii="仿宋_GB2312" w:eastAsia="仿宋_GB2312"/>
      <w:sz w:val="24"/>
      <w:szCs w:val="36"/>
      <w:lang/>
    </w:rPr>
  </w:style>
  <w:style w:type="paragraph" w:styleId="29">
    <w:name w:val="Plain Text"/>
    <w:basedOn w:val="1"/>
    <w:link w:val="89"/>
    <w:qFormat/>
    <w:uiPriority w:val="99"/>
    <w:rPr>
      <w:rFonts w:ascii="宋体" w:hAnsi="Courier New"/>
      <w:szCs w:val="20"/>
    </w:rPr>
  </w:style>
  <w:style w:type="paragraph" w:styleId="30">
    <w:name w:val="toc 8"/>
    <w:basedOn w:val="1"/>
    <w:next w:val="1"/>
    <w:unhideWhenUsed/>
    <w:qFormat/>
    <w:uiPriority w:val="39"/>
    <w:pPr>
      <w:ind w:left="2940" w:leftChars="1400"/>
    </w:pPr>
    <w:rPr>
      <w:rFonts w:ascii="Calibri" w:hAnsi="Calibri"/>
      <w:szCs w:val="22"/>
    </w:rPr>
  </w:style>
  <w:style w:type="paragraph" w:styleId="31">
    <w:name w:val="Date"/>
    <w:basedOn w:val="1"/>
    <w:next w:val="1"/>
    <w:link w:val="173"/>
    <w:qFormat/>
    <w:uiPriority w:val="99"/>
    <w:pPr>
      <w:adjustRightInd w:val="0"/>
      <w:spacing w:line="312" w:lineRule="atLeast"/>
    </w:pPr>
    <w:rPr>
      <w:rFonts w:ascii="仿宋_GB2312" w:eastAsia="仿宋_GB2312"/>
      <w:kern w:val="0"/>
      <w:sz w:val="28"/>
      <w:szCs w:val="20"/>
    </w:rPr>
  </w:style>
  <w:style w:type="paragraph" w:styleId="32">
    <w:name w:val="Body Text Indent 2"/>
    <w:basedOn w:val="1"/>
    <w:link w:val="174"/>
    <w:qFormat/>
    <w:uiPriority w:val="99"/>
    <w:pPr>
      <w:snapToGrid w:val="0"/>
      <w:spacing w:line="400" w:lineRule="exact"/>
      <w:ind w:firstLine="480"/>
    </w:pPr>
    <w:rPr>
      <w:rFonts w:eastAsia="仿宋_GB2312"/>
      <w:sz w:val="24"/>
    </w:rPr>
  </w:style>
  <w:style w:type="paragraph" w:styleId="33">
    <w:name w:val="endnote text"/>
    <w:basedOn w:val="1"/>
    <w:link w:val="397"/>
    <w:qFormat/>
    <w:uiPriority w:val="0"/>
    <w:pPr>
      <w:snapToGrid w:val="0"/>
      <w:spacing w:line="360" w:lineRule="auto"/>
      <w:ind w:firstLine="200" w:firstLineChars="200"/>
      <w:jc w:val="left"/>
    </w:pPr>
    <w:rPr>
      <w:rFonts w:ascii="Arial" w:hAnsi="Arial" w:cs="宋体"/>
      <w:kern w:val="0"/>
      <w:sz w:val="24"/>
      <w:szCs w:val="20"/>
    </w:rPr>
  </w:style>
  <w:style w:type="paragraph" w:styleId="34">
    <w:name w:val="Balloon Text"/>
    <w:basedOn w:val="1"/>
    <w:link w:val="175"/>
    <w:qFormat/>
    <w:uiPriority w:val="0"/>
    <w:rPr>
      <w:sz w:val="18"/>
      <w:szCs w:val="18"/>
    </w:rPr>
  </w:style>
  <w:style w:type="paragraph" w:styleId="35">
    <w:name w:val="footer"/>
    <w:basedOn w:val="1"/>
    <w:link w:val="176"/>
    <w:qFormat/>
    <w:uiPriority w:val="99"/>
    <w:pPr>
      <w:tabs>
        <w:tab w:val="center" w:pos="4153"/>
        <w:tab w:val="right" w:pos="8306"/>
      </w:tabs>
      <w:snapToGrid w:val="0"/>
      <w:jc w:val="left"/>
    </w:pPr>
    <w:rPr>
      <w:sz w:val="18"/>
      <w:szCs w:val="18"/>
    </w:rPr>
  </w:style>
  <w:style w:type="paragraph" w:styleId="36">
    <w:name w:val="header"/>
    <w:basedOn w:val="1"/>
    <w:link w:val="177"/>
    <w:qFormat/>
    <w:uiPriority w:val="99"/>
    <w:pPr>
      <w:pBdr>
        <w:bottom w:val="single" w:color="auto" w:sz="6" w:space="1"/>
      </w:pBdr>
      <w:tabs>
        <w:tab w:val="center" w:pos="4153"/>
        <w:tab w:val="right" w:pos="8306"/>
      </w:tabs>
      <w:adjustRightInd w:val="0"/>
      <w:spacing w:line="240" w:lineRule="atLeast"/>
      <w:jc w:val="center"/>
    </w:pPr>
    <w:rPr>
      <w:kern w:val="0"/>
      <w:sz w:val="18"/>
      <w:szCs w:val="20"/>
    </w:rPr>
  </w:style>
  <w:style w:type="paragraph" w:styleId="37">
    <w:name w:val="Signature"/>
    <w:basedOn w:val="1"/>
    <w:next w:val="1"/>
    <w:link w:val="178"/>
    <w:uiPriority w:val="0"/>
    <w:pPr>
      <w:keepNext/>
      <w:widowControl/>
      <w:tabs>
        <w:tab w:val="left" w:pos="780"/>
      </w:tabs>
      <w:adjustRightInd w:val="0"/>
      <w:spacing w:line="220" w:lineRule="atLeast"/>
      <w:ind w:hanging="360"/>
      <w:jc w:val="right"/>
      <w:textAlignment w:val="baseline"/>
    </w:pPr>
    <w:rPr>
      <w:rFonts w:ascii="Arial" w:hAnsi="Arial"/>
      <w:spacing w:val="-5"/>
      <w:kern w:val="0"/>
      <w:sz w:val="24"/>
      <w:szCs w:val="20"/>
    </w:rPr>
  </w:style>
  <w:style w:type="paragraph" w:styleId="38">
    <w:name w:val="toc 1"/>
    <w:basedOn w:val="1"/>
    <w:next w:val="1"/>
    <w:qFormat/>
    <w:uiPriority w:val="39"/>
    <w:pPr>
      <w:tabs>
        <w:tab w:val="left" w:pos="1470"/>
        <w:tab w:val="right" w:leader="dot" w:pos="9016"/>
      </w:tabs>
      <w:ind w:firstLine="480"/>
    </w:pPr>
    <w:rPr>
      <w:rFonts w:ascii="宋体" w:hAnsi="宋体" w:eastAsia="仿宋_GB2312"/>
      <w:b/>
      <w:sz w:val="30"/>
      <w:szCs w:val="30"/>
      <w:lang/>
    </w:rPr>
  </w:style>
  <w:style w:type="paragraph" w:styleId="39">
    <w:name w:val="toc 4"/>
    <w:basedOn w:val="1"/>
    <w:next w:val="1"/>
    <w:link w:val="179"/>
    <w:unhideWhenUsed/>
    <w:qFormat/>
    <w:uiPriority w:val="39"/>
    <w:pPr>
      <w:ind w:left="1260" w:leftChars="600"/>
    </w:pPr>
    <w:rPr>
      <w:rFonts w:ascii="Calibri" w:hAnsi="Calibri"/>
      <w:szCs w:val="22"/>
    </w:rPr>
  </w:style>
  <w:style w:type="paragraph" w:styleId="40">
    <w:name w:val="index heading"/>
    <w:basedOn w:val="1"/>
    <w:next w:val="41"/>
    <w:qFormat/>
    <w:uiPriority w:val="0"/>
    <w:rPr>
      <w:szCs w:val="20"/>
    </w:rPr>
  </w:style>
  <w:style w:type="paragraph" w:styleId="41">
    <w:name w:val="index 1"/>
    <w:basedOn w:val="1"/>
    <w:next w:val="1"/>
    <w:qFormat/>
    <w:uiPriority w:val="99"/>
  </w:style>
  <w:style w:type="paragraph" w:styleId="42">
    <w:name w:val="Subtitle"/>
    <w:basedOn w:val="1"/>
    <w:link w:val="180"/>
    <w:qFormat/>
    <w:uiPriority w:val="99"/>
    <w:pPr>
      <w:spacing w:before="240" w:after="60" w:line="312" w:lineRule="auto"/>
      <w:jc w:val="center"/>
      <w:outlineLvl w:val="1"/>
    </w:pPr>
    <w:rPr>
      <w:rFonts w:ascii="Cambria" w:hAnsi="Cambria"/>
      <w:b/>
      <w:bCs/>
      <w:kern w:val="28"/>
      <w:sz w:val="32"/>
      <w:szCs w:val="32"/>
    </w:rPr>
  </w:style>
  <w:style w:type="paragraph" w:styleId="43">
    <w:name w:val="List"/>
    <w:basedOn w:val="1"/>
    <w:qFormat/>
    <w:uiPriority w:val="0"/>
    <w:pPr>
      <w:widowControl/>
      <w:ind w:firstLine="420" w:firstLineChars="200"/>
      <w:jc w:val="left"/>
    </w:pPr>
    <w:rPr>
      <w:rFonts w:ascii="宋体" w:hAnsi="宋体"/>
      <w:kern w:val="0"/>
      <w:sz w:val="24"/>
    </w:rPr>
  </w:style>
  <w:style w:type="paragraph" w:styleId="44">
    <w:name w:val="footnote text"/>
    <w:basedOn w:val="1"/>
    <w:link w:val="181"/>
    <w:qFormat/>
    <w:uiPriority w:val="0"/>
    <w:pPr>
      <w:widowControl/>
      <w:snapToGrid w:val="0"/>
      <w:jc w:val="left"/>
    </w:pPr>
    <w:rPr>
      <w:rFonts w:ascii="Calibri" w:hAnsi="Calibri"/>
      <w:sz w:val="18"/>
      <w:szCs w:val="18"/>
    </w:rPr>
  </w:style>
  <w:style w:type="paragraph" w:styleId="45">
    <w:name w:val="toc 6"/>
    <w:basedOn w:val="1"/>
    <w:next w:val="1"/>
    <w:unhideWhenUsed/>
    <w:qFormat/>
    <w:uiPriority w:val="39"/>
    <w:pPr>
      <w:ind w:left="2100" w:leftChars="1000"/>
    </w:pPr>
    <w:rPr>
      <w:rFonts w:ascii="Calibri" w:hAnsi="Calibri"/>
      <w:szCs w:val="22"/>
    </w:rPr>
  </w:style>
  <w:style w:type="paragraph" w:styleId="46">
    <w:name w:val="Body Text Indent 3"/>
    <w:basedOn w:val="1"/>
    <w:link w:val="182"/>
    <w:qFormat/>
    <w:uiPriority w:val="0"/>
    <w:pPr>
      <w:spacing w:line="360" w:lineRule="auto"/>
      <w:ind w:left="220"/>
      <w:jc w:val="left"/>
    </w:pPr>
    <w:rPr>
      <w:rFonts w:ascii="仿宋_GB2312" w:eastAsia="仿宋_GB2312"/>
      <w:color w:val="000000"/>
      <w:sz w:val="24"/>
    </w:rPr>
  </w:style>
  <w:style w:type="paragraph" w:styleId="47">
    <w:name w:val="table of figures"/>
    <w:basedOn w:val="1"/>
    <w:next w:val="1"/>
    <w:qFormat/>
    <w:uiPriority w:val="99"/>
    <w:pPr>
      <w:spacing w:line="360" w:lineRule="auto"/>
      <w:ind w:left="840" w:leftChars="200" w:hanging="420" w:hangingChars="200"/>
    </w:pPr>
    <w:rPr>
      <w:rFonts w:ascii="Arial" w:hAnsi="Arial" w:cs="宋体"/>
      <w:sz w:val="24"/>
      <w:szCs w:val="20"/>
    </w:rPr>
  </w:style>
  <w:style w:type="paragraph" w:styleId="48">
    <w:name w:val="toc 2"/>
    <w:basedOn w:val="1"/>
    <w:next w:val="1"/>
    <w:qFormat/>
    <w:uiPriority w:val="39"/>
    <w:pPr>
      <w:tabs>
        <w:tab w:val="right" w:leader="dot" w:pos="9060"/>
      </w:tabs>
      <w:ind w:left="525" w:leftChars="250"/>
      <w:jc w:val="center"/>
    </w:pPr>
    <w:rPr>
      <w:rFonts w:ascii="宋体" w:hAnsi="宋体" w:eastAsia="仿宋_GB2312"/>
      <w:b/>
      <w:bCs/>
      <w:sz w:val="30"/>
      <w:szCs w:val="30"/>
      <w:lang/>
    </w:rPr>
  </w:style>
  <w:style w:type="paragraph" w:styleId="49">
    <w:name w:val="toc 9"/>
    <w:basedOn w:val="1"/>
    <w:next w:val="1"/>
    <w:unhideWhenUsed/>
    <w:qFormat/>
    <w:uiPriority w:val="39"/>
    <w:pPr>
      <w:ind w:left="3360" w:leftChars="1600"/>
    </w:pPr>
    <w:rPr>
      <w:rFonts w:ascii="Calibri" w:hAnsi="Calibri"/>
      <w:szCs w:val="22"/>
    </w:rPr>
  </w:style>
  <w:style w:type="paragraph" w:styleId="50">
    <w:name w:val="Body Text 2"/>
    <w:basedOn w:val="1"/>
    <w:link w:val="183"/>
    <w:qFormat/>
    <w:uiPriority w:val="0"/>
    <w:pPr>
      <w:spacing w:line="560" w:lineRule="exact"/>
    </w:pPr>
    <w:rPr>
      <w:rFonts w:ascii="仿宋_GB2312" w:eastAsia="仿宋_GB2312"/>
      <w:sz w:val="24"/>
    </w:rPr>
  </w:style>
  <w:style w:type="paragraph" w:styleId="51">
    <w:name w:val="HTML Preformatted"/>
    <w:basedOn w:val="1"/>
    <w:link w:val="184"/>
    <w:qFormat/>
    <w:uiPriority w:val="0"/>
    <w:rPr>
      <w:rFonts w:ascii="Arial Unicode MS" w:hAnsi="Arial Unicode MS" w:eastAsia="Arial Unicode MS"/>
      <w:kern w:val="0"/>
      <w:sz w:val="20"/>
      <w:szCs w:val="20"/>
    </w:rPr>
  </w:style>
  <w:style w:type="paragraph" w:styleId="52">
    <w:name w:val="Normal (Web)"/>
    <w:basedOn w:val="1"/>
    <w:link w:val="185"/>
    <w:qFormat/>
    <w:uiPriority w:val="0"/>
    <w:pPr>
      <w:widowControl/>
      <w:jc w:val="left"/>
    </w:pPr>
    <w:rPr>
      <w:rFonts w:ascii="宋体" w:hAnsi="宋体"/>
      <w:kern w:val="0"/>
      <w:sz w:val="24"/>
    </w:rPr>
  </w:style>
  <w:style w:type="paragraph" w:styleId="53">
    <w:name w:val="Title"/>
    <w:basedOn w:val="1"/>
    <w:link w:val="186"/>
    <w:qFormat/>
    <w:uiPriority w:val="0"/>
    <w:pPr>
      <w:widowControl/>
      <w:overflowPunct w:val="0"/>
      <w:autoSpaceDE w:val="0"/>
      <w:autoSpaceDN w:val="0"/>
      <w:adjustRightInd w:val="0"/>
      <w:spacing w:line="420" w:lineRule="exact"/>
      <w:jc w:val="center"/>
      <w:textAlignment w:val="baseline"/>
    </w:pPr>
    <w:rPr>
      <w:rFonts w:eastAsia="黑体"/>
      <w:b/>
      <w:kern w:val="0"/>
      <w:sz w:val="28"/>
      <w:szCs w:val="20"/>
      <w:lang w:val="en-GB"/>
    </w:rPr>
  </w:style>
  <w:style w:type="paragraph" w:styleId="54">
    <w:name w:val="annotation subject"/>
    <w:basedOn w:val="21"/>
    <w:next w:val="21"/>
    <w:link w:val="187"/>
    <w:unhideWhenUsed/>
    <w:qFormat/>
    <w:uiPriority w:val="0"/>
    <w:rPr>
      <w:rFonts w:ascii="Calibri" w:hAnsi="Calibri"/>
      <w:b/>
      <w:bCs/>
      <w:szCs w:val="22"/>
    </w:rPr>
  </w:style>
  <w:style w:type="paragraph" w:styleId="55">
    <w:name w:val="Body Text First Indent 2"/>
    <w:basedOn w:val="23"/>
    <w:link w:val="188"/>
    <w:qFormat/>
    <w:uiPriority w:val="0"/>
    <w:pPr>
      <w:spacing w:after="120"/>
      <w:ind w:left="420" w:leftChars="200" w:firstLine="420" w:firstLineChars="200"/>
    </w:pPr>
    <w:rPr>
      <w:sz w:val="21"/>
      <w:szCs w:val="24"/>
    </w:rPr>
  </w:style>
  <w:style w:type="table" w:styleId="57">
    <w:name w:val="Table Grid"/>
    <w:basedOn w:val="56"/>
    <w:qFormat/>
    <w:uiPriority w:val="59"/>
    <w:pPr>
      <w:widowControl w:val="0"/>
      <w:jc w:val="both"/>
    </w:pPr>
    <w:tblPr>
      <w:tblStyle w:val="56"/>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58">
    <w:name w:val="Table Elegant"/>
    <w:basedOn w:val="56"/>
    <w:qFormat/>
    <w:uiPriority w:val="0"/>
    <w:pPr>
      <w:widowControl w:val="0"/>
      <w:jc w:val="both"/>
    </w:pPr>
    <w:tblPr>
      <w:tblStyle w:val="56"/>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blStyle w:val="56"/>
      </w:tblPr>
      <w:tcPr>
        <w:tcBorders>
          <w:top w:val="nil"/>
          <w:left w:val="nil"/>
          <w:bottom w:val="nil"/>
          <w:right w:val="nil"/>
          <w:insideH w:val="nil"/>
          <w:insideV w:val="nil"/>
          <w:tl2br w:val="nil"/>
          <w:tr2bl w:val="nil"/>
        </w:tcBorders>
      </w:tcPr>
    </w:tblStylePr>
  </w:style>
  <w:style w:type="table" w:styleId="59">
    <w:name w:val="Table Grid 4"/>
    <w:basedOn w:val="56"/>
    <w:uiPriority w:val="0"/>
    <w:pPr>
      <w:overflowPunct w:val="0"/>
      <w:autoSpaceDE w:val="0"/>
      <w:autoSpaceDN w:val="0"/>
      <w:adjustRightInd w:val="0"/>
      <w:ind w:firstLine="425"/>
      <w:textAlignment w:val="baseline"/>
    </w:pPr>
    <w:tblPr>
      <w:tblStyle w:val="56"/>
      <w:tblBorders>
        <w:left w:val="single" w:color="000000" w:sz="12" w:space="0"/>
        <w:right w:val="single" w:color="000000" w:sz="12" w:space="0"/>
        <w:insideH w:val="single" w:color="000000" w:sz="6" w:space="0"/>
        <w:insideV w:val="single" w:color="000000" w:sz="6" w:space="0"/>
      </w:tblBorders>
    </w:tblPr>
    <w:tcPr>
      <w:shd w:val="clear" w:color="auto" w:fill="auto"/>
    </w:tcPr>
    <w:tblStylePr w:type="firstRow">
      <w:rPr>
        <w:color w:val="auto"/>
      </w:rPr>
      <w:tblPr>
        <w:tblStyle w:val="56"/>
      </w:tblPr>
      <w:tcPr>
        <w:tcBorders>
          <w:top w:val="nil"/>
          <w:left w:val="single" w:color="000000" w:sz="6" w:space="0"/>
          <w:bottom w:val="nil"/>
          <w:right w:val="nil"/>
          <w:insideH w:val="nil"/>
          <w:insideV w:val="nil"/>
          <w:tl2br w:val="nil"/>
          <w:tr2bl w:val="nil"/>
        </w:tcBorders>
        <w:shd w:val="pct30" w:color="FFFF00" w:fill="FFFFFF"/>
      </w:tcPr>
    </w:tblStylePr>
    <w:tblStylePr w:type="lastRow">
      <w:rPr>
        <w:b/>
        <w:bCs/>
        <w:color w:val="auto"/>
      </w:rPr>
      <w:tblPr>
        <w:tblStyle w:val="56"/>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blStyle w:val="56"/>
      </w:tblPr>
      <w:tcPr>
        <w:tcBorders>
          <w:top w:val="nil"/>
          <w:left w:val="nil"/>
          <w:bottom w:val="nil"/>
          <w:right w:val="nil"/>
          <w:insideH w:val="nil"/>
          <w:insideV w:val="nil"/>
          <w:tl2br w:val="nil"/>
          <w:tr2bl w:val="nil"/>
        </w:tcBorders>
      </w:tcPr>
    </w:tblStylePr>
  </w:style>
  <w:style w:type="character" w:styleId="61">
    <w:name w:val="Strong"/>
    <w:qFormat/>
    <w:uiPriority w:val="0"/>
  </w:style>
  <w:style w:type="character" w:styleId="62">
    <w:name w:val="endnote reference"/>
    <w:uiPriority w:val="0"/>
    <w:rPr>
      <w:rFonts w:ascii="Verdana" w:hAnsi="Verdana" w:eastAsia="宋体"/>
      <w:sz w:val="28"/>
      <w:szCs w:val="28"/>
      <w:vertAlign w:val="superscript"/>
      <w:lang w:val="en-US" w:eastAsia="en-US" w:bidi="ar-SA"/>
    </w:rPr>
  </w:style>
  <w:style w:type="character" w:styleId="63">
    <w:name w:val="page number"/>
    <w:qFormat/>
    <w:uiPriority w:val="0"/>
  </w:style>
  <w:style w:type="character" w:styleId="64">
    <w:name w:val="FollowedHyperlink"/>
    <w:qFormat/>
    <w:uiPriority w:val="99"/>
    <w:rPr>
      <w:color w:val="800080"/>
      <w:u w:val="single"/>
    </w:rPr>
  </w:style>
  <w:style w:type="character" w:styleId="65">
    <w:name w:val="Emphasis"/>
    <w:qFormat/>
    <w:uiPriority w:val="20"/>
    <w:rPr>
      <w:color w:val="CC0000"/>
    </w:rPr>
  </w:style>
  <w:style w:type="character" w:styleId="66">
    <w:name w:val="line number"/>
    <w:qFormat/>
    <w:uiPriority w:val="0"/>
  </w:style>
  <w:style w:type="character" w:styleId="67">
    <w:name w:val="HTML Definition"/>
    <w:uiPriority w:val="0"/>
  </w:style>
  <w:style w:type="character" w:styleId="68">
    <w:name w:val="HTML Acronym"/>
    <w:uiPriority w:val="0"/>
  </w:style>
  <w:style w:type="character" w:styleId="69">
    <w:name w:val="HTML Variable"/>
    <w:uiPriority w:val="0"/>
  </w:style>
  <w:style w:type="character" w:styleId="70">
    <w:name w:val="Hyperlink"/>
    <w:qFormat/>
    <w:uiPriority w:val="99"/>
    <w:rPr>
      <w:color w:val="0000FF"/>
      <w:u w:val="single"/>
    </w:rPr>
  </w:style>
  <w:style w:type="character" w:styleId="71">
    <w:name w:val="HTML Code"/>
    <w:qFormat/>
    <w:uiPriority w:val="0"/>
    <w:rPr>
      <w:rFonts w:ascii="Courier New" w:hAnsi="Courier New"/>
      <w:sz w:val="20"/>
    </w:rPr>
  </w:style>
  <w:style w:type="character" w:styleId="72">
    <w:name w:val="annotation reference"/>
    <w:qFormat/>
    <w:uiPriority w:val="0"/>
    <w:rPr>
      <w:sz w:val="21"/>
      <w:szCs w:val="21"/>
    </w:rPr>
  </w:style>
  <w:style w:type="character" w:styleId="73">
    <w:name w:val="HTML Cite"/>
    <w:uiPriority w:val="0"/>
  </w:style>
  <w:style w:type="character" w:styleId="74">
    <w:name w:val="footnote reference"/>
    <w:qFormat/>
    <w:uiPriority w:val="0"/>
    <w:rPr>
      <w:vertAlign w:val="superscript"/>
    </w:rPr>
  </w:style>
  <w:style w:type="character" w:customStyle="1" w:styleId="75">
    <w:name w:val="尾注文本 Char"/>
    <w:uiPriority w:val="0"/>
    <w:rPr>
      <w:kern w:val="2"/>
      <w:sz w:val="21"/>
      <w:szCs w:val="24"/>
    </w:rPr>
  </w:style>
  <w:style w:type="character" w:customStyle="1" w:styleId="76">
    <w:name w:val="列表段落 字符"/>
    <w:aliases w:val="编号 字符,列出段落12 字符,列出段落4 字符,List Paragraph 字符,正文段落1 字符,符号列表 字符,列出段落2 字符,1.2.3标题 字符,ZJGIS列表项 字符,表格文本 字符,List1 字符,lp1 字符,符号1.1（天云科技） 字符,Bullet List 字符,FooterText 字符,numbered 字符,Paragraphe de liste1 字符,List 字符,stc标题4 字符,列出段落11 字符,段落样式 字符,·ûºÅÁÐ±í 字符"/>
    <w:qFormat/>
    <w:uiPriority w:val="0"/>
    <w:rPr>
      <w:rFonts w:ascii="宋体 ! important" w:hAnsi="宋体 ! important" w:cs="仿宋"/>
      <w:sz w:val="24"/>
      <w:szCs w:val="24"/>
    </w:rPr>
  </w:style>
  <w:style w:type="character" w:customStyle="1" w:styleId="77">
    <w:name w:val="标准正文 Char"/>
    <w:link w:val="78"/>
    <w:qFormat/>
    <w:locked/>
    <w:uiPriority w:val="0"/>
    <w:rPr>
      <w:rFonts w:cs="宋体"/>
      <w:sz w:val="24"/>
    </w:rPr>
  </w:style>
  <w:style w:type="paragraph" w:customStyle="1" w:styleId="78">
    <w:name w:val="标准正文"/>
    <w:basedOn w:val="1"/>
    <w:link w:val="77"/>
    <w:qFormat/>
    <w:uiPriority w:val="0"/>
    <w:pPr>
      <w:spacing w:before="156" w:after="156" w:line="360" w:lineRule="auto"/>
      <w:ind w:firstLine="480" w:firstLineChars="200"/>
    </w:pPr>
    <w:rPr>
      <w:rFonts w:cs="宋体"/>
      <w:kern w:val="0"/>
      <w:sz w:val="24"/>
      <w:szCs w:val="20"/>
    </w:rPr>
  </w:style>
  <w:style w:type="character" w:customStyle="1" w:styleId="79">
    <w:name w:val="正文缩进 字符1"/>
    <w:uiPriority w:val="0"/>
    <w:rPr>
      <w:rFonts w:ascii="Arial" w:hAnsi="Arial" w:eastAsia="宋体" w:cs="宋体"/>
      <w:szCs w:val="20"/>
    </w:rPr>
  </w:style>
  <w:style w:type="character" w:customStyle="1" w:styleId="80">
    <w:name w:val="正文文本首行缩进 2 字符"/>
    <w:link w:val="81"/>
    <w:uiPriority w:val="99"/>
    <w:rPr>
      <w:rFonts w:ascii="Calibri" w:hAnsi="Calibri"/>
      <w:kern w:val="2"/>
      <w:sz w:val="24"/>
      <w:szCs w:val="21"/>
    </w:rPr>
  </w:style>
  <w:style w:type="paragraph" w:customStyle="1" w:styleId="81">
    <w:name w:val="编号"/>
    <w:basedOn w:val="23"/>
    <w:next w:val="55"/>
    <w:link w:val="80"/>
    <w:unhideWhenUsed/>
    <w:uiPriority w:val="99"/>
    <w:pPr>
      <w:numPr>
        <w:ilvl w:val="0"/>
        <w:numId w:val="2"/>
      </w:numPr>
      <w:spacing w:after="120" w:line="360" w:lineRule="auto"/>
      <w:ind w:leftChars="200" w:firstLine="420" w:firstLineChars="200"/>
    </w:pPr>
    <w:rPr>
      <w:rFonts w:ascii="Calibri" w:hAnsi="Calibri"/>
      <w:sz w:val="24"/>
      <w:szCs w:val="21"/>
      <w:lang w:val="en-US" w:eastAsia="zh-CN"/>
    </w:rPr>
  </w:style>
  <w:style w:type="character" w:customStyle="1" w:styleId="82">
    <w:name w:val="10-图编号、图题；表编号、表题 Char"/>
    <w:link w:val="83"/>
    <w:uiPriority w:val="0"/>
    <w:rPr>
      <w:rFonts w:ascii="黑体" w:eastAsia="微软雅黑"/>
      <w:b/>
      <w:bCs/>
      <w:szCs w:val="24"/>
      <w:lang/>
    </w:rPr>
  </w:style>
  <w:style w:type="paragraph" w:customStyle="1" w:styleId="83">
    <w:name w:val="10-图编号、图题；表编号、表题"/>
    <w:basedOn w:val="1"/>
    <w:next w:val="1"/>
    <w:link w:val="82"/>
    <w:qFormat/>
    <w:uiPriority w:val="0"/>
    <w:pPr>
      <w:spacing w:after="120" w:afterLines="50" w:line="240" w:lineRule="exact"/>
      <w:ind w:left="420" w:firstLine="480"/>
      <w:jc w:val="center"/>
    </w:pPr>
    <w:rPr>
      <w:rFonts w:ascii="黑体" w:eastAsia="微软雅黑"/>
      <w:b/>
      <w:bCs/>
      <w:kern w:val="0"/>
      <w:sz w:val="20"/>
      <w:lang/>
    </w:rPr>
  </w:style>
  <w:style w:type="character" w:customStyle="1" w:styleId="84">
    <w:name w:val="标题 2 字符1"/>
    <w:qFormat/>
    <w:uiPriority w:val="0"/>
    <w:rPr>
      <w:rFonts w:ascii="Times New Roman" w:hAnsi="Times New Roman" w:eastAsia="黑体"/>
      <w:bCs/>
      <w:sz w:val="36"/>
      <w:szCs w:val="36"/>
      <w:lang w:val="zh-CN"/>
    </w:rPr>
  </w:style>
  <w:style w:type="character" w:customStyle="1" w:styleId="85">
    <w:name w:val="页脚 字符1"/>
    <w:uiPriority w:val="99"/>
    <w:rPr>
      <w:rFonts w:ascii="Arial" w:hAnsi="Arial" w:eastAsia="宋体" w:cs="宋体"/>
      <w:sz w:val="18"/>
      <w:szCs w:val="18"/>
    </w:rPr>
  </w:style>
  <w:style w:type="character" w:customStyle="1" w:styleId="86">
    <w:name w:val="题注 Char"/>
    <w:link w:val="18"/>
    <w:qFormat/>
    <w:locked/>
    <w:uiPriority w:val="0"/>
    <w:rPr>
      <w:rFonts w:ascii="Arial" w:hAnsi="Arial" w:eastAsia="黑体" w:cs="Arial"/>
      <w:kern w:val="2"/>
    </w:rPr>
  </w:style>
  <w:style w:type="character" w:customStyle="1" w:styleId="87">
    <w:name w:val="文档结构图 字符1"/>
    <w:semiHidden/>
    <w:uiPriority w:val="0"/>
    <w:rPr>
      <w:rFonts w:ascii="Arial" w:hAnsi="Arial" w:eastAsia="宋体" w:cs="宋体"/>
      <w:sz w:val="24"/>
      <w:szCs w:val="20"/>
      <w:shd w:val="clear" w:color="auto" w:fill="000080"/>
    </w:rPr>
  </w:style>
  <w:style w:type="character" w:customStyle="1" w:styleId="88">
    <w:name w:val="批注框文本 字符"/>
    <w:semiHidden/>
    <w:uiPriority w:val="0"/>
    <w:rPr>
      <w:rFonts w:ascii="Times New Roman" w:hAnsi="Times New Roman" w:eastAsia="宋体"/>
      <w:sz w:val="18"/>
      <w:szCs w:val="18"/>
    </w:rPr>
  </w:style>
  <w:style w:type="character" w:customStyle="1" w:styleId="89">
    <w:name w:val="纯文本 Char"/>
    <w:link w:val="29"/>
    <w:qFormat/>
    <w:uiPriority w:val="99"/>
    <w:rPr>
      <w:rFonts w:ascii="宋体" w:hAnsi="Courier New" w:eastAsia="宋体"/>
      <w:kern w:val="2"/>
      <w:sz w:val="21"/>
      <w:lang w:val="en-US" w:eastAsia="zh-CN" w:bidi="ar-SA"/>
    </w:rPr>
  </w:style>
  <w:style w:type="character" w:customStyle="1" w:styleId="90">
    <w:name w:val="目录 5 Char"/>
    <w:link w:val="27"/>
    <w:qFormat/>
    <w:uiPriority w:val="0"/>
    <w:rPr>
      <w:rFonts w:ascii="Calibri" w:hAnsi="Calibri"/>
      <w:kern w:val="2"/>
      <w:sz w:val="21"/>
      <w:szCs w:val="22"/>
    </w:rPr>
  </w:style>
  <w:style w:type="character" w:customStyle="1" w:styleId="91">
    <w:name w:val="正文文本 Char"/>
    <w:link w:val="3"/>
    <w:qFormat/>
    <w:uiPriority w:val="1"/>
    <w:rPr>
      <w:rFonts w:ascii="仿宋_GB2312" w:eastAsia="仿宋_GB2312"/>
      <w:kern w:val="2"/>
      <w:sz w:val="28"/>
      <w:szCs w:val="24"/>
    </w:rPr>
  </w:style>
  <w:style w:type="character" w:customStyle="1" w:styleId="92">
    <w:name w:val="标题 6 Char"/>
    <w:link w:val="10"/>
    <w:qFormat/>
    <w:uiPriority w:val="0"/>
    <w:rPr>
      <w:rFonts w:ascii="Arial" w:hAnsi="Arial" w:eastAsia="黑体"/>
      <w:b/>
      <w:color w:val="000000"/>
      <w:kern w:val="2"/>
      <w:sz w:val="24"/>
    </w:rPr>
  </w:style>
  <w:style w:type="character" w:customStyle="1" w:styleId="93">
    <w:name w:val="tisl-fraction"/>
    <w:qFormat/>
    <w:uiPriority w:val="0"/>
  </w:style>
  <w:style w:type="character" w:customStyle="1" w:styleId="94">
    <w:name w:val="标题 4 Char"/>
    <w:link w:val="8"/>
    <w:qFormat/>
    <w:uiPriority w:val="0"/>
    <w:rPr>
      <w:rFonts w:ascii="Arial" w:hAnsi="Arial" w:eastAsia="黑体"/>
      <w:b/>
      <w:color w:val="000000"/>
      <w:kern w:val="2"/>
      <w:sz w:val="28"/>
    </w:rPr>
  </w:style>
  <w:style w:type="character" w:customStyle="1" w:styleId="95">
    <w:name w:val="用 Char"/>
    <w:link w:val="96"/>
    <w:qFormat/>
    <w:uiPriority w:val="0"/>
    <w:rPr>
      <w:rFonts w:ascii="宋体" w:hAnsi="宋体"/>
      <w:color w:val="000000"/>
      <w:kern w:val="2"/>
      <w:sz w:val="21"/>
      <w:lang w:val="zh-CN"/>
    </w:rPr>
  </w:style>
  <w:style w:type="paragraph" w:customStyle="1" w:styleId="96">
    <w:name w:val="用"/>
    <w:basedOn w:val="1"/>
    <w:link w:val="95"/>
    <w:qFormat/>
    <w:uiPriority w:val="0"/>
    <w:pPr>
      <w:widowControl/>
      <w:tabs>
        <w:tab w:val="left" w:pos="480"/>
        <w:tab w:val="left" w:pos="540"/>
        <w:tab w:val="left" w:pos="720"/>
      </w:tabs>
      <w:spacing w:beforeLines="50"/>
      <w:ind w:firstLine="200" w:firstLineChars="200"/>
      <w:jc w:val="left"/>
    </w:pPr>
    <w:rPr>
      <w:rFonts w:ascii="宋体" w:hAnsi="宋体"/>
      <w:color w:val="000000"/>
      <w:szCs w:val="20"/>
      <w:lang w:val="zh-CN"/>
    </w:rPr>
  </w:style>
  <w:style w:type="character" w:customStyle="1" w:styleId="97">
    <w:name w:val="SANGFOR_6_正文 Char"/>
    <w:link w:val="98"/>
    <w:uiPriority w:val="0"/>
    <w:rPr>
      <w:rFonts w:ascii="楷体_gb18030" w:hAnsi="Verdana" w:eastAsia="楷体_gb18030"/>
      <w:color w:val="000000"/>
      <w:kern w:val="2"/>
      <w:sz w:val="28"/>
      <w:szCs w:val="28"/>
    </w:rPr>
  </w:style>
  <w:style w:type="paragraph" w:customStyle="1" w:styleId="98">
    <w:name w:val="SANGFOR_6_正文"/>
    <w:basedOn w:val="1"/>
    <w:link w:val="97"/>
    <w:uiPriority w:val="0"/>
    <w:pPr>
      <w:spacing w:line="400" w:lineRule="exact"/>
      <w:ind w:firstLine="560" w:firstLineChars="200"/>
    </w:pPr>
    <w:rPr>
      <w:rFonts w:ascii="楷体_gb18030" w:hAnsi="Verdana" w:eastAsia="楷体_gb18030"/>
      <w:color w:val="000000"/>
      <w:sz w:val="28"/>
      <w:szCs w:val="28"/>
    </w:rPr>
  </w:style>
  <w:style w:type="character" w:customStyle="1" w:styleId="99">
    <w:name w:val="font51"/>
    <w:qFormat/>
    <w:uiPriority w:val="0"/>
    <w:rPr>
      <w:rFonts w:hint="eastAsia" w:ascii="宋体" w:hAnsi="宋体" w:eastAsia="宋体" w:cs="宋体"/>
      <w:color w:val="000000"/>
      <w:sz w:val="24"/>
      <w:szCs w:val="24"/>
      <w:u w:val="none"/>
    </w:rPr>
  </w:style>
  <w:style w:type="character" w:customStyle="1" w:styleId="100">
    <w:name w:val="批注文字 Char1"/>
    <w:link w:val="21"/>
    <w:qFormat/>
    <w:uiPriority w:val="0"/>
    <w:rPr>
      <w:kern w:val="2"/>
      <w:sz w:val="21"/>
      <w:szCs w:val="24"/>
    </w:rPr>
  </w:style>
  <w:style w:type="character" w:customStyle="1" w:styleId="101">
    <w:name w:val="font71"/>
    <w:qFormat/>
    <w:uiPriority w:val="0"/>
    <w:rPr>
      <w:rFonts w:hint="eastAsia" w:ascii="宋体" w:hAnsi="宋体" w:eastAsia="宋体" w:cs="宋体"/>
      <w:color w:val="000000"/>
      <w:sz w:val="20"/>
      <w:szCs w:val="20"/>
      <w:u w:val="none"/>
    </w:rPr>
  </w:style>
  <w:style w:type="character" w:customStyle="1" w:styleId="102">
    <w:name w:val="标题 2 Char"/>
    <w:link w:val="5"/>
    <w:qFormat/>
    <w:uiPriority w:val="0"/>
    <w:rPr>
      <w:rFonts w:ascii="仿宋_GB2312" w:eastAsia="仿宋_GB2312"/>
      <w:b/>
      <w:sz w:val="36"/>
    </w:rPr>
  </w:style>
  <w:style w:type="character" w:customStyle="1" w:styleId="103">
    <w:name w:val="！课程标准2 Char"/>
    <w:link w:val="104"/>
    <w:qFormat/>
    <w:uiPriority w:val="0"/>
    <w:rPr>
      <w:rFonts w:ascii="黑体" w:hAnsi="宋体" w:eastAsia="黑体"/>
      <w:b/>
      <w:kern w:val="2"/>
      <w:sz w:val="32"/>
      <w:szCs w:val="32"/>
      <w:lang w:val="zh-CN"/>
    </w:rPr>
  </w:style>
  <w:style w:type="paragraph" w:customStyle="1" w:styleId="104">
    <w:name w:val="！课程标准2"/>
    <w:basedOn w:val="5"/>
    <w:link w:val="103"/>
    <w:qFormat/>
    <w:uiPriority w:val="0"/>
    <w:pPr>
      <w:keepLines/>
      <w:widowControl/>
      <w:adjustRightInd/>
      <w:snapToGrid/>
      <w:spacing w:before="260" w:beforeLines="50" w:after="260" w:afterLines="50"/>
      <w:textAlignment w:val="auto"/>
    </w:pPr>
    <w:rPr>
      <w:rFonts w:ascii="黑体" w:hAnsi="宋体" w:eastAsia="黑体"/>
      <w:kern w:val="2"/>
      <w:sz w:val="32"/>
      <w:szCs w:val="32"/>
      <w:lang w:val="zh-CN"/>
    </w:rPr>
  </w:style>
  <w:style w:type="character" w:customStyle="1" w:styleId="105">
    <w:name w:val="正文首行缩进 Char"/>
    <w:link w:val="2"/>
    <w:uiPriority w:val="0"/>
    <w:rPr>
      <w:rFonts w:ascii="仿宋_GB2312" w:eastAsia="仿宋_GB2312"/>
      <w:kern w:val="2"/>
      <w:sz w:val="28"/>
      <w:szCs w:val="24"/>
      <w:lang w:val="zh-CN"/>
    </w:rPr>
  </w:style>
  <w:style w:type="character" w:customStyle="1" w:styleId="106">
    <w:name w:val="表内容 Char"/>
    <w:link w:val="107"/>
    <w:qFormat/>
    <w:uiPriority w:val="0"/>
    <w:rPr>
      <w:rFonts w:ascii="仿宋" w:hAnsi="仿宋" w:eastAsia="仿宋"/>
      <w:kern w:val="2"/>
      <w:sz w:val="24"/>
      <w:szCs w:val="24"/>
    </w:rPr>
  </w:style>
  <w:style w:type="paragraph" w:customStyle="1" w:styleId="107">
    <w:name w:val="表内容"/>
    <w:basedOn w:val="1"/>
    <w:link w:val="106"/>
    <w:qFormat/>
    <w:uiPriority w:val="0"/>
    <w:pPr>
      <w:widowControl/>
      <w:jc w:val="left"/>
    </w:pPr>
    <w:rPr>
      <w:rFonts w:ascii="仿宋" w:hAnsi="仿宋" w:eastAsia="仿宋"/>
      <w:sz w:val="24"/>
    </w:rPr>
  </w:style>
  <w:style w:type="character" w:customStyle="1" w:styleId="108">
    <w:name w:val="标题 3 Char"/>
    <w:link w:val="6"/>
    <w:qFormat/>
    <w:uiPriority w:val="0"/>
    <w:rPr>
      <w:rFonts w:ascii="仿宋_GB2312" w:eastAsia="仿宋_GB2312"/>
      <w:b/>
      <w:bCs/>
      <w:kern w:val="2"/>
      <w:sz w:val="30"/>
    </w:rPr>
  </w:style>
  <w:style w:type="character" w:customStyle="1" w:styleId="109">
    <w:name w:val="招标正文 Char"/>
    <w:qFormat/>
    <w:uiPriority w:val="0"/>
    <w:rPr>
      <w:rFonts w:ascii="仿宋" w:hAnsi="仿宋" w:eastAsia="仿宋" w:cs="仿宋"/>
      <w:bCs/>
      <w:color w:val="000000"/>
      <w:sz w:val="24"/>
    </w:rPr>
  </w:style>
  <w:style w:type="character" w:customStyle="1" w:styleId="110">
    <w:name w:val="访问过的超链接1"/>
    <w:qFormat/>
    <w:uiPriority w:val="99"/>
    <w:rPr>
      <w:color w:val="800080"/>
      <w:sz w:val="24"/>
      <w:u w:val="single"/>
    </w:rPr>
  </w:style>
  <w:style w:type="character" w:customStyle="1" w:styleId="111">
    <w:name w:val="主标题 Char"/>
    <w:link w:val="112"/>
    <w:qFormat/>
    <w:uiPriority w:val="0"/>
    <w:rPr>
      <w:rFonts w:ascii="宋体" w:hAnsi="宋体" w:eastAsia="仿宋"/>
      <w:b/>
      <w:kern w:val="2"/>
      <w:sz w:val="44"/>
      <w:szCs w:val="44"/>
    </w:rPr>
  </w:style>
  <w:style w:type="paragraph" w:customStyle="1" w:styleId="112">
    <w:name w:val="主标题"/>
    <w:basedOn w:val="1"/>
    <w:link w:val="111"/>
    <w:qFormat/>
    <w:uiPriority w:val="0"/>
    <w:pPr>
      <w:snapToGrid w:val="0"/>
      <w:spacing w:beforeLines="100" w:after="200"/>
      <w:jc w:val="center"/>
    </w:pPr>
    <w:rPr>
      <w:rFonts w:ascii="宋体" w:hAnsi="宋体" w:eastAsia="仿宋"/>
      <w:b/>
      <w:sz w:val="44"/>
      <w:szCs w:val="44"/>
    </w:rPr>
  </w:style>
  <w:style w:type="character" w:customStyle="1" w:styleId="113">
    <w:name w:val="图片 Char"/>
    <w:link w:val="114"/>
    <w:qFormat/>
    <w:uiPriority w:val="99"/>
    <w:rPr>
      <w:rFonts w:ascii="宋体" w:hAnsi="宋体"/>
      <w:kern w:val="2"/>
      <w:sz w:val="24"/>
      <w:szCs w:val="22"/>
    </w:rPr>
  </w:style>
  <w:style w:type="paragraph" w:customStyle="1" w:styleId="114">
    <w:name w:val="图片"/>
    <w:basedOn w:val="1"/>
    <w:link w:val="113"/>
    <w:qFormat/>
    <w:uiPriority w:val="99"/>
    <w:pPr>
      <w:widowControl/>
      <w:spacing w:after="200" w:line="360" w:lineRule="auto"/>
      <w:jc w:val="center"/>
    </w:pPr>
    <w:rPr>
      <w:rFonts w:ascii="宋体" w:hAnsi="宋体"/>
      <w:sz w:val="24"/>
      <w:szCs w:val="22"/>
    </w:rPr>
  </w:style>
  <w:style w:type="character" w:customStyle="1" w:styleId="115">
    <w:name w:val="Header Char"/>
    <w:qFormat/>
    <w:locked/>
    <w:uiPriority w:val="99"/>
    <w:rPr>
      <w:rFonts w:ascii="宋体" w:cs="Times New Roman"/>
      <w:sz w:val="18"/>
    </w:rPr>
  </w:style>
  <w:style w:type="character" w:customStyle="1" w:styleId="116">
    <w:name w:val="style21"/>
    <w:uiPriority w:val="0"/>
    <w:rPr>
      <w:color w:val="003366"/>
    </w:rPr>
  </w:style>
  <w:style w:type="character" w:customStyle="1" w:styleId="117">
    <w:name w:val="inner_title1"/>
    <w:qFormat/>
    <w:uiPriority w:val="99"/>
    <w:rPr>
      <w:rFonts w:hint="default" w:ascii="Arial" w:hAnsi="Arial" w:cs="Arial"/>
      <w:b/>
      <w:bCs/>
      <w:sz w:val="23"/>
      <w:szCs w:val="23"/>
      <w:rtl/>
    </w:rPr>
  </w:style>
  <w:style w:type="character" w:customStyle="1" w:styleId="118">
    <w:name w:val="font171"/>
    <w:qFormat/>
    <w:uiPriority w:val="0"/>
    <w:rPr>
      <w:rFonts w:ascii="Arial Unicode MS" w:hAnsi="Arial Unicode MS" w:eastAsia="Arial Unicode MS" w:cs="Arial Unicode MS"/>
      <w:color w:val="000000"/>
      <w:sz w:val="24"/>
      <w:szCs w:val="24"/>
      <w:u w:val="none"/>
    </w:rPr>
  </w:style>
  <w:style w:type="character" w:customStyle="1" w:styleId="119">
    <w:name w:val="标题 2 Char1"/>
    <w:qFormat/>
    <w:uiPriority w:val="0"/>
    <w:rPr>
      <w:rFonts w:ascii="Arial" w:hAnsi="Arial" w:eastAsia="仿宋"/>
      <w:b/>
      <w:kern w:val="2"/>
      <w:sz w:val="30"/>
      <w:szCs w:val="22"/>
    </w:rPr>
  </w:style>
  <w:style w:type="character" w:customStyle="1" w:styleId="120">
    <w:name w:val="标题 2 字符"/>
    <w:qFormat/>
    <w:uiPriority w:val="0"/>
    <w:rPr>
      <w:rFonts w:ascii="仿宋" w:hAnsi="仿宋" w:eastAsia="仿宋" w:cs="Times New Roman"/>
      <w:b/>
      <w:bCs/>
      <w:kern w:val="0"/>
      <w:sz w:val="28"/>
      <w:szCs w:val="32"/>
      <w:lang w:val="zh-CN" w:eastAsia="zh-CN"/>
    </w:rPr>
  </w:style>
  <w:style w:type="character" w:customStyle="1" w:styleId="121">
    <w:name w:val="表格 Char"/>
    <w:link w:val="122"/>
    <w:qFormat/>
    <w:uiPriority w:val="0"/>
    <w:rPr>
      <w:kern w:val="2"/>
      <w:sz w:val="21"/>
      <w:szCs w:val="24"/>
    </w:rPr>
  </w:style>
  <w:style w:type="paragraph" w:customStyle="1" w:styleId="122">
    <w:name w:val="表格"/>
    <w:basedOn w:val="123"/>
    <w:link w:val="121"/>
    <w:qFormat/>
    <w:uiPriority w:val="0"/>
    <w:pPr>
      <w:widowControl w:val="0"/>
      <w:jc w:val="both"/>
    </w:pPr>
    <w:rPr>
      <w:rFonts w:ascii="Times New Roman" w:hAnsi="Times New Roman" w:eastAsia="宋体"/>
      <w:kern w:val="2"/>
      <w:sz w:val="21"/>
      <w:szCs w:val="24"/>
    </w:rPr>
  </w:style>
  <w:style w:type="paragraph" w:customStyle="1" w:styleId="123">
    <w:name w:val="无间隔1"/>
    <w:link w:val="144"/>
    <w:qFormat/>
    <w:uiPriority w:val="99"/>
    <w:rPr>
      <w:rFonts w:ascii="等线" w:hAnsi="等线" w:eastAsia="等线"/>
      <w:sz w:val="22"/>
      <w:szCs w:val="22"/>
      <w:lang w:val="en-US" w:eastAsia="zh-CN" w:bidi="ar-SA"/>
    </w:rPr>
  </w:style>
  <w:style w:type="character" w:customStyle="1" w:styleId="124">
    <w:name w:val="disabled"/>
    <w:uiPriority w:val="0"/>
    <w:rPr>
      <w:color w:val="999999"/>
      <w:bdr w:val="single" w:color="C5C5C5" w:sz="6" w:space="0"/>
    </w:rPr>
  </w:style>
  <w:style w:type="character" w:customStyle="1" w:styleId="125">
    <w:name w:val="font21"/>
    <w:qFormat/>
    <w:uiPriority w:val="0"/>
    <w:rPr>
      <w:rFonts w:hint="eastAsia" w:ascii="宋体" w:hAnsi="宋体" w:eastAsia="宋体" w:cs="宋体"/>
      <w:color w:val="000000"/>
      <w:sz w:val="20"/>
      <w:szCs w:val="20"/>
      <w:u w:val="none"/>
    </w:rPr>
  </w:style>
  <w:style w:type="character" w:customStyle="1" w:styleId="126">
    <w:name w:val="图 Char"/>
    <w:link w:val="127"/>
    <w:qFormat/>
    <w:uiPriority w:val="3"/>
    <w:rPr>
      <w:rFonts w:eastAsia="仿宋"/>
      <w:kern w:val="2"/>
      <w:sz w:val="24"/>
      <w:szCs w:val="21"/>
    </w:rPr>
  </w:style>
  <w:style w:type="paragraph" w:customStyle="1" w:styleId="127">
    <w:name w:val="图"/>
    <w:basedOn w:val="1"/>
    <w:next w:val="1"/>
    <w:link w:val="126"/>
    <w:qFormat/>
    <w:uiPriority w:val="3"/>
    <w:pPr>
      <w:widowControl/>
      <w:spacing w:line="360" w:lineRule="auto"/>
      <w:jc w:val="center"/>
    </w:pPr>
    <w:rPr>
      <w:rFonts w:eastAsia="仿宋"/>
      <w:sz w:val="24"/>
      <w:szCs w:val="21"/>
    </w:rPr>
  </w:style>
  <w:style w:type="character" w:customStyle="1" w:styleId="128">
    <w:name w:val="标题 3 字符1"/>
    <w:qFormat/>
    <w:uiPriority w:val="0"/>
    <w:rPr>
      <w:rFonts w:ascii="仿宋_GB2312" w:eastAsia="仿宋_GB2312"/>
      <w:b/>
      <w:bCs/>
      <w:kern w:val="2"/>
      <w:sz w:val="30"/>
    </w:rPr>
  </w:style>
  <w:style w:type="character" w:customStyle="1" w:styleId="129">
    <w:name w:val="正文缩 Char"/>
    <w:link w:val="130"/>
    <w:qFormat/>
    <w:uiPriority w:val="0"/>
    <w:rPr>
      <w:rFonts w:ascii="仿宋" w:hAnsi="仿宋" w:eastAsia="仿宋"/>
      <w:kern w:val="2"/>
      <w:sz w:val="24"/>
      <w:szCs w:val="24"/>
    </w:rPr>
  </w:style>
  <w:style w:type="paragraph" w:customStyle="1" w:styleId="130">
    <w:name w:val="正文缩"/>
    <w:basedOn w:val="1"/>
    <w:link w:val="129"/>
    <w:qFormat/>
    <w:uiPriority w:val="0"/>
    <w:pPr>
      <w:widowControl/>
      <w:spacing w:beforeLines="50" w:line="360" w:lineRule="atLeast"/>
      <w:ind w:firstLine="200" w:firstLineChars="200"/>
      <w:jc w:val="left"/>
    </w:pPr>
    <w:rPr>
      <w:rFonts w:ascii="仿宋" w:hAnsi="仿宋" w:eastAsia="仿宋"/>
      <w:sz w:val="24"/>
    </w:rPr>
  </w:style>
  <w:style w:type="character" w:customStyle="1" w:styleId="131">
    <w:name w:val="正文缩进 Char2"/>
    <w:link w:val="7"/>
    <w:uiPriority w:val="0"/>
    <w:rPr>
      <w:kern w:val="2"/>
      <w:sz w:val="21"/>
    </w:rPr>
  </w:style>
  <w:style w:type="character" w:customStyle="1" w:styleId="132">
    <w:name w:val="文档结构图 Char1"/>
    <w:qFormat/>
    <w:uiPriority w:val="99"/>
    <w:rPr>
      <w:rFonts w:hint="eastAsia" w:ascii="宋体" w:hAnsi="Times New Roman" w:eastAsia="宋体"/>
      <w:kern w:val="2"/>
      <w:sz w:val="18"/>
      <w:szCs w:val="18"/>
    </w:rPr>
  </w:style>
  <w:style w:type="character" w:customStyle="1" w:styleId="133">
    <w:name w:val="标题 9 Char"/>
    <w:link w:val="13"/>
    <w:qFormat/>
    <w:uiPriority w:val="0"/>
    <w:rPr>
      <w:rFonts w:ascii="Arial" w:hAnsi="Arial" w:eastAsia="黑体"/>
      <w:color w:val="000000"/>
      <w:kern w:val="2"/>
      <w:sz w:val="21"/>
    </w:rPr>
  </w:style>
  <w:style w:type="character" w:customStyle="1" w:styleId="134">
    <w:name w:val="tisl-fraction-seperator"/>
    <w:qFormat/>
    <w:uiPriority w:val="0"/>
  </w:style>
  <w:style w:type="character" w:customStyle="1" w:styleId="135">
    <w:name w:val="正文文本缩进 Char"/>
    <w:link w:val="23"/>
    <w:qFormat/>
    <w:uiPriority w:val="0"/>
    <w:rPr>
      <w:kern w:val="2"/>
      <w:sz w:val="28"/>
    </w:rPr>
  </w:style>
  <w:style w:type="character" w:customStyle="1" w:styleId="136">
    <w:name w:val="htd0"/>
    <w:uiPriority w:val="0"/>
  </w:style>
  <w:style w:type="character" w:customStyle="1" w:styleId="137">
    <w:name w:val="font01"/>
    <w:qFormat/>
    <w:uiPriority w:val="0"/>
    <w:rPr>
      <w:rFonts w:hint="default" w:ascii="Times New Roman" w:hAnsi="Times New Roman" w:cs="Times New Roman"/>
      <w:color w:val="000000"/>
      <w:sz w:val="20"/>
      <w:szCs w:val="20"/>
      <w:u w:val="none"/>
    </w:rPr>
  </w:style>
  <w:style w:type="character" w:customStyle="1" w:styleId="138">
    <w:name w:val="正文文本缩进 2 Char"/>
    <w:qFormat/>
    <w:uiPriority w:val="0"/>
  </w:style>
  <w:style w:type="character" w:styleId="139">
    <w:name w:val=""/>
    <w:qFormat/>
    <w:uiPriority w:val="19"/>
    <w:rPr>
      <w:i/>
      <w:iCs/>
      <w:color w:val="808080"/>
    </w:rPr>
  </w:style>
  <w:style w:type="character" w:customStyle="1" w:styleId="140">
    <w:name w:val="普通文字 Char Char1"/>
    <w:aliases w:val="纯文本 Char Char Char,纯文本 Char Char1,普通文字 Char Char Char1,普通文字 Char Char Char Char1,普通文字 Char Char Char Char Char,普通文字 Char Char2,纯文本 Char1,普通文字 Char1,小 Char,Texte Char,正 文 1 Char,纯文本 Char Char Char Char Char Char Char Char Char Char"/>
    <w:link w:val="141"/>
    <w:qFormat/>
    <w:uiPriority w:val="99"/>
    <w:rPr>
      <w:rFonts w:ascii="宋体" w:hAnsi="Courier New" w:eastAsia="宋体"/>
      <w:kern w:val="2"/>
      <w:sz w:val="21"/>
      <w:lang w:val="en-US" w:eastAsia="zh-CN" w:bidi="ar-SA"/>
    </w:rPr>
  </w:style>
  <w:style w:type="paragraph" w:customStyle="1" w:styleId="141">
    <w:name w:val="Plain Text1"/>
    <w:basedOn w:val="1"/>
    <w:link w:val="140"/>
    <w:qFormat/>
    <w:uiPriority w:val="99"/>
    <w:pPr>
      <w:widowControl/>
      <w:spacing w:line="360" w:lineRule="auto"/>
      <w:jc w:val="left"/>
    </w:pPr>
    <w:rPr>
      <w:rFonts w:ascii="宋体" w:hAnsi="Courier New"/>
      <w:szCs w:val="20"/>
    </w:rPr>
  </w:style>
  <w:style w:type="character" w:customStyle="1" w:styleId="142">
    <w:name w:val="SANGFOR_3_标题3 Char"/>
    <w:link w:val="143"/>
    <w:uiPriority w:val="0"/>
    <w:rPr>
      <w:rFonts w:ascii="黑体" w:hAnsi="黑体" w:eastAsia="黑体"/>
      <w:b/>
      <w:bCs/>
      <w:kern w:val="2"/>
      <w:sz w:val="36"/>
      <w:szCs w:val="36"/>
    </w:rPr>
  </w:style>
  <w:style w:type="paragraph" w:customStyle="1" w:styleId="143">
    <w:name w:val="SANGFOR_3_标题3"/>
    <w:basedOn w:val="6"/>
    <w:next w:val="1"/>
    <w:link w:val="142"/>
    <w:uiPriority w:val="0"/>
    <w:pPr>
      <w:spacing w:beforeLines="50" w:afterLines="50" w:line="240" w:lineRule="auto"/>
      <w:ind w:left="142" w:firstLine="0" w:firstLineChars="0"/>
    </w:pPr>
    <w:rPr>
      <w:rFonts w:ascii="黑体" w:hAnsi="黑体" w:eastAsia="黑体"/>
      <w:sz w:val="36"/>
      <w:szCs w:val="36"/>
    </w:rPr>
  </w:style>
  <w:style w:type="character" w:customStyle="1" w:styleId="144">
    <w:name w:val="无间隔 字符"/>
    <w:link w:val="123"/>
    <w:qFormat/>
    <w:uiPriority w:val="99"/>
    <w:rPr>
      <w:rFonts w:ascii="等线" w:hAnsi="等线" w:eastAsia="等线"/>
      <w:sz w:val="22"/>
      <w:szCs w:val="22"/>
      <w:lang w:val="en-US" w:eastAsia="zh-CN" w:bidi="ar-SA"/>
    </w:rPr>
  </w:style>
  <w:style w:type="character" w:customStyle="1" w:styleId="145">
    <w:name w:val="font91"/>
    <w:qFormat/>
    <w:uiPriority w:val="0"/>
    <w:rPr>
      <w:rFonts w:hint="eastAsia" w:ascii="宋体" w:hAnsi="宋体" w:eastAsia="宋体" w:cs="宋体"/>
      <w:color w:val="000000"/>
      <w:sz w:val="24"/>
      <w:szCs w:val="24"/>
      <w:u w:val="none"/>
    </w:rPr>
  </w:style>
  <w:style w:type="character" w:customStyle="1" w:styleId="146">
    <w:name w:val="Item List Char"/>
    <w:link w:val="147"/>
    <w:uiPriority w:val="0"/>
    <w:rPr>
      <w:rFonts w:ascii="Arial" w:hAnsi="Arial"/>
      <w:sz w:val="21"/>
      <w:szCs w:val="21"/>
      <w:lang w:val="en-US" w:eastAsia="zh-CN" w:bidi="ar-SA"/>
    </w:rPr>
  </w:style>
  <w:style w:type="paragraph" w:customStyle="1" w:styleId="147">
    <w:name w:val="Item List"/>
    <w:link w:val="146"/>
    <w:uiPriority w:val="0"/>
    <w:pPr>
      <w:tabs>
        <w:tab w:val="left" w:pos="482"/>
      </w:tabs>
      <w:spacing w:line="300" w:lineRule="auto"/>
      <w:ind w:left="709" w:hanging="284"/>
      <w:jc w:val="both"/>
    </w:pPr>
    <w:rPr>
      <w:rFonts w:ascii="Arial" w:hAnsi="Arial"/>
      <w:sz w:val="21"/>
      <w:szCs w:val="21"/>
      <w:lang w:val="en-US" w:eastAsia="zh-CN" w:bidi="ar-SA"/>
    </w:rPr>
  </w:style>
  <w:style w:type="character" w:customStyle="1" w:styleId="148">
    <w:name w:val="建设方案正文 Char"/>
    <w:link w:val="149"/>
    <w:qFormat/>
    <w:uiPriority w:val="99"/>
    <w:rPr>
      <w:rFonts w:ascii="仿宋_GB2312" w:eastAsia="仿宋_GB2312"/>
      <w:color w:val="000000"/>
      <w:kern w:val="2"/>
      <w:sz w:val="24"/>
      <w:szCs w:val="24"/>
      <w:lang w:val="zh-CN"/>
    </w:rPr>
  </w:style>
  <w:style w:type="paragraph" w:customStyle="1" w:styleId="149">
    <w:name w:val="建设方案正文"/>
    <w:basedOn w:val="1"/>
    <w:link w:val="148"/>
    <w:qFormat/>
    <w:uiPriority w:val="99"/>
    <w:pPr>
      <w:widowControl/>
      <w:spacing w:line="360" w:lineRule="auto"/>
      <w:ind w:firstLine="200" w:firstLineChars="200"/>
      <w:jc w:val="left"/>
    </w:pPr>
    <w:rPr>
      <w:rFonts w:ascii="仿宋_GB2312" w:eastAsia="仿宋_GB2312"/>
      <w:color w:val="000000"/>
      <w:sz w:val="24"/>
      <w:lang w:val="zh-CN"/>
    </w:rPr>
  </w:style>
  <w:style w:type="character" w:customStyle="1" w:styleId="150">
    <w:name w:val="storycontent"/>
    <w:qFormat/>
    <w:uiPriority w:val="0"/>
  </w:style>
  <w:style w:type="character" w:customStyle="1" w:styleId="151">
    <w:name w:val="HTML 预设格式 Char1"/>
    <w:qFormat/>
    <w:uiPriority w:val="99"/>
    <w:rPr>
      <w:rFonts w:ascii="Courier New" w:hAnsi="Courier New" w:cs="Courier New"/>
      <w:kern w:val="2"/>
    </w:rPr>
  </w:style>
  <w:style w:type="character" w:customStyle="1" w:styleId="152">
    <w:name w:val="Subtitle Char"/>
    <w:qFormat/>
    <w:locked/>
    <w:uiPriority w:val="0"/>
    <w:rPr>
      <w:rFonts w:ascii="Cambria" w:hAnsi="Cambria" w:eastAsia="楷体" w:cs="Times New Roman"/>
      <w:b/>
      <w:bCs/>
      <w:kern w:val="28"/>
      <w:sz w:val="32"/>
      <w:szCs w:val="32"/>
    </w:rPr>
  </w:style>
  <w:style w:type="character" w:customStyle="1" w:styleId="153">
    <w:name w:val="BZ_正文 Char"/>
    <w:link w:val="154"/>
    <w:qFormat/>
    <w:uiPriority w:val="0"/>
    <w:rPr>
      <w:kern w:val="2"/>
      <w:sz w:val="24"/>
      <w:szCs w:val="24"/>
    </w:rPr>
  </w:style>
  <w:style w:type="paragraph" w:customStyle="1" w:styleId="154">
    <w:name w:val="BZ_正文"/>
    <w:basedOn w:val="1"/>
    <w:link w:val="153"/>
    <w:qFormat/>
    <w:uiPriority w:val="0"/>
    <w:pPr>
      <w:widowControl/>
      <w:spacing w:line="360" w:lineRule="auto"/>
      <w:ind w:firstLine="200" w:firstLineChars="200"/>
    </w:pPr>
    <w:rPr>
      <w:sz w:val="24"/>
    </w:rPr>
  </w:style>
  <w:style w:type="character" w:customStyle="1" w:styleId="155">
    <w:name w:val="副标题 Char3"/>
    <w:qFormat/>
    <w:uiPriority w:val="11"/>
    <w:rPr>
      <w:rFonts w:hint="default" w:ascii="Cambria" w:hAnsi="Cambria" w:eastAsia="宋体" w:cs="Times New Roman"/>
      <w:b/>
      <w:bCs/>
      <w:kern w:val="28"/>
      <w:sz w:val="32"/>
      <w:szCs w:val="32"/>
    </w:rPr>
  </w:style>
  <w:style w:type="character" w:customStyle="1" w:styleId="156">
    <w:name w:val="标题 1 Char"/>
    <w:link w:val="4"/>
    <w:qFormat/>
    <w:uiPriority w:val="9"/>
    <w:rPr>
      <w:rFonts w:ascii="仿宋_GB2312" w:eastAsia="仿宋_GB2312"/>
      <w:b/>
      <w:kern w:val="2"/>
      <w:sz w:val="44"/>
      <w:szCs w:val="24"/>
      <w:lang w:val="en-US" w:eastAsia="zh-CN" w:bidi="ar-SA"/>
    </w:rPr>
  </w:style>
  <w:style w:type="character" w:customStyle="1" w:styleId="157">
    <w:name w:val="15"/>
    <w:qFormat/>
    <w:uiPriority w:val="99"/>
    <w:rPr>
      <w:rFonts w:hint="default" w:ascii="Calibri" w:hAnsi="Calibri" w:cs="Times New Roman"/>
      <w:b/>
      <w:bCs/>
    </w:rPr>
  </w:style>
  <w:style w:type="character" w:customStyle="1" w:styleId="158">
    <w:name w:val="标题 8 Char"/>
    <w:link w:val="12"/>
    <w:qFormat/>
    <w:uiPriority w:val="0"/>
    <w:rPr>
      <w:rFonts w:ascii="Arial" w:hAnsi="Arial" w:eastAsia="黑体"/>
      <w:color w:val="000000"/>
      <w:kern w:val="2"/>
      <w:sz w:val="24"/>
    </w:rPr>
  </w:style>
  <w:style w:type="character" w:customStyle="1" w:styleId="159">
    <w:name w:val="Char Char1"/>
    <w:link w:val="160"/>
    <w:qFormat/>
    <w:locked/>
    <w:uiPriority w:val="0"/>
    <w:rPr>
      <w:rFonts w:ascii="Tahoma" w:hAnsi="Tahoma" w:cs="仿宋_GB2312"/>
      <w:kern w:val="2"/>
      <w:sz w:val="24"/>
      <w:szCs w:val="28"/>
    </w:rPr>
  </w:style>
  <w:style w:type="paragraph" w:customStyle="1" w:styleId="160">
    <w:name w:val="Char"/>
    <w:basedOn w:val="1"/>
    <w:link w:val="159"/>
    <w:qFormat/>
    <w:uiPriority w:val="0"/>
    <w:rPr>
      <w:rFonts w:ascii="Tahoma" w:hAnsi="Tahoma"/>
      <w:sz w:val="24"/>
      <w:szCs w:val="28"/>
    </w:rPr>
  </w:style>
  <w:style w:type="character" w:customStyle="1" w:styleId="161">
    <w:name w:val="标题 7 Char"/>
    <w:link w:val="11"/>
    <w:qFormat/>
    <w:uiPriority w:val="0"/>
    <w:rPr>
      <w:b/>
      <w:color w:val="000000"/>
      <w:kern w:val="2"/>
      <w:sz w:val="24"/>
    </w:rPr>
  </w:style>
  <w:style w:type="character" w:customStyle="1" w:styleId="162">
    <w:name w:val="Heading 1 Char"/>
    <w:qFormat/>
    <w:locked/>
    <w:uiPriority w:val="0"/>
    <w:rPr>
      <w:rFonts w:cs="Times New Roman"/>
      <w:b/>
      <w:bCs/>
      <w:kern w:val="44"/>
      <w:sz w:val="44"/>
      <w:szCs w:val="44"/>
    </w:rPr>
  </w:style>
  <w:style w:type="character" w:customStyle="1" w:styleId="163">
    <w:name w:val="标题 3 Char1"/>
    <w:aliases w:val="H3 Char,h3 Char,标题 3 Char Char,列表编号3 Char,Heading 3 - old Char,BOD 0 Char,Bold Head Char,bh Char,Level 3 Head Char,level_3 Char,PIM 3 Char,sect1.2.3 Char,sect1.2.31 Char,sect1.2.32 Char,sect1.2.311 Char,sect1.2.33 Char,sect1.2.312 Char,3 Char"/>
    <w:qFormat/>
    <w:locked/>
    <w:uiPriority w:val="0"/>
    <w:rPr>
      <w:rFonts w:ascii="仿宋_GB2312" w:eastAsia="仿宋_GB2312"/>
      <w:b/>
      <w:bCs/>
      <w:kern w:val="2"/>
      <w:sz w:val="30"/>
    </w:rPr>
  </w:style>
  <w:style w:type="character" w:customStyle="1" w:styleId="164">
    <w:name w:val="正文缩进 字符"/>
    <w:qFormat/>
    <w:uiPriority w:val="0"/>
    <w:rPr>
      <w:kern w:val="2"/>
      <w:sz w:val="21"/>
    </w:rPr>
  </w:style>
  <w:style w:type="character" w:customStyle="1" w:styleId="165">
    <w:name w:val="课程标准 Char"/>
    <w:link w:val="166"/>
    <w:qFormat/>
    <w:uiPriority w:val="0"/>
    <w:rPr>
      <w:rFonts w:ascii="黑体" w:hAnsi="黑体" w:eastAsia="黑体"/>
      <w:b/>
      <w:bCs/>
      <w:color w:val="000000"/>
      <w:kern w:val="2"/>
      <w:sz w:val="32"/>
      <w:szCs w:val="32"/>
      <w:lang w:val="zh-CN"/>
    </w:rPr>
  </w:style>
  <w:style w:type="paragraph" w:customStyle="1" w:styleId="166">
    <w:name w:val="课程标准"/>
    <w:basedOn w:val="167"/>
    <w:link w:val="165"/>
    <w:qFormat/>
    <w:uiPriority w:val="0"/>
    <w:pPr>
      <w:jc w:val="center"/>
    </w:pPr>
    <w:rPr>
      <w:b/>
      <w:sz w:val="32"/>
      <w:szCs w:val="32"/>
    </w:rPr>
  </w:style>
  <w:style w:type="paragraph" w:customStyle="1" w:styleId="167">
    <w:name w:val="二级标题"/>
    <w:basedOn w:val="104"/>
    <w:link w:val="168"/>
    <w:qFormat/>
    <w:uiPriority w:val="0"/>
    <w:pPr>
      <w:jc w:val="left"/>
    </w:pPr>
    <w:rPr>
      <w:rFonts w:hAnsi="黑体"/>
      <w:b w:val="0"/>
      <w:bCs/>
      <w:color w:val="000000"/>
      <w:sz w:val="24"/>
      <w:szCs w:val="24"/>
    </w:rPr>
  </w:style>
  <w:style w:type="character" w:customStyle="1" w:styleId="168">
    <w:name w:val="二级标题 Char"/>
    <w:link w:val="167"/>
    <w:qFormat/>
    <w:uiPriority w:val="0"/>
    <w:rPr>
      <w:rFonts w:ascii="黑体" w:hAnsi="黑体" w:eastAsia="黑体"/>
      <w:bCs/>
      <w:color w:val="000000"/>
      <w:kern w:val="2"/>
      <w:sz w:val="24"/>
      <w:szCs w:val="24"/>
      <w:lang w:val="zh-CN"/>
    </w:rPr>
  </w:style>
  <w:style w:type="character" w:customStyle="1" w:styleId="169">
    <w:name w:val="标题 5 Char"/>
    <w:link w:val="9"/>
    <w:qFormat/>
    <w:uiPriority w:val="0"/>
    <w:rPr>
      <w:b/>
      <w:color w:val="000000"/>
      <w:kern w:val="2"/>
      <w:sz w:val="28"/>
    </w:rPr>
  </w:style>
  <w:style w:type="character" w:customStyle="1" w:styleId="170">
    <w:name w:val="文档结构图 Char"/>
    <w:link w:val="20"/>
    <w:qFormat/>
    <w:uiPriority w:val="0"/>
    <w:rPr>
      <w:rFonts w:ascii="宋体" w:hAnsi="Tahoma" w:cs="黑体"/>
      <w:sz w:val="18"/>
      <w:szCs w:val="18"/>
    </w:rPr>
  </w:style>
  <w:style w:type="character" w:customStyle="1" w:styleId="171">
    <w:name w:val="正文文本 3 Char"/>
    <w:link w:val="22"/>
    <w:qFormat/>
    <w:uiPriority w:val="99"/>
    <w:rPr>
      <w:rFonts w:ascii="仿宋_GB2312" w:eastAsia="仿宋_GB2312"/>
      <w:kern w:val="2"/>
      <w:sz w:val="24"/>
    </w:rPr>
  </w:style>
  <w:style w:type="character" w:customStyle="1" w:styleId="172">
    <w:name w:val="目录 3 Char"/>
    <w:link w:val="28"/>
    <w:qFormat/>
    <w:uiPriority w:val="39"/>
    <w:rPr>
      <w:rFonts w:ascii="仿宋_GB2312" w:eastAsia="仿宋_GB2312"/>
      <w:kern w:val="2"/>
      <w:sz w:val="24"/>
      <w:szCs w:val="36"/>
      <w:lang/>
    </w:rPr>
  </w:style>
  <w:style w:type="character" w:customStyle="1" w:styleId="173">
    <w:name w:val="日期 Char"/>
    <w:link w:val="31"/>
    <w:qFormat/>
    <w:uiPriority w:val="0"/>
    <w:rPr>
      <w:rFonts w:ascii="仿宋_GB2312" w:eastAsia="仿宋_GB2312"/>
      <w:sz w:val="28"/>
    </w:rPr>
  </w:style>
  <w:style w:type="character" w:customStyle="1" w:styleId="174">
    <w:name w:val="正文文本缩进 2 Char1"/>
    <w:link w:val="32"/>
    <w:qFormat/>
    <w:uiPriority w:val="99"/>
    <w:rPr>
      <w:rFonts w:eastAsia="仿宋_GB2312"/>
      <w:kern w:val="2"/>
      <w:sz w:val="24"/>
      <w:szCs w:val="24"/>
    </w:rPr>
  </w:style>
  <w:style w:type="character" w:customStyle="1" w:styleId="175">
    <w:name w:val="批注框文本 Char"/>
    <w:link w:val="34"/>
    <w:qFormat/>
    <w:uiPriority w:val="0"/>
    <w:rPr>
      <w:kern w:val="2"/>
      <w:sz w:val="18"/>
      <w:szCs w:val="18"/>
    </w:rPr>
  </w:style>
  <w:style w:type="character" w:customStyle="1" w:styleId="176">
    <w:name w:val="页脚 Char"/>
    <w:link w:val="35"/>
    <w:qFormat/>
    <w:uiPriority w:val="99"/>
    <w:rPr>
      <w:kern w:val="2"/>
      <w:sz w:val="18"/>
      <w:szCs w:val="18"/>
    </w:rPr>
  </w:style>
  <w:style w:type="character" w:customStyle="1" w:styleId="177">
    <w:name w:val="页眉 Char"/>
    <w:link w:val="36"/>
    <w:qFormat/>
    <w:uiPriority w:val="0"/>
    <w:rPr>
      <w:sz w:val="18"/>
    </w:rPr>
  </w:style>
  <w:style w:type="character" w:customStyle="1" w:styleId="178">
    <w:name w:val="签名 Char"/>
    <w:link w:val="37"/>
    <w:uiPriority w:val="0"/>
    <w:rPr>
      <w:rFonts w:ascii="Arial" w:hAnsi="Arial"/>
      <w:spacing w:val="-5"/>
      <w:sz w:val="24"/>
    </w:rPr>
  </w:style>
  <w:style w:type="character" w:customStyle="1" w:styleId="179">
    <w:name w:val="目录 4 Char"/>
    <w:link w:val="39"/>
    <w:qFormat/>
    <w:uiPriority w:val="0"/>
    <w:rPr>
      <w:rFonts w:ascii="Calibri" w:hAnsi="Calibri"/>
      <w:kern w:val="2"/>
      <w:sz w:val="21"/>
      <w:szCs w:val="22"/>
    </w:rPr>
  </w:style>
  <w:style w:type="character" w:customStyle="1" w:styleId="180">
    <w:name w:val="副标题 Char"/>
    <w:link w:val="42"/>
    <w:qFormat/>
    <w:uiPriority w:val="99"/>
    <w:rPr>
      <w:rFonts w:ascii="Cambria" w:hAnsi="Cambria"/>
      <w:b/>
      <w:bCs/>
      <w:kern w:val="28"/>
      <w:sz w:val="32"/>
      <w:szCs w:val="32"/>
    </w:rPr>
  </w:style>
  <w:style w:type="character" w:customStyle="1" w:styleId="181">
    <w:name w:val="脚注文本 Char"/>
    <w:link w:val="44"/>
    <w:qFormat/>
    <w:uiPriority w:val="0"/>
    <w:rPr>
      <w:rFonts w:ascii="Calibri" w:hAnsi="Calibri"/>
      <w:kern w:val="2"/>
      <w:sz w:val="18"/>
      <w:szCs w:val="18"/>
    </w:rPr>
  </w:style>
  <w:style w:type="character" w:customStyle="1" w:styleId="182">
    <w:name w:val="正文文本缩进 3 Char"/>
    <w:link w:val="46"/>
    <w:qFormat/>
    <w:uiPriority w:val="0"/>
    <w:rPr>
      <w:rFonts w:ascii="仿宋_GB2312" w:eastAsia="仿宋_GB2312"/>
      <w:color w:val="000000"/>
      <w:kern w:val="2"/>
      <w:sz w:val="24"/>
      <w:szCs w:val="24"/>
    </w:rPr>
  </w:style>
  <w:style w:type="character" w:customStyle="1" w:styleId="183">
    <w:name w:val="正文文本 2 Char"/>
    <w:link w:val="50"/>
    <w:qFormat/>
    <w:uiPriority w:val="0"/>
    <w:rPr>
      <w:rFonts w:ascii="仿宋_GB2312" w:eastAsia="仿宋_GB2312"/>
      <w:kern w:val="2"/>
      <w:sz w:val="24"/>
      <w:szCs w:val="24"/>
    </w:rPr>
  </w:style>
  <w:style w:type="character" w:customStyle="1" w:styleId="184">
    <w:name w:val="HTML 预设格式 Char"/>
    <w:link w:val="51"/>
    <w:qFormat/>
    <w:uiPriority w:val="0"/>
    <w:rPr>
      <w:rFonts w:ascii="Arial Unicode MS" w:hAnsi="Arial Unicode MS" w:eastAsia="Arial Unicode MS"/>
    </w:rPr>
  </w:style>
  <w:style w:type="character" w:customStyle="1" w:styleId="185">
    <w:name w:val="普通(网站) Char"/>
    <w:link w:val="52"/>
    <w:qFormat/>
    <w:uiPriority w:val="0"/>
    <w:rPr>
      <w:rFonts w:ascii="宋体" w:hAnsi="宋体" w:cs="宋体"/>
      <w:sz w:val="24"/>
      <w:szCs w:val="24"/>
    </w:rPr>
  </w:style>
  <w:style w:type="character" w:customStyle="1" w:styleId="186">
    <w:name w:val="标题 Char"/>
    <w:link w:val="53"/>
    <w:qFormat/>
    <w:uiPriority w:val="0"/>
    <w:rPr>
      <w:rFonts w:eastAsia="黑体"/>
      <w:b/>
      <w:sz w:val="28"/>
      <w:lang w:val="en-GB"/>
    </w:rPr>
  </w:style>
  <w:style w:type="character" w:customStyle="1" w:styleId="187">
    <w:name w:val="批注主题 Char"/>
    <w:link w:val="54"/>
    <w:qFormat/>
    <w:uiPriority w:val="0"/>
    <w:rPr>
      <w:rFonts w:ascii="Calibri" w:hAnsi="Calibri"/>
      <w:b/>
      <w:bCs/>
      <w:kern w:val="2"/>
      <w:sz w:val="21"/>
      <w:szCs w:val="22"/>
    </w:rPr>
  </w:style>
  <w:style w:type="character" w:customStyle="1" w:styleId="188">
    <w:name w:val="正文首行缩进 2 Char"/>
    <w:link w:val="55"/>
    <w:uiPriority w:val="0"/>
    <w:rPr>
      <w:kern w:val="2"/>
      <w:sz w:val="21"/>
      <w:szCs w:val="24"/>
    </w:rPr>
  </w:style>
  <w:style w:type="character" w:customStyle="1" w:styleId="189">
    <w:name w:val="0- 正文 Char"/>
    <w:link w:val="190"/>
    <w:qFormat/>
    <w:uiPriority w:val="0"/>
    <w:rPr>
      <w:kern w:val="2"/>
      <w:sz w:val="24"/>
      <w:lang w:val="zh-CN"/>
    </w:rPr>
  </w:style>
  <w:style w:type="paragraph" w:customStyle="1" w:styleId="190">
    <w:name w:val="0- 正文"/>
    <w:basedOn w:val="1"/>
    <w:link w:val="189"/>
    <w:qFormat/>
    <w:uiPriority w:val="0"/>
    <w:pPr>
      <w:widowControl/>
      <w:spacing w:line="360" w:lineRule="auto"/>
      <w:ind w:firstLine="482"/>
      <w:jc w:val="left"/>
    </w:pPr>
    <w:rPr>
      <w:sz w:val="24"/>
      <w:szCs w:val="20"/>
      <w:lang w:val="zh-CN"/>
    </w:rPr>
  </w:style>
  <w:style w:type="character" w:styleId="191">
    <w:name w:val=""/>
    <w:qFormat/>
    <w:uiPriority w:val="33"/>
    <w:rPr>
      <w:b/>
      <w:bCs/>
      <w:smallCaps/>
      <w:spacing w:val="5"/>
    </w:rPr>
  </w:style>
  <w:style w:type="character" w:customStyle="1" w:styleId="192">
    <w:name w:val="eng"/>
    <w:qFormat/>
    <w:uiPriority w:val="0"/>
    <w:rPr>
      <w:sz w:val="24"/>
    </w:rPr>
  </w:style>
  <w:style w:type="character" w:customStyle="1" w:styleId="193">
    <w:name w:val="标题四 Char"/>
    <w:link w:val="194"/>
    <w:qFormat/>
    <w:uiPriority w:val="0"/>
    <w:rPr>
      <w:b/>
      <w:bCs/>
      <w:kern w:val="2"/>
      <w:sz w:val="28"/>
      <w:szCs w:val="28"/>
    </w:rPr>
  </w:style>
  <w:style w:type="paragraph" w:customStyle="1" w:styleId="194">
    <w:name w:val="标题四"/>
    <w:basedOn w:val="1"/>
    <w:link w:val="193"/>
    <w:qFormat/>
    <w:uiPriority w:val="0"/>
    <w:pPr>
      <w:keepNext/>
      <w:keepLines/>
      <w:spacing w:before="280" w:beforeLines="50" w:line="300" w:lineRule="auto"/>
      <w:contextualSpacing/>
      <w:outlineLvl w:val="3"/>
    </w:pPr>
    <w:rPr>
      <w:b/>
      <w:bCs/>
      <w:sz w:val="28"/>
      <w:szCs w:val="28"/>
    </w:rPr>
  </w:style>
  <w:style w:type="character" w:customStyle="1" w:styleId="195">
    <w:name w:val="标题 3 字符"/>
    <w:qFormat/>
    <w:uiPriority w:val="0"/>
    <w:rPr>
      <w:rFonts w:ascii="仿宋_GB2312" w:eastAsia="仿宋_GB2312"/>
      <w:b/>
      <w:bCs/>
      <w:kern w:val="2"/>
      <w:sz w:val="30"/>
    </w:rPr>
  </w:style>
  <w:style w:type="character" w:customStyle="1" w:styleId="196">
    <w:name w:val="引用 Char1"/>
    <w:link w:val="197"/>
    <w:qFormat/>
    <w:uiPriority w:val="99"/>
    <w:rPr>
      <w:rFonts w:ascii="Calibri" w:hAnsi="Calibri"/>
      <w:i/>
      <w:iCs/>
      <w:sz w:val="24"/>
      <w:szCs w:val="22"/>
    </w:rPr>
  </w:style>
  <w:style w:type="paragraph" w:customStyle="1" w:styleId="197">
    <w:name w:val="引用1"/>
    <w:basedOn w:val="1"/>
    <w:next w:val="1"/>
    <w:link w:val="196"/>
    <w:qFormat/>
    <w:uiPriority w:val="99"/>
    <w:pPr>
      <w:snapToGrid w:val="0"/>
      <w:spacing w:line="360" w:lineRule="auto"/>
      <w:ind w:left="360" w:right="360"/>
      <w:jc w:val="left"/>
    </w:pPr>
    <w:rPr>
      <w:rFonts w:ascii="Calibri" w:hAnsi="Calibri"/>
      <w:i/>
      <w:iCs/>
      <w:kern w:val="0"/>
      <w:sz w:val="24"/>
      <w:szCs w:val="22"/>
    </w:rPr>
  </w:style>
  <w:style w:type="character" w:customStyle="1" w:styleId="198">
    <w:name w:val="样式 宋体 小四 加粗 Char Char Char"/>
    <w:qFormat/>
    <w:uiPriority w:val="0"/>
    <w:rPr>
      <w:rFonts w:ascii="宋体" w:hAnsi="宋体" w:eastAsia="宋体" w:cs="宋体"/>
      <w:b/>
      <w:color w:val="auto"/>
      <w:sz w:val="24"/>
      <w:szCs w:val="24"/>
      <w:lang w:val="en-US" w:eastAsia="zh-CN" w:bidi="ar-SA"/>
    </w:rPr>
  </w:style>
  <w:style w:type="character" w:customStyle="1" w:styleId="199">
    <w:name w:val="脚注文本 Char1"/>
    <w:qFormat/>
    <w:uiPriority w:val="0"/>
    <w:rPr>
      <w:kern w:val="2"/>
      <w:sz w:val="18"/>
      <w:szCs w:val="18"/>
    </w:rPr>
  </w:style>
  <w:style w:type="character" w:customStyle="1" w:styleId="200">
    <w:name w:val="明显引用 Char"/>
    <w:link w:val="201"/>
    <w:qFormat/>
    <w:uiPriority w:val="30"/>
    <w:rPr>
      <w:rFonts w:ascii="Calibri" w:hAnsi="Calibri"/>
      <w:b/>
      <w:bCs/>
      <w:i/>
      <w:iCs/>
      <w:color w:val="4F81BD"/>
      <w:kern w:val="2"/>
      <w:sz w:val="21"/>
      <w:szCs w:val="22"/>
    </w:rPr>
  </w:style>
  <w:style w:type="paragraph" w:styleId="201">
    <w:name w:val="Intense Quote"/>
    <w:basedOn w:val="1"/>
    <w:next w:val="1"/>
    <w:link w:val="200"/>
    <w:qFormat/>
    <w:uiPriority w:val="30"/>
    <w:pPr>
      <w:pBdr>
        <w:bottom w:val="single" w:color="4F81BD" w:sz="4" w:space="4"/>
      </w:pBdr>
      <w:spacing w:before="200" w:after="280"/>
      <w:ind w:left="936" w:right="936"/>
    </w:pPr>
    <w:rPr>
      <w:rFonts w:ascii="Calibri" w:hAnsi="Calibri"/>
      <w:b/>
      <w:bCs/>
      <w:i/>
      <w:iCs/>
      <w:color w:val="4F81BD"/>
      <w:szCs w:val="22"/>
    </w:rPr>
  </w:style>
  <w:style w:type="character" w:customStyle="1" w:styleId="202">
    <w:name w:val="10"/>
    <w:qFormat/>
    <w:uiPriority w:val="0"/>
    <w:rPr>
      <w:rFonts w:hint="default" w:ascii="Times New Roman" w:hAnsi="Times New Roman" w:cs="Times New Roman"/>
      <w:sz w:val="24"/>
    </w:rPr>
  </w:style>
  <w:style w:type="character" w:customStyle="1" w:styleId="203">
    <w:name w:val="apple-style-span"/>
    <w:qFormat/>
    <w:uiPriority w:val="0"/>
  </w:style>
  <w:style w:type="character" w:customStyle="1" w:styleId="204">
    <w:name w:val="正文文本 2 Char2"/>
    <w:qFormat/>
    <w:uiPriority w:val="99"/>
    <w:rPr>
      <w:rFonts w:ascii="仿宋" w:hAnsi="仿宋" w:eastAsia="仿宋" w:cs="仿宋"/>
      <w:bCs/>
      <w:color w:val="000000"/>
      <w:sz w:val="24"/>
      <w:szCs w:val="24"/>
    </w:rPr>
  </w:style>
  <w:style w:type="character" w:customStyle="1" w:styleId="205">
    <w:name w:val="current"/>
    <w:uiPriority w:val="0"/>
    <w:rPr>
      <w:b/>
      <w:color w:val="FFFFFF"/>
      <w:bdr w:val="single" w:color="0C64AB" w:sz="6" w:space="0"/>
      <w:shd w:val="clear" w:color="auto" w:fill="0C64AB"/>
    </w:rPr>
  </w:style>
  <w:style w:type="character" w:customStyle="1" w:styleId="206">
    <w:name w:val="0-页眉 Char"/>
    <w:link w:val="207"/>
    <w:qFormat/>
    <w:uiPriority w:val="0"/>
    <w:rPr>
      <w:i/>
      <w:kern w:val="2"/>
      <w:sz w:val="18"/>
      <w:szCs w:val="18"/>
      <w:lang w:val="zh-CN"/>
    </w:rPr>
  </w:style>
  <w:style w:type="paragraph" w:customStyle="1" w:styleId="207">
    <w:name w:val="0-页眉"/>
    <w:basedOn w:val="36"/>
    <w:link w:val="206"/>
    <w:qFormat/>
    <w:uiPriority w:val="0"/>
    <w:pPr>
      <w:widowControl/>
      <w:adjustRightInd/>
      <w:snapToGrid w:val="0"/>
      <w:spacing w:line="360" w:lineRule="auto"/>
    </w:pPr>
    <w:rPr>
      <w:i/>
      <w:kern w:val="2"/>
      <w:szCs w:val="18"/>
      <w:lang w:val="zh-CN"/>
    </w:rPr>
  </w:style>
  <w:style w:type="character" w:customStyle="1" w:styleId="208">
    <w:name w:val="0-2级标题 Char"/>
    <w:link w:val="209"/>
    <w:qFormat/>
    <w:uiPriority w:val="0"/>
    <w:rPr>
      <w:b/>
      <w:bCs/>
      <w:sz w:val="28"/>
      <w:szCs w:val="28"/>
      <w:lang w:val="zh-CN"/>
    </w:rPr>
  </w:style>
  <w:style w:type="paragraph" w:customStyle="1" w:styleId="209">
    <w:name w:val="0-2级标题"/>
    <w:basedOn w:val="5"/>
    <w:link w:val="208"/>
    <w:qFormat/>
    <w:uiPriority w:val="0"/>
    <w:pPr>
      <w:keepLines/>
      <w:widowControl/>
      <w:numPr>
        <w:ilvl w:val="1"/>
        <w:numId w:val="0"/>
      </w:numPr>
      <w:tabs>
        <w:tab w:val="left" w:pos="567"/>
      </w:tabs>
      <w:adjustRightInd/>
      <w:snapToGrid/>
      <w:spacing w:before="0" w:after="0"/>
      <w:ind w:hanging="1958" w:hangingChars="1958"/>
      <w:jc w:val="left"/>
      <w:textAlignment w:val="auto"/>
    </w:pPr>
    <w:rPr>
      <w:rFonts w:ascii="Times New Roman" w:eastAsia="宋体"/>
      <w:bCs/>
      <w:sz w:val="28"/>
      <w:szCs w:val="28"/>
      <w:lang w:val="zh-CN"/>
    </w:rPr>
  </w:style>
  <w:style w:type="character" w:customStyle="1" w:styleId="210">
    <w:name w:val="日期 Char1"/>
    <w:qFormat/>
    <w:uiPriority w:val="99"/>
    <w:rPr>
      <w:rFonts w:hint="default" w:ascii="Times New Roman" w:hAnsi="Times New Roman" w:cs="Times New Roman"/>
      <w:kern w:val="2"/>
      <w:sz w:val="24"/>
      <w:szCs w:val="22"/>
    </w:rPr>
  </w:style>
  <w:style w:type="character" w:customStyle="1" w:styleId="211">
    <w:name w:val="SANGFOR_4_标题4 Char"/>
    <w:link w:val="212"/>
    <w:uiPriority w:val="0"/>
    <w:rPr>
      <w:rFonts w:ascii="Arial" w:hAnsi="Arial" w:eastAsia="黑体"/>
      <w:b/>
      <w:bCs/>
      <w:kern w:val="2"/>
      <w:sz w:val="24"/>
      <w:szCs w:val="24"/>
    </w:rPr>
  </w:style>
  <w:style w:type="paragraph" w:customStyle="1" w:styleId="212">
    <w:name w:val="SANGFOR_4_标题4"/>
    <w:basedOn w:val="8"/>
    <w:next w:val="98"/>
    <w:link w:val="211"/>
    <w:uiPriority w:val="0"/>
    <w:pPr>
      <w:keepNext/>
      <w:widowControl w:val="0"/>
      <w:tabs>
        <w:tab w:val="left" w:pos="567"/>
      </w:tabs>
      <w:spacing w:beforeLines="50" w:afterLines="50" w:line="240" w:lineRule="auto"/>
      <w:ind w:left="720" w:hanging="720"/>
    </w:pPr>
    <w:rPr>
      <w:bCs/>
      <w:color w:val="auto"/>
      <w:sz w:val="24"/>
      <w:szCs w:val="24"/>
    </w:rPr>
  </w:style>
  <w:style w:type="character" w:customStyle="1" w:styleId="213">
    <w:name w:val="st1"/>
    <w:qFormat/>
    <w:uiPriority w:val="0"/>
  </w:style>
  <w:style w:type="character" w:customStyle="1" w:styleId="214">
    <w:name w:val="明显引用 Char1"/>
    <w:link w:val="215"/>
    <w:qFormat/>
    <w:uiPriority w:val="30"/>
    <w:rPr>
      <w:rFonts w:ascii="Calibri" w:hAnsi="Calibri"/>
      <w:b/>
      <w:bCs/>
      <w:i/>
      <w:iCs/>
      <w:sz w:val="24"/>
      <w:szCs w:val="22"/>
    </w:rPr>
  </w:style>
  <w:style w:type="paragraph" w:customStyle="1" w:styleId="215">
    <w:name w:val="明显引用1"/>
    <w:basedOn w:val="1"/>
    <w:next w:val="1"/>
    <w:link w:val="214"/>
    <w:qFormat/>
    <w:uiPriority w:val="30"/>
    <w:pPr>
      <w:pBdr>
        <w:bottom w:val="single" w:color="auto" w:sz="4" w:space="1"/>
      </w:pBdr>
      <w:snapToGrid w:val="0"/>
      <w:spacing w:after="280" w:line="360" w:lineRule="auto"/>
      <w:ind w:left="1008" w:right="1152"/>
    </w:pPr>
    <w:rPr>
      <w:rFonts w:ascii="Calibri" w:hAnsi="Calibri"/>
      <w:b/>
      <w:bCs/>
      <w:i/>
      <w:iCs/>
      <w:kern w:val="0"/>
      <w:sz w:val="24"/>
      <w:szCs w:val="22"/>
    </w:rPr>
  </w:style>
  <w:style w:type="character" w:customStyle="1" w:styleId="216">
    <w:name w:val="纯文本 Char1_3"/>
    <w:link w:val="217"/>
    <w:uiPriority w:val="0"/>
    <w:rPr>
      <w:rFonts w:ascii="宋体" w:hAnsi="Courier New"/>
      <w:kern w:val="2"/>
      <w:sz w:val="21"/>
      <w:lang/>
    </w:rPr>
  </w:style>
  <w:style w:type="paragraph" w:customStyle="1" w:styleId="217">
    <w:name w:val="纯文本_3"/>
    <w:basedOn w:val="218"/>
    <w:link w:val="216"/>
    <w:uiPriority w:val="0"/>
    <w:rPr>
      <w:rFonts w:ascii="宋体" w:hAnsi="Courier New"/>
      <w:szCs w:val="20"/>
      <w:lang/>
    </w:rPr>
  </w:style>
  <w:style w:type="paragraph" w:customStyle="1" w:styleId="218">
    <w:name w:val="正文_5"/>
    <w:qFormat/>
    <w:uiPriority w:val="0"/>
    <w:pPr>
      <w:widowControl w:val="0"/>
      <w:jc w:val="both"/>
    </w:pPr>
    <w:rPr>
      <w:kern w:val="2"/>
      <w:sz w:val="21"/>
      <w:szCs w:val="24"/>
      <w:lang w:val="en-US" w:eastAsia="zh-CN" w:bidi="ar-SA"/>
    </w:rPr>
  </w:style>
  <w:style w:type="character" w:customStyle="1" w:styleId="219">
    <w:name w:val="论文目录两字 Char"/>
    <w:link w:val="220"/>
    <w:qFormat/>
    <w:uiPriority w:val="0"/>
    <w:rPr>
      <w:rFonts w:hAnsi="宋体" w:eastAsia="黑体"/>
      <w:b/>
      <w:sz w:val="32"/>
    </w:rPr>
  </w:style>
  <w:style w:type="paragraph" w:customStyle="1" w:styleId="220">
    <w:name w:val="论文目录两字"/>
    <w:basedOn w:val="29"/>
    <w:link w:val="219"/>
    <w:qFormat/>
    <w:uiPriority w:val="0"/>
    <w:pPr>
      <w:widowControl/>
      <w:spacing w:beforeLines="50" w:afterLines="50"/>
      <w:jc w:val="center"/>
    </w:pPr>
    <w:rPr>
      <w:rFonts w:ascii="Times New Roman" w:hAnsi="宋体" w:eastAsia="黑体"/>
      <w:b/>
      <w:kern w:val="0"/>
      <w:sz w:val="32"/>
    </w:rPr>
  </w:style>
  <w:style w:type="character" w:customStyle="1" w:styleId="221">
    <w:name w:val="style10"/>
    <w:qFormat/>
    <w:uiPriority w:val="0"/>
  </w:style>
  <w:style w:type="character" w:customStyle="1" w:styleId="222">
    <w:name w:val="建设方案正文 Char Char"/>
    <w:qFormat/>
    <w:uiPriority w:val="0"/>
    <w:rPr>
      <w:rFonts w:ascii="仿宋_GB2312" w:eastAsia="仿宋_GB2312"/>
      <w:color w:val="000000"/>
      <w:kern w:val="2"/>
      <w:sz w:val="24"/>
      <w:lang w:val="en-US" w:eastAsia="zh-CN"/>
    </w:rPr>
  </w:style>
  <w:style w:type="character" w:customStyle="1" w:styleId="223">
    <w:name w:val="批注文字 Char"/>
    <w:qFormat/>
    <w:uiPriority w:val="0"/>
  </w:style>
  <w:style w:type="character" w:customStyle="1" w:styleId="224">
    <w:name w:val="font31"/>
    <w:qFormat/>
    <w:uiPriority w:val="0"/>
    <w:rPr>
      <w:rFonts w:ascii="Arial" w:hAnsi="Arial" w:cs="Arial"/>
      <w:color w:val="000000"/>
      <w:sz w:val="21"/>
      <w:szCs w:val="21"/>
      <w:u w:val="none"/>
    </w:rPr>
  </w:style>
  <w:style w:type="character" w:customStyle="1" w:styleId="225">
    <w:name w:val="Footer Char"/>
    <w:qFormat/>
    <w:locked/>
    <w:uiPriority w:val="99"/>
    <w:rPr>
      <w:rFonts w:cs="Times New Roman"/>
      <w:sz w:val="18"/>
    </w:rPr>
  </w:style>
  <w:style w:type="character" w:customStyle="1" w:styleId="226">
    <w:name w:val="A 正文 Char"/>
    <w:link w:val="227"/>
    <w:qFormat/>
    <w:uiPriority w:val="0"/>
    <w:rPr>
      <w:rFonts w:cs="宋体"/>
      <w:kern w:val="2"/>
      <w:sz w:val="24"/>
    </w:rPr>
  </w:style>
  <w:style w:type="paragraph" w:customStyle="1" w:styleId="227">
    <w:name w:val="A 正文"/>
    <w:basedOn w:val="1"/>
    <w:link w:val="226"/>
    <w:qFormat/>
    <w:uiPriority w:val="0"/>
    <w:pPr>
      <w:spacing w:line="440" w:lineRule="exact"/>
      <w:ind w:firstLine="480" w:firstLineChars="200"/>
      <w:jc w:val="left"/>
    </w:pPr>
    <w:rPr>
      <w:sz w:val="24"/>
      <w:szCs w:val="20"/>
    </w:rPr>
  </w:style>
  <w:style w:type="character" w:customStyle="1" w:styleId="228">
    <w:name w:val="Text Aufzählung Zchn"/>
    <w:link w:val="229"/>
    <w:qFormat/>
    <w:uiPriority w:val="0"/>
    <w:rPr>
      <w:rFonts w:ascii="Arial" w:hAnsi="Arial" w:eastAsia="Times New Roman"/>
      <w:lang w:val="zh-CN" w:eastAsia="de-DE"/>
    </w:rPr>
  </w:style>
  <w:style w:type="paragraph" w:customStyle="1" w:styleId="229">
    <w:name w:val="Text Aufzählung"/>
    <w:basedOn w:val="230"/>
    <w:link w:val="228"/>
    <w:qFormat/>
    <w:uiPriority w:val="0"/>
    <w:pPr>
      <w:suppressAutoHyphens/>
      <w:overflowPunct/>
      <w:autoSpaceDE/>
      <w:autoSpaceDN/>
      <w:adjustRightInd/>
      <w:spacing w:before="0" w:line="264" w:lineRule="auto"/>
      <w:ind w:left="720" w:hanging="360"/>
      <w:textAlignment w:val="auto"/>
    </w:pPr>
    <w:rPr>
      <w:rFonts w:ascii="Arial" w:hAnsi="Arial" w:eastAsia="Times New Roman"/>
      <w:sz w:val="20"/>
      <w:lang w:eastAsia="de-DE"/>
    </w:rPr>
  </w:style>
  <w:style w:type="paragraph" w:customStyle="1" w:styleId="230">
    <w:name w:val="Text"/>
    <w:basedOn w:val="1"/>
    <w:link w:val="231"/>
    <w:qFormat/>
    <w:uiPriority w:val="0"/>
    <w:pPr>
      <w:widowControl/>
      <w:overflowPunct w:val="0"/>
      <w:autoSpaceDE w:val="0"/>
      <w:autoSpaceDN w:val="0"/>
      <w:adjustRightInd w:val="0"/>
      <w:spacing w:before="130"/>
      <w:jc w:val="left"/>
      <w:textAlignment w:val="baseline"/>
    </w:pPr>
    <w:rPr>
      <w:kern w:val="0"/>
      <w:sz w:val="24"/>
      <w:szCs w:val="20"/>
      <w:lang w:val="zh-CN" w:eastAsia="en-US"/>
    </w:rPr>
  </w:style>
  <w:style w:type="character" w:customStyle="1" w:styleId="231">
    <w:name w:val="Text Char"/>
    <w:link w:val="230"/>
    <w:qFormat/>
    <w:uiPriority w:val="0"/>
    <w:rPr>
      <w:sz w:val="24"/>
      <w:lang w:val="zh-CN" w:eastAsia="en-US"/>
    </w:rPr>
  </w:style>
  <w:style w:type="character" w:customStyle="1" w:styleId="232">
    <w:name w:val="图题 Char"/>
    <w:link w:val="233"/>
    <w:qFormat/>
    <w:uiPriority w:val="0"/>
    <w:rPr>
      <w:rFonts w:ascii="仿宋" w:hAnsi="仿宋" w:eastAsia="仿宋"/>
      <w:kern w:val="2"/>
      <w:sz w:val="21"/>
      <w:szCs w:val="24"/>
    </w:rPr>
  </w:style>
  <w:style w:type="paragraph" w:customStyle="1" w:styleId="233">
    <w:name w:val="图题"/>
    <w:basedOn w:val="1"/>
    <w:link w:val="232"/>
    <w:qFormat/>
    <w:uiPriority w:val="0"/>
    <w:pPr>
      <w:widowControl/>
      <w:spacing w:beforeLines="25" w:line="300" w:lineRule="auto"/>
      <w:jc w:val="center"/>
    </w:pPr>
    <w:rPr>
      <w:rFonts w:ascii="仿宋" w:hAnsi="仿宋" w:eastAsia="仿宋"/>
    </w:rPr>
  </w:style>
  <w:style w:type="character" w:customStyle="1" w:styleId="234">
    <w:name w:val="内容"/>
    <w:qFormat/>
    <w:uiPriority w:val="0"/>
    <w:rPr>
      <w:rFonts w:eastAsia="宋体"/>
      <w:sz w:val="24"/>
    </w:rPr>
  </w:style>
  <w:style w:type="character" w:customStyle="1" w:styleId="235">
    <w:name w:val="书籍标题11"/>
    <w:qFormat/>
    <w:uiPriority w:val="33"/>
    <w:rPr>
      <w:b/>
      <w:bCs/>
      <w:smallCaps/>
      <w:spacing w:val="5"/>
    </w:rPr>
  </w:style>
  <w:style w:type="character" w:customStyle="1" w:styleId="236">
    <w:name w:val="纯文本 Char2"/>
    <w:qFormat/>
    <w:uiPriority w:val="0"/>
    <w:rPr>
      <w:rFonts w:hint="eastAsia" w:ascii="宋体" w:hAnsi="Courier New" w:eastAsia="宋体" w:cs="Courier New"/>
      <w:szCs w:val="21"/>
    </w:rPr>
  </w:style>
  <w:style w:type="character" w:customStyle="1" w:styleId="237">
    <w:name w:val="图片居中 Char"/>
    <w:link w:val="238"/>
    <w:qFormat/>
    <w:uiPriority w:val="0"/>
    <w:rPr>
      <w:rFonts w:ascii="Calibri" w:hAnsi="Calibri"/>
      <w:sz w:val="24"/>
      <w:szCs w:val="22"/>
    </w:rPr>
  </w:style>
  <w:style w:type="paragraph" w:customStyle="1" w:styleId="238">
    <w:name w:val="图片居中"/>
    <w:basedOn w:val="1"/>
    <w:link w:val="237"/>
    <w:qFormat/>
    <w:uiPriority w:val="0"/>
    <w:pPr>
      <w:snapToGrid w:val="0"/>
      <w:spacing w:after="200" w:line="360" w:lineRule="auto"/>
      <w:jc w:val="center"/>
    </w:pPr>
    <w:rPr>
      <w:rFonts w:ascii="Calibri" w:hAnsi="Calibri"/>
      <w:kern w:val="0"/>
      <w:sz w:val="24"/>
      <w:szCs w:val="22"/>
    </w:rPr>
  </w:style>
  <w:style w:type="character" w:customStyle="1" w:styleId="239">
    <w:name w:val="Heading 2 Char"/>
    <w:qFormat/>
    <w:locked/>
    <w:uiPriority w:val="0"/>
    <w:rPr>
      <w:rFonts w:ascii="Arial" w:hAnsi="Arial" w:eastAsia="黑体" w:cs="Times New Roman"/>
      <w:b/>
      <w:bCs/>
      <w:sz w:val="32"/>
      <w:szCs w:val="32"/>
    </w:rPr>
  </w:style>
  <w:style w:type="character" w:customStyle="1" w:styleId="240">
    <w:name w:val="tisl-unit-value"/>
    <w:qFormat/>
    <w:uiPriority w:val="0"/>
  </w:style>
  <w:style w:type="character" w:customStyle="1" w:styleId="241">
    <w:name w:val="纯文本 Char1_0"/>
    <w:link w:val="242"/>
    <w:locked/>
    <w:uiPriority w:val="0"/>
    <w:rPr>
      <w:rFonts w:ascii="宋体" w:hAnsi="Courier New"/>
      <w:lang/>
    </w:rPr>
  </w:style>
  <w:style w:type="paragraph" w:customStyle="1" w:styleId="242">
    <w:name w:val="纯文本_0"/>
    <w:basedOn w:val="1"/>
    <w:link w:val="241"/>
    <w:unhideWhenUsed/>
    <w:uiPriority w:val="0"/>
    <w:rPr>
      <w:rFonts w:ascii="宋体" w:hAnsi="Courier New"/>
      <w:kern w:val="0"/>
      <w:sz w:val="20"/>
      <w:szCs w:val="20"/>
      <w:lang/>
    </w:rPr>
  </w:style>
  <w:style w:type="character" w:customStyle="1" w:styleId="243">
    <w:name w:val="文档结构图 Char2"/>
    <w:qFormat/>
    <w:uiPriority w:val="99"/>
    <w:rPr>
      <w:rFonts w:hint="eastAsia" w:ascii="宋体" w:hAnsi="Times New Roman" w:eastAsia="宋体" w:cs="Times New Roman"/>
      <w:sz w:val="18"/>
      <w:szCs w:val="18"/>
    </w:rPr>
  </w:style>
  <w:style w:type="character" w:customStyle="1" w:styleId="244">
    <w:name w:val="正文文本缩进 3 Char1"/>
    <w:qFormat/>
    <w:uiPriority w:val="99"/>
    <w:rPr>
      <w:rFonts w:hint="default" w:ascii="Times New Roman" w:hAnsi="Times New Roman" w:cs="Times New Roman"/>
      <w:kern w:val="2"/>
      <w:sz w:val="16"/>
      <w:szCs w:val="16"/>
    </w:rPr>
  </w:style>
  <w:style w:type="character" w:customStyle="1" w:styleId="245">
    <w:name w:val="font131"/>
    <w:qFormat/>
    <w:uiPriority w:val="0"/>
    <w:rPr>
      <w:rFonts w:hint="default" w:ascii="Calibri" w:hAnsi="Calibri" w:cs="Calibri"/>
      <w:color w:val="000000"/>
      <w:sz w:val="24"/>
      <w:szCs w:val="24"/>
      <w:u w:val="none"/>
    </w:rPr>
  </w:style>
  <w:style w:type="character" w:customStyle="1" w:styleId="246">
    <w:name w:val="批注文字 Char2"/>
    <w:qFormat/>
    <w:uiPriority w:val="99"/>
    <w:rPr>
      <w:kern w:val="2"/>
      <w:sz w:val="21"/>
      <w:szCs w:val="22"/>
    </w:rPr>
  </w:style>
  <w:style w:type="character" w:customStyle="1" w:styleId="247">
    <w:name w:val="列出段落 Char1"/>
    <w:qFormat/>
    <w:locked/>
    <w:uiPriority w:val="34"/>
    <w:rPr>
      <w:kern w:val="2"/>
      <w:sz w:val="21"/>
      <w:szCs w:val="22"/>
    </w:rPr>
  </w:style>
  <w:style w:type="character" w:customStyle="1" w:styleId="248">
    <w:name w:val="font41"/>
    <w:qFormat/>
    <w:uiPriority w:val="0"/>
    <w:rPr>
      <w:rFonts w:hint="eastAsia" w:ascii="宋体" w:hAnsi="宋体" w:eastAsia="宋体" w:cs="宋体"/>
      <w:color w:val="000000"/>
      <w:sz w:val="24"/>
      <w:szCs w:val="24"/>
      <w:u w:val="none"/>
    </w:rPr>
  </w:style>
  <w:style w:type="character" w:customStyle="1" w:styleId="249">
    <w:name w:val="titlestylelight1"/>
    <w:uiPriority w:val="0"/>
    <w:rPr>
      <w:rFonts w:hint="default" w:ascii="Arial" w:hAnsi="Arial" w:cs="Arial"/>
      <w:b/>
      <w:bCs/>
      <w:color w:val="666666"/>
      <w:sz w:val="18"/>
      <w:szCs w:val="18"/>
    </w:rPr>
  </w:style>
  <w:style w:type="character" w:customStyle="1" w:styleId="250">
    <w:name w:val="纯文本 Char_0"/>
    <w:link w:val="251"/>
    <w:uiPriority w:val="0"/>
    <w:rPr>
      <w:rFonts w:ascii="宋体" w:hAnsi="Courier New"/>
      <w:kern w:val="2"/>
      <w:sz w:val="21"/>
      <w:szCs w:val="21"/>
      <w:lang/>
    </w:rPr>
  </w:style>
  <w:style w:type="paragraph" w:customStyle="1" w:styleId="251">
    <w:name w:val="纯文本_0_0"/>
    <w:basedOn w:val="252"/>
    <w:link w:val="250"/>
    <w:qFormat/>
    <w:uiPriority w:val="0"/>
    <w:rPr>
      <w:rFonts w:ascii="宋体" w:hAnsi="Courier New"/>
      <w:szCs w:val="21"/>
      <w:lang/>
    </w:rPr>
  </w:style>
  <w:style w:type="paragraph" w:customStyle="1" w:styleId="252">
    <w:name w:val="正文_1_0"/>
    <w:qFormat/>
    <w:uiPriority w:val="0"/>
    <w:pPr>
      <w:widowControl w:val="0"/>
      <w:jc w:val="both"/>
    </w:pPr>
    <w:rPr>
      <w:kern w:val="2"/>
      <w:sz w:val="21"/>
      <w:szCs w:val="24"/>
      <w:lang w:val="en-US" w:eastAsia="zh-CN" w:bidi="ar-SA"/>
    </w:rPr>
  </w:style>
  <w:style w:type="character" w:customStyle="1" w:styleId="253">
    <w:name w:val="title-text"/>
    <w:qFormat/>
    <w:uiPriority w:val="0"/>
  </w:style>
  <w:style w:type="character" w:customStyle="1" w:styleId="254">
    <w:name w:val="样式 正文缩进 + 首行缩进:  2 字符 Char"/>
    <w:link w:val="255"/>
    <w:qFormat/>
    <w:uiPriority w:val="0"/>
    <w:rPr>
      <w:rFonts w:ascii="Tahoma" w:hAnsi="Tahoma"/>
    </w:rPr>
  </w:style>
  <w:style w:type="paragraph" w:customStyle="1" w:styleId="255">
    <w:name w:val="样式 正文缩进 + 首行缩进:  2 字符"/>
    <w:basedOn w:val="7"/>
    <w:link w:val="254"/>
    <w:qFormat/>
    <w:uiPriority w:val="0"/>
    <w:pPr>
      <w:spacing w:line="360" w:lineRule="auto"/>
      <w:ind w:firstLine="200" w:firstLineChars="200"/>
    </w:pPr>
    <w:rPr>
      <w:rFonts w:ascii="Tahoma" w:hAnsi="Tahoma"/>
      <w:kern w:val="0"/>
      <w:sz w:val="20"/>
    </w:rPr>
  </w:style>
  <w:style w:type="character" w:customStyle="1" w:styleId="256">
    <w:name w:val="正文文本 3 Char2"/>
    <w:qFormat/>
    <w:uiPriority w:val="0"/>
    <w:rPr>
      <w:rFonts w:ascii="Calibri" w:hAnsi="Calibri"/>
      <w:kern w:val="2"/>
      <w:sz w:val="16"/>
      <w:szCs w:val="16"/>
    </w:rPr>
  </w:style>
  <w:style w:type="character" w:customStyle="1" w:styleId="257">
    <w:name w:val="正文文本 3 Char3"/>
    <w:qFormat/>
    <w:uiPriority w:val="99"/>
    <w:rPr>
      <w:sz w:val="16"/>
      <w:szCs w:val="16"/>
    </w:rPr>
  </w:style>
  <w:style w:type="character" w:customStyle="1" w:styleId="258">
    <w:name w:val="HTML 预设格式 Char2"/>
    <w:qFormat/>
    <w:uiPriority w:val="0"/>
    <w:rPr>
      <w:rFonts w:ascii="Courier New" w:hAnsi="Courier New" w:cs="Courier New"/>
      <w:kern w:val="2"/>
    </w:rPr>
  </w:style>
  <w:style w:type="character" w:customStyle="1" w:styleId="259">
    <w:name w:val="标题 Char2"/>
    <w:qFormat/>
    <w:uiPriority w:val="10"/>
    <w:rPr>
      <w:rFonts w:hint="default" w:ascii="Cambria" w:hAnsi="Cambria" w:cs="Times New Roman"/>
      <w:b/>
      <w:bCs/>
      <w:kern w:val="2"/>
      <w:sz w:val="32"/>
      <w:szCs w:val="32"/>
    </w:rPr>
  </w:style>
  <w:style w:type="character" w:customStyle="1" w:styleId="260">
    <w:name w:val="fontstyle01"/>
    <w:qFormat/>
    <w:uiPriority w:val="0"/>
    <w:rPr>
      <w:rFonts w:hint="eastAsia" w:ascii="宋体" w:hAnsi="宋体" w:eastAsia="宋体"/>
      <w:color w:val="000000"/>
      <w:sz w:val="22"/>
      <w:szCs w:val="22"/>
    </w:rPr>
  </w:style>
  <w:style w:type="character" w:customStyle="1" w:styleId="261">
    <w:name w:val="页脚 字符"/>
    <w:qFormat/>
    <w:uiPriority w:val="99"/>
    <w:rPr>
      <w:rFonts w:ascii="Times New Roman" w:hAnsi="Times New Roman" w:eastAsia="宋体" w:cs="Times New Roman"/>
      <w:sz w:val="18"/>
      <w:szCs w:val="18"/>
    </w:rPr>
  </w:style>
  <w:style w:type="character" w:customStyle="1" w:styleId="262">
    <w:name w:val="正文文本缩进 Char1"/>
    <w:qFormat/>
    <w:uiPriority w:val="99"/>
    <w:rPr>
      <w:rFonts w:hint="default" w:ascii="Times New Roman" w:hAnsi="Times New Roman" w:cs="Times New Roman"/>
      <w:kern w:val="2"/>
      <w:sz w:val="24"/>
      <w:szCs w:val="22"/>
    </w:rPr>
  </w:style>
  <w:style w:type="character" w:customStyle="1" w:styleId="263">
    <w:name w:val="明显强调1"/>
    <w:qFormat/>
    <w:uiPriority w:val="0"/>
    <w:rPr>
      <w:b/>
      <w:bCs/>
      <w:i/>
      <w:iCs/>
      <w:color w:val="4F81BD"/>
    </w:rPr>
  </w:style>
  <w:style w:type="character" w:customStyle="1" w:styleId="264">
    <w:name w:val="明显强调2"/>
    <w:qFormat/>
    <w:uiPriority w:val="21"/>
    <w:rPr>
      <w:b/>
      <w:bCs/>
    </w:rPr>
  </w:style>
  <w:style w:type="character" w:customStyle="1" w:styleId="265">
    <w:name w:val="页眉 Char1"/>
    <w:qFormat/>
    <w:uiPriority w:val="99"/>
    <w:rPr>
      <w:rFonts w:hint="eastAsia" w:ascii="仿宋" w:hAnsi="仿宋" w:eastAsia="仿宋"/>
      <w:kern w:val="2"/>
      <w:sz w:val="18"/>
      <w:szCs w:val="18"/>
    </w:rPr>
  </w:style>
  <w:style w:type="character" w:styleId="266">
    <w:name w:val=""/>
    <w:qFormat/>
    <w:uiPriority w:val="31"/>
    <w:rPr>
      <w:smallCaps/>
      <w:color w:val="C0504D"/>
      <w:u w:val="single"/>
    </w:rPr>
  </w:style>
  <w:style w:type="character" w:customStyle="1" w:styleId="267">
    <w:name w:val="正文缩进 Char1"/>
    <w:qFormat/>
    <w:uiPriority w:val="0"/>
    <w:rPr>
      <w:rFonts w:ascii="Times New Roman" w:hAnsi="Times New Roman" w:eastAsia="宋体" w:cs="Times New Roman"/>
      <w:szCs w:val="20"/>
    </w:rPr>
  </w:style>
  <w:style w:type="character" w:customStyle="1" w:styleId="268">
    <w:name w:val="正文文本 2 Char1"/>
    <w:qFormat/>
    <w:uiPriority w:val="99"/>
    <w:rPr>
      <w:kern w:val="2"/>
      <w:sz w:val="24"/>
      <w:szCs w:val="22"/>
    </w:rPr>
  </w:style>
  <w:style w:type="character" w:customStyle="1" w:styleId="269">
    <w:name w:val="标题 Char3"/>
    <w:qFormat/>
    <w:uiPriority w:val="10"/>
    <w:rPr>
      <w:rFonts w:hint="default" w:ascii="Cambria" w:hAnsi="Cambria" w:eastAsia="宋体" w:cs="Times New Roman"/>
      <w:b/>
      <w:bCs/>
      <w:sz w:val="32"/>
      <w:szCs w:val="32"/>
    </w:rPr>
  </w:style>
  <w:style w:type="character" w:customStyle="1" w:styleId="270">
    <w:name w:val="一级标题 Char"/>
    <w:link w:val="271"/>
    <w:qFormat/>
    <w:uiPriority w:val="0"/>
    <w:rPr>
      <w:rFonts w:ascii="Cambria" w:hAnsi="Cambria"/>
      <w:b/>
      <w:bCs/>
      <w:kern w:val="2"/>
      <w:sz w:val="32"/>
      <w:szCs w:val="32"/>
      <w:lang w:val="zh-CN"/>
    </w:rPr>
  </w:style>
  <w:style w:type="paragraph" w:customStyle="1" w:styleId="271">
    <w:name w:val="一级标题"/>
    <w:basedOn w:val="53"/>
    <w:link w:val="270"/>
    <w:qFormat/>
    <w:uiPriority w:val="0"/>
    <w:pPr>
      <w:overflowPunct/>
      <w:autoSpaceDE/>
      <w:autoSpaceDN/>
      <w:adjustRightInd/>
      <w:spacing w:before="240" w:after="60" w:line="240" w:lineRule="auto"/>
      <w:textAlignment w:val="auto"/>
      <w:outlineLvl w:val="0"/>
    </w:pPr>
    <w:rPr>
      <w:rFonts w:ascii="Cambria" w:hAnsi="Cambria" w:eastAsia="宋体"/>
      <w:bCs/>
      <w:kern w:val="2"/>
      <w:sz w:val="32"/>
      <w:szCs w:val="32"/>
      <w:lang w:val="zh-CN"/>
    </w:rPr>
  </w:style>
  <w:style w:type="character" w:customStyle="1" w:styleId="272">
    <w:name w:val="tisl-unit-unit"/>
    <w:qFormat/>
    <w:uiPriority w:val="0"/>
  </w:style>
  <w:style w:type="character" w:customStyle="1" w:styleId="273">
    <w:name w:val="样式 宋体 小四 加粗 Char"/>
    <w:link w:val="274"/>
    <w:qFormat/>
    <w:uiPriority w:val="0"/>
    <w:rPr>
      <w:rFonts w:ascii="宋体" w:hAnsi="宋体"/>
      <w:b/>
      <w:sz w:val="24"/>
      <w:szCs w:val="24"/>
      <w:lang w:val="zh-CN"/>
    </w:rPr>
  </w:style>
  <w:style w:type="paragraph" w:customStyle="1" w:styleId="274">
    <w:name w:val="样式 宋体 小四 加粗"/>
    <w:basedOn w:val="1"/>
    <w:next w:val="1"/>
    <w:link w:val="273"/>
    <w:qFormat/>
    <w:uiPriority w:val="0"/>
    <w:pPr>
      <w:widowControl/>
      <w:adjustRightInd w:val="0"/>
      <w:snapToGrid w:val="0"/>
      <w:spacing w:line="440" w:lineRule="exact"/>
      <w:ind w:firstLine="482" w:firstLineChars="200"/>
      <w:jc w:val="left"/>
    </w:pPr>
    <w:rPr>
      <w:rFonts w:ascii="宋体" w:hAnsi="宋体"/>
      <w:b/>
      <w:kern w:val="0"/>
      <w:sz w:val="24"/>
      <w:lang w:val="zh-CN"/>
    </w:rPr>
  </w:style>
  <w:style w:type="character" w:customStyle="1" w:styleId="275">
    <w:name w:val="明显参考1"/>
    <w:qFormat/>
    <w:uiPriority w:val="32"/>
    <w:rPr>
      <w:smallCaps/>
      <w:spacing w:val="5"/>
      <w:u w:val="single"/>
    </w:rPr>
  </w:style>
  <w:style w:type="character" w:customStyle="1" w:styleId="276">
    <w:name w:val="无间隔 Char"/>
    <w:link w:val="277"/>
    <w:qFormat/>
    <w:uiPriority w:val="99"/>
    <w:rPr>
      <w:rFonts w:ascii="Calibri" w:hAnsi="Calibri"/>
      <w:kern w:val="2"/>
      <w:sz w:val="21"/>
      <w:szCs w:val="22"/>
    </w:rPr>
  </w:style>
  <w:style w:type="paragraph" w:styleId="277">
    <w:name w:val="No Spacing"/>
    <w:basedOn w:val="1"/>
    <w:link w:val="276"/>
    <w:qFormat/>
    <w:uiPriority w:val="99"/>
    <w:rPr>
      <w:rFonts w:ascii="Calibri" w:hAnsi="Calibri"/>
      <w:szCs w:val="22"/>
    </w:rPr>
  </w:style>
  <w:style w:type="character" w:customStyle="1" w:styleId="278">
    <w:name w:val="apple-converted-space"/>
    <w:qFormat/>
    <w:uiPriority w:val="0"/>
  </w:style>
  <w:style w:type="character" w:customStyle="1" w:styleId="279">
    <w:name w:val="副标题 Char2"/>
    <w:qFormat/>
    <w:uiPriority w:val="11"/>
    <w:rPr>
      <w:rFonts w:hint="default" w:ascii="Cambria" w:hAnsi="Cambria" w:cs="Times New Roman"/>
      <w:b/>
      <w:bCs/>
      <w:kern w:val="28"/>
      <w:sz w:val="32"/>
      <w:szCs w:val="32"/>
    </w:rPr>
  </w:style>
  <w:style w:type="character" w:customStyle="1" w:styleId="280">
    <w:name w:val="正文2 Char"/>
    <w:link w:val="281"/>
    <w:qFormat/>
    <w:uiPriority w:val="0"/>
  </w:style>
  <w:style w:type="paragraph" w:customStyle="1" w:styleId="281">
    <w:name w:val="正文2"/>
    <w:basedOn w:val="1"/>
    <w:link w:val="280"/>
    <w:qFormat/>
    <w:uiPriority w:val="0"/>
    <w:pPr>
      <w:spacing w:line="300" w:lineRule="auto"/>
      <w:ind w:left="500" w:leftChars="500"/>
    </w:pPr>
    <w:rPr>
      <w:kern w:val="0"/>
      <w:sz w:val="20"/>
      <w:szCs w:val="20"/>
    </w:rPr>
  </w:style>
  <w:style w:type="character" w:customStyle="1" w:styleId="282">
    <w:name w:val="样式 仿宋"/>
    <w:qFormat/>
    <w:uiPriority w:val="0"/>
    <w:rPr>
      <w:rFonts w:hint="eastAsia" w:ascii="仿宋" w:hAnsi="仿宋" w:eastAsia="仿宋"/>
      <w:kern w:val="2"/>
    </w:rPr>
  </w:style>
  <w:style w:type="character" w:customStyle="1" w:styleId="283">
    <w:name w:val="正文文本 字符"/>
    <w:qFormat/>
    <w:uiPriority w:val="0"/>
    <w:rPr>
      <w:rFonts w:ascii="仿宋_GB2312" w:eastAsia="仿宋_GB2312"/>
      <w:kern w:val="2"/>
      <w:sz w:val="28"/>
      <w:szCs w:val="24"/>
    </w:rPr>
  </w:style>
  <w:style w:type="character" w:customStyle="1" w:styleId="284">
    <w:name w:val="页脚 Char1"/>
    <w:qFormat/>
    <w:uiPriority w:val="99"/>
    <w:rPr>
      <w:rFonts w:hint="eastAsia" w:ascii="仿宋" w:hAnsi="仿宋" w:eastAsia="仿宋"/>
      <w:kern w:val="2"/>
      <w:sz w:val="18"/>
      <w:szCs w:val="18"/>
    </w:rPr>
  </w:style>
  <w:style w:type="character" w:customStyle="1" w:styleId="285">
    <w:name w:val="font181"/>
    <w:qFormat/>
    <w:uiPriority w:val="0"/>
    <w:rPr>
      <w:rFonts w:ascii="Wingdings 2" w:hAnsi="Wingdings 2" w:eastAsia="Wingdings 2" w:cs="Wingdings 2"/>
      <w:color w:val="000000"/>
      <w:sz w:val="24"/>
      <w:szCs w:val="24"/>
      <w:u w:val="none"/>
    </w:rPr>
  </w:style>
  <w:style w:type="character" w:customStyle="1" w:styleId="286">
    <w:name w:val="正文文本缩进 3 Char2"/>
    <w:qFormat/>
    <w:uiPriority w:val="99"/>
    <w:rPr>
      <w:rFonts w:hint="default" w:ascii="Times New Roman" w:hAnsi="Times New Roman" w:eastAsia="宋体" w:cs="Times New Roman"/>
      <w:sz w:val="16"/>
      <w:szCs w:val="16"/>
    </w:rPr>
  </w:style>
  <w:style w:type="character" w:customStyle="1" w:styleId="287">
    <w:name w:val="标题 4 Char1"/>
    <w:qFormat/>
    <w:uiPriority w:val="0"/>
    <w:rPr>
      <w:rFonts w:hint="default" w:ascii="Cambria" w:hAnsi="Cambria" w:eastAsia="宋体" w:cs="Cambria"/>
      <w:b/>
      <w:kern w:val="2"/>
      <w:sz w:val="28"/>
      <w:szCs w:val="28"/>
      <w:lang w:val="en-US" w:eastAsia="zh-CN"/>
    </w:rPr>
  </w:style>
  <w:style w:type="character" w:customStyle="1" w:styleId="288">
    <w:name w:val="签名 Char1"/>
    <w:uiPriority w:val="0"/>
    <w:rPr>
      <w:kern w:val="2"/>
      <w:sz w:val="21"/>
      <w:szCs w:val="24"/>
    </w:rPr>
  </w:style>
  <w:style w:type="character" w:customStyle="1" w:styleId="289">
    <w:name w:val="标题 Char1"/>
    <w:qFormat/>
    <w:uiPriority w:val="0"/>
    <w:rPr>
      <w:rFonts w:hint="default" w:ascii="Cambria" w:hAnsi="Cambria" w:cs="Times New Roman"/>
      <w:b/>
      <w:bCs/>
      <w:kern w:val="2"/>
      <w:sz w:val="32"/>
      <w:szCs w:val="32"/>
    </w:rPr>
  </w:style>
  <w:style w:type="character" w:customStyle="1" w:styleId="290">
    <w:name w:val="textfont1"/>
    <w:uiPriority w:val="0"/>
  </w:style>
  <w:style w:type="character" w:customStyle="1" w:styleId="291">
    <w:name w:val="文字内容1"/>
    <w:qFormat/>
    <w:uiPriority w:val="0"/>
    <w:rPr>
      <w:rFonts w:hint="eastAsia" w:ascii="宋体" w:hAnsi="宋体" w:eastAsia="宋体"/>
      <w:color w:val="000000"/>
      <w:sz w:val="18"/>
      <w:szCs w:val="18"/>
    </w:rPr>
  </w:style>
  <w:style w:type="character" w:customStyle="1" w:styleId="292">
    <w:name w:val="trans"/>
    <w:qFormat/>
    <w:uiPriority w:val="99"/>
  </w:style>
  <w:style w:type="character" w:customStyle="1" w:styleId="293">
    <w:name w:val="批注框文本 Char1"/>
    <w:qFormat/>
    <w:uiPriority w:val="99"/>
    <w:rPr>
      <w:rFonts w:ascii="仿宋" w:hAnsi="仿宋" w:eastAsia="仿宋"/>
      <w:kern w:val="2"/>
      <w:sz w:val="18"/>
      <w:szCs w:val="18"/>
    </w:rPr>
  </w:style>
  <w:style w:type="character" w:customStyle="1" w:styleId="294">
    <w:name w:val="纯文本 Char3"/>
    <w:qFormat/>
    <w:uiPriority w:val="0"/>
    <w:rPr>
      <w:rFonts w:ascii="宋体" w:hAnsi="Courier New" w:cs="Courier New"/>
      <w:kern w:val="2"/>
      <w:sz w:val="21"/>
      <w:szCs w:val="21"/>
    </w:rPr>
  </w:style>
  <w:style w:type="character" w:styleId="295">
    <w:name w:val=""/>
    <w:qFormat/>
    <w:uiPriority w:val="21"/>
    <w:rPr>
      <w:b/>
      <w:bCs/>
      <w:i/>
      <w:iCs/>
      <w:color w:val="4F81BD"/>
    </w:rPr>
  </w:style>
  <w:style w:type="character" w:customStyle="1" w:styleId="296">
    <w:name w:val="style251"/>
    <w:qFormat/>
    <w:uiPriority w:val="0"/>
    <w:rPr>
      <w:color w:val="000000"/>
    </w:rPr>
  </w:style>
  <w:style w:type="character" w:customStyle="1" w:styleId="297">
    <w:name w:val="已访问的超链接1"/>
    <w:qFormat/>
    <w:uiPriority w:val="99"/>
    <w:rPr>
      <w:rFonts w:cs="Times New Roman"/>
      <w:color w:val="800080"/>
      <w:u w:val="single"/>
    </w:rPr>
  </w:style>
  <w:style w:type="character" w:customStyle="1" w:styleId="298">
    <w:name w:val="No Spacing Char"/>
    <w:qFormat/>
    <w:locked/>
    <w:uiPriority w:val="0"/>
    <w:rPr>
      <w:rFonts w:ascii="Calibri" w:hAnsi="Calibri"/>
      <w:sz w:val="22"/>
      <w:szCs w:val="22"/>
    </w:rPr>
  </w:style>
  <w:style w:type="character" w:customStyle="1" w:styleId="299">
    <w:name w:val="font161"/>
    <w:qFormat/>
    <w:uiPriority w:val="0"/>
    <w:rPr>
      <w:rFonts w:hint="default" w:ascii="Times New Roman" w:hAnsi="Times New Roman" w:cs="Times New Roman"/>
      <w:color w:val="000000"/>
      <w:sz w:val="24"/>
      <w:szCs w:val="24"/>
      <w:u w:val="none"/>
    </w:rPr>
  </w:style>
  <w:style w:type="character" w:customStyle="1" w:styleId="300">
    <w:name w:val="正文文本 3 Char1"/>
    <w:qFormat/>
    <w:uiPriority w:val="99"/>
    <w:rPr>
      <w:rFonts w:hint="default" w:ascii="Times New Roman" w:hAnsi="Times New Roman" w:cs="Times New Roman"/>
      <w:kern w:val="2"/>
      <w:sz w:val="16"/>
      <w:szCs w:val="16"/>
    </w:rPr>
  </w:style>
  <w:style w:type="character" w:customStyle="1" w:styleId="301">
    <w:name w:val="批注文字 Char4"/>
    <w:qFormat/>
    <w:uiPriority w:val="0"/>
    <w:rPr>
      <w:rFonts w:ascii="仿宋" w:hAnsi="仿宋" w:eastAsia="仿宋" w:cs="仿宋"/>
      <w:bCs/>
      <w:color w:val="000000"/>
      <w:sz w:val="24"/>
      <w:szCs w:val="24"/>
    </w:rPr>
  </w:style>
  <w:style w:type="character" w:customStyle="1" w:styleId="302">
    <w:name w:val="我的正文 Char"/>
    <w:link w:val="303"/>
    <w:uiPriority w:val="0"/>
    <w:rPr>
      <w:sz w:val="24"/>
      <w:szCs w:val="24"/>
    </w:rPr>
  </w:style>
  <w:style w:type="paragraph" w:customStyle="1" w:styleId="303">
    <w:name w:val="我的正文"/>
    <w:basedOn w:val="1"/>
    <w:link w:val="302"/>
    <w:uiPriority w:val="0"/>
    <w:pPr>
      <w:spacing w:line="360" w:lineRule="auto"/>
      <w:ind w:hangingChars="202" w:firstLine="539"/>
      <w:jc w:val="left"/>
    </w:pPr>
    <w:rPr>
      <w:kern w:val="0"/>
      <w:sz w:val="24"/>
    </w:rPr>
  </w:style>
  <w:style w:type="character" w:customStyle="1" w:styleId="304">
    <w:name w:val="论文正文 Char"/>
    <w:link w:val="305"/>
    <w:qFormat/>
    <w:uiPriority w:val="0"/>
    <w:rPr>
      <w:rFonts w:eastAsia="仿宋"/>
      <w:sz w:val="24"/>
      <w:lang w:val="zh-CN"/>
    </w:rPr>
  </w:style>
  <w:style w:type="paragraph" w:customStyle="1" w:styleId="305">
    <w:name w:val="招标正文"/>
    <w:basedOn w:val="1"/>
    <w:link w:val="304"/>
    <w:qFormat/>
    <w:uiPriority w:val="0"/>
    <w:pPr>
      <w:widowControl/>
      <w:spacing w:line="360" w:lineRule="auto"/>
      <w:ind w:firstLine="1680" w:firstLineChars="200"/>
      <w:jc w:val="left"/>
    </w:pPr>
    <w:rPr>
      <w:rFonts w:eastAsia="仿宋"/>
      <w:kern w:val="0"/>
      <w:sz w:val="24"/>
      <w:szCs w:val="20"/>
      <w:lang w:val="zh-CN"/>
    </w:rPr>
  </w:style>
  <w:style w:type="character" w:customStyle="1" w:styleId="306">
    <w:name w:val="font111"/>
    <w:qFormat/>
    <w:uiPriority w:val="0"/>
    <w:rPr>
      <w:rFonts w:hint="default" w:ascii="Calibri" w:hAnsi="Calibri" w:cs="Calibri"/>
      <w:color w:val="000000"/>
      <w:sz w:val="20"/>
      <w:szCs w:val="20"/>
      <w:u w:val="none"/>
    </w:rPr>
  </w:style>
  <w:style w:type="character" w:customStyle="1" w:styleId="307">
    <w:name w:val="图号 Char"/>
    <w:link w:val="308"/>
    <w:qFormat/>
    <w:uiPriority w:val="0"/>
    <w:rPr>
      <w:rFonts w:ascii="仿宋" w:hAnsi="仿宋"/>
      <w:color w:val="000000"/>
      <w:kern w:val="2"/>
      <w:sz w:val="21"/>
      <w:szCs w:val="24"/>
    </w:rPr>
  </w:style>
  <w:style w:type="paragraph" w:customStyle="1" w:styleId="308">
    <w:name w:val="图号"/>
    <w:basedOn w:val="1"/>
    <w:link w:val="307"/>
    <w:qFormat/>
    <w:uiPriority w:val="0"/>
    <w:pPr>
      <w:widowControl/>
      <w:spacing w:line="440" w:lineRule="exact"/>
      <w:jc w:val="center"/>
    </w:pPr>
    <w:rPr>
      <w:rFonts w:ascii="仿宋" w:hAnsi="仿宋"/>
      <w:color w:val="000000"/>
    </w:rPr>
  </w:style>
  <w:style w:type="character" w:customStyle="1" w:styleId="309">
    <w:name w:val="正文文本 3 Char4"/>
    <w:qFormat/>
    <w:uiPriority w:val="99"/>
    <w:rPr>
      <w:rFonts w:ascii="仿宋" w:hAnsi="仿宋" w:eastAsia="仿宋" w:cs="仿宋"/>
      <w:bCs/>
      <w:color w:val="000000"/>
      <w:sz w:val="16"/>
      <w:szCs w:val="16"/>
    </w:rPr>
  </w:style>
  <w:style w:type="character" w:customStyle="1" w:styleId="310">
    <w:name w:val="Char Char7"/>
    <w:qFormat/>
    <w:uiPriority w:val="0"/>
    <w:rPr>
      <w:rFonts w:ascii="Times New Roman" w:hAnsi="Times New Roman"/>
      <w:kern w:val="2"/>
      <w:sz w:val="18"/>
      <w:szCs w:val="18"/>
    </w:rPr>
  </w:style>
  <w:style w:type="character" w:customStyle="1" w:styleId="311">
    <w:name w:val="标题8 Char"/>
    <w:link w:val="312"/>
    <w:qFormat/>
    <w:uiPriority w:val="0"/>
    <w:rPr>
      <w:rFonts w:eastAsia="仿宋"/>
      <w:sz w:val="24"/>
      <w:szCs w:val="24"/>
      <w:lang w:val="zh-CN"/>
    </w:rPr>
  </w:style>
  <w:style w:type="paragraph" w:customStyle="1" w:styleId="312">
    <w:name w:val="标题8"/>
    <w:basedOn w:val="1"/>
    <w:next w:val="1"/>
    <w:link w:val="311"/>
    <w:qFormat/>
    <w:uiPriority w:val="99"/>
    <w:pPr>
      <w:widowControl/>
      <w:spacing w:line="360" w:lineRule="auto"/>
      <w:jc w:val="left"/>
    </w:pPr>
    <w:rPr>
      <w:rFonts w:eastAsia="仿宋"/>
      <w:kern w:val="0"/>
      <w:sz w:val="24"/>
      <w:lang w:val="zh-CN"/>
    </w:rPr>
  </w:style>
  <w:style w:type="character" w:customStyle="1" w:styleId="313">
    <w:name w:val="head 1.1.1 Char"/>
    <w:link w:val="314"/>
    <w:uiPriority w:val="0"/>
    <w:rPr>
      <w:bCs/>
      <w:kern w:val="2"/>
      <w:sz w:val="21"/>
      <w:szCs w:val="24"/>
    </w:rPr>
  </w:style>
  <w:style w:type="paragraph" w:customStyle="1" w:styleId="314">
    <w:name w:val="head 1.1.1"/>
    <w:basedOn w:val="315"/>
    <w:link w:val="313"/>
    <w:qFormat/>
    <w:uiPriority w:val="0"/>
    <w:pPr>
      <w:ind w:left="720" w:firstLine="0" w:firstLineChars="0"/>
    </w:pPr>
    <w:rPr>
      <w:rFonts w:ascii="Times New Roman" w:hAnsi="Times New Roman"/>
      <w:bCs/>
      <w:szCs w:val="24"/>
    </w:rPr>
  </w:style>
  <w:style w:type="paragraph" w:styleId="315">
    <w:name w:val="List Paragraph"/>
    <w:basedOn w:val="1"/>
    <w:link w:val="316"/>
    <w:qFormat/>
    <w:uiPriority w:val="0"/>
    <w:pPr>
      <w:ind w:firstLine="420" w:firstLineChars="200"/>
    </w:pPr>
    <w:rPr>
      <w:rFonts w:ascii="Calibri" w:hAnsi="Calibri"/>
      <w:szCs w:val="22"/>
    </w:rPr>
  </w:style>
  <w:style w:type="character" w:customStyle="1" w:styleId="316">
    <w:name w:val="列出段落 Char"/>
    <w:link w:val="315"/>
    <w:qFormat/>
    <w:locked/>
    <w:uiPriority w:val="0"/>
    <w:rPr>
      <w:rFonts w:ascii="Calibri" w:hAnsi="Calibri"/>
      <w:kern w:val="2"/>
      <w:sz w:val="21"/>
      <w:szCs w:val="22"/>
    </w:rPr>
  </w:style>
  <w:style w:type="character" w:customStyle="1" w:styleId="317">
    <w:name w:val="副标题 Char4"/>
    <w:qFormat/>
    <w:uiPriority w:val="99"/>
    <w:rPr>
      <w:rFonts w:ascii="Cambria" w:hAnsi="Cambria" w:cs="Times New Roman"/>
      <w:b/>
      <w:bCs/>
      <w:color w:val="000000"/>
      <w:kern w:val="28"/>
      <w:sz w:val="32"/>
      <w:szCs w:val="32"/>
    </w:rPr>
  </w:style>
  <w:style w:type="character" w:customStyle="1" w:styleId="318">
    <w:name w:val="引用 Char"/>
    <w:link w:val="319"/>
    <w:qFormat/>
    <w:uiPriority w:val="99"/>
    <w:rPr>
      <w:rFonts w:ascii="Calibri" w:hAnsi="Calibri"/>
      <w:i/>
      <w:iCs/>
      <w:color w:val="000000"/>
      <w:kern w:val="2"/>
      <w:sz w:val="21"/>
      <w:szCs w:val="22"/>
    </w:rPr>
  </w:style>
  <w:style w:type="paragraph" w:styleId="319">
    <w:name w:val="Quote"/>
    <w:basedOn w:val="1"/>
    <w:next w:val="1"/>
    <w:link w:val="318"/>
    <w:qFormat/>
    <w:uiPriority w:val="99"/>
    <w:rPr>
      <w:rFonts w:ascii="Calibri" w:hAnsi="Calibri"/>
      <w:i/>
      <w:iCs/>
      <w:color w:val="000000"/>
      <w:szCs w:val="22"/>
    </w:rPr>
  </w:style>
  <w:style w:type="character" w:customStyle="1" w:styleId="320">
    <w:name w:val="纯文本 Char1_4_3"/>
    <w:link w:val="321"/>
    <w:uiPriority w:val="0"/>
    <w:rPr>
      <w:rFonts w:ascii="宋体" w:hAnsi="Courier New"/>
      <w:kern w:val="2"/>
      <w:sz w:val="21"/>
      <w:lang/>
    </w:rPr>
  </w:style>
  <w:style w:type="paragraph" w:customStyle="1" w:styleId="321">
    <w:name w:val="纯文本_5_0"/>
    <w:basedOn w:val="1"/>
    <w:link w:val="320"/>
    <w:uiPriority w:val="0"/>
    <w:rPr>
      <w:rFonts w:ascii="宋体" w:hAnsi="Courier New"/>
      <w:szCs w:val="20"/>
      <w:lang/>
    </w:rPr>
  </w:style>
  <w:style w:type="character" w:customStyle="1" w:styleId="322">
    <w:name w:val="xieceproduwz1"/>
    <w:qFormat/>
    <w:uiPriority w:val="0"/>
    <w:rPr>
      <w:rFonts w:hint="eastAsia" w:ascii="微软雅黑" w:hAnsi="微软雅黑" w:eastAsia="微软雅黑"/>
      <w:sz w:val="21"/>
      <w:szCs w:val="21"/>
    </w:rPr>
  </w:style>
  <w:style w:type="character" w:customStyle="1" w:styleId="323">
    <w:name w:val=" Char Char1"/>
    <w:link w:val="324"/>
    <w:uiPriority w:val="0"/>
    <w:rPr>
      <w:rFonts w:ascii="Tahoma" w:hAnsi="Tahoma"/>
      <w:kern w:val="2"/>
      <w:sz w:val="24"/>
    </w:rPr>
  </w:style>
  <w:style w:type="paragraph" w:customStyle="1" w:styleId="324">
    <w:name w:val=" Char"/>
    <w:basedOn w:val="1"/>
    <w:link w:val="323"/>
    <w:uiPriority w:val="0"/>
    <w:rPr>
      <w:rFonts w:ascii="Tahoma" w:hAnsi="Tahoma"/>
      <w:sz w:val="24"/>
      <w:szCs w:val="20"/>
    </w:rPr>
  </w:style>
  <w:style w:type="character" w:customStyle="1" w:styleId="325">
    <w:name w:val="不明显参考1"/>
    <w:qFormat/>
    <w:uiPriority w:val="31"/>
    <w:rPr>
      <w:smallCaps/>
    </w:rPr>
  </w:style>
  <w:style w:type="character" w:customStyle="1" w:styleId="326">
    <w:name w:val="附录 Char"/>
    <w:link w:val="327"/>
    <w:qFormat/>
    <w:uiPriority w:val="0"/>
    <w:rPr>
      <w:rFonts w:ascii="Cambria" w:hAnsi="Cambria"/>
      <w:b/>
      <w:bCs/>
      <w:kern w:val="2"/>
      <w:sz w:val="32"/>
      <w:szCs w:val="32"/>
      <w:lang w:val="zh-CN"/>
    </w:rPr>
  </w:style>
  <w:style w:type="paragraph" w:customStyle="1" w:styleId="327">
    <w:name w:val="附录"/>
    <w:basedOn w:val="271"/>
    <w:link w:val="326"/>
    <w:qFormat/>
    <w:uiPriority w:val="0"/>
    <w:pPr>
      <w:jc w:val="both"/>
    </w:pPr>
  </w:style>
  <w:style w:type="character" w:customStyle="1" w:styleId="328">
    <w:name w:val="Balloon Text Char"/>
    <w:qFormat/>
    <w:locked/>
    <w:uiPriority w:val="99"/>
    <w:rPr>
      <w:rFonts w:cs="Times New Roman"/>
      <w:kern w:val="2"/>
      <w:sz w:val="18"/>
      <w:szCs w:val="18"/>
    </w:rPr>
  </w:style>
  <w:style w:type="character" w:customStyle="1" w:styleId="329">
    <w:name w:val="页眉 字符"/>
    <w:qFormat/>
    <w:uiPriority w:val="99"/>
    <w:rPr>
      <w:rFonts w:ascii="Times New Roman" w:hAnsi="Times New Roman" w:eastAsia="宋体" w:cs="Times New Roman"/>
      <w:sz w:val="18"/>
      <w:szCs w:val="18"/>
    </w:rPr>
  </w:style>
  <w:style w:type="character" w:customStyle="1" w:styleId="330">
    <w:name w:val="font151"/>
    <w:qFormat/>
    <w:uiPriority w:val="0"/>
    <w:rPr>
      <w:rFonts w:ascii="Calibri" w:hAnsi="Calibri" w:cs="Calibri"/>
      <w:color w:val="000000"/>
      <w:sz w:val="24"/>
      <w:szCs w:val="24"/>
      <w:u w:val="none"/>
    </w:rPr>
  </w:style>
  <w:style w:type="character" w:customStyle="1" w:styleId="331">
    <w:name w:val="bookmark-item"/>
    <w:uiPriority w:val="0"/>
  </w:style>
  <w:style w:type="character" w:customStyle="1" w:styleId="332">
    <w:name w:val="0-图表编号样式 Char"/>
    <w:link w:val="333"/>
    <w:qFormat/>
    <w:uiPriority w:val="0"/>
    <w:rPr>
      <w:kern w:val="2"/>
      <w:sz w:val="21"/>
      <w:szCs w:val="24"/>
    </w:rPr>
  </w:style>
  <w:style w:type="paragraph" w:customStyle="1" w:styleId="333">
    <w:name w:val="0-图表编号样式"/>
    <w:basedOn w:val="1"/>
    <w:link w:val="332"/>
    <w:qFormat/>
    <w:uiPriority w:val="0"/>
    <w:pPr>
      <w:keepNext/>
      <w:widowControl/>
      <w:spacing w:line="360" w:lineRule="exact"/>
      <w:jc w:val="center"/>
    </w:pPr>
  </w:style>
  <w:style w:type="character" w:customStyle="1" w:styleId="334">
    <w:name w:val="style261"/>
    <w:qFormat/>
    <w:uiPriority w:val="0"/>
    <w:rPr>
      <w:color w:val="000000"/>
      <w:sz w:val="18"/>
      <w:szCs w:val="18"/>
    </w:rPr>
  </w:style>
  <w:style w:type="character" w:customStyle="1" w:styleId="335">
    <w:name w:val="！正文 Char"/>
    <w:link w:val="336"/>
    <w:qFormat/>
    <w:uiPriority w:val="0"/>
    <w:rPr>
      <w:rFonts w:ascii="宋体" w:hAnsi="宋体" w:cs="仿宋_GB2312"/>
      <w:color w:val="000000"/>
      <w:sz w:val="21"/>
      <w:szCs w:val="21"/>
    </w:rPr>
  </w:style>
  <w:style w:type="paragraph" w:customStyle="1" w:styleId="336">
    <w:name w:val="！正文"/>
    <w:basedOn w:val="1"/>
    <w:link w:val="335"/>
    <w:qFormat/>
    <w:uiPriority w:val="0"/>
    <w:pPr>
      <w:widowControl/>
      <w:spacing w:beforeLines="20" w:afterLines="20" w:line="360" w:lineRule="auto"/>
      <w:ind w:firstLine="412" w:firstLineChars="196"/>
      <w:jc w:val="left"/>
    </w:pPr>
    <w:rPr>
      <w:rFonts w:ascii="宋体" w:hAnsi="宋体"/>
      <w:color w:val="000000"/>
      <w:kern w:val="0"/>
      <w:szCs w:val="21"/>
    </w:rPr>
  </w:style>
  <w:style w:type="character" w:customStyle="1" w:styleId="337">
    <w:name w:val="纯文本 Char1_1"/>
    <w:link w:val="338"/>
    <w:uiPriority w:val="0"/>
    <w:rPr>
      <w:rFonts w:ascii="宋体" w:hAnsi="Courier New"/>
      <w:kern w:val="2"/>
      <w:sz w:val="21"/>
      <w:lang/>
    </w:rPr>
  </w:style>
  <w:style w:type="paragraph" w:customStyle="1" w:styleId="338">
    <w:name w:val="纯文本_1"/>
    <w:basedOn w:val="1"/>
    <w:link w:val="337"/>
    <w:uiPriority w:val="0"/>
    <w:rPr>
      <w:rFonts w:ascii="宋体" w:hAnsi="Courier New"/>
      <w:szCs w:val="20"/>
      <w:lang/>
    </w:rPr>
  </w:style>
  <w:style w:type="character" w:customStyle="1" w:styleId="339">
    <w:name w:val="0-3级标题 Char"/>
    <w:link w:val="340"/>
    <w:qFormat/>
    <w:uiPriority w:val="0"/>
    <w:rPr>
      <w:b/>
      <w:bCs/>
      <w:sz w:val="24"/>
      <w:szCs w:val="24"/>
      <w:lang w:val="zh-CN"/>
    </w:rPr>
  </w:style>
  <w:style w:type="paragraph" w:customStyle="1" w:styleId="340">
    <w:name w:val="0-3级标题"/>
    <w:basedOn w:val="6"/>
    <w:link w:val="339"/>
    <w:qFormat/>
    <w:uiPriority w:val="0"/>
    <w:pPr>
      <w:widowControl/>
      <w:numPr>
        <w:ilvl w:val="2"/>
        <w:numId w:val="0"/>
      </w:numPr>
      <w:tabs>
        <w:tab w:val="left" w:pos="709"/>
      </w:tabs>
      <w:spacing w:before="0" w:after="0"/>
      <w:jc w:val="left"/>
    </w:pPr>
    <w:rPr>
      <w:rFonts w:ascii="Times New Roman" w:eastAsia="宋体"/>
      <w:kern w:val="0"/>
      <w:sz w:val="24"/>
      <w:szCs w:val="24"/>
      <w:lang w:val="zh-CN"/>
    </w:rPr>
  </w:style>
  <w:style w:type="character" w:customStyle="1" w:styleId="341">
    <w:name w:val="副标题 Char1"/>
    <w:qFormat/>
    <w:uiPriority w:val="11"/>
    <w:rPr>
      <w:rFonts w:hint="default" w:ascii="Cambria" w:hAnsi="Cambria" w:cs="Times New Roman"/>
      <w:b/>
      <w:bCs/>
      <w:kern w:val="28"/>
      <w:sz w:val="32"/>
      <w:szCs w:val="32"/>
    </w:rPr>
  </w:style>
  <w:style w:type="character" w:customStyle="1" w:styleId="342">
    <w:name w:val="不明显强调11"/>
    <w:qFormat/>
    <w:uiPriority w:val="19"/>
    <w:rPr>
      <w:i/>
      <w:iCs/>
    </w:rPr>
  </w:style>
  <w:style w:type="character" w:customStyle="1" w:styleId="343">
    <w:name w:val="17"/>
    <w:qFormat/>
    <w:uiPriority w:val="0"/>
    <w:rPr>
      <w:rFonts w:hint="default" w:ascii="Arial" w:hAnsi="Arial" w:cs="Arial"/>
      <w:b/>
      <w:bCs/>
      <w:sz w:val="23"/>
      <w:szCs w:val="23"/>
    </w:rPr>
  </w:style>
  <w:style w:type="character" w:customStyle="1" w:styleId="344">
    <w:name w:val="不明显强调1"/>
    <w:qFormat/>
    <w:uiPriority w:val="19"/>
    <w:rPr>
      <w:i/>
      <w:color w:val="808080"/>
    </w:rPr>
  </w:style>
  <w:style w:type="character" w:customStyle="1" w:styleId="345">
    <w:name w:val="纯文本 Char1_4_0"/>
    <w:link w:val="346"/>
    <w:uiPriority w:val="0"/>
    <w:rPr>
      <w:rFonts w:ascii="宋体" w:hAnsi="Courier New"/>
      <w:kern w:val="2"/>
      <w:sz w:val="21"/>
      <w:lang/>
    </w:rPr>
  </w:style>
  <w:style w:type="paragraph" w:customStyle="1" w:styleId="346">
    <w:name w:val="纯文本_4_0"/>
    <w:basedOn w:val="1"/>
    <w:link w:val="345"/>
    <w:uiPriority w:val="0"/>
    <w:rPr>
      <w:rFonts w:ascii="宋体" w:hAnsi="Courier New"/>
      <w:szCs w:val="20"/>
      <w:lang/>
    </w:rPr>
  </w:style>
  <w:style w:type="character" w:styleId="347">
    <w:name w:val=""/>
    <w:qFormat/>
    <w:uiPriority w:val="32"/>
    <w:rPr>
      <w:b/>
      <w:bCs/>
      <w:smallCaps/>
      <w:color w:val="C0504D"/>
      <w:spacing w:val="5"/>
      <w:u w:val="single"/>
    </w:rPr>
  </w:style>
  <w:style w:type="character" w:customStyle="1" w:styleId="348">
    <w:name w:val="Heading 3 Char"/>
    <w:qFormat/>
    <w:locked/>
    <w:uiPriority w:val="0"/>
    <w:rPr>
      <w:rFonts w:cs="Times New Roman"/>
      <w:b/>
      <w:bCs/>
      <w:sz w:val="32"/>
      <w:szCs w:val="32"/>
    </w:rPr>
  </w:style>
  <w:style w:type="character" w:customStyle="1" w:styleId="349">
    <w:name w:val="bjh-p"/>
    <w:qFormat/>
    <w:uiPriority w:val="0"/>
  </w:style>
  <w:style w:type="character" w:customStyle="1" w:styleId="350">
    <w:name w:val="页脚 Char Char"/>
    <w:uiPriority w:val="0"/>
    <w:rPr>
      <w:sz w:val="18"/>
    </w:rPr>
  </w:style>
  <w:style w:type="character" w:customStyle="1" w:styleId="351">
    <w:name w:val="style131"/>
    <w:qFormat/>
    <w:uiPriority w:val="0"/>
    <w:rPr>
      <w:b/>
      <w:bCs/>
      <w:color w:val="006600"/>
      <w:sz w:val="21"/>
      <w:szCs w:val="21"/>
    </w:rPr>
  </w:style>
  <w:style w:type="character" w:customStyle="1" w:styleId="352">
    <w:name w:val="font81"/>
    <w:qFormat/>
    <w:uiPriority w:val="0"/>
    <w:rPr>
      <w:rFonts w:hint="eastAsia" w:ascii="宋体" w:hAnsi="宋体" w:eastAsia="宋体" w:cs="宋体"/>
      <w:color w:val="000000"/>
      <w:sz w:val="24"/>
      <w:szCs w:val="24"/>
      <w:u w:val="none"/>
    </w:rPr>
  </w:style>
  <w:style w:type="character" w:customStyle="1" w:styleId="353">
    <w:name w:val="style271"/>
    <w:qFormat/>
    <w:uiPriority w:val="0"/>
    <w:rPr>
      <w:sz w:val="14"/>
      <w:szCs w:val="14"/>
    </w:rPr>
  </w:style>
  <w:style w:type="character" w:customStyle="1" w:styleId="354">
    <w:name w:val="图片样式 Char"/>
    <w:link w:val="355"/>
    <w:qFormat/>
    <w:uiPriority w:val="0"/>
    <w:rPr>
      <w:rFonts w:cs="仿宋"/>
      <w:bCs/>
      <w:color w:val="000000"/>
      <w:kern w:val="2"/>
      <w:sz w:val="21"/>
    </w:rPr>
  </w:style>
  <w:style w:type="paragraph" w:customStyle="1" w:styleId="355">
    <w:name w:val="图片样式"/>
    <w:basedOn w:val="356"/>
    <w:link w:val="354"/>
    <w:qFormat/>
    <w:uiPriority w:val="0"/>
    <w:pPr>
      <w:widowControl w:val="0"/>
      <w:tabs>
        <w:tab w:val="left" w:pos="480"/>
        <w:tab w:val="left" w:pos="540"/>
        <w:tab w:val="left" w:pos="720"/>
      </w:tabs>
      <w:snapToGrid w:val="0"/>
      <w:spacing w:before="40" w:beforeLines="0" w:after="40" w:line="440" w:lineRule="exact"/>
    </w:pPr>
    <w:rPr>
      <w:rFonts w:ascii="Times New Roman" w:hAnsi="Times New Roman" w:cs="Times New Roman"/>
      <w:bCs/>
    </w:rPr>
  </w:style>
  <w:style w:type="paragraph" w:customStyle="1" w:styleId="356">
    <w:name w:val="内容正文"/>
    <w:basedOn w:val="1"/>
    <w:qFormat/>
    <w:uiPriority w:val="0"/>
    <w:pPr>
      <w:widowControl/>
      <w:tabs>
        <w:tab w:val="left" w:pos="480"/>
        <w:tab w:val="left" w:pos="540"/>
        <w:tab w:val="left" w:pos="720"/>
      </w:tabs>
      <w:spacing w:beforeLines="50"/>
      <w:ind w:firstLine="420"/>
      <w:jc w:val="left"/>
    </w:pPr>
    <w:rPr>
      <w:rFonts w:ascii="宋体" w:hAnsi="宋体" w:cs="宋体"/>
      <w:color w:val="000000"/>
      <w:szCs w:val="20"/>
    </w:rPr>
  </w:style>
  <w:style w:type="character" w:customStyle="1" w:styleId="357">
    <w:name w:val="书籍标题1"/>
    <w:qFormat/>
    <w:uiPriority w:val="33"/>
    <w:rPr>
      <w:b/>
      <w:bCs/>
      <w:smallCaps/>
      <w:spacing w:val="5"/>
    </w:rPr>
  </w:style>
  <w:style w:type="character" w:customStyle="1" w:styleId="358">
    <w:name w:val="HTML 预设格式 Char4"/>
    <w:qFormat/>
    <w:uiPriority w:val="0"/>
    <w:rPr>
      <w:rFonts w:ascii="Courier New" w:hAnsi="Courier New" w:eastAsia="仿宋" w:cs="Courier New"/>
      <w:bCs/>
      <w:color w:val="000000"/>
    </w:rPr>
  </w:style>
  <w:style w:type="character" w:customStyle="1" w:styleId="359">
    <w:name w:val=" Char Char1_0"/>
    <w:link w:val="360"/>
    <w:uiPriority w:val="0"/>
    <w:rPr>
      <w:rFonts w:ascii="Tahoma" w:hAnsi="Tahoma"/>
      <w:kern w:val="2"/>
      <w:sz w:val="24"/>
    </w:rPr>
  </w:style>
  <w:style w:type="paragraph" w:customStyle="1" w:styleId="360">
    <w:name w:val=" Char_0"/>
    <w:basedOn w:val="361"/>
    <w:link w:val="359"/>
    <w:uiPriority w:val="0"/>
    <w:rPr>
      <w:rFonts w:ascii="Tahoma" w:hAnsi="Tahoma"/>
      <w:sz w:val="24"/>
      <w:szCs w:val="20"/>
    </w:rPr>
  </w:style>
  <w:style w:type="paragraph" w:customStyle="1" w:styleId="361">
    <w:name w:val="正文_1"/>
    <w:qFormat/>
    <w:uiPriority w:val="0"/>
    <w:pPr>
      <w:widowControl w:val="0"/>
      <w:jc w:val="both"/>
    </w:pPr>
    <w:rPr>
      <w:kern w:val="2"/>
      <w:sz w:val="21"/>
      <w:szCs w:val="24"/>
      <w:lang w:val="en-US" w:eastAsia="zh-CN" w:bidi="ar-SA"/>
    </w:rPr>
  </w:style>
  <w:style w:type="character" w:customStyle="1" w:styleId="362">
    <w:name w:val="p141"/>
    <w:uiPriority w:val="0"/>
    <w:rPr>
      <w:sz w:val="21"/>
      <w:szCs w:val="21"/>
      <w:u w:val="none"/>
    </w:rPr>
  </w:style>
  <w:style w:type="character" w:customStyle="1" w:styleId="363">
    <w:name w:val="font101"/>
    <w:qFormat/>
    <w:uiPriority w:val="0"/>
    <w:rPr>
      <w:rFonts w:ascii="Symbol" w:hAnsi="Symbol" w:cs="Symbol"/>
      <w:color w:val="000000"/>
      <w:sz w:val="20"/>
      <w:szCs w:val="20"/>
      <w:u w:val="none"/>
    </w:rPr>
  </w:style>
  <w:style w:type="character" w:customStyle="1" w:styleId="364">
    <w:name w:val="16"/>
    <w:qFormat/>
    <w:uiPriority w:val="0"/>
    <w:rPr>
      <w:rFonts w:hint="default" w:ascii="Times New Roman" w:hAnsi="Times New Roman" w:cs="Times New Roman"/>
      <w:sz w:val="24"/>
    </w:rPr>
  </w:style>
  <w:style w:type="character" w:customStyle="1" w:styleId="365">
    <w:name w:val="表正文 Char"/>
    <w:aliases w:val="四号 Char,ALT+Z Char,标题4 Char,正文不缩进 Char,首行缩进 Char,正文编号 Char,特点标题 Char,正文（段落文字） Char,Justified Char,plain paragraph Char,pp Char,Block text Char,t Char,BODY TEXT Char,text Char,sp Char,sbs Char,block text Char,bt4 Char,body text4 Char,正文缩进 Char"/>
    <w:link w:val="366"/>
    <w:qFormat/>
    <w:uiPriority w:val="0"/>
    <w:rPr>
      <w:rFonts w:eastAsia="宋体"/>
      <w:kern w:val="2"/>
      <w:sz w:val="21"/>
      <w:lang w:val="en-US" w:eastAsia="zh-CN" w:bidi="ar-SA"/>
    </w:rPr>
  </w:style>
  <w:style w:type="paragraph" w:customStyle="1" w:styleId="366">
    <w:name w:val="标题4"/>
    <w:basedOn w:val="1"/>
    <w:link w:val="365"/>
    <w:qFormat/>
    <w:uiPriority w:val="0"/>
    <w:pPr>
      <w:spacing w:beforeLines="50" w:afterLines="50" w:line="360" w:lineRule="auto"/>
      <w:ind w:left="851" w:hanging="851"/>
      <w:outlineLvl w:val="3"/>
    </w:pPr>
    <w:rPr>
      <w:szCs w:val="20"/>
    </w:rPr>
  </w:style>
  <w:style w:type="character" w:customStyle="1" w:styleId="367">
    <w:name w:val="自定义正文 Char Char Char"/>
    <w:link w:val="368"/>
    <w:qFormat/>
    <w:uiPriority w:val="0"/>
    <w:rPr>
      <w:rFonts w:ascii="宋体" w:hAnsi="宋体"/>
      <w:kern w:val="2"/>
      <w:sz w:val="24"/>
      <w:szCs w:val="28"/>
    </w:rPr>
  </w:style>
  <w:style w:type="paragraph" w:customStyle="1" w:styleId="368">
    <w:name w:val="自定义正文 Char Char"/>
    <w:basedOn w:val="1"/>
    <w:next w:val="1"/>
    <w:link w:val="367"/>
    <w:qFormat/>
    <w:uiPriority w:val="0"/>
    <w:pPr>
      <w:widowControl/>
      <w:spacing w:line="420" w:lineRule="exact"/>
      <w:ind w:firstLine="480" w:firstLineChars="200"/>
      <w:jc w:val="left"/>
    </w:pPr>
    <w:rPr>
      <w:rFonts w:ascii="宋体" w:hAnsi="宋体"/>
      <w:sz w:val="24"/>
      <w:szCs w:val="28"/>
    </w:rPr>
  </w:style>
  <w:style w:type="character" w:customStyle="1" w:styleId="369">
    <w:name w:val="￥正文 Char"/>
    <w:link w:val="370"/>
    <w:qFormat/>
    <w:uiPriority w:val="0"/>
    <w:rPr>
      <w:rFonts w:ascii="宋体" w:hAnsi="Calibri"/>
      <w:kern w:val="2"/>
      <w:sz w:val="24"/>
      <w:szCs w:val="22"/>
    </w:rPr>
  </w:style>
  <w:style w:type="paragraph" w:customStyle="1" w:styleId="370">
    <w:name w:val="￥正文"/>
    <w:basedOn w:val="1"/>
    <w:link w:val="369"/>
    <w:qFormat/>
    <w:uiPriority w:val="0"/>
    <w:pPr>
      <w:spacing w:after="50" w:afterLines="50"/>
      <w:ind w:firstLine="200" w:firstLineChars="200"/>
    </w:pPr>
    <w:rPr>
      <w:rFonts w:ascii="宋体" w:hAnsi="Calibri"/>
      <w:sz w:val="24"/>
      <w:szCs w:val="22"/>
    </w:rPr>
  </w:style>
  <w:style w:type="character" w:customStyle="1" w:styleId="371">
    <w:name w:val="NormalCharacter"/>
    <w:uiPriority w:val="0"/>
  </w:style>
  <w:style w:type="character" w:customStyle="1" w:styleId="372">
    <w:name w:val="纯文本 Char1_4"/>
    <w:uiPriority w:val="0"/>
    <w:rPr>
      <w:rFonts w:ascii="宋体" w:hAnsi="Courier New"/>
      <w:kern w:val="2"/>
      <w:sz w:val="21"/>
    </w:rPr>
  </w:style>
  <w:style w:type="character" w:customStyle="1" w:styleId="373">
    <w:name w:val="__正文 Char"/>
    <w:link w:val="374"/>
    <w:uiPriority w:val="0"/>
    <w:rPr>
      <w:rFonts w:ascii="Calibri" w:hAnsi="Calibri"/>
      <w:kern w:val="2"/>
      <w:sz w:val="28"/>
      <w:szCs w:val="28"/>
    </w:rPr>
  </w:style>
  <w:style w:type="paragraph" w:customStyle="1" w:styleId="374">
    <w:name w:val="__正文"/>
    <w:basedOn w:val="1"/>
    <w:link w:val="373"/>
    <w:uiPriority w:val="0"/>
    <w:pPr>
      <w:widowControl/>
      <w:spacing w:line="360" w:lineRule="auto"/>
      <w:ind w:firstLine="560" w:firstLineChars="200"/>
      <w:jc w:val="left"/>
    </w:pPr>
    <w:rPr>
      <w:rFonts w:ascii="Calibri" w:hAnsi="Calibri"/>
      <w:sz w:val="28"/>
      <w:szCs w:val="28"/>
    </w:rPr>
  </w:style>
  <w:style w:type="character" w:customStyle="1" w:styleId="375">
    <w:name w:val="标题 5 字符"/>
    <w:uiPriority w:val="0"/>
    <w:rPr>
      <w:rFonts w:eastAsia="黑体"/>
      <w:bCs/>
      <w:kern w:val="2"/>
      <w:sz w:val="28"/>
      <w:szCs w:val="28"/>
    </w:rPr>
  </w:style>
  <w:style w:type="character" w:customStyle="1" w:styleId="376">
    <w:name w:val="表1 Char"/>
    <w:link w:val="377"/>
    <w:uiPriority w:val="0"/>
    <w:rPr>
      <w:rFonts w:ascii="Arial" w:hAnsi="Arial" w:cs="宋体"/>
    </w:rPr>
  </w:style>
  <w:style w:type="paragraph" w:customStyle="1" w:styleId="377">
    <w:name w:val="表1"/>
    <w:basedOn w:val="1"/>
    <w:link w:val="376"/>
    <w:qFormat/>
    <w:uiPriority w:val="0"/>
    <w:pPr>
      <w:spacing w:line="360" w:lineRule="auto"/>
      <w:ind w:left="4247" w:hanging="420"/>
      <w:jc w:val="center"/>
    </w:pPr>
    <w:rPr>
      <w:rFonts w:ascii="Arial" w:hAnsi="Arial" w:cs="宋体"/>
      <w:kern w:val="0"/>
      <w:sz w:val="20"/>
      <w:szCs w:val="20"/>
    </w:rPr>
  </w:style>
  <w:style w:type="character" w:customStyle="1" w:styleId="378">
    <w:name w:val="Default Char"/>
    <w:link w:val="379"/>
    <w:uiPriority w:val="0"/>
    <w:rPr>
      <w:rFonts w:ascii="华文细黑" w:eastAsia="华文细黑" w:cs="华文细黑"/>
      <w:color w:val="000000"/>
      <w:sz w:val="24"/>
      <w:szCs w:val="24"/>
    </w:rPr>
  </w:style>
  <w:style w:type="paragraph" w:customStyle="1" w:styleId="379">
    <w:name w:val="Default"/>
    <w:link w:val="378"/>
    <w:qFormat/>
    <w:uiPriority w:val="0"/>
    <w:pPr>
      <w:widowControl w:val="0"/>
      <w:autoSpaceDE w:val="0"/>
      <w:autoSpaceDN w:val="0"/>
      <w:adjustRightInd w:val="0"/>
    </w:pPr>
    <w:rPr>
      <w:rFonts w:ascii="华文细黑" w:eastAsia="华文细黑" w:cs="华文细黑"/>
      <w:color w:val="000000"/>
      <w:sz w:val="24"/>
      <w:szCs w:val="24"/>
      <w:lang w:val="en-US" w:eastAsia="zh-CN" w:bidi="ar-SA"/>
    </w:rPr>
  </w:style>
  <w:style w:type="character" w:customStyle="1" w:styleId="380">
    <w:name w:val="标题 7 字符1"/>
    <w:uiPriority w:val="0"/>
    <w:rPr>
      <w:rFonts w:ascii="Times New Roman" w:hAnsi="Times New Roman" w:eastAsia="宋体"/>
      <w:bCs/>
      <w:sz w:val="24"/>
      <w:szCs w:val="24"/>
      <w:lang w:eastAsia="en-US"/>
    </w:rPr>
  </w:style>
  <w:style w:type="character" w:customStyle="1" w:styleId="381">
    <w:name w:val="正文1 Char"/>
    <w:link w:val="382"/>
    <w:uiPriority w:val="0"/>
    <w:rPr>
      <w:rFonts w:ascii="宋体"/>
      <w:sz w:val="24"/>
    </w:rPr>
  </w:style>
  <w:style w:type="paragraph" w:customStyle="1" w:styleId="382">
    <w:name w:val="正文1"/>
    <w:basedOn w:val="1"/>
    <w:link w:val="381"/>
    <w:qFormat/>
    <w:uiPriority w:val="0"/>
    <w:pPr>
      <w:adjustRightInd w:val="0"/>
      <w:spacing w:line="360" w:lineRule="atLeast"/>
      <w:jc w:val="left"/>
      <w:textAlignment w:val="baseline"/>
    </w:pPr>
    <w:rPr>
      <w:rFonts w:ascii="宋体"/>
      <w:kern w:val="0"/>
      <w:sz w:val="24"/>
      <w:szCs w:val="20"/>
    </w:rPr>
  </w:style>
  <w:style w:type="character" w:customStyle="1" w:styleId="383">
    <w:name w:val="表格正文 Char"/>
    <w:link w:val="384"/>
    <w:uiPriority w:val="0"/>
    <w:rPr>
      <w:kern w:val="44"/>
      <w:sz w:val="21"/>
      <w:lang w:val="zh-CN"/>
    </w:rPr>
  </w:style>
  <w:style w:type="paragraph" w:customStyle="1" w:styleId="384">
    <w:name w:val="表格正文"/>
    <w:basedOn w:val="4"/>
    <w:link w:val="383"/>
    <w:qFormat/>
    <w:uiPriority w:val="0"/>
    <w:pPr>
      <w:keepLines/>
      <w:widowControl/>
      <w:autoSpaceDE/>
      <w:autoSpaceDN/>
      <w:spacing w:beforeLines="100" w:afterLines="100" w:line="240" w:lineRule="auto"/>
      <w:textAlignment w:val="auto"/>
    </w:pPr>
    <w:rPr>
      <w:rFonts w:ascii="Times New Roman" w:eastAsia="宋体"/>
      <w:b w:val="0"/>
      <w:kern w:val="44"/>
      <w:sz w:val="21"/>
      <w:szCs w:val="20"/>
      <w:lang w:val="zh-CN"/>
    </w:rPr>
  </w:style>
  <w:style w:type="character" w:customStyle="1" w:styleId="385">
    <w:name w:val="正文首行缩进 字符"/>
    <w:uiPriority w:val="0"/>
    <w:rPr>
      <w:rFonts w:hint="default" w:ascii="Times New Roman" w:hAnsi="Times New Roman" w:cs="Times New Roman"/>
      <w:kern w:val="2"/>
      <w:sz w:val="21"/>
      <w:szCs w:val="24"/>
    </w:rPr>
  </w:style>
  <w:style w:type="character" w:customStyle="1" w:styleId="386">
    <w:name w:val="样式 首行缩进:  0 字符 Char"/>
    <w:link w:val="387"/>
    <w:qFormat/>
    <w:locked/>
    <w:uiPriority w:val="0"/>
    <w:rPr>
      <w:sz w:val="24"/>
      <w:szCs w:val="21"/>
    </w:rPr>
  </w:style>
  <w:style w:type="paragraph" w:customStyle="1" w:styleId="387">
    <w:name w:val="样式 首行缩进:  0 字符"/>
    <w:basedOn w:val="1"/>
    <w:link w:val="386"/>
    <w:qFormat/>
    <w:uiPriority w:val="0"/>
    <w:pPr>
      <w:spacing w:line="360" w:lineRule="auto"/>
      <w:ind w:firstLine="200" w:firstLineChars="200"/>
    </w:pPr>
    <w:rPr>
      <w:kern w:val="0"/>
      <w:sz w:val="24"/>
      <w:szCs w:val="21"/>
    </w:rPr>
  </w:style>
  <w:style w:type="character" w:customStyle="1" w:styleId="388">
    <w:name w:val="尾注文本 字符"/>
    <w:uiPriority w:val="0"/>
    <w:rPr>
      <w:rFonts w:ascii="Times New Roman" w:hAnsi="Times New Roman" w:eastAsia="宋体"/>
      <w:sz w:val="24"/>
      <w:szCs w:val="21"/>
    </w:rPr>
  </w:style>
  <w:style w:type="character" w:customStyle="1" w:styleId="389">
    <w:name w:val="标题 8 字符"/>
    <w:uiPriority w:val="0"/>
    <w:rPr>
      <w:kern w:val="2"/>
      <w:sz w:val="24"/>
      <w:szCs w:val="24"/>
      <w:lang w:eastAsia="en-US"/>
    </w:rPr>
  </w:style>
  <w:style w:type="character" w:customStyle="1" w:styleId="390">
    <w:name w:val="正文文本 字符1"/>
    <w:uiPriority w:val="0"/>
    <w:rPr>
      <w:rFonts w:ascii="Arial" w:hAnsi="Arial" w:eastAsia="宋体" w:cs="宋体"/>
      <w:sz w:val="24"/>
      <w:szCs w:val="20"/>
    </w:rPr>
  </w:style>
  <w:style w:type="character" w:customStyle="1" w:styleId="391">
    <w:name w:val="列出段落 字符"/>
    <w:qFormat/>
    <w:uiPriority w:val="34"/>
    <w:rPr>
      <w:kern w:val="2"/>
      <w:sz w:val="24"/>
    </w:rPr>
  </w:style>
  <w:style w:type="character" w:customStyle="1" w:styleId="392">
    <w:name w:val="编号，小四 Char"/>
    <w:link w:val="393"/>
    <w:uiPriority w:val="0"/>
    <w:rPr>
      <w:rFonts w:ascii="Arial" w:hAnsi="Arial" w:cs="宋体"/>
      <w:sz w:val="24"/>
    </w:rPr>
  </w:style>
  <w:style w:type="paragraph" w:customStyle="1" w:styleId="393">
    <w:name w:val="编号，小四"/>
    <w:basedOn w:val="1"/>
    <w:link w:val="392"/>
    <w:qFormat/>
    <w:uiPriority w:val="0"/>
    <w:pPr>
      <w:spacing w:line="360" w:lineRule="auto"/>
    </w:pPr>
    <w:rPr>
      <w:rFonts w:ascii="Arial" w:hAnsi="Arial" w:cs="宋体"/>
      <w:kern w:val="0"/>
      <w:sz w:val="24"/>
      <w:szCs w:val="20"/>
    </w:rPr>
  </w:style>
  <w:style w:type="character" w:customStyle="1" w:styleId="394">
    <w:name w:val="标题 1 字符"/>
    <w:uiPriority w:val="0"/>
    <w:rPr>
      <w:rFonts w:eastAsia="黑体"/>
      <w:bCs/>
      <w:sz w:val="44"/>
      <w:szCs w:val="44"/>
    </w:rPr>
  </w:style>
  <w:style w:type="character" w:customStyle="1" w:styleId="395">
    <w:name w:val="*正文 Char"/>
    <w:link w:val="396"/>
    <w:uiPriority w:val="0"/>
    <w:rPr>
      <w:sz w:val="24"/>
      <w:szCs w:val="24"/>
      <w:lang w:val="zh-CN"/>
    </w:rPr>
  </w:style>
  <w:style w:type="paragraph" w:customStyle="1" w:styleId="396">
    <w:name w:val="*正文"/>
    <w:basedOn w:val="1"/>
    <w:link w:val="395"/>
    <w:qFormat/>
    <w:uiPriority w:val="0"/>
    <w:pPr>
      <w:spacing w:line="360" w:lineRule="auto"/>
      <w:ind w:firstLine="200" w:firstLineChars="200"/>
    </w:pPr>
    <w:rPr>
      <w:kern w:val="0"/>
      <w:sz w:val="24"/>
      <w:lang w:val="zh-CN"/>
    </w:rPr>
  </w:style>
  <w:style w:type="character" w:customStyle="1" w:styleId="397">
    <w:name w:val="尾注文本 Char1"/>
    <w:link w:val="33"/>
    <w:uiPriority w:val="0"/>
    <w:rPr>
      <w:rFonts w:ascii="Arial" w:hAnsi="Arial" w:cs="宋体"/>
      <w:sz w:val="24"/>
    </w:rPr>
  </w:style>
  <w:style w:type="character" w:customStyle="1" w:styleId="398">
    <w:name w:val="标题 字符"/>
    <w:uiPriority w:val="0"/>
    <w:rPr>
      <w:rFonts w:ascii="等线 Light" w:hAnsi="等线 Light" w:eastAsia="等线 Light" w:cs="Times New Roman"/>
      <w:b/>
      <w:bCs/>
      <w:sz w:val="32"/>
      <w:szCs w:val="32"/>
    </w:rPr>
  </w:style>
  <w:style w:type="character" w:customStyle="1" w:styleId="399">
    <w:name w:val="日期 字符"/>
    <w:semiHidden/>
    <w:uiPriority w:val="99"/>
    <w:rPr>
      <w:rFonts w:ascii="Times New Roman" w:hAnsi="Times New Roman" w:eastAsia="宋体"/>
      <w:sz w:val="24"/>
      <w:szCs w:val="21"/>
    </w:rPr>
  </w:style>
  <w:style w:type="character" w:customStyle="1" w:styleId="400">
    <w:name w:val="批注文字 字符1"/>
    <w:semiHidden/>
    <w:uiPriority w:val="0"/>
    <w:rPr>
      <w:rFonts w:ascii="Arial" w:hAnsi="Arial" w:eastAsia="宋体" w:cs="宋体"/>
      <w:sz w:val="24"/>
      <w:szCs w:val="20"/>
    </w:rPr>
  </w:style>
  <w:style w:type="character" w:customStyle="1" w:styleId="401">
    <w:name w:val="标题 6 字符"/>
    <w:uiPriority w:val="0"/>
    <w:rPr>
      <w:rFonts w:eastAsia="黑体"/>
      <w:bCs/>
      <w:kern w:val="2"/>
      <w:sz w:val="24"/>
      <w:szCs w:val="21"/>
    </w:rPr>
  </w:style>
  <w:style w:type="character" w:customStyle="1" w:styleId="402">
    <w:name w:val="标题 字符1"/>
    <w:uiPriority w:val="0"/>
    <w:rPr>
      <w:rFonts w:eastAsia="黑体"/>
      <w:b/>
      <w:bCs/>
      <w:sz w:val="84"/>
      <w:szCs w:val="24"/>
    </w:rPr>
  </w:style>
  <w:style w:type="character" w:customStyle="1" w:styleId="403">
    <w:name w:val="内容文本 Char"/>
    <w:link w:val="404"/>
    <w:uiPriority w:val="0"/>
    <w:rPr>
      <w:rFonts w:ascii="宋体" w:hAnsi="宋体"/>
      <w:sz w:val="24"/>
      <w:szCs w:val="24"/>
      <w:lang w:val="zh-CN" w:eastAsia="en-US" w:bidi="en-US"/>
    </w:rPr>
  </w:style>
  <w:style w:type="paragraph" w:customStyle="1" w:styleId="404">
    <w:name w:val="内容文本"/>
    <w:basedOn w:val="315"/>
    <w:link w:val="403"/>
    <w:qFormat/>
    <w:uiPriority w:val="0"/>
    <w:pPr>
      <w:spacing w:line="360" w:lineRule="auto"/>
      <w:ind w:firstLine="200"/>
      <w:contextualSpacing/>
      <w:jc w:val="left"/>
    </w:pPr>
    <w:rPr>
      <w:rFonts w:ascii="宋体" w:hAnsi="宋体"/>
      <w:kern w:val="0"/>
      <w:sz w:val="24"/>
      <w:szCs w:val="24"/>
      <w:lang w:val="zh-CN" w:eastAsia="en-US" w:bidi="en-US"/>
    </w:rPr>
  </w:style>
  <w:style w:type="character" w:customStyle="1" w:styleId="405">
    <w:name w:val="日期 字符1"/>
    <w:uiPriority w:val="99"/>
    <w:rPr>
      <w:rFonts w:ascii="Arial" w:hAnsi="Arial" w:eastAsia="宋体" w:cs="宋体"/>
      <w:sz w:val="24"/>
      <w:szCs w:val="20"/>
    </w:rPr>
  </w:style>
  <w:style w:type="character" w:customStyle="1" w:styleId="406">
    <w:name w:val="标题 7 字符"/>
    <w:uiPriority w:val="0"/>
    <w:rPr>
      <w:bCs/>
      <w:kern w:val="2"/>
      <w:sz w:val="24"/>
      <w:szCs w:val="24"/>
      <w:lang w:eastAsia="en-US"/>
    </w:rPr>
  </w:style>
  <w:style w:type="character" w:customStyle="1" w:styleId="407">
    <w:name w:val="批注主题 字符1"/>
    <w:semiHidden/>
    <w:uiPriority w:val="0"/>
    <w:rPr>
      <w:rFonts w:ascii="Arial" w:hAnsi="Arial" w:eastAsia="宋体" w:cs="宋体"/>
      <w:b/>
      <w:bCs/>
      <w:sz w:val="24"/>
      <w:szCs w:val="20"/>
    </w:rPr>
  </w:style>
  <w:style w:type="character" w:customStyle="1" w:styleId="408">
    <w:name w:val="批注文字 字符"/>
    <w:semiHidden/>
    <w:uiPriority w:val="0"/>
    <w:rPr>
      <w:rFonts w:ascii="Times New Roman" w:hAnsi="Times New Roman" w:eastAsia="宋体"/>
      <w:sz w:val="24"/>
      <w:szCs w:val="21"/>
    </w:rPr>
  </w:style>
  <w:style w:type="character" w:customStyle="1" w:styleId="409">
    <w:name w:val="文档结构图 字符"/>
    <w:semiHidden/>
    <w:uiPriority w:val="0"/>
    <w:rPr>
      <w:rFonts w:ascii="Microsoft YaHei UI" w:hAnsi="Times New Roman" w:eastAsia="Microsoft YaHei UI"/>
      <w:sz w:val="18"/>
      <w:szCs w:val="18"/>
    </w:rPr>
  </w:style>
  <w:style w:type="character" w:customStyle="1" w:styleId="410">
    <w:name w:val="标题 6 字符1"/>
    <w:uiPriority w:val="0"/>
    <w:rPr>
      <w:rFonts w:ascii="Times New Roman" w:hAnsi="Times New Roman" w:eastAsia="黑体"/>
      <w:bCs/>
      <w:sz w:val="24"/>
    </w:rPr>
  </w:style>
  <w:style w:type="character" w:customStyle="1" w:styleId="411">
    <w:name w:val="标题 5 字符1"/>
    <w:uiPriority w:val="0"/>
    <w:rPr>
      <w:rFonts w:ascii="Times New Roman" w:hAnsi="Times New Roman" w:eastAsia="黑体"/>
      <w:bCs/>
      <w:sz w:val="28"/>
      <w:szCs w:val="28"/>
    </w:rPr>
  </w:style>
  <w:style w:type="character" w:customStyle="1" w:styleId="412">
    <w:name w:val="4级 Char"/>
    <w:link w:val="413"/>
    <w:uiPriority w:val="0"/>
    <w:rPr>
      <w:rFonts w:ascii="宋体" w:hAnsi="宋体"/>
      <w:b/>
      <w:kern w:val="2"/>
      <w:sz w:val="28"/>
      <w:szCs w:val="22"/>
    </w:rPr>
  </w:style>
  <w:style w:type="paragraph" w:customStyle="1" w:styleId="413">
    <w:name w:val="4级"/>
    <w:basedOn w:val="414"/>
    <w:link w:val="412"/>
    <w:qFormat/>
    <w:uiPriority w:val="0"/>
    <w:pPr>
      <w:spacing w:beforeLines="0" w:afterLines="0"/>
      <w:ind w:left="0" w:firstLine="0"/>
      <w:outlineLvl w:val="3"/>
    </w:pPr>
    <w:rPr>
      <w:rFonts w:ascii="宋体"/>
      <w:sz w:val="28"/>
      <w:szCs w:val="22"/>
    </w:rPr>
  </w:style>
  <w:style w:type="paragraph" w:customStyle="1" w:styleId="414">
    <w:name w:val="标题2"/>
    <w:basedOn w:val="1"/>
    <w:qFormat/>
    <w:uiPriority w:val="0"/>
    <w:pPr>
      <w:spacing w:beforeLines="50" w:afterLines="50" w:line="360" w:lineRule="auto"/>
      <w:ind w:left="567" w:hanging="567"/>
      <w:outlineLvl w:val="1"/>
    </w:pPr>
    <w:rPr>
      <w:rFonts w:hAnsi="宋体"/>
      <w:b/>
      <w:sz w:val="30"/>
      <w:szCs w:val="30"/>
    </w:rPr>
  </w:style>
  <w:style w:type="character" w:customStyle="1" w:styleId="415">
    <w:name w:val="列出段落 字符1"/>
    <w:qFormat/>
    <w:uiPriority w:val="0"/>
    <w:rPr>
      <w:rFonts w:ascii="Arial" w:hAnsi="Arial" w:eastAsia="宋体" w:cs="宋体"/>
      <w:sz w:val="24"/>
      <w:szCs w:val="20"/>
    </w:rPr>
  </w:style>
  <w:style w:type="character" w:customStyle="1" w:styleId="416">
    <w:name w:val="标题 9 字符"/>
    <w:uiPriority w:val="0"/>
    <w:rPr>
      <w:kern w:val="2"/>
      <w:sz w:val="24"/>
      <w:szCs w:val="21"/>
      <w:lang w:eastAsia="en-US"/>
    </w:rPr>
  </w:style>
  <w:style w:type="character" w:customStyle="1" w:styleId="417">
    <w:name w:val="标题 8 字符1"/>
    <w:uiPriority w:val="0"/>
    <w:rPr>
      <w:rFonts w:ascii="Times New Roman" w:hAnsi="Times New Roman" w:eastAsia="宋体" w:cs="Times New Roman"/>
      <w:sz w:val="24"/>
      <w:szCs w:val="24"/>
      <w:lang w:eastAsia="en-US"/>
    </w:rPr>
  </w:style>
  <w:style w:type="character" w:customStyle="1" w:styleId="418">
    <w:name w:val="正文（1） Char"/>
    <w:link w:val="419"/>
    <w:uiPriority w:val="0"/>
    <w:rPr>
      <w:sz w:val="24"/>
      <w:szCs w:val="21"/>
    </w:rPr>
  </w:style>
  <w:style w:type="paragraph" w:customStyle="1" w:styleId="419">
    <w:name w:val="正文（1）"/>
    <w:basedOn w:val="1"/>
    <w:link w:val="418"/>
    <w:qFormat/>
    <w:uiPriority w:val="0"/>
    <w:pPr>
      <w:spacing w:line="360" w:lineRule="auto"/>
    </w:pPr>
    <w:rPr>
      <w:kern w:val="0"/>
      <w:sz w:val="24"/>
      <w:szCs w:val="21"/>
    </w:rPr>
  </w:style>
  <w:style w:type="character" w:customStyle="1" w:styleId="420">
    <w:name w:val="标题 9 字符1"/>
    <w:uiPriority w:val="0"/>
    <w:rPr>
      <w:rFonts w:ascii="Times New Roman" w:hAnsi="Times New Roman" w:eastAsia="宋体" w:cs="Times New Roman"/>
      <w:sz w:val="24"/>
      <w:lang w:eastAsia="en-US"/>
    </w:rPr>
  </w:style>
  <w:style w:type="character" w:customStyle="1" w:styleId="421">
    <w:name w:val="标题 1 字符1"/>
    <w:uiPriority w:val="0"/>
    <w:rPr>
      <w:rFonts w:ascii="Times New Roman" w:hAnsi="Times New Roman" w:eastAsia="黑体"/>
      <w:bCs/>
      <w:kern w:val="0"/>
      <w:sz w:val="44"/>
      <w:szCs w:val="44"/>
    </w:rPr>
  </w:style>
  <w:style w:type="character" w:customStyle="1" w:styleId="422">
    <w:name w:val="题注 字符1"/>
    <w:qFormat/>
    <w:locked/>
    <w:uiPriority w:val="35"/>
    <w:rPr>
      <w:rFonts w:ascii="Times New Roman" w:hAnsi="Times New Roman" w:eastAsia="宋体"/>
    </w:rPr>
  </w:style>
  <w:style w:type="character" w:customStyle="1" w:styleId="423">
    <w:name w:val="标题 4 字符"/>
    <w:uiPriority w:val="9"/>
    <w:rPr>
      <w:rFonts w:eastAsia="黑体"/>
      <w:bCs/>
      <w:kern w:val="2"/>
      <w:sz w:val="30"/>
      <w:szCs w:val="28"/>
      <w:lang w:val="zh-CN"/>
    </w:rPr>
  </w:style>
  <w:style w:type="character" w:customStyle="1" w:styleId="424">
    <w:name w:val="批注框文本 字符1"/>
    <w:semiHidden/>
    <w:uiPriority w:val="0"/>
    <w:rPr>
      <w:rFonts w:ascii="Arial" w:hAnsi="Arial" w:eastAsia="宋体" w:cs="宋体"/>
      <w:sz w:val="18"/>
      <w:szCs w:val="18"/>
    </w:rPr>
  </w:style>
  <w:style w:type="character" w:customStyle="1" w:styleId="425">
    <w:name w:val="页眉 字符1"/>
    <w:uiPriority w:val="99"/>
    <w:rPr>
      <w:rFonts w:ascii="Arial" w:hAnsi="Arial" w:eastAsia="宋体" w:cs="宋体"/>
      <w:sz w:val="18"/>
      <w:szCs w:val="18"/>
    </w:rPr>
  </w:style>
  <w:style w:type="character" w:customStyle="1" w:styleId="426">
    <w:name w:val="正文1） Char"/>
    <w:link w:val="427"/>
    <w:qFormat/>
    <w:uiPriority w:val="0"/>
    <w:rPr>
      <w:kern w:val="2"/>
      <w:sz w:val="24"/>
      <w:szCs w:val="21"/>
    </w:rPr>
  </w:style>
  <w:style w:type="paragraph" w:customStyle="1" w:styleId="427">
    <w:name w:val="正文1）"/>
    <w:basedOn w:val="384"/>
    <w:link w:val="426"/>
    <w:qFormat/>
    <w:uiPriority w:val="0"/>
    <w:pPr>
      <w:keepNext w:val="0"/>
      <w:keepLines w:val="0"/>
      <w:widowControl w:val="0"/>
      <w:numPr>
        <w:ilvl w:val="0"/>
        <w:numId w:val="3"/>
      </w:numPr>
      <w:tabs>
        <w:tab w:val="left" w:pos="0"/>
      </w:tabs>
      <w:spacing w:beforeLines="0" w:afterLines="0" w:line="360" w:lineRule="auto"/>
      <w:jc w:val="left"/>
      <w:outlineLvl w:val="9"/>
    </w:pPr>
    <w:rPr>
      <w:kern w:val="2"/>
      <w:sz w:val="24"/>
      <w:szCs w:val="21"/>
      <w:lang w:val="en-US"/>
    </w:rPr>
  </w:style>
  <w:style w:type="character" w:customStyle="1" w:styleId="428">
    <w:name w:val="标题 4 字符1"/>
    <w:uiPriority w:val="0"/>
    <w:rPr>
      <w:rFonts w:ascii="Times New Roman" w:hAnsi="Times New Roman" w:eastAsia="黑体"/>
      <w:bCs/>
      <w:sz w:val="30"/>
      <w:szCs w:val="28"/>
      <w:lang w:val="zh-CN" w:eastAsia="zh-CN"/>
    </w:rPr>
  </w:style>
  <w:style w:type="character" w:customStyle="1" w:styleId="429">
    <w:name w:val="fontstyle21"/>
    <w:uiPriority w:val="0"/>
    <w:rPr>
      <w:rFonts w:hint="default" w:ascii="TimesNewRoman" w:hAnsi="TimesNewRoman" w:eastAsia="宋体"/>
      <w:color w:val="000000"/>
      <w:sz w:val="22"/>
      <w:szCs w:val="22"/>
      <w:lang w:val="en-US" w:eastAsia="en-US" w:bidi="ar-SA"/>
    </w:rPr>
  </w:style>
  <w:style w:type="character" w:customStyle="1" w:styleId="430">
    <w:name w:val="3级 Char"/>
    <w:link w:val="431"/>
    <w:uiPriority w:val="0"/>
    <w:rPr>
      <w:rFonts w:ascii="宋体" w:hAnsi="宋体"/>
      <w:b/>
      <w:kern w:val="2"/>
      <w:sz w:val="28"/>
      <w:szCs w:val="22"/>
    </w:rPr>
  </w:style>
  <w:style w:type="paragraph" w:customStyle="1" w:styleId="431">
    <w:name w:val="3级"/>
    <w:basedOn w:val="414"/>
    <w:link w:val="430"/>
    <w:qFormat/>
    <w:uiPriority w:val="0"/>
    <w:pPr>
      <w:spacing w:beforeLines="0" w:afterLines="0"/>
      <w:ind w:left="0" w:firstLine="0"/>
      <w:outlineLvl w:val="2"/>
    </w:pPr>
    <w:rPr>
      <w:rFonts w:ascii="宋体"/>
      <w:sz w:val="28"/>
      <w:szCs w:val="22"/>
    </w:rPr>
  </w:style>
  <w:style w:type="character" w:customStyle="1" w:styleId="432">
    <w:name w:val="批注主题 字符"/>
    <w:semiHidden/>
    <w:uiPriority w:val="0"/>
    <w:rPr>
      <w:rFonts w:ascii="Times New Roman" w:hAnsi="Times New Roman" w:eastAsia="宋体"/>
      <w:b/>
      <w:bCs/>
      <w:sz w:val="24"/>
      <w:szCs w:val="21"/>
    </w:rPr>
  </w:style>
  <w:style w:type="character" w:customStyle="1" w:styleId="433">
    <w:name w:val="*我是正文的格式 字符"/>
    <w:link w:val="434"/>
    <w:uiPriority w:val="0"/>
    <w:rPr>
      <w:rFonts w:ascii="Arial" w:hAnsi="Arial" w:cs="宋体"/>
      <w:sz w:val="24"/>
      <w:lang w:val="zh-CN"/>
    </w:rPr>
  </w:style>
  <w:style w:type="paragraph" w:customStyle="1" w:styleId="434">
    <w:name w:val="*我是正文的格式"/>
    <w:basedOn w:val="1"/>
    <w:next w:val="3"/>
    <w:link w:val="433"/>
    <w:qFormat/>
    <w:uiPriority w:val="0"/>
    <w:pPr>
      <w:spacing w:line="360" w:lineRule="auto"/>
      <w:ind w:firstLine="560" w:firstLineChars="200"/>
    </w:pPr>
    <w:rPr>
      <w:rFonts w:ascii="Arial" w:hAnsi="Arial" w:cs="宋体"/>
      <w:kern w:val="0"/>
      <w:sz w:val="24"/>
      <w:szCs w:val="20"/>
      <w:lang w:val="zh-CN"/>
    </w:rPr>
  </w:style>
  <w:style w:type="character" w:customStyle="1" w:styleId="435">
    <w:name w:val="正文文本缩进 字符"/>
    <w:uiPriority w:val="99"/>
    <w:rPr>
      <w:rFonts w:ascii="Calibri" w:hAnsi="Calibri"/>
      <w:kern w:val="2"/>
      <w:sz w:val="24"/>
      <w:szCs w:val="22"/>
    </w:rPr>
  </w:style>
  <w:style w:type="character" w:customStyle="1" w:styleId="436">
    <w:name w:val="未处理的提及"/>
    <w:unhideWhenUsed/>
    <w:uiPriority w:val="99"/>
    <w:rPr>
      <w:color w:val="605E5C"/>
      <w:shd w:val="clear" w:color="auto" w:fill="E1DFDD"/>
    </w:rPr>
  </w:style>
  <w:style w:type="character" w:customStyle="1" w:styleId="437">
    <w:name w:val="正文（缩进） Char"/>
    <w:link w:val="438"/>
    <w:uiPriority w:val="0"/>
    <w:rPr>
      <w:rFonts w:ascii="Arial" w:hAnsi="Arial" w:eastAsia="仿宋" w:cs="Arial"/>
      <w:kern w:val="2"/>
      <w:sz w:val="24"/>
      <w:szCs w:val="24"/>
    </w:rPr>
  </w:style>
  <w:style w:type="paragraph" w:customStyle="1" w:styleId="438">
    <w:name w:val="正文（缩进）"/>
    <w:basedOn w:val="1"/>
    <w:link w:val="437"/>
    <w:uiPriority w:val="0"/>
    <w:pPr>
      <w:spacing w:beforeLines="50" w:afterLines="50" w:line="360" w:lineRule="auto"/>
      <w:ind w:firstLine="480" w:firstLineChars="200"/>
    </w:pPr>
    <w:rPr>
      <w:rFonts w:ascii="Arial" w:hAnsi="Arial" w:eastAsia="仿宋" w:cs="Arial"/>
      <w:sz w:val="24"/>
    </w:rPr>
  </w:style>
  <w:style w:type="character" w:customStyle="1" w:styleId="439">
    <w:name w:val="纯文本 字符"/>
    <w:qFormat/>
    <w:uiPriority w:val="0"/>
    <w:rPr>
      <w:rFonts w:ascii="宋体" w:hAnsi="Courier New"/>
      <w:kern w:val="2"/>
      <w:sz w:val="21"/>
    </w:rPr>
  </w:style>
  <w:style w:type="character" w:customStyle="1" w:styleId="440">
    <w:name w:val="普通(网站) 字符"/>
    <w:uiPriority w:val="0"/>
    <w:rPr>
      <w:rFonts w:ascii="宋体" w:hAnsi="宋体"/>
      <w:sz w:val="24"/>
      <w:szCs w:val="24"/>
    </w:rPr>
  </w:style>
  <w:style w:type="character" w:customStyle="1" w:styleId="441">
    <w:name w:val="表格(五号) Char"/>
    <w:link w:val="442"/>
    <w:qFormat/>
    <w:locked/>
    <w:uiPriority w:val="0"/>
    <w:rPr>
      <w:rFonts w:eastAsia="Times New Roman"/>
      <w:kern w:val="2"/>
      <w:sz w:val="21"/>
      <w:szCs w:val="21"/>
      <w:lang w:val="zh-CN"/>
    </w:rPr>
  </w:style>
  <w:style w:type="paragraph" w:customStyle="1" w:styleId="442">
    <w:name w:val="表格(五号)"/>
    <w:basedOn w:val="1"/>
    <w:link w:val="441"/>
    <w:qFormat/>
    <w:uiPriority w:val="0"/>
    <w:pPr>
      <w:snapToGrid w:val="0"/>
      <w:spacing w:before="60" w:after="60"/>
      <w:ind w:left="11"/>
      <w:jc w:val="center"/>
    </w:pPr>
    <w:rPr>
      <w:rFonts w:eastAsia="Times New Roman"/>
      <w:szCs w:val="21"/>
      <w:lang w:val="zh-CN"/>
    </w:rPr>
  </w:style>
  <w:style w:type="paragraph" w:customStyle="1" w:styleId="443">
    <w:name w:val="font6"/>
    <w:basedOn w:val="1"/>
    <w:uiPriority w:val="0"/>
    <w:pPr>
      <w:widowControl/>
      <w:spacing w:before="100" w:beforeAutospacing="1" w:after="100" w:afterAutospacing="1"/>
      <w:jc w:val="left"/>
    </w:pPr>
    <w:rPr>
      <w:rFonts w:hint="eastAsia" w:ascii="宋体" w:hAnsi="宋体"/>
      <w:kern w:val="0"/>
      <w:sz w:val="20"/>
      <w:szCs w:val="20"/>
    </w:rPr>
  </w:style>
  <w:style w:type="paragraph" w:customStyle="1" w:styleId="444">
    <w:name w:val="纯文本2"/>
    <w:basedOn w:val="1"/>
    <w:qFormat/>
    <w:uiPriority w:val="0"/>
    <w:pPr>
      <w:adjustRightInd w:val="0"/>
    </w:pPr>
    <w:rPr>
      <w:rFonts w:hint="eastAsia" w:ascii="宋体" w:hAnsi="Courier New" w:eastAsia="楷体_GB2312"/>
      <w:sz w:val="28"/>
      <w:szCs w:val="20"/>
    </w:rPr>
  </w:style>
  <w:style w:type="paragraph" w:customStyle="1" w:styleId="445">
    <w:name w:val="xl69"/>
    <w:basedOn w:val="1"/>
    <w:qFormat/>
    <w:uiPriority w:val="0"/>
    <w:pPr>
      <w:widowControl/>
      <w:pBdr>
        <w:top w:val="single" w:color="auto" w:sz="4" w:space="0"/>
        <w:bottom w:val="single" w:color="auto" w:sz="8" w:space="0"/>
      </w:pBdr>
      <w:spacing w:before="100" w:beforeAutospacing="1" w:after="100" w:afterAutospacing="1"/>
      <w:jc w:val="left"/>
    </w:pPr>
    <w:rPr>
      <w:b/>
      <w:bCs/>
      <w:kern w:val="0"/>
      <w:sz w:val="20"/>
      <w:szCs w:val="20"/>
    </w:rPr>
  </w:style>
  <w:style w:type="paragraph" w:customStyle="1" w:styleId="446">
    <w:name w:val="Char Char Char Char Char1 Char Char Char Char Char Char"/>
    <w:basedOn w:val="1"/>
    <w:qFormat/>
    <w:uiPriority w:val="0"/>
    <w:pPr>
      <w:widowControl/>
      <w:jc w:val="left"/>
    </w:pPr>
  </w:style>
  <w:style w:type="paragraph" w:customStyle="1" w:styleId="447">
    <w:name w:val="xl2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448">
    <w:name w:val="B类文档标题1"/>
    <w:basedOn w:val="4"/>
    <w:qFormat/>
    <w:uiPriority w:val="0"/>
    <w:pPr>
      <w:keepLines/>
      <w:tabs>
        <w:tab w:val="left" w:pos="425"/>
        <w:tab w:val="left" w:pos="840"/>
      </w:tabs>
      <w:autoSpaceDE/>
      <w:autoSpaceDN/>
      <w:spacing w:before="156" w:beforeLines="50" w:line="240" w:lineRule="auto"/>
      <w:ind w:left="840" w:hanging="420"/>
      <w:jc w:val="both"/>
      <w:textAlignment w:val="auto"/>
    </w:pPr>
    <w:rPr>
      <w:rFonts w:ascii="Arial" w:hAnsi="Arial" w:eastAsia="黑体"/>
      <w:b w:val="0"/>
      <w:bCs/>
      <w:kern w:val="44"/>
      <w:sz w:val="32"/>
      <w:szCs w:val="44"/>
    </w:rPr>
  </w:style>
  <w:style w:type="paragraph" w:customStyle="1" w:styleId="449">
    <w:name w:val="图注"/>
    <w:basedOn w:val="233"/>
    <w:qFormat/>
    <w:uiPriority w:val="99"/>
    <w:pPr>
      <w:spacing w:before="25"/>
    </w:pPr>
    <w:rPr>
      <w:sz w:val="18"/>
    </w:rPr>
  </w:style>
  <w:style w:type="paragraph" w:customStyle="1" w:styleId="450">
    <w:name w:val="xl63"/>
    <w:basedOn w:val="1"/>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451">
    <w:name w:val="_Style 5"/>
    <w:basedOn w:val="1"/>
    <w:qFormat/>
    <w:uiPriority w:val="0"/>
    <w:pPr>
      <w:ind w:firstLine="420"/>
    </w:pPr>
    <w:rPr>
      <w:rFonts w:ascii="Calibri" w:hAnsi="Calibri"/>
      <w:szCs w:val="22"/>
    </w:rPr>
  </w:style>
  <w:style w:type="paragraph" w:customStyle="1" w:styleId="452">
    <w:name w:val="正文标题1"/>
    <w:basedOn w:val="1"/>
    <w:qFormat/>
    <w:uiPriority w:val="0"/>
    <w:pPr>
      <w:spacing w:line="360" w:lineRule="auto"/>
    </w:pPr>
    <w:rPr>
      <w:rFonts w:ascii="Calibri" w:hAnsi="Calibri" w:eastAsia="仿宋"/>
      <w:b/>
      <w:sz w:val="24"/>
      <w:szCs w:val="22"/>
    </w:rPr>
  </w:style>
  <w:style w:type="paragraph" w:customStyle="1" w:styleId="453">
    <w:name w:val="纯文本1"/>
    <w:basedOn w:val="1"/>
    <w:qFormat/>
    <w:uiPriority w:val="0"/>
    <w:pPr>
      <w:adjustRightInd w:val="0"/>
      <w:jc w:val="left"/>
    </w:pPr>
    <w:rPr>
      <w:rFonts w:ascii="宋体" w:hAnsi="Courier New"/>
      <w:sz w:val="24"/>
      <w:szCs w:val="20"/>
    </w:rPr>
  </w:style>
  <w:style w:type="paragraph" w:customStyle="1" w:styleId="454">
    <w:name w:val="样式 段前: 7.8 磅 行距: 1.5 倍行距1"/>
    <w:basedOn w:val="1"/>
    <w:qFormat/>
    <w:uiPriority w:val="0"/>
    <w:pPr>
      <w:widowControl/>
      <w:spacing w:line="360" w:lineRule="auto"/>
      <w:ind w:firstLine="200" w:firstLineChars="200"/>
      <w:jc w:val="left"/>
    </w:pPr>
    <w:rPr>
      <w:rFonts w:cs="宋体"/>
      <w:szCs w:val="20"/>
    </w:rPr>
  </w:style>
  <w:style w:type="paragraph" w:customStyle="1" w:styleId="455">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456">
    <w:name w:val="xl47"/>
    <w:basedOn w:val="1"/>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457">
    <w:name w:val="Body Text 2"/>
    <w:basedOn w:val="1"/>
    <w:uiPriority w:val="0"/>
    <w:pPr>
      <w:widowControl/>
      <w:overflowPunct w:val="0"/>
      <w:autoSpaceDE w:val="0"/>
      <w:autoSpaceDN w:val="0"/>
      <w:adjustRightInd w:val="0"/>
      <w:ind w:left="720" w:hanging="720"/>
      <w:textAlignment w:val="baseline"/>
    </w:pPr>
    <w:rPr>
      <w:kern w:val="0"/>
      <w:sz w:val="24"/>
      <w:szCs w:val="20"/>
      <w:lang w:val="en-GB"/>
    </w:rPr>
  </w:style>
  <w:style w:type="paragraph" w:customStyle="1" w:styleId="458">
    <w:name w:val="无间隔2"/>
    <w:qFormat/>
    <w:uiPriority w:val="0"/>
    <w:pPr>
      <w:widowControl w:val="0"/>
    </w:pPr>
    <w:rPr>
      <w:rFonts w:ascii="宋体"/>
      <w:kern w:val="2"/>
      <w:sz w:val="24"/>
      <w:szCs w:val="22"/>
      <w:lang w:val="en-US" w:eastAsia="zh-CN" w:bidi="ar-SA"/>
    </w:rPr>
  </w:style>
  <w:style w:type="paragraph" w:customStyle="1" w:styleId="459">
    <w:name w:val="样式 题注 + 黑体 五号 居中"/>
    <w:basedOn w:val="18"/>
    <w:qFormat/>
    <w:uiPriority w:val="0"/>
    <w:pPr>
      <w:widowControl/>
      <w:spacing w:before="120" w:beforeLines="50" w:after="120" w:afterLines="50" w:line="360" w:lineRule="exact"/>
      <w:ind w:left="420" w:hanging="420"/>
      <w:jc w:val="center"/>
    </w:pPr>
    <w:rPr>
      <w:rFonts w:ascii="仿宋" w:hAnsi="仿宋" w:eastAsia="仿宋" w:cs="宋体"/>
      <w:b/>
      <w:sz w:val="24"/>
      <w:szCs w:val="24"/>
    </w:rPr>
  </w:style>
  <w:style w:type="paragraph" w:customStyle="1" w:styleId="460">
    <w:name w:val="xl59"/>
    <w:basedOn w:val="1"/>
    <w:uiPriority w:val="0"/>
    <w:pPr>
      <w:widowControl/>
      <w:pBdr>
        <w:top w:val="single" w:color="auto" w:sz="4" w:space="0"/>
        <w:left w:val="single" w:color="auto" w:sz="4" w:space="0"/>
        <w:bottom w:val="double" w:color="auto" w:sz="6" w:space="0"/>
        <w:right w:val="single" w:color="auto" w:sz="8" w:space="0"/>
      </w:pBdr>
      <w:spacing w:before="100" w:beforeAutospacing="1" w:after="100" w:afterAutospacing="1"/>
      <w:jc w:val="left"/>
    </w:pPr>
    <w:rPr>
      <w:b/>
      <w:bCs/>
      <w:kern w:val="0"/>
      <w:sz w:val="20"/>
      <w:szCs w:val="20"/>
    </w:rPr>
  </w:style>
  <w:style w:type="paragraph" w:customStyle="1" w:styleId="461">
    <w:name w:val="正文_2_1"/>
    <w:qFormat/>
    <w:uiPriority w:val="0"/>
    <w:pPr>
      <w:widowControl w:val="0"/>
      <w:jc w:val="both"/>
    </w:pPr>
    <w:rPr>
      <w:kern w:val="2"/>
      <w:sz w:val="21"/>
      <w:szCs w:val="24"/>
      <w:lang w:val="en-US" w:eastAsia="zh-CN" w:bidi="ar-SA"/>
    </w:rPr>
  </w:style>
  <w:style w:type="paragraph" w:customStyle="1" w:styleId="462">
    <w:name w:val="xl56"/>
    <w:basedOn w:val="1"/>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b/>
      <w:bCs/>
      <w:kern w:val="0"/>
      <w:sz w:val="22"/>
      <w:szCs w:val="22"/>
    </w:rPr>
  </w:style>
  <w:style w:type="paragraph" w:customStyle="1" w:styleId="463">
    <w:name w:val="样式 首行缩进:  2 字符"/>
    <w:basedOn w:val="1"/>
    <w:qFormat/>
    <w:uiPriority w:val="0"/>
    <w:pPr>
      <w:widowControl/>
      <w:tabs>
        <w:tab w:val="left" w:pos="480"/>
        <w:tab w:val="left" w:pos="540"/>
        <w:tab w:val="left" w:pos="720"/>
      </w:tabs>
      <w:spacing w:beforeLines="50"/>
      <w:ind w:firstLine="200" w:firstLineChars="200"/>
      <w:jc w:val="left"/>
    </w:pPr>
    <w:rPr>
      <w:rFonts w:ascii="宋体" w:hAnsi="宋体" w:cs="宋体"/>
      <w:bCs/>
      <w:color w:val="000000"/>
      <w:szCs w:val="20"/>
    </w:rPr>
  </w:style>
  <w:style w:type="paragraph" w:customStyle="1" w:styleId="464">
    <w:name w:val="列出段落3"/>
    <w:basedOn w:val="1"/>
    <w:qFormat/>
    <w:uiPriority w:val="99"/>
    <w:pPr>
      <w:widowControl/>
      <w:ind w:firstLine="420" w:firstLineChars="200"/>
      <w:jc w:val="left"/>
    </w:pPr>
  </w:style>
  <w:style w:type="paragraph" w:customStyle="1" w:styleId="465">
    <w:name w:val="xl57"/>
    <w:basedOn w:val="1"/>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466">
    <w:name w:val="xl55"/>
    <w:basedOn w:val="1"/>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467">
    <w:name w:val="正文_18_0"/>
    <w:qFormat/>
    <w:uiPriority w:val="0"/>
    <w:pPr>
      <w:widowControl w:val="0"/>
      <w:jc w:val="both"/>
    </w:pPr>
    <w:rPr>
      <w:kern w:val="2"/>
      <w:sz w:val="21"/>
      <w:szCs w:val="24"/>
      <w:lang w:val="en-US" w:eastAsia="zh-CN" w:bidi="ar-SA"/>
    </w:rPr>
  </w:style>
  <w:style w:type="paragraph" w:customStyle="1" w:styleId="468">
    <w:name w:val=" Char Char Char Char Char Char Char"/>
    <w:basedOn w:val="1"/>
    <w:uiPriority w:val="0"/>
    <w:rPr>
      <w:rFonts w:ascii="仿宋_GB2312" w:eastAsia="仿宋_GB2312"/>
      <w:b/>
      <w:sz w:val="32"/>
      <w:szCs w:val="32"/>
    </w:rPr>
  </w:style>
  <w:style w:type="paragraph" w:customStyle="1" w:styleId="469">
    <w:name w:val="List Paragraph2"/>
    <w:basedOn w:val="1"/>
    <w:qFormat/>
    <w:uiPriority w:val="0"/>
    <w:pPr>
      <w:spacing w:line="360" w:lineRule="auto"/>
      <w:ind w:firstLine="420" w:firstLineChars="200"/>
    </w:pPr>
    <w:rPr>
      <w:sz w:val="24"/>
      <w:szCs w:val="22"/>
    </w:rPr>
  </w:style>
  <w:style w:type="paragraph" w:customStyle="1" w:styleId="470">
    <w:name w:val="xl4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471">
    <w:name w:val="_Style 4"/>
    <w:basedOn w:val="1"/>
    <w:qFormat/>
    <w:uiPriority w:val="99"/>
    <w:pPr>
      <w:ind w:firstLine="420" w:firstLineChars="200"/>
      <w:contextualSpacing/>
    </w:pPr>
  </w:style>
  <w:style w:type="paragraph" w:customStyle="1" w:styleId="472">
    <w:name w:val="Char Char1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73">
    <w:name w:val="模板标题1"/>
    <w:basedOn w:val="1"/>
    <w:next w:val="1"/>
    <w:qFormat/>
    <w:uiPriority w:val="0"/>
    <w:pPr>
      <w:keepNext/>
      <w:keepLines/>
      <w:tabs>
        <w:tab w:val="left" w:pos="360"/>
      </w:tabs>
      <w:spacing w:afterLines="50"/>
      <w:jc w:val="left"/>
      <w:outlineLvl w:val="0"/>
    </w:pPr>
    <w:rPr>
      <w:rFonts w:ascii="Arial" w:hAnsi="Arial"/>
      <w:b/>
      <w:kern w:val="32"/>
      <w:sz w:val="32"/>
      <w:szCs w:val="20"/>
    </w:rPr>
  </w:style>
  <w:style w:type="paragraph" w:customStyle="1" w:styleId="474">
    <w:name w:val="0-1级标题."/>
    <w:basedOn w:val="4"/>
    <w:qFormat/>
    <w:uiPriority w:val="0"/>
    <w:pPr>
      <w:keepLines/>
      <w:pageBreakBefore/>
      <w:widowControl/>
      <w:tabs>
        <w:tab w:val="left" w:pos="425"/>
      </w:tabs>
      <w:autoSpaceDE/>
      <w:autoSpaceDN/>
      <w:textAlignment w:val="auto"/>
    </w:pPr>
    <w:rPr>
      <w:rFonts w:ascii="Times New Roman" w:eastAsia="宋体"/>
      <w:color w:val="000000"/>
      <w:kern w:val="44"/>
      <w:sz w:val="32"/>
      <w:lang w:val="zh-CN"/>
    </w:rPr>
  </w:style>
  <w:style w:type="paragraph" w:customStyle="1" w:styleId="475">
    <w:name w:val="1.5倍行距"/>
    <w:basedOn w:val="1"/>
    <w:qFormat/>
    <w:uiPriority w:val="0"/>
    <w:pPr>
      <w:widowControl/>
      <w:autoSpaceDE w:val="0"/>
      <w:autoSpaceDN w:val="0"/>
      <w:adjustRightInd w:val="0"/>
      <w:snapToGrid w:val="0"/>
      <w:spacing w:after="200"/>
      <w:jc w:val="left"/>
    </w:pPr>
    <w:rPr>
      <w:rFonts w:ascii="宋体" w:hAnsi="宋体"/>
      <w:color w:val="000000"/>
      <w:kern w:val="0"/>
      <w:sz w:val="24"/>
      <w:u w:val="single"/>
      <w:lang w:val="zh-CN"/>
    </w:rPr>
  </w:style>
  <w:style w:type="paragraph" w:customStyle="1" w:styleId="476">
    <w:name w:val="SJ2"/>
    <w:basedOn w:val="1"/>
    <w:uiPriority w:val="0"/>
    <w:pPr>
      <w:spacing w:line="360" w:lineRule="auto"/>
      <w:ind w:firstLine="480" w:firstLineChars="200"/>
      <w:jc w:val="left"/>
    </w:pPr>
    <w:rPr>
      <w:rFonts w:cs="宋体"/>
      <w:sz w:val="24"/>
      <w:szCs w:val="20"/>
    </w:rPr>
  </w:style>
  <w:style w:type="paragraph" w:customStyle="1" w:styleId="477">
    <w:name w:val="xl3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478">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479">
    <w:name w:val="第二级标题"/>
    <w:basedOn w:val="5"/>
    <w:next w:val="1"/>
    <w:qFormat/>
    <w:uiPriority w:val="0"/>
    <w:pPr>
      <w:keepLines/>
      <w:numPr>
        <w:ilvl w:val="1"/>
        <w:numId w:val="0"/>
      </w:numPr>
      <w:adjustRightInd/>
      <w:snapToGrid/>
      <w:spacing w:before="260" w:after="260" w:line="416" w:lineRule="auto"/>
      <w:ind w:left="576" w:hanging="576"/>
      <w:jc w:val="both"/>
      <w:textAlignment w:val="auto"/>
    </w:pPr>
    <w:rPr>
      <w:rFonts w:ascii="Cambria" w:hAnsi="Cambria" w:eastAsia="仿宋"/>
      <w:bCs/>
      <w:kern w:val="2"/>
      <w:sz w:val="32"/>
      <w:szCs w:val="32"/>
      <w:lang w:val="en-US" w:eastAsia="zh-CN"/>
    </w:rPr>
  </w:style>
  <w:style w:type="paragraph" w:customStyle="1" w:styleId="480">
    <w:name w:val="Char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81">
    <w:name w:val="！调研报告1-1"/>
    <w:qFormat/>
    <w:uiPriority w:val="0"/>
    <w:pPr>
      <w:spacing w:beforeLines="50" w:afterLines="50" w:line="360" w:lineRule="auto"/>
      <w:outlineLvl w:val="1"/>
    </w:pPr>
    <w:rPr>
      <w:rFonts w:ascii="仿宋_GB2312" w:hAnsi="仿宋_GB2312" w:cs="仿宋_GB2312"/>
      <w:b/>
      <w:bCs/>
      <w:kern w:val="2"/>
      <w:sz w:val="28"/>
      <w:szCs w:val="24"/>
      <w:lang w:val="en-US" w:eastAsia="zh-CN" w:bidi="ar-SA"/>
    </w:rPr>
  </w:style>
  <w:style w:type="paragraph" w:customStyle="1" w:styleId="482">
    <w:name w:val="说明内容"/>
    <w:uiPriority w:val="0"/>
    <w:pPr>
      <w:pBdr>
        <w:bottom w:val="single" w:color="auto" w:sz="2" w:space="1"/>
      </w:pBdr>
      <w:tabs>
        <w:tab w:val="left" w:pos="2268"/>
      </w:tabs>
      <w:ind w:left="1701"/>
    </w:pPr>
    <w:rPr>
      <w:rFonts w:eastAsia="仿宋_GB2312"/>
      <w:sz w:val="21"/>
      <w:lang w:val="en-US" w:eastAsia="zh-CN" w:bidi="ar-SA"/>
    </w:rPr>
  </w:style>
  <w:style w:type="paragraph" w:customStyle="1" w:styleId="483">
    <w:name w:val="正文段"/>
    <w:basedOn w:val="1"/>
    <w:uiPriority w:val="0"/>
    <w:pPr>
      <w:widowControl/>
      <w:snapToGrid w:val="0"/>
      <w:spacing w:after="200" w:afterLines="50"/>
      <w:ind w:firstLine="200" w:firstLineChars="200"/>
    </w:pPr>
    <w:rPr>
      <w:kern w:val="0"/>
      <w:sz w:val="24"/>
      <w:szCs w:val="20"/>
    </w:rPr>
  </w:style>
  <w:style w:type="paragraph" w:customStyle="1" w:styleId="484">
    <w:name w:val="_Style 129"/>
    <w:next w:val="1"/>
    <w:uiPriority w:val="0"/>
    <w:pPr>
      <w:widowControl w:val="0"/>
      <w:jc w:val="both"/>
    </w:pPr>
    <w:rPr>
      <w:kern w:val="2"/>
      <w:sz w:val="21"/>
      <w:szCs w:val="24"/>
      <w:lang w:val="en-US" w:eastAsia="zh-CN" w:bidi="ar-SA"/>
    </w:rPr>
  </w:style>
  <w:style w:type="paragraph" w:customStyle="1" w:styleId="485">
    <w:name w:val="_Style 8"/>
    <w:basedOn w:val="1"/>
    <w:qFormat/>
    <w:uiPriority w:val="0"/>
    <w:pPr>
      <w:ind w:firstLine="420" w:firstLineChars="200"/>
    </w:pPr>
    <w:rPr>
      <w:rFonts w:ascii="仿宋" w:hAnsi="仿宋" w:eastAsia="仿宋"/>
      <w:szCs w:val="22"/>
    </w:rPr>
  </w:style>
  <w:style w:type="paragraph" w:customStyle="1" w:styleId="486">
    <w:name w:val="普通(网站)_0"/>
    <w:basedOn w:val="1"/>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487">
    <w:name w:val="Char Char Char"/>
    <w:basedOn w:val="1"/>
    <w:qFormat/>
    <w:uiPriority w:val="0"/>
    <w:pPr>
      <w:widowControl/>
      <w:jc w:val="left"/>
    </w:pPr>
    <w:rPr>
      <w:rFonts w:ascii="Tahoma" w:hAnsi="Tahoma"/>
      <w:sz w:val="24"/>
      <w:szCs w:val="20"/>
    </w:rPr>
  </w:style>
  <w:style w:type="paragraph" w:customStyle="1" w:styleId="488">
    <w:name w:val="模板标题4"/>
    <w:basedOn w:val="1"/>
    <w:next w:val="2"/>
    <w:qFormat/>
    <w:uiPriority w:val="0"/>
    <w:pPr>
      <w:tabs>
        <w:tab w:val="left" w:pos="1440"/>
      </w:tabs>
      <w:spacing w:afterLines="50"/>
      <w:outlineLvl w:val="3"/>
    </w:pPr>
    <w:rPr>
      <w:rFonts w:ascii="宋体" w:hAnsi="宋体"/>
      <w:b/>
      <w:szCs w:val="20"/>
    </w:rPr>
  </w:style>
  <w:style w:type="paragraph" w:customStyle="1" w:styleId="489">
    <w:name w:val="Char Char Char Char Char Char Char Char Char Char1"/>
    <w:basedOn w:val="1"/>
    <w:qFormat/>
    <w:uiPriority w:val="0"/>
    <w:pPr>
      <w:widowControl/>
      <w:tabs>
        <w:tab w:val="left" w:pos="360"/>
      </w:tabs>
      <w:ind w:left="360" w:hanging="360" w:hangingChars="200"/>
      <w:jc w:val="left"/>
    </w:pPr>
    <w:rPr>
      <w:sz w:val="24"/>
    </w:rPr>
  </w:style>
  <w:style w:type="paragraph" w:customStyle="1" w:styleId="490">
    <w:name w:val="正文3"/>
    <w:qFormat/>
    <w:uiPriority w:val="99"/>
    <w:pPr>
      <w:jc w:val="both"/>
    </w:pPr>
    <w:rPr>
      <w:kern w:val="2"/>
      <w:sz w:val="21"/>
      <w:szCs w:val="21"/>
      <w:lang w:val="en-US" w:eastAsia="zh-CN" w:bidi="ar-SA"/>
    </w:rPr>
  </w:style>
  <w:style w:type="paragraph" w:customStyle="1" w:styleId="491">
    <w:name w:val="偶数页页眉"/>
    <w:basedOn w:val="36"/>
    <w:qFormat/>
    <w:uiPriority w:val="0"/>
    <w:pPr>
      <w:widowControl/>
      <w:pBdr>
        <w:bottom w:val="single" w:color="auto" w:sz="4" w:space="1"/>
      </w:pBdr>
      <w:tabs>
        <w:tab w:val="left" w:pos="480"/>
        <w:tab w:val="left" w:pos="540"/>
        <w:tab w:val="left" w:pos="720"/>
        <w:tab w:val="left" w:pos="4153"/>
        <w:tab w:val="clear" w:pos="8306"/>
      </w:tabs>
      <w:adjustRightInd/>
      <w:snapToGrid w:val="0"/>
      <w:spacing w:beforeLines="50" w:line="240" w:lineRule="auto"/>
      <w:jc w:val="left"/>
    </w:pPr>
    <w:rPr>
      <w:rFonts w:ascii="仿宋" w:hAnsi="仿宋" w:eastAsia="仿宋" w:cs="仿宋"/>
      <w:bCs/>
      <w:color w:val="000000"/>
      <w:sz w:val="21"/>
      <w:szCs w:val="24"/>
      <w:lang w:val="zh-CN"/>
    </w:rPr>
  </w:style>
  <w:style w:type="paragraph" w:customStyle="1" w:styleId="492">
    <w:name w:val="p3"/>
    <w:basedOn w:val="1"/>
    <w:qFormat/>
    <w:uiPriority w:val="0"/>
    <w:pPr>
      <w:widowControl/>
      <w:spacing w:before="100" w:beforeAutospacing="1" w:after="100" w:afterAutospacing="1"/>
      <w:jc w:val="left"/>
    </w:pPr>
    <w:rPr>
      <w:rFonts w:ascii="宋体" w:hAnsi="宋体" w:cs="宋体"/>
      <w:kern w:val="0"/>
      <w:sz w:val="24"/>
    </w:rPr>
  </w:style>
  <w:style w:type="paragraph" w:customStyle="1" w:styleId="493">
    <w:name w:val="xl54"/>
    <w:basedOn w:val="1"/>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494">
    <w:name w:val="目录两字"/>
    <w:basedOn w:val="1"/>
    <w:qFormat/>
    <w:uiPriority w:val="99"/>
    <w:pPr>
      <w:widowControl/>
      <w:spacing w:beforeLines="100" w:afterLines="100" w:line="360" w:lineRule="auto"/>
      <w:jc w:val="center"/>
    </w:pPr>
    <w:rPr>
      <w:rFonts w:ascii="仿宋" w:hAnsi="仿宋" w:eastAsia="仿宋"/>
      <w:b/>
      <w:sz w:val="32"/>
    </w:rPr>
  </w:style>
  <w:style w:type="paragraph" w:customStyle="1" w:styleId="495">
    <w:name w:val="_Style 96"/>
    <w:basedOn w:val="1"/>
    <w:uiPriority w:val="0"/>
    <w:rPr>
      <w:rFonts w:ascii="Calibri" w:hAnsi="Calibri"/>
      <w:szCs w:val="20"/>
    </w:rPr>
  </w:style>
  <w:style w:type="paragraph" w:customStyle="1" w:styleId="496">
    <w:name w:val="xl62"/>
    <w:basedOn w:val="1"/>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olor w:val="000000"/>
      <w:kern w:val="0"/>
      <w:sz w:val="20"/>
      <w:szCs w:val="20"/>
    </w:rPr>
  </w:style>
  <w:style w:type="paragraph" w:customStyle="1" w:styleId="497">
    <w:name w:val="标题3"/>
    <w:basedOn w:val="1"/>
    <w:qFormat/>
    <w:uiPriority w:val="0"/>
    <w:pPr>
      <w:widowControl/>
      <w:snapToGrid w:val="0"/>
      <w:spacing w:beforeLines="50" w:afterLines="50" w:line="400" w:lineRule="atLeast"/>
      <w:jc w:val="left"/>
    </w:pPr>
    <w:rPr>
      <w:rFonts w:ascii="Arial" w:hAnsi="Arial" w:eastAsia="黑体"/>
      <w:sz w:val="28"/>
      <w:szCs w:val="20"/>
    </w:rPr>
  </w:style>
  <w:style w:type="paragraph" w:customStyle="1" w:styleId="498">
    <w:name w:val="正文缩进1"/>
    <w:basedOn w:val="1"/>
    <w:qFormat/>
    <w:uiPriority w:val="0"/>
    <w:pPr>
      <w:spacing w:line="300" w:lineRule="auto"/>
      <w:ind w:firstLine="425"/>
    </w:pPr>
    <w:rPr>
      <w:szCs w:val="20"/>
    </w:rPr>
  </w:style>
  <w:style w:type="paragraph" w:customStyle="1" w:styleId="499">
    <w:name w:val="3级标题"/>
    <w:basedOn w:val="1"/>
    <w:qFormat/>
    <w:uiPriority w:val="0"/>
    <w:pPr>
      <w:keepLines/>
      <w:spacing w:before="120" w:after="120" w:line="360" w:lineRule="auto"/>
      <w:ind w:left="720" w:hanging="720"/>
      <w:contextualSpacing/>
      <w:jc w:val="left"/>
      <w:outlineLvl w:val="2"/>
    </w:pPr>
    <w:rPr>
      <w:rFonts w:ascii="黑体" w:hAnsi="黑体" w:eastAsia="黑体"/>
      <w:kern w:val="0"/>
      <w:sz w:val="28"/>
      <w:szCs w:val="36"/>
      <w:lang w:eastAsia="en-US" w:bidi="en-US"/>
    </w:rPr>
  </w:style>
  <w:style w:type="paragraph" w:customStyle="1" w:styleId="500">
    <w:name w:val="小标题3"/>
    <w:basedOn w:val="1"/>
    <w:next w:val="1"/>
    <w:qFormat/>
    <w:uiPriority w:val="0"/>
    <w:pPr>
      <w:widowControl/>
      <w:spacing w:line="360" w:lineRule="auto"/>
      <w:jc w:val="left"/>
    </w:pPr>
    <w:rPr>
      <w:rFonts w:eastAsia="仿宋"/>
      <w:sz w:val="24"/>
    </w:rPr>
  </w:style>
  <w:style w:type="paragraph" w:customStyle="1" w:styleId="501">
    <w:name w:val="font11"/>
    <w:basedOn w:val="1"/>
    <w:uiPriority w:val="0"/>
    <w:pPr>
      <w:widowControl/>
      <w:spacing w:before="100" w:beforeAutospacing="1" w:after="100" w:afterAutospacing="1"/>
      <w:jc w:val="left"/>
    </w:pPr>
    <w:rPr>
      <w:b/>
      <w:bCs/>
      <w:i/>
      <w:iCs/>
      <w:kern w:val="0"/>
      <w:sz w:val="24"/>
    </w:rPr>
  </w:style>
  <w:style w:type="paragraph" w:customStyle="1" w:styleId="502">
    <w:name w:val="本文正文"/>
    <w:basedOn w:val="1"/>
    <w:qFormat/>
    <w:uiPriority w:val="99"/>
    <w:pPr>
      <w:widowControl/>
      <w:spacing w:beforeLines="50" w:line="360" w:lineRule="exact"/>
      <w:ind w:firstLine="200" w:firstLineChars="200"/>
      <w:jc w:val="left"/>
    </w:pPr>
    <w:rPr>
      <w:rFonts w:ascii="仿宋" w:hAnsi="宋体" w:eastAsia="仿宋" w:cs="宋体"/>
      <w:kern w:val="0"/>
      <w:sz w:val="24"/>
    </w:rPr>
  </w:style>
  <w:style w:type="paragraph" w:customStyle="1" w:styleId="503">
    <w:name w:val="xl49"/>
    <w:basedOn w:val="1"/>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504">
    <w:name w:val="List Paragraph"/>
    <w:basedOn w:val="1"/>
    <w:qFormat/>
    <w:uiPriority w:val="0"/>
    <w:pPr>
      <w:ind w:firstLine="420" w:firstLineChars="200"/>
    </w:pPr>
    <w:rPr>
      <w:szCs w:val="20"/>
    </w:rPr>
  </w:style>
  <w:style w:type="paragraph" w:customStyle="1" w:styleId="505">
    <w:name w:val="正文_8"/>
    <w:qFormat/>
    <w:uiPriority w:val="0"/>
    <w:pPr>
      <w:widowControl w:val="0"/>
      <w:jc w:val="both"/>
    </w:pPr>
    <w:rPr>
      <w:kern w:val="2"/>
      <w:sz w:val="21"/>
      <w:szCs w:val="24"/>
      <w:lang w:val="en-US" w:eastAsia="zh-CN" w:bidi="ar-SA"/>
    </w:rPr>
  </w:style>
  <w:style w:type="paragraph" w:customStyle="1" w:styleId="506">
    <w:name w:val="Table Contents"/>
    <w:basedOn w:val="1"/>
    <w:uiPriority w:val="0"/>
    <w:pPr>
      <w:suppressAutoHyphens/>
      <w:autoSpaceDE w:val="0"/>
      <w:spacing w:after="120"/>
      <w:jc w:val="left"/>
    </w:pPr>
    <w:rPr>
      <w:rFonts w:ascii="Helvetica" w:hAnsi="Helvetica"/>
      <w:kern w:val="1"/>
      <w:sz w:val="20"/>
      <w:szCs w:val="20"/>
      <w:lang/>
    </w:rPr>
  </w:style>
  <w:style w:type="paragraph" w:customStyle="1" w:styleId="507">
    <w:name w:val="Body Text 21"/>
    <w:basedOn w:val="1"/>
    <w:next w:val="1"/>
    <w:uiPriority w:val="0"/>
    <w:pPr>
      <w:widowControl/>
      <w:spacing w:line="300" w:lineRule="auto"/>
      <w:jc w:val="center"/>
    </w:pPr>
    <w:rPr>
      <w:rFonts w:ascii="宋体"/>
      <w:color w:val="000000"/>
      <w:sz w:val="24"/>
      <w:szCs w:val="20"/>
    </w:rPr>
  </w:style>
  <w:style w:type="paragraph" w:customStyle="1" w:styleId="508">
    <w:name w:val="第四级标题"/>
    <w:basedOn w:val="8"/>
    <w:next w:val="1"/>
    <w:qFormat/>
    <w:uiPriority w:val="0"/>
    <w:pPr>
      <w:keepNext/>
      <w:widowControl w:val="0"/>
      <w:spacing w:before="120" w:after="0" w:line="360" w:lineRule="auto"/>
    </w:pPr>
    <w:rPr>
      <w:rFonts w:ascii="Cambria" w:hAnsi="Cambria" w:eastAsia="仿宋"/>
      <w:bCs/>
      <w:color w:val="auto"/>
      <w:sz w:val="24"/>
      <w:szCs w:val="28"/>
      <w:lang w:val="en-US" w:eastAsia="zh-CN"/>
    </w:rPr>
  </w:style>
  <w:style w:type="paragraph" w:customStyle="1" w:styleId="509">
    <w:name w:val="方案2级标题"/>
    <w:basedOn w:val="510"/>
    <w:next w:val="1"/>
    <w:qFormat/>
    <w:uiPriority w:val="0"/>
  </w:style>
  <w:style w:type="paragraph" w:customStyle="1" w:styleId="510">
    <w:name w:val="方案3级标题"/>
    <w:basedOn w:val="8"/>
    <w:next w:val="1"/>
    <w:qFormat/>
    <w:uiPriority w:val="0"/>
    <w:pPr>
      <w:keepNext/>
      <w:spacing w:beforeLines="50" w:afterLines="50" w:line="360" w:lineRule="auto"/>
      <w:ind w:firstLine="482" w:firstLineChars="200"/>
      <w:jc w:val="left"/>
    </w:pPr>
    <w:rPr>
      <w:rFonts w:ascii="仿宋_GB2312" w:hAnsi="Times New Roman" w:eastAsia="仿宋_GB2312"/>
      <w:color w:val="auto"/>
      <w:sz w:val="24"/>
      <w:szCs w:val="24"/>
      <w:lang w:val="zh-CN"/>
    </w:rPr>
  </w:style>
  <w:style w:type="paragraph" w:customStyle="1" w:styleId="511">
    <w:name w:val=" Char Char Char Char Char Char1 Char Char Char Char Char Char Char Char Char Char Char Char Char"/>
    <w:basedOn w:val="20"/>
    <w:uiPriority w:val="0"/>
    <w:pPr>
      <w:widowControl w:val="0"/>
      <w:shd w:val="clear" w:color="auto" w:fill="000080"/>
      <w:adjustRightInd/>
      <w:snapToGrid/>
      <w:spacing w:after="0"/>
      <w:jc w:val="both"/>
    </w:pPr>
    <w:rPr>
      <w:rFonts w:ascii="Times New Roman" w:hAnsi="Times New Roman"/>
      <w:kern w:val="2"/>
      <w:sz w:val="21"/>
      <w:szCs w:val="24"/>
    </w:rPr>
  </w:style>
  <w:style w:type="paragraph" w:customStyle="1" w:styleId="512">
    <w:name w:val="GP标题5"/>
    <w:basedOn w:val="513"/>
    <w:next w:val="514"/>
    <w:qFormat/>
    <w:uiPriority w:val="0"/>
    <w:pPr>
      <w:numPr>
        <w:ilvl w:val="4"/>
        <w:numId w:val="4"/>
      </w:numPr>
      <w:tabs>
        <w:tab w:val="left" w:pos="360"/>
      </w:tabs>
      <w:spacing w:beforeLines="50" w:afterLines="50"/>
      <w:ind w:firstLineChars="0"/>
      <w:outlineLvl w:val="4"/>
    </w:pPr>
    <w:rPr>
      <w:rFonts w:ascii="华文细黑" w:hAnsi="华文细黑" w:eastAsia="华文细黑" w:cs="Times New Roman"/>
      <w:b/>
      <w:szCs w:val="21"/>
    </w:rPr>
  </w:style>
  <w:style w:type="paragraph" w:customStyle="1" w:styleId="513">
    <w:name w:val="GP正文(无首行缩进)"/>
    <w:basedOn w:val="1"/>
    <w:qFormat/>
    <w:uiPriority w:val="99"/>
    <w:pPr>
      <w:spacing w:line="360" w:lineRule="auto"/>
      <w:ind w:firstLine="480" w:firstLineChars="200"/>
      <w:jc w:val="left"/>
    </w:pPr>
    <w:rPr>
      <w:rFonts w:ascii="Arial" w:hAnsi="宋体" w:cs="宋体"/>
      <w:sz w:val="24"/>
      <w:szCs w:val="20"/>
    </w:rPr>
  </w:style>
  <w:style w:type="paragraph" w:customStyle="1" w:styleId="514">
    <w:name w:val="GP正文(首行缩进)"/>
    <w:basedOn w:val="1"/>
    <w:qFormat/>
    <w:uiPriority w:val="0"/>
    <w:pPr>
      <w:spacing w:line="360" w:lineRule="auto"/>
      <w:ind w:firstLine="480" w:firstLineChars="200"/>
      <w:jc w:val="left"/>
    </w:pPr>
    <w:rPr>
      <w:rFonts w:hAnsi="宋体"/>
      <w:sz w:val="24"/>
    </w:rPr>
  </w:style>
  <w:style w:type="paragraph" w:customStyle="1" w:styleId="515">
    <w:name w:val="模板标题6"/>
    <w:basedOn w:val="1"/>
    <w:next w:val="2"/>
    <w:qFormat/>
    <w:uiPriority w:val="0"/>
    <w:pPr>
      <w:tabs>
        <w:tab w:val="left" w:pos="2160"/>
      </w:tabs>
      <w:spacing w:afterLines="50"/>
      <w:outlineLvl w:val="5"/>
    </w:pPr>
    <w:rPr>
      <w:rFonts w:ascii="宋体" w:hAnsi="宋体"/>
      <w:b/>
      <w:szCs w:val="20"/>
    </w:rPr>
  </w:style>
  <w:style w:type="paragraph" w:customStyle="1" w:styleId="516">
    <w:name w:val="样式 标题 3h3H3sect1.2.3 + 五号 段前: 6 磅 段后: 6 磅 行距: 单倍行距"/>
    <w:basedOn w:val="6"/>
    <w:uiPriority w:val="0"/>
    <w:pPr>
      <w:tabs>
        <w:tab w:val="left" w:pos="1260"/>
      </w:tabs>
      <w:adjustRightInd w:val="0"/>
      <w:spacing w:before="120" w:after="120" w:line="240" w:lineRule="auto"/>
      <w:ind w:left="1260" w:hanging="420" w:firstLineChars="0"/>
      <w:jc w:val="left"/>
      <w:textAlignment w:val="baseline"/>
    </w:pPr>
    <w:rPr>
      <w:rFonts w:ascii="Times New Roman" w:eastAsia="宋体"/>
      <w:kern w:val="0"/>
      <w:sz w:val="21"/>
    </w:rPr>
  </w:style>
  <w:style w:type="paragraph" w:customStyle="1" w:styleId="517">
    <w:name w:val="xl4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518">
    <w:name w:val="列出段落1"/>
    <w:basedOn w:val="1"/>
    <w:qFormat/>
    <w:uiPriority w:val="0"/>
    <w:pPr>
      <w:ind w:firstLine="420" w:firstLineChars="200"/>
    </w:pPr>
    <w:rPr>
      <w:rFonts w:ascii="Calibri" w:hAnsi="Calibri"/>
      <w:szCs w:val="22"/>
    </w:rPr>
  </w:style>
  <w:style w:type="paragraph" w:customStyle="1" w:styleId="519">
    <w:name w:val="Char Char Char Char"/>
    <w:basedOn w:val="1"/>
    <w:qFormat/>
    <w:uiPriority w:val="0"/>
    <w:pPr>
      <w:adjustRightInd w:val="0"/>
      <w:spacing w:line="360" w:lineRule="auto"/>
    </w:pPr>
    <w:rPr>
      <w:kern w:val="0"/>
      <w:sz w:val="24"/>
      <w:szCs w:val="20"/>
    </w:rPr>
  </w:style>
  <w:style w:type="paragraph" w:customStyle="1" w:styleId="520">
    <w:name w:val="xl3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521">
    <w:name w:val="页码1"/>
    <w:basedOn w:val="1"/>
    <w:next w:val="1"/>
    <w:uiPriority w:val="0"/>
    <w:pPr>
      <w:widowControl/>
    </w:pPr>
    <w:rPr>
      <w:color w:val="000000"/>
      <w:szCs w:val="20"/>
    </w:rPr>
  </w:style>
  <w:style w:type="paragraph" w:customStyle="1" w:styleId="522">
    <w:name w:val="正文0"/>
    <w:basedOn w:val="1"/>
    <w:uiPriority w:val="0"/>
    <w:pPr>
      <w:widowControl/>
      <w:adjustRightInd w:val="0"/>
      <w:snapToGrid w:val="0"/>
      <w:spacing w:line="360" w:lineRule="auto"/>
      <w:ind w:firstLine="482"/>
      <w:jc w:val="left"/>
    </w:pPr>
    <w:rPr>
      <w:rFonts w:ascii="仿宋" w:hAnsi="仿宋" w:eastAsia="仿宋"/>
      <w:color w:val="000000"/>
      <w:kern w:val="52"/>
      <w:sz w:val="24"/>
    </w:rPr>
  </w:style>
  <w:style w:type="paragraph" w:customStyle="1" w:styleId="523">
    <w:name w:val="！培养方案1"/>
    <w:basedOn w:val="4"/>
    <w:qFormat/>
    <w:uiPriority w:val="0"/>
    <w:pPr>
      <w:keepLines/>
      <w:widowControl/>
      <w:adjustRightInd w:val="0"/>
      <w:spacing w:beforeLines="100" w:afterLines="100"/>
      <w:textAlignment w:val="auto"/>
    </w:pPr>
    <w:rPr>
      <w:rFonts w:ascii="黑体" w:hAnsi="宋体" w:eastAsia="黑体"/>
      <w:bCs/>
      <w:color w:val="000000"/>
      <w:kern w:val="0"/>
      <w:sz w:val="32"/>
      <w:szCs w:val="20"/>
      <w:lang w:val="zh-CN"/>
    </w:rPr>
  </w:style>
  <w:style w:type="paragraph" w:customStyle="1" w:styleId="524">
    <w:name w:val="文字"/>
    <w:basedOn w:val="1"/>
    <w:qFormat/>
    <w:uiPriority w:val="0"/>
    <w:pPr>
      <w:widowControl/>
      <w:adjustRightInd w:val="0"/>
      <w:snapToGrid w:val="0"/>
      <w:spacing w:line="312" w:lineRule="auto"/>
      <w:ind w:firstLine="567"/>
      <w:jc w:val="left"/>
      <w:textAlignment w:val="baseline"/>
    </w:pPr>
    <w:rPr>
      <w:rFonts w:ascii="宋体" w:cs="宋体"/>
      <w:spacing w:val="6"/>
      <w:kern w:val="0"/>
      <w:sz w:val="28"/>
      <w:szCs w:val="28"/>
    </w:rPr>
  </w:style>
  <w:style w:type="paragraph" w:customStyle="1" w:styleId="525">
    <w:name w:val="节前说明"/>
    <w:next w:val="482"/>
    <w:qFormat/>
    <w:uiPriority w:val="0"/>
    <w:pPr>
      <w:pBdr>
        <w:top w:val="single" w:color="auto" w:sz="2" w:space="1"/>
      </w:pBdr>
      <w:tabs>
        <w:tab w:val="left" w:pos="928"/>
      </w:tabs>
      <w:spacing w:before="40" w:after="40"/>
      <w:ind w:left="1701"/>
    </w:pPr>
    <w:rPr>
      <w:rFonts w:eastAsia="黑体"/>
      <w:b/>
      <w:sz w:val="21"/>
      <w:lang w:val="en-US" w:eastAsia="zh-CN" w:bidi="ar-SA"/>
    </w:rPr>
  </w:style>
  <w:style w:type="paragraph" w:customStyle="1" w:styleId="526">
    <w:name w:val="专业项目标题3"/>
    <w:basedOn w:val="5"/>
    <w:qFormat/>
    <w:uiPriority w:val="0"/>
    <w:pPr>
      <w:keepNext w:val="0"/>
      <w:keepLines/>
      <w:widowControl/>
      <w:adjustRightInd/>
      <w:snapToGrid/>
      <w:spacing w:before="260" w:after="260"/>
      <w:ind w:firstLine="200" w:firstLineChars="200"/>
      <w:jc w:val="both"/>
      <w:textAlignment w:val="auto"/>
      <w:outlineLvl w:val="4"/>
    </w:pPr>
    <w:rPr>
      <w:rFonts w:hAnsi="宋体"/>
      <w:bCs/>
      <w:kern w:val="2"/>
      <w:sz w:val="24"/>
      <w:szCs w:val="24"/>
      <w:lang w:val="zh-CN"/>
    </w:rPr>
  </w:style>
  <w:style w:type="paragraph" w:customStyle="1" w:styleId="527">
    <w:name w:val="正文标题2"/>
    <w:basedOn w:val="452"/>
    <w:qFormat/>
    <w:uiPriority w:val="0"/>
    <w:pPr>
      <w:ind w:left="200" w:leftChars="200"/>
    </w:pPr>
  </w:style>
  <w:style w:type="paragraph" w:customStyle="1" w:styleId="528">
    <w:name w:val="我的正文(首行缩进)"/>
    <w:basedOn w:val="1"/>
    <w:qFormat/>
    <w:uiPriority w:val="0"/>
    <w:pPr>
      <w:spacing w:line="360" w:lineRule="auto"/>
      <w:ind w:firstLine="560" w:firstLineChars="200"/>
      <w:jc w:val="left"/>
    </w:pPr>
    <w:rPr>
      <w:rFonts w:ascii="宋体" w:hAnsi="宋体" w:eastAsia="仿宋"/>
      <w:sz w:val="24"/>
      <w:szCs w:val="21"/>
    </w:rPr>
  </w:style>
  <w:style w:type="paragraph" w:customStyle="1" w:styleId="529">
    <w:name w:val="xl65"/>
    <w:basedOn w:val="1"/>
    <w:uiPriority w:val="0"/>
    <w:pPr>
      <w:widowControl/>
      <w:pBdr>
        <w:top w:val="single" w:color="auto" w:sz="4" w:space="0"/>
        <w:left w:val="single" w:color="auto" w:sz="8"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530">
    <w:name w:val="Char2"/>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531">
    <w:name w:val="font10"/>
    <w:basedOn w:val="1"/>
    <w:uiPriority w:val="0"/>
    <w:pPr>
      <w:widowControl/>
      <w:spacing w:before="100" w:beforeAutospacing="1" w:after="100" w:afterAutospacing="1"/>
      <w:jc w:val="left"/>
    </w:pPr>
    <w:rPr>
      <w:rFonts w:hint="eastAsia" w:ascii="宋体" w:hAnsi="宋体"/>
      <w:b/>
      <w:bCs/>
      <w:i/>
      <w:iCs/>
      <w:kern w:val="0"/>
      <w:sz w:val="24"/>
    </w:rPr>
  </w:style>
  <w:style w:type="paragraph" w:customStyle="1" w:styleId="532">
    <w:name w:val="内容1"/>
    <w:basedOn w:val="8"/>
    <w:qFormat/>
    <w:uiPriority w:val="0"/>
    <w:pPr>
      <w:keepLines w:val="0"/>
      <w:autoSpaceDE w:val="0"/>
      <w:autoSpaceDN w:val="0"/>
      <w:adjustRightInd w:val="0"/>
      <w:spacing w:beforeLines="50" w:after="0" w:line="300" w:lineRule="auto"/>
      <w:ind w:firstLine="200" w:firstLineChars="200"/>
      <w:jc w:val="left"/>
    </w:pPr>
    <w:rPr>
      <w:rFonts w:ascii="宋体" w:hAnsi="宋体" w:eastAsia="宋体"/>
      <w:b w:val="0"/>
      <w:kern w:val="0"/>
      <w:sz w:val="24"/>
      <w:szCs w:val="24"/>
      <w:lang w:val="zh-CN"/>
    </w:rPr>
  </w:style>
  <w:style w:type="paragraph" w:styleId="533">
    <w:name w:val=""/>
    <w:basedOn w:val="4"/>
    <w:next w:val="1"/>
    <w:qFormat/>
    <w:uiPriority w:val="39"/>
    <w:pPr>
      <w:keepLines/>
      <w:tabs>
        <w:tab w:val="left" w:pos="360"/>
      </w:tabs>
      <w:autoSpaceDE/>
      <w:autoSpaceDN/>
      <w:spacing w:before="340" w:after="330" w:line="578" w:lineRule="auto"/>
      <w:ind w:left="360" w:hanging="360"/>
      <w:jc w:val="both"/>
      <w:textAlignment w:val="auto"/>
      <w:outlineLvl w:val="9"/>
    </w:pPr>
    <w:rPr>
      <w:rFonts w:ascii="Calibri" w:hAnsi="Calibri" w:eastAsia="宋体" w:cs="Times New Roman"/>
      <w:bCs/>
      <w:kern w:val="44"/>
      <w:szCs w:val="44"/>
    </w:rPr>
  </w:style>
  <w:style w:type="paragraph" w:customStyle="1" w:styleId="534">
    <w:name w:val="普通(网站)_1"/>
    <w:basedOn w:val="361"/>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535">
    <w:name w:val="xl3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kern w:val="0"/>
      <w:sz w:val="20"/>
      <w:szCs w:val="20"/>
    </w:rPr>
  </w:style>
  <w:style w:type="paragraph" w:customStyle="1" w:styleId="536">
    <w:name w:val="TOC 标题11"/>
    <w:basedOn w:val="4"/>
    <w:next w:val="1"/>
    <w:qFormat/>
    <w:uiPriority w:val="0"/>
    <w:pPr>
      <w:keepLines/>
      <w:widowControl/>
      <w:autoSpaceDE/>
      <w:autoSpaceDN/>
      <w:spacing w:before="480" w:line="276" w:lineRule="auto"/>
      <w:jc w:val="left"/>
      <w:textAlignment w:val="auto"/>
      <w:outlineLvl w:val="9"/>
    </w:pPr>
    <w:rPr>
      <w:rFonts w:ascii="Cambria" w:hAnsi="Cambria" w:eastAsia="宋体"/>
      <w:bCs/>
      <w:color w:val="365F90"/>
      <w:kern w:val="0"/>
      <w:sz w:val="28"/>
      <w:szCs w:val="28"/>
    </w:rPr>
  </w:style>
  <w:style w:type="paragraph" w:customStyle="1" w:styleId="537">
    <w:name w:val="标题一自定义"/>
    <w:basedOn w:val="4"/>
    <w:next w:val="1"/>
    <w:qFormat/>
    <w:uiPriority w:val="0"/>
    <w:pPr>
      <w:keepLines/>
      <w:pageBreakBefore/>
      <w:tabs>
        <w:tab w:val="left" w:pos="980"/>
      </w:tabs>
      <w:autoSpaceDE/>
      <w:autoSpaceDN/>
      <w:ind w:left="980" w:hanging="360"/>
      <w:jc w:val="both"/>
      <w:textAlignment w:val="auto"/>
    </w:pPr>
    <w:rPr>
      <w:rFonts w:ascii="仿宋" w:hAnsi="仿宋" w:eastAsia="仿宋"/>
      <w:kern w:val="44"/>
      <w:sz w:val="32"/>
    </w:rPr>
  </w:style>
  <w:style w:type="paragraph" w:customStyle="1" w:styleId="538">
    <w:name w:val="xl76"/>
    <w:basedOn w:val="1"/>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539">
    <w:name w:val="图片标注"/>
    <w:basedOn w:val="1"/>
    <w:next w:val="7"/>
    <w:qFormat/>
    <w:uiPriority w:val="0"/>
    <w:pPr>
      <w:widowControl/>
      <w:spacing w:after="120"/>
      <w:jc w:val="center"/>
    </w:pPr>
    <w:rPr>
      <w:rFonts w:hint="eastAsia" w:ascii="宋体" w:hAnsi="宋体"/>
      <w:szCs w:val="22"/>
    </w:rPr>
  </w:style>
  <w:style w:type="paragraph" w:customStyle="1" w:styleId="540">
    <w:name w:val="表"/>
    <w:basedOn w:val="1"/>
    <w:next w:val="1"/>
    <w:qFormat/>
    <w:uiPriority w:val="7"/>
    <w:pPr>
      <w:widowControl/>
      <w:jc w:val="center"/>
    </w:pPr>
  </w:style>
  <w:style w:type="paragraph" w:customStyle="1" w:styleId="541">
    <w:name w:val="页眉1"/>
    <w:basedOn w:val="4"/>
    <w:qFormat/>
    <w:uiPriority w:val="0"/>
    <w:pPr>
      <w:keepLines/>
      <w:widowControl/>
      <w:pBdr>
        <w:bottom w:val="single" w:color="auto" w:sz="4" w:space="1"/>
      </w:pBdr>
      <w:autoSpaceDE/>
      <w:autoSpaceDN/>
      <w:snapToGrid w:val="0"/>
      <w:spacing w:before="163" w:after="120" w:line="440" w:lineRule="exact"/>
      <w:textAlignment w:val="auto"/>
    </w:pPr>
    <w:rPr>
      <w:rFonts w:ascii="Calibri" w:hAnsi="Calibri" w:eastAsia="宋体"/>
      <w:bCs/>
      <w:kern w:val="44"/>
      <w:sz w:val="24"/>
      <w:szCs w:val="28"/>
    </w:rPr>
  </w:style>
  <w:style w:type="paragraph" w:customStyle="1" w:styleId="542">
    <w:name w:val="Plain Text"/>
    <w:basedOn w:val="1"/>
    <w:uiPriority w:val="0"/>
    <w:pPr>
      <w:adjustRightInd w:val="0"/>
      <w:jc w:val="left"/>
      <w:textAlignment w:val="baseline"/>
    </w:pPr>
    <w:rPr>
      <w:rFonts w:ascii="宋体" w:hAnsi="Courier New"/>
      <w:sz w:val="24"/>
      <w:szCs w:val="20"/>
    </w:rPr>
  </w:style>
  <w:style w:type="paragraph" w:customStyle="1" w:styleId="543">
    <w:name w:val="正文文本 31"/>
    <w:basedOn w:val="1"/>
    <w:qFormat/>
    <w:uiPriority w:val="99"/>
    <w:pPr>
      <w:spacing w:after="120" w:line="360" w:lineRule="auto"/>
    </w:pPr>
    <w:rPr>
      <w:sz w:val="16"/>
      <w:szCs w:val="16"/>
    </w:rPr>
  </w:style>
  <w:style w:type="paragraph" w:customStyle="1" w:styleId="544">
    <w:name w:val="！调研报告1-2"/>
    <w:qFormat/>
    <w:uiPriority w:val="0"/>
    <w:pPr>
      <w:spacing w:beforeLines="50" w:afterLines="50" w:line="360" w:lineRule="auto"/>
      <w:ind w:firstLine="200" w:firstLineChars="200"/>
      <w:outlineLvl w:val="2"/>
    </w:pPr>
    <w:rPr>
      <w:rFonts w:ascii="仿宋_GB2312" w:hAnsi="仿宋_GB2312" w:cs="仿宋_GB2312"/>
      <w:b/>
      <w:bCs/>
      <w:kern w:val="2"/>
      <w:sz w:val="24"/>
      <w:szCs w:val="24"/>
      <w:lang w:val="en-US" w:eastAsia="zh-CN" w:bidi="ar-SA"/>
    </w:rPr>
  </w:style>
  <w:style w:type="paragraph" w:customStyle="1" w:styleId="545">
    <w:name w:val="正文_2"/>
    <w:qFormat/>
    <w:uiPriority w:val="0"/>
    <w:pPr>
      <w:widowControl w:val="0"/>
      <w:jc w:val="both"/>
    </w:pPr>
    <w:rPr>
      <w:rFonts w:ascii="Calibri" w:hAnsi="Calibri"/>
      <w:kern w:val="2"/>
      <w:sz w:val="21"/>
      <w:szCs w:val="22"/>
      <w:lang w:val="en-US" w:eastAsia="zh-CN" w:bidi="ar-SA"/>
    </w:rPr>
  </w:style>
  <w:style w:type="paragraph" w:customStyle="1" w:styleId="546">
    <w:name w:val="xl2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547">
    <w:name w:val="列表项目"/>
    <w:basedOn w:val="1"/>
    <w:uiPriority w:val="0"/>
    <w:pPr>
      <w:tabs>
        <w:tab w:val="left" w:pos="420"/>
      </w:tabs>
      <w:spacing w:line="288" w:lineRule="auto"/>
      <w:ind w:left="840" w:leftChars="200" w:hanging="420" w:hangingChars="200"/>
    </w:pPr>
    <w:rPr>
      <w:sz w:val="24"/>
      <w:szCs w:val="20"/>
    </w:rPr>
  </w:style>
  <w:style w:type="paragraph" w:customStyle="1" w:styleId="548">
    <w:name w:val="列出段落11"/>
    <w:basedOn w:val="1"/>
    <w:qFormat/>
    <w:uiPriority w:val="99"/>
    <w:pPr>
      <w:widowControl/>
      <w:spacing w:line="360" w:lineRule="auto"/>
      <w:ind w:firstLine="420" w:firstLineChars="200"/>
      <w:jc w:val="left"/>
    </w:pPr>
    <w:rPr>
      <w:rFonts w:eastAsia="仿宋"/>
      <w:sz w:val="24"/>
      <w:szCs w:val="21"/>
    </w:rPr>
  </w:style>
  <w:style w:type="paragraph" w:customStyle="1" w:styleId="549">
    <w:name w:val="小标题1"/>
    <w:basedOn w:val="1"/>
    <w:next w:val="1"/>
    <w:qFormat/>
    <w:uiPriority w:val="0"/>
    <w:pPr>
      <w:widowControl/>
      <w:spacing w:line="360" w:lineRule="auto"/>
      <w:jc w:val="left"/>
    </w:pPr>
    <w:rPr>
      <w:rFonts w:eastAsia="仿宋"/>
      <w:sz w:val="24"/>
    </w:rPr>
  </w:style>
  <w:style w:type="paragraph" w:customStyle="1" w:styleId="550">
    <w:name w:val="xl67"/>
    <w:basedOn w:val="1"/>
    <w:uiPriority w:val="0"/>
    <w:pPr>
      <w:widowControl/>
      <w:pBdr>
        <w:top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551">
    <w:name w:val="列出段落5"/>
    <w:basedOn w:val="1"/>
    <w:qFormat/>
    <w:uiPriority w:val="34"/>
    <w:pPr>
      <w:ind w:firstLine="420" w:firstLineChars="200"/>
    </w:pPr>
    <w:rPr>
      <w:rFonts w:ascii="Calibri" w:hAnsi="Calibri"/>
      <w:sz w:val="24"/>
    </w:rPr>
  </w:style>
  <w:style w:type="paragraph" w:customStyle="1" w:styleId="552">
    <w:name w:val="_Style 59"/>
    <w:basedOn w:val="20"/>
    <w:qFormat/>
    <w:uiPriority w:val="99"/>
    <w:pPr>
      <w:shd w:val="clear" w:color="auto" w:fill="000080"/>
      <w:adjustRightInd/>
      <w:snapToGrid/>
      <w:spacing w:beforeLines="30" w:after="0" w:afterLines="30" w:line="360" w:lineRule="auto"/>
      <w:ind w:firstLine="595" w:firstLineChars="248"/>
    </w:pPr>
    <w:rPr>
      <w:rFonts w:ascii="Times New Roman" w:hAnsi="Calibri"/>
      <w:sz w:val="21"/>
      <w:szCs w:val="20"/>
      <w:lang w:val="zh-CN"/>
    </w:rPr>
  </w:style>
  <w:style w:type="paragraph" w:customStyle="1" w:styleId="553">
    <w:name w:val="样式5"/>
    <w:basedOn w:val="9"/>
    <w:qFormat/>
    <w:uiPriority w:val="0"/>
    <w:pPr>
      <w:keepNext/>
      <w:widowControl w:val="0"/>
      <w:tabs>
        <w:tab w:val="left" w:pos="480"/>
        <w:tab w:val="left" w:pos="540"/>
        <w:tab w:val="left" w:pos="720"/>
      </w:tabs>
      <w:spacing w:before="120" w:beforeLines="50" w:after="0" w:afterLines="50" w:line="240" w:lineRule="auto"/>
    </w:pPr>
    <w:rPr>
      <w:rFonts w:ascii="仿宋" w:hAnsi="仿宋" w:eastAsia="仿宋" w:cs="仿宋"/>
      <w:bCs/>
      <w:sz w:val="24"/>
      <w:szCs w:val="24"/>
    </w:rPr>
  </w:style>
  <w:style w:type="paragraph" w:customStyle="1" w:styleId="554">
    <w:name w:val="模板标题5"/>
    <w:basedOn w:val="1"/>
    <w:next w:val="2"/>
    <w:qFormat/>
    <w:uiPriority w:val="0"/>
    <w:pPr>
      <w:tabs>
        <w:tab w:val="left" w:pos="1800"/>
      </w:tabs>
      <w:spacing w:afterLines="50"/>
      <w:outlineLvl w:val="4"/>
    </w:pPr>
    <w:rPr>
      <w:rFonts w:ascii="宋体" w:hAnsi="宋体"/>
      <w:b/>
      <w:szCs w:val="20"/>
    </w:rPr>
  </w:style>
  <w:style w:type="paragraph" w:customStyle="1" w:styleId="555">
    <w:name w:val="正文文本缩进 31"/>
    <w:basedOn w:val="1"/>
    <w:qFormat/>
    <w:uiPriority w:val="99"/>
    <w:pPr>
      <w:spacing w:after="120" w:line="360" w:lineRule="auto"/>
      <w:ind w:left="420" w:leftChars="200"/>
    </w:pPr>
    <w:rPr>
      <w:sz w:val="16"/>
      <w:szCs w:val="16"/>
    </w:rPr>
  </w:style>
  <w:style w:type="paragraph" w:customStyle="1" w:styleId="556">
    <w:name w:val="正文黑体"/>
    <w:basedOn w:val="387"/>
    <w:qFormat/>
    <w:uiPriority w:val="0"/>
    <w:pPr>
      <w:ind w:firstLine="480"/>
    </w:pPr>
    <w:rPr>
      <w:rFonts w:ascii="黑体" w:hAnsi="黑体" w:eastAsia="黑体" w:cs="宋体"/>
      <w:szCs w:val="20"/>
    </w:rPr>
  </w:style>
  <w:style w:type="paragraph" w:customStyle="1" w:styleId="557">
    <w:name w:val="CM106"/>
    <w:basedOn w:val="379"/>
    <w:next w:val="379"/>
    <w:uiPriority w:val="0"/>
    <w:rPr>
      <w:rFonts w:ascii="宋体" w:eastAsia="宋体" w:cs="Times New Roman"/>
      <w:color w:val="auto"/>
    </w:rPr>
  </w:style>
  <w:style w:type="paragraph" w:customStyle="1" w:styleId="558">
    <w:name w:val="表题"/>
    <w:basedOn w:val="1"/>
    <w:qFormat/>
    <w:uiPriority w:val="99"/>
    <w:pPr>
      <w:widowControl/>
      <w:spacing w:beforeLines="100" w:line="360" w:lineRule="auto"/>
      <w:ind w:left="850" w:hanging="850"/>
      <w:jc w:val="center"/>
    </w:pPr>
    <w:rPr>
      <w:rFonts w:eastAsia="仿宋"/>
      <w:b/>
    </w:rPr>
  </w:style>
  <w:style w:type="paragraph" w:customStyle="1" w:styleId="559">
    <w:name w:val="xl3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kern w:val="0"/>
      <w:sz w:val="20"/>
      <w:szCs w:val="20"/>
    </w:rPr>
  </w:style>
  <w:style w:type="paragraph" w:customStyle="1" w:styleId="560">
    <w:name w:val="特点标题"/>
    <w:basedOn w:val="1"/>
    <w:next w:val="23"/>
    <w:uiPriority w:val="0"/>
    <w:pPr>
      <w:widowControl/>
      <w:overflowPunct w:val="0"/>
      <w:autoSpaceDE w:val="0"/>
      <w:autoSpaceDN w:val="0"/>
      <w:adjustRightInd w:val="0"/>
      <w:spacing w:after="120" w:afterLines="50" w:line="360" w:lineRule="auto"/>
      <w:jc w:val="left"/>
    </w:pPr>
    <w:rPr>
      <w:kern w:val="0"/>
      <w:sz w:val="24"/>
      <w:szCs w:val="20"/>
    </w:rPr>
  </w:style>
  <w:style w:type="paragraph" w:customStyle="1" w:styleId="561">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562">
    <w:name w:val="5正文"/>
    <w:qFormat/>
    <w:uiPriority w:val="0"/>
    <w:pPr>
      <w:spacing w:after="200"/>
      <w:ind w:left="420" w:right="240" w:rightChars="100"/>
    </w:pPr>
    <w:rPr>
      <w:rFonts w:ascii="宋体" w:hAnsi="宋体"/>
      <w:sz w:val="24"/>
      <w:szCs w:val="28"/>
      <w:lang w:val="en-US" w:eastAsia="zh-CN" w:bidi="ar-SA"/>
    </w:rPr>
  </w:style>
  <w:style w:type="paragraph" w:customStyle="1" w:styleId="563">
    <w:name w:val="纯文本11"/>
    <w:basedOn w:val="1"/>
    <w:qFormat/>
    <w:uiPriority w:val="0"/>
    <w:pPr>
      <w:adjustRightInd w:val="0"/>
    </w:pPr>
    <w:rPr>
      <w:rFonts w:hint="eastAsia" w:ascii="宋体" w:hAnsi="Courier New" w:eastAsia="楷体_GB2312"/>
      <w:sz w:val="28"/>
      <w:szCs w:val="20"/>
    </w:rPr>
  </w:style>
  <w:style w:type="paragraph" w:customStyle="1" w:styleId="564">
    <w:name w:val="p3 p3 p3"/>
    <w:basedOn w:val="1"/>
    <w:qFormat/>
    <w:uiPriority w:val="0"/>
    <w:pPr>
      <w:widowControl/>
      <w:spacing w:before="100" w:beforeAutospacing="1" w:after="100" w:afterAutospacing="1"/>
      <w:jc w:val="left"/>
    </w:pPr>
    <w:rPr>
      <w:rFonts w:ascii="宋体" w:hAnsi="宋体" w:cs="宋体"/>
      <w:kern w:val="0"/>
      <w:sz w:val="24"/>
    </w:rPr>
  </w:style>
  <w:style w:type="paragraph" w:customStyle="1" w:styleId="565">
    <w:name w:val="正文_13_0"/>
    <w:qFormat/>
    <w:uiPriority w:val="0"/>
    <w:pPr>
      <w:widowControl w:val="0"/>
      <w:jc w:val="both"/>
    </w:pPr>
    <w:rPr>
      <w:kern w:val="2"/>
      <w:sz w:val="21"/>
      <w:szCs w:val="24"/>
      <w:lang w:val="en-US" w:eastAsia="zh-CN" w:bidi="ar-SA"/>
    </w:rPr>
  </w:style>
  <w:style w:type="paragraph" w:customStyle="1" w:styleId="566">
    <w:name w:val="reader-word-layer reader-word-s1-12"/>
    <w:basedOn w:val="1"/>
    <w:qFormat/>
    <w:uiPriority w:val="0"/>
    <w:pPr>
      <w:widowControl/>
      <w:spacing w:before="100" w:beforeAutospacing="1" w:after="100" w:afterAutospacing="1"/>
      <w:jc w:val="left"/>
    </w:pPr>
    <w:rPr>
      <w:rFonts w:ascii="宋体" w:hAnsi="宋体" w:cs="宋体"/>
      <w:kern w:val="0"/>
      <w:sz w:val="24"/>
    </w:rPr>
  </w:style>
  <w:style w:type="paragraph" w:customStyle="1" w:styleId="567">
    <w:name w:val="xl2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szCs w:val="20"/>
    </w:rPr>
  </w:style>
  <w:style w:type="paragraph" w:customStyle="1" w:styleId="568">
    <w:name w:val="font9"/>
    <w:basedOn w:val="1"/>
    <w:uiPriority w:val="0"/>
    <w:pPr>
      <w:widowControl/>
      <w:spacing w:before="100" w:beforeAutospacing="1" w:after="100" w:afterAutospacing="1"/>
      <w:jc w:val="left"/>
    </w:pPr>
    <w:rPr>
      <w:color w:val="000000"/>
      <w:kern w:val="0"/>
      <w:sz w:val="20"/>
      <w:szCs w:val="20"/>
    </w:rPr>
  </w:style>
  <w:style w:type="paragraph" w:customStyle="1" w:styleId="569">
    <w:name w:val="样式 标题 8 + 左"/>
    <w:basedOn w:val="12"/>
    <w:qFormat/>
    <w:uiPriority w:val="0"/>
    <w:pPr>
      <w:keepNext/>
      <w:widowControl w:val="0"/>
      <w:numPr>
        <w:ilvl w:val="7"/>
        <w:numId w:val="5"/>
      </w:numPr>
      <w:spacing w:line="319" w:lineRule="auto"/>
      <w:jc w:val="left"/>
    </w:pPr>
    <w:rPr>
      <w:rFonts w:ascii="Cambria" w:hAnsi="Cambria" w:eastAsia="宋体" w:cs="宋体"/>
      <w:color w:val="auto"/>
      <w:lang w:val="en-US" w:eastAsia="en-US"/>
    </w:rPr>
  </w:style>
  <w:style w:type="paragraph" w:customStyle="1" w:styleId="570">
    <w:name w:val="xl74"/>
    <w:basedOn w:val="1"/>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571">
    <w:name w:val="msolistparagraph"/>
    <w:basedOn w:val="1"/>
    <w:uiPriority w:val="0"/>
    <w:pPr>
      <w:spacing w:line="360" w:lineRule="auto"/>
      <w:ind w:firstLine="420" w:firstLineChars="200"/>
    </w:pPr>
    <w:rPr>
      <w:rFonts w:ascii="Calibri" w:hAnsi="Calibri"/>
      <w:sz w:val="24"/>
      <w:szCs w:val="22"/>
    </w:rPr>
  </w:style>
  <w:style w:type="paragraph" w:customStyle="1" w:styleId="572">
    <w:name w:val="缩进正文"/>
    <w:basedOn w:val="1"/>
    <w:qFormat/>
    <w:uiPriority w:val="0"/>
    <w:pPr>
      <w:spacing w:line="300" w:lineRule="auto"/>
      <w:ind w:left="1000" w:leftChars="1000"/>
      <w:jc w:val="left"/>
    </w:pPr>
    <w:rPr>
      <w:rFonts w:ascii="Calibri" w:hAnsi="Calibri" w:eastAsia="微软雅黑 Light"/>
      <w:sz w:val="18"/>
      <w:szCs w:val="22"/>
    </w:rPr>
  </w:style>
  <w:style w:type="paragraph" w:customStyle="1" w:styleId="573">
    <w:name w:val="SANGFOR_2_标题2"/>
    <w:basedOn w:val="5"/>
    <w:next w:val="98"/>
    <w:uiPriority w:val="0"/>
    <w:pPr>
      <w:keepLines/>
      <w:adjustRightInd/>
      <w:snapToGrid/>
      <w:spacing w:before="260" w:beforeLines="50" w:after="260" w:afterLines="50" w:line="240" w:lineRule="auto"/>
      <w:jc w:val="both"/>
      <w:textAlignment w:val="auto"/>
    </w:pPr>
    <w:rPr>
      <w:rFonts w:ascii="黑体" w:hAnsi="黑体" w:eastAsia="黑体"/>
      <w:bCs/>
      <w:kern w:val="2"/>
      <w:szCs w:val="36"/>
      <w:lang w:val="en-US" w:eastAsia="zh-CN"/>
    </w:rPr>
  </w:style>
  <w:style w:type="paragraph" w:customStyle="1" w:styleId="574">
    <w:name w:val="_Style 2"/>
    <w:basedOn w:val="1"/>
    <w:next w:val="3"/>
    <w:qFormat/>
    <w:uiPriority w:val="99"/>
    <w:rPr>
      <w:sz w:val="28"/>
    </w:rPr>
  </w:style>
  <w:style w:type="paragraph" w:customStyle="1" w:styleId="575">
    <w:name w:val="xl66"/>
    <w:basedOn w:val="1"/>
    <w:uiPriority w:val="0"/>
    <w:pPr>
      <w:widowControl/>
      <w:pBdr>
        <w:top w:val="single" w:color="auto" w:sz="4" w:space="0"/>
        <w:bottom w:val="single" w:color="auto" w:sz="4" w:space="0"/>
      </w:pBdr>
      <w:spacing w:before="100" w:beforeAutospacing="1" w:after="100" w:afterAutospacing="1"/>
      <w:jc w:val="center"/>
    </w:pPr>
    <w:rPr>
      <w:rFonts w:ascii="宋体" w:hAnsi="宋体"/>
      <w:b/>
      <w:bCs/>
      <w:i/>
      <w:iCs/>
      <w:kern w:val="0"/>
      <w:sz w:val="24"/>
    </w:rPr>
  </w:style>
  <w:style w:type="paragraph" w:customStyle="1" w:styleId="576">
    <w:name w:val="样式 样式 题注 + 居中 + 居中"/>
    <w:basedOn w:val="577"/>
    <w:qFormat/>
    <w:uiPriority w:val="0"/>
    <w:rPr>
      <w:szCs w:val="20"/>
    </w:rPr>
  </w:style>
  <w:style w:type="paragraph" w:customStyle="1" w:styleId="577">
    <w:name w:val="样式 题注 + 居中"/>
    <w:basedOn w:val="18"/>
    <w:qFormat/>
    <w:uiPriority w:val="0"/>
    <w:pPr>
      <w:widowControl/>
      <w:spacing w:before="0" w:after="0" w:line="360" w:lineRule="exact"/>
      <w:jc w:val="center"/>
    </w:pPr>
    <w:rPr>
      <w:rFonts w:ascii="仿宋" w:hAnsi="仿宋" w:eastAsia="仿宋" w:cs="宋体"/>
      <w:sz w:val="24"/>
      <w:szCs w:val="24"/>
    </w:rPr>
  </w:style>
  <w:style w:type="paragraph" w:customStyle="1" w:styleId="578">
    <w:name w:val="font5"/>
    <w:basedOn w:val="1"/>
    <w:uiPriority w:val="0"/>
    <w:pPr>
      <w:widowControl/>
      <w:spacing w:before="100" w:beforeAutospacing="1" w:after="100" w:afterAutospacing="1"/>
      <w:jc w:val="left"/>
    </w:pPr>
    <w:rPr>
      <w:rFonts w:hint="eastAsia" w:ascii="宋体" w:hAnsi="宋体"/>
      <w:kern w:val="0"/>
      <w:sz w:val="18"/>
      <w:szCs w:val="18"/>
    </w:rPr>
  </w:style>
  <w:style w:type="paragraph" w:customStyle="1" w:styleId="579">
    <w:name w:val="样式 目录 1 + 居中 首行缩进:  2 字符"/>
    <w:basedOn w:val="38"/>
    <w:qFormat/>
    <w:uiPriority w:val="0"/>
    <w:pPr>
      <w:widowControl/>
      <w:tabs>
        <w:tab w:val="right" w:leader="dot" w:pos="9231"/>
        <w:tab w:val="clear" w:pos="1470"/>
        <w:tab w:val="clear" w:pos="9016"/>
      </w:tabs>
      <w:spacing w:before="120" w:beforeLines="50" w:after="120" w:afterLines="30" w:line="300" w:lineRule="auto"/>
      <w:ind w:firstLine="482"/>
      <w:jc w:val="left"/>
    </w:pPr>
    <w:rPr>
      <w:rFonts w:ascii="Calibri" w:hAnsi="Calibri" w:eastAsia="仿宋" w:cs="宋体"/>
      <w:b w:val="0"/>
      <w:color w:val="000000"/>
      <w:kern w:val="0"/>
      <w:sz w:val="24"/>
      <w:szCs w:val="20"/>
      <w:lang w:val="en-US" w:eastAsia="zh-CN"/>
    </w:rPr>
  </w:style>
  <w:style w:type="paragraph" w:customStyle="1" w:styleId="580">
    <w:name w:val="Normal1"/>
    <w:qFormat/>
    <w:uiPriority w:val="0"/>
    <w:pPr>
      <w:jc w:val="both"/>
    </w:pPr>
    <w:rPr>
      <w:kern w:val="2"/>
      <w:sz w:val="21"/>
      <w:szCs w:val="21"/>
      <w:lang w:val="en-US" w:eastAsia="zh-CN" w:bidi="ar-SA"/>
    </w:rPr>
  </w:style>
  <w:style w:type="paragraph" w:customStyle="1" w:styleId="581">
    <w:name w:val="CM51"/>
    <w:basedOn w:val="379"/>
    <w:next w:val="379"/>
    <w:uiPriority w:val="0"/>
    <w:pPr>
      <w:spacing w:after="103"/>
    </w:pPr>
    <w:rPr>
      <w:rFonts w:ascii="黑体" w:hAnsi="Calibri" w:eastAsia="黑体" w:cs="Times New Roman"/>
      <w:color w:val="auto"/>
      <w:kern w:val="2"/>
    </w:rPr>
  </w:style>
  <w:style w:type="paragraph" w:customStyle="1" w:styleId="582">
    <w:name w:val="正文样式"/>
    <w:basedOn w:val="1"/>
    <w:uiPriority w:val="0"/>
    <w:pPr>
      <w:spacing w:line="360" w:lineRule="auto"/>
      <w:ind w:firstLine="480" w:firstLineChars="200"/>
    </w:pPr>
    <w:rPr>
      <w:rFonts w:cs="宋体"/>
      <w:sz w:val="24"/>
      <w:szCs w:val="20"/>
    </w:rPr>
  </w:style>
  <w:style w:type="paragraph" w:customStyle="1" w:styleId="583">
    <w:name w:val="样式 标题 3 + 段前: 1.4 行 段后: 1.4 行"/>
    <w:basedOn w:val="6"/>
    <w:qFormat/>
    <w:uiPriority w:val="0"/>
    <w:pPr>
      <w:widowControl/>
      <w:spacing w:before="0" w:beforeLines="100" w:after="0" w:afterLines="100" w:line="300" w:lineRule="auto"/>
      <w:ind w:firstLine="0" w:firstLineChars="0"/>
      <w:jc w:val="left"/>
    </w:pPr>
    <w:rPr>
      <w:rFonts w:cs="宋体"/>
      <w:b w:val="0"/>
      <w:kern w:val="0"/>
      <w:sz w:val="24"/>
      <w:lang w:val="zh-CN"/>
    </w:rPr>
  </w:style>
  <w:style w:type="paragraph" w:customStyle="1" w:styleId="584">
    <w:name w:val="xl80"/>
    <w:basedOn w:val="1"/>
    <w:uiPriority w:val="0"/>
    <w:pPr>
      <w:widowControl/>
      <w:pBdr>
        <w:left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585">
    <w:name w:val="！培养方案1-1"/>
    <w:basedOn w:val="1"/>
    <w:qFormat/>
    <w:uiPriority w:val="0"/>
    <w:pPr>
      <w:widowControl/>
      <w:spacing w:beforeLines="50" w:afterLines="50"/>
      <w:jc w:val="left"/>
      <w:outlineLvl w:val="1"/>
    </w:pPr>
    <w:rPr>
      <w:rFonts w:ascii="黑体" w:hAnsi="宋体" w:eastAsia="黑体"/>
      <w:sz w:val="24"/>
      <w:szCs w:val="20"/>
    </w:rPr>
  </w:style>
  <w:style w:type="paragraph" w:customStyle="1" w:styleId="586">
    <w:name w:val="xl73"/>
    <w:basedOn w:val="1"/>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pPr>
    <w:rPr>
      <w:rFonts w:ascii="宋体" w:hAnsi="宋体"/>
      <w:b/>
      <w:bCs/>
      <w:i/>
      <w:iCs/>
      <w:kern w:val="0"/>
      <w:sz w:val="24"/>
    </w:rPr>
  </w:style>
  <w:style w:type="paragraph" w:customStyle="1" w:styleId="587">
    <w:name w:val="样式 正文首行缩进 2 + 左侧:  1.5 字符 首行缩进:  2 字符2"/>
    <w:basedOn w:val="1"/>
    <w:next w:val="1"/>
    <w:qFormat/>
    <w:uiPriority w:val="0"/>
    <w:pPr>
      <w:spacing w:line="360" w:lineRule="auto"/>
      <w:ind w:firstLine="480" w:firstLineChars="200"/>
    </w:pPr>
    <w:rPr>
      <w:rFonts w:ascii="宋体" w:hAnsi="宋体" w:eastAsia="宋体"/>
      <w:sz w:val="24"/>
    </w:rPr>
  </w:style>
  <w:style w:type="paragraph" w:customStyle="1" w:styleId="588">
    <w:name w:val="日期1"/>
    <w:basedOn w:val="1"/>
    <w:next w:val="1"/>
    <w:qFormat/>
    <w:uiPriority w:val="99"/>
    <w:rPr>
      <w:szCs w:val="20"/>
    </w:rPr>
  </w:style>
  <w:style w:type="paragraph" w:customStyle="1" w:styleId="589">
    <w:name w:val="表内字体2"/>
    <w:basedOn w:val="1"/>
    <w:qFormat/>
    <w:uiPriority w:val="99"/>
    <w:pPr>
      <w:widowControl/>
      <w:autoSpaceDE w:val="0"/>
      <w:autoSpaceDN w:val="0"/>
      <w:adjustRightInd w:val="0"/>
      <w:spacing w:afterLines="50" w:line="400" w:lineRule="exact"/>
      <w:ind w:firstLine="482"/>
      <w:jc w:val="left"/>
    </w:pPr>
    <w:rPr>
      <w:rFonts w:ascii="宋体"/>
      <w:color w:val="000000"/>
      <w:sz w:val="24"/>
    </w:rPr>
  </w:style>
  <w:style w:type="paragraph" w:customStyle="1" w:styleId="590">
    <w:name w:val="正文序号"/>
    <w:basedOn w:val="277"/>
    <w:qFormat/>
    <w:uiPriority w:val="0"/>
    <w:pPr>
      <w:tabs>
        <w:tab w:val="left" w:pos="480"/>
        <w:tab w:val="left" w:pos="540"/>
        <w:tab w:val="left" w:pos="720"/>
      </w:tabs>
      <w:adjustRightInd w:val="0"/>
      <w:snapToGrid w:val="0"/>
      <w:spacing w:beforeLines="50" w:line="360" w:lineRule="exact"/>
      <w:ind w:left="420" w:firstLine="147"/>
    </w:pPr>
    <w:rPr>
      <w:rFonts w:ascii="仿宋" w:hAnsi="仿宋" w:eastAsia="仿宋" w:cs="仿宋"/>
      <w:bCs/>
      <w:color w:val="000000"/>
      <w:sz w:val="24"/>
      <w:szCs w:val="24"/>
    </w:rPr>
  </w:style>
  <w:style w:type="paragraph" w:customStyle="1" w:styleId="591">
    <w:name w:val="列表段落1"/>
    <w:basedOn w:val="1"/>
    <w:qFormat/>
    <w:uiPriority w:val="1"/>
    <w:pPr>
      <w:spacing w:after="50" w:afterLines="50"/>
      <w:ind w:left="1260" w:hanging="841" w:firstLineChars="200"/>
    </w:pPr>
    <w:rPr>
      <w:rFonts w:ascii="仿宋" w:hAnsi="仿宋" w:eastAsia="仿宋" w:cs="仿宋"/>
      <w:sz w:val="32"/>
      <w:szCs w:val="22"/>
      <w:lang w:val="zh-CN" w:bidi="zh-CN"/>
    </w:rPr>
  </w:style>
  <w:style w:type="paragraph" w:customStyle="1" w:styleId="592">
    <w:name w:val="样式2"/>
    <w:basedOn w:val="1"/>
    <w:qFormat/>
    <w:uiPriority w:val="0"/>
    <w:pPr>
      <w:widowControl/>
      <w:tabs>
        <w:tab w:val="left" w:pos="840"/>
      </w:tabs>
      <w:overflowPunct w:val="0"/>
      <w:autoSpaceDE w:val="0"/>
      <w:autoSpaceDN w:val="0"/>
      <w:adjustRightInd w:val="0"/>
      <w:snapToGrid w:val="0"/>
      <w:spacing w:before="48" w:beforeLines="20" w:after="48" w:afterLines="20" w:line="440" w:lineRule="exact"/>
      <w:ind w:left="840" w:hanging="420"/>
      <w:jc w:val="left"/>
      <w:outlineLvl w:val="0"/>
    </w:pPr>
    <w:rPr>
      <w:rFonts w:ascii="宋体" w:hAnsi="宋体"/>
      <w:kern w:val="0"/>
      <w:szCs w:val="21"/>
      <w:lang w:bidi="he-IL"/>
    </w:rPr>
  </w:style>
  <w:style w:type="paragraph" w:customStyle="1" w:styleId="593">
    <w:name w:val="样式 题注 + 居中2"/>
    <w:basedOn w:val="18"/>
    <w:qFormat/>
    <w:uiPriority w:val="0"/>
    <w:pPr>
      <w:widowControl/>
      <w:spacing w:before="120" w:beforeLines="50" w:after="120" w:afterLines="50" w:line="360" w:lineRule="auto"/>
      <w:jc w:val="center"/>
    </w:pPr>
    <w:rPr>
      <w:rFonts w:ascii="仿宋" w:hAnsi="仿宋" w:eastAsia="仿宋" w:cs="宋体"/>
      <w:color w:val="000000"/>
      <w:sz w:val="21"/>
      <w:szCs w:val="21"/>
    </w:rPr>
  </w:style>
  <w:style w:type="paragraph" w:customStyle="1" w:styleId="594">
    <w:name w:val="xl4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595">
    <w:name w:val="修订1"/>
    <w:semiHidden/>
    <w:uiPriority w:val="99"/>
    <w:rPr>
      <w:rFonts w:ascii="Arial" w:hAnsi="Arial" w:cs="宋体"/>
      <w:kern w:val="2"/>
      <w:sz w:val="24"/>
      <w:lang w:val="en-US" w:eastAsia="zh-CN" w:bidi="ar-SA"/>
    </w:rPr>
  </w:style>
  <w:style w:type="paragraph" w:customStyle="1" w:styleId="596">
    <w:name w:val="！课程标准1"/>
    <w:basedOn w:val="4"/>
    <w:qFormat/>
    <w:uiPriority w:val="0"/>
    <w:pPr>
      <w:keepLines/>
      <w:widowControl/>
      <w:adjustRightInd w:val="0"/>
      <w:spacing w:beforeLines="100" w:afterLines="100"/>
      <w:textAlignment w:val="auto"/>
    </w:pPr>
    <w:rPr>
      <w:rFonts w:ascii="黑体" w:hAnsi="宋体" w:eastAsia="黑体"/>
      <w:bCs/>
      <w:color w:val="000000"/>
      <w:kern w:val="0"/>
      <w:sz w:val="32"/>
      <w:szCs w:val="20"/>
      <w:lang w:val="zh-CN"/>
    </w:rPr>
  </w:style>
  <w:style w:type="paragraph" w:customStyle="1" w:styleId="597">
    <w:name w:val="WPSOffice手动目录 2"/>
    <w:uiPriority w:val="0"/>
    <w:pPr>
      <w:ind w:leftChars="200"/>
    </w:pPr>
    <w:rPr>
      <w:lang w:val="en-US" w:eastAsia="zh-CN" w:bidi="ar-SA"/>
    </w:rPr>
  </w:style>
  <w:style w:type="paragraph" w:customStyle="1" w:styleId="598">
    <w:name w:val="标题二自定义"/>
    <w:basedOn w:val="5"/>
    <w:next w:val="1"/>
    <w:qFormat/>
    <w:uiPriority w:val="0"/>
    <w:pPr>
      <w:keepLines/>
      <w:pBdr>
        <w:top w:val="none" w:color="auto" w:sz="0" w:space="1"/>
        <w:left w:val="none" w:color="auto" w:sz="0" w:space="4"/>
        <w:bottom w:val="none" w:color="auto" w:sz="0" w:space="1"/>
        <w:right w:val="none" w:color="auto" w:sz="0" w:space="4"/>
      </w:pBdr>
      <w:adjustRightInd/>
      <w:snapToGrid/>
      <w:spacing w:before="312" w:after="312"/>
      <w:ind w:left="141"/>
      <w:jc w:val="both"/>
      <w:textAlignment w:val="auto"/>
    </w:pPr>
    <w:rPr>
      <w:rFonts w:ascii="仿宋" w:hAnsi="仿宋" w:eastAsia="仿宋"/>
      <w:sz w:val="30"/>
      <w:szCs w:val="24"/>
    </w:rPr>
  </w:style>
  <w:style w:type="paragraph" w:customStyle="1" w:styleId="599">
    <w:name w:val="默认段落字体 Para Char Char Char Char Char Char Char Char Char1 Char Char Char Char Char Char Char Char Char Char"/>
    <w:basedOn w:val="20"/>
    <w:qFormat/>
    <w:uiPriority w:val="0"/>
    <w:pPr>
      <w:shd w:val="clear" w:color="auto" w:fill="000080"/>
      <w:adjustRightInd/>
      <w:snapToGrid/>
      <w:spacing w:beforeLines="30" w:after="0" w:afterLines="30" w:line="360" w:lineRule="auto"/>
      <w:ind w:firstLine="595" w:firstLineChars="248"/>
    </w:pPr>
    <w:rPr>
      <w:rFonts w:ascii="Tahoma"/>
      <w:kern w:val="2"/>
      <w:sz w:val="24"/>
      <w:szCs w:val="24"/>
      <w:lang w:val="zh-CN"/>
    </w:rPr>
  </w:style>
  <w:style w:type="paragraph" w:customStyle="1" w:styleId="600">
    <w:name w:val="xl3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601">
    <w:name w:val="样式 标题 2 + 宋体 加粗 行距: 1.5 倍行距"/>
    <w:basedOn w:val="5"/>
    <w:uiPriority w:val="0"/>
    <w:pPr>
      <w:keepNext w:val="0"/>
      <w:tabs>
        <w:tab w:val="left" w:pos="432"/>
      </w:tabs>
      <w:autoSpaceDE w:val="0"/>
      <w:autoSpaceDN w:val="0"/>
      <w:snapToGrid/>
      <w:spacing w:before="20" w:after="20" w:line="240" w:lineRule="auto"/>
      <w:ind w:left="432" w:hanging="432"/>
      <w:jc w:val="left"/>
      <w:textAlignment w:val="auto"/>
    </w:pPr>
    <w:rPr>
      <w:rFonts w:ascii="宋体" w:hAnsi="宋体" w:eastAsia="宋体" w:cs="宋体"/>
      <w:bCs/>
      <w:sz w:val="24"/>
      <w:lang w:val="en-US" w:eastAsia="zh-CN"/>
    </w:rPr>
  </w:style>
  <w:style w:type="paragraph" w:customStyle="1" w:styleId="602">
    <w:name w:val="样式 仿宋 行距: 1.5 倍行距"/>
    <w:basedOn w:val="1"/>
    <w:qFormat/>
    <w:uiPriority w:val="99"/>
    <w:pPr>
      <w:widowControl/>
      <w:spacing w:line="360" w:lineRule="auto"/>
      <w:jc w:val="left"/>
    </w:pPr>
    <w:rPr>
      <w:rFonts w:ascii="仿宋" w:hAnsi="仿宋" w:eastAsia="仿宋" w:cs="宋体"/>
      <w:sz w:val="24"/>
    </w:rPr>
  </w:style>
  <w:style w:type="paragraph" w:customStyle="1" w:styleId="603">
    <w:name w:val="样式 标题6 + 左"/>
    <w:basedOn w:val="604"/>
    <w:uiPriority w:val="0"/>
    <w:pPr>
      <w:spacing w:line="319" w:lineRule="auto"/>
      <w:jc w:val="left"/>
    </w:pPr>
  </w:style>
  <w:style w:type="paragraph" w:customStyle="1" w:styleId="604">
    <w:name w:val="标题6"/>
    <w:basedOn w:val="10"/>
    <w:next w:val="1"/>
    <w:qFormat/>
    <w:uiPriority w:val="0"/>
    <w:pPr>
      <w:keepNext/>
      <w:widowControl w:val="0"/>
      <w:numPr>
        <w:ilvl w:val="5"/>
        <w:numId w:val="5"/>
      </w:numPr>
      <w:spacing w:line="320" w:lineRule="auto"/>
    </w:pPr>
    <w:rPr>
      <w:rFonts w:cs="宋体"/>
      <w:bCs/>
      <w:color w:val="auto"/>
      <w:lang w:val="en-US" w:eastAsia="zh-CN"/>
    </w:rPr>
  </w:style>
  <w:style w:type="paragraph" w:customStyle="1" w:styleId="605">
    <w:name w:val="样式 标题 9 +"/>
    <w:basedOn w:val="606"/>
    <w:uiPriority w:val="0"/>
  </w:style>
  <w:style w:type="paragraph" w:customStyle="1" w:styleId="606">
    <w:name w:val="标题9"/>
    <w:basedOn w:val="13"/>
    <w:next w:val="1"/>
    <w:qFormat/>
    <w:uiPriority w:val="0"/>
    <w:pPr>
      <w:keepNext/>
      <w:widowControl w:val="0"/>
      <w:numPr>
        <w:ilvl w:val="8"/>
        <w:numId w:val="5"/>
      </w:numPr>
      <w:spacing w:line="320" w:lineRule="auto"/>
    </w:pPr>
    <w:rPr>
      <w:rFonts w:ascii="Cambria" w:hAnsi="Cambria" w:eastAsia="宋体"/>
      <w:color w:val="auto"/>
      <w:szCs w:val="21"/>
      <w:lang w:val="en-US" w:eastAsia="en-US"/>
    </w:rPr>
  </w:style>
  <w:style w:type="paragraph" w:customStyle="1" w:styleId="607">
    <w:name w:val="Char Char"/>
    <w:basedOn w:val="1"/>
    <w:uiPriority w:val="0"/>
    <w:pPr>
      <w:adjustRightInd w:val="0"/>
      <w:spacing w:line="360" w:lineRule="auto"/>
    </w:pPr>
    <w:rPr>
      <w:kern w:val="0"/>
      <w:sz w:val="24"/>
      <w:szCs w:val="20"/>
    </w:rPr>
  </w:style>
  <w:style w:type="paragraph" w:customStyle="1" w:styleId="608">
    <w:name w:val="样式 宋体 左 行距: 固定值 22 磅"/>
    <w:basedOn w:val="1"/>
    <w:qFormat/>
    <w:uiPriority w:val="0"/>
    <w:pPr>
      <w:widowControl/>
      <w:spacing w:line="440" w:lineRule="exact"/>
      <w:ind w:firstLine="480" w:firstLineChars="200"/>
      <w:jc w:val="left"/>
    </w:pPr>
    <w:rPr>
      <w:rFonts w:ascii="宋体" w:hAnsi="宋体" w:cs="宋体"/>
      <w:kern w:val="0"/>
      <w:sz w:val="24"/>
      <w:szCs w:val="20"/>
    </w:rPr>
  </w:style>
  <w:style w:type="paragraph" w:customStyle="1" w:styleId="609">
    <w:name w:val="标题7"/>
    <w:basedOn w:val="11"/>
    <w:next w:val="1"/>
    <w:uiPriority w:val="99"/>
    <w:pPr>
      <w:keepNext/>
      <w:widowControl w:val="0"/>
      <w:numPr>
        <w:ilvl w:val="6"/>
        <w:numId w:val="6"/>
      </w:numPr>
      <w:spacing w:before="0" w:beforeLines="50" w:after="0" w:afterLines="50" w:line="360" w:lineRule="auto"/>
      <w:jc w:val="left"/>
    </w:pPr>
    <w:rPr>
      <w:rFonts w:ascii="Arial" w:hAnsi="Arial" w:eastAsia="黑体" w:cs="宋体"/>
      <w:bCs/>
      <w:color w:val="auto"/>
      <w:lang w:val="en-US" w:eastAsia="zh-CN"/>
    </w:rPr>
  </w:style>
  <w:style w:type="paragraph" w:customStyle="1" w:styleId="610">
    <w:name w:val="默认段落字体 Para Char Char Char Char Char Char Char Char Char1 Char Char Char Char Char Char Char"/>
    <w:basedOn w:val="1"/>
    <w:uiPriority w:val="0"/>
    <w:pPr>
      <w:keepNext/>
      <w:autoSpaceDE w:val="0"/>
      <w:autoSpaceDN w:val="0"/>
      <w:spacing w:before="40" w:after="40"/>
      <w:jc w:val="center"/>
    </w:pPr>
    <w:rPr>
      <w:szCs w:val="20"/>
    </w:rPr>
  </w:style>
  <w:style w:type="paragraph" w:customStyle="1" w:styleId="611">
    <w:name w:val="xl58"/>
    <w:basedOn w:val="1"/>
    <w:uiPriority w:val="0"/>
    <w:pPr>
      <w:widowControl/>
      <w:pBdr>
        <w:left w:val="single" w:color="auto" w:sz="4" w:space="0"/>
        <w:bottom w:val="single" w:color="auto" w:sz="4" w:space="0"/>
        <w:right w:val="single" w:color="auto" w:sz="8" w:space="0"/>
      </w:pBdr>
      <w:spacing w:before="100" w:beforeAutospacing="1" w:after="100" w:afterAutospacing="1"/>
      <w:jc w:val="left"/>
    </w:pPr>
    <w:rPr>
      <w:b/>
      <w:bCs/>
      <w:kern w:val="0"/>
      <w:sz w:val="20"/>
      <w:szCs w:val="20"/>
    </w:rPr>
  </w:style>
  <w:style w:type="paragraph" w:customStyle="1" w:styleId="612">
    <w:name w:val="xl52"/>
    <w:basedOn w:val="1"/>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613">
    <w:name w:val="样式 标题 1 + 仿宋_GB2312 三号 居中 段前: 3.6 磅 行距: 单倍行距"/>
    <w:basedOn w:val="4"/>
    <w:qFormat/>
    <w:uiPriority w:val="99"/>
    <w:pPr>
      <w:keepLines/>
      <w:widowControl/>
      <w:autoSpaceDE/>
      <w:autoSpaceDN/>
      <w:spacing w:before="300" w:after="330" w:line="240" w:lineRule="auto"/>
      <w:textAlignment w:val="auto"/>
    </w:pPr>
    <w:rPr>
      <w:rFonts w:hAnsi="宋体" w:cs="宋体"/>
      <w:bCs/>
      <w:kern w:val="44"/>
      <w:sz w:val="32"/>
      <w:szCs w:val="32"/>
    </w:rPr>
  </w:style>
  <w:style w:type="paragraph" w:customStyle="1" w:styleId="614">
    <w:name w:val="Style4"/>
    <w:basedOn w:val="1"/>
    <w:qFormat/>
    <w:uiPriority w:val="0"/>
    <w:pPr>
      <w:widowControl/>
      <w:adjustRightInd w:val="0"/>
      <w:spacing w:line="482" w:lineRule="exact"/>
      <w:ind w:firstLine="485"/>
      <w:jc w:val="left"/>
    </w:pPr>
    <w:rPr>
      <w:rFonts w:eastAsia="Times New Roman"/>
      <w:kern w:val="0"/>
      <w:sz w:val="24"/>
    </w:rPr>
  </w:style>
  <w:style w:type="paragraph" w:customStyle="1" w:styleId="615">
    <w:name w:val="Table Paragraph"/>
    <w:basedOn w:val="1"/>
    <w:qFormat/>
    <w:uiPriority w:val="1"/>
    <w:pPr>
      <w:autoSpaceDE w:val="0"/>
      <w:autoSpaceDN w:val="0"/>
      <w:jc w:val="left"/>
    </w:pPr>
    <w:rPr>
      <w:rFonts w:ascii="Noto Sans CJK JP Regular" w:hAnsi="Noto Sans CJK JP Regular" w:eastAsia="Noto Sans CJK JP Regular" w:cs="Noto Sans CJK JP Regular"/>
      <w:kern w:val="0"/>
      <w:sz w:val="22"/>
      <w:szCs w:val="22"/>
      <w:lang w:eastAsia="en-US" w:bidi="en-US"/>
    </w:rPr>
  </w:style>
  <w:style w:type="paragraph" w:customStyle="1" w:styleId="616">
    <w:name w:val="正文列表"/>
    <w:basedOn w:val="1"/>
    <w:qFormat/>
    <w:uiPriority w:val="0"/>
    <w:pPr>
      <w:autoSpaceDE w:val="0"/>
      <w:autoSpaceDN w:val="0"/>
      <w:adjustRightInd w:val="0"/>
      <w:jc w:val="center"/>
      <w:textAlignment w:val="baseline"/>
    </w:pPr>
    <w:rPr>
      <w:rFonts w:ascii="宋体" w:hAnsi="宋体"/>
      <w:kern w:val="0"/>
      <w:sz w:val="24"/>
      <w:szCs w:val="20"/>
    </w:rPr>
  </w:style>
  <w:style w:type="paragraph" w:customStyle="1" w:styleId="617">
    <w:name w:val="论文正文"/>
    <w:basedOn w:val="1"/>
    <w:qFormat/>
    <w:uiPriority w:val="0"/>
    <w:pPr>
      <w:widowControl/>
      <w:spacing w:line="360" w:lineRule="auto"/>
      <w:ind w:firstLine="480" w:firstLineChars="200"/>
      <w:jc w:val="left"/>
    </w:pPr>
    <w:rPr>
      <w:sz w:val="24"/>
      <w:szCs w:val="20"/>
    </w:rPr>
  </w:style>
  <w:style w:type="paragraph" w:customStyle="1" w:styleId="618">
    <w:name w:val="font0"/>
    <w:basedOn w:val="1"/>
    <w:qFormat/>
    <w:uiPriority w:val="0"/>
    <w:pPr>
      <w:widowControl/>
      <w:spacing w:before="100" w:beforeAutospacing="1" w:after="100" w:afterAutospacing="1"/>
      <w:jc w:val="left"/>
    </w:pPr>
    <w:rPr>
      <w:rFonts w:ascii="宋体" w:hAnsi="宋体"/>
      <w:kern w:val="0"/>
      <w:sz w:val="24"/>
    </w:rPr>
  </w:style>
  <w:style w:type="paragraph" w:customStyle="1" w:styleId="619">
    <w:name w:val="封面标准名称"/>
    <w:uiPriority w:val="0"/>
    <w:pPr>
      <w:widowControl w:val="0"/>
      <w:spacing w:line="680" w:lineRule="exact"/>
      <w:jc w:val="center"/>
      <w:textAlignment w:val="center"/>
    </w:pPr>
    <w:rPr>
      <w:rFonts w:ascii="黑体" w:eastAsia="黑体"/>
      <w:sz w:val="52"/>
      <w:lang w:val="en-US" w:eastAsia="zh-CN" w:bidi="ar-SA"/>
    </w:rPr>
  </w:style>
  <w:style w:type="paragraph" w:customStyle="1" w:styleId="620">
    <w:name w:val="xl2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szCs w:val="20"/>
    </w:rPr>
  </w:style>
  <w:style w:type="paragraph" w:customStyle="1" w:styleId="621">
    <w:name w:val="xl3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622">
    <w:name w:val="默认段落字体 Para Char Char Char Char Char Char Char Char Char Char1 Char Char Char Char"/>
    <w:basedOn w:val="1"/>
    <w:uiPriority w:val="0"/>
    <w:pPr>
      <w:spacing w:line="500" w:lineRule="exact"/>
      <w:ind w:firstLine="200" w:firstLineChars="200"/>
    </w:pPr>
    <w:rPr>
      <w:szCs w:val="20"/>
    </w:rPr>
  </w:style>
  <w:style w:type="paragraph" w:customStyle="1" w:styleId="623">
    <w:name w:val="正文_2_0"/>
    <w:qFormat/>
    <w:uiPriority w:val="0"/>
    <w:pPr>
      <w:widowControl w:val="0"/>
      <w:jc w:val="both"/>
    </w:pPr>
    <w:rPr>
      <w:kern w:val="2"/>
      <w:sz w:val="21"/>
      <w:szCs w:val="24"/>
      <w:lang w:val="en-US" w:eastAsia="zh-CN" w:bidi="ar-SA"/>
    </w:rPr>
  </w:style>
  <w:style w:type="paragraph" w:customStyle="1" w:styleId="624">
    <w:name w:val="HTML 预设格式1"/>
    <w:basedOn w:val="1"/>
    <w:qFormat/>
    <w:uiPriority w:val="0"/>
    <w:pPr>
      <w:widowControl/>
      <w:jc w:val="left"/>
    </w:pPr>
    <w:rPr>
      <w:rFonts w:ascii="Arial" w:hAnsi="Arial"/>
      <w:kern w:val="0"/>
      <w:sz w:val="24"/>
    </w:rPr>
  </w:style>
  <w:style w:type="paragraph" w:customStyle="1" w:styleId="625">
    <w:name w:val="xl84"/>
    <w:basedOn w:val="1"/>
    <w:uiPriority w:val="0"/>
    <w:pPr>
      <w:widowControl/>
      <w:pBdr>
        <w:top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626">
    <w:name w:val="！调研报告1"/>
    <w:basedOn w:val="4"/>
    <w:qFormat/>
    <w:uiPriority w:val="0"/>
    <w:pPr>
      <w:keepLines/>
      <w:widowControl/>
      <w:adjustRightInd w:val="0"/>
      <w:spacing w:beforeLines="100" w:afterLines="100"/>
      <w:textAlignment w:val="auto"/>
    </w:pPr>
    <w:rPr>
      <w:rFonts w:ascii="黑体" w:hAnsi="宋体" w:eastAsia="黑体"/>
      <w:bCs/>
      <w:color w:val="000000"/>
      <w:kern w:val="0"/>
      <w:sz w:val="32"/>
      <w:szCs w:val="20"/>
      <w:lang w:val="zh-CN"/>
    </w:rPr>
  </w:style>
  <w:style w:type="paragraph" w:customStyle="1" w:styleId="627">
    <w:name w:val="第三极标题"/>
    <w:basedOn w:val="6"/>
    <w:next w:val="1"/>
    <w:qFormat/>
    <w:uiPriority w:val="0"/>
    <w:pPr>
      <w:spacing w:before="120" w:after="120"/>
      <w:ind w:left="1418" w:hanging="709" w:firstLineChars="0"/>
    </w:pPr>
    <w:rPr>
      <w:rFonts w:ascii="Calibri" w:hAnsi="Calibri" w:eastAsia="仿宋"/>
      <w:szCs w:val="32"/>
      <w:lang w:val="en-US" w:eastAsia="zh-CN"/>
    </w:rPr>
  </w:style>
  <w:style w:type="paragraph" w:customStyle="1" w:styleId="628">
    <w:name w:val="正文靠左"/>
    <w:basedOn w:val="1"/>
    <w:qFormat/>
    <w:uiPriority w:val="0"/>
    <w:pPr>
      <w:widowControl/>
      <w:jc w:val="left"/>
    </w:pPr>
    <w:rPr>
      <w:rFonts w:ascii="Calibri" w:hAnsi="Calibri" w:cs="Arial"/>
      <w:szCs w:val="22"/>
    </w:rPr>
  </w:style>
  <w:style w:type="paragraph" w:customStyle="1" w:styleId="629">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630">
    <w:name w:val="正文文本缩进1"/>
    <w:basedOn w:val="1"/>
    <w:qFormat/>
    <w:uiPriority w:val="99"/>
    <w:pPr>
      <w:spacing w:line="360" w:lineRule="auto"/>
      <w:ind w:firstLine="570"/>
    </w:pPr>
    <w:rPr>
      <w:rFonts w:ascii="宋体"/>
      <w:sz w:val="28"/>
      <w:szCs w:val="20"/>
    </w:rPr>
  </w:style>
  <w:style w:type="paragraph" w:customStyle="1" w:styleId="631">
    <w:name w:val="样式 题注 + 居中1"/>
    <w:basedOn w:val="18"/>
    <w:qFormat/>
    <w:uiPriority w:val="0"/>
    <w:pPr>
      <w:widowControl/>
      <w:spacing w:before="0" w:beforeLines="50" w:after="0" w:afterLines="100" w:line="440" w:lineRule="exact"/>
      <w:jc w:val="center"/>
    </w:pPr>
    <w:rPr>
      <w:rFonts w:ascii="Times New Roman" w:hAnsi="Times New Roman" w:eastAsia="宋体" w:cs="宋体"/>
      <w:sz w:val="21"/>
    </w:rPr>
  </w:style>
  <w:style w:type="paragraph" w:customStyle="1" w:styleId="632">
    <w:name w:val="xl6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szCs w:val="20"/>
    </w:rPr>
  </w:style>
  <w:style w:type="paragraph" w:customStyle="1" w:styleId="633">
    <w:name w:val="Style2"/>
    <w:basedOn w:val="1"/>
    <w:qFormat/>
    <w:uiPriority w:val="0"/>
    <w:pPr>
      <w:widowControl/>
      <w:adjustRightInd w:val="0"/>
      <w:jc w:val="left"/>
    </w:pPr>
    <w:rPr>
      <w:rFonts w:eastAsia="Times New Roman"/>
      <w:kern w:val="0"/>
      <w:sz w:val="24"/>
    </w:rPr>
  </w:style>
  <w:style w:type="paragraph" w:customStyle="1" w:styleId="634">
    <w:name w:val="msonormal"/>
    <w:basedOn w:val="1"/>
    <w:uiPriority w:val="0"/>
    <w:pPr>
      <w:widowControl/>
      <w:spacing w:before="100" w:beforeAutospacing="1" w:after="100" w:afterAutospacing="1"/>
      <w:jc w:val="left"/>
    </w:pPr>
    <w:rPr>
      <w:rFonts w:ascii="宋体" w:hAnsi="宋体" w:cs="宋体"/>
      <w:kern w:val="0"/>
      <w:sz w:val="24"/>
    </w:rPr>
  </w:style>
  <w:style w:type="paragraph" w:customStyle="1" w:styleId="635">
    <w:name w:val="WPSOffice手动目录 1"/>
    <w:uiPriority w:val="0"/>
    <w:rPr>
      <w:lang w:val="en-US" w:eastAsia="zh-CN" w:bidi="ar-SA"/>
    </w:rPr>
  </w:style>
  <w:style w:type="paragraph" w:customStyle="1" w:styleId="636">
    <w:name w:val="Char Char Char Char Char Char Char Char Char Char2"/>
    <w:basedOn w:val="1"/>
    <w:qFormat/>
    <w:uiPriority w:val="0"/>
    <w:pPr>
      <w:widowControl/>
      <w:tabs>
        <w:tab w:val="left" w:pos="360"/>
      </w:tabs>
      <w:ind w:left="360" w:hanging="360" w:hangingChars="200"/>
      <w:jc w:val="left"/>
    </w:pPr>
    <w:rPr>
      <w:sz w:val="24"/>
      <w:szCs w:val="20"/>
    </w:rPr>
  </w:style>
  <w:style w:type="paragraph" w:customStyle="1" w:styleId="637">
    <w:name w:val=" Char Char Char Char Char Char"/>
    <w:basedOn w:val="1"/>
    <w:uiPriority w:val="0"/>
    <w:pPr>
      <w:widowControl/>
      <w:spacing w:after="160" w:line="240" w:lineRule="exact"/>
      <w:jc w:val="left"/>
    </w:pPr>
    <w:rPr>
      <w:rFonts w:ascii="Verdana" w:hAnsi="Verdana"/>
      <w:kern w:val="0"/>
      <w:sz w:val="20"/>
      <w:szCs w:val="20"/>
      <w:lang w:eastAsia="en-US"/>
    </w:rPr>
  </w:style>
  <w:style w:type="paragraph" w:customStyle="1" w:styleId="638">
    <w:name w:val="Table Text"/>
    <w:uiPriority w:val="0"/>
    <w:pPr>
      <w:snapToGrid w:val="0"/>
      <w:spacing w:before="80" w:after="80"/>
    </w:pPr>
    <w:rPr>
      <w:rFonts w:ascii="Arial" w:hAnsi="Arial" w:cs="Arial"/>
      <w:kern w:val="2"/>
      <w:sz w:val="18"/>
      <w:szCs w:val="18"/>
      <w:lang w:val="en-US" w:eastAsia="zh-CN" w:bidi="ar-SA"/>
    </w:rPr>
  </w:style>
  <w:style w:type="paragraph" w:customStyle="1" w:styleId="639">
    <w:name w:val="列表项目符号-其他2"/>
    <w:basedOn w:val="15"/>
    <w:uiPriority w:val="99"/>
    <w:pPr>
      <w:numPr>
        <w:ilvl w:val="0"/>
        <w:numId w:val="7"/>
      </w:numPr>
      <w:spacing w:line="312" w:lineRule="auto"/>
      <w:ind w:left="0" w:firstLine="200"/>
    </w:pPr>
    <w:rPr>
      <w:rFonts w:ascii="Times New Roman" w:hAnsi="Times New Roman" w:cs="Times New Roman"/>
      <w:sz w:val="21"/>
      <w:szCs w:val="24"/>
    </w:rPr>
  </w:style>
  <w:style w:type="paragraph" w:customStyle="1" w:styleId="640">
    <w:name w:val="SANGFOR_7_2级编号"/>
    <w:basedOn w:val="1"/>
    <w:uiPriority w:val="0"/>
    <w:pPr>
      <w:tabs>
        <w:tab w:val="left" w:pos="709"/>
      </w:tabs>
      <w:spacing w:line="400" w:lineRule="exact"/>
      <w:ind w:left="740" w:hanging="425"/>
    </w:pPr>
    <w:rPr>
      <w:rFonts w:ascii="楷体_gb18030" w:hAnsi="Verdana" w:eastAsia="楷体_gb18030"/>
      <w:color w:val="000000"/>
      <w:sz w:val="28"/>
      <w:szCs w:val="28"/>
    </w:rPr>
  </w:style>
  <w:style w:type="paragraph" w:customStyle="1" w:styleId="641">
    <w:name w:val="样式 样式 题注 + 居中1 + 段前: 0.5 行 段后: 1 行"/>
    <w:basedOn w:val="631"/>
    <w:qFormat/>
    <w:uiPriority w:val="0"/>
    <w:pPr>
      <w:spacing w:before="120" w:afterLines="0"/>
    </w:pPr>
    <w:rPr>
      <w:rFonts w:ascii="仿宋" w:hAnsi="仿宋" w:eastAsia="仿宋"/>
    </w:rPr>
  </w:style>
  <w:style w:type="paragraph" w:customStyle="1" w:styleId="642">
    <w:name w:val="ZW"/>
    <w:basedOn w:val="643"/>
    <w:semiHidden/>
    <w:qFormat/>
    <w:uiPriority w:val="0"/>
    <w:pPr>
      <w:numPr>
        <w:ilvl w:val="0"/>
        <w:numId w:val="8"/>
      </w:numPr>
      <w:snapToGrid/>
      <w:spacing w:beforeLines="0" w:afterLines="0"/>
      <w:ind w:firstLine="0" w:firstLineChars="0"/>
      <w:jc w:val="left"/>
    </w:pPr>
    <w:rPr>
      <w:kern w:val="0"/>
      <w:szCs w:val="30"/>
    </w:rPr>
  </w:style>
  <w:style w:type="paragraph" w:customStyle="1" w:styleId="643">
    <w:name w:val="文档正文"/>
    <w:basedOn w:val="1"/>
    <w:qFormat/>
    <w:uiPriority w:val="0"/>
    <w:pPr>
      <w:snapToGrid w:val="0"/>
      <w:spacing w:beforeLines="50" w:afterLines="50" w:line="360" w:lineRule="auto"/>
      <w:ind w:firstLine="200" w:firstLineChars="200"/>
    </w:pPr>
    <w:rPr>
      <w:color w:val="000000"/>
      <w:sz w:val="24"/>
      <w:szCs w:val="21"/>
    </w:rPr>
  </w:style>
  <w:style w:type="paragraph" w:customStyle="1" w:styleId="644">
    <w:name w:val="font7"/>
    <w:basedOn w:val="1"/>
    <w:uiPriority w:val="0"/>
    <w:pPr>
      <w:widowControl/>
      <w:spacing w:before="100" w:beforeAutospacing="1" w:after="100" w:afterAutospacing="1"/>
      <w:jc w:val="left"/>
    </w:pPr>
    <w:rPr>
      <w:rFonts w:hint="eastAsia" w:ascii="宋体" w:hAnsi="宋体"/>
      <w:color w:val="000000"/>
      <w:kern w:val="0"/>
      <w:sz w:val="20"/>
      <w:szCs w:val="20"/>
    </w:rPr>
  </w:style>
  <w:style w:type="paragraph" w:customStyle="1" w:styleId="645">
    <w:name w:val="样式 仿宋_GB2312 小四 行距: 固定值 22 磅"/>
    <w:basedOn w:val="1"/>
    <w:qFormat/>
    <w:uiPriority w:val="0"/>
    <w:pPr>
      <w:widowControl/>
      <w:tabs>
        <w:tab w:val="left" w:pos="480"/>
        <w:tab w:val="left" w:pos="540"/>
        <w:tab w:val="left" w:pos="720"/>
        <w:tab w:val="left" w:pos="900"/>
      </w:tabs>
      <w:spacing w:line="440" w:lineRule="exact"/>
      <w:ind w:left="900" w:hanging="420"/>
      <w:jc w:val="left"/>
    </w:pPr>
    <w:rPr>
      <w:rFonts w:ascii="仿宋_GB2312" w:hAnsi="宋体" w:eastAsia="仿宋_GB2312" w:cs="宋体"/>
      <w:color w:val="000000"/>
      <w:sz w:val="24"/>
      <w:szCs w:val="20"/>
    </w:rPr>
  </w:style>
  <w:style w:type="paragraph" w:customStyle="1" w:styleId="646">
    <w:name w:val="xl79"/>
    <w:basedOn w:val="1"/>
    <w:uiPriority w:val="0"/>
    <w:pPr>
      <w:widowControl/>
      <w:pBdr>
        <w:top w:val="single" w:color="auto" w:sz="4" w:space="0"/>
        <w:bottom w:val="double" w:color="auto" w:sz="6" w:space="0"/>
        <w:right w:val="single" w:color="auto" w:sz="4" w:space="0"/>
      </w:pBdr>
      <w:spacing w:before="100" w:beforeAutospacing="1" w:after="100" w:afterAutospacing="1"/>
      <w:jc w:val="left"/>
    </w:pPr>
    <w:rPr>
      <w:rFonts w:ascii="宋体" w:hAnsi="宋体"/>
      <w:b/>
      <w:bCs/>
      <w:kern w:val="0"/>
      <w:sz w:val="20"/>
      <w:szCs w:val="20"/>
    </w:rPr>
  </w:style>
  <w:style w:type="paragraph" w:customStyle="1" w:styleId="647">
    <w:name w:val="xl6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color w:val="000000"/>
      <w:kern w:val="0"/>
      <w:sz w:val="20"/>
      <w:szCs w:val="20"/>
    </w:rPr>
  </w:style>
  <w:style w:type="paragraph" w:customStyle="1" w:styleId="648">
    <w:name w:val="xl82"/>
    <w:basedOn w:val="1"/>
    <w:uiPriority w:val="0"/>
    <w:pPr>
      <w:widowControl/>
      <w:pBdr>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649">
    <w:name w:val="Style26"/>
    <w:basedOn w:val="1"/>
    <w:qFormat/>
    <w:uiPriority w:val="0"/>
    <w:pPr>
      <w:widowControl/>
      <w:adjustRightInd w:val="0"/>
      <w:spacing w:line="481" w:lineRule="exact"/>
      <w:ind w:firstLine="490"/>
      <w:jc w:val="left"/>
    </w:pPr>
    <w:rPr>
      <w:rFonts w:eastAsia="Times New Roman"/>
      <w:kern w:val="0"/>
      <w:sz w:val="24"/>
    </w:rPr>
  </w:style>
  <w:style w:type="paragraph" w:customStyle="1" w:styleId="650">
    <w:name w:val="xl77"/>
    <w:basedOn w:val="1"/>
    <w:uiPriority w:val="0"/>
    <w:pPr>
      <w:widowControl/>
      <w:pBdr>
        <w:top w:val="single" w:color="auto" w:sz="4" w:space="0"/>
        <w:left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651">
    <w:name w:val="xl48"/>
    <w:basedOn w:val="1"/>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652">
    <w:name w:val="正文_4"/>
    <w:qFormat/>
    <w:uiPriority w:val="0"/>
    <w:pPr>
      <w:widowControl w:val="0"/>
      <w:jc w:val="both"/>
    </w:pPr>
    <w:rPr>
      <w:kern w:val="2"/>
      <w:sz w:val="21"/>
      <w:szCs w:val="24"/>
      <w:lang w:val="en-US" w:eastAsia="zh-CN" w:bidi="ar-SA"/>
    </w:rPr>
  </w:style>
  <w:style w:type="paragraph" w:customStyle="1" w:styleId="653">
    <w:name w:val="正文首行缩进1"/>
    <w:basedOn w:val="3"/>
    <w:uiPriority w:val="0"/>
    <w:pPr>
      <w:tabs>
        <w:tab w:val="clear" w:pos="208"/>
      </w:tabs>
      <w:spacing w:after="120" w:line="240" w:lineRule="auto"/>
      <w:ind w:firstLine="420" w:firstLineChars="100"/>
    </w:pPr>
    <w:rPr>
      <w:rFonts w:ascii="Times New Roman" w:eastAsia="宋体"/>
      <w:sz w:val="21"/>
      <w:lang w:val="en-US" w:eastAsia="zh-CN"/>
    </w:rPr>
  </w:style>
  <w:style w:type="paragraph" w:customStyle="1" w:styleId="654">
    <w:name w:val="Char Char Char Char Char Char Char Char Char Char Char Char"/>
    <w:basedOn w:val="1"/>
    <w:qFormat/>
    <w:uiPriority w:val="0"/>
    <w:pPr>
      <w:widowControl/>
      <w:spacing w:line="300" w:lineRule="auto"/>
      <w:jc w:val="center"/>
    </w:pPr>
    <w:rPr>
      <w:rFonts w:ascii="宋体" w:hAnsi="宋体"/>
      <w:b/>
      <w:bCs/>
      <w:color w:val="000000"/>
      <w:spacing w:val="8"/>
      <w:kern w:val="0"/>
      <w:sz w:val="24"/>
    </w:rPr>
  </w:style>
  <w:style w:type="paragraph" w:customStyle="1" w:styleId="655">
    <w:name w:val="正文 A"/>
    <w:qFormat/>
    <w:uiPriority w:val="0"/>
    <w:pPr>
      <w:widowControl w:val="0"/>
      <w:pBdr>
        <w:top w:val="none" w:color="FFFFFF" w:sz="96" w:space="31"/>
        <w:left w:val="none" w:color="FFFFFF" w:sz="96" w:space="31"/>
        <w:bottom w:val="none" w:color="FFFFFF" w:sz="96" w:space="31"/>
        <w:right w:val="none" w:color="FFFFFF" w:sz="96" w:space="31"/>
      </w:pBdr>
      <w:jc w:val="both"/>
    </w:pPr>
    <w:rPr>
      <w:rFonts w:ascii="Arial Unicode MS" w:hAnsi="Arial Unicode MS" w:cs="Arial Unicode MS"/>
      <w:color w:val="000000"/>
      <w:kern w:val="2"/>
      <w:sz w:val="21"/>
      <w:szCs w:val="21"/>
      <w:lang w:val="en-US" w:eastAsia="zh-CN" w:bidi="ar-SA"/>
    </w:rPr>
  </w:style>
  <w:style w:type="paragraph" w:customStyle="1" w:styleId="656">
    <w:name w:val="font8"/>
    <w:basedOn w:val="1"/>
    <w:uiPriority w:val="0"/>
    <w:pPr>
      <w:widowControl/>
      <w:spacing w:before="100" w:beforeAutospacing="1" w:after="100" w:afterAutospacing="1"/>
      <w:jc w:val="left"/>
    </w:pPr>
    <w:rPr>
      <w:kern w:val="0"/>
      <w:sz w:val="20"/>
      <w:szCs w:val="20"/>
    </w:rPr>
  </w:style>
  <w:style w:type="paragraph" w:customStyle="1" w:styleId="657">
    <w:name w:val="样式 样式 特点标题 + 首行缩进:  2 字符 + 首行缩进:  2 字符"/>
    <w:basedOn w:val="1"/>
    <w:uiPriority w:val="0"/>
    <w:pPr>
      <w:widowControl/>
      <w:overflowPunct w:val="0"/>
      <w:autoSpaceDE w:val="0"/>
      <w:autoSpaceDN w:val="0"/>
      <w:adjustRightInd w:val="0"/>
      <w:spacing w:line="360" w:lineRule="auto"/>
      <w:ind w:firstLine="200" w:firstLineChars="200"/>
      <w:jc w:val="left"/>
    </w:pPr>
    <w:rPr>
      <w:rFonts w:cs="宋体"/>
      <w:kern w:val="0"/>
      <w:sz w:val="24"/>
      <w:szCs w:val="20"/>
    </w:rPr>
  </w:style>
  <w:style w:type="paragraph" w:customStyle="1" w:styleId="658">
    <w:name w:val="Char3"/>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59">
    <w:name w:val="_Style 12"/>
    <w:basedOn w:val="1"/>
    <w:next w:val="315"/>
    <w:qFormat/>
    <w:uiPriority w:val="34"/>
    <w:pPr>
      <w:ind w:firstLine="420" w:firstLineChars="200"/>
    </w:pPr>
    <w:rPr>
      <w:rFonts w:ascii="Calibri" w:hAnsi="Calibri"/>
      <w:szCs w:val="22"/>
    </w:rPr>
  </w:style>
  <w:style w:type="paragraph" w:customStyle="1" w:styleId="660">
    <w:name w:val="样式 宋体 小五 居中 首行缩进:  2 字符 段前: 7.8 磅 段后: 7.8 磅"/>
    <w:basedOn w:val="1"/>
    <w:qFormat/>
    <w:uiPriority w:val="0"/>
    <w:pPr>
      <w:widowControl/>
      <w:tabs>
        <w:tab w:val="left" w:pos="480"/>
        <w:tab w:val="left" w:pos="540"/>
        <w:tab w:val="left" w:pos="720"/>
      </w:tabs>
      <w:spacing w:beforeLines="30" w:afterLines="30"/>
      <w:jc w:val="center"/>
    </w:pPr>
    <w:rPr>
      <w:rFonts w:ascii="宋体" w:hAnsi="宋体" w:cs="宋体"/>
      <w:sz w:val="18"/>
      <w:szCs w:val="20"/>
    </w:rPr>
  </w:style>
  <w:style w:type="paragraph" w:customStyle="1" w:styleId="661">
    <w:name w:val="head 1.1"/>
    <w:basedOn w:val="315"/>
    <w:qFormat/>
    <w:uiPriority w:val="0"/>
    <w:pPr>
      <w:spacing w:before="260" w:after="260"/>
      <w:ind w:left="644" w:firstLine="0" w:firstLineChars="0"/>
    </w:pPr>
    <w:rPr>
      <w:rFonts w:ascii="宋体" w:hAnsi="宋体"/>
      <w:bCs/>
      <w:szCs w:val="24"/>
    </w:rPr>
  </w:style>
  <w:style w:type="paragraph" w:customStyle="1" w:styleId="662">
    <w:name w:val="xl46"/>
    <w:basedOn w:val="1"/>
    <w:uiPriority w:val="0"/>
    <w:pPr>
      <w:widowControl/>
      <w:pBdr>
        <w:top w:val="single" w:color="auto" w:sz="8" w:space="0"/>
        <w:left w:val="single" w:color="auto" w:sz="4" w:space="0"/>
        <w:bottom w:val="single" w:color="auto" w:sz="4" w:space="0"/>
        <w:right w:val="single" w:color="auto" w:sz="8"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663">
    <w:name w:val="xl64"/>
    <w:basedOn w:val="1"/>
    <w:uiPriority w:val="0"/>
    <w:pPr>
      <w:widowControl/>
      <w:spacing w:before="100" w:beforeAutospacing="1" w:after="100" w:afterAutospacing="1"/>
      <w:jc w:val="center"/>
    </w:pPr>
    <w:rPr>
      <w:rFonts w:ascii="宋体" w:hAnsi="宋体"/>
      <w:b/>
      <w:bCs/>
      <w:kern w:val="0"/>
      <w:sz w:val="36"/>
      <w:szCs w:val="36"/>
    </w:rPr>
  </w:style>
  <w:style w:type="paragraph" w:customStyle="1" w:styleId="664">
    <w:name w:val="tabletext"/>
    <w:basedOn w:val="1"/>
    <w:uiPriority w:val="0"/>
    <w:pPr>
      <w:widowControl/>
      <w:spacing w:before="100" w:beforeAutospacing="1" w:after="100" w:afterAutospacing="1"/>
      <w:jc w:val="left"/>
    </w:pPr>
    <w:rPr>
      <w:rFonts w:ascii="宋体" w:hAnsi="宋体"/>
      <w:kern w:val="0"/>
      <w:sz w:val="24"/>
    </w:rPr>
  </w:style>
  <w:style w:type="paragraph" w:customStyle="1" w:styleId="665">
    <w:name w:val="1firmshort"/>
    <w:basedOn w:val="1"/>
    <w:qFormat/>
    <w:uiPriority w:val="0"/>
    <w:pPr>
      <w:widowControl/>
      <w:autoSpaceDE w:val="0"/>
      <w:autoSpaceDN w:val="0"/>
      <w:jc w:val="left"/>
    </w:pPr>
    <w:rPr>
      <w:kern w:val="0"/>
      <w:sz w:val="24"/>
    </w:rPr>
  </w:style>
  <w:style w:type="paragraph" w:customStyle="1" w:styleId="666">
    <w:name w:val="CM12"/>
    <w:basedOn w:val="1"/>
    <w:next w:val="1"/>
    <w:qFormat/>
    <w:uiPriority w:val="0"/>
    <w:pPr>
      <w:widowControl/>
      <w:autoSpaceDE w:val="0"/>
      <w:autoSpaceDN w:val="0"/>
      <w:adjustRightInd w:val="0"/>
      <w:spacing w:after="80"/>
      <w:jc w:val="left"/>
    </w:pPr>
    <w:rPr>
      <w:rFonts w:ascii="宋体" w:cs="宋体"/>
      <w:kern w:val="0"/>
      <w:sz w:val="24"/>
    </w:rPr>
  </w:style>
  <w:style w:type="paragraph" w:customStyle="1" w:styleId="667">
    <w:name w:val="列表编号 1"/>
    <w:uiPriority w:val="0"/>
    <w:pPr>
      <w:tabs>
        <w:tab w:val="left" w:pos="0"/>
        <w:tab w:val="left" w:pos="1928"/>
      </w:tabs>
      <w:spacing w:before="80" w:after="80" w:line="300" w:lineRule="auto"/>
      <w:ind w:left="1361" w:hanging="397"/>
    </w:pPr>
    <w:rPr>
      <w:spacing w:val="2"/>
      <w:sz w:val="21"/>
      <w:lang w:val="en-US" w:eastAsia="en-US" w:bidi="ar-SA"/>
    </w:rPr>
  </w:style>
  <w:style w:type="paragraph" w:customStyle="1" w:styleId="668">
    <w:name w:val="样式 段前: 7.8 磅 行距: 1.5 倍行距"/>
    <w:basedOn w:val="1"/>
    <w:qFormat/>
    <w:uiPriority w:val="0"/>
    <w:pPr>
      <w:widowControl/>
      <w:spacing w:line="360" w:lineRule="auto"/>
      <w:jc w:val="left"/>
    </w:pPr>
    <w:rPr>
      <w:rFonts w:cs="宋体"/>
      <w:szCs w:val="20"/>
    </w:rPr>
  </w:style>
  <w:style w:type="paragraph" w:customStyle="1" w:styleId="669">
    <w:name w:val="正文_8_0"/>
    <w:qFormat/>
    <w:uiPriority w:val="0"/>
    <w:pPr>
      <w:widowControl w:val="0"/>
      <w:jc w:val="both"/>
    </w:pPr>
    <w:rPr>
      <w:kern w:val="2"/>
      <w:sz w:val="21"/>
      <w:szCs w:val="24"/>
      <w:lang w:val="en-US" w:eastAsia="zh-CN" w:bidi="ar-SA"/>
    </w:rPr>
  </w:style>
  <w:style w:type="paragraph" w:customStyle="1" w:styleId="670">
    <w:name w:val="默认段落字体 Para Char Char Char Char Char Char Char Char Char1 Char Char Char Char"/>
    <w:basedOn w:val="1"/>
    <w:uiPriority w:val="0"/>
    <w:rPr>
      <w:rFonts w:ascii="Tahoma" w:hAnsi="Tahoma"/>
      <w:sz w:val="24"/>
      <w:szCs w:val="20"/>
    </w:rPr>
  </w:style>
  <w:style w:type="paragraph" w:customStyle="1" w:styleId="671">
    <w:name w:val="正文11"/>
    <w:qFormat/>
    <w:uiPriority w:val="0"/>
    <w:pPr>
      <w:jc w:val="both"/>
    </w:pPr>
    <w:rPr>
      <w:rFonts w:ascii="微软雅黑" w:hAnsi="微软雅黑" w:cs="宋体"/>
      <w:kern w:val="2"/>
      <w:sz w:val="21"/>
      <w:szCs w:val="21"/>
      <w:lang w:val="en-US" w:eastAsia="zh-CN" w:bidi="ar-SA"/>
    </w:rPr>
  </w:style>
  <w:style w:type="paragraph" w:customStyle="1" w:styleId="672">
    <w:name w:val="索引 11"/>
    <w:basedOn w:val="1"/>
    <w:next w:val="1"/>
    <w:qFormat/>
    <w:uiPriority w:val="0"/>
    <w:pPr>
      <w:spacing w:line="240" w:lineRule="exact"/>
      <w:ind w:firstLine="420" w:firstLineChars="200"/>
    </w:pPr>
    <w:rPr>
      <w:rFonts w:ascii="宋体" w:hAnsi="宋体"/>
      <w:bCs/>
      <w:szCs w:val="21"/>
    </w:rPr>
  </w:style>
  <w:style w:type="paragraph" w:customStyle="1" w:styleId="673">
    <w:name w:val="xl51"/>
    <w:basedOn w:val="1"/>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kern w:val="0"/>
      <w:sz w:val="20"/>
      <w:szCs w:val="20"/>
    </w:rPr>
  </w:style>
  <w:style w:type="paragraph" w:customStyle="1" w:styleId="674">
    <w:name w:val="正文_8_0_0"/>
    <w:qFormat/>
    <w:uiPriority w:val="0"/>
    <w:pPr>
      <w:widowControl w:val="0"/>
      <w:jc w:val="both"/>
    </w:pPr>
    <w:rPr>
      <w:rFonts w:ascii="Calibri" w:hAnsi="Calibri"/>
      <w:kern w:val="2"/>
      <w:sz w:val="21"/>
      <w:szCs w:val="22"/>
      <w:lang w:val="en-US" w:eastAsia="zh-CN" w:bidi="ar-SA"/>
    </w:rPr>
  </w:style>
  <w:style w:type="paragraph" w:customStyle="1" w:styleId="675">
    <w:name w:val="样式 黑体 小四 黑色 左 行距: 1.5 倍行距"/>
    <w:basedOn w:val="1"/>
    <w:qFormat/>
    <w:uiPriority w:val="0"/>
    <w:pPr>
      <w:widowControl/>
      <w:tabs>
        <w:tab w:val="left" w:pos="425"/>
      </w:tabs>
      <w:spacing w:line="360" w:lineRule="auto"/>
      <w:ind w:left="425" w:hanging="425"/>
      <w:jc w:val="left"/>
    </w:pPr>
    <w:rPr>
      <w:rFonts w:ascii="黑体" w:eastAsia="黑体" w:cs="宋体"/>
      <w:color w:val="000000"/>
      <w:kern w:val="0"/>
      <w:sz w:val="24"/>
      <w:szCs w:val="20"/>
    </w:rPr>
  </w:style>
  <w:style w:type="paragraph" w:customStyle="1" w:styleId="676">
    <w:name w:val="xl3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677">
    <w:name w:val="xl3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678">
    <w:name w:val="TOC 标题111"/>
    <w:basedOn w:val="4"/>
    <w:next w:val="1"/>
    <w:unhideWhenUsed/>
    <w:qFormat/>
    <w:uiPriority w:val="39"/>
    <w:pPr>
      <w:keepLines/>
      <w:autoSpaceDE/>
      <w:autoSpaceDN/>
      <w:spacing w:before="480" w:after="120" w:line="276" w:lineRule="auto"/>
      <w:ind w:left="227" w:hanging="227"/>
      <w:jc w:val="left"/>
      <w:textAlignment w:val="auto"/>
      <w:outlineLvl w:val="9"/>
    </w:pPr>
    <w:rPr>
      <w:rFonts w:ascii="Cambria" w:hAnsi="Cambria" w:eastAsia="宋体"/>
      <w:color w:val="365F91"/>
      <w:kern w:val="0"/>
      <w:sz w:val="32"/>
      <w:szCs w:val="28"/>
    </w:rPr>
  </w:style>
  <w:style w:type="paragraph" w:customStyle="1" w:styleId="679">
    <w:name w:val=" Char1 Char Char Char Char Char Char"/>
    <w:basedOn w:val="4"/>
    <w:semiHidden/>
    <w:uiPriority w:val="0"/>
    <w:pPr>
      <w:adjustRightInd w:val="0"/>
      <w:snapToGrid w:val="0"/>
      <w:spacing w:before="100" w:beforeLines="100" w:after="100" w:afterLines="100" w:line="480" w:lineRule="auto"/>
      <w:jc w:val="both"/>
      <w:textAlignment w:val="auto"/>
    </w:pPr>
    <w:rPr>
      <w:rFonts w:ascii="宋体" w:hAnsi="宋体" w:eastAsia="宋体"/>
      <w:sz w:val="32"/>
    </w:rPr>
  </w:style>
  <w:style w:type="paragraph" w:customStyle="1" w:styleId="680">
    <w:name w:val="xl75"/>
    <w:basedOn w:val="1"/>
    <w:uiPriority w:val="0"/>
    <w:pPr>
      <w:widowControl/>
      <w:pBdr>
        <w:top w:val="single" w:color="auto" w:sz="4" w:space="0"/>
        <w:bottom w:val="single" w:color="auto" w:sz="4" w:space="0"/>
      </w:pBdr>
      <w:spacing w:before="100" w:beforeAutospacing="1" w:after="100" w:afterAutospacing="1"/>
      <w:jc w:val="left"/>
    </w:pPr>
    <w:rPr>
      <w:rFonts w:ascii="宋体" w:hAnsi="宋体"/>
      <w:b/>
      <w:bCs/>
      <w:kern w:val="0"/>
      <w:sz w:val="20"/>
      <w:szCs w:val="20"/>
    </w:rPr>
  </w:style>
  <w:style w:type="paragraph" w:customStyle="1" w:styleId="681">
    <w:name w:val="标题 1 + 四号"/>
    <w:basedOn w:val="4"/>
    <w:qFormat/>
    <w:uiPriority w:val="0"/>
    <w:pPr>
      <w:keepLines/>
      <w:widowControl/>
      <w:tabs>
        <w:tab w:val="left" w:pos="851"/>
      </w:tabs>
      <w:autoSpaceDE/>
      <w:autoSpaceDN/>
      <w:spacing w:before="340" w:beforeLines="50" w:after="156" w:line="360" w:lineRule="exact"/>
      <w:ind w:left="284"/>
      <w:jc w:val="left"/>
      <w:textAlignment w:val="auto"/>
    </w:pPr>
    <w:rPr>
      <w:rFonts w:ascii="仿宋" w:hAnsi="仿宋" w:eastAsia="仿宋" w:cs="仿宋"/>
      <w:bCs/>
      <w:kern w:val="44"/>
      <w:sz w:val="32"/>
      <w:szCs w:val="28"/>
    </w:rPr>
  </w:style>
  <w:style w:type="paragraph" w:customStyle="1" w:styleId="682">
    <w:name w:val="xl3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color w:val="000000"/>
      <w:kern w:val="0"/>
      <w:sz w:val="20"/>
      <w:szCs w:val="20"/>
    </w:rPr>
  </w:style>
  <w:style w:type="paragraph" w:customStyle="1" w:styleId="683">
    <w:name w:val="SANGFOR_8_表格文字"/>
    <w:basedOn w:val="1"/>
    <w:uiPriority w:val="0"/>
    <w:pPr>
      <w:snapToGrid w:val="0"/>
    </w:pPr>
    <w:rPr>
      <w:szCs w:val="21"/>
    </w:rPr>
  </w:style>
  <w:style w:type="paragraph" w:customStyle="1" w:styleId="684">
    <w:name w:val="列出段落21"/>
    <w:basedOn w:val="1"/>
    <w:qFormat/>
    <w:uiPriority w:val="34"/>
    <w:pPr>
      <w:ind w:firstLine="420" w:firstLineChars="200"/>
    </w:pPr>
    <w:rPr>
      <w:szCs w:val="22"/>
    </w:rPr>
  </w:style>
  <w:style w:type="paragraph" w:customStyle="1" w:styleId="685">
    <w:name w:val="第一级标题"/>
    <w:basedOn w:val="4"/>
    <w:next w:val="1"/>
    <w:qFormat/>
    <w:uiPriority w:val="0"/>
    <w:pPr>
      <w:keepLines/>
      <w:tabs>
        <w:tab w:val="left" w:pos="360"/>
      </w:tabs>
      <w:autoSpaceDE/>
      <w:autoSpaceDN/>
      <w:spacing w:before="340" w:after="330" w:line="578" w:lineRule="auto"/>
      <w:ind w:left="360" w:hanging="360"/>
      <w:jc w:val="both"/>
      <w:textAlignment w:val="auto"/>
    </w:pPr>
    <w:rPr>
      <w:rFonts w:ascii="Calibri" w:hAnsi="Calibri" w:eastAsia="宋体"/>
      <w:bCs/>
      <w:kern w:val="44"/>
      <w:szCs w:val="44"/>
    </w:rPr>
  </w:style>
  <w:style w:type="paragraph" w:customStyle="1" w:styleId="686">
    <w:name w:val="A正文小四"/>
    <w:basedOn w:val="1"/>
    <w:qFormat/>
    <w:uiPriority w:val="0"/>
    <w:pPr>
      <w:spacing w:line="360" w:lineRule="auto"/>
      <w:ind w:firstLine="200" w:firstLineChars="200"/>
    </w:pPr>
    <w:rPr>
      <w:sz w:val="24"/>
      <w:szCs w:val="21"/>
    </w:rPr>
  </w:style>
  <w:style w:type="paragraph" w:customStyle="1" w:styleId="687">
    <w:name w:val="表 靠左"/>
    <w:basedOn w:val="1"/>
    <w:qFormat/>
    <w:uiPriority w:val="0"/>
    <w:pPr>
      <w:jc w:val="left"/>
    </w:pPr>
    <w:rPr>
      <w:rFonts w:eastAsia="仿宋"/>
      <w:sz w:val="24"/>
    </w:rPr>
  </w:style>
  <w:style w:type="paragraph" w:customStyle="1" w:styleId="688">
    <w:name w:val="xl7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689">
    <w:name w:val="Style6"/>
    <w:basedOn w:val="1"/>
    <w:qFormat/>
    <w:uiPriority w:val="0"/>
    <w:pPr>
      <w:widowControl/>
      <w:adjustRightInd w:val="0"/>
      <w:jc w:val="left"/>
    </w:pPr>
    <w:rPr>
      <w:rFonts w:eastAsia="Times New Roman"/>
      <w:kern w:val="0"/>
      <w:sz w:val="24"/>
    </w:rPr>
  </w:style>
  <w:style w:type="paragraph" w:customStyle="1" w:styleId="690">
    <w:name w:val="表注"/>
    <w:basedOn w:val="1"/>
    <w:next w:val="1"/>
    <w:qFormat/>
    <w:uiPriority w:val="0"/>
    <w:pPr>
      <w:widowControl/>
      <w:spacing w:afterLines="50"/>
      <w:jc w:val="center"/>
    </w:pPr>
    <w:rPr>
      <w:rFonts w:ascii="宋体" w:hAnsi="宋体"/>
      <w:b/>
      <w:szCs w:val="21"/>
    </w:rPr>
  </w:style>
  <w:style w:type="paragraph" w:customStyle="1" w:styleId="691">
    <w:name w:val="列出段落7"/>
    <w:basedOn w:val="1"/>
    <w:unhideWhenUsed/>
    <w:qFormat/>
    <w:uiPriority w:val="34"/>
    <w:pPr>
      <w:ind w:firstLine="420" w:firstLineChars="200"/>
    </w:pPr>
    <w:rPr>
      <w:rFonts w:ascii="Calibri" w:hAnsi="Calibri"/>
      <w:szCs w:val="22"/>
    </w:rPr>
  </w:style>
  <w:style w:type="paragraph" w:customStyle="1" w:styleId="692">
    <w:name w:val="正文_10_0"/>
    <w:qFormat/>
    <w:uiPriority w:val="0"/>
    <w:pPr>
      <w:widowControl w:val="0"/>
      <w:jc w:val="both"/>
    </w:pPr>
    <w:rPr>
      <w:rFonts w:ascii="Calibri" w:hAnsi="Calibri"/>
      <w:kern w:val="2"/>
      <w:sz w:val="21"/>
      <w:szCs w:val="22"/>
      <w:lang w:val="en-US" w:eastAsia="zh-CN" w:bidi="ar-SA"/>
    </w:rPr>
  </w:style>
  <w:style w:type="paragraph" w:customStyle="1" w:styleId="693">
    <w:name w:val="正文 缩进 22磅"/>
    <w:basedOn w:val="1"/>
    <w:qFormat/>
    <w:uiPriority w:val="0"/>
    <w:pPr>
      <w:widowControl/>
      <w:spacing w:line="440" w:lineRule="exact"/>
      <w:ind w:firstLine="480" w:firstLineChars="200"/>
      <w:jc w:val="left"/>
    </w:pPr>
    <w:rPr>
      <w:rFonts w:ascii="宋体" w:hAnsi="宋体" w:cs="宋体"/>
      <w:kern w:val="0"/>
      <w:sz w:val="24"/>
      <w:szCs w:val="20"/>
    </w:rPr>
  </w:style>
  <w:style w:type="paragraph" w:customStyle="1" w:styleId="694">
    <w:name w:val="xl81"/>
    <w:basedOn w:val="1"/>
    <w:uiPriority w:val="0"/>
    <w:pPr>
      <w:widowControl/>
      <w:pBdr>
        <w:bottom w:val="single" w:color="auto" w:sz="4" w:space="0"/>
      </w:pBdr>
      <w:spacing w:before="100" w:beforeAutospacing="1" w:after="100" w:afterAutospacing="1"/>
      <w:jc w:val="left"/>
    </w:pPr>
    <w:rPr>
      <w:b/>
      <w:bCs/>
      <w:kern w:val="0"/>
      <w:sz w:val="20"/>
      <w:szCs w:val="20"/>
    </w:rPr>
  </w:style>
  <w:style w:type="paragraph" w:customStyle="1" w:styleId="695">
    <w:name w:val="样式1"/>
    <w:basedOn w:val="5"/>
    <w:qFormat/>
    <w:uiPriority w:val="0"/>
    <w:pPr>
      <w:keepLines/>
      <w:adjustRightInd/>
      <w:snapToGrid/>
      <w:spacing w:before="260" w:after="260" w:line="416" w:lineRule="auto"/>
      <w:textAlignment w:val="auto"/>
    </w:pPr>
    <w:rPr>
      <w:rFonts w:ascii="宋体" w:hAnsi="宋体" w:eastAsia="黑体"/>
      <w:bCs/>
      <w:kern w:val="2"/>
      <w:szCs w:val="36"/>
    </w:rPr>
  </w:style>
  <w:style w:type="paragraph" w:customStyle="1" w:styleId="696">
    <w:name w:val="正文标题3"/>
    <w:basedOn w:val="114"/>
    <w:qFormat/>
    <w:uiPriority w:val="0"/>
    <w:pPr>
      <w:widowControl w:val="0"/>
      <w:spacing w:before="50" w:after="0"/>
      <w:ind w:left="820" w:hanging="420"/>
      <w:jc w:val="left"/>
    </w:pPr>
    <w:rPr>
      <w:rFonts w:hint="default" w:ascii="仿宋" w:hAnsi="仿宋" w:eastAsia="仿宋"/>
      <w:b/>
      <w:szCs w:val="48"/>
    </w:rPr>
  </w:style>
  <w:style w:type="paragraph" w:customStyle="1" w:styleId="697">
    <w:name w:val="WPSOffice手动目录 3"/>
    <w:uiPriority w:val="0"/>
    <w:pPr>
      <w:ind w:leftChars="400"/>
    </w:pPr>
    <w:rPr>
      <w:lang w:val="en-US" w:eastAsia="zh-CN" w:bidi="ar-SA"/>
    </w:rPr>
  </w:style>
  <w:style w:type="paragraph" w:customStyle="1" w:styleId="698">
    <w:name w:val="标题1"/>
    <w:basedOn w:val="1"/>
    <w:qFormat/>
    <w:uiPriority w:val="0"/>
    <w:pPr>
      <w:widowControl/>
      <w:spacing w:before="100" w:beforeAutospacing="1" w:after="100" w:afterAutospacing="1"/>
      <w:jc w:val="left"/>
    </w:pPr>
    <w:rPr>
      <w:b/>
      <w:bCs/>
      <w:sz w:val="28"/>
      <w:szCs w:val="28"/>
    </w:rPr>
  </w:style>
  <w:style w:type="paragraph" w:customStyle="1" w:styleId="699">
    <w:name w:val="List Paragraph1"/>
    <w:basedOn w:val="1"/>
    <w:qFormat/>
    <w:uiPriority w:val="99"/>
    <w:pPr>
      <w:ind w:firstLine="420" w:firstLineChars="200"/>
    </w:pPr>
    <w:rPr>
      <w:rFonts w:ascii="Calibri" w:hAnsi="Calibri"/>
      <w:szCs w:val="22"/>
    </w:rPr>
  </w:style>
  <w:style w:type="paragraph" w:customStyle="1" w:styleId="700">
    <w:name w:val="Char Char Char Char Char Char Char Char Char Char"/>
    <w:basedOn w:val="1"/>
    <w:qFormat/>
    <w:uiPriority w:val="0"/>
    <w:pPr>
      <w:widowControl/>
      <w:tabs>
        <w:tab w:val="left" w:pos="360"/>
      </w:tabs>
      <w:ind w:left="360" w:hanging="360" w:hangingChars="200"/>
      <w:jc w:val="left"/>
    </w:pPr>
    <w:rPr>
      <w:sz w:val="24"/>
      <w:szCs w:val="20"/>
    </w:rPr>
  </w:style>
  <w:style w:type="paragraph" w:customStyle="1" w:styleId="701">
    <w:name w:val="xl53"/>
    <w:basedOn w:val="1"/>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02">
    <w:name w:val="表内文字"/>
    <w:basedOn w:val="1"/>
    <w:uiPriority w:val="0"/>
    <w:pPr>
      <w:jc w:val="center"/>
    </w:pPr>
    <w:rPr>
      <w:rFonts w:ascii="仿宋_GB2312" w:eastAsia="仿宋_GB2312"/>
      <w:sz w:val="24"/>
    </w:rPr>
  </w:style>
  <w:style w:type="paragraph" w:customStyle="1" w:styleId="703">
    <w:name w:val="desc"/>
    <w:basedOn w:val="1"/>
    <w:qFormat/>
    <w:uiPriority w:val="0"/>
    <w:pPr>
      <w:widowControl/>
      <w:spacing w:before="100" w:beforeAutospacing="1" w:after="100" w:afterAutospacing="1"/>
      <w:jc w:val="left"/>
    </w:pPr>
    <w:rPr>
      <w:rFonts w:ascii="宋体" w:hAnsi="宋体" w:cs="宋体"/>
      <w:kern w:val="0"/>
      <w:sz w:val="24"/>
    </w:rPr>
  </w:style>
  <w:style w:type="paragraph" w:customStyle="1" w:styleId="704">
    <w:name w:val="tec_para1"/>
    <w:basedOn w:val="1"/>
    <w:uiPriority w:val="0"/>
    <w:pPr>
      <w:widowControl/>
      <w:pBdr>
        <w:top w:val="single" w:color="EEEEEE" w:sz="6" w:space="0"/>
        <w:left w:val="single" w:color="EEEEEE" w:sz="6" w:space="0"/>
      </w:pBdr>
      <w:spacing w:before="75" w:after="100" w:afterAutospacing="1"/>
      <w:jc w:val="center"/>
    </w:pPr>
    <w:rPr>
      <w:rFonts w:ascii="宋体" w:hAnsi="宋体" w:cs="宋体"/>
      <w:kern w:val="0"/>
      <w:sz w:val="24"/>
    </w:rPr>
  </w:style>
  <w:style w:type="paragraph" w:customStyle="1" w:styleId="705">
    <w:name w:val="Char1"/>
    <w:basedOn w:val="1"/>
    <w:qFormat/>
    <w:uiPriority w:val="99"/>
    <w:pPr>
      <w:adjustRightInd w:val="0"/>
      <w:spacing w:line="360" w:lineRule="auto"/>
    </w:pPr>
    <w:rPr>
      <w:kern w:val="0"/>
      <w:sz w:val="24"/>
      <w:szCs w:val="20"/>
    </w:rPr>
  </w:style>
  <w:style w:type="paragraph" w:customStyle="1" w:styleId="706">
    <w:name w:val="！调研报告1-3"/>
    <w:basedOn w:val="1"/>
    <w:qFormat/>
    <w:uiPriority w:val="0"/>
    <w:pPr>
      <w:widowControl/>
      <w:spacing w:beforeLines="50" w:afterLines="50" w:line="360" w:lineRule="auto"/>
      <w:ind w:firstLine="480" w:firstLineChars="200"/>
      <w:jc w:val="left"/>
      <w:outlineLvl w:val="3"/>
    </w:pPr>
    <w:rPr>
      <w:rFonts w:ascii="仿宋_GB2312" w:hAnsi="仿宋_GB2312" w:cs="仿宋_GB2312"/>
      <w:b/>
      <w:kern w:val="0"/>
      <w:sz w:val="24"/>
    </w:rPr>
  </w:style>
  <w:style w:type="paragraph" w:customStyle="1" w:styleId="707">
    <w:name w:val="表格样式"/>
    <w:basedOn w:val="1"/>
    <w:qFormat/>
    <w:uiPriority w:val="0"/>
    <w:pPr>
      <w:spacing w:after="1" w:afterLines="1"/>
    </w:pPr>
    <w:rPr>
      <w:rFonts w:hint="eastAsia" w:ascii="宋体" w:hAnsi="宋体" w:cs="宋体"/>
      <w:kern w:val="0"/>
      <w:sz w:val="24"/>
    </w:rPr>
  </w:style>
  <w:style w:type="paragraph" w:customStyle="1" w:styleId="708">
    <w:name w:val="样式 标题 2 + 仿宋_GB2312 小三 段前: 1.5 磅 行距: 单倍行距"/>
    <w:basedOn w:val="5"/>
    <w:qFormat/>
    <w:uiPriority w:val="99"/>
    <w:pPr>
      <w:keepLines/>
      <w:widowControl/>
      <w:adjustRightInd/>
      <w:snapToGrid/>
      <w:spacing w:before="260" w:after="0" w:line="240" w:lineRule="auto"/>
      <w:jc w:val="both"/>
      <w:textAlignment w:val="auto"/>
    </w:pPr>
    <w:rPr>
      <w:rFonts w:hAnsi="Arial" w:cs="宋体"/>
      <w:bCs/>
      <w:sz w:val="28"/>
      <w:lang w:val="zh-CN"/>
    </w:rPr>
  </w:style>
  <w:style w:type="paragraph" w:customStyle="1" w:styleId="709">
    <w:name w:val="_Style 1"/>
    <w:basedOn w:val="1"/>
    <w:qFormat/>
    <w:uiPriority w:val="34"/>
    <w:pPr>
      <w:ind w:firstLine="420"/>
    </w:pPr>
    <w:rPr>
      <w:rFonts w:ascii="Calibri" w:hAnsi="Calibri"/>
      <w:szCs w:val="22"/>
    </w:rPr>
  </w:style>
  <w:style w:type="paragraph" w:customStyle="1" w:styleId="710">
    <w:name w:val="四级标题"/>
    <w:basedOn w:val="1"/>
    <w:qFormat/>
    <w:uiPriority w:val="0"/>
    <w:pPr>
      <w:widowControl/>
      <w:adjustRightInd w:val="0"/>
      <w:snapToGrid w:val="0"/>
      <w:spacing w:line="420" w:lineRule="exact"/>
      <w:ind w:firstLine="200" w:firstLineChars="200"/>
      <w:jc w:val="left"/>
    </w:pPr>
    <w:rPr>
      <w:rFonts w:ascii="宋体" w:hAnsi="宋体"/>
      <w:b/>
      <w:bCs/>
      <w:sz w:val="24"/>
    </w:rPr>
  </w:style>
  <w:style w:type="paragraph" w:customStyle="1" w:styleId="711">
    <w:name w:val="reader-word-layer reader-word-s3-15"/>
    <w:basedOn w:val="1"/>
    <w:qFormat/>
    <w:uiPriority w:val="0"/>
    <w:pPr>
      <w:widowControl/>
      <w:spacing w:before="100" w:beforeAutospacing="1" w:after="100" w:afterAutospacing="1"/>
      <w:jc w:val="left"/>
    </w:pPr>
    <w:rPr>
      <w:rFonts w:ascii="宋体" w:hAnsi="宋体" w:cs="宋体"/>
      <w:kern w:val="0"/>
      <w:sz w:val="24"/>
    </w:rPr>
  </w:style>
  <w:style w:type="paragraph" w:customStyle="1" w:styleId="712">
    <w:name w:val="默认段落字体 Para Char"/>
    <w:basedOn w:val="1"/>
    <w:qFormat/>
    <w:uiPriority w:val="0"/>
    <w:pPr>
      <w:widowControl/>
      <w:tabs>
        <w:tab w:val="left" w:pos="480"/>
        <w:tab w:val="left" w:pos="540"/>
        <w:tab w:val="left" w:pos="720"/>
      </w:tabs>
      <w:spacing w:beforeLines="50" w:line="360" w:lineRule="exact"/>
      <w:ind w:firstLine="200" w:firstLineChars="200"/>
      <w:jc w:val="left"/>
    </w:pPr>
    <w:rPr>
      <w:rFonts w:ascii="仿宋" w:hAnsi="仿宋" w:eastAsia="仿宋" w:cs="仿宋"/>
      <w:bCs/>
      <w:color w:val="000000"/>
      <w:kern w:val="0"/>
      <w:sz w:val="24"/>
      <w:szCs w:val="20"/>
    </w:rPr>
  </w:style>
  <w:style w:type="paragraph" w:customStyle="1" w:styleId="713">
    <w:name w:val="GP标题4"/>
    <w:basedOn w:val="513"/>
    <w:next w:val="514"/>
    <w:uiPriority w:val="99"/>
    <w:pPr>
      <w:numPr>
        <w:ilvl w:val="3"/>
        <w:numId w:val="4"/>
      </w:numPr>
      <w:tabs>
        <w:tab w:val="left" w:pos="360"/>
      </w:tabs>
      <w:spacing w:beforeLines="50" w:afterLines="50"/>
      <w:ind w:firstLineChars="0"/>
      <w:outlineLvl w:val="3"/>
    </w:pPr>
    <w:rPr>
      <w:rFonts w:ascii="华文细黑" w:hAnsi="华文细黑" w:eastAsia="华文细黑" w:cs="Times New Roman"/>
      <w:b/>
      <w:sz w:val="28"/>
      <w:szCs w:val="21"/>
    </w:rPr>
  </w:style>
  <w:style w:type="paragraph" w:customStyle="1" w:styleId="714">
    <w:name w:val="正文_21"/>
    <w:qFormat/>
    <w:uiPriority w:val="0"/>
    <w:pPr>
      <w:widowControl w:val="0"/>
      <w:jc w:val="both"/>
    </w:pPr>
    <w:rPr>
      <w:rFonts w:ascii="Calibri" w:hAnsi="Calibri"/>
      <w:kern w:val="2"/>
      <w:sz w:val="21"/>
      <w:szCs w:val="22"/>
      <w:lang w:val="en-US" w:eastAsia="zh-CN" w:bidi="ar-SA"/>
    </w:rPr>
  </w:style>
  <w:style w:type="paragraph" w:customStyle="1" w:styleId="715">
    <w:name w:val="专业项目标题4"/>
    <w:basedOn w:val="6"/>
    <w:qFormat/>
    <w:uiPriority w:val="0"/>
    <w:pPr>
      <w:widowControl/>
      <w:spacing w:after="0" w:afterLines="50" w:line="440" w:lineRule="exact"/>
      <w:ind w:firstLine="499"/>
      <w:outlineLvl w:val="5"/>
    </w:pPr>
    <w:rPr>
      <w:rFonts w:hAnsi="仿宋"/>
      <w:bCs w:val="0"/>
      <w:color w:val="000000"/>
      <w:sz w:val="24"/>
      <w:lang w:val="zh-CN"/>
    </w:rPr>
  </w:style>
  <w:style w:type="paragraph" w:customStyle="1" w:styleId="716">
    <w:name w:val="表格文字"/>
    <w:basedOn w:val="1"/>
    <w:next w:val="3"/>
    <w:qFormat/>
    <w:uiPriority w:val="0"/>
    <w:pPr>
      <w:adjustRightInd w:val="0"/>
      <w:spacing w:line="420" w:lineRule="atLeast"/>
      <w:ind w:firstLine="643" w:firstLineChars="200"/>
      <w:textAlignment w:val="baseline"/>
    </w:pPr>
    <w:rPr>
      <w:rFonts w:ascii="仿宋" w:hAnsi="仿宋" w:eastAsia="仿宋"/>
      <w:sz w:val="24"/>
    </w:rPr>
  </w:style>
  <w:style w:type="paragraph" w:customStyle="1" w:styleId="717">
    <w:name w:val="reader-word-layer reader-word-s1-7"/>
    <w:basedOn w:val="1"/>
    <w:qFormat/>
    <w:uiPriority w:val="0"/>
    <w:pPr>
      <w:widowControl/>
      <w:spacing w:before="100" w:beforeAutospacing="1" w:after="100" w:afterAutospacing="1"/>
      <w:jc w:val="left"/>
    </w:pPr>
    <w:rPr>
      <w:rFonts w:ascii="宋体" w:hAnsi="宋体" w:cs="宋体"/>
      <w:kern w:val="0"/>
      <w:sz w:val="24"/>
    </w:rPr>
  </w:style>
  <w:style w:type="paragraph" w:customStyle="1" w:styleId="718">
    <w:name w:val="样式 宋体 小四1 Char"/>
    <w:basedOn w:val="1"/>
    <w:qFormat/>
    <w:uiPriority w:val="0"/>
    <w:pPr>
      <w:spacing w:before="100" w:beforeAutospacing="1" w:after="100" w:afterAutospacing="1" w:line="300" w:lineRule="auto"/>
    </w:pPr>
    <w:rPr>
      <w:rFonts w:ascii="宋体" w:hAnsi="宋体"/>
      <w:szCs w:val="21"/>
    </w:rPr>
  </w:style>
  <w:style w:type="paragraph" w:customStyle="1" w:styleId="719">
    <w:name w:val="样式74"/>
    <w:basedOn w:val="1"/>
    <w:uiPriority w:val="0"/>
    <w:pPr>
      <w:widowControl/>
      <w:spacing w:before="100" w:beforeAutospacing="1" w:after="100" w:afterAutospacing="1" w:line="450" w:lineRule="atLeast"/>
      <w:jc w:val="left"/>
    </w:pPr>
    <w:rPr>
      <w:rFonts w:ascii="宋体" w:hAnsi="宋体"/>
      <w:color w:val="030303"/>
      <w:kern w:val="0"/>
      <w:sz w:val="20"/>
      <w:szCs w:val="20"/>
    </w:rPr>
  </w:style>
  <w:style w:type="paragraph" w:customStyle="1" w:styleId="720">
    <w:name w:val="xl83"/>
    <w:basedOn w:val="1"/>
    <w:uiPriority w:val="0"/>
    <w:pPr>
      <w:widowControl/>
      <w:pBdr>
        <w:top w:val="single" w:color="auto" w:sz="4" w:space="0"/>
        <w:bottom w:val="single" w:color="auto" w:sz="4" w:space="0"/>
      </w:pBdr>
      <w:spacing w:before="100" w:beforeAutospacing="1" w:after="100" w:afterAutospacing="1"/>
      <w:jc w:val="left"/>
    </w:pPr>
    <w:rPr>
      <w:b/>
      <w:bCs/>
      <w:kern w:val="0"/>
      <w:sz w:val="20"/>
      <w:szCs w:val="20"/>
    </w:rPr>
  </w:style>
  <w:style w:type="paragraph" w:customStyle="1" w:styleId="721">
    <w:name w:val="def正文"/>
    <w:basedOn w:val="3"/>
    <w:uiPriority w:val="0"/>
    <w:pPr>
      <w:widowControl/>
      <w:tabs>
        <w:tab w:val="clear" w:pos="208"/>
      </w:tabs>
      <w:spacing w:line="360" w:lineRule="auto"/>
      <w:ind w:firstLine="510"/>
      <w:jc w:val="left"/>
    </w:pPr>
    <w:rPr>
      <w:rFonts w:ascii="Times New Roman" w:eastAsia="宋体"/>
      <w:kern w:val="0"/>
      <w:sz w:val="24"/>
    </w:rPr>
  </w:style>
  <w:style w:type="paragraph" w:customStyle="1" w:styleId="722">
    <w:name w:val="图题注"/>
    <w:basedOn w:val="1"/>
    <w:next w:val="1"/>
    <w:qFormat/>
    <w:uiPriority w:val="6"/>
    <w:pPr>
      <w:widowControl/>
      <w:spacing w:afterLines="50" w:line="360" w:lineRule="auto"/>
      <w:jc w:val="center"/>
    </w:pPr>
    <w:rPr>
      <w:rFonts w:eastAsia="仿宋"/>
      <w:b/>
      <w:szCs w:val="21"/>
    </w:rPr>
  </w:style>
  <w:style w:type="paragraph" w:customStyle="1" w:styleId="723">
    <w:name w:val="表格表头"/>
    <w:basedOn w:val="1"/>
    <w:qFormat/>
    <w:uiPriority w:val="0"/>
    <w:pPr>
      <w:jc w:val="center"/>
    </w:pPr>
    <w:rPr>
      <w:rFonts w:eastAsia="黑体"/>
      <w:sz w:val="24"/>
      <w:szCs w:val="21"/>
    </w:rPr>
  </w:style>
  <w:style w:type="paragraph" w:customStyle="1" w:styleId="724">
    <w:name w:val=" Char1"/>
    <w:basedOn w:val="1"/>
    <w:uiPriority w:val="0"/>
    <w:pPr>
      <w:tabs>
        <w:tab w:val="left" w:pos="360"/>
      </w:tabs>
      <w:spacing w:line="360" w:lineRule="auto"/>
      <w:ind w:firstLine="200" w:firstLineChars="200"/>
      <w:jc w:val="center"/>
    </w:pPr>
    <w:rPr>
      <w:rFonts w:hint="eastAsia" w:ascii="黑体" w:eastAsia="黑体"/>
      <w:szCs w:val="21"/>
    </w:rPr>
  </w:style>
  <w:style w:type="paragraph" w:customStyle="1" w:styleId="725">
    <w:name w:val="模板标题2"/>
    <w:basedOn w:val="1"/>
    <w:next w:val="1"/>
    <w:qFormat/>
    <w:uiPriority w:val="0"/>
    <w:pPr>
      <w:keepNext/>
      <w:keepLines/>
      <w:tabs>
        <w:tab w:val="left" w:pos="1080"/>
      </w:tabs>
      <w:spacing w:afterLines="50"/>
      <w:outlineLvl w:val="1"/>
    </w:pPr>
    <w:rPr>
      <w:rFonts w:ascii="Arial" w:hAnsi="Arial"/>
      <w:b/>
      <w:kern w:val="32"/>
      <w:sz w:val="28"/>
      <w:szCs w:val="20"/>
    </w:rPr>
  </w:style>
  <w:style w:type="paragraph" w:customStyle="1" w:styleId="726">
    <w:name w:val="样式 宋体 五号 首行缩进:  2 字符"/>
    <w:basedOn w:val="1"/>
    <w:qFormat/>
    <w:uiPriority w:val="0"/>
    <w:pPr>
      <w:widowControl/>
      <w:tabs>
        <w:tab w:val="left" w:pos="480"/>
        <w:tab w:val="left" w:pos="540"/>
        <w:tab w:val="left" w:pos="720"/>
      </w:tabs>
      <w:spacing w:line="360" w:lineRule="auto"/>
      <w:ind w:firstLine="420"/>
      <w:jc w:val="left"/>
    </w:pPr>
    <w:rPr>
      <w:rFonts w:ascii="宋体" w:hAnsi="宋体" w:eastAsia="仿宋" w:cs="宋体"/>
      <w:szCs w:val="20"/>
    </w:rPr>
  </w:style>
  <w:style w:type="paragraph" w:customStyle="1" w:styleId="727">
    <w:name w:val="样式6"/>
    <w:basedOn w:val="1"/>
    <w:qFormat/>
    <w:uiPriority w:val="0"/>
    <w:pPr>
      <w:spacing w:line="360" w:lineRule="auto"/>
      <w:ind w:firstLine="200" w:firstLineChars="200"/>
      <w:jc w:val="left"/>
    </w:pPr>
    <w:rPr>
      <w:sz w:val="24"/>
    </w:rPr>
  </w:style>
  <w:style w:type="paragraph" w:customStyle="1" w:styleId="728">
    <w:name w:val="常规"/>
    <w:basedOn w:val="1"/>
    <w:qFormat/>
    <w:uiPriority w:val="0"/>
    <w:pPr>
      <w:spacing w:beforeLines="100" w:afterLines="100" w:line="360" w:lineRule="auto"/>
      <w:ind w:left="1134" w:firstLine="420" w:firstLineChars="200"/>
      <w:jc w:val="left"/>
    </w:pPr>
    <w:rPr>
      <w:rFonts w:eastAsia="仿宋"/>
      <w:kern w:val="0"/>
      <w:sz w:val="20"/>
      <w:szCs w:val="21"/>
    </w:rPr>
  </w:style>
  <w:style w:type="paragraph" w:customStyle="1" w:styleId="729">
    <w:name w:val="文档结构图1"/>
    <w:basedOn w:val="1"/>
    <w:qFormat/>
    <w:uiPriority w:val="99"/>
    <w:pPr>
      <w:spacing w:line="360" w:lineRule="auto"/>
    </w:pPr>
    <w:rPr>
      <w:rFonts w:ascii="宋体"/>
      <w:sz w:val="18"/>
      <w:szCs w:val="18"/>
    </w:rPr>
  </w:style>
  <w:style w:type="paragraph" w:customStyle="1" w:styleId="730">
    <w:name w:val="xl71"/>
    <w:basedOn w:val="1"/>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宋体" w:hAnsi="宋体"/>
      <w:b/>
      <w:bCs/>
      <w:i/>
      <w:iCs/>
      <w:kern w:val="0"/>
      <w:sz w:val="24"/>
    </w:rPr>
  </w:style>
  <w:style w:type="paragraph" w:customStyle="1" w:styleId="731">
    <w:name w:val="自动更正"/>
    <w:uiPriority w:val="0"/>
    <w:pPr>
      <w:widowControl w:val="0"/>
      <w:jc w:val="both"/>
    </w:pPr>
    <w:rPr>
      <w:kern w:val="2"/>
      <w:sz w:val="21"/>
      <w:szCs w:val="24"/>
      <w:lang w:val="en-US" w:eastAsia="zh-CN" w:bidi="ar-SA"/>
    </w:rPr>
  </w:style>
  <w:style w:type="paragraph" w:customStyle="1" w:styleId="732">
    <w:name w:val="xl50"/>
    <w:basedOn w:val="1"/>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733">
    <w:name w:val="Item List in Table"/>
    <w:basedOn w:val="1"/>
    <w:uiPriority w:val="0"/>
    <w:pPr>
      <w:tabs>
        <w:tab w:val="left" w:pos="420"/>
      </w:tabs>
      <w:ind w:left="420" w:hanging="420"/>
    </w:pPr>
    <w:rPr>
      <w:sz w:val="18"/>
    </w:rPr>
  </w:style>
  <w:style w:type="paragraph" w:customStyle="1" w:styleId="734">
    <w:name w:val="xl2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olor w:val="000000"/>
      <w:kern w:val="0"/>
      <w:sz w:val="20"/>
      <w:szCs w:val="20"/>
    </w:rPr>
  </w:style>
  <w:style w:type="paragraph" w:customStyle="1" w:styleId="735">
    <w:name w:val="模板标题3"/>
    <w:basedOn w:val="1"/>
    <w:next w:val="2"/>
    <w:qFormat/>
    <w:uiPriority w:val="0"/>
    <w:pPr>
      <w:keepNext/>
      <w:keepLines/>
      <w:tabs>
        <w:tab w:val="left" w:pos="1080"/>
      </w:tabs>
      <w:spacing w:afterLines="50"/>
      <w:outlineLvl w:val="2"/>
    </w:pPr>
    <w:rPr>
      <w:rFonts w:ascii="Arial" w:hAnsi="Arial"/>
      <w:b/>
      <w:kern w:val="21"/>
      <w:sz w:val="24"/>
      <w:szCs w:val="20"/>
    </w:rPr>
  </w:style>
  <w:style w:type="paragraph" w:customStyle="1" w:styleId="736">
    <w:name w:val="样式 题注 + 居中3"/>
    <w:basedOn w:val="18"/>
    <w:qFormat/>
    <w:uiPriority w:val="0"/>
    <w:pPr>
      <w:widowControl/>
      <w:spacing w:before="0" w:beforeLines="50" w:after="0" w:afterLines="50" w:line="360" w:lineRule="auto"/>
      <w:jc w:val="center"/>
    </w:pPr>
    <w:rPr>
      <w:rFonts w:ascii="仿宋" w:hAnsi="仿宋" w:eastAsia="仿宋" w:cs="宋体"/>
      <w:sz w:val="21"/>
      <w:szCs w:val="21"/>
    </w:rPr>
  </w:style>
  <w:style w:type="paragraph" w:customStyle="1" w:styleId="737">
    <w:name w:val="列出段落4"/>
    <w:basedOn w:val="1"/>
    <w:qFormat/>
    <w:uiPriority w:val="0"/>
    <w:pPr>
      <w:ind w:firstLine="420" w:firstLineChars="200"/>
    </w:pPr>
    <w:rPr>
      <w:szCs w:val="22"/>
    </w:rPr>
  </w:style>
  <w:style w:type="paragraph" w:customStyle="1" w:styleId="738">
    <w:name w:val="2章节"/>
    <w:qFormat/>
    <w:uiPriority w:val="0"/>
    <w:pPr>
      <w:spacing w:after="200" w:line="276" w:lineRule="auto"/>
      <w:ind w:right="100" w:rightChars="100"/>
      <w:outlineLvl w:val="0"/>
    </w:pPr>
    <w:rPr>
      <w:rFonts w:eastAsia="仿宋_GB2312"/>
      <w:b/>
      <w:kern w:val="2"/>
      <w:sz w:val="28"/>
      <w:szCs w:val="22"/>
      <w:lang w:val="en-US" w:eastAsia="zh-CN" w:bidi="ar-SA"/>
    </w:rPr>
  </w:style>
  <w:style w:type="paragraph" w:customStyle="1" w:styleId="739">
    <w:name w:val="xl45"/>
    <w:basedOn w:val="1"/>
    <w:uiPriority w:val="0"/>
    <w:pPr>
      <w:widowControl/>
      <w:pBdr>
        <w:top w:val="single" w:color="auto" w:sz="8"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740">
    <w:name w:val="普通(网站)1"/>
    <w:basedOn w:val="1"/>
    <w:qFormat/>
    <w:uiPriority w:val="0"/>
    <w:pPr>
      <w:widowControl/>
      <w:spacing w:beforeAutospacing="1" w:after="100" w:afterAutospacing="1"/>
      <w:jc w:val="left"/>
    </w:pPr>
    <w:rPr>
      <w:rFonts w:ascii="宋体" w:hAnsi="宋体"/>
      <w:color w:val="000000"/>
      <w:kern w:val="0"/>
      <w:sz w:val="24"/>
    </w:rPr>
  </w:style>
  <w:style w:type="paragraph" w:customStyle="1" w:styleId="741">
    <w:name w:val="题注4"/>
    <w:basedOn w:val="1"/>
    <w:next w:val="18"/>
    <w:qFormat/>
    <w:uiPriority w:val="99"/>
    <w:pPr>
      <w:widowControl/>
      <w:ind w:left="-132" w:leftChars="-64" w:right="-105" w:rightChars="-50" w:hanging="2"/>
      <w:jc w:val="center"/>
    </w:pPr>
    <w:rPr>
      <w:b/>
      <w:color w:val="FF0000"/>
      <w:szCs w:val="21"/>
      <w:lang w:val="en-GB"/>
    </w:rPr>
  </w:style>
  <w:style w:type="paragraph" w:customStyle="1" w:styleId="742">
    <w:name w:val="TOC 标题1"/>
    <w:basedOn w:val="4"/>
    <w:next w:val="1"/>
    <w:qFormat/>
    <w:uiPriority w:val="39"/>
    <w:pPr>
      <w:keepLines/>
      <w:widowControl/>
      <w:autoSpaceDE/>
      <w:autoSpaceDN/>
      <w:spacing w:before="480" w:line="276" w:lineRule="auto"/>
      <w:ind w:left="740" w:hanging="425"/>
      <w:jc w:val="left"/>
      <w:textAlignment w:val="auto"/>
      <w:outlineLvl w:val="9"/>
    </w:pPr>
    <w:rPr>
      <w:rFonts w:ascii="Cambria" w:hAnsi="Cambria" w:eastAsia="宋体"/>
      <w:bCs/>
      <w:color w:val="365F91"/>
      <w:kern w:val="0"/>
      <w:sz w:val="28"/>
      <w:szCs w:val="28"/>
      <w:lang w:val="zh-CN"/>
    </w:rPr>
  </w:style>
  <w:style w:type="paragraph" w:customStyle="1" w:styleId="743">
    <w:name w:val="样式 标题 7 +"/>
    <w:basedOn w:val="11"/>
    <w:qFormat/>
    <w:uiPriority w:val="0"/>
    <w:pPr>
      <w:keepNext/>
      <w:widowControl w:val="0"/>
      <w:numPr>
        <w:ilvl w:val="6"/>
        <w:numId w:val="5"/>
      </w:numPr>
      <w:spacing w:before="120" w:line="360" w:lineRule="auto"/>
      <w:jc w:val="center"/>
    </w:pPr>
    <w:rPr>
      <w:rFonts w:ascii="Arial" w:hAnsi="Arial" w:cs="宋体"/>
      <w:bCs/>
      <w:color w:val="auto"/>
      <w:szCs w:val="24"/>
      <w:lang w:val="en-US" w:eastAsia="en-US"/>
    </w:rPr>
  </w:style>
  <w:style w:type="paragraph" w:customStyle="1" w:styleId="744">
    <w:name w:val="Table Caption"/>
    <w:next w:val="1"/>
    <w:uiPriority w:val="0"/>
    <w:pPr>
      <w:keepNext/>
      <w:keepLines/>
      <w:spacing w:before="120" w:after="80" w:line="276" w:lineRule="auto"/>
      <w:ind w:left="1134"/>
      <w:jc w:val="center"/>
    </w:pPr>
    <w:rPr>
      <w:rFonts w:ascii="Arial" w:hAnsi="Arial" w:eastAsia="黑体"/>
      <w:snapToGrid w:val="0"/>
      <w:color w:val="000000"/>
      <w:sz w:val="21"/>
      <w:lang w:val="en-US" w:eastAsia="en-US" w:bidi="ar-SA"/>
    </w:rPr>
  </w:style>
  <w:style w:type="paragraph" w:customStyle="1" w:styleId="745">
    <w:name w:val="正文_15_0"/>
    <w:qFormat/>
    <w:uiPriority w:val="0"/>
    <w:pPr>
      <w:widowControl w:val="0"/>
      <w:jc w:val="both"/>
    </w:pPr>
    <w:rPr>
      <w:kern w:val="2"/>
      <w:sz w:val="21"/>
      <w:szCs w:val="24"/>
      <w:lang w:val="en-US" w:eastAsia="zh-CN" w:bidi="ar-SA"/>
    </w:rPr>
  </w:style>
  <w:style w:type="paragraph" w:customStyle="1" w:styleId="746">
    <w:name w:val="config"/>
    <w:basedOn w:val="1"/>
    <w:qFormat/>
    <w:uiPriority w:val="0"/>
    <w:pPr>
      <w:widowControl/>
      <w:spacing w:after="160"/>
      <w:ind w:left="1134"/>
      <w:jc w:val="left"/>
    </w:pPr>
    <w:rPr>
      <w:rFonts w:ascii="Arial" w:hAnsi="Arial" w:eastAsia="Arial"/>
      <w:kern w:val="0"/>
      <w:szCs w:val="20"/>
      <w:lang w:eastAsia="en-US"/>
    </w:rPr>
  </w:style>
  <w:style w:type="paragraph" w:customStyle="1" w:styleId="747">
    <w:name w:val="大连华铁并列号码"/>
    <w:basedOn w:val="1"/>
    <w:qFormat/>
    <w:uiPriority w:val="0"/>
    <w:pPr>
      <w:widowControl/>
      <w:tabs>
        <w:tab w:val="left" w:pos="420"/>
      </w:tabs>
      <w:ind w:left="420" w:hanging="420"/>
      <w:jc w:val="left"/>
    </w:pPr>
  </w:style>
  <w:style w:type="paragraph" w:customStyle="1" w:styleId="748">
    <w:name w:val="Figure Caption"/>
    <w:next w:val="1"/>
    <w:uiPriority w:val="0"/>
    <w:pPr>
      <w:spacing w:before="120" w:after="240"/>
      <w:ind w:left="1134"/>
      <w:jc w:val="center"/>
    </w:pPr>
    <w:rPr>
      <w:rFonts w:ascii="Arial" w:hAnsi="Arial" w:eastAsia="黑体"/>
      <w:sz w:val="21"/>
      <w:lang w:val="en-GB" w:eastAsia="en-US" w:bidi="ar-SA"/>
    </w:rPr>
  </w:style>
  <w:style w:type="paragraph" w:customStyle="1" w:styleId="749">
    <w:name w:val="正文_17"/>
    <w:qFormat/>
    <w:uiPriority w:val="0"/>
    <w:pPr>
      <w:widowControl w:val="0"/>
      <w:jc w:val="both"/>
    </w:pPr>
    <w:rPr>
      <w:kern w:val="2"/>
      <w:sz w:val="21"/>
      <w:szCs w:val="24"/>
      <w:lang w:val="en-US" w:eastAsia="zh-CN" w:bidi="ar-SA"/>
    </w:rPr>
  </w:style>
  <w:style w:type="paragraph" w:customStyle="1" w:styleId="750">
    <w:name w:val="大连华铁行并列格式"/>
    <w:basedOn w:val="1"/>
    <w:qFormat/>
    <w:uiPriority w:val="0"/>
    <w:pPr>
      <w:widowControl/>
      <w:tabs>
        <w:tab w:val="left" w:pos="456"/>
      </w:tabs>
      <w:ind w:left="456" w:hanging="420"/>
      <w:jc w:val="left"/>
    </w:pPr>
  </w:style>
  <w:style w:type="paragraph" w:customStyle="1" w:styleId="751">
    <w:name w:val="样式 标题 8 +"/>
    <w:basedOn w:val="12"/>
    <w:uiPriority w:val="0"/>
    <w:pPr>
      <w:keepNext/>
      <w:widowControl w:val="0"/>
      <w:numPr>
        <w:ilvl w:val="7"/>
        <w:numId w:val="5"/>
      </w:numPr>
      <w:spacing w:line="319" w:lineRule="auto"/>
      <w:jc w:val="left"/>
    </w:pPr>
    <w:rPr>
      <w:rFonts w:ascii="Cambria" w:hAnsi="Cambria" w:eastAsia="宋体"/>
      <w:color w:val="auto"/>
      <w:szCs w:val="24"/>
      <w:lang w:val="en-US" w:eastAsia="en-US"/>
    </w:rPr>
  </w:style>
  <w:style w:type="paragraph" w:customStyle="1" w:styleId="752">
    <w:name w:val="文章标题4级"/>
    <w:basedOn w:val="1"/>
    <w:next w:val="1"/>
    <w:uiPriority w:val="0"/>
    <w:pPr>
      <w:widowControl/>
      <w:tabs>
        <w:tab w:val="left" w:pos="1034"/>
        <w:tab w:val="left" w:pos="1680"/>
        <w:tab w:val="left" w:pos="2760"/>
      </w:tabs>
      <w:spacing w:before="156" w:beforeLines="50" w:after="156" w:afterLines="50"/>
      <w:ind w:left="1680" w:hanging="420"/>
      <w:jc w:val="left"/>
      <w:outlineLvl w:val="3"/>
    </w:pPr>
    <w:rPr>
      <w:b/>
      <w:bCs/>
      <w:caps/>
      <w:sz w:val="24"/>
      <w:szCs w:val="18"/>
      <w:lang/>
    </w:rPr>
  </w:style>
  <w:style w:type="paragraph" w:customStyle="1" w:styleId="753">
    <w:name w:val="flNote"/>
    <w:basedOn w:val="1"/>
    <w:qFormat/>
    <w:uiPriority w:val="0"/>
    <w:pPr>
      <w:adjustRightInd w:val="0"/>
      <w:spacing w:after="160" w:line="360" w:lineRule="atLeast"/>
      <w:jc w:val="center"/>
      <w:textAlignment w:val="baseline"/>
    </w:pPr>
    <w:rPr>
      <w:rFonts w:ascii="Arial" w:eastAsia="黑体"/>
      <w:kern w:val="0"/>
      <w:sz w:val="30"/>
      <w:szCs w:val="20"/>
    </w:rPr>
  </w:style>
  <w:style w:type="paragraph" w:customStyle="1" w:styleId="754">
    <w:name w:val="样式4"/>
    <w:basedOn w:val="9"/>
    <w:qFormat/>
    <w:uiPriority w:val="0"/>
    <w:pPr>
      <w:keepLines w:val="0"/>
      <w:widowControl w:val="0"/>
      <w:snapToGrid w:val="0"/>
      <w:spacing w:before="120" w:after="0" w:afterLines="50" w:line="360" w:lineRule="auto"/>
      <w:jc w:val="left"/>
    </w:pPr>
    <w:rPr>
      <w:rFonts w:ascii="Cambria" w:hAnsi="Cambria"/>
      <w:bCs/>
      <w:color w:val="7F7F7F"/>
      <w:sz w:val="24"/>
      <w:szCs w:val="22"/>
    </w:rPr>
  </w:style>
  <w:style w:type="paragraph" w:customStyle="1" w:styleId="755">
    <w:name w:val="样式 样式 样式 样式 标题 2 + 橙色 + 宋体 小四 自动设置 行距: 固定值 22 磅 + 左 行距: 固定值 18 磅..."/>
    <w:basedOn w:val="1"/>
    <w:qFormat/>
    <w:uiPriority w:val="0"/>
    <w:pPr>
      <w:widowControl/>
      <w:tabs>
        <w:tab w:val="left" w:pos="113"/>
      </w:tabs>
      <w:ind w:left="425" w:hanging="425"/>
      <w:jc w:val="left"/>
    </w:pPr>
    <w:rPr>
      <w:rFonts w:ascii="Calibri" w:hAnsi="Calibri"/>
      <w:szCs w:val="22"/>
    </w:rPr>
  </w:style>
  <w:style w:type="paragraph" w:customStyle="1" w:styleId="756">
    <w:name w:val="pic-info"/>
    <w:basedOn w:val="1"/>
    <w:qFormat/>
    <w:uiPriority w:val="0"/>
    <w:pPr>
      <w:widowControl/>
      <w:spacing w:before="100" w:beforeAutospacing="1" w:after="100" w:afterAutospacing="1"/>
      <w:jc w:val="left"/>
    </w:pPr>
    <w:rPr>
      <w:rFonts w:ascii="宋体" w:hAnsi="宋体" w:cs="宋体"/>
      <w:kern w:val="0"/>
      <w:sz w:val="24"/>
    </w:rPr>
  </w:style>
  <w:style w:type="paragraph" w:customStyle="1" w:styleId="757">
    <w:name w:val="正文（QD）"/>
    <w:basedOn w:val="1"/>
    <w:qFormat/>
    <w:uiPriority w:val="0"/>
    <w:pPr>
      <w:widowControl/>
      <w:wordWrap w:val="0"/>
      <w:spacing w:line="360" w:lineRule="auto"/>
      <w:ind w:firstLine="200" w:firstLineChars="200"/>
      <w:jc w:val="left"/>
    </w:pPr>
    <w:rPr>
      <w:rFonts w:ascii="仿宋" w:hAnsi="仿宋" w:eastAsia="仿宋" w:cs="宋体"/>
      <w:kern w:val="0"/>
      <w:sz w:val="24"/>
    </w:rPr>
  </w:style>
  <w:style w:type="paragraph" w:customStyle="1" w:styleId="758">
    <w:name w:val="xl3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759">
    <w:name w:val="xl4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0"/>
      <w:szCs w:val="20"/>
    </w:rPr>
  </w:style>
  <w:style w:type="paragraph" w:customStyle="1" w:styleId="760">
    <w:name w:val="样式 标题8 + 段前: 0.5 行 段后: 0.5 行"/>
    <w:basedOn w:val="312"/>
    <w:next w:val="1"/>
    <w:uiPriority w:val="0"/>
    <w:pPr>
      <w:keepNext/>
      <w:keepLines/>
      <w:widowControl w:val="0"/>
      <w:numPr>
        <w:ilvl w:val="7"/>
        <w:numId w:val="9"/>
      </w:numPr>
      <w:spacing w:beforeLines="50" w:afterLines="50"/>
      <w:ind w:left="0" w:firstLine="0"/>
      <w:outlineLvl w:val="7"/>
    </w:pPr>
    <w:rPr>
      <w:rFonts w:ascii="Arial" w:hAnsi="Arial" w:eastAsia="黑体" w:cs="宋体"/>
      <w:kern w:val="2"/>
      <w:sz w:val="21"/>
      <w:szCs w:val="20"/>
      <w:lang w:val="en-US" w:eastAsia="zh-CN"/>
    </w:rPr>
  </w:style>
  <w:style w:type="paragraph" w:customStyle="1" w:styleId="761">
    <w:name w:val="默认段落字体 Para Char Char Char Char Char Char Char Char Char Char Char Char Char"/>
    <w:basedOn w:val="20"/>
    <w:qFormat/>
    <w:uiPriority w:val="0"/>
    <w:pPr>
      <w:shd w:val="clear" w:color="auto" w:fill="000080"/>
      <w:adjustRightInd/>
      <w:snapToGrid/>
      <w:spacing w:after="0"/>
    </w:pPr>
    <w:rPr>
      <w:rFonts w:ascii="Tahoma"/>
      <w:kern w:val="2"/>
      <w:sz w:val="24"/>
      <w:szCs w:val="24"/>
      <w:lang w:val="zh-CN"/>
    </w:rPr>
  </w:style>
  <w:style w:type="paragraph" w:customStyle="1" w:styleId="762">
    <w:name w:val="_Style 3"/>
    <w:qFormat/>
    <w:uiPriority w:val="99"/>
    <w:pPr>
      <w:widowControl w:val="0"/>
      <w:jc w:val="both"/>
    </w:pPr>
    <w:rPr>
      <w:kern w:val="2"/>
      <w:sz w:val="21"/>
      <w:szCs w:val="22"/>
      <w:lang w:val="en-US" w:eastAsia="zh-CN" w:bidi="ar-SA"/>
    </w:rPr>
  </w:style>
  <w:style w:type="paragraph" w:customStyle="1" w:styleId="763">
    <w:name w:val="标文2"/>
    <w:basedOn w:val="1"/>
    <w:qFormat/>
    <w:uiPriority w:val="0"/>
    <w:pPr>
      <w:adjustRightInd w:val="0"/>
      <w:snapToGrid w:val="0"/>
      <w:spacing w:afterLines="50" w:line="372" w:lineRule="auto"/>
      <w:ind w:firstLine="560" w:firstLineChars="200"/>
    </w:pPr>
    <w:rPr>
      <w:rFonts w:ascii="宋体" w:hAnsi="宋体"/>
      <w:sz w:val="28"/>
      <w:szCs w:val="20"/>
    </w:rPr>
  </w:style>
  <w:style w:type="paragraph" w:customStyle="1" w:styleId="764">
    <w:name w:val="样式 新宋体 行距: 固定值 20 磅"/>
    <w:basedOn w:val="1"/>
    <w:unhideWhenUsed/>
    <w:qFormat/>
    <w:uiPriority w:val="0"/>
    <w:pPr>
      <w:widowControl/>
      <w:spacing w:line="360" w:lineRule="auto"/>
      <w:jc w:val="left"/>
    </w:pPr>
    <w:rPr>
      <w:rFonts w:hint="eastAsia" w:ascii="新宋体" w:hAnsi="新宋体" w:eastAsia="新宋体"/>
      <w:sz w:val="24"/>
    </w:rPr>
  </w:style>
  <w:style w:type="paragraph" w:customStyle="1" w:styleId="765">
    <w:name w:val="xl70"/>
    <w:basedOn w:val="1"/>
    <w:uiPriority w:val="0"/>
    <w:pPr>
      <w:widowControl/>
      <w:pBdr>
        <w:top w:val="single" w:color="auto" w:sz="4" w:space="0"/>
        <w:bottom w:val="single" w:color="auto" w:sz="8" w:space="0"/>
        <w:right w:val="single" w:color="auto" w:sz="4" w:space="0"/>
      </w:pBdr>
      <w:spacing w:before="100" w:beforeAutospacing="1" w:after="100" w:afterAutospacing="1"/>
      <w:jc w:val="left"/>
    </w:pPr>
    <w:rPr>
      <w:b/>
      <w:bCs/>
      <w:kern w:val="0"/>
      <w:sz w:val="20"/>
      <w:szCs w:val="20"/>
    </w:rPr>
  </w:style>
  <w:style w:type="paragraph" w:customStyle="1" w:styleId="766">
    <w:name w:val="xl44"/>
    <w:basedOn w:val="1"/>
    <w:uiPriority w:val="0"/>
    <w:pPr>
      <w:widowControl/>
      <w:pBdr>
        <w:top w:val="single" w:color="auto" w:sz="8" w:space="0"/>
        <w:left w:val="single" w:color="auto" w:sz="8" w:space="0"/>
        <w:bottom w:val="single" w:color="auto" w:sz="4" w:space="0"/>
        <w:right w:val="single" w:color="auto" w:sz="4" w:space="0"/>
      </w:pBdr>
      <w:shd w:val="clear" w:color="auto" w:fill="C0C0C0"/>
      <w:spacing w:before="100" w:beforeAutospacing="1" w:after="100" w:afterAutospacing="1"/>
      <w:jc w:val="center"/>
    </w:pPr>
    <w:rPr>
      <w:rFonts w:ascii="宋体" w:hAnsi="宋体"/>
      <w:b/>
      <w:bCs/>
      <w:kern w:val="0"/>
      <w:sz w:val="20"/>
      <w:szCs w:val="20"/>
    </w:rPr>
  </w:style>
  <w:style w:type="paragraph" w:customStyle="1" w:styleId="767">
    <w:name w:val="xl68"/>
    <w:basedOn w:val="1"/>
    <w:uiPriority w:val="0"/>
    <w:pPr>
      <w:widowControl/>
      <w:pBdr>
        <w:top w:val="single" w:color="auto" w:sz="4" w:space="0"/>
        <w:left w:val="single" w:color="auto" w:sz="4" w:space="0"/>
        <w:bottom w:val="single" w:color="auto" w:sz="8" w:space="0"/>
      </w:pBdr>
      <w:spacing w:before="100" w:beforeAutospacing="1" w:after="100" w:afterAutospacing="1"/>
      <w:jc w:val="left"/>
    </w:pPr>
    <w:rPr>
      <w:rFonts w:ascii="宋体" w:hAnsi="宋体"/>
      <w:b/>
      <w:bCs/>
      <w:kern w:val="0"/>
      <w:sz w:val="20"/>
      <w:szCs w:val="20"/>
    </w:rPr>
  </w:style>
  <w:style w:type="paragraph" w:customStyle="1" w:styleId="768">
    <w:name w:val="GP标题2"/>
    <w:basedOn w:val="513"/>
    <w:next w:val="514"/>
    <w:uiPriority w:val="99"/>
    <w:pPr>
      <w:numPr>
        <w:ilvl w:val="1"/>
        <w:numId w:val="4"/>
      </w:numPr>
      <w:tabs>
        <w:tab w:val="left" w:pos="360"/>
      </w:tabs>
      <w:spacing w:beforeLines="50" w:afterLines="50"/>
      <w:ind w:firstLineChars="0"/>
      <w:outlineLvl w:val="1"/>
    </w:pPr>
    <w:rPr>
      <w:rFonts w:ascii="华文细黑" w:hAnsi="华文细黑" w:eastAsia="华文细黑" w:cs="Times New Roman"/>
      <w:b/>
      <w:sz w:val="32"/>
      <w:szCs w:val="21"/>
    </w:rPr>
  </w:style>
  <w:style w:type="paragraph" w:customStyle="1" w:styleId="769">
    <w:name w:val="xl78"/>
    <w:basedOn w:val="1"/>
    <w:uiPriority w:val="0"/>
    <w:pPr>
      <w:widowControl/>
      <w:pBdr>
        <w:top w:val="single" w:color="auto" w:sz="4" w:space="0"/>
        <w:bottom w:val="double" w:color="auto" w:sz="6" w:space="0"/>
      </w:pBdr>
      <w:spacing w:before="100" w:beforeAutospacing="1" w:after="100" w:afterAutospacing="1"/>
      <w:jc w:val="left"/>
    </w:pPr>
    <w:rPr>
      <w:rFonts w:ascii="宋体" w:hAnsi="宋体"/>
      <w:b/>
      <w:bCs/>
      <w:kern w:val="0"/>
      <w:sz w:val="20"/>
      <w:szCs w:val="20"/>
    </w:rPr>
  </w:style>
  <w:style w:type="paragraph" w:customStyle="1" w:styleId="770">
    <w:name w:val="_Style 9"/>
    <w:basedOn w:val="1"/>
    <w:qFormat/>
    <w:uiPriority w:val="99"/>
    <w:pPr>
      <w:spacing w:line="360" w:lineRule="auto"/>
      <w:ind w:firstLine="420" w:firstLineChars="200"/>
    </w:pPr>
    <w:rPr>
      <w:rFonts w:ascii="Calibri" w:hAnsi="Calibri" w:eastAsia="仿宋"/>
      <w:sz w:val="24"/>
    </w:rPr>
  </w:style>
  <w:style w:type="paragraph" w:customStyle="1" w:styleId="771">
    <w:name w:val="xl115"/>
    <w:basedOn w:val="1"/>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772">
    <w:name w:val="编号，四号"/>
    <w:basedOn w:val="393"/>
    <w:qFormat/>
    <w:uiPriority w:val="99"/>
    <w:pPr>
      <w:ind w:firstLine="288"/>
    </w:pPr>
    <w:rPr>
      <w:rFonts w:ascii="Verdana" w:hAnsi="Verdana"/>
      <w:sz w:val="28"/>
    </w:rPr>
  </w:style>
  <w:style w:type="paragraph" w:customStyle="1" w:styleId="773">
    <w:name w:val="GP标题3"/>
    <w:basedOn w:val="513"/>
    <w:next w:val="514"/>
    <w:uiPriority w:val="99"/>
    <w:pPr>
      <w:numPr>
        <w:ilvl w:val="2"/>
        <w:numId w:val="4"/>
      </w:numPr>
      <w:tabs>
        <w:tab w:val="left" w:pos="360"/>
      </w:tabs>
      <w:spacing w:beforeLines="50" w:afterLines="50"/>
      <w:ind w:firstLineChars="0"/>
      <w:outlineLvl w:val="2"/>
    </w:pPr>
    <w:rPr>
      <w:rFonts w:ascii="华文细黑" w:hAnsi="华文细黑" w:eastAsia="华文细黑" w:cs="Times New Roman"/>
      <w:b/>
      <w:sz w:val="30"/>
      <w:szCs w:val="21"/>
    </w:rPr>
  </w:style>
  <w:style w:type="paragraph" w:customStyle="1" w:styleId="774">
    <w:name w:val="正文（标记）"/>
    <w:basedOn w:val="1"/>
    <w:uiPriority w:val="99"/>
    <w:pPr>
      <w:numPr>
        <w:ilvl w:val="0"/>
        <w:numId w:val="10"/>
      </w:numPr>
      <w:tabs>
        <w:tab w:val="left" w:pos="840"/>
      </w:tabs>
      <w:spacing w:beforeLines="50" w:afterLines="50"/>
      <w:ind w:firstLine="0"/>
    </w:pPr>
    <w:rPr>
      <w:sz w:val="24"/>
    </w:rPr>
  </w:style>
  <w:style w:type="paragraph" w:customStyle="1" w:styleId="775">
    <w:name w:val="GP标题1"/>
    <w:basedOn w:val="513"/>
    <w:next w:val="514"/>
    <w:uiPriority w:val="99"/>
    <w:pPr>
      <w:numPr>
        <w:ilvl w:val="0"/>
        <w:numId w:val="4"/>
      </w:numPr>
      <w:spacing w:beforeLines="100" w:afterLines="100"/>
      <w:ind w:firstLineChars="0"/>
      <w:jc w:val="center"/>
      <w:outlineLvl w:val="0"/>
    </w:pPr>
    <w:rPr>
      <w:rFonts w:ascii="黑体" w:hAnsi="黑体" w:eastAsia="黑体" w:cs="Times New Roman"/>
      <w:b/>
      <w:sz w:val="36"/>
      <w:szCs w:val="21"/>
    </w:rPr>
  </w:style>
  <w:style w:type="paragraph" w:customStyle="1" w:styleId="776">
    <w:name w:val="其他发布日期"/>
    <w:basedOn w:val="1"/>
    <w:uiPriority w:val="0"/>
    <w:pPr>
      <w:widowControl/>
      <w:numPr>
        <w:ilvl w:val="0"/>
        <w:numId w:val="11"/>
      </w:numPr>
      <w:tabs>
        <w:tab w:val="left" w:pos="432"/>
      </w:tabs>
      <w:ind w:firstLine="0"/>
      <w:jc w:val="left"/>
    </w:pPr>
    <w:rPr>
      <w:rFonts w:eastAsia="黑体"/>
      <w:kern w:val="0"/>
      <w:sz w:val="28"/>
      <w:szCs w:val="20"/>
    </w:rPr>
  </w:style>
  <w:style w:type="paragraph" w:customStyle="1" w:styleId="777">
    <w:name w:val="07-正文缩进2字符"/>
    <w:basedOn w:val="55"/>
    <w:next w:val="1"/>
    <w:qFormat/>
    <w:uiPriority w:val="0"/>
    <w:pPr>
      <w:spacing w:line="360" w:lineRule="exact"/>
      <w:ind w:left="200" w:firstLine="200"/>
    </w:pPr>
    <w:rPr>
      <w:rFonts w:eastAsia="微软雅黑"/>
      <w:sz w:val="24"/>
      <w:lang w:val="en-US" w:eastAsia="zh-CN"/>
    </w:rPr>
  </w:style>
  <w:style w:type="paragraph" w:customStyle="1" w:styleId="778">
    <w:name w:val="08f-1）"/>
    <w:basedOn w:val="1"/>
    <w:next w:val="1"/>
    <w:qFormat/>
    <w:uiPriority w:val="0"/>
    <w:pPr>
      <w:numPr>
        <w:ilvl w:val="0"/>
        <w:numId w:val="12"/>
      </w:numPr>
      <w:spacing w:after="120" w:line="360" w:lineRule="exact"/>
      <w:ind w:left="820" w:leftChars="400" w:firstLineChars="200"/>
    </w:pPr>
    <w:rPr>
      <w:rFonts w:ascii="宋体" w:eastAsia="微软雅黑"/>
    </w:rPr>
  </w:style>
  <w:style w:type="paragraph" w:customStyle="1" w:styleId="779">
    <w:name w:val="xl96"/>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780">
    <w:name w:val="xl97"/>
    <w:basedOn w:val="1"/>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781">
    <w:name w:val="xl98"/>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textAlignment w:val="center"/>
    </w:pPr>
    <w:rPr>
      <w:rFonts w:ascii="宋体" w:hAnsi="宋体" w:cs="宋体"/>
      <w:kern w:val="0"/>
      <w:sz w:val="20"/>
      <w:szCs w:val="20"/>
    </w:rPr>
  </w:style>
  <w:style w:type="paragraph" w:customStyle="1" w:styleId="782">
    <w:name w:val="xl9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0"/>
      <w:szCs w:val="20"/>
    </w:rPr>
  </w:style>
  <w:style w:type="paragraph" w:customStyle="1" w:styleId="783">
    <w:name w:val="xl100"/>
    <w:basedOn w:val="1"/>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b/>
      <w:bCs/>
      <w:kern w:val="0"/>
      <w:sz w:val="20"/>
      <w:szCs w:val="20"/>
    </w:rPr>
  </w:style>
  <w:style w:type="paragraph" w:customStyle="1" w:styleId="784">
    <w:name w:val="xl101"/>
    <w:basedOn w:val="1"/>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0"/>
      <w:szCs w:val="20"/>
    </w:rPr>
  </w:style>
  <w:style w:type="paragraph" w:customStyle="1" w:styleId="785">
    <w:name w:val="xl10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786">
    <w:name w:val="xl103"/>
    <w:basedOn w:val="1"/>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787">
    <w:name w:val="xl10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788">
    <w:name w:val="xl105"/>
    <w:basedOn w:val="1"/>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789">
    <w:name w:val="xl106"/>
    <w:basedOn w:val="1"/>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790">
    <w:name w:val="xl107"/>
    <w:basedOn w:val="1"/>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791">
    <w:name w:val="xl108"/>
    <w:basedOn w:val="1"/>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792">
    <w:name w:val="xl109"/>
    <w:basedOn w:val="1"/>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793">
    <w:name w:val="xl11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794">
    <w:name w:val="xl111"/>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795">
    <w:name w:val="xl11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796">
    <w:name w:val="xl113"/>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797">
    <w:name w:val="xl114"/>
    <w:basedOn w:val="1"/>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798">
    <w:name w:val="xl116"/>
    <w:basedOn w:val="1"/>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799">
    <w:name w:val="xl11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800">
    <w:name w:val="xl118"/>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801">
    <w:name w:val="xl11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802">
    <w:name w:val="xl12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20"/>
      <w:szCs w:val="20"/>
    </w:rPr>
  </w:style>
  <w:style w:type="paragraph" w:customStyle="1" w:styleId="803">
    <w:name w:val="xl85"/>
    <w:basedOn w:val="1"/>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宋体"/>
      <w:kern w:val="0"/>
      <w:sz w:val="20"/>
      <w:szCs w:val="20"/>
    </w:rPr>
  </w:style>
  <w:style w:type="paragraph" w:customStyle="1" w:styleId="804">
    <w:name w:val="xl86"/>
    <w:basedOn w:val="1"/>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仿宋" w:hAnsi="仿宋" w:eastAsia="仿宋" w:cs="宋体"/>
      <w:kern w:val="0"/>
      <w:sz w:val="20"/>
      <w:szCs w:val="20"/>
    </w:rPr>
  </w:style>
  <w:style w:type="paragraph" w:customStyle="1" w:styleId="805">
    <w:name w:val="xl87"/>
    <w:basedOn w:val="1"/>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宋体"/>
      <w:kern w:val="0"/>
      <w:sz w:val="20"/>
      <w:szCs w:val="20"/>
    </w:rPr>
  </w:style>
  <w:style w:type="paragraph" w:customStyle="1" w:styleId="806">
    <w:name w:val="xl88"/>
    <w:basedOn w:val="1"/>
    <w:uiPriority w:val="0"/>
    <w:pPr>
      <w:widowControl/>
      <w:pBdr>
        <w:left w:val="single" w:color="auto" w:sz="4" w:space="0"/>
        <w:right w:val="single" w:color="auto" w:sz="4" w:space="0"/>
      </w:pBdr>
      <w:spacing w:before="100" w:beforeAutospacing="1" w:after="100" w:afterAutospacing="1"/>
      <w:jc w:val="center"/>
      <w:textAlignment w:val="center"/>
    </w:pPr>
    <w:rPr>
      <w:rFonts w:ascii="仿宋" w:hAnsi="仿宋" w:eastAsia="仿宋" w:cs="宋体"/>
      <w:kern w:val="0"/>
      <w:sz w:val="20"/>
      <w:szCs w:val="20"/>
    </w:rPr>
  </w:style>
  <w:style w:type="paragraph" w:customStyle="1" w:styleId="807">
    <w:name w:val="xl89"/>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宋体"/>
      <w:color w:val="FF0000"/>
      <w:kern w:val="0"/>
      <w:sz w:val="20"/>
      <w:szCs w:val="20"/>
    </w:rPr>
  </w:style>
  <w:style w:type="paragraph" w:customStyle="1" w:styleId="808">
    <w:name w:val="表格标注"/>
    <w:basedOn w:val="3"/>
    <w:next w:val="3"/>
    <w:qFormat/>
    <w:uiPriority w:val="0"/>
    <w:pPr>
      <w:numPr>
        <w:ilvl w:val="1"/>
        <w:numId w:val="13"/>
      </w:numPr>
      <w:tabs>
        <w:tab w:val="clear" w:pos="208"/>
      </w:tabs>
      <w:adjustRightInd w:val="0"/>
      <w:spacing w:line="360" w:lineRule="auto"/>
      <w:ind w:left="0" w:firstLine="0"/>
      <w:jc w:val="center"/>
      <w:textAlignment w:val="baseline"/>
    </w:pPr>
    <w:rPr>
      <w:rFonts w:ascii="Times New Roman" w:eastAsia="宋体"/>
      <w:kern w:val="0"/>
      <w:sz w:val="21"/>
      <w:szCs w:val="20"/>
      <w:lang w:val="en-US" w:eastAsia="zh-CN"/>
    </w:rPr>
  </w:style>
  <w:style w:type="table" w:customStyle="1" w:styleId="809">
    <w:name w:val="网格型3"/>
    <w:basedOn w:val="56"/>
    <w:uiPriority w:val="59"/>
    <w:pPr>
      <w:widowControl w:val="0"/>
      <w:spacing w:beforeLines="50" w:afterLines="50"/>
      <w:jc w:val="both"/>
    </w:pPr>
    <w:tblPr>
      <w:tblStyle w:val="56"/>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10">
    <w:name w:val="Table Normal"/>
    <w:unhideWhenUsed/>
    <w:qFormat/>
    <w:uiPriority w:val="2"/>
    <w:pPr>
      <w:widowControl w:val="0"/>
      <w:autoSpaceDE w:val="0"/>
      <w:autoSpaceDN w:val="0"/>
    </w:pPr>
    <w:rPr>
      <w:sz w:val="22"/>
      <w:szCs w:val="22"/>
      <w:lang w:val="en-US" w:eastAsia="en-US" w:bidi="ar-SA"/>
    </w:rPr>
    <w:tblPr>
      <w:tblStyle w:val="56"/>
      <w:tblCellMar>
        <w:top w:w="0" w:type="dxa"/>
        <w:left w:w="0" w:type="dxa"/>
        <w:bottom w:w="0" w:type="dxa"/>
        <w:right w:w="0" w:type="dxa"/>
      </w:tblCellMar>
    </w:tblPr>
  </w:style>
  <w:style w:type="table" w:customStyle="1" w:styleId="811">
    <w:name w:val="Table Grid1"/>
    <w:basedOn w:val="56"/>
    <w:uiPriority w:val="0"/>
    <w:tblPr>
      <w:tblStyle w:val="56"/>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12">
    <w:name w:val="网格型2"/>
    <w:basedOn w:val="56"/>
    <w:uiPriority w:val="0"/>
    <w:pPr>
      <w:widowControl w:val="0"/>
      <w:spacing w:beforeLines="50" w:afterLines="50"/>
      <w:jc w:val="both"/>
    </w:pPr>
    <w:rPr>
      <w:rFonts w:ascii="Arial" w:hAnsi="Arial" w:cs="宋体"/>
    </w:rPr>
    <w:tblPr>
      <w:tblStyle w:val="56"/>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13">
    <w:name w:val="网格型1"/>
    <w:basedOn w:val="56"/>
    <w:uiPriority w:val="59"/>
    <w:pPr>
      <w:widowControl w:val="0"/>
      <w:spacing w:beforeLines="50" w:afterLines="50"/>
      <w:jc w:val="both"/>
    </w:pPr>
    <w:tblPr>
      <w:tblStyle w:val="56"/>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header1.xml" Type="http://schemas.openxmlformats.org/officeDocument/2006/relationships/header"/><Relationship Id="rId4" Target="footer1.xml" Type="http://schemas.openxmlformats.org/officeDocument/2006/relationships/footer"/><Relationship Id="rId5" Target="footer2.xml" Type="http://schemas.openxmlformats.org/officeDocument/2006/relationships/footer"/><Relationship Id="rId6" Target="footer3.xml" Type="http://schemas.openxmlformats.org/officeDocument/2006/relationships/footer"/><Relationship Id="rId7" Target="theme/theme1.xml" Type="http://schemas.openxmlformats.org/officeDocument/2006/relationships/theme"/><Relationship Id="rId8" Target="numbering.xml" Type="http://schemas.openxmlformats.org/officeDocument/2006/relationships/numbering"/><Relationship Id="rId9" Target="fontTable.xml" Type="http://schemas.openxmlformats.org/officeDocument/2006/relationships/fontTable"/></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77</Pages>
  <Words>6868</Words>
  <Characters>39148</Characters>
  <Lines>326</Lines>
  <Paragraphs>91</Paragraphs>
  <TotalTime>0</TotalTime>
  <ScaleCrop>false</ScaleCrop>
  <LinksUpToDate>false</LinksUpToDate>
  <CharactersWithSpaces>45925</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2022-03-24T01:55:00Z</dcterms:created>
  <dc:creator>000</dc:creator>
  <cp:lastModifiedBy>WPS_1701756769</cp:lastModifiedBy>
  <cp:lastPrinted>2022-08-26T07:07:00Z</cp:lastPrinted>
  <dcterms:modified xsi:type="dcterms:W3CDTF">2024-02-26T03:47:23Z</dcterms:modified>
  <cp:revision>19</cp:revision>
  <dc:title>招  标  文  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60CA5404F6984B99BD203310A4D4AFB4_13</vt:lpwstr>
  </property>
</Properties>
</file>